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trPr>
          <w:cantSplit/>
          <w:trHeight w:hRule="exact" w:val="851"/>
        </w:trPr>
        <w:tc>
          <w:tcPr>
            <w:tcW w:w="1276" w:type="dxa"/>
            <w:tcBorders>
              <w:bottom w:val="single" w:sz="4" w:space="0" w:color="auto"/>
            </w:tcBorders>
            <w:vAlign w:val="bottom"/>
          </w:tcPr>
          <w:p w:rsidR="00523650" w:rsidRPr="00ED616A" w:rsidRDefault="00523650" w:rsidP="00E7728D">
            <w:pPr>
              <w:pStyle w:val="SingleTxtG"/>
              <w:ind w:left="0" w:right="0"/>
              <w:jc w:val="left"/>
            </w:pPr>
          </w:p>
        </w:tc>
        <w:tc>
          <w:tcPr>
            <w:tcW w:w="2268" w:type="dxa"/>
            <w:tcBorders>
              <w:bottom w:val="single" w:sz="4" w:space="0" w:color="auto"/>
            </w:tcBorders>
            <w:vAlign w:val="bottom"/>
          </w:tcPr>
          <w:p w:rsidR="00523650" w:rsidRPr="00B97172" w:rsidRDefault="00E56E08" w:rsidP="00637350">
            <w:pPr>
              <w:spacing w:after="80" w:line="300" w:lineRule="exact"/>
              <w:rPr>
                <w:b/>
                <w:sz w:val="24"/>
                <w:szCs w:val="24"/>
              </w:rPr>
            </w:pPr>
            <w:r>
              <w:rPr>
                <w:sz w:val="28"/>
                <w:szCs w:val="28"/>
              </w:rPr>
              <w:t>Naciones Unidas</w:t>
            </w:r>
          </w:p>
        </w:tc>
        <w:tc>
          <w:tcPr>
            <w:tcW w:w="6095" w:type="dxa"/>
            <w:gridSpan w:val="2"/>
            <w:tcBorders>
              <w:bottom w:val="single" w:sz="4" w:space="0" w:color="auto"/>
            </w:tcBorders>
            <w:vAlign w:val="bottom"/>
          </w:tcPr>
          <w:p w:rsidR="00523650" w:rsidRPr="002E51B7" w:rsidRDefault="005D2F6A" w:rsidP="00637350">
            <w:pPr>
              <w:spacing w:after="20"/>
              <w:jc w:val="right"/>
            </w:pPr>
            <w:r w:rsidRPr="005D2F6A">
              <w:rPr>
                <w:sz w:val="40"/>
              </w:rPr>
              <w:t>CERD</w:t>
            </w:r>
            <w:r>
              <w:t>/C/EST/10-11</w:t>
            </w:r>
          </w:p>
        </w:tc>
      </w:tr>
      <w:tr w:rsidR="00523650">
        <w:trPr>
          <w:cantSplit/>
          <w:trHeight w:hRule="exact" w:val="2835"/>
        </w:trPr>
        <w:tc>
          <w:tcPr>
            <w:tcW w:w="1276" w:type="dxa"/>
            <w:tcBorders>
              <w:top w:val="single" w:sz="4" w:space="0" w:color="auto"/>
              <w:bottom w:val="single" w:sz="12" w:space="0" w:color="auto"/>
            </w:tcBorders>
          </w:tcPr>
          <w:p w:rsidR="00523650" w:rsidRDefault="00676511" w:rsidP="0063735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9C7B33" w:rsidRDefault="00E56E08" w:rsidP="00637350">
            <w:pPr>
              <w:spacing w:before="120" w:line="380" w:lineRule="exact"/>
              <w:rPr>
                <w:lang w:val="es-ES"/>
              </w:rPr>
            </w:pPr>
            <w:r w:rsidRPr="009C7B33">
              <w:rPr>
                <w:b/>
                <w:sz w:val="34"/>
                <w:szCs w:val="40"/>
                <w:lang w:val="es-ES"/>
              </w:rPr>
              <w:t>Convención Internacional sobre</w:t>
            </w:r>
            <w:r w:rsidR="003B110F">
              <w:rPr>
                <w:b/>
                <w:sz w:val="34"/>
                <w:szCs w:val="40"/>
                <w:lang w:val="es-ES"/>
              </w:rPr>
              <w:br/>
            </w:r>
            <w:smartTag w:uri="urn:schemas-microsoft-com:office:smarttags" w:element="PersonName">
              <w:smartTagPr>
                <w:attr w:name="ProductID" w:val="la Eliminaci￳n"/>
              </w:smartTagPr>
              <w:r w:rsidR="005466A4">
                <w:rPr>
                  <w:b/>
                  <w:sz w:val="34"/>
                  <w:szCs w:val="40"/>
                  <w:lang w:val="es-ES"/>
                </w:rPr>
                <w:t xml:space="preserve">la </w:t>
              </w:r>
              <w:r w:rsidRPr="009C7B33">
                <w:rPr>
                  <w:b/>
                  <w:sz w:val="34"/>
                  <w:szCs w:val="40"/>
                  <w:lang w:val="es-ES"/>
                </w:rPr>
                <w:t>E</w:t>
              </w:r>
              <w:r w:rsidR="003B110F">
                <w:rPr>
                  <w:b/>
                  <w:sz w:val="34"/>
                  <w:szCs w:val="40"/>
                  <w:lang w:val="es-ES"/>
                </w:rPr>
                <w:t>liminación</w:t>
              </w:r>
            </w:smartTag>
            <w:r w:rsidR="003B110F">
              <w:rPr>
                <w:b/>
                <w:sz w:val="34"/>
                <w:szCs w:val="40"/>
                <w:lang w:val="es-ES"/>
              </w:rPr>
              <w:t xml:space="preserve"> de todas las Formas</w:t>
            </w:r>
            <w:r w:rsidR="00E34555">
              <w:rPr>
                <w:b/>
                <w:sz w:val="34"/>
                <w:szCs w:val="40"/>
                <w:lang w:val="es-ES"/>
              </w:rPr>
              <w:br/>
            </w:r>
            <w:r w:rsidRPr="009C7B33">
              <w:rPr>
                <w:b/>
                <w:sz w:val="34"/>
                <w:szCs w:val="40"/>
                <w:lang w:val="es-ES"/>
              </w:rPr>
              <w:t>de Discriminación Racial</w:t>
            </w:r>
          </w:p>
        </w:tc>
        <w:tc>
          <w:tcPr>
            <w:tcW w:w="2835" w:type="dxa"/>
            <w:tcBorders>
              <w:top w:val="single" w:sz="4" w:space="0" w:color="auto"/>
              <w:bottom w:val="single" w:sz="12" w:space="0" w:color="auto"/>
            </w:tcBorders>
          </w:tcPr>
          <w:p w:rsidR="00523650" w:rsidRPr="009C7B33" w:rsidRDefault="00E56E08" w:rsidP="00637350">
            <w:pPr>
              <w:spacing w:before="240" w:line="240" w:lineRule="exact"/>
              <w:rPr>
                <w:lang w:val="es-ES"/>
              </w:rPr>
            </w:pPr>
            <w:r w:rsidRPr="009C7B33">
              <w:rPr>
                <w:lang w:val="es-ES"/>
              </w:rPr>
              <w:t>Distr. g</w:t>
            </w:r>
            <w:r w:rsidR="005D2F6A" w:rsidRPr="009C7B33">
              <w:rPr>
                <w:lang w:val="es-ES"/>
              </w:rPr>
              <w:t>eneral</w:t>
            </w:r>
          </w:p>
          <w:p w:rsidR="005D2F6A" w:rsidRPr="009C7B33" w:rsidRDefault="00BC75CA" w:rsidP="00637350">
            <w:pPr>
              <w:spacing w:line="240" w:lineRule="exact"/>
              <w:rPr>
                <w:lang w:val="es-ES"/>
              </w:rPr>
            </w:pPr>
            <w:r w:rsidRPr="009C7B33">
              <w:rPr>
                <w:lang w:val="es-ES"/>
              </w:rPr>
              <w:t>23</w:t>
            </w:r>
            <w:r w:rsidR="001C1A32" w:rsidRPr="009C7B33">
              <w:rPr>
                <w:lang w:val="es-ES"/>
              </w:rPr>
              <w:t xml:space="preserve"> </w:t>
            </w:r>
            <w:r w:rsidR="00E56E08" w:rsidRPr="009C7B33">
              <w:rPr>
                <w:lang w:val="es-ES"/>
              </w:rPr>
              <w:t>de mayo de</w:t>
            </w:r>
            <w:r w:rsidR="005D2F6A" w:rsidRPr="009C7B33">
              <w:rPr>
                <w:lang w:val="es-ES"/>
              </w:rPr>
              <w:t xml:space="preserve"> 2013</w:t>
            </w:r>
          </w:p>
          <w:p w:rsidR="005D2F6A" w:rsidRPr="009C7B33" w:rsidRDefault="009C7B33" w:rsidP="00637350">
            <w:pPr>
              <w:spacing w:line="240" w:lineRule="exact"/>
              <w:rPr>
                <w:lang w:val="es-ES"/>
              </w:rPr>
            </w:pPr>
            <w:r>
              <w:rPr>
                <w:lang w:val="es-ES"/>
              </w:rPr>
              <w:t>Español</w:t>
            </w:r>
          </w:p>
          <w:p w:rsidR="005D2F6A" w:rsidRDefault="005D2F6A" w:rsidP="00637350">
            <w:pPr>
              <w:spacing w:line="240" w:lineRule="exact"/>
            </w:pPr>
            <w:r>
              <w:t xml:space="preserve">Original: </w:t>
            </w:r>
            <w:r w:rsidR="00E56E08">
              <w:t>ingl</w:t>
            </w:r>
            <w:r w:rsidR="006C2A8F">
              <w:t>é</w:t>
            </w:r>
            <w:r w:rsidR="00E56E08">
              <w:t>s</w:t>
            </w:r>
          </w:p>
        </w:tc>
      </w:tr>
    </w:tbl>
    <w:p w:rsidR="00676511" w:rsidRPr="009C7B33" w:rsidRDefault="00E56E08" w:rsidP="00637350">
      <w:pPr>
        <w:spacing w:before="120"/>
        <w:rPr>
          <w:b/>
          <w:sz w:val="24"/>
          <w:szCs w:val="24"/>
          <w:lang w:val="es-ES"/>
        </w:rPr>
      </w:pPr>
      <w:r w:rsidRPr="009C7B33">
        <w:rPr>
          <w:b/>
          <w:sz w:val="24"/>
          <w:szCs w:val="24"/>
          <w:lang w:val="es-ES"/>
        </w:rPr>
        <w:t xml:space="preserve">Comité para </w:t>
      </w:r>
      <w:smartTag w:uri="urn:schemas-microsoft-com:office:smarttags" w:element="PersonName">
        <w:smartTagPr>
          <w:attr w:name="ProductID" w:val="la Eliminaci￳n"/>
        </w:smartTagPr>
        <w:r w:rsidRPr="009C7B33">
          <w:rPr>
            <w:b/>
            <w:sz w:val="24"/>
            <w:szCs w:val="24"/>
            <w:lang w:val="es-ES"/>
          </w:rPr>
          <w:t>la Eliminación</w:t>
        </w:r>
      </w:smartTag>
      <w:r w:rsidRPr="009C7B33">
        <w:rPr>
          <w:b/>
          <w:sz w:val="24"/>
          <w:szCs w:val="24"/>
          <w:lang w:val="es-ES"/>
        </w:rPr>
        <w:t xml:space="preserve"> de </w:t>
      </w:r>
      <w:smartTag w:uri="urn:schemas-microsoft-com:office:smarttags" w:element="PersonName">
        <w:smartTagPr>
          <w:attr w:name="ProductID" w:val="la Discriminaci￳n Racial"/>
        </w:smartTagPr>
        <w:r w:rsidRPr="009C7B33">
          <w:rPr>
            <w:b/>
            <w:sz w:val="24"/>
            <w:szCs w:val="24"/>
            <w:lang w:val="es-ES"/>
          </w:rPr>
          <w:t>la Discriminación Racial</w:t>
        </w:r>
      </w:smartTag>
    </w:p>
    <w:p w:rsidR="00676511" w:rsidRPr="009C7B33" w:rsidRDefault="00676511" w:rsidP="00637350">
      <w:pPr>
        <w:pStyle w:val="HMG"/>
        <w:rPr>
          <w:lang w:val="es-ES"/>
        </w:rPr>
      </w:pPr>
      <w:r w:rsidRPr="009C7B33">
        <w:rPr>
          <w:lang w:val="es-ES"/>
        </w:rPr>
        <w:tab/>
      </w:r>
      <w:r w:rsidRPr="009C7B33">
        <w:rPr>
          <w:lang w:val="es-ES"/>
        </w:rPr>
        <w:tab/>
      </w:r>
      <w:r w:rsidR="00E56E08" w:rsidRPr="009C7B33">
        <w:rPr>
          <w:lang w:val="es-ES"/>
        </w:rPr>
        <w:t>Informes pres</w:t>
      </w:r>
      <w:r w:rsidR="000D392E">
        <w:rPr>
          <w:lang w:val="es-ES"/>
        </w:rPr>
        <w:t xml:space="preserve">entados por los Estados partes </w:t>
      </w:r>
      <w:r w:rsidR="003B110F">
        <w:rPr>
          <w:lang w:val="es-ES"/>
        </w:rPr>
        <w:br/>
      </w:r>
      <w:r w:rsidR="00E56E08" w:rsidRPr="009C7B33">
        <w:rPr>
          <w:lang w:val="es-ES"/>
        </w:rPr>
        <w:t>e</w:t>
      </w:r>
      <w:r w:rsidR="000D392E">
        <w:rPr>
          <w:lang w:val="es-ES"/>
        </w:rPr>
        <w:t>n virtud</w:t>
      </w:r>
      <w:r w:rsidR="00E56E08" w:rsidRPr="009C7B33">
        <w:rPr>
          <w:lang w:val="es-ES"/>
        </w:rPr>
        <w:t xml:space="preserve"> </w:t>
      </w:r>
      <w:r w:rsidR="000D392E">
        <w:rPr>
          <w:lang w:val="es-ES"/>
        </w:rPr>
        <w:t>d</w:t>
      </w:r>
      <w:r w:rsidR="00E56E08" w:rsidRPr="009C7B33">
        <w:rPr>
          <w:lang w:val="es-ES"/>
        </w:rPr>
        <w:t xml:space="preserve">el artículo 9 de </w:t>
      </w:r>
      <w:smartTag w:uri="urn:schemas-microsoft-com:office:smarttags" w:element="PersonName">
        <w:smartTagPr>
          <w:attr w:name="ProductID" w:val="la Convenci￳n"/>
        </w:smartTagPr>
        <w:r w:rsidR="00E56E08" w:rsidRPr="009C7B33">
          <w:rPr>
            <w:lang w:val="es-ES"/>
          </w:rPr>
          <w:t>la Convención</w:t>
        </w:r>
      </w:smartTag>
    </w:p>
    <w:p w:rsidR="00676511" w:rsidRPr="009C7B33" w:rsidRDefault="00676511" w:rsidP="00637350">
      <w:pPr>
        <w:pStyle w:val="HChG"/>
        <w:rPr>
          <w:lang w:val="es-ES"/>
        </w:rPr>
      </w:pPr>
      <w:r w:rsidRPr="009C7B33">
        <w:rPr>
          <w:lang w:val="es-ES"/>
        </w:rPr>
        <w:tab/>
      </w:r>
      <w:r w:rsidRPr="009C7B33">
        <w:rPr>
          <w:lang w:val="es-ES"/>
        </w:rPr>
        <w:tab/>
      </w:r>
      <w:r w:rsidR="00E56E08" w:rsidRPr="009C7B33">
        <w:rPr>
          <w:lang w:val="es-ES"/>
        </w:rPr>
        <w:t>Informes periódicos 10</w:t>
      </w:r>
      <w:r w:rsidR="00E34555">
        <w:rPr>
          <w:lang w:val="es-ES"/>
        </w:rPr>
        <w:t>º</w:t>
      </w:r>
      <w:r w:rsidR="00E56E08" w:rsidRPr="009C7B33">
        <w:rPr>
          <w:lang w:val="es-ES"/>
        </w:rPr>
        <w:t xml:space="preserve"> y 11</w:t>
      </w:r>
      <w:r w:rsidR="00E34555">
        <w:rPr>
          <w:lang w:val="es-ES"/>
        </w:rPr>
        <w:t>º</w:t>
      </w:r>
      <w:r w:rsidR="00E56E08" w:rsidRPr="009C7B33">
        <w:rPr>
          <w:lang w:val="es-ES"/>
        </w:rPr>
        <w:t xml:space="preserve"> que los Estados </w:t>
      </w:r>
      <w:r w:rsidR="003B110F">
        <w:rPr>
          <w:lang w:val="es-ES"/>
        </w:rPr>
        <w:t xml:space="preserve">partes </w:t>
      </w:r>
      <w:r w:rsidR="005A3EC4">
        <w:rPr>
          <w:lang w:val="es-ES"/>
        </w:rPr>
        <w:br/>
      </w:r>
      <w:r w:rsidR="003B110F">
        <w:rPr>
          <w:lang w:val="es-ES"/>
        </w:rPr>
        <w:t>debían presentar en 2012</w:t>
      </w:r>
    </w:p>
    <w:p w:rsidR="00676511" w:rsidRPr="006C2A8F" w:rsidRDefault="00676511" w:rsidP="00637350">
      <w:pPr>
        <w:pStyle w:val="HMG"/>
        <w:rPr>
          <w:lang w:val="es-ES"/>
        </w:rPr>
      </w:pPr>
      <w:r w:rsidRPr="009C7B33">
        <w:rPr>
          <w:lang w:val="es-ES"/>
        </w:rPr>
        <w:tab/>
      </w:r>
      <w:r w:rsidRPr="009C7B33">
        <w:rPr>
          <w:lang w:val="es-ES"/>
        </w:rPr>
        <w:tab/>
      </w:r>
      <w:r w:rsidRPr="006C2A8F">
        <w:rPr>
          <w:lang w:val="es-ES"/>
        </w:rPr>
        <w:t>Estonia</w:t>
      </w:r>
      <w:r w:rsidR="00C262EC" w:rsidRPr="00C262EC">
        <w:rPr>
          <w:rStyle w:val="FootnoteReference"/>
          <w:b w:val="0"/>
          <w:sz w:val="20"/>
          <w:vertAlign w:val="baseline"/>
          <w:lang w:val="es-ES"/>
        </w:rPr>
        <w:footnoteReference w:customMarkFollows="1" w:id="2"/>
        <w:t>*</w:t>
      </w:r>
      <w:r w:rsidR="006835E5" w:rsidRPr="009C3534">
        <w:rPr>
          <w:b w:val="0"/>
          <w:bCs/>
          <w:lang w:val="es-ES"/>
        </w:rPr>
        <w:t xml:space="preserve"> </w:t>
      </w:r>
      <w:r w:rsidR="00C262EC" w:rsidRPr="00C262EC">
        <w:rPr>
          <w:rStyle w:val="FootnoteReference"/>
          <w:b w:val="0"/>
          <w:sz w:val="20"/>
          <w:vertAlign w:val="baseline"/>
          <w:lang w:val="es-ES"/>
        </w:rPr>
        <w:footnoteReference w:customMarkFollows="1" w:id="3"/>
        <w:t>**</w:t>
      </w:r>
      <w:r w:rsidR="003626C8" w:rsidRPr="009C3534">
        <w:rPr>
          <w:b w:val="0"/>
          <w:bCs/>
        </w:rPr>
        <w:t xml:space="preserve"> </w:t>
      </w:r>
      <w:r w:rsidR="00C262EC" w:rsidRPr="00C262EC">
        <w:rPr>
          <w:rStyle w:val="FootnoteReference"/>
          <w:b w:val="0"/>
          <w:sz w:val="20"/>
          <w:vertAlign w:val="baseline"/>
        </w:rPr>
        <w:footnoteReference w:customMarkFollows="1" w:id="4"/>
        <w:t>***</w:t>
      </w:r>
    </w:p>
    <w:p w:rsidR="00CB1F32" w:rsidRPr="009C7B33" w:rsidRDefault="00CB1F32" w:rsidP="00637350">
      <w:pPr>
        <w:pStyle w:val="SingleTxtG"/>
        <w:jc w:val="right"/>
        <w:rPr>
          <w:lang w:val="es-ES"/>
        </w:rPr>
      </w:pPr>
      <w:r w:rsidRPr="009C7B33">
        <w:rPr>
          <w:lang w:val="es-ES"/>
        </w:rPr>
        <w:t xml:space="preserve">[11 </w:t>
      </w:r>
      <w:r w:rsidR="00E56E08" w:rsidRPr="009C7B33">
        <w:rPr>
          <w:lang w:val="es-ES"/>
        </w:rPr>
        <w:t>de enero de</w:t>
      </w:r>
      <w:r w:rsidRPr="009C7B33">
        <w:rPr>
          <w:lang w:val="es-ES"/>
        </w:rPr>
        <w:t xml:space="preserve"> 2013]</w:t>
      </w:r>
    </w:p>
    <w:p w:rsidR="00C262EC" w:rsidRDefault="00CB1F32" w:rsidP="00637350">
      <w:pPr>
        <w:spacing w:after="120"/>
        <w:rPr>
          <w:sz w:val="28"/>
          <w:lang w:val="es-ES"/>
        </w:rPr>
      </w:pPr>
      <w:r w:rsidRPr="009C7B33">
        <w:rPr>
          <w:lang w:val="es-ES"/>
        </w:rPr>
        <w:br w:type="page"/>
      </w:r>
      <w:r w:rsidR="00C262EC">
        <w:rPr>
          <w:sz w:val="28"/>
          <w:lang w:val="es-ES"/>
        </w:rPr>
        <w:t>Índice</w:t>
      </w:r>
    </w:p>
    <w:p w:rsidR="00C262EC" w:rsidRDefault="00C262EC" w:rsidP="00637350">
      <w:pPr>
        <w:tabs>
          <w:tab w:val="right" w:pos="8929"/>
          <w:tab w:val="right" w:pos="9638"/>
        </w:tabs>
        <w:spacing w:after="120"/>
        <w:ind w:left="283"/>
        <w:rPr>
          <w:sz w:val="18"/>
          <w:lang w:val="es-ES"/>
        </w:rPr>
      </w:pPr>
      <w:r>
        <w:rPr>
          <w:i/>
          <w:sz w:val="18"/>
          <w:lang w:val="es-ES"/>
        </w:rPr>
        <w:tab/>
        <w:t>Párrafos</w:t>
      </w:r>
      <w:r>
        <w:rPr>
          <w:i/>
          <w:sz w:val="18"/>
          <w:lang w:val="es-ES"/>
        </w:rPr>
        <w:tab/>
        <w:t>Página</w:t>
      </w:r>
    </w:p>
    <w:p w:rsidR="009C4491" w:rsidRPr="009C7B33" w:rsidRDefault="009C4491" w:rsidP="00637350">
      <w:pPr>
        <w:tabs>
          <w:tab w:val="right" w:pos="850"/>
          <w:tab w:val="left" w:pos="1134"/>
          <w:tab w:val="left" w:pos="1559"/>
          <w:tab w:val="left" w:pos="1984"/>
          <w:tab w:val="left" w:leader="dot" w:pos="7654"/>
          <w:tab w:val="right" w:pos="8929"/>
          <w:tab w:val="right" w:pos="9638"/>
        </w:tabs>
        <w:spacing w:after="120"/>
        <w:rPr>
          <w:lang w:val="es-ES"/>
        </w:rPr>
      </w:pPr>
      <w:r w:rsidRPr="009C7B33">
        <w:rPr>
          <w:lang w:val="es-ES"/>
        </w:rPr>
        <w:tab/>
        <w:t>I.</w:t>
      </w:r>
      <w:r w:rsidRPr="009C7B33">
        <w:rPr>
          <w:lang w:val="es-ES"/>
        </w:rPr>
        <w:tab/>
      </w:r>
      <w:r w:rsidR="009C7B33" w:rsidRPr="009C7B33">
        <w:rPr>
          <w:lang w:val="es-ES"/>
        </w:rPr>
        <w:t>Introducción</w:t>
      </w:r>
      <w:r w:rsidRPr="009C7B33">
        <w:rPr>
          <w:lang w:val="es-ES"/>
        </w:rPr>
        <w:tab/>
      </w:r>
      <w:r w:rsidRPr="009C7B33">
        <w:rPr>
          <w:lang w:val="es-ES"/>
        </w:rPr>
        <w:tab/>
        <w:t>1</w:t>
      </w:r>
      <w:r w:rsidR="00F634D1" w:rsidRPr="009C7B33">
        <w:rPr>
          <w:lang w:val="es-ES"/>
        </w:rPr>
        <w:t>–8</w:t>
      </w:r>
      <w:r w:rsidRPr="009C7B33">
        <w:rPr>
          <w:lang w:val="es-ES"/>
        </w:rPr>
        <w:tab/>
        <w:t>3</w:t>
      </w:r>
    </w:p>
    <w:p w:rsidR="009C4491" w:rsidRPr="009C7B33" w:rsidRDefault="009C4491" w:rsidP="00637350">
      <w:pPr>
        <w:tabs>
          <w:tab w:val="right" w:pos="850"/>
          <w:tab w:val="left" w:pos="1134"/>
          <w:tab w:val="left" w:pos="1559"/>
          <w:tab w:val="left" w:pos="1984"/>
          <w:tab w:val="left" w:leader="dot" w:pos="7654"/>
          <w:tab w:val="right" w:pos="8929"/>
          <w:tab w:val="right" w:pos="9638"/>
        </w:tabs>
        <w:spacing w:after="120"/>
        <w:rPr>
          <w:lang w:val="es-ES"/>
        </w:rPr>
      </w:pPr>
      <w:r w:rsidRPr="009C7B33">
        <w:rPr>
          <w:lang w:val="es-ES"/>
        </w:rPr>
        <w:tab/>
        <w:t>II.</w:t>
      </w:r>
      <w:r w:rsidRPr="009C7B33">
        <w:rPr>
          <w:lang w:val="es-ES"/>
        </w:rPr>
        <w:tab/>
      </w:r>
      <w:r w:rsidR="009C7B33" w:rsidRPr="009C7B33">
        <w:rPr>
          <w:lang w:val="es-ES"/>
        </w:rPr>
        <w:t>I</w:t>
      </w:r>
      <w:r w:rsidR="009C7B33">
        <w:rPr>
          <w:lang w:val="es-ES"/>
        </w:rPr>
        <w:t xml:space="preserve">nformación sobre los artículos </w:t>
      </w:r>
      <w:smartTag w:uri="urn:schemas-microsoft-com:office:smarttags" w:element="metricconverter">
        <w:smartTagPr>
          <w:attr w:name="ProductID" w:val="2 a"/>
        </w:smartTagPr>
        <w:r w:rsidR="009C7B33">
          <w:rPr>
            <w:lang w:val="es-ES"/>
          </w:rPr>
          <w:t>2 a</w:t>
        </w:r>
      </w:smartTag>
      <w:r w:rsidR="009C7B33">
        <w:rPr>
          <w:lang w:val="es-ES"/>
        </w:rPr>
        <w:t xml:space="preserve"> 7 de </w:t>
      </w:r>
      <w:smartTag w:uri="urn:schemas-microsoft-com:office:smarttags" w:element="PersonName">
        <w:smartTagPr>
          <w:attr w:name="ProductID" w:val="la Convenci￳n"/>
        </w:smartTagPr>
        <w:r w:rsidR="009C7B33">
          <w:rPr>
            <w:lang w:val="es-ES"/>
          </w:rPr>
          <w:t>la Convención</w:t>
        </w:r>
      </w:smartTag>
      <w:r w:rsidRPr="009C7B33">
        <w:rPr>
          <w:webHidden/>
          <w:lang w:val="es-ES"/>
        </w:rPr>
        <w:tab/>
      </w:r>
      <w:r w:rsidRPr="009C7B33">
        <w:rPr>
          <w:webHidden/>
          <w:lang w:val="es-ES"/>
        </w:rPr>
        <w:tab/>
      </w:r>
      <w:r w:rsidR="00F634D1" w:rsidRPr="009C7B33">
        <w:rPr>
          <w:webHidden/>
          <w:lang w:val="es-ES"/>
        </w:rPr>
        <w:t>9–</w:t>
      </w:r>
      <w:r w:rsidR="00851404" w:rsidRPr="009C7B33">
        <w:rPr>
          <w:webHidden/>
          <w:lang w:val="es-ES"/>
        </w:rPr>
        <w:t>330</w:t>
      </w:r>
      <w:r w:rsidRPr="009C7B33">
        <w:rPr>
          <w:webHidden/>
          <w:lang w:val="es-ES"/>
        </w:rPr>
        <w:tab/>
      </w:r>
      <w:r w:rsidR="00F634D1" w:rsidRPr="009C7B33">
        <w:rPr>
          <w:webHidden/>
          <w:lang w:val="es-ES"/>
        </w:rPr>
        <w:t>4</w:t>
      </w:r>
    </w:p>
    <w:p w:rsidR="009C4491" w:rsidRPr="009C7B33" w:rsidRDefault="009C4491" w:rsidP="00637350">
      <w:pPr>
        <w:tabs>
          <w:tab w:val="right" w:pos="850"/>
          <w:tab w:val="left" w:pos="1134"/>
          <w:tab w:val="left" w:pos="1559"/>
          <w:tab w:val="left" w:leader="dot" w:pos="7654"/>
          <w:tab w:val="right" w:pos="8929"/>
          <w:tab w:val="right" w:pos="9638"/>
        </w:tabs>
        <w:spacing w:after="120"/>
        <w:rPr>
          <w:lang w:val="es-ES"/>
        </w:rPr>
      </w:pPr>
      <w:r w:rsidRPr="009C7B33">
        <w:rPr>
          <w:lang w:val="es-ES"/>
        </w:rPr>
        <w:tab/>
      </w:r>
      <w:r w:rsidRPr="009C7B33">
        <w:rPr>
          <w:lang w:val="es-ES"/>
        </w:rPr>
        <w:tab/>
      </w:r>
      <w:r w:rsidR="009C7B33" w:rsidRPr="009C7B33">
        <w:rPr>
          <w:lang w:val="es-ES"/>
        </w:rPr>
        <w:t>Artículo</w:t>
      </w:r>
      <w:r w:rsidRPr="009C7B33">
        <w:rPr>
          <w:lang w:val="es-ES"/>
        </w:rPr>
        <w:t xml:space="preserve"> 2</w:t>
      </w:r>
      <w:r w:rsidRPr="009C7B33">
        <w:rPr>
          <w:webHidden/>
          <w:lang w:val="es-ES"/>
        </w:rPr>
        <w:tab/>
      </w:r>
      <w:r w:rsidRPr="009C7B33">
        <w:rPr>
          <w:webHidden/>
          <w:lang w:val="es-ES"/>
        </w:rPr>
        <w:tab/>
      </w:r>
      <w:r w:rsidR="00F634D1" w:rsidRPr="009C7B33">
        <w:rPr>
          <w:webHidden/>
          <w:lang w:val="es-ES"/>
        </w:rPr>
        <w:t>9–</w:t>
      </w:r>
      <w:r w:rsidR="00851404" w:rsidRPr="009C7B33">
        <w:rPr>
          <w:webHidden/>
          <w:lang w:val="es-ES"/>
        </w:rPr>
        <w:t>83</w:t>
      </w:r>
      <w:r w:rsidRPr="009C7B33">
        <w:rPr>
          <w:webHidden/>
          <w:lang w:val="es-ES"/>
        </w:rPr>
        <w:tab/>
      </w:r>
      <w:r w:rsidR="00F634D1" w:rsidRPr="009C7B33">
        <w:rPr>
          <w:webHidden/>
          <w:lang w:val="es-ES"/>
        </w:rPr>
        <w:t>4</w:t>
      </w:r>
    </w:p>
    <w:p w:rsidR="009C4491" w:rsidRPr="009C7B33" w:rsidRDefault="009C4491" w:rsidP="00637350">
      <w:pPr>
        <w:tabs>
          <w:tab w:val="right" w:pos="850"/>
          <w:tab w:val="left" w:pos="1134"/>
          <w:tab w:val="left" w:pos="1559"/>
          <w:tab w:val="left" w:leader="dot" w:pos="7654"/>
          <w:tab w:val="right" w:pos="8929"/>
          <w:tab w:val="right" w:pos="9638"/>
        </w:tabs>
        <w:spacing w:after="120"/>
        <w:rPr>
          <w:lang w:val="es-ES"/>
        </w:rPr>
      </w:pPr>
      <w:r w:rsidRPr="009C7B33">
        <w:rPr>
          <w:lang w:val="es-ES"/>
        </w:rPr>
        <w:tab/>
      </w:r>
      <w:r w:rsidRPr="009C7B33">
        <w:rPr>
          <w:lang w:val="es-ES"/>
        </w:rPr>
        <w:tab/>
      </w:r>
      <w:r w:rsidR="009C7B33" w:rsidRPr="009C7B33">
        <w:rPr>
          <w:lang w:val="es-ES"/>
        </w:rPr>
        <w:t>Artículo</w:t>
      </w:r>
      <w:r w:rsidRPr="009C7B33">
        <w:rPr>
          <w:lang w:val="es-ES"/>
        </w:rPr>
        <w:t xml:space="preserve"> 3</w:t>
      </w:r>
      <w:r w:rsidRPr="009C7B33">
        <w:rPr>
          <w:webHidden/>
          <w:lang w:val="es-ES"/>
        </w:rPr>
        <w:tab/>
      </w:r>
      <w:r w:rsidRPr="009C7B33">
        <w:rPr>
          <w:webHidden/>
          <w:lang w:val="es-ES"/>
        </w:rPr>
        <w:tab/>
      </w:r>
      <w:r w:rsidR="00851404" w:rsidRPr="009C7B33">
        <w:rPr>
          <w:webHidden/>
          <w:lang w:val="es-ES"/>
        </w:rPr>
        <w:t>84</w:t>
      </w:r>
      <w:r w:rsidR="00F634D1" w:rsidRPr="009C7B33">
        <w:rPr>
          <w:webHidden/>
          <w:lang w:val="es-ES"/>
        </w:rPr>
        <w:t>–</w:t>
      </w:r>
      <w:r w:rsidR="00851404" w:rsidRPr="009C7B33">
        <w:rPr>
          <w:webHidden/>
          <w:lang w:val="es-ES"/>
        </w:rPr>
        <w:t>87</w:t>
      </w:r>
      <w:r w:rsidRPr="009C7B33">
        <w:rPr>
          <w:webHidden/>
          <w:lang w:val="es-ES"/>
        </w:rPr>
        <w:tab/>
        <w:t>1</w:t>
      </w:r>
      <w:r w:rsidR="001B4FD7">
        <w:rPr>
          <w:webHidden/>
          <w:lang w:val="es-ES"/>
        </w:rPr>
        <w:t>8</w:t>
      </w:r>
    </w:p>
    <w:p w:rsidR="009C4491" w:rsidRPr="009C7B33" w:rsidRDefault="009C4491" w:rsidP="00637350">
      <w:pPr>
        <w:tabs>
          <w:tab w:val="right" w:pos="850"/>
          <w:tab w:val="left" w:pos="1134"/>
          <w:tab w:val="left" w:pos="1559"/>
          <w:tab w:val="left" w:leader="dot" w:pos="7654"/>
          <w:tab w:val="right" w:pos="8929"/>
          <w:tab w:val="right" w:pos="9638"/>
        </w:tabs>
        <w:spacing w:after="120"/>
        <w:rPr>
          <w:lang w:val="es-ES"/>
        </w:rPr>
      </w:pPr>
      <w:r w:rsidRPr="009C7B33">
        <w:rPr>
          <w:lang w:val="es-ES"/>
        </w:rPr>
        <w:tab/>
      </w:r>
      <w:r w:rsidRPr="009C7B33">
        <w:rPr>
          <w:lang w:val="es-ES"/>
        </w:rPr>
        <w:tab/>
      </w:r>
      <w:r w:rsidR="009C7B33" w:rsidRPr="009C7B33">
        <w:rPr>
          <w:lang w:val="es-ES"/>
        </w:rPr>
        <w:t>Artículo</w:t>
      </w:r>
      <w:r w:rsidRPr="009C7B33">
        <w:rPr>
          <w:lang w:val="es-ES"/>
        </w:rPr>
        <w:t xml:space="preserve"> 4</w:t>
      </w:r>
      <w:r w:rsidRPr="009C7B33">
        <w:rPr>
          <w:webHidden/>
          <w:lang w:val="es-ES"/>
        </w:rPr>
        <w:tab/>
      </w:r>
      <w:r w:rsidRPr="009C7B33">
        <w:rPr>
          <w:webHidden/>
          <w:lang w:val="es-ES"/>
        </w:rPr>
        <w:tab/>
      </w:r>
      <w:r w:rsidR="00851404" w:rsidRPr="009C7B33">
        <w:rPr>
          <w:webHidden/>
          <w:lang w:val="es-ES"/>
        </w:rPr>
        <w:t>88</w:t>
      </w:r>
      <w:r w:rsidR="00F634D1" w:rsidRPr="009C7B33">
        <w:rPr>
          <w:webHidden/>
          <w:lang w:val="es-ES"/>
        </w:rPr>
        <w:t>–</w:t>
      </w:r>
      <w:r w:rsidR="00851404" w:rsidRPr="009C7B33">
        <w:rPr>
          <w:webHidden/>
          <w:lang w:val="es-ES"/>
        </w:rPr>
        <w:t>94</w:t>
      </w:r>
      <w:r w:rsidRPr="009C7B33">
        <w:rPr>
          <w:webHidden/>
          <w:lang w:val="es-ES"/>
        </w:rPr>
        <w:tab/>
        <w:t>1</w:t>
      </w:r>
      <w:r w:rsidR="001B4FD7">
        <w:rPr>
          <w:webHidden/>
          <w:lang w:val="es-ES"/>
        </w:rPr>
        <w:t>8</w:t>
      </w:r>
    </w:p>
    <w:p w:rsidR="009C4491" w:rsidRPr="009C7B33" w:rsidRDefault="009C4491" w:rsidP="00637350">
      <w:pPr>
        <w:tabs>
          <w:tab w:val="right" w:pos="850"/>
          <w:tab w:val="left" w:pos="1134"/>
          <w:tab w:val="left" w:pos="1559"/>
          <w:tab w:val="left" w:leader="dot" w:pos="7654"/>
          <w:tab w:val="right" w:pos="8929"/>
          <w:tab w:val="right" w:pos="9638"/>
        </w:tabs>
        <w:spacing w:after="120"/>
        <w:rPr>
          <w:lang w:val="es-ES"/>
        </w:rPr>
      </w:pPr>
      <w:r w:rsidRPr="009C7B33">
        <w:rPr>
          <w:lang w:val="es-ES"/>
        </w:rPr>
        <w:tab/>
      </w:r>
      <w:r w:rsidRPr="009C7B33">
        <w:rPr>
          <w:lang w:val="es-ES"/>
        </w:rPr>
        <w:tab/>
      </w:r>
      <w:r w:rsidR="009C7B33" w:rsidRPr="009C7B33">
        <w:rPr>
          <w:lang w:val="es-ES"/>
        </w:rPr>
        <w:t>Artículo</w:t>
      </w:r>
      <w:r w:rsidRPr="009C7B33">
        <w:rPr>
          <w:lang w:val="es-ES"/>
        </w:rPr>
        <w:t xml:space="preserve"> 5</w:t>
      </w:r>
      <w:r w:rsidRPr="009C7B33">
        <w:rPr>
          <w:webHidden/>
          <w:lang w:val="es-ES"/>
        </w:rPr>
        <w:tab/>
      </w:r>
      <w:r w:rsidRPr="009C7B33">
        <w:rPr>
          <w:webHidden/>
          <w:lang w:val="es-ES"/>
        </w:rPr>
        <w:tab/>
      </w:r>
      <w:r w:rsidR="00851404" w:rsidRPr="009C7B33">
        <w:rPr>
          <w:webHidden/>
          <w:lang w:val="es-ES"/>
        </w:rPr>
        <w:t>95</w:t>
      </w:r>
      <w:r w:rsidR="00F634D1" w:rsidRPr="009C7B33">
        <w:rPr>
          <w:webHidden/>
          <w:lang w:val="es-ES"/>
        </w:rPr>
        <w:t>–</w:t>
      </w:r>
      <w:r w:rsidR="00851404" w:rsidRPr="009C7B33">
        <w:rPr>
          <w:webHidden/>
          <w:lang w:val="es-ES"/>
        </w:rPr>
        <w:t>281</w:t>
      </w:r>
      <w:r w:rsidRPr="009C7B33">
        <w:rPr>
          <w:webHidden/>
          <w:lang w:val="es-ES"/>
        </w:rPr>
        <w:tab/>
        <w:t>1</w:t>
      </w:r>
      <w:r w:rsidR="001B4FD7">
        <w:rPr>
          <w:webHidden/>
          <w:lang w:val="es-ES"/>
        </w:rPr>
        <w:t>9</w:t>
      </w:r>
    </w:p>
    <w:p w:rsidR="009C4491" w:rsidRPr="009C7B33" w:rsidRDefault="009C4491" w:rsidP="00637350">
      <w:pPr>
        <w:tabs>
          <w:tab w:val="right" w:pos="850"/>
          <w:tab w:val="left" w:pos="1134"/>
          <w:tab w:val="left" w:pos="1559"/>
          <w:tab w:val="left" w:leader="dot" w:pos="7654"/>
          <w:tab w:val="right" w:pos="8929"/>
          <w:tab w:val="right" w:pos="9638"/>
        </w:tabs>
        <w:spacing w:after="120"/>
        <w:rPr>
          <w:lang w:val="es-ES"/>
        </w:rPr>
      </w:pPr>
      <w:r w:rsidRPr="009C7B33">
        <w:rPr>
          <w:lang w:val="es-ES"/>
        </w:rPr>
        <w:tab/>
      </w:r>
      <w:r w:rsidRPr="009C7B33">
        <w:rPr>
          <w:lang w:val="es-ES"/>
        </w:rPr>
        <w:tab/>
      </w:r>
      <w:hyperlink w:anchor="_Toc315863902" w:history="1">
        <w:r w:rsidR="009C7B33" w:rsidRPr="00C262EC">
          <w:rPr>
            <w:lang w:val="es-ES"/>
          </w:rPr>
          <w:t>Artículo</w:t>
        </w:r>
        <w:r w:rsidRPr="00C262EC">
          <w:rPr>
            <w:lang w:val="es-ES"/>
          </w:rPr>
          <w:t xml:space="preserve"> 6</w:t>
        </w:r>
        <w:r w:rsidRPr="00C262EC">
          <w:rPr>
            <w:webHidden/>
            <w:lang w:val="es-ES"/>
          </w:rPr>
          <w:tab/>
        </w:r>
        <w:r w:rsidRPr="00C262EC">
          <w:rPr>
            <w:webHidden/>
            <w:lang w:val="es-ES"/>
          </w:rPr>
          <w:tab/>
        </w:r>
        <w:r w:rsidR="00851404" w:rsidRPr="00C262EC">
          <w:rPr>
            <w:webHidden/>
            <w:lang w:val="es-ES"/>
          </w:rPr>
          <w:t>282</w:t>
        </w:r>
        <w:r w:rsidR="00F634D1" w:rsidRPr="00C262EC">
          <w:rPr>
            <w:webHidden/>
            <w:lang w:val="es-ES"/>
          </w:rPr>
          <w:t>–</w:t>
        </w:r>
        <w:r w:rsidR="00851404" w:rsidRPr="00C262EC">
          <w:rPr>
            <w:webHidden/>
            <w:lang w:val="es-ES"/>
          </w:rPr>
          <w:t>313</w:t>
        </w:r>
        <w:r w:rsidRPr="00C262EC">
          <w:rPr>
            <w:webHidden/>
            <w:lang w:val="es-ES"/>
          </w:rPr>
          <w:tab/>
        </w:r>
      </w:hyperlink>
      <w:r w:rsidR="001B4FD7">
        <w:rPr>
          <w:lang w:val="es-ES"/>
        </w:rPr>
        <w:t>55</w:t>
      </w:r>
    </w:p>
    <w:p w:rsidR="009C4491" w:rsidRPr="00737BC4" w:rsidRDefault="009C4491" w:rsidP="00637350">
      <w:pPr>
        <w:tabs>
          <w:tab w:val="right" w:pos="850"/>
          <w:tab w:val="left" w:pos="1134"/>
          <w:tab w:val="left" w:pos="1559"/>
          <w:tab w:val="left" w:leader="dot" w:pos="7654"/>
          <w:tab w:val="right" w:pos="8929"/>
          <w:tab w:val="right" w:pos="9638"/>
        </w:tabs>
        <w:spacing w:after="120"/>
        <w:rPr>
          <w:webHidden/>
          <w:lang w:val="es-ES"/>
        </w:rPr>
      </w:pPr>
      <w:r w:rsidRPr="009C7B33">
        <w:rPr>
          <w:lang w:val="es-ES"/>
        </w:rPr>
        <w:tab/>
      </w:r>
      <w:r w:rsidRPr="009C7B33">
        <w:rPr>
          <w:lang w:val="es-ES"/>
        </w:rPr>
        <w:tab/>
      </w:r>
      <w:r w:rsidR="009C7B33" w:rsidRPr="00737BC4">
        <w:rPr>
          <w:lang w:val="es-ES"/>
        </w:rPr>
        <w:t>Artículo</w:t>
      </w:r>
      <w:r w:rsidRPr="00737BC4">
        <w:rPr>
          <w:lang w:val="es-ES"/>
        </w:rPr>
        <w:t xml:space="preserve"> 7</w:t>
      </w:r>
      <w:r w:rsidRPr="00737BC4">
        <w:rPr>
          <w:webHidden/>
          <w:lang w:val="es-ES"/>
        </w:rPr>
        <w:tab/>
      </w:r>
      <w:r w:rsidRPr="00737BC4">
        <w:rPr>
          <w:webHidden/>
          <w:lang w:val="es-ES"/>
        </w:rPr>
        <w:tab/>
      </w:r>
      <w:r w:rsidR="00851404" w:rsidRPr="00737BC4">
        <w:rPr>
          <w:webHidden/>
          <w:lang w:val="es-ES"/>
        </w:rPr>
        <w:t>314</w:t>
      </w:r>
      <w:r w:rsidR="00F634D1" w:rsidRPr="00737BC4">
        <w:rPr>
          <w:webHidden/>
          <w:lang w:val="es-ES"/>
        </w:rPr>
        <w:t>–</w:t>
      </w:r>
      <w:r w:rsidR="00851404" w:rsidRPr="00737BC4">
        <w:rPr>
          <w:webHidden/>
          <w:lang w:val="es-ES"/>
        </w:rPr>
        <w:t>330</w:t>
      </w:r>
      <w:r w:rsidRPr="00737BC4">
        <w:rPr>
          <w:webHidden/>
          <w:lang w:val="es-ES"/>
        </w:rPr>
        <w:tab/>
      </w:r>
      <w:r w:rsidR="00F634D1" w:rsidRPr="00737BC4">
        <w:rPr>
          <w:webHidden/>
          <w:lang w:val="es-ES"/>
        </w:rPr>
        <w:t>5</w:t>
      </w:r>
      <w:r w:rsidR="001B4FD7">
        <w:rPr>
          <w:webHidden/>
          <w:lang w:val="es-ES"/>
        </w:rPr>
        <w:t>9</w:t>
      </w:r>
    </w:p>
    <w:p w:rsidR="009C7B33" w:rsidRPr="009C7B33" w:rsidRDefault="009C7B33" w:rsidP="00AB0290">
      <w:pPr>
        <w:pStyle w:val="HChG"/>
        <w:rPr>
          <w:lang w:val="es-ES"/>
        </w:rPr>
      </w:pPr>
      <w:r w:rsidRPr="009C7B33">
        <w:rPr>
          <w:lang w:val="es-ES"/>
        </w:rPr>
        <w:br w:type="page"/>
      </w:r>
      <w:r w:rsidRPr="009C7B33">
        <w:rPr>
          <w:lang w:val="es-ES"/>
        </w:rPr>
        <w:tab/>
        <w:t>I.</w:t>
      </w:r>
      <w:r w:rsidRPr="009C7B33">
        <w:rPr>
          <w:lang w:val="es-ES"/>
        </w:rPr>
        <w:tab/>
      </w:r>
      <w:r>
        <w:rPr>
          <w:lang w:val="es-ES"/>
        </w:rPr>
        <w:t>Introducción</w:t>
      </w:r>
    </w:p>
    <w:p w:rsidR="00FA6240" w:rsidRDefault="00FA6240" w:rsidP="00637350">
      <w:pPr>
        <w:pStyle w:val="SingleTxtG"/>
        <w:rPr>
          <w:szCs w:val="24"/>
          <w:lang w:val="es-ES"/>
        </w:rPr>
      </w:pPr>
      <w:r>
        <w:rPr>
          <w:szCs w:val="24"/>
          <w:lang w:val="es-ES"/>
        </w:rPr>
        <w:t>1.</w:t>
      </w:r>
      <w:r>
        <w:rPr>
          <w:szCs w:val="24"/>
          <w:lang w:val="es-ES"/>
        </w:rPr>
        <w:tab/>
        <w:t>El presente infor</w:t>
      </w:r>
      <w:r w:rsidR="008933CF">
        <w:rPr>
          <w:szCs w:val="24"/>
          <w:lang w:val="es-ES"/>
        </w:rPr>
        <w:t xml:space="preserve">me se ha elaborado de conformidad con </w:t>
      </w:r>
      <w:r>
        <w:rPr>
          <w:szCs w:val="24"/>
          <w:lang w:val="es-ES"/>
        </w:rPr>
        <w:t xml:space="preserve">el artículo 9 de </w:t>
      </w:r>
      <w:smartTag w:uri="urn:schemas-microsoft-com:office:smarttags" w:element="PersonName">
        <w:smartTagPr>
          <w:attr w:name="ProductID" w:val="la Convenci￳n Internacional"/>
        </w:smartTagPr>
        <w:r>
          <w:rPr>
            <w:szCs w:val="24"/>
            <w:lang w:val="es-ES"/>
          </w:rPr>
          <w:t>la Convención Internacional</w:t>
        </w:r>
      </w:smartTag>
      <w:r>
        <w:rPr>
          <w:szCs w:val="24"/>
          <w:lang w:val="es-ES"/>
        </w:rPr>
        <w:t xml:space="preserve"> sobre </w:t>
      </w:r>
      <w:smartTag w:uri="urn:schemas-microsoft-com:office:smarttags" w:element="PersonName">
        <w:smartTagPr>
          <w:attr w:name="ProductID" w:val="la Eliminaci￳n"/>
        </w:smartTagPr>
        <w:r>
          <w:rPr>
            <w:szCs w:val="24"/>
            <w:lang w:val="es-ES"/>
          </w:rPr>
          <w:t>la Eliminación</w:t>
        </w:r>
      </w:smartTag>
      <w:r>
        <w:rPr>
          <w:szCs w:val="24"/>
          <w:lang w:val="es-ES"/>
        </w:rPr>
        <w:t xml:space="preserve"> de todas las Formas de Discriminación Racial. </w:t>
      </w:r>
      <w:r w:rsidR="0014518D">
        <w:rPr>
          <w:szCs w:val="24"/>
          <w:lang w:val="es-ES"/>
        </w:rPr>
        <w:t xml:space="preserve">En virtud de ese </w:t>
      </w:r>
      <w:r>
        <w:rPr>
          <w:szCs w:val="24"/>
          <w:lang w:val="es-ES"/>
        </w:rPr>
        <w:t xml:space="preserve">artículo, los Estados partes </w:t>
      </w:r>
      <w:r w:rsidR="00BE48CA">
        <w:rPr>
          <w:szCs w:val="24"/>
          <w:lang w:val="es-ES"/>
        </w:rPr>
        <w:t xml:space="preserve">deben </w:t>
      </w:r>
      <w:r>
        <w:rPr>
          <w:szCs w:val="24"/>
          <w:lang w:val="es-ES"/>
        </w:rPr>
        <w:t>presentar al Secretario General de las Naciones Unidas informe</w:t>
      </w:r>
      <w:r w:rsidR="00BE48CA">
        <w:rPr>
          <w:szCs w:val="24"/>
          <w:lang w:val="es-ES"/>
        </w:rPr>
        <w:t>s periódicos</w:t>
      </w:r>
      <w:r>
        <w:rPr>
          <w:szCs w:val="24"/>
          <w:lang w:val="es-ES"/>
        </w:rPr>
        <w:t xml:space="preserve"> sobre las medidas que hayan adoptado para hacer efectivas las disposiciones d</w:t>
      </w:r>
      <w:r w:rsidR="008933CF">
        <w:rPr>
          <w:szCs w:val="24"/>
          <w:lang w:val="es-ES"/>
        </w:rPr>
        <w:t xml:space="preserve">e </w:t>
      </w:r>
      <w:smartTag w:uri="urn:schemas-microsoft-com:office:smarttags" w:element="PersonName">
        <w:smartTagPr>
          <w:attr w:name="ProductID" w:val="la Convenci￳n"/>
        </w:smartTagPr>
        <w:r w:rsidR="008933CF">
          <w:rPr>
            <w:szCs w:val="24"/>
            <w:lang w:val="es-ES"/>
          </w:rPr>
          <w:t>la Convención</w:t>
        </w:r>
      </w:smartTag>
      <w:r w:rsidR="008933CF">
        <w:rPr>
          <w:szCs w:val="24"/>
          <w:lang w:val="es-ES"/>
        </w:rPr>
        <w:t xml:space="preserve">, así como </w:t>
      </w:r>
      <w:r>
        <w:rPr>
          <w:szCs w:val="24"/>
          <w:lang w:val="es-ES"/>
        </w:rPr>
        <w:t xml:space="preserve">los logros alcanzados. </w:t>
      </w:r>
      <w:smartTag w:uri="urn:schemas-microsoft-com:office:smarttags" w:element="PersonName">
        <w:smartTagPr>
          <w:attr w:name="ProductID" w:val="la Convenci￳n"/>
        </w:smartTagPr>
        <w:r>
          <w:rPr>
            <w:szCs w:val="24"/>
            <w:lang w:val="es-ES"/>
          </w:rPr>
          <w:t>La Convención</w:t>
        </w:r>
      </w:smartTag>
      <w:r>
        <w:rPr>
          <w:szCs w:val="24"/>
          <w:lang w:val="es-ES"/>
        </w:rPr>
        <w:t xml:space="preserve"> entró en vigor para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 el 20 de noviembre de 1991. Estonia presentó sus informes primero, segundo, tercero y cuarto combinados en febrero de 1999, su quinto informe periódico en mayo de 2002, sus informes periódicos sexto y séptimo </w:t>
      </w:r>
      <w:r w:rsidR="009E35F0">
        <w:rPr>
          <w:szCs w:val="24"/>
          <w:lang w:val="es-ES"/>
        </w:rPr>
        <w:t xml:space="preserve">combinados </w:t>
      </w:r>
      <w:r>
        <w:rPr>
          <w:szCs w:val="24"/>
          <w:lang w:val="es-ES"/>
        </w:rPr>
        <w:t>en noviembre de 2004</w:t>
      </w:r>
      <w:r w:rsidR="009E35F0">
        <w:rPr>
          <w:szCs w:val="24"/>
          <w:lang w:val="es-ES"/>
        </w:rPr>
        <w:t>,</w:t>
      </w:r>
      <w:r>
        <w:rPr>
          <w:szCs w:val="24"/>
          <w:lang w:val="es-ES"/>
        </w:rPr>
        <w:t xml:space="preserve"> y sus informes periódicos noveno y décimo combinados en julio de 2009. En su 77</w:t>
      </w:r>
      <w:r w:rsidR="00E34555">
        <w:rPr>
          <w:szCs w:val="24"/>
          <w:lang w:val="es-ES"/>
        </w:rPr>
        <w:t>º</w:t>
      </w:r>
      <w:r>
        <w:rPr>
          <w:szCs w:val="24"/>
          <w:lang w:val="es-ES"/>
        </w:rPr>
        <w:t xml:space="preserve"> período de sesiones, celebrado </w:t>
      </w:r>
      <w:r w:rsidR="00A43080">
        <w:rPr>
          <w:szCs w:val="24"/>
          <w:lang w:val="es-ES"/>
        </w:rPr>
        <w:t xml:space="preserve">los días </w:t>
      </w:r>
      <w:r>
        <w:rPr>
          <w:szCs w:val="24"/>
          <w:lang w:val="es-ES"/>
        </w:rPr>
        <w:t xml:space="preserve">19 y 20 agosto de 2010, el Comité para </w:t>
      </w:r>
      <w:smartTag w:uri="urn:schemas-microsoft-com:office:smarttags" w:element="PersonName">
        <w:smartTagPr>
          <w:attr w:name="ProductID" w:val="la Eliminaci￳n"/>
        </w:smartTagPr>
        <w:r>
          <w:rPr>
            <w:szCs w:val="24"/>
            <w:lang w:val="es-ES"/>
          </w:rPr>
          <w:t>la Eliminación</w:t>
        </w:r>
      </w:smartTag>
      <w:r>
        <w:rPr>
          <w:szCs w:val="24"/>
          <w:lang w:val="es-ES"/>
        </w:rPr>
        <w:t xml:space="preserve"> de </w:t>
      </w:r>
      <w:smartTag w:uri="urn:schemas-microsoft-com:office:smarttags" w:element="PersonName">
        <w:smartTagPr>
          <w:attr w:name="ProductID" w:val="la Discriminaci￳n Racial"/>
        </w:smartTagPr>
        <w:r>
          <w:rPr>
            <w:szCs w:val="24"/>
            <w:lang w:val="es-ES"/>
          </w:rPr>
          <w:t>la Discriminación Racial</w:t>
        </w:r>
      </w:smartTag>
      <w:r>
        <w:rPr>
          <w:szCs w:val="24"/>
          <w:lang w:val="es-ES"/>
        </w:rPr>
        <w:t xml:space="preserve"> examinó los informes periódicos noveno y décimo combinados de Estonia</w:t>
      </w:r>
      <w:r w:rsidR="009E35F0">
        <w:rPr>
          <w:szCs w:val="24"/>
          <w:lang w:val="es-ES"/>
        </w:rPr>
        <w:t>,</w:t>
      </w:r>
      <w:r>
        <w:rPr>
          <w:szCs w:val="24"/>
          <w:lang w:val="es-ES"/>
        </w:rPr>
        <w:t xml:space="preserve"> y </w:t>
      </w:r>
      <w:r w:rsidR="00E16DF1">
        <w:rPr>
          <w:szCs w:val="24"/>
          <w:lang w:val="es-ES"/>
        </w:rPr>
        <w:t xml:space="preserve">el 26 de agosto de 2010 </w:t>
      </w:r>
      <w:r>
        <w:rPr>
          <w:szCs w:val="24"/>
          <w:lang w:val="es-ES"/>
        </w:rPr>
        <w:t>aprobó sus observaciones finales.</w:t>
      </w:r>
    </w:p>
    <w:p w:rsidR="00FA6240" w:rsidRDefault="00FA6240" w:rsidP="00637350">
      <w:pPr>
        <w:pStyle w:val="SingleTxtG"/>
        <w:rPr>
          <w:szCs w:val="24"/>
          <w:lang w:val="es-ES"/>
        </w:rPr>
      </w:pPr>
      <w:r>
        <w:rPr>
          <w:szCs w:val="24"/>
          <w:lang w:val="es-ES"/>
        </w:rPr>
        <w:t>2.</w:t>
      </w:r>
      <w:r>
        <w:rPr>
          <w:szCs w:val="24"/>
          <w:lang w:val="es-ES"/>
        </w:rPr>
        <w:tab/>
        <w:t>El presente informe refleja las medidas legislativas, administrativas y de otr</w:t>
      </w:r>
      <w:r w:rsidR="009E35F0">
        <w:rPr>
          <w:szCs w:val="24"/>
          <w:lang w:val="es-ES"/>
        </w:rPr>
        <w:t>o tipo</w:t>
      </w:r>
      <w:r>
        <w:rPr>
          <w:szCs w:val="24"/>
          <w:lang w:val="es-ES"/>
        </w:rPr>
        <w:t xml:space="preserve"> </w:t>
      </w:r>
      <w:r w:rsidR="00E16DF1">
        <w:rPr>
          <w:szCs w:val="24"/>
          <w:lang w:val="es-ES"/>
        </w:rPr>
        <w:t xml:space="preserve">que se han </w:t>
      </w:r>
      <w:r>
        <w:rPr>
          <w:szCs w:val="24"/>
          <w:lang w:val="es-ES"/>
        </w:rPr>
        <w:t>a</w:t>
      </w:r>
      <w:r w:rsidR="00E16DF1">
        <w:rPr>
          <w:szCs w:val="24"/>
          <w:lang w:val="es-ES"/>
        </w:rPr>
        <w:t>doptado</w:t>
      </w:r>
      <w:r>
        <w:rPr>
          <w:szCs w:val="24"/>
          <w:lang w:val="es-ES"/>
        </w:rPr>
        <w:t xml:space="preserve"> para </w:t>
      </w:r>
      <w:r w:rsidR="008933CF">
        <w:rPr>
          <w:szCs w:val="24"/>
          <w:lang w:val="es-ES"/>
        </w:rPr>
        <w:t>hacer efectivos</w:t>
      </w:r>
      <w:r w:rsidR="009E35F0">
        <w:rPr>
          <w:szCs w:val="24"/>
          <w:lang w:val="es-ES"/>
        </w:rPr>
        <w:t xml:space="preserve"> </w:t>
      </w:r>
      <w:r>
        <w:rPr>
          <w:szCs w:val="24"/>
          <w:lang w:val="es-ES"/>
        </w:rPr>
        <w:t xml:space="preserve">los derechos establecidos en </w:t>
      </w:r>
      <w:smartTag w:uri="urn:schemas-microsoft-com:office:smarttags" w:element="PersonName">
        <w:smartTagPr>
          <w:attr w:name="ProductID" w:val="la Convenci￳n. Al"/>
        </w:smartTagPr>
        <w:r>
          <w:rPr>
            <w:szCs w:val="24"/>
            <w:lang w:val="es-ES"/>
          </w:rPr>
          <w:t xml:space="preserve">la Convención. </w:t>
        </w:r>
        <w:r w:rsidR="009E35F0">
          <w:rPr>
            <w:szCs w:val="24"/>
            <w:lang w:val="es-ES"/>
          </w:rPr>
          <w:t>Al</w:t>
        </w:r>
      </w:smartTag>
      <w:r w:rsidR="009E35F0">
        <w:rPr>
          <w:szCs w:val="24"/>
          <w:lang w:val="es-ES"/>
        </w:rPr>
        <w:t xml:space="preserve"> redactar el informe </w:t>
      </w:r>
      <w:r>
        <w:rPr>
          <w:szCs w:val="24"/>
          <w:lang w:val="es-ES"/>
        </w:rPr>
        <w:t>se tuvieron en cuenta las directrices para la elaboración de informes. También se tomaron en consideración las preguntas y sugerencias formuladas durante el examen de los informes periódicos octavo y noveno combinados de Estonia. Se prest</w:t>
      </w:r>
      <w:r w:rsidR="009E35F0">
        <w:rPr>
          <w:szCs w:val="24"/>
          <w:lang w:val="es-ES"/>
        </w:rPr>
        <w:t>ó</w:t>
      </w:r>
      <w:r>
        <w:rPr>
          <w:szCs w:val="24"/>
          <w:lang w:val="es-ES"/>
        </w:rPr>
        <w:t xml:space="preserve"> especial atención a los motivos de preocupación expresados por el Comité en sus observaciones finales y preguntas adicionales.</w:t>
      </w:r>
    </w:p>
    <w:p w:rsidR="00FA6240" w:rsidRDefault="00FA6240" w:rsidP="00637350">
      <w:pPr>
        <w:pStyle w:val="SingleTxtG"/>
        <w:rPr>
          <w:szCs w:val="24"/>
          <w:lang w:val="es-ES"/>
        </w:rPr>
      </w:pPr>
      <w:r>
        <w:rPr>
          <w:szCs w:val="24"/>
          <w:lang w:val="es-ES"/>
        </w:rPr>
        <w:t>3.</w:t>
      </w:r>
      <w:r>
        <w:rPr>
          <w:szCs w:val="24"/>
          <w:lang w:val="es-ES"/>
        </w:rPr>
        <w:tab/>
      </w:r>
      <w:r w:rsidR="009E35F0">
        <w:rPr>
          <w:szCs w:val="24"/>
          <w:lang w:val="es-ES"/>
        </w:rPr>
        <w:t xml:space="preserve">El Ministerio </w:t>
      </w:r>
      <w:r>
        <w:rPr>
          <w:szCs w:val="24"/>
          <w:lang w:val="es-ES"/>
        </w:rPr>
        <w:t xml:space="preserve">de Justicia, </w:t>
      </w:r>
      <w:r w:rsidR="009E35F0">
        <w:rPr>
          <w:szCs w:val="24"/>
          <w:lang w:val="es-ES"/>
        </w:rPr>
        <w:t xml:space="preserve">el Ministerio de </w:t>
      </w:r>
      <w:r>
        <w:rPr>
          <w:szCs w:val="24"/>
          <w:lang w:val="es-ES"/>
        </w:rPr>
        <w:t xml:space="preserve">Asuntos Sociales, </w:t>
      </w:r>
      <w:r w:rsidR="009E35F0">
        <w:rPr>
          <w:szCs w:val="24"/>
          <w:lang w:val="es-ES"/>
        </w:rPr>
        <w:t xml:space="preserve">el Ministerio de </w:t>
      </w:r>
      <w:r>
        <w:rPr>
          <w:szCs w:val="24"/>
          <w:lang w:val="es-ES"/>
        </w:rPr>
        <w:t xml:space="preserve">Educación e Investigación, </w:t>
      </w:r>
      <w:r w:rsidR="009E35F0">
        <w:rPr>
          <w:szCs w:val="24"/>
          <w:lang w:val="es-ES"/>
        </w:rPr>
        <w:t xml:space="preserve">el Ministerio del </w:t>
      </w:r>
      <w:r>
        <w:rPr>
          <w:szCs w:val="24"/>
          <w:lang w:val="es-ES"/>
        </w:rPr>
        <w:t xml:space="preserve">Interior y </w:t>
      </w:r>
      <w:r w:rsidR="009E35F0">
        <w:rPr>
          <w:szCs w:val="24"/>
          <w:lang w:val="es-ES"/>
        </w:rPr>
        <w:t xml:space="preserve">el Ministerio de </w:t>
      </w:r>
      <w:r>
        <w:rPr>
          <w:szCs w:val="24"/>
          <w:lang w:val="es-ES"/>
        </w:rPr>
        <w:t>Cultura han participado en la elaboración del informe.</w:t>
      </w:r>
    </w:p>
    <w:p w:rsidR="00FA6240" w:rsidRDefault="00E16DF1" w:rsidP="00637350">
      <w:pPr>
        <w:pStyle w:val="SingleTxtG"/>
        <w:rPr>
          <w:szCs w:val="24"/>
          <w:lang w:val="es-ES"/>
        </w:rPr>
      </w:pPr>
      <w:r>
        <w:rPr>
          <w:szCs w:val="24"/>
          <w:lang w:val="es-ES"/>
        </w:rPr>
        <w:t>4.</w:t>
      </w:r>
      <w:r>
        <w:rPr>
          <w:szCs w:val="24"/>
          <w:lang w:val="es-ES"/>
        </w:rPr>
        <w:tab/>
        <w:t xml:space="preserve">El presente informe abarca el período 2008-2012, e incluye </w:t>
      </w:r>
      <w:r w:rsidR="00A43080">
        <w:rPr>
          <w:szCs w:val="24"/>
          <w:lang w:val="es-ES"/>
        </w:rPr>
        <w:t xml:space="preserve">los </w:t>
      </w:r>
      <w:r>
        <w:rPr>
          <w:szCs w:val="24"/>
          <w:lang w:val="es-ES"/>
        </w:rPr>
        <w:t xml:space="preserve">datos estadísticos disponibles </w:t>
      </w:r>
      <w:r w:rsidR="00FA6240">
        <w:rPr>
          <w:szCs w:val="24"/>
          <w:lang w:val="es-ES"/>
        </w:rPr>
        <w:t>en</w:t>
      </w:r>
      <w:r w:rsidR="0044667E">
        <w:rPr>
          <w:szCs w:val="24"/>
          <w:lang w:val="es-ES"/>
        </w:rPr>
        <w:t xml:space="preserve"> dicho período</w:t>
      </w:r>
      <w:r w:rsidR="00FA6240">
        <w:rPr>
          <w:szCs w:val="24"/>
          <w:lang w:val="es-ES"/>
        </w:rPr>
        <w:t>.</w:t>
      </w:r>
    </w:p>
    <w:p w:rsidR="00FA6240" w:rsidRDefault="00FA6240" w:rsidP="00637350">
      <w:pPr>
        <w:pStyle w:val="SingleTxtG"/>
        <w:rPr>
          <w:szCs w:val="24"/>
          <w:lang w:val="es-ES"/>
        </w:rPr>
      </w:pPr>
      <w:r>
        <w:rPr>
          <w:szCs w:val="24"/>
          <w:lang w:val="es-ES"/>
        </w:rPr>
        <w:t>5.</w:t>
      </w:r>
      <w:r>
        <w:rPr>
          <w:szCs w:val="24"/>
          <w:lang w:val="es-ES"/>
        </w:rPr>
        <w:tab/>
        <w:t xml:space="preserve">En sus observaciones finales sobre los informes periódicos octavo y noveno combinados, </w:t>
      </w:r>
      <w:r w:rsidR="00E16DF1">
        <w:rPr>
          <w:szCs w:val="24"/>
          <w:lang w:val="es-ES"/>
        </w:rPr>
        <w:t>el Comité celebró que</w:t>
      </w:r>
      <w:r>
        <w:rPr>
          <w:szCs w:val="24"/>
          <w:lang w:val="es-ES"/>
        </w:rPr>
        <w:t xml:space="preserve"> </w:t>
      </w:r>
      <w:r w:rsidR="00E16DF1">
        <w:rPr>
          <w:szCs w:val="24"/>
          <w:lang w:val="es-ES"/>
        </w:rPr>
        <w:t xml:space="preserve">se </w:t>
      </w:r>
      <w:r>
        <w:rPr>
          <w:szCs w:val="24"/>
          <w:lang w:val="es-ES"/>
        </w:rPr>
        <w:t>abordase</w:t>
      </w:r>
      <w:r w:rsidR="00E16DF1">
        <w:rPr>
          <w:szCs w:val="24"/>
          <w:lang w:val="es-ES"/>
        </w:rPr>
        <w:t>n</w:t>
      </w:r>
      <w:r>
        <w:rPr>
          <w:szCs w:val="24"/>
          <w:lang w:val="es-ES"/>
        </w:rPr>
        <w:t xml:space="preserve"> l</w:t>
      </w:r>
      <w:r w:rsidR="00150503">
        <w:rPr>
          <w:szCs w:val="24"/>
          <w:lang w:val="es-ES"/>
        </w:rPr>
        <w:t>os motivos de</w:t>
      </w:r>
      <w:r>
        <w:rPr>
          <w:szCs w:val="24"/>
          <w:lang w:val="es-ES"/>
        </w:rPr>
        <w:t xml:space="preserve"> </w:t>
      </w:r>
      <w:r w:rsidR="00150503">
        <w:rPr>
          <w:szCs w:val="24"/>
          <w:lang w:val="es-ES"/>
        </w:rPr>
        <w:t xml:space="preserve">preocupación </w:t>
      </w:r>
      <w:r>
        <w:rPr>
          <w:szCs w:val="24"/>
          <w:lang w:val="es-ES"/>
        </w:rPr>
        <w:t xml:space="preserve">y las recomendaciones </w:t>
      </w:r>
      <w:r w:rsidR="00150503">
        <w:rPr>
          <w:szCs w:val="24"/>
          <w:lang w:val="es-ES"/>
        </w:rPr>
        <w:t xml:space="preserve">que había </w:t>
      </w:r>
      <w:r>
        <w:rPr>
          <w:szCs w:val="24"/>
          <w:lang w:val="es-ES"/>
        </w:rPr>
        <w:t xml:space="preserve">expuesto en </w:t>
      </w:r>
      <w:r w:rsidR="00150503">
        <w:rPr>
          <w:szCs w:val="24"/>
          <w:lang w:val="es-ES"/>
        </w:rPr>
        <w:t xml:space="preserve">sus </w:t>
      </w:r>
      <w:r>
        <w:rPr>
          <w:szCs w:val="24"/>
          <w:lang w:val="es-ES"/>
        </w:rPr>
        <w:t>observaciones finales</w:t>
      </w:r>
      <w:r w:rsidR="00150503">
        <w:rPr>
          <w:szCs w:val="24"/>
          <w:lang w:val="es-ES"/>
        </w:rPr>
        <w:t xml:space="preserve"> anteriores</w:t>
      </w:r>
      <w:r>
        <w:rPr>
          <w:szCs w:val="24"/>
          <w:lang w:val="es-ES"/>
        </w:rPr>
        <w:t xml:space="preserve">, y también agradeció la participación de </w:t>
      </w:r>
      <w:r w:rsidR="00E16DF1">
        <w:rPr>
          <w:szCs w:val="24"/>
          <w:lang w:val="es-ES"/>
        </w:rPr>
        <w:t xml:space="preserve">las </w:t>
      </w:r>
      <w:r>
        <w:rPr>
          <w:szCs w:val="24"/>
          <w:lang w:val="es-ES"/>
        </w:rPr>
        <w:t xml:space="preserve">organizaciones no gubernamentales </w:t>
      </w:r>
      <w:r w:rsidR="00354C02">
        <w:rPr>
          <w:szCs w:val="24"/>
          <w:lang w:val="es-ES"/>
        </w:rPr>
        <w:t xml:space="preserve">(ONG) </w:t>
      </w:r>
      <w:r>
        <w:rPr>
          <w:szCs w:val="24"/>
          <w:lang w:val="es-ES"/>
        </w:rPr>
        <w:t xml:space="preserve">en la </w:t>
      </w:r>
      <w:r w:rsidR="00150503">
        <w:rPr>
          <w:szCs w:val="24"/>
          <w:lang w:val="es-ES"/>
        </w:rPr>
        <w:t>preparaci</w:t>
      </w:r>
      <w:r>
        <w:rPr>
          <w:szCs w:val="24"/>
          <w:lang w:val="es-ES"/>
        </w:rPr>
        <w:t>ón del</w:t>
      </w:r>
      <w:r w:rsidR="00150503">
        <w:rPr>
          <w:szCs w:val="24"/>
          <w:lang w:val="es-ES"/>
        </w:rPr>
        <w:t xml:space="preserve"> informe</w:t>
      </w:r>
      <w:r>
        <w:rPr>
          <w:szCs w:val="24"/>
          <w:lang w:val="es-ES"/>
        </w:rPr>
        <w:t>, a</w:t>
      </w:r>
      <w:r w:rsidR="00A56DD3">
        <w:rPr>
          <w:szCs w:val="24"/>
          <w:lang w:val="es-ES"/>
        </w:rPr>
        <w:t>sí como las</w:t>
      </w:r>
      <w:r>
        <w:rPr>
          <w:szCs w:val="24"/>
          <w:lang w:val="es-ES"/>
        </w:rPr>
        <w:t xml:space="preserve"> refer</w:t>
      </w:r>
      <w:r w:rsidR="00E16DF1">
        <w:rPr>
          <w:szCs w:val="24"/>
          <w:lang w:val="es-ES"/>
        </w:rPr>
        <w:t xml:space="preserve">encias </w:t>
      </w:r>
      <w:r w:rsidR="00A43080">
        <w:rPr>
          <w:szCs w:val="24"/>
          <w:lang w:val="es-ES"/>
        </w:rPr>
        <w:t xml:space="preserve">que se hacían </w:t>
      </w:r>
      <w:r>
        <w:rPr>
          <w:szCs w:val="24"/>
          <w:lang w:val="es-ES"/>
        </w:rPr>
        <w:t>a los comentarios de</w:t>
      </w:r>
      <w:r w:rsidR="00A56DD3">
        <w:rPr>
          <w:szCs w:val="24"/>
          <w:lang w:val="es-ES"/>
        </w:rPr>
        <w:t xml:space="preserve"> </w:t>
      </w:r>
      <w:r w:rsidR="00A43080">
        <w:rPr>
          <w:szCs w:val="24"/>
          <w:lang w:val="es-ES"/>
        </w:rPr>
        <w:t xml:space="preserve">dichas </w:t>
      </w:r>
      <w:r w:rsidR="00A56DD3">
        <w:rPr>
          <w:szCs w:val="24"/>
          <w:lang w:val="es-ES"/>
        </w:rPr>
        <w:t>organizaciones</w:t>
      </w:r>
      <w:r>
        <w:rPr>
          <w:szCs w:val="24"/>
          <w:lang w:val="es-ES"/>
        </w:rPr>
        <w:t xml:space="preserve">. </w:t>
      </w:r>
      <w:r w:rsidR="00A56DD3">
        <w:rPr>
          <w:szCs w:val="24"/>
          <w:lang w:val="es-ES"/>
        </w:rPr>
        <w:t>El Gobierno de Estonia proseguir</w:t>
      </w:r>
      <w:r>
        <w:rPr>
          <w:szCs w:val="24"/>
          <w:lang w:val="es-ES"/>
        </w:rPr>
        <w:t>á su cooperación efectiva en materia de derechos humanos</w:t>
      </w:r>
      <w:r w:rsidR="00A56DD3">
        <w:rPr>
          <w:szCs w:val="24"/>
          <w:lang w:val="es-ES"/>
        </w:rPr>
        <w:t xml:space="preserve"> con las ONG</w:t>
      </w:r>
      <w:r>
        <w:rPr>
          <w:szCs w:val="24"/>
          <w:lang w:val="es-ES"/>
        </w:rPr>
        <w:t xml:space="preserve">, </w:t>
      </w:r>
      <w:r w:rsidR="00A56DD3">
        <w:rPr>
          <w:szCs w:val="24"/>
          <w:lang w:val="es-ES"/>
        </w:rPr>
        <w:t xml:space="preserve">cuya participación ha recabado </w:t>
      </w:r>
      <w:r w:rsidR="00E16DF1">
        <w:rPr>
          <w:szCs w:val="24"/>
          <w:lang w:val="es-ES"/>
        </w:rPr>
        <w:t>también para la</w:t>
      </w:r>
      <w:r>
        <w:rPr>
          <w:szCs w:val="24"/>
          <w:lang w:val="es-ES"/>
        </w:rPr>
        <w:t xml:space="preserve"> elaboración del presente informe.</w:t>
      </w:r>
    </w:p>
    <w:p w:rsidR="00FA6240" w:rsidRDefault="00FA6240" w:rsidP="00637350">
      <w:pPr>
        <w:pStyle w:val="SingleTxtG"/>
        <w:rPr>
          <w:szCs w:val="24"/>
          <w:lang w:val="es-ES"/>
        </w:rPr>
      </w:pPr>
      <w:r>
        <w:rPr>
          <w:szCs w:val="24"/>
          <w:lang w:val="es-ES"/>
        </w:rPr>
        <w:t>6.</w:t>
      </w:r>
      <w:r>
        <w:rPr>
          <w:szCs w:val="24"/>
          <w:lang w:val="es-ES"/>
        </w:rPr>
        <w:tab/>
        <w:t>El presente in</w:t>
      </w:r>
      <w:r w:rsidR="00E16DF1">
        <w:rPr>
          <w:szCs w:val="24"/>
          <w:lang w:val="es-ES"/>
        </w:rPr>
        <w:t>forme se remitió a tres ONG a fin de</w:t>
      </w:r>
      <w:r>
        <w:rPr>
          <w:szCs w:val="24"/>
          <w:lang w:val="es-ES"/>
        </w:rPr>
        <w:t xml:space="preserve"> </w:t>
      </w:r>
      <w:r w:rsidR="002200C7">
        <w:rPr>
          <w:szCs w:val="24"/>
          <w:lang w:val="es-ES"/>
        </w:rPr>
        <w:t xml:space="preserve">recabar sus </w:t>
      </w:r>
      <w:r>
        <w:rPr>
          <w:szCs w:val="24"/>
          <w:lang w:val="es-ES"/>
        </w:rPr>
        <w:t xml:space="preserve">comentarios y propuestas, </w:t>
      </w:r>
      <w:r w:rsidR="002200C7">
        <w:rPr>
          <w:szCs w:val="24"/>
          <w:lang w:val="es-ES"/>
        </w:rPr>
        <w:t>en particular</w:t>
      </w:r>
      <w:r>
        <w:rPr>
          <w:szCs w:val="24"/>
          <w:lang w:val="es-ES"/>
        </w:rPr>
        <w:t xml:space="preserve"> el Centro de Derechos Humanos de Estonia, el Instituto de Derechos Humanos de Estonia y el Centro de Información Jurídica para los Derechos Humanos, </w:t>
      </w:r>
      <w:r w:rsidR="00E16DF1">
        <w:rPr>
          <w:szCs w:val="24"/>
          <w:lang w:val="es-ES"/>
        </w:rPr>
        <w:t>y</w:t>
      </w:r>
      <w:r w:rsidR="002200C7">
        <w:rPr>
          <w:szCs w:val="24"/>
          <w:lang w:val="es-ES"/>
        </w:rPr>
        <w:t xml:space="preserve"> </w:t>
      </w:r>
      <w:r>
        <w:rPr>
          <w:szCs w:val="24"/>
          <w:lang w:val="es-ES"/>
        </w:rPr>
        <w:t xml:space="preserve">todas </w:t>
      </w:r>
      <w:r w:rsidR="002200C7">
        <w:rPr>
          <w:szCs w:val="24"/>
          <w:lang w:val="es-ES"/>
        </w:rPr>
        <w:t>el</w:t>
      </w:r>
      <w:r>
        <w:rPr>
          <w:szCs w:val="24"/>
          <w:lang w:val="es-ES"/>
        </w:rPr>
        <w:t xml:space="preserve">las </w:t>
      </w:r>
      <w:r w:rsidR="00E16DF1">
        <w:rPr>
          <w:szCs w:val="24"/>
          <w:lang w:val="es-ES"/>
        </w:rPr>
        <w:t>facilitaron</w:t>
      </w:r>
      <w:r w:rsidR="002200C7">
        <w:rPr>
          <w:szCs w:val="24"/>
          <w:lang w:val="es-ES"/>
        </w:rPr>
        <w:t xml:space="preserve"> respuesta</w:t>
      </w:r>
      <w:r w:rsidR="00E16DF1">
        <w:rPr>
          <w:szCs w:val="24"/>
          <w:lang w:val="es-ES"/>
        </w:rPr>
        <w:t>s</w:t>
      </w:r>
      <w:r>
        <w:rPr>
          <w:szCs w:val="24"/>
          <w:lang w:val="es-ES"/>
        </w:rPr>
        <w:t xml:space="preserve">. La información </w:t>
      </w:r>
      <w:r w:rsidR="00855F7E">
        <w:rPr>
          <w:szCs w:val="24"/>
          <w:lang w:val="es-ES"/>
        </w:rPr>
        <w:t xml:space="preserve">presentada </w:t>
      </w:r>
      <w:r>
        <w:rPr>
          <w:szCs w:val="24"/>
          <w:lang w:val="es-ES"/>
        </w:rPr>
        <w:t xml:space="preserve">por esas ONG, así como los problemas </w:t>
      </w:r>
      <w:r w:rsidR="00855F7E">
        <w:rPr>
          <w:szCs w:val="24"/>
          <w:lang w:val="es-ES"/>
        </w:rPr>
        <w:t>que pusieron de relieve</w:t>
      </w:r>
      <w:r>
        <w:rPr>
          <w:szCs w:val="24"/>
          <w:lang w:val="es-ES"/>
        </w:rPr>
        <w:t>, se reflejan en el informe.</w:t>
      </w:r>
    </w:p>
    <w:p w:rsidR="000747D2" w:rsidRDefault="00E16DF1" w:rsidP="00637350">
      <w:pPr>
        <w:pStyle w:val="SingleTxtG"/>
        <w:rPr>
          <w:szCs w:val="24"/>
          <w:lang w:val="es-ES"/>
        </w:rPr>
      </w:pPr>
      <w:r>
        <w:rPr>
          <w:szCs w:val="24"/>
          <w:lang w:val="es-ES"/>
        </w:rPr>
        <w:t>7.</w:t>
      </w:r>
      <w:r>
        <w:rPr>
          <w:szCs w:val="24"/>
          <w:lang w:val="es-ES"/>
        </w:rPr>
        <w:tab/>
        <w:t>Los informes de Estonia a</w:t>
      </w:r>
      <w:r w:rsidR="000747D2">
        <w:rPr>
          <w:szCs w:val="24"/>
          <w:lang w:val="es-ES"/>
        </w:rPr>
        <w:t xml:space="preserve"> las organizaciones internacionales se publican en </w:t>
      </w:r>
      <w:r w:rsidR="00E143E5">
        <w:rPr>
          <w:szCs w:val="24"/>
          <w:lang w:val="es-ES"/>
        </w:rPr>
        <w:t>e</w:t>
      </w:r>
      <w:r w:rsidR="000747D2">
        <w:rPr>
          <w:szCs w:val="24"/>
          <w:lang w:val="es-ES"/>
        </w:rPr>
        <w:t xml:space="preserve">l </w:t>
      </w:r>
      <w:r w:rsidR="00E143E5">
        <w:rPr>
          <w:szCs w:val="24"/>
          <w:lang w:val="es-ES"/>
        </w:rPr>
        <w:t xml:space="preserve">sitio </w:t>
      </w:r>
      <w:r w:rsidR="000747D2">
        <w:rPr>
          <w:szCs w:val="24"/>
          <w:lang w:val="es-ES"/>
        </w:rPr>
        <w:t>web del Ministerio de Relaciones Exteriores (http://www.vrn.ee/?q=en) y están a dispos</w:t>
      </w:r>
      <w:r>
        <w:rPr>
          <w:szCs w:val="24"/>
          <w:lang w:val="es-ES"/>
        </w:rPr>
        <w:t>ición del público desde el</w:t>
      </w:r>
      <w:r w:rsidR="000747D2">
        <w:rPr>
          <w:szCs w:val="24"/>
          <w:lang w:val="es-ES"/>
        </w:rPr>
        <w:t xml:space="preserve"> momento </w:t>
      </w:r>
      <w:r>
        <w:rPr>
          <w:szCs w:val="24"/>
          <w:lang w:val="es-ES"/>
        </w:rPr>
        <w:t>en que se</w:t>
      </w:r>
      <w:r w:rsidR="000747D2">
        <w:rPr>
          <w:szCs w:val="24"/>
          <w:lang w:val="es-ES"/>
        </w:rPr>
        <w:t xml:space="preserve"> presenta</w:t>
      </w:r>
      <w:r>
        <w:rPr>
          <w:szCs w:val="24"/>
          <w:lang w:val="es-ES"/>
        </w:rPr>
        <w:t>n</w:t>
      </w:r>
      <w:r w:rsidR="000747D2">
        <w:rPr>
          <w:szCs w:val="24"/>
          <w:lang w:val="es-ES"/>
        </w:rPr>
        <w:t>.</w:t>
      </w:r>
      <w:r w:rsidR="00354C02">
        <w:rPr>
          <w:szCs w:val="24"/>
          <w:lang w:val="es-ES"/>
        </w:rPr>
        <w:t xml:space="preserve"> </w:t>
      </w:r>
      <w:r w:rsidR="000747D2">
        <w:rPr>
          <w:szCs w:val="24"/>
          <w:lang w:val="es-ES"/>
        </w:rPr>
        <w:t xml:space="preserve">El presente informe se redactó en estonio y se tradujo al inglés, y se ha publicado en </w:t>
      </w:r>
      <w:r w:rsidR="00E143E5">
        <w:rPr>
          <w:szCs w:val="24"/>
          <w:lang w:val="es-ES"/>
        </w:rPr>
        <w:t>e</w:t>
      </w:r>
      <w:r w:rsidR="000747D2">
        <w:rPr>
          <w:szCs w:val="24"/>
          <w:lang w:val="es-ES"/>
        </w:rPr>
        <w:t xml:space="preserve">l </w:t>
      </w:r>
      <w:r w:rsidR="00E143E5">
        <w:rPr>
          <w:szCs w:val="24"/>
          <w:lang w:val="es-ES"/>
        </w:rPr>
        <w:t xml:space="preserve">sitio </w:t>
      </w:r>
      <w:r w:rsidR="000747D2">
        <w:rPr>
          <w:szCs w:val="24"/>
          <w:lang w:val="es-ES"/>
        </w:rPr>
        <w:t xml:space="preserve">web del Ministerio de Relaciones Exteriores en </w:t>
      </w:r>
      <w:r>
        <w:rPr>
          <w:szCs w:val="24"/>
          <w:lang w:val="es-ES"/>
        </w:rPr>
        <w:t>ambos idioma</w:t>
      </w:r>
      <w:r w:rsidR="00354C02">
        <w:rPr>
          <w:szCs w:val="24"/>
          <w:lang w:val="es-ES"/>
        </w:rPr>
        <w:t>s</w:t>
      </w:r>
      <w:r w:rsidR="000747D2">
        <w:rPr>
          <w:szCs w:val="24"/>
          <w:lang w:val="es-ES"/>
        </w:rPr>
        <w:t xml:space="preserve">. Las observaciones finales del Comité también se han publicado en </w:t>
      </w:r>
      <w:r w:rsidR="00E143E5">
        <w:rPr>
          <w:szCs w:val="24"/>
          <w:lang w:val="es-ES"/>
        </w:rPr>
        <w:t>e</w:t>
      </w:r>
      <w:r w:rsidR="000747D2">
        <w:rPr>
          <w:szCs w:val="24"/>
          <w:lang w:val="es-ES"/>
        </w:rPr>
        <w:t xml:space="preserve">l </w:t>
      </w:r>
      <w:r w:rsidR="00E143E5">
        <w:rPr>
          <w:szCs w:val="24"/>
          <w:lang w:val="es-ES"/>
        </w:rPr>
        <w:t xml:space="preserve">sitio </w:t>
      </w:r>
      <w:r>
        <w:rPr>
          <w:szCs w:val="24"/>
          <w:lang w:val="es-ES"/>
        </w:rPr>
        <w:t>web en estonio y</w:t>
      </w:r>
      <w:r w:rsidR="000747D2">
        <w:rPr>
          <w:szCs w:val="24"/>
          <w:lang w:val="es-ES"/>
        </w:rPr>
        <w:t xml:space="preserve"> en inglés.</w:t>
      </w:r>
    </w:p>
    <w:p w:rsidR="000747D2" w:rsidRDefault="000747D2" w:rsidP="00637350">
      <w:pPr>
        <w:pStyle w:val="SingleTxtG"/>
        <w:rPr>
          <w:szCs w:val="24"/>
          <w:lang w:val="es-ES"/>
        </w:rPr>
      </w:pPr>
      <w:r>
        <w:rPr>
          <w:szCs w:val="24"/>
          <w:lang w:val="es-ES"/>
        </w:rPr>
        <w:t>8.</w:t>
      </w:r>
      <w:r>
        <w:rPr>
          <w:szCs w:val="24"/>
          <w:lang w:val="es-ES"/>
        </w:rPr>
        <w:tab/>
        <w:t xml:space="preserve">Con el fin de asegurar </w:t>
      </w:r>
      <w:r w:rsidR="00E143E5">
        <w:rPr>
          <w:szCs w:val="24"/>
          <w:lang w:val="es-ES"/>
        </w:rPr>
        <w:t xml:space="preserve">que el </w:t>
      </w:r>
      <w:r>
        <w:rPr>
          <w:szCs w:val="24"/>
          <w:lang w:val="es-ES"/>
        </w:rPr>
        <w:t xml:space="preserve">presente informe y los temas </w:t>
      </w:r>
      <w:r w:rsidR="00E143E5">
        <w:rPr>
          <w:szCs w:val="24"/>
          <w:lang w:val="es-ES"/>
        </w:rPr>
        <w:t>aborda</w:t>
      </w:r>
      <w:r w:rsidR="00A258AC">
        <w:rPr>
          <w:szCs w:val="24"/>
          <w:lang w:val="es-ES"/>
        </w:rPr>
        <w:t>dos</w:t>
      </w:r>
      <w:r w:rsidR="00E143E5">
        <w:rPr>
          <w:szCs w:val="24"/>
          <w:lang w:val="es-ES"/>
        </w:rPr>
        <w:t xml:space="preserve"> sean lo más completos posible</w:t>
      </w:r>
      <w:r>
        <w:rPr>
          <w:szCs w:val="24"/>
          <w:lang w:val="es-ES"/>
        </w:rPr>
        <w:t xml:space="preserve">, la información </w:t>
      </w:r>
      <w:r w:rsidR="00E143E5">
        <w:rPr>
          <w:szCs w:val="24"/>
          <w:lang w:val="es-ES"/>
        </w:rPr>
        <w:t xml:space="preserve">se presenta </w:t>
      </w:r>
      <w:r>
        <w:rPr>
          <w:szCs w:val="24"/>
          <w:lang w:val="es-ES"/>
        </w:rPr>
        <w:t>artículo por artículo y las respuestas a las</w:t>
      </w:r>
      <w:r w:rsidR="003C71CF">
        <w:rPr>
          <w:szCs w:val="24"/>
          <w:lang w:val="es-ES"/>
        </w:rPr>
        <w:t xml:space="preserve"> preguntas del Comité figuran en</w:t>
      </w:r>
      <w:r>
        <w:rPr>
          <w:szCs w:val="24"/>
          <w:lang w:val="es-ES"/>
        </w:rPr>
        <w:t xml:space="preserve"> el artículo que aborda el tema correspondiente.</w:t>
      </w:r>
    </w:p>
    <w:p w:rsidR="000747D2" w:rsidRDefault="000747D2" w:rsidP="00637350">
      <w:pPr>
        <w:pStyle w:val="HChG"/>
        <w:rPr>
          <w:lang w:val="es-ES"/>
        </w:rPr>
      </w:pPr>
      <w:r>
        <w:rPr>
          <w:lang w:val="es-ES"/>
        </w:rPr>
        <w:tab/>
        <w:t>II.</w:t>
      </w:r>
      <w:r>
        <w:rPr>
          <w:lang w:val="es-ES"/>
        </w:rPr>
        <w:tab/>
        <w:t xml:space="preserve">Información sobre los artículos </w:t>
      </w:r>
      <w:smartTag w:uri="urn:schemas-microsoft-com:office:smarttags" w:element="metricconverter">
        <w:smartTagPr>
          <w:attr w:name="ProductID" w:val="2 a"/>
        </w:smartTagPr>
        <w:r>
          <w:rPr>
            <w:lang w:val="es-ES"/>
          </w:rPr>
          <w:t>2 a</w:t>
        </w:r>
      </w:smartTag>
      <w:r>
        <w:rPr>
          <w:lang w:val="es-ES"/>
        </w:rPr>
        <w:t xml:space="preserve"> 7 de </w:t>
      </w:r>
      <w:smartTag w:uri="urn:schemas-microsoft-com:office:smarttags" w:element="PersonName">
        <w:smartTagPr>
          <w:attr w:name="ProductID" w:val="la Convenci￳n"/>
        </w:smartTagPr>
        <w:r>
          <w:rPr>
            <w:lang w:val="es-ES"/>
          </w:rPr>
          <w:t>la Convención</w:t>
        </w:r>
      </w:smartTag>
    </w:p>
    <w:p w:rsidR="000747D2" w:rsidRDefault="000747D2" w:rsidP="00637350">
      <w:pPr>
        <w:pStyle w:val="H1G"/>
        <w:rPr>
          <w:lang w:val="es-ES"/>
        </w:rPr>
      </w:pPr>
      <w:r>
        <w:rPr>
          <w:lang w:val="es-ES"/>
        </w:rPr>
        <w:tab/>
      </w:r>
      <w:r>
        <w:rPr>
          <w:lang w:val="es-ES"/>
        </w:rPr>
        <w:tab/>
        <w:t>Artículo 2</w:t>
      </w:r>
    </w:p>
    <w:p w:rsidR="00EF301B" w:rsidRDefault="00EF301B" w:rsidP="00637350">
      <w:pPr>
        <w:pStyle w:val="SingleTxtG"/>
        <w:rPr>
          <w:szCs w:val="24"/>
          <w:lang w:val="es-ES"/>
        </w:rPr>
      </w:pPr>
      <w:r>
        <w:rPr>
          <w:szCs w:val="24"/>
          <w:lang w:val="es-ES"/>
        </w:rPr>
        <w:t>9.</w:t>
      </w:r>
      <w:r>
        <w:rPr>
          <w:szCs w:val="24"/>
          <w:lang w:val="es-ES"/>
        </w:rPr>
        <w:tab/>
        <w:t xml:space="preserve">Estonia continúa prestando </w:t>
      </w:r>
      <w:r w:rsidR="00354C02">
        <w:rPr>
          <w:szCs w:val="24"/>
          <w:lang w:val="es-ES"/>
        </w:rPr>
        <w:t>especial</w:t>
      </w:r>
      <w:r>
        <w:rPr>
          <w:szCs w:val="24"/>
          <w:lang w:val="es-ES"/>
        </w:rPr>
        <w:t xml:space="preserve"> atención a la protección de los derechos humanos y las libertades fundamentales mediante medidas legislativas y de </w:t>
      </w:r>
      <w:r w:rsidR="00354C02">
        <w:rPr>
          <w:szCs w:val="24"/>
          <w:lang w:val="es-ES"/>
        </w:rPr>
        <w:t>otro tipo</w:t>
      </w:r>
      <w:r>
        <w:rPr>
          <w:szCs w:val="24"/>
          <w:lang w:val="es-ES"/>
        </w:rPr>
        <w:t xml:space="preserve">. Estonia ha condenado siempre la discriminación racial y ha hecho todo </w:t>
      </w:r>
      <w:r w:rsidR="00E143E5">
        <w:rPr>
          <w:szCs w:val="24"/>
          <w:lang w:val="es-ES"/>
        </w:rPr>
        <w:t>lo posible</w:t>
      </w:r>
      <w:r>
        <w:rPr>
          <w:szCs w:val="24"/>
          <w:lang w:val="es-ES"/>
        </w:rPr>
        <w:t xml:space="preserve"> para poder llevar a la práctica su política de eliminación de la discriminación racial. </w:t>
      </w:r>
    </w:p>
    <w:p w:rsidR="00EF301B" w:rsidRDefault="00EF301B" w:rsidP="00637350">
      <w:pPr>
        <w:pStyle w:val="SingleTxtG"/>
        <w:rPr>
          <w:szCs w:val="24"/>
          <w:lang w:val="es-ES"/>
        </w:rPr>
      </w:pPr>
      <w:r>
        <w:rPr>
          <w:szCs w:val="24"/>
          <w:lang w:val="es-ES"/>
        </w:rPr>
        <w:t>10.</w:t>
      </w:r>
      <w:r>
        <w:rPr>
          <w:szCs w:val="24"/>
          <w:lang w:val="es-ES"/>
        </w:rPr>
        <w:tab/>
        <w:t xml:space="preserve">Estonia se ha adherido al Convenio Marco para la protección de las minorías nacionales, que entró en vigor en el país el 1 de febrero de 1998. </w:t>
      </w:r>
      <w:r w:rsidR="00CE4A7D">
        <w:rPr>
          <w:szCs w:val="24"/>
          <w:lang w:val="es-ES"/>
        </w:rPr>
        <w:t>C</w:t>
      </w:r>
      <w:r>
        <w:rPr>
          <w:szCs w:val="24"/>
          <w:lang w:val="es-ES"/>
        </w:rPr>
        <w:t xml:space="preserve">omo instrumento de derecho internacional, </w:t>
      </w:r>
      <w:r w:rsidR="00CE4A7D">
        <w:rPr>
          <w:szCs w:val="24"/>
          <w:lang w:val="es-ES"/>
        </w:rPr>
        <w:t>dicho Convenio forma</w:t>
      </w:r>
      <w:r>
        <w:rPr>
          <w:szCs w:val="24"/>
          <w:lang w:val="es-ES"/>
        </w:rPr>
        <w:t xml:space="preserve"> parte integrante del sistema jurídico de Estonia, de conformidad con el artículo 3 de </w:t>
      </w:r>
      <w:smartTag w:uri="urn:schemas-microsoft-com:office:smarttags" w:element="PersonName">
        <w:smartTagPr>
          <w:attr w:name="ProductID" w:val="la Constituci￳n"/>
        </w:smartTagPr>
        <w:r>
          <w:rPr>
            <w:szCs w:val="24"/>
            <w:lang w:val="es-ES"/>
          </w:rPr>
          <w:t>la Constitución</w:t>
        </w:r>
      </w:smartTag>
      <w:r>
        <w:rPr>
          <w:szCs w:val="24"/>
          <w:lang w:val="es-ES"/>
        </w:rPr>
        <w:t xml:space="preserve"> de </w:t>
      </w:r>
      <w:smartTag w:uri="urn:schemas-microsoft-com:office:smarttags" w:element="PersonName">
        <w:smartTagPr>
          <w:attr w:name="ProductID" w:val="la Rep￺blica"/>
        </w:smartTagPr>
        <w:r>
          <w:rPr>
            <w:szCs w:val="24"/>
            <w:lang w:val="es-ES"/>
          </w:rPr>
          <w:t>la República</w:t>
        </w:r>
      </w:smartTag>
      <w:r w:rsidR="009B72DA">
        <w:rPr>
          <w:szCs w:val="24"/>
          <w:lang w:val="es-ES"/>
        </w:rPr>
        <w:t xml:space="preserve"> de Estonia</w:t>
      </w:r>
      <w:r>
        <w:rPr>
          <w:rStyle w:val="FootnoteReference"/>
          <w:szCs w:val="24"/>
          <w:lang w:val="es-ES"/>
        </w:rPr>
        <w:footnoteReference w:id="5"/>
      </w:r>
      <w:r w:rsidR="009B72DA">
        <w:rPr>
          <w:szCs w:val="24"/>
          <w:lang w:val="es-ES"/>
        </w:rPr>
        <w:t>.</w:t>
      </w:r>
    </w:p>
    <w:p w:rsidR="00EF301B" w:rsidRDefault="00EF301B" w:rsidP="00637350">
      <w:pPr>
        <w:pStyle w:val="SingleTxtG"/>
        <w:rPr>
          <w:szCs w:val="24"/>
          <w:lang w:val="es-ES"/>
        </w:rPr>
      </w:pPr>
      <w:r>
        <w:rPr>
          <w:szCs w:val="24"/>
          <w:lang w:val="es-ES"/>
        </w:rPr>
        <w:t>11.</w:t>
      </w:r>
      <w:r>
        <w:rPr>
          <w:szCs w:val="24"/>
          <w:lang w:val="es-ES"/>
        </w:rPr>
        <w:tab/>
        <w:t xml:space="preserve">Al suscribir el Convenio Marco del </w:t>
      </w:r>
      <w:r w:rsidR="00B905B0">
        <w:rPr>
          <w:szCs w:val="24"/>
          <w:lang w:val="es-ES"/>
        </w:rPr>
        <w:t xml:space="preserve">Consejo de Europa </w:t>
      </w:r>
      <w:r>
        <w:rPr>
          <w:szCs w:val="24"/>
          <w:lang w:val="es-ES"/>
        </w:rPr>
        <w:t xml:space="preserve">para la protección de las minorías nacionales, Estonia ha asumido la obligación de </w:t>
      </w:r>
      <w:r w:rsidR="002B491B">
        <w:rPr>
          <w:szCs w:val="24"/>
          <w:lang w:val="es-ES"/>
        </w:rPr>
        <w:t>"</w:t>
      </w:r>
      <w:r>
        <w:rPr>
          <w:szCs w:val="24"/>
          <w:lang w:val="es-ES"/>
        </w:rPr>
        <w:t>[promover] un espíritu de tolerancia y de diálogo intercultural, y [</w:t>
      </w:r>
      <w:r w:rsidR="00B905B0">
        <w:rPr>
          <w:szCs w:val="24"/>
          <w:lang w:val="es-ES"/>
        </w:rPr>
        <w:t xml:space="preserve">de </w:t>
      </w:r>
      <w:r>
        <w:rPr>
          <w:szCs w:val="24"/>
          <w:lang w:val="es-ES"/>
        </w:rPr>
        <w:t>tomar] medidas eficaces para favorecer el respeto y la comprensión mutu</w:t>
      </w:r>
      <w:r w:rsidR="00B905B0">
        <w:rPr>
          <w:szCs w:val="24"/>
          <w:lang w:val="es-ES"/>
        </w:rPr>
        <w:t>o</w:t>
      </w:r>
      <w:r>
        <w:rPr>
          <w:szCs w:val="24"/>
          <w:lang w:val="es-ES"/>
        </w:rPr>
        <w:t>s entre todas las personas que vivan en su territorio, sea cual fuere su identidad étnica, cultural, lingüística o religiosa, en particular en los campos de la educación, de la cultura y de los medios de comunicación</w:t>
      </w:r>
      <w:r w:rsidR="002B491B">
        <w:rPr>
          <w:szCs w:val="24"/>
          <w:lang w:val="es-ES"/>
        </w:rPr>
        <w:t>"</w:t>
      </w:r>
      <w:r>
        <w:rPr>
          <w:szCs w:val="24"/>
          <w:lang w:val="es-ES"/>
        </w:rPr>
        <w:t>.</w:t>
      </w:r>
    </w:p>
    <w:p w:rsidR="006568F3" w:rsidRDefault="006568F3" w:rsidP="00637350">
      <w:pPr>
        <w:pStyle w:val="SingleTxtG"/>
        <w:rPr>
          <w:szCs w:val="24"/>
          <w:lang w:val="es-ES"/>
        </w:rPr>
      </w:pPr>
      <w:r>
        <w:rPr>
          <w:szCs w:val="24"/>
          <w:lang w:val="es-ES"/>
        </w:rPr>
        <w:t>12.</w:t>
      </w:r>
      <w:r>
        <w:rPr>
          <w:szCs w:val="24"/>
          <w:lang w:val="es-ES"/>
        </w:rPr>
        <w:tab/>
        <w:t>Los prin</w:t>
      </w:r>
      <w:r w:rsidR="00A258AC">
        <w:rPr>
          <w:szCs w:val="24"/>
          <w:lang w:val="es-ES"/>
        </w:rPr>
        <w:t>cipios mencionados</w:t>
      </w:r>
      <w:r>
        <w:rPr>
          <w:szCs w:val="24"/>
          <w:lang w:val="es-ES"/>
        </w:rPr>
        <w:t xml:space="preserve"> se han incorporado al Plan de Integración de Estonia 2008-2013 (véanse los párrafos </w:t>
      </w:r>
      <w:smartTag w:uri="urn:schemas-microsoft-com:office:smarttags" w:element="metricconverter">
        <w:smartTagPr>
          <w:attr w:name="ProductID" w:val="60 a"/>
        </w:smartTagPr>
        <w:r>
          <w:rPr>
            <w:szCs w:val="24"/>
            <w:lang w:val="es-ES"/>
          </w:rPr>
          <w:t>60 a</w:t>
        </w:r>
      </w:smartTag>
      <w:r>
        <w:rPr>
          <w:szCs w:val="24"/>
          <w:lang w:val="es-ES"/>
        </w:rPr>
        <w:t xml:space="preserve"> 66 </w:t>
      </w:r>
      <w:r>
        <w:rPr>
          <w:i/>
          <w:szCs w:val="24"/>
          <w:lang w:val="es-ES"/>
        </w:rPr>
        <w:t>infra</w:t>
      </w:r>
      <w:r>
        <w:rPr>
          <w:szCs w:val="24"/>
          <w:lang w:val="es-ES"/>
        </w:rPr>
        <w:t>), sobre l</w:t>
      </w:r>
      <w:r w:rsidR="00A258AC">
        <w:rPr>
          <w:szCs w:val="24"/>
          <w:lang w:val="es-ES"/>
        </w:rPr>
        <w:t>a premisa</w:t>
      </w:r>
      <w:r w:rsidR="006B7F3C">
        <w:rPr>
          <w:szCs w:val="24"/>
          <w:lang w:val="es-ES"/>
        </w:rPr>
        <w:t xml:space="preserve"> </w:t>
      </w:r>
      <w:r>
        <w:rPr>
          <w:szCs w:val="24"/>
          <w:lang w:val="es-ES"/>
        </w:rPr>
        <w:t xml:space="preserve">de que la integración en la sociedad es un proceso bidireccional </w:t>
      </w:r>
      <w:r w:rsidR="00A258AC">
        <w:rPr>
          <w:szCs w:val="24"/>
          <w:lang w:val="es-ES"/>
        </w:rPr>
        <w:t>bas</w:t>
      </w:r>
      <w:r w:rsidR="006B7F3C">
        <w:rPr>
          <w:szCs w:val="24"/>
          <w:lang w:val="es-ES"/>
        </w:rPr>
        <w:t xml:space="preserve">ado </w:t>
      </w:r>
      <w:r>
        <w:rPr>
          <w:szCs w:val="24"/>
          <w:lang w:val="es-ES"/>
        </w:rPr>
        <w:t xml:space="preserve">en la participación democrática que se construye, por </w:t>
      </w:r>
      <w:r w:rsidR="00B757DD">
        <w:rPr>
          <w:szCs w:val="24"/>
          <w:lang w:val="es-ES"/>
        </w:rPr>
        <w:t>un lado</w:t>
      </w:r>
      <w:r>
        <w:rPr>
          <w:szCs w:val="24"/>
          <w:lang w:val="es-ES"/>
        </w:rPr>
        <w:t>, desde el respeto a la lengua, las tradiciones culturales y los valores de la población a</w:t>
      </w:r>
      <w:r w:rsidR="006B7F3C">
        <w:rPr>
          <w:szCs w:val="24"/>
          <w:lang w:val="es-ES"/>
        </w:rPr>
        <w:t>utóctona</w:t>
      </w:r>
      <w:r>
        <w:rPr>
          <w:szCs w:val="24"/>
          <w:lang w:val="es-ES"/>
        </w:rPr>
        <w:t xml:space="preserve"> por parte de las minorías nacionales y los nuevos habitantes de ese territorio y, por </w:t>
      </w:r>
      <w:r w:rsidR="00B757DD">
        <w:rPr>
          <w:szCs w:val="24"/>
          <w:lang w:val="es-ES"/>
        </w:rPr>
        <w:t>otro lado</w:t>
      </w:r>
      <w:r>
        <w:rPr>
          <w:szCs w:val="24"/>
          <w:lang w:val="es-ES"/>
        </w:rPr>
        <w:t>, desde la tolerancia y el respeto a las peculiaridades culturales de las minorías nacionales por parte de la población a</w:t>
      </w:r>
      <w:r w:rsidR="006B7F3C">
        <w:rPr>
          <w:szCs w:val="24"/>
          <w:lang w:val="es-ES"/>
        </w:rPr>
        <w:t>utóctona</w:t>
      </w:r>
      <w:r>
        <w:rPr>
          <w:szCs w:val="24"/>
          <w:lang w:val="es-ES"/>
        </w:rPr>
        <w:t>.</w:t>
      </w:r>
    </w:p>
    <w:p w:rsidR="00FA5C99" w:rsidRDefault="00FA5C99" w:rsidP="00637350">
      <w:pPr>
        <w:pStyle w:val="SingleTxtG"/>
        <w:rPr>
          <w:lang w:val="es-ES"/>
        </w:rPr>
      </w:pPr>
      <w:r>
        <w:rPr>
          <w:lang w:val="es-ES"/>
        </w:rPr>
        <w:t>13.</w:t>
      </w:r>
      <w:r>
        <w:rPr>
          <w:lang w:val="es-ES"/>
        </w:rPr>
        <w:tab/>
      </w:r>
      <w:smartTag w:uri="urn:schemas-microsoft-com:office:smarttags" w:element="PersonName">
        <w:smartTagPr>
          <w:attr w:name="ProductID" w:val="la Constituci￳n"/>
        </w:smartTagPr>
        <w:r>
          <w:rPr>
            <w:lang w:val="es-ES"/>
          </w:rPr>
          <w:t>L</w:t>
        </w:r>
        <w:r w:rsidR="006B30C6">
          <w:rPr>
            <w:lang w:val="es-ES"/>
          </w:rPr>
          <w:t>a Constitución</w:t>
        </w:r>
      </w:smartTag>
      <w:r w:rsidR="006B30C6">
        <w:rPr>
          <w:lang w:val="es-ES"/>
        </w:rPr>
        <w:t xml:space="preserve"> establece las bases fundamentales de </w:t>
      </w:r>
      <w:r>
        <w:rPr>
          <w:lang w:val="es-ES"/>
        </w:rPr>
        <w:t>la prohibición de la discrimina</w:t>
      </w:r>
      <w:r w:rsidR="008C29AC">
        <w:rPr>
          <w:lang w:val="es-ES"/>
        </w:rPr>
        <w:t>ción racial. En particular</w:t>
      </w:r>
      <w:r>
        <w:rPr>
          <w:lang w:val="es-ES"/>
        </w:rPr>
        <w:t xml:space="preserve">, las cuestiones relativas a la discriminación están reglamentadas en </w:t>
      </w:r>
      <w:smartTag w:uri="urn:schemas-microsoft-com:office:smarttags" w:element="PersonName">
        <w:smartTagPr>
          <w:attr w:name="ProductID" w:val="La Ley"/>
        </w:smartTagPr>
        <w:r>
          <w:rPr>
            <w:lang w:val="es-ES"/>
          </w:rPr>
          <w:t>la Ley</w:t>
        </w:r>
      </w:smartTag>
      <w:r>
        <w:rPr>
          <w:lang w:val="es-ES"/>
        </w:rPr>
        <w:t xml:space="preserve"> de igualdad de trato</w:t>
      </w:r>
      <w:r>
        <w:rPr>
          <w:rStyle w:val="FootnoteReference"/>
          <w:noProof/>
          <w:szCs w:val="24"/>
        </w:rPr>
        <w:footnoteReference w:id="6"/>
      </w:r>
      <w:r w:rsidRPr="00FA5C99">
        <w:rPr>
          <w:noProof/>
          <w:lang w:val="es-ES"/>
        </w:rPr>
        <w:t>,</w:t>
      </w:r>
      <w:r>
        <w:rPr>
          <w:lang w:val="es-ES"/>
        </w:rPr>
        <w:t xml:space="preserve"> </w:t>
      </w:r>
      <w:smartTag w:uri="urn:schemas-microsoft-com:office:smarttags" w:element="PersonName">
        <w:smartTagPr>
          <w:attr w:name="ProductID" w:val="La Ley"/>
        </w:smartTagPr>
        <w:r>
          <w:rPr>
            <w:lang w:val="es-ES"/>
          </w:rPr>
          <w:t>la Ley</w:t>
        </w:r>
      </w:smartTag>
      <w:r>
        <w:rPr>
          <w:lang w:val="es-ES"/>
        </w:rPr>
        <w:t xml:space="preserve"> de igualdad de género</w:t>
      </w:r>
      <w:r>
        <w:rPr>
          <w:rStyle w:val="FootnoteReference"/>
          <w:noProof/>
          <w:szCs w:val="24"/>
        </w:rPr>
        <w:footnoteReference w:id="7"/>
      </w:r>
      <w:r>
        <w:rPr>
          <w:lang w:val="es-ES"/>
        </w:rPr>
        <w:t xml:space="preserve">, </w:t>
      </w:r>
      <w:smartTag w:uri="urn:schemas-microsoft-com:office:smarttags" w:element="PersonName">
        <w:smartTagPr>
          <w:attr w:name="ProductID" w:val="La Ley"/>
        </w:smartTagPr>
        <w:r>
          <w:rPr>
            <w:lang w:val="es-ES"/>
          </w:rPr>
          <w:t>la Ley</w:t>
        </w:r>
      </w:smartTag>
      <w:r>
        <w:rPr>
          <w:lang w:val="es-ES"/>
        </w:rPr>
        <w:t xml:space="preserve"> de contratos de trabajo</w:t>
      </w:r>
      <w:r>
        <w:rPr>
          <w:rStyle w:val="FootnoteReference"/>
          <w:noProof/>
          <w:szCs w:val="24"/>
        </w:rPr>
        <w:footnoteReference w:id="8"/>
      </w:r>
      <w:r>
        <w:rPr>
          <w:lang w:val="es-ES"/>
        </w:rPr>
        <w:t>, el Código Penal</w:t>
      </w:r>
      <w:r>
        <w:rPr>
          <w:rStyle w:val="FootnoteReference"/>
          <w:noProof/>
          <w:szCs w:val="24"/>
        </w:rPr>
        <w:footnoteReference w:id="9"/>
      </w:r>
      <w:r>
        <w:rPr>
          <w:lang w:val="es-ES"/>
        </w:rPr>
        <w:t xml:space="preserve"> y varias otras leyes.</w:t>
      </w:r>
    </w:p>
    <w:p w:rsidR="00FA5C99" w:rsidRPr="00FA5C99" w:rsidRDefault="00FA5C99" w:rsidP="00637350">
      <w:pPr>
        <w:pStyle w:val="SingleTxtG"/>
        <w:rPr>
          <w:lang w:val="es-ES"/>
        </w:rPr>
      </w:pPr>
      <w:r>
        <w:rPr>
          <w:lang w:val="es-ES"/>
        </w:rPr>
        <w:t>14.</w:t>
      </w:r>
      <w:r>
        <w:rPr>
          <w:lang w:val="es-ES"/>
        </w:rPr>
        <w:tab/>
        <w:t>E</w:t>
      </w:r>
      <w:r w:rsidR="003F31B1">
        <w:rPr>
          <w:lang w:val="es-ES"/>
        </w:rPr>
        <w:t xml:space="preserve">ntre las competencias del Comisionado para </w:t>
      </w:r>
      <w:smartTag w:uri="urn:schemas-microsoft-com:office:smarttags" w:element="PersonName">
        <w:smartTagPr>
          <w:attr w:name="ProductID" w:val="la Igualdad"/>
        </w:smartTagPr>
        <w:r w:rsidR="003F31B1">
          <w:rPr>
            <w:lang w:val="es-ES"/>
          </w:rPr>
          <w:t xml:space="preserve">la </w:t>
        </w:r>
        <w:r w:rsidR="00543D9B">
          <w:rPr>
            <w:lang w:val="es-ES"/>
          </w:rPr>
          <w:t>I</w:t>
        </w:r>
        <w:r>
          <w:rPr>
            <w:lang w:val="es-ES"/>
          </w:rPr>
          <w:t>gualdad</w:t>
        </w:r>
      </w:smartTag>
      <w:r>
        <w:rPr>
          <w:lang w:val="es-ES"/>
        </w:rPr>
        <w:t xml:space="preserve"> de </w:t>
      </w:r>
      <w:r w:rsidR="00543D9B">
        <w:rPr>
          <w:lang w:val="es-ES"/>
        </w:rPr>
        <w:t>G</w:t>
      </w:r>
      <w:r w:rsidR="003F31B1">
        <w:rPr>
          <w:lang w:val="es-ES"/>
        </w:rPr>
        <w:t xml:space="preserve">énero y </w:t>
      </w:r>
      <w:smartTag w:uri="urn:schemas-microsoft-com:office:smarttags" w:element="PersonName">
        <w:smartTagPr>
          <w:attr w:name="ProductID" w:val="la Igualdad"/>
        </w:smartTagPr>
        <w:r w:rsidR="003F31B1">
          <w:rPr>
            <w:lang w:val="es-ES"/>
          </w:rPr>
          <w:t>la</w:t>
        </w:r>
        <w:r>
          <w:rPr>
            <w:lang w:val="es-ES"/>
          </w:rPr>
          <w:t xml:space="preserve"> </w:t>
        </w:r>
        <w:r w:rsidR="00543D9B">
          <w:rPr>
            <w:lang w:val="es-ES"/>
          </w:rPr>
          <w:t>I</w:t>
        </w:r>
        <w:r>
          <w:rPr>
            <w:lang w:val="es-ES"/>
          </w:rPr>
          <w:t>gualdad</w:t>
        </w:r>
      </w:smartTag>
      <w:r>
        <w:rPr>
          <w:lang w:val="es-ES"/>
        </w:rPr>
        <w:t xml:space="preserve"> de </w:t>
      </w:r>
      <w:r w:rsidR="00543D9B">
        <w:rPr>
          <w:lang w:val="es-ES"/>
        </w:rPr>
        <w:t>T</w:t>
      </w:r>
      <w:r>
        <w:rPr>
          <w:lang w:val="es-ES"/>
        </w:rPr>
        <w:t>rato</w:t>
      </w:r>
      <w:r>
        <w:rPr>
          <w:rStyle w:val="FootnoteReference"/>
          <w:szCs w:val="24"/>
          <w:lang w:val="es-ES"/>
        </w:rPr>
        <w:footnoteReference w:id="10"/>
      </w:r>
      <w:r>
        <w:rPr>
          <w:lang w:val="es-ES"/>
        </w:rPr>
        <w:t xml:space="preserve"> </w:t>
      </w:r>
      <w:r w:rsidR="008C29AC">
        <w:rPr>
          <w:lang w:val="es-ES"/>
        </w:rPr>
        <w:t>figuran</w:t>
      </w:r>
      <w:r w:rsidR="002F0E1D">
        <w:rPr>
          <w:lang w:val="es-ES"/>
        </w:rPr>
        <w:t xml:space="preserve"> </w:t>
      </w:r>
      <w:r>
        <w:rPr>
          <w:lang w:val="es-ES"/>
        </w:rPr>
        <w:t xml:space="preserve">la supervisión del cumplimiento de </w:t>
      </w:r>
      <w:smartTag w:uri="urn:schemas-microsoft-com:office:smarttags" w:element="PersonName">
        <w:smartTagPr>
          <w:attr w:name="ProductID" w:val="La Ley"/>
        </w:smartTagPr>
        <w:r>
          <w:rPr>
            <w:lang w:val="es-ES"/>
          </w:rPr>
          <w:t>la Ley</w:t>
        </w:r>
      </w:smartTag>
      <w:r>
        <w:rPr>
          <w:lang w:val="es-ES"/>
        </w:rPr>
        <w:t xml:space="preserve"> de igualdad de trato y </w:t>
      </w:r>
      <w:smartTag w:uri="urn:schemas-microsoft-com:office:smarttags" w:element="PersonName">
        <w:smartTagPr>
          <w:attr w:name="ProductID" w:val="La Ley"/>
        </w:smartTagPr>
        <w:r>
          <w:rPr>
            <w:lang w:val="es-ES"/>
          </w:rPr>
          <w:t>la Ley</w:t>
        </w:r>
      </w:smartTag>
      <w:r>
        <w:rPr>
          <w:lang w:val="es-ES"/>
        </w:rPr>
        <w:t xml:space="preserve"> de igualdad de género; el asesoramiento y la ayuda a las personas </w:t>
      </w:r>
      <w:r w:rsidR="002F0E1D">
        <w:rPr>
          <w:lang w:val="es-ES"/>
        </w:rPr>
        <w:t xml:space="preserve">que </w:t>
      </w:r>
      <w:r>
        <w:rPr>
          <w:lang w:val="es-ES"/>
        </w:rPr>
        <w:t xml:space="preserve">presentan </w:t>
      </w:r>
      <w:r w:rsidR="002F0E1D">
        <w:rPr>
          <w:lang w:val="es-ES"/>
        </w:rPr>
        <w:t xml:space="preserve">denuncias </w:t>
      </w:r>
      <w:r>
        <w:rPr>
          <w:lang w:val="es-ES"/>
        </w:rPr>
        <w:t xml:space="preserve">sobre discriminación; y la formulación de dictámenes </w:t>
      </w:r>
      <w:r w:rsidR="002F0E1D">
        <w:rPr>
          <w:lang w:val="es-ES"/>
        </w:rPr>
        <w:t xml:space="preserve">en casos de posible discriminación, sobre la </w:t>
      </w:r>
      <w:r>
        <w:rPr>
          <w:lang w:val="es-ES"/>
        </w:rPr>
        <w:t>bas</w:t>
      </w:r>
      <w:r w:rsidR="002F0E1D">
        <w:rPr>
          <w:lang w:val="es-ES"/>
        </w:rPr>
        <w:t>e</w:t>
      </w:r>
      <w:r>
        <w:rPr>
          <w:lang w:val="es-ES"/>
        </w:rPr>
        <w:t xml:space="preserve"> </w:t>
      </w:r>
      <w:r w:rsidR="002F0E1D">
        <w:rPr>
          <w:lang w:val="es-ES"/>
        </w:rPr>
        <w:t>d</w:t>
      </w:r>
      <w:r>
        <w:rPr>
          <w:lang w:val="es-ES"/>
        </w:rPr>
        <w:t xml:space="preserve">e las solicitudes de particulares o por iniciativa </w:t>
      </w:r>
      <w:r w:rsidR="002F0E1D">
        <w:rPr>
          <w:lang w:val="es-ES"/>
        </w:rPr>
        <w:t xml:space="preserve">propia, </w:t>
      </w:r>
      <w:r>
        <w:rPr>
          <w:lang w:val="es-ES"/>
        </w:rPr>
        <w:t xml:space="preserve">según la información recibida por el Comisionado. Además, el Comisionado publica informes sobre la aplicación de </w:t>
      </w:r>
      <w:r w:rsidR="00354C02">
        <w:rPr>
          <w:lang w:val="es-ES"/>
        </w:rPr>
        <w:t>l</w:t>
      </w:r>
      <w:r w:rsidR="002F0E1D">
        <w:rPr>
          <w:lang w:val="es-ES"/>
        </w:rPr>
        <w:t>os principios de</w:t>
      </w:r>
      <w:r>
        <w:rPr>
          <w:lang w:val="es-ES"/>
        </w:rPr>
        <w:t xml:space="preserve"> igualdad de género e igualdad de trato</w:t>
      </w:r>
      <w:r w:rsidR="002F0E1D">
        <w:rPr>
          <w:lang w:val="es-ES"/>
        </w:rPr>
        <w:t>,</w:t>
      </w:r>
      <w:r w:rsidR="003F31B1">
        <w:rPr>
          <w:lang w:val="es-ES"/>
        </w:rPr>
        <w:t xml:space="preserve"> y adopta medidas para promoverlo</w:t>
      </w:r>
      <w:r w:rsidR="00354C02">
        <w:rPr>
          <w:lang w:val="es-ES"/>
        </w:rPr>
        <w:t>s</w:t>
      </w:r>
      <w:r>
        <w:rPr>
          <w:lang w:val="es-ES"/>
        </w:rPr>
        <w:t>.</w:t>
      </w:r>
    </w:p>
    <w:p w:rsidR="008862A7" w:rsidRPr="008862A7" w:rsidRDefault="008862A7" w:rsidP="00637350">
      <w:pPr>
        <w:pStyle w:val="SingleTxtG"/>
        <w:rPr>
          <w:szCs w:val="24"/>
          <w:lang w:val="es-ES"/>
        </w:rPr>
      </w:pPr>
      <w:r>
        <w:rPr>
          <w:szCs w:val="24"/>
          <w:lang w:val="es-ES"/>
        </w:rPr>
        <w:t>15.</w:t>
      </w:r>
      <w:r>
        <w:rPr>
          <w:szCs w:val="24"/>
          <w:lang w:val="es-ES"/>
        </w:rPr>
        <w:tab/>
      </w:r>
      <w:smartTag w:uri="urn:schemas-microsoft-com:office:smarttags" w:element="PersonName">
        <w:smartTagPr>
          <w:attr w:name="ProductID" w:val="La Ley"/>
        </w:smartTagPr>
        <w:r>
          <w:rPr>
            <w:szCs w:val="24"/>
            <w:lang w:val="es-ES"/>
          </w:rPr>
          <w:t>La Ley</w:t>
        </w:r>
      </w:smartTag>
      <w:r>
        <w:rPr>
          <w:szCs w:val="24"/>
          <w:lang w:val="es-ES"/>
        </w:rPr>
        <w:t xml:space="preserve"> de igualdad de género se modificó en 2009 </w:t>
      </w:r>
      <w:r w:rsidR="00354C02">
        <w:rPr>
          <w:szCs w:val="24"/>
          <w:lang w:val="es-ES"/>
        </w:rPr>
        <w:t>para</w:t>
      </w:r>
      <w:r>
        <w:rPr>
          <w:szCs w:val="24"/>
          <w:lang w:val="es-ES"/>
        </w:rPr>
        <w:t xml:space="preserve"> </w:t>
      </w:r>
      <w:r w:rsidR="00354C02">
        <w:rPr>
          <w:szCs w:val="24"/>
          <w:lang w:val="es-ES"/>
        </w:rPr>
        <w:t>ajustar</w:t>
      </w:r>
      <w:r>
        <w:rPr>
          <w:szCs w:val="24"/>
          <w:lang w:val="es-ES"/>
        </w:rPr>
        <w:t xml:space="preserve"> </w:t>
      </w:r>
      <w:r w:rsidR="001F02C9">
        <w:rPr>
          <w:szCs w:val="24"/>
          <w:lang w:val="es-ES"/>
        </w:rPr>
        <w:t>su</w:t>
      </w:r>
      <w:r>
        <w:rPr>
          <w:szCs w:val="24"/>
          <w:lang w:val="es-ES"/>
        </w:rPr>
        <w:t xml:space="preserve">s definiciones de discriminación directa e indirecta y abuso sexual </w:t>
      </w:r>
      <w:r w:rsidR="00354C02">
        <w:rPr>
          <w:szCs w:val="24"/>
          <w:lang w:val="es-ES"/>
        </w:rPr>
        <w:t>a</w:t>
      </w:r>
      <w:r>
        <w:rPr>
          <w:szCs w:val="24"/>
          <w:lang w:val="es-ES"/>
        </w:rPr>
        <w:t xml:space="preserve"> las directivas pertinentes de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(UE)</w:t>
      </w:r>
      <w:r w:rsidR="001F02C9">
        <w:rPr>
          <w:szCs w:val="24"/>
          <w:lang w:val="es-ES"/>
        </w:rPr>
        <w:t>,</w:t>
      </w:r>
      <w:r>
        <w:rPr>
          <w:szCs w:val="24"/>
          <w:lang w:val="es-ES"/>
        </w:rPr>
        <w:t xml:space="preserve"> y añadir una definición de discriminación por motivo</w:t>
      </w:r>
      <w:r w:rsidR="00B757DD">
        <w:rPr>
          <w:szCs w:val="24"/>
          <w:lang w:val="es-ES"/>
        </w:rPr>
        <w:t>s</w:t>
      </w:r>
      <w:r>
        <w:rPr>
          <w:szCs w:val="24"/>
          <w:lang w:val="es-ES"/>
        </w:rPr>
        <w:t xml:space="preserve"> de género. </w:t>
      </w:r>
      <w:r w:rsidR="001F02C9">
        <w:rPr>
          <w:szCs w:val="24"/>
          <w:lang w:val="es-ES"/>
        </w:rPr>
        <w:t xml:space="preserve">Por lo que se refiere </w:t>
      </w:r>
      <w:r>
        <w:rPr>
          <w:szCs w:val="24"/>
          <w:lang w:val="es-ES"/>
        </w:rPr>
        <w:t xml:space="preserve">a otros aspectos de las actividades del Comisionado y de </w:t>
      </w:r>
      <w:smartTag w:uri="urn:schemas-microsoft-com:office:smarttags" w:element="PersonName">
        <w:smartTagPr>
          <w:attr w:name="ProductID" w:val="La Ley"/>
        </w:smartTagPr>
        <w:r>
          <w:rPr>
            <w:szCs w:val="24"/>
            <w:lang w:val="es-ES"/>
          </w:rPr>
          <w:t>la Ley</w:t>
        </w:r>
      </w:smartTag>
      <w:r>
        <w:rPr>
          <w:szCs w:val="24"/>
          <w:lang w:val="es-ES"/>
        </w:rPr>
        <w:t xml:space="preserve"> de igu</w:t>
      </w:r>
      <w:r w:rsidR="00FD1A09">
        <w:rPr>
          <w:szCs w:val="24"/>
          <w:lang w:val="es-ES"/>
        </w:rPr>
        <w:t>aldad de género, sírvanse consultar</w:t>
      </w:r>
      <w:r>
        <w:rPr>
          <w:szCs w:val="24"/>
          <w:lang w:val="es-ES"/>
        </w:rPr>
        <w:t xml:space="preserve"> los párrafos </w:t>
      </w:r>
      <w:smartTag w:uri="urn:schemas-microsoft-com:office:smarttags" w:element="metricconverter">
        <w:smartTagPr>
          <w:attr w:name="ProductID" w:val="12 a"/>
        </w:smartTagPr>
        <w:r>
          <w:rPr>
            <w:szCs w:val="24"/>
            <w:lang w:val="es-ES"/>
          </w:rPr>
          <w:t>12 a</w:t>
        </w:r>
      </w:smartTag>
      <w:r>
        <w:rPr>
          <w:szCs w:val="24"/>
          <w:lang w:val="es-ES"/>
        </w:rPr>
        <w:t xml:space="preserve"> 15 del informe anterior de Estonia.</w:t>
      </w:r>
    </w:p>
    <w:p w:rsidR="00354C02" w:rsidRDefault="00354C02" w:rsidP="00637350">
      <w:pPr>
        <w:pStyle w:val="SingleTxtG"/>
        <w:rPr>
          <w:szCs w:val="24"/>
          <w:lang w:val="es-ES"/>
        </w:rPr>
      </w:pPr>
      <w:r>
        <w:rPr>
          <w:szCs w:val="24"/>
          <w:lang w:val="es-ES"/>
        </w:rPr>
        <w:t>16.</w:t>
      </w:r>
      <w:r>
        <w:rPr>
          <w:szCs w:val="24"/>
          <w:lang w:val="es-ES"/>
        </w:rPr>
        <w:tab/>
        <w:t>La tarea del Departamento de Igualdad de Género del Ministerio de Asuntos Sociales es coordinar las actividades sobre igualdad de trato en el marco de divers</w:t>
      </w:r>
      <w:r w:rsidR="001F02C9">
        <w:rPr>
          <w:szCs w:val="24"/>
          <w:lang w:val="es-ES"/>
        </w:rPr>
        <w:t>o</w:t>
      </w:r>
      <w:r>
        <w:rPr>
          <w:szCs w:val="24"/>
          <w:lang w:val="es-ES"/>
        </w:rPr>
        <w:t>s</w:t>
      </w:r>
      <w:r w:rsidR="001F02C9">
        <w:rPr>
          <w:szCs w:val="24"/>
          <w:lang w:val="es-ES"/>
        </w:rPr>
        <w:t xml:space="preserve"> proyectos de ley e </w:t>
      </w:r>
      <w:r>
        <w:rPr>
          <w:szCs w:val="24"/>
          <w:lang w:val="es-ES"/>
        </w:rPr>
        <w:t>instituciones n</w:t>
      </w:r>
      <w:r w:rsidR="003F31B1">
        <w:rPr>
          <w:szCs w:val="24"/>
          <w:lang w:val="es-ES"/>
        </w:rPr>
        <w:t>acionales. De conformidad con</w:t>
      </w:r>
      <w:r>
        <w:rPr>
          <w:szCs w:val="24"/>
          <w:lang w:val="es-ES"/>
        </w:rPr>
        <w:t xml:space="preserve"> el artículo 14 de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 todos los ministerios vigilar</w:t>
      </w:r>
      <w:r w:rsidR="001F02C9">
        <w:rPr>
          <w:szCs w:val="24"/>
          <w:lang w:val="es-ES"/>
        </w:rPr>
        <w:t>án</w:t>
      </w:r>
      <w:r>
        <w:rPr>
          <w:szCs w:val="24"/>
          <w:lang w:val="es-ES"/>
        </w:rPr>
        <w:t>, en sus</w:t>
      </w:r>
      <w:r w:rsidR="003F31B1">
        <w:rPr>
          <w:szCs w:val="24"/>
          <w:lang w:val="es-ES"/>
        </w:rPr>
        <w:t xml:space="preserve"> respectivos ámbitos de competencia</w:t>
      </w:r>
      <w:r>
        <w:rPr>
          <w:szCs w:val="24"/>
          <w:lang w:val="es-ES"/>
        </w:rPr>
        <w:t xml:space="preserve">, el cumplimiento de las obligaciones dimanantes de </w:t>
      </w:r>
      <w:r w:rsidR="001F02C9">
        <w:rPr>
          <w:szCs w:val="24"/>
          <w:lang w:val="es-ES"/>
        </w:rPr>
        <w:t xml:space="preserve">esa </w:t>
      </w:r>
      <w:r w:rsidR="005554AF">
        <w:rPr>
          <w:szCs w:val="24"/>
          <w:lang w:val="es-ES"/>
        </w:rPr>
        <w:t>ley</w:t>
      </w:r>
      <w:r w:rsidR="001F02C9">
        <w:rPr>
          <w:szCs w:val="24"/>
          <w:lang w:val="es-ES"/>
        </w:rPr>
        <w:t>,</w:t>
      </w:r>
      <w:r>
        <w:rPr>
          <w:szCs w:val="24"/>
          <w:lang w:val="es-ES"/>
        </w:rPr>
        <w:t xml:space="preserve"> y cooperar</w:t>
      </w:r>
      <w:r w:rsidR="001F02C9">
        <w:rPr>
          <w:szCs w:val="24"/>
          <w:lang w:val="es-ES"/>
        </w:rPr>
        <w:t>án</w:t>
      </w:r>
      <w:r>
        <w:rPr>
          <w:szCs w:val="24"/>
          <w:lang w:val="es-ES"/>
        </w:rPr>
        <w:t xml:space="preserve"> con otras personas y entidades para promo</w:t>
      </w:r>
      <w:r w:rsidR="001F02C9">
        <w:rPr>
          <w:szCs w:val="24"/>
          <w:lang w:val="es-ES"/>
        </w:rPr>
        <w:t>ver el</w:t>
      </w:r>
      <w:r>
        <w:rPr>
          <w:szCs w:val="24"/>
          <w:lang w:val="es-ES"/>
        </w:rPr>
        <w:t xml:space="preserve"> principio de la igualdad de trato. Deben respetar asimismo los principios </w:t>
      </w:r>
      <w:r w:rsidR="003F31B1">
        <w:rPr>
          <w:szCs w:val="24"/>
          <w:lang w:val="es-ES"/>
        </w:rPr>
        <w:t>de igualdad de trato al diseñar</w:t>
      </w:r>
      <w:r w:rsidR="0038184E">
        <w:rPr>
          <w:szCs w:val="24"/>
          <w:lang w:val="es-ES"/>
        </w:rPr>
        <w:t xml:space="preserve"> </w:t>
      </w:r>
      <w:r>
        <w:rPr>
          <w:szCs w:val="24"/>
          <w:lang w:val="es-ES"/>
        </w:rPr>
        <w:t>políticas de recopilación y procesamiento de datos que reflejen la situación de su p</w:t>
      </w:r>
      <w:r w:rsidR="0038184E">
        <w:rPr>
          <w:szCs w:val="24"/>
          <w:lang w:val="es-ES"/>
        </w:rPr>
        <w:t>ersonal</w:t>
      </w:r>
      <w:r>
        <w:rPr>
          <w:szCs w:val="24"/>
          <w:lang w:val="es-ES"/>
        </w:rPr>
        <w:t xml:space="preserve"> y de la población</w:t>
      </w:r>
      <w:r w:rsidR="0038184E">
        <w:rPr>
          <w:szCs w:val="24"/>
          <w:lang w:val="es-ES"/>
        </w:rPr>
        <w:t xml:space="preserve"> en general</w:t>
      </w:r>
      <w:r w:rsidR="003F31B1">
        <w:rPr>
          <w:szCs w:val="24"/>
          <w:lang w:val="es-ES"/>
        </w:rPr>
        <w:t>. Los ministerios</w:t>
      </w:r>
      <w:r>
        <w:rPr>
          <w:szCs w:val="24"/>
          <w:lang w:val="es-ES"/>
        </w:rPr>
        <w:t xml:space="preserve"> también </w:t>
      </w:r>
      <w:r w:rsidR="003F31B1">
        <w:rPr>
          <w:szCs w:val="24"/>
          <w:lang w:val="es-ES"/>
        </w:rPr>
        <w:t xml:space="preserve">deben </w:t>
      </w:r>
      <w:r w:rsidR="0038184E">
        <w:rPr>
          <w:szCs w:val="24"/>
          <w:lang w:val="es-ES"/>
        </w:rPr>
        <w:t xml:space="preserve">sensibilizar en mayor medida a </w:t>
      </w:r>
      <w:r>
        <w:rPr>
          <w:szCs w:val="24"/>
          <w:lang w:val="es-ES"/>
        </w:rPr>
        <w:t xml:space="preserve">sus funcionarios y </w:t>
      </w:r>
      <w:r w:rsidR="0038184E">
        <w:rPr>
          <w:szCs w:val="24"/>
          <w:lang w:val="es-ES"/>
        </w:rPr>
        <w:t xml:space="preserve">a </w:t>
      </w:r>
      <w:r>
        <w:rPr>
          <w:szCs w:val="24"/>
          <w:lang w:val="es-ES"/>
        </w:rPr>
        <w:t>la población sobre la naturaleza de la no discriminación.</w:t>
      </w:r>
    </w:p>
    <w:p w:rsidR="00ED35E7" w:rsidRPr="00ED35E7" w:rsidRDefault="00ED35E7" w:rsidP="00637350">
      <w:pPr>
        <w:pStyle w:val="SingleTxtG"/>
        <w:rPr>
          <w:szCs w:val="24"/>
          <w:lang w:val="es-ES"/>
        </w:rPr>
      </w:pPr>
      <w:r>
        <w:rPr>
          <w:szCs w:val="24"/>
          <w:lang w:val="es-ES"/>
        </w:rPr>
        <w:t>17.</w:t>
      </w:r>
      <w:r>
        <w:rPr>
          <w:szCs w:val="24"/>
          <w:lang w:val="es-ES"/>
        </w:rPr>
        <w:tab/>
        <w:t xml:space="preserve">En virtud de las enmiendas a </w:t>
      </w:r>
      <w:smartTag w:uri="urn:schemas-microsoft-com:office:smarttags" w:element="PersonName">
        <w:smartTagPr>
          <w:attr w:name="ProductID" w:val="La Ley"/>
        </w:smartTagPr>
        <w:r>
          <w:rPr>
            <w:szCs w:val="24"/>
            <w:lang w:val="es-ES"/>
          </w:rPr>
          <w:t>la Ley</w:t>
        </w:r>
      </w:smartTag>
      <w:r>
        <w:rPr>
          <w:szCs w:val="24"/>
          <w:lang w:val="es-ES"/>
        </w:rPr>
        <w:t xml:space="preserve"> de administración pública</w:t>
      </w:r>
      <w:r w:rsidR="0038184E">
        <w:rPr>
          <w:szCs w:val="24"/>
          <w:lang w:val="es-ES"/>
        </w:rPr>
        <w:t>,</w:t>
      </w:r>
      <w:r>
        <w:rPr>
          <w:szCs w:val="24"/>
          <w:lang w:val="es-ES"/>
        </w:rPr>
        <w:t xml:space="preserve"> de 1 de enero de 2009, las autoridades gubernamentales nacionales y locales garantizarán la protección de las personas frente a la discriminación y observarán el principio de igualdad de trato de conformidad con las disposiciones de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 y </w:t>
      </w:r>
      <w:smartTag w:uri="urn:schemas-microsoft-com:office:smarttags" w:element="PersonName">
        <w:smartTagPr>
          <w:attr w:name="ProductID" w:val="La Ley"/>
        </w:smartTagPr>
        <w:r>
          <w:rPr>
            <w:szCs w:val="24"/>
            <w:lang w:val="es-ES"/>
          </w:rPr>
          <w:t>la Ley</w:t>
        </w:r>
      </w:smartTag>
      <w:r>
        <w:rPr>
          <w:szCs w:val="24"/>
          <w:lang w:val="es-ES"/>
        </w:rPr>
        <w:t xml:space="preserve"> de igualdad de género. Está prohibido discriminar a un </w:t>
      </w:r>
      <w:r w:rsidR="0038184E">
        <w:rPr>
          <w:szCs w:val="24"/>
          <w:lang w:val="es-ES"/>
        </w:rPr>
        <w:t xml:space="preserve">empleado </w:t>
      </w:r>
      <w:r>
        <w:rPr>
          <w:szCs w:val="24"/>
          <w:lang w:val="es-ES"/>
        </w:rPr>
        <w:t xml:space="preserve">o </w:t>
      </w:r>
      <w:r w:rsidR="0038184E">
        <w:rPr>
          <w:szCs w:val="24"/>
          <w:lang w:val="es-ES"/>
        </w:rPr>
        <w:t>posible</w:t>
      </w:r>
      <w:r>
        <w:rPr>
          <w:szCs w:val="24"/>
          <w:lang w:val="es-ES"/>
        </w:rPr>
        <w:t xml:space="preserve"> </w:t>
      </w:r>
      <w:r w:rsidR="0038184E">
        <w:rPr>
          <w:szCs w:val="24"/>
          <w:lang w:val="es-ES"/>
        </w:rPr>
        <w:t xml:space="preserve">empleado </w:t>
      </w:r>
      <w:r>
        <w:rPr>
          <w:szCs w:val="24"/>
          <w:lang w:val="es-ES"/>
        </w:rPr>
        <w:t>por motivos de género, nacionalidad (origen étnico), raza, color, religión o creencias, edad, discapacidad, orie</w:t>
      </w:r>
      <w:r w:rsidR="003F31B1">
        <w:rPr>
          <w:szCs w:val="24"/>
          <w:lang w:val="es-ES"/>
        </w:rPr>
        <w:t>ntación sexual, idioma, prestación de servicios</w:t>
      </w:r>
      <w:r>
        <w:rPr>
          <w:szCs w:val="24"/>
          <w:lang w:val="es-ES"/>
        </w:rPr>
        <w:t xml:space="preserve"> en las Fuerzas de Defensa, estado civil, cumplimiento de las obligaciones familiares, condición social, representación de los intereses de los trabajadores o pertenencia a un sindicato. En caso de discrim</w:t>
      </w:r>
      <w:r w:rsidR="00FF167D">
        <w:rPr>
          <w:szCs w:val="24"/>
          <w:lang w:val="es-ES"/>
        </w:rPr>
        <w:t>inación por alguno de los motivo</w:t>
      </w:r>
      <w:r>
        <w:rPr>
          <w:szCs w:val="24"/>
          <w:lang w:val="es-ES"/>
        </w:rPr>
        <w:t xml:space="preserve">s señalados, se aplicará lo dispuesto en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 o </w:t>
      </w:r>
      <w:smartTag w:uri="urn:schemas-microsoft-com:office:smarttags" w:element="PersonName">
        <w:smartTagPr>
          <w:attr w:name="ProductID" w:val="La Ley"/>
        </w:smartTagPr>
        <w:r>
          <w:rPr>
            <w:szCs w:val="24"/>
            <w:lang w:val="es-ES"/>
          </w:rPr>
          <w:t>la Ley</w:t>
        </w:r>
      </w:smartTag>
      <w:r>
        <w:rPr>
          <w:szCs w:val="24"/>
          <w:lang w:val="es-ES"/>
        </w:rPr>
        <w:t xml:space="preserve"> de igualdad de género. Sin embargo, </w:t>
      </w:r>
      <w:r w:rsidR="003F31B1">
        <w:rPr>
          <w:szCs w:val="24"/>
          <w:lang w:val="es-ES"/>
        </w:rPr>
        <w:t xml:space="preserve">no se considerará discriminatorio </w:t>
      </w:r>
      <w:r>
        <w:rPr>
          <w:szCs w:val="24"/>
          <w:lang w:val="es-ES"/>
        </w:rPr>
        <w:t xml:space="preserve">un trato diferente debido </w:t>
      </w:r>
      <w:r w:rsidR="00FF167D">
        <w:rPr>
          <w:szCs w:val="24"/>
          <w:lang w:val="es-ES"/>
        </w:rPr>
        <w:t>a</w:t>
      </w:r>
      <w:r w:rsidR="003F31B1">
        <w:rPr>
          <w:szCs w:val="24"/>
          <w:lang w:val="es-ES"/>
        </w:rPr>
        <w:t xml:space="preserve"> los</w:t>
      </w:r>
      <w:r w:rsidR="00FF167D">
        <w:rPr>
          <w:szCs w:val="24"/>
          <w:lang w:val="es-ES"/>
        </w:rPr>
        <w:t xml:space="preserve"> conocimientos </w:t>
      </w:r>
      <w:r w:rsidR="003F31B1">
        <w:rPr>
          <w:szCs w:val="24"/>
          <w:lang w:val="es-ES"/>
        </w:rPr>
        <w:t>lingüísticos</w:t>
      </w:r>
      <w:r w:rsidR="00FF167D">
        <w:rPr>
          <w:szCs w:val="24"/>
          <w:lang w:val="es-ES"/>
        </w:rPr>
        <w:t xml:space="preserve"> </w:t>
      </w:r>
      <w:r>
        <w:rPr>
          <w:szCs w:val="24"/>
          <w:lang w:val="es-ES"/>
        </w:rPr>
        <w:t xml:space="preserve">si </w:t>
      </w:r>
      <w:r w:rsidR="003F31B1">
        <w:rPr>
          <w:szCs w:val="24"/>
          <w:lang w:val="es-ES"/>
        </w:rPr>
        <w:t xml:space="preserve">así </w:t>
      </w:r>
      <w:r>
        <w:rPr>
          <w:szCs w:val="24"/>
          <w:lang w:val="es-ES"/>
        </w:rPr>
        <w:t>lo permite</w:t>
      </w:r>
      <w:r w:rsidR="00C93178">
        <w:rPr>
          <w:szCs w:val="24"/>
          <w:lang w:val="es-ES"/>
        </w:rPr>
        <w:t xml:space="preserve">n </w:t>
      </w:r>
      <w:smartTag w:uri="urn:schemas-microsoft-com:office:smarttags" w:element="PersonName">
        <w:smartTagPr>
          <w:attr w:name="ProductID" w:val="La Ley"/>
        </w:smartTagPr>
        <w:r>
          <w:rPr>
            <w:szCs w:val="24"/>
            <w:lang w:val="es-ES"/>
          </w:rPr>
          <w:t>la Ley</w:t>
        </w:r>
      </w:smartTag>
      <w:r>
        <w:rPr>
          <w:szCs w:val="24"/>
          <w:lang w:val="es-ES"/>
        </w:rPr>
        <w:t xml:space="preserve"> de administración pública o </w:t>
      </w:r>
      <w:smartTag w:uri="urn:schemas-microsoft-com:office:smarttags" w:element="PersonName">
        <w:smartTagPr>
          <w:attr w:name="ProductID" w:val="La Ley"/>
        </w:smartTagPr>
        <w:r>
          <w:rPr>
            <w:szCs w:val="24"/>
            <w:lang w:val="es-ES"/>
          </w:rPr>
          <w:t>la Ley</w:t>
        </w:r>
      </w:smartTag>
      <w:r>
        <w:rPr>
          <w:szCs w:val="24"/>
          <w:lang w:val="es-ES"/>
        </w:rPr>
        <w:t xml:space="preserve"> de idiomas.</w:t>
      </w:r>
    </w:p>
    <w:p w:rsidR="00ED35E7" w:rsidRPr="00ED35E7" w:rsidRDefault="00ED35E7" w:rsidP="00637350">
      <w:pPr>
        <w:pStyle w:val="SingleTxtG"/>
        <w:rPr>
          <w:szCs w:val="24"/>
          <w:lang w:val="es-ES"/>
        </w:rPr>
      </w:pPr>
      <w:r w:rsidRPr="00ED35E7">
        <w:rPr>
          <w:szCs w:val="24"/>
          <w:lang w:val="es-ES"/>
        </w:rPr>
        <w:t>18.</w:t>
      </w:r>
      <w:r w:rsidRPr="00ED35E7">
        <w:rPr>
          <w:szCs w:val="24"/>
          <w:lang w:val="es-ES"/>
        </w:rPr>
        <w:tab/>
      </w:r>
      <w:r w:rsidR="003F31B1">
        <w:rPr>
          <w:szCs w:val="24"/>
          <w:lang w:val="es-ES"/>
        </w:rPr>
        <w:t>En virtud de</w:t>
      </w:r>
      <w:r>
        <w:rPr>
          <w:szCs w:val="24"/>
          <w:lang w:val="es-ES"/>
        </w:rPr>
        <w:t xml:space="preserve"> la nueva Ley de contratos de trabajo</w:t>
      </w:r>
      <w:r w:rsidR="00C93178">
        <w:rPr>
          <w:szCs w:val="24"/>
          <w:lang w:val="es-ES"/>
        </w:rPr>
        <w:t>,</w:t>
      </w:r>
      <w:r>
        <w:rPr>
          <w:szCs w:val="24"/>
          <w:lang w:val="es-ES"/>
        </w:rPr>
        <w:t xml:space="preserve"> que entró en vigor el 1 de julio de 2009, los empleadores deben velar por la protección de los empleados frente a la discriminación, respetar el principio de igualdad de trato y promover la igualdad de conformidad con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 y </w:t>
      </w:r>
      <w:smartTag w:uri="urn:schemas-microsoft-com:office:smarttags" w:element="PersonName">
        <w:smartTagPr>
          <w:attr w:name="ProductID" w:val="La Ley"/>
        </w:smartTagPr>
        <w:r>
          <w:rPr>
            <w:szCs w:val="24"/>
            <w:lang w:val="es-ES"/>
          </w:rPr>
          <w:t>la Ley</w:t>
        </w:r>
      </w:smartTag>
      <w:r>
        <w:rPr>
          <w:szCs w:val="24"/>
          <w:lang w:val="es-ES"/>
        </w:rPr>
        <w:t xml:space="preserve"> de igualdad de género, </w:t>
      </w:r>
      <w:r w:rsidR="00C93178">
        <w:rPr>
          <w:szCs w:val="24"/>
          <w:lang w:val="es-ES"/>
        </w:rPr>
        <w:t>puesto</w:t>
      </w:r>
      <w:r>
        <w:rPr>
          <w:szCs w:val="24"/>
          <w:lang w:val="es-ES"/>
        </w:rPr>
        <w:t xml:space="preserve"> que </w:t>
      </w:r>
      <w:smartTag w:uri="urn:schemas-microsoft-com:office:smarttags" w:element="PersonName">
        <w:smartTagPr>
          <w:attr w:name="ProductID" w:val="La Ley"/>
        </w:smartTagPr>
        <w:r>
          <w:rPr>
            <w:szCs w:val="24"/>
            <w:lang w:val="es-ES"/>
          </w:rPr>
          <w:t>la</w:t>
        </w:r>
        <w:r w:rsidR="00FF167D">
          <w:rPr>
            <w:szCs w:val="24"/>
            <w:lang w:val="es-ES"/>
          </w:rPr>
          <w:t xml:space="preserve"> </w:t>
        </w:r>
        <w:r>
          <w:rPr>
            <w:szCs w:val="24"/>
            <w:lang w:val="es-ES"/>
          </w:rPr>
          <w:t>Ley</w:t>
        </w:r>
      </w:smartTag>
      <w:r>
        <w:rPr>
          <w:szCs w:val="24"/>
          <w:lang w:val="es-ES"/>
        </w:rPr>
        <w:t xml:space="preserve"> de contratos de trabajo ya no incluye disposiciones relativas a la igualdad de trato, </w:t>
      </w:r>
      <w:r w:rsidR="00C93178">
        <w:rPr>
          <w:szCs w:val="24"/>
          <w:lang w:val="es-ES"/>
        </w:rPr>
        <w:t xml:space="preserve">ahora </w:t>
      </w:r>
      <w:r>
        <w:rPr>
          <w:szCs w:val="24"/>
          <w:lang w:val="es-ES"/>
        </w:rPr>
        <w:t xml:space="preserve">reglamentada en </w:t>
      </w:r>
      <w:r w:rsidR="00C93178">
        <w:rPr>
          <w:szCs w:val="24"/>
          <w:lang w:val="es-ES"/>
        </w:rPr>
        <w:t>es</w:t>
      </w:r>
      <w:r w:rsidR="00FF167D">
        <w:rPr>
          <w:szCs w:val="24"/>
          <w:lang w:val="es-ES"/>
        </w:rPr>
        <w:t>as dos leyes</w:t>
      </w:r>
      <w:r>
        <w:rPr>
          <w:szCs w:val="24"/>
          <w:lang w:val="es-ES"/>
        </w:rPr>
        <w:t>.</w:t>
      </w:r>
    </w:p>
    <w:p w:rsidR="00FF167D" w:rsidRDefault="00FF167D" w:rsidP="00637350">
      <w:pPr>
        <w:pStyle w:val="SingleTxtG"/>
        <w:rPr>
          <w:szCs w:val="24"/>
          <w:lang w:val="es-ES"/>
        </w:rPr>
      </w:pPr>
      <w:r>
        <w:rPr>
          <w:szCs w:val="24"/>
          <w:lang w:val="es-ES"/>
        </w:rPr>
        <w:t>19.</w:t>
      </w:r>
      <w:r>
        <w:rPr>
          <w:szCs w:val="24"/>
          <w:lang w:val="es-ES"/>
        </w:rPr>
        <w:tab/>
        <w:t xml:space="preserve">Estonia coopera activamente con otros Estados en </w:t>
      </w:r>
      <w:r w:rsidR="00C93178">
        <w:rPr>
          <w:szCs w:val="24"/>
          <w:lang w:val="es-ES"/>
        </w:rPr>
        <w:t>lo relativo a la</w:t>
      </w:r>
      <w:r>
        <w:rPr>
          <w:szCs w:val="24"/>
          <w:lang w:val="es-ES"/>
        </w:rPr>
        <w:t xml:space="preserve"> igualdad de trato. Por ejemplo,</w:t>
      </w:r>
      <w:r w:rsidR="00C93178">
        <w:rPr>
          <w:szCs w:val="24"/>
          <w:lang w:val="es-ES"/>
        </w:rPr>
        <w:t xml:space="preserve"> con arreglo</w:t>
      </w:r>
      <w:r>
        <w:rPr>
          <w:szCs w:val="24"/>
          <w:lang w:val="es-ES"/>
        </w:rPr>
        <w:t xml:space="preserve"> </w:t>
      </w:r>
      <w:r w:rsidR="00C93178">
        <w:rPr>
          <w:szCs w:val="24"/>
          <w:lang w:val="es-ES"/>
        </w:rPr>
        <w:t>a</w:t>
      </w:r>
      <w:r>
        <w:rPr>
          <w:szCs w:val="24"/>
          <w:lang w:val="es-ES"/>
        </w:rPr>
        <w:t>l Memorando de Entendimiento sobre la aplicación del Mecanismo Financiero de Noruega (2009-2014)</w:t>
      </w:r>
      <w:r w:rsidR="003F31B1">
        <w:rPr>
          <w:szCs w:val="24"/>
          <w:lang w:val="es-ES"/>
        </w:rPr>
        <w:t>,</w:t>
      </w:r>
      <w:r>
        <w:rPr>
          <w:szCs w:val="24"/>
          <w:lang w:val="es-ES"/>
        </w:rPr>
        <w:t xml:space="preserve"> </w:t>
      </w:r>
      <w:r w:rsidR="00CE6555">
        <w:rPr>
          <w:szCs w:val="24"/>
          <w:lang w:val="es-ES"/>
        </w:rPr>
        <w:t xml:space="preserve">suscrito </w:t>
      </w:r>
      <w:r>
        <w:rPr>
          <w:szCs w:val="24"/>
          <w:lang w:val="es-ES"/>
        </w:rPr>
        <w:t xml:space="preserve">entre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 y el Reino de Noruega, dicho mecanismo financiará también un programa de in</w:t>
      </w:r>
      <w:r w:rsidR="002770D5">
        <w:rPr>
          <w:szCs w:val="24"/>
          <w:lang w:val="es-ES"/>
        </w:rPr>
        <w:t>corpor</w:t>
      </w:r>
      <w:r>
        <w:rPr>
          <w:szCs w:val="24"/>
          <w:lang w:val="es-ES"/>
        </w:rPr>
        <w:t xml:space="preserve">ación </w:t>
      </w:r>
      <w:r w:rsidR="002770D5">
        <w:rPr>
          <w:szCs w:val="24"/>
          <w:lang w:val="es-ES"/>
        </w:rPr>
        <w:t xml:space="preserve">sistemática </w:t>
      </w:r>
      <w:r>
        <w:rPr>
          <w:szCs w:val="24"/>
          <w:lang w:val="es-ES"/>
        </w:rPr>
        <w:t xml:space="preserve">de la igualdad de género y promoción del equilibrio entre la vida personal y </w:t>
      </w:r>
      <w:r w:rsidR="003F31B1">
        <w:rPr>
          <w:szCs w:val="24"/>
          <w:lang w:val="es-ES"/>
        </w:rPr>
        <w:t>laboral. Entre otras cosas, el</w:t>
      </w:r>
      <w:r>
        <w:rPr>
          <w:szCs w:val="24"/>
          <w:lang w:val="es-ES"/>
        </w:rPr>
        <w:t xml:space="preserve"> programa tiene por objeto sentar las bases para la sensibilización sistemática sobre la igualdad de género en </w:t>
      </w:r>
      <w:r w:rsidR="003F31B1">
        <w:rPr>
          <w:szCs w:val="24"/>
          <w:lang w:val="es-ES"/>
        </w:rPr>
        <w:t>el contexto</w:t>
      </w:r>
      <w:r>
        <w:rPr>
          <w:szCs w:val="24"/>
          <w:lang w:val="es-ES"/>
        </w:rPr>
        <w:t xml:space="preserve"> de</w:t>
      </w:r>
      <w:r w:rsidR="003F31B1">
        <w:rPr>
          <w:szCs w:val="24"/>
          <w:lang w:val="es-ES"/>
        </w:rPr>
        <w:t xml:space="preserve"> los</w:t>
      </w:r>
      <w:r>
        <w:rPr>
          <w:szCs w:val="24"/>
          <w:lang w:val="es-ES"/>
        </w:rPr>
        <w:t xml:space="preserve"> estudios universitarios, </w:t>
      </w:r>
      <w:r w:rsidR="003F31B1">
        <w:rPr>
          <w:szCs w:val="24"/>
          <w:lang w:val="es-ES"/>
        </w:rPr>
        <w:t xml:space="preserve">la </w:t>
      </w:r>
      <w:r>
        <w:rPr>
          <w:szCs w:val="24"/>
          <w:lang w:val="es-ES"/>
        </w:rPr>
        <w:t xml:space="preserve">formación básica y continua de los docentes, y </w:t>
      </w:r>
      <w:r w:rsidR="003F31B1">
        <w:rPr>
          <w:szCs w:val="24"/>
          <w:lang w:val="es-ES"/>
        </w:rPr>
        <w:t xml:space="preserve">la </w:t>
      </w:r>
      <w:r>
        <w:rPr>
          <w:szCs w:val="24"/>
          <w:lang w:val="es-ES"/>
        </w:rPr>
        <w:t>formación permanente de los funcionarios. Está también previsto financiar medidas de promoción del equilibrio entre la vida personal y laboral. Otro de sus objetivos es mejorar la recopilación de datos estadísticos, e</w:t>
      </w:r>
      <w:r w:rsidR="00CE6555">
        <w:rPr>
          <w:szCs w:val="24"/>
          <w:lang w:val="es-ES"/>
        </w:rPr>
        <w:t>n particular</w:t>
      </w:r>
      <w:r>
        <w:rPr>
          <w:szCs w:val="24"/>
          <w:lang w:val="es-ES"/>
        </w:rPr>
        <w:t xml:space="preserve"> sobre la remuneración de mujeres y hombres, y apoyar las a</w:t>
      </w:r>
      <w:r w:rsidR="003F31B1">
        <w:rPr>
          <w:szCs w:val="24"/>
          <w:lang w:val="es-ES"/>
        </w:rPr>
        <w:t xml:space="preserve">ctividades del Comisionado para </w:t>
      </w:r>
      <w:smartTag w:uri="urn:schemas-microsoft-com:office:smarttags" w:element="PersonName">
        <w:smartTagPr>
          <w:attr w:name="ProductID" w:val="la Igualdad"/>
        </w:smartTagPr>
        <w:r w:rsidR="003F31B1">
          <w:rPr>
            <w:szCs w:val="24"/>
            <w:lang w:val="es-ES"/>
          </w:rPr>
          <w:t>la</w:t>
        </w:r>
        <w:r>
          <w:rPr>
            <w:szCs w:val="24"/>
            <w:lang w:val="es-ES"/>
          </w:rPr>
          <w:t xml:space="preserve"> </w:t>
        </w:r>
        <w:r w:rsidR="00CE6555">
          <w:rPr>
            <w:szCs w:val="24"/>
            <w:lang w:val="es-ES"/>
          </w:rPr>
          <w:t>I</w:t>
        </w:r>
        <w:r>
          <w:rPr>
            <w:szCs w:val="24"/>
            <w:lang w:val="es-ES"/>
          </w:rPr>
          <w:t>gualdad</w:t>
        </w:r>
      </w:smartTag>
      <w:r>
        <w:rPr>
          <w:szCs w:val="24"/>
          <w:lang w:val="es-ES"/>
        </w:rPr>
        <w:t xml:space="preserve"> de </w:t>
      </w:r>
      <w:r w:rsidR="00CE6555">
        <w:rPr>
          <w:szCs w:val="24"/>
          <w:lang w:val="es-ES"/>
        </w:rPr>
        <w:t>G</w:t>
      </w:r>
      <w:r w:rsidR="003F31B1">
        <w:rPr>
          <w:szCs w:val="24"/>
          <w:lang w:val="es-ES"/>
        </w:rPr>
        <w:t xml:space="preserve">énero y </w:t>
      </w:r>
      <w:smartTag w:uri="urn:schemas-microsoft-com:office:smarttags" w:element="PersonName">
        <w:smartTagPr>
          <w:attr w:name="ProductID" w:val="la Igualdad"/>
        </w:smartTagPr>
        <w:r w:rsidR="003F31B1">
          <w:rPr>
            <w:szCs w:val="24"/>
            <w:lang w:val="es-ES"/>
          </w:rPr>
          <w:t>la</w:t>
        </w:r>
        <w:r>
          <w:rPr>
            <w:szCs w:val="24"/>
            <w:lang w:val="es-ES"/>
          </w:rPr>
          <w:t xml:space="preserve"> </w:t>
        </w:r>
        <w:r w:rsidR="00CE6555">
          <w:rPr>
            <w:szCs w:val="24"/>
            <w:lang w:val="es-ES"/>
          </w:rPr>
          <w:t>I</w:t>
        </w:r>
        <w:r>
          <w:rPr>
            <w:szCs w:val="24"/>
            <w:lang w:val="es-ES"/>
          </w:rPr>
          <w:t>gualdad</w:t>
        </w:r>
      </w:smartTag>
      <w:r>
        <w:rPr>
          <w:szCs w:val="24"/>
          <w:lang w:val="es-ES"/>
        </w:rPr>
        <w:t xml:space="preserve"> de </w:t>
      </w:r>
      <w:r w:rsidR="00CE6555">
        <w:rPr>
          <w:szCs w:val="24"/>
          <w:lang w:val="es-ES"/>
        </w:rPr>
        <w:t>T</w:t>
      </w:r>
      <w:r>
        <w:rPr>
          <w:szCs w:val="24"/>
          <w:lang w:val="es-ES"/>
        </w:rPr>
        <w:t xml:space="preserve">rato. Con esos recursos adicionales, el Comisionado tiene previsto adoptar medidas para mejorar la protección jurídica frente a la discriminación mediante el aumento de la sensibilización, la ayuda a las víctimas de la discriminación y el fomento de la capacidad de los </w:t>
      </w:r>
      <w:r w:rsidR="003F31B1">
        <w:rPr>
          <w:szCs w:val="24"/>
          <w:lang w:val="es-ES"/>
        </w:rPr>
        <w:t>funcionarios que se ocupan de ellas</w:t>
      </w:r>
      <w:r>
        <w:rPr>
          <w:szCs w:val="24"/>
          <w:lang w:val="es-ES"/>
        </w:rPr>
        <w:t>. El Comisionado también p</w:t>
      </w:r>
      <w:r w:rsidR="002770D5">
        <w:rPr>
          <w:szCs w:val="24"/>
          <w:lang w:val="es-ES"/>
        </w:rPr>
        <w:t>revé</w:t>
      </w:r>
      <w:r>
        <w:rPr>
          <w:szCs w:val="24"/>
          <w:lang w:val="es-ES"/>
        </w:rPr>
        <w:t xml:space="preserve"> adoptar medidas para promover la igualdad de género y apoyar </w:t>
      </w:r>
      <w:r w:rsidR="002770D5">
        <w:rPr>
          <w:szCs w:val="24"/>
          <w:lang w:val="es-ES"/>
        </w:rPr>
        <w:t>su</w:t>
      </w:r>
      <w:r>
        <w:rPr>
          <w:szCs w:val="24"/>
          <w:lang w:val="es-ES"/>
        </w:rPr>
        <w:t xml:space="preserve"> in</w:t>
      </w:r>
      <w:r w:rsidR="002770D5">
        <w:rPr>
          <w:szCs w:val="24"/>
          <w:lang w:val="es-ES"/>
        </w:rPr>
        <w:t>corpora</w:t>
      </w:r>
      <w:r>
        <w:rPr>
          <w:szCs w:val="24"/>
          <w:lang w:val="es-ES"/>
        </w:rPr>
        <w:t xml:space="preserve">ción </w:t>
      </w:r>
      <w:r w:rsidR="002770D5">
        <w:rPr>
          <w:szCs w:val="24"/>
          <w:lang w:val="es-ES"/>
        </w:rPr>
        <w:t xml:space="preserve">sistemática </w:t>
      </w:r>
      <w:r>
        <w:rPr>
          <w:szCs w:val="24"/>
          <w:lang w:val="es-ES"/>
        </w:rPr>
        <w:t xml:space="preserve">en </w:t>
      </w:r>
      <w:r w:rsidR="003F31B1">
        <w:rPr>
          <w:szCs w:val="24"/>
          <w:lang w:val="es-ES"/>
        </w:rPr>
        <w:t xml:space="preserve">el marco de </w:t>
      </w:r>
      <w:r>
        <w:rPr>
          <w:szCs w:val="24"/>
          <w:lang w:val="es-ES"/>
        </w:rPr>
        <w:t>las políticas. Aunque el centro de atención del programa p</w:t>
      </w:r>
      <w:r w:rsidR="003F31B1">
        <w:rPr>
          <w:szCs w:val="24"/>
          <w:lang w:val="es-ES"/>
        </w:rPr>
        <w:t>revisto</w:t>
      </w:r>
      <w:r>
        <w:rPr>
          <w:szCs w:val="24"/>
          <w:lang w:val="es-ES"/>
        </w:rPr>
        <w:t xml:space="preserve"> es la igualdad de género, </w:t>
      </w:r>
      <w:r w:rsidR="003F31B1">
        <w:rPr>
          <w:szCs w:val="24"/>
          <w:lang w:val="es-ES"/>
        </w:rPr>
        <w:t xml:space="preserve">el tema de la discriminación se abordará en </w:t>
      </w:r>
      <w:r>
        <w:rPr>
          <w:szCs w:val="24"/>
          <w:lang w:val="es-ES"/>
        </w:rPr>
        <w:t>varios otros programas</w:t>
      </w:r>
      <w:r w:rsidR="003F31B1">
        <w:rPr>
          <w:szCs w:val="24"/>
          <w:lang w:val="es-ES"/>
        </w:rPr>
        <w:t>. Actualmente</w:t>
      </w:r>
      <w:r>
        <w:rPr>
          <w:szCs w:val="24"/>
          <w:lang w:val="es-ES"/>
        </w:rPr>
        <w:t xml:space="preserve"> se está evaluando el programa, y </w:t>
      </w:r>
      <w:r w:rsidR="002770D5">
        <w:rPr>
          <w:szCs w:val="24"/>
          <w:lang w:val="es-ES"/>
        </w:rPr>
        <w:t xml:space="preserve">se espera que la </w:t>
      </w:r>
      <w:r>
        <w:rPr>
          <w:szCs w:val="24"/>
          <w:lang w:val="es-ES"/>
        </w:rPr>
        <w:t xml:space="preserve">decisión sobre su financiación </w:t>
      </w:r>
      <w:r w:rsidR="002770D5">
        <w:rPr>
          <w:szCs w:val="24"/>
          <w:lang w:val="es-ES"/>
        </w:rPr>
        <w:t xml:space="preserve">se adopte </w:t>
      </w:r>
      <w:r>
        <w:rPr>
          <w:szCs w:val="24"/>
          <w:lang w:val="es-ES"/>
        </w:rPr>
        <w:t>en 2012. Las actividades del programa se prolongarán hasta finales de 2015.</w:t>
      </w:r>
    </w:p>
    <w:p w:rsidR="00780D2A" w:rsidRDefault="00780D2A" w:rsidP="00637350">
      <w:pPr>
        <w:pStyle w:val="SingleTxtG"/>
        <w:rPr>
          <w:szCs w:val="24"/>
          <w:lang w:val="es-ES"/>
        </w:rPr>
      </w:pPr>
      <w:r w:rsidRPr="00780D2A">
        <w:rPr>
          <w:szCs w:val="24"/>
          <w:lang w:val="es-ES"/>
        </w:rPr>
        <w:t>20.</w:t>
      </w:r>
      <w:r w:rsidRPr="00780D2A">
        <w:rPr>
          <w:szCs w:val="24"/>
          <w:lang w:val="es-ES"/>
        </w:rPr>
        <w:tab/>
      </w:r>
      <w:r>
        <w:rPr>
          <w:szCs w:val="24"/>
          <w:lang w:val="es-ES"/>
        </w:rPr>
        <w:t xml:space="preserve">A fin de </w:t>
      </w:r>
      <w:r w:rsidR="00192212">
        <w:rPr>
          <w:szCs w:val="24"/>
          <w:lang w:val="es-ES"/>
        </w:rPr>
        <w:t xml:space="preserve">sensibilizar en mayor medida a </w:t>
      </w:r>
      <w:r>
        <w:rPr>
          <w:szCs w:val="24"/>
          <w:lang w:val="es-ES"/>
        </w:rPr>
        <w:t xml:space="preserve">la sociedad sobre la igualdad de género y las cuestiones conexas, así como </w:t>
      </w:r>
      <w:r w:rsidR="009E18EA">
        <w:rPr>
          <w:szCs w:val="24"/>
          <w:lang w:val="es-ES"/>
        </w:rPr>
        <w:t xml:space="preserve">sobre </w:t>
      </w:r>
      <w:r>
        <w:rPr>
          <w:szCs w:val="24"/>
          <w:lang w:val="es-ES"/>
        </w:rPr>
        <w:t xml:space="preserve">las </w:t>
      </w:r>
      <w:r w:rsidR="003F31B1">
        <w:rPr>
          <w:szCs w:val="24"/>
          <w:lang w:val="es-ES"/>
        </w:rPr>
        <w:t xml:space="preserve">actividades del Comisionado para </w:t>
      </w:r>
      <w:smartTag w:uri="urn:schemas-microsoft-com:office:smarttags" w:element="PersonName">
        <w:smartTagPr>
          <w:attr w:name="ProductID" w:val="la Igualdad"/>
        </w:smartTagPr>
        <w:r w:rsidR="003F31B1">
          <w:rPr>
            <w:szCs w:val="24"/>
            <w:lang w:val="es-ES"/>
          </w:rPr>
          <w:t>la</w:t>
        </w:r>
        <w:r>
          <w:rPr>
            <w:szCs w:val="24"/>
            <w:lang w:val="es-ES"/>
          </w:rPr>
          <w:t xml:space="preserve"> </w:t>
        </w:r>
        <w:r w:rsidR="00192212">
          <w:rPr>
            <w:szCs w:val="24"/>
            <w:lang w:val="es-ES"/>
          </w:rPr>
          <w:t>I</w:t>
        </w:r>
        <w:r>
          <w:rPr>
            <w:szCs w:val="24"/>
            <w:lang w:val="es-ES"/>
          </w:rPr>
          <w:t>gualdad</w:t>
        </w:r>
      </w:smartTag>
      <w:r>
        <w:rPr>
          <w:szCs w:val="24"/>
          <w:lang w:val="es-ES"/>
        </w:rPr>
        <w:t xml:space="preserve"> de </w:t>
      </w:r>
      <w:r w:rsidR="00192212">
        <w:rPr>
          <w:szCs w:val="24"/>
          <w:lang w:val="es-ES"/>
        </w:rPr>
        <w:t>G</w:t>
      </w:r>
      <w:r w:rsidR="003F31B1">
        <w:rPr>
          <w:szCs w:val="24"/>
          <w:lang w:val="es-ES"/>
        </w:rPr>
        <w:t xml:space="preserve">énero y </w:t>
      </w:r>
      <w:smartTag w:uri="urn:schemas-microsoft-com:office:smarttags" w:element="PersonName">
        <w:smartTagPr>
          <w:attr w:name="ProductID" w:val="la Igualdad"/>
        </w:smartTagPr>
        <w:r w:rsidR="003F31B1">
          <w:rPr>
            <w:szCs w:val="24"/>
            <w:lang w:val="es-ES"/>
          </w:rPr>
          <w:t>la</w:t>
        </w:r>
        <w:r>
          <w:rPr>
            <w:szCs w:val="24"/>
            <w:lang w:val="es-ES"/>
          </w:rPr>
          <w:t xml:space="preserve"> </w:t>
        </w:r>
        <w:r w:rsidR="00192212">
          <w:rPr>
            <w:szCs w:val="24"/>
            <w:lang w:val="es-ES"/>
          </w:rPr>
          <w:t>I</w:t>
        </w:r>
        <w:r>
          <w:rPr>
            <w:szCs w:val="24"/>
            <w:lang w:val="es-ES"/>
          </w:rPr>
          <w:t>gualdad</w:t>
        </w:r>
      </w:smartTag>
      <w:r>
        <w:rPr>
          <w:szCs w:val="24"/>
          <w:lang w:val="es-ES"/>
        </w:rPr>
        <w:t xml:space="preserve"> de </w:t>
      </w:r>
      <w:r w:rsidR="00192212">
        <w:rPr>
          <w:szCs w:val="24"/>
          <w:lang w:val="es-ES"/>
        </w:rPr>
        <w:t>T</w:t>
      </w:r>
      <w:r w:rsidR="003F31B1">
        <w:rPr>
          <w:szCs w:val="24"/>
          <w:lang w:val="es-ES"/>
        </w:rPr>
        <w:t xml:space="preserve">rato, se actualizarán </w:t>
      </w:r>
      <w:r>
        <w:rPr>
          <w:szCs w:val="24"/>
          <w:lang w:val="es-ES"/>
        </w:rPr>
        <w:t>los sitios web pertinentes del Ministerio de Asuntos Sociales y del Comisionado</w:t>
      </w:r>
      <w:r w:rsidR="003F31B1">
        <w:rPr>
          <w:szCs w:val="24"/>
          <w:lang w:val="es-ES"/>
        </w:rPr>
        <w:t xml:space="preserve"> en el marco del programa</w:t>
      </w:r>
      <w:r>
        <w:rPr>
          <w:szCs w:val="24"/>
          <w:lang w:val="es-ES"/>
        </w:rPr>
        <w:t xml:space="preserve">. </w:t>
      </w:r>
    </w:p>
    <w:p w:rsidR="00780D2A" w:rsidRPr="00780D2A" w:rsidRDefault="00780D2A" w:rsidP="00637350">
      <w:pPr>
        <w:pStyle w:val="H23G"/>
        <w:rPr>
          <w:lang w:val="es-ES"/>
        </w:rPr>
      </w:pPr>
      <w:r>
        <w:rPr>
          <w:lang w:val="es-ES"/>
        </w:rPr>
        <w:tab/>
      </w:r>
      <w:r>
        <w:rPr>
          <w:lang w:val="es-ES"/>
        </w:rPr>
        <w:tab/>
        <w:t>Estadísticas rela</w:t>
      </w:r>
      <w:r w:rsidR="003F31B1">
        <w:rPr>
          <w:lang w:val="es-ES"/>
        </w:rPr>
        <w:t xml:space="preserve">tivas al Comisionado para </w:t>
      </w:r>
      <w:smartTag w:uri="urn:schemas-microsoft-com:office:smarttags" w:element="PersonName">
        <w:smartTagPr>
          <w:attr w:name="ProductID" w:val="la Igualdad"/>
        </w:smartTagPr>
        <w:r w:rsidR="003F31B1">
          <w:rPr>
            <w:lang w:val="es-ES"/>
          </w:rPr>
          <w:t xml:space="preserve">la </w:t>
        </w:r>
        <w:r w:rsidR="00192212">
          <w:rPr>
            <w:lang w:val="es-ES"/>
          </w:rPr>
          <w:t>I</w:t>
        </w:r>
        <w:r>
          <w:rPr>
            <w:lang w:val="es-ES"/>
          </w:rPr>
          <w:t>gualdad</w:t>
        </w:r>
      </w:smartTag>
      <w:r>
        <w:rPr>
          <w:lang w:val="es-ES"/>
        </w:rPr>
        <w:t xml:space="preserve"> de </w:t>
      </w:r>
      <w:r w:rsidR="00192212">
        <w:rPr>
          <w:lang w:val="es-ES"/>
        </w:rPr>
        <w:t>G</w:t>
      </w:r>
      <w:r w:rsidR="003F31B1">
        <w:rPr>
          <w:lang w:val="es-ES"/>
        </w:rPr>
        <w:t xml:space="preserve">énero y </w:t>
      </w:r>
      <w:smartTag w:uri="urn:schemas-microsoft-com:office:smarttags" w:element="PersonName">
        <w:smartTagPr>
          <w:attr w:name="ProductID" w:val="la Igualdad"/>
        </w:smartTagPr>
        <w:r w:rsidR="003F31B1">
          <w:rPr>
            <w:lang w:val="es-ES"/>
          </w:rPr>
          <w:t>la</w:t>
        </w:r>
        <w:r>
          <w:rPr>
            <w:lang w:val="es-ES"/>
          </w:rPr>
          <w:t xml:space="preserve"> </w:t>
        </w:r>
        <w:r w:rsidR="008C15F6">
          <w:rPr>
            <w:lang w:val="es-ES"/>
          </w:rPr>
          <w:br/>
        </w:r>
        <w:r w:rsidR="00192212">
          <w:rPr>
            <w:lang w:val="es-ES"/>
          </w:rPr>
          <w:t>I</w:t>
        </w:r>
        <w:r>
          <w:rPr>
            <w:lang w:val="es-ES"/>
          </w:rPr>
          <w:t>gualdad</w:t>
        </w:r>
      </w:smartTag>
      <w:r>
        <w:rPr>
          <w:lang w:val="es-ES"/>
        </w:rPr>
        <w:t xml:space="preserve"> de </w:t>
      </w:r>
      <w:r w:rsidR="00192212">
        <w:rPr>
          <w:lang w:val="es-ES"/>
        </w:rPr>
        <w:t>T</w:t>
      </w:r>
      <w:r>
        <w:rPr>
          <w:lang w:val="es-ES"/>
        </w:rPr>
        <w:t>rato</w:t>
      </w:r>
    </w:p>
    <w:p w:rsidR="00260EA6" w:rsidRDefault="00260EA6" w:rsidP="00637350">
      <w:pPr>
        <w:pStyle w:val="SingleTxtG"/>
        <w:rPr>
          <w:szCs w:val="24"/>
          <w:lang w:val="es-ES"/>
        </w:rPr>
      </w:pPr>
      <w:r w:rsidRPr="00260EA6">
        <w:rPr>
          <w:szCs w:val="24"/>
          <w:lang w:val="es-ES"/>
        </w:rPr>
        <w:t>21.</w:t>
      </w:r>
      <w:r w:rsidRPr="00260EA6">
        <w:rPr>
          <w:szCs w:val="24"/>
          <w:lang w:val="es-ES"/>
        </w:rPr>
        <w:tab/>
      </w:r>
      <w:r w:rsidR="003F31B1">
        <w:rPr>
          <w:szCs w:val="24"/>
          <w:lang w:val="es-ES"/>
        </w:rPr>
        <w:t xml:space="preserve">El Comisionado para </w:t>
      </w:r>
      <w:smartTag w:uri="urn:schemas-microsoft-com:office:smarttags" w:element="PersonName">
        <w:smartTagPr>
          <w:attr w:name="ProductID" w:val="la Igualdad"/>
        </w:smartTagPr>
        <w:r w:rsidR="003F31B1">
          <w:rPr>
            <w:szCs w:val="24"/>
            <w:lang w:val="es-ES"/>
          </w:rPr>
          <w:t>la</w:t>
        </w:r>
        <w:r>
          <w:rPr>
            <w:szCs w:val="24"/>
            <w:lang w:val="es-ES"/>
          </w:rPr>
          <w:t xml:space="preserve"> </w:t>
        </w:r>
        <w:r w:rsidR="004A0B65">
          <w:rPr>
            <w:szCs w:val="24"/>
            <w:lang w:val="es-ES"/>
          </w:rPr>
          <w:t>I</w:t>
        </w:r>
        <w:r>
          <w:rPr>
            <w:szCs w:val="24"/>
            <w:lang w:val="es-ES"/>
          </w:rPr>
          <w:t>gualdad</w:t>
        </w:r>
      </w:smartTag>
      <w:r>
        <w:rPr>
          <w:szCs w:val="24"/>
          <w:lang w:val="es-ES"/>
        </w:rPr>
        <w:t xml:space="preserve"> de </w:t>
      </w:r>
      <w:r w:rsidR="004A0B65">
        <w:rPr>
          <w:szCs w:val="24"/>
          <w:lang w:val="es-ES"/>
        </w:rPr>
        <w:t>G</w:t>
      </w:r>
      <w:r w:rsidR="003F31B1">
        <w:rPr>
          <w:szCs w:val="24"/>
          <w:lang w:val="es-ES"/>
        </w:rPr>
        <w:t xml:space="preserve">énero y </w:t>
      </w:r>
      <w:smartTag w:uri="urn:schemas-microsoft-com:office:smarttags" w:element="PersonName">
        <w:smartTagPr>
          <w:attr w:name="ProductID" w:val="la Igualdad"/>
        </w:smartTagPr>
        <w:r w:rsidR="003F31B1">
          <w:rPr>
            <w:szCs w:val="24"/>
            <w:lang w:val="es-ES"/>
          </w:rPr>
          <w:t xml:space="preserve">la </w:t>
        </w:r>
        <w:r w:rsidR="004A0B65">
          <w:rPr>
            <w:szCs w:val="24"/>
            <w:lang w:val="es-ES"/>
          </w:rPr>
          <w:t>I</w:t>
        </w:r>
        <w:r>
          <w:rPr>
            <w:szCs w:val="24"/>
            <w:lang w:val="es-ES"/>
          </w:rPr>
          <w:t>gualdad</w:t>
        </w:r>
      </w:smartTag>
      <w:r w:rsidR="00FF167D">
        <w:rPr>
          <w:szCs w:val="24"/>
          <w:lang w:val="es-ES"/>
        </w:rPr>
        <w:t xml:space="preserve"> de </w:t>
      </w:r>
      <w:r w:rsidR="004A0B65">
        <w:rPr>
          <w:szCs w:val="24"/>
          <w:lang w:val="es-ES"/>
        </w:rPr>
        <w:t>T</w:t>
      </w:r>
      <w:r w:rsidR="00FF167D">
        <w:rPr>
          <w:szCs w:val="24"/>
          <w:lang w:val="es-ES"/>
        </w:rPr>
        <w:t xml:space="preserve">rato recibe solicitudes del público </w:t>
      </w:r>
      <w:r>
        <w:rPr>
          <w:szCs w:val="24"/>
          <w:lang w:val="es-ES"/>
        </w:rPr>
        <w:t xml:space="preserve">y </w:t>
      </w:r>
      <w:r w:rsidR="00A96593">
        <w:rPr>
          <w:szCs w:val="24"/>
          <w:lang w:val="es-ES"/>
        </w:rPr>
        <w:t xml:space="preserve">emite </w:t>
      </w:r>
      <w:r w:rsidR="004A0B65">
        <w:rPr>
          <w:szCs w:val="24"/>
          <w:lang w:val="es-ES"/>
        </w:rPr>
        <w:t xml:space="preserve">dictámenes </w:t>
      </w:r>
      <w:r>
        <w:rPr>
          <w:szCs w:val="24"/>
          <w:lang w:val="es-ES"/>
        </w:rPr>
        <w:t xml:space="preserve">sobre posibles casos de discriminación. </w:t>
      </w:r>
    </w:p>
    <w:p w:rsidR="00260EA6" w:rsidRPr="00260EA6" w:rsidRDefault="00260EA6" w:rsidP="00637350">
      <w:pPr>
        <w:pStyle w:val="SingleTxtG"/>
        <w:rPr>
          <w:szCs w:val="24"/>
          <w:lang w:val="es-ES"/>
        </w:rPr>
      </w:pPr>
      <w:r>
        <w:rPr>
          <w:szCs w:val="24"/>
          <w:lang w:val="es-ES"/>
        </w:rPr>
        <w:t>22.</w:t>
      </w:r>
      <w:r>
        <w:rPr>
          <w:szCs w:val="24"/>
          <w:lang w:val="es-ES"/>
        </w:rPr>
        <w:tab/>
        <w:t xml:space="preserve">Las estadísticas actuales relacionadas con las consultas al Comisionado </w:t>
      </w:r>
      <w:r w:rsidR="004A0B65">
        <w:rPr>
          <w:szCs w:val="24"/>
          <w:lang w:val="es-ES"/>
        </w:rPr>
        <w:t xml:space="preserve">indican que la sociedad de Estonia </w:t>
      </w:r>
      <w:r>
        <w:rPr>
          <w:szCs w:val="24"/>
          <w:lang w:val="es-ES"/>
        </w:rPr>
        <w:t>conoc</w:t>
      </w:r>
      <w:r w:rsidR="004A0B65">
        <w:rPr>
          <w:szCs w:val="24"/>
          <w:lang w:val="es-ES"/>
        </w:rPr>
        <w:t xml:space="preserve">e muy bien </w:t>
      </w:r>
      <w:r>
        <w:rPr>
          <w:szCs w:val="24"/>
          <w:lang w:val="es-ES"/>
        </w:rPr>
        <w:t xml:space="preserve">esa institución. </w:t>
      </w:r>
      <w:r w:rsidR="003F31B1">
        <w:rPr>
          <w:szCs w:val="24"/>
          <w:lang w:val="es-ES"/>
        </w:rPr>
        <w:t>D</w:t>
      </w:r>
      <w:r>
        <w:rPr>
          <w:szCs w:val="24"/>
          <w:lang w:val="es-ES"/>
        </w:rPr>
        <w:t xml:space="preserve">el rápido </w:t>
      </w:r>
      <w:r w:rsidR="00C11D8C">
        <w:rPr>
          <w:szCs w:val="24"/>
          <w:lang w:val="es-ES"/>
        </w:rPr>
        <w:t>crecimiento</w:t>
      </w:r>
      <w:r>
        <w:rPr>
          <w:szCs w:val="24"/>
          <w:lang w:val="es-ES"/>
        </w:rPr>
        <w:t xml:space="preserve"> </w:t>
      </w:r>
      <w:r w:rsidR="003F31B1">
        <w:rPr>
          <w:szCs w:val="24"/>
          <w:lang w:val="es-ES"/>
        </w:rPr>
        <w:t>del número de consultas en 2009 cabe</w:t>
      </w:r>
      <w:r>
        <w:rPr>
          <w:szCs w:val="24"/>
          <w:lang w:val="es-ES"/>
        </w:rPr>
        <w:t xml:space="preserve"> </w:t>
      </w:r>
      <w:r w:rsidR="003F31B1">
        <w:rPr>
          <w:szCs w:val="24"/>
          <w:lang w:val="es-ES"/>
        </w:rPr>
        <w:t>también concluir</w:t>
      </w:r>
      <w:r w:rsidR="004A0B65">
        <w:rPr>
          <w:szCs w:val="24"/>
          <w:lang w:val="es-ES"/>
        </w:rPr>
        <w:t xml:space="preserve"> </w:t>
      </w:r>
      <w:r>
        <w:rPr>
          <w:szCs w:val="24"/>
          <w:lang w:val="es-ES"/>
        </w:rPr>
        <w:t xml:space="preserve">que la entrada en vigor de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w:t>
      </w:r>
      <w:r w:rsidR="003F31B1">
        <w:rPr>
          <w:szCs w:val="24"/>
          <w:lang w:val="es-ES"/>
        </w:rPr>
        <w:t>, así como</w:t>
      </w:r>
      <w:r>
        <w:rPr>
          <w:szCs w:val="24"/>
          <w:lang w:val="es-ES"/>
        </w:rPr>
        <w:t xml:space="preserve"> la ampliación de las c</w:t>
      </w:r>
      <w:r w:rsidR="004A0B65">
        <w:rPr>
          <w:szCs w:val="24"/>
          <w:lang w:val="es-ES"/>
        </w:rPr>
        <w:t xml:space="preserve">apacidades </w:t>
      </w:r>
      <w:r>
        <w:rPr>
          <w:szCs w:val="24"/>
          <w:lang w:val="es-ES"/>
        </w:rPr>
        <w:t xml:space="preserve">del Comisionado </w:t>
      </w:r>
      <w:r w:rsidR="004A0B65">
        <w:rPr>
          <w:szCs w:val="24"/>
          <w:lang w:val="es-ES"/>
        </w:rPr>
        <w:t xml:space="preserve">para hacer extensivas sus competencias </w:t>
      </w:r>
      <w:r>
        <w:rPr>
          <w:szCs w:val="24"/>
          <w:lang w:val="es-ES"/>
        </w:rPr>
        <w:t xml:space="preserve">a </w:t>
      </w:r>
      <w:r w:rsidR="004A0B65">
        <w:rPr>
          <w:szCs w:val="24"/>
          <w:lang w:val="es-ES"/>
        </w:rPr>
        <w:t xml:space="preserve">los demás </w:t>
      </w:r>
      <w:r>
        <w:rPr>
          <w:szCs w:val="24"/>
          <w:lang w:val="es-ES"/>
        </w:rPr>
        <w:t>aspectos de la igualdad de trato</w:t>
      </w:r>
      <w:r w:rsidR="003F31B1">
        <w:rPr>
          <w:szCs w:val="24"/>
          <w:lang w:val="es-ES"/>
        </w:rPr>
        <w:t>,</w:t>
      </w:r>
      <w:r w:rsidR="00202A35">
        <w:rPr>
          <w:szCs w:val="24"/>
          <w:lang w:val="es-ES"/>
        </w:rPr>
        <w:t xml:space="preserve"> han</w:t>
      </w:r>
      <w:r w:rsidR="004A0B65">
        <w:rPr>
          <w:szCs w:val="24"/>
          <w:lang w:val="es-ES"/>
        </w:rPr>
        <w:t xml:space="preserve"> </w:t>
      </w:r>
      <w:r w:rsidR="003F31B1">
        <w:rPr>
          <w:szCs w:val="24"/>
          <w:lang w:val="es-ES"/>
        </w:rPr>
        <w:t>tenido efectos positivos</w:t>
      </w:r>
      <w:r>
        <w:rPr>
          <w:szCs w:val="24"/>
          <w:lang w:val="es-ES"/>
        </w:rPr>
        <w:t xml:space="preserve"> en la sensibilización.</w:t>
      </w:r>
    </w:p>
    <w:p w:rsidR="00231353" w:rsidRPr="00393072" w:rsidRDefault="00393072" w:rsidP="00637350">
      <w:pPr>
        <w:pStyle w:val="Heading1"/>
        <w:spacing w:before="240"/>
        <w:rPr>
          <w:lang w:val="es-ES"/>
        </w:rPr>
      </w:pPr>
      <w:r w:rsidRPr="00393072">
        <w:rPr>
          <w:lang w:val="es-ES"/>
        </w:rPr>
        <w:t>Cuadro</w:t>
      </w:r>
      <w:r w:rsidR="00231353" w:rsidRPr="00393072">
        <w:rPr>
          <w:lang w:val="es-ES"/>
        </w:rPr>
        <w:t xml:space="preserve"> 1</w:t>
      </w:r>
    </w:p>
    <w:p w:rsidR="00231353" w:rsidRPr="00393072" w:rsidRDefault="00393072" w:rsidP="00637350">
      <w:pPr>
        <w:pStyle w:val="SingleTxtG"/>
        <w:jc w:val="left"/>
        <w:rPr>
          <w:b/>
          <w:szCs w:val="24"/>
          <w:lang w:val="es-ES"/>
        </w:rPr>
      </w:pPr>
      <w:r>
        <w:rPr>
          <w:b/>
          <w:szCs w:val="24"/>
          <w:lang w:val="es-ES"/>
        </w:rPr>
        <w:t>Consultas realizadas al Comisionado, 2009-2011</w:t>
      </w:r>
    </w:p>
    <w:tbl>
      <w:tblPr>
        <w:tblW w:w="7370" w:type="dxa"/>
        <w:tblInd w:w="1134" w:type="dxa"/>
        <w:tblBorders>
          <w:top w:val="single" w:sz="4" w:space="0" w:color="auto"/>
        </w:tblBorders>
        <w:tblCellMar>
          <w:left w:w="0" w:type="dxa"/>
          <w:right w:w="0" w:type="dxa"/>
        </w:tblCellMar>
        <w:tblLook w:val="04A0"/>
      </w:tblPr>
      <w:tblGrid>
        <w:gridCol w:w="4913"/>
        <w:gridCol w:w="819"/>
        <w:gridCol w:w="819"/>
        <w:gridCol w:w="819"/>
      </w:tblGrid>
      <w:tr w:rsidR="00231353" w:rsidRPr="00231353">
        <w:trPr>
          <w:trHeight w:val="240"/>
          <w:tblHeader/>
        </w:trPr>
        <w:tc>
          <w:tcPr>
            <w:tcW w:w="4913" w:type="dxa"/>
            <w:tcBorders>
              <w:top w:val="single" w:sz="4" w:space="0" w:color="auto"/>
              <w:bottom w:val="single" w:sz="12" w:space="0" w:color="auto"/>
            </w:tcBorders>
            <w:shd w:val="clear" w:color="auto" w:fill="auto"/>
            <w:vAlign w:val="bottom"/>
          </w:tcPr>
          <w:p w:rsidR="00231353" w:rsidRPr="00393072" w:rsidRDefault="00231353" w:rsidP="00637350">
            <w:pPr>
              <w:spacing w:before="80" w:after="80" w:line="200" w:lineRule="exact"/>
              <w:rPr>
                <w:i/>
                <w:sz w:val="16"/>
                <w:lang w:val="es-ES"/>
              </w:rPr>
            </w:pPr>
          </w:p>
        </w:tc>
        <w:tc>
          <w:tcPr>
            <w:tcW w:w="819" w:type="dxa"/>
            <w:tcBorders>
              <w:top w:val="single" w:sz="4" w:space="0" w:color="auto"/>
              <w:bottom w:val="single" w:sz="12" w:space="0" w:color="auto"/>
            </w:tcBorders>
            <w:shd w:val="clear" w:color="auto" w:fill="auto"/>
            <w:vAlign w:val="bottom"/>
          </w:tcPr>
          <w:p w:rsidR="00231353" w:rsidRPr="00231353" w:rsidRDefault="00231353" w:rsidP="00637350">
            <w:pPr>
              <w:spacing w:before="80" w:after="80" w:line="200" w:lineRule="exact"/>
              <w:ind w:left="113"/>
              <w:jc w:val="right"/>
              <w:rPr>
                <w:i/>
                <w:sz w:val="16"/>
              </w:rPr>
            </w:pPr>
            <w:r w:rsidRPr="00231353">
              <w:rPr>
                <w:i/>
                <w:sz w:val="16"/>
              </w:rPr>
              <w:t>2009</w:t>
            </w:r>
          </w:p>
        </w:tc>
        <w:tc>
          <w:tcPr>
            <w:tcW w:w="819" w:type="dxa"/>
            <w:tcBorders>
              <w:top w:val="single" w:sz="4" w:space="0" w:color="auto"/>
              <w:bottom w:val="single" w:sz="12" w:space="0" w:color="auto"/>
            </w:tcBorders>
            <w:shd w:val="clear" w:color="auto" w:fill="auto"/>
            <w:vAlign w:val="bottom"/>
          </w:tcPr>
          <w:p w:rsidR="00231353" w:rsidRPr="00231353" w:rsidRDefault="00231353" w:rsidP="00637350">
            <w:pPr>
              <w:spacing w:before="80" w:after="80" w:line="200" w:lineRule="exact"/>
              <w:ind w:left="113"/>
              <w:jc w:val="right"/>
              <w:rPr>
                <w:i/>
                <w:sz w:val="16"/>
              </w:rPr>
            </w:pPr>
            <w:r w:rsidRPr="00231353">
              <w:rPr>
                <w:i/>
                <w:sz w:val="16"/>
              </w:rPr>
              <w:t>2010</w:t>
            </w:r>
          </w:p>
        </w:tc>
        <w:tc>
          <w:tcPr>
            <w:tcW w:w="819" w:type="dxa"/>
            <w:tcBorders>
              <w:top w:val="single" w:sz="4" w:space="0" w:color="auto"/>
              <w:bottom w:val="single" w:sz="12" w:space="0" w:color="auto"/>
            </w:tcBorders>
            <w:shd w:val="clear" w:color="auto" w:fill="auto"/>
            <w:vAlign w:val="bottom"/>
          </w:tcPr>
          <w:p w:rsidR="00231353" w:rsidRPr="00231353" w:rsidRDefault="00231353" w:rsidP="00637350">
            <w:pPr>
              <w:spacing w:before="80" w:after="80" w:line="200" w:lineRule="exact"/>
              <w:ind w:left="113"/>
              <w:jc w:val="right"/>
              <w:rPr>
                <w:i/>
                <w:sz w:val="16"/>
              </w:rPr>
            </w:pPr>
            <w:r w:rsidRPr="00231353">
              <w:rPr>
                <w:i/>
                <w:sz w:val="16"/>
              </w:rPr>
              <w:t>2011</w:t>
            </w:r>
          </w:p>
        </w:tc>
      </w:tr>
      <w:tr w:rsidR="00231353" w:rsidRPr="00231353">
        <w:trPr>
          <w:trHeight w:val="240"/>
        </w:trPr>
        <w:tc>
          <w:tcPr>
            <w:tcW w:w="4913" w:type="dxa"/>
            <w:shd w:val="clear" w:color="auto" w:fill="auto"/>
            <w:vAlign w:val="bottom"/>
          </w:tcPr>
          <w:p w:rsidR="00231353" w:rsidRPr="00C73CCA" w:rsidRDefault="00C73CCA" w:rsidP="00637350">
            <w:pPr>
              <w:spacing w:before="40" w:after="40" w:line="220" w:lineRule="exact"/>
              <w:rPr>
                <w:szCs w:val="24"/>
                <w:lang w:val="es-ES"/>
              </w:rPr>
            </w:pPr>
            <w:r>
              <w:rPr>
                <w:sz w:val="18"/>
                <w:szCs w:val="24"/>
                <w:lang w:val="es-ES"/>
              </w:rPr>
              <w:t>Consultas sobre cuestiones de igualdad de trato relativas al origen étnico o la raza</w:t>
            </w:r>
          </w:p>
        </w:tc>
        <w:tc>
          <w:tcPr>
            <w:tcW w:w="819" w:type="dxa"/>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11</w:t>
            </w:r>
          </w:p>
        </w:tc>
        <w:tc>
          <w:tcPr>
            <w:tcW w:w="819" w:type="dxa"/>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15</w:t>
            </w:r>
          </w:p>
        </w:tc>
        <w:tc>
          <w:tcPr>
            <w:tcW w:w="819" w:type="dxa"/>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26</w:t>
            </w:r>
          </w:p>
        </w:tc>
      </w:tr>
      <w:tr w:rsidR="00231353" w:rsidRPr="00231353">
        <w:trPr>
          <w:trHeight w:val="240"/>
        </w:trPr>
        <w:tc>
          <w:tcPr>
            <w:tcW w:w="4913" w:type="dxa"/>
            <w:shd w:val="clear" w:color="auto" w:fill="auto"/>
            <w:vAlign w:val="bottom"/>
          </w:tcPr>
          <w:p w:rsidR="00231353" w:rsidRPr="00C73CCA" w:rsidRDefault="00432DD6" w:rsidP="00637350">
            <w:pPr>
              <w:spacing w:before="40" w:after="40" w:line="220" w:lineRule="exact"/>
              <w:rPr>
                <w:szCs w:val="24"/>
                <w:lang w:val="es-ES"/>
              </w:rPr>
            </w:pPr>
            <w:r>
              <w:rPr>
                <w:sz w:val="18"/>
                <w:szCs w:val="24"/>
                <w:lang w:val="es-ES"/>
              </w:rPr>
              <w:t>D</w:t>
            </w:r>
            <w:r w:rsidR="00DD14C8">
              <w:rPr>
                <w:sz w:val="18"/>
                <w:szCs w:val="24"/>
                <w:lang w:val="es-ES"/>
              </w:rPr>
              <w:t>e</w:t>
            </w:r>
            <w:r>
              <w:rPr>
                <w:sz w:val="18"/>
                <w:szCs w:val="24"/>
                <w:lang w:val="es-ES"/>
              </w:rPr>
              <w:t>nuncias</w:t>
            </w:r>
            <w:r w:rsidR="00DD14C8">
              <w:rPr>
                <w:sz w:val="18"/>
                <w:szCs w:val="24"/>
                <w:lang w:val="es-ES"/>
              </w:rPr>
              <w:t xml:space="preserve"> </w:t>
            </w:r>
            <w:r>
              <w:rPr>
                <w:sz w:val="18"/>
                <w:szCs w:val="24"/>
                <w:lang w:val="es-ES"/>
              </w:rPr>
              <w:t xml:space="preserve">de </w:t>
            </w:r>
            <w:r w:rsidR="00DD14C8">
              <w:rPr>
                <w:sz w:val="18"/>
                <w:szCs w:val="24"/>
                <w:lang w:val="es-ES"/>
              </w:rPr>
              <w:t>presuntos casos de discriminación por motivo</w:t>
            </w:r>
            <w:r>
              <w:rPr>
                <w:sz w:val="18"/>
                <w:szCs w:val="24"/>
                <w:lang w:val="es-ES"/>
              </w:rPr>
              <w:t>s</w:t>
            </w:r>
            <w:r w:rsidR="00DD14C8">
              <w:rPr>
                <w:sz w:val="18"/>
                <w:szCs w:val="24"/>
                <w:lang w:val="es-ES"/>
              </w:rPr>
              <w:t xml:space="preserve"> </w:t>
            </w:r>
            <w:r w:rsidR="00637350">
              <w:rPr>
                <w:sz w:val="18"/>
                <w:szCs w:val="24"/>
                <w:lang w:val="es-ES"/>
              </w:rPr>
              <w:br/>
            </w:r>
            <w:r w:rsidR="00DD14C8">
              <w:rPr>
                <w:sz w:val="18"/>
                <w:szCs w:val="24"/>
                <w:lang w:val="es-ES"/>
              </w:rPr>
              <w:t>de origen étnico o raza</w:t>
            </w:r>
          </w:p>
        </w:tc>
        <w:tc>
          <w:tcPr>
            <w:tcW w:w="819" w:type="dxa"/>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11</w:t>
            </w:r>
          </w:p>
        </w:tc>
        <w:tc>
          <w:tcPr>
            <w:tcW w:w="819" w:type="dxa"/>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15</w:t>
            </w:r>
          </w:p>
        </w:tc>
        <w:tc>
          <w:tcPr>
            <w:tcW w:w="819" w:type="dxa"/>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26</w:t>
            </w:r>
          </w:p>
        </w:tc>
      </w:tr>
      <w:tr w:rsidR="00231353" w:rsidRPr="00231353">
        <w:trPr>
          <w:trHeight w:val="240"/>
        </w:trPr>
        <w:tc>
          <w:tcPr>
            <w:tcW w:w="4913" w:type="dxa"/>
            <w:tcBorders>
              <w:bottom w:val="single" w:sz="4" w:space="0" w:color="auto"/>
            </w:tcBorders>
            <w:shd w:val="clear" w:color="auto" w:fill="auto"/>
            <w:vAlign w:val="bottom"/>
          </w:tcPr>
          <w:p w:rsidR="00231353" w:rsidRPr="00C73CCA" w:rsidRDefault="00C73CCA" w:rsidP="00637350">
            <w:pPr>
              <w:spacing w:before="40" w:after="40" w:line="220" w:lineRule="exact"/>
              <w:rPr>
                <w:szCs w:val="24"/>
                <w:lang w:val="es-ES"/>
              </w:rPr>
            </w:pPr>
            <w:r>
              <w:rPr>
                <w:sz w:val="18"/>
                <w:szCs w:val="24"/>
                <w:lang w:val="es-ES"/>
              </w:rPr>
              <w:t xml:space="preserve">Consultas </w:t>
            </w:r>
            <w:r w:rsidR="00432DD6">
              <w:rPr>
                <w:sz w:val="18"/>
                <w:szCs w:val="24"/>
                <w:lang w:val="es-ES"/>
              </w:rPr>
              <w:t>respecto de las que</w:t>
            </w:r>
            <w:r>
              <w:rPr>
                <w:sz w:val="18"/>
                <w:szCs w:val="24"/>
                <w:lang w:val="es-ES"/>
              </w:rPr>
              <w:t xml:space="preserve"> el Comisionado </w:t>
            </w:r>
            <w:r w:rsidR="00432DD6">
              <w:rPr>
                <w:sz w:val="18"/>
                <w:szCs w:val="24"/>
                <w:lang w:val="es-ES"/>
              </w:rPr>
              <w:t>constat</w:t>
            </w:r>
            <w:r>
              <w:rPr>
                <w:sz w:val="18"/>
                <w:szCs w:val="24"/>
                <w:lang w:val="es-ES"/>
              </w:rPr>
              <w:t>ó que se había producido discriminación por motivos de origen étnico o raza</w:t>
            </w:r>
          </w:p>
        </w:tc>
        <w:tc>
          <w:tcPr>
            <w:tcW w:w="819" w:type="dxa"/>
            <w:tcBorders>
              <w:bottom w:val="single" w:sz="4" w:space="0" w:color="auto"/>
            </w:tcBorders>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2</w:t>
            </w:r>
          </w:p>
        </w:tc>
        <w:tc>
          <w:tcPr>
            <w:tcW w:w="819" w:type="dxa"/>
            <w:tcBorders>
              <w:bottom w:val="single" w:sz="4" w:space="0" w:color="auto"/>
            </w:tcBorders>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2</w:t>
            </w:r>
          </w:p>
        </w:tc>
        <w:tc>
          <w:tcPr>
            <w:tcW w:w="819" w:type="dxa"/>
            <w:tcBorders>
              <w:bottom w:val="single" w:sz="4" w:space="0" w:color="auto"/>
            </w:tcBorders>
            <w:shd w:val="clear" w:color="auto" w:fill="auto"/>
            <w:vAlign w:val="bottom"/>
          </w:tcPr>
          <w:p w:rsidR="00231353" w:rsidRPr="00231353" w:rsidRDefault="00231353" w:rsidP="00637350">
            <w:pPr>
              <w:spacing w:before="40" w:after="40" w:line="220" w:lineRule="exact"/>
              <w:ind w:left="113"/>
              <w:jc w:val="right"/>
              <w:rPr>
                <w:sz w:val="18"/>
              </w:rPr>
            </w:pPr>
            <w:r w:rsidRPr="00231353">
              <w:rPr>
                <w:sz w:val="18"/>
              </w:rPr>
              <w:t>8</w:t>
            </w:r>
          </w:p>
        </w:tc>
      </w:tr>
      <w:tr w:rsidR="00231353" w:rsidRPr="00DD72B8">
        <w:trPr>
          <w:trHeight w:val="240"/>
        </w:trPr>
        <w:tc>
          <w:tcPr>
            <w:tcW w:w="4913" w:type="dxa"/>
            <w:tcBorders>
              <w:top w:val="single" w:sz="4" w:space="0" w:color="auto"/>
              <w:bottom w:val="single" w:sz="12" w:space="0" w:color="auto"/>
            </w:tcBorders>
            <w:shd w:val="clear" w:color="auto" w:fill="auto"/>
            <w:vAlign w:val="bottom"/>
          </w:tcPr>
          <w:p w:rsidR="00231353" w:rsidRPr="00C73CCA" w:rsidRDefault="00C73CCA" w:rsidP="00637350">
            <w:pPr>
              <w:spacing w:before="80" w:after="80" w:line="220" w:lineRule="exact"/>
              <w:ind w:left="284"/>
              <w:rPr>
                <w:szCs w:val="24"/>
              </w:rPr>
            </w:pPr>
            <w:r>
              <w:rPr>
                <w:b/>
                <w:sz w:val="18"/>
                <w:szCs w:val="24"/>
                <w:lang w:val="es-ES"/>
              </w:rPr>
              <w:t>Número total de consultas</w:t>
            </w:r>
          </w:p>
        </w:tc>
        <w:tc>
          <w:tcPr>
            <w:tcW w:w="819" w:type="dxa"/>
            <w:tcBorders>
              <w:top w:val="single" w:sz="4" w:space="0" w:color="auto"/>
              <w:bottom w:val="single" w:sz="12" w:space="0" w:color="auto"/>
            </w:tcBorders>
            <w:shd w:val="clear" w:color="auto" w:fill="auto"/>
            <w:vAlign w:val="bottom"/>
          </w:tcPr>
          <w:p w:rsidR="00231353" w:rsidRPr="00DD72B8" w:rsidRDefault="00231353" w:rsidP="00637350">
            <w:pPr>
              <w:spacing w:before="80" w:after="80" w:line="220" w:lineRule="exact"/>
              <w:jc w:val="right"/>
              <w:rPr>
                <w:b/>
                <w:sz w:val="18"/>
              </w:rPr>
            </w:pPr>
            <w:r w:rsidRPr="00DD72B8">
              <w:rPr>
                <w:b/>
                <w:sz w:val="18"/>
              </w:rPr>
              <w:t>161</w:t>
            </w:r>
          </w:p>
        </w:tc>
        <w:tc>
          <w:tcPr>
            <w:tcW w:w="819" w:type="dxa"/>
            <w:tcBorders>
              <w:top w:val="single" w:sz="4" w:space="0" w:color="auto"/>
              <w:bottom w:val="single" w:sz="12" w:space="0" w:color="auto"/>
            </w:tcBorders>
            <w:shd w:val="clear" w:color="auto" w:fill="auto"/>
            <w:vAlign w:val="bottom"/>
          </w:tcPr>
          <w:p w:rsidR="00231353" w:rsidRPr="00DD72B8" w:rsidRDefault="00231353" w:rsidP="00637350">
            <w:pPr>
              <w:spacing w:before="80" w:after="80" w:line="220" w:lineRule="exact"/>
              <w:jc w:val="right"/>
              <w:rPr>
                <w:b/>
                <w:sz w:val="18"/>
              </w:rPr>
            </w:pPr>
            <w:r w:rsidRPr="00DD72B8">
              <w:rPr>
                <w:b/>
                <w:sz w:val="18"/>
              </w:rPr>
              <w:t>288</w:t>
            </w:r>
          </w:p>
        </w:tc>
        <w:tc>
          <w:tcPr>
            <w:tcW w:w="819" w:type="dxa"/>
            <w:tcBorders>
              <w:top w:val="single" w:sz="4" w:space="0" w:color="auto"/>
              <w:bottom w:val="single" w:sz="12" w:space="0" w:color="auto"/>
            </w:tcBorders>
            <w:shd w:val="clear" w:color="auto" w:fill="auto"/>
            <w:vAlign w:val="bottom"/>
          </w:tcPr>
          <w:p w:rsidR="00231353" w:rsidRPr="00DD72B8" w:rsidRDefault="00231353" w:rsidP="00637350">
            <w:pPr>
              <w:spacing w:before="80" w:after="80" w:line="220" w:lineRule="exact"/>
              <w:jc w:val="right"/>
              <w:rPr>
                <w:b/>
                <w:sz w:val="18"/>
              </w:rPr>
            </w:pPr>
            <w:r w:rsidRPr="00DD72B8">
              <w:rPr>
                <w:b/>
                <w:sz w:val="18"/>
              </w:rPr>
              <w:t>358</w:t>
            </w:r>
          </w:p>
        </w:tc>
      </w:tr>
    </w:tbl>
    <w:p w:rsidR="00DD14C8" w:rsidRPr="00DD14C8" w:rsidRDefault="00DD14C8" w:rsidP="00637350">
      <w:pPr>
        <w:pStyle w:val="SingleTxtG"/>
        <w:spacing w:before="240"/>
        <w:rPr>
          <w:szCs w:val="24"/>
          <w:lang w:val="es-ES"/>
        </w:rPr>
      </w:pPr>
      <w:r w:rsidRPr="00DD14C8">
        <w:rPr>
          <w:szCs w:val="24"/>
          <w:lang w:val="es-ES"/>
        </w:rPr>
        <w:t>23.</w:t>
      </w:r>
      <w:r w:rsidRPr="00DD14C8">
        <w:rPr>
          <w:szCs w:val="24"/>
          <w:lang w:val="es-ES"/>
        </w:rPr>
        <w:tab/>
      </w:r>
      <w:r w:rsidR="003F31B1">
        <w:rPr>
          <w:szCs w:val="24"/>
          <w:lang w:val="es-ES"/>
        </w:rPr>
        <w:t>La mayoría</w:t>
      </w:r>
      <w:r>
        <w:rPr>
          <w:szCs w:val="24"/>
          <w:lang w:val="es-ES"/>
        </w:rPr>
        <w:t xml:space="preserve"> de las </w:t>
      </w:r>
      <w:r w:rsidR="00EE78A0">
        <w:rPr>
          <w:szCs w:val="24"/>
          <w:lang w:val="es-ES"/>
        </w:rPr>
        <w:t>d</w:t>
      </w:r>
      <w:r>
        <w:rPr>
          <w:szCs w:val="24"/>
          <w:lang w:val="es-ES"/>
        </w:rPr>
        <w:t>e</w:t>
      </w:r>
      <w:r w:rsidR="00EE78A0">
        <w:rPr>
          <w:szCs w:val="24"/>
          <w:lang w:val="es-ES"/>
        </w:rPr>
        <w:t>nuncias</w:t>
      </w:r>
      <w:r>
        <w:rPr>
          <w:szCs w:val="24"/>
          <w:lang w:val="es-ES"/>
        </w:rPr>
        <w:t xml:space="preserve"> </w:t>
      </w:r>
      <w:r w:rsidR="00EE78A0">
        <w:rPr>
          <w:szCs w:val="24"/>
          <w:lang w:val="es-ES"/>
        </w:rPr>
        <w:t>sobre</w:t>
      </w:r>
      <w:r>
        <w:rPr>
          <w:szCs w:val="24"/>
          <w:lang w:val="es-ES"/>
        </w:rPr>
        <w:t xml:space="preserve"> discriminación por motivos de origen étnico o raza se </w:t>
      </w:r>
      <w:r w:rsidR="00EE78A0">
        <w:rPr>
          <w:szCs w:val="24"/>
          <w:lang w:val="es-ES"/>
        </w:rPr>
        <w:t>refer</w:t>
      </w:r>
      <w:r w:rsidR="00BC2326">
        <w:rPr>
          <w:szCs w:val="24"/>
          <w:lang w:val="es-ES"/>
        </w:rPr>
        <w:t>ía</w:t>
      </w:r>
      <w:r w:rsidR="00EE78A0">
        <w:rPr>
          <w:szCs w:val="24"/>
          <w:lang w:val="es-ES"/>
        </w:rPr>
        <w:t xml:space="preserve">n a </w:t>
      </w:r>
      <w:r>
        <w:rPr>
          <w:szCs w:val="24"/>
          <w:lang w:val="es-ES"/>
        </w:rPr>
        <w:t xml:space="preserve">discriminación en el mercado </w:t>
      </w:r>
      <w:r w:rsidR="00EE78A0">
        <w:rPr>
          <w:szCs w:val="24"/>
          <w:lang w:val="es-ES"/>
        </w:rPr>
        <w:t>de trabajo o est</w:t>
      </w:r>
      <w:r w:rsidR="00BC2326">
        <w:rPr>
          <w:szCs w:val="24"/>
          <w:lang w:val="es-ES"/>
        </w:rPr>
        <w:t>aba</w:t>
      </w:r>
      <w:r w:rsidR="00EE78A0">
        <w:rPr>
          <w:szCs w:val="24"/>
          <w:lang w:val="es-ES"/>
        </w:rPr>
        <w:t xml:space="preserve">n </w:t>
      </w:r>
      <w:r>
        <w:rPr>
          <w:szCs w:val="24"/>
          <w:lang w:val="es-ES"/>
        </w:rPr>
        <w:t>relacionada</w:t>
      </w:r>
      <w:r w:rsidR="00EE78A0">
        <w:rPr>
          <w:szCs w:val="24"/>
          <w:lang w:val="es-ES"/>
        </w:rPr>
        <w:t>s</w:t>
      </w:r>
      <w:r>
        <w:rPr>
          <w:szCs w:val="24"/>
          <w:lang w:val="es-ES"/>
        </w:rPr>
        <w:t xml:space="preserve"> con el nivel de co</w:t>
      </w:r>
      <w:r w:rsidR="00B57208">
        <w:rPr>
          <w:szCs w:val="24"/>
          <w:lang w:val="es-ES"/>
        </w:rPr>
        <w:t>mpetencia</w:t>
      </w:r>
      <w:r>
        <w:rPr>
          <w:szCs w:val="24"/>
          <w:lang w:val="es-ES"/>
        </w:rPr>
        <w:t xml:space="preserve"> lingüísti</w:t>
      </w:r>
      <w:r w:rsidR="00B57208">
        <w:rPr>
          <w:szCs w:val="24"/>
          <w:lang w:val="es-ES"/>
        </w:rPr>
        <w:t>ca</w:t>
      </w:r>
      <w:r w:rsidR="003F31B1">
        <w:rPr>
          <w:szCs w:val="24"/>
          <w:lang w:val="es-ES"/>
        </w:rPr>
        <w:t>, en el sentido de que</w:t>
      </w:r>
      <w:r>
        <w:rPr>
          <w:szCs w:val="24"/>
          <w:lang w:val="es-ES"/>
        </w:rPr>
        <w:t xml:space="preserve"> los </w:t>
      </w:r>
      <w:r w:rsidR="00BC2326">
        <w:rPr>
          <w:szCs w:val="24"/>
          <w:lang w:val="es-ES"/>
        </w:rPr>
        <w:t xml:space="preserve">solicitantes </w:t>
      </w:r>
      <w:r w:rsidR="003F31B1">
        <w:rPr>
          <w:szCs w:val="24"/>
          <w:lang w:val="es-ES"/>
        </w:rPr>
        <w:t>se sintiero</w:t>
      </w:r>
      <w:r>
        <w:rPr>
          <w:szCs w:val="24"/>
          <w:lang w:val="es-ES"/>
        </w:rPr>
        <w:t>n discriminados.</w:t>
      </w:r>
    </w:p>
    <w:p w:rsidR="008C7568" w:rsidRDefault="008C7568" w:rsidP="00637350">
      <w:pPr>
        <w:pStyle w:val="SingleTxtG"/>
        <w:rPr>
          <w:szCs w:val="24"/>
          <w:lang w:val="es-ES"/>
        </w:rPr>
      </w:pPr>
      <w:r>
        <w:rPr>
          <w:szCs w:val="24"/>
          <w:lang w:val="es-ES"/>
        </w:rPr>
        <w:t>24.</w:t>
      </w:r>
      <w:r>
        <w:rPr>
          <w:szCs w:val="24"/>
          <w:lang w:val="es-ES"/>
        </w:rPr>
        <w:tab/>
        <w:t xml:space="preserve">A modo de ejemplo, en 2011 hubo dos </w:t>
      </w:r>
      <w:r w:rsidR="00BC2326">
        <w:rPr>
          <w:szCs w:val="24"/>
          <w:lang w:val="es-ES"/>
        </w:rPr>
        <w:t xml:space="preserve">denuncias </w:t>
      </w:r>
      <w:r>
        <w:rPr>
          <w:szCs w:val="24"/>
          <w:lang w:val="es-ES"/>
        </w:rPr>
        <w:t>por discriminación basada en e</w:t>
      </w:r>
      <w:r w:rsidR="003F31B1">
        <w:rPr>
          <w:szCs w:val="24"/>
          <w:lang w:val="es-ES"/>
        </w:rPr>
        <w:t>l origen étnico o la raza</w:t>
      </w:r>
      <w:r w:rsidR="00481D30">
        <w:rPr>
          <w:szCs w:val="24"/>
          <w:lang w:val="es-ES"/>
        </w:rPr>
        <w:t>. En una de ellas e</w:t>
      </w:r>
      <w:r>
        <w:rPr>
          <w:szCs w:val="24"/>
          <w:lang w:val="es-ES"/>
        </w:rPr>
        <w:t>l</w:t>
      </w:r>
      <w:r w:rsidR="00BC2326">
        <w:rPr>
          <w:szCs w:val="24"/>
          <w:lang w:val="es-ES"/>
        </w:rPr>
        <w:t xml:space="preserve"> solicitante</w:t>
      </w:r>
      <w:r w:rsidR="003F31B1">
        <w:rPr>
          <w:szCs w:val="24"/>
          <w:lang w:val="es-ES"/>
        </w:rPr>
        <w:t xml:space="preserve"> opinaba</w:t>
      </w:r>
      <w:r w:rsidR="00BC2326">
        <w:rPr>
          <w:szCs w:val="24"/>
          <w:lang w:val="es-ES"/>
        </w:rPr>
        <w:t>,</w:t>
      </w:r>
      <w:r w:rsidR="003F31B1">
        <w:rPr>
          <w:szCs w:val="24"/>
          <w:lang w:val="es-ES"/>
        </w:rPr>
        <w:t xml:space="preserve"> sobre la base de</w:t>
      </w:r>
      <w:r w:rsidR="00BC2326">
        <w:rPr>
          <w:szCs w:val="24"/>
          <w:lang w:val="es-ES"/>
        </w:rPr>
        <w:t xml:space="preserve"> u</w:t>
      </w:r>
      <w:r>
        <w:rPr>
          <w:szCs w:val="24"/>
          <w:lang w:val="es-ES"/>
        </w:rPr>
        <w:t>n artículo publicado en un periódico</w:t>
      </w:r>
      <w:r w:rsidR="00BC2326">
        <w:rPr>
          <w:szCs w:val="24"/>
          <w:lang w:val="es-ES"/>
        </w:rPr>
        <w:t>,</w:t>
      </w:r>
      <w:r w:rsidR="003F31B1">
        <w:rPr>
          <w:szCs w:val="24"/>
          <w:lang w:val="es-ES"/>
        </w:rPr>
        <w:t xml:space="preserve"> que</w:t>
      </w:r>
      <w:r>
        <w:rPr>
          <w:szCs w:val="24"/>
          <w:lang w:val="es-ES"/>
        </w:rPr>
        <w:t xml:space="preserve"> una asociación sin fines de lucro </w:t>
      </w:r>
      <w:r w:rsidR="003F31B1">
        <w:rPr>
          <w:szCs w:val="24"/>
          <w:lang w:val="es-ES"/>
        </w:rPr>
        <w:t>que no ofrecí</w:t>
      </w:r>
      <w:r w:rsidR="00BC2326">
        <w:rPr>
          <w:szCs w:val="24"/>
          <w:lang w:val="es-ES"/>
        </w:rPr>
        <w:t xml:space="preserve">a </w:t>
      </w:r>
      <w:r>
        <w:rPr>
          <w:szCs w:val="24"/>
          <w:lang w:val="es-ES"/>
        </w:rPr>
        <w:t>l</w:t>
      </w:r>
      <w:r w:rsidR="00BC2326">
        <w:rPr>
          <w:szCs w:val="24"/>
          <w:lang w:val="es-ES"/>
        </w:rPr>
        <w:t>a oportunidad de</w:t>
      </w:r>
      <w:r>
        <w:rPr>
          <w:szCs w:val="24"/>
          <w:lang w:val="es-ES"/>
        </w:rPr>
        <w:t xml:space="preserve"> u</w:t>
      </w:r>
      <w:r w:rsidR="00BC2326">
        <w:rPr>
          <w:szCs w:val="24"/>
          <w:lang w:val="es-ES"/>
        </w:rPr>
        <w:t>tilizar</w:t>
      </w:r>
      <w:r>
        <w:rPr>
          <w:szCs w:val="24"/>
          <w:lang w:val="es-ES"/>
        </w:rPr>
        <w:t xml:space="preserve"> sus servicios a personas de terceros países era racista y discriminaba a </w:t>
      </w:r>
      <w:r w:rsidR="00BC2326">
        <w:rPr>
          <w:szCs w:val="24"/>
          <w:lang w:val="es-ES"/>
        </w:rPr>
        <w:t xml:space="preserve">las </w:t>
      </w:r>
      <w:r>
        <w:rPr>
          <w:szCs w:val="24"/>
          <w:lang w:val="es-ES"/>
        </w:rPr>
        <w:t>personas sobre la base de su nacionalidad;</w:t>
      </w:r>
      <w:r w:rsidR="00FF167D">
        <w:rPr>
          <w:szCs w:val="24"/>
          <w:lang w:val="es-ES"/>
        </w:rPr>
        <w:t xml:space="preserve"> </w:t>
      </w:r>
      <w:r w:rsidR="00481D30">
        <w:rPr>
          <w:szCs w:val="24"/>
          <w:lang w:val="es-ES"/>
        </w:rPr>
        <w:t xml:space="preserve">en el otro caso, </w:t>
      </w:r>
      <w:r>
        <w:rPr>
          <w:szCs w:val="24"/>
          <w:lang w:val="es-ES"/>
        </w:rPr>
        <w:t xml:space="preserve">el </w:t>
      </w:r>
      <w:r w:rsidR="00BC2326">
        <w:rPr>
          <w:szCs w:val="24"/>
          <w:lang w:val="es-ES"/>
        </w:rPr>
        <w:t xml:space="preserve">solicitante </w:t>
      </w:r>
      <w:r>
        <w:rPr>
          <w:szCs w:val="24"/>
          <w:lang w:val="es-ES"/>
        </w:rPr>
        <w:t xml:space="preserve">alegaba que no se le había permitido la entrada a un establecimiento </w:t>
      </w:r>
      <w:r w:rsidR="00BC2326">
        <w:rPr>
          <w:szCs w:val="24"/>
          <w:lang w:val="es-ES"/>
        </w:rPr>
        <w:t>de distribución de comidas preparadas</w:t>
      </w:r>
      <w:r w:rsidR="00481D30">
        <w:rPr>
          <w:szCs w:val="24"/>
          <w:lang w:val="es-ES"/>
        </w:rPr>
        <w:t>, por lo que denunciaba discriminación basada en la</w:t>
      </w:r>
      <w:r>
        <w:rPr>
          <w:szCs w:val="24"/>
          <w:lang w:val="es-ES"/>
        </w:rPr>
        <w:t xml:space="preserve"> raza y </w:t>
      </w:r>
      <w:r w:rsidR="00481D30">
        <w:rPr>
          <w:szCs w:val="24"/>
          <w:lang w:val="es-ES"/>
        </w:rPr>
        <w:t xml:space="preserve">el </w:t>
      </w:r>
      <w:r>
        <w:rPr>
          <w:szCs w:val="24"/>
          <w:lang w:val="es-ES"/>
        </w:rPr>
        <w:t>color de</w:t>
      </w:r>
      <w:r w:rsidR="00481D30">
        <w:rPr>
          <w:szCs w:val="24"/>
          <w:lang w:val="es-ES"/>
        </w:rPr>
        <w:t xml:space="preserve"> la</w:t>
      </w:r>
      <w:r>
        <w:rPr>
          <w:szCs w:val="24"/>
          <w:lang w:val="es-ES"/>
        </w:rPr>
        <w:t xml:space="preserve"> piel. En su calidad de miembro de una organización representativa, también presentó una declaración </w:t>
      </w:r>
      <w:r w:rsidR="00BC2326">
        <w:rPr>
          <w:szCs w:val="24"/>
          <w:lang w:val="es-ES"/>
        </w:rPr>
        <w:t xml:space="preserve">de </w:t>
      </w:r>
      <w:r>
        <w:rPr>
          <w:szCs w:val="24"/>
          <w:lang w:val="es-ES"/>
        </w:rPr>
        <w:t>ot</w:t>
      </w:r>
      <w:r w:rsidR="00481D30">
        <w:rPr>
          <w:szCs w:val="24"/>
          <w:lang w:val="es-ES"/>
        </w:rPr>
        <w:t xml:space="preserve">ra persona indignada por el mal </w:t>
      </w:r>
      <w:r>
        <w:rPr>
          <w:szCs w:val="24"/>
          <w:lang w:val="es-ES"/>
        </w:rPr>
        <w:t xml:space="preserve">trato que </w:t>
      </w:r>
      <w:r w:rsidR="00BC2326">
        <w:rPr>
          <w:szCs w:val="24"/>
          <w:lang w:val="es-ES"/>
        </w:rPr>
        <w:t xml:space="preserve">había </w:t>
      </w:r>
      <w:r>
        <w:rPr>
          <w:szCs w:val="24"/>
          <w:lang w:val="es-ES"/>
        </w:rPr>
        <w:t>recibi</w:t>
      </w:r>
      <w:r w:rsidR="00BC2326">
        <w:rPr>
          <w:szCs w:val="24"/>
          <w:lang w:val="es-ES"/>
        </w:rPr>
        <w:t>do</w:t>
      </w:r>
      <w:r>
        <w:rPr>
          <w:szCs w:val="24"/>
          <w:lang w:val="es-ES"/>
        </w:rPr>
        <w:t xml:space="preserve"> en e</w:t>
      </w:r>
      <w:r w:rsidR="00BC2326">
        <w:rPr>
          <w:szCs w:val="24"/>
          <w:lang w:val="es-ES"/>
        </w:rPr>
        <w:t>se</w:t>
      </w:r>
      <w:r>
        <w:rPr>
          <w:szCs w:val="24"/>
          <w:lang w:val="es-ES"/>
        </w:rPr>
        <w:t xml:space="preserve"> mismo establecimiento. </w:t>
      </w:r>
    </w:p>
    <w:p w:rsidR="00C32E50" w:rsidRPr="00C32E50" w:rsidRDefault="00C32E50" w:rsidP="00637350">
      <w:pPr>
        <w:pStyle w:val="SingleTxtG"/>
        <w:rPr>
          <w:szCs w:val="24"/>
          <w:lang w:val="es-ES"/>
        </w:rPr>
      </w:pPr>
      <w:r w:rsidRPr="00C32E50">
        <w:rPr>
          <w:szCs w:val="24"/>
          <w:lang w:val="es-ES"/>
        </w:rPr>
        <w:t>25.</w:t>
      </w:r>
      <w:r w:rsidRPr="00C32E50">
        <w:rPr>
          <w:szCs w:val="24"/>
          <w:lang w:val="es-ES"/>
        </w:rPr>
        <w:tab/>
      </w:r>
      <w:r>
        <w:rPr>
          <w:szCs w:val="24"/>
          <w:lang w:val="es-ES"/>
        </w:rPr>
        <w:t>Con respecto a los casos de discriminación m</w:t>
      </w:r>
      <w:r w:rsidR="00481D30">
        <w:rPr>
          <w:szCs w:val="24"/>
          <w:lang w:val="es-ES"/>
        </w:rPr>
        <w:t>últiple, en los que</w:t>
      </w:r>
      <w:r>
        <w:rPr>
          <w:szCs w:val="24"/>
          <w:lang w:val="es-ES"/>
        </w:rPr>
        <w:t xml:space="preserve"> uno de</w:t>
      </w:r>
      <w:r w:rsidR="00FF167D">
        <w:rPr>
          <w:szCs w:val="24"/>
          <w:lang w:val="es-ES"/>
        </w:rPr>
        <w:t xml:space="preserve"> los m</w:t>
      </w:r>
      <w:r w:rsidR="00481D30">
        <w:rPr>
          <w:szCs w:val="24"/>
          <w:lang w:val="es-ES"/>
        </w:rPr>
        <w:t xml:space="preserve">otivos de discriminación </w:t>
      </w:r>
      <w:r w:rsidR="00FF167D">
        <w:rPr>
          <w:szCs w:val="24"/>
          <w:lang w:val="es-ES"/>
        </w:rPr>
        <w:t>s</w:t>
      </w:r>
      <w:r w:rsidR="00481D30">
        <w:rPr>
          <w:szCs w:val="24"/>
          <w:lang w:val="es-ES"/>
        </w:rPr>
        <w:t>uele ser</w:t>
      </w:r>
      <w:r w:rsidR="00FF167D">
        <w:rPr>
          <w:szCs w:val="24"/>
          <w:lang w:val="es-ES"/>
        </w:rPr>
        <w:t xml:space="preserve"> e</w:t>
      </w:r>
      <w:r>
        <w:rPr>
          <w:szCs w:val="24"/>
          <w:lang w:val="es-ES"/>
        </w:rPr>
        <w:t xml:space="preserve">l origen étnico, se han </w:t>
      </w:r>
      <w:r w:rsidR="00FF167D">
        <w:rPr>
          <w:szCs w:val="24"/>
          <w:lang w:val="es-ES"/>
        </w:rPr>
        <w:t>recopilado</w:t>
      </w:r>
      <w:r>
        <w:rPr>
          <w:szCs w:val="24"/>
          <w:lang w:val="es-ES"/>
        </w:rPr>
        <w:t xml:space="preserve"> estadísticas desde 2010. Ese año hubo 5 </w:t>
      </w:r>
      <w:r w:rsidR="00B57208">
        <w:rPr>
          <w:szCs w:val="24"/>
          <w:lang w:val="es-ES"/>
        </w:rPr>
        <w:t>investigaciones</w:t>
      </w:r>
      <w:r>
        <w:rPr>
          <w:szCs w:val="24"/>
          <w:lang w:val="es-ES"/>
        </w:rPr>
        <w:t xml:space="preserve">, de las cuales 4 </w:t>
      </w:r>
      <w:r w:rsidR="00B57208">
        <w:rPr>
          <w:szCs w:val="24"/>
          <w:lang w:val="es-ES"/>
        </w:rPr>
        <w:t>se referían a denuncia</w:t>
      </w:r>
      <w:r>
        <w:rPr>
          <w:szCs w:val="24"/>
          <w:lang w:val="es-ES"/>
        </w:rPr>
        <w:t xml:space="preserve">s, y en 2011 </w:t>
      </w:r>
      <w:r w:rsidR="00B57208">
        <w:rPr>
          <w:szCs w:val="24"/>
          <w:lang w:val="es-ES"/>
        </w:rPr>
        <w:t xml:space="preserve">hubo </w:t>
      </w:r>
      <w:r>
        <w:rPr>
          <w:szCs w:val="24"/>
          <w:lang w:val="es-ES"/>
        </w:rPr>
        <w:t>16</w:t>
      </w:r>
      <w:r w:rsidR="00B57208">
        <w:rPr>
          <w:szCs w:val="24"/>
          <w:lang w:val="es-ES"/>
        </w:rPr>
        <w:t xml:space="preserve"> investigaciones</w:t>
      </w:r>
      <w:r>
        <w:rPr>
          <w:szCs w:val="24"/>
          <w:lang w:val="es-ES"/>
        </w:rPr>
        <w:t xml:space="preserve">, 9 </w:t>
      </w:r>
      <w:r w:rsidR="00B57208">
        <w:rPr>
          <w:szCs w:val="24"/>
          <w:lang w:val="es-ES"/>
        </w:rPr>
        <w:t>de ellas sobre d</w:t>
      </w:r>
      <w:r>
        <w:rPr>
          <w:szCs w:val="24"/>
          <w:lang w:val="es-ES"/>
        </w:rPr>
        <w:t>e</w:t>
      </w:r>
      <w:r w:rsidR="00B57208">
        <w:rPr>
          <w:szCs w:val="24"/>
          <w:lang w:val="es-ES"/>
        </w:rPr>
        <w:t>nuncias</w:t>
      </w:r>
      <w:r>
        <w:rPr>
          <w:szCs w:val="24"/>
          <w:lang w:val="es-ES"/>
        </w:rPr>
        <w:t>.</w:t>
      </w:r>
    </w:p>
    <w:p w:rsidR="00C32E50" w:rsidRDefault="00C32E50" w:rsidP="00637350">
      <w:pPr>
        <w:pStyle w:val="SingleTxtG"/>
        <w:rPr>
          <w:szCs w:val="24"/>
          <w:lang w:val="es-ES"/>
        </w:rPr>
      </w:pPr>
      <w:r w:rsidRPr="00C32E50">
        <w:rPr>
          <w:szCs w:val="24"/>
          <w:lang w:val="es-ES"/>
        </w:rPr>
        <w:t>26.</w:t>
      </w:r>
      <w:r w:rsidRPr="00C32E50">
        <w:rPr>
          <w:szCs w:val="24"/>
          <w:lang w:val="es-ES"/>
        </w:rPr>
        <w:tab/>
      </w:r>
      <w:r>
        <w:rPr>
          <w:szCs w:val="24"/>
          <w:lang w:val="es-ES"/>
        </w:rPr>
        <w:t xml:space="preserve">Las actividades del Comisionado también han sido objeto de amplia cobertura en los medios de comunicación. </w:t>
      </w:r>
    </w:p>
    <w:p w:rsidR="00520AC6" w:rsidRPr="00690FA2" w:rsidRDefault="00520AC6" w:rsidP="00637350">
      <w:pPr>
        <w:pStyle w:val="SingleTxtG"/>
        <w:rPr>
          <w:szCs w:val="24"/>
          <w:lang w:val="es-ES"/>
        </w:rPr>
      </w:pPr>
      <w:r>
        <w:rPr>
          <w:szCs w:val="24"/>
          <w:lang w:val="es-ES"/>
        </w:rPr>
        <w:t>27.</w:t>
      </w:r>
      <w:r>
        <w:rPr>
          <w:szCs w:val="24"/>
          <w:lang w:val="es-ES"/>
        </w:rPr>
        <w:tab/>
        <w:t>El Ministerio de Asuntos Sociales está coordinando l</w:t>
      </w:r>
      <w:r w:rsidR="008139D7">
        <w:rPr>
          <w:szCs w:val="24"/>
          <w:lang w:val="es-ES"/>
        </w:rPr>
        <w:t>a</w:t>
      </w:r>
      <w:r>
        <w:rPr>
          <w:szCs w:val="24"/>
          <w:lang w:val="es-ES"/>
        </w:rPr>
        <w:t xml:space="preserve"> </w:t>
      </w:r>
      <w:r w:rsidR="008139D7">
        <w:rPr>
          <w:szCs w:val="24"/>
          <w:lang w:val="es-ES"/>
        </w:rPr>
        <w:t xml:space="preserve">labor </w:t>
      </w:r>
      <w:r>
        <w:rPr>
          <w:szCs w:val="24"/>
          <w:lang w:val="es-ES"/>
        </w:rPr>
        <w:t xml:space="preserve">sobre </w:t>
      </w:r>
      <w:r w:rsidR="008139D7">
        <w:rPr>
          <w:szCs w:val="24"/>
          <w:lang w:val="es-ES"/>
        </w:rPr>
        <w:t xml:space="preserve">la </w:t>
      </w:r>
      <w:r>
        <w:rPr>
          <w:szCs w:val="24"/>
          <w:lang w:val="es-ES"/>
        </w:rPr>
        <w:t xml:space="preserve">igualdad de trato mediante la cofinanciación del programa PROGRESS de </w:t>
      </w:r>
      <w:smartTag w:uri="urn:schemas-microsoft-com:office:smarttags" w:element="PersonName">
        <w:smartTagPr>
          <w:attr w:name="ProductID" w:val="la Comisi￳n Europea."/>
        </w:smartTagPr>
        <w:r>
          <w:rPr>
            <w:szCs w:val="24"/>
            <w:lang w:val="es-ES"/>
          </w:rPr>
          <w:t xml:space="preserve">la </w:t>
        </w:r>
        <w:r w:rsidR="008139D7">
          <w:rPr>
            <w:szCs w:val="24"/>
            <w:lang w:val="es-ES"/>
          </w:rPr>
          <w:t>Comis</w:t>
        </w:r>
        <w:r>
          <w:rPr>
            <w:szCs w:val="24"/>
            <w:lang w:val="es-ES"/>
          </w:rPr>
          <w:t>ión Europea.</w:t>
        </w:r>
      </w:smartTag>
      <w:r>
        <w:rPr>
          <w:szCs w:val="24"/>
          <w:lang w:val="es-ES"/>
        </w:rPr>
        <w:t xml:space="preserve"> En el marco de dicho programa, </w:t>
      </w:r>
      <w:smartTag w:uri="urn:schemas-microsoft-com:office:smarttags" w:element="PersonName">
        <w:smartTagPr>
          <w:attr w:name="ProductID" w:val="la Facultad"/>
        </w:smartTagPr>
        <w:r>
          <w:rPr>
            <w:szCs w:val="24"/>
            <w:lang w:val="es-ES"/>
          </w:rPr>
          <w:t>la Facultad</w:t>
        </w:r>
      </w:smartTag>
      <w:r>
        <w:rPr>
          <w:szCs w:val="24"/>
          <w:lang w:val="es-ES"/>
        </w:rPr>
        <w:t xml:space="preserve"> de Derecho de </w:t>
      </w:r>
      <w:smartTag w:uri="urn:schemas-microsoft-com:office:smarttags" w:element="PersonName">
        <w:smartTagPr>
          <w:attr w:name="ProductID" w:val="la Universidad Tecnol￳gica"/>
        </w:smartTagPr>
        <w:r>
          <w:rPr>
            <w:szCs w:val="24"/>
            <w:lang w:val="es-ES"/>
          </w:rPr>
          <w:t>la Universidad Tecnológica</w:t>
        </w:r>
      </w:smartTag>
      <w:r>
        <w:rPr>
          <w:szCs w:val="24"/>
          <w:lang w:val="es-ES"/>
        </w:rPr>
        <w:t xml:space="preserve"> de Tallin gestiona un proyecto de lucha contra la discriminación denominado </w:t>
      </w:r>
      <w:r w:rsidR="002B491B">
        <w:rPr>
          <w:szCs w:val="24"/>
          <w:lang w:val="es-ES"/>
        </w:rPr>
        <w:t>"</w:t>
      </w:r>
      <w:r>
        <w:rPr>
          <w:szCs w:val="24"/>
          <w:lang w:val="es-ES"/>
        </w:rPr>
        <w:t>La diversidad enriquece</w:t>
      </w:r>
      <w:r w:rsidR="002B491B">
        <w:rPr>
          <w:szCs w:val="24"/>
          <w:lang w:val="es-ES"/>
        </w:rPr>
        <w:t>"</w:t>
      </w:r>
      <w:r>
        <w:rPr>
          <w:szCs w:val="24"/>
          <w:lang w:val="es-ES"/>
        </w:rPr>
        <w:t xml:space="preserve"> </w:t>
      </w:r>
      <w:r w:rsidRPr="004275CB">
        <w:rPr>
          <w:i/>
          <w:szCs w:val="24"/>
          <w:lang w:val="es-ES"/>
        </w:rPr>
        <w:t>(Erinevus rikastab)</w:t>
      </w:r>
      <w:r>
        <w:rPr>
          <w:szCs w:val="24"/>
          <w:lang w:val="es-ES"/>
        </w:rPr>
        <w:t xml:space="preserve">, cofinanciado por </w:t>
      </w:r>
      <w:smartTag w:uri="urn:schemas-microsoft-com:office:smarttags" w:element="PersonName">
        <w:smartTagPr>
          <w:attr w:name="ProductID" w:val="la Uni￳n Europea"/>
        </w:smartTagPr>
        <w:r>
          <w:rPr>
            <w:szCs w:val="24"/>
            <w:lang w:val="es-ES"/>
          </w:rPr>
          <w:t>la Unión Europea</w:t>
        </w:r>
      </w:smartTag>
      <w:r>
        <w:rPr>
          <w:szCs w:val="24"/>
          <w:lang w:val="es-ES"/>
        </w:rPr>
        <w:t>, el Ministerio de Asuntos Social</w:t>
      </w:r>
      <w:r w:rsidR="00FF167D">
        <w:rPr>
          <w:szCs w:val="24"/>
          <w:lang w:val="es-ES"/>
        </w:rPr>
        <w:t>es</w:t>
      </w:r>
      <w:r>
        <w:rPr>
          <w:szCs w:val="24"/>
          <w:lang w:val="es-ES"/>
        </w:rPr>
        <w:t xml:space="preserve"> y </w:t>
      </w:r>
      <w:smartTag w:uri="urn:schemas-microsoft-com:office:smarttags" w:element="PersonName">
        <w:smartTagPr>
          <w:attr w:name="ProductID" w:val="la Universidad Tecnol￳gica"/>
        </w:smartTagPr>
        <w:r>
          <w:rPr>
            <w:szCs w:val="24"/>
            <w:lang w:val="es-ES"/>
          </w:rPr>
          <w:t>la Universidad Tecnológica</w:t>
        </w:r>
      </w:smartTag>
      <w:r>
        <w:rPr>
          <w:szCs w:val="24"/>
          <w:lang w:val="es-ES"/>
        </w:rPr>
        <w:t xml:space="preserve"> de Tallin.</w:t>
      </w:r>
    </w:p>
    <w:p w:rsidR="002E0DF4" w:rsidRPr="002E0DF4" w:rsidRDefault="002E0DF4" w:rsidP="00637350">
      <w:pPr>
        <w:pStyle w:val="SingleTxtG"/>
        <w:rPr>
          <w:szCs w:val="24"/>
          <w:lang w:val="es-ES"/>
        </w:rPr>
      </w:pPr>
      <w:r>
        <w:rPr>
          <w:szCs w:val="24"/>
          <w:lang w:val="es-ES"/>
        </w:rPr>
        <w:t>28.</w:t>
      </w:r>
      <w:r>
        <w:rPr>
          <w:szCs w:val="24"/>
          <w:lang w:val="es-ES"/>
        </w:rPr>
        <w:tab/>
        <w:t xml:space="preserve">El objetivo del programa PROGRESS es aumentar el apoyo de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a los compromisos y esfuerzos </w:t>
      </w:r>
      <w:r w:rsidR="008139D7">
        <w:rPr>
          <w:szCs w:val="24"/>
          <w:lang w:val="es-ES"/>
        </w:rPr>
        <w:t>desplegado</w:t>
      </w:r>
      <w:r>
        <w:rPr>
          <w:szCs w:val="24"/>
          <w:lang w:val="es-ES"/>
        </w:rPr>
        <w:t xml:space="preserve">s por los Estados miembros. A tal fin, el programa PROGRESS </w:t>
      </w:r>
      <w:r w:rsidR="008139D7">
        <w:rPr>
          <w:szCs w:val="24"/>
          <w:lang w:val="es-ES"/>
        </w:rPr>
        <w:t xml:space="preserve">incluye </w:t>
      </w:r>
      <w:r>
        <w:rPr>
          <w:szCs w:val="24"/>
          <w:lang w:val="es-ES"/>
        </w:rPr>
        <w:t>las siguientes medidas: análisis de las esferas pertinentes de las políticas y</w:t>
      </w:r>
      <w:r w:rsidR="00481D30">
        <w:rPr>
          <w:szCs w:val="24"/>
          <w:lang w:val="es-ES"/>
        </w:rPr>
        <w:t xml:space="preserve"> el</w:t>
      </w:r>
      <w:r>
        <w:rPr>
          <w:szCs w:val="24"/>
          <w:lang w:val="es-ES"/>
        </w:rPr>
        <w:t xml:space="preserve"> asesoramiento político; vigilancia de la aplicación de la legislación de </w:t>
      </w:r>
      <w:smartTag w:uri="urn:schemas-microsoft-com:office:smarttags" w:element="PersonName">
        <w:smartTagPr>
          <w:attr w:name="ProductID" w:val="la Uni￳n Europea"/>
        </w:smartTagPr>
        <w:r>
          <w:rPr>
            <w:szCs w:val="24"/>
            <w:lang w:val="es-ES"/>
          </w:rPr>
          <w:t>la Unión Europea</w:t>
        </w:r>
      </w:smartTag>
      <w:r w:rsidR="00481D30">
        <w:rPr>
          <w:szCs w:val="24"/>
          <w:lang w:val="es-ES"/>
        </w:rPr>
        <w:t xml:space="preserve"> en relación</w:t>
      </w:r>
      <w:r>
        <w:rPr>
          <w:szCs w:val="24"/>
          <w:lang w:val="es-ES"/>
        </w:rPr>
        <w:t xml:space="preserve"> con las respectivas esferas de política</w:t>
      </w:r>
      <w:r w:rsidR="008139D7">
        <w:rPr>
          <w:szCs w:val="24"/>
          <w:lang w:val="es-ES"/>
        </w:rPr>
        <w:t xml:space="preserve"> y la</w:t>
      </w:r>
      <w:r>
        <w:rPr>
          <w:szCs w:val="24"/>
          <w:lang w:val="es-ES"/>
        </w:rPr>
        <w:t xml:space="preserve"> elaboración de informes; promoción del intercambio de experiencias relativas a los objetivos</w:t>
      </w:r>
      <w:r w:rsidR="008139D7">
        <w:rPr>
          <w:szCs w:val="24"/>
          <w:lang w:val="es-ES"/>
        </w:rPr>
        <w:t xml:space="preserve"> y prioridades </w:t>
      </w:r>
      <w:r>
        <w:rPr>
          <w:szCs w:val="24"/>
          <w:lang w:val="es-ES"/>
        </w:rPr>
        <w:t xml:space="preserve">de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así como </w:t>
      </w:r>
      <w:r w:rsidR="008139D7">
        <w:rPr>
          <w:szCs w:val="24"/>
          <w:lang w:val="es-ES"/>
        </w:rPr>
        <w:t>d</w:t>
      </w:r>
      <w:r>
        <w:rPr>
          <w:szCs w:val="24"/>
          <w:lang w:val="es-ES"/>
        </w:rPr>
        <w:t>e información y apoyo mutuo entre los Estados miembros; intercambio de opiniones entre las partes interesadas y la sociedad en su conjunto.</w:t>
      </w:r>
    </w:p>
    <w:p w:rsidR="00A10102" w:rsidRPr="00A10102" w:rsidRDefault="00A10102" w:rsidP="00637350">
      <w:pPr>
        <w:pStyle w:val="SingleTxtG"/>
        <w:rPr>
          <w:szCs w:val="24"/>
          <w:lang w:val="es-ES"/>
        </w:rPr>
      </w:pPr>
      <w:r>
        <w:rPr>
          <w:szCs w:val="24"/>
          <w:lang w:val="es-ES"/>
        </w:rPr>
        <w:t>29.</w:t>
      </w:r>
      <w:r>
        <w:rPr>
          <w:szCs w:val="24"/>
          <w:lang w:val="es-ES"/>
        </w:rPr>
        <w:tab/>
        <w:t>E</w:t>
      </w:r>
      <w:r w:rsidR="008139D7">
        <w:rPr>
          <w:szCs w:val="24"/>
          <w:lang w:val="es-ES"/>
        </w:rPr>
        <w:t>n el marco del programa PROGRESS, E</w:t>
      </w:r>
      <w:r>
        <w:rPr>
          <w:szCs w:val="24"/>
          <w:lang w:val="es-ES"/>
        </w:rPr>
        <w:t>stonia está llevando a</w:t>
      </w:r>
      <w:r w:rsidR="008139D7">
        <w:rPr>
          <w:szCs w:val="24"/>
          <w:lang w:val="es-ES"/>
        </w:rPr>
        <w:t xml:space="preserve"> la práctica</w:t>
      </w:r>
      <w:r>
        <w:rPr>
          <w:szCs w:val="24"/>
          <w:lang w:val="es-ES"/>
        </w:rPr>
        <w:t xml:space="preserve"> el proyecto de lucha contra la discriminación denominado </w:t>
      </w:r>
      <w:r w:rsidR="002B491B">
        <w:rPr>
          <w:szCs w:val="24"/>
          <w:lang w:val="es-ES"/>
        </w:rPr>
        <w:t>"</w:t>
      </w:r>
      <w:r>
        <w:rPr>
          <w:szCs w:val="24"/>
          <w:lang w:val="es-ES"/>
        </w:rPr>
        <w:t>La diversidad enriquece</w:t>
      </w:r>
      <w:r w:rsidR="002B491B">
        <w:rPr>
          <w:szCs w:val="24"/>
          <w:lang w:val="es-ES"/>
        </w:rPr>
        <w:t>"</w:t>
      </w:r>
      <w:r>
        <w:rPr>
          <w:szCs w:val="24"/>
          <w:lang w:val="es-ES"/>
        </w:rPr>
        <w:t xml:space="preserve">, destinado a hacer frente a la xenofobia y </w:t>
      </w:r>
      <w:r w:rsidR="008139D7">
        <w:rPr>
          <w:szCs w:val="24"/>
          <w:lang w:val="es-ES"/>
        </w:rPr>
        <w:t>a</w:t>
      </w:r>
      <w:r>
        <w:rPr>
          <w:szCs w:val="24"/>
          <w:lang w:val="es-ES"/>
        </w:rPr>
        <w:t xml:space="preserve">l racismo en Estonia. </w:t>
      </w:r>
      <w:r w:rsidR="008E66D8">
        <w:rPr>
          <w:szCs w:val="24"/>
          <w:lang w:val="es-ES"/>
        </w:rPr>
        <w:t>En 2009, u</w:t>
      </w:r>
      <w:r>
        <w:rPr>
          <w:szCs w:val="24"/>
          <w:lang w:val="es-ES"/>
        </w:rPr>
        <w:t>na de las prioridades del programa fue sensibiliza</w:t>
      </w:r>
      <w:r w:rsidR="008E66D8">
        <w:rPr>
          <w:szCs w:val="24"/>
          <w:lang w:val="es-ES"/>
        </w:rPr>
        <w:t>r</w:t>
      </w:r>
      <w:r>
        <w:rPr>
          <w:szCs w:val="24"/>
          <w:lang w:val="es-ES"/>
        </w:rPr>
        <w:t xml:space="preserve"> </w:t>
      </w:r>
      <w:r w:rsidR="008E66D8">
        <w:rPr>
          <w:szCs w:val="24"/>
          <w:lang w:val="es-ES"/>
        </w:rPr>
        <w:t xml:space="preserve">en mayor medida </w:t>
      </w:r>
      <w:r>
        <w:rPr>
          <w:szCs w:val="24"/>
          <w:lang w:val="es-ES"/>
        </w:rPr>
        <w:t xml:space="preserve">sobre la amenaza </w:t>
      </w:r>
      <w:r w:rsidR="008E66D8">
        <w:rPr>
          <w:szCs w:val="24"/>
          <w:lang w:val="es-ES"/>
        </w:rPr>
        <w:t>d</w:t>
      </w:r>
      <w:r>
        <w:rPr>
          <w:szCs w:val="24"/>
          <w:lang w:val="es-ES"/>
        </w:rPr>
        <w:t xml:space="preserve">el racismo y la xenofobia y las actividades de lucha contra la discriminación en relación con las minorías nacionales en Estonia. Además, </w:t>
      </w:r>
      <w:r w:rsidR="008E66D8">
        <w:rPr>
          <w:szCs w:val="24"/>
          <w:lang w:val="es-ES"/>
        </w:rPr>
        <w:t xml:space="preserve">durante </w:t>
      </w:r>
      <w:r>
        <w:rPr>
          <w:szCs w:val="24"/>
          <w:lang w:val="es-ES"/>
        </w:rPr>
        <w:t xml:space="preserve">todo ese año se </w:t>
      </w:r>
      <w:r w:rsidR="008E66D8">
        <w:rPr>
          <w:szCs w:val="24"/>
          <w:lang w:val="es-ES"/>
        </w:rPr>
        <w:t xml:space="preserve">realizó </w:t>
      </w:r>
      <w:r>
        <w:rPr>
          <w:szCs w:val="24"/>
          <w:lang w:val="es-ES"/>
        </w:rPr>
        <w:t xml:space="preserve">una campaña en los medios de comunicación. En 2012, uno de los objetivos del proyecto </w:t>
      </w:r>
      <w:r w:rsidR="002B491B">
        <w:rPr>
          <w:szCs w:val="24"/>
          <w:lang w:val="es-ES"/>
        </w:rPr>
        <w:t>"</w:t>
      </w:r>
      <w:r>
        <w:rPr>
          <w:szCs w:val="24"/>
          <w:lang w:val="es-ES"/>
        </w:rPr>
        <w:t>La diversidad enriquece</w:t>
      </w:r>
      <w:r w:rsidR="002B491B">
        <w:rPr>
          <w:szCs w:val="24"/>
          <w:lang w:val="es-ES"/>
        </w:rPr>
        <w:t>"</w:t>
      </w:r>
      <w:r>
        <w:rPr>
          <w:szCs w:val="24"/>
          <w:lang w:val="es-ES"/>
        </w:rPr>
        <w:t xml:space="preserve"> </w:t>
      </w:r>
      <w:r w:rsidR="00890EAE">
        <w:rPr>
          <w:szCs w:val="24"/>
          <w:lang w:val="es-ES"/>
        </w:rPr>
        <w:t>fue</w:t>
      </w:r>
      <w:r>
        <w:rPr>
          <w:szCs w:val="24"/>
          <w:lang w:val="es-ES"/>
        </w:rPr>
        <w:t xml:space="preserve"> la observancia de la igualdad de trato en el sector privado, inclu</w:t>
      </w:r>
      <w:r w:rsidR="008E66D8">
        <w:rPr>
          <w:szCs w:val="24"/>
          <w:lang w:val="es-ES"/>
        </w:rPr>
        <w:t>ida</w:t>
      </w:r>
      <w:r>
        <w:rPr>
          <w:szCs w:val="24"/>
          <w:lang w:val="es-ES"/>
        </w:rPr>
        <w:t xml:space="preserve"> la </w:t>
      </w:r>
      <w:r w:rsidR="00FF167D">
        <w:rPr>
          <w:szCs w:val="24"/>
          <w:lang w:val="es-ES"/>
        </w:rPr>
        <w:t xml:space="preserve">elaboración de planes de acción </w:t>
      </w:r>
      <w:r w:rsidR="008E66D8">
        <w:rPr>
          <w:szCs w:val="24"/>
          <w:lang w:val="es-ES"/>
        </w:rPr>
        <w:t xml:space="preserve">con el compromiso de </w:t>
      </w:r>
      <w:r>
        <w:rPr>
          <w:szCs w:val="24"/>
          <w:lang w:val="es-ES"/>
        </w:rPr>
        <w:t>asegur</w:t>
      </w:r>
      <w:r w:rsidR="008E66D8">
        <w:rPr>
          <w:szCs w:val="24"/>
          <w:lang w:val="es-ES"/>
        </w:rPr>
        <w:t>ar</w:t>
      </w:r>
      <w:r>
        <w:rPr>
          <w:szCs w:val="24"/>
          <w:lang w:val="es-ES"/>
        </w:rPr>
        <w:t xml:space="preserve"> los derechos de las minorías. </w:t>
      </w:r>
      <w:r w:rsidR="008E66D8">
        <w:rPr>
          <w:szCs w:val="24"/>
          <w:lang w:val="es-ES"/>
        </w:rPr>
        <w:t>A ese respecto</w:t>
      </w:r>
      <w:r>
        <w:rPr>
          <w:szCs w:val="24"/>
          <w:lang w:val="es-ES"/>
        </w:rPr>
        <w:t xml:space="preserve">, a finales de 2012 </w:t>
      </w:r>
      <w:r w:rsidR="00890EAE">
        <w:rPr>
          <w:szCs w:val="24"/>
          <w:lang w:val="es-ES"/>
        </w:rPr>
        <w:t>estaba previsto celebrar</w:t>
      </w:r>
      <w:r>
        <w:rPr>
          <w:szCs w:val="24"/>
          <w:lang w:val="es-ES"/>
        </w:rPr>
        <w:t xml:space="preserve"> una conferencia </w:t>
      </w:r>
      <w:r w:rsidR="003B534B">
        <w:rPr>
          <w:szCs w:val="24"/>
          <w:lang w:val="es-ES"/>
        </w:rPr>
        <w:t xml:space="preserve">de </w:t>
      </w:r>
      <w:r>
        <w:rPr>
          <w:szCs w:val="24"/>
          <w:lang w:val="es-ES"/>
        </w:rPr>
        <w:t>re</w:t>
      </w:r>
      <w:r w:rsidR="003B534B">
        <w:rPr>
          <w:szCs w:val="24"/>
          <w:lang w:val="es-ES"/>
        </w:rPr>
        <w:t>capitulación</w:t>
      </w:r>
      <w:r>
        <w:rPr>
          <w:szCs w:val="24"/>
          <w:lang w:val="es-ES"/>
        </w:rPr>
        <w:t xml:space="preserve"> sobre </w:t>
      </w:r>
      <w:r w:rsidR="00FF167D">
        <w:rPr>
          <w:szCs w:val="24"/>
          <w:lang w:val="es-ES"/>
        </w:rPr>
        <w:t>el</w:t>
      </w:r>
      <w:r>
        <w:rPr>
          <w:szCs w:val="24"/>
          <w:lang w:val="es-ES"/>
        </w:rPr>
        <w:t xml:space="preserve"> tema.</w:t>
      </w:r>
    </w:p>
    <w:p w:rsidR="008647C1" w:rsidRPr="008647C1" w:rsidRDefault="008647C1" w:rsidP="00637350">
      <w:pPr>
        <w:pStyle w:val="SingleTxtG"/>
        <w:rPr>
          <w:szCs w:val="24"/>
          <w:lang w:val="es-ES"/>
        </w:rPr>
      </w:pPr>
      <w:r>
        <w:rPr>
          <w:szCs w:val="24"/>
          <w:lang w:val="es-ES"/>
        </w:rPr>
        <w:t>30.</w:t>
      </w:r>
      <w:r>
        <w:rPr>
          <w:szCs w:val="24"/>
          <w:lang w:val="es-ES"/>
        </w:rPr>
        <w:tab/>
        <w:t>Desde 2007</w:t>
      </w:r>
      <w:r w:rsidR="00481D30">
        <w:rPr>
          <w:szCs w:val="24"/>
          <w:lang w:val="es-ES"/>
        </w:rPr>
        <w:t>,</w:t>
      </w:r>
      <w:r>
        <w:rPr>
          <w:szCs w:val="24"/>
          <w:lang w:val="es-ES"/>
        </w:rPr>
        <w:t xml:space="preserve"> varios expertos en igualdad de trato han recibido formación en el marco</w:t>
      </w:r>
      <w:r w:rsidR="005466A4">
        <w:rPr>
          <w:szCs w:val="24"/>
          <w:lang w:val="es-ES"/>
        </w:rPr>
        <w:t xml:space="preserve"> </w:t>
      </w:r>
      <w:r>
        <w:rPr>
          <w:szCs w:val="24"/>
          <w:lang w:val="es-ES"/>
        </w:rPr>
        <w:t xml:space="preserve">del programa PROGRESS, </w:t>
      </w:r>
      <w:r w:rsidR="003B534B">
        <w:rPr>
          <w:szCs w:val="24"/>
          <w:lang w:val="es-ES"/>
        </w:rPr>
        <w:t xml:space="preserve">incluidas competencias para intercambiar </w:t>
      </w:r>
      <w:r>
        <w:rPr>
          <w:szCs w:val="24"/>
          <w:lang w:val="es-ES"/>
        </w:rPr>
        <w:t xml:space="preserve">sus conocimientos especializados </w:t>
      </w:r>
      <w:r w:rsidR="003B534B">
        <w:rPr>
          <w:szCs w:val="24"/>
          <w:lang w:val="es-ES"/>
        </w:rPr>
        <w:t xml:space="preserve">con </w:t>
      </w:r>
      <w:r>
        <w:rPr>
          <w:szCs w:val="24"/>
          <w:lang w:val="es-ES"/>
        </w:rPr>
        <w:t>diferentes</w:t>
      </w:r>
      <w:r w:rsidR="003B534B">
        <w:rPr>
          <w:szCs w:val="24"/>
          <w:lang w:val="es-ES"/>
        </w:rPr>
        <w:t xml:space="preserve"> empresas</w:t>
      </w:r>
      <w:r>
        <w:rPr>
          <w:szCs w:val="24"/>
          <w:lang w:val="es-ES"/>
        </w:rPr>
        <w:t xml:space="preserve">. Con el fin de asegurar el acceso a la información sobre </w:t>
      </w:r>
      <w:r w:rsidR="003B534B">
        <w:rPr>
          <w:szCs w:val="24"/>
          <w:lang w:val="es-ES"/>
        </w:rPr>
        <w:t xml:space="preserve">la igualdad </w:t>
      </w:r>
      <w:r>
        <w:rPr>
          <w:szCs w:val="24"/>
          <w:lang w:val="es-ES"/>
        </w:rPr>
        <w:t xml:space="preserve">de trato, el sitio web del proyecto </w:t>
      </w:r>
      <w:r w:rsidR="002B491B">
        <w:rPr>
          <w:szCs w:val="24"/>
          <w:lang w:val="es-ES"/>
        </w:rPr>
        <w:t>"</w:t>
      </w:r>
      <w:r>
        <w:rPr>
          <w:szCs w:val="24"/>
          <w:lang w:val="es-ES"/>
        </w:rPr>
        <w:t>La diversidad enriquece</w:t>
      </w:r>
      <w:r w:rsidR="002B491B">
        <w:rPr>
          <w:szCs w:val="24"/>
          <w:lang w:val="es-ES"/>
        </w:rPr>
        <w:t>"</w:t>
      </w:r>
      <w:r>
        <w:rPr>
          <w:szCs w:val="24"/>
          <w:lang w:val="es-ES"/>
        </w:rPr>
        <w:t xml:space="preserve"> (</w:t>
      </w:r>
      <w:r w:rsidRPr="002B491B">
        <w:rPr>
          <w:szCs w:val="24"/>
          <w:lang w:val="es-ES"/>
        </w:rPr>
        <w:t>http://erinevusrikastab.ee</w:t>
      </w:r>
      <w:r>
        <w:rPr>
          <w:szCs w:val="24"/>
          <w:lang w:val="es-ES"/>
        </w:rPr>
        <w:t xml:space="preserve">) se ha actualizado periódicamente con estudios e informes pertinentes, y está disponible en inglés y ruso. Asimismo, </w:t>
      </w:r>
      <w:smartTag w:uri="urn:schemas-microsoft-com:office:smarttags" w:element="PersonName">
        <w:smartTagPr>
          <w:attr w:name="ProductID" w:val="la Facultad"/>
        </w:smartTagPr>
        <w:r>
          <w:rPr>
            <w:szCs w:val="24"/>
            <w:lang w:val="es-ES"/>
          </w:rPr>
          <w:t>la Facultad</w:t>
        </w:r>
      </w:smartTag>
      <w:r>
        <w:rPr>
          <w:szCs w:val="24"/>
          <w:lang w:val="es-ES"/>
        </w:rPr>
        <w:t xml:space="preserve"> de Derecho de </w:t>
      </w:r>
      <w:smartTag w:uri="urn:schemas-microsoft-com:office:smarttags" w:element="PersonName">
        <w:smartTagPr>
          <w:attr w:name="ProductID" w:val="la Universidad Tecnol￳gica"/>
        </w:smartTagPr>
        <w:r>
          <w:rPr>
            <w:szCs w:val="24"/>
            <w:lang w:val="es-ES"/>
          </w:rPr>
          <w:t>la Universidad Tecnológica</w:t>
        </w:r>
      </w:smartTag>
      <w:r>
        <w:rPr>
          <w:szCs w:val="24"/>
          <w:lang w:val="es-ES"/>
        </w:rPr>
        <w:t xml:space="preserve"> de Tallin ha publicado un manual sobre </w:t>
      </w:r>
      <w:smartTag w:uri="urn:schemas-microsoft-com:office:smarttags" w:element="PersonName">
        <w:smartTagPr>
          <w:attr w:name="ProductID" w:val="La Ley"/>
        </w:smartTagPr>
        <w:r>
          <w:rPr>
            <w:szCs w:val="24"/>
            <w:lang w:val="es-ES"/>
          </w:rPr>
          <w:t>la Ley</w:t>
        </w:r>
      </w:smartTag>
      <w:r>
        <w:rPr>
          <w:szCs w:val="24"/>
          <w:lang w:val="es-ES"/>
        </w:rPr>
        <w:t xml:space="preserve"> de igualdad de tra</w:t>
      </w:r>
      <w:r w:rsidR="00FF167D">
        <w:rPr>
          <w:szCs w:val="24"/>
          <w:lang w:val="es-ES"/>
        </w:rPr>
        <w:t xml:space="preserve">to y el tema </w:t>
      </w:r>
      <w:r>
        <w:rPr>
          <w:szCs w:val="24"/>
          <w:lang w:val="es-ES"/>
        </w:rPr>
        <w:t xml:space="preserve">de la no discriminación, también disponible en la página web del proyecto </w:t>
      </w:r>
      <w:r w:rsidR="002B491B">
        <w:rPr>
          <w:szCs w:val="24"/>
          <w:lang w:val="es-ES"/>
        </w:rPr>
        <w:t>"</w:t>
      </w:r>
      <w:r>
        <w:rPr>
          <w:szCs w:val="24"/>
          <w:lang w:val="es-ES"/>
        </w:rPr>
        <w:t>La diversidad enriquece</w:t>
      </w:r>
      <w:r w:rsidR="002B491B">
        <w:rPr>
          <w:szCs w:val="24"/>
          <w:lang w:val="es-ES"/>
        </w:rPr>
        <w:t>"</w:t>
      </w:r>
      <w:r>
        <w:rPr>
          <w:szCs w:val="24"/>
          <w:lang w:val="es-ES"/>
        </w:rPr>
        <w:t>. Ade</w:t>
      </w:r>
      <w:r w:rsidR="00481D30">
        <w:rPr>
          <w:szCs w:val="24"/>
          <w:lang w:val="es-ES"/>
        </w:rPr>
        <w:t>más, todos los años se ha dedicado una semana</w:t>
      </w:r>
      <w:r>
        <w:rPr>
          <w:szCs w:val="24"/>
          <w:lang w:val="es-ES"/>
        </w:rPr>
        <w:t xml:space="preserve"> al proyecto con exposiciones temáticas y </w:t>
      </w:r>
      <w:r w:rsidR="003B534B">
        <w:rPr>
          <w:szCs w:val="24"/>
          <w:lang w:val="es-ES"/>
        </w:rPr>
        <w:t xml:space="preserve">programas </w:t>
      </w:r>
      <w:r>
        <w:rPr>
          <w:szCs w:val="24"/>
          <w:lang w:val="es-ES"/>
        </w:rPr>
        <w:t>cine</w:t>
      </w:r>
      <w:r w:rsidR="003B534B">
        <w:rPr>
          <w:szCs w:val="24"/>
          <w:lang w:val="es-ES"/>
        </w:rPr>
        <w:t>matográficos</w:t>
      </w:r>
      <w:r>
        <w:rPr>
          <w:szCs w:val="24"/>
          <w:lang w:val="es-ES"/>
        </w:rPr>
        <w:t>.</w:t>
      </w:r>
    </w:p>
    <w:p w:rsidR="00A85F59" w:rsidRPr="00A85F59" w:rsidRDefault="00A85F59" w:rsidP="00637350">
      <w:pPr>
        <w:pStyle w:val="SingleTxtG"/>
        <w:rPr>
          <w:szCs w:val="24"/>
          <w:lang w:val="es-ES"/>
        </w:rPr>
      </w:pPr>
      <w:r>
        <w:rPr>
          <w:szCs w:val="24"/>
          <w:lang w:val="es-ES"/>
        </w:rPr>
        <w:t>31.</w:t>
      </w:r>
      <w:r>
        <w:rPr>
          <w:szCs w:val="24"/>
          <w:lang w:val="es-ES"/>
        </w:rPr>
        <w:tab/>
        <w:t xml:space="preserve">En relación con el párrafo 21 de las observaciones finales del Comité, </w:t>
      </w:r>
      <w:r w:rsidR="003B534B">
        <w:rPr>
          <w:szCs w:val="24"/>
          <w:lang w:val="es-ES"/>
        </w:rPr>
        <w:t>informamos</w:t>
      </w:r>
      <w:r w:rsidR="005466A4">
        <w:rPr>
          <w:szCs w:val="24"/>
          <w:lang w:val="es-ES"/>
        </w:rPr>
        <w:t xml:space="preserve"> </w:t>
      </w:r>
      <w:r w:rsidR="002E173A">
        <w:rPr>
          <w:szCs w:val="24"/>
          <w:lang w:val="es-ES"/>
        </w:rPr>
        <w:t xml:space="preserve">de </w:t>
      </w:r>
      <w:r>
        <w:rPr>
          <w:szCs w:val="24"/>
          <w:lang w:val="es-ES"/>
        </w:rPr>
        <w:t xml:space="preserve">que Estonia no </w:t>
      </w:r>
      <w:r w:rsidR="00481D30">
        <w:rPr>
          <w:szCs w:val="24"/>
          <w:lang w:val="es-ES"/>
        </w:rPr>
        <w:t>consider</w:t>
      </w:r>
      <w:r>
        <w:rPr>
          <w:szCs w:val="24"/>
          <w:lang w:val="es-ES"/>
        </w:rPr>
        <w:t xml:space="preserve">a actualmente </w:t>
      </w:r>
      <w:r w:rsidR="003B534B">
        <w:rPr>
          <w:szCs w:val="24"/>
          <w:lang w:val="es-ES"/>
        </w:rPr>
        <w:t xml:space="preserve">la posibilidad de ratificar </w:t>
      </w:r>
      <w:smartTag w:uri="urn:schemas-microsoft-com:office:smarttags" w:element="PersonName">
        <w:smartTagPr>
          <w:attr w:name="ProductID" w:val="la Convenci￳n Internacional"/>
        </w:smartTagPr>
        <w:r>
          <w:rPr>
            <w:szCs w:val="24"/>
            <w:lang w:val="es-ES"/>
          </w:rPr>
          <w:t>la Convención Internacional</w:t>
        </w:r>
      </w:smartTag>
      <w:r>
        <w:rPr>
          <w:szCs w:val="24"/>
          <w:lang w:val="es-ES"/>
        </w:rPr>
        <w:t xml:space="preserve"> sobre la protección de los derechos de todos los trabajadores migratorios y de sus familiares. Estonia sí considera</w:t>
      </w:r>
      <w:r w:rsidR="003B534B">
        <w:rPr>
          <w:szCs w:val="24"/>
          <w:lang w:val="es-ES"/>
        </w:rPr>
        <w:t xml:space="preserve"> </w:t>
      </w:r>
      <w:r w:rsidR="00481D30">
        <w:rPr>
          <w:szCs w:val="24"/>
          <w:lang w:val="es-ES"/>
        </w:rPr>
        <w:t xml:space="preserve">en cambio </w:t>
      </w:r>
      <w:r w:rsidR="003B534B">
        <w:rPr>
          <w:szCs w:val="24"/>
          <w:lang w:val="es-ES"/>
        </w:rPr>
        <w:t>la posibilidad de</w:t>
      </w:r>
      <w:r>
        <w:rPr>
          <w:szCs w:val="24"/>
          <w:lang w:val="es-ES"/>
        </w:rPr>
        <w:t xml:space="preserve"> adherirse a </w:t>
      </w:r>
      <w:smartTag w:uri="urn:schemas-microsoft-com:office:smarttags" w:element="PersonName">
        <w:smartTagPr>
          <w:attr w:name="ProductID" w:val="la Convenci￳n"/>
        </w:smartTagPr>
        <w:r>
          <w:rPr>
            <w:szCs w:val="24"/>
            <w:lang w:val="es-ES"/>
          </w:rPr>
          <w:t>la Convención</w:t>
        </w:r>
      </w:smartTag>
      <w:r w:rsidR="003B534B">
        <w:rPr>
          <w:szCs w:val="24"/>
          <w:lang w:val="es-ES"/>
        </w:rPr>
        <w:t xml:space="preserve"> de </w:t>
      </w:r>
      <w:smartTag w:uri="urn:schemas-microsoft-com:office:smarttags" w:element="PersonName">
        <w:smartTagPr>
          <w:attr w:name="ProductID" w:val="la UNESCO"/>
        </w:smartTagPr>
        <w:r w:rsidR="003B534B">
          <w:rPr>
            <w:szCs w:val="24"/>
            <w:lang w:val="es-ES"/>
          </w:rPr>
          <w:t>la UNESCO</w:t>
        </w:r>
      </w:smartTag>
      <w:r w:rsidR="003B534B">
        <w:rPr>
          <w:szCs w:val="24"/>
          <w:lang w:val="es-ES"/>
        </w:rPr>
        <w:t xml:space="preserve"> </w:t>
      </w:r>
      <w:r>
        <w:rPr>
          <w:szCs w:val="24"/>
          <w:lang w:val="es-ES"/>
        </w:rPr>
        <w:t xml:space="preserve">relativa a </w:t>
      </w:r>
      <w:smartTag w:uri="urn:schemas-microsoft-com:office:smarttags" w:element="PersonName">
        <w:smartTagPr>
          <w:attr w:name="ProductID" w:val="la Lucha"/>
        </w:smartTagPr>
        <w:r>
          <w:rPr>
            <w:szCs w:val="24"/>
            <w:lang w:val="es-ES"/>
          </w:rPr>
          <w:t>la Lucha</w:t>
        </w:r>
      </w:smartTag>
      <w:r>
        <w:rPr>
          <w:szCs w:val="24"/>
          <w:lang w:val="es-ES"/>
        </w:rPr>
        <w:t xml:space="preserve"> contra las Discriminaciones en </w:t>
      </w:r>
      <w:smartTag w:uri="urn:schemas-microsoft-com:office:smarttags" w:element="PersonName">
        <w:smartTagPr>
          <w:attr w:name="ProductID" w:val="la Esfera"/>
        </w:smartTagPr>
        <w:r>
          <w:rPr>
            <w:szCs w:val="24"/>
            <w:lang w:val="es-ES"/>
          </w:rPr>
          <w:t>la Esfera</w:t>
        </w:r>
      </w:smartTag>
      <w:r>
        <w:rPr>
          <w:szCs w:val="24"/>
          <w:lang w:val="es-ES"/>
        </w:rPr>
        <w:t xml:space="preserve"> de </w:t>
      </w:r>
      <w:smartTag w:uri="urn:schemas-microsoft-com:office:smarttags" w:element="PersonName">
        <w:smartTagPr>
          <w:attr w:name="ProductID" w:val="la Ense￱anza. Subrayamos"/>
        </w:smartTagPr>
        <w:r>
          <w:rPr>
            <w:szCs w:val="24"/>
            <w:lang w:val="es-ES"/>
          </w:rPr>
          <w:t>la Enseñanza. Subrayamos</w:t>
        </w:r>
      </w:smartTag>
      <w:r>
        <w:rPr>
          <w:szCs w:val="24"/>
          <w:lang w:val="es-ES"/>
        </w:rPr>
        <w:t xml:space="preserve"> que</w:t>
      </w:r>
      <w:r w:rsidR="002E173A">
        <w:rPr>
          <w:szCs w:val="24"/>
          <w:lang w:val="es-ES"/>
        </w:rPr>
        <w:t>, en Estonia,</w:t>
      </w:r>
      <w:r>
        <w:rPr>
          <w:szCs w:val="24"/>
          <w:lang w:val="es-ES"/>
        </w:rPr>
        <w:t xml:space="preserve"> </w:t>
      </w:r>
      <w:smartTag w:uri="urn:schemas-microsoft-com:office:smarttags" w:element="PersonName">
        <w:smartTagPr>
          <w:attr w:name="ProductID" w:val="la Constituci￳n"/>
        </w:smartTagPr>
        <w:r>
          <w:rPr>
            <w:szCs w:val="24"/>
            <w:lang w:val="es-ES"/>
          </w:rPr>
          <w:t>la Constitución</w:t>
        </w:r>
      </w:smartTag>
      <w:r>
        <w:rPr>
          <w:szCs w:val="24"/>
          <w:lang w:val="es-ES"/>
        </w:rPr>
        <w:t xml:space="preserve">,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 y otras leyes a</w:t>
      </w:r>
      <w:r w:rsidR="002E173A">
        <w:rPr>
          <w:szCs w:val="24"/>
          <w:lang w:val="es-ES"/>
        </w:rPr>
        <w:t>seguran</w:t>
      </w:r>
      <w:r>
        <w:rPr>
          <w:szCs w:val="24"/>
          <w:lang w:val="es-ES"/>
        </w:rPr>
        <w:t xml:space="preserve"> la protección de las personas frente a la discriminación.</w:t>
      </w:r>
    </w:p>
    <w:p w:rsidR="00F06365" w:rsidRPr="00F06365" w:rsidRDefault="00481D30" w:rsidP="00637350">
      <w:pPr>
        <w:pStyle w:val="SingleTxtG"/>
        <w:rPr>
          <w:szCs w:val="24"/>
          <w:lang w:val="es-ES"/>
        </w:rPr>
      </w:pPr>
      <w:r>
        <w:rPr>
          <w:szCs w:val="24"/>
          <w:lang w:val="es-ES"/>
        </w:rPr>
        <w:t>32</w:t>
      </w:r>
      <w:r w:rsidR="008C15F6">
        <w:rPr>
          <w:szCs w:val="24"/>
          <w:lang w:val="es-ES"/>
        </w:rPr>
        <w:t>.</w:t>
      </w:r>
      <w:r>
        <w:rPr>
          <w:szCs w:val="24"/>
          <w:lang w:val="es-ES"/>
        </w:rPr>
        <w:tab/>
        <w:t>C</w:t>
      </w:r>
      <w:r w:rsidR="002E173A">
        <w:rPr>
          <w:szCs w:val="24"/>
          <w:lang w:val="es-ES"/>
        </w:rPr>
        <w:t xml:space="preserve">abe afirmar que </w:t>
      </w:r>
      <w:r w:rsidR="00F06365">
        <w:rPr>
          <w:szCs w:val="24"/>
          <w:lang w:val="es-ES"/>
        </w:rPr>
        <w:t xml:space="preserve">el marco jurídico </w:t>
      </w:r>
      <w:r w:rsidR="0054796F">
        <w:rPr>
          <w:szCs w:val="24"/>
          <w:lang w:val="es-ES"/>
        </w:rPr>
        <w:t>de</w:t>
      </w:r>
      <w:r w:rsidR="002E173A">
        <w:rPr>
          <w:szCs w:val="24"/>
          <w:lang w:val="es-ES"/>
        </w:rPr>
        <w:t xml:space="preserve"> la</w:t>
      </w:r>
      <w:r w:rsidR="0054796F">
        <w:rPr>
          <w:szCs w:val="24"/>
          <w:lang w:val="es-ES"/>
        </w:rPr>
        <w:t xml:space="preserve"> lucha </w:t>
      </w:r>
      <w:r w:rsidR="00F06365">
        <w:rPr>
          <w:szCs w:val="24"/>
          <w:lang w:val="es-ES"/>
        </w:rPr>
        <w:t>contra la discriminación no ha cambiado</w:t>
      </w:r>
      <w:r>
        <w:rPr>
          <w:szCs w:val="24"/>
          <w:lang w:val="es-ES"/>
        </w:rPr>
        <w:t xml:space="preserve"> con respecto al informe anterior</w:t>
      </w:r>
      <w:r w:rsidR="00F06365">
        <w:rPr>
          <w:szCs w:val="24"/>
          <w:lang w:val="es-ES"/>
        </w:rPr>
        <w:t>. El Código Penal establece sanciones por incitación al odio racial (art</w:t>
      </w:r>
      <w:r w:rsidR="008C15F6">
        <w:rPr>
          <w:szCs w:val="24"/>
          <w:lang w:val="es-ES"/>
        </w:rPr>
        <w:t>.</w:t>
      </w:r>
      <w:r w:rsidR="00F06365">
        <w:rPr>
          <w:szCs w:val="24"/>
          <w:lang w:val="es-ES"/>
        </w:rPr>
        <w:t xml:space="preserve"> 151), violación de la igualdad (art</w:t>
      </w:r>
      <w:r w:rsidR="008C15F6">
        <w:rPr>
          <w:szCs w:val="24"/>
          <w:lang w:val="es-ES"/>
        </w:rPr>
        <w:t>.</w:t>
      </w:r>
      <w:r w:rsidR="00F06365">
        <w:rPr>
          <w:szCs w:val="24"/>
          <w:lang w:val="es-ES"/>
        </w:rPr>
        <w:t xml:space="preserve"> 152) y discriminación basada en r</w:t>
      </w:r>
      <w:r w:rsidR="009B72DA">
        <w:rPr>
          <w:szCs w:val="24"/>
          <w:lang w:val="es-ES"/>
        </w:rPr>
        <w:t>iesgos genéticos (art. 153)</w:t>
      </w:r>
      <w:r w:rsidR="00F06365" w:rsidRPr="00DF5111">
        <w:rPr>
          <w:rStyle w:val="FootnoteReference"/>
          <w:szCs w:val="24"/>
          <w:lang w:val="es-ES"/>
        </w:rPr>
        <w:footnoteReference w:id="11"/>
      </w:r>
      <w:r w:rsidR="009B72DA">
        <w:rPr>
          <w:szCs w:val="24"/>
          <w:lang w:val="es-ES"/>
        </w:rPr>
        <w:t>.</w:t>
      </w:r>
    </w:p>
    <w:p w:rsidR="008910B8" w:rsidRDefault="008910B8" w:rsidP="00637350">
      <w:pPr>
        <w:pStyle w:val="SingleTxtG"/>
        <w:rPr>
          <w:szCs w:val="24"/>
          <w:lang w:val="es-ES"/>
        </w:rPr>
      </w:pPr>
      <w:r>
        <w:rPr>
          <w:szCs w:val="24"/>
          <w:lang w:val="es-ES"/>
        </w:rPr>
        <w:t>33.</w:t>
      </w:r>
      <w:r>
        <w:rPr>
          <w:szCs w:val="24"/>
          <w:lang w:val="es-ES"/>
        </w:rPr>
        <w:tab/>
        <w:t xml:space="preserve">En respuesta al párrafo 11 de las observaciones finales del Comité, </w:t>
      </w:r>
      <w:r w:rsidR="002E173A">
        <w:rPr>
          <w:szCs w:val="24"/>
          <w:lang w:val="es-ES"/>
        </w:rPr>
        <w:t>deseamos informar de</w:t>
      </w:r>
      <w:r>
        <w:rPr>
          <w:szCs w:val="24"/>
          <w:lang w:val="es-ES"/>
        </w:rPr>
        <w:t xml:space="preserve"> que el Ministerio de Justicia ha iniciado los procedimientos necesarios para enmendar el Código Penal. Con arreglo al proyecto de ley</w:t>
      </w:r>
      <w:r w:rsidR="00AD41BD">
        <w:rPr>
          <w:szCs w:val="24"/>
          <w:lang w:val="es-ES"/>
        </w:rPr>
        <w:t>,</w:t>
      </w:r>
      <w:r w:rsidR="0054796F">
        <w:rPr>
          <w:szCs w:val="24"/>
          <w:lang w:val="es-ES"/>
        </w:rPr>
        <w:t xml:space="preserve"> la lista de características </w:t>
      </w:r>
      <w:r w:rsidR="00017F18">
        <w:rPr>
          <w:szCs w:val="24"/>
          <w:lang w:val="es-ES"/>
        </w:rPr>
        <w:t xml:space="preserve">de grupo </w:t>
      </w:r>
      <w:r>
        <w:rPr>
          <w:szCs w:val="24"/>
          <w:lang w:val="es-ES"/>
        </w:rPr>
        <w:t xml:space="preserve">que figura en el </w:t>
      </w:r>
      <w:r w:rsidR="00AD41BD">
        <w:rPr>
          <w:szCs w:val="24"/>
          <w:lang w:val="es-ES"/>
        </w:rPr>
        <w:t xml:space="preserve">artículo 152 del Código Penal se modificará de tal manera que </w:t>
      </w:r>
      <w:r>
        <w:rPr>
          <w:szCs w:val="24"/>
          <w:lang w:val="es-ES"/>
        </w:rPr>
        <w:t>los riesgos genéticos</w:t>
      </w:r>
      <w:r w:rsidR="0054796F">
        <w:rPr>
          <w:szCs w:val="24"/>
          <w:lang w:val="es-ES"/>
        </w:rPr>
        <w:t xml:space="preserve">, </w:t>
      </w:r>
      <w:r>
        <w:rPr>
          <w:szCs w:val="24"/>
          <w:lang w:val="es-ES"/>
        </w:rPr>
        <w:t xml:space="preserve">actualmente </w:t>
      </w:r>
      <w:r w:rsidR="0054796F">
        <w:rPr>
          <w:szCs w:val="24"/>
          <w:lang w:val="es-ES"/>
        </w:rPr>
        <w:t>contemplados en el artículo 153,</w:t>
      </w:r>
      <w:r>
        <w:rPr>
          <w:szCs w:val="24"/>
          <w:lang w:val="es-ES"/>
        </w:rPr>
        <w:t xml:space="preserve"> se incorporarán al artículo</w:t>
      </w:r>
      <w:r w:rsidR="009C33BF">
        <w:rPr>
          <w:szCs w:val="24"/>
          <w:lang w:val="es-ES"/>
        </w:rPr>
        <w:t> </w:t>
      </w:r>
      <w:r>
        <w:rPr>
          <w:szCs w:val="24"/>
          <w:lang w:val="es-ES"/>
        </w:rPr>
        <w:t xml:space="preserve">152. </w:t>
      </w:r>
      <w:r w:rsidR="002E173A">
        <w:rPr>
          <w:szCs w:val="24"/>
          <w:lang w:val="es-ES"/>
        </w:rPr>
        <w:t>La finalidad</w:t>
      </w:r>
      <w:r>
        <w:rPr>
          <w:szCs w:val="24"/>
          <w:lang w:val="es-ES"/>
        </w:rPr>
        <w:t xml:space="preserve"> de </w:t>
      </w:r>
      <w:r w:rsidR="002E173A">
        <w:rPr>
          <w:szCs w:val="24"/>
          <w:lang w:val="es-ES"/>
        </w:rPr>
        <w:t xml:space="preserve">la </w:t>
      </w:r>
      <w:r>
        <w:rPr>
          <w:szCs w:val="24"/>
          <w:lang w:val="es-ES"/>
        </w:rPr>
        <w:t xml:space="preserve">enmienda prevista es penalizar la discriminación de </w:t>
      </w:r>
      <w:r w:rsidR="002E173A">
        <w:rPr>
          <w:szCs w:val="24"/>
          <w:lang w:val="es-ES"/>
        </w:rPr>
        <w:t xml:space="preserve">cualquier </w:t>
      </w:r>
      <w:r>
        <w:rPr>
          <w:szCs w:val="24"/>
          <w:lang w:val="es-ES"/>
        </w:rPr>
        <w:t xml:space="preserve">persona sobre la base de su </w:t>
      </w:r>
      <w:r w:rsidR="00017F18">
        <w:rPr>
          <w:szCs w:val="24"/>
          <w:lang w:val="es-ES"/>
        </w:rPr>
        <w:t xml:space="preserve">ciudadanía, </w:t>
      </w:r>
      <w:r>
        <w:rPr>
          <w:szCs w:val="24"/>
          <w:lang w:val="es-ES"/>
        </w:rPr>
        <w:t xml:space="preserve">nacionalidad, raza, características físicas, estado de salud, riesgos genéticos, </w:t>
      </w:r>
      <w:r w:rsidR="0054796F">
        <w:rPr>
          <w:szCs w:val="24"/>
          <w:lang w:val="es-ES"/>
        </w:rPr>
        <w:t>sexo</w:t>
      </w:r>
      <w:r>
        <w:rPr>
          <w:szCs w:val="24"/>
          <w:lang w:val="es-ES"/>
        </w:rPr>
        <w:t>, idioma, origen, religión, orientación sexual, opinión política</w:t>
      </w:r>
      <w:r w:rsidR="002E173A">
        <w:rPr>
          <w:szCs w:val="24"/>
          <w:lang w:val="es-ES"/>
        </w:rPr>
        <w:t>,</w:t>
      </w:r>
      <w:r>
        <w:rPr>
          <w:szCs w:val="24"/>
          <w:lang w:val="es-ES"/>
        </w:rPr>
        <w:t xml:space="preserve"> condición social o </w:t>
      </w:r>
      <w:r w:rsidR="002E173A">
        <w:rPr>
          <w:szCs w:val="24"/>
          <w:lang w:val="es-ES"/>
        </w:rPr>
        <w:t xml:space="preserve">situación </w:t>
      </w:r>
      <w:r>
        <w:rPr>
          <w:szCs w:val="24"/>
          <w:lang w:val="es-ES"/>
        </w:rPr>
        <w:t xml:space="preserve">financiera. </w:t>
      </w:r>
    </w:p>
    <w:p w:rsidR="008910B8" w:rsidRDefault="008910B8" w:rsidP="00637350">
      <w:pPr>
        <w:pStyle w:val="SingleTxtG"/>
        <w:rPr>
          <w:szCs w:val="24"/>
          <w:lang w:val="es-ES"/>
        </w:rPr>
      </w:pPr>
      <w:r>
        <w:rPr>
          <w:szCs w:val="24"/>
          <w:lang w:val="es-ES"/>
        </w:rPr>
        <w:t>34.</w:t>
      </w:r>
      <w:r>
        <w:rPr>
          <w:szCs w:val="24"/>
          <w:lang w:val="es-ES"/>
        </w:rPr>
        <w:tab/>
        <w:t xml:space="preserve">En Estonia, la </w:t>
      </w:r>
      <w:r w:rsidR="00017F18">
        <w:rPr>
          <w:szCs w:val="24"/>
          <w:lang w:val="es-ES"/>
        </w:rPr>
        <w:t xml:space="preserve">policía es </w:t>
      </w:r>
      <w:r>
        <w:rPr>
          <w:szCs w:val="24"/>
          <w:lang w:val="es-ES"/>
        </w:rPr>
        <w:t>responsabl</w:t>
      </w:r>
      <w:r w:rsidR="00017F18">
        <w:rPr>
          <w:szCs w:val="24"/>
          <w:lang w:val="es-ES"/>
        </w:rPr>
        <w:t>e</w:t>
      </w:r>
      <w:r>
        <w:rPr>
          <w:szCs w:val="24"/>
          <w:lang w:val="es-ES"/>
        </w:rPr>
        <w:t xml:space="preserve"> de proteger el orden constitucional, en particular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de Seguridad del Estado, </w:t>
      </w:r>
      <w:r w:rsidR="002E3649">
        <w:rPr>
          <w:szCs w:val="24"/>
          <w:lang w:val="es-ES"/>
        </w:rPr>
        <w:t>cuyo</w:t>
      </w:r>
      <w:r>
        <w:rPr>
          <w:szCs w:val="24"/>
          <w:lang w:val="es-ES"/>
        </w:rPr>
        <w:t xml:space="preserve"> </w:t>
      </w:r>
      <w:r w:rsidR="002E3649">
        <w:rPr>
          <w:szCs w:val="24"/>
          <w:lang w:val="es-ES"/>
        </w:rPr>
        <w:t xml:space="preserve">deber </w:t>
      </w:r>
      <w:r>
        <w:rPr>
          <w:szCs w:val="24"/>
          <w:lang w:val="es-ES"/>
        </w:rPr>
        <w:t>e</w:t>
      </w:r>
      <w:r w:rsidR="002E3649">
        <w:rPr>
          <w:szCs w:val="24"/>
          <w:lang w:val="es-ES"/>
        </w:rPr>
        <w:t>s</w:t>
      </w:r>
      <w:r>
        <w:rPr>
          <w:szCs w:val="24"/>
          <w:lang w:val="es-ES"/>
        </w:rPr>
        <w:t xml:space="preserve"> prevenir, combatir y detectar las actividades ilegales de grupos o individuos extremistas, incluidos qu</w:t>
      </w:r>
      <w:r w:rsidR="002E3649">
        <w:rPr>
          <w:szCs w:val="24"/>
          <w:lang w:val="es-ES"/>
        </w:rPr>
        <w:t>i</w:t>
      </w:r>
      <w:r>
        <w:rPr>
          <w:szCs w:val="24"/>
          <w:lang w:val="es-ES"/>
        </w:rPr>
        <w:t>e</w:t>
      </w:r>
      <w:r w:rsidR="002E3649">
        <w:rPr>
          <w:szCs w:val="24"/>
          <w:lang w:val="es-ES"/>
        </w:rPr>
        <w:t>nes</w:t>
      </w:r>
      <w:r>
        <w:rPr>
          <w:szCs w:val="24"/>
          <w:lang w:val="es-ES"/>
        </w:rPr>
        <w:t xml:space="preserve"> incit</w:t>
      </w:r>
      <w:r w:rsidR="002E3649">
        <w:rPr>
          <w:szCs w:val="24"/>
          <w:lang w:val="es-ES"/>
        </w:rPr>
        <w:t>e</w:t>
      </w:r>
      <w:r>
        <w:rPr>
          <w:szCs w:val="24"/>
          <w:lang w:val="es-ES"/>
        </w:rPr>
        <w:t xml:space="preserve">n al odio racial, al terrorismo o a actividades destinadas a alterar el orden constitucional o la integridad territorial del Estado por la fuerza. </w:t>
      </w:r>
    </w:p>
    <w:p w:rsidR="0028048A" w:rsidRDefault="0028048A" w:rsidP="00637350">
      <w:pPr>
        <w:pStyle w:val="SingleTxtG"/>
        <w:rPr>
          <w:szCs w:val="24"/>
          <w:lang w:val="es-ES"/>
        </w:rPr>
      </w:pPr>
      <w:r>
        <w:rPr>
          <w:szCs w:val="24"/>
          <w:lang w:val="es-ES"/>
        </w:rPr>
        <w:t>35.</w:t>
      </w:r>
      <w:r>
        <w:rPr>
          <w:szCs w:val="24"/>
          <w:lang w:val="es-ES"/>
        </w:rPr>
        <w:tab/>
        <w:t>En respuesta al</w:t>
      </w:r>
      <w:r w:rsidR="002E3649">
        <w:rPr>
          <w:szCs w:val="24"/>
          <w:lang w:val="es-ES"/>
        </w:rPr>
        <w:t xml:space="preserve"> párrafo 18 de las </w:t>
      </w:r>
      <w:r>
        <w:rPr>
          <w:szCs w:val="24"/>
          <w:lang w:val="es-ES"/>
        </w:rPr>
        <w:t xml:space="preserve">observaciones finales del Comité, </w:t>
      </w:r>
      <w:r w:rsidR="00157751">
        <w:rPr>
          <w:szCs w:val="24"/>
          <w:lang w:val="es-ES"/>
        </w:rPr>
        <w:t xml:space="preserve">deseamos informar de </w:t>
      </w:r>
      <w:r>
        <w:rPr>
          <w:szCs w:val="24"/>
          <w:lang w:val="es-ES"/>
        </w:rPr>
        <w:t xml:space="preserve">que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no ha </w:t>
      </w:r>
      <w:r w:rsidR="00157751">
        <w:rPr>
          <w:szCs w:val="24"/>
          <w:lang w:val="es-ES"/>
        </w:rPr>
        <w:t xml:space="preserve">registrado </w:t>
      </w:r>
      <w:r>
        <w:rPr>
          <w:szCs w:val="24"/>
          <w:lang w:val="es-ES"/>
        </w:rPr>
        <w:t xml:space="preserve">delitos que se correspondan con las características expuestas en los artículos </w:t>
      </w:r>
      <w:smartTag w:uri="urn:schemas-microsoft-com:office:smarttags" w:element="metricconverter">
        <w:smartTagPr>
          <w:attr w:name="ProductID" w:val="151 a"/>
        </w:smartTagPr>
        <w:r>
          <w:rPr>
            <w:szCs w:val="24"/>
            <w:lang w:val="es-ES"/>
          </w:rPr>
          <w:t>151 a</w:t>
        </w:r>
      </w:smartTag>
      <w:r>
        <w:rPr>
          <w:szCs w:val="24"/>
          <w:lang w:val="es-ES"/>
        </w:rPr>
        <w:t xml:space="preserve"> 153 del Código Penal </w:t>
      </w:r>
      <w:r w:rsidR="00AD41BD">
        <w:rPr>
          <w:szCs w:val="24"/>
          <w:lang w:val="es-ES"/>
        </w:rPr>
        <w:t>desde</w:t>
      </w:r>
      <w:r>
        <w:rPr>
          <w:szCs w:val="24"/>
          <w:lang w:val="es-ES"/>
        </w:rPr>
        <w:t xml:space="preserve"> la presentación de los informes octavo y noven</w:t>
      </w:r>
      <w:r w:rsidR="00AD41BD">
        <w:rPr>
          <w:szCs w:val="24"/>
          <w:lang w:val="es-ES"/>
        </w:rPr>
        <w:t>o combinados hasta la fecha</w:t>
      </w:r>
      <w:r>
        <w:rPr>
          <w:szCs w:val="24"/>
          <w:lang w:val="es-ES"/>
        </w:rPr>
        <w:t xml:space="preserve"> (</w:t>
      </w:r>
      <w:r w:rsidR="009C33BF">
        <w:rPr>
          <w:szCs w:val="24"/>
          <w:lang w:val="es-ES"/>
        </w:rPr>
        <w:t>es </w:t>
      </w:r>
      <w:r w:rsidR="00AD41BD">
        <w:rPr>
          <w:szCs w:val="24"/>
          <w:lang w:val="es-ES"/>
        </w:rPr>
        <w:t xml:space="preserve">decir, </w:t>
      </w:r>
      <w:r>
        <w:rPr>
          <w:szCs w:val="24"/>
          <w:lang w:val="es-ES"/>
        </w:rPr>
        <w:t xml:space="preserve">desde 2009 hasta </w:t>
      </w:r>
      <w:r w:rsidR="00157751">
        <w:rPr>
          <w:szCs w:val="24"/>
          <w:lang w:val="es-ES"/>
        </w:rPr>
        <w:t>e</w:t>
      </w:r>
      <w:r>
        <w:rPr>
          <w:szCs w:val="24"/>
          <w:lang w:val="es-ES"/>
        </w:rPr>
        <w:t xml:space="preserve">l primer </w:t>
      </w:r>
      <w:r w:rsidR="00157751">
        <w:rPr>
          <w:szCs w:val="24"/>
          <w:lang w:val="es-ES"/>
        </w:rPr>
        <w:t>se</w:t>
      </w:r>
      <w:r>
        <w:rPr>
          <w:szCs w:val="24"/>
          <w:lang w:val="es-ES"/>
        </w:rPr>
        <w:t>mes</w:t>
      </w:r>
      <w:r w:rsidR="00157751">
        <w:rPr>
          <w:szCs w:val="24"/>
          <w:lang w:val="es-ES"/>
        </w:rPr>
        <w:t>tre</w:t>
      </w:r>
      <w:r>
        <w:rPr>
          <w:szCs w:val="24"/>
          <w:lang w:val="es-ES"/>
        </w:rPr>
        <w:t xml:space="preserve"> de 2012). Durante </w:t>
      </w:r>
      <w:r w:rsidR="000E1E41">
        <w:rPr>
          <w:szCs w:val="24"/>
          <w:lang w:val="es-ES"/>
        </w:rPr>
        <w:t>ese</w:t>
      </w:r>
      <w:r w:rsidR="00D03D45">
        <w:rPr>
          <w:szCs w:val="24"/>
          <w:lang w:val="es-ES"/>
        </w:rPr>
        <w:t xml:space="preserve"> </w:t>
      </w:r>
      <w:r>
        <w:rPr>
          <w:szCs w:val="24"/>
          <w:lang w:val="es-ES"/>
        </w:rPr>
        <w:t>período, la in</w:t>
      </w:r>
      <w:r w:rsidR="00D03D45">
        <w:rPr>
          <w:szCs w:val="24"/>
          <w:lang w:val="es-ES"/>
        </w:rPr>
        <w:t>coación</w:t>
      </w:r>
      <w:r>
        <w:rPr>
          <w:szCs w:val="24"/>
          <w:lang w:val="es-ES"/>
        </w:rPr>
        <w:t xml:space="preserve"> de proce</w:t>
      </w:r>
      <w:r w:rsidR="00D03D45">
        <w:rPr>
          <w:szCs w:val="24"/>
          <w:lang w:val="es-ES"/>
        </w:rPr>
        <w:t>sos</w:t>
      </w:r>
      <w:r>
        <w:rPr>
          <w:szCs w:val="24"/>
          <w:lang w:val="es-ES"/>
        </w:rPr>
        <w:t xml:space="preserve"> penales con arreglo a los artículos </w:t>
      </w:r>
      <w:smartTag w:uri="urn:schemas-microsoft-com:office:smarttags" w:element="metricconverter">
        <w:smartTagPr>
          <w:attr w:name="ProductID" w:val="151 a"/>
        </w:smartTagPr>
        <w:r>
          <w:rPr>
            <w:szCs w:val="24"/>
            <w:lang w:val="es-ES"/>
          </w:rPr>
          <w:t>151 a</w:t>
        </w:r>
      </w:smartTag>
      <w:r>
        <w:rPr>
          <w:szCs w:val="24"/>
          <w:lang w:val="es-ES"/>
        </w:rPr>
        <w:t xml:space="preserve"> 153 del Código Penal se des</w:t>
      </w:r>
      <w:r w:rsidR="00D03D45">
        <w:rPr>
          <w:szCs w:val="24"/>
          <w:lang w:val="es-ES"/>
        </w:rPr>
        <w:t>estimó</w:t>
      </w:r>
      <w:r>
        <w:rPr>
          <w:szCs w:val="24"/>
          <w:lang w:val="es-ES"/>
        </w:rPr>
        <w:t xml:space="preserve"> </w:t>
      </w:r>
      <w:r w:rsidR="000E1E41">
        <w:rPr>
          <w:szCs w:val="24"/>
          <w:lang w:val="es-ES"/>
        </w:rPr>
        <w:t xml:space="preserve">en </w:t>
      </w:r>
      <w:r>
        <w:rPr>
          <w:szCs w:val="24"/>
          <w:lang w:val="es-ES"/>
        </w:rPr>
        <w:t>11 ocasiones</w:t>
      </w:r>
      <w:r w:rsidR="000E1E41">
        <w:rPr>
          <w:szCs w:val="24"/>
          <w:lang w:val="es-ES"/>
        </w:rPr>
        <w:t>, siempre sobre la base</w:t>
      </w:r>
      <w:r>
        <w:rPr>
          <w:szCs w:val="24"/>
          <w:lang w:val="es-ES"/>
        </w:rPr>
        <w:t xml:space="preserve"> </w:t>
      </w:r>
      <w:r w:rsidR="000E1E41">
        <w:rPr>
          <w:szCs w:val="24"/>
          <w:lang w:val="es-ES"/>
        </w:rPr>
        <w:t>d</w:t>
      </w:r>
      <w:r>
        <w:rPr>
          <w:szCs w:val="24"/>
          <w:lang w:val="es-ES"/>
        </w:rPr>
        <w:t>el artículo 151. La razón para no incoar proce</w:t>
      </w:r>
      <w:r w:rsidR="00D03D45">
        <w:rPr>
          <w:szCs w:val="24"/>
          <w:lang w:val="es-ES"/>
        </w:rPr>
        <w:t>sos</w:t>
      </w:r>
      <w:r>
        <w:rPr>
          <w:szCs w:val="24"/>
          <w:lang w:val="es-ES"/>
        </w:rPr>
        <w:t xml:space="preserve"> penales fue la inexistencia de actos de incitaci</w:t>
      </w:r>
      <w:r w:rsidR="00A15943">
        <w:rPr>
          <w:szCs w:val="24"/>
          <w:lang w:val="es-ES"/>
        </w:rPr>
        <w:t>ón al odio social, puesto que</w:t>
      </w:r>
      <w:r>
        <w:rPr>
          <w:szCs w:val="24"/>
          <w:lang w:val="es-ES"/>
        </w:rPr>
        <w:t xml:space="preserve"> </w:t>
      </w:r>
      <w:r w:rsidR="000E1E41">
        <w:rPr>
          <w:szCs w:val="24"/>
          <w:lang w:val="es-ES"/>
        </w:rPr>
        <w:t xml:space="preserve">en </w:t>
      </w:r>
      <w:r w:rsidR="00A15943">
        <w:rPr>
          <w:szCs w:val="24"/>
          <w:lang w:val="es-ES"/>
        </w:rPr>
        <w:t>la denuncia</w:t>
      </w:r>
      <w:r>
        <w:rPr>
          <w:szCs w:val="24"/>
          <w:lang w:val="es-ES"/>
        </w:rPr>
        <w:t xml:space="preserve"> no </w:t>
      </w:r>
      <w:r w:rsidR="000E1E41">
        <w:rPr>
          <w:szCs w:val="24"/>
          <w:lang w:val="es-ES"/>
        </w:rPr>
        <w:t>figurab</w:t>
      </w:r>
      <w:r w:rsidR="00D03D45">
        <w:rPr>
          <w:szCs w:val="24"/>
          <w:lang w:val="es-ES"/>
        </w:rPr>
        <w:t xml:space="preserve">a </w:t>
      </w:r>
      <w:r>
        <w:rPr>
          <w:szCs w:val="24"/>
          <w:lang w:val="es-ES"/>
        </w:rPr>
        <w:t xml:space="preserve">ninguno de los actos descritos en los artículos </w:t>
      </w:r>
      <w:smartTag w:uri="urn:schemas-microsoft-com:office:smarttags" w:element="metricconverter">
        <w:smartTagPr>
          <w:attr w:name="ProductID" w:val="151 a"/>
        </w:smartTagPr>
        <w:r>
          <w:rPr>
            <w:szCs w:val="24"/>
            <w:lang w:val="es-ES"/>
          </w:rPr>
          <w:t>151 a</w:t>
        </w:r>
      </w:smartTag>
      <w:r>
        <w:rPr>
          <w:szCs w:val="24"/>
          <w:lang w:val="es-ES"/>
        </w:rPr>
        <w:t xml:space="preserve"> 153 del Código Penal.</w:t>
      </w:r>
    </w:p>
    <w:p w:rsidR="00186714" w:rsidRPr="00186714" w:rsidRDefault="00186714" w:rsidP="00637350">
      <w:pPr>
        <w:pStyle w:val="SingleTxtG"/>
        <w:rPr>
          <w:szCs w:val="24"/>
          <w:lang w:val="es-ES"/>
        </w:rPr>
      </w:pPr>
      <w:r>
        <w:rPr>
          <w:szCs w:val="24"/>
          <w:lang w:val="es-ES"/>
        </w:rPr>
        <w:t>36.</w:t>
      </w:r>
      <w:r>
        <w:rPr>
          <w:szCs w:val="24"/>
          <w:lang w:val="es-ES"/>
        </w:rPr>
        <w:tab/>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w:t>
      </w:r>
      <w:r w:rsidR="00D03D45">
        <w:rPr>
          <w:szCs w:val="24"/>
          <w:lang w:val="es-ES"/>
        </w:rPr>
        <w:t>registr</w:t>
      </w:r>
      <w:r>
        <w:rPr>
          <w:szCs w:val="24"/>
          <w:lang w:val="es-ES"/>
        </w:rPr>
        <w:t xml:space="preserve">ó tres </w:t>
      </w:r>
      <w:r w:rsidR="00D03D45">
        <w:rPr>
          <w:szCs w:val="24"/>
          <w:lang w:val="es-ES"/>
        </w:rPr>
        <w:t>delitos menores con arreglo a</w:t>
      </w:r>
      <w:r>
        <w:rPr>
          <w:szCs w:val="24"/>
          <w:lang w:val="es-ES"/>
        </w:rPr>
        <w:t xml:space="preserve">l artículo 151 1) 3) y dos </w:t>
      </w:r>
      <w:r w:rsidR="0064104C">
        <w:rPr>
          <w:szCs w:val="24"/>
          <w:lang w:val="es-ES"/>
        </w:rPr>
        <w:t>delitos menores con arr</w:t>
      </w:r>
      <w:r>
        <w:rPr>
          <w:szCs w:val="24"/>
          <w:lang w:val="es-ES"/>
        </w:rPr>
        <w:t>e</w:t>
      </w:r>
      <w:r w:rsidR="0064104C">
        <w:rPr>
          <w:szCs w:val="24"/>
          <w:lang w:val="es-ES"/>
        </w:rPr>
        <w:t>glo a</w:t>
      </w:r>
      <w:r>
        <w:rPr>
          <w:szCs w:val="24"/>
          <w:lang w:val="es-ES"/>
        </w:rPr>
        <w:t>l artículo</w:t>
      </w:r>
      <w:r w:rsidR="00A15943">
        <w:rPr>
          <w:szCs w:val="24"/>
          <w:lang w:val="es-ES"/>
        </w:rPr>
        <w:t xml:space="preserve"> 152 1) del Código Penal entre</w:t>
      </w:r>
      <w:r>
        <w:rPr>
          <w:szCs w:val="24"/>
          <w:lang w:val="es-ES"/>
        </w:rPr>
        <w:t xml:space="preserve"> final</w:t>
      </w:r>
      <w:r w:rsidR="00A15943">
        <w:rPr>
          <w:szCs w:val="24"/>
          <w:lang w:val="es-ES"/>
        </w:rPr>
        <w:t>es</w:t>
      </w:r>
      <w:r>
        <w:rPr>
          <w:szCs w:val="24"/>
          <w:lang w:val="es-ES"/>
        </w:rPr>
        <w:t xml:space="preserve"> del período examinado en el informe anterior y </w:t>
      </w:r>
      <w:r w:rsidR="00D03D45">
        <w:rPr>
          <w:szCs w:val="24"/>
          <w:lang w:val="es-ES"/>
        </w:rPr>
        <w:t xml:space="preserve">finales de </w:t>
      </w:r>
      <w:r>
        <w:rPr>
          <w:szCs w:val="24"/>
          <w:lang w:val="es-ES"/>
        </w:rPr>
        <w:t xml:space="preserve">julio de 2012. No se </w:t>
      </w:r>
      <w:r w:rsidR="0054796F">
        <w:rPr>
          <w:szCs w:val="24"/>
          <w:lang w:val="es-ES"/>
        </w:rPr>
        <w:t>registró ning</w:t>
      </w:r>
      <w:r w:rsidR="00AC1DDA">
        <w:rPr>
          <w:szCs w:val="24"/>
          <w:lang w:val="es-ES"/>
        </w:rPr>
        <w:t>ún</w:t>
      </w:r>
      <w:r>
        <w:rPr>
          <w:szCs w:val="24"/>
          <w:lang w:val="es-ES"/>
        </w:rPr>
        <w:t xml:space="preserve"> </w:t>
      </w:r>
      <w:r w:rsidR="00AC1DDA">
        <w:rPr>
          <w:szCs w:val="24"/>
          <w:lang w:val="es-ES"/>
        </w:rPr>
        <w:t>delito menor con arreglo a</w:t>
      </w:r>
      <w:r w:rsidR="00A15943">
        <w:rPr>
          <w:szCs w:val="24"/>
          <w:lang w:val="es-ES"/>
        </w:rPr>
        <w:t>l artículo 153 1). Durante la totalidad</w:t>
      </w:r>
      <w:r>
        <w:rPr>
          <w:szCs w:val="24"/>
          <w:lang w:val="es-ES"/>
        </w:rPr>
        <w:t xml:space="preserve"> </w:t>
      </w:r>
      <w:r w:rsidR="00A15943">
        <w:rPr>
          <w:szCs w:val="24"/>
          <w:lang w:val="es-ES"/>
        </w:rPr>
        <w:t>d</w:t>
      </w:r>
      <w:r>
        <w:rPr>
          <w:szCs w:val="24"/>
          <w:lang w:val="es-ES"/>
        </w:rPr>
        <w:t>el período examinado en el presente informe,</w:t>
      </w:r>
      <w:r w:rsidR="00A15943">
        <w:rPr>
          <w:szCs w:val="24"/>
          <w:lang w:val="es-ES"/>
        </w:rPr>
        <w:t xml:space="preserve"> tan solo en una ocasión (2011) el</w:t>
      </w:r>
      <w:r>
        <w:rPr>
          <w:szCs w:val="24"/>
          <w:lang w:val="es-ES"/>
        </w:rPr>
        <w:t xml:space="preserve"> pro</w:t>
      </w:r>
      <w:r w:rsidR="008115AC">
        <w:rPr>
          <w:szCs w:val="24"/>
          <w:lang w:val="es-ES"/>
        </w:rPr>
        <w:t>ceso judicial</w:t>
      </w:r>
      <w:r>
        <w:rPr>
          <w:szCs w:val="24"/>
          <w:lang w:val="es-ES"/>
        </w:rPr>
        <w:t xml:space="preserve"> concluyó con una decisión sobre la base del artículo 151 1), al cons</w:t>
      </w:r>
      <w:r w:rsidR="007B79DF">
        <w:rPr>
          <w:szCs w:val="24"/>
          <w:lang w:val="es-ES"/>
        </w:rPr>
        <w:t>tatarse</w:t>
      </w:r>
      <w:r>
        <w:rPr>
          <w:szCs w:val="24"/>
          <w:lang w:val="es-ES"/>
        </w:rPr>
        <w:t xml:space="preserve"> que </w:t>
      </w:r>
      <w:r w:rsidR="007B79DF">
        <w:rPr>
          <w:szCs w:val="24"/>
          <w:lang w:val="es-ES"/>
        </w:rPr>
        <w:t xml:space="preserve">el contenido de </w:t>
      </w:r>
      <w:r>
        <w:rPr>
          <w:szCs w:val="24"/>
          <w:lang w:val="es-ES"/>
        </w:rPr>
        <w:t>unos comentarios en Internet incitaba al odio y a la violencia entre diferentes nacionalidades y estratos sociales, por lo que se había cometido un delito de incitación al odio</w:t>
      </w:r>
      <w:r w:rsidR="008115AC">
        <w:rPr>
          <w:szCs w:val="24"/>
          <w:lang w:val="es-ES"/>
        </w:rPr>
        <w:t xml:space="preserve"> que fue </w:t>
      </w:r>
      <w:r>
        <w:rPr>
          <w:szCs w:val="24"/>
          <w:lang w:val="es-ES"/>
        </w:rPr>
        <w:t>sanci</w:t>
      </w:r>
      <w:r w:rsidR="008115AC">
        <w:rPr>
          <w:szCs w:val="24"/>
          <w:lang w:val="es-ES"/>
        </w:rPr>
        <w:t>o</w:t>
      </w:r>
      <w:r>
        <w:rPr>
          <w:szCs w:val="24"/>
          <w:lang w:val="es-ES"/>
        </w:rPr>
        <w:t>n</w:t>
      </w:r>
      <w:r w:rsidR="008115AC">
        <w:rPr>
          <w:szCs w:val="24"/>
          <w:lang w:val="es-ES"/>
        </w:rPr>
        <w:t>ado con</w:t>
      </w:r>
      <w:r>
        <w:rPr>
          <w:szCs w:val="24"/>
          <w:lang w:val="es-ES"/>
        </w:rPr>
        <w:t xml:space="preserve"> una multa de 100 euros.</w:t>
      </w:r>
    </w:p>
    <w:p w:rsidR="00125331" w:rsidRPr="00125331" w:rsidRDefault="00125331" w:rsidP="00637350">
      <w:pPr>
        <w:pStyle w:val="SingleTxtG"/>
        <w:rPr>
          <w:szCs w:val="24"/>
          <w:lang w:val="es-ES"/>
        </w:rPr>
      </w:pPr>
      <w:r>
        <w:rPr>
          <w:szCs w:val="24"/>
          <w:lang w:val="es-ES"/>
        </w:rPr>
        <w:t>37.</w:t>
      </w:r>
      <w:r>
        <w:rPr>
          <w:szCs w:val="24"/>
          <w:lang w:val="es-ES"/>
        </w:rPr>
        <w:tab/>
        <w:t>El objetivo de</w:t>
      </w:r>
      <w:r w:rsidR="008115AC">
        <w:rPr>
          <w:szCs w:val="24"/>
          <w:lang w:val="es-ES"/>
        </w:rPr>
        <w:t xml:space="preserve"> </w:t>
      </w:r>
      <w:r>
        <w:rPr>
          <w:szCs w:val="24"/>
          <w:lang w:val="es-ES"/>
        </w:rPr>
        <w:t>l</w:t>
      </w:r>
      <w:r w:rsidR="008115AC">
        <w:rPr>
          <w:szCs w:val="24"/>
          <w:lang w:val="es-ES"/>
        </w:rPr>
        <w:t>a</w:t>
      </w:r>
      <w:r>
        <w:rPr>
          <w:szCs w:val="24"/>
          <w:lang w:val="es-ES"/>
        </w:rPr>
        <w:t xml:space="preserve"> </w:t>
      </w:r>
      <w:r w:rsidR="008115AC">
        <w:rPr>
          <w:szCs w:val="24"/>
          <w:lang w:val="es-ES"/>
        </w:rPr>
        <w:t xml:space="preserve">labor </w:t>
      </w:r>
      <w:r>
        <w:rPr>
          <w:szCs w:val="24"/>
          <w:lang w:val="es-ES"/>
        </w:rPr>
        <w:t xml:space="preserve">de prevención de la policía es evitar las alteraciones del orden público y </w:t>
      </w:r>
      <w:r w:rsidR="008115AC">
        <w:rPr>
          <w:szCs w:val="24"/>
          <w:lang w:val="es-ES"/>
        </w:rPr>
        <w:t xml:space="preserve">luchar contra </w:t>
      </w:r>
      <w:r>
        <w:rPr>
          <w:szCs w:val="24"/>
          <w:lang w:val="es-ES"/>
        </w:rPr>
        <w:t>el peligro. La policía informa periódicamente a la población sobre las posibilidades de participar en la prevención de</w:t>
      </w:r>
      <w:r w:rsidR="008115AC">
        <w:rPr>
          <w:szCs w:val="24"/>
          <w:lang w:val="es-ES"/>
        </w:rPr>
        <w:t xml:space="preserve"> </w:t>
      </w:r>
      <w:r>
        <w:rPr>
          <w:szCs w:val="24"/>
          <w:lang w:val="es-ES"/>
        </w:rPr>
        <w:t>l</w:t>
      </w:r>
      <w:r w:rsidR="008115AC">
        <w:rPr>
          <w:szCs w:val="24"/>
          <w:lang w:val="es-ES"/>
        </w:rPr>
        <w:t>os</w:t>
      </w:r>
      <w:r>
        <w:rPr>
          <w:szCs w:val="24"/>
          <w:lang w:val="es-ES"/>
        </w:rPr>
        <w:t xml:space="preserve"> delito</w:t>
      </w:r>
      <w:r w:rsidR="008115AC">
        <w:rPr>
          <w:szCs w:val="24"/>
          <w:lang w:val="es-ES"/>
        </w:rPr>
        <w:t>s</w:t>
      </w:r>
      <w:r>
        <w:rPr>
          <w:szCs w:val="24"/>
          <w:lang w:val="es-ES"/>
        </w:rPr>
        <w:t>. La violencia (</w:t>
      </w:r>
      <w:r w:rsidR="00183063">
        <w:rPr>
          <w:szCs w:val="24"/>
          <w:lang w:val="es-ES"/>
        </w:rPr>
        <w:t>incluidos los casos de violencia en</w:t>
      </w:r>
      <w:r w:rsidR="00A15943">
        <w:rPr>
          <w:szCs w:val="24"/>
          <w:lang w:val="es-ES"/>
        </w:rPr>
        <w:t xml:space="preserve"> una relación íntima y de</w:t>
      </w:r>
      <w:r>
        <w:rPr>
          <w:szCs w:val="24"/>
          <w:lang w:val="es-ES"/>
        </w:rPr>
        <w:t xml:space="preserve"> </w:t>
      </w:r>
      <w:r w:rsidR="00183063">
        <w:rPr>
          <w:szCs w:val="24"/>
          <w:lang w:val="es-ES"/>
        </w:rPr>
        <w:t xml:space="preserve">acoso </w:t>
      </w:r>
      <w:r w:rsidR="00BA6DC3">
        <w:rPr>
          <w:szCs w:val="24"/>
          <w:lang w:val="es-ES"/>
        </w:rPr>
        <w:t>en las instituciones de atención a la infancia</w:t>
      </w:r>
      <w:r>
        <w:rPr>
          <w:szCs w:val="24"/>
          <w:lang w:val="es-ES"/>
        </w:rPr>
        <w:t xml:space="preserve">) es una de las </w:t>
      </w:r>
      <w:r w:rsidR="00BA6DC3">
        <w:rPr>
          <w:szCs w:val="24"/>
          <w:lang w:val="es-ES"/>
        </w:rPr>
        <w:t xml:space="preserve">prioridades </w:t>
      </w:r>
      <w:r>
        <w:rPr>
          <w:szCs w:val="24"/>
          <w:lang w:val="es-ES"/>
        </w:rPr>
        <w:t>de</w:t>
      </w:r>
      <w:r w:rsidR="00A15943">
        <w:rPr>
          <w:szCs w:val="24"/>
          <w:lang w:val="es-ES"/>
        </w:rPr>
        <w:t xml:space="preserve"> la</w:t>
      </w:r>
      <w:r>
        <w:rPr>
          <w:szCs w:val="24"/>
          <w:lang w:val="es-ES"/>
        </w:rPr>
        <w:t xml:space="preserve"> prevención en l</w:t>
      </w:r>
      <w:r w:rsidR="00240C38">
        <w:rPr>
          <w:szCs w:val="24"/>
          <w:lang w:val="es-ES"/>
        </w:rPr>
        <w:t>a</w:t>
      </w:r>
      <w:r>
        <w:rPr>
          <w:szCs w:val="24"/>
          <w:lang w:val="es-ES"/>
        </w:rPr>
        <w:t xml:space="preserve"> </w:t>
      </w:r>
      <w:r w:rsidR="00240C38">
        <w:rPr>
          <w:szCs w:val="24"/>
          <w:lang w:val="es-ES"/>
        </w:rPr>
        <w:t xml:space="preserve">esfera </w:t>
      </w:r>
      <w:r>
        <w:rPr>
          <w:szCs w:val="24"/>
          <w:lang w:val="es-ES"/>
        </w:rPr>
        <w:t>de l</w:t>
      </w:r>
      <w:r w:rsidR="00A15943">
        <w:rPr>
          <w:szCs w:val="24"/>
          <w:lang w:val="es-ES"/>
        </w:rPr>
        <w:t>a seguridad interna</w:t>
      </w:r>
      <w:r>
        <w:rPr>
          <w:szCs w:val="24"/>
          <w:lang w:val="es-ES"/>
        </w:rPr>
        <w:t xml:space="preserve"> para el período 2012-2015. </w:t>
      </w:r>
      <w:r w:rsidR="00A15943">
        <w:rPr>
          <w:szCs w:val="24"/>
          <w:lang w:val="es-ES"/>
        </w:rPr>
        <w:t>Otras</w:t>
      </w:r>
      <w:r w:rsidR="00D835BB">
        <w:rPr>
          <w:szCs w:val="24"/>
          <w:lang w:val="es-ES"/>
        </w:rPr>
        <w:t xml:space="preserve"> </w:t>
      </w:r>
      <w:r w:rsidR="00A15943">
        <w:rPr>
          <w:szCs w:val="24"/>
          <w:lang w:val="es-ES"/>
        </w:rPr>
        <w:t>cuestiones prioritarias</w:t>
      </w:r>
      <w:r>
        <w:rPr>
          <w:szCs w:val="24"/>
          <w:lang w:val="es-ES"/>
        </w:rPr>
        <w:t xml:space="preserve"> </w:t>
      </w:r>
      <w:r w:rsidR="00240C38">
        <w:rPr>
          <w:szCs w:val="24"/>
          <w:lang w:val="es-ES"/>
        </w:rPr>
        <w:t>s</w:t>
      </w:r>
      <w:r w:rsidR="00D835BB">
        <w:rPr>
          <w:szCs w:val="24"/>
          <w:lang w:val="es-ES"/>
        </w:rPr>
        <w:t>on</w:t>
      </w:r>
      <w:r>
        <w:rPr>
          <w:szCs w:val="24"/>
          <w:lang w:val="es-ES"/>
        </w:rPr>
        <w:t xml:space="preserve"> la trata, los delitos contra la propiedad, las sustancias adictivas, las muertes por ahogamiento, la reducción de los casos de </w:t>
      </w:r>
      <w:r w:rsidR="00D835BB">
        <w:rPr>
          <w:szCs w:val="24"/>
          <w:lang w:val="es-ES"/>
        </w:rPr>
        <w:t xml:space="preserve">ciudadanía </w:t>
      </w:r>
      <w:r>
        <w:rPr>
          <w:szCs w:val="24"/>
          <w:lang w:val="es-ES"/>
        </w:rPr>
        <w:t>indeterminada, la importancia de los documentos de identidad</w:t>
      </w:r>
      <w:r w:rsidR="0054796F">
        <w:rPr>
          <w:szCs w:val="24"/>
          <w:lang w:val="es-ES"/>
        </w:rPr>
        <w:t>,</w:t>
      </w:r>
      <w:r>
        <w:rPr>
          <w:szCs w:val="24"/>
          <w:lang w:val="es-ES"/>
        </w:rPr>
        <w:t xml:space="preserve"> y los delitos cometidos en Internet o a través de Internet.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elabora un plan anual de actividades de prevención del delito </w:t>
      </w:r>
      <w:r w:rsidR="00D26881">
        <w:rPr>
          <w:szCs w:val="24"/>
          <w:lang w:val="es-ES"/>
        </w:rPr>
        <w:t xml:space="preserve">con la finalidad </w:t>
      </w:r>
      <w:r>
        <w:rPr>
          <w:szCs w:val="24"/>
          <w:lang w:val="es-ES"/>
        </w:rPr>
        <w:t xml:space="preserve">de unificar todas las actividades </w:t>
      </w:r>
      <w:r w:rsidR="006B78E6">
        <w:rPr>
          <w:szCs w:val="24"/>
          <w:lang w:val="es-ES"/>
        </w:rPr>
        <w:t>de ese tipo</w:t>
      </w:r>
      <w:r>
        <w:rPr>
          <w:szCs w:val="24"/>
          <w:lang w:val="es-ES"/>
        </w:rPr>
        <w:t xml:space="preserve"> en Estonia</w:t>
      </w:r>
      <w:r w:rsidR="00A15943">
        <w:rPr>
          <w:szCs w:val="24"/>
          <w:lang w:val="es-ES"/>
        </w:rPr>
        <w:t>, y aprovecha</w:t>
      </w:r>
      <w:r w:rsidR="006B78E6">
        <w:rPr>
          <w:szCs w:val="24"/>
          <w:lang w:val="es-ES"/>
        </w:rPr>
        <w:t>r la</w:t>
      </w:r>
      <w:r>
        <w:rPr>
          <w:szCs w:val="24"/>
          <w:lang w:val="es-ES"/>
        </w:rPr>
        <w:t xml:space="preserve"> distribución geográfica de dichas actividades como base para planificar las actuaciones policiales. Por ejemplo, en 2011, el </w:t>
      </w:r>
      <w:r w:rsidR="006B78E6">
        <w:rPr>
          <w:szCs w:val="24"/>
          <w:lang w:val="es-ES"/>
        </w:rPr>
        <w:t xml:space="preserve">objetivo del </w:t>
      </w:r>
      <w:r>
        <w:rPr>
          <w:szCs w:val="24"/>
          <w:lang w:val="es-ES"/>
        </w:rPr>
        <w:t xml:space="preserve">13% de todos los proyectos de prevención del delito </w:t>
      </w:r>
      <w:r w:rsidR="006B78E6">
        <w:rPr>
          <w:szCs w:val="24"/>
          <w:lang w:val="es-ES"/>
        </w:rPr>
        <w:t>fue prevenir</w:t>
      </w:r>
      <w:r>
        <w:rPr>
          <w:szCs w:val="24"/>
          <w:lang w:val="es-ES"/>
        </w:rPr>
        <w:t xml:space="preserve"> la violencia, mientras que en 2012 e</w:t>
      </w:r>
      <w:r w:rsidR="006B78E6">
        <w:rPr>
          <w:szCs w:val="24"/>
          <w:lang w:val="es-ES"/>
        </w:rPr>
        <w:t>sa proporción</w:t>
      </w:r>
      <w:r>
        <w:rPr>
          <w:szCs w:val="24"/>
          <w:lang w:val="es-ES"/>
        </w:rPr>
        <w:t xml:space="preserve"> fue del 15%.</w:t>
      </w:r>
    </w:p>
    <w:p w:rsidR="00125331" w:rsidRDefault="00125331" w:rsidP="00637350">
      <w:pPr>
        <w:pStyle w:val="SingleTxtG"/>
        <w:rPr>
          <w:szCs w:val="24"/>
          <w:lang w:val="es-ES"/>
        </w:rPr>
      </w:pPr>
      <w:r>
        <w:rPr>
          <w:szCs w:val="24"/>
          <w:lang w:val="es-ES"/>
        </w:rPr>
        <w:t>38</w:t>
      </w:r>
      <w:r w:rsidR="006B78E6">
        <w:rPr>
          <w:szCs w:val="24"/>
          <w:lang w:val="es-ES"/>
        </w:rPr>
        <w:t>.</w:t>
      </w:r>
      <w:r w:rsidR="006B78E6">
        <w:rPr>
          <w:szCs w:val="24"/>
          <w:lang w:val="es-ES"/>
        </w:rPr>
        <w:tab/>
        <w:t>Además de la legislación vig</w:t>
      </w:r>
      <w:r>
        <w:rPr>
          <w:szCs w:val="24"/>
          <w:lang w:val="es-ES"/>
        </w:rPr>
        <w:t xml:space="preserve">ente, en 2010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comenzó a aplicar otras directrices internas destinadas a regular el trabajo policial, que incluían normas de conducta para los agentes </w:t>
      </w:r>
      <w:r w:rsidR="0056237A">
        <w:rPr>
          <w:szCs w:val="24"/>
          <w:lang w:val="es-ES"/>
        </w:rPr>
        <w:t xml:space="preserve">que </w:t>
      </w:r>
      <w:r>
        <w:rPr>
          <w:szCs w:val="24"/>
          <w:lang w:val="es-ES"/>
        </w:rPr>
        <w:t>trat</w:t>
      </w:r>
      <w:r w:rsidR="0056237A">
        <w:rPr>
          <w:szCs w:val="24"/>
          <w:lang w:val="es-ES"/>
        </w:rPr>
        <w:t>an</w:t>
      </w:r>
      <w:r>
        <w:rPr>
          <w:szCs w:val="24"/>
          <w:lang w:val="es-ES"/>
        </w:rPr>
        <w:t xml:space="preserve"> con niños y </w:t>
      </w:r>
      <w:r w:rsidR="006B78E6">
        <w:rPr>
          <w:szCs w:val="24"/>
          <w:lang w:val="es-ES"/>
        </w:rPr>
        <w:t xml:space="preserve">en relación con </w:t>
      </w:r>
      <w:r w:rsidR="0056237A">
        <w:rPr>
          <w:szCs w:val="24"/>
          <w:lang w:val="es-ES"/>
        </w:rPr>
        <w:t xml:space="preserve">los </w:t>
      </w:r>
      <w:r>
        <w:rPr>
          <w:szCs w:val="24"/>
          <w:lang w:val="es-ES"/>
        </w:rPr>
        <w:t xml:space="preserve">casos de violencia en el contexto de </w:t>
      </w:r>
      <w:r w:rsidR="003F06BB">
        <w:rPr>
          <w:szCs w:val="24"/>
          <w:lang w:val="es-ES"/>
        </w:rPr>
        <w:t xml:space="preserve">las </w:t>
      </w:r>
      <w:r>
        <w:rPr>
          <w:szCs w:val="24"/>
          <w:lang w:val="es-ES"/>
        </w:rPr>
        <w:t>relaciones íntimas. Los agentes de policía están obligados a tomar en consideración la personalidad, la edad, el</w:t>
      </w:r>
      <w:r w:rsidR="00887BAF">
        <w:rPr>
          <w:szCs w:val="24"/>
          <w:lang w:val="es-ES"/>
        </w:rPr>
        <w:t xml:space="preserve"> género</w:t>
      </w:r>
      <w:r>
        <w:rPr>
          <w:szCs w:val="24"/>
          <w:lang w:val="es-ES"/>
        </w:rPr>
        <w:t>, la raza, la religión, las características nacionales y sociales y cual</w:t>
      </w:r>
      <w:r w:rsidR="0056237A">
        <w:rPr>
          <w:szCs w:val="24"/>
          <w:lang w:val="es-ES"/>
        </w:rPr>
        <w:t>es</w:t>
      </w:r>
      <w:r>
        <w:rPr>
          <w:szCs w:val="24"/>
          <w:lang w:val="es-ES"/>
        </w:rPr>
        <w:t>quier</w:t>
      </w:r>
      <w:r w:rsidR="0056237A">
        <w:rPr>
          <w:szCs w:val="24"/>
          <w:lang w:val="es-ES"/>
        </w:rPr>
        <w:t>a</w:t>
      </w:r>
      <w:r>
        <w:rPr>
          <w:szCs w:val="24"/>
          <w:lang w:val="es-ES"/>
        </w:rPr>
        <w:t xml:space="preserve"> otra</w:t>
      </w:r>
      <w:r w:rsidR="0056237A">
        <w:rPr>
          <w:szCs w:val="24"/>
          <w:lang w:val="es-ES"/>
        </w:rPr>
        <w:t>s</w:t>
      </w:r>
      <w:r>
        <w:rPr>
          <w:szCs w:val="24"/>
          <w:lang w:val="es-ES"/>
        </w:rPr>
        <w:t xml:space="preserve"> característica</w:t>
      </w:r>
      <w:r w:rsidR="0056237A">
        <w:rPr>
          <w:szCs w:val="24"/>
          <w:lang w:val="es-ES"/>
        </w:rPr>
        <w:t>s</w:t>
      </w:r>
      <w:r>
        <w:rPr>
          <w:szCs w:val="24"/>
          <w:lang w:val="es-ES"/>
        </w:rPr>
        <w:t xml:space="preserve"> de la persona</w:t>
      </w:r>
      <w:r w:rsidR="0056237A">
        <w:rPr>
          <w:szCs w:val="24"/>
          <w:lang w:val="es-ES"/>
        </w:rPr>
        <w:t xml:space="preserve"> en cuestión</w:t>
      </w:r>
      <w:r>
        <w:rPr>
          <w:szCs w:val="24"/>
          <w:lang w:val="es-ES"/>
        </w:rPr>
        <w:t xml:space="preserve">. </w:t>
      </w:r>
    </w:p>
    <w:p w:rsidR="00F005FA" w:rsidRPr="00F005FA" w:rsidRDefault="00F005FA" w:rsidP="00637350">
      <w:pPr>
        <w:pStyle w:val="SingleTxtG"/>
        <w:rPr>
          <w:szCs w:val="24"/>
          <w:lang w:val="es-ES"/>
        </w:rPr>
      </w:pPr>
      <w:r>
        <w:rPr>
          <w:szCs w:val="24"/>
          <w:lang w:val="es-ES"/>
        </w:rPr>
        <w:t>39.</w:t>
      </w:r>
      <w:r>
        <w:rPr>
          <w:szCs w:val="24"/>
          <w:lang w:val="es-ES"/>
        </w:rPr>
        <w:tab/>
        <w:t>El Ministerio del Interior y las instituciones e</w:t>
      </w:r>
      <w:r w:rsidR="00887BAF">
        <w:rPr>
          <w:szCs w:val="24"/>
          <w:lang w:val="es-ES"/>
        </w:rPr>
        <w:t>n</w:t>
      </w:r>
      <w:r>
        <w:rPr>
          <w:szCs w:val="24"/>
          <w:lang w:val="es-ES"/>
        </w:rPr>
        <w:t xml:space="preserve"> s</w:t>
      </w:r>
      <w:r w:rsidR="00887BAF">
        <w:rPr>
          <w:szCs w:val="24"/>
          <w:lang w:val="es-ES"/>
        </w:rPr>
        <w:t>u</w:t>
      </w:r>
      <w:r w:rsidR="0007743D">
        <w:rPr>
          <w:szCs w:val="24"/>
          <w:lang w:val="es-ES"/>
        </w:rPr>
        <w:t xml:space="preserve"> ámbito de competencias</w:t>
      </w:r>
      <w:r>
        <w:rPr>
          <w:szCs w:val="24"/>
          <w:lang w:val="es-ES"/>
        </w:rPr>
        <w:t xml:space="preserve"> también se rigen por los objetivos e</w:t>
      </w:r>
      <w:r w:rsidR="00887BAF">
        <w:rPr>
          <w:szCs w:val="24"/>
          <w:lang w:val="es-ES"/>
        </w:rPr>
        <w:t>stablecidos</w:t>
      </w:r>
      <w:r>
        <w:rPr>
          <w:szCs w:val="24"/>
          <w:lang w:val="es-ES"/>
        </w:rPr>
        <w:t xml:space="preserve"> en el Plan de desarrollo para reducir la violencia en el período 2010-2014, elaborado bajo la dirección del Ministerio de Justicia en coo</w:t>
      </w:r>
      <w:r w:rsidR="00887BAF">
        <w:rPr>
          <w:szCs w:val="24"/>
          <w:lang w:val="es-ES"/>
        </w:rPr>
        <w:t>pe</w:t>
      </w:r>
      <w:r>
        <w:rPr>
          <w:szCs w:val="24"/>
          <w:lang w:val="es-ES"/>
        </w:rPr>
        <w:t xml:space="preserve">ración con los ministerios competentes. Las actividades de prevención de la violencia </w:t>
      </w:r>
      <w:r w:rsidR="0007743D">
        <w:rPr>
          <w:szCs w:val="24"/>
          <w:lang w:val="es-ES"/>
        </w:rPr>
        <w:t>llevadas a cabo por</w:t>
      </w:r>
      <w:r>
        <w:rPr>
          <w:szCs w:val="24"/>
          <w:lang w:val="es-ES"/>
        </w:rPr>
        <w:t xml:space="preserve">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forman parte de </w:t>
      </w:r>
      <w:r w:rsidR="00887BAF">
        <w:rPr>
          <w:szCs w:val="24"/>
          <w:lang w:val="es-ES"/>
        </w:rPr>
        <w:t xml:space="preserve">dicho </w:t>
      </w:r>
      <w:r>
        <w:rPr>
          <w:szCs w:val="24"/>
          <w:lang w:val="es-ES"/>
        </w:rPr>
        <w:t xml:space="preserve">plan, que </w:t>
      </w:r>
      <w:r w:rsidR="0054796F">
        <w:rPr>
          <w:szCs w:val="24"/>
          <w:lang w:val="es-ES"/>
        </w:rPr>
        <w:t>permiti</w:t>
      </w:r>
      <w:r w:rsidR="001242E3">
        <w:rPr>
          <w:szCs w:val="24"/>
          <w:lang w:val="es-ES"/>
        </w:rPr>
        <w:t>ó</w:t>
      </w:r>
      <w:r>
        <w:rPr>
          <w:szCs w:val="24"/>
          <w:lang w:val="es-ES"/>
        </w:rPr>
        <w:t xml:space="preserve"> establecer servicios de protección de la infancia en todas las unidades estructurales de la</w:t>
      </w:r>
      <w:r w:rsidR="0007743D">
        <w:rPr>
          <w:szCs w:val="24"/>
          <w:lang w:val="es-ES"/>
        </w:rPr>
        <w:t xml:space="preserve"> policía (prefecturas</w:t>
      </w:r>
      <w:r>
        <w:rPr>
          <w:szCs w:val="24"/>
          <w:lang w:val="es-ES"/>
        </w:rPr>
        <w:t xml:space="preserve">) </w:t>
      </w:r>
      <w:r w:rsidR="001242E3">
        <w:rPr>
          <w:szCs w:val="24"/>
          <w:lang w:val="es-ES"/>
        </w:rPr>
        <w:t>a nivel region</w:t>
      </w:r>
      <w:r>
        <w:rPr>
          <w:szCs w:val="24"/>
          <w:lang w:val="es-ES"/>
        </w:rPr>
        <w:t>a</w:t>
      </w:r>
      <w:r w:rsidR="001242E3">
        <w:rPr>
          <w:szCs w:val="24"/>
          <w:lang w:val="es-ES"/>
        </w:rPr>
        <w:t>l a</w:t>
      </w:r>
      <w:r>
        <w:rPr>
          <w:szCs w:val="24"/>
          <w:lang w:val="es-ES"/>
        </w:rPr>
        <w:t xml:space="preserve"> principios de 2010</w:t>
      </w:r>
      <w:r w:rsidR="0007743D">
        <w:rPr>
          <w:szCs w:val="24"/>
          <w:lang w:val="es-ES"/>
        </w:rPr>
        <w:t>,</w:t>
      </w:r>
      <w:r>
        <w:rPr>
          <w:szCs w:val="24"/>
          <w:lang w:val="es-ES"/>
        </w:rPr>
        <w:t xml:space="preserve"> </w:t>
      </w:r>
      <w:r w:rsidR="001242E3">
        <w:rPr>
          <w:szCs w:val="24"/>
          <w:lang w:val="es-ES"/>
        </w:rPr>
        <w:t xml:space="preserve">con el fin de </w:t>
      </w:r>
      <w:r>
        <w:rPr>
          <w:szCs w:val="24"/>
          <w:lang w:val="es-ES"/>
        </w:rPr>
        <w:t>mejorar la gestión de los proce</w:t>
      </w:r>
      <w:r w:rsidR="001242E3">
        <w:rPr>
          <w:szCs w:val="24"/>
          <w:lang w:val="es-ES"/>
        </w:rPr>
        <w:t>sos</w:t>
      </w:r>
      <w:r>
        <w:rPr>
          <w:szCs w:val="24"/>
          <w:lang w:val="es-ES"/>
        </w:rPr>
        <w:t xml:space="preserve"> judiciales relacionados con delitos graves </w:t>
      </w:r>
      <w:r w:rsidR="001242E3">
        <w:rPr>
          <w:szCs w:val="24"/>
          <w:lang w:val="es-ES"/>
        </w:rPr>
        <w:t xml:space="preserve">cometidos </w:t>
      </w:r>
      <w:r>
        <w:rPr>
          <w:szCs w:val="24"/>
          <w:lang w:val="es-ES"/>
        </w:rPr>
        <w:t xml:space="preserve">contra menores, así como modernizar las salas donde se realizan interrogatorios a los niños y poner en marcha un proyecto </w:t>
      </w:r>
      <w:r w:rsidR="001242E3">
        <w:rPr>
          <w:szCs w:val="24"/>
          <w:lang w:val="es-ES"/>
        </w:rPr>
        <w:t>de web p</w:t>
      </w:r>
      <w:r>
        <w:rPr>
          <w:szCs w:val="24"/>
          <w:lang w:val="es-ES"/>
        </w:rPr>
        <w:t>olic</w:t>
      </w:r>
      <w:r w:rsidR="001242E3">
        <w:rPr>
          <w:szCs w:val="24"/>
          <w:lang w:val="es-ES"/>
        </w:rPr>
        <w:t>ial</w:t>
      </w:r>
      <w:r>
        <w:rPr>
          <w:szCs w:val="24"/>
          <w:lang w:val="es-ES"/>
        </w:rPr>
        <w:t xml:space="preserve"> el 1 de junio de 2011. Los policías de </w:t>
      </w:r>
      <w:smartTag w:uri="urn:schemas-microsoft-com:office:smarttags" w:element="PersonName">
        <w:smartTagPr>
          <w:attr w:name="ProductID" w:val="la Web"/>
        </w:smartTagPr>
        <w:r>
          <w:rPr>
            <w:szCs w:val="24"/>
            <w:lang w:val="es-ES"/>
          </w:rPr>
          <w:t xml:space="preserve">la </w:t>
        </w:r>
        <w:r w:rsidR="008F6BAB">
          <w:rPr>
            <w:szCs w:val="24"/>
            <w:lang w:val="es-ES"/>
          </w:rPr>
          <w:t>Web</w:t>
        </w:r>
      </w:smartTag>
      <w:r w:rsidR="008F6BAB">
        <w:rPr>
          <w:szCs w:val="24"/>
          <w:lang w:val="es-ES"/>
        </w:rPr>
        <w:t xml:space="preserve"> </w:t>
      </w:r>
      <w:r>
        <w:rPr>
          <w:szCs w:val="24"/>
          <w:lang w:val="es-ES"/>
        </w:rPr>
        <w:t>brindan asesoramiento en r</w:t>
      </w:r>
      <w:r w:rsidR="0007743D">
        <w:rPr>
          <w:szCs w:val="24"/>
          <w:lang w:val="es-ES"/>
        </w:rPr>
        <w:t>edes sociales y foros donde</w:t>
      </w:r>
      <w:r>
        <w:rPr>
          <w:szCs w:val="24"/>
          <w:lang w:val="es-ES"/>
        </w:rPr>
        <w:t xml:space="preserve"> tienen perfiles oficiales con su</w:t>
      </w:r>
      <w:r w:rsidR="0007743D">
        <w:rPr>
          <w:szCs w:val="24"/>
          <w:lang w:val="es-ES"/>
        </w:rPr>
        <w:t>s</w:t>
      </w:r>
      <w:r>
        <w:rPr>
          <w:szCs w:val="24"/>
          <w:lang w:val="es-ES"/>
        </w:rPr>
        <w:t xml:space="preserve"> nombre</w:t>
      </w:r>
      <w:r w:rsidR="0007743D">
        <w:rPr>
          <w:szCs w:val="24"/>
          <w:lang w:val="es-ES"/>
        </w:rPr>
        <w:t>s</w:t>
      </w:r>
      <w:r>
        <w:rPr>
          <w:szCs w:val="24"/>
          <w:lang w:val="es-ES"/>
        </w:rPr>
        <w:t xml:space="preserve"> y foto</w:t>
      </w:r>
      <w:r w:rsidR="0007743D">
        <w:rPr>
          <w:szCs w:val="24"/>
          <w:lang w:val="es-ES"/>
        </w:rPr>
        <w:t>grafías</w:t>
      </w:r>
      <w:r>
        <w:rPr>
          <w:szCs w:val="24"/>
          <w:lang w:val="es-ES"/>
        </w:rPr>
        <w:t>. Se han llevado a cabo otros proyectos y actividades de prevención en las comunidades. E</w:t>
      </w:r>
      <w:r w:rsidR="0007743D">
        <w:rPr>
          <w:szCs w:val="24"/>
          <w:lang w:val="es-ES"/>
        </w:rPr>
        <w:t>sas actividades se centran, e</w:t>
      </w:r>
      <w:r>
        <w:rPr>
          <w:szCs w:val="24"/>
          <w:lang w:val="es-ES"/>
        </w:rPr>
        <w:t xml:space="preserve">ntre otras cosas, en la prevención de problemas derivados de la raza, la nacionalidad o la condición social. </w:t>
      </w:r>
      <w:r w:rsidR="0007743D">
        <w:rPr>
          <w:szCs w:val="24"/>
          <w:lang w:val="es-ES"/>
        </w:rPr>
        <w:t>Los agentes suelen necesitar formación especial a</w:t>
      </w:r>
      <w:r>
        <w:rPr>
          <w:szCs w:val="24"/>
          <w:lang w:val="es-ES"/>
        </w:rPr>
        <w:t xml:space="preserve"> fin de </w:t>
      </w:r>
      <w:r w:rsidR="00B41A44">
        <w:rPr>
          <w:szCs w:val="24"/>
          <w:lang w:val="es-ES"/>
        </w:rPr>
        <w:t xml:space="preserve">realizar </w:t>
      </w:r>
      <w:r>
        <w:rPr>
          <w:szCs w:val="24"/>
          <w:lang w:val="es-ES"/>
        </w:rPr>
        <w:t>activi</w:t>
      </w:r>
      <w:r w:rsidR="0007743D">
        <w:rPr>
          <w:szCs w:val="24"/>
          <w:lang w:val="es-ES"/>
        </w:rPr>
        <w:t>dades de prevención para los</w:t>
      </w:r>
      <w:r>
        <w:rPr>
          <w:szCs w:val="24"/>
          <w:lang w:val="es-ES"/>
        </w:rPr>
        <w:t xml:space="preserve"> menores de edad, por lo que </w:t>
      </w:r>
      <w:r w:rsidR="00B41A44">
        <w:rPr>
          <w:szCs w:val="24"/>
          <w:lang w:val="es-ES"/>
        </w:rPr>
        <w:t>s</w:t>
      </w:r>
      <w:r>
        <w:rPr>
          <w:szCs w:val="24"/>
          <w:lang w:val="es-ES"/>
        </w:rPr>
        <w:t>o</w:t>
      </w:r>
      <w:r w:rsidR="00B41A44">
        <w:rPr>
          <w:szCs w:val="24"/>
          <w:lang w:val="es-ES"/>
        </w:rPr>
        <w:t xml:space="preserve">n los </w:t>
      </w:r>
      <w:r>
        <w:rPr>
          <w:szCs w:val="24"/>
          <w:lang w:val="es-ES"/>
        </w:rPr>
        <w:t xml:space="preserve">agentes de la policía de menores </w:t>
      </w:r>
      <w:r w:rsidR="00B41A44">
        <w:rPr>
          <w:szCs w:val="24"/>
          <w:lang w:val="es-ES"/>
        </w:rPr>
        <w:t>quiene</w:t>
      </w:r>
      <w:r w:rsidR="0007743D">
        <w:rPr>
          <w:szCs w:val="24"/>
          <w:lang w:val="es-ES"/>
        </w:rPr>
        <w:t>s acostumbran a llevar a cabo dich</w:t>
      </w:r>
      <w:r w:rsidR="00B41A44">
        <w:rPr>
          <w:szCs w:val="24"/>
          <w:lang w:val="es-ES"/>
        </w:rPr>
        <w:t xml:space="preserve">as </w:t>
      </w:r>
      <w:r>
        <w:rPr>
          <w:szCs w:val="24"/>
          <w:lang w:val="es-ES"/>
        </w:rPr>
        <w:t xml:space="preserve">actividades.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colabora con </w:t>
      </w:r>
      <w:smartTag w:uri="urn:schemas-microsoft-com:office:smarttags" w:element="PersonName">
        <w:smartTagPr>
          <w:attr w:name="ProductID" w:val="la ONG Apoyo"/>
        </w:smartTagPr>
        <w:r>
          <w:rPr>
            <w:szCs w:val="24"/>
            <w:lang w:val="es-ES"/>
          </w:rPr>
          <w:t>la ONG Apoyo</w:t>
        </w:r>
      </w:smartTag>
      <w:r>
        <w:rPr>
          <w:szCs w:val="24"/>
          <w:lang w:val="es-ES"/>
        </w:rPr>
        <w:t xml:space="preserve"> a las Víctimas </w:t>
      </w:r>
      <w:r w:rsidRPr="008C2682">
        <w:rPr>
          <w:i/>
          <w:szCs w:val="24"/>
          <w:lang w:val="es-ES"/>
        </w:rPr>
        <w:t>(MTU Ohvriabi)</w:t>
      </w:r>
      <w:r>
        <w:rPr>
          <w:szCs w:val="24"/>
          <w:lang w:val="es-ES"/>
        </w:rPr>
        <w:t xml:space="preserve"> en el marco de un acuerdo de cooperación interinstitucional.</w:t>
      </w:r>
    </w:p>
    <w:p w:rsidR="003F2DA5" w:rsidRPr="003F2DA5" w:rsidRDefault="003F2DA5" w:rsidP="00637350">
      <w:pPr>
        <w:pStyle w:val="SingleTxtG"/>
        <w:rPr>
          <w:szCs w:val="24"/>
          <w:lang w:val="es-ES"/>
        </w:rPr>
      </w:pPr>
      <w:r>
        <w:rPr>
          <w:szCs w:val="24"/>
          <w:lang w:val="es-ES"/>
        </w:rPr>
        <w:t>40.</w:t>
      </w:r>
      <w:r>
        <w:rPr>
          <w:szCs w:val="24"/>
          <w:lang w:val="es-ES"/>
        </w:rPr>
        <w:tab/>
        <w:t>La policía está abierta a</w:t>
      </w:r>
      <w:r w:rsidR="0007743D">
        <w:rPr>
          <w:szCs w:val="24"/>
          <w:lang w:val="es-ES"/>
        </w:rPr>
        <w:t>l diálogo y la comunicación con miras a</w:t>
      </w:r>
      <w:r>
        <w:rPr>
          <w:szCs w:val="24"/>
          <w:lang w:val="es-ES"/>
        </w:rPr>
        <w:t xml:space="preserve"> prevenir posibles conflictos con las víctimas</w:t>
      </w:r>
      <w:r w:rsidR="00675BED">
        <w:rPr>
          <w:szCs w:val="24"/>
          <w:lang w:val="es-ES"/>
        </w:rPr>
        <w:t xml:space="preserve"> o posibles víctimas</w:t>
      </w:r>
      <w:r>
        <w:rPr>
          <w:szCs w:val="24"/>
          <w:lang w:val="es-ES"/>
        </w:rPr>
        <w:t xml:space="preserve"> de discriminación racial</w:t>
      </w:r>
      <w:r w:rsidR="0054796F">
        <w:rPr>
          <w:szCs w:val="24"/>
          <w:lang w:val="es-ES"/>
        </w:rPr>
        <w:t>,</w:t>
      </w:r>
      <w:r>
        <w:rPr>
          <w:szCs w:val="24"/>
          <w:lang w:val="es-ES"/>
        </w:rPr>
        <w:t xml:space="preserve"> así como los actos de violencia contra esos grupos y otras personas por motivos raciales. Al planificar las actividades de prevención,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tiene</w:t>
      </w:r>
      <w:r w:rsidR="00675BED">
        <w:rPr>
          <w:szCs w:val="24"/>
          <w:lang w:val="es-ES"/>
        </w:rPr>
        <w:t xml:space="preserve"> </w:t>
      </w:r>
      <w:r>
        <w:rPr>
          <w:szCs w:val="24"/>
          <w:lang w:val="es-ES"/>
        </w:rPr>
        <w:t xml:space="preserve">en cuenta las diferencias culturales de las personas </w:t>
      </w:r>
      <w:r w:rsidR="00675BED">
        <w:rPr>
          <w:szCs w:val="24"/>
          <w:lang w:val="es-ES"/>
        </w:rPr>
        <w:t xml:space="preserve">en situación de riesgo </w:t>
      </w:r>
      <w:r>
        <w:rPr>
          <w:szCs w:val="24"/>
          <w:lang w:val="es-ES"/>
        </w:rPr>
        <w:t>en las distintas localidades</w:t>
      </w:r>
      <w:r w:rsidR="00675BED">
        <w:rPr>
          <w:szCs w:val="24"/>
          <w:lang w:val="es-ES"/>
        </w:rPr>
        <w:t>,</w:t>
      </w:r>
      <w:r>
        <w:rPr>
          <w:szCs w:val="24"/>
          <w:lang w:val="es-ES"/>
        </w:rPr>
        <w:t xml:space="preserve"> y selecciona los canales adecuados para </w:t>
      </w:r>
      <w:r w:rsidR="00675BED">
        <w:rPr>
          <w:szCs w:val="24"/>
          <w:lang w:val="es-ES"/>
        </w:rPr>
        <w:t xml:space="preserve">transmitir los </w:t>
      </w:r>
      <w:r>
        <w:rPr>
          <w:szCs w:val="24"/>
          <w:lang w:val="es-ES"/>
        </w:rPr>
        <w:t xml:space="preserve">mensajes y mejorar la cooperación. Se han llevado a cabo actividades especiales de prevención relacionadas con las minorías étnicas para la población de habla rusa, principalmente en los condados de Ida-Viru y Harju. Al </w:t>
      </w:r>
      <w:r w:rsidR="00B64B00">
        <w:rPr>
          <w:szCs w:val="24"/>
          <w:lang w:val="es-ES"/>
        </w:rPr>
        <w:t xml:space="preserve">llevar a cabo </w:t>
      </w:r>
      <w:r>
        <w:rPr>
          <w:szCs w:val="24"/>
          <w:lang w:val="es-ES"/>
        </w:rPr>
        <w:t xml:space="preserve">la labor de prevención se toman en consideración las peculiaridades locales y, </w:t>
      </w:r>
      <w:r w:rsidR="00675BED">
        <w:rPr>
          <w:szCs w:val="24"/>
          <w:lang w:val="es-ES"/>
        </w:rPr>
        <w:t>sobre la base</w:t>
      </w:r>
      <w:r>
        <w:rPr>
          <w:szCs w:val="24"/>
          <w:lang w:val="es-ES"/>
        </w:rPr>
        <w:t xml:space="preserve"> de las características del grupo </w:t>
      </w:r>
      <w:r w:rsidR="00675BED">
        <w:rPr>
          <w:szCs w:val="24"/>
          <w:lang w:val="es-ES"/>
        </w:rPr>
        <w:t>destinatario</w:t>
      </w:r>
      <w:r>
        <w:rPr>
          <w:szCs w:val="24"/>
          <w:lang w:val="es-ES"/>
        </w:rPr>
        <w:t xml:space="preserve">, </w:t>
      </w:r>
      <w:r w:rsidR="00675BED">
        <w:rPr>
          <w:szCs w:val="24"/>
          <w:lang w:val="es-ES"/>
        </w:rPr>
        <w:t xml:space="preserve">se selecciona a </w:t>
      </w:r>
      <w:r>
        <w:rPr>
          <w:szCs w:val="24"/>
          <w:lang w:val="es-ES"/>
        </w:rPr>
        <w:t>agentes de policía del mismo origen étnico y lingüístico</w:t>
      </w:r>
      <w:r w:rsidR="00675BED">
        <w:rPr>
          <w:szCs w:val="24"/>
          <w:lang w:val="es-ES"/>
        </w:rPr>
        <w:t xml:space="preserve"> para que dirijan las actividades</w:t>
      </w:r>
      <w:r w:rsidR="0007743D">
        <w:rPr>
          <w:szCs w:val="24"/>
          <w:lang w:val="es-ES"/>
        </w:rPr>
        <w:t xml:space="preserve"> siempre que</w:t>
      </w:r>
      <w:r w:rsidR="00B64B00">
        <w:rPr>
          <w:szCs w:val="24"/>
          <w:lang w:val="es-ES"/>
        </w:rPr>
        <w:t xml:space="preserve"> es posible</w:t>
      </w:r>
      <w:r>
        <w:rPr>
          <w:szCs w:val="24"/>
          <w:lang w:val="es-ES"/>
        </w:rPr>
        <w:t xml:space="preserve">. Desde 2010, el presupuesto destinado a las actividades </w:t>
      </w:r>
      <w:r w:rsidR="00B64B00">
        <w:rPr>
          <w:szCs w:val="24"/>
          <w:lang w:val="es-ES"/>
        </w:rPr>
        <w:t xml:space="preserve">policiales </w:t>
      </w:r>
      <w:r>
        <w:rPr>
          <w:szCs w:val="24"/>
          <w:lang w:val="es-ES"/>
        </w:rPr>
        <w:t>de prevención ha aumentado de forma constante.</w:t>
      </w:r>
    </w:p>
    <w:p w:rsidR="00297AEF" w:rsidRPr="00297AEF" w:rsidRDefault="00297AEF" w:rsidP="00637350">
      <w:pPr>
        <w:pStyle w:val="SingleTxtG"/>
        <w:rPr>
          <w:szCs w:val="24"/>
          <w:lang w:val="es-ES"/>
        </w:rPr>
      </w:pPr>
      <w:r w:rsidRPr="00297AEF">
        <w:rPr>
          <w:szCs w:val="24"/>
          <w:lang w:val="es-ES"/>
        </w:rPr>
        <w:t>41.</w:t>
      </w:r>
      <w:r w:rsidRPr="00297AEF">
        <w:rPr>
          <w:szCs w:val="24"/>
          <w:lang w:val="es-ES"/>
        </w:rPr>
        <w:tab/>
      </w:r>
      <w:r>
        <w:rPr>
          <w:szCs w:val="24"/>
          <w:lang w:val="es-ES"/>
        </w:rPr>
        <w:t xml:space="preserve">No se han presentado </w:t>
      </w:r>
      <w:r w:rsidR="00B64B00">
        <w:rPr>
          <w:szCs w:val="24"/>
          <w:lang w:val="es-ES"/>
        </w:rPr>
        <w:t xml:space="preserve">denuncias </w:t>
      </w:r>
      <w:r>
        <w:rPr>
          <w:szCs w:val="24"/>
          <w:lang w:val="es-ES"/>
        </w:rPr>
        <w:t xml:space="preserve">relacionadas con las actividades de los funcionarios de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por motivos de racismo, discriminación racial, xenofobia u otras formas similares de odio.</w:t>
      </w:r>
    </w:p>
    <w:p w:rsidR="00297AEF" w:rsidRDefault="00297AEF" w:rsidP="00637350">
      <w:pPr>
        <w:pStyle w:val="SingleTxtG"/>
        <w:rPr>
          <w:szCs w:val="24"/>
          <w:lang w:val="es-ES"/>
        </w:rPr>
      </w:pPr>
      <w:r>
        <w:rPr>
          <w:szCs w:val="24"/>
          <w:lang w:val="es-ES"/>
        </w:rPr>
        <w:t>42.</w:t>
      </w:r>
      <w:r>
        <w:rPr>
          <w:szCs w:val="24"/>
          <w:lang w:val="es-ES"/>
        </w:rPr>
        <w:tab/>
        <w:t xml:space="preserve">En </w:t>
      </w:r>
      <w:r w:rsidR="00814443">
        <w:rPr>
          <w:szCs w:val="24"/>
          <w:lang w:val="es-ES"/>
        </w:rPr>
        <w:t>e</w:t>
      </w:r>
      <w:r>
        <w:rPr>
          <w:szCs w:val="24"/>
          <w:lang w:val="es-ES"/>
        </w:rPr>
        <w:t xml:space="preserve">l </w:t>
      </w:r>
      <w:r w:rsidR="00814443">
        <w:rPr>
          <w:szCs w:val="24"/>
          <w:lang w:val="es-ES"/>
        </w:rPr>
        <w:t xml:space="preserve">organigrama </w:t>
      </w:r>
      <w:r>
        <w:rPr>
          <w:szCs w:val="24"/>
          <w:lang w:val="es-ES"/>
        </w:rPr>
        <w:t xml:space="preserve">del Ministerio de Justicia </w:t>
      </w:r>
      <w:r w:rsidR="00B64B00">
        <w:rPr>
          <w:szCs w:val="24"/>
          <w:lang w:val="es-ES"/>
        </w:rPr>
        <w:t xml:space="preserve">figura </w:t>
      </w:r>
      <w:r>
        <w:rPr>
          <w:szCs w:val="24"/>
          <w:lang w:val="es-ES"/>
        </w:rPr>
        <w:t>una unidad cuya función principal es preparar las decisiones del Gobierno en materia de política penal y supervis</w:t>
      </w:r>
      <w:r w:rsidR="00814443">
        <w:rPr>
          <w:szCs w:val="24"/>
          <w:lang w:val="es-ES"/>
        </w:rPr>
        <w:t>ar</w:t>
      </w:r>
      <w:r>
        <w:rPr>
          <w:szCs w:val="24"/>
          <w:lang w:val="es-ES"/>
        </w:rPr>
        <w:t xml:space="preserve"> su cumplimiento, es decir, analizar las actividades de los centros de pre</w:t>
      </w:r>
      <w:r w:rsidR="0007743D">
        <w:rPr>
          <w:szCs w:val="24"/>
          <w:lang w:val="es-ES"/>
        </w:rPr>
        <w:t>vención del delito para determina</w:t>
      </w:r>
      <w:r>
        <w:rPr>
          <w:szCs w:val="24"/>
          <w:lang w:val="es-ES"/>
        </w:rPr>
        <w:t>r si se aplican las políticas del Gobierno</w:t>
      </w:r>
      <w:r w:rsidR="0007743D">
        <w:rPr>
          <w:szCs w:val="24"/>
          <w:lang w:val="es-ES"/>
        </w:rPr>
        <w:t xml:space="preserve"> y </w:t>
      </w:r>
      <w:r w:rsidR="00630328">
        <w:rPr>
          <w:szCs w:val="24"/>
          <w:lang w:val="es-ES"/>
        </w:rPr>
        <w:t>e</w:t>
      </w:r>
      <w:r w:rsidR="0007743D">
        <w:rPr>
          <w:szCs w:val="24"/>
          <w:lang w:val="es-ES"/>
        </w:rPr>
        <w:t>n qué modo</w:t>
      </w:r>
      <w:r>
        <w:rPr>
          <w:szCs w:val="24"/>
          <w:lang w:val="es-ES"/>
        </w:rPr>
        <w:t>.</w:t>
      </w:r>
    </w:p>
    <w:p w:rsidR="00973BCE" w:rsidRDefault="00973BCE" w:rsidP="00637350">
      <w:pPr>
        <w:pStyle w:val="SingleTxtG"/>
        <w:rPr>
          <w:szCs w:val="24"/>
          <w:lang w:val="es-ES"/>
        </w:rPr>
      </w:pPr>
      <w:r>
        <w:rPr>
          <w:szCs w:val="24"/>
          <w:lang w:val="es-ES"/>
        </w:rPr>
        <w:t>43.</w:t>
      </w:r>
      <w:r>
        <w:rPr>
          <w:szCs w:val="24"/>
          <w:lang w:val="es-ES"/>
        </w:rPr>
        <w:tab/>
        <w:t>El Consejo de Prevención del Delito, e</w:t>
      </w:r>
      <w:r w:rsidR="00AC2780">
        <w:rPr>
          <w:szCs w:val="24"/>
          <w:lang w:val="es-ES"/>
        </w:rPr>
        <w:t>st</w:t>
      </w:r>
      <w:r>
        <w:rPr>
          <w:szCs w:val="24"/>
          <w:lang w:val="es-ES"/>
        </w:rPr>
        <w:t>a</w:t>
      </w:r>
      <w:r w:rsidR="00AC2780">
        <w:rPr>
          <w:szCs w:val="24"/>
          <w:lang w:val="es-ES"/>
        </w:rPr>
        <w:t>bleci</w:t>
      </w:r>
      <w:r>
        <w:rPr>
          <w:szCs w:val="24"/>
          <w:lang w:val="es-ES"/>
        </w:rPr>
        <w:t>do po</w:t>
      </w:r>
      <w:r w:rsidR="0007743D">
        <w:rPr>
          <w:szCs w:val="24"/>
          <w:lang w:val="es-ES"/>
        </w:rPr>
        <w:t xml:space="preserve">r el Gobierno en 1993, sigue </w:t>
      </w:r>
      <w:r>
        <w:rPr>
          <w:szCs w:val="24"/>
          <w:lang w:val="es-ES"/>
        </w:rPr>
        <w:t xml:space="preserve">también </w:t>
      </w:r>
      <w:r w:rsidR="0007743D">
        <w:rPr>
          <w:szCs w:val="24"/>
          <w:lang w:val="es-ES"/>
        </w:rPr>
        <w:t>funcionando</w:t>
      </w:r>
      <w:r>
        <w:rPr>
          <w:szCs w:val="24"/>
          <w:lang w:val="es-ES"/>
        </w:rPr>
        <w:t>. El Consejo se reúne hasta c</w:t>
      </w:r>
      <w:r w:rsidR="0007743D">
        <w:rPr>
          <w:szCs w:val="24"/>
          <w:lang w:val="es-ES"/>
        </w:rPr>
        <w:t xml:space="preserve">uatro veces al año y su mandato </w:t>
      </w:r>
      <w:r w:rsidR="00AC2780">
        <w:rPr>
          <w:szCs w:val="24"/>
          <w:lang w:val="es-ES"/>
        </w:rPr>
        <w:t>con</w:t>
      </w:r>
      <w:r>
        <w:rPr>
          <w:szCs w:val="24"/>
          <w:lang w:val="es-ES"/>
        </w:rPr>
        <w:t>s</w:t>
      </w:r>
      <w:r w:rsidR="00AC2780">
        <w:rPr>
          <w:szCs w:val="24"/>
          <w:lang w:val="es-ES"/>
        </w:rPr>
        <w:t>iste en</w:t>
      </w:r>
      <w:r>
        <w:rPr>
          <w:szCs w:val="24"/>
          <w:lang w:val="es-ES"/>
        </w:rPr>
        <w:t xml:space="preserve"> </w:t>
      </w:r>
      <w:r w:rsidR="00AC2780">
        <w:rPr>
          <w:szCs w:val="24"/>
          <w:lang w:val="es-ES"/>
        </w:rPr>
        <w:t xml:space="preserve">facilitar </w:t>
      </w:r>
      <w:r>
        <w:rPr>
          <w:szCs w:val="24"/>
          <w:lang w:val="es-ES"/>
        </w:rPr>
        <w:t>opiniones y propuestas al Gobierno en relación con la elaboración y aplicación de la polític</w:t>
      </w:r>
      <w:r w:rsidR="003B3BB5">
        <w:rPr>
          <w:szCs w:val="24"/>
          <w:lang w:val="es-ES"/>
        </w:rPr>
        <w:t>a</w:t>
      </w:r>
      <w:r>
        <w:rPr>
          <w:szCs w:val="24"/>
          <w:lang w:val="es-ES"/>
        </w:rPr>
        <w:t xml:space="preserve"> </w:t>
      </w:r>
      <w:r w:rsidR="00220627">
        <w:rPr>
          <w:szCs w:val="24"/>
          <w:lang w:val="es-ES"/>
        </w:rPr>
        <w:t xml:space="preserve">penal y </w:t>
      </w:r>
      <w:r>
        <w:rPr>
          <w:szCs w:val="24"/>
          <w:lang w:val="es-ES"/>
        </w:rPr>
        <w:t xml:space="preserve">de prevención del delito. </w:t>
      </w:r>
    </w:p>
    <w:p w:rsidR="00EA46FE" w:rsidRDefault="00EA46FE" w:rsidP="00637350">
      <w:pPr>
        <w:pStyle w:val="SingleTxtG"/>
        <w:rPr>
          <w:szCs w:val="24"/>
          <w:lang w:val="es-ES"/>
        </w:rPr>
      </w:pPr>
      <w:r>
        <w:rPr>
          <w:szCs w:val="24"/>
          <w:lang w:val="es-ES"/>
        </w:rPr>
        <w:t>44.</w:t>
      </w:r>
      <w:r>
        <w:rPr>
          <w:szCs w:val="24"/>
          <w:lang w:val="es-ES"/>
        </w:rPr>
        <w:tab/>
        <w:t xml:space="preserve">En 2010, el Parlamento aprobó las </w:t>
      </w:r>
      <w:r w:rsidR="00AC2780">
        <w:rPr>
          <w:szCs w:val="24"/>
          <w:lang w:val="es-ES"/>
        </w:rPr>
        <w:t>D</w:t>
      </w:r>
      <w:r>
        <w:rPr>
          <w:szCs w:val="24"/>
          <w:lang w:val="es-ES"/>
        </w:rPr>
        <w:t xml:space="preserve">irectrices para </w:t>
      </w:r>
      <w:r w:rsidR="00AC2780">
        <w:rPr>
          <w:szCs w:val="24"/>
          <w:lang w:val="es-ES"/>
        </w:rPr>
        <w:t xml:space="preserve">el desarrollo </w:t>
      </w:r>
      <w:r>
        <w:rPr>
          <w:szCs w:val="24"/>
          <w:lang w:val="es-ES"/>
        </w:rPr>
        <w:t xml:space="preserve">de </w:t>
      </w:r>
      <w:r w:rsidR="00AC2780">
        <w:rPr>
          <w:szCs w:val="24"/>
          <w:lang w:val="es-ES"/>
        </w:rPr>
        <w:t>l</w:t>
      </w:r>
      <w:r>
        <w:rPr>
          <w:szCs w:val="24"/>
          <w:lang w:val="es-ES"/>
        </w:rPr>
        <w:t xml:space="preserve">a política </w:t>
      </w:r>
      <w:r w:rsidR="00AC2780">
        <w:rPr>
          <w:szCs w:val="24"/>
          <w:lang w:val="es-ES"/>
        </w:rPr>
        <w:t xml:space="preserve">penal </w:t>
      </w:r>
      <w:r>
        <w:rPr>
          <w:szCs w:val="24"/>
          <w:lang w:val="es-ES"/>
        </w:rPr>
        <w:t xml:space="preserve">hasta 2018. Ese documento establece los principios y objetivos comunes de la política </w:t>
      </w:r>
      <w:r w:rsidR="00220627">
        <w:rPr>
          <w:szCs w:val="24"/>
          <w:lang w:val="es-ES"/>
        </w:rPr>
        <w:t>penal</w:t>
      </w:r>
      <w:r w:rsidR="00107FA2">
        <w:rPr>
          <w:szCs w:val="24"/>
          <w:lang w:val="es-ES"/>
        </w:rPr>
        <w:t>,</w:t>
      </w:r>
      <w:r w:rsidR="00220627">
        <w:rPr>
          <w:szCs w:val="24"/>
          <w:lang w:val="es-ES"/>
        </w:rPr>
        <w:t xml:space="preserve"> </w:t>
      </w:r>
      <w:r>
        <w:rPr>
          <w:szCs w:val="24"/>
          <w:lang w:val="es-ES"/>
        </w:rPr>
        <w:t xml:space="preserve">que las autoridades públicas deben observar </w:t>
      </w:r>
      <w:r w:rsidR="00220627">
        <w:rPr>
          <w:szCs w:val="24"/>
          <w:lang w:val="es-ES"/>
        </w:rPr>
        <w:t xml:space="preserve">al </w:t>
      </w:r>
      <w:r>
        <w:rPr>
          <w:szCs w:val="24"/>
          <w:lang w:val="es-ES"/>
        </w:rPr>
        <w:t>planifica</w:t>
      </w:r>
      <w:r w:rsidR="00220627">
        <w:rPr>
          <w:szCs w:val="24"/>
          <w:lang w:val="es-ES"/>
        </w:rPr>
        <w:t>r</w:t>
      </w:r>
      <w:r>
        <w:rPr>
          <w:szCs w:val="24"/>
          <w:lang w:val="es-ES"/>
        </w:rPr>
        <w:t xml:space="preserve"> sus actividades. Según el artículo 9 de las </w:t>
      </w:r>
      <w:r w:rsidR="00220627">
        <w:rPr>
          <w:szCs w:val="24"/>
          <w:lang w:val="es-ES"/>
        </w:rPr>
        <w:t>D</w:t>
      </w:r>
      <w:r>
        <w:rPr>
          <w:szCs w:val="24"/>
          <w:lang w:val="es-ES"/>
        </w:rPr>
        <w:t>irectrices</w:t>
      </w:r>
      <w:r>
        <w:rPr>
          <w:rStyle w:val="FootnoteReference"/>
          <w:szCs w:val="24"/>
          <w:lang w:val="es-ES"/>
        </w:rPr>
        <w:footnoteReference w:id="12"/>
      </w:r>
      <w:r>
        <w:rPr>
          <w:szCs w:val="24"/>
          <w:lang w:val="es-ES"/>
        </w:rPr>
        <w:t>, se prestará atención a los posibles riesgos futuros y a la preparación para la prevención y la respuesta ante problemas de origen racial, étnico o religioso</w:t>
      </w:r>
      <w:r w:rsidR="007610AF">
        <w:rPr>
          <w:szCs w:val="24"/>
          <w:lang w:val="es-ES"/>
        </w:rPr>
        <w:t xml:space="preserve"> que hasta ahora no se han producido </w:t>
      </w:r>
      <w:r>
        <w:rPr>
          <w:szCs w:val="24"/>
          <w:lang w:val="es-ES"/>
        </w:rPr>
        <w:t xml:space="preserve">o </w:t>
      </w:r>
      <w:r w:rsidR="007610AF">
        <w:rPr>
          <w:szCs w:val="24"/>
          <w:lang w:val="es-ES"/>
        </w:rPr>
        <w:t xml:space="preserve">han sido </w:t>
      </w:r>
      <w:r>
        <w:rPr>
          <w:szCs w:val="24"/>
          <w:lang w:val="es-ES"/>
        </w:rPr>
        <w:t xml:space="preserve">poco </w:t>
      </w:r>
      <w:r w:rsidR="00220627">
        <w:rPr>
          <w:szCs w:val="24"/>
          <w:lang w:val="es-ES"/>
        </w:rPr>
        <w:t xml:space="preserve">frecuentes </w:t>
      </w:r>
      <w:r>
        <w:rPr>
          <w:szCs w:val="24"/>
          <w:lang w:val="es-ES"/>
        </w:rPr>
        <w:t>en Estonia, como los matrimonios forzados, los asesinatos por motiv</w:t>
      </w:r>
      <w:r w:rsidR="007610AF">
        <w:rPr>
          <w:szCs w:val="24"/>
          <w:lang w:val="es-ES"/>
        </w:rPr>
        <w:t>os de honor o la situación de</w:t>
      </w:r>
      <w:r>
        <w:rPr>
          <w:szCs w:val="24"/>
          <w:lang w:val="es-ES"/>
        </w:rPr>
        <w:t xml:space="preserve"> país </w:t>
      </w:r>
      <w:r w:rsidR="007610AF">
        <w:rPr>
          <w:szCs w:val="24"/>
          <w:lang w:val="es-ES"/>
        </w:rPr>
        <w:t>de</w:t>
      </w:r>
      <w:r>
        <w:rPr>
          <w:szCs w:val="24"/>
          <w:lang w:val="es-ES"/>
        </w:rPr>
        <w:t xml:space="preserve"> destino de la trata de seres humanos. </w:t>
      </w:r>
    </w:p>
    <w:p w:rsidR="00082B8E" w:rsidRDefault="00082B8E" w:rsidP="00637350">
      <w:pPr>
        <w:pStyle w:val="SingleTxtG"/>
        <w:rPr>
          <w:szCs w:val="24"/>
          <w:lang w:val="es-ES"/>
        </w:rPr>
      </w:pPr>
      <w:r>
        <w:rPr>
          <w:szCs w:val="24"/>
          <w:lang w:val="es-ES"/>
        </w:rPr>
        <w:t>45.</w:t>
      </w:r>
      <w:r>
        <w:rPr>
          <w:szCs w:val="24"/>
          <w:lang w:val="es-ES"/>
        </w:rPr>
        <w:tab/>
        <w:t>En</w:t>
      </w:r>
      <w:r w:rsidR="00FD2231">
        <w:rPr>
          <w:szCs w:val="24"/>
          <w:lang w:val="es-ES"/>
        </w:rPr>
        <w:t xml:space="preserve"> el párrafo 10 de </w:t>
      </w:r>
      <w:r>
        <w:rPr>
          <w:szCs w:val="24"/>
          <w:lang w:val="es-ES"/>
        </w:rPr>
        <w:t xml:space="preserve">sus observaciones finales, el Comité recomendaba a Estonia que considerara la </w:t>
      </w:r>
      <w:r w:rsidR="00FD2231">
        <w:rPr>
          <w:szCs w:val="24"/>
          <w:lang w:val="es-ES"/>
        </w:rPr>
        <w:t xml:space="preserve">posibilidad de </w:t>
      </w:r>
      <w:r>
        <w:rPr>
          <w:szCs w:val="24"/>
          <w:lang w:val="es-ES"/>
        </w:rPr>
        <w:t>crea</w:t>
      </w:r>
      <w:r w:rsidR="00FD2231">
        <w:rPr>
          <w:szCs w:val="24"/>
          <w:lang w:val="es-ES"/>
        </w:rPr>
        <w:t>r</w:t>
      </w:r>
      <w:r>
        <w:rPr>
          <w:szCs w:val="24"/>
          <w:lang w:val="es-ES"/>
        </w:rPr>
        <w:t xml:space="preserve"> una institución nacional de derechos humanos de conformidad con los </w:t>
      </w:r>
      <w:r w:rsidR="002B491B">
        <w:rPr>
          <w:szCs w:val="24"/>
          <w:lang w:val="es-ES"/>
        </w:rPr>
        <w:t>"</w:t>
      </w:r>
      <w:r>
        <w:rPr>
          <w:szCs w:val="24"/>
          <w:lang w:val="es-ES"/>
        </w:rPr>
        <w:t>Principios relativos al estatuto de las instituciones nacionales de promoción y protección de los derechos humanos</w:t>
      </w:r>
      <w:r w:rsidR="002B491B">
        <w:rPr>
          <w:szCs w:val="24"/>
          <w:lang w:val="es-ES"/>
        </w:rPr>
        <w:t>"</w:t>
      </w:r>
      <w:r>
        <w:rPr>
          <w:szCs w:val="24"/>
          <w:lang w:val="es-ES"/>
        </w:rPr>
        <w:t xml:space="preserve"> (Principios de París). </w:t>
      </w:r>
    </w:p>
    <w:p w:rsidR="007E7D3D" w:rsidRPr="007E7D3D" w:rsidRDefault="007E7D3D" w:rsidP="00637350">
      <w:pPr>
        <w:pStyle w:val="SingleTxtG"/>
        <w:rPr>
          <w:szCs w:val="24"/>
          <w:lang w:val="es-ES"/>
        </w:rPr>
      </w:pPr>
      <w:r>
        <w:rPr>
          <w:szCs w:val="24"/>
          <w:lang w:val="es-ES"/>
        </w:rPr>
        <w:t>46.</w:t>
      </w:r>
      <w:r>
        <w:rPr>
          <w:szCs w:val="24"/>
          <w:lang w:val="es-ES"/>
        </w:rPr>
        <w:tab/>
        <w:t>El Canciller de Justicia</w:t>
      </w:r>
      <w:r>
        <w:rPr>
          <w:rStyle w:val="FootnoteReference"/>
          <w:szCs w:val="24"/>
          <w:lang w:val="es-ES"/>
        </w:rPr>
        <w:footnoteReference w:id="13"/>
      </w:r>
      <w:r>
        <w:rPr>
          <w:szCs w:val="24"/>
          <w:lang w:val="es-ES"/>
        </w:rPr>
        <w:t xml:space="preserve"> abarca la m</w:t>
      </w:r>
      <w:r w:rsidR="007610AF">
        <w:rPr>
          <w:szCs w:val="24"/>
          <w:lang w:val="es-ES"/>
        </w:rPr>
        <w:t>ayor parte de las funciones de un</w:t>
      </w:r>
      <w:r>
        <w:rPr>
          <w:szCs w:val="24"/>
          <w:lang w:val="es-ES"/>
        </w:rPr>
        <w:t xml:space="preserve">a institución nacional de protección de los derechos humanos. Aunque el Canciller no está acreditado con arreglo a los Principios de París, las actividades de esa institución se ajustan en </w:t>
      </w:r>
      <w:r w:rsidR="00FD2231">
        <w:rPr>
          <w:szCs w:val="24"/>
          <w:lang w:val="es-ES"/>
        </w:rPr>
        <w:t xml:space="preserve">amplia </w:t>
      </w:r>
      <w:r w:rsidR="007610AF">
        <w:rPr>
          <w:szCs w:val="24"/>
          <w:lang w:val="es-ES"/>
        </w:rPr>
        <w:t>medida a tale</w:t>
      </w:r>
      <w:r>
        <w:rPr>
          <w:szCs w:val="24"/>
          <w:lang w:val="es-ES"/>
        </w:rPr>
        <w:t>s principios. La institución del Canciller de Justicia se e</w:t>
      </w:r>
      <w:r w:rsidR="00DF67E3">
        <w:rPr>
          <w:szCs w:val="24"/>
          <w:lang w:val="es-ES"/>
        </w:rPr>
        <w:t>stableci</w:t>
      </w:r>
      <w:r>
        <w:rPr>
          <w:szCs w:val="24"/>
          <w:lang w:val="es-ES"/>
        </w:rPr>
        <w:t xml:space="preserve">ó en </w:t>
      </w:r>
      <w:r w:rsidR="00DF67E3">
        <w:rPr>
          <w:szCs w:val="24"/>
          <w:lang w:val="es-ES"/>
        </w:rPr>
        <w:t xml:space="preserve">el marco </w:t>
      </w:r>
      <w:r>
        <w:rPr>
          <w:szCs w:val="24"/>
          <w:lang w:val="es-ES"/>
        </w:rPr>
        <w:t xml:space="preserve">de </w:t>
      </w:r>
      <w:smartTag w:uri="urn:schemas-microsoft-com:office:smarttags" w:element="PersonName">
        <w:smartTagPr>
          <w:attr w:name="ProductID" w:val="la Constituci￳n"/>
        </w:smartTagPr>
        <w:r>
          <w:rPr>
            <w:szCs w:val="24"/>
            <w:lang w:val="es-ES"/>
          </w:rPr>
          <w:t>la Constitución</w:t>
        </w:r>
      </w:smartTag>
      <w:r w:rsidR="00DF67E3">
        <w:rPr>
          <w:szCs w:val="24"/>
          <w:lang w:val="es-ES"/>
        </w:rPr>
        <w:t>,</w:t>
      </w:r>
      <w:r>
        <w:rPr>
          <w:szCs w:val="24"/>
          <w:lang w:val="es-ES"/>
        </w:rPr>
        <w:t xml:space="preserve"> y</w:t>
      </w:r>
      <w:r w:rsidR="00DF67E3">
        <w:rPr>
          <w:szCs w:val="24"/>
          <w:lang w:val="es-ES"/>
        </w:rPr>
        <w:t xml:space="preserve"> </w:t>
      </w:r>
      <w:r>
        <w:rPr>
          <w:szCs w:val="24"/>
          <w:lang w:val="es-ES"/>
        </w:rPr>
        <w:t xml:space="preserve">el Canciller se </w:t>
      </w:r>
      <w:r w:rsidR="00DF67E3">
        <w:rPr>
          <w:szCs w:val="24"/>
          <w:lang w:val="es-ES"/>
        </w:rPr>
        <w:t>gui</w:t>
      </w:r>
      <w:r>
        <w:rPr>
          <w:szCs w:val="24"/>
          <w:lang w:val="es-ES"/>
        </w:rPr>
        <w:t>a</w:t>
      </w:r>
      <w:r w:rsidR="00DF67E3">
        <w:rPr>
          <w:szCs w:val="24"/>
          <w:lang w:val="es-ES"/>
        </w:rPr>
        <w:t>rá</w:t>
      </w:r>
      <w:r>
        <w:rPr>
          <w:szCs w:val="24"/>
          <w:lang w:val="es-ES"/>
        </w:rPr>
        <w:t xml:space="preserve"> únicamente por la legislación que regula sus</w:t>
      </w:r>
      <w:r w:rsidR="005466A4">
        <w:rPr>
          <w:szCs w:val="24"/>
          <w:lang w:val="es-ES"/>
        </w:rPr>
        <w:t xml:space="preserve"> </w:t>
      </w:r>
      <w:r>
        <w:rPr>
          <w:szCs w:val="24"/>
          <w:lang w:val="es-ES"/>
        </w:rPr>
        <w:t>actividades, otras disposiciones leg</w:t>
      </w:r>
      <w:r w:rsidR="00DF67E3">
        <w:rPr>
          <w:szCs w:val="24"/>
          <w:lang w:val="es-ES"/>
        </w:rPr>
        <w:t>ales</w:t>
      </w:r>
      <w:r w:rsidR="007610AF">
        <w:rPr>
          <w:szCs w:val="24"/>
          <w:lang w:val="es-ES"/>
        </w:rPr>
        <w:t xml:space="preserve"> y los dictados de su</w:t>
      </w:r>
      <w:r>
        <w:rPr>
          <w:szCs w:val="24"/>
          <w:lang w:val="es-ES"/>
        </w:rPr>
        <w:t xml:space="preserve"> conciencia. El Canciller de Justicia no </w:t>
      </w:r>
      <w:r w:rsidR="00DF67E3">
        <w:rPr>
          <w:szCs w:val="24"/>
          <w:lang w:val="es-ES"/>
        </w:rPr>
        <w:t xml:space="preserve">está subordinado a </w:t>
      </w:r>
      <w:r>
        <w:rPr>
          <w:szCs w:val="24"/>
          <w:lang w:val="es-ES"/>
        </w:rPr>
        <w:t>ningún funcionario o autoridad del Estado.</w:t>
      </w:r>
    </w:p>
    <w:p w:rsidR="00B32C2C" w:rsidRPr="00B32C2C" w:rsidRDefault="00B32C2C" w:rsidP="00637350">
      <w:pPr>
        <w:pStyle w:val="SingleTxtG"/>
        <w:rPr>
          <w:szCs w:val="24"/>
          <w:lang w:val="es-ES"/>
        </w:rPr>
      </w:pPr>
      <w:r>
        <w:rPr>
          <w:szCs w:val="24"/>
          <w:lang w:val="es-ES"/>
        </w:rPr>
        <w:t>47.</w:t>
      </w:r>
      <w:r w:rsidR="007610AF">
        <w:rPr>
          <w:szCs w:val="24"/>
          <w:lang w:val="es-ES"/>
        </w:rPr>
        <w:tab/>
        <w:t>Varias garantías jurídicas</w:t>
      </w:r>
      <w:r>
        <w:rPr>
          <w:szCs w:val="24"/>
          <w:lang w:val="es-ES"/>
        </w:rPr>
        <w:t xml:space="preserve"> aseguran la independencia del Canciller de Justicia, entre ellas la prohibición de ostentar </w:t>
      </w:r>
      <w:r w:rsidR="00DF67E3">
        <w:rPr>
          <w:szCs w:val="24"/>
          <w:lang w:val="es-ES"/>
        </w:rPr>
        <w:t xml:space="preserve">cualquier </w:t>
      </w:r>
      <w:r w:rsidR="000A6690">
        <w:rPr>
          <w:szCs w:val="24"/>
          <w:lang w:val="es-ES"/>
        </w:rPr>
        <w:t xml:space="preserve">otro cargo como </w:t>
      </w:r>
      <w:r>
        <w:rPr>
          <w:szCs w:val="24"/>
          <w:lang w:val="es-ES"/>
        </w:rPr>
        <w:t>funcionario estatal o local</w:t>
      </w:r>
      <w:r w:rsidR="007610AF">
        <w:rPr>
          <w:szCs w:val="24"/>
          <w:lang w:val="es-ES"/>
        </w:rPr>
        <w:t xml:space="preserve"> </w:t>
      </w:r>
      <w:r w:rsidR="00DF67E3">
        <w:rPr>
          <w:szCs w:val="24"/>
          <w:lang w:val="es-ES"/>
        </w:rPr>
        <w:t xml:space="preserve">o </w:t>
      </w:r>
      <w:r>
        <w:rPr>
          <w:szCs w:val="24"/>
          <w:lang w:val="es-ES"/>
        </w:rPr>
        <w:t xml:space="preserve">persona jurídica </w:t>
      </w:r>
      <w:r w:rsidR="00DF67E3">
        <w:rPr>
          <w:szCs w:val="24"/>
          <w:lang w:val="es-ES"/>
        </w:rPr>
        <w:t>d</w:t>
      </w:r>
      <w:r>
        <w:rPr>
          <w:szCs w:val="24"/>
          <w:lang w:val="es-ES"/>
        </w:rPr>
        <w:t xml:space="preserve">e derecho público durante </w:t>
      </w:r>
      <w:r w:rsidR="00DF67E3">
        <w:rPr>
          <w:szCs w:val="24"/>
          <w:lang w:val="es-ES"/>
        </w:rPr>
        <w:t xml:space="preserve">su mandato </w:t>
      </w:r>
      <w:r w:rsidR="007610AF">
        <w:rPr>
          <w:szCs w:val="24"/>
          <w:lang w:val="es-ES"/>
        </w:rPr>
        <w:t>como Canciller. Se le prohíbe también</w:t>
      </w:r>
      <w:r>
        <w:rPr>
          <w:szCs w:val="24"/>
          <w:lang w:val="es-ES"/>
        </w:rPr>
        <w:t xml:space="preserve"> participar en las actividades de partidos políticos</w:t>
      </w:r>
      <w:r w:rsidR="007610AF">
        <w:rPr>
          <w:szCs w:val="24"/>
          <w:lang w:val="es-ES"/>
        </w:rPr>
        <w:t xml:space="preserve"> o</w:t>
      </w:r>
      <w:r>
        <w:rPr>
          <w:szCs w:val="24"/>
          <w:lang w:val="es-ES"/>
        </w:rPr>
        <w:t xml:space="preserve"> pertenecer al con</w:t>
      </w:r>
      <w:r w:rsidR="007610AF">
        <w:rPr>
          <w:szCs w:val="24"/>
          <w:lang w:val="es-ES"/>
        </w:rPr>
        <w:t xml:space="preserve">sejo de administración, </w:t>
      </w:r>
      <w:r>
        <w:rPr>
          <w:szCs w:val="24"/>
          <w:lang w:val="es-ES"/>
        </w:rPr>
        <w:t xml:space="preserve">la junta directiva o el </w:t>
      </w:r>
      <w:r w:rsidR="00A04E4A">
        <w:rPr>
          <w:szCs w:val="24"/>
          <w:lang w:val="es-ES"/>
        </w:rPr>
        <w:t xml:space="preserve">órgano de supervisión </w:t>
      </w:r>
      <w:r w:rsidR="007610AF">
        <w:rPr>
          <w:szCs w:val="24"/>
          <w:lang w:val="es-ES"/>
        </w:rPr>
        <w:t>de las empresas</w:t>
      </w:r>
      <w:r>
        <w:rPr>
          <w:szCs w:val="24"/>
          <w:lang w:val="es-ES"/>
        </w:rPr>
        <w:t xml:space="preserve"> </w:t>
      </w:r>
      <w:r w:rsidR="007610AF">
        <w:rPr>
          <w:szCs w:val="24"/>
          <w:lang w:val="es-ES"/>
        </w:rPr>
        <w:t>y</w:t>
      </w:r>
      <w:r w:rsidR="00A04E4A">
        <w:rPr>
          <w:szCs w:val="24"/>
          <w:lang w:val="es-ES"/>
        </w:rPr>
        <w:t xml:space="preserve"> </w:t>
      </w:r>
      <w:r w:rsidR="007610AF">
        <w:rPr>
          <w:szCs w:val="24"/>
          <w:lang w:val="es-ES"/>
        </w:rPr>
        <w:t>participar en ellas</w:t>
      </w:r>
      <w:r>
        <w:rPr>
          <w:szCs w:val="24"/>
          <w:lang w:val="es-ES"/>
        </w:rPr>
        <w:t xml:space="preserve">. En </w:t>
      </w:r>
      <w:r w:rsidR="00A04E4A">
        <w:rPr>
          <w:szCs w:val="24"/>
          <w:lang w:val="es-ES"/>
        </w:rPr>
        <w:t xml:space="preserve">relación con </w:t>
      </w:r>
      <w:r>
        <w:rPr>
          <w:szCs w:val="24"/>
          <w:lang w:val="es-ES"/>
        </w:rPr>
        <w:t xml:space="preserve">sus actividades, el Canciller de Justicia es independiente de </w:t>
      </w:r>
      <w:r w:rsidR="00A04E4A">
        <w:rPr>
          <w:szCs w:val="24"/>
          <w:lang w:val="es-ES"/>
        </w:rPr>
        <w:t>los demás ó</w:t>
      </w:r>
      <w:r>
        <w:rPr>
          <w:szCs w:val="24"/>
          <w:lang w:val="es-ES"/>
        </w:rPr>
        <w:t>rgan</w:t>
      </w:r>
      <w:r w:rsidR="00A04E4A">
        <w:rPr>
          <w:szCs w:val="24"/>
          <w:lang w:val="es-ES"/>
        </w:rPr>
        <w:t>os</w:t>
      </w:r>
      <w:r>
        <w:rPr>
          <w:szCs w:val="24"/>
          <w:lang w:val="es-ES"/>
        </w:rPr>
        <w:t xml:space="preserve"> que ejercen la autoridad del Estado.</w:t>
      </w:r>
    </w:p>
    <w:p w:rsidR="001B7324" w:rsidRPr="001B7324" w:rsidRDefault="001B7324" w:rsidP="00637350">
      <w:pPr>
        <w:pStyle w:val="SingleTxtG"/>
        <w:rPr>
          <w:szCs w:val="24"/>
          <w:lang w:val="es-ES"/>
        </w:rPr>
      </w:pPr>
      <w:r>
        <w:rPr>
          <w:szCs w:val="24"/>
          <w:lang w:val="es-ES"/>
        </w:rPr>
        <w:t>48.</w:t>
      </w:r>
      <w:r>
        <w:rPr>
          <w:szCs w:val="24"/>
          <w:lang w:val="es-ES"/>
        </w:rPr>
        <w:tab/>
        <w:t>El Canciller de Justicia de Estonia se ha convertido en un cargo reconocido y respetado</w:t>
      </w:r>
      <w:r w:rsidR="00A04E4A">
        <w:rPr>
          <w:szCs w:val="24"/>
          <w:lang w:val="es-ES"/>
        </w:rPr>
        <w:t>, y la población, los políticos y los funcionarios</w:t>
      </w:r>
      <w:r>
        <w:rPr>
          <w:szCs w:val="24"/>
          <w:lang w:val="es-ES"/>
        </w:rPr>
        <w:t xml:space="preserve"> t</w:t>
      </w:r>
      <w:r w:rsidR="00A04E4A">
        <w:rPr>
          <w:szCs w:val="24"/>
          <w:lang w:val="es-ES"/>
        </w:rPr>
        <w:t>ienen</w:t>
      </w:r>
      <w:r>
        <w:rPr>
          <w:szCs w:val="24"/>
          <w:lang w:val="es-ES"/>
        </w:rPr>
        <w:t xml:space="preserve"> </w:t>
      </w:r>
      <w:r w:rsidR="00A04E4A">
        <w:rPr>
          <w:szCs w:val="24"/>
          <w:lang w:val="es-ES"/>
        </w:rPr>
        <w:t xml:space="preserve">igualmente </w:t>
      </w:r>
      <w:r>
        <w:rPr>
          <w:szCs w:val="24"/>
          <w:lang w:val="es-ES"/>
        </w:rPr>
        <w:t xml:space="preserve">en cuenta </w:t>
      </w:r>
      <w:r w:rsidR="00A04E4A">
        <w:rPr>
          <w:szCs w:val="24"/>
          <w:lang w:val="es-ES"/>
        </w:rPr>
        <w:t>sus opiniones.</w:t>
      </w:r>
      <w:r>
        <w:rPr>
          <w:szCs w:val="24"/>
          <w:lang w:val="es-ES"/>
        </w:rPr>
        <w:t xml:space="preserve"> En </w:t>
      </w:r>
      <w:r w:rsidR="007610AF">
        <w:rPr>
          <w:szCs w:val="24"/>
          <w:lang w:val="es-ES"/>
        </w:rPr>
        <w:t xml:space="preserve">el contexto de </w:t>
      </w:r>
      <w:r>
        <w:rPr>
          <w:szCs w:val="24"/>
          <w:lang w:val="es-ES"/>
        </w:rPr>
        <w:t xml:space="preserve">sus investigaciones, el Canciller ha </w:t>
      </w:r>
      <w:r w:rsidR="00A04E4A">
        <w:rPr>
          <w:szCs w:val="24"/>
          <w:lang w:val="es-ES"/>
        </w:rPr>
        <w:t>constatado</w:t>
      </w:r>
      <w:r>
        <w:rPr>
          <w:szCs w:val="24"/>
          <w:lang w:val="es-ES"/>
        </w:rPr>
        <w:t xml:space="preserve"> </w:t>
      </w:r>
      <w:r w:rsidR="00A04E4A">
        <w:rPr>
          <w:szCs w:val="24"/>
          <w:lang w:val="es-ES"/>
        </w:rPr>
        <w:t xml:space="preserve">en </w:t>
      </w:r>
      <w:r>
        <w:rPr>
          <w:szCs w:val="24"/>
          <w:lang w:val="es-ES"/>
        </w:rPr>
        <w:t>reiterada</w:t>
      </w:r>
      <w:r w:rsidR="00A04E4A">
        <w:rPr>
          <w:szCs w:val="24"/>
          <w:lang w:val="es-ES"/>
        </w:rPr>
        <w:t>s ocasiones</w:t>
      </w:r>
      <w:r>
        <w:rPr>
          <w:szCs w:val="24"/>
          <w:lang w:val="es-ES"/>
        </w:rPr>
        <w:t xml:space="preserve"> que las actividades del</w:t>
      </w:r>
      <w:r w:rsidR="007610AF">
        <w:rPr>
          <w:szCs w:val="24"/>
          <w:lang w:val="es-ES"/>
        </w:rPr>
        <w:t xml:space="preserve"> Estado han</w:t>
      </w:r>
      <w:r>
        <w:rPr>
          <w:szCs w:val="24"/>
          <w:lang w:val="es-ES"/>
        </w:rPr>
        <w:t xml:space="preserve"> con</w:t>
      </w:r>
      <w:r w:rsidR="007610AF">
        <w:rPr>
          <w:szCs w:val="24"/>
          <w:lang w:val="es-ES"/>
        </w:rPr>
        <w:t>travenido</w:t>
      </w:r>
      <w:r>
        <w:rPr>
          <w:szCs w:val="24"/>
          <w:lang w:val="es-ES"/>
        </w:rPr>
        <w:t xml:space="preserve"> </w:t>
      </w:r>
      <w:smartTag w:uri="urn:schemas-microsoft-com:office:smarttags" w:element="PersonName">
        <w:smartTagPr>
          <w:attr w:name="ProductID" w:val="la Constituci￳n"/>
        </w:smartTagPr>
        <w:r>
          <w:rPr>
            <w:szCs w:val="24"/>
            <w:lang w:val="es-ES"/>
          </w:rPr>
          <w:t>la Constitución</w:t>
        </w:r>
      </w:smartTag>
      <w:r>
        <w:rPr>
          <w:szCs w:val="24"/>
          <w:lang w:val="es-ES"/>
        </w:rPr>
        <w:t xml:space="preserve"> o una </w:t>
      </w:r>
      <w:r w:rsidR="00A04E4A">
        <w:rPr>
          <w:szCs w:val="24"/>
          <w:lang w:val="es-ES"/>
        </w:rPr>
        <w:t>l</w:t>
      </w:r>
      <w:r>
        <w:rPr>
          <w:szCs w:val="24"/>
          <w:lang w:val="es-ES"/>
        </w:rPr>
        <w:t>ey</w:t>
      </w:r>
      <w:r w:rsidR="00A04E4A">
        <w:rPr>
          <w:szCs w:val="24"/>
          <w:lang w:val="es-ES"/>
        </w:rPr>
        <w:t xml:space="preserve"> determinada</w:t>
      </w:r>
      <w:r w:rsidR="007610AF">
        <w:rPr>
          <w:szCs w:val="24"/>
          <w:lang w:val="es-ES"/>
        </w:rPr>
        <w:t>, o</w:t>
      </w:r>
      <w:r w:rsidR="00A04E4A">
        <w:rPr>
          <w:szCs w:val="24"/>
          <w:lang w:val="es-ES"/>
        </w:rPr>
        <w:t xml:space="preserve"> </w:t>
      </w:r>
      <w:r>
        <w:rPr>
          <w:szCs w:val="24"/>
          <w:lang w:val="es-ES"/>
        </w:rPr>
        <w:t xml:space="preserve">los derechos de los solicitantes. En la mayoría de los casos, las autoridades públicas cumplen de inmediato las recomendaciones y propuestas del Canciller sin oposición </w:t>
      </w:r>
      <w:r w:rsidR="00A04E4A">
        <w:rPr>
          <w:szCs w:val="24"/>
          <w:lang w:val="es-ES"/>
        </w:rPr>
        <w:t>alguna</w:t>
      </w:r>
      <w:r>
        <w:rPr>
          <w:szCs w:val="24"/>
          <w:lang w:val="es-ES"/>
        </w:rPr>
        <w:t>.</w:t>
      </w:r>
    </w:p>
    <w:p w:rsidR="001B7324" w:rsidRPr="001B7324" w:rsidRDefault="001B7324" w:rsidP="00637350">
      <w:pPr>
        <w:pStyle w:val="SingleTxtG"/>
        <w:rPr>
          <w:szCs w:val="24"/>
          <w:lang w:val="es-ES"/>
        </w:rPr>
      </w:pPr>
      <w:r>
        <w:rPr>
          <w:szCs w:val="24"/>
          <w:lang w:val="es-ES"/>
        </w:rPr>
        <w:t>49.</w:t>
      </w:r>
      <w:r>
        <w:rPr>
          <w:szCs w:val="24"/>
          <w:lang w:val="es-ES"/>
        </w:rPr>
        <w:tab/>
        <w:t xml:space="preserve">El Canciller de Justicia </w:t>
      </w:r>
      <w:r w:rsidR="001D74D8">
        <w:rPr>
          <w:szCs w:val="24"/>
          <w:lang w:val="es-ES"/>
        </w:rPr>
        <w:t xml:space="preserve">goza </w:t>
      </w:r>
      <w:r>
        <w:rPr>
          <w:szCs w:val="24"/>
          <w:lang w:val="es-ES"/>
        </w:rPr>
        <w:t>de la confianza de un</w:t>
      </w:r>
      <w:r w:rsidR="001D74D8">
        <w:rPr>
          <w:szCs w:val="24"/>
          <w:lang w:val="es-ES"/>
        </w:rPr>
        <w:t xml:space="preserve">a </w:t>
      </w:r>
      <w:r>
        <w:rPr>
          <w:szCs w:val="24"/>
          <w:lang w:val="es-ES"/>
        </w:rPr>
        <w:t>ampli</w:t>
      </w:r>
      <w:r w:rsidR="001D74D8">
        <w:rPr>
          <w:szCs w:val="24"/>
          <w:lang w:val="es-ES"/>
        </w:rPr>
        <w:t>a</w:t>
      </w:r>
      <w:r>
        <w:rPr>
          <w:szCs w:val="24"/>
          <w:lang w:val="es-ES"/>
        </w:rPr>
        <w:t xml:space="preserve"> </w:t>
      </w:r>
      <w:r w:rsidR="001D74D8">
        <w:rPr>
          <w:szCs w:val="24"/>
          <w:lang w:val="es-ES"/>
        </w:rPr>
        <w:t xml:space="preserve">mayoría </w:t>
      </w:r>
      <w:r>
        <w:rPr>
          <w:szCs w:val="24"/>
          <w:lang w:val="es-ES"/>
        </w:rPr>
        <w:t>de la población. En los últimos años, el índice de confianza en el Canciller de Ju</w:t>
      </w:r>
      <w:r w:rsidR="007610AF">
        <w:rPr>
          <w:szCs w:val="24"/>
          <w:lang w:val="es-ES"/>
        </w:rPr>
        <w:t>sticia se ha mantenido estable (</w:t>
      </w:r>
      <w:r>
        <w:rPr>
          <w:szCs w:val="24"/>
          <w:lang w:val="es-ES"/>
        </w:rPr>
        <w:t>68-73% de la población</w:t>
      </w:r>
      <w:r w:rsidR="009B184B">
        <w:rPr>
          <w:szCs w:val="24"/>
          <w:lang w:val="es-ES"/>
        </w:rPr>
        <w:t>)</w:t>
      </w:r>
      <w:r>
        <w:rPr>
          <w:szCs w:val="24"/>
          <w:lang w:val="es-ES"/>
        </w:rPr>
        <w:t>.</w:t>
      </w:r>
    </w:p>
    <w:p w:rsidR="00F11251" w:rsidRDefault="00F11251" w:rsidP="00637350">
      <w:pPr>
        <w:pStyle w:val="SingleTxtG"/>
        <w:rPr>
          <w:szCs w:val="24"/>
          <w:lang w:val="es-ES"/>
        </w:rPr>
      </w:pPr>
      <w:r>
        <w:rPr>
          <w:szCs w:val="24"/>
          <w:lang w:val="es-ES"/>
        </w:rPr>
        <w:t>50.</w:t>
      </w:r>
      <w:r>
        <w:rPr>
          <w:szCs w:val="24"/>
          <w:lang w:val="es-ES"/>
        </w:rPr>
        <w:tab/>
        <w:t xml:space="preserve">En sus aportaciones al presente informe, </w:t>
      </w:r>
      <w:smartTag w:uri="urn:schemas-microsoft-com:office:smarttags" w:element="PersonName">
        <w:smartTagPr>
          <w:attr w:name="ProductID" w:val="la ONG Centro"/>
        </w:smartTagPr>
        <w:r>
          <w:rPr>
            <w:szCs w:val="24"/>
            <w:lang w:val="es-ES"/>
          </w:rPr>
          <w:t>la ONG Centro</w:t>
        </w:r>
      </w:smartTag>
      <w:r>
        <w:rPr>
          <w:szCs w:val="24"/>
          <w:lang w:val="es-ES"/>
        </w:rPr>
        <w:t xml:space="preserve"> de Derechos Humanos ha expresado sus críticas en el sentido de que la institución del Canciller de Justicia, en sus capacidades actuales, no puede considerarse </w:t>
      </w:r>
      <w:r w:rsidR="001D74D8">
        <w:rPr>
          <w:szCs w:val="24"/>
          <w:lang w:val="es-ES"/>
        </w:rPr>
        <w:t xml:space="preserve">una </w:t>
      </w:r>
      <w:r>
        <w:rPr>
          <w:szCs w:val="24"/>
          <w:lang w:val="es-ES"/>
        </w:rPr>
        <w:t>institución nacional de derechos humanos. Según el Centro de Derechos Humanos, la institución del Canciller de Justicia no cumple los requisitos de una institución nacional de derechos humanos en lo que respecta a su composición y mandato. Al mismo tiempo, el Centro de Derechos Humanos considera favorablemente al Canciller de Justicia como protector de los derechos humanos en su ca</w:t>
      </w:r>
      <w:r w:rsidR="009B184B">
        <w:rPr>
          <w:szCs w:val="24"/>
          <w:lang w:val="es-ES"/>
        </w:rPr>
        <w:t>lidad de defensor del niño y habida cuenta de</w:t>
      </w:r>
      <w:r>
        <w:rPr>
          <w:szCs w:val="24"/>
          <w:lang w:val="es-ES"/>
        </w:rPr>
        <w:t xml:space="preserve"> sus </w:t>
      </w:r>
      <w:r w:rsidR="00C20645">
        <w:rPr>
          <w:szCs w:val="24"/>
          <w:lang w:val="es-ES"/>
        </w:rPr>
        <w:t xml:space="preserve">observaciones </w:t>
      </w:r>
      <w:r>
        <w:rPr>
          <w:szCs w:val="24"/>
          <w:lang w:val="es-ES"/>
        </w:rPr>
        <w:t xml:space="preserve">en los medios de comunicación y el Parlamento, así como sus actividades de prevención del maltrato y otras </w:t>
      </w:r>
      <w:r w:rsidR="00C20645">
        <w:rPr>
          <w:szCs w:val="24"/>
          <w:lang w:val="es-ES"/>
        </w:rPr>
        <w:t xml:space="preserve">actividades </w:t>
      </w:r>
      <w:r>
        <w:rPr>
          <w:szCs w:val="24"/>
          <w:lang w:val="es-ES"/>
        </w:rPr>
        <w:t xml:space="preserve">similares. El Centro de Derechos Humanos ha recomendado al Estado que analice detenidamente la posibilidad de remodelar la institución del Canciller de Justicia para transformarla en una institución nacional de derechos humanos con arreglo a los Principios de París y, si eso no fuera posible, </w:t>
      </w:r>
      <w:r w:rsidR="00583F6B">
        <w:rPr>
          <w:szCs w:val="24"/>
          <w:lang w:val="es-ES"/>
        </w:rPr>
        <w:t xml:space="preserve">establecer </w:t>
      </w:r>
      <w:r>
        <w:rPr>
          <w:szCs w:val="24"/>
          <w:lang w:val="es-ES"/>
        </w:rPr>
        <w:t>la institución correspondiente.</w:t>
      </w:r>
    </w:p>
    <w:p w:rsidR="00F11251" w:rsidRPr="00E4337B" w:rsidRDefault="00F11251" w:rsidP="00637350">
      <w:pPr>
        <w:pStyle w:val="H23G"/>
        <w:rPr>
          <w:lang w:val="es-ES"/>
        </w:rPr>
      </w:pPr>
      <w:r>
        <w:rPr>
          <w:lang w:val="es-ES"/>
        </w:rPr>
        <w:tab/>
      </w:r>
      <w:r>
        <w:rPr>
          <w:lang w:val="es-ES"/>
        </w:rPr>
        <w:tab/>
      </w:r>
      <w:r w:rsidR="009B184B">
        <w:rPr>
          <w:lang w:val="es-ES"/>
        </w:rPr>
        <w:t>Plan de I</w:t>
      </w:r>
      <w:r w:rsidR="00E4337B" w:rsidRPr="00E4337B">
        <w:rPr>
          <w:lang w:val="es-ES"/>
        </w:rPr>
        <w:t>ntegración de Estonia</w:t>
      </w:r>
      <w:r w:rsidRPr="00E4337B">
        <w:rPr>
          <w:lang w:val="es-ES"/>
        </w:rPr>
        <w:t xml:space="preserve"> (2008</w:t>
      </w:r>
      <w:r w:rsidR="00660903">
        <w:rPr>
          <w:lang w:val="es-ES"/>
        </w:rPr>
        <w:t>-</w:t>
      </w:r>
      <w:r w:rsidRPr="00E4337B">
        <w:rPr>
          <w:lang w:val="es-ES"/>
        </w:rPr>
        <w:t>2013)</w:t>
      </w:r>
    </w:p>
    <w:p w:rsidR="00E4337B" w:rsidRPr="00E4337B" w:rsidRDefault="00E4337B" w:rsidP="00637350">
      <w:pPr>
        <w:pStyle w:val="SingleTxtG"/>
        <w:rPr>
          <w:szCs w:val="24"/>
          <w:lang w:val="es-ES"/>
        </w:rPr>
      </w:pPr>
      <w:r>
        <w:rPr>
          <w:szCs w:val="24"/>
          <w:lang w:val="es-ES"/>
        </w:rPr>
        <w:t>51.</w:t>
      </w:r>
      <w:r>
        <w:rPr>
          <w:szCs w:val="24"/>
          <w:lang w:val="es-ES"/>
        </w:rPr>
        <w:tab/>
        <w:t>En el censo de 2011, 889.770 personas se identificaron como estonios (el 68,7% de los encuestados) y 321</w:t>
      </w:r>
      <w:r w:rsidR="00B968C3">
        <w:rPr>
          <w:szCs w:val="24"/>
          <w:lang w:val="es-ES"/>
        </w:rPr>
        <w:t>.</w:t>
      </w:r>
      <w:r>
        <w:rPr>
          <w:szCs w:val="24"/>
          <w:lang w:val="es-ES"/>
        </w:rPr>
        <w:t xml:space="preserve">198 personas (24,8%) como rusos. 63.924 personas declararon otras nacionalidades, </w:t>
      </w:r>
      <w:r w:rsidR="00DB3AC6">
        <w:rPr>
          <w:szCs w:val="24"/>
          <w:lang w:val="es-ES"/>
        </w:rPr>
        <w:t>y</w:t>
      </w:r>
      <w:r>
        <w:rPr>
          <w:szCs w:val="24"/>
          <w:lang w:val="es-ES"/>
        </w:rPr>
        <w:t xml:space="preserve"> </w:t>
      </w:r>
      <w:r w:rsidR="00DB3AC6">
        <w:rPr>
          <w:szCs w:val="24"/>
          <w:lang w:val="es-ES"/>
        </w:rPr>
        <w:t xml:space="preserve">se desconoce </w:t>
      </w:r>
      <w:r>
        <w:rPr>
          <w:szCs w:val="24"/>
          <w:lang w:val="es-ES"/>
        </w:rPr>
        <w:t>el origen nacional de 19.344 p</w:t>
      </w:r>
      <w:r w:rsidR="00DB3AC6">
        <w:rPr>
          <w:szCs w:val="24"/>
          <w:lang w:val="es-ES"/>
        </w:rPr>
        <w:t>ersonas que figuran en el censo</w:t>
      </w:r>
      <w:r>
        <w:rPr>
          <w:szCs w:val="24"/>
          <w:lang w:val="es-ES"/>
        </w:rPr>
        <w:t xml:space="preserve">. En comparación con los datos de </w:t>
      </w:r>
      <w:r w:rsidR="00DB3AC6">
        <w:rPr>
          <w:szCs w:val="24"/>
          <w:lang w:val="es-ES"/>
        </w:rPr>
        <w:t xml:space="preserve">los </w:t>
      </w:r>
      <w:r>
        <w:rPr>
          <w:szCs w:val="24"/>
          <w:lang w:val="es-ES"/>
        </w:rPr>
        <w:t>censos anteriores, l</w:t>
      </w:r>
      <w:r w:rsidR="00B968C3">
        <w:rPr>
          <w:szCs w:val="24"/>
          <w:lang w:val="es-ES"/>
        </w:rPr>
        <w:t>a</w:t>
      </w:r>
      <w:r>
        <w:rPr>
          <w:szCs w:val="24"/>
          <w:lang w:val="es-ES"/>
        </w:rPr>
        <w:t xml:space="preserve"> p</w:t>
      </w:r>
      <w:r w:rsidR="00B968C3">
        <w:rPr>
          <w:szCs w:val="24"/>
          <w:lang w:val="es-ES"/>
        </w:rPr>
        <w:t>roporción</w:t>
      </w:r>
      <w:r>
        <w:rPr>
          <w:szCs w:val="24"/>
          <w:lang w:val="es-ES"/>
        </w:rPr>
        <w:t xml:space="preserve"> de estonios entre la población se ha incrementado</w:t>
      </w:r>
      <w:r w:rsidR="00B968C3">
        <w:rPr>
          <w:szCs w:val="24"/>
          <w:lang w:val="es-ES"/>
        </w:rPr>
        <w:t>,</w:t>
      </w:r>
      <w:r>
        <w:rPr>
          <w:szCs w:val="24"/>
          <w:lang w:val="es-ES"/>
        </w:rPr>
        <w:t xml:space="preserve"> y l</w:t>
      </w:r>
      <w:r w:rsidR="00B968C3">
        <w:rPr>
          <w:szCs w:val="24"/>
          <w:lang w:val="es-ES"/>
        </w:rPr>
        <w:t>a</w:t>
      </w:r>
      <w:r>
        <w:rPr>
          <w:szCs w:val="24"/>
          <w:lang w:val="es-ES"/>
        </w:rPr>
        <w:t xml:space="preserve"> de los rusos ha disminuido en m</w:t>
      </w:r>
      <w:r w:rsidR="00B968C3">
        <w:rPr>
          <w:szCs w:val="24"/>
          <w:lang w:val="es-ES"/>
        </w:rPr>
        <w:t>enos</w:t>
      </w:r>
      <w:r>
        <w:rPr>
          <w:szCs w:val="24"/>
          <w:lang w:val="es-ES"/>
        </w:rPr>
        <w:t xml:space="preserve"> de un punto porcentual. Según el </w:t>
      </w:r>
      <w:r w:rsidR="00DB3AC6">
        <w:rPr>
          <w:szCs w:val="24"/>
          <w:lang w:val="es-ES"/>
        </w:rPr>
        <w:t>último</w:t>
      </w:r>
      <w:r>
        <w:rPr>
          <w:szCs w:val="24"/>
          <w:lang w:val="es-ES"/>
        </w:rPr>
        <w:t xml:space="preserve"> censo, hay 1.294.236 residentes permanentes en Estonia.</w:t>
      </w:r>
    </w:p>
    <w:p w:rsidR="009A1649" w:rsidRPr="009A1649" w:rsidRDefault="009A1649" w:rsidP="00637350">
      <w:pPr>
        <w:pStyle w:val="SingleTxtG"/>
        <w:rPr>
          <w:szCs w:val="24"/>
          <w:lang w:val="es-ES"/>
        </w:rPr>
      </w:pPr>
      <w:r>
        <w:rPr>
          <w:szCs w:val="24"/>
          <w:lang w:val="es-ES"/>
        </w:rPr>
        <w:t>52.</w:t>
      </w:r>
      <w:r>
        <w:rPr>
          <w:szCs w:val="24"/>
          <w:lang w:val="es-ES"/>
        </w:rPr>
        <w:tab/>
        <w:t xml:space="preserve">La integración de los extranjeros en la sociedad </w:t>
      </w:r>
      <w:r w:rsidR="00DB3AC6">
        <w:rPr>
          <w:szCs w:val="24"/>
          <w:lang w:val="es-ES"/>
        </w:rPr>
        <w:t>estonia</w:t>
      </w:r>
      <w:r>
        <w:rPr>
          <w:szCs w:val="24"/>
          <w:lang w:val="es-ES"/>
        </w:rPr>
        <w:t xml:space="preserve"> se considera un asunto de i</w:t>
      </w:r>
      <w:r w:rsidR="00B968C3">
        <w:rPr>
          <w:szCs w:val="24"/>
          <w:lang w:val="es-ES"/>
        </w:rPr>
        <w:t>nterés</w:t>
      </w:r>
      <w:r>
        <w:rPr>
          <w:szCs w:val="24"/>
          <w:lang w:val="es-ES"/>
        </w:rPr>
        <w:t xml:space="preserve"> nacional. La integración </w:t>
      </w:r>
      <w:r w:rsidR="00DB3AC6">
        <w:rPr>
          <w:szCs w:val="24"/>
          <w:lang w:val="es-ES"/>
        </w:rPr>
        <w:t>en</w:t>
      </w:r>
      <w:r>
        <w:rPr>
          <w:szCs w:val="24"/>
          <w:lang w:val="es-ES"/>
        </w:rPr>
        <w:t xml:space="preserve"> la sociedad estonia es un proceso largo cuyo objetivo</w:t>
      </w:r>
      <w:r w:rsidR="00B968C3">
        <w:rPr>
          <w:szCs w:val="24"/>
          <w:lang w:val="es-ES"/>
        </w:rPr>
        <w:t>, en última instancia,</w:t>
      </w:r>
      <w:r>
        <w:rPr>
          <w:szCs w:val="24"/>
          <w:lang w:val="es-ES"/>
        </w:rPr>
        <w:t xml:space="preserve"> es </w:t>
      </w:r>
      <w:r w:rsidR="00B968C3">
        <w:rPr>
          <w:szCs w:val="24"/>
          <w:lang w:val="es-ES"/>
        </w:rPr>
        <w:t>lograr</w:t>
      </w:r>
      <w:r w:rsidR="00DB3AC6">
        <w:rPr>
          <w:szCs w:val="24"/>
          <w:lang w:val="es-ES"/>
        </w:rPr>
        <w:t xml:space="preserve"> </w:t>
      </w:r>
      <w:r>
        <w:rPr>
          <w:szCs w:val="24"/>
          <w:lang w:val="es-ES"/>
        </w:rPr>
        <w:t xml:space="preserve">una sociedad </w:t>
      </w:r>
      <w:r w:rsidR="00B968C3">
        <w:rPr>
          <w:szCs w:val="24"/>
          <w:lang w:val="es-ES"/>
        </w:rPr>
        <w:t xml:space="preserve">culturalmente </w:t>
      </w:r>
      <w:r>
        <w:rPr>
          <w:szCs w:val="24"/>
          <w:lang w:val="es-ES"/>
        </w:rPr>
        <w:t xml:space="preserve">diversa </w:t>
      </w:r>
      <w:r w:rsidR="00B968C3">
        <w:rPr>
          <w:szCs w:val="24"/>
          <w:lang w:val="es-ES"/>
        </w:rPr>
        <w:t xml:space="preserve">integrada </w:t>
      </w:r>
      <w:r>
        <w:rPr>
          <w:szCs w:val="24"/>
          <w:lang w:val="es-ES"/>
        </w:rPr>
        <w:t xml:space="preserve">por una población permanente </w:t>
      </w:r>
      <w:r w:rsidR="00B968C3">
        <w:rPr>
          <w:szCs w:val="24"/>
          <w:lang w:val="es-ES"/>
        </w:rPr>
        <w:t xml:space="preserve">que se </w:t>
      </w:r>
      <w:r>
        <w:rPr>
          <w:szCs w:val="24"/>
          <w:lang w:val="es-ES"/>
        </w:rPr>
        <w:t>identifi</w:t>
      </w:r>
      <w:r w:rsidR="00B968C3">
        <w:rPr>
          <w:szCs w:val="24"/>
          <w:lang w:val="es-ES"/>
        </w:rPr>
        <w:t>que</w:t>
      </w:r>
      <w:r>
        <w:rPr>
          <w:szCs w:val="24"/>
          <w:lang w:val="es-ES"/>
        </w:rPr>
        <w:t xml:space="preserve"> con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w:t>
      </w:r>
      <w:r w:rsidR="00B968C3">
        <w:rPr>
          <w:szCs w:val="24"/>
          <w:lang w:val="es-ES"/>
        </w:rPr>
        <w:t xml:space="preserve"> de manera sólida</w:t>
      </w:r>
      <w:r>
        <w:rPr>
          <w:szCs w:val="24"/>
          <w:lang w:val="es-ES"/>
        </w:rPr>
        <w:t>, comparta valores democráticos comunes y se comunique en estonio en la esfera pública, y en la que todo ciudadano pueda desarrollar sus posibilidades, sentirse seguro y participar en la vida económica, social, política y cultural. Desde 2000, el Gobierno de Estonia ha aprobado y ha puesto en marcha varios pr</w:t>
      </w:r>
      <w:r w:rsidR="009B184B">
        <w:rPr>
          <w:szCs w:val="24"/>
          <w:lang w:val="es-ES"/>
        </w:rPr>
        <w:t>ogramas de integración a tal efecto</w:t>
      </w:r>
      <w:r>
        <w:rPr>
          <w:szCs w:val="24"/>
          <w:lang w:val="es-ES"/>
        </w:rPr>
        <w:t>.</w:t>
      </w:r>
    </w:p>
    <w:p w:rsidR="003C67BD" w:rsidRPr="003C67BD" w:rsidRDefault="003C67BD" w:rsidP="00637350">
      <w:pPr>
        <w:pStyle w:val="SingleTxtG"/>
        <w:rPr>
          <w:szCs w:val="24"/>
          <w:lang w:val="es-ES"/>
        </w:rPr>
      </w:pPr>
      <w:r>
        <w:rPr>
          <w:szCs w:val="24"/>
          <w:lang w:val="es-ES"/>
        </w:rPr>
        <w:t>53.</w:t>
      </w:r>
      <w:r>
        <w:rPr>
          <w:szCs w:val="24"/>
          <w:lang w:val="es-ES"/>
        </w:rPr>
        <w:tab/>
        <w:t>En 2007, el entonces Ministro de Población y Asuntos Étnicos</w:t>
      </w:r>
      <w:r>
        <w:rPr>
          <w:rStyle w:val="FootnoteReference"/>
          <w:szCs w:val="24"/>
          <w:lang w:val="es-ES"/>
        </w:rPr>
        <w:footnoteReference w:id="14"/>
      </w:r>
      <w:r>
        <w:rPr>
          <w:szCs w:val="24"/>
          <w:lang w:val="es-ES"/>
        </w:rPr>
        <w:t xml:space="preserve">, en colaboración con la sociedad civil y </w:t>
      </w:r>
      <w:r w:rsidR="00207F8C">
        <w:rPr>
          <w:szCs w:val="24"/>
          <w:lang w:val="es-ES"/>
        </w:rPr>
        <w:t xml:space="preserve">varios </w:t>
      </w:r>
      <w:r>
        <w:rPr>
          <w:szCs w:val="24"/>
          <w:lang w:val="es-ES"/>
        </w:rPr>
        <w:t>expertos, elaboró el Plan de Integración para el período 2008</w:t>
      </w:r>
      <w:r w:rsidR="00660903">
        <w:rPr>
          <w:szCs w:val="24"/>
          <w:lang w:val="es-ES"/>
        </w:rPr>
        <w:noBreakHyphen/>
      </w:r>
      <w:r>
        <w:rPr>
          <w:szCs w:val="24"/>
          <w:lang w:val="es-ES"/>
        </w:rPr>
        <w:t>2013, aprobado por el Gobierno en 2008. Desde 1998,</w:t>
      </w:r>
      <w:r w:rsidR="009B184B">
        <w:rPr>
          <w:szCs w:val="24"/>
          <w:lang w:val="es-ES"/>
        </w:rPr>
        <w:t xml:space="preserve"> una fundación creada específicamen</w:t>
      </w:r>
      <w:r>
        <w:rPr>
          <w:szCs w:val="24"/>
          <w:lang w:val="es-ES"/>
        </w:rPr>
        <w:t xml:space="preserve">te a tal fin, actualmente denominada Fundación para </w:t>
      </w:r>
      <w:smartTag w:uri="urn:schemas-microsoft-com:office:smarttags" w:element="PersonName">
        <w:smartTagPr>
          <w:attr w:name="ProductID" w:val="la Integraci￳n"/>
        </w:smartTagPr>
        <w:r>
          <w:rPr>
            <w:szCs w:val="24"/>
            <w:lang w:val="es-ES"/>
          </w:rPr>
          <w:t>la Integración</w:t>
        </w:r>
      </w:smartTag>
      <w:r>
        <w:rPr>
          <w:szCs w:val="24"/>
          <w:lang w:val="es-ES"/>
        </w:rPr>
        <w:t xml:space="preserve"> y </w:t>
      </w:r>
      <w:smartTag w:uri="urn:schemas-microsoft-com:office:smarttags" w:element="PersonName">
        <w:smartTagPr>
          <w:attr w:name="ProductID" w:val="la Inmigraci￳n"/>
        </w:smartTagPr>
        <w:r>
          <w:rPr>
            <w:szCs w:val="24"/>
            <w:lang w:val="es-ES"/>
          </w:rPr>
          <w:t xml:space="preserve">la </w:t>
        </w:r>
        <w:r w:rsidR="00207F8C">
          <w:rPr>
            <w:szCs w:val="24"/>
            <w:lang w:val="es-ES"/>
          </w:rPr>
          <w:t>Inm</w:t>
        </w:r>
        <w:r>
          <w:rPr>
            <w:szCs w:val="24"/>
            <w:lang w:val="es-ES"/>
          </w:rPr>
          <w:t>igración</w:t>
        </w:r>
      </w:smartTag>
      <w:r>
        <w:rPr>
          <w:szCs w:val="24"/>
          <w:lang w:val="es-ES"/>
        </w:rPr>
        <w:t xml:space="preserve"> </w:t>
      </w:r>
      <w:r w:rsidR="002B491B">
        <w:rPr>
          <w:szCs w:val="24"/>
          <w:lang w:val="es-ES"/>
        </w:rPr>
        <w:t>"</w:t>
      </w:r>
      <w:r>
        <w:rPr>
          <w:szCs w:val="24"/>
          <w:lang w:val="es-ES"/>
        </w:rPr>
        <w:t>Nuestro Pueblo</w:t>
      </w:r>
      <w:r w:rsidR="002B491B">
        <w:rPr>
          <w:szCs w:val="24"/>
          <w:lang w:val="es-ES"/>
        </w:rPr>
        <w:t>"</w:t>
      </w:r>
      <w:r>
        <w:rPr>
          <w:szCs w:val="24"/>
          <w:lang w:val="es-ES"/>
        </w:rPr>
        <w:t xml:space="preserve"> (MISA)</w:t>
      </w:r>
      <w:r w:rsidR="009B184B">
        <w:rPr>
          <w:szCs w:val="24"/>
          <w:lang w:val="es-ES"/>
        </w:rPr>
        <w:t>, se ocupa de las cuestiones relativas a la integración</w:t>
      </w:r>
      <w:r>
        <w:rPr>
          <w:szCs w:val="24"/>
          <w:lang w:val="es-ES"/>
        </w:rPr>
        <w:t xml:space="preserve">. Desde junio de 2009, el Ministerio de Cultura es responsable de las políticas </w:t>
      </w:r>
      <w:r w:rsidR="00207F8C">
        <w:rPr>
          <w:szCs w:val="24"/>
          <w:lang w:val="es-ES"/>
        </w:rPr>
        <w:t>relativas a</w:t>
      </w:r>
      <w:r>
        <w:rPr>
          <w:szCs w:val="24"/>
          <w:lang w:val="es-ES"/>
        </w:rPr>
        <w:t xml:space="preserve"> las minorías nacionales y las cuestiones </w:t>
      </w:r>
      <w:r w:rsidR="00207F8C">
        <w:rPr>
          <w:szCs w:val="24"/>
          <w:lang w:val="es-ES"/>
        </w:rPr>
        <w:t>de</w:t>
      </w:r>
      <w:r>
        <w:rPr>
          <w:szCs w:val="24"/>
          <w:lang w:val="es-ES"/>
        </w:rPr>
        <w:t xml:space="preserve"> integración.</w:t>
      </w:r>
    </w:p>
    <w:p w:rsidR="00C67A39" w:rsidRPr="00C67A39" w:rsidRDefault="00C67A39" w:rsidP="00637350">
      <w:pPr>
        <w:pStyle w:val="SingleTxtG"/>
        <w:rPr>
          <w:szCs w:val="24"/>
          <w:lang w:val="es-ES"/>
        </w:rPr>
      </w:pPr>
      <w:r>
        <w:rPr>
          <w:szCs w:val="24"/>
          <w:lang w:val="es-ES"/>
        </w:rPr>
        <w:t>54.</w:t>
      </w:r>
      <w:r>
        <w:rPr>
          <w:szCs w:val="24"/>
          <w:lang w:val="es-ES"/>
        </w:rPr>
        <w:tab/>
      </w:r>
      <w:r w:rsidR="00207F8C">
        <w:rPr>
          <w:szCs w:val="24"/>
          <w:lang w:val="es-ES"/>
        </w:rPr>
        <w:t>El M</w:t>
      </w:r>
      <w:r>
        <w:rPr>
          <w:szCs w:val="24"/>
          <w:lang w:val="es-ES"/>
        </w:rPr>
        <w:t xml:space="preserve">inisterio de Cultura, </w:t>
      </w:r>
      <w:r w:rsidR="00207F8C">
        <w:rPr>
          <w:szCs w:val="24"/>
          <w:lang w:val="es-ES"/>
        </w:rPr>
        <w:t xml:space="preserve">el Ministerio de </w:t>
      </w:r>
      <w:r>
        <w:rPr>
          <w:szCs w:val="24"/>
          <w:lang w:val="es-ES"/>
        </w:rPr>
        <w:t xml:space="preserve">Educación e Investigación, </w:t>
      </w:r>
      <w:r w:rsidR="00207F8C">
        <w:rPr>
          <w:szCs w:val="24"/>
          <w:lang w:val="es-ES"/>
        </w:rPr>
        <w:t xml:space="preserve">el Ministerio de </w:t>
      </w:r>
      <w:r>
        <w:rPr>
          <w:szCs w:val="24"/>
          <w:lang w:val="es-ES"/>
        </w:rPr>
        <w:t xml:space="preserve">Asuntos Sociales, </w:t>
      </w:r>
      <w:r w:rsidR="00207F8C">
        <w:rPr>
          <w:szCs w:val="24"/>
          <w:lang w:val="es-ES"/>
        </w:rPr>
        <w:t xml:space="preserve">el Ministerio del </w:t>
      </w:r>
      <w:r>
        <w:rPr>
          <w:szCs w:val="24"/>
          <w:lang w:val="es-ES"/>
        </w:rPr>
        <w:t xml:space="preserve">Interior y </w:t>
      </w:r>
      <w:r w:rsidR="00207F8C">
        <w:rPr>
          <w:szCs w:val="24"/>
          <w:lang w:val="es-ES"/>
        </w:rPr>
        <w:t xml:space="preserve">el Ministerio de </w:t>
      </w:r>
      <w:r>
        <w:rPr>
          <w:szCs w:val="24"/>
          <w:lang w:val="es-ES"/>
        </w:rPr>
        <w:t xml:space="preserve">Relaciones Exteriores, así como </w:t>
      </w:r>
      <w:smartTag w:uri="urn:schemas-microsoft-com:office:smarttags" w:element="PersonName">
        <w:smartTagPr>
          <w:attr w:name="ProductID" w:val="la Canciller￭a"/>
        </w:smartTagPr>
        <w:r>
          <w:rPr>
            <w:szCs w:val="24"/>
            <w:lang w:val="es-ES"/>
          </w:rPr>
          <w:t>la Cancillería</w:t>
        </w:r>
      </w:smartTag>
      <w:r>
        <w:rPr>
          <w:szCs w:val="24"/>
          <w:lang w:val="es-ES"/>
        </w:rPr>
        <w:t xml:space="preserve"> de Estado, contribuyen en esa esfera. La gestión estratégica del plan de </w:t>
      </w:r>
      <w:r w:rsidR="00207F8C">
        <w:rPr>
          <w:szCs w:val="24"/>
          <w:lang w:val="es-ES"/>
        </w:rPr>
        <w:t>aplicac</w:t>
      </w:r>
      <w:r>
        <w:rPr>
          <w:szCs w:val="24"/>
          <w:lang w:val="es-ES"/>
        </w:rPr>
        <w:t>ión se lleva a cabo con la ayuda de dos órganos colegiados, a saber, el Comité Directivo</w:t>
      </w:r>
      <w:r>
        <w:rPr>
          <w:rStyle w:val="FootnoteReference"/>
          <w:szCs w:val="24"/>
          <w:lang w:val="es-ES"/>
        </w:rPr>
        <w:footnoteReference w:id="15"/>
      </w:r>
      <w:r>
        <w:rPr>
          <w:szCs w:val="24"/>
          <w:lang w:val="es-ES"/>
        </w:rPr>
        <w:t xml:space="preserve"> y el Grupo Directivo</w:t>
      </w:r>
      <w:r>
        <w:rPr>
          <w:rStyle w:val="FootnoteReference"/>
          <w:szCs w:val="24"/>
          <w:lang w:val="es-ES"/>
        </w:rPr>
        <w:footnoteReference w:id="16"/>
      </w:r>
      <w:r>
        <w:rPr>
          <w:szCs w:val="24"/>
          <w:lang w:val="es-ES"/>
        </w:rPr>
        <w:t xml:space="preserve"> del Plan de Integración. </w:t>
      </w:r>
      <w:r w:rsidR="00207F8C">
        <w:rPr>
          <w:szCs w:val="24"/>
          <w:lang w:val="es-ES"/>
        </w:rPr>
        <w:t>L</w:t>
      </w:r>
      <w:r>
        <w:rPr>
          <w:szCs w:val="24"/>
          <w:lang w:val="es-ES"/>
        </w:rPr>
        <w:t xml:space="preserve">a cooperación con los órganos consultivos de </w:t>
      </w:r>
      <w:r w:rsidR="004C3654">
        <w:rPr>
          <w:szCs w:val="24"/>
          <w:lang w:val="es-ES"/>
        </w:rPr>
        <w:t xml:space="preserve">las </w:t>
      </w:r>
      <w:r>
        <w:rPr>
          <w:szCs w:val="24"/>
          <w:lang w:val="es-ES"/>
        </w:rPr>
        <w:t>minorías nacionales</w:t>
      </w:r>
      <w:r w:rsidR="004C3654">
        <w:rPr>
          <w:szCs w:val="24"/>
          <w:lang w:val="es-ES"/>
        </w:rPr>
        <w:t xml:space="preserve"> se ha hecho también más intensa y significativa</w:t>
      </w:r>
      <w:r>
        <w:rPr>
          <w:szCs w:val="24"/>
          <w:lang w:val="es-ES"/>
        </w:rPr>
        <w:t xml:space="preserve">, </w:t>
      </w:r>
      <w:r w:rsidR="004C3654">
        <w:rPr>
          <w:szCs w:val="24"/>
          <w:lang w:val="es-ES"/>
        </w:rPr>
        <w:t xml:space="preserve">y prueba de ello son el </w:t>
      </w:r>
      <w:r>
        <w:rPr>
          <w:szCs w:val="24"/>
          <w:lang w:val="es-ES"/>
        </w:rPr>
        <w:t>Consejo de Minorías Étnicas del Ministerio de Cultura</w:t>
      </w:r>
      <w:r w:rsidR="004C3654">
        <w:rPr>
          <w:szCs w:val="24"/>
          <w:lang w:val="es-ES"/>
        </w:rPr>
        <w:t>,</w:t>
      </w:r>
      <w:r>
        <w:rPr>
          <w:szCs w:val="24"/>
          <w:lang w:val="es-ES"/>
        </w:rPr>
        <w:t xml:space="preserve"> y </w:t>
      </w:r>
      <w:smartTag w:uri="urn:schemas-microsoft-com:office:smarttags" w:element="PersonName">
        <w:smartTagPr>
          <w:attr w:name="ProductID" w:val="la Mesa Redonda"/>
        </w:smartTagPr>
        <w:r>
          <w:rPr>
            <w:szCs w:val="24"/>
            <w:lang w:val="es-ES"/>
          </w:rPr>
          <w:t>la Mesa Redonda</w:t>
        </w:r>
      </w:smartTag>
      <w:r>
        <w:rPr>
          <w:szCs w:val="24"/>
          <w:lang w:val="es-ES"/>
        </w:rPr>
        <w:t xml:space="preserve"> de las Nacionalidades convocada por </w:t>
      </w:r>
      <w:smartTag w:uri="urn:schemas-microsoft-com:office:smarttags" w:element="PersonName">
        <w:smartTagPr>
          <w:attr w:name="ProductID" w:val="la Asamblea"/>
        </w:smartTagPr>
        <w:r>
          <w:rPr>
            <w:szCs w:val="24"/>
            <w:lang w:val="es-ES"/>
          </w:rPr>
          <w:t>la Asamblea</w:t>
        </w:r>
      </w:smartTag>
      <w:r>
        <w:rPr>
          <w:szCs w:val="24"/>
          <w:lang w:val="es-ES"/>
        </w:rPr>
        <w:t xml:space="preserve"> de Cooperación</w:t>
      </w:r>
      <w:r w:rsidR="004C3654">
        <w:rPr>
          <w:szCs w:val="24"/>
          <w:lang w:val="es-ES"/>
        </w:rPr>
        <w:t xml:space="preserve"> de Estonia</w:t>
      </w:r>
      <w:r>
        <w:rPr>
          <w:szCs w:val="24"/>
          <w:lang w:val="es-ES"/>
        </w:rPr>
        <w:t xml:space="preserve">. </w:t>
      </w:r>
      <w:smartTag w:uri="urn:schemas-microsoft-com:office:smarttags" w:element="PersonName">
        <w:smartTagPr>
          <w:attr w:name="ProductID" w:val="la Mesa Redonda"/>
        </w:smartTagPr>
        <w:r>
          <w:rPr>
            <w:szCs w:val="24"/>
            <w:lang w:val="es-ES"/>
          </w:rPr>
          <w:t>La Mesa Redonda</w:t>
        </w:r>
      </w:smartTag>
      <w:r>
        <w:rPr>
          <w:szCs w:val="24"/>
          <w:lang w:val="es-ES"/>
        </w:rPr>
        <w:t xml:space="preserve"> e</w:t>
      </w:r>
      <w:r w:rsidR="004C3654">
        <w:rPr>
          <w:szCs w:val="24"/>
          <w:lang w:val="es-ES"/>
        </w:rPr>
        <w:t>s un</w:t>
      </w:r>
      <w:r>
        <w:rPr>
          <w:szCs w:val="24"/>
          <w:lang w:val="es-ES"/>
        </w:rPr>
        <w:t xml:space="preserve"> órgano</w:t>
      </w:r>
      <w:r w:rsidR="00DB3AC6">
        <w:rPr>
          <w:szCs w:val="24"/>
          <w:lang w:val="es-ES"/>
        </w:rPr>
        <w:t xml:space="preserve"> consultivo y</w:t>
      </w:r>
      <w:r>
        <w:rPr>
          <w:szCs w:val="24"/>
          <w:lang w:val="es-ES"/>
        </w:rPr>
        <w:t xml:space="preserve"> de cooperación </w:t>
      </w:r>
      <w:r w:rsidR="004C3654">
        <w:rPr>
          <w:szCs w:val="24"/>
          <w:lang w:val="es-ES"/>
        </w:rPr>
        <w:t>al servicio d</w:t>
      </w:r>
      <w:r>
        <w:rPr>
          <w:szCs w:val="24"/>
          <w:lang w:val="es-ES"/>
        </w:rPr>
        <w:t xml:space="preserve">el Presidente de </w:t>
      </w:r>
      <w:smartTag w:uri="urn:schemas-microsoft-com:office:smarttags" w:element="PersonName">
        <w:smartTagPr>
          <w:attr w:name="ProductID" w:val="la Rep￺blica"/>
        </w:smartTagPr>
        <w:r>
          <w:rPr>
            <w:szCs w:val="24"/>
            <w:lang w:val="es-ES"/>
          </w:rPr>
          <w:t>la República</w:t>
        </w:r>
      </w:smartTag>
      <w:r>
        <w:rPr>
          <w:szCs w:val="24"/>
          <w:lang w:val="es-ES"/>
        </w:rPr>
        <w:t xml:space="preserve"> y </w:t>
      </w:r>
      <w:r w:rsidR="004C3654">
        <w:rPr>
          <w:szCs w:val="24"/>
          <w:lang w:val="es-ES"/>
        </w:rPr>
        <w:t xml:space="preserve">de </w:t>
      </w:r>
      <w:r>
        <w:rPr>
          <w:szCs w:val="24"/>
          <w:lang w:val="es-ES"/>
        </w:rPr>
        <w:t xml:space="preserve">las instituciones </w:t>
      </w:r>
      <w:r w:rsidR="004C3654">
        <w:rPr>
          <w:szCs w:val="24"/>
          <w:lang w:val="es-ES"/>
        </w:rPr>
        <w:t xml:space="preserve">competentes </w:t>
      </w:r>
      <w:r>
        <w:rPr>
          <w:szCs w:val="24"/>
          <w:lang w:val="es-ES"/>
        </w:rPr>
        <w:t>de</w:t>
      </w:r>
      <w:r w:rsidR="009B184B">
        <w:rPr>
          <w:szCs w:val="24"/>
          <w:lang w:val="es-ES"/>
        </w:rPr>
        <w:t xml:space="preserve"> </w:t>
      </w:r>
      <w:r>
        <w:rPr>
          <w:szCs w:val="24"/>
          <w:lang w:val="es-ES"/>
        </w:rPr>
        <w:t>l</w:t>
      </w:r>
      <w:r w:rsidR="009B184B">
        <w:rPr>
          <w:szCs w:val="24"/>
          <w:lang w:val="es-ES"/>
        </w:rPr>
        <w:t>os</w:t>
      </w:r>
      <w:r>
        <w:rPr>
          <w:szCs w:val="24"/>
          <w:lang w:val="es-ES"/>
        </w:rPr>
        <w:t xml:space="preserve"> poder</w:t>
      </w:r>
      <w:r w:rsidR="009B184B">
        <w:rPr>
          <w:szCs w:val="24"/>
          <w:lang w:val="es-ES"/>
        </w:rPr>
        <w:t>es</w:t>
      </w:r>
      <w:r>
        <w:rPr>
          <w:szCs w:val="24"/>
          <w:lang w:val="es-ES"/>
        </w:rPr>
        <w:t xml:space="preserve"> legislativo y ejecutivo. A nivel regional</w:t>
      </w:r>
      <w:r w:rsidR="004C3654">
        <w:rPr>
          <w:szCs w:val="24"/>
          <w:lang w:val="es-ES"/>
        </w:rPr>
        <w:t>,</w:t>
      </w:r>
      <w:r>
        <w:rPr>
          <w:szCs w:val="24"/>
          <w:lang w:val="es-ES"/>
        </w:rPr>
        <w:t xml:space="preserve"> existen órganos que asesoran a los gobiernos locales</w:t>
      </w:r>
      <w:r w:rsidR="00DB3AC6">
        <w:rPr>
          <w:szCs w:val="24"/>
          <w:lang w:val="es-ES"/>
        </w:rPr>
        <w:t>,</w:t>
      </w:r>
      <w:r>
        <w:rPr>
          <w:szCs w:val="24"/>
          <w:lang w:val="es-ES"/>
        </w:rPr>
        <w:t xml:space="preserve"> y se han creado mesas redondas que colaboran con los gobernadores de los condados, como por ejemplo la mesa redonda de </w:t>
      </w:r>
      <w:r w:rsidR="004C3654">
        <w:rPr>
          <w:szCs w:val="24"/>
          <w:lang w:val="es-ES"/>
        </w:rPr>
        <w:t xml:space="preserve">las </w:t>
      </w:r>
      <w:r>
        <w:rPr>
          <w:szCs w:val="24"/>
          <w:lang w:val="es-ES"/>
        </w:rPr>
        <w:t xml:space="preserve">minorías nacionales que asesora al gobernador del condado de Ida-Viru y el </w:t>
      </w:r>
      <w:r>
        <w:rPr>
          <w:i/>
          <w:szCs w:val="24"/>
          <w:lang w:val="es-ES"/>
        </w:rPr>
        <w:t xml:space="preserve">Kodurahu Foorum </w:t>
      </w:r>
      <w:r>
        <w:rPr>
          <w:szCs w:val="24"/>
          <w:lang w:val="es-ES"/>
        </w:rPr>
        <w:t xml:space="preserve">(Foro para </w:t>
      </w:r>
      <w:smartTag w:uri="urn:schemas-microsoft-com:office:smarttags" w:element="PersonName">
        <w:smartTagPr>
          <w:attr w:name="ProductID" w:val="la Paz"/>
        </w:smartTagPr>
        <w:r>
          <w:rPr>
            <w:szCs w:val="24"/>
            <w:lang w:val="es-ES"/>
          </w:rPr>
          <w:t>la Paz</w:t>
        </w:r>
      </w:smartTag>
      <w:r>
        <w:rPr>
          <w:szCs w:val="24"/>
          <w:lang w:val="es-ES"/>
        </w:rPr>
        <w:t xml:space="preserve"> en el País) en Tallin.</w:t>
      </w:r>
    </w:p>
    <w:p w:rsidR="00C42A18" w:rsidRDefault="00C42A18" w:rsidP="00637350">
      <w:pPr>
        <w:pStyle w:val="SingleTxtG"/>
        <w:rPr>
          <w:szCs w:val="24"/>
          <w:lang w:val="es-ES"/>
        </w:rPr>
      </w:pPr>
      <w:r>
        <w:rPr>
          <w:szCs w:val="24"/>
          <w:lang w:val="es-ES"/>
        </w:rPr>
        <w:t>55.</w:t>
      </w:r>
      <w:r>
        <w:rPr>
          <w:szCs w:val="24"/>
          <w:lang w:val="es-ES"/>
        </w:rPr>
        <w:tab/>
      </w:r>
      <w:r w:rsidR="00AA74E3">
        <w:rPr>
          <w:szCs w:val="24"/>
          <w:lang w:val="es-ES"/>
        </w:rPr>
        <w:t xml:space="preserve">En el marco del Plan, la </w:t>
      </w:r>
      <w:r>
        <w:rPr>
          <w:szCs w:val="24"/>
          <w:lang w:val="es-ES"/>
        </w:rPr>
        <w:t>integración se con</w:t>
      </w:r>
      <w:r w:rsidR="00AA74E3">
        <w:rPr>
          <w:szCs w:val="24"/>
          <w:lang w:val="es-ES"/>
        </w:rPr>
        <w:t>sidera</w:t>
      </w:r>
      <w:r>
        <w:rPr>
          <w:szCs w:val="24"/>
          <w:lang w:val="es-ES"/>
        </w:rPr>
        <w:t xml:space="preserve"> un proceso bidireccional. El éxito de la integración depende del nivel de </w:t>
      </w:r>
      <w:r w:rsidR="009B184B">
        <w:rPr>
          <w:szCs w:val="24"/>
          <w:lang w:val="es-ES"/>
        </w:rPr>
        <w:t>los contactos entre</w:t>
      </w:r>
      <w:r>
        <w:rPr>
          <w:szCs w:val="24"/>
          <w:lang w:val="es-ES"/>
        </w:rPr>
        <w:t xml:space="preserve"> estonios y otros grupos étnicos de</w:t>
      </w:r>
      <w:r w:rsidR="009B184B">
        <w:rPr>
          <w:szCs w:val="24"/>
          <w:lang w:val="es-ES"/>
        </w:rPr>
        <w:t>l país</w:t>
      </w:r>
      <w:r>
        <w:rPr>
          <w:szCs w:val="24"/>
          <w:lang w:val="es-ES"/>
        </w:rPr>
        <w:t xml:space="preserve">. </w:t>
      </w:r>
      <w:r w:rsidR="00E4392A">
        <w:rPr>
          <w:szCs w:val="24"/>
          <w:lang w:val="es-ES"/>
        </w:rPr>
        <w:t>El objetivo</w:t>
      </w:r>
      <w:r>
        <w:rPr>
          <w:szCs w:val="24"/>
          <w:lang w:val="es-ES"/>
        </w:rPr>
        <w:t xml:space="preserve"> es </w:t>
      </w:r>
      <w:r w:rsidR="00E4392A">
        <w:rPr>
          <w:szCs w:val="24"/>
          <w:lang w:val="es-ES"/>
        </w:rPr>
        <w:t xml:space="preserve">poner de relieve </w:t>
      </w:r>
      <w:r w:rsidR="009B184B">
        <w:rPr>
          <w:szCs w:val="24"/>
          <w:lang w:val="es-ES"/>
        </w:rPr>
        <w:t xml:space="preserve">las diferencias regionales </w:t>
      </w:r>
      <w:r>
        <w:rPr>
          <w:szCs w:val="24"/>
          <w:lang w:val="es-ES"/>
        </w:rPr>
        <w:t>e</w:t>
      </w:r>
      <w:r w:rsidR="009B184B">
        <w:rPr>
          <w:szCs w:val="24"/>
          <w:lang w:val="es-ES"/>
        </w:rPr>
        <w:t>n la esfera de</w:t>
      </w:r>
      <w:r>
        <w:rPr>
          <w:szCs w:val="24"/>
          <w:lang w:val="es-ES"/>
        </w:rPr>
        <w:t xml:space="preserve"> la integración y for</w:t>
      </w:r>
      <w:r w:rsidR="00E4392A">
        <w:rPr>
          <w:szCs w:val="24"/>
          <w:lang w:val="es-ES"/>
        </w:rPr>
        <w:t>t</w:t>
      </w:r>
      <w:r>
        <w:rPr>
          <w:szCs w:val="24"/>
          <w:lang w:val="es-ES"/>
        </w:rPr>
        <w:t>a</w:t>
      </w:r>
      <w:r w:rsidR="00E4392A">
        <w:rPr>
          <w:szCs w:val="24"/>
          <w:lang w:val="es-ES"/>
        </w:rPr>
        <w:t>lece</w:t>
      </w:r>
      <w:r>
        <w:rPr>
          <w:szCs w:val="24"/>
          <w:lang w:val="es-ES"/>
        </w:rPr>
        <w:t>r la cooperación con las autoridades locales. La piedra angular de la política de integración es la necesidad de a</w:t>
      </w:r>
      <w:r w:rsidR="005C7903">
        <w:rPr>
          <w:szCs w:val="24"/>
          <w:lang w:val="es-ES"/>
        </w:rPr>
        <w:t>lentar</w:t>
      </w:r>
      <w:r>
        <w:rPr>
          <w:szCs w:val="24"/>
          <w:lang w:val="es-ES"/>
        </w:rPr>
        <w:t xml:space="preserve"> a las minorías étnicas a </w:t>
      </w:r>
      <w:r w:rsidR="005C7903">
        <w:rPr>
          <w:szCs w:val="24"/>
          <w:lang w:val="es-ES"/>
        </w:rPr>
        <w:t xml:space="preserve">que </w:t>
      </w:r>
      <w:r>
        <w:rPr>
          <w:szCs w:val="24"/>
          <w:lang w:val="es-ES"/>
        </w:rPr>
        <w:t>particip</w:t>
      </w:r>
      <w:r w:rsidR="005C7903">
        <w:rPr>
          <w:szCs w:val="24"/>
          <w:lang w:val="es-ES"/>
        </w:rPr>
        <w:t>en</w:t>
      </w:r>
      <w:r>
        <w:rPr>
          <w:szCs w:val="24"/>
          <w:lang w:val="es-ES"/>
        </w:rPr>
        <w:t xml:space="preserve"> de forma más activa en la vida social y política, p</w:t>
      </w:r>
      <w:r w:rsidR="005C7903">
        <w:rPr>
          <w:szCs w:val="24"/>
          <w:lang w:val="es-ES"/>
        </w:rPr>
        <w:t>restando</w:t>
      </w:r>
      <w:r>
        <w:rPr>
          <w:szCs w:val="24"/>
          <w:lang w:val="es-ES"/>
        </w:rPr>
        <w:t xml:space="preserve"> </w:t>
      </w:r>
      <w:r w:rsidR="005C7903">
        <w:rPr>
          <w:szCs w:val="24"/>
          <w:lang w:val="es-ES"/>
        </w:rPr>
        <w:t xml:space="preserve">especial atención a </w:t>
      </w:r>
      <w:r>
        <w:rPr>
          <w:szCs w:val="24"/>
          <w:lang w:val="es-ES"/>
        </w:rPr>
        <w:t xml:space="preserve">la igualdad de trato. Actualmente se está </w:t>
      </w:r>
      <w:r w:rsidR="005C7903">
        <w:rPr>
          <w:szCs w:val="24"/>
          <w:lang w:val="es-ES"/>
        </w:rPr>
        <w:t xml:space="preserve">preparando </w:t>
      </w:r>
      <w:r>
        <w:rPr>
          <w:szCs w:val="24"/>
          <w:lang w:val="es-ES"/>
        </w:rPr>
        <w:t>un nuevo plan de desarrollo para el período 2014</w:t>
      </w:r>
      <w:r w:rsidR="00660903">
        <w:rPr>
          <w:szCs w:val="24"/>
          <w:lang w:val="es-ES"/>
        </w:rPr>
        <w:noBreakHyphen/>
      </w:r>
      <w:r>
        <w:rPr>
          <w:szCs w:val="24"/>
          <w:lang w:val="es-ES"/>
        </w:rPr>
        <w:t>2020.</w:t>
      </w:r>
    </w:p>
    <w:p w:rsidR="00C42A18" w:rsidRDefault="00C42A18" w:rsidP="00637350">
      <w:pPr>
        <w:pStyle w:val="SingleTxtG"/>
        <w:rPr>
          <w:szCs w:val="24"/>
          <w:lang w:val="es-ES"/>
        </w:rPr>
      </w:pPr>
      <w:r>
        <w:rPr>
          <w:szCs w:val="24"/>
          <w:lang w:val="es-ES"/>
        </w:rPr>
        <w:t>56.</w:t>
      </w:r>
      <w:r>
        <w:rPr>
          <w:szCs w:val="24"/>
          <w:lang w:val="es-ES"/>
        </w:rPr>
        <w:tab/>
        <w:t xml:space="preserve">El Plan de Integración tiene como objetivo alcanzar, para 2013, una situación </w:t>
      </w:r>
      <w:r w:rsidR="004B3523">
        <w:rPr>
          <w:szCs w:val="24"/>
          <w:lang w:val="es-ES"/>
        </w:rPr>
        <w:t>caracterizada por los siguientes elementos</w:t>
      </w:r>
      <w:r>
        <w:rPr>
          <w:szCs w:val="24"/>
          <w:lang w:val="es-ES"/>
        </w:rPr>
        <w:t>:</w:t>
      </w:r>
    </w:p>
    <w:p w:rsidR="00C42A18" w:rsidRPr="008C15F6" w:rsidRDefault="008C15F6" w:rsidP="00637350">
      <w:pPr>
        <w:pStyle w:val="SingleTxtG"/>
      </w:pPr>
      <w:r>
        <w:tab/>
      </w:r>
      <w:r w:rsidR="00C42A18" w:rsidRPr="008C15F6">
        <w:t>a)</w:t>
      </w:r>
      <w:r w:rsidR="00C42A18" w:rsidRPr="008C15F6">
        <w:tab/>
      </w:r>
      <w:r w:rsidR="00657536" w:rsidRPr="008C15F6">
        <w:t xml:space="preserve">Mejora </w:t>
      </w:r>
      <w:r w:rsidR="004B3523" w:rsidRPr="008C15F6">
        <w:t xml:space="preserve">de las competencias lingüísticas en todos los niveles </w:t>
      </w:r>
      <w:r w:rsidR="00C42A18" w:rsidRPr="008C15F6">
        <w:t>e</w:t>
      </w:r>
      <w:r w:rsidR="004B3523" w:rsidRPr="008C15F6">
        <w:t>ntre</w:t>
      </w:r>
      <w:r w:rsidR="009B184B" w:rsidRPr="008C15F6">
        <w:t xml:space="preserve"> las personas cuya lengua materna</w:t>
      </w:r>
      <w:r w:rsidR="00C42A18" w:rsidRPr="008C15F6">
        <w:t xml:space="preserve"> no </w:t>
      </w:r>
      <w:r w:rsidR="009B184B" w:rsidRPr="008C15F6">
        <w:t>sea</w:t>
      </w:r>
      <w:r w:rsidR="00C42A18" w:rsidRPr="008C15F6">
        <w:t xml:space="preserve"> </w:t>
      </w:r>
      <w:r w:rsidR="004B3523" w:rsidRPr="008C15F6">
        <w:t>el estonio</w:t>
      </w:r>
      <w:r w:rsidR="00C42A18" w:rsidRPr="008C15F6">
        <w:t>;</w:t>
      </w:r>
    </w:p>
    <w:p w:rsidR="00C42A18" w:rsidRPr="008C15F6" w:rsidRDefault="00C42A18" w:rsidP="00637350">
      <w:pPr>
        <w:pStyle w:val="SingleTxtG"/>
      </w:pPr>
      <w:r w:rsidRPr="008C15F6">
        <w:rPr>
          <w:rStyle w:val="tw4winMark"/>
          <w:rFonts w:ascii="Times New Roman" w:hAnsi="Times New Roman"/>
          <w:vanish w:val="0"/>
          <w:color w:val="auto"/>
          <w:szCs w:val="24"/>
          <w:vertAlign w:val="baseline"/>
        </w:rPr>
        <w:tab/>
      </w:r>
      <w:r w:rsidRPr="008C15F6">
        <w:t>b)</w:t>
      </w:r>
      <w:r w:rsidRPr="008C15F6">
        <w:tab/>
      </w:r>
      <w:r w:rsidR="00657536" w:rsidRPr="008C15F6">
        <w:t>M</w:t>
      </w:r>
      <w:r w:rsidR="004B3523" w:rsidRPr="008C15F6">
        <w:t>ejora de</w:t>
      </w:r>
      <w:r w:rsidRPr="008C15F6">
        <w:t xml:space="preserve"> los contactos y la comunicación entre personas con distinta lengua materna</w:t>
      </w:r>
      <w:r w:rsidR="004B3523" w:rsidRPr="008C15F6">
        <w:t>,</w:t>
      </w:r>
      <w:r w:rsidRPr="008C15F6">
        <w:t xml:space="preserve"> y reduc</w:t>
      </w:r>
      <w:r w:rsidR="004B3523" w:rsidRPr="008C15F6">
        <w:t>c</w:t>
      </w:r>
      <w:r w:rsidRPr="008C15F6">
        <w:t>i</w:t>
      </w:r>
      <w:r w:rsidR="004B3523" w:rsidRPr="008C15F6">
        <w:t>ón de</w:t>
      </w:r>
      <w:r w:rsidRPr="008C15F6">
        <w:t xml:space="preserve"> la</w:t>
      </w:r>
      <w:r w:rsidR="004B3523" w:rsidRPr="008C15F6">
        <w:t>s</w:t>
      </w:r>
      <w:r w:rsidRPr="008C15F6">
        <w:t xml:space="preserve"> diferencia</w:t>
      </w:r>
      <w:r w:rsidR="004B3523" w:rsidRPr="008C15F6">
        <w:t>s</w:t>
      </w:r>
      <w:r w:rsidRPr="008C15F6">
        <w:t xml:space="preserve"> entre los residentes </w:t>
      </w:r>
      <w:r w:rsidR="004B3523" w:rsidRPr="008C15F6">
        <w:t xml:space="preserve">que </w:t>
      </w:r>
      <w:r w:rsidRPr="008C15F6">
        <w:t>habla</w:t>
      </w:r>
      <w:r w:rsidR="004B3523" w:rsidRPr="008C15F6">
        <w:t>n</w:t>
      </w:r>
      <w:r w:rsidRPr="008C15F6">
        <w:t xml:space="preserve"> estoni</w:t>
      </w:r>
      <w:r w:rsidR="004B3523" w:rsidRPr="008C15F6">
        <w:t>o</w:t>
      </w:r>
      <w:r w:rsidRPr="008C15F6">
        <w:t xml:space="preserve"> y quienes hablan otr</w:t>
      </w:r>
      <w:r w:rsidR="004B3523" w:rsidRPr="008C15F6">
        <w:t>o</w:t>
      </w:r>
      <w:r w:rsidRPr="008C15F6">
        <w:t xml:space="preserve">s </w:t>
      </w:r>
      <w:r w:rsidR="004B3523" w:rsidRPr="008C15F6">
        <w:t xml:space="preserve">idiomas por </w:t>
      </w:r>
      <w:r w:rsidRPr="008C15F6">
        <w:t xml:space="preserve">lo que </w:t>
      </w:r>
      <w:r w:rsidR="009B184B" w:rsidRPr="008C15F6">
        <w:t>se refiere</w:t>
      </w:r>
      <w:r w:rsidR="004B3523" w:rsidRPr="008C15F6">
        <w:t xml:space="preserve"> </w:t>
      </w:r>
      <w:r w:rsidRPr="008C15F6">
        <w:t>a la participación en asociaciones de la sociedad civil y la esfera pública;</w:t>
      </w:r>
    </w:p>
    <w:p w:rsidR="00C42A18" w:rsidRPr="008C15F6" w:rsidRDefault="008C15F6" w:rsidP="00637350">
      <w:pPr>
        <w:pStyle w:val="SingleTxtG"/>
      </w:pPr>
      <w:r>
        <w:tab/>
      </w:r>
      <w:r w:rsidR="00C42A18" w:rsidRPr="008C15F6">
        <w:t>c)</w:t>
      </w:r>
      <w:r w:rsidR="00C42A18" w:rsidRPr="008C15F6">
        <w:tab/>
      </w:r>
      <w:r w:rsidR="00657536" w:rsidRPr="008C15F6">
        <w:t xml:space="preserve">Disminución </w:t>
      </w:r>
      <w:r w:rsidR="00C42A18" w:rsidRPr="008C15F6">
        <w:t xml:space="preserve">constante </w:t>
      </w:r>
      <w:r w:rsidR="004B3523" w:rsidRPr="008C15F6">
        <w:t>d</w:t>
      </w:r>
      <w:r w:rsidR="00C42A18" w:rsidRPr="008C15F6">
        <w:t xml:space="preserve">el número de personas </w:t>
      </w:r>
      <w:r w:rsidR="004B3523" w:rsidRPr="008C15F6">
        <w:t xml:space="preserve">con </w:t>
      </w:r>
      <w:r w:rsidR="00C42A18" w:rsidRPr="008C15F6">
        <w:t>ciudadanía indeterminada entre los habitantes estonios;</w:t>
      </w:r>
    </w:p>
    <w:p w:rsidR="00310C36" w:rsidRPr="008C15F6" w:rsidRDefault="008C15F6" w:rsidP="00637350">
      <w:pPr>
        <w:pStyle w:val="SingleTxtG"/>
      </w:pPr>
      <w:r>
        <w:tab/>
      </w:r>
      <w:r w:rsidR="00310C36" w:rsidRPr="008C15F6">
        <w:t>d)</w:t>
      </w:r>
      <w:r w:rsidR="00310C36" w:rsidRPr="008C15F6">
        <w:tab/>
      </w:r>
      <w:r w:rsidR="00657536" w:rsidRPr="008C15F6">
        <w:t xml:space="preserve">Aumento </w:t>
      </w:r>
      <w:r w:rsidR="004B3523" w:rsidRPr="008C15F6">
        <w:t xml:space="preserve">de la confianza entre </w:t>
      </w:r>
      <w:r w:rsidR="00310C36" w:rsidRPr="008C15F6">
        <w:t xml:space="preserve">los habitantes de Estonia </w:t>
      </w:r>
      <w:r w:rsidR="004B3523" w:rsidRPr="008C15F6">
        <w:t xml:space="preserve">con </w:t>
      </w:r>
      <w:r w:rsidR="00310C36" w:rsidRPr="008C15F6">
        <w:t>distintas</w:t>
      </w:r>
      <w:r w:rsidR="004B3523" w:rsidRPr="008C15F6">
        <w:t xml:space="preserve"> nacionalidades, y aumento de la confianza en el Estado</w:t>
      </w:r>
      <w:r w:rsidR="00310C36" w:rsidRPr="008C15F6">
        <w:t>;</w:t>
      </w:r>
    </w:p>
    <w:p w:rsidR="00310C36" w:rsidRPr="008C15F6" w:rsidRDefault="008C15F6" w:rsidP="00637350">
      <w:pPr>
        <w:pStyle w:val="SingleTxtG"/>
      </w:pPr>
      <w:r>
        <w:tab/>
      </w:r>
      <w:r w:rsidR="00310C36" w:rsidRPr="008C15F6">
        <w:t>e)</w:t>
      </w:r>
      <w:r w:rsidR="00310C36" w:rsidRPr="008C15F6">
        <w:tab/>
      </w:r>
      <w:r w:rsidR="00657536" w:rsidRPr="008C15F6">
        <w:t xml:space="preserve">Información </w:t>
      </w:r>
      <w:r w:rsidR="00744D84" w:rsidRPr="008C15F6">
        <w:t xml:space="preserve">periódica en estonio para </w:t>
      </w:r>
      <w:r w:rsidR="00310C36" w:rsidRPr="008C15F6">
        <w:t xml:space="preserve">la mayoría de </w:t>
      </w:r>
      <w:r w:rsidR="00744D84" w:rsidRPr="008C15F6">
        <w:t xml:space="preserve">las personas </w:t>
      </w:r>
      <w:r w:rsidR="00310C36" w:rsidRPr="008C15F6">
        <w:t>c</w:t>
      </w:r>
      <w:r w:rsidR="00744D84" w:rsidRPr="008C15F6">
        <w:t>on otra</w:t>
      </w:r>
      <w:r w:rsidR="005466A4" w:rsidRPr="008C15F6">
        <w:t xml:space="preserve"> </w:t>
      </w:r>
      <w:r w:rsidR="00310C36" w:rsidRPr="008C15F6">
        <w:t>lengua materna a través de los medios de comunicación</w:t>
      </w:r>
      <w:r w:rsidR="00744D84" w:rsidRPr="008C15F6">
        <w:t>,</w:t>
      </w:r>
      <w:r w:rsidR="00310C36" w:rsidRPr="008C15F6">
        <w:t xml:space="preserve"> y</w:t>
      </w:r>
      <w:r w:rsidR="00744D84" w:rsidRPr="008C15F6">
        <w:t xml:space="preserve"> mayor</w:t>
      </w:r>
      <w:r w:rsidR="00310C36" w:rsidRPr="008C15F6">
        <w:t xml:space="preserve"> conf</w:t>
      </w:r>
      <w:r w:rsidR="00744D84" w:rsidRPr="008C15F6">
        <w:t>ianza</w:t>
      </w:r>
      <w:r w:rsidR="00310C36" w:rsidRPr="008C15F6">
        <w:t xml:space="preserve"> en dicha información;</w:t>
      </w:r>
    </w:p>
    <w:p w:rsidR="00354C02" w:rsidRPr="008C15F6" w:rsidRDefault="008C15F6" w:rsidP="00637350">
      <w:pPr>
        <w:pStyle w:val="SingleTxtG"/>
      </w:pPr>
      <w:r>
        <w:tab/>
      </w:r>
      <w:r w:rsidR="00354C02" w:rsidRPr="008C15F6">
        <w:t>f)</w:t>
      </w:r>
      <w:r w:rsidR="00354C02" w:rsidRPr="008C15F6">
        <w:tab/>
      </w:r>
      <w:r w:rsidR="00657536" w:rsidRPr="008C15F6">
        <w:t xml:space="preserve">Reducción </w:t>
      </w:r>
      <w:r w:rsidR="00744D84" w:rsidRPr="008C15F6">
        <w:t>de</w:t>
      </w:r>
      <w:r w:rsidR="00354C02" w:rsidRPr="008C15F6">
        <w:t xml:space="preserve"> las diferencias e</w:t>
      </w:r>
      <w:r w:rsidR="00744D84" w:rsidRPr="008C15F6">
        <w:t>n materia de</w:t>
      </w:r>
      <w:r w:rsidR="009B184B" w:rsidRPr="008C15F6">
        <w:t xml:space="preserve"> empleo e ingresos </w:t>
      </w:r>
      <w:r w:rsidR="00354C02" w:rsidRPr="008C15F6">
        <w:t>e</w:t>
      </w:r>
      <w:r w:rsidR="009B184B" w:rsidRPr="008C15F6">
        <w:t>ntre</w:t>
      </w:r>
      <w:r w:rsidR="00354C02" w:rsidRPr="008C15F6">
        <w:t xml:space="preserve"> los empleados de distintas nacionalidades.</w:t>
      </w:r>
    </w:p>
    <w:p w:rsidR="00F61BD5" w:rsidRPr="001D34D1" w:rsidRDefault="00F61BD5" w:rsidP="00637350">
      <w:pPr>
        <w:pStyle w:val="SingleTxtG"/>
        <w:rPr>
          <w:szCs w:val="24"/>
          <w:lang w:val="es-ES"/>
        </w:rPr>
      </w:pPr>
      <w:r>
        <w:rPr>
          <w:szCs w:val="24"/>
          <w:lang w:val="es-ES"/>
        </w:rPr>
        <w:t>57.</w:t>
      </w:r>
      <w:r>
        <w:rPr>
          <w:szCs w:val="24"/>
          <w:lang w:val="es-ES"/>
        </w:rPr>
        <w:tab/>
        <w:t xml:space="preserve">El 30 de junio de 2011, el Gobierno aprobó las prioridades del nuevo plan de aplicación del Plan de Integración de Estonia para 2011-2013. En </w:t>
      </w:r>
      <w:r w:rsidR="00982583">
        <w:rPr>
          <w:szCs w:val="24"/>
          <w:lang w:val="es-ES"/>
        </w:rPr>
        <w:t>ese</w:t>
      </w:r>
      <w:r>
        <w:rPr>
          <w:szCs w:val="24"/>
          <w:lang w:val="es-ES"/>
        </w:rPr>
        <w:t xml:space="preserve"> plan de </w:t>
      </w:r>
      <w:r w:rsidR="00982583">
        <w:rPr>
          <w:szCs w:val="24"/>
          <w:lang w:val="es-ES"/>
        </w:rPr>
        <w:t>aplicación</w:t>
      </w:r>
      <w:r>
        <w:rPr>
          <w:szCs w:val="24"/>
          <w:lang w:val="es-ES"/>
        </w:rPr>
        <w:t xml:space="preserve"> se describen prioridades, actividades y medios financieros. De acuerdo con el plan, las prioridades son las siguientes:</w:t>
      </w:r>
    </w:p>
    <w:p w:rsidR="00F61BD5" w:rsidRPr="00452F8A" w:rsidRDefault="009B184B" w:rsidP="00637350">
      <w:pPr>
        <w:pStyle w:val="Bullet1G"/>
      </w:pPr>
      <w:r w:rsidRPr="00452F8A">
        <w:t>M</w:t>
      </w:r>
      <w:r w:rsidR="00F61BD5" w:rsidRPr="00452F8A">
        <w:t>ejora de la enseñanza del idioma estonio</w:t>
      </w:r>
      <w:r w:rsidR="00452F8A" w:rsidRPr="00452F8A">
        <w:t>;</w:t>
      </w:r>
    </w:p>
    <w:p w:rsidR="00F61BD5" w:rsidRPr="00452F8A" w:rsidRDefault="009B184B" w:rsidP="00637350">
      <w:pPr>
        <w:pStyle w:val="Bullet1G"/>
      </w:pPr>
      <w:r w:rsidRPr="00452F8A">
        <w:t>P</w:t>
      </w:r>
      <w:r w:rsidR="00F61BD5" w:rsidRPr="00452F8A">
        <w:t xml:space="preserve">romoción de actividades de cooperación entre jóvenes de </w:t>
      </w:r>
      <w:r w:rsidR="00673A9F" w:rsidRPr="00452F8A">
        <w:t>distintas lenguas maternas, y</w:t>
      </w:r>
      <w:r w:rsidR="00F61BD5" w:rsidRPr="00452F8A">
        <w:t xml:space="preserve"> apoyo a la orientación profesional de los jóvenes</w:t>
      </w:r>
      <w:r w:rsidR="00452F8A" w:rsidRPr="00452F8A">
        <w:t>;</w:t>
      </w:r>
    </w:p>
    <w:p w:rsidR="00F61BD5" w:rsidRPr="00452F8A" w:rsidRDefault="009B184B" w:rsidP="00637350">
      <w:pPr>
        <w:pStyle w:val="Bullet1G"/>
      </w:pPr>
      <w:r w:rsidRPr="00452F8A">
        <w:t>A</w:t>
      </w:r>
      <w:r w:rsidR="00F61BD5" w:rsidRPr="00452F8A">
        <w:t xml:space="preserve">poyo a las asociaciones de ciudadanos para aumentar la participación y el dinamismo de las personas </w:t>
      </w:r>
      <w:r w:rsidR="00737BC4" w:rsidRPr="00452F8A">
        <w:t>con</w:t>
      </w:r>
      <w:r w:rsidR="00F61BD5" w:rsidRPr="00452F8A">
        <w:t xml:space="preserve"> distintas lenguas maternas en la sociedad estonia</w:t>
      </w:r>
      <w:r w:rsidR="00452F8A" w:rsidRPr="00452F8A">
        <w:t>;</w:t>
      </w:r>
    </w:p>
    <w:p w:rsidR="00F61BD5" w:rsidRPr="00452F8A" w:rsidRDefault="009B184B" w:rsidP="00637350">
      <w:pPr>
        <w:pStyle w:val="Bullet1G"/>
      </w:pPr>
      <w:r w:rsidRPr="00452F8A">
        <w:t>A</w:t>
      </w:r>
      <w:r w:rsidR="00F61BD5" w:rsidRPr="00452F8A">
        <w:t>poyo al desarrollo de un entorno informativo uniforme en Estonia.</w:t>
      </w:r>
    </w:p>
    <w:p w:rsidR="00F61BD5" w:rsidRPr="009357AC" w:rsidRDefault="00F61BD5" w:rsidP="00637350">
      <w:pPr>
        <w:pStyle w:val="SingleTxtG"/>
        <w:rPr>
          <w:szCs w:val="24"/>
          <w:lang w:val="es-ES"/>
        </w:rPr>
      </w:pPr>
      <w:r>
        <w:rPr>
          <w:szCs w:val="24"/>
          <w:lang w:val="es-ES"/>
        </w:rPr>
        <w:t>58.</w:t>
      </w:r>
      <w:r>
        <w:rPr>
          <w:szCs w:val="24"/>
          <w:lang w:val="es-ES"/>
        </w:rPr>
        <w:tab/>
        <w:t xml:space="preserve">El plan de </w:t>
      </w:r>
      <w:r w:rsidR="00737BC4">
        <w:rPr>
          <w:szCs w:val="24"/>
          <w:lang w:val="es-ES"/>
        </w:rPr>
        <w:t>aplica</w:t>
      </w:r>
      <w:r>
        <w:rPr>
          <w:szCs w:val="24"/>
          <w:lang w:val="es-ES"/>
        </w:rPr>
        <w:t xml:space="preserve">ción se elaboró mediante un </w:t>
      </w:r>
      <w:r w:rsidR="00737BC4">
        <w:rPr>
          <w:szCs w:val="24"/>
          <w:lang w:val="es-ES"/>
        </w:rPr>
        <w:t>enfoque ampliamente inclusivo</w:t>
      </w:r>
      <w:r>
        <w:rPr>
          <w:szCs w:val="24"/>
          <w:lang w:val="es-ES"/>
        </w:rPr>
        <w:t xml:space="preserve">: se </w:t>
      </w:r>
      <w:r w:rsidR="00982583">
        <w:rPr>
          <w:szCs w:val="24"/>
          <w:lang w:val="es-ES"/>
        </w:rPr>
        <w:t>llevaron a cabo</w:t>
      </w:r>
      <w:r>
        <w:rPr>
          <w:szCs w:val="24"/>
          <w:lang w:val="es-ES"/>
        </w:rPr>
        <w:t xml:space="preserve"> estudios, se analizaron las experiencias de los períodos anteriores y se organizaron varios seminarios de </w:t>
      </w:r>
      <w:r w:rsidR="00737BC4">
        <w:rPr>
          <w:szCs w:val="24"/>
          <w:lang w:val="es-ES"/>
        </w:rPr>
        <w:t xml:space="preserve">examen </w:t>
      </w:r>
      <w:r>
        <w:rPr>
          <w:szCs w:val="24"/>
          <w:lang w:val="es-ES"/>
        </w:rPr>
        <w:t>sobre temas concretos</w:t>
      </w:r>
      <w:r w:rsidR="00673A9F">
        <w:rPr>
          <w:szCs w:val="24"/>
          <w:lang w:val="es-ES"/>
        </w:rPr>
        <w:t>,</w:t>
      </w:r>
      <w:r>
        <w:rPr>
          <w:szCs w:val="24"/>
          <w:lang w:val="es-ES"/>
        </w:rPr>
        <w:t xml:space="preserve"> además de tres mesas redondas a nivel regional. </w:t>
      </w:r>
      <w:r w:rsidR="00737BC4">
        <w:rPr>
          <w:szCs w:val="24"/>
          <w:lang w:val="es-ES"/>
        </w:rPr>
        <w:t>A petición</w:t>
      </w:r>
      <w:r w:rsidR="00673A9F">
        <w:rPr>
          <w:szCs w:val="24"/>
          <w:lang w:val="es-ES"/>
        </w:rPr>
        <w:t xml:space="preserve"> del Ministerio de Cultura,</w:t>
      </w:r>
      <w:r w:rsidR="00737BC4">
        <w:rPr>
          <w:szCs w:val="24"/>
          <w:lang w:val="es-ES"/>
        </w:rPr>
        <w:t xml:space="preserve"> el Centro PRAXIS de Estudios sobre Políticas,</w:t>
      </w:r>
      <w:r w:rsidR="00673A9F">
        <w:rPr>
          <w:szCs w:val="24"/>
          <w:lang w:val="es-ES"/>
        </w:rPr>
        <w:t xml:space="preserve"> un órgano independiente,</w:t>
      </w:r>
      <w:r w:rsidR="001B4B35">
        <w:rPr>
          <w:szCs w:val="24"/>
          <w:lang w:val="es-ES"/>
        </w:rPr>
        <w:t xml:space="preserve"> se encargó de</w:t>
      </w:r>
      <w:r w:rsidR="00737BC4">
        <w:rPr>
          <w:szCs w:val="24"/>
          <w:lang w:val="es-ES"/>
        </w:rPr>
        <w:t xml:space="preserve"> </w:t>
      </w:r>
      <w:r>
        <w:rPr>
          <w:szCs w:val="24"/>
          <w:lang w:val="es-ES"/>
        </w:rPr>
        <w:t>dir</w:t>
      </w:r>
      <w:r w:rsidR="00737BC4">
        <w:rPr>
          <w:szCs w:val="24"/>
          <w:lang w:val="es-ES"/>
        </w:rPr>
        <w:t>igi</w:t>
      </w:r>
      <w:r w:rsidR="001B4B35">
        <w:rPr>
          <w:szCs w:val="24"/>
          <w:lang w:val="es-ES"/>
        </w:rPr>
        <w:t>r</w:t>
      </w:r>
      <w:r>
        <w:rPr>
          <w:szCs w:val="24"/>
          <w:lang w:val="es-ES"/>
        </w:rPr>
        <w:t xml:space="preserve"> el proceso.</w:t>
      </w:r>
    </w:p>
    <w:p w:rsidR="00F61BD5" w:rsidRDefault="00F61BD5" w:rsidP="00637350">
      <w:pPr>
        <w:pStyle w:val="SingleTxtG"/>
        <w:rPr>
          <w:szCs w:val="24"/>
          <w:lang w:val="es-ES"/>
        </w:rPr>
      </w:pPr>
      <w:r>
        <w:rPr>
          <w:szCs w:val="24"/>
          <w:lang w:val="es-ES"/>
        </w:rPr>
        <w:t>59.</w:t>
      </w:r>
      <w:r>
        <w:rPr>
          <w:szCs w:val="24"/>
          <w:lang w:val="es-ES"/>
        </w:rPr>
        <w:tab/>
        <w:t xml:space="preserve">En 2010, el Ministro del Interior puso en marcha un plan sistematizado y armonizado de actividades </w:t>
      </w:r>
      <w:r w:rsidR="001B4B35">
        <w:rPr>
          <w:szCs w:val="24"/>
          <w:lang w:val="es-ES"/>
        </w:rPr>
        <w:t xml:space="preserve">de apoyo al desarrollo regional del condado de Ida-Viru, </w:t>
      </w:r>
      <w:r>
        <w:rPr>
          <w:szCs w:val="24"/>
          <w:lang w:val="es-ES"/>
        </w:rPr>
        <w:t xml:space="preserve">que abarcaba diversos ámbitos de la vida. El plan de actividades </w:t>
      </w:r>
      <w:r w:rsidR="001B4B35">
        <w:rPr>
          <w:szCs w:val="24"/>
          <w:lang w:val="es-ES"/>
        </w:rPr>
        <w:t xml:space="preserve">se centraba principalmente </w:t>
      </w:r>
      <w:r>
        <w:rPr>
          <w:szCs w:val="24"/>
          <w:lang w:val="es-ES"/>
        </w:rPr>
        <w:t>e</w:t>
      </w:r>
      <w:r w:rsidR="001B4B35">
        <w:rPr>
          <w:szCs w:val="24"/>
          <w:lang w:val="es-ES"/>
        </w:rPr>
        <w:t>n el</w:t>
      </w:r>
      <w:r>
        <w:rPr>
          <w:szCs w:val="24"/>
          <w:lang w:val="es-ES"/>
        </w:rPr>
        <w:t xml:space="preserve"> aument</w:t>
      </w:r>
      <w:r w:rsidR="001B4B35">
        <w:rPr>
          <w:szCs w:val="24"/>
          <w:lang w:val="es-ES"/>
        </w:rPr>
        <w:t>o de</w:t>
      </w:r>
      <w:r>
        <w:rPr>
          <w:szCs w:val="24"/>
          <w:lang w:val="es-ES"/>
        </w:rPr>
        <w:t xml:space="preserve"> la cohesión regional, que debía </w:t>
      </w:r>
      <w:r w:rsidR="001B4B35">
        <w:rPr>
          <w:szCs w:val="24"/>
          <w:lang w:val="es-ES"/>
        </w:rPr>
        <w:t xml:space="preserve">ayudar </w:t>
      </w:r>
      <w:r>
        <w:rPr>
          <w:szCs w:val="24"/>
          <w:lang w:val="es-ES"/>
        </w:rPr>
        <w:t xml:space="preserve">a resolver de </w:t>
      </w:r>
      <w:r w:rsidR="00982583">
        <w:rPr>
          <w:szCs w:val="24"/>
          <w:lang w:val="es-ES"/>
        </w:rPr>
        <w:t>manera</w:t>
      </w:r>
      <w:r>
        <w:rPr>
          <w:szCs w:val="24"/>
          <w:lang w:val="es-ES"/>
        </w:rPr>
        <w:t xml:space="preserve"> más eficaz los problemas relacionados con el empleo y otr</w:t>
      </w:r>
      <w:r w:rsidR="001B4B35">
        <w:rPr>
          <w:szCs w:val="24"/>
          <w:lang w:val="es-ES"/>
        </w:rPr>
        <w:t>o</w:t>
      </w:r>
      <w:r>
        <w:rPr>
          <w:szCs w:val="24"/>
          <w:lang w:val="es-ES"/>
        </w:rPr>
        <w:t xml:space="preserve">s </w:t>
      </w:r>
      <w:r w:rsidR="001B4B35">
        <w:rPr>
          <w:szCs w:val="24"/>
          <w:lang w:val="es-ES"/>
        </w:rPr>
        <w:t xml:space="preserve">factores </w:t>
      </w:r>
      <w:r>
        <w:rPr>
          <w:szCs w:val="24"/>
          <w:lang w:val="es-ES"/>
        </w:rPr>
        <w:t xml:space="preserve">culturales y sociales. Se trata de un plan de actividades complejo que </w:t>
      </w:r>
      <w:r w:rsidR="001B4B35">
        <w:rPr>
          <w:szCs w:val="24"/>
          <w:lang w:val="es-ES"/>
        </w:rPr>
        <w:t>va más allá</w:t>
      </w:r>
      <w:r w:rsidR="000D7DF4">
        <w:rPr>
          <w:szCs w:val="24"/>
          <w:lang w:val="es-ES"/>
        </w:rPr>
        <w:t xml:space="preserve"> del ámbito de competencias</w:t>
      </w:r>
      <w:r>
        <w:rPr>
          <w:szCs w:val="24"/>
          <w:lang w:val="es-ES"/>
        </w:rPr>
        <w:t xml:space="preserve"> de un ministerio.</w:t>
      </w:r>
    </w:p>
    <w:p w:rsidR="00F61BD5" w:rsidRPr="00906168" w:rsidRDefault="00F61BD5" w:rsidP="00637350">
      <w:pPr>
        <w:pStyle w:val="H23G"/>
        <w:rPr>
          <w:lang w:val="es-ES"/>
        </w:rPr>
      </w:pPr>
      <w:r>
        <w:rPr>
          <w:lang w:val="es-ES"/>
        </w:rPr>
        <w:tab/>
      </w:r>
      <w:r>
        <w:rPr>
          <w:lang w:val="es-ES"/>
        </w:rPr>
        <w:tab/>
        <w:t xml:space="preserve">Cooperación con las </w:t>
      </w:r>
      <w:r w:rsidR="008F6BAB">
        <w:rPr>
          <w:lang w:val="es-ES"/>
        </w:rPr>
        <w:t>organizaciones no gubernamentales</w:t>
      </w:r>
    </w:p>
    <w:p w:rsidR="00F61BD5" w:rsidRPr="00B42594" w:rsidRDefault="00F61BD5" w:rsidP="00637350">
      <w:pPr>
        <w:pStyle w:val="SingleTxtG"/>
        <w:rPr>
          <w:szCs w:val="24"/>
          <w:lang w:val="es-ES"/>
        </w:rPr>
      </w:pPr>
      <w:r>
        <w:rPr>
          <w:szCs w:val="24"/>
          <w:lang w:val="es-ES"/>
        </w:rPr>
        <w:t>60.</w:t>
      </w:r>
      <w:r>
        <w:rPr>
          <w:szCs w:val="24"/>
          <w:lang w:val="es-ES"/>
        </w:rPr>
        <w:tab/>
      </w:r>
      <w:r w:rsidR="00657536">
        <w:rPr>
          <w:szCs w:val="24"/>
          <w:lang w:val="es-ES"/>
        </w:rPr>
        <w:t>Con arreglo a</w:t>
      </w:r>
      <w:r>
        <w:rPr>
          <w:szCs w:val="24"/>
          <w:lang w:val="es-ES"/>
        </w:rPr>
        <w:t xml:space="preserve"> </w:t>
      </w:r>
      <w:smartTag w:uri="urn:schemas-microsoft-com:office:smarttags" w:element="PersonName">
        <w:smartTagPr>
          <w:attr w:name="ProductID" w:val="la Constituci￳n"/>
        </w:smartTagPr>
        <w:r>
          <w:rPr>
            <w:szCs w:val="24"/>
            <w:lang w:val="es-ES"/>
          </w:rPr>
          <w:t>la Constitución</w:t>
        </w:r>
      </w:smartTag>
      <w:r>
        <w:rPr>
          <w:szCs w:val="24"/>
          <w:lang w:val="es-ES"/>
        </w:rPr>
        <w:t xml:space="preserve">, </w:t>
      </w:r>
      <w:r w:rsidR="001B4B35">
        <w:rPr>
          <w:szCs w:val="24"/>
          <w:lang w:val="es-ES"/>
        </w:rPr>
        <w:t xml:space="preserve">en Estonia </w:t>
      </w:r>
      <w:r>
        <w:rPr>
          <w:szCs w:val="24"/>
          <w:lang w:val="es-ES"/>
        </w:rPr>
        <w:t>toda persona tiene derecho a afiliarse a sindicatos, sociedades y clubes; a constituir asociaciones y federaciones sin fines de lucro; a proteger sus intereses; y a expresar sus opiniones públicamente. El Gobierno apoya las sociedades culturales de las minorías nacionales destinadas a preservar, desarrollar y dar a conocer su cultura étnica</w:t>
      </w:r>
      <w:r w:rsidR="001B4B35">
        <w:rPr>
          <w:szCs w:val="24"/>
          <w:lang w:val="es-ES"/>
        </w:rPr>
        <w:t xml:space="preserve">. </w:t>
      </w:r>
      <w:r>
        <w:rPr>
          <w:szCs w:val="24"/>
          <w:lang w:val="es-ES"/>
        </w:rPr>
        <w:t xml:space="preserve">En Estonia hay registradas </w:t>
      </w:r>
      <w:r w:rsidR="001B4B35">
        <w:rPr>
          <w:szCs w:val="24"/>
          <w:lang w:val="es-ES"/>
        </w:rPr>
        <w:t xml:space="preserve">cerca de </w:t>
      </w:r>
      <w:r>
        <w:rPr>
          <w:szCs w:val="24"/>
          <w:lang w:val="es-ES"/>
        </w:rPr>
        <w:t xml:space="preserve">300 uniones y asociaciones culturales de </w:t>
      </w:r>
      <w:r w:rsidR="009951CB">
        <w:rPr>
          <w:szCs w:val="24"/>
          <w:lang w:val="es-ES"/>
        </w:rPr>
        <w:t xml:space="preserve">las </w:t>
      </w:r>
      <w:r>
        <w:rPr>
          <w:szCs w:val="24"/>
          <w:lang w:val="es-ES"/>
        </w:rPr>
        <w:t>minorías nacionales. Desde 1991</w:t>
      </w:r>
      <w:r w:rsidR="000D7DF4">
        <w:rPr>
          <w:szCs w:val="24"/>
          <w:lang w:val="es-ES"/>
        </w:rPr>
        <w:t>, dichas entidades</w:t>
      </w:r>
      <w:r>
        <w:rPr>
          <w:szCs w:val="24"/>
          <w:lang w:val="es-ES"/>
        </w:rPr>
        <w:t xml:space="preserve"> reciben ay</w:t>
      </w:r>
      <w:r w:rsidR="009923CF">
        <w:rPr>
          <w:szCs w:val="24"/>
          <w:lang w:val="es-ES"/>
        </w:rPr>
        <w:t>uda</w:t>
      </w:r>
      <w:r>
        <w:rPr>
          <w:szCs w:val="24"/>
          <w:lang w:val="es-ES"/>
        </w:rPr>
        <w:t xml:space="preserve"> financier</w:t>
      </w:r>
      <w:r w:rsidR="009923CF">
        <w:rPr>
          <w:szCs w:val="24"/>
          <w:lang w:val="es-ES"/>
        </w:rPr>
        <w:t>a</w:t>
      </w:r>
      <w:r>
        <w:rPr>
          <w:szCs w:val="24"/>
          <w:lang w:val="es-ES"/>
        </w:rPr>
        <w:t xml:space="preserve"> con cargo al presupuesto nacional.</w:t>
      </w:r>
    </w:p>
    <w:p w:rsidR="00F61BD5" w:rsidRPr="00B42594" w:rsidRDefault="00F61BD5" w:rsidP="00637350">
      <w:pPr>
        <w:pStyle w:val="SingleTxtG"/>
        <w:rPr>
          <w:szCs w:val="24"/>
          <w:lang w:val="es-ES"/>
        </w:rPr>
      </w:pPr>
      <w:r>
        <w:rPr>
          <w:szCs w:val="24"/>
          <w:lang w:val="es-ES"/>
        </w:rPr>
        <w:t>61.</w:t>
      </w:r>
      <w:r>
        <w:rPr>
          <w:szCs w:val="24"/>
          <w:lang w:val="es-ES"/>
        </w:rPr>
        <w:tab/>
        <w:t xml:space="preserve">En la esfera de la cultura, las actividades a las que se ha dado prioridad son el aumento de los contactos entre estonios y otras nacionalidades, </w:t>
      </w:r>
      <w:r w:rsidR="009923CF">
        <w:rPr>
          <w:szCs w:val="24"/>
          <w:lang w:val="es-ES"/>
        </w:rPr>
        <w:t xml:space="preserve">y </w:t>
      </w:r>
      <w:r>
        <w:rPr>
          <w:szCs w:val="24"/>
          <w:lang w:val="es-ES"/>
        </w:rPr>
        <w:t xml:space="preserve">el apoyo a las actividades conjuntas. El grupo </w:t>
      </w:r>
      <w:r w:rsidR="009923CF">
        <w:rPr>
          <w:szCs w:val="24"/>
          <w:lang w:val="es-ES"/>
        </w:rPr>
        <w:t xml:space="preserve">al que se </w:t>
      </w:r>
      <w:r>
        <w:rPr>
          <w:szCs w:val="24"/>
          <w:lang w:val="es-ES"/>
        </w:rPr>
        <w:t xml:space="preserve">dirigen esas actividades </w:t>
      </w:r>
      <w:r w:rsidR="009923CF">
        <w:rPr>
          <w:szCs w:val="24"/>
          <w:lang w:val="es-ES"/>
        </w:rPr>
        <w:t xml:space="preserve">está integrado por </w:t>
      </w:r>
      <w:r>
        <w:rPr>
          <w:szCs w:val="24"/>
          <w:lang w:val="es-ES"/>
        </w:rPr>
        <w:t xml:space="preserve">personas </w:t>
      </w:r>
      <w:r w:rsidR="00982583">
        <w:rPr>
          <w:szCs w:val="24"/>
          <w:lang w:val="es-ES"/>
        </w:rPr>
        <w:t xml:space="preserve">de orígenes étnicos diferentes </w:t>
      </w:r>
      <w:r>
        <w:rPr>
          <w:szCs w:val="24"/>
          <w:lang w:val="es-ES"/>
        </w:rPr>
        <w:t xml:space="preserve">que </w:t>
      </w:r>
      <w:r w:rsidR="009923CF">
        <w:rPr>
          <w:szCs w:val="24"/>
          <w:lang w:val="es-ES"/>
        </w:rPr>
        <w:t xml:space="preserve">viven </w:t>
      </w:r>
      <w:r>
        <w:rPr>
          <w:szCs w:val="24"/>
          <w:lang w:val="es-ES"/>
        </w:rPr>
        <w:t xml:space="preserve">en Estonia. En el caso de las actividades de cooperación, </w:t>
      </w:r>
      <w:r w:rsidR="00982583">
        <w:rPr>
          <w:szCs w:val="24"/>
          <w:lang w:val="es-ES"/>
        </w:rPr>
        <w:t>los destinatarios son todos los habitantes</w:t>
      </w:r>
      <w:r>
        <w:rPr>
          <w:szCs w:val="24"/>
          <w:lang w:val="es-ES"/>
        </w:rPr>
        <w:t xml:space="preserve"> independientemente de su ciudadanía u origen étnico y cultural.</w:t>
      </w:r>
    </w:p>
    <w:p w:rsidR="00F61BD5" w:rsidRPr="00EC62B5" w:rsidRDefault="00F61BD5" w:rsidP="00637350">
      <w:pPr>
        <w:pStyle w:val="SingleTxtG"/>
        <w:rPr>
          <w:szCs w:val="24"/>
          <w:lang w:val="es-ES"/>
        </w:rPr>
      </w:pPr>
      <w:r w:rsidRPr="00EC62B5">
        <w:rPr>
          <w:szCs w:val="24"/>
          <w:lang w:val="es-ES"/>
        </w:rPr>
        <w:t>62.</w:t>
      </w:r>
      <w:r w:rsidRPr="00EC62B5">
        <w:rPr>
          <w:szCs w:val="24"/>
          <w:lang w:val="es-ES"/>
        </w:rPr>
        <w:tab/>
      </w:r>
      <w:r w:rsidR="009923CF">
        <w:rPr>
          <w:szCs w:val="24"/>
          <w:lang w:val="es-ES"/>
        </w:rPr>
        <w:t xml:space="preserve">Desde 2009, organizaciones coordinadoras se encargan de </w:t>
      </w:r>
      <w:r>
        <w:rPr>
          <w:szCs w:val="24"/>
          <w:lang w:val="es-ES"/>
        </w:rPr>
        <w:t>a</w:t>
      </w:r>
      <w:r w:rsidR="009923CF">
        <w:rPr>
          <w:szCs w:val="24"/>
          <w:lang w:val="es-ES"/>
        </w:rPr>
        <w:t>signar</w:t>
      </w:r>
      <w:r>
        <w:rPr>
          <w:szCs w:val="24"/>
          <w:lang w:val="es-ES"/>
        </w:rPr>
        <w:t xml:space="preserve"> </w:t>
      </w:r>
      <w:r w:rsidR="009923CF">
        <w:rPr>
          <w:szCs w:val="24"/>
          <w:lang w:val="es-ES"/>
        </w:rPr>
        <w:t xml:space="preserve">donaciones </w:t>
      </w:r>
      <w:r>
        <w:rPr>
          <w:szCs w:val="24"/>
          <w:lang w:val="es-ES"/>
        </w:rPr>
        <w:t xml:space="preserve">a organizaciones culturales nacionales con cargo al presupuesto estatal. Las organizaciones coordinadoras </w:t>
      </w:r>
      <w:r w:rsidR="009923CF">
        <w:rPr>
          <w:szCs w:val="24"/>
          <w:lang w:val="es-ES"/>
        </w:rPr>
        <w:t>de</w:t>
      </w:r>
      <w:r>
        <w:rPr>
          <w:szCs w:val="24"/>
          <w:lang w:val="es-ES"/>
        </w:rPr>
        <w:t xml:space="preserve"> las minorías nacionales se dividen en organizaciones monoétnicas (por ejemplo, ucranianas, bielorrusas, rusas, etc.) y multiculturales (participan representantes de distintas nacionalidades).</w:t>
      </w:r>
    </w:p>
    <w:p w:rsidR="00F61BD5" w:rsidRPr="005B49F1" w:rsidRDefault="00F61BD5" w:rsidP="00637350">
      <w:pPr>
        <w:pStyle w:val="SingleTxtG"/>
        <w:rPr>
          <w:szCs w:val="24"/>
          <w:lang w:val="es-ES"/>
        </w:rPr>
      </w:pPr>
      <w:r>
        <w:rPr>
          <w:szCs w:val="24"/>
          <w:lang w:val="es-ES"/>
        </w:rPr>
        <w:t>63.</w:t>
      </w:r>
      <w:r>
        <w:rPr>
          <w:szCs w:val="24"/>
          <w:lang w:val="es-ES"/>
        </w:rPr>
        <w:tab/>
        <w:t xml:space="preserve">Desde 2009, </w:t>
      </w:r>
      <w:smartTag w:uri="urn:schemas-microsoft-com:office:smarttags" w:element="PersonName">
        <w:smartTagPr>
          <w:attr w:name="ProductID" w:val="la Fundaci￳n MISA"/>
        </w:smartTagPr>
        <w:r>
          <w:rPr>
            <w:szCs w:val="24"/>
            <w:lang w:val="es-ES"/>
          </w:rPr>
          <w:t>la Fundación MISA</w:t>
        </w:r>
      </w:smartTag>
      <w:r>
        <w:rPr>
          <w:szCs w:val="24"/>
          <w:lang w:val="es-ES"/>
        </w:rPr>
        <w:t xml:space="preserve"> ha financiado actividades de ONG, incluidas organizaciones juveniles, en las que participan personas de distintos orígenes étnicos. El objetivo de dichas actividades es promover un mayor entendimiento entre las personas y su pa</w:t>
      </w:r>
      <w:r w:rsidR="009923CF">
        <w:rPr>
          <w:szCs w:val="24"/>
          <w:lang w:val="es-ES"/>
        </w:rPr>
        <w:t>pel activo</w:t>
      </w:r>
      <w:r>
        <w:rPr>
          <w:szCs w:val="24"/>
          <w:lang w:val="es-ES"/>
        </w:rPr>
        <w:t xml:space="preserve"> en las ONG</w:t>
      </w:r>
      <w:r w:rsidR="009923CF">
        <w:rPr>
          <w:szCs w:val="24"/>
          <w:lang w:val="es-ES"/>
        </w:rPr>
        <w:t>,</w:t>
      </w:r>
      <w:r>
        <w:rPr>
          <w:szCs w:val="24"/>
          <w:lang w:val="es-ES"/>
        </w:rPr>
        <w:t xml:space="preserve"> a fin de mejorar el diálogo entre culturas y los contactos entre las distintas comunidades.</w:t>
      </w:r>
    </w:p>
    <w:p w:rsidR="00F61BD5" w:rsidRPr="00A77729" w:rsidRDefault="00F61BD5" w:rsidP="00637350">
      <w:pPr>
        <w:pStyle w:val="SingleTxtG"/>
        <w:rPr>
          <w:szCs w:val="24"/>
          <w:lang w:val="es-ES"/>
        </w:rPr>
      </w:pPr>
      <w:r>
        <w:rPr>
          <w:szCs w:val="24"/>
          <w:lang w:val="es-ES"/>
        </w:rPr>
        <w:t>64.</w:t>
      </w:r>
      <w:r>
        <w:rPr>
          <w:szCs w:val="24"/>
          <w:lang w:val="es-ES"/>
        </w:rPr>
        <w:tab/>
        <w:t xml:space="preserve">Además del apoyo recibido de </w:t>
      </w:r>
      <w:smartTag w:uri="urn:schemas-microsoft-com:office:smarttags" w:element="PersonName">
        <w:smartTagPr>
          <w:attr w:name="ProductID" w:val="la Fundaci￳n MISA"/>
        </w:smartTagPr>
        <w:r>
          <w:rPr>
            <w:szCs w:val="24"/>
            <w:lang w:val="es-ES"/>
          </w:rPr>
          <w:t>la Fundación MISA</w:t>
        </w:r>
      </w:smartTag>
      <w:r>
        <w:rPr>
          <w:szCs w:val="24"/>
          <w:lang w:val="es-ES"/>
        </w:rPr>
        <w:t xml:space="preserve">, las actividades culturales de las minorías nacionales reciben fondos </w:t>
      </w:r>
      <w:r w:rsidR="009923CF">
        <w:rPr>
          <w:szCs w:val="24"/>
          <w:lang w:val="es-ES"/>
        </w:rPr>
        <w:t>con cargo al</w:t>
      </w:r>
      <w:r>
        <w:rPr>
          <w:szCs w:val="24"/>
          <w:lang w:val="es-ES"/>
        </w:rPr>
        <w:t xml:space="preserve"> presupuesto estatal procedentes del Ministerio de Cultura, el Ministerio de Educación e Investigación, </w:t>
      </w:r>
      <w:r w:rsidR="00B95F1C">
        <w:rPr>
          <w:szCs w:val="24"/>
          <w:lang w:val="es-ES"/>
        </w:rPr>
        <w:t>e</w:t>
      </w:r>
      <w:r>
        <w:rPr>
          <w:szCs w:val="24"/>
          <w:lang w:val="es-ES"/>
        </w:rPr>
        <w:t xml:space="preserve">l </w:t>
      </w:r>
      <w:r w:rsidR="00B95F1C">
        <w:rPr>
          <w:szCs w:val="24"/>
          <w:lang w:val="es-ES"/>
        </w:rPr>
        <w:t xml:space="preserve">Patrimonio </w:t>
      </w:r>
      <w:r>
        <w:rPr>
          <w:szCs w:val="24"/>
          <w:lang w:val="es-ES"/>
        </w:rPr>
        <w:t>Cultural de Estonia, el Comité de</w:t>
      </w:r>
      <w:r w:rsidR="00B95F1C">
        <w:rPr>
          <w:szCs w:val="24"/>
          <w:lang w:val="es-ES"/>
        </w:rPr>
        <w:t xml:space="preserve">l Fondo del </w:t>
      </w:r>
      <w:r>
        <w:rPr>
          <w:szCs w:val="24"/>
          <w:lang w:val="es-ES"/>
        </w:rPr>
        <w:t>Impuesto sobre el Juego de Estonia</w:t>
      </w:r>
      <w:r w:rsidR="00B95F1C">
        <w:rPr>
          <w:szCs w:val="24"/>
          <w:lang w:val="es-ES"/>
        </w:rPr>
        <w:t>,</w:t>
      </w:r>
      <w:r>
        <w:rPr>
          <w:szCs w:val="24"/>
          <w:lang w:val="es-ES"/>
        </w:rPr>
        <w:t xml:space="preserve"> y </w:t>
      </w:r>
      <w:smartTag w:uri="urn:schemas-microsoft-com:office:smarttags" w:element="PersonName">
        <w:smartTagPr>
          <w:attr w:name="ProductID" w:val="la Fundaci￳n Nacional"/>
        </w:smartTagPr>
        <w:r>
          <w:rPr>
            <w:szCs w:val="24"/>
            <w:lang w:val="es-ES"/>
          </w:rPr>
          <w:t>la Fundación Nacional</w:t>
        </w:r>
      </w:smartTag>
      <w:r>
        <w:rPr>
          <w:szCs w:val="24"/>
          <w:lang w:val="es-ES"/>
        </w:rPr>
        <w:t xml:space="preserve"> de </w:t>
      </w:r>
      <w:smartTag w:uri="urn:schemas-microsoft-com:office:smarttags" w:element="PersonName">
        <w:smartTagPr>
          <w:attr w:name="ProductID" w:val="la Sociedad Civil."/>
        </w:smartTagPr>
        <w:r>
          <w:rPr>
            <w:szCs w:val="24"/>
            <w:lang w:val="es-ES"/>
          </w:rPr>
          <w:t>la Sociedad Civil.</w:t>
        </w:r>
      </w:smartTag>
      <w:r>
        <w:rPr>
          <w:szCs w:val="24"/>
          <w:lang w:val="es-ES"/>
        </w:rPr>
        <w:t xml:space="preserve"> Los gobiernos locales también </w:t>
      </w:r>
      <w:r w:rsidR="000D7DF4">
        <w:rPr>
          <w:szCs w:val="24"/>
          <w:lang w:val="es-ES"/>
        </w:rPr>
        <w:t>apoyan</w:t>
      </w:r>
      <w:r w:rsidR="00B95F1C">
        <w:rPr>
          <w:szCs w:val="24"/>
          <w:lang w:val="es-ES"/>
        </w:rPr>
        <w:t xml:space="preserve"> </w:t>
      </w:r>
      <w:r>
        <w:rPr>
          <w:szCs w:val="24"/>
          <w:lang w:val="es-ES"/>
        </w:rPr>
        <w:t>l</w:t>
      </w:r>
      <w:r w:rsidR="00B95F1C">
        <w:rPr>
          <w:szCs w:val="24"/>
          <w:lang w:val="es-ES"/>
        </w:rPr>
        <w:t>as</w:t>
      </w:r>
      <w:r>
        <w:rPr>
          <w:szCs w:val="24"/>
          <w:lang w:val="es-ES"/>
        </w:rPr>
        <w:t xml:space="preserve"> </w:t>
      </w:r>
      <w:r w:rsidR="00B95F1C">
        <w:rPr>
          <w:szCs w:val="24"/>
          <w:lang w:val="es-ES"/>
        </w:rPr>
        <w:t xml:space="preserve">lenguas </w:t>
      </w:r>
      <w:r>
        <w:rPr>
          <w:szCs w:val="24"/>
          <w:lang w:val="es-ES"/>
        </w:rPr>
        <w:t xml:space="preserve">y la cultura de las minorías nacionales, que </w:t>
      </w:r>
      <w:r w:rsidR="00B95F1C">
        <w:rPr>
          <w:szCs w:val="24"/>
          <w:lang w:val="es-ES"/>
        </w:rPr>
        <w:t xml:space="preserve">además </w:t>
      </w:r>
      <w:r w:rsidR="000D7DF4">
        <w:rPr>
          <w:szCs w:val="24"/>
          <w:lang w:val="es-ES"/>
        </w:rPr>
        <w:t>reciben asistencia</w:t>
      </w:r>
      <w:r>
        <w:rPr>
          <w:szCs w:val="24"/>
          <w:lang w:val="es-ES"/>
        </w:rPr>
        <w:t xml:space="preserve"> de fundaciones privadas y embajadas extranjeras.</w:t>
      </w:r>
    </w:p>
    <w:p w:rsidR="00F61BD5" w:rsidRDefault="00F61BD5" w:rsidP="00637350">
      <w:pPr>
        <w:pStyle w:val="SingleTxtG"/>
        <w:rPr>
          <w:szCs w:val="24"/>
          <w:lang w:val="es-ES"/>
        </w:rPr>
      </w:pPr>
      <w:r w:rsidRPr="00025910">
        <w:rPr>
          <w:szCs w:val="24"/>
          <w:lang w:val="es-ES"/>
        </w:rPr>
        <w:t>65.</w:t>
      </w:r>
      <w:r w:rsidRPr="00025910">
        <w:rPr>
          <w:szCs w:val="24"/>
          <w:lang w:val="es-ES"/>
        </w:rPr>
        <w:tab/>
      </w:r>
      <w:r>
        <w:rPr>
          <w:szCs w:val="24"/>
          <w:lang w:val="es-ES"/>
        </w:rPr>
        <w:t>Más de 400 asociados en la esfera de la cooperación, a saber, asociaciones sin fines de lucro, instituciones educativas y centros de investigación científica, gobiernos locales y otras ONG</w:t>
      </w:r>
      <w:r w:rsidR="00B95F1C">
        <w:rPr>
          <w:szCs w:val="24"/>
          <w:lang w:val="es-ES"/>
        </w:rPr>
        <w:t>,</w:t>
      </w:r>
      <w:r>
        <w:rPr>
          <w:szCs w:val="24"/>
          <w:lang w:val="es-ES"/>
        </w:rPr>
        <w:t xml:space="preserve"> están llevando a cabo actividades de integración todos los años en el marco del Plan de Integración. </w:t>
      </w:r>
    </w:p>
    <w:p w:rsidR="00F61BD5" w:rsidRPr="00025910" w:rsidRDefault="00F61BD5" w:rsidP="00637350">
      <w:pPr>
        <w:pStyle w:val="SingleTxtG"/>
        <w:rPr>
          <w:szCs w:val="24"/>
          <w:lang w:val="es-ES"/>
        </w:rPr>
      </w:pPr>
      <w:r>
        <w:rPr>
          <w:szCs w:val="24"/>
          <w:lang w:val="es-ES"/>
        </w:rPr>
        <w:t>66.</w:t>
      </w:r>
      <w:r>
        <w:rPr>
          <w:szCs w:val="24"/>
          <w:lang w:val="es-ES"/>
        </w:rPr>
        <w:tab/>
        <w:t xml:space="preserve">En 2010 se inauguró el portal de Internet </w:t>
      </w:r>
      <w:r w:rsidRPr="008F6BAB">
        <w:rPr>
          <w:szCs w:val="24"/>
          <w:lang w:val="es-ES"/>
        </w:rPr>
        <w:t>www.etnoweb.ee</w:t>
      </w:r>
      <w:r>
        <w:rPr>
          <w:szCs w:val="24"/>
          <w:lang w:val="es-ES"/>
        </w:rPr>
        <w:t xml:space="preserve"> con el fin de dar a conocer las actividades de las asociaciones culturales de las minorías nacionales. Desde 2008</w:t>
      </w:r>
      <w:r w:rsidR="00B95F1C">
        <w:rPr>
          <w:szCs w:val="24"/>
          <w:lang w:val="es-ES"/>
        </w:rPr>
        <w:t>,</w:t>
      </w:r>
      <w:r>
        <w:rPr>
          <w:szCs w:val="24"/>
          <w:lang w:val="es-ES"/>
        </w:rPr>
        <w:t xml:space="preserve"> </w:t>
      </w:r>
      <w:r w:rsidR="00B95F1C">
        <w:rPr>
          <w:szCs w:val="24"/>
          <w:lang w:val="es-ES"/>
        </w:rPr>
        <w:t>el Consejo Cultural de las Minorías Nacionales</w:t>
      </w:r>
      <w:r>
        <w:rPr>
          <w:szCs w:val="24"/>
          <w:lang w:val="es-ES"/>
        </w:rPr>
        <w:t xml:space="preserve"> </w:t>
      </w:r>
      <w:r w:rsidR="00B95F1C">
        <w:rPr>
          <w:szCs w:val="24"/>
          <w:lang w:val="es-ES"/>
        </w:rPr>
        <w:t xml:space="preserve">funciona como órgano asesor </w:t>
      </w:r>
      <w:r w:rsidR="00982583">
        <w:rPr>
          <w:szCs w:val="24"/>
          <w:lang w:val="es-ES"/>
        </w:rPr>
        <w:t>del Ministerio de Cultura</w:t>
      </w:r>
      <w:r>
        <w:rPr>
          <w:szCs w:val="24"/>
          <w:lang w:val="es-ES"/>
        </w:rPr>
        <w:t>. El Consejo formula propuestas relativas a la promoción y el apoyo de las actividades culturales de las minorías nacionales.</w:t>
      </w:r>
    </w:p>
    <w:p w:rsidR="00F61BD5" w:rsidRPr="008A3B5E" w:rsidRDefault="00F61BD5" w:rsidP="00637350">
      <w:pPr>
        <w:pStyle w:val="SingleTxtG"/>
      </w:pPr>
      <w:r>
        <w:rPr>
          <w:lang w:val="es-ES"/>
        </w:rPr>
        <w:t>6</w:t>
      </w:r>
      <w:r w:rsidR="000D7DF4">
        <w:rPr>
          <w:lang w:val="es-ES"/>
        </w:rPr>
        <w:t>7.</w:t>
      </w:r>
      <w:r w:rsidR="000D7DF4">
        <w:rPr>
          <w:lang w:val="es-ES"/>
        </w:rPr>
        <w:tab/>
        <w:t>El Ministerio de Cultura brinda</w:t>
      </w:r>
      <w:r>
        <w:rPr>
          <w:lang w:val="es-ES"/>
        </w:rPr>
        <w:t xml:space="preserve"> apoyo a las actividades en la esfera de los derechos humanos y la igualdad de trato, así como a la cooperación con las organizaciones cuya labor está relacionada con los derechos humanos y los derechos de las minorías étnicas. En Estonia hay tres organizaciones que llevan a cabo actividades de </w:t>
      </w:r>
      <w:r w:rsidR="00AD310D">
        <w:rPr>
          <w:lang w:val="es-ES"/>
        </w:rPr>
        <w:t xml:space="preserve">investigación y </w:t>
      </w:r>
      <w:r>
        <w:rPr>
          <w:lang w:val="es-ES"/>
        </w:rPr>
        <w:t>sensibilización en materia de derechos humanos, a saber, el Centro de Información Jurídica para los Derechos Humanos</w:t>
      </w:r>
      <w:r>
        <w:rPr>
          <w:rStyle w:val="FootnoteReference"/>
          <w:noProof/>
          <w:szCs w:val="24"/>
          <w:lang w:val="es-ES"/>
        </w:rPr>
        <w:footnoteReference w:id="17"/>
      </w:r>
      <w:r>
        <w:rPr>
          <w:lang w:val="es-ES"/>
        </w:rPr>
        <w:t>, el Instituto de Derechos Humanos de Estonia</w:t>
      </w:r>
      <w:r>
        <w:rPr>
          <w:rStyle w:val="FootnoteReference"/>
          <w:noProof/>
          <w:szCs w:val="24"/>
          <w:lang w:val="es-ES"/>
        </w:rPr>
        <w:footnoteReference w:id="18"/>
      </w:r>
      <w:r w:rsidRPr="007E4D9D">
        <w:rPr>
          <w:noProof/>
          <w:lang w:val="es-ES"/>
        </w:rPr>
        <w:t xml:space="preserve"> </w:t>
      </w:r>
      <w:r>
        <w:rPr>
          <w:lang w:val="es-ES"/>
        </w:rPr>
        <w:t>y el Centro de Derechos Humanos</w:t>
      </w:r>
      <w:r>
        <w:rPr>
          <w:rStyle w:val="FootnoteReference"/>
          <w:noProof/>
          <w:szCs w:val="24"/>
          <w:lang w:val="es-ES"/>
        </w:rPr>
        <w:footnoteReference w:id="19"/>
      </w:r>
      <w:r>
        <w:rPr>
          <w:lang w:val="es-ES"/>
        </w:rPr>
        <w:t xml:space="preserve">, </w:t>
      </w:r>
      <w:r w:rsidR="00A23342">
        <w:rPr>
          <w:lang w:val="es-ES"/>
        </w:rPr>
        <w:t>que</w:t>
      </w:r>
      <w:r>
        <w:rPr>
          <w:lang w:val="es-ES"/>
        </w:rPr>
        <w:t xml:space="preserve"> </w:t>
      </w:r>
      <w:r w:rsidR="00AD310D">
        <w:rPr>
          <w:lang w:val="es-ES"/>
        </w:rPr>
        <w:t>desempeñan una función a</w:t>
      </w:r>
      <w:r>
        <w:rPr>
          <w:lang w:val="es-ES"/>
        </w:rPr>
        <w:t>ctiva a nivel local, nacional e internacional</w:t>
      </w:r>
      <w:r w:rsidR="00A23342">
        <w:rPr>
          <w:lang w:val="es-ES"/>
        </w:rPr>
        <w:t xml:space="preserve"> al</w:t>
      </w:r>
      <w:r>
        <w:rPr>
          <w:lang w:val="es-ES"/>
        </w:rPr>
        <w:t xml:space="preserve"> </w:t>
      </w:r>
      <w:r w:rsidR="00A23342">
        <w:rPr>
          <w:lang w:val="es-ES"/>
        </w:rPr>
        <w:t>facilitar</w:t>
      </w:r>
      <w:r w:rsidR="00AD310D">
        <w:rPr>
          <w:lang w:val="es-ES"/>
        </w:rPr>
        <w:t xml:space="preserve"> </w:t>
      </w:r>
      <w:r>
        <w:rPr>
          <w:lang w:val="es-ES"/>
        </w:rPr>
        <w:t xml:space="preserve">diariamente </w:t>
      </w:r>
      <w:r w:rsidR="00AD310D">
        <w:rPr>
          <w:lang w:val="es-ES"/>
        </w:rPr>
        <w:t>informaci</w:t>
      </w:r>
      <w:r w:rsidR="0019761F">
        <w:rPr>
          <w:lang w:val="es-ES"/>
        </w:rPr>
        <w:t xml:space="preserve">ón y </w:t>
      </w:r>
      <w:r w:rsidR="00AD310D">
        <w:rPr>
          <w:lang w:val="es-ES"/>
        </w:rPr>
        <w:t xml:space="preserve">asesoramiento </w:t>
      </w:r>
      <w:r>
        <w:rPr>
          <w:lang w:val="es-ES"/>
        </w:rPr>
        <w:t>a personas, entidades, instituciones estatales y organizaciones internacionales.</w:t>
      </w:r>
    </w:p>
    <w:p w:rsidR="004D6465" w:rsidRPr="00690FA2" w:rsidRDefault="004D6465" w:rsidP="00637350">
      <w:pPr>
        <w:pStyle w:val="SingleTxtG"/>
        <w:rPr>
          <w:lang w:val="es-ES"/>
        </w:rPr>
      </w:pPr>
      <w:r>
        <w:rPr>
          <w:lang w:val="es-ES"/>
        </w:rPr>
        <w:t>68.</w:t>
      </w:r>
      <w:r>
        <w:rPr>
          <w:lang w:val="es-ES"/>
        </w:rPr>
        <w:tab/>
        <w:t xml:space="preserve">Desde 2007, el Centro de Derechos Humanos, una fundación que se ocupa de la promoción y protección de los derechos humanos, ha publicado </w:t>
      </w:r>
      <w:r w:rsidR="00A23342">
        <w:rPr>
          <w:lang w:val="es-ES"/>
        </w:rPr>
        <w:t>cada año</w:t>
      </w:r>
      <w:r>
        <w:rPr>
          <w:lang w:val="es-ES"/>
        </w:rPr>
        <w:t xml:space="preserve"> un informe titulado </w:t>
      </w:r>
      <w:r w:rsidR="002B491B">
        <w:rPr>
          <w:lang w:val="es-ES"/>
        </w:rPr>
        <w:t>"</w:t>
      </w:r>
      <w:r>
        <w:rPr>
          <w:lang w:val="es-ES"/>
        </w:rPr>
        <w:t>Los derechos humanos en Estonia</w:t>
      </w:r>
      <w:r w:rsidR="002B491B">
        <w:rPr>
          <w:lang w:val="es-ES"/>
        </w:rPr>
        <w:t>"</w:t>
      </w:r>
      <w:r>
        <w:rPr>
          <w:lang w:val="es-ES"/>
        </w:rPr>
        <w:t>. En ese informe se abordan cuestiones como la prohibición de la discriminación y la situación de las minorías nacionales en Estonia</w:t>
      </w:r>
      <w:r>
        <w:rPr>
          <w:rStyle w:val="FootnoteReference"/>
          <w:szCs w:val="24"/>
          <w:lang w:val="es-ES"/>
        </w:rPr>
        <w:footnoteReference w:id="20"/>
      </w:r>
      <w:r w:rsidR="009B72DA">
        <w:rPr>
          <w:lang w:val="es-ES"/>
        </w:rPr>
        <w:t>.</w:t>
      </w:r>
      <w:r>
        <w:rPr>
          <w:lang w:val="es-ES"/>
        </w:rPr>
        <w:t xml:space="preserve"> El Centro también brinda asesoramiento gratuito sobre </w:t>
      </w:r>
      <w:r w:rsidR="00A23342">
        <w:rPr>
          <w:lang w:val="es-ES"/>
        </w:rPr>
        <w:t xml:space="preserve">la </w:t>
      </w:r>
      <w:r>
        <w:rPr>
          <w:lang w:val="es-ES"/>
        </w:rPr>
        <w:t xml:space="preserve">igualdad de trato y </w:t>
      </w:r>
      <w:r w:rsidR="00A23342">
        <w:rPr>
          <w:lang w:val="es-ES"/>
        </w:rPr>
        <w:t xml:space="preserve">la </w:t>
      </w:r>
      <w:r>
        <w:rPr>
          <w:lang w:val="es-ES"/>
        </w:rPr>
        <w:t>discriminación.</w:t>
      </w:r>
    </w:p>
    <w:p w:rsidR="00F61BD5" w:rsidRPr="00EF3B97" w:rsidRDefault="00F61BD5" w:rsidP="00637350">
      <w:pPr>
        <w:pStyle w:val="SingleTxtG"/>
        <w:rPr>
          <w:szCs w:val="24"/>
          <w:lang w:val="es-ES"/>
        </w:rPr>
      </w:pPr>
      <w:r>
        <w:rPr>
          <w:szCs w:val="24"/>
          <w:lang w:val="es-ES"/>
        </w:rPr>
        <w:t>69.</w:t>
      </w:r>
      <w:r>
        <w:rPr>
          <w:szCs w:val="24"/>
          <w:lang w:val="es-ES"/>
        </w:rPr>
        <w:tab/>
        <w:t xml:space="preserve">El Centro de Información Jurídica para los Derechos Humanos presta asistencia letrada, además de recopilar y distribuir información relativa a los derechos humanos, si bien se centra en el asesoramiento relativo a la emigración y los permisos de residencia. Desde 2005, el Centro gestiona una línea de atención telefónica para víctimas de la discriminación, a través de la cual sus empleados y voluntarios responden </w:t>
      </w:r>
      <w:r w:rsidR="0019761F">
        <w:rPr>
          <w:szCs w:val="24"/>
          <w:lang w:val="es-ES"/>
        </w:rPr>
        <w:t xml:space="preserve">a </w:t>
      </w:r>
      <w:r>
        <w:rPr>
          <w:szCs w:val="24"/>
          <w:lang w:val="es-ES"/>
        </w:rPr>
        <w:t xml:space="preserve">preguntas y proporcionan asistencia jurídica e información sobre </w:t>
      </w:r>
      <w:r w:rsidR="00982583">
        <w:rPr>
          <w:szCs w:val="24"/>
          <w:lang w:val="es-ES"/>
        </w:rPr>
        <w:t xml:space="preserve">las </w:t>
      </w:r>
      <w:r>
        <w:rPr>
          <w:szCs w:val="24"/>
          <w:lang w:val="es-ES"/>
        </w:rPr>
        <w:t>asociaciones sin fines de lucro y</w:t>
      </w:r>
      <w:r w:rsidR="00982583">
        <w:rPr>
          <w:szCs w:val="24"/>
          <w:lang w:val="es-ES"/>
        </w:rPr>
        <w:t xml:space="preserve"> las</w:t>
      </w:r>
      <w:r>
        <w:rPr>
          <w:szCs w:val="24"/>
          <w:lang w:val="es-ES"/>
        </w:rPr>
        <w:t xml:space="preserve"> autoridades estatales competentes</w:t>
      </w:r>
      <w:r w:rsidR="001C50AC">
        <w:rPr>
          <w:szCs w:val="24"/>
          <w:lang w:val="es-ES"/>
        </w:rPr>
        <w:t xml:space="preserve"> en esa esfera</w:t>
      </w:r>
      <w:r>
        <w:rPr>
          <w:szCs w:val="24"/>
          <w:lang w:val="es-ES"/>
        </w:rPr>
        <w:t xml:space="preserve">. El Centro de Información </w:t>
      </w:r>
      <w:r w:rsidR="0019761F">
        <w:rPr>
          <w:szCs w:val="24"/>
          <w:lang w:val="es-ES"/>
        </w:rPr>
        <w:t xml:space="preserve">Jurídica </w:t>
      </w:r>
      <w:r>
        <w:rPr>
          <w:szCs w:val="24"/>
          <w:lang w:val="es-ES"/>
        </w:rPr>
        <w:t>participa en l</w:t>
      </w:r>
      <w:r w:rsidR="0019761F">
        <w:rPr>
          <w:szCs w:val="24"/>
          <w:lang w:val="es-ES"/>
        </w:rPr>
        <w:t>a</w:t>
      </w:r>
      <w:r>
        <w:rPr>
          <w:szCs w:val="24"/>
          <w:lang w:val="es-ES"/>
        </w:rPr>
        <w:t xml:space="preserve"> </w:t>
      </w:r>
      <w:r w:rsidR="0019761F">
        <w:rPr>
          <w:szCs w:val="24"/>
          <w:lang w:val="es-ES"/>
        </w:rPr>
        <w:t xml:space="preserve">labor </w:t>
      </w:r>
      <w:r>
        <w:rPr>
          <w:szCs w:val="24"/>
          <w:lang w:val="es-ES"/>
        </w:rPr>
        <w:t xml:space="preserve">de </w:t>
      </w:r>
      <w:smartTag w:uri="urn:schemas-microsoft-com:office:smarttags" w:element="PersonName">
        <w:smartTagPr>
          <w:attr w:name="ProductID" w:val="la Red Europea"/>
        </w:smartTagPr>
        <w:r>
          <w:rPr>
            <w:szCs w:val="24"/>
            <w:lang w:val="es-ES"/>
          </w:rPr>
          <w:t>la Red Europea</w:t>
        </w:r>
      </w:smartTag>
      <w:r>
        <w:rPr>
          <w:szCs w:val="24"/>
          <w:lang w:val="es-ES"/>
        </w:rPr>
        <w:t xml:space="preserve"> contra el Racismo</w:t>
      </w:r>
      <w:r w:rsidR="0019761F">
        <w:rPr>
          <w:szCs w:val="24"/>
          <w:lang w:val="es-ES"/>
        </w:rPr>
        <w:t xml:space="preserve"> (ENAR)</w:t>
      </w:r>
      <w:r>
        <w:rPr>
          <w:szCs w:val="24"/>
          <w:lang w:val="es-ES"/>
        </w:rPr>
        <w:t xml:space="preserve">. En 2008, el Centro de Información Jurídica para los Derechos Humanos pasó a ser miembro de </w:t>
      </w:r>
      <w:smartTag w:uri="urn:schemas-microsoft-com:office:smarttags" w:element="PersonName">
        <w:smartTagPr>
          <w:attr w:name="ProductID" w:val="la Asociaci￳n Europea"/>
        </w:smartTagPr>
        <w:r>
          <w:rPr>
            <w:szCs w:val="24"/>
            <w:lang w:val="es-ES"/>
          </w:rPr>
          <w:t>la Asociación Europea</w:t>
        </w:r>
      </w:smartTag>
      <w:r>
        <w:rPr>
          <w:szCs w:val="24"/>
          <w:lang w:val="es-ES"/>
        </w:rPr>
        <w:t xml:space="preserve"> de Derechos Humanos (AEDH).</w:t>
      </w:r>
    </w:p>
    <w:p w:rsidR="00F61BD5" w:rsidRDefault="00F61BD5" w:rsidP="00637350">
      <w:pPr>
        <w:pStyle w:val="SingleTxtG"/>
        <w:rPr>
          <w:szCs w:val="24"/>
          <w:lang w:val="es-ES"/>
        </w:rPr>
      </w:pPr>
      <w:r>
        <w:rPr>
          <w:szCs w:val="24"/>
          <w:lang w:val="es-ES"/>
        </w:rPr>
        <w:t>70.</w:t>
      </w:r>
      <w:r>
        <w:rPr>
          <w:szCs w:val="24"/>
          <w:lang w:val="es-ES"/>
        </w:rPr>
        <w:tab/>
        <w:t>El Instituto de Derechos Humanos de Estonia</w:t>
      </w:r>
      <w:r w:rsidR="001C50AC">
        <w:rPr>
          <w:szCs w:val="24"/>
          <w:lang w:val="es-ES"/>
        </w:rPr>
        <w:t xml:space="preserve">, </w:t>
      </w:r>
      <w:r w:rsidR="00DA6C8C">
        <w:rPr>
          <w:szCs w:val="24"/>
          <w:lang w:val="es-ES"/>
        </w:rPr>
        <w:t>estableci</w:t>
      </w:r>
      <w:r w:rsidR="001C50AC">
        <w:rPr>
          <w:szCs w:val="24"/>
          <w:lang w:val="es-ES"/>
        </w:rPr>
        <w:t>do</w:t>
      </w:r>
      <w:r>
        <w:rPr>
          <w:szCs w:val="24"/>
          <w:lang w:val="es-ES"/>
        </w:rPr>
        <w:t xml:space="preserve"> en 1992</w:t>
      </w:r>
      <w:r w:rsidR="00DA6C8C">
        <w:rPr>
          <w:szCs w:val="24"/>
          <w:lang w:val="es-ES"/>
        </w:rPr>
        <w:t>,</w:t>
      </w:r>
      <w:r>
        <w:rPr>
          <w:szCs w:val="24"/>
          <w:lang w:val="es-ES"/>
        </w:rPr>
        <w:t xml:space="preserve"> es la primera organiz</w:t>
      </w:r>
      <w:r w:rsidR="00982583">
        <w:rPr>
          <w:szCs w:val="24"/>
          <w:lang w:val="es-ES"/>
        </w:rPr>
        <w:t xml:space="preserve">ación independiente </w:t>
      </w:r>
      <w:r w:rsidR="00DA6C8C">
        <w:rPr>
          <w:szCs w:val="24"/>
          <w:lang w:val="es-ES"/>
        </w:rPr>
        <w:t xml:space="preserve">encargada </w:t>
      </w:r>
      <w:r>
        <w:rPr>
          <w:szCs w:val="24"/>
          <w:lang w:val="es-ES"/>
        </w:rPr>
        <w:t>de prote</w:t>
      </w:r>
      <w:r w:rsidR="00DA6C8C">
        <w:rPr>
          <w:szCs w:val="24"/>
          <w:lang w:val="es-ES"/>
        </w:rPr>
        <w:t>ger</w:t>
      </w:r>
      <w:r>
        <w:rPr>
          <w:szCs w:val="24"/>
          <w:lang w:val="es-ES"/>
        </w:rPr>
        <w:t xml:space="preserve"> los derechos humanos y la que </w:t>
      </w:r>
      <w:r w:rsidR="00982583">
        <w:rPr>
          <w:szCs w:val="24"/>
          <w:lang w:val="es-ES"/>
        </w:rPr>
        <w:t>ha permanecido</w:t>
      </w:r>
      <w:r>
        <w:rPr>
          <w:szCs w:val="24"/>
          <w:lang w:val="es-ES"/>
        </w:rPr>
        <w:t xml:space="preserve"> activa durante más tiempo</w:t>
      </w:r>
      <w:r w:rsidR="00DA6C8C">
        <w:rPr>
          <w:szCs w:val="24"/>
          <w:lang w:val="es-ES"/>
        </w:rPr>
        <w:t xml:space="preserve"> en el país</w:t>
      </w:r>
      <w:r>
        <w:rPr>
          <w:szCs w:val="24"/>
          <w:lang w:val="es-ES"/>
        </w:rPr>
        <w:t>.</w:t>
      </w:r>
      <w:r w:rsidRPr="00690FA2">
        <w:rPr>
          <w:szCs w:val="24"/>
          <w:lang w:val="es-ES"/>
        </w:rPr>
        <w:t xml:space="preserve"> </w:t>
      </w:r>
      <w:r>
        <w:rPr>
          <w:szCs w:val="24"/>
          <w:lang w:val="es-ES"/>
        </w:rPr>
        <w:t>El Instituto presta servicios de asesorami</w:t>
      </w:r>
      <w:r w:rsidR="00CA3899">
        <w:rPr>
          <w:szCs w:val="24"/>
          <w:lang w:val="es-ES"/>
        </w:rPr>
        <w:t>ento al público tanto en Tallin</w:t>
      </w:r>
      <w:r>
        <w:rPr>
          <w:szCs w:val="24"/>
          <w:lang w:val="es-ES"/>
        </w:rPr>
        <w:t xml:space="preserve"> como en el condado de Ida-Viru. </w:t>
      </w:r>
      <w:r w:rsidR="003102CF">
        <w:rPr>
          <w:szCs w:val="24"/>
          <w:lang w:val="es-ES"/>
        </w:rPr>
        <w:t xml:space="preserve">Forma parte del </w:t>
      </w:r>
      <w:r>
        <w:rPr>
          <w:szCs w:val="24"/>
          <w:lang w:val="es-ES"/>
        </w:rPr>
        <w:t xml:space="preserve">Movimiento Europeo Antirracista de Base </w:t>
      </w:r>
      <w:r w:rsidR="00B63CB0">
        <w:rPr>
          <w:szCs w:val="24"/>
          <w:lang w:val="es-ES"/>
        </w:rPr>
        <w:t xml:space="preserve">(EGAM) </w:t>
      </w:r>
      <w:r>
        <w:rPr>
          <w:szCs w:val="24"/>
          <w:lang w:val="es-ES"/>
        </w:rPr>
        <w:t xml:space="preserve">y de </w:t>
      </w:r>
      <w:smartTag w:uri="urn:schemas-microsoft-com:office:smarttags" w:element="PersonName">
        <w:smartTagPr>
          <w:attr w:name="ProductID" w:val="la Plataforma"/>
        </w:smartTagPr>
        <w:r>
          <w:rPr>
            <w:szCs w:val="24"/>
            <w:lang w:val="es-ES"/>
          </w:rPr>
          <w:t>la Plataforma</w:t>
        </w:r>
      </w:smartTag>
      <w:r>
        <w:rPr>
          <w:szCs w:val="24"/>
          <w:lang w:val="es-ES"/>
        </w:rPr>
        <w:t xml:space="preserve"> de Derechos Fundamentales de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un órgano consultivo que desempeña sus actividades en el marco de </w:t>
      </w:r>
      <w:smartTag w:uri="urn:schemas-microsoft-com:office:smarttags" w:element="PersonName">
        <w:smartTagPr>
          <w:attr w:name="ProductID" w:val="la Agencia"/>
        </w:smartTagPr>
        <w:r>
          <w:rPr>
            <w:szCs w:val="24"/>
            <w:lang w:val="es-ES"/>
          </w:rPr>
          <w:t>la Agencia</w:t>
        </w:r>
      </w:smartTag>
      <w:r>
        <w:rPr>
          <w:szCs w:val="24"/>
          <w:lang w:val="es-ES"/>
        </w:rPr>
        <w:t xml:space="preserve"> de los Derechos Fundamentales de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y está </w:t>
      </w:r>
      <w:r w:rsidR="00982583">
        <w:rPr>
          <w:szCs w:val="24"/>
          <w:lang w:val="es-ES"/>
        </w:rPr>
        <w:t>integrado</w:t>
      </w:r>
      <w:r>
        <w:rPr>
          <w:szCs w:val="24"/>
          <w:lang w:val="es-ES"/>
        </w:rPr>
        <w:t xml:space="preserve"> por distintas ONG. El Instituto forma</w:t>
      </w:r>
      <w:r w:rsidR="003102CF">
        <w:rPr>
          <w:szCs w:val="24"/>
          <w:lang w:val="es-ES"/>
        </w:rPr>
        <w:t xml:space="preserve"> </w:t>
      </w:r>
      <w:r>
        <w:rPr>
          <w:szCs w:val="24"/>
          <w:lang w:val="es-ES"/>
        </w:rPr>
        <w:t xml:space="preserve">parte </w:t>
      </w:r>
      <w:r w:rsidR="00037999">
        <w:rPr>
          <w:szCs w:val="24"/>
          <w:lang w:val="es-ES"/>
        </w:rPr>
        <w:t xml:space="preserve">asimismo </w:t>
      </w:r>
      <w:r>
        <w:rPr>
          <w:szCs w:val="24"/>
          <w:lang w:val="es-ES"/>
        </w:rPr>
        <w:t xml:space="preserve">de </w:t>
      </w:r>
      <w:r w:rsidR="00B63CB0">
        <w:rPr>
          <w:szCs w:val="24"/>
          <w:lang w:val="es-ES"/>
        </w:rPr>
        <w:t xml:space="preserve">las </w:t>
      </w:r>
      <w:r>
        <w:rPr>
          <w:szCs w:val="24"/>
          <w:lang w:val="es-ES"/>
        </w:rPr>
        <w:t xml:space="preserve">redes de cooperación nacionales e internacionales en el contexto de las Naciones Unidas,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y el Consejo de Europa, como por ejemplo el E</w:t>
      </w:r>
      <w:r w:rsidR="00B63CB0">
        <w:rPr>
          <w:szCs w:val="24"/>
          <w:lang w:val="es-ES"/>
        </w:rPr>
        <w:t>G</w:t>
      </w:r>
      <w:r>
        <w:rPr>
          <w:szCs w:val="24"/>
          <w:lang w:val="es-ES"/>
        </w:rPr>
        <w:t>A</w:t>
      </w:r>
      <w:r w:rsidR="00B63CB0">
        <w:rPr>
          <w:szCs w:val="24"/>
          <w:lang w:val="es-ES"/>
        </w:rPr>
        <w:t>M</w:t>
      </w:r>
      <w:r>
        <w:rPr>
          <w:szCs w:val="24"/>
          <w:lang w:val="es-ES"/>
        </w:rPr>
        <w:t>, creado en 2010 para reforzar las actividades de lucha con</w:t>
      </w:r>
      <w:r w:rsidR="00550237">
        <w:rPr>
          <w:szCs w:val="24"/>
          <w:lang w:val="es-ES"/>
        </w:rPr>
        <w:t>tra el racismo por parte de</w:t>
      </w:r>
      <w:r>
        <w:rPr>
          <w:szCs w:val="24"/>
          <w:lang w:val="es-ES"/>
        </w:rPr>
        <w:t xml:space="preserve"> las asociaciones de ciudadanos</w:t>
      </w:r>
      <w:r w:rsidR="00B63CB0">
        <w:rPr>
          <w:szCs w:val="24"/>
          <w:lang w:val="es-ES"/>
        </w:rPr>
        <w:t xml:space="preserve"> </w:t>
      </w:r>
      <w:r w:rsidR="00037999">
        <w:rPr>
          <w:szCs w:val="24"/>
          <w:lang w:val="es-ES"/>
        </w:rPr>
        <w:t>en E</w:t>
      </w:r>
      <w:r w:rsidR="00B63CB0">
        <w:rPr>
          <w:szCs w:val="24"/>
          <w:lang w:val="es-ES"/>
        </w:rPr>
        <w:t>urop</w:t>
      </w:r>
      <w:r w:rsidR="00037999">
        <w:rPr>
          <w:szCs w:val="24"/>
          <w:lang w:val="es-ES"/>
        </w:rPr>
        <w:t>a</w:t>
      </w:r>
      <w:r w:rsidR="00550237">
        <w:rPr>
          <w:szCs w:val="24"/>
          <w:lang w:val="es-ES"/>
        </w:rPr>
        <w:t>. El Instituto t</w:t>
      </w:r>
      <w:r>
        <w:rPr>
          <w:szCs w:val="24"/>
          <w:lang w:val="es-ES"/>
        </w:rPr>
        <w:t>ambién coopera con el Comité de Helsinki en Polonia. Por iniciativa del Instituto de Derechos Humanos de Estonia, y en colaboración con el Centro de Derechos Humanos, se ha constituido una mesa redonda</w:t>
      </w:r>
      <w:r>
        <w:rPr>
          <w:rStyle w:val="FootnoteReference"/>
          <w:szCs w:val="24"/>
          <w:lang w:val="es-ES"/>
        </w:rPr>
        <w:footnoteReference w:id="21"/>
      </w:r>
      <w:r>
        <w:rPr>
          <w:szCs w:val="24"/>
          <w:lang w:val="es-ES"/>
        </w:rPr>
        <w:t xml:space="preserve"> integrada por organizaciones activas en la esfera de los derechos humanos con </w:t>
      </w:r>
      <w:r w:rsidR="00432EFE">
        <w:rPr>
          <w:szCs w:val="24"/>
          <w:lang w:val="es-ES"/>
        </w:rPr>
        <w:t>l</w:t>
      </w:r>
      <w:r w:rsidR="00037999">
        <w:rPr>
          <w:szCs w:val="24"/>
          <w:lang w:val="es-ES"/>
        </w:rPr>
        <w:t>a</w:t>
      </w:r>
      <w:r w:rsidR="00432EFE">
        <w:rPr>
          <w:szCs w:val="24"/>
          <w:lang w:val="es-ES"/>
        </w:rPr>
        <w:t xml:space="preserve"> </w:t>
      </w:r>
      <w:r w:rsidR="00037999">
        <w:rPr>
          <w:szCs w:val="24"/>
          <w:lang w:val="es-ES"/>
        </w:rPr>
        <w:t xml:space="preserve">finalidad </w:t>
      </w:r>
      <w:r>
        <w:rPr>
          <w:szCs w:val="24"/>
          <w:lang w:val="es-ES"/>
        </w:rPr>
        <w:t>de promover el intercambio mutuo de información, llevar a cabo actividades</w:t>
      </w:r>
      <w:r w:rsidR="00037999">
        <w:rPr>
          <w:szCs w:val="24"/>
          <w:lang w:val="es-ES"/>
        </w:rPr>
        <w:t xml:space="preserve"> conjuntas</w:t>
      </w:r>
      <w:r>
        <w:rPr>
          <w:szCs w:val="24"/>
          <w:lang w:val="es-ES"/>
        </w:rPr>
        <w:t xml:space="preserve"> de promoción de intereses</w:t>
      </w:r>
      <w:r w:rsidR="00037999">
        <w:rPr>
          <w:szCs w:val="24"/>
          <w:lang w:val="es-ES"/>
        </w:rPr>
        <w:t>,</w:t>
      </w:r>
      <w:r>
        <w:rPr>
          <w:szCs w:val="24"/>
          <w:lang w:val="es-ES"/>
        </w:rPr>
        <w:t xml:space="preserve"> y desarrollar la esfera de los </w:t>
      </w:r>
      <w:r w:rsidR="00550237">
        <w:rPr>
          <w:szCs w:val="24"/>
          <w:lang w:val="es-ES"/>
        </w:rPr>
        <w:t>derechos humanos en Estonia y</w:t>
      </w:r>
      <w:r>
        <w:rPr>
          <w:szCs w:val="24"/>
          <w:lang w:val="es-ES"/>
        </w:rPr>
        <w:t xml:space="preserve"> el resto del mundo a través de la cooperación. </w:t>
      </w:r>
    </w:p>
    <w:p w:rsidR="00F61BD5" w:rsidRPr="002674B1" w:rsidRDefault="00F61BD5" w:rsidP="00637350">
      <w:pPr>
        <w:pStyle w:val="SingleTxtG"/>
        <w:rPr>
          <w:szCs w:val="24"/>
          <w:lang w:val="es-ES"/>
        </w:rPr>
      </w:pPr>
      <w:r>
        <w:rPr>
          <w:szCs w:val="24"/>
          <w:lang w:val="es-ES"/>
        </w:rPr>
        <w:t>71.</w:t>
      </w:r>
      <w:r>
        <w:rPr>
          <w:szCs w:val="24"/>
          <w:lang w:val="es-ES"/>
        </w:rPr>
        <w:tab/>
        <w:t>El objetivo del Instituto de Memoria Histórica de Estonia</w:t>
      </w:r>
      <w:r w:rsidR="00037999">
        <w:rPr>
          <w:szCs w:val="24"/>
          <w:lang w:val="es-ES"/>
        </w:rPr>
        <w:t xml:space="preserve"> (EIHM)</w:t>
      </w:r>
      <w:r>
        <w:rPr>
          <w:rStyle w:val="FootnoteReference"/>
          <w:szCs w:val="24"/>
          <w:lang w:val="es-ES"/>
        </w:rPr>
        <w:footnoteReference w:id="22"/>
      </w:r>
      <w:r>
        <w:rPr>
          <w:szCs w:val="24"/>
          <w:lang w:val="es-ES"/>
        </w:rPr>
        <w:t xml:space="preserve"> es proporcionar una visión completa y objetiva de la situación de los derechos humanos en </w:t>
      </w:r>
      <w:r w:rsidR="00037999">
        <w:rPr>
          <w:szCs w:val="24"/>
          <w:lang w:val="es-ES"/>
        </w:rPr>
        <w:t xml:space="preserve">el país </w:t>
      </w:r>
      <w:r>
        <w:rPr>
          <w:szCs w:val="24"/>
          <w:lang w:val="es-ES"/>
        </w:rPr>
        <w:t>d</w:t>
      </w:r>
      <w:r w:rsidR="00550237">
        <w:rPr>
          <w:szCs w:val="24"/>
          <w:lang w:val="es-ES"/>
        </w:rPr>
        <w:t>urante la ocupación soviética. Coordina l</w:t>
      </w:r>
      <w:r>
        <w:rPr>
          <w:szCs w:val="24"/>
          <w:lang w:val="es-ES"/>
        </w:rPr>
        <w:t xml:space="preserve">a labor del </w:t>
      </w:r>
      <w:r w:rsidR="00037999">
        <w:rPr>
          <w:szCs w:val="24"/>
          <w:lang w:val="es-ES"/>
        </w:rPr>
        <w:t xml:space="preserve">EIHM </w:t>
      </w:r>
      <w:r>
        <w:rPr>
          <w:szCs w:val="24"/>
          <w:lang w:val="es-ES"/>
        </w:rPr>
        <w:t xml:space="preserve">una comisión internacional de expertos integrada por miembros que cuentan con una amplia experiencia en el estudio de la historia europea, así como la historia de los derechos humanos </w:t>
      </w:r>
      <w:r w:rsidR="00037999">
        <w:rPr>
          <w:szCs w:val="24"/>
          <w:lang w:val="es-ES"/>
        </w:rPr>
        <w:t>en</w:t>
      </w:r>
      <w:r>
        <w:rPr>
          <w:szCs w:val="24"/>
          <w:lang w:val="es-ES"/>
        </w:rPr>
        <w:t xml:space="preserve"> épocas de represión. El Comité aprueba los temas de estudio </w:t>
      </w:r>
      <w:r w:rsidR="00037999">
        <w:rPr>
          <w:szCs w:val="24"/>
          <w:lang w:val="es-ES"/>
        </w:rPr>
        <w:t xml:space="preserve">y </w:t>
      </w:r>
      <w:r>
        <w:rPr>
          <w:szCs w:val="24"/>
          <w:lang w:val="es-ES"/>
        </w:rPr>
        <w:t>los procedimientos utilizados para contratar a los investigadores.</w:t>
      </w:r>
    </w:p>
    <w:p w:rsidR="00F61BD5" w:rsidRDefault="00F61BD5" w:rsidP="00637350">
      <w:pPr>
        <w:pStyle w:val="SingleTxtG"/>
        <w:rPr>
          <w:lang w:val="es-ES"/>
        </w:rPr>
      </w:pPr>
      <w:r>
        <w:rPr>
          <w:lang w:val="es-ES"/>
        </w:rPr>
        <w:t>72.</w:t>
      </w:r>
      <w:r>
        <w:rPr>
          <w:lang w:val="es-ES"/>
        </w:rPr>
        <w:tab/>
        <w:t xml:space="preserve">En respuesta a las recomendaciones </w:t>
      </w:r>
      <w:r w:rsidR="00580882">
        <w:rPr>
          <w:lang w:val="es-ES"/>
        </w:rPr>
        <w:t>formuladas</w:t>
      </w:r>
      <w:r>
        <w:rPr>
          <w:lang w:val="es-ES"/>
        </w:rPr>
        <w:t xml:space="preserve"> en el párrafo </w:t>
      </w:r>
      <w:smartTag w:uri="urn:schemas-microsoft-com:office:smarttags" w:element="metricconverter">
        <w:smartTagPr>
          <w:attr w:name="ProductID" w:val="19 a"/>
        </w:smartTagPr>
        <w:r>
          <w:rPr>
            <w:lang w:val="es-ES"/>
          </w:rPr>
          <w:t>19 a</w:t>
        </w:r>
      </w:smartTag>
      <w:r>
        <w:rPr>
          <w:lang w:val="es-ES"/>
        </w:rPr>
        <w:t xml:space="preserve">) de las observaciones finales en relación con el Instituto de </w:t>
      </w:r>
      <w:smartTag w:uri="urn:schemas-microsoft-com:office:smarttags" w:element="PersonName">
        <w:smartTagPr>
          <w:attr w:name="ProductID" w:val="la Memoria Hist￳rica"/>
        </w:smartTagPr>
        <w:r>
          <w:rPr>
            <w:lang w:val="es-ES"/>
          </w:rPr>
          <w:t>la Memoria Histórica</w:t>
        </w:r>
      </w:smartTag>
      <w:r>
        <w:rPr>
          <w:lang w:val="es-ES"/>
        </w:rPr>
        <w:t xml:space="preserve"> de Estonia, </w:t>
      </w:r>
      <w:r w:rsidR="00432EFE">
        <w:rPr>
          <w:lang w:val="es-ES"/>
        </w:rPr>
        <w:t>deseamos señalar</w:t>
      </w:r>
      <w:r>
        <w:rPr>
          <w:lang w:val="es-ES"/>
        </w:rPr>
        <w:t xml:space="preserve"> que </w:t>
      </w:r>
      <w:smartTag w:uri="urn:schemas-microsoft-com:office:smarttags" w:element="PersonName">
        <w:smartTagPr>
          <w:attr w:name="ProductID" w:val="la Comisi￳n Internacional"/>
        </w:smartTagPr>
        <w:r>
          <w:rPr>
            <w:lang w:val="es-ES"/>
          </w:rPr>
          <w:t>la Comisión Internacional</w:t>
        </w:r>
      </w:smartTag>
      <w:r>
        <w:rPr>
          <w:lang w:val="es-ES"/>
        </w:rPr>
        <w:t xml:space="preserve"> </w:t>
      </w:r>
      <w:r w:rsidR="00580882">
        <w:rPr>
          <w:lang w:val="es-ES"/>
        </w:rPr>
        <w:t xml:space="preserve">establecida por Estonia </w:t>
      </w:r>
      <w:r>
        <w:rPr>
          <w:lang w:val="es-ES"/>
        </w:rPr>
        <w:t xml:space="preserve">para la investigación de crímenes de lesa humanidad ha publicado sus observaciones finales sobre </w:t>
      </w:r>
      <w:smartTag w:uri="urn:schemas-microsoft-com:office:smarttags" w:element="PersonName">
        <w:smartTagPr>
          <w:attr w:name="ProductID" w:val="la Segunda Guerra"/>
        </w:smartTagPr>
        <w:r>
          <w:rPr>
            <w:lang w:val="es-ES"/>
          </w:rPr>
          <w:t>la Segunda Guerra</w:t>
        </w:r>
      </w:smartTag>
      <w:r>
        <w:rPr>
          <w:lang w:val="es-ES"/>
        </w:rPr>
        <w:t xml:space="preserve"> Mundial y el período posterior, y que </w:t>
      </w:r>
      <w:r w:rsidR="00550237">
        <w:rPr>
          <w:lang w:val="es-ES"/>
        </w:rPr>
        <w:t>siguen pendientes</w:t>
      </w:r>
      <w:r>
        <w:rPr>
          <w:lang w:val="es-ES"/>
        </w:rPr>
        <w:t xml:space="preserve"> </w:t>
      </w:r>
      <w:r w:rsidR="00580882">
        <w:rPr>
          <w:lang w:val="es-ES"/>
        </w:rPr>
        <w:t xml:space="preserve">otros </w:t>
      </w:r>
      <w:r>
        <w:rPr>
          <w:lang w:val="es-ES"/>
        </w:rPr>
        <w:t>e</w:t>
      </w:r>
      <w:r w:rsidR="00550237">
        <w:rPr>
          <w:lang w:val="es-ES"/>
        </w:rPr>
        <w:t>studios históricos. Estonia continúa</w:t>
      </w:r>
      <w:r>
        <w:rPr>
          <w:lang w:val="es-ES"/>
        </w:rPr>
        <w:t xml:space="preserve"> interesada en abordar las cuestiones abarcadas por </w:t>
      </w:r>
      <w:smartTag w:uri="urn:schemas-microsoft-com:office:smarttags" w:element="PersonName">
        <w:smartTagPr>
          <w:attr w:name="ProductID" w:val="la Comisi￳n. En"/>
        </w:smartTagPr>
        <w:r>
          <w:rPr>
            <w:lang w:val="es-ES"/>
          </w:rPr>
          <w:t>la Comisión. En</w:t>
        </w:r>
      </w:smartTag>
      <w:r>
        <w:rPr>
          <w:lang w:val="es-ES"/>
        </w:rPr>
        <w:t xml:space="preserve"> relación con la recomendación </w:t>
      </w:r>
      <w:r w:rsidR="00580882">
        <w:rPr>
          <w:lang w:val="es-ES"/>
        </w:rPr>
        <w:t xml:space="preserve">formulada </w:t>
      </w:r>
      <w:r>
        <w:rPr>
          <w:lang w:val="es-ES"/>
        </w:rPr>
        <w:t xml:space="preserve">en el párrafo 19 b), </w:t>
      </w:r>
      <w:r w:rsidR="00580882">
        <w:rPr>
          <w:lang w:val="es-ES"/>
        </w:rPr>
        <w:t xml:space="preserve">informamos de </w:t>
      </w:r>
      <w:r>
        <w:rPr>
          <w:lang w:val="es-ES"/>
        </w:rPr>
        <w:t xml:space="preserve">que el Instituto de Memoria Histórica de Estonia ya colabora con varias instituciones del país activas en esa esfera, como por ejemplo el Instituto de Derechos Humanos y </w:t>
      </w:r>
      <w:smartTag w:uri="urn:schemas-microsoft-com:office:smarttags" w:element="PersonName">
        <w:smartTagPr>
          <w:attr w:name="ProductID" w:val="la Asociaci￳n"/>
        </w:smartTagPr>
        <w:r>
          <w:rPr>
            <w:lang w:val="es-ES"/>
          </w:rPr>
          <w:t>la Asociación</w:t>
        </w:r>
      </w:smartTag>
      <w:r>
        <w:rPr>
          <w:lang w:val="es-ES"/>
        </w:rPr>
        <w:t xml:space="preserve"> de Profesores de Historia y Educación Cívica de Estonia. En respuesta a la recomendación </w:t>
      </w:r>
      <w:r w:rsidR="006E5ACA">
        <w:rPr>
          <w:lang w:val="es-ES"/>
        </w:rPr>
        <w:t>formulada</w:t>
      </w:r>
      <w:r>
        <w:rPr>
          <w:lang w:val="es-ES"/>
        </w:rPr>
        <w:t xml:space="preserve"> en el párrafo 19 c), deseamos señalar que las actividades del Instituto de Memoria Hi</w:t>
      </w:r>
      <w:r w:rsidR="00550237">
        <w:rPr>
          <w:lang w:val="es-ES"/>
        </w:rPr>
        <w:t xml:space="preserve">stórica de Estonia se basan </w:t>
      </w:r>
      <w:r>
        <w:rPr>
          <w:lang w:val="es-ES"/>
        </w:rPr>
        <w:t xml:space="preserve">en las enseñanzas </w:t>
      </w:r>
      <w:r w:rsidR="006E5ACA">
        <w:rPr>
          <w:lang w:val="es-ES"/>
        </w:rPr>
        <w:t>extraídas d</w:t>
      </w:r>
      <w:r>
        <w:rPr>
          <w:lang w:val="es-ES"/>
        </w:rPr>
        <w:t xml:space="preserve">e la labor de </w:t>
      </w:r>
      <w:smartTag w:uri="urn:schemas-microsoft-com:office:smarttags" w:element="PersonName">
        <w:smartTagPr>
          <w:attr w:name="ProductID" w:val="la Comisi￳n. De"/>
        </w:smartTagPr>
        <w:r>
          <w:rPr>
            <w:lang w:val="es-ES"/>
          </w:rPr>
          <w:t>la Comisión.</w:t>
        </w:r>
        <w:r w:rsidRPr="009F297D">
          <w:rPr>
            <w:lang w:val="es-ES"/>
          </w:rPr>
          <w:t xml:space="preserve"> </w:t>
        </w:r>
        <w:r w:rsidR="00E8216A">
          <w:rPr>
            <w:lang w:val="es-ES"/>
          </w:rPr>
          <w:t>De</w:t>
        </w:r>
      </w:smartTag>
      <w:r w:rsidR="00E8216A">
        <w:rPr>
          <w:lang w:val="es-ES"/>
        </w:rPr>
        <w:t xml:space="preserve"> hecho, algunos</w:t>
      </w:r>
      <w:r>
        <w:rPr>
          <w:lang w:val="es-ES"/>
        </w:rPr>
        <w:t xml:space="preserve"> miembros de </w:t>
      </w:r>
      <w:smartTag w:uri="urn:schemas-microsoft-com:office:smarttags" w:element="PersonName">
        <w:smartTagPr>
          <w:attr w:name="ProductID" w:val="la Comisi￳n"/>
        </w:smartTagPr>
        <w:r>
          <w:rPr>
            <w:lang w:val="es-ES"/>
          </w:rPr>
          <w:t>la Comisión</w:t>
        </w:r>
      </w:smartTag>
      <w:r>
        <w:rPr>
          <w:lang w:val="es-ES"/>
        </w:rPr>
        <w:t xml:space="preserve"> </w:t>
      </w:r>
      <w:r w:rsidR="006E5ACA">
        <w:rPr>
          <w:lang w:val="es-ES"/>
        </w:rPr>
        <w:t xml:space="preserve">también </w:t>
      </w:r>
      <w:r>
        <w:rPr>
          <w:lang w:val="es-ES"/>
        </w:rPr>
        <w:t xml:space="preserve">forman parte del Consejo del </w:t>
      </w:r>
      <w:r w:rsidR="006E5ACA">
        <w:rPr>
          <w:lang w:val="es-ES"/>
        </w:rPr>
        <w:t xml:space="preserve">EIHM </w:t>
      </w:r>
      <w:r>
        <w:rPr>
          <w:lang w:val="es-ES"/>
        </w:rPr>
        <w:t xml:space="preserve">y son miembros del equipo de investigación </w:t>
      </w:r>
      <w:r w:rsidR="006E5ACA">
        <w:rPr>
          <w:lang w:val="es-ES"/>
        </w:rPr>
        <w:t>de E</w:t>
      </w:r>
      <w:r>
        <w:rPr>
          <w:lang w:val="es-ES"/>
        </w:rPr>
        <w:t>stoni</w:t>
      </w:r>
      <w:r w:rsidR="006E5ACA">
        <w:rPr>
          <w:lang w:val="es-ES"/>
        </w:rPr>
        <w:t>a</w:t>
      </w:r>
      <w:r>
        <w:rPr>
          <w:lang w:val="es-ES"/>
        </w:rPr>
        <w:t>.</w:t>
      </w:r>
    </w:p>
    <w:p w:rsidR="00F61BD5" w:rsidRPr="009F297D" w:rsidRDefault="00F61BD5" w:rsidP="00637350">
      <w:pPr>
        <w:pStyle w:val="SingleTxtG"/>
        <w:rPr>
          <w:szCs w:val="24"/>
          <w:lang w:val="es-ES"/>
        </w:rPr>
      </w:pPr>
      <w:r w:rsidRPr="00737BC4">
        <w:rPr>
          <w:szCs w:val="24"/>
          <w:lang w:val="es-ES"/>
        </w:rPr>
        <w:t>73.</w:t>
      </w:r>
      <w:r w:rsidRPr="00737BC4">
        <w:rPr>
          <w:szCs w:val="24"/>
          <w:lang w:val="es-ES"/>
        </w:rPr>
        <w:tab/>
      </w:r>
      <w:r>
        <w:rPr>
          <w:szCs w:val="24"/>
          <w:lang w:val="es-ES"/>
        </w:rPr>
        <w:t>A consecuencia de l</w:t>
      </w:r>
      <w:r w:rsidR="006E5ACA">
        <w:rPr>
          <w:szCs w:val="24"/>
          <w:lang w:val="es-ES"/>
        </w:rPr>
        <w:t>a</w:t>
      </w:r>
      <w:r>
        <w:rPr>
          <w:szCs w:val="24"/>
          <w:lang w:val="es-ES"/>
        </w:rPr>
        <w:t xml:space="preserve"> </w:t>
      </w:r>
      <w:r w:rsidR="006E5ACA">
        <w:rPr>
          <w:szCs w:val="24"/>
          <w:lang w:val="es-ES"/>
        </w:rPr>
        <w:t xml:space="preserve">evolución </w:t>
      </w:r>
      <w:r>
        <w:rPr>
          <w:szCs w:val="24"/>
          <w:lang w:val="es-ES"/>
        </w:rPr>
        <w:t>polític</w:t>
      </w:r>
      <w:r w:rsidR="006E5ACA">
        <w:rPr>
          <w:szCs w:val="24"/>
          <w:lang w:val="es-ES"/>
        </w:rPr>
        <w:t>a</w:t>
      </w:r>
      <w:r>
        <w:rPr>
          <w:szCs w:val="24"/>
          <w:lang w:val="es-ES"/>
        </w:rPr>
        <w:t xml:space="preserve"> y social, el 15 de febrero de 2007 se registró como asociación independiente sin fines de lucro </w:t>
      </w:r>
      <w:smartTag w:uri="urn:schemas-microsoft-com:office:smarttags" w:element="PersonName">
        <w:smartTagPr>
          <w:attr w:name="ProductID" w:val="la Mesa Redonda"/>
        </w:smartTagPr>
        <w:r>
          <w:rPr>
            <w:szCs w:val="24"/>
            <w:lang w:val="es-ES"/>
          </w:rPr>
          <w:t>la Mesa Redonda</w:t>
        </w:r>
      </w:smartTag>
      <w:r>
        <w:rPr>
          <w:szCs w:val="24"/>
          <w:lang w:val="es-ES"/>
        </w:rPr>
        <w:t xml:space="preserve"> de </w:t>
      </w:r>
      <w:smartTag w:uri="urn:schemas-microsoft-com:office:smarttags" w:element="PersonName">
        <w:smartTagPr>
          <w:attr w:name="ProductID" w:val="la Cooperaci￳n"/>
        </w:smartTagPr>
        <w:r>
          <w:rPr>
            <w:szCs w:val="24"/>
            <w:lang w:val="es-ES"/>
          </w:rPr>
          <w:t>la Cooperación</w:t>
        </w:r>
      </w:smartTag>
      <w:r>
        <w:rPr>
          <w:szCs w:val="24"/>
          <w:lang w:val="es-ES"/>
        </w:rPr>
        <w:t xml:space="preserve"> para el Desarrollo </w:t>
      </w:r>
      <w:r w:rsidRPr="00170278">
        <w:rPr>
          <w:i/>
          <w:szCs w:val="24"/>
          <w:lang w:val="es-ES"/>
        </w:rPr>
        <w:t>(Arengukoostöö Ümarlaud)</w:t>
      </w:r>
      <w:r>
        <w:rPr>
          <w:szCs w:val="24"/>
          <w:lang w:val="es-ES"/>
        </w:rPr>
        <w:t>, que se ha convertido en una importante</w:t>
      </w:r>
      <w:r w:rsidR="005466A4">
        <w:rPr>
          <w:szCs w:val="24"/>
          <w:lang w:val="es-ES"/>
        </w:rPr>
        <w:t xml:space="preserve"> </w:t>
      </w:r>
      <w:r>
        <w:rPr>
          <w:szCs w:val="24"/>
          <w:lang w:val="es-ES"/>
        </w:rPr>
        <w:t>organización de apoyo a las ONG activas en la esfera de la educación globa</w:t>
      </w:r>
      <w:r w:rsidR="00432EFE">
        <w:rPr>
          <w:szCs w:val="24"/>
          <w:lang w:val="es-ES"/>
        </w:rPr>
        <w:t xml:space="preserve">l. </w:t>
      </w:r>
      <w:r>
        <w:rPr>
          <w:szCs w:val="24"/>
          <w:lang w:val="es-ES"/>
        </w:rPr>
        <w:t xml:space="preserve">Gracias al apoyo de </w:t>
      </w:r>
      <w:smartTag w:uri="urn:schemas-microsoft-com:office:smarttags" w:element="PersonName">
        <w:smartTagPr>
          <w:attr w:name="ProductID" w:val="la Comisi￳n Europea"/>
        </w:smartTagPr>
        <w:r>
          <w:rPr>
            <w:szCs w:val="24"/>
            <w:lang w:val="es-ES"/>
          </w:rPr>
          <w:t>la Comisión Europea</w:t>
        </w:r>
      </w:smartTag>
      <w:r>
        <w:rPr>
          <w:szCs w:val="24"/>
          <w:lang w:val="es-ES"/>
        </w:rPr>
        <w:t xml:space="preserve"> y del Ministerio de Relaciones Exteriores, </w:t>
      </w:r>
      <w:r w:rsidR="00644028">
        <w:rPr>
          <w:szCs w:val="24"/>
          <w:lang w:val="es-ES"/>
        </w:rPr>
        <w:t xml:space="preserve">cada vez se organizan más actividades en el marco de </w:t>
      </w:r>
      <w:smartTag w:uri="urn:schemas-microsoft-com:office:smarttags" w:element="PersonName">
        <w:smartTagPr>
          <w:attr w:name="ProductID" w:val="la Semana"/>
        </w:smartTagPr>
        <w:r>
          <w:rPr>
            <w:szCs w:val="24"/>
            <w:lang w:val="es-ES"/>
          </w:rPr>
          <w:t>la Semana</w:t>
        </w:r>
      </w:smartTag>
      <w:r>
        <w:rPr>
          <w:szCs w:val="24"/>
          <w:lang w:val="es-ES"/>
        </w:rPr>
        <w:t xml:space="preserve"> </w:t>
      </w:r>
      <w:r w:rsidR="00644028">
        <w:rPr>
          <w:szCs w:val="24"/>
          <w:lang w:val="es-ES"/>
        </w:rPr>
        <w:t xml:space="preserve">para la </w:t>
      </w:r>
      <w:r>
        <w:rPr>
          <w:szCs w:val="24"/>
          <w:lang w:val="es-ES"/>
        </w:rPr>
        <w:t>Educación</w:t>
      </w:r>
      <w:r w:rsidR="00644028">
        <w:rPr>
          <w:szCs w:val="24"/>
          <w:lang w:val="es-ES"/>
        </w:rPr>
        <w:t xml:space="preserve"> Global</w:t>
      </w:r>
      <w:r>
        <w:rPr>
          <w:rStyle w:val="FootnoteReference"/>
          <w:szCs w:val="24"/>
          <w:lang w:val="es-ES"/>
        </w:rPr>
        <w:footnoteReference w:id="23"/>
      </w:r>
      <w:r>
        <w:rPr>
          <w:szCs w:val="24"/>
          <w:lang w:val="es-ES"/>
        </w:rPr>
        <w:t>, dirigida a las escuelas.</w:t>
      </w:r>
      <w:r w:rsidRPr="009F297D">
        <w:rPr>
          <w:szCs w:val="24"/>
          <w:lang w:val="es-ES"/>
        </w:rPr>
        <w:t xml:space="preserve"> </w:t>
      </w:r>
      <w:r w:rsidR="00644028">
        <w:rPr>
          <w:szCs w:val="24"/>
          <w:lang w:val="es-ES"/>
        </w:rPr>
        <w:t>Durante esa semana</w:t>
      </w:r>
      <w:r>
        <w:rPr>
          <w:szCs w:val="24"/>
          <w:lang w:val="es-ES"/>
        </w:rPr>
        <w:t xml:space="preserve"> se alienta a los jóvenes y a los docentes a </w:t>
      </w:r>
      <w:r w:rsidR="00432EFE">
        <w:rPr>
          <w:szCs w:val="24"/>
          <w:lang w:val="es-ES"/>
        </w:rPr>
        <w:t>poner en marcha</w:t>
      </w:r>
      <w:r>
        <w:rPr>
          <w:szCs w:val="24"/>
          <w:lang w:val="es-ES"/>
        </w:rPr>
        <w:t xml:space="preserve"> </w:t>
      </w:r>
      <w:r w:rsidR="00E8216A">
        <w:rPr>
          <w:szCs w:val="24"/>
          <w:lang w:val="es-ES"/>
        </w:rPr>
        <w:t xml:space="preserve">en sus escuelas </w:t>
      </w:r>
      <w:r>
        <w:rPr>
          <w:szCs w:val="24"/>
          <w:lang w:val="es-ES"/>
        </w:rPr>
        <w:t xml:space="preserve">un proyecto </w:t>
      </w:r>
      <w:r w:rsidR="00432EFE">
        <w:rPr>
          <w:szCs w:val="24"/>
          <w:lang w:val="es-ES"/>
        </w:rPr>
        <w:t>de educación</w:t>
      </w:r>
      <w:r>
        <w:rPr>
          <w:szCs w:val="24"/>
          <w:lang w:val="es-ES"/>
        </w:rPr>
        <w:t xml:space="preserve"> global que permita reflexionar sobre la manera de abordar la exclusión y la desigualdad</w:t>
      </w:r>
      <w:r w:rsidR="00644028">
        <w:rPr>
          <w:szCs w:val="24"/>
          <w:lang w:val="es-ES"/>
        </w:rPr>
        <w:t>,</w:t>
      </w:r>
      <w:r>
        <w:rPr>
          <w:szCs w:val="24"/>
          <w:lang w:val="es-ES"/>
        </w:rPr>
        <w:t xml:space="preserve"> </w:t>
      </w:r>
      <w:r w:rsidR="00644028">
        <w:rPr>
          <w:szCs w:val="24"/>
          <w:lang w:val="es-ES"/>
        </w:rPr>
        <w:t>así como</w:t>
      </w:r>
      <w:r>
        <w:rPr>
          <w:szCs w:val="24"/>
          <w:lang w:val="es-ES"/>
        </w:rPr>
        <w:t xml:space="preserve"> </w:t>
      </w:r>
      <w:r w:rsidR="00644028">
        <w:rPr>
          <w:szCs w:val="24"/>
          <w:lang w:val="es-ES"/>
        </w:rPr>
        <w:t xml:space="preserve">abordar el tema de </w:t>
      </w:r>
      <w:r>
        <w:rPr>
          <w:szCs w:val="24"/>
          <w:lang w:val="es-ES"/>
        </w:rPr>
        <w:t>la globalización.</w:t>
      </w:r>
    </w:p>
    <w:p w:rsidR="00F61BD5" w:rsidRPr="009F297D" w:rsidRDefault="00F61BD5" w:rsidP="00637350">
      <w:pPr>
        <w:pStyle w:val="SingleTxtG"/>
        <w:rPr>
          <w:szCs w:val="24"/>
          <w:lang w:val="es-ES"/>
        </w:rPr>
      </w:pPr>
      <w:r w:rsidRPr="00737BC4">
        <w:rPr>
          <w:szCs w:val="24"/>
          <w:lang w:val="es-ES"/>
        </w:rPr>
        <w:t>74.</w:t>
      </w:r>
      <w:r w:rsidRPr="00737BC4">
        <w:rPr>
          <w:szCs w:val="24"/>
          <w:lang w:val="es-ES"/>
        </w:rPr>
        <w:tab/>
      </w:r>
      <w:r>
        <w:rPr>
          <w:szCs w:val="24"/>
          <w:lang w:val="es-ES"/>
        </w:rPr>
        <w:t xml:space="preserve">En 2010-2012, </w:t>
      </w:r>
      <w:smartTag w:uri="urn:schemas-microsoft-com:office:smarttags" w:element="PersonName">
        <w:smartTagPr>
          <w:attr w:name="ProductID" w:val="la Facultad"/>
        </w:smartTagPr>
        <w:r>
          <w:rPr>
            <w:szCs w:val="24"/>
            <w:lang w:val="es-ES"/>
          </w:rPr>
          <w:t>la Facultad</w:t>
        </w:r>
      </w:smartTag>
      <w:r>
        <w:rPr>
          <w:szCs w:val="24"/>
          <w:lang w:val="es-ES"/>
        </w:rPr>
        <w:t xml:space="preserve"> de Derecho de </w:t>
      </w:r>
      <w:smartTag w:uri="urn:schemas-microsoft-com:office:smarttags" w:element="PersonName">
        <w:smartTagPr>
          <w:attr w:name="ProductID" w:val="la Universidad Tecnol￳gica"/>
        </w:smartTagPr>
        <w:r>
          <w:rPr>
            <w:szCs w:val="24"/>
            <w:lang w:val="es-ES"/>
          </w:rPr>
          <w:t>la Universidad Tecnológica</w:t>
        </w:r>
      </w:smartTag>
      <w:r>
        <w:rPr>
          <w:szCs w:val="24"/>
          <w:lang w:val="es-ES"/>
        </w:rPr>
        <w:t xml:space="preserve"> de Tallin ha llevado a cabo un proyecto</w:t>
      </w:r>
      <w:r w:rsidR="00432EFE">
        <w:rPr>
          <w:szCs w:val="24"/>
          <w:lang w:val="es-ES"/>
        </w:rPr>
        <w:t xml:space="preserve"> en el marco del </w:t>
      </w:r>
      <w:r w:rsidR="00644028">
        <w:rPr>
          <w:szCs w:val="24"/>
          <w:lang w:val="es-ES"/>
        </w:rPr>
        <w:t>P</w:t>
      </w:r>
      <w:r>
        <w:rPr>
          <w:szCs w:val="24"/>
          <w:lang w:val="es-ES"/>
        </w:rPr>
        <w:t xml:space="preserve">rograma comunitario para el empleo y la solidaridad social </w:t>
      </w:r>
      <w:r w:rsidR="002D3134">
        <w:rPr>
          <w:szCs w:val="24"/>
          <w:lang w:val="es-ES"/>
        </w:rPr>
        <w:t>– PROGRESS (</w:t>
      </w:r>
      <w:r>
        <w:rPr>
          <w:szCs w:val="24"/>
          <w:lang w:val="es-ES"/>
        </w:rPr>
        <w:t>2007-2013</w:t>
      </w:r>
      <w:r w:rsidR="00644028">
        <w:rPr>
          <w:szCs w:val="24"/>
          <w:lang w:val="es-ES"/>
        </w:rPr>
        <w:t>)</w:t>
      </w:r>
      <w:r w:rsidR="00520113">
        <w:rPr>
          <w:szCs w:val="24"/>
          <w:lang w:val="es-ES"/>
        </w:rPr>
        <w:t xml:space="preserve"> </w:t>
      </w:r>
      <w:r w:rsidR="002D3134">
        <w:rPr>
          <w:szCs w:val="24"/>
          <w:lang w:val="es-ES"/>
        </w:rPr>
        <w:t xml:space="preserve">de </w:t>
      </w:r>
      <w:smartTag w:uri="urn:schemas-microsoft-com:office:smarttags" w:element="PersonName">
        <w:smartTagPr>
          <w:attr w:name="ProductID" w:val="la Comisi￳n Europea"/>
        </w:smartTagPr>
        <w:r w:rsidR="002D3134">
          <w:rPr>
            <w:szCs w:val="24"/>
            <w:lang w:val="es-ES"/>
          </w:rPr>
          <w:t>la Comisión Europea</w:t>
        </w:r>
      </w:smartTag>
      <w:r>
        <w:rPr>
          <w:szCs w:val="24"/>
          <w:lang w:val="es-ES"/>
        </w:rPr>
        <w:t xml:space="preserve">, con el fin de </w:t>
      </w:r>
      <w:r w:rsidR="00644028">
        <w:rPr>
          <w:szCs w:val="24"/>
          <w:lang w:val="es-ES"/>
        </w:rPr>
        <w:t xml:space="preserve">sensibilizar en mayor medida sobre </w:t>
      </w:r>
      <w:r w:rsidR="00E8216A">
        <w:rPr>
          <w:szCs w:val="24"/>
          <w:lang w:val="es-ES"/>
        </w:rPr>
        <w:t>la igualdad de trato y luchar contra</w:t>
      </w:r>
      <w:r>
        <w:rPr>
          <w:szCs w:val="24"/>
          <w:lang w:val="es-ES"/>
        </w:rPr>
        <w:t xml:space="preserve"> el odio en la sociedad estonia.</w:t>
      </w:r>
      <w:r w:rsidR="005466A4">
        <w:rPr>
          <w:szCs w:val="24"/>
          <w:lang w:val="es-ES"/>
        </w:rPr>
        <w:t xml:space="preserve"> </w:t>
      </w:r>
      <w:r>
        <w:rPr>
          <w:szCs w:val="24"/>
          <w:lang w:val="es-ES"/>
        </w:rPr>
        <w:t xml:space="preserve">A lo largo de esos tres años se ha </w:t>
      </w:r>
      <w:r w:rsidR="002D3134">
        <w:rPr>
          <w:szCs w:val="24"/>
          <w:lang w:val="es-ES"/>
        </w:rPr>
        <w:t xml:space="preserve">prestado especial atención a </w:t>
      </w:r>
      <w:r>
        <w:rPr>
          <w:szCs w:val="24"/>
          <w:lang w:val="es-ES"/>
        </w:rPr>
        <w:t>distintas esferas relacionadas con la tolerancia y la igualdad de trato:</w:t>
      </w:r>
      <w:r w:rsidRPr="009F297D">
        <w:rPr>
          <w:szCs w:val="24"/>
          <w:lang w:val="es-ES"/>
        </w:rPr>
        <w:t xml:space="preserve"> </w:t>
      </w:r>
      <w:r>
        <w:rPr>
          <w:szCs w:val="24"/>
          <w:lang w:val="es-ES"/>
        </w:rPr>
        <w:t xml:space="preserve">en 2010 se puso de relieve la lucha contra el racismo y la homofobia; en 2011, el proyecto se centró en la lucha contra la homofobia y la promoción del </w:t>
      </w:r>
      <w:r w:rsidR="002D3134">
        <w:rPr>
          <w:szCs w:val="24"/>
          <w:lang w:val="es-ES"/>
        </w:rPr>
        <w:t xml:space="preserve">estatus </w:t>
      </w:r>
      <w:r>
        <w:rPr>
          <w:szCs w:val="24"/>
          <w:lang w:val="es-ES"/>
        </w:rPr>
        <w:t xml:space="preserve">social de las personas discapacitadas; en 2012, el proyecto abordó fundamentalmente </w:t>
      </w:r>
      <w:r w:rsidR="00E8216A">
        <w:rPr>
          <w:szCs w:val="24"/>
          <w:lang w:val="es-ES"/>
        </w:rPr>
        <w:t>e</w:t>
      </w:r>
      <w:r>
        <w:rPr>
          <w:szCs w:val="24"/>
          <w:lang w:val="es-ES"/>
        </w:rPr>
        <w:t>l</w:t>
      </w:r>
      <w:r w:rsidR="00E8216A">
        <w:rPr>
          <w:szCs w:val="24"/>
          <w:lang w:val="es-ES"/>
        </w:rPr>
        <w:t xml:space="preserve"> fomento</w:t>
      </w:r>
      <w:r>
        <w:rPr>
          <w:szCs w:val="24"/>
          <w:lang w:val="es-ES"/>
        </w:rPr>
        <w:t xml:space="preserve"> de la igualdad de trato en las empresas.</w:t>
      </w:r>
      <w:r w:rsidRPr="009F297D">
        <w:rPr>
          <w:szCs w:val="24"/>
          <w:lang w:val="es-ES"/>
        </w:rPr>
        <w:t xml:space="preserve"> </w:t>
      </w:r>
      <w:r w:rsidR="00E8216A">
        <w:rPr>
          <w:szCs w:val="24"/>
          <w:lang w:val="es-ES"/>
        </w:rPr>
        <w:t>Además, se prestó</w:t>
      </w:r>
      <w:r w:rsidR="002D3134">
        <w:rPr>
          <w:szCs w:val="24"/>
          <w:lang w:val="es-ES"/>
        </w:rPr>
        <w:t xml:space="preserve"> especial </w:t>
      </w:r>
      <w:r>
        <w:rPr>
          <w:szCs w:val="24"/>
          <w:lang w:val="es-ES"/>
        </w:rPr>
        <w:t>atención a la lucha contra la homofobia y la discriminación de las personas mayores.</w:t>
      </w:r>
      <w:r w:rsidRPr="009F297D">
        <w:rPr>
          <w:szCs w:val="24"/>
          <w:lang w:val="es-ES"/>
        </w:rPr>
        <w:t xml:space="preserve"> </w:t>
      </w:r>
      <w:r w:rsidR="00E8216A">
        <w:rPr>
          <w:szCs w:val="24"/>
          <w:lang w:val="es-ES"/>
        </w:rPr>
        <w:t>Financiaron el proyecto</w:t>
      </w:r>
      <w:r>
        <w:rPr>
          <w:szCs w:val="24"/>
          <w:lang w:val="es-ES"/>
        </w:rPr>
        <w:t xml:space="preserv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el Ministerio de Asuntos Sociales y </w:t>
      </w:r>
      <w:smartTag w:uri="urn:schemas-microsoft-com:office:smarttags" w:element="PersonName">
        <w:smartTagPr>
          <w:attr w:name="ProductID" w:val="la Facultad"/>
        </w:smartTagPr>
        <w:r>
          <w:rPr>
            <w:szCs w:val="24"/>
            <w:lang w:val="es-ES"/>
          </w:rPr>
          <w:t>la Facultad</w:t>
        </w:r>
      </w:smartTag>
      <w:r>
        <w:rPr>
          <w:szCs w:val="24"/>
          <w:lang w:val="es-ES"/>
        </w:rPr>
        <w:t xml:space="preserve"> de Derecho de </w:t>
      </w:r>
      <w:smartTag w:uri="urn:schemas-microsoft-com:office:smarttags" w:element="PersonName">
        <w:smartTagPr>
          <w:attr w:name="ProductID" w:val="la Universidad Tecnol￳gica"/>
        </w:smartTagPr>
        <w:r>
          <w:rPr>
            <w:szCs w:val="24"/>
            <w:lang w:val="es-ES"/>
          </w:rPr>
          <w:t>la Universidad Tecnológica</w:t>
        </w:r>
      </w:smartTag>
      <w:r>
        <w:rPr>
          <w:szCs w:val="24"/>
          <w:lang w:val="es-ES"/>
        </w:rPr>
        <w:t xml:space="preserve"> de Tallin. </w:t>
      </w:r>
    </w:p>
    <w:p w:rsidR="00432EFE" w:rsidRPr="009F297D" w:rsidRDefault="00432EFE" w:rsidP="00637350">
      <w:pPr>
        <w:pStyle w:val="SingleTxtG"/>
        <w:rPr>
          <w:szCs w:val="24"/>
          <w:lang w:val="es-ES"/>
        </w:rPr>
      </w:pPr>
      <w:r w:rsidRPr="00737BC4">
        <w:rPr>
          <w:szCs w:val="24"/>
          <w:lang w:val="es-ES"/>
        </w:rPr>
        <w:t>75.</w:t>
      </w:r>
      <w:r w:rsidRPr="00737BC4">
        <w:rPr>
          <w:szCs w:val="24"/>
          <w:lang w:val="es-ES"/>
        </w:rPr>
        <w:tab/>
      </w:r>
      <w:r>
        <w:rPr>
          <w:szCs w:val="24"/>
          <w:lang w:val="es-ES"/>
        </w:rPr>
        <w:t xml:space="preserve">El Plan de Integración se ejecutó en 2010 con el apoyo del Ministerio de Cultura y </w:t>
      </w:r>
      <w:smartTag w:uri="urn:schemas-microsoft-com:office:smarttags" w:element="PersonName">
        <w:smartTagPr>
          <w:attr w:name="ProductID" w:val="la Fundaci￳n MISA"/>
        </w:smartTagPr>
        <w:r>
          <w:rPr>
            <w:szCs w:val="24"/>
            <w:lang w:val="es-ES"/>
          </w:rPr>
          <w:t>la Fundación MISA</w:t>
        </w:r>
      </w:smartTag>
      <w:r>
        <w:rPr>
          <w:szCs w:val="24"/>
          <w:lang w:val="es-ES"/>
        </w:rPr>
        <w:t xml:space="preserve">, mientras que en 2011 se llevó a cabo el </w:t>
      </w:r>
      <w:r w:rsidR="00316ABD">
        <w:rPr>
          <w:szCs w:val="24"/>
          <w:lang w:val="es-ES"/>
        </w:rPr>
        <w:t xml:space="preserve">Estudio de </w:t>
      </w:r>
      <w:r>
        <w:rPr>
          <w:szCs w:val="24"/>
          <w:lang w:val="es-ES"/>
        </w:rPr>
        <w:t xml:space="preserve">Seguimiento de </w:t>
      </w:r>
      <w:smartTag w:uri="urn:schemas-microsoft-com:office:smarttags" w:element="PersonName">
        <w:smartTagPr>
          <w:attr w:name="ProductID" w:val="la Integraci￳n"/>
        </w:smartTagPr>
        <w:r>
          <w:rPr>
            <w:szCs w:val="24"/>
            <w:lang w:val="es-ES"/>
          </w:rPr>
          <w:t>la Integración</w:t>
        </w:r>
      </w:smartTag>
      <w:r>
        <w:rPr>
          <w:szCs w:val="24"/>
          <w:lang w:val="es-ES"/>
        </w:rPr>
        <w:t xml:space="preserve"> en la Sociedad Estonia</w:t>
      </w:r>
      <w:r>
        <w:rPr>
          <w:rStyle w:val="FootnoteReference"/>
          <w:szCs w:val="24"/>
          <w:lang w:val="es-ES"/>
        </w:rPr>
        <w:footnoteReference w:id="24"/>
      </w:r>
      <w:r>
        <w:rPr>
          <w:szCs w:val="24"/>
          <w:lang w:val="es-ES"/>
        </w:rPr>
        <w:t xml:space="preserve">, </w:t>
      </w:r>
      <w:r w:rsidR="002D3134">
        <w:rPr>
          <w:szCs w:val="24"/>
          <w:lang w:val="es-ES"/>
        </w:rPr>
        <w:t xml:space="preserve">un estudio sobre </w:t>
      </w:r>
      <w:r>
        <w:rPr>
          <w:szCs w:val="24"/>
          <w:lang w:val="es-ES"/>
        </w:rPr>
        <w:t>la eficacia de las actividades de integración realizadas hasta ese momento.</w:t>
      </w:r>
      <w:r w:rsidRPr="00737BC4">
        <w:rPr>
          <w:szCs w:val="24"/>
          <w:lang w:val="es-ES"/>
        </w:rPr>
        <w:t xml:space="preserve"> </w:t>
      </w:r>
      <w:r>
        <w:rPr>
          <w:szCs w:val="24"/>
          <w:lang w:val="es-ES"/>
        </w:rPr>
        <w:t xml:space="preserve">Según el resumen de la investigación, se han </w:t>
      </w:r>
      <w:r w:rsidR="002D3134">
        <w:rPr>
          <w:szCs w:val="24"/>
          <w:lang w:val="es-ES"/>
        </w:rPr>
        <w:t xml:space="preserve">registrado </w:t>
      </w:r>
      <w:r>
        <w:rPr>
          <w:szCs w:val="24"/>
          <w:lang w:val="es-ES"/>
        </w:rPr>
        <w:t>varios avances positivos en la esfera de la integración.</w:t>
      </w:r>
      <w:r w:rsidRPr="009F297D">
        <w:rPr>
          <w:szCs w:val="24"/>
          <w:lang w:val="es-ES"/>
        </w:rPr>
        <w:t xml:space="preserve"> </w:t>
      </w:r>
      <w:r>
        <w:rPr>
          <w:szCs w:val="24"/>
          <w:lang w:val="es-ES"/>
        </w:rPr>
        <w:t>Los resultados del seguimiento e</w:t>
      </w:r>
      <w:r w:rsidR="002D3134">
        <w:rPr>
          <w:szCs w:val="24"/>
          <w:lang w:val="es-ES"/>
        </w:rPr>
        <w:t>n</w:t>
      </w:r>
      <w:r>
        <w:rPr>
          <w:szCs w:val="24"/>
          <w:lang w:val="es-ES"/>
        </w:rPr>
        <w:t xml:space="preserve"> 2010 y 2011 mostraron un aumento de </w:t>
      </w:r>
      <w:r w:rsidR="001B618F">
        <w:rPr>
          <w:szCs w:val="24"/>
          <w:lang w:val="es-ES"/>
        </w:rPr>
        <w:t xml:space="preserve">los </w:t>
      </w:r>
      <w:r>
        <w:rPr>
          <w:szCs w:val="24"/>
          <w:lang w:val="es-ES"/>
        </w:rPr>
        <w:t>contactos entre personas de distintas nacionalidades y un mayor reconocimiento mutuo.</w:t>
      </w:r>
      <w:r w:rsidRPr="009F297D">
        <w:rPr>
          <w:szCs w:val="24"/>
          <w:lang w:val="es-ES"/>
        </w:rPr>
        <w:t xml:space="preserve"> </w:t>
      </w:r>
      <w:r>
        <w:rPr>
          <w:szCs w:val="24"/>
          <w:lang w:val="es-ES"/>
        </w:rPr>
        <w:t>Alrededor de dos tercios del conjunto de la población de habla rusa y estonia tienen conocidos o amigos cercanos en la otra comunidad.</w:t>
      </w:r>
    </w:p>
    <w:p w:rsidR="00F61BD5" w:rsidRPr="009F297D" w:rsidRDefault="00F61BD5" w:rsidP="00637350">
      <w:pPr>
        <w:pStyle w:val="SingleTxtG"/>
        <w:rPr>
          <w:szCs w:val="24"/>
          <w:lang w:val="es-ES"/>
        </w:rPr>
      </w:pPr>
      <w:r w:rsidRPr="00737BC4">
        <w:rPr>
          <w:szCs w:val="24"/>
          <w:lang w:val="es-ES"/>
        </w:rPr>
        <w:t>76.</w:t>
      </w:r>
      <w:r w:rsidRPr="00737BC4">
        <w:rPr>
          <w:szCs w:val="24"/>
          <w:lang w:val="es-ES"/>
        </w:rPr>
        <w:tab/>
      </w:r>
      <w:r>
        <w:rPr>
          <w:szCs w:val="24"/>
          <w:lang w:val="es-ES"/>
        </w:rPr>
        <w:t xml:space="preserve">En comparación con el </w:t>
      </w:r>
      <w:r w:rsidR="00316ABD">
        <w:rPr>
          <w:szCs w:val="24"/>
          <w:lang w:val="es-ES"/>
        </w:rPr>
        <w:t xml:space="preserve">Estudio de </w:t>
      </w:r>
      <w:r>
        <w:rPr>
          <w:szCs w:val="24"/>
          <w:lang w:val="es-ES"/>
        </w:rPr>
        <w:t xml:space="preserve">Seguimiento de </w:t>
      </w:r>
      <w:smartTag w:uri="urn:schemas-microsoft-com:office:smarttags" w:element="PersonName">
        <w:smartTagPr>
          <w:attr w:name="ProductID" w:val="la Integraci￳n"/>
        </w:smartTagPr>
        <w:r>
          <w:rPr>
            <w:szCs w:val="24"/>
            <w:lang w:val="es-ES"/>
          </w:rPr>
          <w:t>la Integración</w:t>
        </w:r>
      </w:smartTag>
      <w:r>
        <w:rPr>
          <w:szCs w:val="24"/>
          <w:lang w:val="es-ES"/>
        </w:rPr>
        <w:t xml:space="preserve"> e</w:t>
      </w:r>
      <w:r w:rsidR="00AE775D">
        <w:rPr>
          <w:szCs w:val="24"/>
          <w:lang w:val="es-ES"/>
        </w:rPr>
        <w:t>n</w:t>
      </w:r>
      <w:r>
        <w:rPr>
          <w:szCs w:val="24"/>
          <w:lang w:val="es-ES"/>
        </w:rPr>
        <w:t xml:space="preserve"> </w:t>
      </w:r>
      <w:smartTag w:uri="urn:schemas-microsoft-com:office:smarttags" w:element="PersonName">
        <w:smartTagPr>
          <w:attr w:name="ProductID" w:val="la Sociedad Estonia"/>
        </w:smartTagPr>
        <w:r>
          <w:rPr>
            <w:szCs w:val="24"/>
            <w:lang w:val="es-ES"/>
          </w:rPr>
          <w:t>la So</w:t>
        </w:r>
        <w:r w:rsidR="00E8216A">
          <w:rPr>
            <w:szCs w:val="24"/>
            <w:lang w:val="es-ES"/>
          </w:rPr>
          <w:t>ciedad Estonia</w:t>
        </w:r>
      </w:smartTag>
      <w:r w:rsidR="00E8216A">
        <w:rPr>
          <w:szCs w:val="24"/>
          <w:lang w:val="es-ES"/>
        </w:rPr>
        <w:t xml:space="preserve"> de 2008, en</w:t>
      </w:r>
      <w:r>
        <w:rPr>
          <w:szCs w:val="24"/>
          <w:lang w:val="es-ES"/>
        </w:rPr>
        <w:t xml:space="preserve"> 2011 la percepción de desigualdad </w:t>
      </w:r>
      <w:r w:rsidR="001B618F">
        <w:rPr>
          <w:szCs w:val="24"/>
          <w:lang w:val="es-ES"/>
        </w:rPr>
        <w:t xml:space="preserve">disminuyó </w:t>
      </w:r>
      <w:r>
        <w:rPr>
          <w:szCs w:val="24"/>
          <w:lang w:val="es-ES"/>
        </w:rPr>
        <w:t xml:space="preserve">de </w:t>
      </w:r>
      <w:r w:rsidR="001B618F">
        <w:rPr>
          <w:szCs w:val="24"/>
          <w:lang w:val="es-ES"/>
        </w:rPr>
        <w:t xml:space="preserve">forma importante </w:t>
      </w:r>
      <w:r>
        <w:rPr>
          <w:szCs w:val="24"/>
          <w:lang w:val="es-ES"/>
        </w:rPr>
        <w:t xml:space="preserve">entre los residentes de </w:t>
      </w:r>
      <w:r w:rsidR="001B618F">
        <w:rPr>
          <w:szCs w:val="24"/>
          <w:lang w:val="es-ES"/>
        </w:rPr>
        <w:t xml:space="preserve">distintas </w:t>
      </w:r>
      <w:r>
        <w:rPr>
          <w:szCs w:val="24"/>
          <w:lang w:val="es-ES"/>
        </w:rPr>
        <w:t>nacionalidades.</w:t>
      </w:r>
      <w:r w:rsidRPr="00737BC4">
        <w:rPr>
          <w:szCs w:val="24"/>
          <w:lang w:val="es-ES"/>
        </w:rPr>
        <w:t xml:space="preserve"> </w:t>
      </w:r>
      <w:r>
        <w:rPr>
          <w:szCs w:val="24"/>
          <w:lang w:val="es-ES"/>
        </w:rPr>
        <w:t xml:space="preserve">Al responder </w:t>
      </w:r>
      <w:r w:rsidR="001B618F">
        <w:rPr>
          <w:szCs w:val="24"/>
          <w:lang w:val="es-ES"/>
        </w:rPr>
        <w:t xml:space="preserve">a </w:t>
      </w:r>
      <w:r>
        <w:rPr>
          <w:szCs w:val="24"/>
          <w:lang w:val="es-ES"/>
        </w:rPr>
        <w:t xml:space="preserve">la pregunta </w:t>
      </w:r>
      <w:r w:rsidR="00E8216A">
        <w:rPr>
          <w:szCs w:val="24"/>
          <w:lang w:val="es-ES"/>
        </w:rPr>
        <w:t>de si</w:t>
      </w:r>
      <w:r w:rsidR="001B618F">
        <w:rPr>
          <w:szCs w:val="24"/>
          <w:lang w:val="es-ES"/>
        </w:rPr>
        <w:t xml:space="preserve"> </w:t>
      </w:r>
      <w:r w:rsidR="00E8216A">
        <w:rPr>
          <w:szCs w:val="24"/>
          <w:lang w:val="es-ES"/>
        </w:rPr>
        <w:t>en años recientes</w:t>
      </w:r>
      <w:r>
        <w:rPr>
          <w:szCs w:val="24"/>
          <w:lang w:val="es-ES"/>
        </w:rPr>
        <w:t xml:space="preserve"> </w:t>
      </w:r>
      <w:r w:rsidR="001B618F">
        <w:rPr>
          <w:szCs w:val="24"/>
          <w:lang w:val="es-ES"/>
        </w:rPr>
        <w:t xml:space="preserve">se </w:t>
      </w:r>
      <w:r>
        <w:rPr>
          <w:szCs w:val="24"/>
          <w:lang w:val="es-ES"/>
        </w:rPr>
        <w:t>ha</w:t>
      </w:r>
      <w:r w:rsidR="001B618F">
        <w:rPr>
          <w:szCs w:val="24"/>
          <w:lang w:val="es-ES"/>
        </w:rPr>
        <w:t>bía</w:t>
      </w:r>
      <w:r>
        <w:rPr>
          <w:szCs w:val="24"/>
          <w:lang w:val="es-ES"/>
        </w:rPr>
        <w:t xml:space="preserve"> vivido alguna situación en </w:t>
      </w:r>
      <w:r w:rsidR="001B618F">
        <w:rPr>
          <w:szCs w:val="24"/>
          <w:lang w:val="es-ES"/>
        </w:rPr>
        <w:t xml:space="preserve">la </w:t>
      </w:r>
      <w:r>
        <w:rPr>
          <w:szCs w:val="24"/>
          <w:lang w:val="es-ES"/>
        </w:rPr>
        <w:t xml:space="preserve">que se </w:t>
      </w:r>
      <w:r w:rsidR="001B618F">
        <w:rPr>
          <w:szCs w:val="24"/>
          <w:lang w:val="es-ES"/>
        </w:rPr>
        <w:t xml:space="preserve">otorgase </w:t>
      </w:r>
      <w:r>
        <w:rPr>
          <w:szCs w:val="24"/>
          <w:lang w:val="es-ES"/>
        </w:rPr>
        <w:t xml:space="preserve">preferencia a </w:t>
      </w:r>
      <w:r w:rsidR="00432EFE">
        <w:rPr>
          <w:szCs w:val="24"/>
          <w:lang w:val="es-ES"/>
        </w:rPr>
        <w:t>determinadas</w:t>
      </w:r>
      <w:r>
        <w:rPr>
          <w:szCs w:val="24"/>
          <w:lang w:val="es-ES"/>
        </w:rPr>
        <w:t xml:space="preserve"> personas en </w:t>
      </w:r>
      <w:r w:rsidR="001B618F">
        <w:rPr>
          <w:szCs w:val="24"/>
          <w:lang w:val="es-ES"/>
        </w:rPr>
        <w:t xml:space="preserve">relación con </w:t>
      </w:r>
      <w:r>
        <w:rPr>
          <w:szCs w:val="24"/>
          <w:lang w:val="es-ES"/>
        </w:rPr>
        <w:t>el empleo, la designación de ciertos cargos o los derechos</w:t>
      </w:r>
      <w:r w:rsidR="009B78A2">
        <w:rPr>
          <w:szCs w:val="24"/>
          <w:lang w:val="es-ES"/>
        </w:rPr>
        <w:t>,</w:t>
      </w:r>
      <w:r>
        <w:rPr>
          <w:szCs w:val="24"/>
          <w:lang w:val="es-ES"/>
        </w:rPr>
        <w:t xml:space="preserve"> a causa de </w:t>
      </w:r>
      <w:r w:rsidR="001B618F">
        <w:rPr>
          <w:szCs w:val="24"/>
          <w:lang w:val="es-ES"/>
        </w:rPr>
        <w:t xml:space="preserve">la </w:t>
      </w:r>
      <w:r>
        <w:rPr>
          <w:szCs w:val="24"/>
          <w:lang w:val="es-ES"/>
        </w:rPr>
        <w:t xml:space="preserve">nacionalidad o </w:t>
      </w:r>
      <w:r w:rsidR="001B618F">
        <w:rPr>
          <w:szCs w:val="24"/>
          <w:lang w:val="es-ES"/>
        </w:rPr>
        <w:t xml:space="preserve">la </w:t>
      </w:r>
      <w:r>
        <w:rPr>
          <w:szCs w:val="24"/>
          <w:lang w:val="es-ES"/>
        </w:rPr>
        <w:t xml:space="preserve">lengua materna, </w:t>
      </w:r>
      <w:r w:rsidR="001B618F">
        <w:rPr>
          <w:szCs w:val="24"/>
          <w:lang w:val="es-ES"/>
        </w:rPr>
        <w:t xml:space="preserve">en 2011 </w:t>
      </w:r>
      <w:r>
        <w:rPr>
          <w:szCs w:val="24"/>
          <w:lang w:val="es-ES"/>
        </w:rPr>
        <w:t xml:space="preserve">el 20% de los encuestados </w:t>
      </w:r>
      <w:r w:rsidR="001B618F">
        <w:rPr>
          <w:szCs w:val="24"/>
          <w:lang w:val="es-ES"/>
        </w:rPr>
        <w:t xml:space="preserve">manifestó que </w:t>
      </w:r>
      <w:r>
        <w:rPr>
          <w:szCs w:val="24"/>
          <w:lang w:val="es-ES"/>
        </w:rPr>
        <w:t xml:space="preserve">había </w:t>
      </w:r>
      <w:r w:rsidR="001B618F">
        <w:rPr>
          <w:szCs w:val="24"/>
          <w:lang w:val="es-ES"/>
        </w:rPr>
        <w:t xml:space="preserve">sido objeto de </w:t>
      </w:r>
      <w:r>
        <w:rPr>
          <w:szCs w:val="24"/>
          <w:lang w:val="es-ES"/>
        </w:rPr>
        <w:t xml:space="preserve">trato desigual </w:t>
      </w:r>
      <w:r w:rsidR="001B618F">
        <w:rPr>
          <w:szCs w:val="24"/>
          <w:lang w:val="es-ES"/>
        </w:rPr>
        <w:t xml:space="preserve">frente a </w:t>
      </w:r>
      <w:r>
        <w:rPr>
          <w:szCs w:val="24"/>
          <w:lang w:val="es-ES"/>
        </w:rPr>
        <w:t>miembros de otras nacionalidades (</w:t>
      </w:r>
      <w:r w:rsidR="001B618F">
        <w:rPr>
          <w:szCs w:val="24"/>
          <w:lang w:val="es-ES"/>
        </w:rPr>
        <w:t>en comparación con e</w:t>
      </w:r>
      <w:r>
        <w:rPr>
          <w:szCs w:val="24"/>
          <w:lang w:val="es-ES"/>
        </w:rPr>
        <w:t xml:space="preserve">l 49% en 2008); la mitad de ellos informó sobre </w:t>
      </w:r>
      <w:r w:rsidR="001B618F">
        <w:rPr>
          <w:szCs w:val="24"/>
          <w:lang w:val="es-ES"/>
        </w:rPr>
        <w:t xml:space="preserve">trato </w:t>
      </w:r>
      <w:r>
        <w:rPr>
          <w:szCs w:val="24"/>
          <w:lang w:val="es-ES"/>
        </w:rPr>
        <w:t xml:space="preserve">desigual </w:t>
      </w:r>
      <w:r w:rsidR="001B618F">
        <w:rPr>
          <w:szCs w:val="24"/>
          <w:lang w:val="es-ES"/>
        </w:rPr>
        <w:t xml:space="preserve">de manera </w:t>
      </w:r>
      <w:r>
        <w:rPr>
          <w:szCs w:val="24"/>
          <w:lang w:val="es-ES"/>
        </w:rPr>
        <w:t>reiterada (frente al 24% en 2008).</w:t>
      </w:r>
      <w:r w:rsidRPr="009F297D">
        <w:rPr>
          <w:szCs w:val="24"/>
          <w:lang w:val="es-ES"/>
        </w:rPr>
        <w:t xml:space="preserve"> </w:t>
      </w:r>
      <w:r w:rsidR="00F77C03">
        <w:rPr>
          <w:szCs w:val="24"/>
          <w:lang w:val="es-ES"/>
        </w:rPr>
        <w:t xml:space="preserve">Solo </w:t>
      </w:r>
      <w:r>
        <w:rPr>
          <w:szCs w:val="24"/>
          <w:lang w:val="es-ES"/>
        </w:rPr>
        <w:t xml:space="preserve">unas pocas personas habían </w:t>
      </w:r>
      <w:r w:rsidR="009B78A2">
        <w:rPr>
          <w:szCs w:val="24"/>
          <w:lang w:val="es-ES"/>
        </w:rPr>
        <w:t>sufrid</w:t>
      </w:r>
      <w:r w:rsidR="001B618F">
        <w:rPr>
          <w:szCs w:val="24"/>
          <w:lang w:val="es-ES"/>
        </w:rPr>
        <w:t xml:space="preserve">o </w:t>
      </w:r>
      <w:r>
        <w:rPr>
          <w:szCs w:val="24"/>
          <w:lang w:val="es-ES"/>
        </w:rPr>
        <w:t>conflictos basados en la nacionalidad,</w:t>
      </w:r>
      <w:r w:rsidRPr="009F297D">
        <w:rPr>
          <w:szCs w:val="24"/>
          <w:lang w:val="es-ES"/>
        </w:rPr>
        <w:t xml:space="preserve"> </w:t>
      </w:r>
      <w:r>
        <w:rPr>
          <w:szCs w:val="24"/>
          <w:lang w:val="es-ES"/>
        </w:rPr>
        <w:t>concretamente el 10% de los estonios y el 7% de los representantes de otras nacionalidades.</w:t>
      </w:r>
    </w:p>
    <w:p w:rsidR="00F61BD5" w:rsidRPr="009F297D" w:rsidRDefault="00F61BD5" w:rsidP="00637350">
      <w:pPr>
        <w:pStyle w:val="SingleTxtG"/>
        <w:rPr>
          <w:szCs w:val="24"/>
          <w:lang w:val="es-ES"/>
        </w:rPr>
      </w:pPr>
      <w:r w:rsidRPr="00737BC4">
        <w:rPr>
          <w:szCs w:val="24"/>
          <w:lang w:val="es-ES"/>
        </w:rPr>
        <w:t>77.</w:t>
      </w:r>
      <w:r w:rsidRPr="00737BC4">
        <w:rPr>
          <w:szCs w:val="24"/>
          <w:lang w:val="es-ES"/>
        </w:rPr>
        <w:tab/>
      </w:r>
      <w:r>
        <w:rPr>
          <w:szCs w:val="24"/>
          <w:lang w:val="es-ES"/>
        </w:rPr>
        <w:t xml:space="preserve">La actitud de los estonios hacia la inclusión y la participación de la población de habla rusa se ha </w:t>
      </w:r>
      <w:r w:rsidR="001B618F">
        <w:rPr>
          <w:szCs w:val="24"/>
          <w:lang w:val="es-ES"/>
        </w:rPr>
        <w:t xml:space="preserve">hecho </w:t>
      </w:r>
      <w:r>
        <w:rPr>
          <w:szCs w:val="24"/>
          <w:lang w:val="es-ES"/>
        </w:rPr>
        <w:t>más positiva.</w:t>
      </w:r>
      <w:r w:rsidRPr="00737BC4">
        <w:rPr>
          <w:szCs w:val="24"/>
          <w:lang w:val="es-ES"/>
        </w:rPr>
        <w:t xml:space="preserve"> </w:t>
      </w:r>
      <w:r>
        <w:rPr>
          <w:szCs w:val="24"/>
          <w:lang w:val="es-ES"/>
        </w:rPr>
        <w:t>El apoyo de los estonios a una mayor in</w:t>
      </w:r>
      <w:r w:rsidR="001B618F">
        <w:rPr>
          <w:szCs w:val="24"/>
          <w:lang w:val="es-ES"/>
        </w:rPr>
        <w:t>clus</w:t>
      </w:r>
      <w:r>
        <w:rPr>
          <w:szCs w:val="24"/>
          <w:lang w:val="es-ES"/>
        </w:rPr>
        <w:t>ión de la población de habla rusa en la gestión de la sociedad y la economía de Estonia se ha incrementado e intensificado.</w:t>
      </w:r>
    </w:p>
    <w:p w:rsidR="00F61BD5" w:rsidRPr="009F297D" w:rsidRDefault="00F61BD5" w:rsidP="00637350">
      <w:pPr>
        <w:pStyle w:val="SingleTxtG"/>
        <w:rPr>
          <w:szCs w:val="24"/>
          <w:lang w:val="es-ES"/>
        </w:rPr>
      </w:pPr>
      <w:r w:rsidRPr="00737BC4">
        <w:rPr>
          <w:szCs w:val="24"/>
          <w:lang w:val="es-ES"/>
        </w:rPr>
        <w:t>78.</w:t>
      </w:r>
      <w:r w:rsidRPr="00737BC4">
        <w:rPr>
          <w:szCs w:val="24"/>
          <w:lang w:val="es-ES"/>
        </w:rPr>
        <w:tab/>
      </w:r>
      <w:r>
        <w:rPr>
          <w:szCs w:val="24"/>
          <w:lang w:val="es-ES"/>
        </w:rPr>
        <w:t xml:space="preserve">El Centro de Derechos Humanos ha reconocido </w:t>
      </w:r>
      <w:r w:rsidR="008F3D11">
        <w:rPr>
          <w:szCs w:val="24"/>
          <w:lang w:val="es-ES"/>
        </w:rPr>
        <w:t xml:space="preserve">las </w:t>
      </w:r>
      <w:r>
        <w:rPr>
          <w:szCs w:val="24"/>
          <w:lang w:val="es-ES"/>
        </w:rPr>
        <w:t xml:space="preserve">medidas decisivas </w:t>
      </w:r>
      <w:r w:rsidR="009B78A2">
        <w:rPr>
          <w:szCs w:val="24"/>
          <w:lang w:val="es-ES"/>
        </w:rPr>
        <w:t xml:space="preserve">adoptadas por </w:t>
      </w:r>
      <w:r w:rsidR="008F3D11">
        <w:rPr>
          <w:szCs w:val="24"/>
          <w:lang w:val="es-ES"/>
        </w:rPr>
        <w:t xml:space="preserve">el Estado </w:t>
      </w:r>
      <w:r>
        <w:rPr>
          <w:szCs w:val="24"/>
          <w:lang w:val="es-ES"/>
        </w:rPr>
        <w:t xml:space="preserve">en </w:t>
      </w:r>
      <w:r w:rsidR="008F3D11">
        <w:rPr>
          <w:szCs w:val="24"/>
          <w:lang w:val="es-ES"/>
        </w:rPr>
        <w:t>su</w:t>
      </w:r>
      <w:r>
        <w:rPr>
          <w:szCs w:val="24"/>
          <w:lang w:val="es-ES"/>
        </w:rPr>
        <w:t xml:space="preserve"> lucha contra la división étnica</w:t>
      </w:r>
      <w:r w:rsidR="008F3D11">
        <w:rPr>
          <w:szCs w:val="24"/>
          <w:lang w:val="es-ES"/>
        </w:rPr>
        <w:t>,</w:t>
      </w:r>
      <w:r>
        <w:rPr>
          <w:szCs w:val="24"/>
          <w:lang w:val="es-ES"/>
        </w:rPr>
        <w:t xml:space="preserve"> </w:t>
      </w:r>
      <w:r w:rsidR="008F3D11">
        <w:rPr>
          <w:szCs w:val="24"/>
          <w:lang w:val="es-ES"/>
        </w:rPr>
        <w:t xml:space="preserve">así como </w:t>
      </w:r>
      <w:r>
        <w:rPr>
          <w:szCs w:val="24"/>
          <w:lang w:val="es-ES"/>
        </w:rPr>
        <w:t xml:space="preserve">la continua evolución positiva de la comunicación entre </w:t>
      </w:r>
      <w:r w:rsidR="009B78A2">
        <w:rPr>
          <w:szCs w:val="24"/>
          <w:lang w:val="es-ES"/>
        </w:rPr>
        <w:t xml:space="preserve">las </w:t>
      </w:r>
      <w:r>
        <w:rPr>
          <w:szCs w:val="24"/>
          <w:lang w:val="es-ES"/>
        </w:rPr>
        <w:t>distintas nacionalidades.</w:t>
      </w:r>
      <w:r w:rsidRPr="00737BC4">
        <w:rPr>
          <w:szCs w:val="24"/>
          <w:lang w:val="es-ES"/>
        </w:rPr>
        <w:t xml:space="preserve"> </w:t>
      </w:r>
      <w:r>
        <w:rPr>
          <w:szCs w:val="24"/>
          <w:lang w:val="es-ES"/>
        </w:rPr>
        <w:t>El Ce</w:t>
      </w:r>
      <w:r w:rsidR="009B78A2">
        <w:rPr>
          <w:szCs w:val="24"/>
          <w:lang w:val="es-ES"/>
        </w:rPr>
        <w:t>ntro de Derechos Humanos presta</w:t>
      </w:r>
      <w:r>
        <w:rPr>
          <w:szCs w:val="24"/>
          <w:lang w:val="es-ES"/>
        </w:rPr>
        <w:t xml:space="preserve"> especial atención a </w:t>
      </w:r>
      <w:r w:rsidR="008F3D11">
        <w:rPr>
          <w:szCs w:val="24"/>
          <w:lang w:val="es-ES"/>
        </w:rPr>
        <w:t xml:space="preserve">la </w:t>
      </w:r>
      <w:r>
        <w:rPr>
          <w:szCs w:val="24"/>
          <w:lang w:val="es-ES"/>
        </w:rPr>
        <w:t>aplicación del Plan de Integración</w:t>
      </w:r>
      <w:r w:rsidR="00EA15AD">
        <w:rPr>
          <w:szCs w:val="24"/>
          <w:lang w:val="es-ES"/>
        </w:rPr>
        <w:t>,</w:t>
      </w:r>
      <w:r>
        <w:rPr>
          <w:szCs w:val="24"/>
          <w:lang w:val="es-ES"/>
        </w:rPr>
        <w:t xml:space="preserve"> que aborda las recomendaciones del Comité sobre esa cuesti</w:t>
      </w:r>
      <w:r w:rsidR="008F3D11">
        <w:rPr>
          <w:szCs w:val="24"/>
          <w:lang w:val="es-ES"/>
        </w:rPr>
        <w:t>ó</w:t>
      </w:r>
      <w:r>
        <w:rPr>
          <w:szCs w:val="24"/>
          <w:lang w:val="es-ES"/>
        </w:rPr>
        <w:t xml:space="preserve">n de </w:t>
      </w:r>
      <w:r w:rsidR="00EA15AD">
        <w:rPr>
          <w:szCs w:val="24"/>
          <w:lang w:val="es-ES"/>
        </w:rPr>
        <w:t>diversas maneras</w:t>
      </w:r>
      <w:r>
        <w:rPr>
          <w:szCs w:val="24"/>
          <w:lang w:val="es-ES"/>
        </w:rPr>
        <w:t xml:space="preserve">, </w:t>
      </w:r>
      <w:r w:rsidR="001226B2">
        <w:rPr>
          <w:szCs w:val="24"/>
          <w:lang w:val="es-ES"/>
        </w:rPr>
        <w:t xml:space="preserve">y también </w:t>
      </w:r>
      <w:r w:rsidR="009B78A2">
        <w:rPr>
          <w:szCs w:val="24"/>
          <w:lang w:val="es-ES"/>
        </w:rPr>
        <w:t>a los jóvenes con miras a incrementar</w:t>
      </w:r>
      <w:r>
        <w:rPr>
          <w:szCs w:val="24"/>
          <w:lang w:val="es-ES"/>
        </w:rPr>
        <w:t xml:space="preserve"> su in</w:t>
      </w:r>
      <w:r w:rsidR="008F3D11">
        <w:rPr>
          <w:szCs w:val="24"/>
          <w:lang w:val="es-ES"/>
        </w:rPr>
        <w:t>clus</w:t>
      </w:r>
      <w:r>
        <w:rPr>
          <w:szCs w:val="24"/>
          <w:lang w:val="es-ES"/>
        </w:rPr>
        <w:t xml:space="preserve">ión y </w:t>
      </w:r>
      <w:r w:rsidR="001226B2">
        <w:rPr>
          <w:szCs w:val="24"/>
          <w:lang w:val="es-ES"/>
        </w:rPr>
        <w:t xml:space="preserve">participación activa </w:t>
      </w:r>
      <w:r>
        <w:rPr>
          <w:szCs w:val="24"/>
          <w:lang w:val="es-ES"/>
        </w:rPr>
        <w:t>en la sociedad.</w:t>
      </w:r>
      <w:r w:rsidRPr="009F297D">
        <w:rPr>
          <w:szCs w:val="24"/>
          <w:lang w:val="es-ES"/>
        </w:rPr>
        <w:t xml:space="preserve"> </w:t>
      </w:r>
      <w:r>
        <w:rPr>
          <w:szCs w:val="24"/>
          <w:lang w:val="es-ES"/>
        </w:rPr>
        <w:t xml:space="preserve">El Centro de Derechos Humanos estima que el nivel de </w:t>
      </w:r>
      <w:r w:rsidR="001226B2">
        <w:rPr>
          <w:szCs w:val="24"/>
          <w:lang w:val="es-ES"/>
        </w:rPr>
        <w:t xml:space="preserve">activismo </w:t>
      </w:r>
      <w:r>
        <w:rPr>
          <w:szCs w:val="24"/>
          <w:lang w:val="es-ES"/>
        </w:rPr>
        <w:t>político de los distintos grupos nacionales ha aumentado</w:t>
      </w:r>
      <w:r w:rsidR="001226B2">
        <w:rPr>
          <w:szCs w:val="24"/>
          <w:lang w:val="es-ES"/>
        </w:rPr>
        <w:t>,</w:t>
      </w:r>
      <w:r>
        <w:rPr>
          <w:szCs w:val="24"/>
          <w:lang w:val="es-ES"/>
        </w:rPr>
        <w:t xml:space="preserve"> y que </w:t>
      </w:r>
      <w:r w:rsidR="001226B2">
        <w:rPr>
          <w:szCs w:val="24"/>
          <w:lang w:val="es-ES"/>
        </w:rPr>
        <w:t xml:space="preserve">dichos grupos </w:t>
      </w:r>
      <w:r>
        <w:rPr>
          <w:szCs w:val="24"/>
          <w:lang w:val="es-ES"/>
        </w:rPr>
        <w:t>cada vez comparten más valores políticos.</w:t>
      </w:r>
      <w:r w:rsidRPr="009F297D">
        <w:rPr>
          <w:szCs w:val="24"/>
          <w:lang w:val="es-ES"/>
        </w:rPr>
        <w:t xml:space="preserve"> </w:t>
      </w:r>
      <w:r w:rsidR="009B78A2">
        <w:rPr>
          <w:szCs w:val="24"/>
          <w:lang w:val="es-ES"/>
        </w:rPr>
        <w:t>Señal</w:t>
      </w:r>
      <w:r>
        <w:rPr>
          <w:szCs w:val="24"/>
          <w:lang w:val="es-ES"/>
        </w:rPr>
        <w:t xml:space="preserve">a </w:t>
      </w:r>
      <w:r w:rsidR="001226B2">
        <w:rPr>
          <w:szCs w:val="24"/>
          <w:lang w:val="es-ES"/>
        </w:rPr>
        <w:t>además</w:t>
      </w:r>
      <w:r w:rsidR="00520113">
        <w:rPr>
          <w:szCs w:val="24"/>
          <w:lang w:val="es-ES"/>
        </w:rPr>
        <w:t xml:space="preserve"> que, según</w:t>
      </w:r>
      <w:r>
        <w:rPr>
          <w:szCs w:val="24"/>
          <w:lang w:val="es-ES"/>
        </w:rPr>
        <w:t xml:space="preserve"> las ONG, el Estado </w:t>
      </w:r>
      <w:r w:rsidR="00F77C03">
        <w:rPr>
          <w:szCs w:val="24"/>
          <w:lang w:val="es-ES"/>
        </w:rPr>
        <w:t>otorga una gran importancia a</w:t>
      </w:r>
      <w:r>
        <w:rPr>
          <w:szCs w:val="24"/>
          <w:lang w:val="es-ES"/>
        </w:rPr>
        <w:t xml:space="preserve"> la cuestión de la </w:t>
      </w:r>
      <w:r w:rsidR="001226B2">
        <w:rPr>
          <w:szCs w:val="24"/>
          <w:lang w:val="es-ES"/>
        </w:rPr>
        <w:t>participac</w:t>
      </w:r>
      <w:r>
        <w:rPr>
          <w:szCs w:val="24"/>
          <w:lang w:val="es-ES"/>
        </w:rPr>
        <w:t>ión de las minorías nacionales</w:t>
      </w:r>
      <w:r w:rsidR="001226B2">
        <w:rPr>
          <w:szCs w:val="24"/>
          <w:lang w:val="es-ES"/>
        </w:rPr>
        <w:t>,</w:t>
      </w:r>
      <w:r>
        <w:rPr>
          <w:szCs w:val="24"/>
          <w:lang w:val="es-ES"/>
        </w:rPr>
        <w:t xml:space="preserve"> expuesta en el párrafo 14 de las </w:t>
      </w:r>
      <w:r w:rsidR="001226B2">
        <w:rPr>
          <w:szCs w:val="24"/>
          <w:lang w:val="es-ES"/>
        </w:rPr>
        <w:t xml:space="preserve">observaciones finales </w:t>
      </w:r>
      <w:r>
        <w:rPr>
          <w:szCs w:val="24"/>
          <w:lang w:val="es-ES"/>
        </w:rPr>
        <w:t>del Comité.</w:t>
      </w:r>
      <w:r w:rsidRPr="009F297D">
        <w:rPr>
          <w:szCs w:val="24"/>
          <w:lang w:val="es-ES"/>
        </w:rPr>
        <w:t xml:space="preserve"> </w:t>
      </w:r>
      <w:r>
        <w:rPr>
          <w:szCs w:val="24"/>
          <w:lang w:val="es-ES"/>
        </w:rPr>
        <w:t xml:space="preserve">También valora positivamente una de las prioridades del plan de aplicación, </w:t>
      </w:r>
      <w:r w:rsidR="001226B2">
        <w:rPr>
          <w:szCs w:val="24"/>
          <w:lang w:val="es-ES"/>
        </w:rPr>
        <w:t>en particular</w:t>
      </w:r>
      <w:r>
        <w:rPr>
          <w:szCs w:val="24"/>
          <w:lang w:val="es-ES"/>
        </w:rPr>
        <w:t xml:space="preserve"> la mejora de la enseñanza del idioma estonio tanto en la escuela como en contextos informales, </w:t>
      </w:r>
      <w:r w:rsidR="001226B2">
        <w:rPr>
          <w:szCs w:val="24"/>
          <w:lang w:val="es-ES"/>
        </w:rPr>
        <w:t>de conformidad con</w:t>
      </w:r>
      <w:r>
        <w:rPr>
          <w:szCs w:val="24"/>
          <w:lang w:val="es-ES"/>
        </w:rPr>
        <w:t xml:space="preserve"> la recomendación </w:t>
      </w:r>
      <w:r w:rsidR="001226B2">
        <w:rPr>
          <w:szCs w:val="24"/>
          <w:lang w:val="es-ES"/>
        </w:rPr>
        <w:t>formulada en el</w:t>
      </w:r>
      <w:r>
        <w:rPr>
          <w:szCs w:val="24"/>
          <w:lang w:val="es-ES"/>
        </w:rPr>
        <w:t xml:space="preserve"> párrafo </w:t>
      </w:r>
      <w:smartTag w:uri="urn:schemas-microsoft-com:office:smarttags" w:element="metricconverter">
        <w:smartTagPr>
          <w:attr w:name="ProductID" w:val="13 a"/>
        </w:smartTagPr>
        <w:r>
          <w:rPr>
            <w:szCs w:val="24"/>
            <w:lang w:val="es-ES"/>
          </w:rPr>
          <w:t>13 a</w:t>
        </w:r>
      </w:smartTag>
      <w:r>
        <w:rPr>
          <w:szCs w:val="24"/>
          <w:lang w:val="es-ES"/>
        </w:rPr>
        <w:t>)</w:t>
      </w:r>
      <w:r w:rsidR="001226B2">
        <w:rPr>
          <w:szCs w:val="24"/>
          <w:lang w:val="es-ES"/>
        </w:rPr>
        <w:t xml:space="preserve"> de las observaciones finales del Comité</w:t>
      </w:r>
      <w:r>
        <w:rPr>
          <w:szCs w:val="24"/>
          <w:lang w:val="es-ES"/>
        </w:rPr>
        <w:t>.</w:t>
      </w:r>
    </w:p>
    <w:p w:rsidR="00290982" w:rsidRDefault="00290982" w:rsidP="00637350">
      <w:pPr>
        <w:pStyle w:val="SingleTxtG"/>
        <w:rPr>
          <w:szCs w:val="24"/>
          <w:lang w:val="es-ES"/>
        </w:rPr>
      </w:pPr>
      <w:r>
        <w:rPr>
          <w:szCs w:val="24"/>
          <w:lang w:val="es-ES"/>
        </w:rPr>
        <w:t>79.</w:t>
      </w:r>
      <w:r>
        <w:rPr>
          <w:szCs w:val="24"/>
          <w:lang w:val="es-ES"/>
        </w:rPr>
        <w:tab/>
        <w:t xml:space="preserve">El Canciller de Justicia también se ha hecho eco de la necesidad de mejorar la enseñanza del idioma estonio, y </w:t>
      </w:r>
      <w:r w:rsidR="000A6690">
        <w:rPr>
          <w:szCs w:val="24"/>
          <w:lang w:val="es-ES"/>
        </w:rPr>
        <w:t xml:space="preserve">el 2 de julio de 2012 </w:t>
      </w:r>
      <w:r>
        <w:rPr>
          <w:szCs w:val="24"/>
          <w:lang w:val="es-ES"/>
        </w:rPr>
        <w:t xml:space="preserve">transmitió una propuesta al Parlamento en el sentido de poner </w:t>
      </w:r>
      <w:smartTag w:uri="urn:schemas-microsoft-com:office:smarttags" w:element="PersonName">
        <w:smartTagPr>
          <w:attr w:name="ProductID" w:val="La Ley"/>
        </w:smartTagPr>
        <w:r>
          <w:rPr>
            <w:szCs w:val="24"/>
            <w:lang w:val="es-ES"/>
          </w:rPr>
          <w:t>la Ley</w:t>
        </w:r>
      </w:smartTag>
      <w:r>
        <w:rPr>
          <w:szCs w:val="24"/>
          <w:lang w:val="es-ES"/>
        </w:rPr>
        <w:t xml:space="preserve"> de escuelas privadas en conformidad con el derecho constitucional de todos a recibir enseñanza en estonio. La propuesta ha obtenido el apoyo del Comité Constitucional y del Comité de Asuntos Culturales del Parlamento, así como del propio Parlamento.</w:t>
      </w:r>
    </w:p>
    <w:p w:rsidR="00F61BD5" w:rsidRPr="00737BC4" w:rsidRDefault="00F61BD5" w:rsidP="00637350">
      <w:pPr>
        <w:pStyle w:val="SingleTxtG"/>
        <w:rPr>
          <w:szCs w:val="24"/>
          <w:lang w:val="es-ES"/>
        </w:rPr>
      </w:pPr>
      <w:r w:rsidRPr="00737BC4">
        <w:rPr>
          <w:szCs w:val="24"/>
          <w:lang w:val="es-ES"/>
        </w:rPr>
        <w:t>80.</w:t>
      </w:r>
      <w:r w:rsidRPr="00737BC4">
        <w:rPr>
          <w:szCs w:val="24"/>
          <w:lang w:val="es-ES"/>
        </w:rPr>
        <w:tab/>
      </w:r>
      <w:r>
        <w:rPr>
          <w:szCs w:val="24"/>
          <w:lang w:val="es-ES"/>
        </w:rPr>
        <w:t xml:space="preserve">El Instituto de Derechos Humanos, en su comunicado de 9 de julio de 2012 dirigido al Ministerio de Cultura, el Ministerio de Educación e Investigación y </w:t>
      </w:r>
      <w:smartTag w:uri="urn:schemas-microsoft-com:office:smarttags" w:element="PersonName">
        <w:smartTagPr>
          <w:attr w:name="ProductID" w:val="la Fundaci￳n MISA"/>
        </w:smartTagPr>
        <w:r>
          <w:rPr>
            <w:szCs w:val="24"/>
            <w:lang w:val="es-ES"/>
          </w:rPr>
          <w:t>la Fundación MISA</w:t>
        </w:r>
      </w:smartTag>
      <w:r>
        <w:rPr>
          <w:szCs w:val="24"/>
          <w:lang w:val="es-ES"/>
        </w:rPr>
        <w:t xml:space="preserve">, también </w:t>
      </w:r>
      <w:r w:rsidR="00D41714">
        <w:rPr>
          <w:szCs w:val="24"/>
          <w:lang w:val="es-ES"/>
        </w:rPr>
        <w:t xml:space="preserve">señaló a la atención </w:t>
      </w:r>
      <w:r>
        <w:rPr>
          <w:szCs w:val="24"/>
          <w:lang w:val="es-ES"/>
        </w:rPr>
        <w:t xml:space="preserve">el hecho de que, </w:t>
      </w:r>
      <w:r w:rsidR="00D41714">
        <w:rPr>
          <w:szCs w:val="24"/>
          <w:lang w:val="es-ES"/>
        </w:rPr>
        <w:t xml:space="preserve">como en </w:t>
      </w:r>
      <w:r>
        <w:rPr>
          <w:szCs w:val="24"/>
          <w:lang w:val="es-ES"/>
        </w:rPr>
        <w:t xml:space="preserve">la mayor parte de los empleos se requiere </w:t>
      </w:r>
      <w:r w:rsidR="00EA15AD">
        <w:rPr>
          <w:szCs w:val="24"/>
          <w:lang w:val="es-ES"/>
        </w:rPr>
        <w:t xml:space="preserve">un </w:t>
      </w:r>
      <w:r>
        <w:rPr>
          <w:szCs w:val="24"/>
          <w:lang w:val="es-ES"/>
        </w:rPr>
        <w:t xml:space="preserve">dominio del idioma estonio en </w:t>
      </w:r>
      <w:r w:rsidR="00D41714">
        <w:rPr>
          <w:szCs w:val="24"/>
          <w:lang w:val="es-ES"/>
        </w:rPr>
        <w:t xml:space="preserve">el </w:t>
      </w:r>
      <w:r>
        <w:rPr>
          <w:szCs w:val="24"/>
          <w:lang w:val="es-ES"/>
        </w:rPr>
        <w:t>nivel B2 o superior (y</w:t>
      </w:r>
      <w:r w:rsidR="00D41714">
        <w:rPr>
          <w:szCs w:val="24"/>
          <w:lang w:val="es-ES"/>
        </w:rPr>
        <w:t>,</w:t>
      </w:r>
      <w:r>
        <w:rPr>
          <w:szCs w:val="24"/>
          <w:lang w:val="es-ES"/>
        </w:rPr>
        <w:t xml:space="preserve"> en cargos públicos, general</w:t>
      </w:r>
      <w:r w:rsidR="00D41714">
        <w:rPr>
          <w:szCs w:val="24"/>
          <w:lang w:val="es-ES"/>
        </w:rPr>
        <w:t>mente</w:t>
      </w:r>
      <w:r>
        <w:rPr>
          <w:szCs w:val="24"/>
          <w:lang w:val="es-ES"/>
        </w:rPr>
        <w:t xml:space="preserve"> en </w:t>
      </w:r>
      <w:r w:rsidR="00D41714">
        <w:rPr>
          <w:szCs w:val="24"/>
          <w:lang w:val="es-ES"/>
        </w:rPr>
        <w:t xml:space="preserve">el </w:t>
      </w:r>
      <w:r>
        <w:rPr>
          <w:szCs w:val="24"/>
          <w:lang w:val="es-ES"/>
        </w:rPr>
        <w:t xml:space="preserve">nivel C1), los planes de estudios de las escuelas rusas no permiten asegurar a sus graduados </w:t>
      </w:r>
      <w:r w:rsidR="00D41714">
        <w:rPr>
          <w:szCs w:val="24"/>
          <w:lang w:val="es-ES"/>
        </w:rPr>
        <w:t xml:space="preserve">la </w:t>
      </w:r>
      <w:r>
        <w:rPr>
          <w:szCs w:val="24"/>
          <w:lang w:val="es-ES"/>
        </w:rPr>
        <w:t xml:space="preserve">igualdad de oportunidades con </w:t>
      </w:r>
      <w:r w:rsidR="00D41714">
        <w:rPr>
          <w:szCs w:val="24"/>
          <w:lang w:val="es-ES"/>
        </w:rPr>
        <w:t xml:space="preserve">respecto a </w:t>
      </w:r>
      <w:r>
        <w:rPr>
          <w:szCs w:val="24"/>
          <w:lang w:val="es-ES"/>
        </w:rPr>
        <w:t>los graduados de las escuelas de lengua estonia, lo que puede causarles dificultades para proseguir sus estudios, elegir un empleo y desarrollar una trayectoria profesional.</w:t>
      </w:r>
    </w:p>
    <w:p w:rsidR="00F61BD5" w:rsidRPr="00737BC4" w:rsidRDefault="00F61BD5" w:rsidP="00637350">
      <w:pPr>
        <w:pStyle w:val="SingleTxtG"/>
        <w:rPr>
          <w:szCs w:val="24"/>
          <w:lang w:val="es-ES"/>
        </w:rPr>
      </w:pPr>
      <w:r w:rsidRPr="00737BC4">
        <w:rPr>
          <w:szCs w:val="24"/>
          <w:lang w:val="es-ES"/>
        </w:rPr>
        <w:t>81.</w:t>
      </w:r>
      <w:r w:rsidRPr="00737BC4">
        <w:rPr>
          <w:szCs w:val="24"/>
          <w:lang w:val="es-ES"/>
        </w:rPr>
        <w:tab/>
      </w:r>
      <w:r w:rsidR="00D41714">
        <w:rPr>
          <w:szCs w:val="24"/>
          <w:lang w:val="es-ES"/>
        </w:rPr>
        <w:t>El</w:t>
      </w:r>
      <w:r>
        <w:rPr>
          <w:szCs w:val="24"/>
          <w:lang w:val="es-ES"/>
        </w:rPr>
        <w:t xml:space="preserve"> Ministerio de Defensa</w:t>
      </w:r>
      <w:r w:rsidR="00D41714">
        <w:rPr>
          <w:szCs w:val="24"/>
          <w:lang w:val="es-ES"/>
        </w:rPr>
        <w:t>, en</w:t>
      </w:r>
      <w:r>
        <w:rPr>
          <w:szCs w:val="24"/>
          <w:lang w:val="es-ES"/>
        </w:rPr>
        <w:t xml:space="preserve"> </w:t>
      </w:r>
      <w:r w:rsidR="00D41714">
        <w:rPr>
          <w:szCs w:val="24"/>
          <w:lang w:val="es-ES"/>
        </w:rPr>
        <w:t>su</w:t>
      </w:r>
      <w:r>
        <w:rPr>
          <w:szCs w:val="24"/>
          <w:lang w:val="es-ES"/>
        </w:rPr>
        <w:t xml:space="preserve"> </w:t>
      </w:r>
      <w:r w:rsidR="00D41714">
        <w:rPr>
          <w:szCs w:val="24"/>
          <w:lang w:val="es-ES"/>
        </w:rPr>
        <w:t xml:space="preserve">ámbito de competencias, </w:t>
      </w:r>
      <w:r>
        <w:rPr>
          <w:szCs w:val="24"/>
          <w:lang w:val="es-ES"/>
        </w:rPr>
        <w:t>a</w:t>
      </w:r>
      <w:r w:rsidR="00D41714">
        <w:rPr>
          <w:szCs w:val="24"/>
          <w:lang w:val="es-ES"/>
        </w:rPr>
        <w:t>poya</w:t>
      </w:r>
      <w:r>
        <w:rPr>
          <w:szCs w:val="24"/>
          <w:lang w:val="es-ES"/>
        </w:rPr>
        <w:t xml:space="preserve"> la eliminación de todas las formas de discriminación racial dentro de los límites de la legislación vinculante, incluida la eliminación del trato </w:t>
      </w:r>
      <w:r w:rsidR="00D41714">
        <w:rPr>
          <w:szCs w:val="24"/>
          <w:lang w:val="es-ES"/>
        </w:rPr>
        <w:t xml:space="preserve">desigual </w:t>
      </w:r>
      <w:r>
        <w:rPr>
          <w:szCs w:val="24"/>
          <w:lang w:val="es-ES"/>
        </w:rPr>
        <w:t>a los grupos minoritarios con diferencias étnicas</w:t>
      </w:r>
      <w:r w:rsidR="00816F36">
        <w:rPr>
          <w:szCs w:val="24"/>
          <w:lang w:val="es-ES"/>
        </w:rPr>
        <w:t xml:space="preserve"> y lingüísticas.</w:t>
      </w:r>
      <w:r w:rsidRPr="00737BC4">
        <w:rPr>
          <w:szCs w:val="24"/>
          <w:lang w:val="es-ES"/>
        </w:rPr>
        <w:t xml:space="preserve"> </w:t>
      </w:r>
      <w:r w:rsidR="00816F36">
        <w:rPr>
          <w:szCs w:val="24"/>
          <w:lang w:val="es-ES"/>
        </w:rPr>
        <w:t>C</w:t>
      </w:r>
      <w:r>
        <w:rPr>
          <w:szCs w:val="24"/>
          <w:lang w:val="es-ES"/>
        </w:rPr>
        <w:t xml:space="preserve">abe señalar que </w:t>
      </w:r>
      <w:r w:rsidR="00816F36">
        <w:rPr>
          <w:szCs w:val="24"/>
          <w:lang w:val="es-ES"/>
        </w:rPr>
        <w:t xml:space="preserve">dicho </w:t>
      </w:r>
      <w:r>
        <w:rPr>
          <w:szCs w:val="24"/>
          <w:lang w:val="es-ES"/>
        </w:rPr>
        <w:t xml:space="preserve">Ministerio y </w:t>
      </w:r>
      <w:r w:rsidR="00816F36">
        <w:rPr>
          <w:szCs w:val="24"/>
          <w:lang w:val="es-ES"/>
        </w:rPr>
        <w:t>su</w:t>
      </w:r>
      <w:r>
        <w:rPr>
          <w:szCs w:val="24"/>
          <w:lang w:val="es-ES"/>
        </w:rPr>
        <w:t xml:space="preserve">s autoridades </w:t>
      </w:r>
      <w:r w:rsidR="00816F36">
        <w:rPr>
          <w:szCs w:val="24"/>
          <w:lang w:val="es-ES"/>
        </w:rPr>
        <w:t>competentes</w:t>
      </w:r>
      <w:r>
        <w:rPr>
          <w:szCs w:val="24"/>
          <w:lang w:val="es-ES"/>
        </w:rPr>
        <w:t xml:space="preserve"> toma</w:t>
      </w:r>
      <w:r w:rsidR="00816F36">
        <w:rPr>
          <w:szCs w:val="24"/>
          <w:lang w:val="es-ES"/>
        </w:rPr>
        <w:t xml:space="preserve">n </w:t>
      </w:r>
      <w:r>
        <w:rPr>
          <w:szCs w:val="24"/>
          <w:lang w:val="es-ES"/>
        </w:rPr>
        <w:t>en consideración la necesidad de preservar la identidad de las minorías étnicas y culturales, al tiempo que apoya</w:t>
      </w:r>
      <w:r w:rsidR="00816F36">
        <w:rPr>
          <w:szCs w:val="24"/>
          <w:lang w:val="es-ES"/>
        </w:rPr>
        <w:t>n</w:t>
      </w:r>
      <w:r>
        <w:rPr>
          <w:szCs w:val="24"/>
          <w:lang w:val="es-ES"/>
        </w:rPr>
        <w:t xml:space="preserve"> su integración y cooperación con los grupos mayoritarios.</w:t>
      </w:r>
    </w:p>
    <w:p w:rsidR="00F61BD5" w:rsidRPr="009F297D" w:rsidRDefault="00F61BD5" w:rsidP="00637350">
      <w:pPr>
        <w:pStyle w:val="SingleTxtG"/>
        <w:rPr>
          <w:szCs w:val="24"/>
          <w:lang w:val="es-ES"/>
        </w:rPr>
      </w:pPr>
      <w:r w:rsidRPr="00737BC4">
        <w:rPr>
          <w:szCs w:val="24"/>
          <w:lang w:val="es-ES"/>
        </w:rPr>
        <w:t>82.</w:t>
      </w:r>
      <w:r w:rsidRPr="00737BC4">
        <w:rPr>
          <w:szCs w:val="24"/>
          <w:lang w:val="es-ES"/>
        </w:rPr>
        <w:tab/>
      </w:r>
      <w:r>
        <w:rPr>
          <w:szCs w:val="24"/>
          <w:lang w:val="es-ES"/>
        </w:rPr>
        <w:t xml:space="preserve">En </w:t>
      </w:r>
      <w:smartTag w:uri="urn:schemas-microsoft-com:office:smarttags" w:element="PersonName">
        <w:smartTagPr>
          <w:attr w:name="ProductID" w:val="La Oficina"/>
        </w:smartTagPr>
        <w:r>
          <w:rPr>
            <w:szCs w:val="24"/>
            <w:lang w:val="es-ES"/>
          </w:rPr>
          <w:t>la Oficina</w:t>
        </w:r>
      </w:smartTag>
      <w:r>
        <w:rPr>
          <w:szCs w:val="24"/>
          <w:lang w:val="es-ES"/>
        </w:rPr>
        <w:t xml:space="preserve"> de Recursos </w:t>
      </w:r>
      <w:r w:rsidR="00816F36">
        <w:rPr>
          <w:szCs w:val="24"/>
          <w:lang w:val="es-ES"/>
        </w:rPr>
        <w:t xml:space="preserve">Humanos del Ministerio de </w:t>
      </w:r>
      <w:r>
        <w:rPr>
          <w:szCs w:val="24"/>
          <w:lang w:val="es-ES"/>
        </w:rPr>
        <w:t>Defensa de Estonia</w:t>
      </w:r>
      <w:r w:rsidR="00816F36">
        <w:rPr>
          <w:szCs w:val="24"/>
          <w:lang w:val="es-ES"/>
        </w:rPr>
        <w:t>,</w:t>
      </w:r>
      <w:r>
        <w:rPr>
          <w:szCs w:val="24"/>
          <w:lang w:val="es-ES"/>
        </w:rPr>
        <w:t xml:space="preserve"> la prueba de idoneidad profesional </w:t>
      </w:r>
      <w:r w:rsidR="00816F36">
        <w:rPr>
          <w:szCs w:val="24"/>
          <w:lang w:val="es-ES"/>
        </w:rPr>
        <w:t xml:space="preserve">se puede realizar </w:t>
      </w:r>
      <w:r>
        <w:rPr>
          <w:szCs w:val="24"/>
          <w:lang w:val="es-ES"/>
        </w:rPr>
        <w:t xml:space="preserve">en </w:t>
      </w:r>
      <w:r w:rsidR="001B778C">
        <w:rPr>
          <w:szCs w:val="24"/>
          <w:lang w:val="es-ES"/>
        </w:rPr>
        <w:t xml:space="preserve">la </w:t>
      </w:r>
      <w:r>
        <w:rPr>
          <w:szCs w:val="24"/>
          <w:lang w:val="es-ES"/>
        </w:rPr>
        <w:t>lengua materna</w:t>
      </w:r>
      <w:r w:rsidR="00520113">
        <w:rPr>
          <w:szCs w:val="24"/>
          <w:lang w:val="es-ES"/>
        </w:rPr>
        <w:t>.</w:t>
      </w:r>
      <w:r w:rsidRPr="00737BC4">
        <w:rPr>
          <w:szCs w:val="24"/>
          <w:lang w:val="es-ES"/>
        </w:rPr>
        <w:t xml:space="preserve"> </w:t>
      </w:r>
      <w:r>
        <w:rPr>
          <w:szCs w:val="24"/>
          <w:lang w:val="es-ES"/>
        </w:rPr>
        <w:t xml:space="preserve">Una línea telefónica de información </w:t>
      </w:r>
      <w:r w:rsidR="00816F36">
        <w:rPr>
          <w:szCs w:val="24"/>
          <w:lang w:val="es-ES"/>
        </w:rPr>
        <w:t xml:space="preserve">gratuita </w:t>
      </w:r>
      <w:r>
        <w:rPr>
          <w:szCs w:val="24"/>
          <w:lang w:val="es-ES"/>
        </w:rPr>
        <w:t xml:space="preserve">permite a </w:t>
      </w:r>
      <w:r w:rsidR="00EA15AD">
        <w:rPr>
          <w:szCs w:val="24"/>
          <w:lang w:val="es-ES"/>
        </w:rPr>
        <w:t>los reclutas</w:t>
      </w:r>
      <w:r>
        <w:rPr>
          <w:szCs w:val="24"/>
          <w:lang w:val="es-ES"/>
        </w:rPr>
        <w:t xml:space="preserve"> y a sus familiares solicitar ayuda y asesoramiento en su lengua materna, y </w:t>
      </w:r>
      <w:r w:rsidR="00816F36">
        <w:rPr>
          <w:szCs w:val="24"/>
          <w:lang w:val="es-ES"/>
        </w:rPr>
        <w:t xml:space="preserve">los reclutas </w:t>
      </w:r>
      <w:r>
        <w:rPr>
          <w:szCs w:val="24"/>
          <w:lang w:val="es-ES"/>
        </w:rPr>
        <w:t>también pueden utilizarla en la comisión médica.</w:t>
      </w:r>
      <w:r w:rsidRPr="009F297D">
        <w:rPr>
          <w:szCs w:val="24"/>
          <w:lang w:val="es-ES"/>
        </w:rPr>
        <w:t xml:space="preserve"> </w:t>
      </w:r>
      <w:r>
        <w:rPr>
          <w:szCs w:val="24"/>
          <w:lang w:val="es-ES"/>
        </w:rPr>
        <w:t xml:space="preserve">Los grupos minoritarios </w:t>
      </w:r>
      <w:r w:rsidR="00816F36">
        <w:rPr>
          <w:szCs w:val="24"/>
          <w:lang w:val="es-ES"/>
        </w:rPr>
        <w:t>se benefici</w:t>
      </w:r>
      <w:r>
        <w:rPr>
          <w:szCs w:val="24"/>
          <w:lang w:val="es-ES"/>
        </w:rPr>
        <w:t>a</w:t>
      </w:r>
      <w:r w:rsidR="00816F36">
        <w:rPr>
          <w:szCs w:val="24"/>
          <w:lang w:val="es-ES"/>
        </w:rPr>
        <w:t>n a</w:t>
      </w:r>
      <w:r>
        <w:rPr>
          <w:szCs w:val="24"/>
          <w:lang w:val="es-ES"/>
        </w:rPr>
        <w:t>mpliamente</w:t>
      </w:r>
      <w:r w:rsidR="00C2063C">
        <w:rPr>
          <w:szCs w:val="24"/>
          <w:lang w:val="es-ES"/>
        </w:rPr>
        <w:t xml:space="preserve"> de</w:t>
      </w:r>
      <w:r>
        <w:rPr>
          <w:szCs w:val="24"/>
          <w:lang w:val="es-ES"/>
        </w:rPr>
        <w:t xml:space="preserve"> ese derecho, </w:t>
      </w:r>
      <w:r w:rsidR="00816F36">
        <w:rPr>
          <w:szCs w:val="24"/>
          <w:lang w:val="es-ES"/>
        </w:rPr>
        <w:t xml:space="preserve">en particular </w:t>
      </w:r>
      <w:r>
        <w:rPr>
          <w:szCs w:val="24"/>
          <w:lang w:val="es-ES"/>
        </w:rPr>
        <w:t>en la comisión médica de Kohtla-Järve.</w:t>
      </w:r>
    </w:p>
    <w:p w:rsidR="007B5452" w:rsidRPr="009F297D" w:rsidRDefault="007B5452" w:rsidP="00637350">
      <w:pPr>
        <w:pStyle w:val="SingleTxtG"/>
        <w:rPr>
          <w:szCs w:val="24"/>
          <w:lang w:val="es-ES"/>
        </w:rPr>
      </w:pPr>
      <w:r w:rsidRPr="00737BC4">
        <w:rPr>
          <w:szCs w:val="24"/>
          <w:lang w:val="es-ES"/>
        </w:rPr>
        <w:t>83.</w:t>
      </w:r>
      <w:r w:rsidRPr="00737BC4">
        <w:rPr>
          <w:szCs w:val="24"/>
          <w:lang w:val="es-ES"/>
        </w:rPr>
        <w:tab/>
      </w:r>
      <w:r w:rsidR="00C2063C">
        <w:rPr>
          <w:szCs w:val="24"/>
          <w:lang w:val="es-ES"/>
        </w:rPr>
        <w:t>Durante el servicio militar, l</w:t>
      </w:r>
      <w:r>
        <w:rPr>
          <w:szCs w:val="24"/>
          <w:lang w:val="es-ES"/>
        </w:rPr>
        <w:t>os grupos minoritarios también tienen la posibilidad de participar en cursos gratuitos de estonio como apoyo a su integración en la sociedad.</w:t>
      </w:r>
      <w:r w:rsidRPr="00737BC4">
        <w:rPr>
          <w:szCs w:val="24"/>
          <w:lang w:val="es-ES"/>
        </w:rPr>
        <w:t xml:space="preserve"> </w:t>
      </w:r>
      <w:r>
        <w:rPr>
          <w:szCs w:val="24"/>
          <w:lang w:val="es-ES"/>
        </w:rPr>
        <w:t xml:space="preserve">Las personas que realizan el servicio militar obligatorio son ciudadanos jóvenes a quienes la adquisición del idioma brinda una mayor preparación y ayuda </w:t>
      </w:r>
      <w:r w:rsidR="00C2063C">
        <w:rPr>
          <w:szCs w:val="24"/>
          <w:lang w:val="es-ES"/>
        </w:rPr>
        <w:t>para</w:t>
      </w:r>
      <w:r>
        <w:rPr>
          <w:szCs w:val="24"/>
          <w:lang w:val="es-ES"/>
        </w:rPr>
        <w:t xml:space="preserve"> acceder al mercado laboral en condiciones similares a las de los grupos mayoritarios.</w:t>
      </w:r>
      <w:r w:rsidRPr="009F297D">
        <w:rPr>
          <w:szCs w:val="24"/>
          <w:lang w:val="es-ES"/>
        </w:rPr>
        <w:t xml:space="preserve"> </w:t>
      </w:r>
      <w:r>
        <w:rPr>
          <w:szCs w:val="24"/>
          <w:lang w:val="es-ES"/>
        </w:rPr>
        <w:t>En l</w:t>
      </w:r>
      <w:r w:rsidR="00C2063C">
        <w:rPr>
          <w:szCs w:val="24"/>
          <w:lang w:val="es-ES"/>
        </w:rPr>
        <w:t>os comentarios transmitidos</w:t>
      </w:r>
      <w:r>
        <w:rPr>
          <w:szCs w:val="24"/>
          <w:lang w:val="es-ES"/>
        </w:rPr>
        <w:t xml:space="preserve"> por los reclutas de </w:t>
      </w:r>
      <w:r w:rsidR="00CB7D89">
        <w:rPr>
          <w:szCs w:val="24"/>
          <w:lang w:val="es-ES"/>
        </w:rPr>
        <w:t xml:space="preserve">las </w:t>
      </w:r>
      <w:r>
        <w:rPr>
          <w:szCs w:val="24"/>
          <w:lang w:val="es-ES"/>
        </w:rPr>
        <w:t xml:space="preserve">minorías </w:t>
      </w:r>
      <w:r w:rsidR="00C2063C">
        <w:rPr>
          <w:szCs w:val="24"/>
          <w:lang w:val="es-ES"/>
        </w:rPr>
        <w:t xml:space="preserve">nacionales </w:t>
      </w:r>
      <w:r>
        <w:rPr>
          <w:szCs w:val="24"/>
          <w:lang w:val="es-ES"/>
        </w:rPr>
        <w:t xml:space="preserve">en 2011, la adquisición de competencias lingüísticas se destacaba como un aspecto muy positivo </w:t>
      </w:r>
      <w:r w:rsidR="00CB7D89">
        <w:rPr>
          <w:szCs w:val="24"/>
          <w:lang w:val="es-ES"/>
        </w:rPr>
        <w:t>con respecto a</w:t>
      </w:r>
      <w:r>
        <w:rPr>
          <w:szCs w:val="24"/>
          <w:lang w:val="es-ES"/>
        </w:rPr>
        <w:t xml:space="preserve"> la obligación de prestar servicio en las Fuerzas de Defensa.</w:t>
      </w:r>
      <w:r w:rsidRPr="009F297D">
        <w:rPr>
          <w:szCs w:val="24"/>
          <w:lang w:val="es-ES"/>
        </w:rPr>
        <w:t xml:space="preserve"> </w:t>
      </w:r>
      <w:r w:rsidR="00C2063C">
        <w:rPr>
          <w:szCs w:val="24"/>
          <w:lang w:val="es-ES"/>
        </w:rPr>
        <w:t>El hecho de</w:t>
      </w:r>
      <w:r>
        <w:rPr>
          <w:szCs w:val="24"/>
          <w:lang w:val="es-ES"/>
        </w:rPr>
        <w:t xml:space="preserve"> </w:t>
      </w:r>
      <w:r w:rsidR="00C2063C">
        <w:rPr>
          <w:szCs w:val="24"/>
          <w:lang w:val="es-ES"/>
        </w:rPr>
        <w:t xml:space="preserve">que en </w:t>
      </w:r>
      <w:r>
        <w:rPr>
          <w:szCs w:val="24"/>
          <w:lang w:val="es-ES"/>
        </w:rPr>
        <w:t xml:space="preserve">el servicio militar </w:t>
      </w:r>
      <w:r w:rsidR="00C2063C">
        <w:rPr>
          <w:szCs w:val="24"/>
          <w:lang w:val="es-ES"/>
        </w:rPr>
        <w:t xml:space="preserve">obligatorio </w:t>
      </w:r>
      <w:r>
        <w:rPr>
          <w:szCs w:val="24"/>
          <w:lang w:val="es-ES"/>
        </w:rPr>
        <w:t>no se estable</w:t>
      </w:r>
      <w:r w:rsidR="00C2063C">
        <w:rPr>
          <w:szCs w:val="24"/>
          <w:lang w:val="es-ES"/>
        </w:rPr>
        <w:t>z</w:t>
      </w:r>
      <w:r>
        <w:rPr>
          <w:szCs w:val="24"/>
          <w:lang w:val="es-ES"/>
        </w:rPr>
        <w:t>c</w:t>
      </w:r>
      <w:r w:rsidR="00C2063C">
        <w:rPr>
          <w:szCs w:val="24"/>
          <w:lang w:val="es-ES"/>
        </w:rPr>
        <w:t>a</w:t>
      </w:r>
      <w:r>
        <w:rPr>
          <w:szCs w:val="24"/>
          <w:lang w:val="es-ES"/>
        </w:rPr>
        <w:t xml:space="preserve">n diferencias entre grupos lingüísticos o étnicos </w:t>
      </w:r>
      <w:r w:rsidR="00C2063C">
        <w:rPr>
          <w:szCs w:val="24"/>
          <w:lang w:val="es-ES"/>
        </w:rPr>
        <w:t>por lo que se refiere a</w:t>
      </w:r>
      <w:r>
        <w:rPr>
          <w:szCs w:val="24"/>
          <w:lang w:val="es-ES"/>
        </w:rPr>
        <w:t xml:space="preserve">l reclutamiento </w:t>
      </w:r>
      <w:r w:rsidR="00C2063C">
        <w:rPr>
          <w:szCs w:val="24"/>
          <w:lang w:val="es-ES"/>
        </w:rPr>
        <w:t xml:space="preserve">también favorece la </w:t>
      </w:r>
      <w:r>
        <w:rPr>
          <w:szCs w:val="24"/>
          <w:lang w:val="es-ES"/>
        </w:rPr>
        <w:t xml:space="preserve">integración </w:t>
      </w:r>
      <w:r w:rsidR="00C2063C">
        <w:rPr>
          <w:szCs w:val="24"/>
          <w:lang w:val="es-ES"/>
        </w:rPr>
        <w:t xml:space="preserve">en el plano </w:t>
      </w:r>
      <w:r>
        <w:rPr>
          <w:szCs w:val="24"/>
          <w:lang w:val="es-ES"/>
        </w:rPr>
        <w:t>p</w:t>
      </w:r>
      <w:r w:rsidR="00C2063C">
        <w:rPr>
          <w:szCs w:val="24"/>
          <w:lang w:val="es-ES"/>
        </w:rPr>
        <w:t>ersonal</w:t>
      </w:r>
      <w:r>
        <w:rPr>
          <w:szCs w:val="24"/>
          <w:lang w:val="es-ES"/>
        </w:rPr>
        <w:t>.</w:t>
      </w:r>
    </w:p>
    <w:p w:rsidR="00DE0B3B" w:rsidRPr="001B778C" w:rsidRDefault="006C7EF1" w:rsidP="00637350">
      <w:pPr>
        <w:pStyle w:val="H1G"/>
        <w:rPr>
          <w:lang w:val="es-ES"/>
        </w:rPr>
      </w:pPr>
      <w:r w:rsidRPr="009F297D">
        <w:rPr>
          <w:lang w:val="es-ES"/>
        </w:rPr>
        <w:tab/>
      </w:r>
      <w:r w:rsidRPr="009F297D">
        <w:rPr>
          <w:lang w:val="es-ES"/>
        </w:rPr>
        <w:tab/>
      </w:r>
      <w:r w:rsidR="00DE0B3B">
        <w:rPr>
          <w:lang w:val="es-ES"/>
        </w:rPr>
        <w:t>Artículo 3</w:t>
      </w:r>
    </w:p>
    <w:p w:rsidR="00DE0B3B" w:rsidRPr="006F71A0" w:rsidRDefault="00DE0B3B" w:rsidP="00637350">
      <w:pPr>
        <w:pStyle w:val="SingleTxtG"/>
        <w:rPr>
          <w:szCs w:val="24"/>
          <w:lang w:val="es-ES"/>
        </w:rPr>
      </w:pPr>
      <w:r w:rsidRPr="001B778C">
        <w:rPr>
          <w:szCs w:val="24"/>
          <w:lang w:val="es-ES"/>
        </w:rPr>
        <w:t>84.</w:t>
      </w:r>
      <w:r w:rsidRPr="001B778C">
        <w:rPr>
          <w:szCs w:val="24"/>
          <w:lang w:val="es-ES"/>
        </w:rPr>
        <w:tab/>
      </w:r>
      <w:r>
        <w:rPr>
          <w:szCs w:val="24"/>
          <w:lang w:val="es-ES"/>
        </w:rPr>
        <w:t xml:space="preserve">En Estonia no hay genocidios, segregación racial ni </w:t>
      </w:r>
      <w:r w:rsidRPr="008C2682">
        <w:rPr>
          <w:szCs w:val="24"/>
          <w:lang w:val="es-ES"/>
        </w:rPr>
        <w:t>apartheid</w:t>
      </w:r>
      <w:r>
        <w:rPr>
          <w:szCs w:val="24"/>
          <w:lang w:val="es-ES"/>
        </w:rPr>
        <w:t>.</w:t>
      </w:r>
      <w:r w:rsidRPr="001B778C">
        <w:rPr>
          <w:szCs w:val="24"/>
          <w:lang w:val="es-ES"/>
        </w:rPr>
        <w:t xml:space="preserve"> </w:t>
      </w:r>
      <w:r>
        <w:rPr>
          <w:szCs w:val="24"/>
          <w:lang w:val="es-ES"/>
        </w:rPr>
        <w:t xml:space="preserve">El Código Penal establece </w:t>
      </w:r>
      <w:r w:rsidR="001B778C">
        <w:rPr>
          <w:szCs w:val="24"/>
          <w:lang w:val="es-ES"/>
        </w:rPr>
        <w:t xml:space="preserve">las </w:t>
      </w:r>
      <w:r>
        <w:rPr>
          <w:szCs w:val="24"/>
          <w:lang w:val="es-ES"/>
        </w:rPr>
        <w:t>sanciones por genocidio (art</w:t>
      </w:r>
      <w:r w:rsidR="008C15F6">
        <w:rPr>
          <w:szCs w:val="24"/>
          <w:lang w:val="es-ES"/>
        </w:rPr>
        <w:t>.</w:t>
      </w:r>
      <w:r>
        <w:rPr>
          <w:szCs w:val="24"/>
          <w:lang w:val="es-ES"/>
        </w:rPr>
        <w:t xml:space="preserve"> 90) y crímenes de lesa humanidad (art</w:t>
      </w:r>
      <w:r w:rsidR="008C15F6">
        <w:rPr>
          <w:szCs w:val="24"/>
          <w:lang w:val="es-ES"/>
        </w:rPr>
        <w:t>.</w:t>
      </w:r>
      <w:r>
        <w:rPr>
          <w:szCs w:val="24"/>
          <w:lang w:val="es-ES"/>
        </w:rPr>
        <w:t xml:space="preserve"> 89).</w:t>
      </w:r>
      <w:r w:rsidRPr="006F71A0">
        <w:rPr>
          <w:szCs w:val="24"/>
          <w:lang w:val="es-ES"/>
        </w:rPr>
        <w:t xml:space="preserve"> </w:t>
      </w:r>
      <w:r>
        <w:rPr>
          <w:szCs w:val="24"/>
          <w:lang w:val="es-ES"/>
        </w:rPr>
        <w:t xml:space="preserve">El Ministerio de Justicia ha propuesto una enmienda a esos artículos de conformidad con la legislación de </w:t>
      </w:r>
      <w:smartTag w:uri="urn:schemas-microsoft-com:office:smarttags" w:element="PersonName">
        <w:smartTagPr>
          <w:attr w:name="ProductID" w:val="la Uni￳n Europea."/>
        </w:smartTagPr>
        <w:r>
          <w:rPr>
            <w:szCs w:val="24"/>
            <w:lang w:val="es-ES"/>
          </w:rPr>
          <w:t>la Unión Europea.</w:t>
        </w:r>
      </w:smartTag>
      <w:r w:rsidRPr="006F71A0">
        <w:rPr>
          <w:szCs w:val="24"/>
          <w:lang w:val="es-ES"/>
        </w:rPr>
        <w:t xml:space="preserve"> </w:t>
      </w:r>
      <w:r>
        <w:rPr>
          <w:szCs w:val="24"/>
          <w:lang w:val="es-ES"/>
        </w:rPr>
        <w:t xml:space="preserve">Con arreglo a la justificación pública de la enmienda </w:t>
      </w:r>
      <w:r w:rsidR="00E90451">
        <w:rPr>
          <w:szCs w:val="24"/>
          <w:lang w:val="es-ES"/>
        </w:rPr>
        <w:t>prevista</w:t>
      </w:r>
      <w:r>
        <w:rPr>
          <w:szCs w:val="24"/>
          <w:lang w:val="es-ES"/>
        </w:rPr>
        <w:t xml:space="preserve">, negar o restar importancia a un </w:t>
      </w:r>
      <w:r w:rsidR="001B778C">
        <w:rPr>
          <w:szCs w:val="24"/>
          <w:lang w:val="es-ES"/>
        </w:rPr>
        <w:t xml:space="preserve">delito </w:t>
      </w:r>
      <w:r>
        <w:rPr>
          <w:szCs w:val="24"/>
          <w:lang w:val="es-ES"/>
        </w:rPr>
        <w:t xml:space="preserve">internacional contra un grupo será punible si </w:t>
      </w:r>
      <w:r w:rsidR="001B778C">
        <w:rPr>
          <w:szCs w:val="24"/>
          <w:lang w:val="es-ES"/>
        </w:rPr>
        <w:t>conlleva</w:t>
      </w:r>
      <w:r>
        <w:rPr>
          <w:szCs w:val="24"/>
          <w:lang w:val="es-ES"/>
        </w:rPr>
        <w:t xml:space="preserve"> el riesgo de incitar al odio, la violencia o la discriminación contra </w:t>
      </w:r>
      <w:r w:rsidR="001B778C">
        <w:rPr>
          <w:szCs w:val="24"/>
          <w:lang w:val="es-ES"/>
        </w:rPr>
        <w:t>ese</w:t>
      </w:r>
      <w:r>
        <w:rPr>
          <w:szCs w:val="24"/>
          <w:lang w:val="es-ES"/>
        </w:rPr>
        <w:t xml:space="preserve"> grupo de personas o un</w:t>
      </w:r>
      <w:r w:rsidR="001B778C">
        <w:rPr>
          <w:szCs w:val="24"/>
          <w:lang w:val="es-ES"/>
        </w:rPr>
        <w:t>o de sus</w:t>
      </w:r>
      <w:r>
        <w:rPr>
          <w:szCs w:val="24"/>
          <w:lang w:val="es-ES"/>
        </w:rPr>
        <w:t xml:space="preserve"> miembro</w:t>
      </w:r>
      <w:r w:rsidR="00093F7A">
        <w:rPr>
          <w:szCs w:val="24"/>
          <w:lang w:val="es-ES"/>
        </w:rPr>
        <w:t>s</w:t>
      </w:r>
      <w:r>
        <w:rPr>
          <w:szCs w:val="24"/>
          <w:lang w:val="es-ES"/>
        </w:rPr>
        <w:t>.</w:t>
      </w:r>
    </w:p>
    <w:p w:rsidR="00DE0B3B" w:rsidRPr="001B778C" w:rsidRDefault="00DE0B3B" w:rsidP="00637350">
      <w:pPr>
        <w:pStyle w:val="SingleTxtG"/>
        <w:rPr>
          <w:szCs w:val="24"/>
          <w:lang w:val="es-ES"/>
        </w:rPr>
      </w:pPr>
      <w:r w:rsidRPr="001B778C">
        <w:rPr>
          <w:szCs w:val="24"/>
          <w:lang w:val="es-ES"/>
        </w:rPr>
        <w:t>85.</w:t>
      </w:r>
      <w:r w:rsidRPr="001B778C">
        <w:rPr>
          <w:szCs w:val="24"/>
          <w:lang w:val="es-ES"/>
        </w:rPr>
        <w:tab/>
      </w:r>
      <w:r>
        <w:rPr>
          <w:szCs w:val="24"/>
          <w:lang w:val="es-ES"/>
        </w:rPr>
        <w:t xml:space="preserve">En el período comprendido entre 2008 y </w:t>
      </w:r>
      <w:r w:rsidR="00E32EEE">
        <w:rPr>
          <w:szCs w:val="24"/>
          <w:lang w:val="es-ES"/>
        </w:rPr>
        <w:t>e</w:t>
      </w:r>
      <w:r>
        <w:rPr>
          <w:szCs w:val="24"/>
          <w:lang w:val="es-ES"/>
        </w:rPr>
        <w:t xml:space="preserve">l primer </w:t>
      </w:r>
      <w:r w:rsidR="00E32EEE">
        <w:rPr>
          <w:szCs w:val="24"/>
          <w:lang w:val="es-ES"/>
        </w:rPr>
        <w:t xml:space="preserve">semestre </w:t>
      </w:r>
      <w:r w:rsidR="004F0200">
        <w:rPr>
          <w:szCs w:val="24"/>
          <w:lang w:val="es-ES"/>
        </w:rPr>
        <w:t>de 2012 se iniciaron proceso</w:t>
      </w:r>
      <w:r>
        <w:rPr>
          <w:szCs w:val="24"/>
          <w:lang w:val="es-ES"/>
        </w:rPr>
        <w:t xml:space="preserve">s judiciales </w:t>
      </w:r>
      <w:r w:rsidR="00E32EEE">
        <w:rPr>
          <w:szCs w:val="24"/>
          <w:lang w:val="es-ES"/>
        </w:rPr>
        <w:t xml:space="preserve">en </w:t>
      </w:r>
      <w:r>
        <w:rPr>
          <w:szCs w:val="24"/>
          <w:lang w:val="es-ES"/>
        </w:rPr>
        <w:t xml:space="preserve">una </w:t>
      </w:r>
      <w:r w:rsidR="00E32EEE">
        <w:rPr>
          <w:szCs w:val="24"/>
          <w:lang w:val="es-ES"/>
        </w:rPr>
        <w:t xml:space="preserve">ocasión con arreglo a lo previsto en </w:t>
      </w:r>
      <w:r>
        <w:rPr>
          <w:szCs w:val="24"/>
          <w:lang w:val="es-ES"/>
        </w:rPr>
        <w:t>el artículo 89 del Código Penal</w:t>
      </w:r>
      <w:r w:rsidR="00E32EEE">
        <w:rPr>
          <w:szCs w:val="24"/>
          <w:lang w:val="es-ES"/>
        </w:rPr>
        <w:t>,</w:t>
      </w:r>
      <w:r>
        <w:rPr>
          <w:szCs w:val="24"/>
          <w:lang w:val="es-ES"/>
        </w:rPr>
        <w:t xml:space="preserve"> y </w:t>
      </w:r>
      <w:r w:rsidR="00E32EEE">
        <w:rPr>
          <w:szCs w:val="24"/>
          <w:lang w:val="es-ES"/>
        </w:rPr>
        <w:t xml:space="preserve">en </w:t>
      </w:r>
      <w:r>
        <w:rPr>
          <w:szCs w:val="24"/>
          <w:lang w:val="es-ES"/>
        </w:rPr>
        <w:t xml:space="preserve">tres </w:t>
      </w:r>
      <w:r w:rsidR="00E32EEE">
        <w:rPr>
          <w:szCs w:val="24"/>
          <w:lang w:val="es-ES"/>
        </w:rPr>
        <w:t>ocasiones de conformidad con el</w:t>
      </w:r>
      <w:r>
        <w:rPr>
          <w:szCs w:val="24"/>
          <w:lang w:val="es-ES"/>
        </w:rPr>
        <w:t xml:space="preserve"> artículo 90. </w:t>
      </w:r>
    </w:p>
    <w:p w:rsidR="00DE0B3B" w:rsidRPr="006F71A0" w:rsidRDefault="00DE0B3B" w:rsidP="00637350">
      <w:pPr>
        <w:pStyle w:val="SingleTxtG"/>
        <w:rPr>
          <w:szCs w:val="24"/>
          <w:lang w:val="es-ES"/>
        </w:rPr>
      </w:pPr>
      <w:r w:rsidRPr="001B778C">
        <w:rPr>
          <w:szCs w:val="24"/>
          <w:lang w:val="es-ES"/>
        </w:rPr>
        <w:t>86.</w:t>
      </w:r>
      <w:r w:rsidRPr="001B778C">
        <w:rPr>
          <w:szCs w:val="24"/>
          <w:lang w:val="es-ES"/>
        </w:rPr>
        <w:tab/>
      </w:r>
      <w:r>
        <w:rPr>
          <w:szCs w:val="24"/>
          <w:lang w:val="es-ES"/>
        </w:rPr>
        <w:t xml:space="preserve">Por lo que respecta al </w:t>
      </w:r>
      <w:r w:rsidR="00E32EEE">
        <w:rPr>
          <w:szCs w:val="24"/>
          <w:lang w:val="es-ES"/>
        </w:rPr>
        <w:t xml:space="preserve">tema </w:t>
      </w:r>
      <w:r>
        <w:rPr>
          <w:szCs w:val="24"/>
          <w:lang w:val="es-ES"/>
        </w:rPr>
        <w:t>del Holocausto en l</w:t>
      </w:r>
      <w:r w:rsidR="004F0200">
        <w:rPr>
          <w:szCs w:val="24"/>
          <w:lang w:val="es-ES"/>
        </w:rPr>
        <w:t xml:space="preserve">as escuelas, sírvanse consultar </w:t>
      </w:r>
      <w:r>
        <w:rPr>
          <w:szCs w:val="24"/>
          <w:lang w:val="es-ES"/>
        </w:rPr>
        <w:t xml:space="preserve">los párrafos </w:t>
      </w:r>
      <w:smartTag w:uri="urn:schemas-microsoft-com:office:smarttags" w:element="metricconverter">
        <w:smartTagPr>
          <w:attr w:name="ProductID" w:val="43 a"/>
        </w:smartTagPr>
        <w:r>
          <w:rPr>
            <w:szCs w:val="24"/>
            <w:lang w:val="es-ES"/>
          </w:rPr>
          <w:t>43 a</w:t>
        </w:r>
      </w:smartTag>
      <w:r>
        <w:rPr>
          <w:szCs w:val="24"/>
          <w:lang w:val="es-ES"/>
        </w:rPr>
        <w:t xml:space="preserve"> 45 del informe anterior, donde se describen actividades que </w:t>
      </w:r>
      <w:r w:rsidR="00E32EEE">
        <w:rPr>
          <w:szCs w:val="24"/>
          <w:lang w:val="es-ES"/>
        </w:rPr>
        <w:t xml:space="preserve">se </w:t>
      </w:r>
      <w:r>
        <w:rPr>
          <w:szCs w:val="24"/>
          <w:lang w:val="es-ES"/>
        </w:rPr>
        <w:t xml:space="preserve">han </w:t>
      </w:r>
      <w:r w:rsidR="00E32EEE">
        <w:rPr>
          <w:szCs w:val="24"/>
          <w:lang w:val="es-ES"/>
        </w:rPr>
        <w:t xml:space="preserve">mantenido </w:t>
      </w:r>
      <w:r>
        <w:rPr>
          <w:szCs w:val="24"/>
          <w:lang w:val="es-ES"/>
        </w:rPr>
        <w:t>en el período examinado en el presente informe.</w:t>
      </w:r>
      <w:r w:rsidRPr="001B778C">
        <w:rPr>
          <w:szCs w:val="24"/>
          <w:lang w:val="es-ES"/>
        </w:rPr>
        <w:t xml:space="preserve"> </w:t>
      </w:r>
      <w:r>
        <w:rPr>
          <w:szCs w:val="24"/>
          <w:lang w:val="es-ES"/>
        </w:rPr>
        <w:t>La lista de materiales educativos sobre el Holocausto se añadió al informe anterior.</w:t>
      </w:r>
    </w:p>
    <w:p w:rsidR="00E90451" w:rsidRPr="006F71A0" w:rsidRDefault="00E90451" w:rsidP="00637350">
      <w:pPr>
        <w:pStyle w:val="SingleTxtG"/>
        <w:rPr>
          <w:szCs w:val="24"/>
          <w:lang w:val="es-ES"/>
        </w:rPr>
      </w:pPr>
      <w:r w:rsidRPr="001B778C">
        <w:rPr>
          <w:szCs w:val="24"/>
          <w:lang w:val="es-ES"/>
        </w:rPr>
        <w:t>87.</w:t>
      </w:r>
      <w:r w:rsidRPr="001B778C">
        <w:rPr>
          <w:szCs w:val="24"/>
          <w:lang w:val="es-ES"/>
        </w:rPr>
        <w:tab/>
      </w:r>
      <w:r>
        <w:rPr>
          <w:szCs w:val="24"/>
          <w:lang w:val="es-ES"/>
        </w:rPr>
        <w:t>Deseamos proporcionar la siguiente información, que complementa l</w:t>
      </w:r>
      <w:r w:rsidR="00E32EEE">
        <w:rPr>
          <w:szCs w:val="24"/>
          <w:lang w:val="es-ES"/>
        </w:rPr>
        <w:t>as</w:t>
      </w:r>
      <w:r>
        <w:rPr>
          <w:szCs w:val="24"/>
          <w:lang w:val="es-ES"/>
        </w:rPr>
        <w:t xml:space="preserve"> explica</w:t>
      </w:r>
      <w:r w:rsidR="00E32EEE">
        <w:rPr>
          <w:szCs w:val="24"/>
          <w:lang w:val="es-ES"/>
        </w:rPr>
        <w:t>ciones facilitadas</w:t>
      </w:r>
      <w:r>
        <w:rPr>
          <w:szCs w:val="24"/>
          <w:lang w:val="es-ES"/>
        </w:rPr>
        <w:t xml:space="preserve"> en el informe anterior.</w:t>
      </w:r>
      <w:r w:rsidRPr="001B778C">
        <w:rPr>
          <w:szCs w:val="24"/>
          <w:lang w:val="es-ES"/>
        </w:rPr>
        <w:t xml:space="preserve"> </w:t>
      </w:r>
      <w:r>
        <w:rPr>
          <w:szCs w:val="24"/>
          <w:lang w:val="es-ES"/>
        </w:rPr>
        <w:t xml:space="preserve">En 2011 se celebró una conferencia titulada </w:t>
      </w:r>
      <w:r w:rsidR="002B491B">
        <w:rPr>
          <w:szCs w:val="24"/>
          <w:lang w:val="es-ES"/>
        </w:rPr>
        <w:t>"</w:t>
      </w:r>
      <w:r>
        <w:rPr>
          <w:szCs w:val="24"/>
          <w:lang w:val="es-ES"/>
        </w:rPr>
        <w:t>¿Cómo hablar sobre el Holocausto?</w:t>
      </w:r>
      <w:r w:rsidR="002B491B">
        <w:rPr>
          <w:szCs w:val="24"/>
          <w:lang w:val="es-ES"/>
        </w:rPr>
        <w:t>"</w:t>
      </w:r>
      <w:r>
        <w:rPr>
          <w:szCs w:val="24"/>
          <w:lang w:val="es-ES"/>
        </w:rPr>
        <w:t xml:space="preserve"> dirigida a docentes, en colaboración con el Ministerio de Educación e Investigación y </w:t>
      </w:r>
      <w:smartTag w:uri="urn:schemas-microsoft-com:office:smarttags" w:element="PersonName">
        <w:smartTagPr>
          <w:attr w:name="ProductID" w:val="la Asociaci￳n"/>
        </w:smartTagPr>
        <w:r>
          <w:rPr>
            <w:szCs w:val="24"/>
            <w:lang w:val="es-ES"/>
          </w:rPr>
          <w:t>la Asociación</w:t>
        </w:r>
      </w:smartTag>
      <w:r>
        <w:rPr>
          <w:szCs w:val="24"/>
          <w:lang w:val="es-ES"/>
        </w:rPr>
        <w:t xml:space="preserve"> del Tratado del Atlántico de Estonia, en la que también participó el Sr. Karel de Beer, </w:t>
      </w:r>
      <w:r w:rsidR="004E5BC1">
        <w:rPr>
          <w:szCs w:val="24"/>
          <w:lang w:val="es-ES"/>
        </w:rPr>
        <w:t>e</w:t>
      </w:r>
      <w:r>
        <w:rPr>
          <w:szCs w:val="24"/>
          <w:lang w:val="es-ES"/>
        </w:rPr>
        <w:t>mbajador presidente del Grupo de Trabajo para la cooperación internacional en la enseñanza, rememoración e investigación del Holocausto.</w:t>
      </w:r>
      <w:r w:rsidRPr="006F71A0">
        <w:rPr>
          <w:szCs w:val="24"/>
          <w:lang w:val="es-ES"/>
        </w:rPr>
        <w:t xml:space="preserve"> </w:t>
      </w:r>
      <w:r>
        <w:rPr>
          <w:szCs w:val="24"/>
          <w:lang w:val="es-ES"/>
        </w:rPr>
        <w:t xml:space="preserve">Los discursos de </w:t>
      </w:r>
      <w:smartTag w:uri="urn:schemas-microsoft-com:office:smarttags" w:element="PersonName">
        <w:smartTagPr>
          <w:attr w:name="ProductID" w:val="la Conferencia"/>
        </w:smartTagPr>
        <w:r>
          <w:rPr>
            <w:szCs w:val="24"/>
            <w:lang w:val="es-ES"/>
          </w:rPr>
          <w:t>la Conferencia</w:t>
        </w:r>
      </w:smartTag>
      <w:r>
        <w:rPr>
          <w:szCs w:val="24"/>
          <w:lang w:val="es-ES"/>
        </w:rPr>
        <w:t xml:space="preserve"> se publicaron en formato digital con miras a su utilización como materiales de estudio</w:t>
      </w:r>
      <w:r>
        <w:rPr>
          <w:rStyle w:val="FootnoteReference"/>
          <w:szCs w:val="24"/>
          <w:lang w:val="es-ES"/>
        </w:rPr>
        <w:footnoteReference w:id="25"/>
      </w:r>
      <w:r w:rsidR="009B72DA">
        <w:rPr>
          <w:szCs w:val="24"/>
          <w:lang w:val="es-ES"/>
        </w:rPr>
        <w:t>.</w:t>
      </w:r>
      <w:r>
        <w:rPr>
          <w:szCs w:val="24"/>
          <w:lang w:val="es-ES"/>
        </w:rPr>
        <w:t xml:space="preserve"> El</w:t>
      </w:r>
      <w:r w:rsidR="004E5BC1">
        <w:rPr>
          <w:szCs w:val="24"/>
          <w:lang w:val="es-ES"/>
        </w:rPr>
        <w:t xml:space="preserve"> Centro</w:t>
      </w:r>
      <w:r>
        <w:rPr>
          <w:szCs w:val="24"/>
          <w:lang w:val="es-ES"/>
        </w:rPr>
        <w:t xml:space="preserve"> Yad Vashem, centro mundial de documentación, investigación, educación y rememoración del Holocausto</w:t>
      </w:r>
      <w:r w:rsidR="00DC6E43">
        <w:rPr>
          <w:szCs w:val="24"/>
          <w:lang w:val="es-ES"/>
        </w:rPr>
        <w:t>,</w:t>
      </w:r>
      <w:r>
        <w:rPr>
          <w:szCs w:val="24"/>
          <w:lang w:val="es-ES"/>
        </w:rPr>
        <w:t xml:space="preserve"> </w:t>
      </w:r>
      <w:r w:rsidR="004E5BC1">
        <w:rPr>
          <w:szCs w:val="24"/>
          <w:lang w:val="es-ES"/>
        </w:rPr>
        <w:t>en colaboración</w:t>
      </w:r>
      <w:r>
        <w:rPr>
          <w:szCs w:val="24"/>
          <w:lang w:val="es-ES"/>
        </w:rPr>
        <w:t xml:space="preserve"> con el Ministerio de Educación e Investigación</w:t>
      </w:r>
      <w:r w:rsidR="004E5BC1">
        <w:rPr>
          <w:szCs w:val="24"/>
          <w:lang w:val="es-ES"/>
        </w:rPr>
        <w:t>, organiza</w:t>
      </w:r>
      <w:r>
        <w:rPr>
          <w:szCs w:val="24"/>
          <w:lang w:val="es-ES"/>
        </w:rPr>
        <w:t xml:space="preserve"> cursos de formación sobre la manera de </w:t>
      </w:r>
      <w:r w:rsidR="00DC6E43">
        <w:rPr>
          <w:szCs w:val="24"/>
          <w:lang w:val="es-ES"/>
        </w:rPr>
        <w:t>abordar</w:t>
      </w:r>
      <w:r>
        <w:rPr>
          <w:szCs w:val="24"/>
          <w:lang w:val="es-ES"/>
        </w:rPr>
        <w:t xml:space="preserve"> el Holocausto en los planes de estudios.</w:t>
      </w:r>
      <w:r w:rsidRPr="006F71A0">
        <w:rPr>
          <w:szCs w:val="24"/>
          <w:lang w:val="es-ES"/>
        </w:rPr>
        <w:t xml:space="preserve"> </w:t>
      </w:r>
      <w:r w:rsidR="004F0200">
        <w:rPr>
          <w:szCs w:val="24"/>
          <w:lang w:val="es-ES"/>
        </w:rPr>
        <w:t xml:space="preserve">En 2010 y </w:t>
      </w:r>
      <w:r w:rsidR="00DC6E43">
        <w:rPr>
          <w:szCs w:val="24"/>
          <w:lang w:val="es-ES"/>
        </w:rPr>
        <w:t>2012 e</w:t>
      </w:r>
      <w:r>
        <w:rPr>
          <w:szCs w:val="24"/>
          <w:lang w:val="es-ES"/>
        </w:rPr>
        <w:t>sos curso</w:t>
      </w:r>
      <w:r w:rsidR="00DC6E43">
        <w:rPr>
          <w:szCs w:val="24"/>
          <w:lang w:val="es-ES"/>
        </w:rPr>
        <w:t>s contaron con 20 participantes</w:t>
      </w:r>
      <w:r>
        <w:rPr>
          <w:szCs w:val="24"/>
          <w:lang w:val="es-ES"/>
        </w:rPr>
        <w:t>.</w:t>
      </w:r>
    </w:p>
    <w:p w:rsidR="00DE0B3B" w:rsidRPr="006F71A0" w:rsidRDefault="00DE0B3B" w:rsidP="00637350">
      <w:pPr>
        <w:pStyle w:val="H1G"/>
        <w:rPr>
          <w:lang w:val="es-ES"/>
        </w:rPr>
      </w:pPr>
      <w:r w:rsidRPr="006F71A0">
        <w:rPr>
          <w:lang w:val="es-ES"/>
        </w:rPr>
        <w:tab/>
      </w:r>
      <w:r w:rsidRPr="006F71A0">
        <w:rPr>
          <w:lang w:val="es-ES"/>
        </w:rPr>
        <w:tab/>
      </w:r>
      <w:r>
        <w:rPr>
          <w:lang w:val="es-ES"/>
        </w:rPr>
        <w:t>Artículo 4</w:t>
      </w:r>
    </w:p>
    <w:p w:rsidR="00DE0B3B" w:rsidRPr="001B778C" w:rsidRDefault="00DE0B3B" w:rsidP="00637350">
      <w:pPr>
        <w:pStyle w:val="SingleTxtG"/>
        <w:rPr>
          <w:szCs w:val="24"/>
          <w:lang w:val="es-ES"/>
        </w:rPr>
      </w:pPr>
      <w:r w:rsidRPr="001B778C">
        <w:rPr>
          <w:szCs w:val="24"/>
          <w:lang w:val="es-ES"/>
        </w:rPr>
        <w:t>88.</w:t>
      </w:r>
      <w:r w:rsidRPr="001B778C">
        <w:rPr>
          <w:szCs w:val="24"/>
          <w:lang w:val="es-ES"/>
        </w:rPr>
        <w:tab/>
      </w:r>
      <w:r>
        <w:rPr>
          <w:szCs w:val="24"/>
          <w:lang w:val="es-ES"/>
        </w:rPr>
        <w:t xml:space="preserve">En respuesta al párrafo 12 de las observaciones finales, deseamos explicar que Estonia no ha </w:t>
      </w:r>
      <w:r w:rsidR="004E5BC1">
        <w:rPr>
          <w:szCs w:val="24"/>
          <w:lang w:val="es-ES"/>
        </w:rPr>
        <w:t>llevado</w:t>
      </w:r>
      <w:r>
        <w:rPr>
          <w:szCs w:val="24"/>
          <w:lang w:val="es-ES"/>
        </w:rPr>
        <w:t xml:space="preserve"> aún </w:t>
      </w:r>
      <w:r w:rsidR="004E5BC1">
        <w:rPr>
          <w:szCs w:val="24"/>
          <w:lang w:val="es-ES"/>
        </w:rPr>
        <w:t xml:space="preserve">a la práctica </w:t>
      </w:r>
      <w:r>
        <w:rPr>
          <w:szCs w:val="24"/>
          <w:lang w:val="es-ES"/>
        </w:rPr>
        <w:t>su intención de modificar el artículo 151 del Código Penal</w:t>
      </w:r>
      <w:r w:rsidR="004F0200">
        <w:rPr>
          <w:szCs w:val="24"/>
          <w:lang w:val="es-ES"/>
        </w:rPr>
        <w:t>,</w:t>
      </w:r>
      <w:r>
        <w:rPr>
          <w:szCs w:val="24"/>
          <w:lang w:val="es-ES"/>
        </w:rPr>
        <w:t xml:space="preserve"> sobre </w:t>
      </w:r>
      <w:r w:rsidR="004F0200">
        <w:rPr>
          <w:szCs w:val="24"/>
          <w:lang w:val="es-ES"/>
        </w:rPr>
        <w:t xml:space="preserve">la </w:t>
      </w:r>
      <w:r>
        <w:rPr>
          <w:szCs w:val="24"/>
          <w:lang w:val="es-ES"/>
        </w:rPr>
        <w:t>incitación al odio</w:t>
      </w:r>
      <w:r w:rsidR="004F0200">
        <w:rPr>
          <w:szCs w:val="24"/>
          <w:lang w:val="es-ES"/>
        </w:rPr>
        <w:t>,</w:t>
      </w:r>
      <w:r>
        <w:rPr>
          <w:szCs w:val="24"/>
          <w:lang w:val="es-ES"/>
        </w:rPr>
        <w:t xml:space="preserve"> </w:t>
      </w:r>
      <w:r w:rsidR="004E5BC1">
        <w:rPr>
          <w:szCs w:val="24"/>
          <w:lang w:val="es-ES"/>
        </w:rPr>
        <w:t>ni ha</w:t>
      </w:r>
      <w:r>
        <w:rPr>
          <w:szCs w:val="24"/>
          <w:lang w:val="es-ES"/>
        </w:rPr>
        <w:t xml:space="preserve"> tipifica</w:t>
      </w:r>
      <w:r w:rsidR="004E5BC1">
        <w:rPr>
          <w:szCs w:val="24"/>
          <w:lang w:val="es-ES"/>
        </w:rPr>
        <w:t>do</w:t>
      </w:r>
      <w:r>
        <w:rPr>
          <w:szCs w:val="24"/>
          <w:lang w:val="es-ES"/>
        </w:rPr>
        <w:t xml:space="preserve"> como delito </w:t>
      </w:r>
      <w:r w:rsidR="004E5BC1">
        <w:rPr>
          <w:szCs w:val="24"/>
          <w:lang w:val="es-ES"/>
        </w:rPr>
        <w:t>e</w:t>
      </w:r>
      <w:r>
        <w:rPr>
          <w:szCs w:val="24"/>
          <w:lang w:val="es-ES"/>
        </w:rPr>
        <w:t xml:space="preserve">l </w:t>
      </w:r>
      <w:r w:rsidR="004E5BC1">
        <w:rPr>
          <w:szCs w:val="24"/>
          <w:lang w:val="es-ES"/>
        </w:rPr>
        <w:t xml:space="preserve">establecimiento </w:t>
      </w:r>
      <w:r>
        <w:rPr>
          <w:szCs w:val="24"/>
          <w:lang w:val="es-ES"/>
        </w:rPr>
        <w:t xml:space="preserve">de asociaciones raciales </w:t>
      </w:r>
      <w:r w:rsidR="004E5BC1">
        <w:rPr>
          <w:szCs w:val="24"/>
          <w:lang w:val="es-ES"/>
        </w:rPr>
        <w:t>c</w:t>
      </w:r>
      <w:r>
        <w:rPr>
          <w:szCs w:val="24"/>
          <w:lang w:val="es-ES"/>
        </w:rPr>
        <w:t>o</w:t>
      </w:r>
      <w:r w:rsidR="004E5BC1">
        <w:rPr>
          <w:szCs w:val="24"/>
          <w:lang w:val="es-ES"/>
        </w:rPr>
        <w:t>n el</w:t>
      </w:r>
      <w:r>
        <w:rPr>
          <w:szCs w:val="24"/>
          <w:lang w:val="es-ES"/>
        </w:rPr>
        <w:t xml:space="preserve"> objetivo </w:t>
      </w:r>
      <w:r w:rsidR="004E5BC1">
        <w:rPr>
          <w:szCs w:val="24"/>
          <w:lang w:val="es-ES"/>
        </w:rPr>
        <w:t>d</w:t>
      </w:r>
      <w:r>
        <w:rPr>
          <w:szCs w:val="24"/>
          <w:lang w:val="es-ES"/>
        </w:rPr>
        <w:t>e c</w:t>
      </w:r>
      <w:r w:rsidR="004F0200">
        <w:rPr>
          <w:szCs w:val="24"/>
          <w:lang w:val="es-ES"/>
        </w:rPr>
        <w:t>ometer delitos de índole racial o</w:t>
      </w:r>
      <w:r>
        <w:rPr>
          <w:szCs w:val="24"/>
          <w:lang w:val="es-ES"/>
        </w:rPr>
        <w:t xml:space="preserve"> la pertenencia a tales asociaciones.</w:t>
      </w:r>
    </w:p>
    <w:p w:rsidR="00DE0B3B" w:rsidRPr="001B778C" w:rsidRDefault="00DE0B3B" w:rsidP="00637350">
      <w:pPr>
        <w:pStyle w:val="SingleTxtG"/>
        <w:rPr>
          <w:szCs w:val="24"/>
          <w:lang w:val="es-ES"/>
        </w:rPr>
      </w:pPr>
      <w:r w:rsidRPr="001B778C">
        <w:rPr>
          <w:szCs w:val="24"/>
          <w:lang w:val="es-ES"/>
        </w:rPr>
        <w:t>89.</w:t>
      </w:r>
      <w:r w:rsidRPr="001B778C">
        <w:rPr>
          <w:szCs w:val="24"/>
          <w:lang w:val="es-ES"/>
        </w:rPr>
        <w:tab/>
      </w:r>
      <w:r w:rsidR="004F0200">
        <w:rPr>
          <w:szCs w:val="24"/>
          <w:lang w:val="es-ES"/>
        </w:rPr>
        <w:t>Con arreglo a las enmiendas</w:t>
      </w:r>
      <w:r>
        <w:rPr>
          <w:szCs w:val="24"/>
          <w:lang w:val="es-ES"/>
        </w:rPr>
        <w:t xml:space="preserve"> previstas </w:t>
      </w:r>
      <w:r w:rsidR="004F0200">
        <w:rPr>
          <w:szCs w:val="24"/>
          <w:lang w:val="es-ES"/>
        </w:rPr>
        <w:t>a</w:t>
      </w:r>
      <w:r>
        <w:rPr>
          <w:szCs w:val="24"/>
          <w:lang w:val="es-ES"/>
        </w:rPr>
        <w:t xml:space="preserve">l artículo 151, </w:t>
      </w:r>
      <w:r w:rsidR="004E5BC1">
        <w:rPr>
          <w:szCs w:val="24"/>
          <w:lang w:val="es-ES"/>
        </w:rPr>
        <w:t>se</w:t>
      </w:r>
      <w:r w:rsidR="004F0200">
        <w:rPr>
          <w:szCs w:val="24"/>
          <w:lang w:val="es-ES"/>
        </w:rPr>
        <w:t xml:space="preserve">rá punible </w:t>
      </w:r>
      <w:r>
        <w:rPr>
          <w:szCs w:val="24"/>
          <w:lang w:val="es-ES"/>
        </w:rPr>
        <w:t>toda actividad, incluid</w:t>
      </w:r>
      <w:r w:rsidR="004E5BC1">
        <w:rPr>
          <w:szCs w:val="24"/>
          <w:lang w:val="es-ES"/>
        </w:rPr>
        <w:t>os</w:t>
      </w:r>
      <w:r>
        <w:rPr>
          <w:szCs w:val="24"/>
          <w:lang w:val="es-ES"/>
        </w:rPr>
        <w:t xml:space="preserve"> </w:t>
      </w:r>
      <w:r w:rsidR="004E5BC1">
        <w:rPr>
          <w:szCs w:val="24"/>
          <w:lang w:val="es-ES"/>
        </w:rPr>
        <w:t>e</w:t>
      </w:r>
      <w:r>
        <w:rPr>
          <w:szCs w:val="24"/>
          <w:lang w:val="es-ES"/>
        </w:rPr>
        <w:t>l</w:t>
      </w:r>
      <w:r w:rsidR="004E5BC1">
        <w:rPr>
          <w:szCs w:val="24"/>
          <w:lang w:val="es-ES"/>
        </w:rPr>
        <w:t xml:space="preserve"> uso</w:t>
      </w:r>
      <w:r>
        <w:rPr>
          <w:szCs w:val="24"/>
          <w:lang w:val="es-ES"/>
        </w:rPr>
        <w:t>,</w:t>
      </w:r>
      <w:r w:rsidR="004E5BC1">
        <w:rPr>
          <w:szCs w:val="24"/>
          <w:lang w:val="es-ES"/>
        </w:rPr>
        <w:t xml:space="preserve"> la</w:t>
      </w:r>
      <w:r>
        <w:rPr>
          <w:szCs w:val="24"/>
          <w:lang w:val="es-ES"/>
        </w:rPr>
        <w:t xml:space="preserve"> distribución o </w:t>
      </w:r>
      <w:r w:rsidR="004E5BC1">
        <w:rPr>
          <w:szCs w:val="24"/>
          <w:lang w:val="es-ES"/>
        </w:rPr>
        <w:t xml:space="preserve">el </w:t>
      </w:r>
      <w:r>
        <w:rPr>
          <w:szCs w:val="24"/>
          <w:lang w:val="es-ES"/>
        </w:rPr>
        <w:t>intercambio de textos, imágenes, símbolos o cual</w:t>
      </w:r>
      <w:r w:rsidR="004E5BC1">
        <w:rPr>
          <w:szCs w:val="24"/>
          <w:lang w:val="es-ES"/>
        </w:rPr>
        <w:t>es</w:t>
      </w:r>
      <w:r>
        <w:rPr>
          <w:szCs w:val="24"/>
          <w:lang w:val="es-ES"/>
        </w:rPr>
        <w:t>quier</w:t>
      </w:r>
      <w:r w:rsidR="004E5BC1">
        <w:rPr>
          <w:szCs w:val="24"/>
          <w:lang w:val="es-ES"/>
        </w:rPr>
        <w:t>a</w:t>
      </w:r>
      <w:r>
        <w:rPr>
          <w:szCs w:val="24"/>
          <w:lang w:val="es-ES"/>
        </w:rPr>
        <w:t xml:space="preserve"> otro</w:t>
      </w:r>
      <w:r w:rsidR="004E5BC1">
        <w:rPr>
          <w:szCs w:val="24"/>
          <w:lang w:val="es-ES"/>
        </w:rPr>
        <w:t>s</w:t>
      </w:r>
      <w:r>
        <w:rPr>
          <w:szCs w:val="24"/>
          <w:lang w:val="es-ES"/>
        </w:rPr>
        <w:t xml:space="preserve"> material</w:t>
      </w:r>
      <w:r w:rsidR="004E5BC1">
        <w:rPr>
          <w:szCs w:val="24"/>
          <w:lang w:val="es-ES"/>
        </w:rPr>
        <w:t>es</w:t>
      </w:r>
      <w:r w:rsidR="004F0200">
        <w:rPr>
          <w:szCs w:val="24"/>
          <w:lang w:val="es-ES"/>
        </w:rPr>
        <w:t>,</w:t>
      </w:r>
      <w:r>
        <w:rPr>
          <w:szCs w:val="24"/>
          <w:lang w:val="es-ES"/>
        </w:rPr>
        <w:t xml:space="preserve"> que incite</w:t>
      </w:r>
      <w:r w:rsidR="004E5BC1">
        <w:rPr>
          <w:szCs w:val="24"/>
          <w:lang w:val="es-ES"/>
        </w:rPr>
        <w:t>n</w:t>
      </w:r>
      <w:r>
        <w:rPr>
          <w:szCs w:val="24"/>
          <w:lang w:val="es-ES"/>
        </w:rPr>
        <w:t xml:space="preserve"> al odio, la violencia o la discriminación contra un persona o grupo de personas sobre la base de su ciudadanía, nacionalidad, raza, características físicas, estado de salud, sexo, idioma, origen, religión, orientación sexual, creencias políticas, condición social </w:t>
      </w:r>
      <w:r w:rsidR="004E5BC1">
        <w:rPr>
          <w:szCs w:val="24"/>
          <w:lang w:val="es-ES"/>
        </w:rPr>
        <w:t xml:space="preserve">o situación financiera </w:t>
      </w:r>
      <w:r>
        <w:rPr>
          <w:szCs w:val="24"/>
          <w:lang w:val="es-ES"/>
        </w:rPr>
        <w:t xml:space="preserve">de manera sistemática o de forma que se altere el orden público. </w:t>
      </w:r>
    </w:p>
    <w:p w:rsidR="00DE0B3B" w:rsidRPr="001B778C" w:rsidRDefault="00DE0B3B" w:rsidP="00637350">
      <w:pPr>
        <w:pStyle w:val="SingleTxtG"/>
        <w:rPr>
          <w:szCs w:val="24"/>
          <w:lang w:val="es-ES"/>
        </w:rPr>
      </w:pPr>
      <w:r w:rsidRPr="001B778C">
        <w:rPr>
          <w:szCs w:val="24"/>
          <w:lang w:val="es-ES"/>
        </w:rPr>
        <w:t>90.</w:t>
      </w:r>
      <w:r w:rsidRPr="001B778C">
        <w:rPr>
          <w:szCs w:val="24"/>
          <w:lang w:val="es-ES"/>
        </w:rPr>
        <w:tab/>
      </w:r>
      <w:r w:rsidR="004E5BC1">
        <w:rPr>
          <w:szCs w:val="24"/>
          <w:lang w:val="es-ES"/>
        </w:rPr>
        <w:t>Al concluir</w:t>
      </w:r>
      <w:r>
        <w:rPr>
          <w:szCs w:val="24"/>
          <w:lang w:val="es-ES"/>
        </w:rPr>
        <w:t xml:space="preserve"> el presente informe (enero de 2013), los ministerios </w:t>
      </w:r>
      <w:r w:rsidR="00784A09">
        <w:rPr>
          <w:szCs w:val="24"/>
          <w:lang w:val="es-ES"/>
        </w:rPr>
        <w:t xml:space="preserve">seguían </w:t>
      </w:r>
      <w:r w:rsidR="004F0200">
        <w:rPr>
          <w:szCs w:val="24"/>
          <w:lang w:val="es-ES"/>
        </w:rPr>
        <w:t>tramitando dich</w:t>
      </w:r>
      <w:r>
        <w:rPr>
          <w:szCs w:val="24"/>
          <w:lang w:val="es-ES"/>
        </w:rPr>
        <w:t xml:space="preserve">as propuestas de enmienda </w:t>
      </w:r>
      <w:r w:rsidR="00784A09">
        <w:rPr>
          <w:szCs w:val="24"/>
          <w:lang w:val="es-ES"/>
        </w:rPr>
        <w:t>del</w:t>
      </w:r>
      <w:r>
        <w:rPr>
          <w:szCs w:val="24"/>
          <w:lang w:val="es-ES"/>
        </w:rPr>
        <w:t xml:space="preserve"> Código Penal.</w:t>
      </w:r>
    </w:p>
    <w:p w:rsidR="00DE0B3B" w:rsidRPr="006F71A0" w:rsidRDefault="00DE0B3B" w:rsidP="00637350">
      <w:pPr>
        <w:pStyle w:val="SingleTxtG"/>
        <w:rPr>
          <w:szCs w:val="24"/>
          <w:lang w:val="es-ES"/>
        </w:rPr>
      </w:pPr>
      <w:r w:rsidRPr="001B778C">
        <w:rPr>
          <w:szCs w:val="24"/>
          <w:lang w:val="es-ES"/>
        </w:rPr>
        <w:t>91.</w:t>
      </w:r>
      <w:r w:rsidRPr="001B778C">
        <w:rPr>
          <w:szCs w:val="24"/>
          <w:lang w:val="es-ES"/>
        </w:rPr>
        <w:tab/>
      </w:r>
      <w:r>
        <w:rPr>
          <w:szCs w:val="24"/>
          <w:lang w:val="es-ES"/>
        </w:rPr>
        <w:t>En relación con la enmienda mencionada, también está previsto sensibilizar al público</w:t>
      </w:r>
      <w:r w:rsidR="004F0200">
        <w:rPr>
          <w:szCs w:val="24"/>
          <w:lang w:val="es-ES"/>
        </w:rPr>
        <w:t xml:space="preserve"> en mayor medida sobre la</w:t>
      </w:r>
      <w:r w:rsidR="00784A09">
        <w:rPr>
          <w:szCs w:val="24"/>
          <w:lang w:val="es-ES"/>
        </w:rPr>
        <w:t>s modificaciones</w:t>
      </w:r>
      <w:r w:rsidR="004F0200">
        <w:rPr>
          <w:szCs w:val="24"/>
          <w:lang w:val="es-ES"/>
        </w:rPr>
        <w:t xml:space="preserve"> previstas y</w:t>
      </w:r>
      <w:r w:rsidR="00784A09">
        <w:rPr>
          <w:szCs w:val="24"/>
          <w:lang w:val="es-ES"/>
        </w:rPr>
        <w:t xml:space="preserve"> la reglamentación de los delitos motivados por el odio en general</w:t>
      </w:r>
      <w:r>
        <w:rPr>
          <w:szCs w:val="24"/>
          <w:lang w:val="es-ES"/>
        </w:rPr>
        <w:t xml:space="preserve">, </w:t>
      </w:r>
      <w:r w:rsidR="00784A09">
        <w:rPr>
          <w:szCs w:val="24"/>
          <w:lang w:val="es-ES"/>
        </w:rPr>
        <w:t xml:space="preserve">muy en particular </w:t>
      </w:r>
      <w:r w:rsidR="004F0200">
        <w:rPr>
          <w:szCs w:val="24"/>
          <w:lang w:val="es-ES"/>
        </w:rPr>
        <w:t>entre</w:t>
      </w:r>
      <w:r>
        <w:rPr>
          <w:szCs w:val="24"/>
          <w:lang w:val="es-ES"/>
        </w:rPr>
        <w:t xml:space="preserve"> los empleados de las fuerzas del orden (véase el párrafo 18 de las observaciones finales).</w:t>
      </w:r>
      <w:r w:rsidRPr="001B778C">
        <w:rPr>
          <w:szCs w:val="24"/>
          <w:lang w:val="es-ES"/>
        </w:rPr>
        <w:t xml:space="preserve"> </w:t>
      </w:r>
      <w:r>
        <w:rPr>
          <w:szCs w:val="24"/>
          <w:lang w:val="es-ES"/>
        </w:rPr>
        <w:t>El Ministerio de Justicia tiene previsto desarrollar bases metodológicas para determinar la motivación del odio, por ejemplo tomando en consideración la experiencia internacional y las recomendaciones de las organizaciones internacionales</w:t>
      </w:r>
      <w:r w:rsidR="00784A09">
        <w:rPr>
          <w:szCs w:val="24"/>
          <w:lang w:val="es-ES"/>
        </w:rPr>
        <w:t xml:space="preserve"> en esa esfera</w:t>
      </w:r>
      <w:r>
        <w:rPr>
          <w:szCs w:val="24"/>
          <w:lang w:val="es-ES"/>
        </w:rPr>
        <w:t>.</w:t>
      </w:r>
      <w:r w:rsidR="005466A4">
        <w:rPr>
          <w:szCs w:val="24"/>
          <w:lang w:val="es-ES"/>
        </w:rPr>
        <w:t xml:space="preserve"> </w:t>
      </w:r>
    </w:p>
    <w:p w:rsidR="00DC6E43" w:rsidRPr="006F71A0" w:rsidRDefault="00DC6E43" w:rsidP="00637350">
      <w:pPr>
        <w:pStyle w:val="SingleTxtG"/>
        <w:rPr>
          <w:szCs w:val="24"/>
          <w:lang w:val="es-ES"/>
        </w:rPr>
      </w:pPr>
      <w:r w:rsidRPr="001B778C">
        <w:rPr>
          <w:szCs w:val="24"/>
          <w:lang w:val="es-ES"/>
        </w:rPr>
        <w:t>92.</w:t>
      </w:r>
      <w:r w:rsidRPr="001B778C">
        <w:rPr>
          <w:szCs w:val="24"/>
          <w:lang w:val="es-ES"/>
        </w:rPr>
        <w:tab/>
      </w:r>
      <w:r>
        <w:rPr>
          <w:szCs w:val="24"/>
          <w:lang w:val="es-ES"/>
        </w:rPr>
        <w:t xml:space="preserve">El Ministerio de Relaciones Exteriores organiza un curso de formación previa </w:t>
      </w:r>
      <w:r w:rsidR="004F0200">
        <w:rPr>
          <w:szCs w:val="24"/>
          <w:lang w:val="es-ES"/>
        </w:rPr>
        <w:t>para funcionarios que se destinarán</w:t>
      </w:r>
      <w:r>
        <w:rPr>
          <w:szCs w:val="24"/>
          <w:lang w:val="es-ES"/>
        </w:rPr>
        <w:t xml:space="preserve"> a mision</w:t>
      </w:r>
      <w:r w:rsidR="004F0200">
        <w:rPr>
          <w:szCs w:val="24"/>
          <w:lang w:val="es-ES"/>
        </w:rPr>
        <w:t>es en el extranjero, incluido</w:t>
      </w:r>
      <w:r>
        <w:rPr>
          <w:szCs w:val="24"/>
          <w:lang w:val="es-ES"/>
        </w:rPr>
        <w:t xml:space="preserve"> también el tema del racismo </w:t>
      </w:r>
      <w:r w:rsidR="004F0200">
        <w:rPr>
          <w:szCs w:val="24"/>
          <w:lang w:val="es-ES"/>
        </w:rPr>
        <w:t>y la discriminación en</w:t>
      </w:r>
      <w:r>
        <w:rPr>
          <w:szCs w:val="24"/>
          <w:lang w:val="es-ES"/>
        </w:rPr>
        <w:t xml:space="preserve"> la región de destino.</w:t>
      </w:r>
      <w:r w:rsidRPr="001B778C">
        <w:rPr>
          <w:szCs w:val="24"/>
          <w:lang w:val="es-ES"/>
        </w:rPr>
        <w:t xml:space="preserve"> </w:t>
      </w:r>
      <w:r>
        <w:rPr>
          <w:szCs w:val="24"/>
          <w:lang w:val="es-ES"/>
        </w:rPr>
        <w:t>El número de funcionarios policiales que participaron en misiones civiles fue de 18 en 2012, 23 en 2011, 16 en 2010 y 9 en 2009.</w:t>
      </w:r>
    </w:p>
    <w:p w:rsidR="00DE0B3B" w:rsidRPr="006F71A0" w:rsidRDefault="00DE0B3B" w:rsidP="00637350">
      <w:pPr>
        <w:pStyle w:val="SingleTxtG"/>
        <w:rPr>
          <w:szCs w:val="24"/>
          <w:lang w:val="es-ES"/>
        </w:rPr>
      </w:pPr>
      <w:r w:rsidRPr="001B778C">
        <w:rPr>
          <w:szCs w:val="24"/>
          <w:lang w:val="es-ES"/>
        </w:rPr>
        <w:t>93.</w:t>
      </w:r>
      <w:r w:rsidRPr="001B778C">
        <w:rPr>
          <w:szCs w:val="24"/>
          <w:lang w:val="es-ES"/>
        </w:rPr>
        <w:tab/>
      </w:r>
      <w:r>
        <w:rPr>
          <w:szCs w:val="24"/>
          <w:lang w:val="es-ES"/>
        </w:rPr>
        <w:t xml:space="preserve">Durante el período </w:t>
      </w:r>
      <w:r w:rsidR="00784A09">
        <w:rPr>
          <w:szCs w:val="24"/>
          <w:lang w:val="es-ES"/>
        </w:rPr>
        <w:t>examinado</w:t>
      </w:r>
      <w:r>
        <w:rPr>
          <w:szCs w:val="24"/>
          <w:lang w:val="es-ES"/>
        </w:rPr>
        <w:t xml:space="preserve">, agentes de policía estonios asistieron a </w:t>
      </w:r>
      <w:r w:rsidR="00E63C5A">
        <w:rPr>
          <w:szCs w:val="24"/>
          <w:lang w:val="es-ES"/>
        </w:rPr>
        <w:t>di</w:t>
      </w:r>
      <w:r>
        <w:rPr>
          <w:szCs w:val="24"/>
          <w:lang w:val="es-ES"/>
        </w:rPr>
        <w:t>v</w:t>
      </w:r>
      <w:r w:rsidR="00E63C5A">
        <w:rPr>
          <w:szCs w:val="24"/>
          <w:lang w:val="es-ES"/>
        </w:rPr>
        <w:t>e</w:t>
      </w:r>
      <w:r>
        <w:rPr>
          <w:szCs w:val="24"/>
          <w:lang w:val="es-ES"/>
        </w:rPr>
        <w:t>r</w:t>
      </w:r>
      <w:r w:rsidR="00E63C5A">
        <w:rPr>
          <w:szCs w:val="24"/>
          <w:lang w:val="es-ES"/>
        </w:rPr>
        <w:t>s</w:t>
      </w:r>
      <w:r>
        <w:rPr>
          <w:szCs w:val="24"/>
          <w:lang w:val="es-ES"/>
        </w:rPr>
        <w:t xml:space="preserve">os </w:t>
      </w:r>
      <w:r w:rsidR="00784A09">
        <w:rPr>
          <w:szCs w:val="24"/>
          <w:lang w:val="es-ES"/>
        </w:rPr>
        <w:t xml:space="preserve">eventos </w:t>
      </w:r>
      <w:r>
        <w:rPr>
          <w:szCs w:val="24"/>
          <w:lang w:val="es-ES"/>
        </w:rPr>
        <w:t xml:space="preserve">internacionales </w:t>
      </w:r>
      <w:r w:rsidR="00E63C5A">
        <w:rPr>
          <w:szCs w:val="24"/>
          <w:lang w:val="es-ES"/>
        </w:rPr>
        <w:t xml:space="preserve">en los que se </w:t>
      </w:r>
      <w:r>
        <w:rPr>
          <w:szCs w:val="24"/>
          <w:lang w:val="es-ES"/>
        </w:rPr>
        <w:t>abord</w:t>
      </w:r>
      <w:r w:rsidR="00E63C5A">
        <w:rPr>
          <w:szCs w:val="24"/>
          <w:lang w:val="es-ES"/>
        </w:rPr>
        <w:t>ó</w:t>
      </w:r>
      <w:r>
        <w:rPr>
          <w:szCs w:val="24"/>
          <w:lang w:val="es-ES"/>
        </w:rPr>
        <w:t xml:space="preserve"> el tema de la discriminación racial y cómo combatirla.</w:t>
      </w:r>
      <w:r w:rsidRPr="001B778C">
        <w:rPr>
          <w:szCs w:val="24"/>
          <w:lang w:val="es-ES"/>
        </w:rPr>
        <w:t xml:space="preserve"> </w:t>
      </w:r>
      <w:r>
        <w:rPr>
          <w:szCs w:val="24"/>
          <w:lang w:val="es-ES"/>
        </w:rPr>
        <w:t xml:space="preserve">El 12 de octubre de 2010,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organizó una conferencia sobre ética en la que se </w:t>
      </w:r>
      <w:r w:rsidR="00A13884">
        <w:rPr>
          <w:szCs w:val="24"/>
          <w:lang w:val="es-ES"/>
        </w:rPr>
        <w:t>examin</w:t>
      </w:r>
      <w:r w:rsidR="00E63C5A">
        <w:rPr>
          <w:szCs w:val="24"/>
          <w:lang w:val="es-ES"/>
        </w:rPr>
        <w:t>aron</w:t>
      </w:r>
      <w:r w:rsidR="00A13884">
        <w:rPr>
          <w:szCs w:val="24"/>
          <w:lang w:val="es-ES"/>
        </w:rPr>
        <w:t xml:space="preserve"> tanto</w:t>
      </w:r>
      <w:r>
        <w:rPr>
          <w:szCs w:val="24"/>
          <w:lang w:val="es-ES"/>
        </w:rPr>
        <w:t xml:space="preserve"> </w:t>
      </w:r>
      <w:r w:rsidR="00784A09">
        <w:rPr>
          <w:szCs w:val="24"/>
          <w:lang w:val="es-ES"/>
        </w:rPr>
        <w:t xml:space="preserve">la </w:t>
      </w:r>
      <w:r>
        <w:rPr>
          <w:szCs w:val="24"/>
          <w:lang w:val="es-ES"/>
        </w:rPr>
        <w:t>posib</w:t>
      </w:r>
      <w:r w:rsidR="00784A09">
        <w:rPr>
          <w:szCs w:val="24"/>
          <w:lang w:val="es-ES"/>
        </w:rPr>
        <w:t>i</w:t>
      </w:r>
      <w:r>
        <w:rPr>
          <w:szCs w:val="24"/>
          <w:lang w:val="es-ES"/>
        </w:rPr>
        <w:t>l</w:t>
      </w:r>
      <w:r w:rsidR="00784A09">
        <w:rPr>
          <w:szCs w:val="24"/>
          <w:lang w:val="es-ES"/>
        </w:rPr>
        <w:t>idad de</w:t>
      </w:r>
      <w:r>
        <w:rPr>
          <w:szCs w:val="24"/>
          <w:lang w:val="es-ES"/>
        </w:rPr>
        <w:t xml:space="preserve"> </w:t>
      </w:r>
      <w:r w:rsidR="00784A09">
        <w:rPr>
          <w:szCs w:val="24"/>
          <w:lang w:val="es-ES"/>
        </w:rPr>
        <w:t xml:space="preserve">establecer una </w:t>
      </w:r>
      <w:r>
        <w:rPr>
          <w:szCs w:val="24"/>
          <w:lang w:val="es-ES"/>
        </w:rPr>
        <w:t>o</w:t>
      </w:r>
      <w:r w:rsidR="00A13884">
        <w:rPr>
          <w:szCs w:val="24"/>
          <w:lang w:val="es-ES"/>
        </w:rPr>
        <w:t>rganización de base comunitaria</w:t>
      </w:r>
      <w:r w:rsidR="00784A09">
        <w:rPr>
          <w:szCs w:val="24"/>
          <w:lang w:val="es-ES"/>
        </w:rPr>
        <w:t xml:space="preserve"> como</w:t>
      </w:r>
      <w:r>
        <w:rPr>
          <w:szCs w:val="24"/>
          <w:lang w:val="es-ES"/>
        </w:rPr>
        <w:t xml:space="preserve"> la misión y </w:t>
      </w:r>
      <w:r w:rsidR="00784A09">
        <w:rPr>
          <w:szCs w:val="24"/>
          <w:lang w:val="es-ES"/>
        </w:rPr>
        <w:t xml:space="preserve">la </w:t>
      </w:r>
      <w:r>
        <w:rPr>
          <w:szCs w:val="24"/>
          <w:lang w:val="es-ES"/>
        </w:rPr>
        <w:t>visión de</w:t>
      </w:r>
      <w:r w:rsidR="00784A09">
        <w:rPr>
          <w:szCs w:val="24"/>
          <w:lang w:val="es-ES"/>
        </w:rPr>
        <w:t xml:space="preserve"> dicho órgano</w:t>
      </w:r>
      <w:r>
        <w:rPr>
          <w:szCs w:val="24"/>
          <w:lang w:val="es-ES"/>
        </w:rPr>
        <w:t>.</w:t>
      </w:r>
    </w:p>
    <w:p w:rsidR="00DC6E43" w:rsidRPr="006F71A0" w:rsidRDefault="00DC6E43" w:rsidP="00637350">
      <w:pPr>
        <w:pStyle w:val="SingleTxtG"/>
        <w:rPr>
          <w:szCs w:val="24"/>
          <w:lang w:val="es-ES"/>
        </w:rPr>
      </w:pPr>
      <w:r w:rsidRPr="001B778C">
        <w:rPr>
          <w:szCs w:val="24"/>
          <w:lang w:val="es-ES"/>
        </w:rPr>
        <w:t>94.</w:t>
      </w:r>
      <w:r w:rsidRPr="001B778C">
        <w:rPr>
          <w:szCs w:val="24"/>
          <w:lang w:val="es-ES"/>
        </w:rPr>
        <w:tab/>
      </w:r>
      <w:r>
        <w:rPr>
          <w:szCs w:val="24"/>
          <w:lang w:val="es-ES"/>
        </w:rPr>
        <w:t xml:space="preserve">Desde 2008, la policía de Estonia participa en la labor del grupo de apoyo EDPOL (Diversidad Europea en </w:t>
      </w:r>
      <w:smartTag w:uri="urn:schemas-microsoft-com:office:smarttags" w:element="PersonName">
        <w:smartTagPr>
          <w:attr w:name="ProductID" w:val="la Polic￭a"/>
        </w:smartTagPr>
        <w:r>
          <w:rPr>
            <w:szCs w:val="24"/>
            <w:lang w:val="es-ES"/>
          </w:rPr>
          <w:t>la Policía</w:t>
        </w:r>
      </w:smartTag>
      <w:r w:rsidR="00A13884">
        <w:rPr>
          <w:szCs w:val="24"/>
          <w:lang w:val="es-ES"/>
        </w:rPr>
        <w:t xml:space="preserve">), uno de cuyos temas es </w:t>
      </w:r>
      <w:r>
        <w:rPr>
          <w:szCs w:val="24"/>
          <w:lang w:val="es-ES"/>
        </w:rPr>
        <w:t xml:space="preserve">la discriminación racial </w:t>
      </w:r>
      <w:r w:rsidR="00E63C5A">
        <w:rPr>
          <w:szCs w:val="24"/>
          <w:lang w:val="es-ES"/>
        </w:rPr>
        <w:t xml:space="preserve">por parte </w:t>
      </w:r>
      <w:r>
        <w:rPr>
          <w:szCs w:val="24"/>
          <w:lang w:val="es-ES"/>
        </w:rPr>
        <w:t>de la policía.</w:t>
      </w:r>
      <w:r w:rsidRPr="001B778C">
        <w:rPr>
          <w:szCs w:val="24"/>
          <w:lang w:val="es-ES"/>
        </w:rPr>
        <w:t xml:space="preserve"> </w:t>
      </w:r>
      <w:r>
        <w:rPr>
          <w:szCs w:val="24"/>
          <w:lang w:val="es-ES"/>
        </w:rPr>
        <w:t xml:space="preserve">El jefe de personal de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es miembro del órgano asesor de EDPOL.</w:t>
      </w:r>
      <w:r w:rsidRPr="006F71A0">
        <w:rPr>
          <w:szCs w:val="24"/>
          <w:lang w:val="es-ES"/>
        </w:rPr>
        <w:t xml:space="preserve"> </w:t>
      </w:r>
      <w:r>
        <w:rPr>
          <w:szCs w:val="24"/>
          <w:lang w:val="es-ES"/>
        </w:rPr>
        <w:t>De ese modo, participa de forma constante en la elaboración y aplicación de las políticas de</w:t>
      </w:r>
      <w:r w:rsidR="00E63C5A">
        <w:rPr>
          <w:szCs w:val="24"/>
          <w:lang w:val="es-ES"/>
        </w:rPr>
        <w:t xml:space="preserve"> ese</w:t>
      </w:r>
      <w:r>
        <w:rPr>
          <w:szCs w:val="24"/>
          <w:lang w:val="es-ES"/>
        </w:rPr>
        <w:t xml:space="preserve"> grupo</w:t>
      </w:r>
      <w:r w:rsidR="00E63C5A">
        <w:rPr>
          <w:szCs w:val="24"/>
          <w:lang w:val="es-ES"/>
        </w:rPr>
        <w:t xml:space="preserve"> de apoyo</w:t>
      </w:r>
      <w:r>
        <w:rPr>
          <w:szCs w:val="24"/>
          <w:lang w:val="es-ES"/>
        </w:rPr>
        <w:t>.</w:t>
      </w:r>
      <w:r w:rsidRPr="006F71A0">
        <w:rPr>
          <w:szCs w:val="24"/>
          <w:lang w:val="es-ES"/>
        </w:rPr>
        <w:t xml:space="preserve"> </w:t>
      </w:r>
      <w:r>
        <w:rPr>
          <w:szCs w:val="24"/>
          <w:lang w:val="es-ES"/>
        </w:rPr>
        <w:t xml:space="preserve">EDPOL se ocupa de </w:t>
      </w:r>
      <w:r w:rsidR="00E63C5A">
        <w:rPr>
          <w:szCs w:val="24"/>
          <w:lang w:val="es-ES"/>
        </w:rPr>
        <w:t xml:space="preserve">diferentes aspectos de </w:t>
      </w:r>
      <w:r>
        <w:rPr>
          <w:szCs w:val="24"/>
          <w:lang w:val="es-ES"/>
        </w:rPr>
        <w:t>la cuestión de la discriminación racial,</w:t>
      </w:r>
      <w:r w:rsidRPr="006F71A0">
        <w:rPr>
          <w:szCs w:val="24"/>
          <w:lang w:val="es-ES"/>
        </w:rPr>
        <w:t xml:space="preserve"> </w:t>
      </w:r>
      <w:r>
        <w:rPr>
          <w:szCs w:val="24"/>
          <w:lang w:val="es-ES"/>
        </w:rPr>
        <w:t xml:space="preserve">tanto en el </w:t>
      </w:r>
      <w:r w:rsidR="00E63C5A">
        <w:rPr>
          <w:szCs w:val="24"/>
          <w:lang w:val="es-ES"/>
        </w:rPr>
        <w:t xml:space="preserve">ámbito </w:t>
      </w:r>
      <w:r>
        <w:rPr>
          <w:szCs w:val="24"/>
          <w:lang w:val="es-ES"/>
        </w:rPr>
        <w:t>de la propia organización como en relación con la comunidad.</w:t>
      </w:r>
      <w:r w:rsidRPr="006F71A0">
        <w:rPr>
          <w:szCs w:val="24"/>
          <w:lang w:val="es-ES"/>
        </w:rPr>
        <w:t xml:space="preserve"> </w:t>
      </w:r>
      <w:r>
        <w:rPr>
          <w:szCs w:val="24"/>
          <w:lang w:val="es-ES"/>
        </w:rPr>
        <w:t>En este último caso, la discriminación puede ser bidireccional</w:t>
      </w:r>
      <w:r w:rsidRPr="006F71A0">
        <w:rPr>
          <w:szCs w:val="24"/>
          <w:lang w:val="es-ES"/>
        </w:rPr>
        <w:t xml:space="preserve"> </w:t>
      </w:r>
      <w:r>
        <w:rPr>
          <w:szCs w:val="24"/>
          <w:lang w:val="es-ES"/>
        </w:rPr>
        <w:t>a causa de los pr</w:t>
      </w:r>
      <w:r w:rsidR="00A13884">
        <w:rPr>
          <w:szCs w:val="24"/>
          <w:lang w:val="es-ES"/>
        </w:rPr>
        <w:t>ejuicios y conductas conexas,</w:t>
      </w:r>
      <w:r>
        <w:rPr>
          <w:szCs w:val="24"/>
          <w:lang w:val="es-ES"/>
        </w:rPr>
        <w:t xml:space="preserve"> </w:t>
      </w:r>
      <w:r w:rsidR="00E63C5A">
        <w:rPr>
          <w:szCs w:val="24"/>
          <w:lang w:val="es-ES"/>
        </w:rPr>
        <w:t xml:space="preserve">tanto por parte de </w:t>
      </w:r>
      <w:r>
        <w:rPr>
          <w:szCs w:val="24"/>
          <w:lang w:val="es-ES"/>
        </w:rPr>
        <w:t xml:space="preserve">los agentes de policía </w:t>
      </w:r>
      <w:r w:rsidR="00A13884">
        <w:rPr>
          <w:szCs w:val="24"/>
          <w:lang w:val="es-ES"/>
        </w:rPr>
        <w:t xml:space="preserve">como de las </w:t>
      </w:r>
      <w:r w:rsidR="00E63C5A">
        <w:rPr>
          <w:szCs w:val="24"/>
          <w:lang w:val="es-ES"/>
        </w:rPr>
        <w:t xml:space="preserve">personas que actúan </w:t>
      </w:r>
      <w:r>
        <w:rPr>
          <w:szCs w:val="24"/>
          <w:lang w:val="es-ES"/>
        </w:rPr>
        <w:t>contra ellos.</w:t>
      </w:r>
    </w:p>
    <w:p w:rsidR="00DE0B3B" w:rsidRPr="006F71A0" w:rsidRDefault="00DE0B3B" w:rsidP="00637350">
      <w:pPr>
        <w:pStyle w:val="H1G"/>
        <w:rPr>
          <w:lang w:val="es-ES"/>
        </w:rPr>
      </w:pPr>
      <w:r w:rsidRPr="006F71A0">
        <w:rPr>
          <w:lang w:val="es-ES"/>
        </w:rPr>
        <w:tab/>
      </w:r>
      <w:r w:rsidRPr="006F71A0">
        <w:rPr>
          <w:lang w:val="es-ES"/>
        </w:rPr>
        <w:tab/>
      </w:r>
      <w:r>
        <w:rPr>
          <w:lang w:val="es-ES"/>
        </w:rPr>
        <w:t>Artículo 5</w:t>
      </w:r>
    </w:p>
    <w:p w:rsidR="00DE0B3B" w:rsidRPr="006F71A0" w:rsidRDefault="00DE0B3B" w:rsidP="00637350">
      <w:pPr>
        <w:pStyle w:val="H23G"/>
        <w:rPr>
          <w:lang w:val="es-ES"/>
        </w:rPr>
      </w:pPr>
      <w:r w:rsidRPr="006F71A0">
        <w:rPr>
          <w:lang w:val="es-ES"/>
        </w:rPr>
        <w:tab/>
      </w:r>
      <w:r>
        <w:rPr>
          <w:lang w:val="es-ES"/>
        </w:rPr>
        <w:t>a)</w:t>
      </w:r>
      <w:r w:rsidRPr="006F71A0">
        <w:rPr>
          <w:lang w:val="es-ES"/>
        </w:rPr>
        <w:tab/>
      </w:r>
      <w:r w:rsidR="00443723">
        <w:rPr>
          <w:lang w:val="es-ES"/>
        </w:rPr>
        <w:t>El derecho a la igualdad de trato</w:t>
      </w:r>
      <w:r>
        <w:rPr>
          <w:lang w:val="es-ES"/>
        </w:rPr>
        <w:t xml:space="preserve"> en los tribunales y todos los demás órganos </w:t>
      </w:r>
      <w:r w:rsidR="008C15F6">
        <w:rPr>
          <w:lang w:val="es-ES"/>
        </w:rPr>
        <w:br/>
      </w:r>
      <w:r>
        <w:rPr>
          <w:lang w:val="es-ES"/>
        </w:rPr>
        <w:t>que administran justicia</w:t>
      </w:r>
    </w:p>
    <w:p w:rsidR="00DE0B3B" w:rsidRPr="006F71A0" w:rsidRDefault="00DE0B3B" w:rsidP="00637350">
      <w:pPr>
        <w:pStyle w:val="SingleTxtG"/>
        <w:rPr>
          <w:szCs w:val="24"/>
          <w:lang w:val="es-ES"/>
        </w:rPr>
      </w:pPr>
      <w:r w:rsidRPr="006F71A0">
        <w:rPr>
          <w:szCs w:val="24"/>
          <w:lang w:val="es-ES"/>
        </w:rPr>
        <w:t>95.</w:t>
      </w:r>
      <w:r w:rsidRPr="006F71A0">
        <w:rPr>
          <w:szCs w:val="24"/>
          <w:lang w:val="es-ES"/>
        </w:rPr>
        <w:tab/>
      </w:r>
      <w:smartTag w:uri="urn:schemas-microsoft-com:office:smarttags" w:element="PersonName">
        <w:smartTagPr>
          <w:attr w:name="ProductID" w:val="la Constituci￳n"/>
        </w:smartTagPr>
        <w:r>
          <w:rPr>
            <w:szCs w:val="24"/>
            <w:lang w:val="es-ES"/>
          </w:rPr>
          <w:t>La Constitución</w:t>
        </w:r>
      </w:smartTag>
      <w:r>
        <w:rPr>
          <w:szCs w:val="24"/>
          <w:lang w:val="es-ES"/>
        </w:rPr>
        <w:t xml:space="preserve"> garantiza a todas las personas el derecho a la protección del Estado y de la ley.</w:t>
      </w:r>
      <w:r w:rsidR="005466A4">
        <w:rPr>
          <w:szCs w:val="24"/>
          <w:lang w:val="es-ES"/>
        </w:rPr>
        <w:t xml:space="preserve"> </w:t>
      </w:r>
      <w:r>
        <w:rPr>
          <w:szCs w:val="24"/>
          <w:lang w:val="es-ES"/>
        </w:rPr>
        <w:t>Toda persona cuyos derechos y libertades hayan sido violados tiene derecho a recurrir a los tribunales.</w:t>
      </w:r>
      <w:r w:rsidRPr="006F71A0">
        <w:rPr>
          <w:szCs w:val="24"/>
          <w:lang w:val="es-ES"/>
        </w:rPr>
        <w:t xml:space="preserve"> </w:t>
      </w:r>
      <w:r>
        <w:rPr>
          <w:szCs w:val="24"/>
          <w:lang w:val="es-ES"/>
        </w:rPr>
        <w:t xml:space="preserve">Toda persona tiene derecho a </w:t>
      </w:r>
      <w:r w:rsidR="008E131A">
        <w:rPr>
          <w:szCs w:val="24"/>
          <w:lang w:val="es-ES"/>
        </w:rPr>
        <w:t xml:space="preserve">solicitar </w:t>
      </w:r>
      <w:r>
        <w:rPr>
          <w:szCs w:val="24"/>
          <w:lang w:val="es-ES"/>
        </w:rPr>
        <w:t xml:space="preserve">al tribunal que </w:t>
      </w:r>
      <w:r w:rsidR="00443723">
        <w:rPr>
          <w:szCs w:val="24"/>
          <w:lang w:val="es-ES"/>
        </w:rPr>
        <w:t>entiende</w:t>
      </w:r>
      <w:r w:rsidR="008E131A">
        <w:rPr>
          <w:szCs w:val="24"/>
          <w:lang w:val="es-ES"/>
        </w:rPr>
        <w:t xml:space="preserve"> de </w:t>
      </w:r>
      <w:r>
        <w:rPr>
          <w:szCs w:val="24"/>
          <w:lang w:val="es-ES"/>
        </w:rPr>
        <w:t xml:space="preserve">su causa que declare anticonstitucional </w:t>
      </w:r>
      <w:r w:rsidR="00E63C5A">
        <w:rPr>
          <w:szCs w:val="24"/>
          <w:lang w:val="es-ES"/>
        </w:rPr>
        <w:t xml:space="preserve">cualquier </w:t>
      </w:r>
      <w:r>
        <w:rPr>
          <w:szCs w:val="24"/>
          <w:lang w:val="es-ES"/>
        </w:rPr>
        <w:t xml:space="preserve">ley, </w:t>
      </w:r>
      <w:r w:rsidR="00E63C5A">
        <w:rPr>
          <w:szCs w:val="24"/>
          <w:lang w:val="es-ES"/>
        </w:rPr>
        <w:t xml:space="preserve">instrumento </w:t>
      </w:r>
      <w:r>
        <w:rPr>
          <w:szCs w:val="24"/>
          <w:lang w:val="es-ES"/>
        </w:rPr>
        <w:t>legislativ</w:t>
      </w:r>
      <w:r w:rsidR="00E63C5A">
        <w:rPr>
          <w:szCs w:val="24"/>
          <w:lang w:val="es-ES"/>
        </w:rPr>
        <w:t>o</w:t>
      </w:r>
      <w:r>
        <w:rPr>
          <w:szCs w:val="24"/>
          <w:lang w:val="es-ES"/>
        </w:rPr>
        <w:t xml:space="preserve"> o </w:t>
      </w:r>
      <w:r w:rsidR="00E63C5A">
        <w:rPr>
          <w:szCs w:val="24"/>
          <w:lang w:val="es-ES"/>
        </w:rPr>
        <w:t xml:space="preserve">medida </w:t>
      </w:r>
      <w:r w:rsidRPr="00954627">
        <w:rPr>
          <w:szCs w:val="24"/>
          <w:lang w:val="es-ES"/>
        </w:rPr>
        <w:t>pertinente</w:t>
      </w:r>
      <w:r w:rsidR="00E63C5A">
        <w:rPr>
          <w:szCs w:val="24"/>
          <w:lang w:val="es-ES"/>
        </w:rPr>
        <w:t xml:space="preserve"> en su caso</w:t>
      </w:r>
      <w:r w:rsidRPr="00954627">
        <w:rPr>
          <w:szCs w:val="24"/>
          <w:lang w:val="es-ES"/>
        </w:rPr>
        <w:t>.</w:t>
      </w:r>
      <w:r w:rsidRPr="006F71A0">
        <w:rPr>
          <w:szCs w:val="24"/>
          <w:lang w:val="es-ES"/>
        </w:rPr>
        <w:t xml:space="preserve"> </w:t>
      </w:r>
      <w:r w:rsidRPr="00954627">
        <w:rPr>
          <w:szCs w:val="24"/>
          <w:lang w:val="es-ES"/>
        </w:rPr>
        <w:t>Es</w:t>
      </w:r>
      <w:r w:rsidR="00443723">
        <w:rPr>
          <w:szCs w:val="24"/>
          <w:lang w:val="es-ES"/>
        </w:rPr>
        <w:t>t</w:t>
      </w:r>
      <w:r w:rsidRPr="00954627">
        <w:rPr>
          <w:szCs w:val="24"/>
          <w:lang w:val="es-ES"/>
        </w:rPr>
        <w:t xml:space="preserve">a cuestión </w:t>
      </w:r>
      <w:r w:rsidR="00E63C5A">
        <w:rPr>
          <w:szCs w:val="24"/>
          <w:lang w:val="es-ES"/>
        </w:rPr>
        <w:t xml:space="preserve">se abordó </w:t>
      </w:r>
      <w:r w:rsidRPr="00954627">
        <w:rPr>
          <w:szCs w:val="24"/>
          <w:lang w:val="es-ES"/>
        </w:rPr>
        <w:t>más detalladamente en informes anteriores de Estonia.</w:t>
      </w:r>
    </w:p>
    <w:p w:rsidR="00DE0B3B" w:rsidRPr="006F71A0" w:rsidRDefault="00DE0B3B" w:rsidP="00637350">
      <w:pPr>
        <w:pStyle w:val="SingleTxtG"/>
        <w:rPr>
          <w:szCs w:val="24"/>
          <w:lang w:val="es-ES"/>
        </w:rPr>
      </w:pPr>
      <w:r w:rsidRPr="001B778C">
        <w:rPr>
          <w:szCs w:val="24"/>
          <w:lang w:val="es-ES"/>
        </w:rPr>
        <w:t>96.</w:t>
      </w:r>
      <w:r w:rsidRPr="001B778C">
        <w:rPr>
          <w:szCs w:val="24"/>
          <w:lang w:val="es-ES"/>
        </w:rPr>
        <w:tab/>
      </w:r>
      <w:r>
        <w:rPr>
          <w:szCs w:val="24"/>
          <w:lang w:val="es-ES"/>
        </w:rPr>
        <w:t xml:space="preserve">La justicia será administrada </w:t>
      </w:r>
      <w:r w:rsidR="008E131A">
        <w:rPr>
          <w:szCs w:val="24"/>
          <w:lang w:val="es-ES"/>
        </w:rPr>
        <w:t>úni</w:t>
      </w:r>
      <w:r>
        <w:rPr>
          <w:szCs w:val="24"/>
          <w:lang w:val="es-ES"/>
        </w:rPr>
        <w:t>camente por los tribunales,</w:t>
      </w:r>
      <w:r w:rsidRPr="001B778C">
        <w:rPr>
          <w:szCs w:val="24"/>
          <w:lang w:val="es-ES"/>
        </w:rPr>
        <w:t xml:space="preserve"> </w:t>
      </w:r>
      <w:r>
        <w:rPr>
          <w:szCs w:val="24"/>
          <w:lang w:val="es-ES"/>
        </w:rPr>
        <w:t>que s</w:t>
      </w:r>
      <w:r w:rsidR="008E131A">
        <w:rPr>
          <w:szCs w:val="24"/>
          <w:lang w:val="es-ES"/>
        </w:rPr>
        <w:t>o</w:t>
      </w:r>
      <w:r>
        <w:rPr>
          <w:szCs w:val="24"/>
          <w:lang w:val="es-ES"/>
        </w:rPr>
        <w:t xml:space="preserve">n independientes en el cumplimiento de sus funciones y administran justicia de conformidad con </w:t>
      </w:r>
      <w:smartTag w:uri="urn:schemas-microsoft-com:office:smarttags" w:element="PersonName">
        <w:smartTagPr>
          <w:attr w:name="ProductID" w:val="la Constituci￳n"/>
        </w:smartTagPr>
        <w:r>
          <w:rPr>
            <w:szCs w:val="24"/>
            <w:lang w:val="es-ES"/>
          </w:rPr>
          <w:t>la Constitución</w:t>
        </w:r>
      </w:smartTag>
      <w:r>
        <w:rPr>
          <w:szCs w:val="24"/>
          <w:lang w:val="es-ES"/>
        </w:rPr>
        <w:t xml:space="preserve"> y las leyes (artículo 146 de </w:t>
      </w:r>
      <w:smartTag w:uri="urn:schemas-microsoft-com:office:smarttags" w:element="PersonName">
        <w:smartTagPr>
          <w:attr w:name="ProductID" w:val="la Constituci￳n"/>
        </w:smartTagPr>
        <w:r>
          <w:rPr>
            <w:szCs w:val="24"/>
            <w:lang w:val="es-ES"/>
          </w:rPr>
          <w:t>la Constitución</w:t>
        </w:r>
      </w:smartTag>
      <w:r>
        <w:rPr>
          <w:szCs w:val="24"/>
          <w:lang w:val="es-ES"/>
        </w:rPr>
        <w:t>).</w:t>
      </w:r>
      <w:r w:rsidRPr="001B778C">
        <w:rPr>
          <w:szCs w:val="24"/>
          <w:lang w:val="es-ES"/>
        </w:rPr>
        <w:t xml:space="preserve"> </w:t>
      </w:r>
      <w:r>
        <w:rPr>
          <w:szCs w:val="24"/>
          <w:lang w:val="es-ES"/>
        </w:rPr>
        <w:t xml:space="preserve">En </w:t>
      </w:r>
      <w:smartTag w:uri="urn:schemas-microsoft-com:office:smarttags" w:element="PersonName">
        <w:smartTagPr>
          <w:attr w:name="ProductID" w:val="La Ley"/>
        </w:smartTagPr>
        <w:r>
          <w:rPr>
            <w:szCs w:val="24"/>
            <w:lang w:val="es-ES"/>
          </w:rPr>
          <w:t>la Ley</w:t>
        </w:r>
      </w:smartTag>
      <w:r>
        <w:rPr>
          <w:szCs w:val="24"/>
          <w:lang w:val="es-ES"/>
        </w:rPr>
        <w:t xml:space="preserve"> de tribunales se establecen la organización de los tribunales y l</w:t>
      </w:r>
      <w:r w:rsidR="008E131A">
        <w:rPr>
          <w:szCs w:val="24"/>
          <w:lang w:val="es-ES"/>
        </w:rPr>
        <w:t>a</w:t>
      </w:r>
      <w:r>
        <w:rPr>
          <w:szCs w:val="24"/>
          <w:lang w:val="es-ES"/>
        </w:rPr>
        <w:t xml:space="preserve">s </w:t>
      </w:r>
      <w:r w:rsidR="008E131A">
        <w:rPr>
          <w:szCs w:val="24"/>
          <w:lang w:val="es-ES"/>
        </w:rPr>
        <w:t xml:space="preserve">bases </w:t>
      </w:r>
      <w:r>
        <w:rPr>
          <w:szCs w:val="24"/>
          <w:lang w:val="es-ES"/>
        </w:rPr>
        <w:t>jurídic</w:t>
      </w:r>
      <w:r w:rsidR="008E131A">
        <w:rPr>
          <w:szCs w:val="24"/>
          <w:lang w:val="es-ES"/>
        </w:rPr>
        <w:t>a</w:t>
      </w:r>
      <w:r>
        <w:rPr>
          <w:szCs w:val="24"/>
          <w:lang w:val="es-ES"/>
        </w:rPr>
        <w:t>s para l</w:t>
      </w:r>
      <w:r w:rsidR="008E131A">
        <w:rPr>
          <w:szCs w:val="24"/>
          <w:lang w:val="es-ES"/>
        </w:rPr>
        <w:t>os</w:t>
      </w:r>
      <w:r>
        <w:rPr>
          <w:szCs w:val="24"/>
          <w:lang w:val="es-ES"/>
        </w:rPr>
        <w:t xml:space="preserve"> servicio</w:t>
      </w:r>
      <w:r w:rsidR="008E131A">
        <w:rPr>
          <w:szCs w:val="24"/>
          <w:lang w:val="es-ES"/>
        </w:rPr>
        <w:t>s que prestan</w:t>
      </w:r>
      <w:r>
        <w:rPr>
          <w:rStyle w:val="FootnoteReference"/>
          <w:szCs w:val="24"/>
          <w:lang w:val="es-ES"/>
        </w:rPr>
        <w:footnoteReference w:id="26"/>
      </w:r>
      <w:r w:rsidR="009B72DA">
        <w:rPr>
          <w:szCs w:val="24"/>
          <w:lang w:val="es-ES"/>
        </w:rPr>
        <w:t>.</w:t>
      </w:r>
      <w:r>
        <w:rPr>
          <w:szCs w:val="24"/>
          <w:lang w:val="es-ES"/>
        </w:rPr>
        <w:t xml:space="preserve"> En el artículo 6 se describe más detalladamente la organización de los tribunales.</w:t>
      </w:r>
      <w:r w:rsidRPr="006F71A0">
        <w:rPr>
          <w:szCs w:val="24"/>
          <w:lang w:val="es-ES"/>
        </w:rPr>
        <w:t xml:space="preserve"> </w:t>
      </w:r>
      <w:r>
        <w:rPr>
          <w:szCs w:val="24"/>
          <w:lang w:val="es-ES"/>
        </w:rPr>
        <w:t xml:space="preserve">En los artículos 6 y 2 también se </w:t>
      </w:r>
      <w:r w:rsidR="00BE1FC8">
        <w:rPr>
          <w:szCs w:val="24"/>
          <w:lang w:val="es-ES"/>
        </w:rPr>
        <w:t xml:space="preserve">especifican </w:t>
      </w:r>
      <w:r>
        <w:rPr>
          <w:szCs w:val="24"/>
          <w:lang w:val="es-ES"/>
        </w:rPr>
        <w:t>las competencias y las actividades del Canciller de Justicia.</w:t>
      </w:r>
    </w:p>
    <w:p w:rsidR="00DE0B3B" w:rsidRPr="006F71A0" w:rsidRDefault="00DE0B3B" w:rsidP="00637350">
      <w:pPr>
        <w:pStyle w:val="H23G"/>
        <w:rPr>
          <w:lang w:val="es-ES"/>
        </w:rPr>
      </w:pPr>
      <w:r w:rsidRPr="006F71A0">
        <w:rPr>
          <w:lang w:val="es-ES"/>
        </w:rPr>
        <w:tab/>
        <w:t>b)</w:t>
      </w:r>
      <w:r w:rsidRPr="006F71A0">
        <w:rPr>
          <w:lang w:val="es-ES"/>
        </w:rPr>
        <w:tab/>
      </w:r>
      <w:r>
        <w:rPr>
          <w:lang w:val="es-ES"/>
        </w:rPr>
        <w:t xml:space="preserve">El derecho a la seguridad personal y a la protección del Estado contra todo acto </w:t>
      </w:r>
      <w:r w:rsidR="000804D0">
        <w:rPr>
          <w:lang w:val="es-ES"/>
        </w:rPr>
        <w:br/>
      </w:r>
      <w:r>
        <w:rPr>
          <w:lang w:val="es-ES"/>
        </w:rPr>
        <w:t>de violencia o atentado contra la integridad personal cometido por funcionarios públicos o por cualquier individuo, grupo o institución</w:t>
      </w:r>
    </w:p>
    <w:p w:rsidR="00DE0B3B" w:rsidRPr="001B778C" w:rsidRDefault="00DE0B3B" w:rsidP="00637350">
      <w:pPr>
        <w:pStyle w:val="SingleTxtG"/>
        <w:rPr>
          <w:szCs w:val="24"/>
          <w:lang w:val="es-ES"/>
        </w:rPr>
      </w:pPr>
      <w:r w:rsidRPr="001B778C">
        <w:rPr>
          <w:szCs w:val="24"/>
          <w:lang w:val="es-ES"/>
        </w:rPr>
        <w:t>97.</w:t>
      </w:r>
      <w:r w:rsidRPr="001B778C">
        <w:rPr>
          <w:szCs w:val="24"/>
          <w:lang w:val="es-ES"/>
        </w:rPr>
        <w:tab/>
      </w:r>
      <w:r>
        <w:rPr>
          <w:szCs w:val="24"/>
          <w:lang w:val="es-ES"/>
        </w:rPr>
        <w:t>Por lo que se refiere a la responsabilidad de fiscal</w:t>
      </w:r>
      <w:r w:rsidR="00443723">
        <w:rPr>
          <w:szCs w:val="24"/>
          <w:lang w:val="es-ES"/>
        </w:rPr>
        <w:t>es, jueces, jueces auxiliares o autoridades</w:t>
      </w:r>
      <w:r>
        <w:rPr>
          <w:szCs w:val="24"/>
          <w:lang w:val="es-ES"/>
        </w:rPr>
        <w:t xml:space="preserve"> que realizan </w:t>
      </w:r>
      <w:r w:rsidR="00443723">
        <w:rPr>
          <w:szCs w:val="24"/>
          <w:lang w:val="es-ES"/>
        </w:rPr>
        <w:t>diligencias</w:t>
      </w:r>
      <w:r w:rsidR="00BE1FC8">
        <w:rPr>
          <w:szCs w:val="24"/>
          <w:lang w:val="es-ES"/>
        </w:rPr>
        <w:t xml:space="preserve"> </w:t>
      </w:r>
      <w:r>
        <w:rPr>
          <w:szCs w:val="24"/>
          <w:lang w:val="es-ES"/>
        </w:rPr>
        <w:t xml:space="preserve">extrajudiciales, reglamentada en el capítulo del Código Penal relativo a los delitos contra la administración de la justicia, sírvanse </w:t>
      </w:r>
      <w:r w:rsidR="00BE1FC8">
        <w:rPr>
          <w:szCs w:val="24"/>
          <w:lang w:val="es-ES"/>
        </w:rPr>
        <w:t>consultar</w:t>
      </w:r>
      <w:r>
        <w:rPr>
          <w:szCs w:val="24"/>
          <w:lang w:val="es-ES"/>
        </w:rPr>
        <w:t xml:space="preserve"> </w:t>
      </w:r>
      <w:r w:rsidR="00BE1FC8">
        <w:rPr>
          <w:szCs w:val="24"/>
          <w:lang w:val="es-ES"/>
        </w:rPr>
        <w:t>e</w:t>
      </w:r>
      <w:r>
        <w:rPr>
          <w:szCs w:val="24"/>
          <w:lang w:val="es-ES"/>
        </w:rPr>
        <w:t>l párrafo 65 del informe anterior.</w:t>
      </w:r>
    </w:p>
    <w:p w:rsidR="00DE0B3B" w:rsidRPr="006F71A0" w:rsidRDefault="00DE0B3B" w:rsidP="00637350">
      <w:pPr>
        <w:pStyle w:val="H23G"/>
        <w:rPr>
          <w:lang w:val="es-ES"/>
        </w:rPr>
      </w:pPr>
      <w:r w:rsidRPr="001B778C">
        <w:rPr>
          <w:lang w:val="es-ES"/>
        </w:rPr>
        <w:tab/>
      </w:r>
      <w:r>
        <w:rPr>
          <w:lang w:val="es-ES"/>
        </w:rPr>
        <w:t>c)</w:t>
      </w:r>
      <w:r w:rsidRPr="006F71A0">
        <w:rPr>
          <w:lang w:val="es-ES"/>
        </w:rPr>
        <w:tab/>
      </w:r>
      <w:r>
        <w:rPr>
          <w:lang w:val="es-ES"/>
        </w:rPr>
        <w:t>Los derechos políticos, en particular el de tomar parte en elecciones</w:t>
      </w:r>
    </w:p>
    <w:p w:rsidR="00DE0B3B" w:rsidRPr="006F71A0" w:rsidRDefault="00DE0B3B" w:rsidP="00637350">
      <w:pPr>
        <w:pStyle w:val="SingleTxtG"/>
        <w:rPr>
          <w:szCs w:val="24"/>
          <w:lang w:val="es-ES"/>
        </w:rPr>
      </w:pPr>
      <w:r w:rsidRPr="006F71A0">
        <w:rPr>
          <w:szCs w:val="24"/>
          <w:lang w:val="es-ES"/>
        </w:rPr>
        <w:t>98.</w:t>
      </w:r>
      <w:r w:rsidRPr="006F71A0">
        <w:rPr>
          <w:szCs w:val="24"/>
          <w:lang w:val="es-ES"/>
        </w:rPr>
        <w:tab/>
      </w:r>
      <w:r>
        <w:rPr>
          <w:szCs w:val="24"/>
          <w:lang w:val="es-ES"/>
        </w:rPr>
        <w:t xml:space="preserve">Según </w:t>
      </w:r>
      <w:smartTag w:uri="urn:schemas-microsoft-com:office:smarttags" w:element="PersonName">
        <w:smartTagPr>
          <w:attr w:name="ProductID" w:val="la Constituci￳n"/>
        </w:smartTagPr>
        <w:r>
          <w:rPr>
            <w:szCs w:val="24"/>
            <w:lang w:val="es-ES"/>
          </w:rPr>
          <w:t>la Constitución</w:t>
        </w:r>
      </w:smartTag>
      <w:r>
        <w:rPr>
          <w:szCs w:val="24"/>
          <w:lang w:val="es-ES"/>
        </w:rPr>
        <w:t xml:space="preserve">, el </w:t>
      </w:r>
      <w:r w:rsidR="007B1553">
        <w:rPr>
          <w:szCs w:val="24"/>
          <w:lang w:val="es-ES"/>
        </w:rPr>
        <w:t xml:space="preserve">pueblo ejerce el </w:t>
      </w:r>
      <w:r>
        <w:rPr>
          <w:szCs w:val="24"/>
          <w:lang w:val="es-ES"/>
        </w:rPr>
        <w:t>poder supremo del Estado mediante elecci</w:t>
      </w:r>
      <w:r w:rsidR="00BE1FC8">
        <w:rPr>
          <w:szCs w:val="24"/>
          <w:lang w:val="es-ES"/>
        </w:rPr>
        <w:t>o</w:t>
      </w:r>
      <w:r>
        <w:rPr>
          <w:szCs w:val="24"/>
          <w:lang w:val="es-ES"/>
        </w:rPr>
        <w:t>n</w:t>
      </w:r>
      <w:r w:rsidR="00BE1FC8">
        <w:rPr>
          <w:szCs w:val="24"/>
          <w:lang w:val="es-ES"/>
        </w:rPr>
        <w:t>es</w:t>
      </w:r>
      <w:r>
        <w:rPr>
          <w:szCs w:val="24"/>
          <w:lang w:val="es-ES"/>
        </w:rPr>
        <w:t xml:space="preserve"> </w:t>
      </w:r>
      <w:r w:rsidR="00BE1FC8">
        <w:rPr>
          <w:szCs w:val="24"/>
          <w:lang w:val="es-ES"/>
        </w:rPr>
        <w:t>a</w:t>
      </w:r>
      <w:r>
        <w:rPr>
          <w:szCs w:val="24"/>
          <w:lang w:val="es-ES"/>
        </w:rPr>
        <w:t>l Parlamento y referendos.</w:t>
      </w:r>
      <w:r w:rsidRPr="006F71A0">
        <w:rPr>
          <w:szCs w:val="24"/>
          <w:lang w:val="es-ES"/>
        </w:rPr>
        <w:t xml:space="preserve"> </w:t>
      </w:r>
      <w:r>
        <w:rPr>
          <w:szCs w:val="24"/>
          <w:lang w:val="es-ES"/>
        </w:rPr>
        <w:t>Los ciudadanos estonios que hayan cumplido 18 años pueden votar en la</w:t>
      </w:r>
      <w:r w:rsidR="007B1553">
        <w:rPr>
          <w:szCs w:val="24"/>
          <w:lang w:val="es-ES"/>
        </w:rPr>
        <w:t>s</w:t>
      </w:r>
      <w:r>
        <w:rPr>
          <w:szCs w:val="24"/>
          <w:lang w:val="es-ES"/>
        </w:rPr>
        <w:t xml:space="preserve"> elecci</w:t>
      </w:r>
      <w:r w:rsidR="007B1553">
        <w:rPr>
          <w:szCs w:val="24"/>
          <w:lang w:val="es-ES"/>
        </w:rPr>
        <w:t>o</w:t>
      </w:r>
      <w:r>
        <w:rPr>
          <w:szCs w:val="24"/>
          <w:lang w:val="es-ES"/>
        </w:rPr>
        <w:t>n</w:t>
      </w:r>
      <w:r w:rsidR="007B1553">
        <w:rPr>
          <w:szCs w:val="24"/>
          <w:lang w:val="es-ES"/>
        </w:rPr>
        <w:t>es</w:t>
      </w:r>
      <w:r>
        <w:rPr>
          <w:szCs w:val="24"/>
          <w:lang w:val="es-ES"/>
        </w:rPr>
        <w:t xml:space="preserve"> </w:t>
      </w:r>
      <w:r w:rsidR="007B1553">
        <w:rPr>
          <w:szCs w:val="24"/>
          <w:lang w:val="es-ES"/>
        </w:rPr>
        <w:t xml:space="preserve">al </w:t>
      </w:r>
      <w:r>
        <w:rPr>
          <w:szCs w:val="24"/>
          <w:lang w:val="es-ES"/>
        </w:rPr>
        <w:t>Parlamento.</w:t>
      </w:r>
      <w:r w:rsidRPr="006F71A0">
        <w:rPr>
          <w:szCs w:val="24"/>
          <w:lang w:val="es-ES"/>
        </w:rPr>
        <w:t xml:space="preserve"> </w:t>
      </w:r>
      <w:r>
        <w:rPr>
          <w:szCs w:val="24"/>
          <w:lang w:val="es-ES"/>
        </w:rPr>
        <w:t xml:space="preserve">De conformidad con </w:t>
      </w:r>
      <w:smartTag w:uri="urn:schemas-microsoft-com:office:smarttags" w:element="PersonName">
        <w:smartTagPr>
          <w:attr w:name="ProductID" w:val="La Ley"/>
        </w:smartTagPr>
        <w:r>
          <w:rPr>
            <w:szCs w:val="24"/>
            <w:lang w:val="es-ES"/>
          </w:rPr>
          <w:t>la Ley</w:t>
        </w:r>
      </w:smartTag>
      <w:r>
        <w:rPr>
          <w:szCs w:val="24"/>
          <w:lang w:val="es-ES"/>
        </w:rPr>
        <w:t xml:space="preserve"> de elecciones a los consejos de administración local, los ciudadanos estonios y de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que hayan cumplido 18 años pueden votar en las elecciones </w:t>
      </w:r>
      <w:r w:rsidR="007567B2">
        <w:rPr>
          <w:szCs w:val="24"/>
          <w:lang w:val="es-ES"/>
        </w:rPr>
        <w:t xml:space="preserve">a </w:t>
      </w:r>
      <w:r>
        <w:rPr>
          <w:szCs w:val="24"/>
          <w:lang w:val="es-ES"/>
        </w:rPr>
        <w:t>los consejos de administración local,</w:t>
      </w:r>
      <w:r w:rsidRPr="006F71A0">
        <w:rPr>
          <w:szCs w:val="24"/>
          <w:lang w:val="es-ES"/>
        </w:rPr>
        <w:t xml:space="preserve"> </w:t>
      </w:r>
      <w:r>
        <w:rPr>
          <w:szCs w:val="24"/>
          <w:lang w:val="es-ES"/>
        </w:rPr>
        <w:t>a</w:t>
      </w:r>
      <w:r w:rsidR="007567B2">
        <w:rPr>
          <w:szCs w:val="24"/>
          <w:lang w:val="es-ES"/>
        </w:rPr>
        <w:t>l igual que</w:t>
      </w:r>
      <w:r>
        <w:rPr>
          <w:szCs w:val="24"/>
          <w:lang w:val="es-ES"/>
        </w:rPr>
        <w:t xml:space="preserve"> los extranjeros </w:t>
      </w:r>
      <w:r w:rsidR="007567B2">
        <w:rPr>
          <w:szCs w:val="24"/>
          <w:lang w:val="es-ES"/>
        </w:rPr>
        <w:t>que viven</w:t>
      </w:r>
      <w:r>
        <w:rPr>
          <w:szCs w:val="24"/>
          <w:lang w:val="es-ES"/>
        </w:rPr>
        <w:t xml:space="preserve"> en Estonia con permiso de residencia prolongada o permanente.</w:t>
      </w:r>
      <w:r w:rsidRPr="006F71A0">
        <w:rPr>
          <w:szCs w:val="24"/>
          <w:lang w:val="es-ES"/>
        </w:rPr>
        <w:t xml:space="preserve"> </w:t>
      </w:r>
      <w:r>
        <w:rPr>
          <w:szCs w:val="24"/>
          <w:lang w:val="es-ES"/>
        </w:rPr>
        <w:t xml:space="preserve">La residencia permanente de un votante </w:t>
      </w:r>
      <w:r w:rsidR="007567B2">
        <w:rPr>
          <w:szCs w:val="24"/>
          <w:lang w:val="es-ES"/>
        </w:rPr>
        <w:t>(</w:t>
      </w:r>
      <w:r>
        <w:rPr>
          <w:szCs w:val="24"/>
          <w:lang w:val="es-ES"/>
        </w:rPr>
        <w:t xml:space="preserve">es decir, </w:t>
      </w:r>
      <w:r w:rsidR="007567B2">
        <w:rPr>
          <w:szCs w:val="24"/>
          <w:lang w:val="es-ES"/>
        </w:rPr>
        <w:t>e</w:t>
      </w:r>
      <w:r>
        <w:rPr>
          <w:szCs w:val="24"/>
          <w:lang w:val="es-ES"/>
        </w:rPr>
        <w:t xml:space="preserve">l domicilio </w:t>
      </w:r>
      <w:r w:rsidR="00DC6E43">
        <w:rPr>
          <w:szCs w:val="24"/>
          <w:lang w:val="es-ES"/>
        </w:rPr>
        <w:t>registrad</w:t>
      </w:r>
      <w:r w:rsidR="007567B2">
        <w:rPr>
          <w:szCs w:val="24"/>
          <w:lang w:val="es-ES"/>
        </w:rPr>
        <w:t>o</w:t>
      </w:r>
      <w:r>
        <w:rPr>
          <w:szCs w:val="24"/>
          <w:lang w:val="es-ES"/>
        </w:rPr>
        <w:t xml:space="preserve"> en el censo de población de Estonia</w:t>
      </w:r>
      <w:r w:rsidR="007567B2">
        <w:rPr>
          <w:szCs w:val="24"/>
          <w:lang w:val="es-ES"/>
        </w:rPr>
        <w:t>)</w:t>
      </w:r>
      <w:r>
        <w:rPr>
          <w:szCs w:val="24"/>
          <w:lang w:val="es-ES"/>
        </w:rPr>
        <w:t xml:space="preserve"> debe </w:t>
      </w:r>
      <w:r w:rsidR="007567B2">
        <w:rPr>
          <w:szCs w:val="24"/>
          <w:lang w:val="es-ES"/>
        </w:rPr>
        <w:t xml:space="preserve">encontrarse </w:t>
      </w:r>
      <w:r>
        <w:rPr>
          <w:szCs w:val="24"/>
          <w:lang w:val="es-ES"/>
        </w:rPr>
        <w:t>en la misma municipalidad rural o ciudad.</w:t>
      </w:r>
    </w:p>
    <w:p w:rsidR="00DE0B3B" w:rsidRPr="006F71A0" w:rsidRDefault="00DE0B3B" w:rsidP="00637350">
      <w:pPr>
        <w:pStyle w:val="SingleTxtG"/>
        <w:rPr>
          <w:szCs w:val="24"/>
          <w:lang w:val="es-ES"/>
        </w:rPr>
      </w:pPr>
      <w:r w:rsidRPr="006F71A0">
        <w:rPr>
          <w:szCs w:val="24"/>
          <w:lang w:val="es-ES"/>
        </w:rPr>
        <w:t>99.</w:t>
      </w:r>
      <w:r w:rsidRPr="006F71A0">
        <w:rPr>
          <w:szCs w:val="24"/>
          <w:lang w:val="es-ES"/>
        </w:rPr>
        <w:tab/>
      </w:r>
      <w:r>
        <w:rPr>
          <w:szCs w:val="24"/>
          <w:lang w:val="es-ES"/>
        </w:rPr>
        <w:t>Las personas con residencia permanente en Estonia, independientemente de sus conocimientos del idioma estonio, tiene</w:t>
      </w:r>
      <w:r w:rsidR="008E5C9B">
        <w:rPr>
          <w:szCs w:val="24"/>
          <w:lang w:val="es-ES"/>
        </w:rPr>
        <w:t>n</w:t>
      </w:r>
      <w:r>
        <w:rPr>
          <w:szCs w:val="24"/>
          <w:lang w:val="es-ES"/>
        </w:rPr>
        <w:t xml:space="preserve"> derecho a participar en las elecciones </w:t>
      </w:r>
      <w:r w:rsidR="007567B2">
        <w:rPr>
          <w:szCs w:val="24"/>
          <w:lang w:val="es-ES"/>
        </w:rPr>
        <w:t>a</w:t>
      </w:r>
      <w:r>
        <w:rPr>
          <w:szCs w:val="24"/>
          <w:lang w:val="es-ES"/>
        </w:rPr>
        <w:t xml:space="preserve"> las administrac</w:t>
      </w:r>
      <w:r w:rsidR="00443723">
        <w:rPr>
          <w:szCs w:val="24"/>
          <w:lang w:val="es-ES"/>
        </w:rPr>
        <w:t>iones locales, por lo que gozan de</w:t>
      </w:r>
      <w:r>
        <w:rPr>
          <w:szCs w:val="24"/>
          <w:lang w:val="es-ES"/>
        </w:rPr>
        <w:t xml:space="preserve"> la oportunidad de infl</w:t>
      </w:r>
      <w:r w:rsidR="00443723">
        <w:rPr>
          <w:szCs w:val="24"/>
          <w:lang w:val="es-ES"/>
        </w:rPr>
        <w:t>uir en las decisiones que se adoptan a nivel local y</w:t>
      </w:r>
      <w:r>
        <w:rPr>
          <w:szCs w:val="24"/>
          <w:lang w:val="es-ES"/>
        </w:rPr>
        <w:t xml:space="preserve"> participar en la vida política.</w:t>
      </w:r>
      <w:r w:rsidRPr="006F71A0">
        <w:rPr>
          <w:szCs w:val="24"/>
          <w:lang w:val="es-ES"/>
        </w:rPr>
        <w:t xml:space="preserve"> </w:t>
      </w:r>
      <w:r>
        <w:rPr>
          <w:szCs w:val="24"/>
          <w:lang w:val="es-ES"/>
        </w:rPr>
        <w:t xml:space="preserve">Debe </w:t>
      </w:r>
      <w:r w:rsidR="007567B2">
        <w:rPr>
          <w:szCs w:val="24"/>
          <w:lang w:val="es-ES"/>
        </w:rPr>
        <w:t xml:space="preserve">señalarse </w:t>
      </w:r>
      <w:r>
        <w:rPr>
          <w:szCs w:val="24"/>
          <w:lang w:val="es-ES"/>
        </w:rPr>
        <w:t xml:space="preserve">que Estonia es uno de los </w:t>
      </w:r>
      <w:r w:rsidR="007567B2">
        <w:rPr>
          <w:szCs w:val="24"/>
          <w:lang w:val="es-ES"/>
        </w:rPr>
        <w:t xml:space="preserve">pocos </w:t>
      </w:r>
      <w:r>
        <w:rPr>
          <w:szCs w:val="24"/>
          <w:lang w:val="es-ES"/>
        </w:rPr>
        <w:t xml:space="preserve">países del mundo donde los </w:t>
      </w:r>
      <w:r w:rsidR="007567B2">
        <w:rPr>
          <w:szCs w:val="24"/>
          <w:lang w:val="es-ES"/>
        </w:rPr>
        <w:t xml:space="preserve">no ciudadanos </w:t>
      </w:r>
      <w:r>
        <w:rPr>
          <w:szCs w:val="24"/>
          <w:lang w:val="es-ES"/>
        </w:rPr>
        <w:t xml:space="preserve">pueden participar en las elecciones </w:t>
      </w:r>
      <w:r w:rsidR="007567B2">
        <w:rPr>
          <w:szCs w:val="24"/>
          <w:lang w:val="es-ES"/>
        </w:rPr>
        <w:t xml:space="preserve">a </w:t>
      </w:r>
      <w:r>
        <w:rPr>
          <w:szCs w:val="24"/>
          <w:lang w:val="es-ES"/>
        </w:rPr>
        <w:t>los consejos de administración local.</w:t>
      </w:r>
    </w:p>
    <w:p w:rsidR="00DE0B3B" w:rsidRPr="006F71A0" w:rsidRDefault="00DE0B3B" w:rsidP="00637350">
      <w:pPr>
        <w:pStyle w:val="SingleTxtG"/>
        <w:rPr>
          <w:szCs w:val="24"/>
          <w:lang w:val="es-ES"/>
        </w:rPr>
      </w:pPr>
      <w:r w:rsidRPr="001B778C">
        <w:rPr>
          <w:szCs w:val="24"/>
          <w:lang w:val="es-ES"/>
        </w:rPr>
        <w:t>100.</w:t>
      </w:r>
      <w:r w:rsidRPr="001B778C">
        <w:rPr>
          <w:szCs w:val="24"/>
          <w:lang w:val="es-ES"/>
        </w:rPr>
        <w:tab/>
      </w:r>
      <w:r>
        <w:rPr>
          <w:szCs w:val="24"/>
          <w:lang w:val="es-ES"/>
        </w:rPr>
        <w:t xml:space="preserve">Además de </w:t>
      </w:r>
      <w:r w:rsidR="007567B2">
        <w:rPr>
          <w:szCs w:val="24"/>
          <w:lang w:val="es-ES"/>
        </w:rPr>
        <w:t xml:space="preserve">las </w:t>
      </w:r>
      <w:r>
        <w:rPr>
          <w:szCs w:val="24"/>
          <w:lang w:val="es-ES"/>
        </w:rPr>
        <w:t xml:space="preserve">elecciones y referendos, </w:t>
      </w:r>
      <w:r w:rsidR="007567B2">
        <w:rPr>
          <w:szCs w:val="24"/>
          <w:lang w:val="es-ES"/>
        </w:rPr>
        <w:t xml:space="preserve">las personas y </w:t>
      </w:r>
      <w:r>
        <w:rPr>
          <w:szCs w:val="24"/>
          <w:lang w:val="es-ES"/>
        </w:rPr>
        <w:t xml:space="preserve">asociaciones tienen también </w:t>
      </w:r>
      <w:r w:rsidR="007567B2">
        <w:rPr>
          <w:szCs w:val="24"/>
          <w:lang w:val="es-ES"/>
        </w:rPr>
        <w:t xml:space="preserve">la posibilidad de </w:t>
      </w:r>
      <w:r>
        <w:rPr>
          <w:szCs w:val="24"/>
          <w:lang w:val="es-ES"/>
        </w:rPr>
        <w:t xml:space="preserve">participar </w:t>
      </w:r>
      <w:r w:rsidR="007567B2">
        <w:rPr>
          <w:szCs w:val="24"/>
          <w:lang w:val="es-ES"/>
        </w:rPr>
        <w:t xml:space="preserve">directamente </w:t>
      </w:r>
      <w:r>
        <w:rPr>
          <w:szCs w:val="24"/>
          <w:lang w:val="es-ES"/>
        </w:rPr>
        <w:t>en la administración del Estado a través de Internet.</w:t>
      </w:r>
      <w:r w:rsidRPr="001B778C">
        <w:rPr>
          <w:szCs w:val="24"/>
          <w:lang w:val="es-ES"/>
        </w:rPr>
        <w:t xml:space="preserve"> </w:t>
      </w:r>
      <w:r>
        <w:rPr>
          <w:szCs w:val="24"/>
          <w:lang w:val="es-ES"/>
        </w:rPr>
        <w:t xml:space="preserve">Los proyectos de ley han de publicarse </w:t>
      </w:r>
      <w:r w:rsidR="007567B2">
        <w:rPr>
          <w:szCs w:val="24"/>
          <w:lang w:val="es-ES"/>
        </w:rPr>
        <w:t xml:space="preserve">por medios </w:t>
      </w:r>
      <w:r>
        <w:rPr>
          <w:szCs w:val="24"/>
          <w:lang w:val="es-ES"/>
        </w:rPr>
        <w:t>electrónico</w:t>
      </w:r>
      <w:r w:rsidR="007567B2">
        <w:rPr>
          <w:szCs w:val="24"/>
          <w:lang w:val="es-ES"/>
        </w:rPr>
        <w:t>s</w:t>
      </w:r>
      <w:r>
        <w:rPr>
          <w:szCs w:val="24"/>
          <w:lang w:val="es-ES"/>
        </w:rPr>
        <w:t xml:space="preserve"> </w:t>
      </w:r>
      <w:r w:rsidR="00465846">
        <w:rPr>
          <w:szCs w:val="24"/>
          <w:lang w:val="es-ES"/>
        </w:rPr>
        <w:t>en el marco d</w:t>
      </w:r>
      <w:r w:rsidR="001A645D">
        <w:rPr>
          <w:szCs w:val="24"/>
          <w:lang w:val="es-ES"/>
        </w:rPr>
        <w:t xml:space="preserve">el </w:t>
      </w:r>
      <w:r>
        <w:rPr>
          <w:szCs w:val="24"/>
          <w:lang w:val="es-ES"/>
        </w:rPr>
        <w:t>sistema de información sobre proyectos de ley</w:t>
      </w:r>
      <w:r>
        <w:rPr>
          <w:rStyle w:val="FootnoteReference"/>
          <w:szCs w:val="24"/>
          <w:lang w:val="es-ES"/>
        </w:rPr>
        <w:footnoteReference w:id="27"/>
      </w:r>
      <w:r>
        <w:rPr>
          <w:szCs w:val="24"/>
          <w:lang w:val="es-ES"/>
        </w:rPr>
        <w:t>.</w:t>
      </w:r>
      <w:r w:rsidRPr="006F71A0">
        <w:rPr>
          <w:szCs w:val="24"/>
          <w:lang w:val="es-ES"/>
        </w:rPr>
        <w:t xml:space="preserve"> </w:t>
      </w:r>
      <w:r>
        <w:rPr>
          <w:i/>
          <w:szCs w:val="24"/>
          <w:lang w:val="es-ES"/>
        </w:rPr>
        <w:t>Ettevõtjaportaal</w:t>
      </w:r>
      <w:r w:rsidR="001A645D" w:rsidRPr="005466A4">
        <w:rPr>
          <w:szCs w:val="24"/>
          <w:lang w:val="es-ES"/>
        </w:rPr>
        <w:t xml:space="preserve">, </w:t>
      </w:r>
      <w:r w:rsidR="001A645D">
        <w:rPr>
          <w:szCs w:val="24"/>
          <w:lang w:val="es-ES"/>
        </w:rPr>
        <w:t xml:space="preserve">el </w:t>
      </w:r>
      <w:r>
        <w:rPr>
          <w:szCs w:val="24"/>
          <w:lang w:val="es-ES"/>
        </w:rPr>
        <w:t xml:space="preserve">portal para </w:t>
      </w:r>
      <w:r w:rsidR="001A645D">
        <w:rPr>
          <w:szCs w:val="24"/>
          <w:lang w:val="es-ES"/>
        </w:rPr>
        <w:t xml:space="preserve">los </w:t>
      </w:r>
      <w:r>
        <w:rPr>
          <w:szCs w:val="24"/>
          <w:lang w:val="es-ES"/>
        </w:rPr>
        <w:t xml:space="preserve">empresarios, </w:t>
      </w:r>
      <w:r w:rsidR="001A645D">
        <w:rPr>
          <w:szCs w:val="24"/>
          <w:lang w:val="es-ES"/>
        </w:rPr>
        <w:t xml:space="preserve">es </w:t>
      </w:r>
      <w:r>
        <w:rPr>
          <w:szCs w:val="24"/>
          <w:lang w:val="es-ES"/>
        </w:rPr>
        <w:t xml:space="preserve">un entorno de usuario basado en </w:t>
      </w:r>
      <w:smartTag w:uri="urn:schemas-microsoft-com:office:smarttags" w:element="PersonName">
        <w:smartTagPr>
          <w:attr w:name="ProductID" w:val="la Web"/>
        </w:smartTagPr>
        <w:r>
          <w:rPr>
            <w:szCs w:val="24"/>
            <w:lang w:val="es-ES"/>
          </w:rPr>
          <w:t xml:space="preserve">la </w:t>
        </w:r>
        <w:r w:rsidR="005466A4">
          <w:rPr>
            <w:szCs w:val="24"/>
            <w:lang w:val="es-ES"/>
          </w:rPr>
          <w:t>Web</w:t>
        </w:r>
      </w:smartTag>
      <w:r w:rsidR="005466A4">
        <w:rPr>
          <w:szCs w:val="24"/>
          <w:lang w:val="es-ES"/>
        </w:rPr>
        <w:t xml:space="preserve"> </w:t>
      </w:r>
      <w:r w:rsidR="001A645D">
        <w:rPr>
          <w:szCs w:val="24"/>
          <w:lang w:val="es-ES"/>
        </w:rPr>
        <w:t>que permite</w:t>
      </w:r>
      <w:r>
        <w:rPr>
          <w:szCs w:val="24"/>
          <w:lang w:val="es-ES"/>
        </w:rPr>
        <w:t xml:space="preserve"> crea</w:t>
      </w:r>
      <w:r w:rsidR="001A645D">
        <w:rPr>
          <w:szCs w:val="24"/>
          <w:lang w:val="es-ES"/>
        </w:rPr>
        <w:t>r</w:t>
      </w:r>
      <w:r>
        <w:rPr>
          <w:szCs w:val="24"/>
          <w:lang w:val="es-ES"/>
        </w:rPr>
        <w:t xml:space="preserve"> empresas y ONG y presenta</w:t>
      </w:r>
      <w:r w:rsidR="001A645D">
        <w:rPr>
          <w:szCs w:val="24"/>
          <w:lang w:val="es-ES"/>
        </w:rPr>
        <w:t>r</w:t>
      </w:r>
      <w:r>
        <w:rPr>
          <w:szCs w:val="24"/>
          <w:lang w:val="es-ES"/>
        </w:rPr>
        <w:t xml:space="preserve"> documentación </w:t>
      </w:r>
      <w:r w:rsidR="001A645D">
        <w:rPr>
          <w:szCs w:val="24"/>
          <w:lang w:val="es-ES"/>
        </w:rPr>
        <w:t xml:space="preserve">de </w:t>
      </w:r>
      <w:r>
        <w:rPr>
          <w:szCs w:val="24"/>
          <w:lang w:val="es-ES"/>
        </w:rPr>
        <w:t>manera sencilla y rápida.</w:t>
      </w:r>
    </w:p>
    <w:p w:rsidR="00DE0B3B" w:rsidRPr="006F71A0" w:rsidRDefault="00DE0B3B" w:rsidP="00637350">
      <w:pPr>
        <w:pStyle w:val="SingleTxtG"/>
        <w:rPr>
          <w:szCs w:val="24"/>
          <w:lang w:val="es-ES"/>
        </w:rPr>
      </w:pPr>
      <w:r w:rsidRPr="006F71A0">
        <w:rPr>
          <w:szCs w:val="24"/>
          <w:lang w:val="es-ES"/>
        </w:rPr>
        <w:t>101.</w:t>
      </w:r>
      <w:r w:rsidRPr="006F71A0">
        <w:rPr>
          <w:szCs w:val="24"/>
          <w:lang w:val="es-ES"/>
        </w:rPr>
        <w:tab/>
      </w:r>
      <w:r>
        <w:rPr>
          <w:szCs w:val="24"/>
          <w:lang w:val="es-ES"/>
        </w:rPr>
        <w:t>El derecho de pertenencia a un parti</w:t>
      </w:r>
      <w:r w:rsidR="00465846">
        <w:rPr>
          <w:szCs w:val="24"/>
          <w:lang w:val="es-ES"/>
        </w:rPr>
        <w:t>do político está vinculado jurídica</w:t>
      </w:r>
      <w:r>
        <w:rPr>
          <w:szCs w:val="24"/>
          <w:lang w:val="es-ES"/>
        </w:rPr>
        <w:t>mente a la ciudadanía estonia</w:t>
      </w:r>
      <w:r>
        <w:rPr>
          <w:rStyle w:val="FootnoteReference"/>
          <w:szCs w:val="24"/>
          <w:lang w:val="es-ES"/>
        </w:rPr>
        <w:footnoteReference w:id="28"/>
      </w:r>
      <w:r>
        <w:rPr>
          <w:szCs w:val="24"/>
          <w:lang w:val="es-ES"/>
        </w:rPr>
        <w:t>:</w:t>
      </w:r>
      <w:r w:rsidRPr="006F71A0">
        <w:rPr>
          <w:szCs w:val="24"/>
          <w:lang w:val="es-ES"/>
        </w:rPr>
        <w:t xml:space="preserve"> </w:t>
      </w:r>
      <w:r>
        <w:rPr>
          <w:szCs w:val="24"/>
          <w:lang w:val="es-ES"/>
        </w:rPr>
        <w:t>un partido político es una asociación política volunt</w:t>
      </w:r>
      <w:r w:rsidR="00465846">
        <w:rPr>
          <w:szCs w:val="24"/>
          <w:lang w:val="es-ES"/>
        </w:rPr>
        <w:t>aria de ciudadanos cuyo</w:t>
      </w:r>
      <w:r>
        <w:rPr>
          <w:szCs w:val="24"/>
          <w:lang w:val="es-ES"/>
        </w:rPr>
        <w:t xml:space="preserve"> objetivo </w:t>
      </w:r>
      <w:r w:rsidR="00465846">
        <w:rPr>
          <w:szCs w:val="24"/>
          <w:lang w:val="es-ES"/>
        </w:rPr>
        <w:t xml:space="preserve">es </w:t>
      </w:r>
      <w:r>
        <w:rPr>
          <w:szCs w:val="24"/>
          <w:lang w:val="es-ES"/>
        </w:rPr>
        <w:t>expresar los intereses políticos de sus miembros y partidarios y ejercer el poder.</w:t>
      </w:r>
      <w:r w:rsidRPr="006F71A0">
        <w:rPr>
          <w:szCs w:val="24"/>
          <w:lang w:val="es-ES"/>
        </w:rPr>
        <w:t xml:space="preserve"> </w:t>
      </w:r>
      <w:r>
        <w:rPr>
          <w:szCs w:val="24"/>
          <w:lang w:val="es-ES"/>
        </w:rPr>
        <w:t xml:space="preserve">Salvo por el hecho de que para votar y presentarse como candidato </w:t>
      </w:r>
      <w:r w:rsidR="001A645D">
        <w:rPr>
          <w:szCs w:val="24"/>
          <w:lang w:val="es-ES"/>
        </w:rPr>
        <w:t>a</w:t>
      </w:r>
      <w:r>
        <w:rPr>
          <w:szCs w:val="24"/>
          <w:lang w:val="es-ES"/>
        </w:rPr>
        <w:t xml:space="preserve"> las elecciones al Parlamento </w:t>
      </w:r>
      <w:r w:rsidR="001A645D">
        <w:rPr>
          <w:szCs w:val="24"/>
          <w:lang w:val="es-ES"/>
        </w:rPr>
        <w:t xml:space="preserve">es preciso ser </w:t>
      </w:r>
      <w:r>
        <w:rPr>
          <w:szCs w:val="24"/>
          <w:lang w:val="es-ES"/>
        </w:rPr>
        <w:t>ciudadan</w:t>
      </w:r>
      <w:r w:rsidR="001A645D">
        <w:rPr>
          <w:szCs w:val="24"/>
          <w:lang w:val="es-ES"/>
        </w:rPr>
        <w:t>o</w:t>
      </w:r>
      <w:r>
        <w:rPr>
          <w:szCs w:val="24"/>
          <w:lang w:val="es-ES"/>
        </w:rPr>
        <w:t xml:space="preserve"> estoni</w:t>
      </w:r>
      <w:r w:rsidR="001A645D">
        <w:rPr>
          <w:szCs w:val="24"/>
          <w:lang w:val="es-ES"/>
        </w:rPr>
        <w:t>o</w:t>
      </w:r>
      <w:r>
        <w:rPr>
          <w:szCs w:val="24"/>
          <w:lang w:val="es-ES"/>
        </w:rPr>
        <w:t xml:space="preserve">, no </w:t>
      </w:r>
      <w:r w:rsidR="000A6690">
        <w:rPr>
          <w:szCs w:val="24"/>
          <w:lang w:val="es-ES"/>
        </w:rPr>
        <w:t>hay</w:t>
      </w:r>
      <w:r>
        <w:rPr>
          <w:szCs w:val="24"/>
          <w:lang w:val="es-ES"/>
        </w:rPr>
        <w:t xml:space="preserve"> restricción </w:t>
      </w:r>
      <w:r w:rsidR="000A6690">
        <w:rPr>
          <w:szCs w:val="24"/>
          <w:lang w:val="es-ES"/>
        </w:rPr>
        <w:t xml:space="preserve">alguna </w:t>
      </w:r>
      <w:r>
        <w:rPr>
          <w:szCs w:val="24"/>
          <w:lang w:val="es-ES"/>
        </w:rPr>
        <w:t>al derecho de las personas con ciudadanía extranjera o indeterminada a expresar opiniones y puntos de vista políticos.</w:t>
      </w:r>
      <w:r w:rsidRPr="006F71A0">
        <w:rPr>
          <w:szCs w:val="24"/>
          <w:lang w:val="es-ES"/>
        </w:rPr>
        <w:t xml:space="preserve"> </w:t>
      </w:r>
      <w:r>
        <w:rPr>
          <w:szCs w:val="24"/>
          <w:lang w:val="es-ES"/>
        </w:rPr>
        <w:t xml:space="preserve">El Plan de Integración actual y las medidas encaminadas a su aplicación </w:t>
      </w:r>
      <w:r w:rsidR="001A645D">
        <w:rPr>
          <w:szCs w:val="24"/>
          <w:lang w:val="es-ES"/>
        </w:rPr>
        <w:t xml:space="preserve">se </w:t>
      </w:r>
      <w:r w:rsidR="00074396">
        <w:rPr>
          <w:szCs w:val="24"/>
          <w:lang w:val="es-ES"/>
        </w:rPr>
        <w:t xml:space="preserve">centran </w:t>
      </w:r>
      <w:r w:rsidR="001A645D">
        <w:rPr>
          <w:szCs w:val="24"/>
          <w:lang w:val="es-ES"/>
        </w:rPr>
        <w:t xml:space="preserve">en amplia medida </w:t>
      </w:r>
      <w:r>
        <w:rPr>
          <w:szCs w:val="24"/>
          <w:lang w:val="es-ES"/>
        </w:rPr>
        <w:t>en lograr una in</w:t>
      </w:r>
      <w:r w:rsidR="001A645D">
        <w:rPr>
          <w:szCs w:val="24"/>
          <w:lang w:val="es-ES"/>
        </w:rPr>
        <w:t>clusión</w:t>
      </w:r>
      <w:r>
        <w:rPr>
          <w:szCs w:val="24"/>
          <w:lang w:val="es-ES"/>
        </w:rPr>
        <w:t xml:space="preserve"> más activa de las minorías nacionales en las actividades de la sociedad civil.</w:t>
      </w:r>
    </w:p>
    <w:p w:rsidR="00DE0B3B" w:rsidRPr="006F71A0" w:rsidRDefault="00DE0B3B" w:rsidP="00637350">
      <w:pPr>
        <w:pStyle w:val="H23G"/>
        <w:rPr>
          <w:lang w:val="es-ES"/>
        </w:rPr>
      </w:pPr>
      <w:r w:rsidRPr="006F71A0">
        <w:rPr>
          <w:lang w:val="es-ES"/>
        </w:rPr>
        <w:tab/>
        <w:t>d)</w:t>
      </w:r>
      <w:r w:rsidRPr="006F71A0">
        <w:rPr>
          <w:lang w:val="es-ES"/>
        </w:rPr>
        <w:tab/>
      </w:r>
      <w:r>
        <w:rPr>
          <w:lang w:val="es-ES"/>
        </w:rPr>
        <w:t xml:space="preserve">Otros </w:t>
      </w:r>
      <w:r w:rsidR="000804D0">
        <w:rPr>
          <w:lang w:val="es-ES"/>
        </w:rPr>
        <w:t>derechos civiles, en particular</w:t>
      </w:r>
    </w:p>
    <w:p w:rsidR="00DE0B3B" w:rsidRPr="006F71A0" w:rsidRDefault="00DE0B3B" w:rsidP="00637350">
      <w:pPr>
        <w:pStyle w:val="H4G"/>
        <w:rPr>
          <w:lang w:val="es-ES"/>
        </w:rPr>
      </w:pPr>
      <w:r w:rsidRPr="006F71A0">
        <w:rPr>
          <w:lang w:val="es-ES"/>
        </w:rPr>
        <w:tab/>
      </w:r>
      <w:r>
        <w:rPr>
          <w:lang w:val="es-ES"/>
        </w:rPr>
        <w:t>i)</w:t>
      </w:r>
      <w:r w:rsidRPr="006F71A0">
        <w:rPr>
          <w:lang w:val="es-ES"/>
        </w:rPr>
        <w:tab/>
      </w:r>
      <w:r>
        <w:rPr>
          <w:lang w:val="es-ES"/>
        </w:rPr>
        <w:t xml:space="preserve">El derecho a circular libremente y a elegir </w:t>
      </w:r>
      <w:r w:rsidR="001A645D">
        <w:rPr>
          <w:lang w:val="es-ES"/>
        </w:rPr>
        <w:t>su</w:t>
      </w:r>
      <w:r>
        <w:rPr>
          <w:lang w:val="es-ES"/>
        </w:rPr>
        <w:t xml:space="preserve"> residencia en el territorio de un Estado</w:t>
      </w:r>
    </w:p>
    <w:p w:rsidR="00DE0B3B" w:rsidRPr="001B778C" w:rsidRDefault="00DE0B3B" w:rsidP="00637350">
      <w:pPr>
        <w:pStyle w:val="SingleTxtG"/>
        <w:rPr>
          <w:iCs/>
          <w:szCs w:val="24"/>
          <w:lang w:val="es-ES"/>
        </w:rPr>
      </w:pPr>
      <w:r w:rsidRPr="001B778C">
        <w:rPr>
          <w:iCs/>
          <w:szCs w:val="24"/>
          <w:lang w:val="es-ES"/>
        </w:rPr>
        <w:t>102.</w:t>
      </w:r>
      <w:r w:rsidRPr="001B778C">
        <w:rPr>
          <w:iCs/>
          <w:szCs w:val="24"/>
          <w:lang w:val="es-ES"/>
        </w:rPr>
        <w:tab/>
      </w:r>
      <w:r w:rsidRPr="00FD3F9B">
        <w:rPr>
          <w:iCs/>
          <w:szCs w:val="24"/>
          <w:lang w:val="es-ES"/>
        </w:rPr>
        <w:t xml:space="preserve">Sírvanse </w:t>
      </w:r>
      <w:r w:rsidR="001A645D">
        <w:rPr>
          <w:iCs/>
          <w:szCs w:val="24"/>
          <w:lang w:val="es-ES"/>
        </w:rPr>
        <w:t xml:space="preserve">consultar </w:t>
      </w:r>
      <w:r w:rsidRPr="00FD3F9B">
        <w:rPr>
          <w:iCs/>
          <w:szCs w:val="24"/>
          <w:lang w:val="es-ES"/>
        </w:rPr>
        <w:t xml:space="preserve">la información que figura en el penúltimo informe y en los párrafos </w:t>
      </w:r>
      <w:smartTag w:uri="urn:schemas-microsoft-com:office:smarttags" w:element="metricconverter">
        <w:smartTagPr>
          <w:attr w:name="ProductID" w:val="74 a"/>
        </w:smartTagPr>
        <w:r w:rsidRPr="00FD3F9B">
          <w:rPr>
            <w:iCs/>
            <w:szCs w:val="24"/>
            <w:lang w:val="es-ES"/>
          </w:rPr>
          <w:t>74 a</w:t>
        </w:r>
      </w:smartTag>
      <w:r w:rsidRPr="00FD3F9B">
        <w:rPr>
          <w:iCs/>
          <w:szCs w:val="24"/>
          <w:lang w:val="es-ES"/>
        </w:rPr>
        <w:t xml:space="preserve"> 76 y </w:t>
      </w:r>
      <w:smartTag w:uri="urn:schemas-microsoft-com:office:smarttags" w:element="metricconverter">
        <w:smartTagPr>
          <w:attr w:name="ProductID" w:val="81 a"/>
        </w:smartTagPr>
        <w:r w:rsidRPr="00FD3F9B">
          <w:rPr>
            <w:iCs/>
            <w:szCs w:val="24"/>
            <w:lang w:val="es-ES"/>
          </w:rPr>
          <w:t>81 a</w:t>
        </w:r>
      </w:smartTag>
      <w:r w:rsidRPr="00FD3F9B">
        <w:rPr>
          <w:iCs/>
          <w:szCs w:val="24"/>
          <w:lang w:val="es-ES"/>
        </w:rPr>
        <w:t xml:space="preserve"> 87 del informe anterior.</w:t>
      </w:r>
    </w:p>
    <w:p w:rsidR="00DE0B3B" w:rsidRPr="006F71A0" w:rsidRDefault="00DE0B3B" w:rsidP="00637350">
      <w:pPr>
        <w:pStyle w:val="SingleTxtG"/>
        <w:rPr>
          <w:iCs/>
          <w:szCs w:val="24"/>
          <w:lang w:val="es-ES"/>
        </w:rPr>
      </w:pPr>
      <w:r w:rsidRPr="001B778C">
        <w:rPr>
          <w:iCs/>
          <w:szCs w:val="24"/>
          <w:lang w:val="es-ES"/>
        </w:rPr>
        <w:t>103.</w:t>
      </w:r>
      <w:r w:rsidRPr="001B778C">
        <w:rPr>
          <w:iCs/>
          <w:szCs w:val="24"/>
          <w:lang w:val="es-ES"/>
        </w:rPr>
        <w:tab/>
      </w:r>
      <w:r w:rsidRPr="00FD3F9B">
        <w:rPr>
          <w:iCs/>
          <w:szCs w:val="24"/>
          <w:lang w:val="es-ES"/>
        </w:rPr>
        <w:t xml:space="preserve">En comparación con el período examinado en el informe anterior, la </w:t>
      </w:r>
      <w:r w:rsidR="00465846">
        <w:rPr>
          <w:iCs/>
          <w:szCs w:val="24"/>
          <w:lang w:val="es-ES"/>
        </w:rPr>
        <w:t>normativa</w:t>
      </w:r>
      <w:r w:rsidR="001A645D">
        <w:rPr>
          <w:iCs/>
          <w:szCs w:val="24"/>
          <w:lang w:val="es-ES"/>
        </w:rPr>
        <w:t xml:space="preserve"> jurídica </w:t>
      </w:r>
      <w:r w:rsidRPr="00FD3F9B">
        <w:rPr>
          <w:iCs/>
          <w:szCs w:val="24"/>
          <w:lang w:val="es-ES"/>
        </w:rPr>
        <w:t xml:space="preserve">relativa a los refugiados en el marco de </w:t>
      </w:r>
      <w:smartTag w:uri="urn:schemas-microsoft-com:office:smarttags" w:element="PersonName">
        <w:smartTagPr>
          <w:attr w:name="ProductID" w:val="La Ley"/>
        </w:smartTagPr>
        <w:r w:rsidRPr="00FD3F9B">
          <w:rPr>
            <w:iCs/>
            <w:szCs w:val="24"/>
            <w:lang w:val="es-ES"/>
          </w:rPr>
          <w:t>la Ley</w:t>
        </w:r>
      </w:smartTag>
      <w:r w:rsidRPr="00FD3F9B">
        <w:rPr>
          <w:iCs/>
          <w:szCs w:val="24"/>
          <w:lang w:val="es-ES"/>
        </w:rPr>
        <w:t xml:space="preserve"> sobre la concesión de protección internacional de los extranjeros</w:t>
      </w:r>
      <w:r w:rsidRPr="00FD3F9B">
        <w:rPr>
          <w:rStyle w:val="FootnoteReference"/>
          <w:iCs/>
          <w:szCs w:val="24"/>
          <w:lang w:val="es-ES"/>
        </w:rPr>
        <w:footnoteReference w:id="29"/>
      </w:r>
      <w:r w:rsidRPr="00FD3F9B">
        <w:rPr>
          <w:iCs/>
          <w:szCs w:val="24"/>
          <w:lang w:val="es-ES"/>
        </w:rPr>
        <w:t xml:space="preserve"> ha </w:t>
      </w:r>
      <w:r w:rsidR="001A645D">
        <w:rPr>
          <w:iCs/>
          <w:szCs w:val="24"/>
          <w:lang w:val="es-ES"/>
        </w:rPr>
        <w:t xml:space="preserve">sido </w:t>
      </w:r>
      <w:r w:rsidR="00074396">
        <w:rPr>
          <w:iCs/>
          <w:szCs w:val="24"/>
          <w:lang w:val="es-ES"/>
        </w:rPr>
        <w:t>o</w:t>
      </w:r>
      <w:r w:rsidR="001A645D">
        <w:rPr>
          <w:iCs/>
          <w:szCs w:val="24"/>
          <w:lang w:val="es-ES"/>
        </w:rPr>
        <w:t>bjeto de algunas modificaciones</w:t>
      </w:r>
      <w:r w:rsidRPr="00FD3F9B">
        <w:rPr>
          <w:iCs/>
          <w:szCs w:val="24"/>
          <w:lang w:val="es-ES"/>
        </w:rPr>
        <w:t>.</w:t>
      </w:r>
      <w:r w:rsidRPr="001B778C">
        <w:rPr>
          <w:iCs/>
          <w:szCs w:val="24"/>
          <w:lang w:val="es-ES"/>
        </w:rPr>
        <w:t xml:space="preserve"> </w:t>
      </w:r>
      <w:r w:rsidRPr="00FD3F9B">
        <w:rPr>
          <w:iCs/>
          <w:szCs w:val="24"/>
          <w:lang w:val="es-ES"/>
        </w:rPr>
        <w:t>El 1 de octubre de 2010 entró en vigor una enmienda a la legislación en virtud de la cual Estonia proporcionará</w:t>
      </w:r>
      <w:r w:rsidR="00660DC9">
        <w:rPr>
          <w:iCs/>
          <w:szCs w:val="24"/>
          <w:lang w:val="es-ES"/>
        </w:rPr>
        <w:t>,</w:t>
      </w:r>
      <w:r w:rsidRPr="00FD3F9B">
        <w:rPr>
          <w:iCs/>
          <w:szCs w:val="24"/>
          <w:lang w:val="es-ES"/>
        </w:rPr>
        <w:t xml:space="preserve"> </w:t>
      </w:r>
      <w:r w:rsidR="00C511AA">
        <w:rPr>
          <w:iCs/>
          <w:szCs w:val="24"/>
          <w:lang w:val="es-ES"/>
        </w:rPr>
        <w:t>como norma</w:t>
      </w:r>
      <w:r w:rsidRPr="00FD3F9B">
        <w:rPr>
          <w:iCs/>
          <w:szCs w:val="24"/>
          <w:lang w:val="es-ES"/>
        </w:rPr>
        <w:t xml:space="preserve"> general</w:t>
      </w:r>
      <w:r w:rsidR="00660DC9">
        <w:rPr>
          <w:iCs/>
          <w:szCs w:val="24"/>
          <w:lang w:val="es-ES"/>
        </w:rPr>
        <w:t>,</w:t>
      </w:r>
      <w:r w:rsidRPr="00FD3F9B">
        <w:rPr>
          <w:iCs/>
          <w:szCs w:val="24"/>
          <w:lang w:val="es-ES"/>
        </w:rPr>
        <w:t xml:space="preserve"> un permiso de residencia a los familiares de las personas que gocen de protección internacional y, solo cuando </w:t>
      </w:r>
      <w:r w:rsidR="00C511AA">
        <w:rPr>
          <w:iCs/>
          <w:szCs w:val="24"/>
          <w:lang w:val="es-ES"/>
        </w:rPr>
        <w:t>el</w:t>
      </w:r>
      <w:r w:rsidRPr="00FD3F9B">
        <w:rPr>
          <w:iCs/>
          <w:szCs w:val="24"/>
          <w:lang w:val="es-ES"/>
        </w:rPr>
        <w:t xml:space="preserve"> familiar </w:t>
      </w:r>
      <w:r>
        <w:rPr>
          <w:iCs/>
          <w:szCs w:val="24"/>
          <w:lang w:val="es-ES"/>
        </w:rPr>
        <w:t>requiera</w:t>
      </w:r>
      <w:r w:rsidRPr="00FD3F9B">
        <w:rPr>
          <w:iCs/>
          <w:szCs w:val="24"/>
          <w:lang w:val="es-ES"/>
        </w:rPr>
        <w:t xml:space="preserve"> </w:t>
      </w:r>
      <w:r w:rsidR="00C511AA">
        <w:rPr>
          <w:iCs/>
          <w:szCs w:val="24"/>
          <w:lang w:val="es-ES"/>
        </w:rPr>
        <w:t xml:space="preserve">dicha </w:t>
      </w:r>
      <w:r w:rsidRPr="00FD3F9B">
        <w:rPr>
          <w:iCs/>
          <w:szCs w:val="24"/>
          <w:lang w:val="es-ES"/>
        </w:rPr>
        <w:t xml:space="preserve">protección, </w:t>
      </w:r>
      <w:r w:rsidR="00C511AA">
        <w:rPr>
          <w:iCs/>
          <w:szCs w:val="24"/>
          <w:lang w:val="es-ES"/>
        </w:rPr>
        <w:t>la obtend</w:t>
      </w:r>
      <w:r w:rsidRPr="00045EB6">
        <w:rPr>
          <w:iCs/>
          <w:szCs w:val="24"/>
          <w:lang w:val="es-ES"/>
        </w:rPr>
        <w:t xml:space="preserve">rá junto con </w:t>
      </w:r>
      <w:r w:rsidR="00C511AA">
        <w:rPr>
          <w:iCs/>
          <w:szCs w:val="24"/>
          <w:lang w:val="es-ES"/>
        </w:rPr>
        <w:t>el</w:t>
      </w:r>
      <w:r w:rsidRPr="00045EB6">
        <w:rPr>
          <w:iCs/>
          <w:szCs w:val="24"/>
          <w:lang w:val="es-ES"/>
        </w:rPr>
        <w:t xml:space="preserve"> permiso de residencia para familiares.</w:t>
      </w:r>
    </w:p>
    <w:p w:rsidR="00DE0B3B" w:rsidRPr="00FC642F" w:rsidRDefault="00DE0B3B" w:rsidP="00637350">
      <w:pPr>
        <w:pStyle w:val="SingleTxtG"/>
        <w:rPr>
          <w:iCs/>
          <w:szCs w:val="24"/>
          <w:lang w:val="es-ES"/>
        </w:rPr>
      </w:pPr>
      <w:r w:rsidRPr="001B778C">
        <w:rPr>
          <w:iCs/>
          <w:szCs w:val="24"/>
          <w:lang w:val="es-ES"/>
        </w:rPr>
        <w:t>104.</w:t>
      </w:r>
      <w:r w:rsidRPr="001B778C">
        <w:rPr>
          <w:iCs/>
          <w:szCs w:val="24"/>
          <w:lang w:val="es-ES"/>
        </w:rPr>
        <w:tab/>
      </w:r>
      <w:r w:rsidR="00660DC9">
        <w:rPr>
          <w:iCs/>
          <w:szCs w:val="24"/>
          <w:lang w:val="es-ES"/>
        </w:rPr>
        <w:t>E</w:t>
      </w:r>
      <w:r w:rsidR="00074396">
        <w:rPr>
          <w:iCs/>
          <w:szCs w:val="24"/>
          <w:lang w:val="es-ES"/>
        </w:rPr>
        <w:t xml:space="preserve">n virtud de </w:t>
      </w:r>
      <w:r w:rsidRPr="00045EB6">
        <w:rPr>
          <w:iCs/>
          <w:szCs w:val="24"/>
          <w:lang w:val="es-ES"/>
        </w:rPr>
        <w:t xml:space="preserve">la enmienda </w:t>
      </w:r>
      <w:r w:rsidR="00660DC9">
        <w:rPr>
          <w:iCs/>
          <w:szCs w:val="24"/>
          <w:lang w:val="es-ES"/>
        </w:rPr>
        <w:t xml:space="preserve">también se han simplificado </w:t>
      </w:r>
      <w:r w:rsidRPr="00045EB6">
        <w:rPr>
          <w:iCs/>
          <w:szCs w:val="24"/>
          <w:lang w:val="es-ES"/>
        </w:rPr>
        <w:t>las disposiciones reglamentarias sobre el trabajo y la residencia de los extranjeros en Estonia.</w:t>
      </w:r>
      <w:r w:rsidRPr="001B778C">
        <w:rPr>
          <w:iCs/>
          <w:szCs w:val="24"/>
          <w:lang w:val="es-ES"/>
        </w:rPr>
        <w:t xml:space="preserve"> </w:t>
      </w:r>
      <w:r w:rsidRPr="00045EB6">
        <w:rPr>
          <w:iCs/>
          <w:szCs w:val="24"/>
          <w:lang w:val="es-ES"/>
        </w:rPr>
        <w:t xml:space="preserve">Se han ajustado </w:t>
      </w:r>
      <w:r w:rsidRPr="00FC642F">
        <w:rPr>
          <w:iCs/>
          <w:szCs w:val="24"/>
          <w:lang w:val="es-ES"/>
        </w:rPr>
        <w:t xml:space="preserve">los procedimientos pertinentes para que </w:t>
      </w:r>
      <w:r w:rsidR="00460515">
        <w:rPr>
          <w:iCs/>
          <w:szCs w:val="24"/>
          <w:lang w:val="es-ES"/>
        </w:rPr>
        <w:t>los empleadores puedan responde</w:t>
      </w:r>
      <w:r w:rsidRPr="00FC642F">
        <w:rPr>
          <w:iCs/>
          <w:szCs w:val="24"/>
          <w:lang w:val="es-ES"/>
        </w:rPr>
        <w:t xml:space="preserve">r de forma efectiva y en </w:t>
      </w:r>
      <w:r w:rsidR="00660DC9" w:rsidRPr="00FC642F">
        <w:rPr>
          <w:iCs/>
          <w:szCs w:val="24"/>
          <w:lang w:val="es-ES"/>
        </w:rPr>
        <w:t xml:space="preserve">breve </w:t>
      </w:r>
      <w:r w:rsidRPr="00FC642F">
        <w:rPr>
          <w:iCs/>
          <w:szCs w:val="24"/>
          <w:lang w:val="es-ES"/>
        </w:rPr>
        <w:t>plazo a los cambios en las necesidades de mano de obra.</w:t>
      </w:r>
    </w:p>
    <w:p w:rsidR="00FC642F" w:rsidRPr="00FC642F" w:rsidRDefault="00FC642F" w:rsidP="00637350">
      <w:pPr>
        <w:pStyle w:val="SingleTxtG"/>
        <w:rPr>
          <w:iCs/>
          <w:szCs w:val="24"/>
          <w:lang w:val="es-ES"/>
        </w:rPr>
      </w:pPr>
      <w:r w:rsidRPr="00FC642F">
        <w:rPr>
          <w:iCs/>
          <w:szCs w:val="24"/>
          <w:lang w:val="es-ES"/>
        </w:rPr>
        <w:t>105.</w:t>
      </w:r>
      <w:r w:rsidRPr="00FC642F">
        <w:rPr>
          <w:iCs/>
          <w:szCs w:val="24"/>
          <w:lang w:val="es-ES"/>
        </w:rPr>
        <w:tab/>
        <w:t xml:space="preserve">Mediante la enmienda a </w:t>
      </w:r>
      <w:smartTag w:uri="urn:schemas-microsoft-com:office:smarttags" w:element="PersonName">
        <w:smartTagPr>
          <w:attr w:name="ProductID" w:val="La Ley"/>
        </w:smartTagPr>
        <w:r w:rsidRPr="00FC642F">
          <w:rPr>
            <w:iCs/>
            <w:szCs w:val="24"/>
            <w:lang w:val="es-ES"/>
          </w:rPr>
          <w:t>la Ley</w:t>
        </w:r>
      </w:smartTag>
      <w:r w:rsidRPr="00FC642F">
        <w:rPr>
          <w:iCs/>
          <w:szCs w:val="24"/>
          <w:lang w:val="es-ES"/>
        </w:rPr>
        <w:t xml:space="preserve"> de extranjería</w:t>
      </w:r>
      <w:r w:rsidRPr="00FC642F">
        <w:rPr>
          <w:rStyle w:val="FootnoteReference"/>
          <w:iCs/>
          <w:szCs w:val="24"/>
          <w:lang w:val="es-ES"/>
        </w:rPr>
        <w:footnoteReference w:id="30"/>
      </w:r>
      <w:r w:rsidRPr="00FC642F">
        <w:rPr>
          <w:iCs/>
          <w:szCs w:val="24"/>
          <w:lang w:val="es-ES"/>
        </w:rPr>
        <w:t xml:space="preserve">, de 14 de junio de 2008, se incrementó el cupo anual de inmigración hasta el 0,1% de la población permanente de Estonia, en comparación con el 0,05% anterior. </w:t>
      </w:r>
    </w:p>
    <w:p w:rsidR="00DE0B3B" w:rsidRPr="006F71A0" w:rsidRDefault="00DE0B3B" w:rsidP="00637350">
      <w:pPr>
        <w:pStyle w:val="SingleTxtG"/>
        <w:rPr>
          <w:iCs/>
          <w:szCs w:val="24"/>
          <w:lang w:val="es-ES"/>
        </w:rPr>
      </w:pPr>
      <w:r w:rsidRPr="00FC642F">
        <w:rPr>
          <w:iCs/>
          <w:szCs w:val="24"/>
          <w:lang w:val="es-ES"/>
        </w:rPr>
        <w:t>106.</w:t>
      </w:r>
      <w:r w:rsidRPr="00FC642F">
        <w:rPr>
          <w:iCs/>
          <w:szCs w:val="24"/>
          <w:lang w:val="es-ES"/>
        </w:rPr>
        <w:tab/>
        <w:t xml:space="preserve">La ley contempla distintos casos en los que no se aplica </w:t>
      </w:r>
      <w:r w:rsidR="00660DC9" w:rsidRPr="00FC642F">
        <w:rPr>
          <w:iCs/>
          <w:szCs w:val="24"/>
          <w:lang w:val="es-ES"/>
        </w:rPr>
        <w:t>e</w:t>
      </w:r>
      <w:r w:rsidRPr="00FC642F">
        <w:rPr>
          <w:iCs/>
          <w:szCs w:val="24"/>
          <w:lang w:val="es-ES"/>
        </w:rPr>
        <w:t>l cu</w:t>
      </w:r>
      <w:r w:rsidR="00660DC9" w:rsidRPr="00FC642F">
        <w:rPr>
          <w:iCs/>
          <w:szCs w:val="24"/>
          <w:lang w:val="es-ES"/>
        </w:rPr>
        <w:t>po</w:t>
      </w:r>
      <w:r w:rsidRPr="00FC642F">
        <w:rPr>
          <w:iCs/>
          <w:szCs w:val="24"/>
          <w:lang w:val="es-ES"/>
        </w:rPr>
        <w:t xml:space="preserve"> de inmigración. Por ejemplo, no se aplica al cónyuge de un ciudadano</w:t>
      </w:r>
      <w:r w:rsidRPr="00D61C7F">
        <w:rPr>
          <w:iCs/>
          <w:szCs w:val="24"/>
          <w:lang w:val="es-ES"/>
        </w:rPr>
        <w:t xml:space="preserve"> eston</w:t>
      </w:r>
      <w:r w:rsidR="00460515">
        <w:rPr>
          <w:iCs/>
          <w:szCs w:val="24"/>
          <w:lang w:val="es-ES"/>
        </w:rPr>
        <w:t>io o de un extranjero que resida</w:t>
      </w:r>
      <w:r w:rsidRPr="00D61C7F">
        <w:rPr>
          <w:iCs/>
          <w:szCs w:val="24"/>
          <w:lang w:val="es-ES"/>
        </w:rPr>
        <w:t xml:space="preserve"> en Estonia con permiso de residencia</w:t>
      </w:r>
      <w:r w:rsidR="004E4A00">
        <w:rPr>
          <w:iCs/>
          <w:szCs w:val="24"/>
          <w:lang w:val="es-ES"/>
        </w:rPr>
        <w:t>, ni a</w:t>
      </w:r>
      <w:r w:rsidR="00460515">
        <w:rPr>
          <w:iCs/>
          <w:szCs w:val="24"/>
          <w:lang w:val="es-ES"/>
        </w:rPr>
        <w:t xml:space="preserve"> los menores,</w:t>
      </w:r>
      <w:r w:rsidRPr="00D61C7F">
        <w:rPr>
          <w:iCs/>
          <w:szCs w:val="24"/>
          <w:lang w:val="es-ES"/>
        </w:rPr>
        <w:t xml:space="preserve"> </w:t>
      </w:r>
      <w:r w:rsidR="00460515">
        <w:rPr>
          <w:iCs/>
          <w:szCs w:val="24"/>
          <w:lang w:val="es-ES"/>
        </w:rPr>
        <w:t xml:space="preserve">los </w:t>
      </w:r>
      <w:r w:rsidRPr="00D61C7F">
        <w:rPr>
          <w:iCs/>
          <w:szCs w:val="24"/>
          <w:lang w:val="es-ES"/>
        </w:rPr>
        <w:t>adolescente</w:t>
      </w:r>
      <w:r w:rsidR="00460515">
        <w:rPr>
          <w:iCs/>
          <w:szCs w:val="24"/>
          <w:lang w:val="es-ES"/>
        </w:rPr>
        <w:t xml:space="preserve">s o los </w:t>
      </w:r>
      <w:r w:rsidRPr="00D61C7F">
        <w:rPr>
          <w:iCs/>
          <w:szCs w:val="24"/>
          <w:lang w:val="es-ES"/>
        </w:rPr>
        <w:t>progenitor</w:t>
      </w:r>
      <w:r w:rsidR="00460515">
        <w:rPr>
          <w:iCs/>
          <w:szCs w:val="24"/>
          <w:lang w:val="es-ES"/>
        </w:rPr>
        <w:t xml:space="preserve">es, </w:t>
      </w:r>
      <w:r w:rsidRPr="00D61C7F">
        <w:rPr>
          <w:iCs/>
          <w:szCs w:val="24"/>
          <w:lang w:val="es-ES"/>
        </w:rPr>
        <w:t>abuelo</w:t>
      </w:r>
      <w:r w:rsidR="00460515">
        <w:rPr>
          <w:iCs/>
          <w:szCs w:val="24"/>
          <w:lang w:val="es-ES"/>
        </w:rPr>
        <w:t xml:space="preserve">s o </w:t>
      </w:r>
      <w:r w:rsidRPr="00D61C7F">
        <w:rPr>
          <w:iCs/>
          <w:szCs w:val="24"/>
          <w:lang w:val="es-ES"/>
        </w:rPr>
        <w:t>tutor</w:t>
      </w:r>
      <w:r w:rsidR="00460515">
        <w:rPr>
          <w:iCs/>
          <w:szCs w:val="24"/>
          <w:lang w:val="es-ES"/>
        </w:rPr>
        <w:t>es de</w:t>
      </w:r>
      <w:r w:rsidRPr="00D61C7F">
        <w:rPr>
          <w:iCs/>
          <w:szCs w:val="24"/>
          <w:lang w:val="es-ES"/>
        </w:rPr>
        <w:t xml:space="preserve"> ciudadano</w:t>
      </w:r>
      <w:r w:rsidR="00460515">
        <w:rPr>
          <w:iCs/>
          <w:szCs w:val="24"/>
          <w:lang w:val="es-ES"/>
        </w:rPr>
        <w:t>s</w:t>
      </w:r>
      <w:r w:rsidRPr="00D61C7F">
        <w:rPr>
          <w:iCs/>
          <w:szCs w:val="24"/>
          <w:lang w:val="es-ES"/>
        </w:rPr>
        <w:t xml:space="preserve"> estonio</w:t>
      </w:r>
      <w:r w:rsidR="00460515">
        <w:rPr>
          <w:iCs/>
          <w:szCs w:val="24"/>
          <w:lang w:val="es-ES"/>
        </w:rPr>
        <w:t>s o de</w:t>
      </w:r>
      <w:r w:rsidRPr="00D61C7F">
        <w:rPr>
          <w:iCs/>
          <w:szCs w:val="24"/>
          <w:lang w:val="es-ES"/>
        </w:rPr>
        <w:t xml:space="preserve"> extranjero</w:t>
      </w:r>
      <w:r w:rsidR="00460515">
        <w:rPr>
          <w:iCs/>
          <w:szCs w:val="24"/>
          <w:lang w:val="es-ES"/>
        </w:rPr>
        <w:t>s que resida</w:t>
      </w:r>
      <w:r w:rsidRPr="00D61C7F">
        <w:rPr>
          <w:iCs/>
          <w:szCs w:val="24"/>
          <w:lang w:val="es-ES"/>
        </w:rPr>
        <w:t xml:space="preserve">n </w:t>
      </w:r>
      <w:r w:rsidR="00460515">
        <w:rPr>
          <w:iCs/>
          <w:szCs w:val="24"/>
          <w:lang w:val="es-ES"/>
        </w:rPr>
        <w:t xml:space="preserve">en </w:t>
      </w:r>
      <w:r w:rsidRPr="00D61C7F">
        <w:rPr>
          <w:iCs/>
          <w:szCs w:val="24"/>
          <w:lang w:val="es-ES"/>
        </w:rPr>
        <w:t>Estonia con permiso de residencia.</w:t>
      </w:r>
      <w:r w:rsidRPr="006F71A0">
        <w:rPr>
          <w:iCs/>
          <w:szCs w:val="24"/>
          <w:lang w:val="es-ES"/>
        </w:rPr>
        <w:t xml:space="preserve"> </w:t>
      </w:r>
      <w:r w:rsidRPr="00D61C7F">
        <w:rPr>
          <w:iCs/>
          <w:szCs w:val="24"/>
          <w:lang w:val="es-ES"/>
        </w:rPr>
        <w:t xml:space="preserve">Tampoco se aplica a los ciudadanos de </w:t>
      </w:r>
      <w:smartTag w:uri="urn:schemas-microsoft-com:office:smarttags" w:element="PersonName">
        <w:smartTagPr>
          <w:attr w:name="ProductID" w:val="la Uni￳n Europea"/>
        </w:smartTagPr>
        <w:r w:rsidRPr="00D61C7F">
          <w:rPr>
            <w:iCs/>
            <w:szCs w:val="24"/>
            <w:lang w:val="es-ES"/>
          </w:rPr>
          <w:t>la Unión Europea</w:t>
        </w:r>
      </w:smartTag>
      <w:r w:rsidRPr="00D61C7F">
        <w:rPr>
          <w:iCs/>
          <w:szCs w:val="24"/>
          <w:lang w:val="es-ES"/>
        </w:rPr>
        <w:t xml:space="preserve"> y los Estados miembros del Espacio Económico Europeo, </w:t>
      </w:r>
      <w:smartTag w:uri="urn:schemas-microsoft-com:office:smarttags" w:element="PersonName">
        <w:smartTagPr>
          <w:attr w:name="ProductID" w:val="la Confederaci￳n Suiza"/>
        </w:smartTagPr>
        <w:r w:rsidRPr="00D61C7F">
          <w:rPr>
            <w:iCs/>
            <w:szCs w:val="24"/>
            <w:lang w:val="es-ES"/>
          </w:rPr>
          <w:t>la Confederación Suiza</w:t>
        </w:r>
      </w:smartTag>
      <w:r w:rsidRPr="00D61C7F">
        <w:rPr>
          <w:iCs/>
          <w:szCs w:val="24"/>
          <w:lang w:val="es-ES"/>
        </w:rPr>
        <w:t xml:space="preserve">, los Estados Unidos de </w:t>
      </w:r>
      <w:r w:rsidRPr="00931275">
        <w:rPr>
          <w:iCs/>
          <w:szCs w:val="24"/>
          <w:lang w:val="es-ES"/>
        </w:rPr>
        <w:t xml:space="preserve">América y el Japón; </w:t>
      </w:r>
      <w:r w:rsidR="00460515">
        <w:rPr>
          <w:iCs/>
          <w:szCs w:val="24"/>
          <w:lang w:val="es-ES"/>
        </w:rPr>
        <w:t xml:space="preserve">a ese respecto, </w:t>
      </w:r>
      <w:r w:rsidRPr="00931275">
        <w:rPr>
          <w:iCs/>
          <w:szCs w:val="24"/>
          <w:lang w:val="es-ES"/>
        </w:rPr>
        <w:t xml:space="preserve">véase el artículo 115 de </w:t>
      </w:r>
      <w:smartTag w:uri="urn:schemas-microsoft-com:office:smarttags" w:element="PersonName">
        <w:smartTagPr>
          <w:attr w:name="ProductID" w:val="La Ley"/>
        </w:smartTagPr>
        <w:r w:rsidRPr="00931275">
          <w:rPr>
            <w:iCs/>
            <w:szCs w:val="24"/>
            <w:lang w:val="es-ES"/>
          </w:rPr>
          <w:t>la Ley</w:t>
        </w:r>
      </w:smartTag>
      <w:r w:rsidRPr="00931275">
        <w:rPr>
          <w:iCs/>
          <w:szCs w:val="24"/>
          <w:lang w:val="es-ES"/>
        </w:rPr>
        <w:t xml:space="preserve"> de extranjería.</w:t>
      </w:r>
    </w:p>
    <w:p w:rsidR="00DE0B3B" w:rsidRPr="006F71A0" w:rsidRDefault="00DE0B3B" w:rsidP="00637350">
      <w:pPr>
        <w:pStyle w:val="SingleTxtG"/>
        <w:rPr>
          <w:iCs/>
          <w:szCs w:val="24"/>
          <w:lang w:val="es-ES"/>
        </w:rPr>
      </w:pPr>
      <w:r w:rsidRPr="001B778C">
        <w:rPr>
          <w:iCs/>
          <w:szCs w:val="24"/>
          <w:lang w:val="es-ES"/>
        </w:rPr>
        <w:t>107.</w:t>
      </w:r>
      <w:r w:rsidRPr="001B778C">
        <w:rPr>
          <w:iCs/>
          <w:szCs w:val="24"/>
          <w:lang w:val="es-ES"/>
        </w:rPr>
        <w:tab/>
      </w:r>
      <w:r w:rsidRPr="00931275">
        <w:rPr>
          <w:iCs/>
          <w:szCs w:val="24"/>
          <w:lang w:val="es-ES"/>
        </w:rPr>
        <w:t>En 2009 y 2010, 36 y 30 personas presentaron solicitudes de asilo</w:t>
      </w:r>
      <w:r w:rsidR="00460515">
        <w:rPr>
          <w:iCs/>
          <w:szCs w:val="24"/>
          <w:lang w:val="es-ES"/>
        </w:rPr>
        <w:t xml:space="preserve"> respectivamente</w:t>
      </w:r>
      <w:r w:rsidRPr="00931275">
        <w:rPr>
          <w:iCs/>
          <w:szCs w:val="24"/>
          <w:lang w:val="es-ES"/>
        </w:rPr>
        <w:t xml:space="preserve">, mientras que el 2011 </w:t>
      </w:r>
      <w:r w:rsidR="004E4A00">
        <w:rPr>
          <w:iCs/>
          <w:szCs w:val="24"/>
          <w:lang w:val="es-ES"/>
        </w:rPr>
        <w:t>fueron</w:t>
      </w:r>
      <w:r w:rsidRPr="00931275">
        <w:rPr>
          <w:iCs/>
          <w:szCs w:val="24"/>
          <w:lang w:val="es-ES"/>
        </w:rPr>
        <w:t xml:space="preserve"> 66. Durante el período comprendido entre el 1 de enero de 2000 y el 31 de agosto de 2012 se concedió asilo a 38 personas en total, y se </w:t>
      </w:r>
      <w:r w:rsidR="00460515">
        <w:rPr>
          <w:iCs/>
          <w:szCs w:val="24"/>
          <w:lang w:val="es-ES"/>
        </w:rPr>
        <w:t>brindó protección adicional o complement</w:t>
      </w:r>
      <w:r w:rsidRPr="00931275">
        <w:rPr>
          <w:iCs/>
          <w:szCs w:val="24"/>
          <w:lang w:val="es-ES"/>
        </w:rPr>
        <w:t>aria a 26 personas.</w:t>
      </w:r>
    </w:p>
    <w:p w:rsidR="00DE0B3B" w:rsidRPr="006F71A0" w:rsidRDefault="00DE0B3B" w:rsidP="00637350">
      <w:pPr>
        <w:pStyle w:val="SingleTxtG"/>
        <w:rPr>
          <w:iCs/>
          <w:szCs w:val="24"/>
          <w:lang w:val="es-ES"/>
        </w:rPr>
      </w:pPr>
      <w:r w:rsidRPr="001B778C">
        <w:rPr>
          <w:iCs/>
          <w:szCs w:val="24"/>
          <w:lang w:val="es-ES"/>
        </w:rPr>
        <w:t>108.</w:t>
      </w:r>
      <w:r w:rsidRPr="001B778C">
        <w:rPr>
          <w:iCs/>
          <w:szCs w:val="24"/>
          <w:lang w:val="es-ES"/>
        </w:rPr>
        <w:tab/>
      </w:r>
      <w:r w:rsidRPr="00931275">
        <w:rPr>
          <w:iCs/>
          <w:szCs w:val="24"/>
          <w:lang w:val="es-ES"/>
        </w:rPr>
        <w:t xml:space="preserve">Todos los puestos fronterizos de Estonia pueden </w:t>
      </w:r>
      <w:r w:rsidR="009E19BA">
        <w:rPr>
          <w:iCs/>
          <w:szCs w:val="24"/>
          <w:lang w:val="es-ES"/>
        </w:rPr>
        <w:t xml:space="preserve">recibir </w:t>
      </w:r>
      <w:r w:rsidRPr="00931275">
        <w:rPr>
          <w:iCs/>
          <w:szCs w:val="24"/>
          <w:lang w:val="es-ES"/>
        </w:rPr>
        <w:t xml:space="preserve">solicitudes de asilo </w:t>
      </w:r>
      <w:r w:rsidR="009E19BA">
        <w:rPr>
          <w:iCs/>
          <w:szCs w:val="24"/>
          <w:lang w:val="es-ES"/>
        </w:rPr>
        <w:t xml:space="preserve">y llevar a cabo </w:t>
      </w:r>
      <w:r w:rsidRPr="00931275">
        <w:rPr>
          <w:iCs/>
          <w:szCs w:val="24"/>
          <w:lang w:val="es-ES"/>
        </w:rPr>
        <w:t xml:space="preserve">los trámites iniciales </w:t>
      </w:r>
      <w:r w:rsidR="009E19BA">
        <w:rPr>
          <w:iCs/>
          <w:szCs w:val="24"/>
          <w:lang w:val="es-ES"/>
        </w:rPr>
        <w:t xml:space="preserve">requeridos </w:t>
      </w:r>
      <w:r w:rsidRPr="00931275">
        <w:rPr>
          <w:iCs/>
          <w:szCs w:val="24"/>
          <w:lang w:val="es-ES"/>
        </w:rPr>
        <w:t>por ley.</w:t>
      </w:r>
      <w:r w:rsidRPr="001B778C">
        <w:rPr>
          <w:iCs/>
          <w:szCs w:val="24"/>
          <w:lang w:val="es-ES"/>
        </w:rPr>
        <w:t xml:space="preserve"> </w:t>
      </w:r>
      <w:r w:rsidRPr="00931275">
        <w:rPr>
          <w:iCs/>
          <w:szCs w:val="24"/>
          <w:lang w:val="es-ES"/>
        </w:rPr>
        <w:t>Con el fin de desarrollar y mejorar la</w:t>
      </w:r>
      <w:r w:rsidR="00460515">
        <w:rPr>
          <w:iCs/>
          <w:szCs w:val="24"/>
          <w:lang w:val="es-ES"/>
        </w:rPr>
        <w:t>s</w:t>
      </w:r>
      <w:r w:rsidRPr="00931275">
        <w:rPr>
          <w:iCs/>
          <w:szCs w:val="24"/>
          <w:lang w:val="es-ES"/>
        </w:rPr>
        <w:t xml:space="preserve"> </w:t>
      </w:r>
      <w:r w:rsidR="00460515">
        <w:rPr>
          <w:iCs/>
          <w:szCs w:val="24"/>
          <w:lang w:val="es-ES"/>
        </w:rPr>
        <w:t xml:space="preserve">aptitudes </w:t>
      </w:r>
      <w:r w:rsidRPr="00931275">
        <w:rPr>
          <w:iCs/>
          <w:szCs w:val="24"/>
          <w:lang w:val="es-ES"/>
        </w:rPr>
        <w:t>profesional</w:t>
      </w:r>
      <w:r w:rsidR="00460515">
        <w:rPr>
          <w:iCs/>
          <w:szCs w:val="24"/>
          <w:lang w:val="es-ES"/>
        </w:rPr>
        <w:t>es</w:t>
      </w:r>
      <w:r w:rsidRPr="00931275">
        <w:rPr>
          <w:iCs/>
          <w:szCs w:val="24"/>
          <w:lang w:val="es-ES"/>
        </w:rPr>
        <w:t xml:space="preserve"> de los funcionarios </w:t>
      </w:r>
      <w:r>
        <w:rPr>
          <w:iCs/>
          <w:szCs w:val="24"/>
          <w:lang w:val="es-ES"/>
        </w:rPr>
        <w:t>competentes</w:t>
      </w:r>
      <w:r w:rsidRPr="00931275">
        <w:rPr>
          <w:iCs/>
          <w:szCs w:val="24"/>
          <w:lang w:val="es-ES"/>
        </w:rPr>
        <w:t>, se les proporciona formación periódica</w:t>
      </w:r>
      <w:r w:rsidR="00460515">
        <w:rPr>
          <w:iCs/>
          <w:szCs w:val="24"/>
          <w:lang w:val="es-ES"/>
        </w:rPr>
        <w:t>mente</w:t>
      </w:r>
      <w:r w:rsidRPr="00931275">
        <w:rPr>
          <w:iCs/>
          <w:szCs w:val="24"/>
          <w:lang w:val="es-ES"/>
        </w:rPr>
        <w:t xml:space="preserve"> sobre la legislación nacional, las convenciones internacionales, las directivas de </w:t>
      </w:r>
      <w:smartTag w:uri="urn:schemas-microsoft-com:office:smarttags" w:element="PersonName">
        <w:smartTagPr>
          <w:attr w:name="ProductID" w:val="la Uni￳n Europea"/>
        </w:smartTagPr>
        <w:r w:rsidRPr="00931275">
          <w:rPr>
            <w:iCs/>
            <w:szCs w:val="24"/>
            <w:lang w:val="es-ES"/>
          </w:rPr>
          <w:t>la Unión Europea</w:t>
        </w:r>
      </w:smartTag>
      <w:r w:rsidRPr="00931275">
        <w:rPr>
          <w:iCs/>
          <w:szCs w:val="24"/>
          <w:lang w:val="es-ES"/>
        </w:rPr>
        <w:t xml:space="preserve"> y otros instrumentos internacionales.</w:t>
      </w:r>
    </w:p>
    <w:p w:rsidR="00DE0B3B" w:rsidRPr="006F71A0" w:rsidRDefault="00DE0B3B" w:rsidP="00637350">
      <w:pPr>
        <w:pStyle w:val="SingleTxtG"/>
        <w:rPr>
          <w:szCs w:val="24"/>
          <w:lang w:val="es-ES"/>
        </w:rPr>
      </w:pPr>
      <w:r w:rsidRPr="006F71A0">
        <w:rPr>
          <w:szCs w:val="24"/>
          <w:lang w:val="es-ES"/>
        </w:rPr>
        <w:t>109.</w:t>
      </w:r>
      <w:r w:rsidRPr="006F71A0">
        <w:rPr>
          <w:szCs w:val="24"/>
          <w:lang w:val="es-ES"/>
        </w:rPr>
        <w:tab/>
      </w:r>
      <w:r>
        <w:rPr>
          <w:szCs w:val="24"/>
          <w:lang w:val="es-ES"/>
        </w:rPr>
        <w:t>Las autoridades de Estonia cooperan activamente con distintas organizaciones internacionales.</w:t>
      </w:r>
      <w:r w:rsidRPr="006F71A0">
        <w:rPr>
          <w:szCs w:val="24"/>
          <w:lang w:val="es-ES"/>
        </w:rPr>
        <w:t xml:space="preserve"> </w:t>
      </w:r>
      <w:r>
        <w:rPr>
          <w:szCs w:val="24"/>
          <w:lang w:val="es-ES"/>
        </w:rPr>
        <w:t xml:space="preserve">Representantes de los ministerios participan en los grupos de trabajo de </w:t>
      </w:r>
      <w:smartTag w:uri="urn:schemas-microsoft-com:office:smarttags" w:element="PersonName">
        <w:smartTagPr>
          <w:attr w:name="ProductID" w:val="la Comisi￳n Europea"/>
        </w:smartTagPr>
        <w:r>
          <w:rPr>
            <w:szCs w:val="24"/>
            <w:lang w:val="es-ES"/>
          </w:rPr>
          <w:t>la Comisión Europea</w:t>
        </w:r>
      </w:smartTag>
      <w:r>
        <w:rPr>
          <w:szCs w:val="24"/>
          <w:lang w:val="es-ES"/>
        </w:rPr>
        <w:t xml:space="preserve"> y el Consejo de Europa.</w:t>
      </w:r>
      <w:r w:rsidRPr="006F71A0">
        <w:rPr>
          <w:szCs w:val="24"/>
          <w:lang w:val="es-ES"/>
        </w:rPr>
        <w:t xml:space="preserve"> </w:t>
      </w:r>
      <w:r>
        <w:rPr>
          <w:szCs w:val="24"/>
          <w:lang w:val="es-ES"/>
        </w:rPr>
        <w:t xml:space="preserve">También se colabora estrechamente con </w:t>
      </w:r>
      <w:smartTag w:uri="urn:schemas-microsoft-com:office:smarttags" w:element="PersonName">
        <w:smartTagPr>
          <w:attr w:name="ProductID" w:val="la Organizaci￳n Internacional"/>
        </w:smartTagPr>
        <w:r>
          <w:rPr>
            <w:szCs w:val="24"/>
            <w:lang w:val="es-ES"/>
          </w:rPr>
          <w:t>la Organización Internacional</w:t>
        </w:r>
      </w:smartTag>
      <w:r>
        <w:rPr>
          <w:szCs w:val="24"/>
          <w:lang w:val="es-ES"/>
        </w:rPr>
        <w:t xml:space="preserve"> para las Migraciones (OIM) y </w:t>
      </w:r>
      <w:smartTag w:uri="urn:schemas-microsoft-com:office:smarttags" w:element="PersonName">
        <w:smartTagPr>
          <w:attr w:name="ProductID" w:val="La Oficina"/>
        </w:smartTagPr>
        <w:r>
          <w:rPr>
            <w:szCs w:val="24"/>
            <w:lang w:val="es-ES"/>
          </w:rPr>
          <w:t>la Oficina</w:t>
        </w:r>
      </w:smartTag>
      <w:r>
        <w:rPr>
          <w:szCs w:val="24"/>
          <w:lang w:val="es-ES"/>
        </w:rPr>
        <w:t xml:space="preserve"> del Alto Comisionado de las Naciones Unidas para los Refugiados (ACNUR).</w:t>
      </w:r>
      <w:r w:rsidRPr="006F71A0">
        <w:rPr>
          <w:szCs w:val="24"/>
          <w:lang w:val="es-ES"/>
        </w:rPr>
        <w:t xml:space="preserve"> </w:t>
      </w:r>
      <w:r>
        <w:rPr>
          <w:szCs w:val="24"/>
          <w:lang w:val="es-ES"/>
        </w:rPr>
        <w:t xml:space="preserve">Se han establecido relaciones de cooperación con las autoridades competentes de migración y asilo de </w:t>
      </w:r>
      <w:r w:rsidR="009E19BA">
        <w:rPr>
          <w:szCs w:val="24"/>
          <w:lang w:val="es-ES"/>
        </w:rPr>
        <w:t>numeroso</w:t>
      </w:r>
      <w:r>
        <w:rPr>
          <w:szCs w:val="24"/>
          <w:lang w:val="es-ES"/>
        </w:rPr>
        <w:t>s Estados miembros.</w:t>
      </w:r>
      <w:r w:rsidRPr="006F71A0">
        <w:rPr>
          <w:szCs w:val="24"/>
          <w:lang w:val="es-ES"/>
        </w:rPr>
        <w:t xml:space="preserve"> </w:t>
      </w:r>
    </w:p>
    <w:p w:rsidR="008E5C9B" w:rsidRDefault="00C524E7" w:rsidP="00637350">
      <w:pPr>
        <w:pStyle w:val="SingleTxtG"/>
        <w:rPr>
          <w:szCs w:val="24"/>
          <w:lang w:val="es-ES"/>
        </w:rPr>
      </w:pPr>
      <w:r>
        <w:rPr>
          <w:szCs w:val="24"/>
          <w:lang w:val="es-ES"/>
        </w:rPr>
        <w:t>110.</w:t>
      </w:r>
      <w:r>
        <w:rPr>
          <w:szCs w:val="24"/>
          <w:lang w:val="es-ES"/>
        </w:rPr>
        <w:tab/>
        <w:t>En 2006 se recopiló material didáctico sobre los procedimientos de asilo</w:t>
      </w:r>
      <w:r w:rsidR="005466A4">
        <w:rPr>
          <w:szCs w:val="24"/>
          <w:lang w:val="es-ES"/>
        </w:rPr>
        <w:t xml:space="preserve"> </w:t>
      </w:r>
      <w:r>
        <w:rPr>
          <w:szCs w:val="24"/>
          <w:lang w:val="es-ES"/>
        </w:rPr>
        <w:t xml:space="preserve">para los funcionarios de la guardia de fronteras </w:t>
      </w:r>
      <w:r w:rsidR="008E5C9B">
        <w:rPr>
          <w:szCs w:val="24"/>
          <w:lang w:val="es-ES"/>
        </w:rPr>
        <w:t xml:space="preserve">en el marco del proyecto administrado por </w:t>
      </w:r>
      <w:smartTag w:uri="urn:schemas-microsoft-com:office:smarttags" w:element="PersonName">
        <w:smartTagPr>
          <w:attr w:name="ProductID" w:val="la OIM"/>
        </w:smartTagPr>
        <w:r w:rsidR="008E5C9B">
          <w:rPr>
            <w:szCs w:val="24"/>
            <w:lang w:val="es-ES"/>
          </w:rPr>
          <w:t>la OIM</w:t>
        </w:r>
      </w:smartTag>
      <w:r w:rsidR="008E5C9B">
        <w:rPr>
          <w:szCs w:val="24"/>
          <w:lang w:val="es-ES"/>
        </w:rPr>
        <w:t xml:space="preserve"> y cofinanciado por el Fondo Europeo para los Refugiados bajo el título </w:t>
      </w:r>
      <w:r w:rsidR="002B491B">
        <w:rPr>
          <w:szCs w:val="24"/>
          <w:lang w:val="es-ES"/>
        </w:rPr>
        <w:t>"</w:t>
      </w:r>
      <w:r w:rsidR="008E5C9B">
        <w:rPr>
          <w:szCs w:val="24"/>
          <w:lang w:val="es-ES"/>
        </w:rPr>
        <w:t>Requisitos mínimos para la recepción, protección y reconocimiento de la condición de refugiados a los solicitant</w:t>
      </w:r>
      <w:r>
        <w:rPr>
          <w:szCs w:val="24"/>
          <w:lang w:val="es-ES"/>
        </w:rPr>
        <w:t xml:space="preserve">es de asilo en Estonia </w:t>
      </w:r>
      <w:r w:rsidR="00660903" w:rsidRPr="00660903">
        <w:rPr>
          <w:szCs w:val="24"/>
          <w:lang w:val="es-AR"/>
        </w:rPr>
        <w:t>–</w:t>
      </w:r>
      <w:r>
        <w:rPr>
          <w:szCs w:val="24"/>
          <w:lang w:val="es-ES"/>
        </w:rPr>
        <w:t xml:space="preserve"> MINAS</w:t>
      </w:r>
      <w:r w:rsidR="002B491B">
        <w:rPr>
          <w:szCs w:val="24"/>
          <w:lang w:val="es-ES"/>
        </w:rPr>
        <w:t>"</w:t>
      </w:r>
      <w:r w:rsidR="008E5C9B">
        <w:rPr>
          <w:szCs w:val="24"/>
          <w:lang w:val="es-ES"/>
        </w:rPr>
        <w:t>. En 2006 y 2007, en el marco del mismo proyecto se proporcionó form</w:t>
      </w:r>
      <w:r w:rsidR="008349B3">
        <w:rPr>
          <w:szCs w:val="24"/>
          <w:lang w:val="es-ES"/>
        </w:rPr>
        <w:t xml:space="preserve">ación a los funcionarios de </w:t>
      </w:r>
      <w:smartTag w:uri="urn:schemas-microsoft-com:office:smarttags" w:element="PersonName">
        <w:smartTagPr>
          <w:attr w:name="ProductID" w:val="la Guardia"/>
        </w:smartTagPr>
        <w:r w:rsidR="008349B3">
          <w:rPr>
            <w:szCs w:val="24"/>
            <w:lang w:val="es-ES"/>
          </w:rPr>
          <w:t>la Guardia</w:t>
        </w:r>
      </w:smartTag>
      <w:r w:rsidR="008349B3">
        <w:rPr>
          <w:szCs w:val="24"/>
          <w:lang w:val="es-ES"/>
        </w:rPr>
        <w:t xml:space="preserve"> de F</w:t>
      </w:r>
      <w:r w:rsidR="008E5C9B">
        <w:rPr>
          <w:szCs w:val="24"/>
          <w:lang w:val="es-ES"/>
        </w:rPr>
        <w:t xml:space="preserve">ronteras, </w:t>
      </w:r>
      <w:smartTag w:uri="urn:schemas-microsoft-com:office:smarttags" w:element="PersonName">
        <w:smartTagPr>
          <w:attr w:name="ProductID" w:val="La Junta"/>
        </w:smartTagPr>
        <w:r w:rsidR="008E5C9B">
          <w:rPr>
            <w:szCs w:val="24"/>
            <w:lang w:val="es-ES"/>
          </w:rPr>
          <w:t>la Junta</w:t>
        </w:r>
      </w:smartTag>
      <w:r w:rsidR="008E5C9B">
        <w:rPr>
          <w:szCs w:val="24"/>
          <w:lang w:val="es-ES"/>
        </w:rPr>
        <w:t xml:space="preserve"> del Mercado Laboral y </w:t>
      </w:r>
      <w:smartTag w:uri="urn:schemas-microsoft-com:office:smarttags" w:element="PersonName">
        <w:smartTagPr>
          <w:attr w:name="ProductID" w:val="La Junta"/>
        </w:smartTagPr>
        <w:r w:rsidR="008E5C9B">
          <w:rPr>
            <w:szCs w:val="24"/>
            <w:lang w:val="es-ES"/>
          </w:rPr>
          <w:t>la Junta</w:t>
        </w:r>
      </w:smartTag>
      <w:r w:rsidR="008E5C9B">
        <w:rPr>
          <w:szCs w:val="24"/>
          <w:lang w:val="es-ES"/>
        </w:rPr>
        <w:t xml:space="preserve"> de Ciudadanía e Inmigración; se realizaron varias visitas de estudio a otros países; se preparó material de información para los solicitantes de asilo, traducido a ocho idiomas; y se publicó la traducción revisada del </w:t>
      </w:r>
      <w:r w:rsidR="008E5C9B">
        <w:rPr>
          <w:i/>
          <w:szCs w:val="24"/>
          <w:lang w:val="es-ES"/>
        </w:rPr>
        <w:t xml:space="preserve">Manual de Procedimientos y Criterios para Determinar </w:t>
      </w:r>
      <w:smartTag w:uri="urn:schemas-microsoft-com:office:smarttags" w:element="PersonName">
        <w:smartTagPr>
          <w:attr w:name="ProductID" w:val="la Condici￳n"/>
        </w:smartTagPr>
        <w:r w:rsidR="008E5C9B">
          <w:rPr>
            <w:i/>
            <w:szCs w:val="24"/>
            <w:lang w:val="es-ES"/>
          </w:rPr>
          <w:t>la Condición</w:t>
        </w:r>
      </w:smartTag>
      <w:r w:rsidR="008E5C9B">
        <w:rPr>
          <w:i/>
          <w:szCs w:val="24"/>
          <w:lang w:val="es-ES"/>
        </w:rPr>
        <w:t xml:space="preserve"> de Refugiado en virtud de </w:t>
      </w:r>
      <w:smartTag w:uri="urn:schemas-microsoft-com:office:smarttags" w:element="PersonName">
        <w:smartTagPr>
          <w:attr w:name="ProductID" w:val="la Convenci￳n"/>
        </w:smartTagPr>
        <w:r w:rsidR="008E5C9B">
          <w:rPr>
            <w:i/>
            <w:szCs w:val="24"/>
            <w:lang w:val="es-ES"/>
          </w:rPr>
          <w:t>la Convención</w:t>
        </w:r>
      </w:smartTag>
      <w:r w:rsidR="008E5C9B">
        <w:rPr>
          <w:i/>
          <w:szCs w:val="24"/>
          <w:lang w:val="es-ES"/>
        </w:rPr>
        <w:t xml:space="preserve"> de 1951 y el Protocolo de 1967 sobre el Estatuto de los Refugiados </w:t>
      </w:r>
      <w:r w:rsidR="008E5C9B">
        <w:rPr>
          <w:szCs w:val="24"/>
          <w:lang w:val="es-ES"/>
        </w:rPr>
        <w:t>del ACNUR</w:t>
      </w:r>
      <w:r w:rsidR="008E5C9B">
        <w:rPr>
          <w:rStyle w:val="FootnoteReference"/>
          <w:szCs w:val="24"/>
          <w:lang w:val="es-ES"/>
        </w:rPr>
        <w:footnoteReference w:id="31"/>
      </w:r>
      <w:r w:rsidR="009B72DA">
        <w:rPr>
          <w:szCs w:val="24"/>
          <w:lang w:val="es-ES"/>
        </w:rPr>
        <w:t>.</w:t>
      </w:r>
      <w:r w:rsidR="008E5C9B">
        <w:rPr>
          <w:szCs w:val="24"/>
          <w:lang w:val="es-ES"/>
        </w:rPr>
        <w:t xml:space="preserve"> Entre 2008 y 2012 se llevaron también a cabo varios proyectos de seguimiento en el marco del proyecto de </w:t>
      </w:r>
      <w:smartTag w:uri="urn:schemas-microsoft-com:office:smarttags" w:element="PersonName">
        <w:smartTagPr>
          <w:attr w:name="ProductID" w:val="la OIM. Desde"/>
        </w:smartTagPr>
        <w:r w:rsidR="008E5C9B">
          <w:rPr>
            <w:szCs w:val="24"/>
            <w:lang w:val="es-ES"/>
          </w:rPr>
          <w:t>la OIM. Desde</w:t>
        </w:r>
      </w:smartTag>
      <w:r w:rsidR="008E5C9B">
        <w:rPr>
          <w:szCs w:val="24"/>
          <w:lang w:val="es-ES"/>
        </w:rPr>
        <w:t xml:space="preserve"> 2004 se han ejecutado más de 30 proyectos, todos ellos relacionados de manera directa o indirecta con la mejora de los procedimientos de asilo y las condiciones de acogida de los solicitantes de asilo.</w:t>
      </w:r>
    </w:p>
    <w:p w:rsidR="00DE0B3B" w:rsidRPr="006F71A0" w:rsidRDefault="00DE0B3B" w:rsidP="00637350">
      <w:pPr>
        <w:pStyle w:val="H4G"/>
        <w:rPr>
          <w:lang w:val="es-ES"/>
        </w:rPr>
      </w:pPr>
      <w:r w:rsidRPr="006F71A0">
        <w:rPr>
          <w:lang w:val="es-ES"/>
        </w:rPr>
        <w:tab/>
        <w:t>ii)</w:t>
      </w:r>
      <w:r w:rsidRPr="006F71A0">
        <w:rPr>
          <w:lang w:val="es-ES"/>
        </w:rPr>
        <w:tab/>
      </w:r>
      <w:r>
        <w:rPr>
          <w:lang w:val="es-ES"/>
        </w:rPr>
        <w:t xml:space="preserve">El derecho a salir de cualquier país, incluso del propio, y a regresar a </w:t>
      </w:r>
      <w:r w:rsidR="00FF0D76">
        <w:rPr>
          <w:lang w:val="es-ES"/>
        </w:rPr>
        <w:t xml:space="preserve">su </w:t>
      </w:r>
      <w:r>
        <w:rPr>
          <w:lang w:val="es-ES"/>
        </w:rPr>
        <w:t>país</w:t>
      </w:r>
    </w:p>
    <w:p w:rsidR="00DE0B3B" w:rsidRPr="006F71A0" w:rsidRDefault="00DE0B3B" w:rsidP="00637350">
      <w:pPr>
        <w:pStyle w:val="SingleTxtG"/>
        <w:rPr>
          <w:szCs w:val="24"/>
          <w:lang w:val="es-ES"/>
        </w:rPr>
      </w:pPr>
      <w:r w:rsidRPr="001B778C">
        <w:rPr>
          <w:szCs w:val="24"/>
          <w:lang w:val="es-ES"/>
        </w:rPr>
        <w:t>111.</w:t>
      </w:r>
      <w:r w:rsidRPr="001B778C">
        <w:rPr>
          <w:szCs w:val="24"/>
          <w:lang w:val="es-ES"/>
        </w:rPr>
        <w:tab/>
      </w:r>
      <w:r>
        <w:rPr>
          <w:szCs w:val="24"/>
          <w:lang w:val="es-ES"/>
        </w:rPr>
        <w:t xml:space="preserve">Según </w:t>
      </w:r>
      <w:smartTag w:uri="urn:schemas-microsoft-com:office:smarttags" w:element="PersonName">
        <w:smartTagPr>
          <w:attr w:name="ProductID" w:val="la Constituci￳n"/>
        </w:smartTagPr>
        <w:r>
          <w:rPr>
            <w:szCs w:val="24"/>
            <w:lang w:val="es-ES"/>
          </w:rPr>
          <w:t>la Constitución</w:t>
        </w:r>
      </w:smartTag>
      <w:r>
        <w:rPr>
          <w:szCs w:val="24"/>
          <w:lang w:val="es-ES"/>
        </w:rPr>
        <w:t>, toda persona tiene derecho a salir de Estonia.</w:t>
      </w:r>
      <w:r w:rsidRPr="001B778C">
        <w:rPr>
          <w:szCs w:val="24"/>
          <w:lang w:val="es-ES"/>
        </w:rPr>
        <w:t xml:space="preserve"> </w:t>
      </w:r>
      <w:r>
        <w:rPr>
          <w:szCs w:val="24"/>
          <w:lang w:val="es-ES"/>
        </w:rPr>
        <w:t xml:space="preserve">Ese derecho puede restringirse en los casos y según los procedimientos previstos por ley </w:t>
      </w:r>
      <w:r w:rsidR="00A417EA">
        <w:rPr>
          <w:szCs w:val="24"/>
          <w:lang w:val="es-ES"/>
        </w:rPr>
        <w:t xml:space="preserve">a fin de </w:t>
      </w:r>
      <w:r>
        <w:rPr>
          <w:szCs w:val="24"/>
          <w:lang w:val="es-ES"/>
        </w:rPr>
        <w:t>asegurar el debido desarrollo de un juicio o de la instrucción</w:t>
      </w:r>
      <w:r w:rsidR="007D4ED8">
        <w:rPr>
          <w:szCs w:val="24"/>
          <w:lang w:val="es-ES"/>
        </w:rPr>
        <w:t xml:space="preserve"> correspondiente</w:t>
      </w:r>
      <w:r>
        <w:rPr>
          <w:szCs w:val="24"/>
          <w:lang w:val="es-ES"/>
        </w:rPr>
        <w:t>, o para ejecutar la sentencia de un tribunal (art</w:t>
      </w:r>
      <w:r w:rsidR="00452F8A">
        <w:rPr>
          <w:szCs w:val="24"/>
          <w:lang w:val="es-ES"/>
        </w:rPr>
        <w:t>.</w:t>
      </w:r>
      <w:r>
        <w:rPr>
          <w:szCs w:val="24"/>
          <w:lang w:val="es-ES"/>
        </w:rPr>
        <w:t xml:space="preserve"> 35).</w:t>
      </w:r>
    </w:p>
    <w:p w:rsidR="00DE0B3B" w:rsidRPr="006F71A0" w:rsidRDefault="00DE0B3B" w:rsidP="00637350">
      <w:pPr>
        <w:pStyle w:val="SingleTxtG"/>
        <w:rPr>
          <w:szCs w:val="24"/>
          <w:lang w:val="es-ES"/>
        </w:rPr>
      </w:pPr>
      <w:r w:rsidRPr="006F71A0">
        <w:rPr>
          <w:szCs w:val="24"/>
          <w:lang w:val="es-ES"/>
        </w:rPr>
        <w:t>112.</w:t>
      </w:r>
      <w:r w:rsidRPr="006F71A0">
        <w:rPr>
          <w:szCs w:val="24"/>
          <w:lang w:val="es-ES"/>
        </w:rPr>
        <w:tab/>
      </w:r>
      <w:r>
        <w:rPr>
          <w:szCs w:val="24"/>
          <w:lang w:val="es-ES"/>
        </w:rPr>
        <w:t xml:space="preserve">De conformidad con el artículo 36 de </w:t>
      </w:r>
      <w:smartTag w:uri="urn:schemas-microsoft-com:office:smarttags" w:element="PersonName">
        <w:smartTagPr>
          <w:attr w:name="ProductID" w:val="la Constituci￳n"/>
        </w:smartTagPr>
        <w:r>
          <w:rPr>
            <w:szCs w:val="24"/>
            <w:lang w:val="es-ES"/>
          </w:rPr>
          <w:t>la Constitución</w:t>
        </w:r>
      </w:smartTag>
      <w:r>
        <w:rPr>
          <w:szCs w:val="24"/>
          <w:lang w:val="es-ES"/>
        </w:rPr>
        <w:t>, no se puede expulsar de Estonia</w:t>
      </w:r>
      <w:r w:rsidR="00A417EA">
        <w:rPr>
          <w:szCs w:val="24"/>
          <w:lang w:val="es-ES"/>
        </w:rPr>
        <w:t xml:space="preserve"> ni </w:t>
      </w:r>
      <w:r w:rsidR="007D4ED8">
        <w:rPr>
          <w:szCs w:val="24"/>
          <w:lang w:val="es-ES"/>
        </w:rPr>
        <w:t xml:space="preserve">impedir el establecimiento </w:t>
      </w:r>
      <w:r w:rsidR="00A417EA">
        <w:rPr>
          <w:szCs w:val="24"/>
          <w:lang w:val="es-ES"/>
        </w:rPr>
        <w:t>en su territorio</w:t>
      </w:r>
      <w:r>
        <w:rPr>
          <w:szCs w:val="24"/>
          <w:lang w:val="es-ES"/>
        </w:rPr>
        <w:t xml:space="preserve"> a ningún ciudadano estonio.</w:t>
      </w:r>
      <w:r w:rsidRPr="006F71A0">
        <w:rPr>
          <w:szCs w:val="24"/>
          <w:lang w:val="es-ES"/>
        </w:rPr>
        <w:t xml:space="preserve"> </w:t>
      </w:r>
      <w:r>
        <w:rPr>
          <w:szCs w:val="24"/>
          <w:lang w:val="es-ES"/>
        </w:rPr>
        <w:t xml:space="preserve">No se </w:t>
      </w:r>
      <w:r w:rsidR="00ED56AE">
        <w:rPr>
          <w:szCs w:val="24"/>
          <w:lang w:val="es-ES"/>
        </w:rPr>
        <w:t xml:space="preserve">puede </w:t>
      </w:r>
      <w:r>
        <w:rPr>
          <w:szCs w:val="24"/>
          <w:lang w:val="es-ES"/>
        </w:rPr>
        <w:t>extradi</w:t>
      </w:r>
      <w:r w:rsidR="00ED56AE">
        <w:rPr>
          <w:szCs w:val="24"/>
          <w:lang w:val="es-ES"/>
        </w:rPr>
        <w:t>tar</w:t>
      </w:r>
      <w:r>
        <w:rPr>
          <w:szCs w:val="24"/>
          <w:lang w:val="es-ES"/>
        </w:rPr>
        <w:t xml:space="preserve"> </w:t>
      </w:r>
      <w:r w:rsidR="00ED56AE">
        <w:rPr>
          <w:szCs w:val="24"/>
          <w:lang w:val="es-ES"/>
        </w:rPr>
        <w:t>a</w:t>
      </w:r>
      <w:r>
        <w:rPr>
          <w:szCs w:val="24"/>
          <w:lang w:val="es-ES"/>
        </w:rPr>
        <w:t xml:space="preserve"> un ciudadano estonio a otro Estado, salvo en l</w:t>
      </w:r>
      <w:r w:rsidR="00D701F1">
        <w:rPr>
          <w:szCs w:val="24"/>
          <w:lang w:val="es-ES"/>
        </w:rPr>
        <w:t>as condiciones prescritas en los</w:t>
      </w:r>
      <w:r>
        <w:rPr>
          <w:szCs w:val="24"/>
          <w:lang w:val="es-ES"/>
        </w:rPr>
        <w:t xml:space="preserve"> tratado</w:t>
      </w:r>
      <w:r w:rsidR="00D701F1">
        <w:rPr>
          <w:szCs w:val="24"/>
          <w:lang w:val="es-ES"/>
        </w:rPr>
        <w:t xml:space="preserve">s internacionales y de conformidad con los </w:t>
      </w:r>
      <w:r>
        <w:rPr>
          <w:szCs w:val="24"/>
          <w:lang w:val="es-ES"/>
        </w:rPr>
        <w:t>procedimiento</w:t>
      </w:r>
      <w:r w:rsidR="00D701F1">
        <w:rPr>
          <w:szCs w:val="24"/>
          <w:lang w:val="es-ES"/>
        </w:rPr>
        <w:t>s</w:t>
      </w:r>
      <w:r>
        <w:rPr>
          <w:szCs w:val="24"/>
          <w:lang w:val="es-ES"/>
        </w:rPr>
        <w:t xml:space="preserve"> previsto</w:t>
      </w:r>
      <w:r w:rsidR="00D701F1">
        <w:rPr>
          <w:szCs w:val="24"/>
          <w:lang w:val="es-ES"/>
        </w:rPr>
        <w:t>s</w:t>
      </w:r>
      <w:r>
        <w:rPr>
          <w:szCs w:val="24"/>
          <w:lang w:val="es-ES"/>
        </w:rPr>
        <w:t xml:space="preserve"> en dicho</w:t>
      </w:r>
      <w:r w:rsidR="00D701F1">
        <w:rPr>
          <w:szCs w:val="24"/>
          <w:lang w:val="es-ES"/>
        </w:rPr>
        <w:t>s</w:t>
      </w:r>
      <w:r>
        <w:rPr>
          <w:szCs w:val="24"/>
          <w:lang w:val="es-ES"/>
        </w:rPr>
        <w:t xml:space="preserve"> tratado</w:t>
      </w:r>
      <w:r w:rsidR="00D701F1">
        <w:rPr>
          <w:szCs w:val="24"/>
          <w:lang w:val="es-ES"/>
        </w:rPr>
        <w:t>s</w:t>
      </w:r>
      <w:r>
        <w:rPr>
          <w:szCs w:val="24"/>
          <w:lang w:val="es-ES"/>
        </w:rPr>
        <w:t xml:space="preserve"> y en la le</w:t>
      </w:r>
      <w:r w:rsidR="007D4ED8">
        <w:rPr>
          <w:szCs w:val="24"/>
          <w:lang w:val="es-ES"/>
        </w:rPr>
        <w:t>gislación</w:t>
      </w:r>
      <w:r w:rsidR="00D701F1">
        <w:rPr>
          <w:szCs w:val="24"/>
          <w:lang w:val="es-ES"/>
        </w:rPr>
        <w:t xml:space="preserve"> pertinente</w:t>
      </w:r>
      <w:r>
        <w:rPr>
          <w:szCs w:val="24"/>
          <w:lang w:val="es-ES"/>
        </w:rPr>
        <w:t>.</w:t>
      </w:r>
      <w:r w:rsidRPr="006F71A0">
        <w:rPr>
          <w:szCs w:val="24"/>
          <w:lang w:val="es-ES"/>
        </w:rPr>
        <w:t xml:space="preserve"> </w:t>
      </w:r>
      <w:r w:rsidR="00ED56AE">
        <w:rPr>
          <w:szCs w:val="24"/>
          <w:lang w:val="es-ES"/>
        </w:rPr>
        <w:t xml:space="preserve">El Gobierno de </w:t>
      </w:r>
      <w:smartTag w:uri="urn:schemas-microsoft-com:office:smarttags" w:element="PersonName">
        <w:smartTagPr>
          <w:attr w:name="ProductID" w:val="la Rep￺blica"/>
        </w:smartTagPr>
        <w:r w:rsidR="00ED56AE">
          <w:rPr>
            <w:szCs w:val="24"/>
            <w:lang w:val="es-ES"/>
          </w:rPr>
          <w:t>la República</w:t>
        </w:r>
      </w:smartTag>
      <w:r w:rsidR="00ED56AE">
        <w:rPr>
          <w:szCs w:val="24"/>
          <w:lang w:val="es-ES"/>
        </w:rPr>
        <w:t xml:space="preserve"> decide</w:t>
      </w:r>
      <w:r>
        <w:rPr>
          <w:szCs w:val="24"/>
          <w:lang w:val="es-ES"/>
        </w:rPr>
        <w:t xml:space="preserve"> </w:t>
      </w:r>
      <w:r w:rsidR="00ED56AE">
        <w:rPr>
          <w:szCs w:val="24"/>
          <w:lang w:val="es-ES"/>
        </w:rPr>
        <w:t xml:space="preserve">sobre las </w:t>
      </w:r>
      <w:r>
        <w:rPr>
          <w:szCs w:val="24"/>
          <w:lang w:val="es-ES"/>
        </w:rPr>
        <w:t>extradici</w:t>
      </w:r>
      <w:r w:rsidR="00ED56AE">
        <w:rPr>
          <w:szCs w:val="24"/>
          <w:lang w:val="es-ES"/>
        </w:rPr>
        <w:t>o</w:t>
      </w:r>
      <w:r>
        <w:rPr>
          <w:szCs w:val="24"/>
          <w:lang w:val="es-ES"/>
        </w:rPr>
        <w:t>n</w:t>
      </w:r>
      <w:r w:rsidR="00ED56AE">
        <w:rPr>
          <w:szCs w:val="24"/>
          <w:lang w:val="es-ES"/>
        </w:rPr>
        <w:t>es</w:t>
      </w:r>
      <w:r>
        <w:rPr>
          <w:szCs w:val="24"/>
          <w:lang w:val="es-ES"/>
        </w:rPr>
        <w:t>.</w:t>
      </w:r>
      <w:r w:rsidRPr="006F71A0">
        <w:rPr>
          <w:szCs w:val="24"/>
          <w:lang w:val="es-ES"/>
        </w:rPr>
        <w:t xml:space="preserve"> </w:t>
      </w:r>
      <w:r>
        <w:rPr>
          <w:szCs w:val="24"/>
          <w:lang w:val="es-ES"/>
        </w:rPr>
        <w:t xml:space="preserve">Toda persona </w:t>
      </w:r>
      <w:r w:rsidR="00ED56AE">
        <w:rPr>
          <w:szCs w:val="24"/>
          <w:lang w:val="es-ES"/>
        </w:rPr>
        <w:t xml:space="preserve">sujeta a </w:t>
      </w:r>
      <w:r>
        <w:rPr>
          <w:szCs w:val="24"/>
          <w:lang w:val="es-ES"/>
        </w:rPr>
        <w:t>una orden de extradición ti</w:t>
      </w:r>
      <w:r w:rsidR="00D701F1">
        <w:rPr>
          <w:szCs w:val="24"/>
          <w:lang w:val="es-ES"/>
        </w:rPr>
        <w:t>ene derecho a impugnarla ante los</w:t>
      </w:r>
      <w:r>
        <w:rPr>
          <w:szCs w:val="24"/>
          <w:lang w:val="es-ES"/>
        </w:rPr>
        <w:t xml:space="preserve"> tribunal</w:t>
      </w:r>
      <w:r w:rsidR="00D701F1">
        <w:rPr>
          <w:szCs w:val="24"/>
          <w:lang w:val="es-ES"/>
        </w:rPr>
        <w:t xml:space="preserve">es </w:t>
      </w:r>
      <w:r w:rsidR="00ED56AE">
        <w:rPr>
          <w:szCs w:val="24"/>
          <w:lang w:val="es-ES"/>
        </w:rPr>
        <w:t>del país</w:t>
      </w:r>
      <w:r>
        <w:rPr>
          <w:szCs w:val="24"/>
          <w:lang w:val="es-ES"/>
        </w:rPr>
        <w:t>.</w:t>
      </w:r>
    </w:p>
    <w:p w:rsidR="00DE0B3B" w:rsidRPr="001B778C" w:rsidRDefault="00DE0B3B" w:rsidP="00637350">
      <w:pPr>
        <w:pStyle w:val="SingleTxtG"/>
        <w:rPr>
          <w:szCs w:val="24"/>
          <w:lang w:val="es-ES"/>
        </w:rPr>
      </w:pPr>
      <w:r w:rsidRPr="001B778C">
        <w:rPr>
          <w:szCs w:val="24"/>
          <w:lang w:val="es-ES"/>
        </w:rPr>
        <w:t>113.</w:t>
      </w:r>
      <w:r w:rsidRPr="001B778C">
        <w:rPr>
          <w:szCs w:val="24"/>
          <w:lang w:val="es-ES"/>
        </w:rPr>
        <w:tab/>
      </w:r>
      <w:r>
        <w:rPr>
          <w:szCs w:val="24"/>
          <w:lang w:val="es-ES"/>
        </w:rPr>
        <w:t xml:space="preserve">En virtud de </w:t>
      </w:r>
      <w:smartTag w:uri="urn:schemas-microsoft-com:office:smarttags" w:element="PersonName">
        <w:smartTagPr>
          <w:attr w:name="ProductID" w:val="La Ley"/>
        </w:smartTagPr>
        <w:r>
          <w:rPr>
            <w:szCs w:val="24"/>
            <w:lang w:val="es-ES"/>
          </w:rPr>
          <w:t>la Ley</w:t>
        </w:r>
      </w:smartTag>
      <w:r>
        <w:rPr>
          <w:szCs w:val="24"/>
          <w:lang w:val="es-ES"/>
        </w:rPr>
        <w:t xml:space="preserve"> de la obligación de salir y la prohibición de entrar</w:t>
      </w:r>
      <w:r>
        <w:rPr>
          <w:rStyle w:val="FootnoteReference"/>
          <w:szCs w:val="24"/>
          <w:lang w:val="es-ES"/>
        </w:rPr>
        <w:footnoteReference w:id="32"/>
      </w:r>
      <w:r>
        <w:rPr>
          <w:szCs w:val="24"/>
          <w:lang w:val="es-ES"/>
        </w:rPr>
        <w:t xml:space="preserve">, Estonia no puede enviar a un extranjero a un país </w:t>
      </w:r>
      <w:r w:rsidR="00ED56AE">
        <w:rPr>
          <w:szCs w:val="24"/>
          <w:lang w:val="es-ES"/>
        </w:rPr>
        <w:t xml:space="preserve">en el que </w:t>
      </w:r>
      <w:r>
        <w:rPr>
          <w:szCs w:val="24"/>
          <w:lang w:val="es-ES"/>
        </w:rPr>
        <w:t xml:space="preserve">puedan violarse sus derechos humanos o donde pueda ser objeto de tortura y </w:t>
      </w:r>
      <w:r w:rsidR="00ED56AE">
        <w:rPr>
          <w:szCs w:val="24"/>
          <w:lang w:val="es-ES"/>
        </w:rPr>
        <w:t xml:space="preserve">otros </w:t>
      </w:r>
      <w:r>
        <w:rPr>
          <w:szCs w:val="24"/>
          <w:lang w:val="es-ES"/>
        </w:rPr>
        <w:t>tratos o penas crueles, inhumanos o degradantes.</w:t>
      </w:r>
    </w:p>
    <w:p w:rsidR="00DE0B3B" w:rsidRPr="006F71A0" w:rsidRDefault="00DE0B3B" w:rsidP="00637350">
      <w:pPr>
        <w:pStyle w:val="SingleTxtG"/>
        <w:rPr>
          <w:szCs w:val="24"/>
          <w:lang w:val="es-ES"/>
        </w:rPr>
      </w:pPr>
      <w:r w:rsidRPr="006F71A0">
        <w:rPr>
          <w:szCs w:val="24"/>
          <w:lang w:val="es-ES"/>
        </w:rPr>
        <w:t>114.</w:t>
      </w:r>
      <w:r w:rsidRPr="006F71A0">
        <w:rPr>
          <w:szCs w:val="24"/>
          <w:lang w:val="es-ES"/>
        </w:rPr>
        <w:tab/>
      </w:r>
      <w:r>
        <w:rPr>
          <w:szCs w:val="24"/>
          <w:lang w:val="es-ES"/>
        </w:rPr>
        <w:t>Los princip</w:t>
      </w:r>
      <w:r w:rsidR="00EE6B78">
        <w:rPr>
          <w:szCs w:val="24"/>
          <w:lang w:val="es-ES"/>
        </w:rPr>
        <w:t>ios e</w:t>
      </w:r>
      <w:r>
        <w:rPr>
          <w:szCs w:val="24"/>
          <w:lang w:val="es-ES"/>
        </w:rPr>
        <w:t xml:space="preserve"> instrumentos jurídicos </w:t>
      </w:r>
      <w:r w:rsidR="00EE6B78">
        <w:rPr>
          <w:szCs w:val="24"/>
          <w:lang w:val="es-ES"/>
        </w:rPr>
        <w:t xml:space="preserve">más importantes </w:t>
      </w:r>
      <w:r>
        <w:rPr>
          <w:szCs w:val="24"/>
          <w:lang w:val="es-ES"/>
        </w:rPr>
        <w:t xml:space="preserve">que regulan ese ámbito se presentaron </w:t>
      </w:r>
      <w:r w:rsidR="00EE6B78">
        <w:rPr>
          <w:szCs w:val="24"/>
          <w:lang w:val="es-ES"/>
        </w:rPr>
        <w:t xml:space="preserve">en el apartado </w:t>
      </w:r>
      <w:r w:rsidR="00D85E3C">
        <w:rPr>
          <w:szCs w:val="24"/>
          <w:lang w:val="es-ES"/>
        </w:rPr>
        <w:t>correspondiente a</w:t>
      </w:r>
      <w:r w:rsidR="00EE6B78">
        <w:rPr>
          <w:szCs w:val="24"/>
          <w:lang w:val="es-ES"/>
        </w:rPr>
        <w:t xml:space="preserve">l </w:t>
      </w:r>
      <w:r>
        <w:rPr>
          <w:szCs w:val="24"/>
          <w:lang w:val="es-ES"/>
        </w:rPr>
        <w:t>artículo 5</w:t>
      </w:r>
      <w:r w:rsidR="00EE6B78">
        <w:rPr>
          <w:szCs w:val="24"/>
          <w:lang w:val="es-ES"/>
        </w:rPr>
        <w:t xml:space="preserve"> en el informe anterior</w:t>
      </w:r>
      <w:r>
        <w:rPr>
          <w:szCs w:val="24"/>
          <w:lang w:val="es-ES"/>
        </w:rPr>
        <w:t>.</w:t>
      </w:r>
    </w:p>
    <w:p w:rsidR="00DE0B3B" w:rsidRPr="006F71A0" w:rsidRDefault="00DE0B3B" w:rsidP="00637350">
      <w:pPr>
        <w:pStyle w:val="H4G"/>
        <w:rPr>
          <w:lang w:val="es-ES"/>
        </w:rPr>
      </w:pPr>
      <w:r w:rsidRPr="006F71A0">
        <w:rPr>
          <w:lang w:val="es-ES"/>
        </w:rPr>
        <w:tab/>
        <w:t>iii)</w:t>
      </w:r>
      <w:r w:rsidRPr="006F71A0">
        <w:rPr>
          <w:lang w:val="es-ES"/>
        </w:rPr>
        <w:tab/>
      </w:r>
      <w:r>
        <w:rPr>
          <w:lang w:val="es-ES"/>
        </w:rPr>
        <w:t>El derecho a una nacionalidad</w:t>
      </w:r>
    </w:p>
    <w:p w:rsidR="00074396" w:rsidRPr="006F71A0" w:rsidRDefault="00074396" w:rsidP="00637350">
      <w:pPr>
        <w:pStyle w:val="SingleTxtG"/>
        <w:rPr>
          <w:szCs w:val="24"/>
          <w:lang w:val="es-ES"/>
        </w:rPr>
      </w:pPr>
      <w:r w:rsidRPr="001B778C">
        <w:rPr>
          <w:szCs w:val="24"/>
          <w:lang w:val="es-ES"/>
        </w:rPr>
        <w:t>115.</w:t>
      </w:r>
      <w:r w:rsidRPr="001B778C">
        <w:rPr>
          <w:szCs w:val="24"/>
          <w:lang w:val="es-ES"/>
        </w:rPr>
        <w:tab/>
      </w:r>
      <w:r>
        <w:rPr>
          <w:szCs w:val="24"/>
          <w:lang w:val="es-ES"/>
        </w:rPr>
        <w:t>En el párrafo 15 de sus observaciones finales, el Comité recomendó intensificar los esfuerzos para reducir el número de personas con ciudadanía indeterminada.</w:t>
      </w:r>
      <w:r w:rsidRPr="001B778C">
        <w:rPr>
          <w:szCs w:val="24"/>
          <w:lang w:val="es-ES"/>
        </w:rPr>
        <w:t xml:space="preserve"> </w:t>
      </w:r>
      <w:r>
        <w:rPr>
          <w:szCs w:val="24"/>
          <w:lang w:val="es-ES"/>
        </w:rPr>
        <w:t xml:space="preserve">Deseamos reiterar que Estonia </w:t>
      </w:r>
      <w:r w:rsidR="00D85E3C">
        <w:rPr>
          <w:szCs w:val="24"/>
          <w:lang w:val="es-ES"/>
        </w:rPr>
        <w:t>presta</w:t>
      </w:r>
      <w:r>
        <w:rPr>
          <w:szCs w:val="24"/>
          <w:lang w:val="es-ES"/>
        </w:rPr>
        <w:t xml:space="preserve"> gran atención a</w:t>
      </w:r>
      <w:r w:rsidR="00D85E3C">
        <w:rPr>
          <w:szCs w:val="24"/>
          <w:lang w:val="es-ES"/>
        </w:rPr>
        <w:t xml:space="preserve"> esa cuestión.</w:t>
      </w:r>
      <w:r w:rsidRPr="006F71A0">
        <w:rPr>
          <w:szCs w:val="24"/>
          <w:lang w:val="es-ES"/>
        </w:rPr>
        <w:t xml:space="preserve"> </w:t>
      </w:r>
      <w:r>
        <w:rPr>
          <w:szCs w:val="24"/>
          <w:lang w:val="es-ES"/>
        </w:rPr>
        <w:t xml:space="preserve">El Comité también recomendó a Estonia que ratificara </w:t>
      </w:r>
      <w:smartTag w:uri="urn:schemas-microsoft-com:office:smarttags" w:element="PersonName">
        <w:smartTagPr>
          <w:attr w:name="ProductID" w:val="la Convenci￳n"/>
        </w:smartTagPr>
        <w:r>
          <w:rPr>
            <w:szCs w:val="24"/>
            <w:lang w:val="es-ES"/>
          </w:rPr>
          <w:t>la Convención</w:t>
        </w:r>
      </w:smartTag>
      <w:r>
        <w:rPr>
          <w:szCs w:val="24"/>
          <w:lang w:val="es-ES"/>
        </w:rPr>
        <w:t xml:space="preserve"> sobre el Estatuto de los Apátridas de 1954 y </w:t>
      </w:r>
      <w:smartTag w:uri="urn:schemas-microsoft-com:office:smarttags" w:element="PersonName">
        <w:smartTagPr>
          <w:attr w:name="ProductID" w:val="la Convenci￳n"/>
        </w:smartTagPr>
        <w:r>
          <w:rPr>
            <w:szCs w:val="24"/>
            <w:lang w:val="es-ES"/>
          </w:rPr>
          <w:t>la Convención</w:t>
        </w:r>
      </w:smartTag>
      <w:r>
        <w:rPr>
          <w:szCs w:val="24"/>
          <w:lang w:val="es-ES"/>
        </w:rPr>
        <w:t xml:space="preserve"> para reducir los casos de apatridia de 1961. Estonia ha analizado </w:t>
      </w:r>
      <w:r w:rsidR="00D85E3C">
        <w:rPr>
          <w:szCs w:val="24"/>
          <w:lang w:val="es-ES"/>
        </w:rPr>
        <w:t>detenid</w:t>
      </w:r>
      <w:r>
        <w:rPr>
          <w:szCs w:val="24"/>
          <w:lang w:val="es-ES"/>
        </w:rPr>
        <w:t xml:space="preserve">amente </w:t>
      </w:r>
      <w:smartTag w:uri="urn:schemas-microsoft-com:office:smarttags" w:element="PersonName">
        <w:smartTagPr>
          <w:attr w:name="ProductID" w:val="la Convenci￳n"/>
        </w:smartTagPr>
        <w:r>
          <w:rPr>
            <w:szCs w:val="24"/>
            <w:lang w:val="es-ES"/>
          </w:rPr>
          <w:t>la Convención</w:t>
        </w:r>
      </w:smartTag>
      <w:r>
        <w:rPr>
          <w:szCs w:val="24"/>
          <w:lang w:val="es-ES"/>
        </w:rPr>
        <w:t xml:space="preserve"> de 1954 y</w:t>
      </w:r>
      <w:r w:rsidR="000A5B11">
        <w:rPr>
          <w:szCs w:val="24"/>
          <w:lang w:val="es-ES"/>
        </w:rPr>
        <w:t xml:space="preserve"> no tiene previsto adherirse a ella en un futuro próximo</w:t>
      </w:r>
      <w:r>
        <w:rPr>
          <w:szCs w:val="24"/>
          <w:lang w:val="es-ES"/>
        </w:rPr>
        <w:t xml:space="preserve">, </w:t>
      </w:r>
      <w:r w:rsidR="000A5B11">
        <w:rPr>
          <w:szCs w:val="24"/>
          <w:lang w:val="es-ES"/>
        </w:rPr>
        <w:t>habida cuenta</w:t>
      </w:r>
      <w:r w:rsidR="00D85E3C">
        <w:rPr>
          <w:szCs w:val="24"/>
          <w:lang w:val="es-ES"/>
        </w:rPr>
        <w:t xml:space="preserve"> </w:t>
      </w:r>
      <w:r w:rsidR="000A5B11">
        <w:rPr>
          <w:szCs w:val="24"/>
          <w:lang w:val="es-ES"/>
        </w:rPr>
        <w:t xml:space="preserve">de </w:t>
      </w:r>
      <w:r>
        <w:rPr>
          <w:szCs w:val="24"/>
          <w:lang w:val="es-ES"/>
        </w:rPr>
        <w:t xml:space="preserve">que las personas con ciudadanía indeterminada </w:t>
      </w:r>
      <w:r w:rsidR="00D85E3C">
        <w:rPr>
          <w:szCs w:val="24"/>
          <w:lang w:val="es-ES"/>
        </w:rPr>
        <w:t xml:space="preserve">que viven </w:t>
      </w:r>
      <w:r>
        <w:rPr>
          <w:szCs w:val="24"/>
          <w:lang w:val="es-ES"/>
        </w:rPr>
        <w:t xml:space="preserve">en Estonia ya </w:t>
      </w:r>
      <w:r w:rsidR="00D85E3C">
        <w:rPr>
          <w:szCs w:val="24"/>
          <w:lang w:val="es-ES"/>
        </w:rPr>
        <w:t xml:space="preserve">gozan </w:t>
      </w:r>
      <w:r>
        <w:rPr>
          <w:szCs w:val="24"/>
          <w:lang w:val="es-ES"/>
        </w:rPr>
        <w:t>de los derechos previstos en e</w:t>
      </w:r>
      <w:r w:rsidR="00D85E3C">
        <w:rPr>
          <w:szCs w:val="24"/>
          <w:lang w:val="es-ES"/>
        </w:rPr>
        <w:t>se instrumento</w:t>
      </w:r>
      <w:r>
        <w:rPr>
          <w:szCs w:val="24"/>
          <w:lang w:val="es-ES"/>
        </w:rPr>
        <w:t>.</w:t>
      </w:r>
    </w:p>
    <w:p w:rsidR="00074396" w:rsidRPr="006F71A0" w:rsidRDefault="00074396" w:rsidP="00637350">
      <w:pPr>
        <w:pStyle w:val="SingleTxtG"/>
        <w:rPr>
          <w:szCs w:val="24"/>
          <w:lang w:val="es-ES"/>
        </w:rPr>
      </w:pPr>
      <w:r w:rsidRPr="001B778C">
        <w:rPr>
          <w:szCs w:val="24"/>
          <w:lang w:val="es-ES"/>
        </w:rPr>
        <w:t>116.</w:t>
      </w:r>
      <w:r w:rsidRPr="001B778C">
        <w:rPr>
          <w:szCs w:val="24"/>
          <w:lang w:val="es-ES"/>
        </w:rPr>
        <w:tab/>
      </w:r>
      <w:smartTag w:uri="urn:schemas-microsoft-com:office:smarttags" w:element="PersonName">
        <w:smartTagPr>
          <w:attr w:name="ProductID" w:val="la Convenci￳n"/>
        </w:smartTagPr>
        <w:r>
          <w:rPr>
            <w:szCs w:val="24"/>
            <w:lang w:val="es-ES"/>
          </w:rPr>
          <w:t>La Convención</w:t>
        </w:r>
      </w:smartTag>
      <w:r>
        <w:rPr>
          <w:szCs w:val="24"/>
          <w:lang w:val="es-ES"/>
        </w:rPr>
        <w:t xml:space="preserve"> para reducir los casos de apatridia de 1961 contradice parcialmente </w:t>
      </w:r>
      <w:smartTag w:uri="urn:schemas-microsoft-com:office:smarttags" w:element="PersonName">
        <w:smartTagPr>
          <w:attr w:name="ProductID" w:val="La Ley"/>
        </w:smartTagPr>
        <w:r>
          <w:rPr>
            <w:szCs w:val="24"/>
            <w:lang w:val="es-ES"/>
          </w:rPr>
          <w:t>la Ley</w:t>
        </w:r>
      </w:smartTag>
      <w:r>
        <w:rPr>
          <w:szCs w:val="24"/>
          <w:lang w:val="es-ES"/>
        </w:rPr>
        <w:t xml:space="preserve"> de ciudadanía de Estonia, por lo que </w:t>
      </w:r>
      <w:r w:rsidR="000A5B11">
        <w:rPr>
          <w:szCs w:val="24"/>
          <w:lang w:val="es-ES"/>
        </w:rPr>
        <w:t>esta debería</w:t>
      </w:r>
      <w:r>
        <w:rPr>
          <w:szCs w:val="24"/>
          <w:lang w:val="es-ES"/>
        </w:rPr>
        <w:t xml:space="preserve"> modifica</w:t>
      </w:r>
      <w:r w:rsidR="00D85E3C">
        <w:rPr>
          <w:szCs w:val="24"/>
          <w:lang w:val="es-ES"/>
        </w:rPr>
        <w:t xml:space="preserve">rse en </w:t>
      </w:r>
      <w:r w:rsidR="000A5B11">
        <w:rPr>
          <w:szCs w:val="24"/>
          <w:lang w:val="es-ES"/>
        </w:rPr>
        <w:t xml:space="preserve">el momento de la adhesión a </w:t>
      </w:r>
      <w:smartTag w:uri="urn:schemas-microsoft-com:office:smarttags" w:element="PersonName">
        <w:smartTagPr>
          <w:attr w:name="ProductID" w:val="la Convenci￳n. El"/>
        </w:smartTagPr>
        <w:r w:rsidR="000A5B11">
          <w:rPr>
            <w:szCs w:val="24"/>
            <w:lang w:val="es-ES"/>
          </w:rPr>
          <w:t>l</w:t>
        </w:r>
        <w:r w:rsidR="00D85E3C">
          <w:rPr>
            <w:szCs w:val="24"/>
            <w:lang w:val="es-ES"/>
          </w:rPr>
          <w:t>a Convención</w:t>
        </w:r>
        <w:r>
          <w:rPr>
            <w:szCs w:val="24"/>
            <w:lang w:val="es-ES"/>
          </w:rPr>
          <w:t>.</w:t>
        </w:r>
        <w:r w:rsidRPr="001B778C">
          <w:rPr>
            <w:szCs w:val="24"/>
            <w:lang w:val="es-ES"/>
          </w:rPr>
          <w:t xml:space="preserve"> </w:t>
        </w:r>
        <w:r>
          <w:rPr>
            <w:szCs w:val="24"/>
            <w:lang w:val="es-ES"/>
          </w:rPr>
          <w:t>El</w:t>
        </w:r>
      </w:smartTag>
      <w:r>
        <w:rPr>
          <w:szCs w:val="24"/>
          <w:lang w:val="es-ES"/>
        </w:rPr>
        <w:t xml:space="preserve"> artículo 1 de </w:t>
      </w:r>
      <w:smartTag w:uri="urn:schemas-microsoft-com:office:smarttags" w:element="PersonName">
        <w:smartTagPr>
          <w:attr w:name="ProductID" w:val="la Convenci￳n"/>
        </w:smartTagPr>
        <w:r>
          <w:rPr>
            <w:szCs w:val="24"/>
            <w:lang w:val="es-ES"/>
          </w:rPr>
          <w:t>la Convención</w:t>
        </w:r>
      </w:smartTag>
      <w:r>
        <w:rPr>
          <w:szCs w:val="24"/>
          <w:lang w:val="es-ES"/>
        </w:rPr>
        <w:t xml:space="preserve"> </w:t>
      </w:r>
      <w:r w:rsidR="00D85E3C">
        <w:rPr>
          <w:szCs w:val="24"/>
          <w:lang w:val="es-ES"/>
        </w:rPr>
        <w:t xml:space="preserve">establece </w:t>
      </w:r>
      <w:r>
        <w:rPr>
          <w:szCs w:val="24"/>
          <w:lang w:val="es-ES"/>
        </w:rPr>
        <w:t xml:space="preserve">que todo Estado contratante concederá </w:t>
      </w:r>
      <w:r w:rsidR="009869D2">
        <w:rPr>
          <w:szCs w:val="24"/>
          <w:lang w:val="es-ES"/>
        </w:rPr>
        <w:t>la</w:t>
      </w:r>
      <w:r>
        <w:rPr>
          <w:szCs w:val="24"/>
          <w:lang w:val="es-ES"/>
        </w:rPr>
        <w:t xml:space="preserve"> nacionalidad a </w:t>
      </w:r>
      <w:r w:rsidR="009869D2">
        <w:rPr>
          <w:szCs w:val="24"/>
          <w:lang w:val="es-ES"/>
        </w:rPr>
        <w:t xml:space="preserve">cualquier </w:t>
      </w:r>
      <w:r>
        <w:rPr>
          <w:szCs w:val="24"/>
          <w:lang w:val="es-ES"/>
        </w:rPr>
        <w:t xml:space="preserve">persona nacida en su territorio que de otro modo sería apátrida (el principio de </w:t>
      </w:r>
      <w:r>
        <w:rPr>
          <w:i/>
          <w:szCs w:val="24"/>
          <w:lang w:val="es-ES"/>
        </w:rPr>
        <w:t>jus soli</w:t>
      </w:r>
      <w:r>
        <w:rPr>
          <w:szCs w:val="24"/>
          <w:lang w:val="es-ES"/>
        </w:rPr>
        <w:t>).</w:t>
      </w:r>
      <w:r w:rsidRPr="006F71A0">
        <w:rPr>
          <w:szCs w:val="24"/>
          <w:lang w:val="es-ES"/>
        </w:rPr>
        <w:t xml:space="preserve"> </w:t>
      </w:r>
      <w:r w:rsidR="00D85E3C">
        <w:rPr>
          <w:szCs w:val="24"/>
          <w:lang w:val="es-ES"/>
        </w:rPr>
        <w:t>De conformidad con</w:t>
      </w:r>
      <w:r>
        <w:rPr>
          <w:szCs w:val="24"/>
          <w:lang w:val="es-ES"/>
        </w:rPr>
        <w:t xml:space="preserve"> </w:t>
      </w:r>
      <w:smartTag w:uri="urn:schemas-microsoft-com:office:smarttags" w:element="PersonName">
        <w:smartTagPr>
          <w:attr w:name="ProductID" w:val="La Ley"/>
        </w:smartTagPr>
        <w:r>
          <w:rPr>
            <w:szCs w:val="24"/>
            <w:lang w:val="es-ES"/>
          </w:rPr>
          <w:t>la Ley</w:t>
        </w:r>
      </w:smartTag>
      <w:r>
        <w:rPr>
          <w:szCs w:val="24"/>
          <w:lang w:val="es-ES"/>
        </w:rPr>
        <w:t xml:space="preserve"> de ciudadanía de Estonia, la nacionalidad se concede </w:t>
      </w:r>
      <w:r w:rsidR="002B491B">
        <w:rPr>
          <w:szCs w:val="24"/>
          <w:lang w:val="es-ES"/>
        </w:rPr>
        <w:t>"</w:t>
      </w:r>
      <w:r>
        <w:rPr>
          <w:szCs w:val="24"/>
          <w:lang w:val="es-ES"/>
        </w:rPr>
        <w:t xml:space="preserve">por </w:t>
      </w:r>
      <w:r w:rsidR="002A009B">
        <w:rPr>
          <w:szCs w:val="24"/>
          <w:lang w:val="es-ES"/>
        </w:rPr>
        <w:t>consanguinidad</w:t>
      </w:r>
      <w:r w:rsidR="002B491B">
        <w:rPr>
          <w:szCs w:val="24"/>
          <w:lang w:val="es-ES"/>
        </w:rPr>
        <w:t>"</w:t>
      </w:r>
      <w:r>
        <w:rPr>
          <w:szCs w:val="24"/>
          <w:lang w:val="es-ES"/>
        </w:rPr>
        <w:t xml:space="preserve"> (principio de </w:t>
      </w:r>
      <w:r>
        <w:rPr>
          <w:i/>
          <w:szCs w:val="24"/>
          <w:lang w:val="es-ES"/>
        </w:rPr>
        <w:t>jus sanguinis</w:t>
      </w:r>
      <w:r>
        <w:rPr>
          <w:szCs w:val="24"/>
          <w:lang w:val="es-ES"/>
        </w:rPr>
        <w:t xml:space="preserve">), es decir, </w:t>
      </w:r>
      <w:r w:rsidR="009869D2">
        <w:rPr>
          <w:szCs w:val="24"/>
          <w:lang w:val="es-ES"/>
        </w:rPr>
        <w:t>tod</w:t>
      </w:r>
      <w:r>
        <w:rPr>
          <w:szCs w:val="24"/>
          <w:lang w:val="es-ES"/>
        </w:rPr>
        <w:t xml:space="preserve">a persona que tenga al menos un progenitor con ciudadanía estonia en el momento </w:t>
      </w:r>
      <w:r w:rsidR="000A5B11">
        <w:rPr>
          <w:szCs w:val="24"/>
          <w:lang w:val="es-ES"/>
        </w:rPr>
        <w:t>de nacer</w:t>
      </w:r>
      <w:r>
        <w:rPr>
          <w:szCs w:val="24"/>
          <w:lang w:val="es-ES"/>
        </w:rPr>
        <w:t xml:space="preserve"> adquirirá la ciudadanía estonia.</w:t>
      </w:r>
      <w:r w:rsidRPr="006F71A0">
        <w:rPr>
          <w:szCs w:val="24"/>
          <w:lang w:val="es-ES"/>
        </w:rPr>
        <w:t xml:space="preserve"> </w:t>
      </w:r>
      <w:r w:rsidR="009869D2">
        <w:rPr>
          <w:szCs w:val="24"/>
          <w:lang w:val="es-ES"/>
        </w:rPr>
        <w:t>Actualmente, E</w:t>
      </w:r>
      <w:r>
        <w:rPr>
          <w:szCs w:val="24"/>
          <w:lang w:val="es-ES"/>
        </w:rPr>
        <w:t xml:space="preserve">stonia no considera la posibilidad de modificar ese principio en </w:t>
      </w:r>
      <w:smartTag w:uri="urn:schemas-microsoft-com:office:smarttags" w:element="PersonName">
        <w:smartTagPr>
          <w:attr w:name="ProductID" w:val="La Ley"/>
        </w:smartTagPr>
        <w:r>
          <w:rPr>
            <w:szCs w:val="24"/>
            <w:lang w:val="es-ES"/>
          </w:rPr>
          <w:t>la Ley</w:t>
        </w:r>
      </w:smartTag>
      <w:r>
        <w:rPr>
          <w:szCs w:val="24"/>
          <w:lang w:val="es-ES"/>
        </w:rPr>
        <w:t xml:space="preserve"> de ciudadanía.</w:t>
      </w:r>
    </w:p>
    <w:p w:rsidR="00DE0B3B" w:rsidRPr="006F71A0" w:rsidRDefault="00DE0B3B" w:rsidP="00637350">
      <w:pPr>
        <w:pStyle w:val="SingleTxtG"/>
        <w:rPr>
          <w:szCs w:val="24"/>
          <w:lang w:val="es-ES"/>
        </w:rPr>
      </w:pPr>
      <w:r w:rsidRPr="006F71A0">
        <w:rPr>
          <w:szCs w:val="24"/>
          <w:lang w:val="es-ES"/>
        </w:rPr>
        <w:t>117.</w:t>
      </w:r>
      <w:r w:rsidRPr="006F71A0">
        <w:rPr>
          <w:szCs w:val="24"/>
          <w:lang w:val="es-ES"/>
        </w:rPr>
        <w:tab/>
      </w:r>
      <w:r>
        <w:rPr>
          <w:szCs w:val="24"/>
          <w:lang w:val="es-ES"/>
        </w:rPr>
        <w:t xml:space="preserve">Aunque </w:t>
      </w:r>
      <w:smartTag w:uri="urn:schemas-microsoft-com:office:smarttags" w:element="PersonName">
        <w:smartTagPr>
          <w:attr w:name="ProductID" w:val="La Ley"/>
        </w:smartTagPr>
        <w:r>
          <w:rPr>
            <w:szCs w:val="24"/>
            <w:lang w:val="es-ES"/>
          </w:rPr>
          <w:t>la Ley</w:t>
        </w:r>
      </w:smartTag>
      <w:r>
        <w:rPr>
          <w:szCs w:val="24"/>
          <w:lang w:val="es-ES"/>
        </w:rPr>
        <w:t xml:space="preserve"> de ciudadanía se ha modificado durante el período</w:t>
      </w:r>
      <w:r w:rsidR="002A009B">
        <w:rPr>
          <w:szCs w:val="24"/>
          <w:lang w:val="es-ES"/>
        </w:rPr>
        <w:t xml:space="preserve"> examinado en el informe</w:t>
      </w:r>
      <w:r>
        <w:rPr>
          <w:szCs w:val="24"/>
          <w:lang w:val="es-ES"/>
        </w:rPr>
        <w:t>, l</w:t>
      </w:r>
      <w:r w:rsidR="002A009B">
        <w:rPr>
          <w:szCs w:val="24"/>
          <w:lang w:val="es-ES"/>
        </w:rPr>
        <w:t>o</w:t>
      </w:r>
      <w:r>
        <w:rPr>
          <w:szCs w:val="24"/>
          <w:lang w:val="es-ES"/>
        </w:rPr>
        <w:t xml:space="preserve">s </w:t>
      </w:r>
      <w:r w:rsidR="002A009B">
        <w:rPr>
          <w:szCs w:val="24"/>
          <w:lang w:val="es-ES"/>
        </w:rPr>
        <w:t xml:space="preserve">requisitos </w:t>
      </w:r>
      <w:r>
        <w:rPr>
          <w:szCs w:val="24"/>
          <w:lang w:val="es-ES"/>
        </w:rPr>
        <w:t xml:space="preserve">principales para </w:t>
      </w:r>
      <w:r w:rsidR="002A009B">
        <w:rPr>
          <w:szCs w:val="24"/>
          <w:lang w:val="es-ES"/>
        </w:rPr>
        <w:t xml:space="preserve">adquirir </w:t>
      </w:r>
      <w:r>
        <w:rPr>
          <w:szCs w:val="24"/>
          <w:lang w:val="es-ES"/>
        </w:rPr>
        <w:t>la ciudadanía estonia siguen siendo l</w:t>
      </w:r>
      <w:r w:rsidR="002A009B">
        <w:rPr>
          <w:szCs w:val="24"/>
          <w:lang w:val="es-ES"/>
        </w:rPr>
        <w:t>o</w:t>
      </w:r>
      <w:r>
        <w:rPr>
          <w:szCs w:val="24"/>
          <w:lang w:val="es-ES"/>
        </w:rPr>
        <w:t>s mism</w:t>
      </w:r>
      <w:r w:rsidR="002A009B">
        <w:rPr>
          <w:szCs w:val="24"/>
          <w:lang w:val="es-ES"/>
        </w:rPr>
        <w:t>o</w:t>
      </w:r>
      <w:r>
        <w:rPr>
          <w:szCs w:val="24"/>
          <w:lang w:val="es-ES"/>
        </w:rPr>
        <w:t>s.</w:t>
      </w:r>
      <w:r w:rsidRPr="006F71A0">
        <w:rPr>
          <w:szCs w:val="24"/>
          <w:lang w:val="es-ES"/>
        </w:rPr>
        <w:t xml:space="preserve"> </w:t>
      </w:r>
      <w:r w:rsidR="00EF3098">
        <w:rPr>
          <w:szCs w:val="24"/>
          <w:lang w:val="es-ES"/>
        </w:rPr>
        <w:t xml:space="preserve">Además de la información facilitada </w:t>
      </w:r>
      <w:r>
        <w:rPr>
          <w:szCs w:val="24"/>
          <w:lang w:val="es-ES"/>
        </w:rPr>
        <w:t>en los informes anteri</w:t>
      </w:r>
      <w:r w:rsidR="00EF3098">
        <w:rPr>
          <w:szCs w:val="24"/>
          <w:lang w:val="es-ES"/>
        </w:rPr>
        <w:t>ores, cabe añadir lo</w:t>
      </w:r>
      <w:r w:rsidR="008269AD">
        <w:rPr>
          <w:szCs w:val="24"/>
          <w:lang w:val="es-ES"/>
        </w:rPr>
        <w:t xml:space="preserve"> siguiente.</w:t>
      </w:r>
    </w:p>
    <w:p w:rsidR="00DE0B3B" w:rsidRPr="006F71A0" w:rsidRDefault="00DE0B3B" w:rsidP="00637350">
      <w:pPr>
        <w:pStyle w:val="SingleTxtG"/>
        <w:rPr>
          <w:szCs w:val="24"/>
          <w:lang w:val="es-ES"/>
        </w:rPr>
      </w:pPr>
      <w:r w:rsidRPr="001B778C">
        <w:rPr>
          <w:szCs w:val="24"/>
          <w:lang w:val="es-ES"/>
        </w:rPr>
        <w:t>118.</w:t>
      </w:r>
      <w:r w:rsidRPr="001B778C">
        <w:rPr>
          <w:szCs w:val="24"/>
          <w:lang w:val="es-ES"/>
        </w:rPr>
        <w:tab/>
      </w:r>
      <w:r>
        <w:rPr>
          <w:szCs w:val="24"/>
          <w:lang w:val="es-ES"/>
        </w:rPr>
        <w:t xml:space="preserve">El 1 de agosto de 2012 entró en vigor una enmienda a </w:t>
      </w:r>
      <w:smartTag w:uri="urn:schemas-microsoft-com:office:smarttags" w:element="PersonName">
        <w:smartTagPr>
          <w:attr w:name="ProductID" w:val="La Ley"/>
        </w:smartTagPr>
        <w:r>
          <w:rPr>
            <w:szCs w:val="24"/>
            <w:lang w:val="es-ES"/>
          </w:rPr>
          <w:t>la Ley</w:t>
        </w:r>
      </w:smartTag>
      <w:r>
        <w:rPr>
          <w:szCs w:val="24"/>
          <w:lang w:val="es-ES"/>
        </w:rPr>
        <w:t xml:space="preserve"> de ciudadanía.</w:t>
      </w:r>
      <w:r w:rsidRPr="001B778C">
        <w:rPr>
          <w:szCs w:val="24"/>
          <w:lang w:val="es-ES"/>
        </w:rPr>
        <w:t xml:space="preserve"> </w:t>
      </w:r>
      <w:r>
        <w:rPr>
          <w:szCs w:val="24"/>
          <w:lang w:val="es-ES"/>
        </w:rPr>
        <w:t>En virtud de esa enmienda</w:t>
      </w:r>
      <w:r w:rsidR="000A6690">
        <w:rPr>
          <w:szCs w:val="24"/>
          <w:lang w:val="es-ES"/>
        </w:rPr>
        <w:t>,</w:t>
      </w:r>
      <w:r w:rsidR="00EF3098">
        <w:rPr>
          <w:szCs w:val="24"/>
          <w:lang w:val="es-ES"/>
        </w:rPr>
        <w:t xml:space="preserve"> se estima</w:t>
      </w:r>
      <w:r>
        <w:rPr>
          <w:szCs w:val="24"/>
          <w:lang w:val="es-ES"/>
        </w:rPr>
        <w:t>r</w:t>
      </w:r>
      <w:r w:rsidR="000A6690">
        <w:rPr>
          <w:szCs w:val="24"/>
          <w:lang w:val="es-ES"/>
        </w:rPr>
        <w:t xml:space="preserve">á que toda persona considerada </w:t>
      </w:r>
      <w:r>
        <w:rPr>
          <w:szCs w:val="24"/>
          <w:lang w:val="es-ES"/>
        </w:rPr>
        <w:t xml:space="preserve">ciudadano estonio </w:t>
      </w:r>
      <w:r w:rsidR="002A009B">
        <w:rPr>
          <w:szCs w:val="24"/>
          <w:lang w:val="es-ES"/>
        </w:rPr>
        <w:t xml:space="preserve">sin </w:t>
      </w:r>
      <w:r w:rsidR="00513687">
        <w:rPr>
          <w:szCs w:val="24"/>
          <w:lang w:val="es-ES"/>
        </w:rPr>
        <w:t xml:space="preserve">base </w:t>
      </w:r>
      <w:r w:rsidR="002A009B">
        <w:rPr>
          <w:szCs w:val="24"/>
          <w:lang w:val="es-ES"/>
        </w:rPr>
        <w:t>jurídic</w:t>
      </w:r>
      <w:r w:rsidR="00513687">
        <w:rPr>
          <w:szCs w:val="24"/>
          <w:lang w:val="es-ES"/>
        </w:rPr>
        <w:t>a</w:t>
      </w:r>
      <w:r w:rsidR="002A009B">
        <w:rPr>
          <w:szCs w:val="24"/>
          <w:lang w:val="es-ES"/>
        </w:rPr>
        <w:t xml:space="preserve"> </w:t>
      </w:r>
      <w:r>
        <w:rPr>
          <w:szCs w:val="24"/>
          <w:lang w:val="es-ES"/>
        </w:rPr>
        <w:t>por una autoridad facultada por el Gobierno</w:t>
      </w:r>
      <w:r w:rsidR="002A009B">
        <w:rPr>
          <w:szCs w:val="24"/>
          <w:lang w:val="es-ES"/>
        </w:rPr>
        <w:t xml:space="preserve"> de </w:t>
      </w:r>
      <w:smartTag w:uri="urn:schemas-microsoft-com:office:smarttags" w:element="PersonName">
        <w:smartTagPr>
          <w:attr w:name="ProductID" w:val="la Rep￺blica"/>
        </w:smartTagPr>
        <w:r w:rsidR="002A009B">
          <w:rPr>
            <w:szCs w:val="24"/>
            <w:lang w:val="es-ES"/>
          </w:rPr>
          <w:t>la República</w:t>
        </w:r>
      </w:smartTag>
      <w:r>
        <w:rPr>
          <w:szCs w:val="24"/>
          <w:lang w:val="es-ES"/>
        </w:rPr>
        <w:t xml:space="preserve"> para decidir sobre esa cuestión</w:t>
      </w:r>
      <w:r w:rsidR="002A009B">
        <w:rPr>
          <w:szCs w:val="24"/>
          <w:lang w:val="es-ES"/>
        </w:rPr>
        <w:t xml:space="preserve"> en el proceso de expedición de un pasaporte</w:t>
      </w:r>
      <w:r w:rsidR="000A6690">
        <w:rPr>
          <w:szCs w:val="24"/>
          <w:lang w:val="es-ES"/>
        </w:rPr>
        <w:t>,</w:t>
      </w:r>
      <w:r>
        <w:rPr>
          <w:szCs w:val="24"/>
          <w:lang w:val="es-ES"/>
        </w:rPr>
        <w:t xml:space="preserve"> ha</w:t>
      </w:r>
      <w:r w:rsidR="002A009B">
        <w:rPr>
          <w:szCs w:val="24"/>
          <w:lang w:val="es-ES"/>
        </w:rPr>
        <w:t>brá</w:t>
      </w:r>
      <w:r>
        <w:rPr>
          <w:szCs w:val="24"/>
          <w:lang w:val="es-ES"/>
        </w:rPr>
        <w:t xml:space="preserve"> adquirido la ciudadanía </w:t>
      </w:r>
      <w:r w:rsidR="003A5182">
        <w:rPr>
          <w:szCs w:val="24"/>
          <w:lang w:val="es-ES"/>
        </w:rPr>
        <w:t>estonia</w:t>
      </w:r>
      <w:r w:rsidR="00513687">
        <w:rPr>
          <w:szCs w:val="24"/>
          <w:lang w:val="es-ES"/>
        </w:rPr>
        <w:t xml:space="preserve"> sobre esa misma base</w:t>
      </w:r>
      <w:r>
        <w:rPr>
          <w:szCs w:val="24"/>
          <w:lang w:val="es-ES"/>
        </w:rPr>
        <w:t>, es decir, por nacimiento o por un acto lícito posterior</w:t>
      </w:r>
      <w:r w:rsidR="00513687">
        <w:rPr>
          <w:szCs w:val="24"/>
          <w:lang w:val="es-ES"/>
        </w:rPr>
        <w:t xml:space="preserve">, </w:t>
      </w:r>
      <w:r>
        <w:rPr>
          <w:szCs w:val="24"/>
          <w:lang w:val="es-ES"/>
        </w:rPr>
        <w:t>si procede</w:t>
      </w:r>
      <w:r w:rsidR="00513687">
        <w:rPr>
          <w:szCs w:val="24"/>
          <w:lang w:val="es-ES"/>
        </w:rPr>
        <w:t xml:space="preserve"> y</w:t>
      </w:r>
      <w:r>
        <w:rPr>
          <w:szCs w:val="24"/>
          <w:lang w:val="es-ES"/>
        </w:rPr>
        <w:t xml:space="preserve"> de conformidad con los procedimientos vigentes en la fecha de recepción de la documentación.</w:t>
      </w:r>
      <w:r w:rsidRPr="006F71A0">
        <w:rPr>
          <w:szCs w:val="24"/>
          <w:lang w:val="es-ES"/>
        </w:rPr>
        <w:t xml:space="preserve"> </w:t>
      </w:r>
      <w:r>
        <w:rPr>
          <w:szCs w:val="24"/>
          <w:lang w:val="es-ES"/>
        </w:rPr>
        <w:t xml:space="preserve">Al mismo tiempo, esa autoridad tendrá derecho a </w:t>
      </w:r>
      <w:r w:rsidR="000A6690">
        <w:rPr>
          <w:szCs w:val="24"/>
          <w:lang w:val="es-ES"/>
        </w:rPr>
        <w:t>no considerar a una persona</w:t>
      </w:r>
      <w:r>
        <w:rPr>
          <w:szCs w:val="24"/>
          <w:lang w:val="es-ES"/>
        </w:rPr>
        <w:t xml:space="preserve"> ciudadano estonio </w:t>
      </w:r>
      <w:r>
        <w:rPr>
          <w:i/>
          <w:szCs w:val="24"/>
          <w:lang w:val="es-ES"/>
        </w:rPr>
        <w:t>ex tunc</w:t>
      </w:r>
      <w:r>
        <w:rPr>
          <w:szCs w:val="24"/>
          <w:lang w:val="es-ES"/>
        </w:rPr>
        <w:t xml:space="preserve"> cuando concurran las circunstancias especificadas en el artículo 21 1) 2-6) o en el artículo 28 1) 2-3) de </w:t>
      </w:r>
      <w:smartTag w:uri="urn:schemas-microsoft-com:office:smarttags" w:element="PersonName">
        <w:smartTagPr>
          <w:attr w:name="ProductID" w:val="La Ley"/>
        </w:smartTagPr>
        <w:r>
          <w:rPr>
            <w:szCs w:val="24"/>
            <w:lang w:val="es-ES"/>
          </w:rPr>
          <w:t>la Ley</w:t>
        </w:r>
      </w:smartTag>
      <w:r>
        <w:rPr>
          <w:szCs w:val="24"/>
          <w:lang w:val="es-ES"/>
        </w:rPr>
        <w:t xml:space="preserve"> de ciudadanía, o cuand</w:t>
      </w:r>
      <w:r w:rsidR="000A6690">
        <w:rPr>
          <w:szCs w:val="24"/>
          <w:lang w:val="es-ES"/>
        </w:rPr>
        <w:t>o se determine que</w:t>
      </w:r>
      <w:r>
        <w:rPr>
          <w:szCs w:val="24"/>
          <w:lang w:val="es-ES"/>
        </w:rPr>
        <w:t xml:space="preserve"> </w:t>
      </w:r>
      <w:r w:rsidR="002A009B">
        <w:rPr>
          <w:szCs w:val="24"/>
          <w:lang w:val="es-ES"/>
        </w:rPr>
        <w:t>el</w:t>
      </w:r>
      <w:r>
        <w:rPr>
          <w:szCs w:val="24"/>
          <w:lang w:val="es-ES"/>
        </w:rPr>
        <w:t xml:space="preserve"> pasaporte </w:t>
      </w:r>
      <w:r w:rsidR="002A009B">
        <w:rPr>
          <w:szCs w:val="24"/>
          <w:lang w:val="es-ES"/>
        </w:rPr>
        <w:t xml:space="preserve">estonio </w:t>
      </w:r>
      <w:r w:rsidR="000A6690">
        <w:rPr>
          <w:szCs w:val="24"/>
          <w:lang w:val="es-ES"/>
        </w:rPr>
        <w:t xml:space="preserve">fue expedido sobre la base </w:t>
      </w:r>
      <w:r>
        <w:rPr>
          <w:szCs w:val="24"/>
          <w:lang w:val="es-ES"/>
        </w:rPr>
        <w:t>de documentos falsificado</w:t>
      </w:r>
      <w:r w:rsidR="003A5182">
        <w:rPr>
          <w:szCs w:val="24"/>
          <w:lang w:val="es-ES"/>
        </w:rPr>
        <w:t>s</w:t>
      </w:r>
      <w:r>
        <w:rPr>
          <w:szCs w:val="24"/>
          <w:lang w:val="es-ES"/>
        </w:rPr>
        <w:t xml:space="preserve"> o que contenían información falsa, o como resultado de información falsa presentada a sabiendas.</w:t>
      </w:r>
    </w:p>
    <w:p w:rsidR="00DE0B3B" w:rsidRPr="001B778C" w:rsidRDefault="00DE0B3B" w:rsidP="00637350">
      <w:pPr>
        <w:pStyle w:val="SingleTxtG"/>
        <w:rPr>
          <w:szCs w:val="24"/>
          <w:lang w:val="es-ES"/>
        </w:rPr>
      </w:pPr>
      <w:r w:rsidRPr="001B778C">
        <w:rPr>
          <w:szCs w:val="24"/>
          <w:lang w:val="es-ES"/>
        </w:rPr>
        <w:t>119.</w:t>
      </w:r>
      <w:r w:rsidRPr="001B778C">
        <w:rPr>
          <w:szCs w:val="24"/>
          <w:lang w:val="es-ES"/>
        </w:rPr>
        <w:tab/>
      </w:r>
      <w:r w:rsidR="00780A37">
        <w:rPr>
          <w:szCs w:val="24"/>
          <w:lang w:val="es-ES"/>
        </w:rPr>
        <w:t>Prosigue la labor de sensibilización d</w:t>
      </w:r>
      <w:r>
        <w:rPr>
          <w:szCs w:val="24"/>
          <w:lang w:val="es-ES"/>
        </w:rPr>
        <w:t>e las personas con ciudadanía indeterminada sobre la necesidad de solicitar la ciudadanía, y se llevan a cabo distintas campañas a fin de motivar a esas personas para que soliciten la ciudadanía estonia.</w:t>
      </w:r>
    </w:p>
    <w:p w:rsidR="003A5182" w:rsidRPr="006F71A0" w:rsidRDefault="003A5182" w:rsidP="00637350">
      <w:pPr>
        <w:pStyle w:val="SingleTxtG"/>
        <w:rPr>
          <w:szCs w:val="24"/>
          <w:lang w:val="es-ES"/>
        </w:rPr>
      </w:pPr>
      <w:r w:rsidRPr="001B778C">
        <w:rPr>
          <w:szCs w:val="24"/>
          <w:lang w:val="es-ES"/>
        </w:rPr>
        <w:t>120.</w:t>
      </w:r>
      <w:r w:rsidRPr="001B778C">
        <w:rPr>
          <w:szCs w:val="24"/>
          <w:lang w:val="es-ES"/>
        </w:rPr>
        <w:tab/>
      </w:r>
      <w:r>
        <w:rPr>
          <w:szCs w:val="24"/>
          <w:lang w:val="es-ES"/>
        </w:rPr>
        <w:t xml:space="preserve">Se ha </w:t>
      </w:r>
      <w:r w:rsidR="00780A37">
        <w:rPr>
          <w:szCs w:val="24"/>
          <w:lang w:val="es-ES"/>
        </w:rPr>
        <w:t>prestado especial</w:t>
      </w:r>
      <w:r w:rsidR="00EF3098">
        <w:rPr>
          <w:szCs w:val="24"/>
          <w:lang w:val="es-ES"/>
        </w:rPr>
        <w:t xml:space="preserve"> atención </w:t>
      </w:r>
      <w:r>
        <w:rPr>
          <w:szCs w:val="24"/>
          <w:lang w:val="es-ES"/>
        </w:rPr>
        <w:t xml:space="preserve">a </w:t>
      </w:r>
      <w:r w:rsidR="00780A37">
        <w:rPr>
          <w:szCs w:val="24"/>
          <w:lang w:val="es-ES"/>
        </w:rPr>
        <w:t xml:space="preserve">la tarea de </w:t>
      </w:r>
      <w:r>
        <w:rPr>
          <w:szCs w:val="24"/>
          <w:lang w:val="es-ES"/>
        </w:rPr>
        <w:t>informar a los padres de los niños menores de 15 años sobre la posibilidad de solicitar la ciudadanía para e</w:t>
      </w:r>
      <w:r w:rsidR="00EF3098">
        <w:rPr>
          <w:szCs w:val="24"/>
          <w:lang w:val="es-ES"/>
        </w:rPr>
        <w:t>llo</w:t>
      </w:r>
      <w:r w:rsidR="00780A37">
        <w:rPr>
          <w:szCs w:val="24"/>
          <w:lang w:val="es-ES"/>
        </w:rPr>
        <w:t>s</w:t>
      </w:r>
      <w:r>
        <w:rPr>
          <w:szCs w:val="24"/>
          <w:lang w:val="es-ES"/>
        </w:rPr>
        <w:t>.</w:t>
      </w:r>
      <w:r w:rsidRPr="001B778C">
        <w:rPr>
          <w:szCs w:val="24"/>
          <w:lang w:val="es-ES"/>
        </w:rPr>
        <w:t xml:space="preserve"> </w:t>
      </w:r>
      <w:r>
        <w:rPr>
          <w:szCs w:val="24"/>
          <w:lang w:val="es-ES"/>
        </w:rPr>
        <w:t>Los padres con ciudadanía indeterminada puede</w:t>
      </w:r>
      <w:r w:rsidR="00780A37">
        <w:rPr>
          <w:szCs w:val="24"/>
          <w:lang w:val="es-ES"/>
        </w:rPr>
        <w:t>n</w:t>
      </w:r>
      <w:r>
        <w:rPr>
          <w:szCs w:val="24"/>
          <w:lang w:val="es-ES"/>
        </w:rPr>
        <w:t xml:space="preserve"> solicitar la ciudadanía estonia para </w:t>
      </w:r>
      <w:r w:rsidR="00EF3098">
        <w:rPr>
          <w:szCs w:val="24"/>
          <w:lang w:val="es-ES"/>
        </w:rPr>
        <w:t>sus</w:t>
      </w:r>
      <w:r>
        <w:rPr>
          <w:szCs w:val="24"/>
          <w:lang w:val="es-ES"/>
        </w:rPr>
        <w:t xml:space="preserve"> hijo</w:t>
      </w:r>
      <w:r w:rsidR="00EF3098">
        <w:rPr>
          <w:szCs w:val="24"/>
          <w:lang w:val="es-ES"/>
        </w:rPr>
        <w:t>s</w:t>
      </w:r>
      <w:r>
        <w:rPr>
          <w:szCs w:val="24"/>
          <w:lang w:val="es-ES"/>
        </w:rPr>
        <w:t xml:space="preserve"> sin condiciones </w:t>
      </w:r>
      <w:r w:rsidR="00EF3098">
        <w:rPr>
          <w:szCs w:val="24"/>
          <w:lang w:val="es-ES"/>
        </w:rPr>
        <w:t xml:space="preserve">adicionales antes de que cumplan </w:t>
      </w:r>
      <w:r>
        <w:rPr>
          <w:szCs w:val="24"/>
          <w:lang w:val="es-ES"/>
        </w:rPr>
        <w:t>15 años, siempre que hayan vivido en Estonia durante al menos cinco años.</w:t>
      </w:r>
      <w:r w:rsidRPr="006F71A0">
        <w:rPr>
          <w:szCs w:val="24"/>
          <w:lang w:val="es-ES"/>
        </w:rPr>
        <w:t xml:space="preserve"> </w:t>
      </w:r>
      <w:r>
        <w:rPr>
          <w:szCs w:val="24"/>
          <w:lang w:val="es-ES"/>
        </w:rPr>
        <w:t>N</w:t>
      </w:r>
      <w:r w:rsidR="00780A37">
        <w:rPr>
          <w:szCs w:val="24"/>
          <w:lang w:val="es-ES"/>
        </w:rPr>
        <w:t>inguna ley</w:t>
      </w:r>
      <w:r>
        <w:rPr>
          <w:szCs w:val="24"/>
          <w:lang w:val="es-ES"/>
        </w:rPr>
        <w:t xml:space="preserve"> concede automáticamente la ciudadanía estonia a los niños con ciudadanía indeterminada, ya que el Estado respeta el derecho y la obligación de los padres de adoptar decisiones sobre el futuro de sus hijos sin la intervención del Estado.</w:t>
      </w:r>
    </w:p>
    <w:p w:rsidR="00DE0B3B" w:rsidRPr="006F71A0" w:rsidRDefault="00DE0B3B" w:rsidP="00637350">
      <w:pPr>
        <w:pStyle w:val="SingleTxtG"/>
        <w:rPr>
          <w:szCs w:val="24"/>
          <w:lang w:val="es-ES"/>
        </w:rPr>
      </w:pPr>
      <w:r w:rsidRPr="006F71A0">
        <w:rPr>
          <w:szCs w:val="24"/>
          <w:lang w:val="es-ES"/>
        </w:rPr>
        <w:t>121.</w:t>
      </w:r>
      <w:r w:rsidRPr="006F71A0">
        <w:rPr>
          <w:szCs w:val="24"/>
          <w:lang w:val="es-ES"/>
        </w:rPr>
        <w:tab/>
      </w:r>
      <w:r>
        <w:rPr>
          <w:szCs w:val="24"/>
          <w:lang w:val="es-ES"/>
        </w:rPr>
        <w:t xml:space="preserve">Los niños menores de 15 años </w:t>
      </w:r>
      <w:r w:rsidR="00EA3172">
        <w:rPr>
          <w:szCs w:val="24"/>
          <w:lang w:val="es-ES"/>
        </w:rPr>
        <w:t>r</w:t>
      </w:r>
      <w:r>
        <w:rPr>
          <w:szCs w:val="24"/>
          <w:lang w:val="es-ES"/>
        </w:rPr>
        <w:t>e</w:t>
      </w:r>
      <w:r w:rsidR="00EA3172">
        <w:rPr>
          <w:szCs w:val="24"/>
          <w:lang w:val="es-ES"/>
        </w:rPr>
        <w:t>presenta</w:t>
      </w:r>
      <w:r>
        <w:rPr>
          <w:szCs w:val="24"/>
          <w:lang w:val="es-ES"/>
        </w:rPr>
        <w:t>n aproximadamente el 30% de todos los solicitantes de la ciudadanía.</w:t>
      </w:r>
      <w:r w:rsidRPr="006F71A0">
        <w:rPr>
          <w:szCs w:val="24"/>
          <w:lang w:val="es-ES"/>
        </w:rPr>
        <w:t xml:space="preserve"> </w:t>
      </w:r>
      <w:r>
        <w:rPr>
          <w:szCs w:val="24"/>
          <w:lang w:val="es-ES"/>
        </w:rPr>
        <w:t>Solo en casos excepcionales ha sido necesario poner fin al procedimiento de solicitud debido a que el menor no había sido liberado de su anterior ciudadanía.</w:t>
      </w:r>
    </w:p>
    <w:p w:rsidR="00DE0B3B" w:rsidRPr="006F71A0" w:rsidRDefault="00DE0B3B" w:rsidP="00637350">
      <w:pPr>
        <w:pStyle w:val="SingleTxtG"/>
        <w:rPr>
          <w:szCs w:val="24"/>
          <w:lang w:val="es-ES"/>
        </w:rPr>
      </w:pPr>
      <w:r w:rsidRPr="001B778C">
        <w:rPr>
          <w:szCs w:val="24"/>
          <w:lang w:val="es-ES"/>
        </w:rPr>
        <w:t>122.</w:t>
      </w:r>
      <w:r w:rsidRPr="001B778C">
        <w:rPr>
          <w:szCs w:val="24"/>
          <w:lang w:val="es-ES"/>
        </w:rPr>
        <w:tab/>
      </w:r>
      <w:smartTag w:uri="urn:schemas-microsoft-com:office:smarttags" w:element="PersonName">
        <w:smartTagPr>
          <w:attr w:name="ProductID" w:val="la Constituci￳n"/>
        </w:smartTagPr>
        <w:r>
          <w:rPr>
            <w:szCs w:val="24"/>
            <w:lang w:val="es-ES"/>
          </w:rPr>
          <w:t>La Constitución</w:t>
        </w:r>
      </w:smartTag>
      <w:r>
        <w:rPr>
          <w:szCs w:val="24"/>
          <w:lang w:val="es-ES"/>
        </w:rPr>
        <w:t xml:space="preserve"> de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 prohíbe toda discriminación basada en la ciudadanía, y las personas con ciudadanía indeterminada disfrutan de los mismos derechos sociales que los ciudadanos estonios.</w:t>
      </w:r>
      <w:r w:rsidRPr="001B778C">
        <w:rPr>
          <w:szCs w:val="24"/>
          <w:lang w:val="es-ES"/>
        </w:rPr>
        <w:t xml:space="preserve"> </w:t>
      </w:r>
      <w:r>
        <w:rPr>
          <w:szCs w:val="24"/>
          <w:lang w:val="es-ES"/>
        </w:rPr>
        <w:t>Las personas con ciudadanía indeterminada tienen vínculo</w:t>
      </w:r>
      <w:r w:rsidR="002902B9">
        <w:rPr>
          <w:szCs w:val="24"/>
          <w:lang w:val="es-ES"/>
        </w:rPr>
        <w:t>s de larga duración con Estonia</w:t>
      </w:r>
      <w:r>
        <w:rPr>
          <w:szCs w:val="24"/>
          <w:lang w:val="es-ES"/>
        </w:rPr>
        <w:t xml:space="preserve"> y</w:t>
      </w:r>
      <w:r w:rsidR="002902B9">
        <w:rPr>
          <w:szCs w:val="24"/>
          <w:lang w:val="es-ES"/>
        </w:rPr>
        <w:t>,</w:t>
      </w:r>
      <w:r>
        <w:rPr>
          <w:szCs w:val="24"/>
          <w:lang w:val="es-ES"/>
        </w:rPr>
        <w:t xml:space="preserve"> </w:t>
      </w:r>
      <w:r w:rsidR="00374D0D">
        <w:rPr>
          <w:szCs w:val="24"/>
          <w:lang w:val="es-ES"/>
        </w:rPr>
        <w:t>en general</w:t>
      </w:r>
      <w:r w:rsidR="002902B9">
        <w:rPr>
          <w:szCs w:val="24"/>
          <w:lang w:val="es-ES"/>
        </w:rPr>
        <w:t>,</w:t>
      </w:r>
      <w:r w:rsidR="00374D0D">
        <w:rPr>
          <w:szCs w:val="24"/>
          <w:lang w:val="es-ES"/>
        </w:rPr>
        <w:t xml:space="preserve"> se les conceden los mismos derechos que</w:t>
      </w:r>
      <w:r>
        <w:rPr>
          <w:szCs w:val="24"/>
          <w:lang w:val="es-ES"/>
        </w:rPr>
        <w:t xml:space="preserve"> </w:t>
      </w:r>
      <w:r w:rsidR="00374D0D">
        <w:rPr>
          <w:szCs w:val="24"/>
          <w:lang w:val="es-ES"/>
        </w:rPr>
        <w:t>a</w:t>
      </w:r>
      <w:r>
        <w:rPr>
          <w:szCs w:val="24"/>
          <w:lang w:val="es-ES"/>
        </w:rPr>
        <w:t xml:space="preserve"> los ciudadanos de </w:t>
      </w:r>
      <w:smartTag w:uri="urn:schemas-microsoft-com:office:smarttags" w:element="PersonName">
        <w:smartTagPr>
          <w:attr w:name="ProductID" w:val="la Rep￺blica. La"/>
        </w:smartTagPr>
        <w:r>
          <w:rPr>
            <w:szCs w:val="24"/>
            <w:lang w:val="es-ES"/>
          </w:rPr>
          <w:t>la República.</w:t>
        </w:r>
        <w:r w:rsidRPr="006F71A0">
          <w:rPr>
            <w:szCs w:val="24"/>
            <w:lang w:val="es-ES"/>
          </w:rPr>
          <w:t xml:space="preserve"> </w:t>
        </w:r>
        <w:r>
          <w:rPr>
            <w:szCs w:val="24"/>
            <w:lang w:val="es-ES"/>
          </w:rPr>
          <w:t>La</w:t>
        </w:r>
      </w:smartTag>
      <w:r>
        <w:rPr>
          <w:szCs w:val="24"/>
          <w:lang w:val="es-ES"/>
        </w:rPr>
        <w:t xml:space="preserve"> mayoría de esas personas </w:t>
      </w:r>
      <w:r w:rsidR="002409BB">
        <w:rPr>
          <w:szCs w:val="24"/>
          <w:lang w:val="es-ES"/>
        </w:rPr>
        <w:t xml:space="preserve">viven </w:t>
      </w:r>
      <w:r>
        <w:rPr>
          <w:szCs w:val="24"/>
          <w:lang w:val="es-ES"/>
        </w:rPr>
        <w:t xml:space="preserve">en Estonia </w:t>
      </w:r>
      <w:r w:rsidR="00EA3172">
        <w:rPr>
          <w:szCs w:val="24"/>
          <w:lang w:val="es-ES"/>
        </w:rPr>
        <w:t>con u</w:t>
      </w:r>
      <w:r>
        <w:rPr>
          <w:szCs w:val="24"/>
          <w:lang w:val="es-ES"/>
        </w:rPr>
        <w:t>n permiso de residencia prolongada, reciben documentos de viaje válidos para cinco años</w:t>
      </w:r>
      <w:r w:rsidR="002409BB">
        <w:rPr>
          <w:szCs w:val="24"/>
          <w:lang w:val="es-ES"/>
        </w:rPr>
        <w:t>,</w:t>
      </w:r>
      <w:r>
        <w:rPr>
          <w:szCs w:val="24"/>
          <w:lang w:val="es-ES"/>
        </w:rPr>
        <w:t xml:space="preserve"> y tienen derecho a regresar a Estonia tras un período prolongado de est</w:t>
      </w:r>
      <w:r w:rsidR="002409BB">
        <w:rPr>
          <w:szCs w:val="24"/>
          <w:lang w:val="es-ES"/>
        </w:rPr>
        <w:t>ancia</w:t>
      </w:r>
      <w:r>
        <w:rPr>
          <w:szCs w:val="24"/>
          <w:lang w:val="es-ES"/>
        </w:rPr>
        <w:t xml:space="preserve"> en el extranjero.</w:t>
      </w:r>
    </w:p>
    <w:p w:rsidR="00DE0B3B" w:rsidRPr="006F71A0" w:rsidRDefault="00DE0B3B" w:rsidP="00637350">
      <w:pPr>
        <w:pStyle w:val="SingleTxtG"/>
        <w:rPr>
          <w:szCs w:val="24"/>
          <w:lang w:val="es-ES"/>
        </w:rPr>
      </w:pPr>
      <w:r w:rsidRPr="001B778C">
        <w:rPr>
          <w:szCs w:val="24"/>
          <w:lang w:val="es-ES"/>
        </w:rPr>
        <w:t>123.</w:t>
      </w:r>
      <w:r w:rsidRPr="001B778C">
        <w:rPr>
          <w:szCs w:val="24"/>
          <w:lang w:val="es-ES"/>
        </w:rPr>
        <w:tab/>
      </w:r>
      <w:r>
        <w:rPr>
          <w:szCs w:val="24"/>
          <w:lang w:val="es-ES"/>
        </w:rPr>
        <w:t>Según el censo de población, el 1 de noviembre de 2012 había 91.933 personas con ciudadanía indeterminada y sin permiso de residencia válido. La proporción de personas con ciudadanía indeterminada en</w:t>
      </w:r>
      <w:r w:rsidR="002409BB">
        <w:rPr>
          <w:szCs w:val="24"/>
          <w:lang w:val="es-ES"/>
        </w:rPr>
        <w:t>tre</w:t>
      </w:r>
      <w:r>
        <w:rPr>
          <w:szCs w:val="24"/>
          <w:lang w:val="es-ES"/>
        </w:rPr>
        <w:t xml:space="preserve"> la población estonia ha disminuido de manera constante.</w:t>
      </w:r>
      <w:r w:rsidRPr="006F71A0">
        <w:rPr>
          <w:szCs w:val="24"/>
          <w:lang w:val="es-ES"/>
        </w:rPr>
        <w:t xml:space="preserve"> </w:t>
      </w:r>
      <w:r>
        <w:rPr>
          <w:szCs w:val="24"/>
          <w:lang w:val="es-ES"/>
        </w:rPr>
        <w:t xml:space="preserve">Mientras que en 1991 </w:t>
      </w:r>
      <w:r w:rsidR="002902B9">
        <w:rPr>
          <w:szCs w:val="24"/>
          <w:lang w:val="es-ES"/>
        </w:rPr>
        <w:t>las</w:t>
      </w:r>
      <w:r>
        <w:rPr>
          <w:szCs w:val="24"/>
          <w:lang w:val="es-ES"/>
        </w:rPr>
        <w:t xml:space="preserve"> personas con ciudadanía indeterminada representaba</w:t>
      </w:r>
      <w:r w:rsidR="002902B9">
        <w:rPr>
          <w:szCs w:val="24"/>
          <w:lang w:val="es-ES"/>
        </w:rPr>
        <w:t>n</w:t>
      </w:r>
      <w:r>
        <w:rPr>
          <w:szCs w:val="24"/>
          <w:lang w:val="es-ES"/>
        </w:rPr>
        <w:t xml:space="preserve"> el 32% de la población, en 2012 </w:t>
      </w:r>
      <w:r w:rsidR="00397E97">
        <w:rPr>
          <w:szCs w:val="24"/>
          <w:lang w:val="es-ES"/>
        </w:rPr>
        <w:t>esa proporción es del</w:t>
      </w:r>
      <w:r>
        <w:rPr>
          <w:szCs w:val="24"/>
          <w:lang w:val="es-ES"/>
        </w:rPr>
        <w:t xml:space="preserve"> 6,8%.</w:t>
      </w:r>
      <w:r w:rsidRPr="006F71A0">
        <w:rPr>
          <w:szCs w:val="24"/>
          <w:lang w:val="es-ES"/>
        </w:rPr>
        <w:t xml:space="preserve"> </w:t>
      </w:r>
      <w:r w:rsidR="002409BB">
        <w:rPr>
          <w:szCs w:val="24"/>
          <w:lang w:val="es-ES"/>
        </w:rPr>
        <w:t>Se</w:t>
      </w:r>
      <w:r w:rsidR="00055027">
        <w:rPr>
          <w:szCs w:val="24"/>
          <w:lang w:val="es-ES"/>
        </w:rPr>
        <w:t>gún</w:t>
      </w:r>
      <w:r>
        <w:rPr>
          <w:szCs w:val="24"/>
          <w:lang w:val="es-ES"/>
        </w:rPr>
        <w:t xml:space="preserve"> </w:t>
      </w:r>
      <w:r w:rsidR="00055027">
        <w:rPr>
          <w:szCs w:val="24"/>
          <w:lang w:val="es-ES"/>
        </w:rPr>
        <w:t>datos de</w:t>
      </w:r>
      <w:r>
        <w:rPr>
          <w:szCs w:val="24"/>
          <w:lang w:val="es-ES"/>
        </w:rPr>
        <w:t>l censo, la población estonia se divide como</w:t>
      </w:r>
      <w:r w:rsidR="00055027">
        <w:rPr>
          <w:szCs w:val="24"/>
          <w:lang w:val="es-ES"/>
        </w:rPr>
        <w:t xml:space="preserve"> sigue</w:t>
      </w:r>
      <w:r>
        <w:rPr>
          <w:szCs w:val="24"/>
          <w:lang w:val="es-ES"/>
        </w:rPr>
        <w:t>:</w:t>
      </w:r>
      <w:r w:rsidRPr="006F71A0">
        <w:rPr>
          <w:szCs w:val="24"/>
          <w:lang w:val="es-ES"/>
        </w:rPr>
        <w:t xml:space="preserve"> </w:t>
      </w:r>
      <w:r>
        <w:rPr>
          <w:szCs w:val="24"/>
          <w:lang w:val="es-ES"/>
        </w:rPr>
        <w:t xml:space="preserve">84% </w:t>
      </w:r>
      <w:r w:rsidR="00055027">
        <w:rPr>
          <w:szCs w:val="24"/>
          <w:lang w:val="es-ES"/>
        </w:rPr>
        <w:t xml:space="preserve">de </w:t>
      </w:r>
      <w:r>
        <w:rPr>
          <w:szCs w:val="24"/>
          <w:lang w:val="es-ES"/>
        </w:rPr>
        <w:t>ciudadanos estonio</w:t>
      </w:r>
      <w:r w:rsidR="003A5182">
        <w:rPr>
          <w:szCs w:val="24"/>
          <w:lang w:val="es-ES"/>
        </w:rPr>
        <w:t>s</w:t>
      </w:r>
      <w:r>
        <w:rPr>
          <w:szCs w:val="24"/>
          <w:lang w:val="es-ES"/>
        </w:rPr>
        <w:t xml:space="preserve">, 7% </w:t>
      </w:r>
      <w:r w:rsidR="00055027">
        <w:rPr>
          <w:szCs w:val="24"/>
          <w:lang w:val="es-ES"/>
        </w:rPr>
        <w:t>de</w:t>
      </w:r>
      <w:r w:rsidR="005466A4">
        <w:rPr>
          <w:szCs w:val="24"/>
          <w:lang w:val="es-ES"/>
        </w:rPr>
        <w:t xml:space="preserve"> </w:t>
      </w:r>
      <w:r>
        <w:rPr>
          <w:szCs w:val="24"/>
          <w:lang w:val="es-ES"/>
        </w:rPr>
        <w:t xml:space="preserve">ciudadanos rusos, </w:t>
      </w:r>
      <w:smartTag w:uri="urn:schemas-microsoft-com:office:smarttags" w:element="metricconverter">
        <w:smartTagPr>
          <w:attr w:name="ProductID" w:val="2 a"/>
        </w:smartTagPr>
        <w:r w:rsidR="003A5182">
          <w:rPr>
            <w:szCs w:val="24"/>
            <w:lang w:val="es-ES"/>
          </w:rPr>
          <w:t xml:space="preserve">2 </w:t>
        </w:r>
        <w:r w:rsidR="00055027">
          <w:rPr>
            <w:szCs w:val="24"/>
            <w:lang w:val="es-ES"/>
          </w:rPr>
          <w:t>a</w:t>
        </w:r>
      </w:smartTag>
      <w:r w:rsidR="003A5182">
        <w:rPr>
          <w:szCs w:val="24"/>
          <w:lang w:val="es-ES"/>
        </w:rPr>
        <w:t xml:space="preserve"> </w:t>
      </w:r>
      <w:r>
        <w:rPr>
          <w:szCs w:val="24"/>
          <w:lang w:val="es-ES"/>
        </w:rPr>
        <w:t xml:space="preserve">3% </w:t>
      </w:r>
      <w:r w:rsidR="00055027">
        <w:rPr>
          <w:szCs w:val="24"/>
          <w:lang w:val="es-ES"/>
        </w:rPr>
        <w:t xml:space="preserve">de </w:t>
      </w:r>
      <w:r>
        <w:rPr>
          <w:szCs w:val="24"/>
          <w:lang w:val="es-ES"/>
        </w:rPr>
        <w:t>ciudadanos de otros países</w:t>
      </w:r>
      <w:r w:rsidR="003A5182">
        <w:rPr>
          <w:szCs w:val="24"/>
          <w:lang w:val="es-ES"/>
        </w:rPr>
        <w:t>,</w:t>
      </w:r>
      <w:r>
        <w:rPr>
          <w:szCs w:val="24"/>
          <w:lang w:val="es-ES"/>
        </w:rPr>
        <w:t xml:space="preserve"> y </w:t>
      </w:r>
      <w:r w:rsidR="00316ABD">
        <w:rPr>
          <w:szCs w:val="24"/>
          <w:lang w:val="es-ES"/>
        </w:rPr>
        <w:t xml:space="preserve">un </w:t>
      </w:r>
      <w:r>
        <w:rPr>
          <w:szCs w:val="24"/>
          <w:lang w:val="es-ES"/>
        </w:rPr>
        <w:t xml:space="preserve">6,8% </w:t>
      </w:r>
      <w:r w:rsidR="00055027">
        <w:rPr>
          <w:szCs w:val="24"/>
          <w:lang w:val="es-ES"/>
        </w:rPr>
        <w:t xml:space="preserve">de personas con </w:t>
      </w:r>
      <w:r>
        <w:rPr>
          <w:szCs w:val="24"/>
          <w:lang w:val="es-ES"/>
        </w:rPr>
        <w:t>ciudadanía indeterminada.</w:t>
      </w:r>
      <w:r w:rsidRPr="006F71A0">
        <w:rPr>
          <w:szCs w:val="24"/>
          <w:lang w:val="es-ES"/>
        </w:rPr>
        <w:t xml:space="preserve"> </w:t>
      </w:r>
    </w:p>
    <w:p w:rsidR="00DE0B3B" w:rsidRPr="006F71A0" w:rsidRDefault="00DE0B3B" w:rsidP="00637350">
      <w:pPr>
        <w:pStyle w:val="SingleTxtG"/>
        <w:rPr>
          <w:szCs w:val="24"/>
          <w:lang w:val="es-ES"/>
        </w:rPr>
      </w:pPr>
      <w:r w:rsidRPr="001B778C">
        <w:rPr>
          <w:szCs w:val="24"/>
          <w:lang w:val="es-ES"/>
        </w:rPr>
        <w:t>124.</w:t>
      </w:r>
      <w:r w:rsidRPr="001B778C">
        <w:rPr>
          <w:szCs w:val="24"/>
          <w:lang w:val="es-ES"/>
        </w:rPr>
        <w:tab/>
      </w:r>
      <w:r>
        <w:rPr>
          <w:szCs w:val="24"/>
          <w:lang w:val="es-ES"/>
        </w:rPr>
        <w:t>Desde el 1 de junio de 2008</w:t>
      </w:r>
      <w:r w:rsidR="00316ABD">
        <w:rPr>
          <w:szCs w:val="24"/>
          <w:lang w:val="es-ES"/>
        </w:rPr>
        <w:t>,</w:t>
      </w:r>
      <w:r>
        <w:rPr>
          <w:szCs w:val="24"/>
          <w:lang w:val="es-ES"/>
        </w:rPr>
        <w:t xml:space="preserve"> las personas con ciudadanía indeterminada tienen derecho a entrar en </w:t>
      </w:r>
      <w:smartTag w:uri="urn:schemas-microsoft-com:office:smarttags" w:element="PersonName">
        <w:smartTagPr>
          <w:attr w:name="ProductID" w:val="la Uni￳n Europa"/>
        </w:smartTagPr>
        <w:r>
          <w:rPr>
            <w:szCs w:val="24"/>
            <w:lang w:val="es-ES"/>
          </w:rPr>
          <w:t>la Unión Europa</w:t>
        </w:r>
      </w:smartTag>
      <w:r>
        <w:rPr>
          <w:szCs w:val="24"/>
          <w:lang w:val="es-ES"/>
        </w:rPr>
        <w:t xml:space="preserve"> sin visado, así como a vivir y trabajar en otros Estados miembros de </w:t>
      </w:r>
      <w:smartTag w:uri="urn:schemas-microsoft-com:office:smarttags" w:element="PersonName">
        <w:smartTagPr>
          <w:attr w:name="ProductID" w:val="la Uni￳n Europea."/>
        </w:smartTagPr>
        <w:r>
          <w:rPr>
            <w:szCs w:val="24"/>
            <w:lang w:val="es-ES"/>
          </w:rPr>
          <w:t>la Unión Europea.</w:t>
        </w:r>
      </w:smartTag>
      <w:r w:rsidRPr="001B778C">
        <w:rPr>
          <w:szCs w:val="24"/>
          <w:lang w:val="es-ES"/>
        </w:rPr>
        <w:t xml:space="preserve"> </w:t>
      </w:r>
      <w:r>
        <w:rPr>
          <w:szCs w:val="24"/>
          <w:lang w:val="es-ES"/>
        </w:rPr>
        <w:t xml:space="preserve">Los residentes permanentes con ciudadanía indeterminada tienen también derecho a entrar en </w:t>
      </w:r>
      <w:smartTag w:uri="urn:schemas-microsoft-com:office:smarttags" w:element="PersonName">
        <w:smartTagPr>
          <w:attr w:name="ProductID" w:val="la Federaci￳n"/>
        </w:smartTagPr>
        <w:r>
          <w:rPr>
            <w:szCs w:val="24"/>
            <w:lang w:val="es-ES"/>
          </w:rPr>
          <w:t>la Federación</w:t>
        </w:r>
      </w:smartTag>
      <w:r>
        <w:rPr>
          <w:szCs w:val="24"/>
          <w:lang w:val="es-ES"/>
        </w:rPr>
        <w:t xml:space="preserve"> de Rusia sin visado.</w:t>
      </w:r>
    </w:p>
    <w:p w:rsidR="00DE0B3B" w:rsidRPr="006F71A0" w:rsidRDefault="00DE0B3B" w:rsidP="00637350">
      <w:pPr>
        <w:pStyle w:val="SingleTxtG"/>
        <w:rPr>
          <w:szCs w:val="24"/>
          <w:lang w:val="es-ES"/>
        </w:rPr>
      </w:pPr>
      <w:r w:rsidRPr="001B778C">
        <w:rPr>
          <w:szCs w:val="24"/>
          <w:lang w:val="es-ES"/>
        </w:rPr>
        <w:t>125.</w:t>
      </w:r>
      <w:r w:rsidRPr="001B778C">
        <w:rPr>
          <w:szCs w:val="24"/>
          <w:lang w:val="es-ES"/>
        </w:rPr>
        <w:tab/>
      </w:r>
      <w:r>
        <w:rPr>
          <w:szCs w:val="24"/>
          <w:lang w:val="es-ES"/>
        </w:rPr>
        <w:t xml:space="preserve">Según el </w:t>
      </w:r>
      <w:r w:rsidR="00316ABD">
        <w:rPr>
          <w:szCs w:val="24"/>
          <w:lang w:val="es-ES"/>
        </w:rPr>
        <w:t>Estudio de S</w:t>
      </w:r>
      <w:r>
        <w:rPr>
          <w:szCs w:val="24"/>
          <w:lang w:val="es-ES"/>
        </w:rPr>
        <w:t xml:space="preserve">eguimiento de </w:t>
      </w:r>
      <w:smartTag w:uri="urn:schemas-microsoft-com:office:smarttags" w:element="PersonName">
        <w:smartTagPr>
          <w:attr w:name="ProductID" w:val="la Integraci￳n"/>
        </w:smartTagPr>
        <w:r w:rsidR="00316ABD">
          <w:rPr>
            <w:szCs w:val="24"/>
            <w:lang w:val="es-ES"/>
          </w:rPr>
          <w:t>la I</w:t>
        </w:r>
        <w:r w:rsidR="00397E97">
          <w:rPr>
            <w:szCs w:val="24"/>
            <w:lang w:val="es-ES"/>
          </w:rPr>
          <w:t>ntegración</w:t>
        </w:r>
      </w:smartTag>
      <w:r w:rsidR="00397E97">
        <w:rPr>
          <w:szCs w:val="24"/>
          <w:lang w:val="es-ES"/>
        </w:rPr>
        <w:t xml:space="preserve"> de 2011</w:t>
      </w:r>
      <w:r>
        <w:rPr>
          <w:szCs w:val="24"/>
          <w:lang w:val="es-ES"/>
        </w:rPr>
        <w:t xml:space="preserve">, el 51% de los encuestados con ciudadanía indeterminada </w:t>
      </w:r>
      <w:r w:rsidR="003A5182">
        <w:rPr>
          <w:szCs w:val="24"/>
          <w:lang w:val="es-ES"/>
        </w:rPr>
        <w:t>manifestó</w:t>
      </w:r>
      <w:r>
        <w:rPr>
          <w:szCs w:val="24"/>
          <w:lang w:val="es-ES"/>
        </w:rPr>
        <w:t xml:space="preserve"> su deseo de solicitar la ciudadanía estonia en 2008, mientras que en 2011 es</w:t>
      </w:r>
      <w:r w:rsidR="00316ABD">
        <w:rPr>
          <w:szCs w:val="24"/>
          <w:lang w:val="es-ES"/>
        </w:rPr>
        <w:t>a</w:t>
      </w:r>
      <w:r>
        <w:rPr>
          <w:szCs w:val="24"/>
          <w:lang w:val="es-ES"/>
        </w:rPr>
        <w:t xml:space="preserve"> p</w:t>
      </w:r>
      <w:r w:rsidR="00316ABD">
        <w:rPr>
          <w:szCs w:val="24"/>
          <w:lang w:val="es-ES"/>
        </w:rPr>
        <w:t>r</w:t>
      </w:r>
      <w:r>
        <w:rPr>
          <w:szCs w:val="24"/>
          <w:lang w:val="es-ES"/>
        </w:rPr>
        <w:t>o</w:t>
      </w:r>
      <w:r w:rsidR="00316ABD">
        <w:rPr>
          <w:szCs w:val="24"/>
          <w:lang w:val="es-ES"/>
        </w:rPr>
        <w:t>porción</w:t>
      </w:r>
      <w:r>
        <w:rPr>
          <w:szCs w:val="24"/>
          <w:lang w:val="es-ES"/>
        </w:rPr>
        <w:t xml:space="preserve"> había aumentado hasta el 64%.</w:t>
      </w:r>
      <w:r w:rsidRPr="001B778C">
        <w:rPr>
          <w:szCs w:val="24"/>
          <w:lang w:val="es-ES"/>
        </w:rPr>
        <w:t xml:space="preserve"> </w:t>
      </w:r>
      <w:r>
        <w:rPr>
          <w:szCs w:val="24"/>
          <w:lang w:val="es-ES"/>
        </w:rPr>
        <w:t xml:space="preserve">En comparación con 2008, la proporción de personas que no deseaban adquirir ninguna ciudadanía también </w:t>
      </w:r>
      <w:r w:rsidR="003A5182">
        <w:rPr>
          <w:szCs w:val="24"/>
          <w:lang w:val="es-ES"/>
        </w:rPr>
        <w:t>d</w:t>
      </w:r>
      <w:r w:rsidR="00316ABD">
        <w:rPr>
          <w:szCs w:val="24"/>
          <w:lang w:val="es-ES"/>
        </w:rPr>
        <w:t>isminuy</w:t>
      </w:r>
      <w:r w:rsidR="003A5182">
        <w:rPr>
          <w:szCs w:val="24"/>
          <w:lang w:val="es-ES"/>
        </w:rPr>
        <w:t>ó</w:t>
      </w:r>
      <w:r>
        <w:rPr>
          <w:szCs w:val="24"/>
          <w:lang w:val="es-ES"/>
        </w:rPr>
        <w:t xml:space="preserve"> (del 16 al 6%).</w:t>
      </w:r>
    </w:p>
    <w:p w:rsidR="00DE0B3B" w:rsidRPr="006F71A0" w:rsidRDefault="00DE0B3B" w:rsidP="00637350">
      <w:pPr>
        <w:pStyle w:val="SingleTxtG"/>
        <w:rPr>
          <w:szCs w:val="24"/>
          <w:lang w:val="es-ES"/>
        </w:rPr>
      </w:pPr>
      <w:r w:rsidRPr="001B778C">
        <w:rPr>
          <w:szCs w:val="24"/>
          <w:lang w:val="es-ES"/>
        </w:rPr>
        <w:t>126.</w:t>
      </w:r>
      <w:r w:rsidRPr="001B778C">
        <w:rPr>
          <w:szCs w:val="24"/>
          <w:lang w:val="es-ES"/>
        </w:rPr>
        <w:tab/>
      </w:r>
      <w:r>
        <w:rPr>
          <w:szCs w:val="24"/>
          <w:lang w:val="es-ES"/>
        </w:rPr>
        <w:t xml:space="preserve">En 2008 se inició la tradición de </w:t>
      </w:r>
      <w:r w:rsidR="006329AA">
        <w:rPr>
          <w:szCs w:val="24"/>
          <w:lang w:val="es-ES"/>
        </w:rPr>
        <w:t>dedicar días festivos a la presentación de</w:t>
      </w:r>
      <w:r>
        <w:rPr>
          <w:szCs w:val="24"/>
          <w:lang w:val="es-ES"/>
        </w:rPr>
        <w:t xml:space="preserve"> los certificados de ciudadanía, </w:t>
      </w:r>
      <w:r w:rsidR="006329AA">
        <w:rPr>
          <w:szCs w:val="24"/>
          <w:lang w:val="es-ES"/>
        </w:rPr>
        <w:t xml:space="preserve">con el </w:t>
      </w:r>
      <w:r>
        <w:rPr>
          <w:szCs w:val="24"/>
          <w:lang w:val="es-ES"/>
        </w:rPr>
        <w:t xml:space="preserve">fin de </w:t>
      </w:r>
      <w:r w:rsidR="003A5182">
        <w:rPr>
          <w:szCs w:val="24"/>
          <w:lang w:val="es-ES"/>
        </w:rPr>
        <w:t>poner de relieve</w:t>
      </w:r>
      <w:r>
        <w:rPr>
          <w:szCs w:val="24"/>
          <w:lang w:val="es-ES"/>
        </w:rPr>
        <w:t xml:space="preserve"> la ciudadanía como </w:t>
      </w:r>
      <w:r w:rsidR="00AE31DB">
        <w:rPr>
          <w:szCs w:val="24"/>
          <w:lang w:val="es-ES"/>
        </w:rPr>
        <w:t xml:space="preserve">elemento </w:t>
      </w:r>
      <w:r>
        <w:rPr>
          <w:szCs w:val="24"/>
          <w:lang w:val="es-ES"/>
        </w:rPr>
        <w:t xml:space="preserve">integrante de </w:t>
      </w:r>
      <w:r w:rsidR="006329AA">
        <w:rPr>
          <w:szCs w:val="24"/>
          <w:lang w:val="es-ES"/>
        </w:rPr>
        <w:t>la aceptación por el Estado y</w:t>
      </w:r>
      <w:r>
        <w:rPr>
          <w:szCs w:val="24"/>
          <w:lang w:val="es-ES"/>
        </w:rPr>
        <w:t xml:space="preserve"> mostrar </w:t>
      </w:r>
      <w:r w:rsidR="00AE31DB">
        <w:rPr>
          <w:szCs w:val="24"/>
          <w:lang w:val="es-ES"/>
        </w:rPr>
        <w:t>reconocimient</w:t>
      </w:r>
      <w:r>
        <w:rPr>
          <w:szCs w:val="24"/>
          <w:lang w:val="es-ES"/>
        </w:rPr>
        <w:t xml:space="preserve">o a los nuevos ciudadanos de </w:t>
      </w:r>
      <w:smartTag w:uri="urn:schemas-microsoft-com:office:smarttags" w:element="PersonName">
        <w:smartTagPr>
          <w:attr w:name="ProductID" w:val="la Rep￺blica"/>
        </w:smartTagPr>
        <w:r>
          <w:rPr>
            <w:szCs w:val="24"/>
            <w:lang w:val="es-ES"/>
          </w:rPr>
          <w:t>la Repúb</w:t>
        </w:r>
        <w:r w:rsidR="00E572F9">
          <w:rPr>
            <w:szCs w:val="24"/>
            <w:lang w:val="es-ES"/>
          </w:rPr>
          <w:t>lica</w:t>
        </w:r>
      </w:smartTag>
      <w:r w:rsidR="00E572F9">
        <w:rPr>
          <w:szCs w:val="24"/>
          <w:lang w:val="es-ES"/>
        </w:rPr>
        <w:t xml:space="preserve"> de Estonia que logran llevar a cabo</w:t>
      </w:r>
      <w:r>
        <w:rPr>
          <w:szCs w:val="24"/>
          <w:lang w:val="es-ES"/>
        </w:rPr>
        <w:t xml:space="preserve"> el proceso de naturalización</w:t>
      </w:r>
      <w:r w:rsidR="00E572F9">
        <w:rPr>
          <w:szCs w:val="24"/>
          <w:lang w:val="es-ES"/>
        </w:rPr>
        <w:t xml:space="preserve"> con éxito</w:t>
      </w:r>
      <w:r>
        <w:rPr>
          <w:szCs w:val="24"/>
          <w:lang w:val="es-ES"/>
        </w:rPr>
        <w:t>.</w:t>
      </w:r>
      <w:r w:rsidRPr="001B778C">
        <w:rPr>
          <w:szCs w:val="24"/>
          <w:lang w:val="es-ES"/>
        </w:rPr>
        <w:t xml:space="preserve"> </w:t>
      </w:r>
      <w:r w:rsidR="00AE31DB">
        <w:rPr>
          <w:szCs w:val="24"/>
          <w:lang w:val="es-ES"/>
        </w:rPr>
        <w:t>De ese modo</w:t>
      </w:r>
      <w:r>
        <w:rPr>
          <w:szCs w:val="24"/>
          <w:lang w:val="es-ES"/>
        </w:rPr>
        <w:t xml:space="preserve"> </w:t>
      </w:r>
      <w:r w:rsidR="00AE31DB">
        <w:rPr>
          <w:szCs w:val="24"/>
          <w:lang w:val="es-ES"/>
        </w:rPr>
        <w:t xml:space="preserve">se </w:t>
      </w:r>
      <w:r>
        <w:rPr>
          <w:szCs w:val="24"/>
          <w:lang w:val="es-ES"/>
        </w:rPr>
        <w:t>reconoc</w:t>
      </w:r>
      <w:r w:rsidR="00AE31DB">
        <w:rPr>
          <w:szCs w:val="24"/>
          <w:lang w:val="es-ES"/>
        </w:rPr>
        <w:t>e también</w:t>
      </w:r>
      <w:r w:rsidR="00E572F9">
        <w:rPr>
          <w:szCs w:val="24"/>
          <w:lang w:val="es-ES"/>
        </w:rPr>
        <w:t xml:space="preserve"> que la ciudadanía conlleva, además de derechos, la asunción de</w:t>
      </w:r>
      <w:r>
        <w:rPr>
          <w:szCs w:val="24"/>
          <w:lang w:val="es-ES"/>
        </w:rPr>
        <w:t xml:space="preserve"> obligaciones y </w:t>
      </w:r>
      <w:r w:rsidR="00E572F9">
        <w:rPr>
          <w:szCs w:val="24"/>
          <w:lang w:val="es-ES"/>
        </w:rPr>
        <w:t xml:space="preserve">la buena disposición para </w:t>
      </w:r>
      <w:r>
        <w:rPr>
          <w:szCs w:val="24"/>
          <w:lang w:val="es-ES"/>
        </w:rPr>
        <w:t>participar en la sociedad civil.</w:t>
      </w:r>
      <w:r w:rsidRPr="006F71A0">
        <w:rPr>
          <w:szCs w:val="24"/>
          <w:lang w:val="es-ES"/>
        </w:rPr>
        <w:t xml:space="preserve"> </w:t>
      </w:r>
      <w:r>
        <w:rPr>
          <w:szCs w:val="24"/>
          <w:lang w:val="es-ES"/>
        </w:rPr>
        <w:t xml:space="preserve">El principal objetivo de esas ceremonias es alentar a las personas con ciudadanía indeterminada a convertirse en ciudadanos estonios. </w:t>
      </w:r>
    </w:p>
    <w:p w:rsidR="00DE0B3B" w:rsidRPr="006F71A0" w:rsidRDefault="00DE0B3B" w:rsidP="00637350">
      <w:pPr>
        <w:pStyle w:val="SingleTxtG"/>
        <w:rPr>
          <w:szCs w:val="24"/>
          <w:lang w:val="es-ES"/>
        </w:rPr>
      </w:pPr>
      <w:r w:rsidRPr="001B778C">
        <w:rPr>
          <w:szCs w:val="24"/>
          <w:lang w:val="es-ES"/>
        </w:rPr>
        <w:t>127.</w:t>
      </w:r>
      <w:r w:rsidRPr="001B778C">
        <w:rPr>
          <w:szCs w:val="24"/>
          <w:lang w:val="es-ES"/>
        </w:rPr>
        <w:tab/>
      </w:r>
      <w:r>
        <w:rPr>
          <w:szCs w:val="24"/>
          <w:lang w:val="es-ES"/>
        </w:rPr>
        <w:t>Desde 2003</w:t>
      </w:r>
      <w:r w:rsidR="00AE31DB">
        <w:rPr>
          <w:szCs w:val="24"/>
          <w:lang w:val="es-ES"/>
        </w:rPr>
        <w:t>, cada 26 de noviembre</w:t>
      </w:r>
      <w:r>
        <w:rPr>
          <w:szCs w:val="24"/>
          <w:lang w:val="es-ES"/>
        </w:rPr>
        <w:t xml:space="preserve"> se celebra el Día del Ciudadano</w:t>
      </w:r>
      <w:r w:rsidR="00AE31DB">
        <w:rPr>
          <w:szCs w:val="24"/>
          <w:lang w:val="es-ES"/>
        </w:rPr>
        <w:t xml:space="preserve"> de Estonia</w:t>
      </w:r>
      <w:r>
        <w:rPr>
          <w:szCs w:val="24"/>
          <w:lang w:val="es-ES"/>
        </w:rPr>
        <w:t>.</w:t>
      </w:r>
      <w:r w:rsidRPr="001B778C">
        <w:rPr>
          <w:szCs w:val="24"/>
          <w:lang w:val="es-ES"/>
        </w:rPr>
        <w:t xml:space="preserve"> </w:t>
      </w:r>
      <w:r>
        <w:rPr>
          <w:szCs w:val="24"/>
          <w:lang w:val="es-ES"/>
        </w:rPr>
        <w:t xml:space="preserve">Ese día se </w:t>
      </w:r>
      <w:r w:rsidR="00AE31DB">
        <w:rPr>
          <w:szCs w:val="24"/>
          <w:lang w:val="es-ES"/>
        </w:rPr>
        <w:t xml:space="preserve">concede el premio Día del Ciudadano </w:t>
      </w:r>
      <w:r>
        <w:rPr>
          <w:szCs w:val="24"/>
          <w:lang w:val="es-ES"/>
        </w:rPr>
        <w:t>a las personas que han hecho una contribución considerable a la mejora de la sociedad y a la educación de los ciudadanos.</w:t>
      </w:r>
      <w:r w:rsidRPr="006F71A0">
        <w:rPr>
          <w:szCs w:val="24"/>
          <w:lang w:val="es-ES"/>
        </w:rPr>
        <w:t xml:space="preserve"> </w:t>
      </w:r>
      <w:r>
        <w:rPr>
          <w:szCs w:val="24"/>
          <w:lang w:val="es-ES"/>
        </w:rPr>
        <w:t xml:space="preserve">El Día del Ciudadano </w:t>
      </w:r>
      <w:r w:rsidR="00397E97">
        <w:rPr>
          <w:szCs w:val="24"/>
          <w:lang w:val="es-ES"/>
        </w:rPr>
        <w:t>se dedica a</w:t>
      </w:r>
      <w:r>
        <w:rPr>
          <w:szCs w:val="24"/>
          <w:lang w:val="es-ES"/>
        </w:rPr>
        <w:t xml:space="preserve"> todo</w:t>
      </w:r>
      <w:r w:rsidR="003A5182">
        <w:rPr>
          <w:szCs w:val="24"/>
          <w:lang w:val="es-ES"/>
        </w:rPr>
        <w:t>s los ciudadanos estonios y la</w:t>
      </w:r>
      <w:r>
        <w:rPr>
          <w:szCs w:val="24"/>
          <w:lang w:val="es-ES"/>
        </w:rPr>
        <w:t xml:space="preserve">s personas que solicitan la ciudadanía estonia, </w:t>
      </w:r>
      <w:r w:rsidR="008D2657">
        <w:rPr>
          <w:szCs w:val="24"/>
          <w:lang w:val="es-ES"/>
        </w:rPr>
        <w:t xml:space="preserve">sea cual sea </w:t>
      </w:r>
      <w:r>
        <w:rPr>
          <w:szCs w:val="24"/>
          <w:lang w:val="es-ES"/>
        </w:rPr>
        <w:t>su origen étnico.</w:t>
      </w:r>
      <w:r w:rsidRPr="006F71A0">
        <w:rPr>
          <w:szCs w:val="24"/>
          <w:lang w:val="es-ES"/>
        </w:rPr>
        <w:t xml:space="preserve"> </w:t>
      </w:r>
      <w:r w:rsidR="003A5182">
        <w:rPr>
          <w:szCs w:val="24"/>
          <w:lang w:val="es-ES"/>
        </w:rPr>
        <w:t>S</w:t>
      </w:r>
      <w:r>
        <w:rPr>
          <w:szCs w:val="24"/>
          <w:lang w:val="es-ES"/>
        </w:rPr>
        <w:t>e celebra en todo el país y se basa fundamentalmente en la iniciativa local.</w:t>
      </w:r>
      <w:r w:rsidRPr="006F71A0">
        <w:rPr>
          <w:szCs w:val="24"/>
          <w:lang w:val="es-ES"/>
        </w:rPr>
        <w:t xml:space="preserve"> </w:t>
      </w:r>
      <w:r>
        <w:rPr>
          <w:szCs w:val="24"/>
          <w:lang w:val="es-ES"/>
        </w:rPr>
        <w:t>En su mayor parte, las actividades de</w:t>
      </w:r>
      <w:r w:rsidR="008D2657">
        <w:rPr>
          <w:szCs w:val="24"/>
          <w:lang w:val="es-ES"/>
        </w:rPr>
        <w:t>l</w:t>
      </w:r>
      <w:r>
        <w:rPr>
          <w:szCs w:val="24"/>
          <w:lang w:val="es-ES"/>
        </w:rPr>
        <w:t xml:space="preserve"> día consisten en proporcionar información sobre los temas siguientes:</w:t>
      </w:r>
      <w:r w:rsidRPr="006F71A0">
        <w:rPr>
          <w:szCs w:val="24"/>
          <w:lang w:val="es-ES"/>
        </w:rPr>
        <w:t xml:space="preserve"> </w:t>
      </w:r>
      <w:r>
        <w:rPr>
          <w:szCs w:val="24"/>
          <w:lang w:val="es-ES"/>
        </w:rPr>
        <w:t xml:space="preserve">el Estado y el ciudadano; los derechos del ciudadano; cómo adquirir la ciudadanía; los deberes del ciudadano; </w:t>
      </w:r>
      <w:smartTag w:uri="urn:schemas-microsoft-com:office:smarttags" w:element="PersonName">
        <w:smartTagPr>
          <w:attr w:name="ProductID" w:val="la Constituci￳n"/>
        </w:smartTagPr>
        <w:r>
          <w:rPr>
            <w:szCs w:val="24"/>
            <w:lang w:val="es-ES"/>
          </w:rPr>
          <w:t>la Constitución</w:t>
        </w:r>
      </w:smartTag>
      <w:r w:rsidR="008D2657">
        <w:rPr>
          <w:szCs w:val="24"/>
          <w:lang w:val="es-ES"/>
        </w:rPr>
        <w:t>,</w:t>
      </w:r>
      <w:r>
        <w:rPr>
          <w:szCs w:val="24"/>
          <w:lang w:val="es-ES"/>
        </w:rPr>
        <w:t xml:space="preserve"> </w:t>
      </w:r>
      <w:r w:rsidR="008D2657">
        <w:rPr>
          <w:szCs w:val="24"/>
          <w:lang w:val="es-ES"/>
        </w:rPr>
        <w:t>l</w:t>
      </w:r>
      <w:r>
        <w:rPr>
          <w:szCs w:val="24"/>
          <w:lang w:val="es-ES"/>
        </w:rPr>
        <w:t>a autoridad pública constitucional y la democracia.</w:t>
      </w:r>
      <w:r w:rsidRPr="006F71A0">
        <w:rPr>
          <w:szCs w:val="24"/>
          <w:lang w:val="es-ES"/>
        </w:rPr>
        <w:t xml:space="preserve"> </w:t>
      </w:r>
      <w:r>
        <w:rPr>
          <w:szCs w:val="24"/>
          <w:lang w:val="es-ES"/>
        </w:rPr>
        <w:t xml:space="preserve">Durante el Día del Ciudadano también se concede el </w:t>
      </w:r>
      <w:r w:rsidR="008D2657">
        <w:rPr>
          <w:szCs w:val="24"/>
          <w:lang w:val="es-ES"/>
        </w:rPr>
        <w:t>premio</w:t>
      </w:r>
      <w:r>
        <w:rPr>
          <w:szCs w:val="24"/>
          <w:lang w:val="es-ES"/>
        </w:rPr>
        <w:t xml:space="preserve"> al Ciudadano del Año.</w:t>
      </w:r>
      <w:r w:rsidRPr="006F71A0">
        <w:rPr>
          <w:szCs w:val="24"/>
          <w:lang w:val="es-ES"/>
        </w:rPr>
        <w:t xml:space="preserve"> </w:t>
      </w:r>
      <w:r w:rsidR="000450E3">
        <w:rPr>
          <w:szCs w:val="24"/>
          <w:lang w:val="es-ES"/>
        </w:rPr>
        <w:t xml:space="preserve">Todas </w:t>
      </w:r>
      <w:r>
        <w:rPr>
          <w:szCs w:val="24"/>
          <w:lang w:val="es-ES"/>
        </w:rPr>
        <w:t xml:space="preserve">las personas que tengan residencia permanente en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 </w:t>
      </w:r>
      <w:r w:rsidR="000450E3">
        <w:rPr>
          <w:szCs w:val="24"/>
          <w:lang w:val="es-ES"/>
        </w:rPr>
        <w:t xml:space="preserve">pueden </w:t>
      </w:r>
      <w:r>
        <w:rPr>
          <w:szCs w:val="24"/>
          <w:lang w:val="es-ES"/>
        </w:rPr>
        <w:t xml:space="preserve">presentar </w:t>
      </w:r>
      <w:r w:rsidR="00E21882">
        <w:rPr>
          <w:szCs w:val="24"/>
          <w:lang w:val="es-ES"/>
        </w:rPr>
        <w:t xml:space="preserve">su </w:t>
      </w:r>
      <w:r>
        <w:rPr>
          <w:szCs w:val="24"/>
          <w:lang w:val="es-ES"/>
        </w:rPr>
        <w:t>candidatura.</w:t>
      </w:r>
      <w:r w:rsidRPr="006F71A0">
        <w:rPr>
          <w:szCs w:val="24"/>
          <w:lang w:val="es-ES"/>
        </w:rPr>
        <w:t xml:space="preserve"> </w:t>
      </w:r>
      <w:r>
        <w:rPr>
          <w:szCs w:val="24"/>
          <w:lang w:val="es-ES"/>
        </w:rPr>
        <w:t>Ese título</w:t>
      </w:r>
      <w:r w:rsidR="00E21882">
        <w:rPr>
          <w:szCs w:val="24"/>
          <w:lang w:val="es-ES"/>
        </w:rPr>
        <w:t xml:space="preserve"> honorífico</w:t>
      </w:r>
      <w:r>
        <w:rPr>
          <w:szCs w:val="24"/>
          <w:lang w:val="es-ES"/>
        </w:rPr>
        <w:t xml:space="preserve"> se </w:t>
      </w:r>
      <w:r w:rsidR="00E21882">
        <w:rPr>
          <w:szCs w:val="24"/>
          <w:lang w:val="es-ES"/>
        </w:rPr>
        <w:t xml:space="preserve">concede </w:t>
      </w:r>
      <w:r>
        <w:rPr>
          <w:szCs w:val="24"/>
          <w:lang w:val="es-ES"/>
        </w:rPr>
        <w:t xml:space="preserve">a </w:t>
      </w:r>
      <w:r w:rsidR="00E21882">
        <w:rPr>
          <w:szCs w:val="24"/>
          <w:lang w:val="es-ES"/>
        </w:rPr>
        <w:t xml:space="preserve">las </w:t>
      </w:r>
      <w:r>
        <w:rPr>
          <w:szCs w:val="24"/>
          <w:lang w:val="es-ES"/>
        </w:rPr>
        <w:t>persona</w:t>
      </w:r>
      <w:r w:rsidR="00E21882">
        <w:rPr>
          <w:szCs w:val="24"/>
          <w:lang w:val="es-ES"/>
        </w:rPr>
        <w:t>s</w:t>
      </w:r>
      <w:r>
        <w:rPr>
          <w:szCs w:val="24"/>
          <w:lang w:val="es-ES"/>
        </w:rPr>
        <w:t xml:space="preserve"> que se ha</w:t>
      </w:r>
      <w:r w:rsidR="00E21882">
        <w:rPr>
          <w:szCs w:val="24"/>
          <w:lang w:val="es-ES"/>
        </w:rPr>
        <w:t>n</w:t>
      </w:r>
      <w:r>
        <w:rPr>
          <w:szCs w:val="24"/>
          <w:lang w:val="es-ES"/>
        </w:rPr>
        <w:t xml:space="preserve"> distinguido </w:t>
      </w:r>
      <w:r w:rsidR="00E21882">
        <w:rPr>
          <w:szCs w:val="24"/>
          <w:lang w:val="es-ES"/>
        </w:rPr>
        <w:t xml:space="preserve">por </w:t>
      </w:r>
      <w:r>
        <w:rPr>
          <w:szCs w:val="24"/>
          <w:lang w:val="es-ES"/>
        </w:rPr>
        <w:t xml:space="preserve">su apoyo al desarrollo general de la sociedad o </w:t>
      </w:r>
      <w:r w:rsidR="000927E6">
        <w:rPr>
          <w:szCs w:val="24"/>
          <w:lang w:val="es-ES"/>
        </w:rPr>
        <w:t xml:space="preserve">por </w:t>
      </w:r>
      <w:r>
        <w:rPr>
          <w:szCs w:val="24"/>
          <w:lang w:val="es-ES"/>
        </w:rPr>
        <w:t>logr</w:t>
      </w:r>
      <w:r w:rsidR="000927E6">
        <w:rPr>
          <w:szCs w:val="24"/>
          <w:lang w:val="es-ES"/>
        </w:rPr>
        <w:t>os</w:t>
      </w:r>
      <w:r>
        <w:rPr>
          <w:szCs w:val="24"/>
          <w:lang w:val="es-ES"/>
        </w:rPr>
        <w:t xml:space="preserve"> importantes</w:t>
      </w:r>
      <w:r w:rsidR="000927E6">
        <w:rPr>
          <w:szCs w:val="24"/>
          <w:lang w:val="es-ES"/>
        </w:rPr>
        <w:t xml:space="preserve"> en ese contexto</w:t>
      </w:r>
      <w:r>
        <w:rPr>
          <w:szCs w:val="24"/>
          <w:lang w:val="es-ES"/>
        </w:rPr>
        <w:t>.</w:t>
      </w:r>
    </w:p>
    <w:p w:rsidR="00E90451" w:rsidRPr="006F71A0" w:rsidRDefault="00E90451" w:rsidP="00637350">
      <w:pPr>
        <w:pStyle w:val="SingleTxtG"/>
        <w:rPr>
          <w:szCs w:val="24"/>
          <w:lang w:val="es-ES"/>
        </w:rPr>
      </w:pPr>
      <w:r w:rsidRPr="001B778C">
        <w:rPr>
          <w:szCs w:val="24"/>
          <w:lang w:val="es-ES"/>
        </w:rPr>
        <w:t>128.</w:t>
      </w:r>
      <w:r w:rsidRPr="001B778C">
        <w:rPr>
          <w:szCs w:val="24"/>
          <w:lang w:val="es-ES"/>
        </w:rPr>
        <w:tab/>
      </w:r>
      <w:r>
        <w:rPr>
          <w:szCs w:val="24"/>
          <w:lang w:val="es-ES"/>
        </w:rPr>
        <w:t>El 25 de septiembre de 2008, el Gobierno aprobó mediante su Reglamento N</w:t>
      </w:r>
      <w:r w:rsidR="00E34555">
        <w:rPr>
          <w:szCs w:val="24"/>
          <w:lang w:val="es-ES"/>
        </w:rPr>
        <w:t>º</w:t>
      </w:r>
      <w:r>
        <w:rPr>
          <w:szCs w:val="24"/>
          <w:lang w:val="es-ES"/>
        </w:rPr>
        <w:t xml:space="preserve"> 143 </w:t>
      </w:r>
      <w:r w:rsidR="002B491B">
        <w:rPr>
          <w:szCs w:val="24"/>
          <w:lang w:val="es-ES"/>
        </w:rPr>
        <w:t>"</w:t>
      </w:r>
      <w:r>
        <w:rPr>
          <w:szCs w:val="24"/>
          <w:lang w:val="es-ES"/>
        </w:rPr>
        <w:t xml:space="preserve">El procedimiento de examen </w:t>
      </w:r>
      <w:r w:rsidR="00A54DD4">
        <w:rPr>
          <w:szCs w:val="24"/>
          <w:lang w:val="es-ES"/>
        </w:rPr>
        <w:t xml:space="preserve">sobre </w:t>
      </w:r>
      <w:r>
        <w:rPr>
          <w:szCs w:val="24"/>
          <w:lang w:val="es-ES"/>
        </w:rPr>
        <w:t>l</w:t>
      </w:r>
      <w:r w:rsidR="00A54DD4">
        <w:rPr>
          <w:szCs w:val="24"/>
          <w:lang w:val="es-ES"/>
        </w:rPr>
        <w:t>os</w:t>
      </w:r>
      <w:r>
        <w:rPr>
          <w:szCs w:val="24"/>
          <w:lang w:val="es-ES"/>
        </w:rPr>
        <w:t xml:space="preserve"> conocimiento</w:t>
      </w:r>
      <w:r w:rsidR="00A54DD4">
        <w:rPr>
          <w:szCs w:val="24"/>
          <w:lang w:val="es-ES"/>
        </w:rPr>
        <w:t>s</w:t>
      </w:r>
      <w:r>
        <w:rPr>
          <w:szCs w:val="24"/>
          <w:lang w:val="es-ES"/>
        </w:rPr>
        <w:t xml:space="preserve"> de </w:t>
      </w:r>
      <w:smartTag w:uri="urn:schemas-microsoft-com:office:smarttags" w:element="PersonName">
        <w:smartTagPr>
          <w:attr w:name="ProductID" w:val="la Constituci￳n"/>
        </w:smartTagPr>
        <w:r>
          <w:rPr>
            <w:szCs w:val="24"/>
            <w:lang w:val="es-ES"/>
          </w:rPr>
          <w:t>la Constitución</w:t>
        </w:r>
      </w:smartTag>
      <w:r>
        <w:rPr>
          <w:szCs w:val="24"/>
          <w:lang w:val="es-ES"/>
        </w:rPr>
        <w:t xml:space="preserve"> de Estonia y </w:t>
      </w:r>
      <w:smartTag w:uri="urn:schemas-microsoft-com:office:smarttags" w:element="PersonName">
        <w:smartTagPr>
          <w:attr w:name="ProductID" w:val="La Ley"/>
        </w:smartTagPr>
        <w:r>
          <w:rPr>
            <w:szCs w:val="24"/>
            <w:lang w:val="es-ES"/>
          </w:rPr>
          <w:t>la Ley</w:t>
        </w:r>
      </w:smartTag>
      <w:r>
        <w:rPr>
          <w:szCs w:val="24"/>
          <w:lang w:val="es-ES"/>
        </w:rPr>
        <w:t xml:space="preserve"> de ciudadanía para solicitantes de ciudadanía</w:t>
      </w:r>
      <w:r w:rsidR="002B491B">
        <w:rPr>
          <w:szCs w:val="24"/>
          <w:lang w:val="es-ES"/>
        </w:rPr>
        <w:t>"</w:t>
      </w:r>
      <w:r>
        <w:rPr>
          <w:szCs w:val="24"/>
          <w:lang w:val="es-ES"/>
        </w:rPr>
        <w:t xml:space="preserve">, que </w:t>
      </w:r>
      <w:r w:rsidR="00397E97">
        <w:rPr>
          <w:szCs w:val="24"/>
          <w:lang w:val="es-ES"/>
        </w:rPr>
        <w:t>ahora incluye</w:t>
      </w:r>
      <w:r w:rsidR="00BC6615">
        <w:rPr>
          <w:szCs w:val="24"/>
          <w:lang w:val="es-ES"/>
        </w:rPr>
        <w:t xml:space="preserve"> </w:t>
      </w:r>
      <w:r>
        <w:rPr>
          <w:szCs w:val="24"/>
          <w:lang w:val="es-ES"/>
        </w:rPr>
        <w:t xml:space="preserve">preguntas </w:t>
      </w:r>
      <w:r w:rsidR="00BC6615">
        <w:rPr>
          <w:szCs w:val="24"/>
          <w:lang w:val="es-ES"/>
        </w:rPr>
        <w:t>más significati</w:t>
      </w:r>
      <w:r w:rsidR="00397E97">
        <w:rPr>
          <w:szCs w:val="24"/>
          <w:lang w:val="es-ES"/>
        </w:rPr>
        <w:t>vas y</w:t>
      </w:r>
      <w:r w:rsidR="00BC6615">
        <w:rPr>
          <w:szCs w:val="24"/>
          <w:lang w:val="es-ES"/>
        </w:rPr>
        <w:t xml:space="preserve"> </w:t>
      </w:r>
      <w:r>
        <w:rPr>
          <w:szCs w:val="24"/>
          <w:lang w:val="es-ES"/>
        </w:rPr>
        <w:t>redac</w:t>
      </w:r>
      <w:r w:rsidR="00BC6615">
        <w:rPr>
          <w:szCs w:val="24"/>
          <w:lang w:val="es-ES"/>
        </w:rPr>
        <w:t>tadas</w:t>
      </w:r>
      <w:r w:rsidR="00397E97">
        <w:rPr>
          <w:szCs w:val="24"/>
          <w:lang w:val="es-ES"/>
        </w:rPr>
        <w:t xml:space="preserve"> de forma más clara</w:t>
      </w:r>
      <w:r>
        <w:rPr>
          <w:szCs w:val="24"/>
          <w:lang w:val="es-ES"/>
        </w:rPr>
        <w:t>.</w:t>
      </w:r>
      <w:r w:rsidRPr="001B778C">
        <w:rPr>
          <w:szCs w:val="24"/>
          <w:lang w:val="es-ES"/>
        </w:rPr>
        <w:t xml:space="preserve"> </w:t>
      </w:r>
      <w:r>
        <w:rPr>
          <w:szCs w:val="24"/>
          <w:lang w:val="es-ES"/>
        </w:rPr>
        <w:t xml:space="preserve">De conformidad con ese reglamento, cualquier graduado en enseñanza básica puede realizar el examen </w:t>
      </w:r>
      <w:r w:rsidR="00BC6615">
        <w:rPr>
          <w:szCs w:val="24"/>
          <w:lang w:val="es-ES"/>
        </w:rPr>
        <w:t xml:space="preserve">sobre </w:t>
      </w:r>
      <w:r>
        <w:rPr>
          <w:szCs w:val="24"/>
          <w:lang w:val="es-ES"/>
        </w:rPr>
        <w:t>l</w:t>
      </w:r>
      <w:r w:rsidR="00BC6615">
        <w:rPr>
          <w:szCs w:val="24"/>
          <w:lang w:val="es-ES"/>
        </w:rPr>
        <w:t>os</w:t>
      </w:r>
      <w:r>
        <w:rPr>
          <w:szCs w:val="24"/>
          <w:lang w:val="es-ES"/>
        </w:rPr>
        <w:t xml:space="preserve"> conocimiento</w:t>
      </w:r>
      <w:r w:rsidR="00BC6615">
        <w:rPr>
          <w:szCs w:val="24"/>
          <w:lang w:val="es-ES"/>
        </w:rPr>
        <w:t>s</w:t>
      </w:r>
      <w:r>
        <w:rPr>
          <w:szCs w:val="24"/>
          <w:lang w:val="es-ES"/>
        </w:rPr>
        <w:t xml:space="preserve"> de </w:t>
      </w:r>
      <w:smartTag w:uri="urn:schemas-microsoft-com:office:smarttags" w:element="PersonName">
        <w:smartTagPr>
          <w:attr w:name="ProductID" w:val="la Constituci￳n"/>
        </w:smartTagPr>
        <w:r>
          <w:rPr>
            <w:szCs w:val="24"/>
            <w:lang w:val="es-ES"/>
          </w:rPr>
          <w:t>la Constitución</w:t>
        </w:r>
      </w:smartTag>
      <w:r>
        <w:rPr>
          <w:szCs w:val="24"/>
          <w:lang w:val="es-ES"/>
        </w:rPr>
        <w:t xml:space="preserve"> de</w:t>
      </w:r>
      <w:r w:rsidR="006329AA">
        <w:rPr>
          <w:szCs w:val="24"/>
          <w:lang w:val="es-ES"/>
        </w:rPr>
        <w:t xml:space="preserve"> Estonia y </w:t>
      </w:r>
      <w:smartTag w:uri="urn:schemas-microsoft-com:office:smarttags" w:element="PersonName">
        <w:smartTagPr>
          <w:attr w:name="ProductID" w:val="La Ley"/>
        </w:smartTagPr>
        <w:r w:rsidR="006329AA">
          <w:rPr>
            <w:szCs w:val="24"/>
            <w:lang w:val="es-ES"/>
          </w:rPr>
          <w:t>la Ley</w:t>
        </w:r>
      </w:smartTag>
      <w:r w:rsidR="006329AA">
        <w:rPr>
          <w:szCs w:val="24"/>
          <w:lang w:val="es-ES"/>
        </w:rPr>
        <w:t xml:space="preserve"> de ciudadanía</w:t>
      </w:r>
      <w:r w:rsidR="00BC6615">
        <w:rPr>
          <w:szCs w:val="24"/>
          <w:lang w:val="es-ES"/>
        </w:rPr>
        <w:t>,</w:t>
      </w:r>
      <w:r>
        <w:rPr>
          <w:szCs w:val="24"/>
          <w:lang w:val="es-ES"/>
        </w:rPr>
        <w:t xml:space="preserve"> </w:t>
      </w:r>
      <w:r w:rsidR="00BC6615">
        <w:rPr>
          <w:szCs w:val="24"/>
          <w:lang w:val="es-ES"/>
        </w:rPr>
        <w:t xml:space="preserve">que </w:t>
      </w:r>
      <w:r>
        <w:rPr>
          <w:szCs w:val="24"/>
          <w:lang w:val="es-ES"/>
        </w:rPr>
        <w:t xml:space="preserve">consiste en </w:t>
      </w:r>
      <w:r w:rsidR="00397E97">
        <w:rPr>
          <w:szCs w:val="24"/>
          <w:lang w:val="es-ES"/>
        </w:rPr>
        <w:t xml:space="preserve">una serie de </w:t>
      </w:r>
      <w:r>
        <w:rPr>
          <w:szCs w:val="24"/>
          <w:lang w:val="es-ES"/>
        </w:rPr>
        <w:t xml:space="preserve">preguntas y </w:t>
      </w:r>
      <w:r w:rsidR="00BC6615">
        <w:rPr>
          <w:szCs w:val="24"/>
          <w:lang w:val="es-ES"/>
        </w:rPr>
        <w:t>ejercicios</w:t>
      </w:r>
      <w:r>
        <w:rPr>
          <w:szCs w:val="24"/>
          <w:lang w:val="es-ES"/>
        </w:rPr>
        <w:t>,</w:t>
      </w:r>
      <w:r w:rsidR="006329AA">
        <w:rPr>
          <w:szCs w:val="24"/>
          <w:lang w:val="es-ES"/>
        </w:rPr>
        <w:t xml:space="preserve"> como parte del examen final sobre educación cívica</w:t>
      </w:r>
      <w:r w:rsidR="003023BC">
        <w:rPr>
          <w:szCs w:val="24"/>
          <w:lang w:val="es-ES"/>
        </w:rPr>
        <w:t>,</w:t>
      </w:r>
      <w:r>
        <w:rPr>
          <w:szCs w:val="24"/>
          <w:lang w:val="es-ES"/>
        </w:rPr>
        <w:t xml:space="preserve"> siempre que </w:t>
      </w:r>
      <w:r w:rsidR="00BC6615">
        <w:rPr>
          <w:szCs w:val="24"/>
          <w:lang w:val="es-ES"/>
        </w:rPr>
        <w:t xml:space="preserve">lo </w:t>
      </w:r>
      <w:r>
        <w:rPr>
          <w:szCs w:val="24"/>
          <w:lang w:val="es-ES"/>
        </w:rPr>
        <w:t>notifique previamente y por escrito a la dirección de la escuela en el momento de realizar su i</w:t>
      </w:r>
      <w:r w:rsidR="006329AA">
        <w:rPr>
          <w:szCs w:val="24"/>
          <w:lang w:val="es-ES"/>
        </w:rPr>
        <w:t>nscripción para este examen</w:t>
      </w:r>
      <w:r>
        <w:rPr>
          <w:szCs w:val="24"/>
          <w:lang w:val="es-ES"/>
        </w:rPr>
        <w:t>.</w:t>
      </w:r>
      <w:r w:rsidRPr="006F71A0">
        <w:rPr>
          <w:szCs w:val="24"/>
          <w:lang w:val="es-ES"/>
        </w:rPr>
        <w:t xml:space="preserve"> </w:t>
      </w:r>
      <w:r>
        <w:rPr>
          <w:szCs w:val="24"/>
          <w:lang w:val="es-ES"/>
        </w:rPr>
        <w:t>Se ha publicado un man</w:t>
      </w:r>
      <w:r w:rsidR="00397E97">
        <w:rPr>
          <w:szCs w:val="24"/>
          <w:lang w:val="es-ES"/>
        </w:rPr>
        <w:t>ual especial</w:t>
      </w:r>
      <w:r>
        <w:rPr>
          <w:szCs w:val="24"/>
          <w:lang w:val="es-ES"/>
        </w:rPr>
        <w:t xml:space="preserve"> sobre el examen y </w:t>
      </w:r>
      <w:r w:rsidR="00BC6615">
        <w:rPr>
          <w:szCs w:val="24"/>
          <w:lang w:val="es-ES"/>
        </w:rPr>
        <w:t xml:space="preserve">sus </w:t>
      </w:r>
      <w:r>
        <w:rPr>
          <w:szCs w:val="24"/>
          <w:lang w:val="es-ES"/>
        </w:rPr>
        <w:t>temas, d</w:t>
      </w:r>
      <w:r w:rsidR="00D57B6E">
        <w:rPr>
          <w:szCs w:val="24"/>
          <w:lang w:val="es-ES"/>
        </w:rPr>
        <w:t>irigido a</w:t>
      </w:r>
      <w:r>
        <w:rPr>
          <w:szCs w:val="24"/>
          <w:lang w:val="es-ES"/>
        </w:rPr>
        <w:t xml:space="preserve"> qu</w:t>
      </w:r>
      <w:r w:rsidR="00397E97">
        <w:rPr>
          <w:szCs w:val="24"/>
          <w:lang w:val="es-ES"/>
        </w:rPr>
        <w:t>ienes se preparan para el mismo</w:t>
      </w:r>
      <w:r>
        <w:rPr>
          <w:szCs w:val="24"/>
          <w:lang w:val="es-ES"/>
        </w:rPr>
        <w:t>.</w:t>
      </w:r>
      <w:r w:rsidRPr="006F71A0">
        <w:rPr>
          <w:szCs w:val="24"/>
          <w:lang w:val="es-ES"/>
        </w:rPr>
        <w:t xml:space="preserve"> </w:t>
      </w:r>
      <w:r>
        <w:rPr>
          <w:szCs w:val="24"/>
          <w:lang w:val="es-ES"/>
        </w:rPr>
        <w:t>E</w:t>
      </w:r>
      <w:r w:rsidR="00BC6615">
        <w:rPr>
          <w:szCs w:val="24"/>
          <w:lang w:val="es-ES"/>
        </w:rPr>
        <w:t>l manual e</w:t>
      </w:r>
      <w:r>
        <w:rPr>
          <w:szCs w:val="24"/>
          <w:lang w:val="es-ES"/>
        </w:rPr>
        <w:t xml:space="preserve">stá disponible </w:t>
      </w:r>
      <w:r w:rsidR="006329AA">
        <w:rPr>
          <w:szCs w:val="24"/>
          <w:lang w:val="es-ES"/>
        </w:rPr>
        <w:t xml:space="preserve">gratuitamente </w:t>
      </w:r>
      <w:r>
        <w:rPr>
          <w:szCs w:val="24"/>
          <w:lang w:val="es-ES"/>
        </w:rPr>
        <w:t xml:space="preserve">en formato impreso y en la página web de </w:t>
      </w:r>
      <w:smartTag w:uri="urn:schemas-microsoft-com:office:smarttags" w:element="PersonName">
        <w:smartTagPr>
          <w:attr w:name="ProductID" w:val="la Fundaci￳n INNOVE"/>
        </w:smartTagPr>
        <w:r>
          <w:rPr>
            <w:szCs w:val="24"/>
            <w:lang w:val="es-ES"/>
          </w:rPr>
          <w:t>la Fundación I</w:t>
        </w:r>
        <w:r w:rsidR="006329AA">
          <w:rPr>
            <w:szCs w:val="24"/>
            <w:lang w:val="es-ES"/>
          </w:rPr>
          <w:t>NNOVE</w:t>
        </w:r>
      </w:smartTag>
      <w:r w:rsidR="006329AA">
        <w:rPr>
          <w:szCs w:val="24"/>
          <w:lang w:val="es-ES"/>
        </w:rPr>
        <w:t>, y</w:t>
      </w:r>
      <w:r>
        <w:rPr>
          <w:szCs w:val="24"/>
          <w:lang w:val="es-ES"/>
        </w:rPr>
        <w:t xml:space="preserve"> también se ha traducido al ruso y al inglés.</w:t>
      </w:r>
      <w:r w:rsidRPr="006F71A0">
        <w:rPr>
          <w:szCs w:val="24"/>
          <w:lang w:val="es-ES"/>
        </w:rPr>
        <w:t xml:space="preserve"> </w:t>
      </w:r>
      <w:r>
        <w:rPr>
          <w:szCs w:val="24"/>
          <w:lang w:val="es-ES"/>
        </w:rPr>
        <w:t>Además del manual,</w:t>
      </w:r>
      <w:r w:rsidR="003023BC">
        <w:rPr>
          <w:szCs w:val="24"/>
          <w:lang w:val="es-ES"/>
        </w:rPr>
        <w:t xml:space="preserve"> y</w:t>
      </w:r>
      <w:r>
        <w:rPr>
          <w:szCs w:val="24"/>
          <w:lang w:val="es-ES"/>
        </w:rPr>
        <w:t xml:space="preserve"> </w:t>
      </w:r>
      <w:r w:rsidR="00D57B6E">
        <w:rPr>
          <w:szCs w:val="24"/>
          <w:lang w:val="es-ES"/>
        </w:rPr>
        <w:t xml:space="preserve">gracias a la </w:t>
      </w:r>
      <w:r>
        <w:rPr>
          <w:szCs w:val="24"/>
          <w:lang w:val="es-ES"/>
        </w:rPr>
        <w:t xml:space="preserve">colaboración con </w:t>
      </w:r>
      <w:smartTag w:uri="urn:schemas-microsoft-com:office:smarttags" w:element="PersonName">
        <w:smartTagPr>
          <w:attr w:name="ProductID" w:val="la Fundaci￳n MISA"/>
        </w:smartTagPr>
        <w:r>
          <w:rPr>
            <w:szCs w:val="24"/>
            <w:lang w:val="es-ES"/>
          </w:rPr>
          <w:t>la Fundación MISA</w:t>
        </w:r>
      </w:smartTag>
      <w:r w:rsidR="003023BC">
        <w:rPr>
          <w:szCs w:val="24"/>
          <w:lang w:val="es-ES"/>
        </w:rPr>
        <w:t>,</w:t>
      </w:r>
      <w:r>
        <w:rPr>
          <w:szCs w:val="24"/>
          <w:lang w:val="es-ES"/>
        </w:rPr>
        <w:t xml:space="preserve"> los examinandos también tienen acceso a los textos de </w:t>
      </w:r>
      <w:smartTag w:uri="urn:schemas-microsoft-com:office:smarttags" w:element="PersonName">
        <w:smartTagPr>
          <w:attr w:name="ProductID" w:val="la Constituci￳n"/>
        </w:smartTagPr>
        <w:r>
          <w:rPr>
            <w:szCs w:val="24"/>
            <w:lang w:val="es-ES"/>
          </w:rPr>
          <w:t>la Constitución</w:t>
        </w:r>
      </w:smartTag>
      <w:r>
        <w:rPr>
          <w:szCs w:val="24"/>
          <w:lang w:val="es-ES"/>
        </w:rPr>
        <w:t xml:space="preserve"> de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 y </w:t>
      </w:r>
      <w:r w:rsidR="00D57B6E">
        <w:rPr>
          <w:szCs w:val="24"/>
          <w:lang w:val="es-ES"/>
        </w:rPr>
        <w:t xml:space="preserve">de </w:t>
      </w:r>
      <w:smartTag w:uri="urn:schemas-microsoft-com:office:smarttags" w:element="PersonName">
        <w:smartTagPr>
          <w:attr w:name="ProductID" w:val="La Ley"/>
        </w:smartTagPr>
        <w:r>
          <w:rPr>
            <w:szCs w:val="24"/>
            <w:lang w:val="es-ES"/>
          </w:rPr>
          <w:t>la Ley</w:t>
        </w:r>
      </w:smartTag>
      <w:r>
        <w:rPr>
          <w:szCs w:val="24"/>
          <w:lang w:val="es-ES"/>
        </w:rPr>
        <w:t xml:space="preserve"> de ciudadanía en estonio, junto con diccionarios especiales estonio-ruso y estonio-inglés preparados para el examen.</w:t>
      </w:r>
    </w:p>
    <w:p w:rsidR="008E5C9B" w:rsidRPr="000D1764" w:rsidRDefault="008E5C9B" w:rsidP="00637350">
      <w:pPr>
        <w:pStyle w:val="SingleTxtG"/>
        <w:rPr>
          <w:szCs w:val="24"/>
          <w:lang w:val="es-ES"/>
        </w:rPr>
      </w:pPr>
      <w:r w:rsidRPr="000D1764">
        <w:rPr>
          <w:szCs w:val="24"/>
          <w:lang w:val="es-ES"/>
        </w:rPr>
        <w:t>129.</w:t>
      </w:r>
      <w:r w:rsidRPr="000D1764">
        <w:rPr>
          <w:szCs w:val="24"/>
          <w:lang w:val="es-ES"/>
        </w:rPr>
        <w:tab/>
      </w:r>
      <w:r>
        <w:rPr>
          <w:szCs w:val="24"/>
          <w:lang w:val="es-ES"/>
        </w:rPr>
        <w:t xml:space="preserve">Por lo que respecta al dominio del estonio entre los estudiantes de </w:t>
      </w:r>
      <w:r w:rsidR="003023BC">
        <w:rPr>
          <w:szCs w:val="24"/>
          <w:lang w:val="es-ES"/>
        </w:rPr>
        <w:t xml:space="preserve">las </w:t>
      </w:r>
      <w:r>
        <w:rPr>
          <w:szCs w:val="24"/>
          <w:lang w:val="es-ES"/>
        </w:rPr>
        <w:t>e</w:t>
      </w:r>
      <w:r w:rsidR="006329AA">
        <w:rPr>
          <w:szCs w:val="24"/>
          <w:lang w:val="es-ES"/>
        </w:rPr>
        <w:t>scuelas cuya lengua de instrucción</w:t>
      </w:r>
      <w:r>
        <w:rPr>
          <w:szCs w:val="24"/>
          <w:lang w:val="es-ES"/>
        </w:rPr>
        <w:t xml:space="preserve"> es distinta, </w:t>
      </w:r>
      <w:r w:rsidR="003023BC">
        <w:rPr>
          <w:szCs w:val="24"/>
          <w:lang w:val="es-ES"/>
        </w:rPr>
        <w:t xml:space="preserve">cabe señalar que </w:t>
      </w:r>
      <w:r>
        <w:rPr>
          <w:szCs w:val="24"/>
          <w:lang w:val="es-ES"/>
        </w:rPr>
        <w:t>el examen final de estonio como segunda lengua está unificado con el examen de</w:t>
      </w:r>
      <w:r w:rsidR="006329AA">
        <w:rPr>
          <w:szCs w:val="24"/>
          <w:lang w:val="es-ES"/>
        </w:rPr>
        <w:t>l</w:t>
      </w:r>
      <w:r>
        <w:rPr>
          <w:szCs w:val="24"/>
          <w:lang w:val="es-ES"/>
        </w:rPr>
        <w:t xml:space="preserve"> nivel B1 de estonio.</w:t>
      </w:r>
      <w:r w:rsidRPr="000D1764">
        <w:rPr>
          <w:szCs w:val="24"/>
          <w:lang w:val="es-ES"/>
        </w:rPr>
        <w:t xml:space="preserve"> </w:t>
      </w:r>
      <w:r>
        <w:rPr>
          <w:szCs w:val="24"/>
          <w:lang w:val="es-ES"/>
        </w:rPr>
        <w:t xml:space="preserve">En consecuencia, </w:t>
      </w:r>
      <w:r w:rsidR="003023BC">
        <w:rPr>
          <w:szCs w:val="24"/>
          <w:lang w:val="es-ES"/>
        </w:rPr>
        <w:t xml:space="preserve">dichos estudiantes </w:t>
      </w:r>
      <w:r>
        <w:rPr>
          <w:szCs w:val="24"/>
          <w:lang w:val="es-ES"/>
        </w:rPr>
        <w:t xml:space="preserve">no tienen que superar una prueba de idioma </w:t>
      </w:r>
      <w:r w:rsidR="00D57B6E">
        <w:rPr>
          <w:szCs w:val="24"/>
          <w:lang w:val="es-ES"/>
        </w:rPr>
        <w:t xml:space="preserve">distinta </w:t>
      </w:r>
      <w:r>
        <w:rPr>
          <w:szCs w:val="24"/>
          <w:lang w:val="es-ES"/>
        </w:rPr>
        <w:t>cuando solicitan la ciudadanía.</w:t>
      </w:r>
    </w:p>
    <w:p w:rsidR="006C2730" w:rsidRPr="000D1764" w:rsidRDefault="006C2730" w:rsidP="00637350">
      <w:pPr>
        <w:pStyle w:val="SingleTxtG"/>
        <w:rPr>
          <w:szCs w:val="24"/>
          <w:lang w:val="es-ES"/>
        </w:rPr>
      </w:pPr>
      <w:r w:rsidRPr="000D1764">
        <w:rPr>
          <w:szCs w:val="24"/>
          <w:lang w:val="es-ES"/>
        </w:rPr>
        <w:t>130.</w:t>
      </w:r>
      <w:r w:rsidRPr="000D1764">
        <w:rPr>
          <w:szCs w:val="24"/>
          <w:lang w:val="es-ES"/>
        </w:rPr>
        <w:tab/>
      </w:r>
      <w:r w:rsidR="002E639A">
        <w:rPr>
          <w:szCs w:val="24"/>
          <w:lang w:val="es-ES"/>
        </w:rPr>
        <w:t>Continúan seleccionándose</w:t>
      </w:r>
      <w:r>
        <w:rPr>
          <w:szCs w:val="24"/>
          <w:lang w:val="es-ES"/>
        </w:rPr>
        <w:t xml:space="preserve"> distintos grupos de población para facilitar</w:t>
      </w:r>
      <w:r w:rsidR="002E639A">
        <w:rPr>
          <w:szCs w:val="24"/>
          <w:lang w:val="es-ES"/>
        </w:rPr>
        <w:t>les</w:t>
      </w:r>
      <w:r>
        <w:rPr>
          <w:szCs w:val="24"/>
          <w:lang w:val="es-ES"/>
        </w:rPr>
        <w:t xml:space="preserve"> el proceso de naturalización.</w:t>
      </w:r>
      <w:r w:rsidRPr="000D1764">
        <w:rPr>
          <w:szCs w:val="24"/>
          <w:lang w:val="es-ES"/>
        </w:rPr>
        <w:t xml:space="preserve"> </w:t>
      </w:r>
      <w:r>
        <w:rPr>
          <w:szCs w:val="24"/>
          <w:lang w:val="es-ES"/>
        </w:rPr>
        <w:t xml:space="preserve">Por ejemplo, </w:t>
      </w:r>
      <w:smartTag w:uri="urn:schemas-microsoft-com:office:smarttags" w:element="PersonName">
        <w:smartTagPr>
          <w:attr w:name="ProductID" w:val="la Fundaci￳n MISA"/>
        </w:smartTagPr>
        <w:r>
          <w:rPr>
            <w:szCs w:val="24"/>
            <w:lang w:val="es-ES"/>
          </w:rPr>
          <w:t>la Fundación MISA</w:t>
        </w:r>
      </w:smartTag>
      <w:r>
        <w:rPr>
          <w:szCs w:val="24"/>
          <w:lang w:val="es-ES"/>
        </w:rPr>
        <w:t xml:space="preserve"> organiza cursos gratuitos de preparación para el examen </w:t>
      </w:r>
      <w:r w:rsidR="00D57B6E">
        <w:rPr>
          <w:szCs w:val="24"/>
          <w:lang w:val="es-ES"/>
        </w:rPr>
        <w:t xml:space="preserve">sobre </w:t>
      </w:r>
      <w:r>
        <w:rPr>
          <w:szCs w:val="24"/>
          <w:lang w:val="es-ES"/>
        </w:rPr>
        <w:t>l</w:t>
      </w:r>
      <w:r w:rsidR="00D57B6E">
        <w:rPr>
          <w:szCs w:val="24"/>
          <w:lang w:val="es-ES"/>
        </w:rPr>
        <w:t>os</w:t>
      </w:r>
      <w:r>
        <w:rPr>
          <w:szCs w:val="24"/>
          <w:lang w:val="es-ES"/>
        </w:rPr>
        <w:t xml:space="preserve"> conocimiento</w:t>
      </w:r>
      <w:r w:rsidR="00D57B6E">
        <w:rPr>
          <w:szCs w:val="24"/>
          <w:lang w:val="es-ES"/>
        </w:rPr>
        <w:t>s</w:t>
      </w:r>
      <w:r>
        <w:rPr>
          <w:szCs w:val="24"/>
          <w:lang w:val="es-ES"/>
        </w:rPr>
        <w:t xml:space="preserve"> de </w:t>
      </w:r>
      <w:smartTag w:uri="urn:schemas-microsoft-com:office:smarttags" w:element="PersonName">
        <w:smartTagPr>
          <w:attr w:name="ProductID" w:val="la Constituci￳n"/>
        </w:smartTagPr>
        <w:r>
          <w:rPr>
            <w:szCs w:val="24"/>
            <w:lang w:val="es-ES"/>
          </w:rPr>
          <w:t>la Constitución</w:t>
        </w:r>
      </w:smartTag>
      <w:r>
        <w:rPr>
          <w:szCs w:val="24"/>
          <w:lang w:val="es-ES"/>
        </w:rPr>
        <w:t xml:space="preserve"> de Estonia y </w:t>
      </w:r>
      <w:smartTag w:uri="urn:schemas-microsoft-com:office:smarttags" w:element="PersonName">
        <w:smartTagPr>
          <w:attr w:name="ProductID" w:val="La Ley"/>
        </w:smartTagPr>
        <w:r>
          <w:rPr>
            <w:szCs w:val="24"/>
            <w:lang w:val="es-ES"/>
          </w:rPr>
          <w:t>la Ley</w:t>
        </w:r>
      </w:smartTag>
      <w:r>
        <w:rPr>
          <w:szCs w:val="24"/>
          <w:lang w:val="es-ES"/>
        </w:rPr>
        <w:t xml:space="preserve"> de ciudadanía.</w:t>
      </w:r>
      <w:r w:rsidRPr="000D1764">
        <w:rPr>
          <w:szCs w:val="24"/>
          <w:lang w:val="es-ES"/>
        </w:rPr>
        <w:t xml:space="preserve"> </w:t>
      </w:r>
      <w:r>
        <w:rPr>
          <w:szCs w:val="24"/>
          <w:lang w:val="es-ES"/>
        </w:rPr>
        <w:t xml:space="preserve">También ofrece cursos gratuitos de estonio y </w:t>
      </w:r>
      <w:r w:rsidR="002E639A">
        <w:rPr>
          <w:szCs w:val="24"/>
          <w:lang w:val="es-ES"/>
        </w:rPr>
        <w:t xml:space="preserve">el reembolso del </w:t>
      </w:r>
      <w:r w:rsidR="00D57B6E">
        <w:rPr>
          <w:szCs w:val="24"/>
          <w:lang w:val="es-ES"/>
        </w:rPr>
        <w:t xml:space="preserve">dinero invertido en esos cursos </w:t>
      </w:r>
      <w:r>
        <w:rPr>
          <w:szCs w:val="24"/>
          <w:lang w:val="es-ES"/>
        </w:rPr>
        <w:t xml:space="preserve">a los solicitantes de </w:t>
      </w:r>
      <w:r w:rsidR="00D57B6E">
        <w:rPr>
          <w:szCs w:val="24"/>
          <w:lang w:val="es-ES"/>
        </w:rPr>
        <w:t xml:space="preserve">la </w:t>
      </w:r>
      <w:r>
        <w:rPr>
          <w:szCs w:val="24"/>
          <w:lang w:val="es-ES"/>
        </w:rPr>
        <w:t>ciudadanía.</w:t>
      </w:r>
    </w:p>
    <w:p w:rsidR="00CC2203" w:rsidRPr="000D1764" w:rsidRDefault="00CC2203" w:rsidP="00637350">
      <w:pPr>
        <w:pStyle w:val="SingleTxtG"/>
        <w:rPr>
          <w:szCs w:val="24"/>
          <w:lang w:val="es-ES"/>
        </w:rPr>
      </w:pPr>
      <w:r w:rsidRPr="000D1764">
        <w:rPr>
          <w:szCs w:val="24"/>
          <w:lang w:val="es-ES"/>
        </w:rPr>
        <w:t>131.</w:t>
      </w:r>
      <w:r w:rsidRPr="000D1764">
        <w:rPr>
          <w:szCs w:val="24"/>
          <w:lang w:val="es-ES"/>
        </w:rPr>
        <w:tab/>
      </w:r>
      <w:r>
        <w:rPr>
          <w:szCs w:val="24"/>
          <w:lang w:val="es-ES"/>
        </w:rPr>
        <w:t xml:space="preserve">Además de reembolsar </w:t>
      </w:r>
      <w:r w:rsidR="00D57B6E">
        <w:rPr>
          <w:szCs w:val="24"/>
          <w:lang w:val="es-ES"/>
        </w:rPr>
        <w:t>e</w:t>
      </w:r>
      <w:r>
        <w:rPr>
          <w:szCs w:val="24"/>
          <w:lang w:val="es-ES"/>
        </w:rPr>
        <w:t xml:space="preserve">l </w:t>
      </w:r>
      <w:r w:rsidR="00D57B6E">
        <w:rPr>
          <w:szCs w:val="24"/>
          <w:lang w:val="es-ES"/>
        </w:rPr>
        <w:t>dinero invertido</w:t>
      </w:r>
      <w:r>
        <w:rPr>
          <w:szCs w:val="24"/>
          <w:lang w:val="es-ES"/>
        </w:rPr>
        <w:t xml:space="preserve"> </w:t>
      </w:r>
      <w:r w:rsidR="00D57B6E">
        <w:rPr>
          <w:szCs w:val="24"/>
          <w:lang w:val="es-ES"/>
        </w:rPr>
        <w:t xml:space="preserve">en </w:t>
      </w:r>
      <w:r>
        <w:rPr>
          <w:szCs w:val="24"/>
          <w:lang w:val="es-ES"/>
        </w:rPr>
        <w:t>el estudio del idioma conforme a l</w:t>
      </w:r>
      <w:r w:rsidR="00D57B6E">
        <w:rPr>
          <w:szCs w:val="24"/>
          <w:lang w:val="es-ES"/>
        </w:rPr>
        <w:t xml:space="preserve">o previsto en </w:t>
      </w:r>
      <w:smartTag w:uri="urn:schemas-microsoft-com:office:smarttags" w:element="PersonName">
        <w:smartTagPr>
          <w:attr w:name="ProductID" w:val="La Ley"/>
        </w:smartTagPr>
        <w:r w:rsidR="00D57B6E">
          <w:rPr>
            <w:szCs w:val="24"/>
            <w:lang w:val="es-ES"/>
          </w:rPr>
          <w:t>la</w:t>
        </w:r>
        <w:r>
          <w:rPr>
            <w:szCs w:val="24"/>
            <w:lang w:val="es-ES"/>
          </w:rPr>
          <w:t xml:space="preserve"> Ley</w:t>
        </w:r>
      </w:smartTag>
      <w:r>
        <w:rPr>
          <w:szCs w:val="24"/>
          <w:lang w:val="es-ES"/>
        </w:rPr>
        <w:t xml:space="preserve"> de ciudadanía, también se han ampliado las </w:t>
      </w:r>
      <w:r w:rsidR="00D57B6E">
        <w:rPr>
          <w:szCs w:val="24"/>
          <w:lang w:val="es-ES"/>
        </w:rPr>
        <w:t xml:space="preserve">oportunidades </w:t>
      </w:r>
      <w:r>
        <w:rPr>
          <w:szCs w:val="24"/>
          <w:lang w:val="es-ES"/>
        </w:rPr>
        <w:t xml:space="preserve">de estudiar el estonio </w:t>
      </w:r>
      <w:r w:rsidR="006705AF">
        <w:rPr>
          <w:szCs w:val="24"/>
          <w:lang w:val="es-ES"/>
        </w:rPr>
        <w:t xml:space="preserve">de forma </w:t>
      </w:r>
      <w:r>
        <w:rPr>
          <w:szCs w:val="24"/>
          <w:lang w:val="es-ES"/>
        </w:rPr>
        <w:t>gratuita.</w:t>
      </w:r>
      <w:r w:rsidRPr="000D1764">
        <w:rPr>
          <w:szCs w:val="24"/>
          <w:lang w:val="es-ES"/>
        </w:rPr>
        <w:t xml:space="preserve"> </w:t>
      </w:r>
      <w:r>
        <w:rPr>
          <w:szCs w:val="24"/>
          <w:lang w:val="es-ES"/>
        </w:rPr>
        <w:t xml:space="preserve">En otoño de 2009 se pusieron en marcha programas financiados </w:t>
      </w:r>
      <w:r w:rsidR="006705AF">
        <w:rPr>
          <w:szCs w:val="24"/>
          <w:lang w:val="es-ES"/>
        </w:rPr>
        <w:t>con cargo a</w:t>
      </w:r>
      <w:r>
        <w:rPr>
          <w:szCs w:val="24"/>
          <w:lang w:val="es-ES"/>
        </w:rPr>
        <w:t xml:space="preserve">l Fondo </w:t>
      </w:r>
      <w:r w:rsidR="006705AF">
        <w:rPr>
          <w:szCs w:val="24"/>
          <w:lang w:val="es-ES"/>
        </w:rPr>
        <w:t>e</w:t>
      </w:r>
      <w:r>
        <w:rPr>
          <w:szCs w:val="24"/>
          <w:lang w:val="es-ES"/>
        </w:rPr>
        <w:t xml:space="preserve">uropeo para la </w:t>
      </w:r>
      <w:r w:rsidR="006705AF">
        <w:rPr>
          <w:szCs w:val="24"/>
          <w:lang w:val="es-ES"/>
        </w:rPr>
        <w:t>i</w:t>
      </w:r>
      <w:r>
        <w:rPr>
          <w:szCs w:val="24"/>
          <w:lang w:val="es-ES"/>
        </w:rPr>
        <w:t xml:space="preserve">ntegración de </w:t>
      </w:r>
      <w:r w:rsidR="006705AF">
        <w:rPr>
          <w:szCs w:val="24"/>
          <w:lang w:val="es-ES"/>
        </w:rPr>
        <w:t>n</w:t>
      </w:r>
      <w:r>
        <w:rPr>
          <w:szCs w:val="24"/>
          <w:lang w:val="es-ES"/>
        </w:rPr>
        <w:t xml:space="preserve">acionales de </w:t>
      </w:r>
      <w:r w:rsidR="006705AF">
        <w:rPr>
          <w:szCs w:val="24"/>
          <w:lang w:val="es-ES"/>
        </w:rPr>
        <w:t>t</w:t>
      </w:r>
      <w:r>
        <w:rPr>
          <w:szCs w:val="24"/>
          <w:lang w:val="es-ES"/>
        </w:rPr>
        <w:t xml:space="preserve">erceros </w:t>
      </w:r>
      <w:r w:rsidR="006705AF">
        <w:rPr>
          <w:szCs w:val="24"/>
          <w:lang w:val="es-ES"/>
        </w:rPr>
        <w:t>p</w:t>
      </w:r>
      <w:r>
        <w:rPr>
          <w:szCs w:val="24"/>
          <w:lang w:val="es-ES"/>
        </w:rPr>
        <w:t>aíses y el Fondo Social Europeo.</w:t>
      </w:r>
      <w:r w:rsidRPr="000D1764">
        <w:rPr>
          <w:szCs w:val="24"/>
          <w:lang w:val="es-ES"/>
        </w:rPr>
        <w:t xml:space="preserve"> </w:t>
      </w:r>
      <w:r>
        <w:rPr>
          <w:szCs w:val="24"/>
          <w:lang w:val="es-ES"/>
        </w:rPr>
        <w:t xml:space="preserve">Esos programas permiten ofrecer cursos </w:t>
      </w:r>
      <w:r w:rsidR="006705AF">
        <w:rPr>
          <w:szCs w:val="24"/>
          <w:lang w:val="es-ES"/>
        </w:rPr>
        <w:t xml:space="preserve">de estonio y de </w:t>
      </w:r>
      <w:r>
        <w:rPr>
          <w:szCs w:val="24"/>
          <w:lang w:val="es-ES"/>
        </w:rPr>
        <w:t xml:space="preserve">preparación </w:t>
      </w:r>
      <w:r w:rsidR="002E639A">
        <w:rPr>
          <w:szCs w:val="24"/>
          <w:lang w:val="es-ES"/>
        </w:rPr>
        <w:t>al</w:t>
      </w:r>
      <w:r>
        <w:rPr>
          <w:szCs w:val="24"/>
          <w:lang w:val="es-ES"/>
        </w:rPr>
        <w:t xml:space="preserve"> examen para la obtención de </w:t>
      </w:r>
      <w:r w:rsidR="006705AF">
        <w:rPr>
          <w:szCs w:val="24"/>
          <w:lang w:val="es-ES"/>
        </w:rPr>
        <w:t xml:space="preserve">la </w:t>
      </w:r>
      <w:r>
        <w:rPr>
          <w:szCs w:val="24"/>
          <w:lang w:val="es-ES"/>
        </w:rPr>
        <w:t>ciudadanía</w:t>
      </w:r>
      <w:r w:rsidR="006705AF">
        <w:rPr>
          <w:szCs w:val="24"/>
          <w:lang w:val="es-ES"/>
        </w:rPr>
        <w:t xml:space="preserve"> a </w:t>
      </w:r>
      <w:r>
        <w:rPr>
          <w:szCs w:val="24"/>
          <w:lang w:val="es-ES"/>
        </w:rPr>
        <w:t xml:space="preserve">todas las personas con ciudadanía indeterminada o a ciudadanos de terceros países, </w:t>
      </w:r>
      <w:r w:rsidR="006705AF">
        <w:rPr>
          <w:szCs w:val="24"/>
          <w:lang w:val="es-ES"/>
        </w:rPr>
        <w:t xml:space="preserve">independientemente de que tengan la </w:t>
      </w:r>
      <w:r w:rsidR="00E572F9">
        <w:rPr>
          <w:szCs w:val="24"/>
          <w:lang w:val="es-ES"/>
        </w:rPr>
        <w:t>intención de presentarse al</w:t>
      </w:r>
      <w:r w:rsidR="006705AF">
        <w:rPr>
          <w:szCs w:val="24"/>
          <w:lang w:val="es-ES"/>
        </w:rPr>
        <w:t xml:space="preserve"> </w:t>
      </w:r>
      <w:r>
        <w:rPr>
          <w:szCs w:val="24"/>
          <w:lang w:val="es-ES"/>
        </w:rPr>
        <w:t>examen.</w:t>
      </w:r>
    </w:p>
    <w:p w:rsidR="00BC3CCC" w:rsidRDefault="00BC3CCC" w:rsidP="00637350">
      <w:pPr>
        <w:pStyle w:val="SingleTxtG"/>
        <w:rPr>
          <w:szCs w:val="24"/>
          <w:lang w:val="es-ES"/>
        </w:rPr>
      </w:pPr>
      <w:r w:rsidRPr="000D1764">
        <w:rPr>
          <w:szCs w:val="24"/>
          <w:lang w:val="es-ES"/>
        </w:rPr>
        <w:t>132.</w:t>
      </w:r>
      <w:r w:rsidRPr="000D1764">
        <w:rPr>
          <w:szCs w:val="24"/>
          <w:lang w:val="es-ES"/>
        </w:rPr>
        <w:tab/>
      </w:r>
      <w:r w:rsidR="003023BC">
        <w:rPr>
          <w:szCs w:val="24"/>
          <w:lang w:val="es-ES"/>
        </w:rPr>
        <w:t>También se continúa</w:t>
      </w:r>
      <w:r w:rsidR="00782822">
        <w:rPr>
          <w:szCs w:val="24"/>
          <w:lang w:val="es-ES"/>
        </w:rPr>
        <w:t xml:space="preserve"> brindando</w:t>
      </w:r>
      <w:r>
        <w:rPr>
          <w:szCs w:val="24"/>
          <w:lang w:val="es-ES"/>
        </w:rPr>
        <w:t xml:space="preserve"> asesoramiento personal </w:t>
      </w:r>
      <w:r w:rsidR="00EE5B05">
        <w:rPr>
          <w:szCs w:val="24"/>
          <w:lang w:val="es-ES"/>
        </w:rPr>
        <w:t>a</w:t>
      </w:r>
      <w:r>
        <w:rPr>
          <w:szCs w:val="24"/>
          <w:lang w:val="es-ES"/>
        </w:rPr>
        <w:t xml:space="preserve"> las personas con ciudadanía indeterminada.</w:t>
      </w:r>
      <w:r w:rsidRPr="000D1764">
        <w:rPr>
          <w:szCs w:val="24"/>
          <w:lang w:val="es-ES"/>
        </w:rPr>
        <w:t xml:space="preserve"> </w:t>
      </w:r>
      <w:r>
        <w:rPr>
          <w:szCs w:val="24"/>
          <w:lang w:val="es-ES"/>
        </w:rPr>
        <w:t>Entre octubre de 2008 y octubre de 2010 se llevaron a cabo tres análisis estadísticos sobre las personas con ciudadanía indeterminada, por grupos de edad y condados.</w:t>
      </w:r>
      <w:r w:rsidRPr="000D1764">
        <w:rPr>
          <w:szCs w:val="24"/>
          <w:lang w:val="es-ES"/>
        </w:rPr>
        <w:t xml:space="preserve"> </w:t>
      </w:r>
      <w:r w:rsidR="00336A77">
        <w:rPr>
          <w:szCs w:val="24"/>
          <w:lang w:val="es-ES"/>
        </w:rPr>
        <w:t xml:space="preserve">Se prestó especial </w:t>
      </w:r>
      <w:r>
        <w:rPr>
          <w:szCs w:val="24"/>
          <w:lang w:val="es-ES"/>
        </w:rPr>
        <w:t xml:space="preserve">atención </w:t>
      </w:r>
      <w:r w:rsidR="00336A77">
        <w:rPr>
          <w:szCs w:val="24"/>
          <w:lang w:val="es-ES"/>
        </w:rPr>
        <w:t xml:space="preserve">al </w:t>
      </w:r>
      <w:r>
        <w:rPr>
          <w:szCs w:val="24"/>
          <w:lang w:val="es-ES"/>
        </w:rPr>
        <w:t xml:space="preserve">grupo de edad de </w:t>
      </w:r>
      <w:smartTag w:uri="urn:schemas-microsoft-com:office:smarttags" w:element="metricconverter">
        <w:smartTagPr>
          <w:attr w:name="ProductID" w:val="0 a"/>
        </w:smartTagPr>
        <w:r>
          <w:rPr>
            <w:szCs w:val="24"/>
            <w:lang w:val="es-ES"/>
          </w:rPr>
          <w:t>0 a</w:t>
        </w:r>
      </w:smartTag>
      <w:r>
        <w:rPr>
          <w:szCs w:val="24"/>
          <w:lang w:val="es-ES"/>
        </w:rPr>
        <w:t xml:space="preserve"> 14 años (</w:t>
      </w:r>
      <w:r w:rsidR="00336A77">
        <w:rPr>
          <w:szCs w:val="24"/>
          <w:lang w:val="es-ES"/>
        </w:rPr>
        <w:t xml:space="preserve">pueden obtener </w:t>
      </w:r>
      <w:r>
        <w:rPr>
          <w:szCs w:val="24"/>
          <w:lang w:val="es-ES"/>
        </w:rPr>
        <w:t xml:space="preserve">la ciudadanía estonia mediante un procedimiento simplificado) y </w:t>
      </w:r>
      <w:r w:rsidR="00336A77">
        <w:rPr>
          <w:szCs w:val="24"/>
          <w:lang w:val="es-ES"/>
        </w:rPr>
        <w:t xml:space="preserve">a </w:t>
      </w:r>
      <w:r>
        <w:rPr>
          <w:szCs w:val="24"/>
          <w:lang w:val="es-ES"/>
        </w:rPr>
        <w:t xml:space="preserve">los jóvenes de </w:t>
      </w:r>
      <w:smartTag w:uri="urn:schemas-microsoft-com:office:smarttags" w:element="metricconverter">
        <w:smartTagPr>
          <w:attr w:name="ProductID" w:val="15 a"/>
        </w:smartTagPr>
        <w:r>
          <w:rPr>
            <w:szCs w:val="24"/>
            <w:lang w:val="es-ES"/>
          </w:rPr>
          <w:t>15 a</w:t>
        </w:r>
      </w:smartTag>
      <w:r>
        <w:rPr>
          <w:szCs w:val="24"/>
          <w:lang w:val="es-ES"/>
        </w:rPr>
        <w:t xml:space="preserve"> 20 años. Como </w:t>
      </w:r>
      <w:r w:rsidR="00336A77">
        <w:rPr>
          <w:szCs w:val="24"/>
          <w:lang w:val="es-ES"/>
        </w:rPr>
        <w:t xml:space="preserve">labor </w:t>
      </w:r>
      <w:r>
        <w:rPr>
          <w:szCs w:val="24"/>
          <w:lang w:val="es-ES"/>
        </w:rPr>
        <w:t xml:space="preserve">preliminar, </w:t>
      </w:r>
      <w:smartTag w:uri="urn:schemas-microsoft-com:office:smarttags" w:element="PersonName">
        <w:smartTagPr>
          <w:attr w:name="ProductID" w:val="La Junta"/>
        </w:smartTagPr>
        <w:r>
          <w:rPr>
            <w:szCs w:val="24"/>
            <w:lang w:val="es-ES"/>
          </w:rPr>
          <w:t>la Junta</w:t>
        </w:r>
      </w:smartTag>
      <w:r>
        <w:rPr>
          <w:szCs w:val="24"/>
          <w:lang w:val="es-ES"/>
        </w:rPr>
        <w:t xml:space="preserve"> de </w:t>
      </w:r>
      <w:smartTag w:uri="urn:schemas-microsoft-com:office:smarttags" w:element="PersonName">
        <w:smartTagPr>
          <w:attr w:name="ProductID" w:val="la Polic￭a"/>
        </w:smartTagPr>
        <w:r>
          <w:rPr>
            <w:szCs w:val="24"/>
            <w:lang w:val="es-ES"/>
          </w:rPr>
          <w:t>la Policía</w:t>
        </w:r>
      </w:smartTag>
      <w:r>
        <w:rPr>
          <w:szCs w:val="24"/>
          <w:lang w:val="es-ES"/>
        </w:rPr>
        <w:t xml:space="preserve"> y </w:t>
      </w:r>
      <w:smartTag w:uri="urn:schemas-microsoft-com:office:smarttags" w:element="PersonName">
        <w:smartTagPr>
          <w:attr w:name="ProductID" w:val="la Guardia"/>
        </w:smartTagPr>
        <w:r>
          <w:rPr>
            <w:szCs w:val="24"/>
            <w:lang w:val="es-ES"/>
          </w:rPr>
          <w:t>la Guardia</w:t>
        </w:r>
      </w:smartTag>
      <w:r>
        <w:rPr>
          <w:szCs w:val="24"/>
          <w:lang w:val="es-ES"/>
        </w:rPr>
        <w:t xml:space="preserve"> de Fronteras comprobó los datos correspondientes a cada niño y sus padres, y evaluó si cumplían los requisitos establecidos en </w:t>
      </w:r>
      <w:smartTag w:uri="urn:schemas-microsoft-com:office:smarttags" w:element="PersonName">
        <w:smartTagPr>
          <w:attr w:name="ProductID" w:val="La Ley"/>
        </w:smartTagPr>
        <w:r>
          <w:rPr>
            <w:szCs w:val="24"/>
            <w:lang w:val="es-ES"/>
          </w:rPr>
          <w:t>la Ley</w:t>
        </w:r>
      </w:smartTag>
      <w:r>
        <w:rPr>
          <w:szCs w:val="24"/>
          <w:lang w:val="es-ES"/>
        </w:rPr>
        <w:t xml:space="preserve"> de </w:t>
      </w:r>
      <w:r w:rsidR="005554AF">
        <w:rPr>
          <w:szCs w:val="24"/>
          <w:lang w:val="es-ES"/>
        </w:rPr>
        <w:t xml:space="preserve">ciudadanía </w:t>
      </w:r>
      <w:r>
        <w:rPr>
          <w:szCs w:val="24"/>
          <w:lang w:val="es-ES"/>
        </w:rPr>
        <w:t>para adquirirla.</w:t>
      </w:r>
      <w:r w:rsidRPr="000D1764">
        <w:rPr>
          <w:szCs w:val="24"/>
          <w:lang w:val="es-ES"/>
        </w:rPr>
        <w:t xml:space="preserve"> </w:t>
      </w:r>
      <w:r>
        <w:rPr>
          <w:szCs w:val="24"/>
          <w:lang w:val="es-ES"/>
        </w:rPr>
        <w:t>A continuación</w:t>
      </w:r>
      <w:r w:rsidR="008D70FB">
        <w:rPr>
          <w:szCs w:val="24"/>
          <w:lang w:val="es-ES"/>
        </w:rPr>
        <w:t>,</w:t>
      </w:r>
      <w:r>
        <w:rPr>
          <w:szCs w:val="24"/>
          <w:lang w:val="es-ES"/>
        </w:rPr>
        <w:t xml:space="preserve"> se </w:t>
      </w:r>
      <w:r w:rsidR="002E639A">
        <w:rPr>
          <w:szCs w:val="24"/>
          <w:lang w:val="es-ES"/>
        </w:rPr>
        <w:t>redactaron</w:t>
      </w:r>
      <w:r>
        <w:rPr>
          <w:szCs w:val="24"/>
          <w:lang w:val="es-ES"/>
        </w:rPr>
        <w:t xml:space="preserve"> y enviaron cartas de notificación individuales con la </w:t>
      </w:r>
      <w:r w:rsidR="002E639A">
        <w:rPr>
          <w:szCs w:val="24"/>
          <w:lang w:val="es-ES"/>
        </w:rPr>
        <w:t>firma del Ministro del Interior</w:t>
      </w:r>
      <w:r w:rsidR="001C697F">
        <w:rPr>
          <w:szCs w:val="24"/>
          <w:lang w:val="es-ES"/>
        </w:rPr>
        <w:t xml:space="preserve"> en las que se explicaba </w:t>
      </w:r>
      <w:r>
        <w:rPr>
          <w:szCs w:val="24"/>
          <w:lang w:val="es-ES"/>
        </w:rPr>
        <w:t>l</w:t>
      </w:r>
      <w:r w:rsidR="00336A77">
        <w:rPr>
          <w:szCs w:val="24"/>
          <w:lang w:val="es-ES"/>
        </w:rPr>
        <w:t>a</w:t>
      </w:r>
      <w:r>
        <w:rPr>
          <w:szCs w:val="24"/>
          <w:lang w:val="es-ES"/>
        </w:rPr>
        <w:t xml:space="preserve"> </w:t>
      </w:r>
      <w:r w:rsidR="001C697F">
        <w:rPr>
          <w:szCs w:val="24"/>
          <w:lang w:val="es-ES"/>
        </w:rPr>
        <w:t xml:space="preserve">base </w:t>
      </w:r>
      <w:r>
        <w:rPr>
          <w:szCs w:val="24"/>
          <w:lang w:val="es-ES"/>
        </w:rPr>
        <w:t>jurídic</w:t>
      </w:r>
      <w:r w:rsidR="00336A77">
        <w:rPr>
          <w:szCs w:val="24"/>
          <w:lang w:val="es-ES"/>
        </w:rPr>
        <w:t>a</w:t>
      </w:r>
      <w:r>
        <w:rPr>
          <w:szCs w:val="24"/>
          <w:lang w:val="es-ES"/>
        </w:rPr>
        <w:t xml:space="preserve"> </w:t>
      </w:r>
      <w:r w:rsidR="001C697F">
        <w:rPr>
          <w:szCs w:val="24"/>
          <w:lang w:val="es-ES"/>
        </w:rPr>
        <w:t>para</w:t>
      </w:r>
      <w:r w:rsidR="008D70FB">
        <w:rPr>
          <w:szCs w:val="24"/>
          <w:lang w:val="es-ES"/>
        </w:rPr>
        <w:t xml:space="preserve"> </w:t>
      </w:r>
      <w:r>
        <w:rPr>
          <w:szCs w:val="24"/>
          <w:lang w:val="es-ES"/>
        </w:rPr>
        <w:t>solicitar la ciudadanía estonia y l</w:t>
      </w:r>
      <w:r w:rsidR="00336A77">
        <w:rPr>
          <w:szCs w:val="24"/>
          <w:lang w:val="es-ES"/>
        </w:rPr>
        <w:t>os pasos</w:t>
      </w:r>
      <w:r>
        <w:rPr>
          <w:szCs w:val="24"/>
          <w:lang w:val="es-ES"/>
        </w:rPr>
        <w:t xml:space="preserve"> que deb</w:t>
      </w:r>
      <w:r w:rsidR="008D70FB">
        <w:rPr>
          <w:szCs w:val="24"/>
          <w:lang w:val="es-ES"/>
        </w:rPr>
        <w:t>e</w:t>
      </w:r>
      <w:r>
        <w:rPr>
          <w:szCs w:val="24"/>
          <w:lang w:val="es-ES"/>
        </w:rPr>
        <w:t xml:space="preserve">n </w:t>
      </w:r>
      <w:r w:rsidR="00336A77">
        <w:rPr>
          <w:szCs w:val="24"/>
          <w:lang w:val="es-ES"/>
        </w:rPr>
        <w:t>seguir</w:t>
      </w:r>
      <w:r w:rsidR="003F5582">
        <w:rPr>
          <w:szCs w:val="24"/>
          <w:lang w:val="es-ES"/>
        </w:rPr>
        <w:t>se</w:t>
      </w:r>
      <w:r w:rsidR="00336A77">
        <w:rPr>
          <w:szCs w:val="24"/>
          <w:lang w:val="es-ES"/>
        </w:rPr>
        <w:t xml:space="preserve"> </w:t>
      </w:r>
      <w:r>
        <w:rPr>
          <w:szCs w:val="24"/>
          <w:lang w:val="es-ES"/>
        </w:rPr>
        <w:t>a tal fin.</w:t>
      </w:r>
      <w:r w:rsidRPr="000D1764">
        <w:rPr>
          <w:szCs w:val="24"/>
          <w:lang w:val="es-ES"/>
        </w:rPr>
        <w:t xml:space="preserve"> </w:t>
      </w:r>
      <w:r>
        <w:rPr>
          <w:szCs w:val="24"/>
          <w:lang w:val="es-ES"/>
        </w:rPr>
        <w:t>Se redactaron más de 5.000 cartas de notificación en total.</w:t>
      </w:r>
    </w:p>
    <w:p w:rsidR="00BC3CCC" w:rsidRPr="00BC3CCC" w:rsidRDefault="00452F8A" w:rsidP="00637350">
      <w:pPr>
        <w:pStyle w:val="SingleTxtG"/>
        <w:rPr>
          <w:szCs w:val="24"/>
          <w:lang w:val="es-ES"/>
        </w:rPr>
      </w:pPr>
      <w:r>
        <w:rPr>
          <w:szCs w:val="24"/>
          <w:lang w:val="es-ES"/>
        </w:rPr>
        <w:t>133.</w:t>
      </w:r>
      <w:r w:rsidR="00BC3CCC">
        <w:rPr>
          <w:szCs w:val="24"/>
          <w:lang w:val="es-ES"/>
        </w:rPr>
        <w:tab/>
      </w:r>
      <w:r w:rsidR="00BC3CCC" w:rsidRPr="00BC3CCC">
        <w:rPr>
          <w:szCs w:val="24"/>
          <w:lang w:val="es-ES"/>
        </w:rPr>
        <w:t xml:space="preserve">Además, los funcionarios de </w:t>
      </w:r>
      <w:smartTag w:uri="urn:schemas-microsoft-com:office:smarttags" w:element="PersonName">
        <w:smartTagPr>
          <w:attr w:name="ProductID" w:val="La Junta"/>
        </w:smartTagPr>
        <w:r w:rsidR="00BC3CCC" w:rsidRPr="00BC3CCC">
          <w:rPr>
            <w:szCs w:val="24"/>
            <w:lang w:val="es-ES"/>
          </w:rPr>
          <w:t>la Junta</w:t>
        </w:r>
      </w:smartTag>
      <w:r w:rsidR="00BC3CCC" w:rsidRPr="00BC3CCC">
        <w:rPr>
          <w:szCs w:val="24"/>
          <w:lang w:val="es-ES"/>
        </w:rPr>
        <w:t xml:space="preserve"> de Ciudadanía e Inmigración proporcionan información sobre las opciones </w:t>
      </w:r>
      <w:r w:rsidR="00336A77">
        <w:rPr>
          <w:szCs w:val="24"/>
          <w:lang w:val="es-ES"/>
        </w:rPr>
        <w:t xml:space="preserve">de </w:t>
      </w:r>
      <w:r w:rsidR="00BC3CCC" w:rsidRPr="00BC3CCC">
        <w:rPr>
          <w:szCs w:val="24"/>
          <w:lang w:val="es-ES"/>
        </w:rPr>
        <w:t xml:space="preserve">que </w:t>
      </w:r>
      <w:r w:rsidR="00336A77">
        <w:rPr>
          <w:szCs w:val="24"/>
          <w:lang w:val="es-ES"/>
        </w:rPr>
        <w:t xml:space="preserve">disponen </w:t>
      </w:r>
      <w:r w:rsidR="00BC3CCC" w:rsidRPr="00BC3CCC">
        <w:rPr>
          <w:szCs w:val="24"/>
          <w:lang w:val="es-ES"/>
        </w:rPr>
        <w:t xml:space="preserve">las personas con ciudadanía indeterminada </w:t>
      </w:r>
      <w:r w:rsidR="00336A77">
        <w:rPr>
          <w:szCs w:val="24"/>
          <w:lang w:val="es-ES"/>
        </w:rPr>
        <w:t xml:space="preserve">para </w:t>
      </w:r>
      <w:r w:rsidR="00BC3CCC" w:rsidRPr="00BC3CCC">
        <w:rPr>
          <w:szCs w:val="24"/>
          <w:lang w:val="es-ES"/>
        </w:rPr>
        <w:t>solicitar la ciudadanía estonia, y se ofrece asimismo información y asesoramiento por teléfono.</w:t>
      </w:r>
    </w:p>
    <w:p w:rsidR="00403912" w:rsidRPr="000D1764" w:rsidRDefault="00452F8A" w:rsidP="00637350">
      <w:pPr>
        <w:pStyle w:val="SingleTxtG"/>
        <w:rPr>
          <w:szCs w:val="24"/>
          <w:lang w:val="es-ES"/>
        </w:rPr>
      </w:pPr>
      <w:r>
        <w:rPr>
          <w:szCs w:val="24"/>
          <w:lang w:val="es-ES"/>
        </w:rPr>
        <w:t>134.</w:t>
      </w:r>
      <w:r>
        <w:rPr>
          <w:szCs w:val="24"/>
          <w:lang w:val="es-ES"/>
        </w:rPr>
        <w:tab/>
      </w:r>
      <w:r w:rsidR="00403912">
        <w:rPr>
          <w:szCs w:val="24"/>
          <w:lang w:val="es-ES"/>
        </w:rPr>
        <w:t>Desde octubre de 2008 se han impartido clases informativas y se han celebrado rondas de consultas en las escuelas para los niños con ciudadanía indeterminada.</w:t>
      </w:r>
      <w:r w:rsidR="00403912" w:rsidRPr="000D1764">
        <w:rPr>
          <w:szCs w:val="24"/>
          <w:lang w:val="es-ES"/>
        </w:rPr>
        <w:t xml:space="preserve"> </w:t>
      </w:r>
      <w:r w:rsidR="00403912">
        <w:rPr>
          <w:szCs w:val="24"/>
          <w:lang w:val="es-ES"/>
        </w:rPr>
        <w:t xml:space="preserve">Se han distribuido materiales que presentan las ventajas de la ciudadanía estonia y explican las opciones </w:t>
      </w:r>
      <w:r w:rsidR="00B4603E">
        <w:rPr>
          <w:szCs w:val="24"/>
          <w:lang w:val="es-ES"/>
        </w:rPr>
        <w:t>disponibles</w:t>
      </w:r>
      <w:r w:rsidR="00403912">
        <w:rPr>
          <w:szCs w:val="24"/>
          <w:lang w:val="es-ES"/>
        </w:rPr>
        <w:t xml:space="preserve"> para adquirirla </w:t>
      </w:r>
      <w:r w:rsidR="00800F1E">
        <w:rPr>
          <w:szCs w:val="24"/>
          <w:lang w:val="es-ES"/>
        </w:rPr>
        <w:t xml:space="preserve">a </w:t>
      </w:r>
      <w:r w:rsidR="00403912">
        <w:rPr>
          <w:szCs w:val="24"/>
          <w:lang w:val="es-ES"/>
        </w:rPr>
        <w:t>personas de diferentes grupos de edad.</w:t>
      </w:r>
    </w:p>
    <w:p w:rsidR="009135E1" w:rsidRPr="000D1764" w:rsidRDefault="009135E1" w:rsidP="00637350">
      <w:pPr>
        <w:pStyle w:val="SingleTxtG"/>
        <w:rPr>
          <w:szCs w:val="24"/>
          <w:lang w:val="es-ES"/>
        </w:rPr>
      </w:pPr>
      <w:r w:rsidRPr="000D1764">
        <w:rPr>
          <w:szCs w:val="24"/>
          <w:lang w:val="es-ES"/>
        </w:rPr>
        <w:t>135.</w:t>
      </w:r>
      <w:r w:rsidRPr="000D1764">
        <w:rPr>
          <w:szCs w:val="24"/>
          <w:lang w:val="es-ES"/>
        </w:rPr>
        <w:tab/>
      </w:r>
      <w:r>
        <w:rPr>
          <w:szCs w:val="24"/>
          <w:lang w:val="es-ES"/>
        </w:rPr>
        <w:t xml:space="preserve">Con el apoyo de </w:t>
      </w:r>
      <w:smartTag w:uri="urn:schemas-microsoft-com:office:smarttags" w:element="PersonName">
        <w:smartTagPr>
          <w:attr w:name="ProductID" w:val="la Fundaci￳n MISA"/>
        </w:smartTagPr>
        <w:r>
          <w:rPr>
            <w:szCs w:val="24"/>
            <w:lang w:val="es-ES"/>
          </w:rPr>
          <w:t>la Fundación MISA</w:t>
        </w:r>
      </w:smartTag>
      <w:r>
        <w:rPr>
          <w:szCs w:val="24"/>
          <w:lang w:val="es-ES"/>
        </w:rPr>
        <w:t xml:space="preserve">, BDA Consulting OÜ llevó a cabo el proyecto </w:t>
      </w:r>
      <w:r w:rsidR="002B491B">
        <w:rPr>
          <w:szCs w:val="24"/>
          <w:lang w:val="es-ES"/>
        </w:rPr>
        <w:t>"</w:t>
      </w:r>
      <w:r>
        <w:rPr>
          <w:szCs w:val="24"/>
          <w:lang w:val="es-ES"/>
        </w:rPr>
        <w:t>Mi hogar – Estonia</w:t>
      </w:r>
      <w:r w:rsidR="002B491B">
        <w:rPr>
          <w:szCs w:val="24"/>
          <w:lang w:val="es-ES"/>
        </w:rPr>
        <w:t>"</w:t>
      </w:r>
      <w:r>
        <w:rPr>
          <w:szCs w:val="24"/>
          <w:lang w:val="es-ES"/>
        </w:rPr>
        <w:t xml:space="preserve">, en cuyo marco se elaboró un DVD con información sobre la ciudadanía estonia dirigido a niños menores de 15 años con ciudadanía indeterminada </w:t>
      </w:r>
      <w:r w:rsidR="00DF7164">
        <w:rPr>
          <w:szCs w:val="24"/>
          <w:lang w:val="es-ES"/>
        </w:rPr>
        <w:t>y a s</w:t>
      </w:r>
      <w:r>
        <w:rPr>
          <w:szCs w:val="24"/>
          <w:lang w:val="es-ES"/>
        </w:rPr>
        <w:t>us padres.</w:t>
      </w:r>
      <w:r w:rsidRPr="000D1764">
        <w:rPr>
          <w:szCs w:val="24"/>
          <w:lang w:val="es-ES"/>
        </w:rPr>
        <w:t xml:space="preserve"> </w:t>
      </w:r>
      <w:r>
        <w:rPr>
          <w:szCs w:val="24"/>
          <w:lang w:val="es-ES"/>
        </w:rPr>
        <w:t>En mayo de 2009 se inauguró la línea telefónica de información gratuita 800</w:t>
      </w:r>
      <w:r w:rsidR="00A2326F">
        <w:rPr>
          <w:szCs w:val="24"/>
          <w:lang w:val="es-ES"/>
        </w:rPr>
        <w:t> </w:t>
      </w:r>
      <w:r>
        <w:rPr>
          <w:szCs w:val="24"/>
          <w:lang w:val="es-ES"/>
        </w:rPr>
        <w:t xml:space="preserve">9999, </w:t>
      </w:r>
      <w:r w:rsidR="00DF7164">
        <w:rPr>
          <w:szCs w:val="24"/>
          <w:lang w:val="es-ES"/>
        </w:rPr>
        <w:t>que</w:t>
      </w:r>
      <w:r>
        <w:rPr>
          <w:szCs w:val="24"/>
          <w:lang w:val="es-ES"/>
        </w:rPr>
        <w:t xml:space="preserve"> </w:t>
      </w:r>
      <w:r w:rsidR="00DF7164">
        <w:rPr>
          <w:szCs w:val="24"/>
          <w:lang w:val="es-ES"/>
        </w:rPr>
        <w:t xml:space="preserve">facilita </w:t>
      </w:r>
      <w:r w:rsidR="003023BC">
        <w:rPr>
          <w:szCs w:val="24"/>
          <w:lang w:val="es-ES"/>
        </w:rPr>
        <w:t>información relativa a</w:t>
      </w:r>
      <w:r>
        <w:rPr>
          <w:szCs w:val="24"/>
          <w:lang w:val="es-ES"/>
        </w:rPr>
        <w:t xml:space="preserve"> </w:t>
      </w:r>
      <w:r w:rsidR="002E639A">
        <w:rPr>
          <w:szCs w:val="24"/>
          <w:lang w:val="es-ES"/>
        </w:rPr>
        <w:t xml:space="preserve">los </w:t>
      </w:r>
      <w:r>
        <w:rPr>
          <w:szCs w:val="24"/>
          <w:lang w:val="es-ES"/>
        </w:rPr>
        <w:t xml:space="preserve">cursos de preparación para </w:t>
      </w:r>
      <w:r w:rsidR="00DF7164">
        <w:rPr>
          <w:szCs w:val="24"/>
          <w:lang w:val="es-ES"/>
        </w:rPr>
        <w:t>e</w:t>
      </w:r>
      <w:r>
        <w:rPr>
          <w:szCs w:val="24"/>
          <w:lang w:val="es-ES"/>
        </w:rPr>
        <w:t xml:space="preserve">l examen </w:t>
      </w:r>
      <w:r w:rsidR="00DF7164">
        <w:rPr>
          <w:szCs w:val="24"/>
          <w:lang w:val="es-ES"/>
        </w:rPr>
        <w:t xml:space="preserve">sobre </w:t>
      </w:r>
      <w:r>
        <w:rPr>
          <w:szCs w:val="24"/>
          <w:lang w:val="es-ES"/>
        </w:rPr>
        <w:t>l</w:t>
      </w:r>
      <w:r w:rsidR="00DF7164">
        <w:rPr>
          <w:szCs w:val="24"/>
          <w:lang w:val="es-ES"/>
        </w:rPr>
        <w:t>os</w:t>
      </w:r>
      <w:r>
        <w:rPr>
          <w:szCs w:val="24"/>
          <w:lang w:val="es-ES"/>
        </w:rPr>
        <w:t xml:space="preserve"> conocimiento</w:t>
      </w:r>
      <w:r w:rsidR="00DF7164">
        <w:rPr>
          <w:szCs w:val="24"/>
          <w:lang w:val="es-ES"/>
        </w:rPr>
        <w:t>s</w:t>
      </w:r>
      <w:r>
        <w:rPr>
          <w:szCs w:val="24"/>
          <w:lang w:val="es-ES"/>
        </w:rPr>
        <w:t xml:space="preserve"> de </w:t>
      </w:r>
      <w:smartTag w:uri="urn:schemas-microsoft-com:office:smarttags" w:element="PersonName">
        <w:smartTagPr>
          <w:attr w:name="ProductID" w:val="La Ley"/>
        </w:smartTagPr>
        <w:r>
          <w:rPr>
            <w:szCs w:val="24"/>
            <w:lang w:val="es-ES"/>
          </w:rPr>
          <w:t>la Ley</w:t>
        </w:r>
      </w:smartTag>
      <w:r>
        <w:rPr>
          <w:szCs w:val="24"/>
          <w:lang w:val="es-ES"/>
        </w:rPr>
        <w:t xml:space="preserve"> de </w:t>
      </w:r>
      <w:r w:rsidR="005554AF">
        <w:rPr>
          <w:szCs w:val="24"/>
          <w:lang w:val="es-ES"/>
        </w:rPr>
        <w:t>ciudadanía</w:t>
      </w:r>
      <w:r w:rsidR="00DF7164">
        <w:rPr>
          <w:szCs w:val="24"/>
          <w:lang w:val="es-ES"/>
        </w:rPr>
        <w:t>,</w:t>
      </w:r>
      <w:r>
        <w:rPr>
          <w:szCs w:val="24"/>
          <w:lang w:val="es-ES"/>
        </w:rPr>
        <w:t xml:space="preserve"> </w:t>
      </w:r>
      <w:r w:rsidR="00DF7164">
        <w:rPr>
          <w:szCs w:val="24"/>
          <w:lang w:val="es-ES"/>
        </w:rPr>
        <w:t xml:space="preserve">así como las </w:t>
      </w:r>
      <w:r>
        <w:rPr>
          <w:szCs w:val="24"/>
          <w:lang w:val="es-ES"/>
        </w:rPr>
        <w:t xml:space="preserve">distintas </w:t>
      </w:r>
      <w:r w:rsidR="00DF7164">
        <w:rPr>
          <w:szCs w:val="24"/>
          <w:lang w:val="es-ES"/>
        </w:rPr>
        <w:t xml:space="preserve">opciones para </w:t>
      </w:r>
      <w:r>
        <w:rPr>
          <w:szCs w:val="24"/>
          <w:lang w:val="es-ES"/>
        </w:rPr>
        <w:t>estudiar estonio.</w:t>
      </w:r>
      <w:r w:rsidRPr="000D1764">
        <w:rPr>
          <w:szCs w:val="24"/>
          <w:lang w:val="es-ES"/>
        </w:rPr>
        <w:t xml:space="preserve"> </w:t>
      </w:r>
      <w:r>
        <w:rPr>
          <w:szCs w:val="24"/>
          <w:lang w:val="es-ES"/>
        </w:rPr>
        <w:t>En la mayoría de los casos, la gente solicita información sobre cur</w:t>
      </w:r>
      <w:r w:rsidR="003023BC">
        <w:rPr>
          <w:szCs w:val="24"/>
          <w:lang w:val="es-ES"/>
        </w:rPr>
        <w:t>sos de estonio gratuitos y</w:t>
      </w:r>
      <w:r>
        <w:rPr>
          <w:szCs w:val="24"/>
          <w:lang w:val="es-ES"/>
        </w:rPr>
        <w:t xml:space="preserve"> el reembolso de los gastos</w:t>
      </w:r>
      <w:r w:rsidR="00DF7164">
        <w:rPr>
          <w:szCs w:val="24"/>
          <w:lang w:val="es-ES"/>
        </w:rPr>
        <w:t xml:space="preserve"> conexos</w:t>
      </w:r>
      <w:r>
        <w:rPr>
          <w:szCs w:val="24"/>
          <w:lang w:val="es-ES"/>
        </w:rPr>
        <w:t xml:space="preserve">; </w:t>
      </w:r>
      <w:r w:rsidR="00DF7164">
        <w:rPr>
          <w:szCs w:val="24"/>
          <w:lang w:val="es-ES"/>
        </w:rPr>
        <w:t xml:space="preserve">asimismo, </w:t>
      </w:r>
      <w:r>
        <w:rPr>
          <w:szCs w:val="24"/>
          <w:lang w:val="es-ES"/>
        </w:rPr>
        <w:t xml:space="preserve">se han realizado inscripciones </w:t>
      </w:r>
      <w:r w:rsidR="00DF7164">
        <w:rPr>
          <w:szCs w:val="24"/>
          <w:lang w:val="es-ES"/>
        </w:rPr>
        <w:t xml:space="preserve">para los </w:t>
      </w:r>
      <w:r>
        <w:rPr>
          <w:szCs w:val="24"/>
          <w:lang w:val="es-ES"/>
        </w:rPr>
        <w:t xml:space="preserve">cursos de preparación </w:t>
      </w:r>
      <w:r w:rsidR="00DF7164">
        <w:rPr>
          <w:szCs w:val="24"/>
          <w:lang w:val="es-ES"/>
        </w:rPr>
        <w:t>d</w:t>
      </w:r>
      <w:r>
        <w:rPr>
          <w:szCs w:val="24"/>
          <w:lang w:val="es-ES"/>
        </w:rPr>
        <w:t xml:space="preserve">el examen </w:t>
      </w:r>
      <w:r w:rsidR="00DF7164">
        <w:rPr>
          <w:szCs w:val="24"/>
          <w:lang w:val="es-ES"/>
        </w:rPr>
        <w:t xml:space="preserve">sobre </w:t>
      </w:r>
      <w:r>
        <w:rPr>
          <w:szCs w:val="24"/>
          <w:lang w:val="es-ES"/>
        </w:rPr>
        <w:t>l</w:t>
      </w:r>
      <w:r w:rsidR="00DF7164">
        <w:rPr>
          <w:szCs w:val="24"/>
          <w:lang w:val="es-ES"/>
        </w:rPr>
        <w:t>os</w:t>
      </w:r>
      <w:r>
        <w:rPr>
          <w:szCs w:val="24"/>
          <w:lang w:val="es-ES"/>
        </w:rPr>
        <w:t xml:space="preserve"> conocimiento</w:t>
      </w:r>
      <w:r w:rsidR="00DF7164">
        <w:rPr>
          <w:szCs w:val="24"/>
          <w:lang w:val="es-ES"/>
        </w:rPr>
        <w:t>s</w:t>
      </w:r>
      <w:r>
        <w:rPr>
          <w:szCs w:val="24"/>
          <w:lang w:val="es-ES"/>
        </w:rPr>
        <w:t xml:space="preserve"> de </w:t>
      </w:r>
      <w:smartTag w:uri="urn:schemas-microsoft-com:office:smarttags" w:element="PersonName">
        <w:smartTagPr>
          <w:attr w:name="ProductID" w:val="la Constituci￳n"/>
        </w:smartTagPr>
        <w:r>
          <w:rPr>
            <w:szCs w:val="24"/>
            <w:lang w:val="es-ES"/>
          </w:rPr>
          <w:t>la Constitución</w:t>
        </w:r>
      </w:smartTag>
      <w:r>
        <w:rPr>
          <w:szCs w:val="24"/>
          <w:lang w:val="es-ES"/>
        </w:rPr>
        <w:t xml:space="preserve"> de Estonia y </w:t>
      </w:r>
      <w:smartTag w:uri="urn:schemas-microsoft-com:office:smarttags" w:element="PersonName">
        <w:smartTagPr>
          <w:attr w:name="ProductID" w:val="La Ley"/>
        </w:smartTagPr>
        <w:r>
          <w:rPr>
            <w:szCs w:val="24"/>
            <w:lang w:val="es-ES"/>
          </w:rPr>
          <w:t>la Ley</w:t>
        </w:r>
      </w:smartTag>
      <w:r>
        <w:rPr>
          <w:szCs w:val="24"/>
          <w:lang w:val="es-ES"/>
        </w:rPr>
        <w:t xml:space="preserve"> de </w:t>
      </w:r>
      <w:r w:rsidR="005554AF">
        <w:rPr>
          <w:szCs w:val="24"/>
          <w:lang w:val="es-ES"/>
        </w:rPr>
        <w:t>ciudadanía</w:t>
      </w:r>
      <w:r>
        <w:rPr>
          <w:szCs w:val="24"/>
          <w:lang w:val="es-ES"/>
        </w:rPr>
        <w:t>.</w:t>
      </w:r>
      <w:r w:rsidRPr="000D1764">
        <w:rPr>
          <w:szCs w:val="24"/>
          <w:lang w:val="es-ES"/>
        </w:rPr>
        <w:t xml:space="preserve"> </w:t>
      </w:r>
      <w:r w:rsidR="00DF7164">
        <w:rPr>
          <w:szCs w:val="24"/>
          <w:lang w:val="es-ES"/>
        </w:rPr>
        <w:t>A efectos de</w:t>
      </w:r>
      <w:r>
        <w:rPr>
          <w:szCs w:val="24"/>
          <w:lang w:val="es-ES"/>
        </w:rPr>
        <w:t xml:space="preserve"> las notificaciones </w:t>
      </w:r>
      <w:r w:rsidR="003023BC">
        <w:rPr>
          <w:szCs w:val="24"/>
          <w:lang w:val="es-ES"/>
        </w:rPr>
        <w:t xml:space="preserve">realizadas </w:t>
      </w:r>
      <w:r>
        <w:rPr>
          <w:szCs w:val="24"/>
          <w:lang w:val="es-ES"/>
        </w:rPr>
        <w:t>a través de Internet</w:t>
      </w:r>
      <w:r w:rsidR="00DF7164">
        <w:rPr>
          <w:szCs w:val="24"/>
          <w:lang w:val="es-ES"/>
        </w:rPr>
        <w:t>,</w:t>
      </w:r>
      <w:r>
        <w:rPr>
          <w:szCs w:val="24"/>
          <w:lang w:val="es-ES"/>
        </w:rPr>
        <w:t xml:space="preserve"> el sitio web </w:t>
      </w:r>
      <w:r w:rsidRPr="008F6BAB">
        <w:rPr>
          <w:szCs w:val="24"/>
          <w:lang w:val="es-ES"/>
        </w:rPr>
        <w:t>www.meis.ee/kodanik</w:t>
      </w:r>
      <w:r>
        <w:rPr>
          <w:szCs w:val="24"/>
          <w:lang w:val="es-ES"/>
        </w:rPr>
        <w:t xml:space="preserve"> </w:t>
      </w:r>
      <w:r w:rsidR="00DF7164">
        <w:rPr>
          <w:szCs w:val="24"/>
          <w:lang w:val="es-ES"/>
        </w:rPr>
        <w:t xml:space="preserve">se actualizó </w:t>
      </w:r>
      <w:r>
        <w:rPr>
          <w:szCs w:val="24"/>
          <w:lang w:val="es-ES"/>
        </w:rPr>
        <w:t xml:space="preserve">con información en estonio, ruso e inglés. </w:t>
      </w:r>
      <w:r w:rsidR="00DF7164">
        <w:rPr>
          <w:szCs w:val="24"/>
          <w:lang w:val="es-ES"/>
        </w:rPr>
        <w:t>T</w:t>
      </w:r>
      <w:r>
        <w:rPr>
          <w:szCs w:val="24"/>
          <w:lang w:val="es-ES"/>
        </w:rPr>
        <w:t xml:space="preserve">ambién </w:t>
      </w:r>
      <w:r w:rsidR="00DF7164">
        <w:rPr>
          <w:szCs w:val="24"/>
          <w:lang w:val="es-ES"/>
        </w:rPr>
        <w:t xml:space="preserve">es posible </w:t>
      </w:r>
      <w:r>
        <w:rPr>
          <w:szCs w:val="24"/>
          <w:lang w:val="es-ES"/>
        </w:rPr>
        <w:t>inscribirse en los cursos a través de es</w:t>
      </w:r>
      <w:r w:rsidR="003F5582">
        <w:rPr>
          <w:szCs w:val="24"/>
          <w:lang w:val="es-ES"/>
        </w:rPr>
        <w:t>t</w:t>
      </w:r>
      <w:r>
        <w:rPr>
          <w:szCs w:val="24"/>
          <w:lang w:val="es-ES"/>
        </w:rPr>
        <w:t>a página web.</w:t>
      </w:r>
      <w:r w:rsidRPr="000D1764">
        <w:rPr>
          <w:szCs w:val="24"/>
          <w:lang w:val="es-ES"/>
        </w:rPr>
        <w:t xml:space="preserve"> </w:t>
      </w:r>
    </w:p>
    <w:p w:rsidR="009135E1" w:rsidRPr="000804D0" w:rsidRDefault="009135E1" w:rsidP="00637350">
      <w:pPr>
        <w:pStyle w:val="H4G"/>
      </w:pPr>
      <w:r w:rsidRPr="000804D0">
        <w:tab/>
        <w:t>iv)</w:t>
      </w:r>
      <w:r w:rsidRPr="000804D0">
        <w:tab/>
        <w:t>El derecho al matrimonio y a la elección del cónyuge</w:t>
      </w:r>
    </w:p>
    <w:p w:rsidR="009135E1" w:rsidRPr="000804D0" w:rsidRDefault="009135E1" w:rsidP="00637350">
      <w:pPr>
        <w:pStyle w:val="H4G"/>
      </w:pPr>
      <w:r w:rsidRPr="000804D0">
        <w:tab/>
        <w:t>v)</w:t>
      </w:r>
      <w:r w:rsidRPr="000804D0">
        <w:tab/>
        <w:t>El derecho a ser propietario, individualmente y en asociación con otros</w:t>
      </w:r>
    </w:p>
    <w:p w:rsidR="009135E1" w:rsidRPr="000804D0" w:rsidRDefault="009135E1" w:rsidP="00637350">
      <w:pPr>
        <w:pStyle w:val="H4G"/>
      </w:pPr>
      <w:r w:rsidRPr="000804D0">
        <w:tab/>
        <w:t>vi)</w:t>
      </w:r>
      <w:r w:rsidRPr="000804D0">
        <w:tab/>
        <w:t>El derecho a heredar</w:t>
      </w:r>
    </w:p>
    <w:p w:rsidR="009135E1" w:rsidRPr="000804D0" w:rsidRDefault="009135E1" w:rsidP="00637350">
      <w:pPr>
        <w:pStyle w:val="H4G"/>
      </w:pPr>
      <w:r w:rsidRPr="000804D0">
        <w:tab/>
        <w:t>viii)</w:t>
      </w:r>
      <w:r w:rsidR="005466A4" w:rsidRPr="000804D0">
        <w:t xml:space="preserve"> </w:t>
      </w:r>
      <w:r w:rsidRPr="000804D0">
        <w:tab/>
        <w:t>El derecho a la libertad de opinión y de expresión</w:t>
      </w:r>
    </w:p>
    <w:p w:rsidR="009135E1" w:rsidRPr="000D1764" w:rsidRDefault="009135E1" w:rsidP="00637350">
      <w:pPr>
        <w:pStyle w:val="SingleTxtG"/>
        <w:rPr>
          <w:szCs w:val="24"/>
          <w:lang w:val="es-ES"/>
        </w:rPr>
      </w:pPr>
      <w:r w:rsidRPr="000D1764">
        <w:rPr>
          <w:szCs w:val="24"/>
          <w:lang w:val="es-ES"/>
        </w:rPr>
        <w:t>136.</w:t>
      </w:r>
      <w:r w:rsidRPr="000D1764">
        <w:rPr>
          <w:szCs w:val="24"/>
          <w:lang w:val="es-ES"/>
        </w:rPr>
        <w:tab/>
      </w:r>
      <w:r>
        <w:rPr>
          <w:szCs w:val="24"/>
          <w:lang w:val="es-ES"/>
        </w:rPr>
        <w:t>Los princip</w:t>
      </w:r>
      <w:r w:rsidR="00DF7164">
        <w:rPr>
          <w:szCs w:val="24"/>
          <w:lang w:val="es-ES"/>
        </w:rPr>
        <w:t>ios e</w:t>
      </w:r>
      <w:r>
        <w:rPr>
          <w:szCs w:val="24"/>
          <w:lang w:val="es-ES"/>
        </w:rPr>
        <w:t xml:space="preserve"> instrumentos jurídicos </w:t>
      </w:r>
      <w:r w:rsidR="00DF7164">
        <w:rPr>
          <w:szCs w:val="24"/>
          <w:lang w:val="es-ES"/>
        </w:rPr>
        <w:t xml:space="preserve">más importantes </w:t>
      </w:r>
      <w:r>
        <w:rPr>
          <w:szCs w:val="24"/>
          <w:lang w:val="es-ES"/>
        </w:rPr>
        <w:t>que regulan es</w:t>
      </w:r>
      <w:r w:rsidR="00DF7164">
        <w:rPr>
          <w:szCs w:val="24"/>
          <w:lang w:val="es-ES"/>
        </w:rPr>
        <w:t>e</w:t>
      </w:r>
      <w:r>
        <w:rPr>
          <w:szCs w:val="24"/>
          <w:lang w:val="es-ES"/>
        </w:rPr>
        <w:t xml:space="preserve"> </w:t>
      </w:r>
      <w:r w:rsidR="00DF7164">
        <w:rPr>
          <w:szCs w:val="24"/>
          <w:lang w:val="es-ES"/>
        </w:rPr>
        <w:t xml:space="preserve">ámbito </w:t>
      </w:r>
      <w:r>
        <w:rPr>
          <w:szCs w:val="24"/>
          <w:lang w:val="es-ES"/>
        </w:rPr>
        <w:t>se presentaron en los informes anteriores.</w:t>
      </w:r>
      <w:r w:rsidRPr="000D1764">
        <w:rPr>
          <w:szCs w:val="24"/>
          <w:lang w:val="es-ES"/>
        </w:rPr>
        <w:t xml:space="preserve"> </w:t>
      </w:r>
      <w:r w:rsidR="00DF7164">
        <w:rPr>
          <w:szCs w:val="24"/>
          <w:lang w:val="es-ES"/>
        </w:rPr>
        <w:t xml:space="preserve">Deseamos </w:t>
      </w:r>
      <w:r>
        <w:rPr>
          <w:szCs w:val="24"/>
          <w:lang w:val="es-ES"/>
        </w:rPr>
        <w:t>señalar algunos de los principales cambios que se han producido.</w:t>
      </w:r>
    </w:p>
    <w:p w:rsidR="00FC642F" w:rsidRDefault="00FC642F" w:rsidP="00637350">
      <w:pPr>
        <w:pStyle w:val="SingleTxtG"/>
        <w:rPr>
          <w:szCs w:val="24"/>
          <w:lang w:val="es-ES"/>
        </w:rPr>
      </w:pPr>
      <w:r>
        <w:rPr>
          <w:szCs w:val="24"/>
          <w:lang w:val="es-ES"/>
        </w:rPr>
        <w:t>137.</w:t>
      </w:r>
      <w:r>
        <w:rPr>
          <w:szCs w:val="24"/>
          <w:lang w:val="es-ES"/>
        </w:rPr>
        <w:tab/>
        <w:t xml:space="preserve">De conformidad con </w:t>
      </w:r>
      <w:smartTag w:uri="urn:schemas-microsoft-com:office:smarttags" w:element="PersonName">
        <w:smartTagPr>
          <w:attr w:name="ProductID" w:val="La Ley"/>
        </w:smartTagPr>
        <w:r>
          <w:rPr>
            <w:szCs w:val="24"/>
            <w:lang w:val="es-ES"/>
          </w:rPr>
          <w:t>la Ley</w:t>
        </w:r>
      </w:smartTag>
      <w:r>
        <w:rPr>
          <w:szCs w:val="24"/>
          <w:lang w:val="es-ES"/>
        </w:rPr>
        <w:t xml:space="preserve"> de derecho de propiedad</w:t>
      </w:r>
      <w:r>
        <w:rPr>
          <w:rStyle w:val="FootnoteReference"/>
          <w:szCs w:val="24"/>
          <w:lang w:val="es-ES"/>
        </w:rPr>
        <w:footnoteReference w:id="33"/>
      </w:r>
      <w:r>
        <w:rPr>
          <w:szCs w:val="24"/>
          <w:lang w:val="es-ES"/>
        </w:rPr>
        <w:t xml:space="preserve">, toda persona tiene derecho a adquirir inmuebles, a menos que la ley disponga lo contrario. Durante el período que examina el presente informe, </w:t>
      </w:r>
      <w:smartTag w:uri="urn:schemas-microsoft-com:office:smarttags" w:element="PersonName">
        <w:smartTagPr>
          <w:attr w:name="ProductID" w:val="La Ley"/>
        </w:smartTagPr>
        <w:r>
          <w:rPr>
            <w:szCs w:val="24"/>
            <w:lang w:val="es-ES"/>
          </w:rPr>
          <w:t>la Ley</w:t>
        </w:r>
      </w:smartTag>
      <w:r>
        <w:rPr>
          <w:szCs w:val="24"/>
          <w:lang w:val="es-ES"/>
        </w:rPr>
        <w:t xml:space="preserve"> de restricciones sobre la adquisición de inmuebles</w:t>
      </w:r>
      <w:r>
        <w:rPr>
          <w:rStyle w:val="FootnoteReference"/>
          <w:szCs w:val="24"/>
          <w:lang w:val="es-ES"/>
        </w:rPr>
        <w:footnoteReference w:id="34"/>
      </w:r>
      <w:r>
        <w:rPr>
          <w:szCs w:val="24"/>
          <w:lang w:val="es-ES"/>
        </w:rPr>
        <w:t xml:space="preserve"> se modificó con respecto a los casos en que un extranjero que desea adquirir un inmueble es ciudadano de un Estado que es parte contratante en el Acuerdo sobre el Espacio Económico Europeo o un Estado miembro de </w:t>
      </w:r>
      <w:smartTag w:uri="urn:schemas-microsoft-com:office:smarttags" w:element="PersonName">
        <w:smartTagPr>
          <w:attr w:name="ProductID" w:val="la Organizaci￳n"/>
        </w:smartTagPr>
        <w:r>
          <w:rPr>
            <w:szCs w:val="24"/>
            <w:lang w:val="es-ES"/>
          </w:rPr>
          <w:t>la Organización</w:t>
        </w:r>
      </w:smartTag>
      <w:r>
        <w:rPr>
          <w:szCs w:val="24"/>
          <w:lang w:val="es-ES"/>
        </w:rPr>
        <w:t xml:space="preserve"> de Cooperación y Desarrollo Económicos. En tales casos, el extranjero tiene derecho a adquirir inmuebles sin restricción alguna, incluidas las tierras agrícolas y forestales. Las disposiciones sobre los derechos de los ciudadanos de terceros países en relación con la adquisición de inmuebles</w:t>
      </w:r>
      <w:r w:rsidR="003023BC">
        <w:rPr>
          <w:szCs w:val="24"/>
          <w:lang w:val="es-ES"/>
        </w:rPr>
        <w:t>, descritas en el informe anterior,</w:t>
      </w:r>
      <w:r>
        <w:rPr>
          <w:szCs w:val="24"/>
          <w:lang w:val="es-ES"/>
        </w:rPr>
        <w:t xml:space="preserve"> siguen siendo válidas; a ese respecto, véanse los párrafos </w:t>
      </w:r>
      <w:smartTag w:uri="urn:schemas-microsoft-com:office:smarttags" w:element="metricconverter">
        <w:smartTagPr>
          <w:attr w:name="ProductID" w:val="117 a"/>
        </w:smartTagPr>
        <w:r>
          <w:rPr>
            <w:szCs w:val="24"/>
            <w:lang w:val="es-ES"/>
          </w:rPr>
          <w:t>117 a</w:t>
        </w:r>
      </w:smartTag>
      <w:r>
        <w:rPr>
          <w:szCs w:val="24"/>
          <w:lang w:val="es-ES"/>
        </w:rPr>
        <w:t xml:space="preserve"> 119 del informe anterior.</w:t>
      </w:r>
    </w:p>
    <w:p w:rsidR="001C2784" w:rsidRPr="000D1764" w:rsidRDefault="001C2784" w:rsidP="00637350">
      <w:pPr>
        <w:pStyle w:val="SingleTxtG"/>
        <w:rPr>
          <w:vanish/>
          <w:lang w:val="es-ES"/>
        </w:rPr>
      </w:pPr>
      <w:r w:rsidRPr="000D1764">
        <w:rPr>
          <w:lang w:val="es-ES"/>
        </w:rPr>
        <w:t>138.</w:t>
      </w:r>
      <w:r w:rsidRPr="000D1764">
        <w:rPr>
          <w:lang w:val="es-ES"/>
        </w:rPr>
        <w:tab/>
      </w:r>
      <w:r w:rsidR="00DA2FFC">
        <w:rPr>
          <w:lang w:val="es-ES"/>
        </w:rPr>
        <w:t>En cuanto</w:t>
      </w:r>
      <w:r>
        <w:rPr>
          <w:lang w:val="es-ES"/>
        </w:rPr>
        <w:t xml:space="preserve"> a la libertad de opinión</w:t>
      </w:r>
      <w:r w:rsidR="00DA2FFC">
        <w:rPr>
          <w:lang w:val="es-ES"/>
        </w:rPr>
        <w:t>,</w:t>
      </w:r>
      <w:r>
        <w:rPr>
          <w:lang w:val="es-ES"/>
        </w:rPr>
        <w:t xml:space="preserve"> no se han producido cambios durante el período exam</w:t>
      </w:r>
      <w:r w:rsidR="00665746">
        <w:rPr>
          <w:lang w:val="es-ES"/>
        </w:rPr>
        <w:t>i</w:t>
      </w:r>
      <w:r>
        <w:rPr>
          <w:lang w:val="es-ES"/>
        </w:rPr>
        <w:t>n</w:t>
      </w:r>
      <w:r w:rsidR="00665746">
        <w:rPr>
          <w:lang w:val="es-ES"/>
        </w:rPr>
        <w:t>ado</w:t>
      </w:r>
      <w:r>
        <w:rPr>
          <w:lang w:val="es-ES"/>
        </w:rPr>
        <w:t>.</w:t>
      </w:r>
      <w:r w:rsidRPr="000D1764">
        <w:rPr>
          <w:lang w:val="es-ES"/>
        </w:rPr>
        <w:t xml:space="preserve"> </w:t>
      </w:r>
      <w:r w:rsidR="00665746">
        <w:rPr>
          <w:lang w:val="es-ES"/>
        </w:rPr>
        <w:t>Por lo que se refiere</w:t>
      </w:r>
      <w:r>
        <w:rPr>
          <w:lang w:val="es-ES"/>
        </w:rPr>
        <w:t xml:space="preserve"> a </w:t>
      </w:r>
      <w:smartTag w:uri="urn:schemas-microsoft-com:office:smarttags" w:element="PersonName">
        <w:smartTagPr>
          <w:attr w:name="ProductID" w:val="La Ley"/>
        </w:smartTagPr>
        <w:r>
          <w:rPr>
            <w:lang w:val="es-ES"/>
          </w:rPr>
          <w:t>la Ley</w:t>
        </w:r>
      </w:smartTag>
      <w:r>
        <w:rPr>
          <w:lang w:val="es-ES"/>
        </w:rPr>
        <w:t xml:space="preserve"> de publicidad que entró en vigor en 2008, véase el párrafo 121 del informe anterior.</w:t>
      </w:r>
      <w:r w:rsidR="003F5582">
        <w:rPr>
          <w:lang w:val="es-ES"/>
        </w:rPr>
        <w:t xml:space="preserve"> Cabe añadir</w:t>
      </w:r>
      <w:r>
        <w:rPr>
          <w:lang w:val="es-ES"/>
        </w:rPr>
        <w:t xml:space="preserve"> que es posible remitir quejas relacionadas con la publicidad al Consejo de </w:t>
      </w:r>
      <w:smartTag w:uri="urn:schemas-microsoft-com:office:smarttags" w:element="PersonName">
        <w:smartTagPr>
          <w:attr w:name="ProductID" w:val="la Publicidad"/>
        </w:smartTagPr>
        <w:r>
          <w:rPr>
            <w:lang w:val="es-ES"/>
          </w:rPr>
          <w:t>la Publicidad</w:t>
        </w:r>
      </w:smartTag>
      <w:r>
        <w:rPr>
          <w:lang w:val="es-ES"/>
        </w:rPr>
        <w:t xml:space="preserve"> dependiente de </w:t>
      </w:r>
      <w:smartTag w:uri="urn:schemas-microsoft-com:office:smarttags" w:element="PersonName">
        <w:smartTagPr>
          <w:attr w:name="ProductID" w:val="La Junta"/>
        </w:smartTagPr>
        <w:r>
          <w:rPr>
            <w:lang w:val="es-ES"/>
          </w:rPr>
          <w:t>la Junta</w:t>
        </w:r>
      </w:smartTag>
      <w:r>
        <w:rPr>
          <w:lang w:val="es-ES"/>
        </w:rPr>
        <w:t xml:space="preserve"> de Protección del Consumidor de Estonia</w:t>
      </w:r>
      <w:r>
        <w:rPr>
          <w:rStyle w:val="FootnoteReference"/>
          <w:szCs w:val="24"/>
        </w:rPr>
        <w:footnoteReference w:id="35"/>
      </w:r>
      <w:r w:rsidR="009B72DA">
        <w:t>.</w:t>
      </w:r>
      <w:r w:rsidR="005554AF">
        <w:rPr>
          <w:lang w:val="es-ES"/>
        </w:rPr>
        <w:t xml:space="preserve"> </w:t>
      </w:r>
      <w:r>
        <w:rPr>
          <w:lang w:val="es-ES"/>
        </w:rPr>
        <w:t xml:space="preserve">El Consejo de </w:t>
      </w:r>
      <w:smartTag w:uri="urn:schemas-microsoft-com:office:smarttags" w:element="PersonName">
        <w:smartTagPr>
          <w:attr w:name="ProductID" w:val="la Prensa"/>
        </w:smartTagPr>
        <w:r>
          <w:rPr>
            <w:lang w:val="es-ES"/>
          </w:rPr>
          <w:t>la Prensa</w:t>
        </w:r>
      </w:smartTag>
      <w:r>
        <w:rPr>
          <w:lang w:val="es-ES"/>
        </w:rPr>
        <w:t xml:space="preserve"> de Estonia</w:t>
      </w:r>
      <w:r>
        <w:rPr>
          <w:rStyle w:val="FootnoteReference"/>
          <w:szCs w:val="24"/>
        </w:rPr>
        <w:footnoteReference w:id="36"/>
      </w:r>
      <w:r>
        <w:rPr>
          <w:lang w:val="es-ES"/>
        </w:rPr>
        <w:t xml:space="preserve"> es un centro de análisis independiente que trabaja para proteger la libertad de prensa, examina las quejas relativas a los medios de comunicación desde el punto de vista de la buena conducta</w:t>
      </w:r>
      <w:r w:rsidR="00665746">
        <w:rPr>
          <w:lang w:val="es-ES"/>
        </w:rPr>
        <w:t>,</w:t>
      </w:r>
      <w:r>
        <w:rPr>
          <w:lang w:val="es-ES"/>
        </w:rPr>
        <w:t xml:space="preserve"> y apoya el desarrollo de las competencias profesionales de los periodistas y el respeto a la </w:t>
      </w:r>
      <w:r w:rsidR="008D25C1">
        <w:rPr>
          <w:lang w:val="es-ES"/>
        </w:rPr>
        <w:t>buena</w:t>
      </w:r>
      <w:r>
        <w:rPr>
          <w:lang w:val="es-ES"/>
        </w:rPr>
        <w:t xml:space="preserve"> tradición del periodismo.</w:t>
      </w:r>
    </w:p>
    <w:p w:rsidR="008D25C1" w:rsidRPr="000D1764" w:rsidRDefault="008D25C1" w:rsidP="00637350">
      <w:pPr>
        <w:pStyle w:val="SingleTxtG"/>
        <w:rPr>
          <w:lang w:val="es-ES"/>
        </w:rPr>
      </w:pPr>
      <w:r w:rsidRPr="000D1764">
        <w:rPr>
          <w:lang w:val="es-ES"/>
        </w:rPr>
        <w:t>139.</w:t>
      </w:r>
      <w:r w:rsidRPr="000D1764">
        <w:rPr>
          <w:lang w:val="es-ES"/>
        </w:rPr>
        <w:tab/>
      </w:r>
      <w:r>
        <w:rPr>
          <w:lang w:val="es-ES"/>
        </w:rPr>
        <w:t xml:space="preserve">Con respecto a </w:t>
      </w:r>
      <w:smartTag w:uri="urn:schemas-microsoft-com:office:smarttags" w:element="PersonName">
        <w:smartTagPr>
          <w:attr w:name="ProductID" w:val="la Radio"/>
        </w:smartTagPr>
        <w:r>
          <w:rPr>
            <w:lang w:val="es-ES"/>
          </w:rPr>
          <w:t>la Radio</w:t>
        </w:r>
      </w:smartTag>
      <w:r>
        <w:rPr>
          <w:lang w:val="es-ES"/>
        </w:rPr>
        <w:t xml:space="preserve"> y Televisión Nacional de Estonia y </w:t>
      </w:r>
      <w:r w:rsidR="00665746">
        <w:rPr>
          <w:lang w:val="es-ES"/>
        </w:rPr>
        <w:t xml:space="preserve">a </w:t>
      </w:r>
      <w:smartTag w:uri="urn:schemas-microsoft-com:office:smarttags" w:element="PersonName">
        <w:smartTagPr>
          <w:attr w:name="ProductID" w:val="La Ley"/>
        </w:smartTagPr>
        <w:r>
          <w:rPr>
            <w:lang w:val="es-ES"/>
          </w:rPr>
          <w:t>la Ley</w:t>
        </w:r>
      </w:smartTag>
      <w:r>
        <w:rPr>
          <w:lang w:val="es-ES"/>
        </w:rPr>
        <w:t xml:space="preserve"> de radio y televisión nacional de 2007 que regula sus actividades, véanse los párrafos </w:t>
      </w:r>
      <w:smartTag w:uri="urn:schemas-microsoft-com:office:smarttags" w:element="metricconverter">
        <w:smartTagPr>
          <w:attr w:name="ProductID" w:val="122 a"/>
        </w:smartTagPr>
        <w:r>
          <w:rPr>
            <w:lang w:val="es-ES"/>
          </w:rPr>
          <w:t>122 a</w:t>
        </w:r>
      </w:smartTag>
      <w:r>
        <w:rPr>
          <w:lang w:val="es-ES"/>
        </w:rPr>
        <w:t xml:space="preserve"> 124 del informe anterior.</w:t>
      </w:r>
    </w:p>
    <w:p w:rsidR="008D25C1" w:rsidRPr="000D1764" w:rsidRDefault="008D25C1" w:rsidP="00637350">
      <w:pPr>
        <w:pStyle w:val="H4G"/>
        <w:rPr>
          <w:lang w:val="es-ES"/>
        </w:rPr>
      </w:pPr>
      <w:r w:rsidRPr="000D1764">
        <w:rPr>
          <w:lang w:val="es-ES"/>
        </w:rPr>
        <w:tab/>
      </w:r>
      <w:r>
        <w:rPr>
          <w:lang w:val="es-ES"/>
        </w:rPr>
        <w:t>vii)</w:t>
      </w:r>
      <w:r w:rsidRPr="000D1764">
        <w:rPr>
          <w:lang w:val="es-ES"/>
        </w:rPr>
        <w:tab/>
      </w:r>
      <w:r>
        <w:rPr>
          <w:lang w:val="es-ES"/>
        </w:rPr>
        <w:t>El derecho a la libertad de pensamiento, de conciencia y de religión</w:t>
      </w:r>
    </w:p>
    <w:p w:rsidR="008D25C1" w:rsidRPr="008C2682" w:rsidRDefault="008D25C1" w:rsidP="00637350">
      <w:pPr>
        <w:pStyle w:val="SingleTxtG"/>
        <w:rPr>
          <w:szCs w:val="24"/>
          <w:lang w:val="es-ES"/>
        </w:rPr>
      </w:pPr>
      <w:r w:rsidRPr="000D1764">
        <w:rPr>
          <w:szCs w:val="24"/>
          <w:lang w:val="es-ES"/>
        </w:rPr>
        <w:t>140.</w:t>
      </w:r>
      <w:r w:rsidRPr="000D1764">
        <w:rPr>
          <w:szCs w:val="24"/>
          <w:lang w:val="es-ES"/>
        </w:rPr>
        <w:tab/>
      </w:r>
      <w:r>
        <w:rPr>
          <w:szCs w:val="24"/>
          <w:lang w:val="es-ES"/>
        </w:rPr>
        <w:t xml:space="preserve">Por lo que se refiere a la base jurídica </w:t>
      </w:r>
      <w:r w:rsidR="00490D9F">
        <w:rPr>
          <w:szCs w:val="24"/>
          <w:lang w:val="es-ES"/>
        </w:rPr>
        <w:t>para</w:t>
      </w:r>
      <w:r>
        <w:rPr>
          <w:szCs w:val="24"/>
          <w:lang w:val="es-ES"/>
        </w:rPr>
        <w:t xml:space="preserve"> la protección de la libertad de religión, sírvanse </w:t>
      </w:r>
      <w:r w:rsidR="00665746">
        <w:rPr>
          <w:szCs w:val="24"/>
          <w:lang w:val="es-ES"/>
        </w:rPr>
        <w:t xml:space="preserve">consultar </w:t>
      </w:r>
      <w:r>
        <w:rPr>
          <w:szCs w:val="24"/>
          <w:lang w:val="es-ES"/>
        </w:rPr>
        <w:t xml:space="preserve">los párrafos </w:t>
      </w:r>
      <w:smartTag w:uri="urn:schemas-microsoft-com:office:smarttags" w:element="metricconverter">
        <w:smartTagPr>
          <w:attr w:name="ProductID" w:val="125 a"/>
        </w:smartTagPr>
        <w:r>
          <w:rPr>
            <w:szCs w:val="24"/>
            <w:lang w:val="es-ES"/>
          </w:rPr>
          <w:t>125 a</w:t>
        </w:r>
      </w:smartTag>
      <w:r>
        <w:rPr>
          <w:szCs w:val="24"/>
          <w:lang w:val="es-ES"/>
        </w:rPr>
        <w:t xml:space="preserve"> 127 y </w:t>
      </w:r>
      <w:smartTag w:uri="urn:schemas-microsoft-com:office:smarttags" w:element="metricconverter">
        <w:smartTagPr>
          <w:attr w:name="ProductID" w:val="137 a"/>
        </w:smartTagPr>
        <w:r>
          <w:rPr>
            <w:szCs w:val="24"/>
            <w:lang w:val="es-ES"/>
          </w:rPr>
          <w:t>137 a</w:t>
        </w:r>
      </w:smartTag>
      <w:r>
        <w:rPr>
          <w:szCs w:val="24"/>
          <w:lang w:val="es-ES"/>
        </w:rPr>
        <w:t xml:space="preserve"> 140 del informe anterior.</w:t>
      </w:r>
    </w:p>
    <w:p w:rsidR="00F23073" w:rsidRPr="004453FA" w:rsidRDefault="00F23073" w:rsidP="00637350">
      <w:pPr>
        <w:pStyle w:val="SingleTxtG"/>
        <w:rPr>
          <w:szCs w:val="24"/>
          <w:lang w:val="es-ES"/>
        </w:rPr>
      </w:pPr>
      <w:r w:rsidRPr="00321D44">
        <w:rPr>
          <w:szCs w:val="24"/>
          <w:lang w:val="es-ES"/>
        </w:rPr>
        <w:t>141.</w:t>
      </w:r>
      <w:r w:rsidRPr="00321D44">
        <w:rPr>
          <w:szCs w:val="24"/>
          <w:lang w:val="es-ES"/>
        </w:rPr>
        <w:tab/>
      </w:r>
      <w:r w:rsidR="003F5582">
        <w:rPr>
          <w:szCs w:val="24"/>
          <w:lang w:val="es-ES"/>
        </w:rPr>
        <w:t>Con respecto</w:t>
      </w:r>
      <w:r>
        <w:rPr>
          <w:szCs w:val="24"/>
          <w:lang w:val="es-ES"/>
        </w:rPr>
        <w:t xml:space="preserve"> a la legislación relativa a la educación, el artículo 15 4) de </w:t>
      </w:r>
      <w:smartTag w:uri="urn:schemas-microsoft-com:office:smarttags" w:element="PersonName">
        <w:smartTagPr>
          <w:attr w:name="ProductID" w:val="La Ley"/>
        </w:smartTagPr>
        <w:r>
          <w:rPr>
            <w:szCs w:val="24"/>
            <w:lang w:val="es-ES"/>
          </w:rPr>
          <w:t>la Ley</w:t>
        </w:r>
      </w:smartTag>
      <w:r>
        <w:rPr>
          <w:szCs w:val="24"/>
          <w:lang w:val="es-ES"/>
        </w:rPr>
        <w:t xml:space="preserve"> de enseñanza media elemental y superior </w:t>
      </w:r>
      <w:r w:rsidR="004453FA">
        <w:rPr>
          <w:szCs w:val="24"/>
          <w:lang w:val="es-ES"/>
        </w:rPr>
        <w:t>prevé</w:t>
      </w:r>
      <w:r>
        <w:rPr>
          <w:szCs w:val="24"/>
          <w:lang w:val="es-ES"/>
        </w:rPr>
        <w:t xml:space="preserve"> que los planes nacionales de estudios de las escuelas de enseñanza básica y secundaria superior incluyan </w:t>
      </w:r>
      <w:r w:rsidR="0055215E">
        <w:rPr>
          <w:szCs w:val="24"/>
          <w:lang w:val="es-ES"/>
        </w:rPr>
        <w:t xml:space="preserve">asignaturas </w:t>
      </w:r>
      <w:r w:rsidR="003F5582">
        <w:rPr>
          <w:szCs w:val="24"/>
          <w:lang w:val="es-ES"/>
        </w:rPr>
        <w:t>de</w:t>
      </w:r>
      <w:r w:rsidR="0055215E">
        <w:rPr>
          <w:szCs w:val="24"/>
          <w:lang w:val="es-ES"/>
        </w:rPr>
        <w:t xml:space="preserve"> </w:t>
      </w:r>
      <w:r w:rsidR="005554AF">
        <w:rPr>
          <w:szCs w:val="24"/>
          <w:lang w:val="es-ES"/>
        </w:rPr>
        <w:t>enseñanza</w:t>
      </w:r>
      <w:r w:rsidR="00A2326F">
        <w:rPr>
          <w:szCs w:val="24"/>
          <w:lang w:val="es-ES"/>
        </w:rPr>
        <w:t> </w:t>
      </w:r>
      <w:r>
        <w:rPr>
          <w:szCs w:val="24"/>
          <w:lang w:val="es-ES"/>
        </w:rPr>
        <w:t xml:space="preserve">religiosa, de conformidad con un reglamento del Gobierno de </w:t>
      </w:r>
      <w:smartTag w:uri="urn:schemas-microsoft-com:office:smarttags" w:element="PersonName">
        <w:smartTagPr>
          <w:attr w:name="ProductID" w:val="la Rep￺blica. El"/>
        </w:smartTagPr>
        <w:r>
          <w:rPr>
            <w:szCs w:val="24"/>
            <w:lang w:val="es-ES"/>
          </w:rPr>
          <w:t>la República.</w:t>
        </w:r>
        <w:r w:rsidRPr="004453FA">
          <w:rPr>
            <w:szCs w:val="24"/>
            <w:lang w:val="es-ES"/>
          </w:rPr>
          <w:t xml:space="preserve"> </w:t>
        </w:r>
        <w:r>
          <w:rPr>
            <w:szCs w:val="24"/>
            <w:lang w:val="es-ES"/>
          </w:rPr>
          <w:t>El</w:t>
        </w:r>
      </w:smartTag>
      <w:r>
        <w:rPr>
          <w:szCs w:val="24"/>
          <w:lang w:val="es-ES"/>
        </w:rPr>
        <w:t xml:space="preserve"> artículo 13 4) del Plan de Estudios Nacional para las Escuelas de Enseñanza Básica dispone que la </w:t>
      </w:r>
      <w:r w:rsidR="0055215E">
        <w:rPr>
          <w:szCs w:val="24"/>
          <w:lang w:val="es-ES"/>
        </w:rPr>
        <w:t xml:space="preserve">enseñanza de la </w:t>
      </w:r>
      <w:r>
        <w:rPr>
          <w:szCs w:val="24"/>
          <w:lang w:val="es-ES"/>
        </w:rPr>
        <w:t xml:space="preserve">religión </w:t>
      </w:r>
      <w:r w:rsidR="0055215E">
        <w:rPr>
          <w:szCs w:val="24"/>
          <w:lang w:val="es-ES"/>
        </w:rPr>
        <w:t xml:space="preserve">se impartirá </w:t>
      </w:r>
      <w:r>
        <w:rPr>
          <w:szCs w:val="24"/>
          <w:lang w:val="es-ES"/>
        </w:rPr>
        <w:t xml:space="preserve">únicamente sobre la base del </w:t>
      </w:r>
      <w:r w:rsidR="0055215E">
        <w:rPr>
          <w:szCs w:val="24"/>
          <w:lang w:val="es-ES"/>
        </w:rPr>
        <w:t>temario</w:t>
      </w:r>
      <w:r>
        <w:rPr>
          <w:szCs w:val="24"/>
          <w:lang w:val="es-ES"/>
        </w:rPr>
        <w:t xml:space="preserve"> incluido en el plan nacional de estudios.</w:t>
      </w:r>
      <w:r w:rsidRPr="004453FA">
        <w:rPr>
          <w:szCs w:val="24"/>
          <w:lang w:val="es-ES"/>
        </w:rPr>
        <w:t xml:space="preserve"> </w:t>
      </w:r>
      <w:r>
        <w:rPr>
          <w:szCs w:val="24"/>
          <w:lang w:val="es-ES"/>
        </w:rPr>
        <w:t>El mismo requisito se establece en el artículo 11 5) del Plan de Estudios Nacional para las Escuelas de Enseñanza Media Superior.</w:t>
      </w:r>
      <w:r w:rsidRPr="004453FA">
        <w:rPr>
          <w:szCs w:val="24"/>
          <w:lang w:val="es-ES"/>
        </w:rPr>
        <w:t xml:space="preserve"> </w:t>
      </w:r>
      <w:r>
        <w:rPr>
          <w:szCs w:val="24"/>
          <w:lang w:val="es-ES"/>
        </w:rPr>
        <w:t>La enseñanza religi</w:t>
      </w:r>
      <w:r w:rsidR="005C38B0">
        <w:rPr>
          <w:szCs w:val="24"/>
          <w:lang w:val="es-ES"/>
        </w:rPr>
        <w:t>osa</w:t>
      </w:r>
      <w:r>
        <w:rPr>
          <w:szCs w:val="24"/>
          <w:lang w:val="es-ES"/>
        </w:rPr>
        <w:t xml:space="preserve"> es aconfesional tanto en </w:t>
      </w:r>
      <w:r w:rsidR="005C38B0">
        <w:rPr>
          <w:szCs w:val="24"/>
          <w:lang w:val="es-ES"/>
        </w:rPr>
        <w:t>e</w:t>
      </w:r>
      <w:r>
        <w:rPr>
          <w:szCs w:val="24"/>
          <w:lang w:val="es-ES"/>
        </w:rPr>
        <w:t xml:space="preserve">l </w:t>
      </w:r>
      <w:r w:rsidR="005C38B0">
        <w:rPr>
          <w:szCs w:val="24"/>
          <w:lang w:val="es-ES"/>
        </w:rPr>
        <w:t xml:space="preserve">nivel de educación básica </w:t>
      </w:r>
      <w:r>
        <w:rPr>
          <w:szCs w:val="24"/>
          <w:lang w:val="es-ES"/>
        </w:rPr>
        <w:t xml:space="preserve">como en </w:t>
      </w:r>
      <w:r w:rsidR="005F2EBE">
        <w:rPr>
          <w:szCs w:val="24"/>
          <w:lang w:val="es-ES"/>
        </w:rPr>
        <w:t>e</w:t>
      </w:r>
      <w:r>
        <w:rPr>
          <w:szCs w:val="24"/>
          <w:lang w:val="es-ES"/>
        </w:rPr>
        <w:t xml:space="preserve">l </w:t>
      </w:r>
      <w:r w:rsidR="005F2EBE">
        <w:rPr>
          <w:szCs w:val="24"/>
          <w:lang w:val="es-ES"/>
        </w:rPr>
        <w:t xml:space="preserve">de secundaria </w:t>
      </w:r>
      <w:r>
        <w:rPr>
          <w:szCs w:val="24"/>
          <w:lang w:val="es-ES"/>
        </w:rPr>
        <w:t>superior.</w:t>
      </w:r>
      <w:r w:rsidRPr="004453FA">
        <w:rPr>
          <w:szCs w:val="24"/>
          <w:lang w:val="es-ES"/>
        </w:rPr>
        <w:t xml:space="preserve"> </w:t>
      </w:r>
      <w:r>
        <w:rPr>
          <w:szCs w:val="24"/>
          <w:lang w:val="es-ES"/>
        </w:rPr>
        <w:t xml:space="preserve">En las escuelas </w:t>
      </w:r>
      <w:r w:rsidR="006B3760">
        <w:rPr>
          <w:szCs w:val="24"/>
          <w:lang w:val="es-ES"/>
        </w:rPr>
        <w:t>de enseñanza básica</w:t>
      </w:r>
      <w:r>
        <w:rPr>
          <w:szCs w:val="24"/>
          <w:lang w:val="es-ES"/>
        </w:rPr>
        <w:t>, la religi</w:t>
      </w:r>
      <w:r w:rsidR="005F2EBE">
        <w:rPr>
          <w:szCs w:val="24"/>
          <w:lang w:val="es-ES"/>
        </w:rPr>
        <w:t>ón</w:t>
      </w:r>
      <w:r>
        <w:rPr>
          <w:szCs w:val="24"/>
          <w:lang w:val="es-ES"/>
        </w:rPr>
        <w:t xml:space="preserve"> es una asignatura facultativa </w:t>
      </w:r>
      <w:r w:rsidR="00BD7763">
        <w:rPr>
          <w:szCs w:val="24"/>
          <w:lang w:val="es-ES"/>
        </w:rPr>
        <w:t xml:space="preserve">sobre </w:t>
      </w:r>
      <w:r>
        <w:rPr>
          <w:szCs w:val="24"/>
          <w:lang w:val="es-ES"/>
        </w:rPr>
        <w:t>cuya necesidad y pertinencia decide cada escuela.</w:t>
      </w:r>
      <w:r w:rsidRPr="004453FA">
        <w:rPr>
          <w:szCs w:val="24"/>
          <w:lang w:val="es-ES"/>
        </w:rPr>
        <w:t xml:space="preserve"> </w:t>
      </w:r>
      <w:r>
        <w:rPr>
          <w:szCs w:val="24"/>
          <w:lang w:val="es-ES"/>
        </w:rPr>
        <w:t xml:space="preserve">En las escuelas </w:t>
      </w:r>
      <w:r w:rsidR="00613086">
        <w:rPr>
          <w:szCs w:val="24"/>
          <w:lang w:val="es-ES"/>
        </w:rPr>
        <w:t xml:space="preserve">de </w:t>
      </w:r>
      <w:r>
        <w:rPr>
          <w:szCs w:val="24"/>
          <w:lang w:val="es-ES"/>
        </w:rPr>
        <w:t xml:space="preserve">secundaria superior, la </w:t>
      </w:r>
      <w:r w:rsidR="005F2EBE">
        <w:rPr>
          <w:szCs w:val="24"/>
          <w:lang w:val="es-ES"/>
        </w:rPr>
        <w:t xml:space="preserve">asignatura de </w:t>
      </w:r>
      <w:r>
        <w:rPr>
          <w:szCs w:val="24"/>
          <w:lang w:val="es-ES"/>
        </w:rPr>
        <w:t>religi</w:t>
      </w:r>
      <w:r w:rsidR="005F2EBE">
        <w:rPr>
          <w:szCs w:val="24"/>
          <w:lang w:val="es-ES"/>
        </w:rPr>
        <w:t>ón</w:t>
      </w:r>
      <w:r>
        <w:rPr>
          <w:szCs w:val="24"/>
          <w:lang w:val="es-ES"/>
        </w:rPr>
        <w:t xml:space="preserve"> </w:t>
      </w:r>
      <w:r w:rsidR="005F2EBE">
        <w:rPr>
          <w:szCs w:val="24"/>
          <w:lang w:val="es-ES"/>
        </w:rPr>
        <w:t xml:space="preserve">también </w:t>
      </w:r>
      <w:r>
        <w:rPr>
          <w:szCs w:val="24"/>
          <w:lang w:val="es-ES"/>
        </w:rPr>
        <w:t>es facultativa</w:t>
      </w:r>
      <w:r w:rsidR="005F2EBE">
        <w:rPr>
          <w:szCs w:val="24"/>
          <w:lang w:val="es-ES"/>
        </w:rPr>
        <w:t>,</w:t>
      </w:r>
      <w:r>
        <w:rPr>
          <w:szCs w:val="24"/>
          <w:lang w:val="es-ES"/>
        </w:rPr>
        <w:t xml:space="preserve"> pero debe ofrecerse a cualquier estudiante que </w:t>
      </w:r>
      <w:r w:rsidR="005F2EBE">
        <w:rPr>
          <w:szCs w:val="24"/>
          <w:lang w:val="es-ES"/>
        </w:rPr>
        <w:t xml:space="preserve">manifieste </w:t>
      </w:r>
      <w:r>
        <w:rPr>
          <w:szCs w:val="24"/>
          <w:lang w:val="es-ES"/>
        </w:rPr>
        <w:t xml:space="preserve">su deseo de estudiarla. Las escuelas pueden </w:t>
      </w:r>
      <w:r w:rsidR="005F2EBE">
        <w:rPr>
          <w:szCs w:val="24"/>
          <w:lang w:val="es-ES"/>
        </w:rPr>
        <w:t xml:space="preserve">incluirla </w:t>
      </w:r>
      <w:r>
        <w:rPr>
          <w:szCs w:val="24"/>
          <w:lang w:val="es-ES"/>
        </w:rPr>
        <w:t>obligatoria</w:t>
      </w:r>
      <w:r w:rsidR="005F2EBE">
        <w:rPr>
          <w:szCs w:val="24"/>
          <w:lang w:val="es-ES"/>
        </w:rPr>
        <w:t>mente</w:t>
      </w:r>
      <w:r>
        <w:rPr>
          <w:szCs w:val="24"/>
          <w:lang w:val="es-ES"/>
        </w:rPr>
        <w:t xml:space="preserve"> como parte del programa </w:t>
      </w:r>
      <w:r w:rsidR="005F2EBE">
        <w:rPr>
          <w:szCs w:val="24"/>
          <w:lang w:val="es-ES"/>
        </w:rPr>
        <w:t xml:space="preserve">de </w:t>
      </w:r>
      <w:r>
        <w:rPr>
          <w:szCs w:val="24"/>
          <w:lang w:val="es-ES"/>
        </w:rPr>
        <w:t>determinados estudio</w:t>
      </w:r>
      <w:r w:rsidR="005F2EBE">
        <w:rPr>
          <w:szCs w:val="24"/>
          <w:lang w:val="es-ES"/>
        </w:rPr>
        <w:t>s</w:t>
      </w:r>
      <w:r>
        <w:rPr>
          <w:szCs w:val="24"/>
          <w:lang w:val="es-ES"/>
        </w:rPr>
        <w:t xml:space="preserve">, siempre que su enseñanza </w:t>
      </w:r>
      <w:r w:rsidR="005F2EBE">
        <w:rPr>
          <w:szCs w:val="24"/>
          <w:lang w:val="es-ES"/>
        </w:rPr>
        <w:t xml:space="preserve">tenga lugar </w:t>
      </w:r>
      <w:r>
        <w:rPr>
          <w:szCs w:val="24"/>
          <w:lang w:val="es-ES"/>
        </w:rPr>
        <w:t>en</w:t>
      </w:r>
      <w:r w:rsidR="005F2EBE">
        <w:rPr>
          <w:szCs w:val="24"/>
          <w:lang w:val="es-ES"/>
        </w:rPr>
        <w:t xml:space="preserve"> el </w:t>
      </w:r>
      <w:r>
        <w:rPr>
          <w:szCs w:val="24"/>
          <w:lang w:val="es-ES"/>
        </w:rPr>
        <w:t>mar</w:t>
      </w:r>
      <w:r w:rsidR="005F2EBE">
        <w:rPr>
          <w:szCs w:val="24"/>
          <w:lang w:val="es-ES"/>
        </w:rPr>
        <w:t>co</w:t>
      </w:r>
      <w:r>
        <w:rPr>
          <w:szCs w:val="24"/>
          <w:lang w:val="es-ES"/>
        </w:rPr>
        <w:t xml:space="preserve"> </w:t>
      </w:r>
      <w:r w:rsidR="005F2EBE">
        <w:rPr>
          <w:szCs w:val="24"/>
          <w:lang w:val="es-ES"/>
        </w:rPr>
        <w:t>d</w:t>
      </w:r>
      <w:r>
        <w:rPr>
          <w:szCs w:val="24"/>
          <w:lang w:val="es-ES"/>
        </w:rPr>
        <w:t xml:space="preserve">el programa aprobado a nivel nacional. </w:t>
      </w:r>
    </w:p>
    <w:p w:rsidR="00290982" w:rsidRDefault="00290982" w:rsidP="00637350">
      <w:pPr>
        <w:pStyle w:val="SingleTxtG"/>
        <w:rPr>
          <w:szCs w:val="24"/>
          <w:lang w:val="es-ES"/>
        </w:rPr>
      </w:pPr>
      <w:r>
        <w:rPr>
          <w:szCs w:val="24"/>
          <w:lang w:val="es-ES"/>
        </w:rPr>
        <w:t>142.</w:t>
      </w:r>
      <w:r>
        <w:rPr>
          <w:szCs w:val="24"/>
          <w:lang w:val="es-ES"/>
        </w:rPr>
        <w:tab/>
        <w:t xml:space="preserve">En virtud del párrafo 5 del artículo 11 de </w:t>
      </w:r>
      <w:smartTag w:uri="urn:schemas-microsoft-com:office:smarttags" w:element="PersonName">
        <w:smartTagPr>
          <w:attr w:name="ProductID" w:val="La Ley"/>
        </w:smartTagPr>
        <w:r>
          <w:rPr>
            <w:szCs w:val="24"/>
            <w:lang w:val="es-ES"/>
          </w:rPr>
          <w:t>la Ley</w:t>
        </w:r>
      </w:smartTag>
      <w:r>
        <w:rPr>
          <w:szCs w:val="24"/>
          <w:lang w:val="es-ES"/>
        </w:rPr>
        <w:t xml:space="preserve"> de escuelas privadas, hay una diferencia entre la ense</w:t>
      </w:r>
      <w:r w:rsidR="00BD7763">
        <w:rPr>
          <w:szCs w:val="24"/>
          <w:lang w:val="es-ES"/>
        </w:rPr>
        <w:t>ñanza religiosa impartida en las</w:t>
      </w:r>
      <w:r>
        <w:rPr>
          <w:szCs w:val="24"/>
          <w:lang w:val="es-ES"/>
        </w:rPr>
        <w:t xml:space="preserve"> escuela</w:t>
      </w:r>
      <w:r w:rsidR="00BD7763">
        <w:rPr>
          <w:szCs w:val="24"/>
          <w:lang w:val="es-ES"/>
        </w:rPr>
        <w:t>s</w:t>
      </w:r>
      <w:r>
        <w:rPr>
          <w:szCs w:val="24"/>
          <w:lang w:val="es-ES"/>
        </w:rPr>
        <w:t xml:space="preserve"> municipal</w:t>
      </w:r>
      <w:r w:rsidR="00BD7763">
        <w:rPr>
          <w:szCs w:val="24"/>
          <w:lang w:val="es-ES"/>
        </w:rPr>
        <w:t>es</w:t>
      </w:r>
      <w:r>
        <w:rPr>
          <w:szCs w:val="24"/>
          <w:lang w:val="es-ES"/>
        </w:rPr>
        <w:t xml:space="preserve"> y la enseñanza relig</w:t>
      </w:r>
      <w:r w:rsidR="00BD7763">
        <w:rPr>
          <w:szCs w:val="24"/>
          <w:lang w:val="es-ES"/>
        </w:rPr>
        <w:t>iosa confesional impartida en l</w:t>
      </w:r>
      <w:r>
        <w:rPr>
          <w:szCs w:val="24"/>
          <w:lang w:val="es-ES"/>
        </w:rPr>
        <w:t>a</w:t>
      </w:r>
      <w:r w:rsidR="00BD7763">
        <w:rPr>
          <w:szCs w:val="24"/>
          <w:lang w:val="es-ES"/>
        </w:rPr>
        <w:t xml:space="preserve">s escuelas </w:t>
      </w:r>
      <w:r>
        <w:rPr>
          <w:szCs w:val="24"/>
          <w:lang w:val="es-ES"/>
        </w:rPr>
        <w:t>privada</w:t>
      </w:r>
      <w:r w:rsidR="00BD7763">
        <w:rPr>
          <w:szCs w:val="24"/>
          <w:lang w:val="es-ES"/>
        </w:rPr>
        <w:t>s</w:t>
      </w:r>
      <w:r>
        <w:rPr>
          <w:szCs w:val="24"/>
          <w:lang w:val="es-ES"/>
        </w:rPr>
        <w:t xml:space="preserve"> con arreglo a los términos y</w:t>
      </w:r>
      <w:r w:rsidR="00BD7763">
        <w:rPr>
          <w:szCs w:val="24"/>
          <w:lang w:val="es-ES"/>
        </w:rPr>
        <w:t xml:space="preserve"> procedimientos aprobados por su</w:t>
      </w:r>
      <w:r>
        <w:rPr>
          <w:szCs w:val="24"/>
          <w:lang w:val="es-ES"/>
        </w:rPr>
        <w:t xml:space="preserve"> consejo escolar. La enseñanza religiosa</w:t>
      </w:r>
      <w:r w:rsidR="00BD7763">
        <w:rPr>
          <w:szCs w:val="24"/>
          <w:lang w:val="es-ES"/>
        </w:rPr>
        <w:t xml:space="preserve"> confesional debe ser</w:t>
      </w:r>
      <w:r>
        <w:rPr>
          <w:szCs w:val="24"/>
          <w:lang w:val="es-ES"/>
        </w:rPr>
        <w:t xml:space="preserve"> volu</w:t>
      </w:r>
      <w:r w:rsidR="00BD7763">
        <w:rPr>
          <w:szCs w:val="24"/>
          <w:lang w:val="es-ES"/>
        </w:rPr>
        <w:t>ntaria</w:t>
      </w:r>
      <w:r>
        <w:rPr>
          <w:szCs w:val="24"/>
          <w:lang w:val="es-ES"/>
        </w:rPr>
        <w:t xml:space="preserve"> para los estudiantes.</w:t>
      </w:r>
    </w:p>
    <w:p w:rsidR="00AC5E2B" w:rsidRPr="004453FA" w:rsidRDefault="00AC5E2B" w:rsidP="00637350">
      <w:pPr>
        <w:pStyle w:val="SingleTxtG"/>
        <w:rPr>
          <w:szCs w:val="24"/>
          <w:lang w:val="es-ES"/>
        </w:rPr>
      </w:pPr>
      <w:r w:rsidRPr="004453FA">
        <w:rPr>
          <w:szCs w:val="24"/>
          <w:lang w:val="es-ES"/>
        </w:rPr>
        <w:t>143.</w:t>
      </w:r>
      <w:r w:rsidRPr="004453FA">
        <w:rPr>
          <w:szCs w:val="24"/>
          <w:lang w:val="es-ES"/>
        </w:rPr>
        <w:tab/>
      </w:r>
      <w:r>
        <w:rPr>
          <w:szCs w:val="24"/>
          <w:lang w:val="es-ES"/>
        </w:rPr>
        <w:t xml:space="preserve">Con arreglo a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 se prohíbe la discriminación de personas po</w:t>
      </w:r>
      <w:r w:rsidR="00BD7763">
        <w:rPr>
          <w:szCs w:val="24"/>
          <w:lang w:val="es-ES"/>
        </w:rPr>
        <w:t>r motivos religiosos en relación con</w:t>
      </w:r>
      <w:r>
        <w:rPr>
          <w:szCs w:val="24"/>
          <w:lang w:val="es-ES"/>
        </w:rPr>
        <w:t xml:space="preserve"> las condiciones de acceso al empleo, al empleo por cuenta propia o a la ocupación, incluidos los criterios de selección y las condiciones de contratación, entre ellas las relativas a los ascensos. Se prohíbe también discriminar por </w:t>
      </w:r>
      <w:r w:rsidR="00F23073">
        <w:rPr>
          <w:szCs w:val="24"/>
          <w:lang w:val="es-ES"/>
        </w:rPr>
        <w:t xml:space="preserve">motivos religiosos </w:t>
      </w:r>
      <w:r w:rsidR="005C46FB">
        <w:rPr>
          <w:szCs w:val="24"/>
          <w:lang w:val="es-ES"/>
        </w:rPr>
        <w:t>en relación con el</w:t>
      </w:r>
      <w:r>
        <w:rPr>
          <w:szCs w:val="24"/>
          <w:lang w:val="es-ES"/>
        </w:rPr>
        <w:t xml:space="preserve"> acceso a contratos de empleo o a contratos de prestación de servicios, el nombramiento o </w:t>
      </w:r>
      <w:r w:rsidR="00BD7763">
        <w:rPr>
          <w:szCs w:val="24"/>
          <w:lang w:val="es-ES"/>
        </w:rPr>
        <w:t>elección de cargo</w:t>
      </w:r>
      <w:r>
        <w:rPr>
          <w:szCs w:val="24"/>
          <w:lang w:val="es-ES"/>
        </w:rPr>
        <w:t>, el establecimiento de las condici</w:t>
      </w:r>
      <w:r w:rsidR="00227014">
        <w:rPr>
          <w:szCs w:val="24"/>
          <w:lang w:val="es-ES"/>
        </w:rPr>
        <w:t>ones de trabajo, la forma de impartir</w:t>
      </w:r>
      <w:r>
        <w:rPr>
          <w:szCs w:val="24"/>
          <w:lang w:val="es-ES"/>
        </w:rPr>
        <w:t xml:space="preserve"> instruccio</w:t>
      </w:r>
      <w:r w:rsidR="00BD7763">
        <w:rPr>
          <w:szCs w:val="24"/>
          <w:lang w:val="es-ES"/>
        </w:rPr>
        <w:t>nes, la remuneración, la terminación del contrato laboral o</w:t>
      </w:r>
      <w:r>
        <w:rPr>
          <w:szCs w:val="24"/>
          <w:lang w:val="es-ES"/>
        </w:rPr>
        <w:t xml:space="preserve"> </w:t>
      </w:r>
      <w:r w:rsidR="00BD7763">
        <w:rPr>
          <w:szCs w:val="24"/>
          <w:lang w:val="es-ES"/>
        </w:rPr>
        <w:t xml:space="preserve">el contrato </w:t>
      </w:r>
      <w:r>
        <w:rPr>
          <w:szCs w:val="24"/>
          <w:lang w:val="es-ES"/>
        </w:rPr>
        <w:t>de prestación de servicios o la suspensión del mandato; en el acceso a todos los tipos y a todos los nive</w:t>
      </w:r>
      <w:r w:rsidR="00227014">
        <w:rPr>
          <w:szCs w:val="24"/>
          <w:lang w:val="es-ES"/>
        </w:rPr>
        <w:t xml:space="preserve">les de orientación y formación profesionales, </w:t>
      </w:r>
      <w:r>
        <w:rPr>
          <w:szCs w:val="24"/>
          <w:lang w:val="es-ES"/>
        </w:rPr>
        <w:t xml:space="preserve">formación </w:t>
      </w:r>
      <w:r w:rsidR="00227014">
        <w:rPr>
          <w:szCs w:val="24"/>
          <w:lang w:val="es-ES"/>
        </w:rPr>
        <w:t xml:space="preserve">profesional avanzada </w:t>
      </w:r>
      <w:r>
        <w:rPr>
          <w:szCs w:val="24"/>
          <w:lang w:val="es-ES"/>
        </w:rPr>
        <w:t xml:space="preserve">y </w:t>
      </w:r>
      <w:r w:rsidR="00227014">
        <w:rPr>
          <w:szCs w:val="24"/>
          <w:lang w:val="es-ES"/>
        </w:rPr>
        <w:t>reciclaje</w:t>
      </w:r>
      <w:r>
        <w:rPr>
          <w:szCs w:val="24"/>
          <w:lang w:val="es-ES"/>
        </w:rPr>
        <w:t>, incluida la</w:t>
      </w:r>
      <w:r w:rsidR="00227014">
        <w:rPr>
          <w:szCs w:val="24"/>
          <w:lang w:val="es-ES"/>
        </w:rPr>
        <w:t xml:space="preserve"> experiencia laboral práctica, así como</w:t>
      </w:r>
      <w:r>
        <w:rPr>
          <w:szCs w:val="24"/>
          <w:lang w:val="es-ES"/>
        </w:rPr>
        <w:t xml:space="preserve"> la afiliación y participación en cualquier asociació</w:t>
      </w:r>
      <w:r w:rsidR="00227014">
        <w:rPr>
          <w:szCs w:val="24"/>
          <w:lang w:val="es-ES"/>
        </w:rPr>
        <w:t>n de trabajadores o empleadores u</w:t>
      </w:r>
      <w:r>
        <w:rPr>
          <w:szCs w:val="24"/>
          <w:lang w:val="es-ES"/>
        </w:rPr>
        <w:t xml:space="preserve"> otras organizaciones cuyos </w:t>
      </w:r>
      <w:r w:rsidR="00227014">
        <w:rPr>
          <w:szCs w:val="24"/>
          <w:lang w:val="es-ES"/>
        </w:rPr>
        <w:t>miembros ejerzan una</w:t>
      </w:r>
      <w:r>
        <w:rPr>
          <w:szCs w:val="24"/>
          <w:lang w:val="es-ES"/>
        </w:rPr>
        <w:t xml:space="preserve"> profesión</w:t>
      </w:r>
      <w:r w:rsidR="00227014">
        <w:rPr>
          <w:szCs w:val="24"/>
          <w:lang w:val="es-ES"/>
        </w:rPr>
        <w:t xml:space="preserve"> en particular</w:t>
      </w:r>
      <w:r>
        <w:rPr>
          <w:szCs w:val="24"/>
          <w:lang w:val="es-ES"/>
        </w:rPr>
        <w:t>, incluidos los privilegios derivados de la pertenencia a tales asociaciones.</w:t>
      </w:r>
    </w:p>
    <w:p w:rsidR="00CF50AD" w:rsidRPr="004453FA" w:rsidRDefault="00CF50AD" w:rsidP="00637350">
      <w:pPr>
        <w:pStyle w:val="SingleTxtG"/>
        <w:rPr>
          <w:szCs w:val="24"/>
          <w:lang w:val="es-ES"/>
        </w:rPr>
      </w:pPr>
      <w:r w:rsidRPr="004453FA">
        <w:rPr>
          <w:szCs w:val="24"/>
          <w:lang w:val="es-ES"/>
        </w:rPr>
        <w:t>144.</w:t>
      </w:r>
      <w:r w:rsidRPr="004453FA">
        <w:rPr>
          <w:szCs w:val="24"/>
          <w:lang w:val="es-ES"/>
        </w:rPr>
        <w:tab/>
      </w:r>
      <w:r>
        <w:rPr>
          <w:szCs w:val="24"/>
          <w:lang w:val="es-ES"/>
        </w:rPr>
        <w:t xml:space="preserve">El propósito de </w:t>
      </w:r>
      <w:smartTag w:uri="urn:schemas-microsoft-com:office:smarttags" w:element="PersonName">
        <w:smartTagPr>
          <w:attr w:name="ProductID" w:val="La Ley"/>
        </w:smartTagPr>
        <w:r>
          <w:rPr>
            <w:szCs w:val="24"/>
            <w:lang w:val="es-ES"/>
          </w:rPr>
          <w:t>la Ley</w:t>
        </w:r>
      </w:smartTag>
      <w:r>
        <w:rPr>
          <w:szCs w:val="24"/>
          <w:lang w:val="es-ES"/>
        </w:rPr>
        <w:t xml:space="preserve"> de iglesias y congregaciones</w:t>
      </w:r>
      <w:r>
        <w:rPr>
          <w:rStyle w:val="FootnoteReference"/>
          <w:szCs w:val="24"/>
          <w:lang w:val="es-ES"/>
        </w:rPr>
        <w:footnoteReference w:id="37"/>
      </w:r>
      <w:r>
        <w:rPr>
          <w:szCs w:val="24"/>
          <w:lang w:val="es-ES"/>
        </w:rPr>
        <w:t xml:space="preserve"> es establecer el procedimiento de afiliación a iglesias, congregaciones, asociaciones de congregaciones, monasterios y </w:t>
      </w:r>
      <w:r w:rsidR="005D6734">
        <w:rPr>
          <w:szCs w:val="24"/>
          <w:lang w:val="es-ES"/>
        </w:rPr>
        <w:t>as</w:t>
      </w:r>
      <w:r>
        <w:rPr>
          <w:szCs w:val="24"/>
          <w:lang w:val="es-ES"/>
        </w:rPr>
        <w:t>oci</w:t>
      </w:r>
      <w:r w:rsidR="005D6734">
        <w:rPr>
          <w:szCs w:val="24"/>
          <w:lang w:val="es-ES"/>
        </w:rPr>
        <w:t>acione</w:t>
      </w:r>
      <w:r>
        <w:rPr>
          <w:szCs w:val="24"/>
          <w:lang w:val="es-ES"/>
        </w:rPr>
        <w:t xml:space="preserve">s religiosas, y la reglamentación de sus actividades con el fin de permitir a todas las personas el ejercicio de la libertad de religión consagrado en </w:t>
      </w:r>
      <w:smartTag w:uri="urn:schemas-microsoft-com:office:smarttags" w:element="PersonName">
        <w:smartTagPr>
          <w:attr w:name="ProductID" w:val="la Constituci￳n. Las"/>
        </w:smartTagPr>
        <w:r>
          <w:rPr>
            <w:szCs w:val="24"/>
            <w:lang w:val="es-ES"/>
          </w:rPr>
          <w:t>la Constitución.</w:t>
        </w:r>
        <w:r w:rsidRPr="004453FA">
          <w:rPr>
            <w:szCs w:val="24"/>
            <w:lang w:val="es-ES"/>
          </w:rPr>
          <w:t xml:space="preserve"> </w:t>
        </w:r>
        <w:r>
          <w:rPr>
            <w:szCs w:val="24"/>
            <w:lang w:val="es-ES"/>
          </w:rPr>
          <w:t>Las</w:t>
        </w:r>
      </w:smartTag>
      <w:r>
        <w:rPr>
          <w:szCs w:val="24"/>
          <w:lang w:val="es-ES"/>
        </w:rPr>
        <w:t xml:space="preserve"> actividades de las </w:t>
      </w:r>
      <w:r w:rsidR="005D6734">
        <w:rPr>
          <w:szCs w:val="24"/>
          <w:lang w:val="es-ES"/>
        </w:rPr>
        <w:t xml:space="preserve">asociaciones </w:t>
      </w:r>
      <w:r>
        <w:rPr>
          <w:szCs w:val="24"/>
          <w:lang w:val="es-ES"/>
        </w:rPr>
        <w:t xml:space="preserve">religiosas están reglamentadas en </w:t>
      </w:r>
      <w:smartTag w:uri="urn:schemas-microsoft-com:office:smarttags" w:element="PersonName">
        <w:smartTagPr>
          <w:attr w:name="ProductID" w:val="La Ley"/>
        </w:smartTagPr>
        <w:r>
          <w:rPr>
            <w:szCs w:val="24"/>
            <w:lang w:val="es-ES"/>
          </w:rPr>
          <w:t>la Ley</w:t>
        </w:r>
      </w:smartTag>
      <w:r>
        <w:rPr>
          <w:szCs w:val="24"/>
          <w:lang w:val="es-ES"/>
        </w:rPr>
        <w:t xml:space="preserve"> de asociaciones sin fines de lucro.</w:t>
      </w:r>
    </w:p>
    <w:p w:rsidR="00CF50AD" w:rsidRPr="004453FA" w:rsidRDefault="00CF50AD" w:rsidP="00637350">
      <w:pPr>
        <w:pStyle w:val="SingleTxtG"/>
        <w:rPr>
          <w:szCs w:val="24"/>
          <w:lang w:val="es-ES"/>
        </w:rPr>
      </w:pPr>
      <w:r w:rsidRPr="004453FA">
        <w:rPr>
          <w:szCs w:val="24"/>
          <w:lang w:val="es-ES"/>
        </w:rPr>
        <w:t>145.</w:t>
      </w:r>
      <w:r w:rsidRPr="004453FA">
        <w:rPr>
          <w:szCs w:val="24"/>
          <w:lang w:val="es-ES"/>
        </w:rPr>
        <w:tab/>
      </w:r>
      <w:r>
        <w:rPr>
          <w:szCs w:val="24"/>
          <w:lang w:val="es-ES"/>
        </w:rPr>
        <w:t xml:space="preserve">De conformidad con el artículo 2 de </w:t>
      </w:r>
      <w:r w:rsidR="005D6734">
        <w:rPr>
          <w:szCs w:val="24"/>
          <w:lang w:val="es-ES"/>
        </w:rPr>
        <w:t>es</w:t>
      </w:r>
      <w:r>
        <w:rPr>
          <w:szCs w:val="24"/>
          <w:lang w:val="es-ES"/>
        </w:rPr>
        <w:t xml:space="preserve">a </w:t>
      </w:r>
      <w:r w:rsidR="005554AF">
        <w:rPr>
          <w:szCs w:val="24"/>
          <w:lang w:val="es-ES"/>
        </w:rPr>
        <w:t>ley</w:t>
      </w:r>
      <w:r>
        <w:rPr>
          <w:szCs w:val="24"/>
          <w:lang w:val="es-ES"/>
        </w:rPr>
        <w:t xml:space="preserve">, son </w:t>
      </w:r>
      <w:r w:rsidR="005D6734">
        <w:rPr>
          <w:szCs w:val="24"/>
          <w:lang w:val="es-ES"/>
        </w:rPr>
        <w:t>a</w:t>
      </w:r>
      <w:r>
        <w:rPr>
          <w:szCs w:val="24"/>
          <w:lang w:val="es-ES"/>
        </w:rPr>
        <w:t>soci</w:t>
      </w:r>
      <w:r w:rsidR="005D6734">
        <w:rPr>
          <w:szCs w:val="24"/>
          <w:lang w:val="es-ES"/>
        </w:rPr>
        <w:t>aciones</w:t>
      </w:r>
      <w:r>
        <w:rPr>
          <w:szCs w:val="24"/>
          <w:lang w:val="es-ES"/>
        </w:rPr>
        <w:t xml:space="preserve"> religiosas las iglesias, congregaciones, asociaciones de congregaciones y monasterios, así como las instituciones e</w:t>
      </w:r>
      <w:r w:rsidR="00A576C6">
        <w:rPr>
          <w:szCs w:val="24"/>
          <w:lang w:val="es-ES"/>
        </w:rPr>
        <w:t>clesiásticas que</w:t>
      </w:r>
      <w:r>
        <w:rPr>
          <w:szCs w:val="24"/>
          <w:lang w:val="es-ES"/>
        </w:rPr>
        <w:t xml:space="preserve"> actúan en el marco de u</w:t>
      </w:r>
      <w:r w:rsidR="00C60BAE">
        <w:rPr>
          <w:szCs w:val="24"/>
          <w:lang w:val="es-ES"/>
        </w:rPr>
        <w:t>n acuerdo internacional (</w:t>
      </w:r>
      <w:r w:rsidR="00BA78DA">
        <w:rPr>
          <w:szCs w:val="24"/>
          <w:lang w:val="es-ES"/>
        </w:rPr>
        <w:t>por ejemplo</w:t>
      </w:r>
      <w:r>
        <w:rPr>
          <w:szCs w:val="24"/>
          <w:lang w:val="es-ES"/>
        </w:rPr>
        <w:t xml:space="preserve">, </w:t>
      </w:r>
      <w:smartTag w:uri="urn:schemas-microsoft-com:office:smarttags" w:element="PersonName">
        <w:smartTagPr>
          <w:attr w:name="ProductID" w:val="la Iglesia Cat￳lica"/>
        </w:smartTagPr>
        <w:r>
          <w:rPr>
            <w:szCs w:val="24"/>
            <w:lang w:val="es-ES"/>
          </w:rPr>
          <w:t>la Iglesia Católica</w:t>
        </w:r>
      </w:smartTag>
      <w:r>
        <w:rPr>
          <w:szCs w:val="24"/>
          <w:lang w:val="es-ES"/>
        </w:rPr>
        <w:t xml:space="preserve"> Romana).</w:t>
      </w:r>
      <w:r w:rsidRPr="004453FA">
        <w:rPr>
          <w:szCs w:val="24"/>
          <w:lang w:val="es-ES"/>
        </w:rPr>
        <w:t xml:space="preserve"> </w:t>
      </w:r>
      <w:r>
        <w:rPr>
          <w:szCs w:val="24"/>
          <w:lang w:val="es-ES"/>
        </w:rPr>
        <w:t xml:space="preserve">Se entiende por </w:t>
      </w:r>
      <w:r w:rsidR="005D6734">
        <w:rPr>
          <w:szCs w:val="24"/>
          <w:lang w:val="es-ES"/>
        </w:rPr>
        <w:t>as</w:t>
      </w:r>
      <w:r>
        <w:rPr>
          <w:szCs w:val="24"/>
          <w:lang w:val="es-ES"/>
        </w:rPr>
        <w:t>oci</w:t>
      </w:r>
      <w:r w:rsidR="005D6734">
        <w:rPr>
          <w:szCs w:val="24"/>
          <w:lang w:val="es-ES"/>
        </w:rPr>
        <w:t>aci</w:t>
      </w:r>
      <w:r w:rsidR="00A576C6">
        <w:rPr>
          <w:szCs w:val="24"/>
          <w:lang w:val="es-ES"/>
        </w:rPr>
        <w:t>ó</w:t>
      </w:r>
      <w:r w:rsidR="005D6734">
        <w:rPr>
          <w:szCs w:val="24"/>
          <w:lang w:val="es-ES"/>
        </w:rPr>
        <w:t>n</w:t>
      </w:r>
      <w:r>
        <w:rPr>
          <w:szCs w:val="24"/>
          <w:lang w:val="es-ES"/>
        </w:rPr>
        <w:t xml:space="preserve"> religiosa </w:t>
      </w:r>
      <w:r w:rsidR="00A576C6">
        <w:rPr>
          <w:szCs w:val="24"/>
          <w:lang w:val="es-ES"/>
        </w:rPr>
        <w:t xml:space="preserve">toda </w:t>
      </w:r>
      <w:r>
        <w:rPr>
          <w:szCs w:val="24"/>
          <w:lang w:val="es-ES"/>
        </w:rPr>
        <w:t>asociaci</w:t>
      </w:r>
      <w:r w:rsidR="00A576C6">
        <w:rPr>
          <w:szCs w:val="24"/>
          <w:lang w:val="es-ES"/>
        </w:rPr>
        <w:t>ó</w:t>
      </w:r>
      <w:r>
        <w:rPr>
          <w:szCs w:val="24"/>
          <w:lang w:val="es-ES"/>
        </w:rPr>
        <w:t xml:space="preserve">n voluntaria de personas físicas o jurídicas entre cuyas actividades </w:t>
      </w:r>
      <w:r w:rsidR="00A576C6">
        <w:rPr>
          <w:szCs w:val="24"/>
          <w:lang w:val="es-ES"/>
        </w:rPr>
        <w:t xml:space="preserve">principales </w:t>
      </w:r>
      <w:r>
        <w:rPr>
          <w:szCs w:val="24"/>
          <w:lang w:val="es-ES"/>
        </w:rPr>
        <w:t>figuren las de carácter confesional o ecuménico relativas a la moral, la ética, la educación y la cultura, y las actividades confesionales o ecuménicas diaconales y de rehabilitación social ajenas a las formas tradicionales de ritos religiosos de una iglesia o congregación y no necesariamente vinculadas a una determinada iglesia, asociación de congregaciones o congregación (art</w:t>
      </w:r>
      <w:r w:rsidR="008A3B5E">
        <w:rPr>
          <w:szCs w:val="24"/>
          <w:lang w:val="es-ES"/>
        </w:rPr>
        <w:t>.</w:t>
      </w:r>
      <w:r>
        <w:rPr>
          <w:szCs w:val="24"/>
          <w:lang w:val="es-ES"/>
        </w:rPr>
        <w:t xml:space="preserve"> 4, párr</w:t>
      </w:r>
      <w:r w:rsidR="008A3B5E">
        <w:rPr>
          <w:szCs w:val="24"/>
          <w:lang w:val="es-ES"/>
        </w:rPr>
        <w:t>.</w:t>
      </w:r>
      <w:r>
        <w:rPr>
          <w:szCs w:val="24"/>
          <w:lang w:val="es-ES"/>
        </w:rPr>
        <w:t xml:space="preserve"> 1).</w:t>
      </w:r>
    </w:p>
    <w:p w:rsidR="00106643" w:rsidRPr="004453FA" w:rsidRDefault="00106643" w:rsidP="00637350">
      <w:pPr>
        <w:pStyle w:val="SingleTxtG"/>
        <w:rPr>
          <w:szCs w:val="24"/>
          <w:lang w:val="es-ES"/>
        </w:rPr>
      </w:pPr>
      <w:r w:rsidRPr="004453FA">
        <w:rPr>
          <w:szCs w:val="24"/>
          <w:lang w:val="es-ES"/>
        </w:rPr>
        <w:t>146.</w:t>
      </w:r>
      <w:r w:rsidRPr="004453FA">
        <w:rPr>
          <w:szCs w:val="24"/>
          <w:lang w:val="es-ES"/>
        </w:rPr>
        <w:tab/>
      </w:r>
      <w:r>
        <w:rPr>
          <w:szCs w:val="24"/>
          <w:lang w:val="es-ES"/>
        </w:rPr>
        <w:t xml:space="preserve">En Estonia hay 10 iglesias, 10 asociaciones de congregaciones, 71 congregaciones individuales y 8 monasterios que se rigen por </w:t>
      </w:r>
      <w:smartTag w:uri="urn:schemas-microsoft-com:office:smarttags" w:element="PersonName">
        <w:smartTagPr>
          <w:attr w:name="ProductID" w:val="La Ley"/>
        </w:smartTagPr>
        <w:r>
          <w:rPr>
            <w:szCs w:val="24"/>
            <w:lang w:val="es-ES"/>
          </w:rPr>
          <w:t>la Ley</w:t>
        </w:r>
      </w:smartTag>
      <w:r>
        <w:rPr>
          <w:szCs w:val="24"/>
          <w:lang w:val="es-ES"/>
        </w:rPr>
        <w:t xml:space="preserve"> de iglesias y congregaciones.</w:t>
      </w:r>
      <w:r w:rsidRPr="004453FA">
        <w:rPr>
          <w:szCs w:val="24"/>
          <w:lang w:val="es-ES"/>
        </w:rPr>
        <w:t xml:space="preserve"> </w:t>
      </w:r>
      <w:r>
        <w:rPr>
          <w:szCs w:val="24"/>
          <w:lang w:val="es-ES"/>
        </w:rPr>
        <w:t xml:space="preserve">Las asociaciones religiosas no tienen </w:t>
      </w:r>
      <w:r w:rsidR="00A90C40">
        <w:rPr>
          <w:szCs w:val="24"/>
          <w:lang w:val="es-ES"/>
        </w:rPr>
        <w:t xml:space="preserve">la </w:t>
      </w:r>
      <w:r>
        <w:rPr>
          <w:szCs w:val="24"/>
          <w:lang w:val="es-ES"/>
        </w:rPr>
        <w:t xml:space="preserve">obligación de revelar al Estado </w:t>
      </w:r>
      <w:r w:rsidR="00BA78DA">
        <w:rPr>
          <w:szCs w:val="24"/>
          <w:lang w:val="es-ES"/>
        </w:rPr>
        <w:t>información sobre e</w:t>
      </w:r>
      <w:r>
        <w:rPr>
          <w:szCs w:val="24"/>
          <w:lang w:val="es-ES"/>
        </w:rPr>
        <w:t xml:space="preserve">l número de </w:t>
      </w:r>
      <w:r w:rsidR="00A90C40">
        <w:rPr>
          <w:szCs w:val="24"/>
          <w:lang w:val="es-ES"/>
        </w:rPr>
        <w:t xml:space="preserve">sus </w:t>
      </w:r>
      <w:r>
        <w:rPr>
          <w:szCs w:val="24"/>
          <w:lang w:val="es-ES"/>
        </w:rPr>
        <w:t xml:space="preserve">miembros </w:t>
      </w:r>
      <w:r w:rsidR="00587918">
        <w:rPr>
          <w:szCs w:val="24"/>
          <w:lang w:val="es-ES"/>
        </w:rPr>
        <w:t xml:space="preserve">o </w:t>
      </w:r>
      <w:r>
        <w:rPr>
          <w:szCs w:val="24"/>
          <w:lang w:val="es-ES"/>
        </w:rPr>
        <w:t>su composición por nacionalidades.</w:t>
      </w:r>
      <w:r w:rsidRPr="004453FA">
        <w:rPr>
          <w:szCs w:val="24"/>
          <w:lang w:val="es-ES"/>
        </w:rPr>
        <w:t xml:space="preserve"> </w:t>
      </w:r>
      <w:r>
        <w:rPr>
          <w:szCs w:val="24"/>
          <w:lang w:val="es-ES"/>
        </w:rPr>
        <w:t xml:space="preserve">Los datos estadísticos relacionados con el número de miembros que </w:t>
      </w:r>
      <w:r w:rsidR="00587918">
        <w:rPr>
          <w:szCs w:val="24"/>
          <w:lang w:val="es-ES"/>
        </w:rPr>
        <w:t xml:space="preserve">aparecen </w:t>
      </w:r>
      <w:r>
        <w:rPr>
          <w:szCs w:val="24"/>
          <w:lang w:val="es-ES"/>
        </w:rPr>
        <w:t xml:space="preserve">en los cuadros siguientes </w:t>
      </w:r>
      <w:r w:rsidR="00A90C40">
        <w:rPr>
          <w:szCs w:val="24"/>
          <w:lang w:val="es-ES"/>
        </w:rPr>
        <w:t xml:space="preserve">se </w:t>
      </w:r>
      <w:r>
        <w:rPr>
          <w:szCs w:val="24"/>
          <w:lang w:val="es-ES"/>
        </w:rPr>
        <w:t xml:space="preserve">han presentado </w:t>
      </w:r>
      <w:r w:rsidR="00A90C40">
        <w:rPr>
          <w:szCs w:val="24"/>
          <w:lang w:val="es-ES"/>
        </w:rPr>
        <w:t xml:space="preserve">de forma </w:t>
      </w:r>
      <w:r w:rsidR="00BA78DA">
        <w:rPr>
          <w:szCs w:val="24"/>
          <w:lang w:val="es-ES"/>
        </w:rPr>
        <w:t>voluntaria en respuesta a las preguntas de</w:t>
      </w:r>
      <w:r>
        <w:rPr>
          <w:szCs w:val="24"/>
          <w:lang w:val="es-ES"/>
        </w:rPr>
        <w:t>l Departamento de Asuntos Religiosos del Ministerio del Interior.</w:t>
      </w:r>
    </w:p>
    <w:p w:rsidR="00B61D9E" w:rsidRPr="004453FA" w:rsidRDefault="000804D0" w:rsidP="00637350">
      <w:pPr>
        <w:pStyle w:val="Heading1"/>
        <w:spacing w:before="240"/>
        <w:rPr>
          <w:lang w:val="es-ES"/>
        </w:rPr>
      </w:pPr>
      <w:r>
        <w:rPr>
          <w:lang w:val="es-ES"/>
        </w:rPr>
        <w:br w:type="page"/>
      </w:r>
      <w:r w:rsidR="00106643" w:rsidRPr="004453FA">
        <w:rPr>
          <w:lang w:val="es-ES"/>
        </w:rPr>
        <w:t>Cuadro</w:t>
      </w:r>
      <w:r w:rsidR="00B61D9E" w:rsidRPr="004453FA">
        <w:rPr>
          <w:lang w:val="es-ES"/>
        </w:rPr>
        <w:t xml:space="preserve"> 2</w:t>
      </w:r>
    </w:p>
    <w:p w:rsidR="00EE039F" w:rsidRPr="000804D0" w:rsidRDefault="00106643" w:rsidP="00637350">
      <w:pPr>
        <w:pStyle w:val="SingleTxtG"/>
        <w:jc w:val="left"/>
        <w:rPr>
          <w:b/>
          <w:lang w:val="es-ES"/>
        </w:rPr>
      </w:pPr>
      <w:r w:rsidRPr="000804D0">
        <w:rPr>
          <w:b/>
          <w:lang w:val="es-ES"/>
        </w:rPr>
        <w:t>Iglesias presentes en Estonia</w:t>
      </w:r>
    </w:p>
    <w:tbl>
      <w:tblPr>
        <w:tblW w:w="8505" w:type="dxa"/>
        <w:tblInd w:w="1134" w:type="dxa"/>
        <w:tblBorders>
          <w:top w:val="single" w:sz="4" w:space="0" w:color="auto"/>
        </w:tblBorders>
        <w:tblLayout w:type="fixed"/>
        <w:tblCellMar>
          <w:left w:w="0" w:type="dxa"/>
          <w:right w:w="0" w:type="dxa"/>
        </w:tblCellMar>
        <w:tblLook w:val="0000"/>
      </w:tblPr>
      <w:tblGrid>
        <w:gridCol w:w="5501"/>
        <w:gridCol w:w="1502"/>
        <w:gridCol w:w="1502"/>
      </w:tblGrid>
      <w:tr w:rsidR="00B61D9E" w:rsidRPr="00B61D9E">
        <w:trPr>
          <w:cantSplit/>
          <w:trHeight w:val="240"/>
          <w:tblHeader/>
        </w:trPr>
        <w:tc>
          <w:tcPr>
            <w:tcW w:w="5501" w:type="dxa"/>
            <w:tcBorders>
              <w:top w:val="single" w:sz="4" w:space="0" w:color="auto"/>
              <w:bottom w:val="single" w:sz="12" w:space="0" w:color="auto"/>
            </w:tcBorders>
            <w:shd w:val="clear" w:color="auto" w:fill="auto"/>
            <w:vAlign w:val="bottom"/>
          </w:tcPr>
          <w:p w:rsidR="00B61D9E" w:rsidRPr="004453FA" w:rsidRDefault="00B61D9E" w:rsidP="00637350">
            <w:pPr>
              <w:autoSpaceDE w:val="0"/>
              <w:autoSpaceDN w:val="0"/>
              <w:adjustRightInd w:val="0"/>
              <w:spacing w:before="80" w:after="80" w:line="200" w:lineRule="exact"/>
              <w:rPr>
                <w:rFonts w:eastAsia="Cambria Math"/>
                <w:i/>
                <w:sz w:val="16"/>
                <w:szCs w:val="24"/>
                <w:lang w:val="es-ES" w:eastAsia="et-EE"/>
              </w:rPr>
            </w:pPr>
          </w:p>
        </w:tc>
        <w:tc>
          <w:tcPr>
            <w:tcW w:w="1502" w:type="dxa"/>
            <w:tcBorders>
              <w:top w:val="single" w:sz="4" w:space="0" w:color="auto"/>
              <w:bottom w:val="single" w:sz="12" w:space="0" w:color="auto"/>
            </w:tcBorders>
            <w:shd w:val="clear" w:color="auto" w:fill="auto"/>
            <w:vAlign w:val="bottom"/>
          </w:tcPr>
          <w:p w:rsidR="00B61D9E" w:rsidRPr="00B61D9E" w:rsidRDefault="00106643" w:rsidP="00637350">
            <w:pPr>
              <w:autoSpaceDE w:val="0"/>
              <w:autoSpaceDN w:val="0"/>
              <w:adjustRightInd w:val="0"/>
              <w:spacing w:before="80" w:after="80" w:line="200" w:lineRule="exact"/>
              <w:jc w:val="right"/>
              <w:rPr>
                <w:rFonts w:eastAsia="Cambria Math"/>
                <w:i/>
                <w:sz w:val="16"/>
                <w:szCs w:val="24"/>
                <w:lang w:eastAsia="et-EE"/>
              </w:rPr>
            </w:pPr>
            <w:r>
              <w:rPr>
                <w:rFonts w:eastAsia="Cambria Math"/>
                <w:i/>
                <w:sz w:val="16"/>
                <w:szCs w:val="24"/>
                <w:lang w:eastAsia="et-EE"/>
              </w:rPr>
              <w:t>N</w:t>
            </w:r>
            <w:r w:rsidR="00E34555">
              <w:rPr>
                <w:rFonts w:eastAsia="Cambria Math"/>
                <w:i/>
                <w:sz w:val="16"/>
                <w:szCs w:val="24"/>
                <w:lang w:eastAsia="et-EE"/>
              </w:rPr>
              <w:t>º</w:t>
            </w:r>
            <w:r>
              <w:rPr>
                <w:rFonts w:eastAsia="Cambria Math"/>
                <w:i/>
                <w:sz w:val="16"/>
                <w:szCs w:val="24"/>
                <w:lang w:eastAsia="et-EE"/>
              </w:rPr>
              <w:t xml:space="preserve"> de miembros</w:t>
            </w:r>
          </w:p>
        </w:tc>
        <w:tc>
          <w:tcPr>
            <w:tcW w:w="1502" w:type="dxa"/>
            <w:tcBorders>
              <w:top w:val="single" w:sz="4" w:space="0" w:color="auto"/>
              <w:bottom w:val="single" w:sz="12" w:space="0" w:color="auto"/>
            </w:tcBorders>
            <w:shd w:val="clear" w:color="auto" w:fill="auto"/>
            <w:vAlign w:val="bottom"/>
          </w:tcPr>
          <w:p w:rsidR="00B61D9E" w:rsidRPr="00B61D9E" w:rsidRDefault="00106643" w:rsidP="00637350">
            <w:pPr>
              <w:autoSpaceDE w:val="0"/>
              <w:autoSpaceDN w:val="0"/>
              <w:adjustRightInd w:val="0"/>
              <w:spacing w:before="80" w:after="80" w:line="200" w:lineRule="exact"/>
              <w:jc w:val="right"/>
              <w:rPr>
                <w:rFonts w:eastAsia="Cambria Math"/>
                <w:i/>
                <w:sz w:val="16"/>
                <w:szCs w:val="24"/>
                <w:lang w:eastAsia="et-EE"/>
              </w:rPr>
            </w:pPr>
            <w:r>
              <w:rPr>
                <w:rFonts w:eastAsia="Cambria Math"/>
                <w:i/>
                <w:sz w:val="16"/>
                <w:szCs w:val="24"/>
                <w:lang w:eastAsia="et-EE"/>
              </w:rPr>
              <w:t>Congregaciones</w:t>
            </w:r>
          </w:p>
        </w:tc>
      </w:tr>
      <w:tr w:rsidR="00B61D9E" w:rsidRPr="000804D0">
        <w:trPr>
          <w:cantSplit/>
          <w:trHeight w:val="240"/>
        </w:trPr>
        <w:tc>
          <w:tcPr>
            <w:tcW w:w="5501" w:type="dxa"/>
            <w:tcBorders>
              <w:top w:val="single" w:sz="12" w:space="0" w:color="auto"/>
            </w:tcBorders>
            <w:shd w:val="clear" w:color="auto" w:fill="auto"/>
            <w:vAlign w:val="bottom"/>
          </w:tcPr>
          <w:p w:rsidR="00B61D9E" w:rsidRPr="000804D0" w:rsidRDefault="00106643" w:rsidP="00637350">
            <w:pPr>
              <w:autoSpaceDE w:val="0"/>
              <w:autoSpaceDN w:val="0"/>
              <w:adjustRightInd w:val="0"/>
              <w:spacing w:before="40" w:after="40" w:line="220" w:lineRule="exact"/>
              <w:rPr>
                <w:rFonts w:eastAsia="Cambria Math"/>
                <w:sz w:val="18"/>
                <w:szCs w:val="18"/>
                <w:lang w:eastAsia="et-EE"/>
              </w:rPr>
            </w:pPr>
            <w:r w:rsidRPr="000804D0">
              <w:rPr>
                <w:rFonts w:eastAsia="Cambria Math"/>
                <w:sz w:val="18"/>
                <w:szCs w:val="18"/>
                <w:lang w:eastAsia="et-EE"/>
              </w:rPr>
              <w:t>Iglesia Ortodoxa de Estonia</w:t>
            </w:r>
            <w:r w:rsidR="00B61D9E" w:rsidRPr="000804D0">
              <w:rPr>
                <w:rFonts w:eastAsia="Cambria Math"/>
                <w:szCs w:val="18"/>
                <w:lang w:eastAsia="et-EE"/>
              </w:rPr>
              <w:t>*</w:t>
            </w:r>
          </w:p>
        </w:tc>
        <w:tc>
          <w:tcPr>
            <w:tcW w:w="1502" w:type="dxa"/>
            <w:tcBorders>
              <w:top w:val="single" w:sz="12" w:space="0" w:color="auto"/>
            </w:tcBorders>
            <w:shd w:val="clear" w:color="auto" w:fill="auto"/>
            <w:vAlign w:val="bottom"/>
          </w:tcPr>
          <w:p w:rsidR="00B61D9E"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106643" w:rsidRPr="000804D0">
              <w:rPr>
                <w:rFonts w:eastAsia="Cambria Math"/>
                <w:sz w:val="18"/>
                <w:szCs w:val="18"/>
                <w:lang w:eastAsia="et-EE"/>
              </w:rPr>
              <w:t>. 27</w:t>
            </w:r>
            <w:r w:rsidR="000804D0" w:rsidRPr="000804D0">
              <w:rPr>
                <w:rFonts w:eastAsia="Cambria Math"/>
                <w:sz w:val="18"/>
                <w:szCs w:val="18"/>
                <w:lang w:eastAsia="et-EE"/>
              </w:rPr>
              <w:t xml:space="preserve"> </w:t>
            </w:r>
            <w:r w:rsidR="00B61D9E" w:rsidRPr="000804D0">
              <w:rPr>
                <w:rFonts w:eastAsia="Cambria Math"/>
                <w:sz w:val="18"/>
                <w:szCs w:val="18"/>
                <w:lang w:eastAsia="et-EE"/>
              </w:rPr>
              <w:t xml:space="preserve">000 </w:t>
            </w:r>
          </w:p>
        </w:tc>
        <w:tc>
          <w:tcPr>
            <w:tcW w:w="1502" w:type="dxa"/>
            <w:tcBorders>
              <w:top w:val="single" w:sz="12" w:space="0" w:color="auto"/>
            </w:tcBorders>
            <w:shd w:val="clear" w:color="auto" w:fill="auto"/>
            <w:vAlign w:val="bottom"/>
          </w:tcPr>
          <w:p w:rsidR="00B61D9E" w:rsidRPr="000804D0" w:rsidRDefault="000804D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61</w:t>
            </w:r>
          </w:p>
        </w:tc>
      </w:tr>
      <w:tr w:rsidR="00B61D9E" w:rsidRPr="000804D0">
        <w:trPr>
          <w:cantSplit/>
          <w:trHeight w:val="240"/>
        </w:trPr>
        <w:tc>
          <w:tcPr>
            <w:tcW w:w="5501" w:type="dxa"/>
            <w:shd w:val="clear" w:color="auto" w:fill="auto"/>
            <w:vAlign w:val="bottom"/>
          </w:tcPr>
          <w:p w:rsidR="00B61D9E" w:rsidRPr="000804D0" w:rsidRDefault="00106643"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Iglesia Luterana Evangélica de Estonia</w:t>
            </w:r>
            <w:r w:rsidR="00B61D9E" w:rsidRPr="000804D0">
              <w:rPr>
                <w:rFonts w:eastAsia="Cambria Math"/>
                <w:szCs w:val="18"/>
                <w:lang w:val="es-ES" w:eastAsia="et-EE"/>
              </w:rPr>
              <w:t>*</w:t>
            </w:r>
          </w:p>
        </w:tc>
        <w:tc>
          <w:tcPr>
            <w:tcW w:w="1502" w:type="dxa"/>
            <w:shd w:val="clear" w:color="auto" w:fill="auto"/>
            <w:vAlign w:val="bottom"/>
          </w:tcPr>
          <w:p w:rsidR="00B61D9E"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0804D0" w:rsidRPr="000804D0">
              <w:rPr>
                <w:rFonts w:eastAsia="Cambria Math"/>
                <w:sz w:val="18"/>
                <w:szCs w:val="18"/>
                <w:lang w:eastAsia="et-EE"/>
              </w:rPr>
              <w:t xml:space="preserve">. 180 </w:t>
            </w:r>
            <w:r w:rsidR="00B61D9E" w:rsidRPr="000804D0">
              <w:rPr>
                <w:rFonts w:eastAsia="Cambria Math"/>
                <w:sz w:val="18"/>
                <w:szCs w:val="18"/>
                <w:lang w:eastAsia="et-EE"/>
              </w:rPr>
              <w:t xml:space="preserve">000 </w:t>
            </w:r>
          </w:p>
        </w:tc>
        <w:tc>
          <w:tcPr>
            <w:tcW w:w="1502" w:type="dxa"/>
            <w:shd w:val="clear" w:color="auto" w:fill="auto"/>
            <w:vAlign w:val="bottom"/>
          </w:tcPr>
          <w:p w:rsidR="00B61D9E" w:rsidRPr="000804D0" w:rsidRDefault="000804D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164</w:t>
            </w:r>
          </w:p>
        </w:tc>
      </w:tr>
      <w:tr w:rsidR="00B61D9E" w:rsidRPr="000804D0">
        <w:trPr>
          <w:cantSplit/>
          <w:trHeight w:val="240"/>
        </w:trPr>
        <w:tc>
          <w:tcPr>
            <w:tcW w:w="5501" w:type="dxa"/>
            <w:shd w:val="clear" w:color="auto" w:fill="auto"/>
            <w:vAlign w:val="bottom"/>
          </w:tcPr>
          <w:p w:rsidR="00B61D9E" w:rsidRPr="000804D0" w:rsidRDefault="00106643"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Iglesia Pentecostal Cristiana de Estonia</w:t>
            </w:r>
            <w:r w:rsidR="00B61D9E" w:rsidRPr="000804D0">
              <w:rPr>
                <w:rFonts w:eastAsia="Cambria Math"/>
                <w:szCs w:val="18"/>
                <w:lang w:val="es-ES" w:eastAsia="et-EE"/>
              </w:rPr>
              <w:t>*</w:t>
            </w:r>
          </w:p>
        </w:tc>
        <w:tc>
          <w:tcPr>
            <w:tcW w:w="1502" w:type="dxa"/>
            <w:shd w:val="clear" w:color="auto" w:fill="auto"/>
            <w:vAlign w:val="bottom"/>
          </w:tcPr>
          <w:p w:rsidR="00B61D9E"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B61D9E" w:rsidRPr="000804D0">
              <w:rPr>
                <w:rFonts w:eastAsia="Cambria Math"/>
                <w:sz w:val="18"/>
                <w:szCs w:val="18"/>
                <w:lang w:eastAsia="et-EE"/>
              </w:rPr>
              <w:t>. 4</w:t>
            </w:r>
            <w:r w:rsidR="000804D0" w:rsidRPr="000804D0">
              <w:rPr>
                <w:rFonts w:eastAsia="Cambria Math"/>
                <w:sz w:val="18"/>
                <w:szCs w:val="18"/>
                <w:lang w:eastAsia="et-EE"/>
              </w:rPr>
              <w:t xml:space="preserve"> 500</w:t>
            </w:r>
          </w:p>
        </w:tc>
        <w:tc>
          <w:tcPr>
            <w:tcW w:w="1502" w:type="dxa"/>
            <w:shd w:val="clear" w:color="auto" w:fill="auto"/>
            <w:vAlign w:val="bottom"/>
          </w:tcPr>
          <w:p w:rsidR="00B61D9E" w:rsidRPr="000804D0" w:rsidRDefault="000804D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32</w:t>
            </w:r>
          </w:p>
        </w:tc>
      </w:tr>
      <w:tr w:rsidR="00B61D9E" w:rsidRPr="000804D0">
        <w:trPr>
          <w:cantSplit/>
          <w:trHeight w:val="240"/>
        </w:trPr>
        <w:tc>
          <w:tcPr>
            <w:tcW w:w="5501" w:type="dxa"/>
            <w:shd w:val="clear" w:color="auto" w:fill="auto"/>
            <w:vAlign w:val="bottom"/>
          </w:tcPr>
          <w:p w:rsidR="00B61D9E" w:rsidRPr="000804D0" w:rsidRDefault="00106643"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Iglesia Episcopal Carismática de Estonia</w:t>
            </w:r>
            <w:r w:rsidR="00B61D9E" w:rsidRPr="000804D0">
              <w:rPr>
                <w:rFonts w:eastAsia="Cambria Math"/>
                <w:szCs w:val="18"/>
                <w:lang w:val="es-ES" w:eastAsia="et-EE"/>
              </w:rPr>
              <w:t>*</w:t>
            </w:r>
          </w:p>
        </w:tc>
        <w:tc>
          <w:tcPr>
            <w:tcW w:w="1502" w:type="dxa"/>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464</w:t>
            </w:r>
          </w:p>
        </w:tc>
        <w:tc>
          <w:tcPr>
            <w:tcW w:w="1502" w:type="dxa"/>
            <w:shd w:val="clear" w:color="auto" w:fill="auto"/>
            <w:vAlign w:val="bottom"/>
          </w:tcPr>
          <w:p w:rsidR="00B61D9E" w:rsidRPr="000804D0" w:rsidRDefault="000804D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3</w:t>
            </w:r>
          </w:p>
        </w:tc>
      </w:tr>
      <w:tr w:rsidR="00B61D9E" w:rsidRPr="000804D0">
        <w:trPr>
          <w:cantSplit/>
          <w:trHeight w:val="240"/>
        </w:trPr>
        <w:tc>
          <w:tcPr>
            <w:tcW w:w="5501" w:type="dxa"/>
            <w:shd w:val="clear" w:color="auto" w:fill="auto"/>
            <w:vAlign w:val="bottom"/>
          </w:tcPr>
          <w:p w:rsidR="00B61D9E" w:rsidRPr="000804D0" w:rsidRDefault="00106643"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Iglesia Carismática de Hermandad de Estonia</w:t>
            </w:r>
          </w:p>
        </w:tc>
        <w:tc>
          <w:tcPr>
            <w:tcW w:w="1502" w:type="dxa"/>
            <w:shd w:val="clear" w:color="auto" w:fill="auto"/>
            <w:vAlign w:val="bottom"/>
          </w:tcPr>
          <w:p w:rsidR="00B61D9E" w:rsidRPr="000804D0" w:rsidRDefault="000804D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503</w:t>
            </w:r>
          </w:p>
        </w:tc>
        <w:tc>
          <w:tcPr>
            <w:tcW w:w="1502" w:type="dxa"/>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3+3</w:t>
            </w:r>
            <w:r w:rsidRPr="000804D0">
              <w:rPr>
                <w:rFonts w:eastAsia="Cambria Math"/>
                <w:szCs w:val="18"/>
                <w:lang w:eastAsia="et-EE"/>
              </w:rPr>
              <w:t>**</w:t>
            </w:r>
          </w:p>
        </w:tc>
      </w:tr>
      <w:tr w:rsidR="00B61D9E" w:rsidRPr="000804D0">
        <w:trPr>
          <w:cantSplit/>
          <w:trHeight w:val="240"/>
        </w:trPr>
        <w:tc>
          <w:tcPr>
            <w:tcW w:w="5501" w:type="dxa"/>
            <w:shd w:val="clear" w:color="auto" w:fill="auto"/>
            <w:vAlign w:val="bottom"/>
          </w:tcPr>
          <w:p w:rsidR="00B61D9E" w:rsidRPr="000804D0" w:rsidRDefault="00106643" w:rsidP="00637350">
            <w:pPr>
              <w:autoSpaceDE w:val="0"/>
              <w:autoSpaceDN w:val="0"/>
              <w:adjustRightInd w:val="0"/>
              <w:spacing w:before="40" w:after="40" w:line="220" w:lineRule="exact"/>
              <w:rPr>
                <w:rFonts w:eastAsia="Cambria Math"/>
                <w:sz w:val="18"/>
                <w:szCs w:val="18"/>
                <w:lang w:eastAsia="et-EE"/>
              </w:rPr>
            </w:pPr>
            <w:r w:rsidRPr="000804D0">
              <w:rPr>
                <w:rFonts w:eastAsia="Cambria Math"/>
                <w:sz w:val="18"/>
                <w:szCs w:val="18"/>
                <w:lang w:eastAsia="et-EE"/>
              </w:rPr>
              <w:t>Iglesia Metodista de Estonia</w:t>
            </w:r>
            <w:r w:rsidR="00B61D9E" w:rsidRPr="000804D0">
              <w:rPr>
                <w:rFonts w:eastAsia="Cambria Math"/>
                <w:szCs w:val="18"/>
                <w:lang w:eastAsia="et-EE"/>
              </w:rPr>
              <w:t>*</w:t>
            </w:r>
          </w:p>
        </w:tc>
        <w:tc>
          <w:tcPr>
            <w:tcW w:w="1502" w:type="dxa"/>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1</w:t>
            </w:r>
            <w:r w:rsidR="000804D0" w:rsidRPr="000804D0">
              <w:rPr>
                <w:rFonts w:eastAsia="Cambria Math"/>
                <w:sz w:val="18"/>
                <w:szCs w:val="18"/>
                <w:lang w:eastAsia="et-EE"/>
              </w:rPr>
              <w:t xml:space="preserve"> 693</w:t>
            </w:r>
          </w:p>
        </w:tc>
        <w:tc>
          <w:tcPr>
            <w:tcW w:w="1502" w:type="dxa"/>
            <w:shd w:val="clear" w:color="auto" w:fill="auto"/>
            <w:vAlign w:val="bottom"/>
          </w:tcPr>
          <w:p w:rsidR="00B61D9E" w:rsidRPr="000804D0" w:rsidRDefault="000804D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24</w:t>
            </w:r>
          </w:p>
        </w:tc>
      </w:tr>
      <w:tr w:rsidR="00B61D9E" w:rsidRPr="000804D0">
        <w:trPr>
          <w:cantSplit/>
          <w:trHeight w:val="240"/>
        </w:trPr>
        <w:tc>
          <w:tcPr>
            <w:tcW w:w="5501" w:type="dxa"/>
            <w:shd w:val="clear" w:color="auto" w:fill="auto"/>
            <w:vAlign w:val="bottom"/>
          </w:tcPr>
          <w:p w:rsidR="00B61D9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Iglesia Ortodoxa del Patriarcado de Moscú en Estonia</w:t>
            </w:r>
            <w:r w:rsidR="00B61D9E" w:rsidRPr="000804D0">
              <w:rPr>
                <w:rFonts w:eastAsia="Cambria Math"/>
                <w:szCs w:val="18"/>
                <w:lang w:val="es-ES" w:eastAsia="et-EE"/>
              </w:rPr>
              <w:t>*</w:t>
            </w:r>
          </w:p>
        </w:tc>
        <w:tc>
          <w:tcPr>
            <w:tcW w:w="1502" w:type="dxa"/>
            <w:shd w:val="clear" w:color="auto" w:fill="auto"/>
            <w:vAlign w:val="bottom"/>
          </w:tcPr>
          <w:p w:rsidR="00B61D9E"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0804D0" w:rsidRPr="000804D0">
              <w:rPr>
                <w:rFonts w:eastAsia="Cambria Math"/>
                <w:sz w:val="18"/>
                <w:szCs w:val="18"/>
                <w:lang w:eastAsia="et-EE"/>
              </w:rPr>
              <w:t>. 170 000</w:t>
            </w:r>
          </w:p>
        </w:tc>
        <w:tc>
          <w:tcPr>
            <w:tcW w:w="1502" w:type="dxa"/>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30</w:t>
            </w:r>
          </w:p>
        </w:tc>
      </w:tr>
      <w:tr w:rsidR="00B61D9E" w:rsidRPr="000804D0">
        <w:trPr>
          <w:cantSplit/>
          <w:trHeight w:val="240"/>
        </w:trPr>
        <w:tc>
          <w:tcPr>
            <w:tcW w:w="5501" w:type="dxa"/>
            <w:shd w:val="clear" w:color="auto" w:fill="auto"/>
            <w:vAlign w:val="bottom"/>
          </w:tcPr>
          <w:p w:rsidR="00B61D9E" w:rsidRPr="000804D0" w:rsidRDefault="007C5C36" w:rsidP="00637350">
            <w:pPr>
              <w:autoSpaceDE w:val="0"/>
              <w:autoSpaceDN w:val="0"/>
              <w:adjustRightInd w:val="0"/>
              <w:spacing w:before="40" w:after="40" w:line="220" w:lineRule="exact"/>
              <w:rPr>
                <w:rFonts w:eastAsia="Cambria Math"/>
                <w:sz w:val="18"/>
                <w:szCs w:val="18"/>
                <w:lang w:eastAsia="et-EE"/>
              </w:rPr>
            </w:pPr>
            <w:r w:rsidRPr="000804D0">
              <w:rPr>
                <w:rFonts w:eastAsia="Cambria Math"/>
                <w:sz w:val="18"/>
                <w:szCs w:val="18"/>
                <w:lang w:eastAsia="et-EE"/>
              </w:rPr>
              <w:t>Iglesia Católica Romana</w:t>
            </w:r>
            <w:r w:rsidR="00B61D9E" w:rsidRPr="000804D0">
              <w:rPr>
                <w:rFonts w:eastAsia="Cambria Math"/>
                <w:szCs w:val="18"/>
                <w:lang w:eastAsia="et-EE"/>
              </w:rPr>
              <w:t>*</w:t>
            </w:r>
          </w:p>
        </w:tc>
        <w:tc>
          <w:tcPr>
            <w:tcW w:w="1502" w:type="dxa"/>
            <w:shd w:val="clear" w:color="auto" w:fill="auto"/>
            <w:vAlign w:val="bottom"/>
          </w:tcPr>
          <w:p w:rsidR="00B61D9E"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B61D9E" w:rsidRPr="000804D0">
              <w:rPr>
                <w:rFonts w:eastAsia="Cambria Math"/>
                <w:sz w:val="18"/>
                <w:szCs w:val="18"/>
                <w:lang w:eastAsia="et-EE"/>
              </w:rPr>
              <w:t>. 6</w:t>
            </w:r>
            <w:r w:rsidR="000804D0" w:rsidRPr="000804D0">
              <w:rPr>
                <w:rFonts w:eastAsia="Cambria Math"/>
                <w:sz w:val="18"/>
                <w:szCs w:val="18"/>
                <w:lang w:eastAsia="et-EE"/>
              </w:rPr>
              <w:t xml:space="preserve"> 000</w:t>
            </w:r>
          </w:p>
        </w:tc>
        <w:tc>
          <w:tcPr>
            <w:tcW w:w="1502" w:type="dxa"/>
            <w:shd w:val="clear" w:color="auto" w:fill="auto"/>
            <w:vAlign w:val="bottom"/>
          </w:tcPr>
          <w:p w:rsidR="00B61D9E" w:rsidRPr="000804D0" w:rsidRDefault="000804D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9</w:t>
            </w:r>
          </w:p>
        </w:tc>
      </w:tr>
      <w:tr w:rsidR="00B61D9E" w:rsidRPr="000804D0">
        <w:trPr>
          <w:cantSplit/>
          <w:trHeight w:val="240"/>
        </w:trPr>
        <w:tc>
          <w:tcPr>
            <w:tcW w:w="5501" w:type="dxa"/>
            <w:shd w:val="clear" w:color="auto" w:fill="auto"/>
            <w:vAlign w:val="bottom"/>
          </w:tcPr>
          <w:p w:rsidR="00B61D9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Nueva Iglesia Apostólica de Estonia</w:t>
            </w:r>
          </w:p>
        </w:tc>
        <w:tc>
          <w:tcPr>
            <w:tcW w:w="1502" w:type="dxa"/>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2</w:t>
            </w:r>
            <w:r w:rsidR="000804D0" w:rsidRPr="000804D0">
              <w:rPr>
                <w:rFonts w:eastAsia="Cambria Math"/>
                <w:sz w:val="18"/>
                <w:szCs w:val="18"/>
                <w:lang w:eastAsia="et-EE"/>
              </w:rPr>
              <w:t xml:space="preserve"> </w:t>
            </w:r>
            <w:r w:rsidRPr="000804D0">
              <w:rPr>
                <w:rFonts w:eastAsia="Cambria Math"/>
                <w:sz w:val="18"/>
                <w:szCs w:val="18"/>
                <w:lang w:eastAsia="et-EE"/>
              </w:rPr>
              <w:t>217</w:t>
            </w:r>
          </w:p>
        </w:tc>
        <w:tc>
          <w:tcPr>
            <w:tcW w:w="1502" w:type="dxa"/>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3+15</w:t>
            </w:r>
            <w:r w:rsidRPr="000804D0">
              <w:rPr>
                <w:rFonts w:eastAsia="Cambria Math"/>
                <w:szCs w:val="18"/>
                <w:lang w:eastAsia="et-EE"/>
              </w:rPr>
              <w:t>**</w:t>
            </w:r>
          </w:p>
        </w:tc>
      </w:tr>
      <w:tr w:rsidR="00B61D9E" w:rsidRPr="000804D0">
        <w:trPr>
          <w:cantSplit/>
          <w:trHeight w:val="240"/>
        </w:trPr>
        <w:tc>
          <w:tcPr>
            <w:tcW w:w="5501" w:type="dxa"/>
            <w:tcBorders>
              <w:bottom w:val="single" w:sz="12" w:space="0" w:color="auto"/>
            </w:tcBorders>
            <w:shd w:val="clear" w:color="auto" w:fill="auto"/>
            <w:vAlign w:val="bottom"/>
          </w:tcPr>
          <w:p w:rsidR="00B61D9E" w:rsidRPr="000804D0" w:rsidRDefault="007C5C36" w:rsidP="00637350">
            <w:pPr>
              <w:autoSpaceDE w:val="0"/>
              <w:autoSpaceDN w:val="0"/>
              <w:adjustRightInd w:val="0"/>
              <w:spacing w:before="40" w:after="40" w:line="220" w:lineRule="exact"/>
              <w:rPr>
                <w:rFonts w:eastAsia="Cambria Math"/>
                <w:iCs/>
                <w:sz w:val="18"/>
                <w:szCs w:val="18"/>
                <w:lang w:eastAsia="et-EE"/>
              </w:rPr>
            </w:pPr>
            <w:r w:rsidRPr="000804D0">
              <w:rPr>
                <w:rFonts w:eastAsia="Cambria Math"/>
                <w:sz w:val="18"/>
                <w:szCs w:val="18"/>
                <w:lang w:eastAsia="et-EE"/>
              </w:rPr>
              <w:t xml:space="preserve">Iglesia Anglocatólica </w:t>
            </w:r>
            <w:r w:rsidR="00587918" w:rsidRPr="000804D0">
              <w:rPr>
                <w:rFonts w:eastAsia="Cambria Math"/>
                <w:sz w:val="18"/>
                <w:szCs w:val="18"/>
                <w:lang w:eastAsia="et-EE"/>
              </w:rPr>
              <w:t>d</w:t>
            </w:r>
            <w:r w:rsidRPr="000804D0">
              <w:rPr>
                <w:rFonts w:eastAsia="Cambria Math"/>
                <w:sz w:val="18"/>
                <w:szCs w:val="18"/>
                <w:lang w:eastAsia="et-EE"/>
              </w:rPr>
              <w:t>e Estonia</w:t>
            </w:r>
          </w:p>
        </w:tc>
        <w:tc>
          <w:tcPr>
            <w:tcW w:w="1502" w:type="dxa"/>
            <w:tcBorders>
              <w:bottom w:val="single" w:sz="12" w:space="0" w:color="auto"/>
            </w:tcBorders>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p>
        </w:tc>
        <w:tc>
          <w:tcPr>
            <w:tcW w:w="1502" w:type="dxa"/>
            <w:tcBorders>
              <w:bottom w:val="single" w:sz="12" w:space="0" w:color="auto"/>
            </w:tcBorders>
            <w:shd w:val="clear" w:color="auto" w:fill="auto"/>
            <w:vAlign w:val="bottom"/>
          </w:tcPr>
          <w:p w:rsidR="00B61D9E" w:rsidRPr="000804D0" w:rsidRDefault="00B61D9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3</w:t>
            </w:r>
          </w:p>
        </w:tc>
      </w:tr>
    </w:tbl>
    <w:p w:rsidR="007F3AAE" w:rsidRDefault="007C5C36" w:rsidP="00637350">
      <w:pPr>
        <w:pStyle w:val="Heading1"/>
        <w:spacing w:before="240"/>
      </w:pPr>
      <w:r w:rsidRPr="000804D0">
        <w:t>Cuadro</w:t>
      </w:r>
      <w:r w:rsidR="007F3AAE" w:rsidRPr="007F3AAE">
        <w:t xml:space="preserve"> 3</w:t>
      </w:r>
    </w:p>
    <w:p w:rsidR="007F3AAE" w:rsidRPr="000804D0" w:rsidRDefault="005C46FB" w:rsidP="00637350">
      <w:pPr>
        <w:pStyle w:val="SingleTxtG"/>
        <w:jc w:val="left"/>
        <w:rPr>
          <w:b/>
        </w:rPr>
      </w:pPr>
      <w:r w:rsidRPr="000804D0">
        <w:rPr>
          <w:b/>
        </w:rPr>
        <w:t>Asociaciones de congregaciones</w:t>
      </w:r>
    </w:p>
    <w:tbl>
      <w:tblPr>
        <w:tblW w:w="8505" w:type="dxa"/>
        <w:tblInd w:w="1134" w:type="dxa"/>
        <w:tblBorders>
          <w:top w:val="single" w:sz="4" w:space="0" w:color="auto"/>
        </w:tblBorders>
        <w:tblLayout w:type="fixed"/>
        <w:tblCellMar>
          <w:left w:w="0" w:type="dxa"/>
          <w:right w:w="0" w:type="dxa"/>
        </w:tblCellMar>
        <w:tblLook w:val="0000"/>
      </w:tblPr>
      <w:tblGrid>
        <w:gridCol w:w="5501"/>
        <w:gridCol w:w="1502"/>
        <w:gridCol w:w="1502"/>
      </w:tblGrid>
      <w:tr w:rsidR="007F3AAE" w:rsidRPr="007F3AAE">
        <w:trPr>
          <w:trHeight w:val="240"/>
          <w:tblHeader/>
        </w:trPr>
        <w:tc>
          <w:tcPr>
            <w:tcW w:w="5501" w:type="dxa"/>
            <w:tcBorders>
              <w:top w:val="single" w:sz="4" w:space="0" w:color="auto"/>
              <w:bottom w:val="single" w:sz="12" w:space="0" w:color="auto"/>
            </w:tcBorders>
            <w:shd w:val="clear" w:color="auto" w:fill="auto"/>
            <w:vAlign w:val="bottom"/>
          </w:tcPr>
          <w:p w:rsidR="007F3AAE" w:rsidRPr="001E75F8" w:rsidRDefault="007F3AAE" w:rsidP="00637350">
            <w:pPr>
              <w:spacing w:before="80" w:after="80" w:line="200" w:lineRule="exact"/>
              <w:rPr>
                <w:i/>
                <w:sz w:val="16"/>
                <w:szCs w:val="24"/>
                <w:lang w:eastAsia="et-EE"/>
              </w:rPr>
            </w:pPr>
          </w:p>
        </w:tc>
        <w:tc>
          <w:tcPr>
            <w:tcW w:w="1502" w:type="dxa"/>
            <w:tcBorders>
              <w:top w:val="single" w:sz="4" w:space="0" w:color="auto"/>
              <w:bottom w:val="single" w:sz="12" w:space="0" w:color="auto"/>
            </w:tcBorders>
            <w:shd w:val="clear" w:color="auto" w:fill="auto"/>
            <w:vAlign w:val="bottom"/>
          </w:tcPr>
          <w:p w:rsidR="007F3AAE" w:rsidRPr="001E75F8" w:rsidRDefault="005C46FB" w:rsidP="00637350">
            <w:pPr>
              <w:autoSpaceDE w:val="0"/>
              <w:autoSpaceDN w:val="0"/>
              <w:adjustRightInd w:val="0"/>
              <w:spacing w:before="80" w:after="80" w:line="200" w:lineRule="exact"/>
              <w:jc w:val="right"/>
              <w:rPr>
                <w:rFonts w:eastAsia="Cambria Math"/>
                <w:bCs/>
                <w:i/>
                <w:sz w:val="16"/>
                <w:szCs w:val="24"/>
                <w:lang w:eastAsia="et-EE"/>
              </w:rPr>
            </w:pPr>
            <w:r>
              <w:rPr>
                <w:rFonts w:eastAsia="Cambria Math"/>
                <w:bCs/>
                <w:i/>
                <w:sz w:val="16"/>
                <w:szCs w:val="24"/>
                <w:lang w:eastAsia="et-EE"/>
              </w:rPr>
              <w:t>N</w:t>
            </w:r>
            <w:r w:rsidR="00E34555">
              <w:rPr>
                <w:rFonts w:eastAsia="Cambria Math"/>
                <w:bCs/>
                <w:i/>
                <w:sz w:val="16"/>
                <w:szCs w:val="24"/>
                <w:lang w:eastAsia="et-EE"/>
              </w:rPr>
              <w:t>º</w:t>
            </w:r>
            <w:r>
              <w:rPr>
                <w:rFonts w:eastAsia="Cambria Math"/>
                <w:bCs/>
                <w:i/>
                <w:sz w:val="16"/>
                <w:szCs w:val="24"/>
                <w:lang w:eastAsia="et-EE"/>
              </w:rPr>
              <w:t xml:space="preserve"> de miembros</w:t>
            </w:r>
          </w:p>
        </w:tc>
        <w:tc>
          <w:tcPr>
            <w:tcW w:w="1502" w:type="dxa"/>
            <w:tcBorders>
              <w:top w:val="single" w:sz="4" w:space="0" w:color="auto"/>
              <w:bottom w:val="single" w:sz="12" w:space="0" w:color="auto"/>
            </w:tcBorders>
            <w:shd w:val="clear" w:color="auto" w:fill="auto"/>
            <w:vAlign w:val="bottom"/>
          </w:tcPr>
          <w:p w:rsidR="007F3AAE" w:rsidRPr="001E75F8" w:rsidRDefault="005C46FB" w:rsidP="00637350">
            <w:pPr>
              <w:autoSpaceDE w:val="0"/>
              <w:autoSpaceDN w:val="0"/>
              <w:adjustRightInd w:val="0"/>
              <w:spacing w:before="80" w:after="80" w:line="200" w:lineRule="exact"/>
              <w:jc w:val="right"/>
              <w:rPr>
                <w:rFonts w:eastAsia="Cambria Math"/>
                <w:bCs/>
                <w:i/>
                <w:sz w:val="16"/>
                <w:szCs w:val="24"/>
                <w:lang w:eastAsia="et-EE"/>
              </w:rPr>
            </w:pPr>
            <w:r>
              <w:rPr>
                <w:rFonts w:eastAsia="Cambria Math"/>
                <w:bCs/>
                <w:i/>
                <w:sz w:val="16"/>
                <w:szCs w:val="24"/>
                <w:lang w:eastAsia="et-EE"/>
              </w:rPr>
              <w:t>Congregaciones</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Conferencia Estonia de Iglesias Adventistas del Séptimo Día</w:t>
            </w:r>
            <w:r w:rsidR="007F3AAE" w:rsidRPr="000804D0">
              <w:rPr>
                <w:rFonts w:eastAsia="Cambria Math"/>
                <w:lang w:val="es-ES" w:eastAsia="et-EE"/>
              </w:rPr>
              <w:t>*</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1</w:t>
            </w:r>
            <w:r w:rsidR="000804D0">
              <w:rPr>
                <w:rFonts w:eastAsia="Cambria Math"/>
                <w:sz w:val="18"/>
                <w:szCs w:val="18"/>
                <w:lang w:eastAsia="et-EE"/>
              </w:rPr>
              <w:t xml:space="preserve"> </w:t>
            </w:r>
            <w:r w:rsidRPr="000804D0">
              <w:rPr>
                <w:rFonts w:eastAsia="Cambria Math"/>
                <w:sz w:val="18"/>
                <w:szCs w:val="18"/>
                <w:lang w:eastAsia="et-EE"/>
              </w:rPr>
              <w:t>627</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19 </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Unión de Congregaciones de Baha</w:t>
            </w:r>
            <w:r w:rsidR="002B491B" w:rsidRPr="000804D0">
              <w:rPr>
                <w:rFonts w:eastAsia="Cambria Math"/>
                <w:sz w:val="18"/>
                <w:szCs w:val="18"/>
                <w:lang w:val="es-ES" w:eastAsia="et-EE"/>
              </w:rPr>
              <w:t>'</w:t>
            </w:r>
            <w:r w:rsidRPr="000804D0">
              <w:rPr>
                <w:rFonts w:eastAsia="Cambria Math"/>
                <w:sz w:val="18"/>
                <w:szCs w:val="18"/>
                <w:lang w:val="es-ES" w:eastAsia="et-EE"/>
              </w:rPr>
              <w:t>i en Estonia</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142 </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5 </w:t>
            </w:r>
          </w:p>
        </w:tc>
      </w:tr>
      <w:tr w:rsidR="007F3AAE" w:rsidRPr="000804D0">
        <w:trPr>
          <w:trHeight w:val="240"/>
        </w:trPr>
        <w:tc>
          <w:tcPr>
            <w:tcW w:w="5501" w:type="dxa"/>
            <w:shd w:val="clear" w:color="auto" w:fill="auto"/>
            <w:vAlign w:val="bottom"/>
          </w:tcPr>
          <w:p w:rsidR="007F3AAE" w:rsidRPr="000804D0" w:rsidRDefault="00E3097D"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Unión de Igle</w:t>
            </w:r>
            <w:r w:rsidR="007C5C36" w:rsidRPr="000804D0">
              <w:rPr>
                <w:rFonts w:eastAsia="Cambria Math"/>
                <w:sz w:val="18"/>
                <w:szCs w:val="18"/>
                <w:lang w:val="es-ES" w:eastAsia="et-EE"/>
              </w:rPr>
              <w:t>s</w:t>
            </w:r>
            <w:r w:rsidRPr="000804D0">
              <w:rPr>
                <w:rFonts w:eastAsia="Cambria Math"/>
                <w:sz w:val="18"/>
                <w:szCs w:val="18"/>
                <w:lang w:val="es-ES" w:eastAsia="et-EE"/>
              </w:rPr>
              <w:t>i</w:t>
            </w:r>
            <w:r w:rsidR="007C5C36" w:rsidRPr="000804D0">
              <w:rPr>
                <w:rFonts w:eastAsia="Cambria Math"/>
                <w:sz w:val="18"/>
                <w:szCs w:val="18"/>
                <w:lang w:val="es-ES" w:eastAsia="et-EE"/>
              </w:rPr>
              <w:t>as Evangélicas Cristianas y Bautistas de Estonia</w:t>
            </w:r>
            <w:r w:rsidR="007F3AAE" w:rsidRPr="000804D0">
              <w:rPr>
                <w:rFonts w:eastAsia="Cambria Math"/>
                <w:lang w:val="es-ES" w:eastAsia="et-EE"/>
              </w:rPr>
              <w:t>*</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6</w:t>
            </w:r>
            <w:r w:rsidR="000804D0">
              <w:rPr>
                <w:rFonts w:eastAsia="Cambria Math"/>
                <w:sz w:val="18"/>
                <w:szCs w:val="18"/>
                <w:lang w:eastAsia="et-EE"/>
              </w:rPr>
              <w:t xml:space="preserve"> </w:t>
            </w:r>
            <w:r w:rsidRPr="000804D0">
              <w:rPr>
                <w:rFonts w:eastAsia="Cambria Math"/>
                <w:sz w:val="18"/>
                <w:szCs w:val="18"/>
                <w:lang w:eastAsia="et-EE"/>
              </w:rPr>
              <w:t>196</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83 </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Unión de Congregaciones Pentecostales Cristianas Evangélicas de Estonia</w:t>
            </w:r>
          </w:p>
        </w:tc>
        <w:tc>
          <w:tcPr>
            <w:tcW w:w="1502" w:type="dxa"/>
            <w:shd w:val="clear" w:color="auto" w:fill="auto"/>
            <w:vAlign w:val="bottom"/>
          </w:tcPr>
          <w:p w:rsidR="007F3AAE" w:rsidRPr="000804D0" w:rsidRDefault="007C5C36"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w:t>
            </w:r>
            <w:r w:rsidR="00106643" w:rsidRPr="000804D0">
              <w:rPr>
                <w:rFonts w:eastAsia="Cambria Math"/>
                <w:sz w:val="18"/>
                <w:szCs w:val="18"/>
                <w:lang w:eastAsia="et-EE"/>
              </w:rPr>
              <w:t>prox.</w:t>
            </w:r>
            <w:r w:rsidR="007F3AAE" w:rsidRPr="000804D0">
              <w:rPr>
                <w:rFonts w:eastAsia="Cambria Math"/>
                <w:sz w:val="18"/>
                <w:szCs w:val="18"/>
                <w:lang w:eastAsia="et-EE"/>
              </w:rPr>
              <w:t xml:space="preserve"> 1</w:t>
            </w:r>
            <w:r w:rsidR="000804D0">
              <w:rPr>
                <w:rFonts w:eastAsia="Cambria Math"/>
                <w:sz w:val="18"/>
                <w:szCs w:val="18"/>
                <w:lang w:eastAsia="et-EE"/>
              </w:rPr>
              <w:t xml:space="preserve"> </w:t>
            </w:r>
            <w:r w:rsidR="007F3AAE" w:rsidRPr="000804D0">
              <w:rPr>
                <w:rFonts w:eastAsia="Cambria Math"/>
                <w:sz w:val="18"/>
                <w:szCs w:val="18"/>
                <w:lang w:eastAsia="et-EE"/>
              </w:rPr>
              <w:t xml:space="preserve">000 </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3 </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Unión de Congregaciones Evangélicas y Libres de Estonia</w:t>
            </w:r>
          </w:p>
        </w:tc>
        <w:tc>
          <w:tcPr>
            <w:tcW w:w="1502" w:type="dxa"/>
            <w:shd w:val="clear" w:color="auto" w:fill="auto"/>
            <w:vAlign w:val="bottom"/>
          </w:tcPr>
          <w:p w:rsidR="007F3AAE" w:rsidRPr="000804D0" w:rsidRDefault="007C5C36"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w:t>
            </w:r>
            <w:r w:rsidR="00106643" w:rsidRPr="000804D0">
              <w:rPr>
                <w:rFonts w:eastAsia="Cambria Math"/>
                <w:sz w:val="18"/>
                <w:szCs w:val="18"/>
                <w:lang w:eastAsia="et-EE"/>
              </w:rPr>
              <w:t>prox.</w:t>
            </w:r>
            <w:r w:rsidR="007F3AAE" w:rsidRPr="000804D0">
              <w:rPr>
                <w:rFonts w:eastAsia="Cambria Math"/>
                <w:sz w:val="18"/>
                <w:szCs w:val="18"/>
                <w:lang w:eastAsia="et-EE"/>
              </w:rPr>
              <w:t xml:space="preserve"> 1</w:t>
            </w:r>
            <w:r w:rsidR="000804D0">
              <w:rPr>
                <w:rFonts w:eastAsia="Cambria Math"/>
                <w:sz w:val="18"/>
                <w:szCs w:val="18"/>
                <w:lang w:eastAsia="et-EE"/>
              </w:rPr>
              <w:t xml:space="preserve"> </w:t>
            </w:r>
            <w:r w:rsidR="007F3AAE" w:rsidRPr="000804D0">
              <w:rPr>
                <w:rFonts w:eastAsia="Cambria Math"/>
                <w:sz w:val="18"/>
                <w:szCs w:val="18"/>
                <w:lang w:eastAsia="et-EE"/>
              </w:rPr>
              <w:t xml:space="preserve">000 </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6 </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Unión de Congregaciones de los Testigos de Jehová de Estonia</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4</w:t>
            </w:r>
            <w:r w:rsidR="000804D0">
              <w:rPr>
                <w:rFonts w:eastAsia="Cambria Math"/>
                <w:sz w:val="18"/>
                <w:szCs w:val="18"/>
                <w:lang w:eastAsia="et-EE"/>
              </w:rPr>
              <w:t xml:space="preserve"> </w:t>
            </w:r>
            <w:r w:rsidRPr="000804D0">
              <w:rPr>
                <w:rFonts w:eastAsia="Cambria Math"/>
                <w:sz w:val="18"/>
                <w:szCs w:val="18"/>
                <w:lang w:eastAsia="et-EE"/>
              </w:rPr>
              <w:t xml:space="preserve">254 </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4+51</w:t>
            </w:r>
            <w:r w:rsidRPr="000804D0">
              <w:rPr>
                <w:rFonts w:eastAsia="Cambria Math"/>
                <w:lang w:eastAsia="et-EE"/>
              </w:rPr>
              <w:t>**</w:t>
            </w:r>
            <w:r w:rsidRPr="000804D0">
              <w:rPr>
                <w:rFonts w:eastAsia="Cambria Math"/>
                <w:sz w:val="18"/>
                <w:szCs w:val="18"/>
                <w:lang w:eastAsia="et-EE"/>
              </w:rPr>
              <w:t xml:space="preserve"> </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Unión de Congregaciones Cristianas Libres de Estonia</w:t>
            </w:r>
          </w:p>
        </w:tc>
        <w:tc>
          <w:tcPr>
            <w:tcW w:w="1502" w:type="dxa"/>
            <w:shd w:val="clear" w:color="auto" w:fill="auto"/>
            <w:vAlign w:val="bottom"/>
          </w:tcPr>
          <w:p w:rsidR="007F3AAE" w:rsidRPr="000804D0" w:rsidRDefault="007C5C36"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w:t>
            </w:r>
            <w:r w:rsidR="00106643" w:rsidRPr="000804D0">
              <w:rPr>
                <w:rFonts w:eastAsia="Cambria Math"/>
                <w:sz w:val="18"/>
                <w:szCs w:val="18"/>
                <w:lang w:eastAsia="et-EE"/>
              </w:rPr>
              <w:t>prox.</w:t>
            </w:r>
            <w:r w:rsidR="007F3AAE" w:rsidRPr="000804D0">
              <w:rPr>
                <w:rFonts w:eastAsia="Cambria Math"/>
                <w:sz w:val="18"/>
                <w:szCs w:val="18"/>
                <w:lang w:eastAsia="et-EE"/>
              </w:rPr>
              <w:t xml:space="preserve"> 350 </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6 </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Unión de Congregaciones de Viejos Creyentes de Estonia</w:t>
            </w:r>
          </w:p>
        </w:tc>
        <w:tc>
          <w:tcPr>
            <w:tcW w:w="1502" w:type="dxa"/>
            <w:shd w:val="clear" w:color="auto" w:fill="auto"/>
            <w:vAlign w:val="bottom"/>
          </w:tcPr>
          <w:p w:rsidR="007F3AAE" w:rsidRPr="000804D0" w:rsidRDefault="007C5C36"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w:t>
            </w:r>
            <w:r w:rsidR="000804D0">
              <w:rPr>
                <w:rFonts w:eastAsia="Cambria Math"/>
                <w:sz w:val="18"/>
                <w:szCs w:val="18"/>
                <w:lang w:eastAsia="et-EE"/>
              </w:rPr>
              <w:t xml:space="preserve">prox. 15 </w:t>
            </w:r>
            <w:r w:rsidR="007F3AAE" w:rsidRPr="000804D0">
              <w:rPr>
                <w:rFonts w:eastAsia="Cambria Math"/>
                <w:sz w:val="18"/>
                <w:szCs w:val="18"/>
                <w:lang w:eastAsia="et-EE"/>
              </w:rPr>
              <w:t xml:space="preserve">000 </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10+1</w:t>
            </w:r>
            <w:r w:rsidRPr="000804D0">
              <w:rPr>
                <w:rFonts w:eastAsia="Cambria Math"/>
                <w:lang w:eastAsia="et-EE"/>
              </w:rPr>
              <w:t>**</w:t>
            </w:r>
            <w:r w:rsidRPr="000804D0">
              <w:rPr>
                <w:rFonts w:eastAsia="Cambria Math"/>
                <w:sz w:val="18"/>
                <w:szCs w:val="18"/>
                <w:lang w:eastAsia="et-EE"/>
              </w:rPr>
              <w:t xml:space="preserve"> </w:t>
            </w:r>
          </w:p>
        </w:tc>
      </w:tr>
      <w:tr w:rsidR="007F3AAE" w:rsidRPr="000804D0">
        <w:trPr>
          <w:trHeight w:val="240"/>
        </w:trPr>
        <w:tc>
          <w:tcPr>
            <w:tcW w:w="5501" w:type="dxa"/>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smartTag w:uri="urn:schemas-microsoft-com:office:smarttags" w:element="PersonName">
              <w:smartTagPr>
                <w:attr w:name="ProductID" w:val="La Casa"/>
              </w:smartTagPr>
              <w:r w:rsidRPr="000804D0">
                <w:rPr>
                  <w:rFonts w:eastAsia="Cambria Math"/>
                  <w:sz w:val="18"/>
                  <w:szCs w:val="18"/>
                  <w:lang w:val="es-ES" w:eastAsia="et-EE"/>
                </w:rPr>
                <w:t>La Casa</w:t>
              </w:r>
            </w:smartTag>
            <w:r w:rsidRPr="000804D0">
              <w:rPr>
                <w:rFonts w:eastAsia="Cambria Math"/>
                <w:sz w:val="18"/>
                <w:szCs w:val="18"/>
                <w:lang w:val="es-ES" w:eastAsia="et-EE"/>
              </w:rPr>
              <w:t xml:space="preserve"> de Taara y Pueblo de </w:t>
            </w:r>
            <w:smartTag w:uri="urn:schemas-microsoft-com:office:smarttags" w:element="PersonName">
              <w:smartTagPr>
                <w:attr w:name="ProductID" w:val="la Madre Tierra"/>
              </w:smartTagPr>
              <w:r w:rsidRPr="000804D0">
                <w:rPr>
                  <w:rFonts w:eastAsia="Cambria Math"/>
                  <w:sz w:val="18"/>
                  <w:szCs w:val="18"/>
                  <w:lang w:val="es-ES" w:eastAsia="et-EE"/>
                </w:rPr>
                <w:t>la Madre Tierra</w:t>
              </w:r>
            </w:smartTag>
            <w:r w:rsidRPr="000804D0">
              <w:rPr>
                <w:rFonts w:eastAsia="Cambria Math"/>
                <w:sz w:val="18"/>
                <w:szCs w:val="18"/>
                <w:lang w:val="es-ES" w:eastAsia="et-EE"/>
              </w:rPr>
              <w:t xml:space="preserve"> de Maavald</w:t>
            </w: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val="es-ES" w:eastAsia="et-EE"/>
              </w:rPr>
            </w:pPr>
          </w:p>
        </w:tc>
        <w:tc>
          <w:tcPr>
            <w:tcW w:w="1502" w:type="dxa"/>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5</w:t>
            </w:r>
          </w:p>
        </w:tc>
      </w:tr>
      <w:tr w:rsidR="007F3AAE" w:rsidRPr="000804D0">
        <w:trPr>
          <w:trHeight w:val="240"/>
        </w:trPr>
        <w:tc>
          <w:tcPr>
            <w:tcW w:w="5501" w:type="dxa"/>
            <w:tcBorders>
              <w:bottom w:val="single" w:sz="12" w:space="0" w:color="auto"/>
            </w:tcBorders>
            <w:shd w:val="clear" w:color="auto" w:fill="auto"/>
            <w:vAlign w:val="bottom"/>
          </w:tcPr>
          <w:p w:rsidR="007F3AAE"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noProof/>
                <w:sz w:val="18"/>
                <w:szCs w:val="18"/>
                <w:lang w:val="es-ES" w:eastAsia="et-EE"/>
              </w:rPr>
              <w:t>Asociación de Congregaciones Cristianas de Estonia</w:t>
            </w:r>
          </w:p>
        </w:tc>
        <w:tc>
          <w:tcPr>
            <w:tcW w:w="1502" w:type="dxa"/>
            <w:tcBorders>
              <w:bottom w:val="single" w:sz="12" w:space="0" w:color="auto"/>
            </w:tcBorders>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val="es-ES" w:eastAsia="et-EE"/>
              </w:rPr>
            </w:pPr>
          </w:p>
        </w:tc>
        <w:tc>
          <w:tcPr>
            <w:tcW w:w="1502" w:type="dxa"/>
            <w:tcBorders>
              <w:bottom w:val="single" w:sz="12" w:space="0" w:color="auto"/>
            </w:tcBorders>
            <w:shd w:val="clear" w:color="auto" w:fill="auto"/>
            <w:vAlign w:val="bottom"/>
          </w:tcPr>
          <w:p w:rsidR="007F3AAE" w:rsidRPr="000804D0" w:rsidRDefault="007F3AAE"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4</w:t>
            </w:r>
          </w:p>
        </w:tc>
      </w:tr>
    </w:tbl>
    <w:p w:rsidR="00DF3C81" w:rsidRDefault="007C5C36" w:rsidP="00637350">
      <w:pPr>
        <w:pStyle w:val="Heading1"/>
        <w:spacing w:before="240"/>
      </w:pPr>
      <w:r>
        <w:t>Cuadro</w:t>
      </w:r>
      <w:r w:rsidR="00DF3C81" w:rsidRPr="00DF3C81">
        <w:t xml:space="preserve"> 4</w:t>
      </w:r>
    </w:p>
    <w:p w:rsidR="00DF3C81" w:rsidRPr="000804D0" w:rsidRDefault="007C5C36" w:rsidP="00637350">
      <w:pPr>
        <w:pStyle w:val="SingleTxtG"/>
        <w:jc w:val="left"/>
        <w:rPr>
          <w:b/>
        </w:rPr>
      </w:pPr>
      <w:r w:rsidRPr="000804D0">
        <w:rPr>
          <w:b/>
        </w:rPr>
        <w:t>Congregaciones individuales</w:t>
      </w:r>
    </w:p>
    <w:tbl>
      <w:tblPr>
        <w:tblW w:w="8505" w:type="dxa"/>
        <w:tblInd w:w="1134" w:type="dxa"/>
        <w:tblBorders>
          <w:top w:val="single" w:sz="4" w:space="0" w:color="auto"/>
        </w:tblBorders>
        <w:tblLayout w:type="fixed"/>
        <w:tblCellMar>
          <w:left w:w="0" w:type="dxa"/>
          <w:right w:w="0" w:type="dxa"/>
        </w:tblCellMar>
        <w:tblLook w:val="0000"/>
      </w:tblPr>
      <w:tblGrid>
        <w:gridCol w:w="5501"/>
        <w:gridCol w:w="1502"/>
        <w:gridCol w:w="1502"/>
      </w:tblGrid>
      <w:tr w:rsidR="00DF3C81" w:rsidRPr="00DF3C81">
        <w:trPr>
          <w:trHeight w:val="240"/>
          <w:tblHeader/>
        </w:trPr>
        <w:tc>
          <w:tcPr>
            <w:tcW w:w="5501" w:type="dxa"/>
            <w:tcBorders>
              <w:top w:val="single" w:sz="4" w:space="0" w:color="auto"/>
              <w:bottom w:val="single" w:sz="12" w:space="0" w:color="auto"/>
            </w:tcBorders>
            <w:shd w:val="clear" w:color="auto" w:fill="auto"/>
            <w:vAlign w:val="bottom"/>
          </w:tcPr>
          <w:p w:rsidR="00DF3C81" w:rsidRPr="00DF3C81" w:rsidRDefault="00DF3C81" w:rsidP="00637350">
            <w:pPr>
              <w:autoSpaceDE w:val="0"/>
              <w:autoSpaceDN w:val="0"/>
              <w:adjustRightInd w:val="0"/>
              <w:spacing w:before="80" w:after="80" w:line="200" w:lineRule="exact"/>
              <w:rPr>
                <w:rFonts w:eastAsia="Cambria Math"/>
                <w:i/>
                <w:sz w:val="16"/>
                <w:szCs w:val="24"/>
                <w:lang w:eastAsia="et-EE"/>
              </w:rPr>
            </w:pPr>
          </w:p>
        </w:tc>
        <w:tc>
          <w:tcPr>
            <w:tcW w:w="1502" w:type="dxa"/>
            <w:tcBorders>
              <w:top w:val="single" w:sz="4" w:space="0" w:color="auto"/>
              <w:bottom w:val="single" w:sz="12" w:space="0" w:color="auto"/>
            </w:tcBorders>
            <w:shd w:val="clear" w:color="auto" w:fill="auto"/>
            <w:vAlign w:val="bottom"/>
          </w:tcPr>
          <w:p w:rsidR="00DF3C81" w:rsidRPr="00DF3C81" w:rsidRDefault="005C46FB" w:rsidP="00637350">
            <w:pPr>
              <w:autoSpaceDE w:val="0"/>
              <w:autoSpaceDN w:val="0"/>
              <w:adjustRightInd w:val="0"/>
              <w:spacing w:before="80" w:after="80" w:line="200" w:lineRule="exact"/>
              <w:jc w:val="right"/>
              <w:rPr>
                <w:rFonts w:eastAsia="Cambria Math"/>
                <w:bCs/>
                <w:i/>
                <w:noProof/>
                <w:sz w:val="16"/>
                <w:szCs w:val="24"/>
                <w:lang w:eastAsia="et-EE"/>
              </w:rPr>
            </w:pPr>
            <w:r>
              <w:rPr>
                <w:rFonts w:eastAsia="Cambria Math"/>
                <w:bCs/>
                <w:i/>
                <w:noProof/>
                <w:sz w:val="16"/>
                <w:szCs w:val="24"/>
                <w:lang w:eastAsia="et-EE"/>
              </w:rPr>
              <w:t>N</w:t>
            </w:r>
            <w:r w:rsidR="00E34555">
              <w:rPr>
                <w:rFonts w:eastAsia="Cambria Math"/>
                <w:bCs/>
                <w:i/>
                <w:noProof/>
                <w:sz w:val="16"/>
                <w:szCs w:val="24"/>
                <w:lang w:eastAsia="et-EE"/>
              </w:rPr>
              <w:t>º</w:t>
            </w:r>
            <w:r>
              <w:rPr>
                <w:rFonts w:eastAsia="Cambria Math"/>
                <w:bCs/>
                <w:i/>
                <w:noProof/>
                <w:sz w:val="16"/>
                <w:szCs w:val="24"/>
                <w:lang w:eastAsia="et-EE"/>
              </w:rPr>
              <w:t xml:space="preserve"> de miembros</w:t>
            </w:r>
          </w:p>
        </w:tc>
        <w:tc>
          <w:tcPr>
            <w:tcW w:w="1502" w:type="dxa"/>
            <w:tcBorders>
              <w:top w:val="single" w:sz="4" w:space="0" w:color="auto"/>
              <w:bottom w:val="single" w:sz="12" w:space="0" w:color="auto"/>
            </w:tcBorders>
            <w:shd w:val="clear" w:color="auto" w:fill="auto"/>
            <w:vAlign w:val="bottom"/>
          </w:tcPr>
          <w:p w:rsidR="00DF3C81" w:rsidRPr="00DF3C81" w:rsidRDefault="005C46FB" w:rsidP="00637350">
            <w:pPr>
              <w:autoSpaceDE w:val="0"/>
              <w:autoSpaceDN w:val="0"/>
              <w:adjustRightInd w:val="0"/>
              <w:spacing w:before="80" w:after="80" w:line="200" w:lineRule="exact"/>
              <w:jc w:val="right"/>
              <w:rPr>
                <w:rFonts w:eastAsia="Cambria Math"/>
                <w:bCs/>
                <w:i/>
                <w:noProof/>
                <w:sz w:val="16"/>
                <w:szCs w:val="24"/>
                <w:lang w:eastAsia="et-EE"/>
              </w:rPr>
            </w:pPr>
            <w:r>
              <w:rPr>
                <w:rFonts w:eastAsia="Cambria Math"/>
                <w:bCs/>
                <w:i/>
                <w:noProof/>
                <w:sz w:val="16"/>
                <w:szCs w:val="24"/>
                <w:lang w:eastAsia="et-EE"/>
              </w:rPr>
              <w:t>Congregaciones</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 xml:space="preserve">Congregación Estonia de San Gregorio de </w:t>
            </w:r>
            <w:smartTag w:uri="urn:schemas-microsoft-com:office:smarttags" w:element="PersonName">
              <w:smartTagPr>
                <w:attr w:name="ProductID" w:val="la Iglesia Apost￳lica"/>
              </w:smartTagPr>
              <w:r w:rsidRPr="000804D0">
                <w:rPr>
                  <w:rFonts w:eastAsia="Cambria Math"/>
                  <w:sz w:val="18"/>
                  <w:szCs w:val="18"/>
                  <w:lang w:val="es-ES" w:eastAsia="et-EE"/>
                </w:rPr>
                <w:t>la Iglesia Apostólica</w:t>
              </w:r>
            </w:smartTag>
            <w:r w:rsidRPr="000804D0">
              <w:rPr>
                <w:rFonts w:eastAsia="Cambria Math"/>
                <w:sz w:val="18"/>
                <w:szCs w:val="18"/>
                <w:lang w:val="es-ES" w:eastAsia="et-EE"/>
              </w:rPr>
              <w:t xml:space="preserve"> Armenia</w:t>
            </w:r>
            <w:r w:rsidR="00DF3C81" w:rsidRPr="000804D0">
              <w:rPr>
                <w:rFonts w:eastAsia="Cambria Math"/>
                <w:lang w:val="es-ES" w:eastAsia="et-EE"/>
              </w:rPr>
              <w:t>*</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2</w:t>
            </w:r>
            <w:r w:rsidR="000804D0">
              <w:rPr>
                <w:rFonts w:eastAsia="Cambria Math"/>
                <w:sz w:val="18"/>
                <w:szCs w:val="18"/>
                <w:lang w:eastAsia="et-EE"/>
              </w:rPr>
              <w:t xml:space="preserve"> </w:t>
            </w:r>
            <w:r w:rsidRPr="000804D0">
              <w:rPr>
                <w:rFonts w:eastAsia="Cambria Math"/>
                <w:sz w:val="18"/>
                <w:szCs w:val="18"/>
                <w:lang w:eastAsia="et-EE"/>
              </w:rPr>
              <w:t>000</w:t>
            </w:r>
            <w:r w:rsidRPr="000804D0">
              <w:rPr>
                <w:rFonts w:eastAsia="Cambria Math"/>
                <w:szCs w:val="18"/>
                <w:lang w:eastAsia="et-EE"/>
              </w:rPr>
              <w:t>*</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1+5</w:t>
            </w:r>
            <w:r w:rsidRPr="000804D0">
              <w:rPr>
                <w:rFonts w:eastAsia="Cambria Math"/>
                <w:lang w:eastAsia="et-EE"/>
              </w:rPr>
              <w:t>**</w:t>
            </w:r>
            <w:r w:rsidRPr="000804D0">
              <w:rPr>
                <w:rFonts w:eastAsia="Cambria Math"/>
                <w:sz w:val="18"/>
                <w:szCs w:val="18"/>
                <w:lang w:eastAsia="et-EE"/>
              </w:rPr>
              <w:t xml:space="preserve"> </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 xml:space="preserve">Congregación Budista Estonia </w:t>
            </w:r>
            <w:r w:rsidR="002B491B" w:rsidRPr="000804D0">
              <w:rPr>
                <w:sz w:val="18"/>
                <w:szCs w:val="18"/>
                <w:lang w:val="es-ES"/>
              </w:rPr>
              <w:t>"</w:t>
            </w:r>
            <w:r w:rsidRPr="000804D0">
              <w:rPr>
                <w:rFonts w:eastAsia="Cambria Math"/>
                <w:sz w:val="18"/>
                <w:szCs w:val="18"/>
                <w:lang w:val="es-ES" w:eastAsia="et-EE"/>
              </w:rPr>
              <w:t>Centro Drikung Kagyu Ratna Shri</w:t>
            </w:r>
            <w:r w:rsidR="002B491B" w:rsidRPr="000804D0">
              <w:rPr>
                <w:sz w:val="18"/>
                <w:szCs w:val="18"/>
                <w:lang w:val="es-ES"/>
              </w:rPr>
              <w:t>"</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34 </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eastAsia="et-EE"/>
              </w:rPr>
            </w:pPr>
            <w:r w:rsidRPr="000804D0">
              <w:rPr>
                <w:rFonts w:eastAsia="Cambria Math"/>
                <w:sz w:val="18"/>
                <w:szCs w:val="18"/>
                <w:lang w:eastAsia="et-EE"/>
              </w:rPr>
              <w:t>Congregación Estonia del Islam</w:t>
            </w:r>
          </w:p>
        </w:tc>
        <w:tc>
          <w:tcPr>
            <w:tcW w:w="1502" w:type="dxa"/>
            <w:shd w:val="clear" w:color="auto" w:fill="auto"/>
            <w:vAlign w:val="bottom"/>
          </w:tcPr>
          <w:p w:rsidR="00DF3C81"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106643" w:rsidRPr="000804D0">
              <w:rPr>
                <w:rFonts w:eastAsia="Cambria Math"/>
                <w:sz w:val="18"/>
                <w:szCs w:val="18"/>
                <w:lang w:eastAsia="et-EE"/>
              </w:rPr>
              <w:t>.</w:t>
            </w:r>
            <w:r w:rsidR="00DF3C81" w:rsidRPr="000804D0">
              <w:rPr>
                <w:rFonts w:eastAsia="Cambria Math"/>
                <w:sz w:val="18"/>
                <w:szCs w:val="18"/>
                <w:lang w:eastAsia="et-EE"/>
              </w:rPr>
              <w:t xml:space="preserve"> 1</w:t>
            </w:r>
            <w:r w:rsidR="000804D0">
              <w:rPr>
                <w:rFonts w:eastAsia="Cambria Math"/>
                <w:sz w:val="18"/>
                <w:szCs w:val="18"/>
                <w:lang w:eastAsia="et-EE"/>
              </w:rPr>
              <w:t xml:space="preserve"> </w:t>
            </w:r>
            <w:r w:rsidR="00DF3C81" w:rsidRPr="000804D0">
              <w:rPr>
                <w:rFonts w:eastAsia="Cambria Math"/>
                <w:sz w:val="18"/>
                <w:szCs w:val="18"/>
                <w:lang w:eastAsia="et-EE"/>
              </w:rPr>
              <w:t xml:space="preserve">400 </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Comunidad Judía Religiosa de Estonia</w:t>
            </w:r>
          </w:p>
        </w:tc>
        <w:tc>
          <w:tcPr>
            <w:tcW w:w="1502" w:type="dxa"/>
            <w:shd w:val="clear" w:color="auto" w:fill="auto"/>
            <w:vAlign w:val="bottom"/>
          </w:tcPr>
          <w:p w:rsidR="00DF3C81"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106643" w:rsidRPr="000804D0">
              <w:rPr>
                <w:rFonts w:eastAsia="Cambria Math"/>
                <w:sz w:val="18"/>
                <w:szCs w:val="18"/>
                <w:lang w:eastAsia="et-EE"/>
              </w:rPr>
              <w:t>.</w:t>
            </w:r>
            <w:r w:rsidR="00DF3C81" w:rsidRPr="000804D0">
              <w:rPr>
                <w:rFonts w:eastAsia="Cambria Math"/>
                <w:sz w:val="18"/>
                <w:szCs w:val="18"/>
                <w:lang w:eastAsia="et-EE"/>
              </w:rPr>
              <w:t xml:space="preserve"> 2</w:t>
            </w:r>
            <w:r w:rsidR="000804D0">
              <w:rPr>
                <w:rFonts w:eastAsia="Cambria Math"/>
                <w:sz w:val="18"/>
                <w:szCs w:val="18"/>
                <w:lang w:eastAsia="et-EE"/>
              </w:rPr>
              <w:t xml:space="preserve"> </w:t>
            </w:r>
            <w:r w:rsidR="00DF3C81" w:rsidRPr="000804D0">
              <w:rPr>
                <w:rFonts w:eastAsia="Cambria Math"/>
                <w:sz w:val="18"/>
                <w:szCs w:val="18"/>
                <w:lang w:eastAsia="et-EE"/>
              </w:rPr>
              <w:t xml:space="preserve">500 </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 xml:space="preserve">Congregación de </w:t>
            </w:r>
            <w:smartTag w:uri="urn:schemas-microsoft-com:office:smarttags" w:element="PersonName">
              <w:smartTagPr>
                <w:attr w:name="ProductID" w:val="la Hermandad Evang￩lica"/>
              </w:smartTagPr>
              <w:r w:rsidRPr="000804D0">
                <w:rPr>
                  <w:rFonts w:eastAsia="Cambria Math"/>
                  <w:sz w:val="18"/>
                  <w:szCs w:val="18"/>
                  <w:lang w:val="es-ES" w:eastAsia="et-EE"/>
                </w:rPr>
                <w:t>la Hermandad Evangélica</w:t>
              </w:r>
            </w:smartTag>
            <w:r w:rsidRPr="000804D0">
              <w:rPr>
                <w:rFonts w:eastAsia="Cambria Math"/>
                <w:sz w:val="18"/>
                <w:szCs w:val="18"/>
                <w:lang w:val="es-ES" w:eastAsia="et-EE"/>
              </w:rPr>
              <w:t xml:space="preserve"> de Estonia</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142 </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 xml:space="preserve">Congregación del </w:t>
            </w:r>
            <w:r w:rsidR="002B491B" w:rsidRPr="000804D0">
              <w:rPr>
                <w:sz w:val="18"/>
                <w:szCs w:val="18"/>
                <w:lang w:val="es-ES"/>
              </w:rPr>
              <w:t>"</w:t>
            </w:r>
            <w:r w:rsidRPr="000804D0">
              <w:rPr>
                <w:rFonts w:eastAsia="Cambria Math"/>
                <w:sz w:val="18"/>
                <w:szCs w:val="18"/>
                <w:lang w:val="es-ES" w:eastAsia="et-EE"/>
              </w:rPr>
              <w:t>Credo de los Cristianos Evangélicos de los Apóstoles</w:t>
            </w:r>
            <w:r w:rsidR="002B491B" w:rsidRPr="000804D0">
              <w:rPr>
                <w:sz w:val="18"/>
                <w:szCs w:val="18"/>
                <w:lang w:val="es-ES"/>
              </w:rPr>
              <w:t>"</w:t>
            </w:r>
            <w:r w:rsidRPr="000804D0">
              <w:rPr>
                <w:rFonts w:eastAsia="Cambria Math"/>
                <w:sz w:val="18"/>
                <w:szCs w:val="18"/>
                <w:lang w:val="es-ES" w:eastAsia="et-EE"/>
              </w:rPr>
              <w:t xml:space="preserve"> de Tallin</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50 </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Congregación de Conciencia Krishna de Tallin</w:t>
            </w:r>
          </w:p>
        </w:tc>
        <w:tc>
          <w:tcPr>
            <w:tcW w:w="1502" w:type="dxa"/>
            <w:shd w:val="clear" w:color="auto" w:fill="auto"/>
            <w:vAlign w:val="bottom"/>
          </w:tcPr>
          <w:p w:rsidR="00DF3C81"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Aprox</w:t>
            </w:r>
            <w:r w:rsidR="00106643" w:rsidRPr="000804D0">
              <w:rPr>
                <w:rFonts w:eastAsia="Cambria Math"/>
                <w:sz w:val="18"/>
                <w:szCs w:val="18"/>
                <w:lang w:eastAsia="et-EE"/>
              </w:rPr>
              <w:t>.</w:t>
            </w:r>
            <w:r w:rsidR="00DF3C81" w:rsidRPr="000804D0">
              <w:rPr>
                <w:rFonts w:eastAsia="Cambria Math"/>
                <w:sz w:val="18"/>
                <w:szCs w:val="18"/>
                <w:lang w:eastAsia="et-EE"/>
              </w:rPr>
              <w:t xml:space="preserve"> 150 </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Congregación Estonia Nyingma del Budismo Tibetano</w:t>
            </w:r>
          </w:p>
        </w:tc>
        <w:tc>
          <w:tcPr>
            <w:tcW w:w="1502" w:type="dxa"/>
            <w:shd w:val="clear" w:color="auto" w:fill="auto"/>
            <w:vAlign w:val="bottom"/>
          </w:tcPr>
          <w:p w:rsidR="00DF3C81" w:rsidRPr="000804D0" w:rsidRDefault="00637350"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Menos </w:t>
            </w:r>
            <w:r w:rsidR="005C46FB" w:rsidRPr="000804D0">
              <w:rPr>
                <w:rFonts w:eastAsia="Cambria Math"/>
                <w:sz w:val="18"/>
                <w:szCs w:val="18"/>
                <w:lang w:eastAsia="et-EE"/>
              </w:rPr>
              <w:t>de</w:t>
            </w:r>
            <w:r w:rsidR="00DF3C81" w:rsidRPr="000804D0">
              <w:rPr>
                <w:rFonts w:eastAsia="Cambria Math"/>
                <w:sz w:val="18"/>
                <w:szCs w:val="18"/>
                <w:lang w:eastAsia="et-EE"/>
              </w:rPr>
              <w:t xml:space="preserve"> 20 </w:t>
            </w:r>
          </w:p>
        </w:tc>
        <w:tc>
          <w:tcPr>
            <w:tcW w:w="1502" w:type="dxa"/>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shd w:val="clear" w:color="auto" w:fill="auto"/>
            <w:vAlign w:val="bottom"/>
          </w:tcPr>
          <w:p w:rsidR="00DF3C81" w:rsidRPr="000804D0" w:rsidRDefault="00CA3899" w:rsidP="00637350">
            <w:pPr>
              <w:keepNext/>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Congregació</w:t>
            </w:r>
            <w:r w:rsidR="007C5C36" w:rsidRPr="000804D0">
              <w:rPr>
                <w:rFonts w:eastAsia="Cambria Math"/>
                <w:sz w:val="18"/>
                <w:szCs w:val="18"/>
                <w:lang w:val="es-ES" w:eastAsia="et-EE"/>
              </w:rPr>
              <w:t xml:space="preserve">n de </w:t>
            </w:r>
            <w:smartTag w:uri="urn:schemas-microsoft-com:office:smarttags" w:element="PersonName">
              <w:smartTagPr>
                <w:attr w:name="ProductID" w:val="la Iglesia Grecocat￳lica"/>
              </w:smartTagPr>
              <w:r w:rsidR="007C5C36" w:rsidRPr="000804D0">
                <w:rPr>
                  <w:rFonts w:eastAsia="Cambria Math"/>
                  <w:sz w:val="18"/>
                  <w:szCs w:val="18"/>
                  <w:lang w:val="es-ES" w:eastAsia="et-EE"/>
                </w:rPr>
                <w:t>la Iglesia Grecocatólica</w:t>
              </w:r>
            </w:smartTag>
            <w:r w:rsidR="007C5C36" w:rsidRPr="000804D0">
              <w:rPr>
                <w:rFonts w:eastAsia="Cambria Math"/>
                <w:sz w:val="18"/>
                <w:szCs w:val="18"/>
                <w:lang w:val="es-ES" w:eastAsia="et-EE"/>
              </w:rPr>
              <w:t xml:space="preserve"> de Tallin</w:t>
            </w:r>
          </w:p>
        </w:tc>
        <w:tc>
          <w:tcPr>
            <w:tcW w:w="1502" w:type="dxa"/>
            <w:shd w:val="clear" w:color="auto" w:fill="auto"/>
            <w:vAlign w:val="bottom"/>
          </w:tcPr>
          <w:p w:rsidR="00DF3C81" w:rsidRPr="000804D0" w:rsidRDefault="00DF3C81" w:rsidP="00637350">
            <w:pPr>
              <w:keepNext/>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318 </w:t>
            </w:r>
          </w:p>
        </w:tc>
        <w:tc>
          <w:tcPr>
            <w:tcW w:w="1502" w:type="dxa"/>
            <w:shd w:val="clear" w:color="auto" w:fill="auto"/>
            <w:vAlign w:val="bottom"/>
          </w:tcPr>
          <w:p w:rsidR="00DF3C81" w:rsidRPr="000804D0" w:rsidRDefault="00DF3C81" w:rsidP="00637350">
            <w:pPr>
              <w:keepNext/>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r w:rsidR="00DF3C81" w:rsidRPr="000804D0">
        <w:trPr>
          <w:trHeight w:val="240"/>
        </w:trPr>
        <w:tc>
          <w:tcPr>
            <w:tcW w:w="5501" w:type="dxa"/>
            <w:tcBorders>
              <w:bottom w:val="single" w:sz="12" w:space="0" w:color="auto"/>
            </w:tcBorders>
            <w:shd w:val="clear" w:color="auto" w:fill="auto"/>
            <w:vAlign w:val="bottom"/>
          </w:tcPr>
          <w:p w:rsidR="00DF3C81" w:rsidRPr="000804D0" w:rsidRDefault="007C5C36" w:rsidP="00637350">
            <w:pPr>
              <w:autoSpaceDE w:val="0"/>
              <w:autoSpaceDN w:val="0"/>
              <w:adjustRightInd w:val="0"/>
              <w:spacing w:before="40" w:after="40" w:line="220" w:lineRule="exact"/>
              <w:rPr>
                <w:rFonts w:eastAsia="Cambria Math"/>
                <w:sz w:val="18"/>
                <w:szCs w:val="18"/>
                <w:lang w:val="es-ES" w:eastAsia="et-EE"/>
              </w:rPr>
            </w:pPr>
            <w:r w:rsidRPr="000804D0">
              <w:rPr>
                <w:rFonts w:eastAsia="Cambria Math"/>
                <w:sz w:val="18"/>
                <w:szCs w:val="18"/>
                <w:lang w:val="es-ES" w:eastAsia="et-EE"/>
              </w:rPr>
              <w:t xml:space="preserve">Congregación de </w:t>
            </w:r>
            <w:smartTag w:uri="urn:schemas-microsoft-com:office:smarttags" w:element="PersonName">
              <w:smartTagPr>
                <w:attr w:name="ProductID" w:val="la Iglesia"/>
              </w:smartTagPr>
              <w:r w:rsidRPr="000804D0">
                <w:rPr>
                  <w:rFonts w:eastAsia="Cambria Math"/>
                  <w:sz w:val="18"/>
                  <w:szCs w:val="18"/>
                  <w:lang w:val="es-ES" w:eastAsia="et-EE"/>
                </w:rPr>
                <w:t>la Iglesia</w:t>
              </w:r>
            </w:smartTag>
            <w:r w:rsidRPr="000804D0">
              <w:rPr>
                <w:rFonts w:eastAsia="Cambria Math"/>
                <w:sz w:val="18"/>
                <w:szCs w:val="18"/>
                <w:lang w:val="es-ES" w:eastAsia="et-EE"/>
              </w:rPr>
              <w:t xml:space="preserve"> de Jesucristo de los Santos de los Últimos Días de Estonia</w:t>
            </w:r>
          </w:p>
        </w:tc>
        <w:tc>
          <w:tcPr>
            <w:tcW w:w="1502" w:type="dxa"/>
            <w:tcBorders>
              <w:bottom w:val="single" w:sz="12" w:space="0" w:color="auto"/>
            </w:tcBorders>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803 </w:t>
            </w:r>
          </w:p>
        </w:tc>
        <w:tc>
          <w:tcPr>
            <w:tcW w:w="1502" w:type="dxa"/>
            <w:tcBorders>
              <w:bottom w:val="single" w:sz="12" w:space="0" w:color="auto"/>
            </w:tcBorders>
            <w:shd w:val="clear" w:color="auto" w:fill="auto"/>
            <w:vAlign w:val="bottom"/>
          </w:tcPr>
          <w:p w:rsidR="00DF3C81" w:rsidRPr="000804D0" w:rsidRDefault="00DF3C81" w:rsidP="00637350">
            <w:pPr>
              <w:autoSpaceDE w:val="0"/>
              <w:autoSpaceDN w:val="0"/>
              <w:adjustRightInd w:val="0"/>
              <w:spacing w:before="40" w:after="40" w:line="220" w:lineRule="exact"/>
              <w:jc w:val="right"/>
              <w:rPr>
                <w:rFonts w:eastAsia="Cambria Math"/>
                <w:sz w:val="18"/>
                <w:szCs w:val="18"/>
                <w:lang w:eastAsia="et-EE"/>
              </w:rPr>
            </w:pPr>
            <w:r w:rsidRPr="000804D0">
              <w:rPr>
                <w:rFonts w:eastAsia="Cambria Math"/>
                <w:sz w:val="18"/>
                <w:szCs w:val="18"/>
                <w:lang w:eastAsia="et-EE"/>
              </w:rPr>
              <w:t xml:space="preserve">1 </w:t>
            </w:r>
          </w:p>
        </w:tc>
      </w:tr>
    </w:tbl>
    <w:p w:rsidR="00DF3C81" w:rsidRPr="00A2326F" w:rsidRDefault="00DF3C81" w:rsidP="009B51B0">
      <w:pPr>
        <w:spacing w:before="120"/>
        <w:ind w:left="1134" w:firstLine="170"/>
        <w:rPr>
          <w:rFonts w:eastAsia="Cambria Math"/>
          <w:sz w:val="18"/>
        </w:rPr>
      </w:pPr>
      <w:r w:rsidRPr="00A2326F">
        <w:rPr>
          <w:rFonts w:eastAsia="Cambria Math"/>
        </w:rPr>
        <w:t>*</w:t>
      </w:r>
      <w:r w:rsidR="00A2326F" w:rsidRPr="00A2326F">
        <w:rPr>
          <w:rFonts w:eastAsia="Cambria Math"/>
          <w:sz w:val="18"/>
        </w:rPr>
        <w:t xml:space="preserve">  </w:t>
      </w:r>
      <w:r w:rsidR="007C5C36" w:rsidRPr="00A2326F">
        <w:rPr>
          <w:rFonts w:eastAsia="Cambria Math"/>
          <w:sz w:val="18"/>
        </w:rPr>
        <w:t>Datos sobre asociaciones religiosas a 1 de enero de 20</w:t>
      </w:r>
      <w:r w:rsidR="00492E6F" w:rsidRPr="00A2326F">
        <w:rPr>
          <w:rFonts w:eastAsia="Cambria Math"/>
          <w:sz w:val="18"/>
        </w:rPr>
        <w:t>12</w:t>
      </w:r>
      <w:r w:rsidRPr="00A2326F">
        <w:rPr>
          <w:rFonts w:eastAsia="Cambria Math"/>
          <w:sz w:val="18"/>
        </w:rPr>
        <w:t xml:space="preserve">; </w:t>
      </w:r>
      <w:r w:rsidR="007C5C36" w:rsidRPr="00A2326F">
        <w:rPr>
          <w:rFonts w:eastAsia="Cambria Math"/>
          <w:sz w:val="18"/>
        </w:rPr>
        <w:t>en los demás casos, a 1 de enero de 2007</w:t>
      </w:r>
      <w:r w:rsidRPr="00A2326F">
        <w:rPr>
          <w:rFonts w:eastAsia="Cambria Math"/>
          <w:sz w:val="18"/>
        </w:rPr>
        <w:t>.</w:t>
      </w:r>
    </w:p>
    <w:p w:rsidR="00E633C6" w:rsidRPr="00A2326F" w:rsidRDefault="00DF3C81" w:rsidP="009B51B0">
      <w:pPr>
        <w:spacing w:after="240"/>
        <w:ind w:left="1134" w:firstLine="170"/>
        <w:rPr>
          <w:rFonts w:eastAsia="Cambria Math"/>
          <w:sz w:val="18"/>
        </w:rPr>
      </w:pPr>
      <w:r w:rsidRPr="00A2326F">
        <w:rPr>
          <w:rFonts w:eastAsia="Cambria Math"/>
        </w:rPr>
        <w:t>**</w:t>
      </w:r>
      <w:r w:rsidR="00A2326F" w:rsidRPr="00A2326F">
        <w:rPr>
          <w:rFonts w:eastAsia="Cambria Math"/>
          <w:sz w:val="18"/>
        </w:rPr>
        <w:t xml:space="preserve">  </w:t>
      </w:r>
      <w:r w:rsidR="00B758F7" w:rsidRPr="00A2326F">
        <w:rPr>
          <w:rFonts w:eastAsia="Cambria Math"/>
          <w:sz w:val="18"/>
        </w:rPr>
        <w:t>La</w:t>
      </w:r>
      <w:r w:rsidR="007C5C36" w:rsidRPr="00A2326F">
        <w:rPr>
          <w:rFonts w:eastAsia="Cambria Math"/>
          <w:sz w:val="18"/>
        </w:rPr>
        <w:t xml:space="preserve"> primer</w:t>
      </w:r>
      <w:r w:rsidR="00B758F7" w:rsidRPr="00A2326F">
        <w:rPr>
          <w:rFonts w:eastAsia="Cambria Math"/>
          <w:sz w:val="18"/>
        </w:rPr>
        <w:t>a</w:t>
      </w:r>
      <w:r w:rsidR="007C5C36" w:rsidRPr="00A2326F">
        <w:rPr>
          <w:rFonts w:eastAsia="Cambria Math"/>
          <w:sz w:val="18"/>
        </w:rPr>
        <w:t xml:space="preserve"> </w:t>
      </w:r>
      <w:r w:rsidR="00B758F7" w:rsidRPr="00A2326F">
        <w:rPr>
          <w:rFonts w:eastAsia="Cambria Math"/>
          <w:sz w:val="18"/>
        </w:rPr>
        <w:t xml:space="preserve">cifra </w:t>
      </w:r>
      <w:r w:rsidR="007C5C36" w:rsidRPr="00A2326F">
        <w:rPr>
          <w:rFonts w:eastAsia="Cambria Math"/>
          <w:sz w:val="18"/>
        </w:rPr>
        <w:t xml:space="preserve">se refiere a las congregaciones inscritas en el registro que tienen </w:t>
      </w:r>
      <w:r w:rsidR="00365AF4" w:rsidRPr="00A2326F">
        <w:rPr>
          <w:rFonts w:eastAsia="Cambria Math"/>
          <w:sz w:val="18"/>
        </w:rPr>
        <w:t>carácter</w:t>
      </w:r>
      <w:r w:rsidR="007C5C36" w:rsidRPr="00A2326F">
        <w:rPr>
          <w:rFonts w:eastAsia="Cambria Math"/>
          <w:sz w:val="18"/>
        </w:rPr>
        <w:t xml:space="preserve"> de personas jurídic</w:t>
      </w:r>
      <w:r w:rsidR="00B758F7" w:rsidRPr="00A2326F">
        <w:rPr>
          <w:rFonts w:eastAsia="Cambria Math"/>
          <w:sz w:val="18"/>
        </w:rPr>
        <w:t xml:space="preserve">as, mientras que la segunda </w:t>
      </w:r>
      <w:r w:rsidR="007C5C36" w:rsidRPr="00A2326F">
        <w:rPr>
          <w:rFonts w:eastAsia="Cambria Math"/>
          <w:sz w:val="18"/>
        </w:rPr>
        <w:t>se refiere a las congregaciones que la asociación religiosa no h</w:t>
      </w:r>
      <w:r w:rsidR="00365AF4" w:rsidRPr="00A2326F">
        <w:rPr>
          <w:rFonts w:eastAsia="Cambria Math"/>
          <w:sz w:val="18"/>
        </w:rPr>
        <w:t>a</w:t>
      </w:r>
      <w:r w:rsidR="007C5C36" w:rsidRPr="00A2326F">
        <w:rPr>
          <w:rFonts w:eastAsia="Cambria Math"/>
          <w:sz w:val="18"/>
        </w:rPr>
        <w:t xml:space="preserve"> deseado inscribir en el registro y que, por consiguiente, no tienen personalidad jurídica.</w:t>
      </w:r>
    </w:p>
    <w:p w:rsidR="00E633C6" w:rsidRDefault="00365AF4" w:rsidP="00637350">
      <w:pPr>
        <w:pStyle w:val="Heading1"/>
        <w:rPr>
          <w:rFonts w:eastAsia="Cambria Math"/>
          <w:lang w:eastAsia="et-EE"/>
        </w:rPr>
      </w:pPr>
      <w:r>
        <w:rPr>
          <w:rFonts w:eastAsia="Cambria Math"/>
          <w:lang w:eastAsia="et-EE"/>
        </w:rPr>
        <w:t>Cuadro</w:t>
      </w:r>
      <w:r w:rsidR="00E633C6" w:rsidRPr="00E633C6">
        <w:rPr>
          <w:rFonts w:eastAsia="Cambria Math"/>
          <w:lang w:eastAsia="et-EE"/>
        </w:rPr>
        <w:t xml:space="preserve"> 5</w:t>
      </w:r>
    </w:p>
    <w:p w:rsidR="00E633C6" w:rsidRPr="000804D0" w:rsidRDefault="00365AF4" w:rsidP="00637350">
      <w:pPr>
        <w:pStyle w:val="SingleTxtG"/>
        <w:jc w:val="left"/>
        <w:rPr>
          <w:b/>
        </w:rPr>
      </w:pPr>
      <w:r w:rsidRPr="000804D0">
        <w:rPr>
          <w:rFonts w:eastAsia="Cambria Math"/>
          <w:b/>
          <w:lang w:eastAsia="et-EE"/>
        </w:rPr>
        <w:t>Monasterios y conventos</w:t>
      </w:r>
    </w:p>
    <w:tbl>
      <w:tblPr>
        <w:tblW w:w="8505" w:type="dxa"/>
        <w:tblInd w:w="1134" w:type="dxa"/>
        <w:tblBorders>
          <w:top w:val="single" w:sz="4" w:space="0" w:color="auto"/>
        </w:tblBorders>
        <w:tblLayout w:type="fixed"/>
        <w:tblCellMar>
          <w:left w:w="0" w:type="dxa"/>
          <w:right w:w="0" w:type="dxa"/>
        </w:tblCellMar>
        <w:tblLook w:val="0000"/>
      </w:tblPr>
      <w:tblGrid>
        <w:gridCol w:w="6829"/>
        <w:gridCol w:w="1676"/>
      </w:tblGrid>
      <w:tr w:rsidR="00E633C6" w:rsidRPr="00E633C6">
        <w:trPr>
          <w:trHeight w:val="240"/>
          <w:tblHeader/>
        </w:trPr>
        <w:tc>
          <w:tcPr>
            <w:tcW w:w="5918" w:type="dxa"/>
            <w:tcBorders>
              <w:top w:val="single" w:sz="4" w:space="0" w:color="auto"/>
              <w:bottom w:val="single" w:sz="12" w:space="0" w:color="auto"/>
            </w:tcBorders>
            <w:shd w:val="clear" w:color="auto" w:fill="auto"/>
            <w:vAlign w:val="bottom"/>
          </w:tcPr>
          <w:p w:rsidR="00E633C6" w:rsidRPr="00E633C6" w:rsidRDefault="00E633C6" w:rsidP="00637350">
            <w:pPr>
              <w:autoSpaceDE w:val="0"/>
              <w:autoSpaceDN w:val="0"/>
              <w:adjustRightInd w:val="0"/>
              <w:spacing w:before="80" w:after="80" w:line="200" w:lineRule="exact"/>
              <w:rPr>
                <w:rFonts w:eastAsia="Cambria Math"/>
                <w:i/>
                <w:sz w:val="16"/>
                <w:szCs w:val="24"/>
                <w:lang w:eastAsia="et-EE"/>
              </w:rPr>
            </w:pPr>
          </w:p>
        </w:tc>
        <w:tc>
          <w:tcPr>
            <w:tcW w:w="1452" w:type="dxa"/>
            <w:tcBorders>
              <w:top w:val="single" w:sz="4" w:space="0" w:color="auto"/>
              <w:bottom w:val="single" w:sz="12" w:space="0" w:color="auto"/>
            </w:tcBorders>
            <w:shd w:val="clear" w:color="auto" w:fill="auto"/>
            <w:vAlign w:val="bottom"/>
          </w:tcPr>
          <w:p w:rsidR="00E633C6" w:rsidRPr="00E633C6" w:rsidRDefault="00492E6F" w:rsidP="00637350">
            <w:pPr>
              <w:autoSpaceDE w:val="0"/>
              <w:autoSpaceDN w:val="0"/>
              <w:adjustRightInd w:val="0"/>
              <w:spacing w:before="80" w:after="80" w:line="200" w:lineRule="exact"/>
              <w:jc w:val="right"/>
              <w:rPr>
                <w:rFonts w:eastAsia="Cambria Math"/>
                <w:i/>
                <w:sz w:val="16"/>
                <w:szCs w:val="24"/>
                <w:lang w:eastAsia="et-EE"/>
              </w:rPr>
            </w:pPr>
            <w:r>
              <w:rPr>
                <w:rFonts w:eastAsia="Cambria Math"/>
                <w:bCs/>
                <w:i/>
                <w:sz w:val="16"/>
                <w:szCs w:val="24"/>
                <w:lang w:eastAsia="et-EE"/>
              </w:rPr>
              <w:t>N</w:t>
            </w:r>
            <w:r w:rsidR="00E34555">
              <w:rPr>
                <w:rFonts w:eastAsia="Cambria Math"/>
                <w:bCs/>
                <w:i/>
                <w:sz w:val="16"/>
                <w:szCs w:val="24"/>
                <w:lang w:eastAsia="et-EE"/>
              </w:rPr>
              <w:t>º</w:t>
            </w:r>
            <w:r>
              <w:rPr>
                <w:rFonts w:eastAsia="Cambria Math"/>
                <w:bCs/>
                <w:i/>
                <w:sz w:val="16"/>
                <w:szCs w:val="24"/>
                <w:lang w:eastAsia="et-EE"/>
              </w:rPr>
              <w:t xml:space="preserve"> de mi</w:t>
            </w:r>
            <w:r w:rsidR="00E633C6" w:rsidRPr="00E633C6">
              <w:rPr>
                <w:rFonts w:eastAsia="Cambria Math"/>
                <w:bCs/>
                <w:i/>
                <w:sz w:val="16"/>
                <w:szCs w:val="24"/>
                <w:lang w:eastAsia="et-EE"/>
              </w:rPr>
              <w:t>embr</w:t>
            </w:r>
            <w:r>
              <w:rPr>
                <w:rFonts w:eastAsia="Cambria Math"/>
                <w:bCs/>
                <w:i/>
                <w:sz w:val="16"/>
                <w:szCs w:val="24"/>
                <w:lang w:eastAsia="et-EE"/>
              </w:rPr>
              <w:t>o</w:t>
            </w:r>
            <w:r w:rsidR="00E633C6" w:rsidRPr="00E633C6">
              <w:rPr>
                <w:rFonts w:eastAsia="Cambria Math"/>
                <w:bCs/>
                <w:i/>
                <w:sz w:val="16"/>
                <w:szCs w:val="24"/>
                <w:lang w:eastAsia="et-EE"/>
              </w:rPr>
              <w:t xml:space="preserve">s </w:t>
            </w:r>
          </w:p>
        </w:tc>
      </w:tr>
      <w:tr w:rsidR="00E633C6" w:rsidRPr="00637350">
        <w:trPr>
          <w:trHeight w:val="240"/>
        </w:trPr>
        <w:tc>
          <w:tcPr>
            <w:tcW w:w="5918" w:type="dxa"/>
            <w:tcBorders>
              <w:top w:val="single" w:sz="12" w:space="0" w:color="auto"/>
            </w:tcBorders>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sz w:val="18"/>
                <w:szCs w:val="18"/>
                <w:lang w:val="es-ES" w:eastAsia="et-EE"/>
              </w:rPr>
              <w:t xml:space="preserve">Monasterio de </w:t>
            </w:r>
            <w:smartTag w:uri="urn:schemas-microsoft-com:office:smarttags" w:element="PersonName">
              <w:smartTagPr>
                <w:attr w:name="ProductID" w:val="la Orden Dominicana"/>
              </w:smartTagPr>
              <w:r w:rsidRPr="00637350">
                <w:rPr>
                  <w:rFonts w:eastAsia="Cambria Math"/>
                  <w:sz w:val="18"/>
                  <w:szCs w:val="18"/>
                  <w:lang w:val="es-ES" w:eastAsia="et-EE"/>
                </w:rPr>
                <w:t>la Orden Dominicana</w:t>
              </w:r>
            </w:smartTag>
            <w:r w:rsidRPr="00637350">
              <w:rPr>
                <w:rFonts w:eastAsia="Cambria Math"/>
                <w:sz w:val="18"/>
                <w:szCs w:val="18"/>
                <w:lang w:val="es-ES" w:eastAsia="et-EE"/>
              </w:rPr>
              <w:t xml:space="preserve"> en Tallin</w:t>
            </w:r>
          </w:p>
        </w:tc>
        <w:tc>
          <w:tcPr>
            <w:tcW w:w="1452" w:type="dxa"/>
            <w:tcBorders>
              <w:top w:val="single" w:sz="12" w:space="0" w:color="auto"/>
            </w:tcBorders>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2 </w:t>
            </w:r>
            <w:r w:rsidR="00365AF4" w:rsidRPr="00637350">
              <w:rPr>
                <w:rFonts w:eastAsia="Cambria Math"/>
                <w:sz w:val="18"/>
                <w:szCs w:val="18"/>
                <w:lang w:eastAsia="et-EE"/>
              </w:rPr>
              <w:t>monjes</w:t>
            </w:r>
            <w:r w:rsidRPr="00637350">
              <w:rPr>
                <w:rFonts w:eastAsia="Cambria Math"/>
                <w:sz w:val="18"/>
                <w:szCs w:val="18"/>
                <w:lang w:eastAsia="et-EE"/>
              </w:rPr>
              <w:t xml:space="preserve"> </w:t>
            </w:r>
          </w:p>
        </w:tc>
      </w:tr>
      <w:tr w:rsidR="00E633C6" w:rsidRPr="00637350">
        <w:trPr>
          <w:trHeight w:val="240"/>
        </w:trPr>
        <w:tc>
          <w:tcPr>
            <w:tcW w:w="5918" w:type="dxa"/>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sz w:val="18"/>
                <w:szCs w:val="18"/>
                <w:lang w:val="es-ES" w:eastAsia="et-EE"/>
              </w:rPr>
              <w:t xml:space="preserve">Misioneras del Convento de </w:t>
            </w:r>
            <w:smartTag w:uri="urn:schemas-microsoft-com:office:smarttags" w:element="PersonName">
              <w:smartTagPr>
                <w:attr w:name="ProductID" w:val="la Orden"/>
              </w:smartTagPr>
              <w:r w:rsidRPr="00637350">
                <w:rPr>
                  <w:rFonts w:eastAsia="Cambria Math"/>
                  <w:sz w:val="18"/>
                  <w:szCs w:val="18"/>
                  <w:lang w:val="es-ES" w:eastAsia="et-EE"/>
                </w:rPr>
                <w:t>la Orden</w:t>
              </w:r>
            </w:smartTag>
            <w:r w:rsidRPr="00637350">
              <w:rPr>
                <w:rFonts w:eastAsia="Cambria Math"/>
                <w:sz w:val="18"/>
                <w:szCs w:val="18"/>
                <w:lang w:val="es-ES" w:eastAsia="et-EE"/>
              </w:rPr>
              <w:t xml:space="preserve"> de </w:t>
            </w:r>
            <w:smartTag w:uri="urn:schemas-microsoft-com:office:smarttags" w:element="PersonName">
              <w:smartTagPr>
                <w:attr w:name="ProductID" w:val="la Caridad"/>
              </w:smartTagPr>
              <w:r w:rsidRPr="00637350">
                <w:rPr>
                  <w:rFonts w:eastAsia="Cambria Math"/>
                  <w:sz w:val="18"/>
                  <w:szCs w:val="18"/>
                  <w:lang w:val="es-ES" w:eastAsia="et-EE"/>
                </w:rPr>
                <w:t>la Caridad</w:t>
              </w:r>
            </w:smartTag>
            <w:r w:rsidRPr="00637350">
              <w:rPr>
                <w:rFonts w:eastAsia="Cambria Math"/>
                <w:sz w:val="18"/>
                <w:szCs w:val="18"/>
                <w:lang w:val="es-ES" w:eastAsia="et-EE"/>
              </w:rPr>
              <w:t xml:space="preserve"> en Tallin</w:t>
            </w:r>
          </w:p>
        </w:tc>
        <w:tc>
          <w:tcPr>
            <w:tcW w:w="1452" w:type="dxa"/>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4 </w:t>
            </w:r>
            <w:r w:rsidR="00365AF4" w:rsidRPr="00637350">
              <w:rPr>
                <w:rFonts w:eastAsia="Cambria Math"/>
                <w:sz w:val="18"/>
                <w:szCs w:val="18"/>
                <w:lang w:eastAsia="et-EE"/>
              </w:rPr>
              <w:t>monjas</w:t>
            </w:r>
            <w:r w:rsidRPr="00637350">
              <w:rPr>
                <w:rFonts w:eastAsia="Cambria Math"/>
                <w:sz w:val="18"/>
                <w:szCs w:val="18"/>
                <w:lang w:eastAsia="et-EE"/>
              </w:rPr>
              <w:t xml:space="preserve"> </w:t>
            </w:r>
          </w:p>
        </w:tc>
      </w:tr>
      <w:tr w:rsidR="00E633C6" w:rsidRPr="00637350">
        <w:trPr>
          <w:trHeight w:val="240"/>
        </w:trPr>
        <w:tc>
          <w:tcPr>
            <w:tcW w:w="5918" w:type="dxa"/>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sz w:val="18"/>
                <w:szCs w:val="18"/>
                <w:lang w:val="es-ES" w:eastAsia="et-EE"/>
              </w:rPr>
              <w:t xml:space="preserve">Convento de </w:t>
            </w:r>
            <w:smartTag w:uri="urn:schemas-microsoft-com:office:smarttags" w:element="PersonName">
              <w:smartTagPr>
                <w:attr w:name="ProductID" w:val="la Congregaci￳n"/>
              </w:smartTagPr>
              <w:r w:rsidRPr="00637350">
                <w:rPr>
                  <w:rFonts w:eastAsia="Cambria Math"/>
                  <w:sz w:val="18"/>
                  <w:szCs w:val="18"/>
                  <w:lang w:val="es-ES" w:eastAsia="et-EE"/>
                </w:rPr>
                <w:t>la Congregación</w:t>
              </w:r>
            </w:smartTag>
            <w:r w:rsidRPr="00637350">
              <w:rPr>
                <w:rFonts w:eastAsia="Cambria Math"/>
                <w:sz w:val="18"/>
                <w:szCs w:val="18"/>
                <w:lang w:val="es-ES" w:eastAsia="et-EE"/>
              </w:rPr>
              <w:t xml:space="preserve"> de San Felice da Cantalice en Ahtme</w:t>
            </w:r>
          </w:p>
        </w:tc>
        <w:tc>
          <w:tcPr>
            <w:tcW w:w="1452" w:type="dxa"/>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2 </w:t>
            </w:r>
            <w:r w:rsidR="00365AF4" w:rsidRPr="00637350">
              <w:rPr>
                <w:rFonts w:eastAsia="Cambria Math"/>
                <w:sz w:val="18"/>
                <w:szCs w:val="18"/>
                <w:lang w:eastAsia="et-EE"/>
              </w:rPr>
              <w:t>monjas</w:t>
            </w:r>
            <w:r w:rsidRPr="00637350">
              <w:rPr>
                <w:rFonts w:eastAsia="Cambria Math"/>
                <w:sz w:val="18"/>
                <w:szCs w:val="18"/>
                <w:lang w:eastAsia="et-EE"/>
              </w:rPr>
              <w:t xml:space="preserve"> </w:t>
            </w:r>
          </w:p>
        </w:tc>
      </w:tr>
      <w:tr w:rsidR="00E633C6" w:rsidRPr="00637350">
        <w:trPr>
          <w:trHeight w:val="240"/>
        </w:trPr>
        <w:tc>
          <w:tcPr>
            <w:tcW w:w="5918" w:type="dxa"/>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sz w:val="18"/>
                <w:szCs w:val="18"/>
                <w:lang w:val="es-ES" w:eastAsia="et-EE"/>
              </w:rPr>
              <w:t xml:space="preserve">Convento de </w:t>
            </w:r>
            <w:smartTag w:uri="urn:schemas-microsoft-com:office:smarttags" w:element="PersonName">
              <w:smartTagPr>
                <w:attr w:name="ProductID" w:val="la Congregaci￳n"/>
              </w:smartTagPr>
              <w:r w:rsidRPr="00637350">
                <w:rPr>
                  <w:rFonts w:eastAsia="Cambria Math"/>
                  <w:sz w:val="18"/>
                  <w:szCs w:val="18"/>
                  <w:lang w:val="es-ES" w:eastAsia="et-EE"/>
                </w:rPr>
                <w:t>la Congregación</w:t>
              </w:r>
            </w:smartTag>
            <w:r w:rsidRPr="00637350">
              <w:rPr>
                <w:rFonts w:eastAsia="Cambria Math"/>
                <w:sz w:val="18"/>
                <w:szCs w:val="18"/>
                <w:lang w:val="es-ES" w:eastAsia="et-EE"/>
              </w:rPr>
              <w:t xml:space="preserve"> de San Felice da Cantalice en Narva</w:t>
            </w:r>
          </w:p>
        </w:tc>
        <w:tc>
          <w:tcPr>
            <w:tcW w:w="1452" w:type="dxa"/>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2 </w:t>
            </w:r>
            <w:r w:rsidR="00365AF4" w:rsidRPr="00637350">
              <w:rPr>
                <w:rFonts w:eastAsia="Cambria Math"/>
                <w:sz w:val="18"/>
                <w:szCs w:val="18"/>
                <w:lang w:eastAsia="et-EE"/>
              </w:rPr>
              <w:t>monjas</w:t>
            </w:r>
            <w:r w:rsidRPr="00637350">
              <w:rPr>
                <w:rFonts w:eastAsia="Cambria Math"/>
                <w:sz w:val="18"/>
                <w:szCs w:val="18"/>
                <w:lang w:eastAsia="et-EE"/>
              </w:rPr>
              <w:t xml:space="preserve"> </w:t>
            </w:r>
          </w:p>
        </w:tc>
      </w:tr>
      <w:tr w:rsidR="00E633C6" w:rsidRPr="00637350">
        <w:trPr>
          <w:trHeight w:val="240"/>
        </w:trPr>
        <w:tc>
          <w:tcPr>
            <w:tcW w:w="5918" w:type="dxa"/>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sz w:val="18"/>
                <w:szCs w:val="18"/>
                <w:lang w:val="es-ES" w:eastAsia="et-EE"/>
              </w:rPr>
              <w:t xml:space="preserve">Convento de </w:t>
            </w:r>
            <w:smartTag w:uri="urn:schemas-microsoft-com:office:smarttags" w:element="PersonName">
              <w:smartTagPr>
                <w:attr w:name="ProductID" w:val="la Iglesia Cat￳lica"/>
              </w:smartTagPr>
              <w:r w:rsidRPr="00637350">
                <w:rPr>
                  <w:rFonts w:eastAsia="Cambria Math"/>
                  <w:sz w:val="18"/>
                  <w:szCs w:val="18"/>
                  <w:lang w:val="es-ES" w:eastAsia="et-EE"/>
                </w:rPr>
                <w:t>la Iglesia Católica</w:t>
              </w:r>
            </w:smartTag>
            <w:r w:rsidRPr="00637350">
              <w:rPr>
                <w:rFonts w:eastAsia="Cambria Math"/>
                <w:sz w:val="18"/>
                <w:szCs w:val="18"/>
                <w:lang w:val="es-ES" w:eastAsia="et-EE"/>
              </w:rPr>
              <w:t xml:space="preserve"> Romana de </w:t>
            </w:r>
            <w:smartTag w:uri="urn:schemas-microsoft-com:office:smarttags" w:element="PersonName">
              <w:smartTagPr>
                <w:attr w:name="ProductID" w:val="la Inmaculada Concepci￳n"/>
              </w:smartTagPr>
              <w:r w:rsidRPr="00637350">
                <w:rPr>
                  <w:rFonts w:eastAsia="Cambria Math"/>
                  <w:sz w:val="18"/>
                  <w:szCs w:val="18"/>
                  <w:lang w:val="es-ES" w:eastAsia="et-EE"/>
                </w:rPr>
                <w:t>la Inmaculada Concepción</w:t>
              </w:r>
            </w:smartTag>
            <w:r w:rsidRPr="00637350">
              <w:rPr>
                <w:rFonts w:eastAsia="Cambria Math"/>
                <w:sz w:val="18"/>
                <w:szCs w:val="18"/>
                <w:lang w:val="es-ES" w:eastAsia="et-EE"/>
              </w:rPr>
              <w:t xml:space="preserve"> de </w:t>
            </w:r>
            <w:smartTag w:uri="urn:schemas-microsoft-com:office:smarttags" w:element="PersonName">
              <w:smartTagPr>
                <w:attr w:name="ProductID" w:val="la Santa Virgen"/>
              </w:smartTagPr>
              <w:r w:rsidRPr="00637350">
                <w:rPr>
                  <w:rFonts w:eastAsia="Cambria Math"/>
                  <w:sz w:val="18"/>
                  <w:szCs w:val="18"/>
                  <w:lang w:val="es-ES" w:eastAsia="et-EE"/>
                </w:rPr>
                <w:t>la Santa Virgen</w:t>
              </w:r>
            </w:smartTag>
            <w:r w:rsidRPr="00637350">
              <w:rPr>
                <w:rFonts w:eastAsia="Cambria Math"/>
                <w:sz w:val="18"/>
                <w:szCs w:val="18"/>
                <w:lang w:val="es-ES" w:eastAsia="et-EE"/>
              </w:rPr>
              <w:t xml:space="preserve"> María en Tartu</w:t>
            </w:r>
          </w:p>
        </w:tc>
        <w:tc>
          <w:tcPr>
            <w:tcW w:w="1452" w:type="dxa"/>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3 </w:t>
            </w:r>
            <w:r w:rsidR="00365AF4" w:rsidRPr="00637350">
              <w:rPr>
                <w:rFonts w:eastAsia="Cambria Math"/>
                <w:sz w:val="18"/>
                <w:szCs w:val="18"/>
                <w:lang w:eastAsia="et-EE"/>
              </w:rPr>
              <w:t>monjas</w:t>
            </w:r>
            <w:r w:rsidRPr="00637350">
              <w:rPr>
                <w:rFonts w:eastAsia="Cambria Math"/>
                <w:sz w:val="18"/>
                <w:szCs w:val="18"/>
                <w:lang w:eastAsia="et-EE"/>
              </w:rPr>
              <w:t xml:space="preserve"> </w:t>
            </w:r>
          </w:p>
        </w:tc>
      </w:tr>
      <w:tr w:rsidR="00E633C6" w:rsidRPr="00637350">
        <w:trPr>
          <w:trHeight w:val="240"/>
        </w:trPr>
        <w:tc>
          <w:tcPr>
            <w:tcW w:w="5918" w:type="dxa"/>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sz w:val="18"/>
                <w:szCs w:val="18"/>
                <w:lang w:val="es-ES" w:eastAsia="et-EE"/>
              </w:rPr>
              <w:t xml:space="preserve">Convento de </w:t>
            </w:r>
            <w:smartTag w:uri="urn:schemas-microsoft-com:office:smarttags" w:element="PersonName">
              <w:smartTagPr>
                <w:attr w:name="ProductID" w:val="la Orden"/>
              </w:smartTagPr>
              <w:r w:rsidRPr="00637350">
                <w:rPr>
                  <w:rFonts w:eastAsia="Cambria Math"/>
                  <w:sz w:val="18"/>
                  <w:szCs w:val="18"/>
                  <w:lang w:val="es-ES" w:eastAsia="et-EE"/>
                </w:rPr>
                <w:t>la Orden</w:t>
              </w:r>
            </w:smartTag>
            <w:r w:rsidRPr="00637350">
              <w:rPr>
                <w:rFonts w:eastAsia="Cambria Math"/>
                <w:sz w:val="18"/>
                <w:szCs w:val="18"/>
                <w:lang w:val="es-ES" w:eastAsia="et-EE"/>
              </w:rPr>
              <w:t xml:space="preserve"> de Bridgettine en Pirita</w:t>
            </w:r>
          </w:p>
        </w:tc>
        <w:tc>
          <w:tcPr>
            <w:tcW w:w="1452" w:type="dxa"/>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10 </w:t>
            </w:r>
            <w:r w:rsidR="00365AF4" w:rsidRPr="00637350">
              <w:rPr>
                <w:rFonts w:eastAsia="Cambria Math"/>
                <w:sz w:val="18"/>
                <w:szCs w:val="18"/>
                <w:lang w:eastAsia="et-EE"/>
              </w:rPr>
              <w:t>monjas</w:t>
            </w:r>
            <w:r w:rsidRPr="00637350">
              <w:rPr>
                <w:rFonts w:eastAsia="Cambria Math"/>
                <w:sz w:val="18"/>
                <w:szCs w:val="18"/>
                <w:lang w:eastAsia="et-EE"/>
              </w:rPr>
              <w:t xml:space="preserve"> </w:t>
            </w:r>
          </w:p>
        </w:tc>
      </w:tr>
      <w:tr w:rsidR="00E633C6" w:rsidRPr="00637350">
        <w:trPr>
          <w:trHeight w:val="240"/>
        </w:trPr>
        <w:tc>
          <w:tcPr>
            <w:tcW w:w="5918" w:type="dxa"/>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sz w:val="18"/>
                <w:szCs w:val="18"/>
                <w:lang w:val="es-ES" w:eastAsia="et-EE"/>
              </w:rPr>
              <w:t>Convento Pühtitsa Dormition Stavropegic en Kuremäe</w:t>
            </w:r>
          </w:p>
        </w:tc>
        <w:tc>
          <w:tcPr>
            <w:tcW w:w="1452" w:type="dxa"/>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174 </w:t>
            </w:r>
            <w:r w:rsidR="00365AF4" w:rsidRPr="00637350">
              <w:rPr>
                <w:rFonts w:eastAsia="Cambria Math"/>
                <w:sz w:val="18"/>
                <w:szCs w:val="18"/>
                <w:lang w:eastAsia="et-EE"/>
              </w:rPr>
              <w:t>monjas</w:t>
            </w:r>
          </w:p>
        </w:tc>
      </w:tr>
      <w:tr w:rsidR="00E633C6" w:rsidRPr="00637350">
        <w:trPr>
          <w:trHeight w:val="240"/>
        </w:trPr>
        <w:tc>
          <w:tcPr>
            <w:tcW w:w="5918" w:type="dxa"/>
            <w:tcBorders>
              <w:bottom w:val="single" w:sz="12" w:space="0" w:color="auto"/>
            </w:tcBorders>
            <w:shd w:val="clear" w:color="auto" w:fill="auto"/>
            <w:vAlign w:val="bottom"/>
          </w:tcPr>
          <w:p w:rsidR="00E633C6" w:rsidRPr="00637350" w:rsidRDefault="00365AF4" w:rsidP="00637350">
            <w:pPr>
              <w:autoSpaceDE w:val="0"/>
              <w:autoSpaceDN w:val="0"/>
              <w:adjustRightInd w:val="0"/>
              <w:spacing w:before="40" w:after="40" w:line="220" w:lineRule="exact"/>
              <w:rPr>
                <w:rFonts w:eastAsia="Cambria Math"/>
                <w:sz w:val="18"/>
                <w:szCs w:val="18"/>
                <w:lang w:val="es-ES" w:eastAsia="et-EE"/>
              </w:rPr>
            </w:pPr>
            <w:r w:rsidRPr="00637350">
              <w:rPr>
                <w:rFonts w:eastAsia="Cambria Math"/>
                <w:i/>
                <w:iCs/>
                <w:noProof/>
                <w:sz w:val="18"/>
                <w:szCs w:val="18"/>
                <w:lang w:val="es-ES" w:eastAsia="et-EE"/>
              </w:rPr>
              <w:t>Skiita</w:t>
            </w:r>
            <w:r w:rsidRPr="00637350">
              <w:rPr>
                <w:rFonts w:eastAsia="Cambria Math"/>
                <w:noProof/>
                <w:sz w:val="18"/>
                <w:szCs w:val="18"/>
                <w:lang w:val="es-ES" w:eastAsia="et-EE"/>
              </w:rPr>
              <w:t xml:space="preserve"> del Santo Predecesor de </w:t>
            </w:r>
            <w:smartTag w:uri="urn:schemas-microsoft-com:office:smarttags" w:element="PersonName">
              <w:smartTagPr>
                <w:attr w:name="ProductID" w:val="la Iglesia Ortodoxa"/>
              </w:smartTagPr>
              <w:r w:rsidRPr="00637350">
                <w:rPr>
                  <w:rFonts w:eastAsia="Cambria Math"/>
                  <w:noProof/>
                  <w:sz w:val="18"/>
                  <w:szCs w:val="18"/>
                  <w:lang w:val="es-ES" w:eastAsia="et-EE"/>
                </w:rPr>
                <w:t>la Iglesia Ortodoxa</w:t>
              </w:r>
            </w:smartTag>
            <w:r w:rsidRPr="00637350">
              <w:rPr>
                <w:rFonts w:eastAsia="Cambria Math"/>
                <w:noProof/>
                <w:sz w:val="18"/>
                <w:szCs w:val="18"/>
                <w:lang w:val="es-ES" w:eastAsia="et-EE"/>
              </w:rPr>
              <w:t xml:space="preserve"> de Estonia en Saaremaa</w:t>
            </w:r>
          </w:p>
        </w:tc>
        <w:tc>
          <w:tcPr>
            <w:tcW w:w="1452" w:type="dxa"/>
            <w:tcBorders>
              <w:bottom w:val="single" w:sz="12" w:space="0" w:color="auto"/>
            </w:tcBorders>
            <w:shd w:val="clear" w:color="auto" w:fill="auto"/>
            <w:vAlign w:val="bottom"/>
          </w:tcPr>
          <w:p w:rsidR="00E633C6" w:rsidRPr="00637350" w:rsidRDefault="00E633C6" w:rsidP="00637350">
            <w:pPr>
              <w:autoSpaceDE w:val="0"/>
              <w:autoSpaceDN w:val="0"/>
              <w:adjustRightInd w:val="0"/>
              <w:spacing w:before="40" w:after="40" w:line="220" w:lineRule="exact"/>
              <w:jc w:val="right"/>
              <w:rPr>
                <w:rFonts w:eastAsia="Cambria Math"/>
                <w:sz w:val="18"/>
                <w:szCs w:val="18"/>
                <w:lang w:eastAsia="et-EE"/>
              </w:rPr>
            </w:pPr>
            <w:r w:rsidRPr="00637350">
              <w:rPr>
                <w:rFonts w:eastAsia="Cambria Math"/>
                <w:sz w:val="18"/>
                <w:szCs w:val="18"/>
                <w:lang w:eastAsia="et-EE"/>
              </w:rPr>
              <w:t xml:space="preserve">3 </w:t>
            </w:r>
            <w:r w:rsidR="00365AF4" w:rsidRPr="00637350">
              <w:rPr>
                <w:rFonts w:eastAsia="Cambria Math"/>
                <w:sz w:val="18"/>
                <w:szCs w:val="18"/>
                <w:lang w:eastAsia="et-EE"/>
              </w:rPr>
              <w:t>monjas</w:t>
            </w:r>
          </w:p>
        </w:tc>
      </w:tr>
    </w:tbl>
    <w:p w:rsidR="004C5E02" w:rsidRPr="004453FA" w:rsidRDefault="004C5E02" w:rsidP="00637350">
      <w:pPr>
        <w:pStyle w:val="H4G"/>
        <w:rPr>
          <w:lang w:val="es-ES"/>
        </w:rPr>
      </w:pPr>
      <w:r w:rsidRPr="004453FA">
        <w:rPr>
          <w:lang w:val="es-ES"/>
        </w:rPr>
        <w:tab/>
        <w:t>viii)</w:t>
      </w:r>
      <w:r w:rsidRPr="004453FA">
        <w:rPr>
          <w:lang w:val="es-ES"/>
        </w:rPr>
        <w:tab/>
      </w:r>
      <w:r>
        <w:rPr>
          <w:lang w:val="es-ES"/>
        </w:rPr>
        <w:t>El derecho a la lib</w:t>
      </w:r>
      <w:r w:rsidR="006006DA">
        <w:rPr>
          <w:lang w:val="es-ES"/>
        </w:rPr>
        <w:t>ertad de opinión y de expresión</w:t>
      </w:r>
    </w:p>
    <w:p w:rsidR="004C5E02" w:rsidRPr="004453FA" w:rsidRDefault="004C5E02" w:rsidP="00637350">
      <w:pPr>
        <w:pStyle w:val="SingleTxtG"/>
        <w:rPr>
          <w:szCs w:val="24"/>
          <w:lang w:val="es-ES"/>
        </w:rPr>
      </w:pPr>
      <w:r w:rsidRPr="004453FA">
        <w:rPr>
          <w:szCs w:val="24"/>
          <w:lang w:val="es-ES"/>
        </w:rPr>
        <w:t>147.</w:t>
      </w:r>
      <w:r w:rsidRPr="004453FA">
        <w:rPr>
          <w:szCs w:val="24"/>
          <w:lang w:val="es-ES"/>
        </w:rPr>
        <w:tab/>
      </w:r>
      <w:r w:rsidR="001C697F">
        <w:rPr>
          <w:szCs w:val="24"/>
          <w:lang w:val="es-ES"/>
        </w:rPr>
        <w:t>El fundamento jurídico</w:t>
      </w:r>
      <w:r>
        <w:rPr>
          <w:szCs w:val="24"/>
          <w:lang w:val="es-ES"/>
        </w:rPr>
        <w:t xml:space="preserve"> de la libertad de expresi</w:t>
      </w:r>
      <w:r w:rsidR="001C697F">
        <w:rPr>
          <w:szCs w:val="24"/>
          <w:lang w:val="es-ES"/>
        </w:rPr>
        <w:t xml:space="preserve">ón no han cambiado </w:t>
      </w:r>
      <w:r>
        <w:rPr>
          <w:szCs w:val="24"/>
          <w:lang w:val="es-ES"/>
        </w:rPr>
        <w:t xml:space="preserve">con </w:t>
      </w:r>
      <w:r w:rsidR="001C697F">
        <w:rPr>
          <w:szCs w:val="24"/>
          <w:lang w:val="es-ES"/>
        </w:rPr>
        <w:t>r</w:t>
      </w:r>
      <w:r>
        <w:rPr>
          <w:szCs w:val="24"/>
          <w:lang w:val="es-ES"/>
        </w:rPr>
        <w:t>e</w:t>
      </w:r>
      <w:r w:rsidR="001C697F">
        <w:rPr>
          <w:szCs w:val="24"/>
          <w:lang w:val="es-ES"/>
        </w:rPr>
        <w:t>specto a</w:t>
      </w:r>
      <w:r>
        <w:rPr>
          <w:szCs w:val="24"/>
          <w:lang w:val="es-ES"/>
        </w:rPr>
        <w:t>l período examinado en el informe anterior.</w:t>
      </w:r>
      <w:r w:rsidRPr="004453FA">
        <w:rPr>
          <w:szCs w:val="24"/>
          <w:lang w:val="es-ES"/>
        </w:rPr>
        <w:t xml:space="preserve"> </w:t>
      </w:r>
      <w:r>
        <w:rPr>
          <w:szCs w:val="24"/>
          <w:lang w:val="es-ES"/>
        </w:rPr>
        <w:t xml:space="preserve">Por consiguiente, </w:t>
      </w:r>
      <w:r w:rsidR="009E15E5">
        <w:rPr>
          <w:szCs w:val="24"/>
          <w:lang w:val="es-ES"/>
        </w:rPr>
        <w:t>sírvanse consult</w:t>
      </w:r>
      <w:r>
        <w:rPr>
          <w:szCs w:val="24"/>
          <w:lang w:val="es-ES"/>
        </w:rPr>
        <w:t>a</w:t>
      </w:r>
      <w:r w:rsidR="009E15E5">
        <w:rPr>
          <w:szCs w:val="24"/>
          <w:lang w:val="es-ES"/>
        </w:rPr>
        <w:t>r</w:t>
      </w:r>
      <w:r>
        <w:rPr>
          <w:szCs w:val="24"/>
          <w:lang w:val="es-ES"/>
        </w:rPr>
        <w:t xml:space="preserve"> los párrafos </w:t>
      </w:r>
      <w:smartTag w:uri="urn:schemas-microsoft-com:office:smarttags" w:element="metricconverter">
        <w:smartTagPr>
          <w:attr w:name="ProductID" w:val="141 a"/>
        </w:smartTagPr>
        <w:r>
          <w:rPr>
            <w:szCs w:val="24"/>
            <w:lang w:val="es-ES"/>
          </w:rPr>
          <w:t>141 a</w:t>
        </w:r>
      </w:smartTag>
      <w:r>
        <w:rPr>
          <w:szCs w:val="24"/>
          <w:lang w:val="es-ES"/>
        </w:rPr>
        <w:t xml:space="preserve"> 144 del informe anterior.</w:t>
      </w:r>
    </w:p>
    <w:p w:rsidR="00966E29" w:rsidRPr="004453FA" w:rsidRDefault="00966E29" w:rsidP="00637350">
      <w:pPr>
        <w:pStyle w:val="SingleTxtG"/>
        <w:rPr>
          <w:lang w:val="es-ES"/>
        </w:rPr>
      </w:pPr>
      <w:r w:rsidRPr="004453FA">
        <w:rPr>
          <w:lang w:val="es-ES"/>
        </w:rPr>
        <w:t>148.</w:t>
      </w:r>
      <w:r w:rsidRPr="004453FA">
        <w:rPr>
          <w:lang w:val="es-ES"/>
        </w:rPr>
        <w:tab/>
      </w:r>
      <w:r>
        <w:rPr>
          <w:lang w:val="es-ES"/>
        </w:rPr>
        <w:t>El Consejo de la Prensa</w:t>
      </w:r>
      <w:r>
        <w:rPr>
          <w:rStyle w:val="FootnoteReference"/>
          <w:szCs w:val="24"/>
          <w:lang w:val="es-ES"/>
        </w:rPr>
        <w:footnoteReference w:id="38"/>
      </w:r>
      <w:r>
        <w:rPr>
          <w:lang w:val="es-ES"/>
        </w:rPr>
        <w:t xml:space="preserve">, creado en 2002 por </w:t>
      </w:r>
      <w:smartTag w:uri="urn:schemas-microsoft-com:office:smarttags" w:element="PersonName">
        <w:smartTagPr>
          <w:attr w:name="ProductID" w:val="la Asociaci￳n"/>
        </w:smartTagPr>
        <w:r>
          <w:rPr>
            <w:lang w:val="es-ES"/>
          </w:rPr>
          <w:t>la Asociación</w:t>
        </w:r>
      </w:smartTag>
      <w:r>
        <w:rPr>
          <w:lang w:val="es-ES"/>
        </w:rPr>
        <w:t xml:space="preserve"> de Periódicos de Estonia, sigue supervis</w:t>
      </w:r>
      <w:r w:rsidR="0086549C">
        <w:rPr>
          <w:lang w:val="es-ES"/>
        </w:rPr>
        <w:t>ando</w:t>
      </w:r>
      <w:r>
        <w:rPr>
          <w:lang w:val="es-ES"/>
        </w:rPr>
        <w:t xml:space="preserve"> la prensa. La información proporcionada sobre el Consejo de </w:t>
      </w:r>
      <w:smartTag w:uri="urn:schemas-microsoft-com:office:smarttags" w:element="PersonName">
        <w:smartTagPr>
          <w:attr w:name="ProductID" w:val="la Prensa"/>
        </w:smartTagPr>
        <w:r>
          <w:rPr>
            <w:lang w:val="es-ES"/>
          </w:rPr>
          <w:t>la Prensa</w:t>
        </w:r>
      </w:smartTag>
      <w:r>
        <w:rPr>
          <w:lang w:val="es-ES"/>
        </w:rPr>
        <w:t xml:space="preserve"> en los párrafos 145 y 146 del informe anterior es también válida para el período examinado en el presente informe.</w:t>
      </w:r>
    </w:p>
    <w:p w:rsidR="00535C09" w:rsidRPr="004453FA" w:rsidRDefault="00966E29" w:rsidP="00637350">
      <w:pPr>
        <w:pStyle w:val="Heading1"/>
        <w:spacing w:before="240"/>
        <w:rPr>
          <w:lang w:val="es-ES" w:eastAsia="et-EE"/>
        </w:rPr>
      </w:pPr>
      <w:r w:rsidRPr="006006DA">
        <w:t>Cuadro</w:t>
      </w:r>
      <w:r w:rsidR="00535C09" w:rsidRPr="004453FA">
        <w:rPr>
          <w:lang w:val="es-ES" w:eastAsia="et-EE"/>
        </w:rPr>
        <w:t xml:space="preserve"> </w:t>
      </w:r>
      <w:r w:rsidR="00B01700" w:rsidRPr="004453FA">
        <w:rPr>
          <w:lang w:val="es-ES" w:eastAsia="et-EE"/>
        </w:rPr>
        <w:t>6</w:t>
      </w:r>
    </w:p>
    <w:p w:rsidR="00535C09" w:rsidRPr="006006DA" w:rsidRDefault="00966E29" w:rsidP="00637350">
      <w:pPr>
        <w:pStyle w:val="SingleTxtG"/>
        <w:jc w:val="left"/>
        <w:rPr>
          <w:b/>
          <w:lang w:val="es-ES"/>
        </w:rPr>
      </w:pPr>
      <w:r w:rsidRPr="006006DA">
        <w:rPr>
          <w:b/>
          <w:lang w:val="es-ES"/>
        </w:rPr>
        <w:t xml:space="preserve">Estadísticas sobre las quejas formuladas al Consejo de </w:t>
      </w:r>
      <w:smartTag w:uri="urn:schemas-microsoft-com:office:smarttags" w:element="PersonName">
        <w:smartTagPr>
          <w:attr w:name="ProductID" w:val="la Prensa"/>
        </w:smartTagPr>
        <w:r w:rsidRPr="006006DA">
          <w:rPr>
            <w:b/>
            <w:lang w:val="es-ES"/>
          </w:rPr>
          <w:t>la Prensa</w:t>
        </w:r>
      </w:smartTag>
      <w:r w:rsidRPr="006006DA">
        <w:rPr>
          <w:b/>
          <w:lang w:val="es-ES"/>
        </w:rPr>
        <w:t xml:space="preserve">, 2008-2012 </w:t>
      </w:r>
      <w:r w:rsidR="006006DA">
        <w:rPr>
          <w:b/>
          <w:lang w:val="es-ES"/>
        </w:rPr>
        <w:br/>
      </w:r>
      <w:r w:rsidRPr="006006DA">
        <w:rPr>
          <w:b/>
          <w:lang w:val="es-ES"/>
        </w:rPr>
        <w:t>(</w:t>
      </w:r>
      <w:r w:rsidR="0086549C" w:rsidRPr="006006DA">
        <w:rPr>
          <w:b/>
          <w:lang w:val="es-ES"/>
        </w:rPr>
        <w:t xml:space="preserve">a fecha </w:t>
      </w:r>
      <w:r w:rsidRPr="006006DA">
        <w:rPr>
          <w:b/>
          <w:lang w:val="es-ES"/>
        </w:rPr>
        <w:t>1 de octubre de 2012)</w:t>
      </w:r>
    </w:p>
    <w:tbl>
      <w:tblPr>
        <w:tblW w:w="7371" w:type="dxa"/>
        <w:tblInd w:w="1134" w:type="dxa"/>
        <w:tblBorders>
          <w:top w:val="single" w:sz="4" w:space="0" w:color="auto"/>
        </w:tblBorders>
        <w:tblLayout w:type="fixed"/>
        <w:tblCellMar>
          <w:left w:w="0" w:type="dxa"/>
          <w:right w:w="0" w:type="dxa"/>
        </w:tblCellMar>
        <w:tblLook w:val="00A0"/>
      </w:tblPr>
      <w:tblGrid>
        <w:gridCol w:w="2842"/>
        <w:gridCol w:w="905"/>
        <w:gridCol w:w="906"/>
        <w:gridCol w:w="906"/>
        <w:gridCol w:w="906"/>
        <w:gridCol w:w="906"/>
      </w:tblGrid>
      <w:tr w:rsidR="0023339D" w:rsidRPr="00535C09">
        <w:trPr>
          <w:trHeight w:val="240"/>
          <w:tblHeader/>
        </w:trPr>
        <w:tc>
          <w:tcPr>
            <w:tcW w:w="2842" w:type="dxa"/>
            <w:tcBorders>
              <w:top w:val="single" w:sz="4" w:space="0" w:color="auto"/>
              <w:bottom w:val="single" w:sz="12" w:space="0" w:color="auto"/>
            </w:tcBorders>
            <w:shd w:val="clear" w:color="auto" w:fill="auto"/>
            <w:vAlign w:val="bottom"/>
          </w:tcPr>
          <w:p w:rsidR="00535C09" w:rsidRPr="004453FA" w:rsidRDefault="00535C09" w:rsidP="00F82603">
            <w:pPr>
              <w:spacing w:before="80" w:after="80" w:line="200" w:lineRule="exact"/>
              <w:rPr>
                <w:rFonts w:eastAsia="Cambria Math"/>
                <w:bCs/>
                <w:i/>
                <w:snapToGrid w:val="0"/>
                <w:sz w:val="16"/>
                <w:szCs w:val="24"/>
                <w:lang w:val="es-ES" w:eastAsia="et-EE"/>
              </w:rPr>
            </w:pPr>
          </w:p>
        </w:tc>
        <w:tc>
          <w:tcPr>
            <w:tcW w:w="905" w:type="dxa"/>
            <w:tcBorders>
              <w:top w:val="single" w:sz="4" w:space="0" w:color="auto"/>
              <w:bottom w:val="single" w:sz="12" w:space="0" w:color="auto"/>
            </w:tcBorders>
            <w:shd w:val="clear" w:color="auto" w:fill="auto"/>
            <w:vAlign w:val="bottom"/>
          </w:tcPr>
          <w:p w:rsidR="00535C09" w:rsidRPr="00535C09" w:rsidRDefault="00535C09" w:rsidP="00F82603">
            <w:pPr>
              <w:spacing w:before="80" w:after="80" w:line="200" w:lineRule="exact"/>
              <w:jc w:val="right"/>
              <w:rPr>
                <w:rFonts w:eastAsia="Cambria Math"/>
                <w:bCs/>
                <w:i/>
                <w:snapToGrid w:val="0"/>
                <w:sz w:val="16"/>
                <w:szCs w:val="24"/>
                <w:lang w:eastAsia="et-EE"/>
              </w:rPr>
            </w:pPr>
            <w:r w:rsidRPr="00535C09">
              <w:rPr>
                <w:rFonts w:eastAsia="Cambria Math"/>
                <w:bCs/>
                <w:i/>
                <w:snapToGrid w:val="0"/>
                <w:sz w:val="16"/>
                <w:szCs w:val="24"/>
                <w:lang w:eastAsia="et-EE"/>
              </w:rPr>
              <w:t>2008</w:t>
            </w:r>
          </w:p>
        </w:tc>
        <w:tc>
          <w:tcPr>
            <w:tcW w:w="906" w:type="dxa"/>
            <w:tcBorders>
              <w:top w:val="single" w:sz="4" w:space="0" w:color="auto"/>
              <w:bottom w:val="single" w:sz="12" w:space="0" w:color="auto"/>
            </w:tcBorders>
            <w:shd w:val="clear" w:color="auto" w:fill="auto"/>
            <w:vAlign w:val="bottom"/>
          </w:tcPr>
          <w:p w:rsidR="00535C09" w:rsidRPr="00535C09" w:rsidRDefault="00535C09" w:rsidP="00F82603">
            <w:pPr>
              <w:spacing w:before="80" w:after="80" w:line="200" w:lineRule="exact"/>
              <w:jc w:val="right"/>
              <w:rPr>
                <w:rFonts w:eastAsia="Cambria Math"/>
                <w:bCs/>
                <w:i/>
                <w:snapToGrid w:val="0"/>
                <w:sz w:val="16"/>
                <w:szCs w:val="24"/>
                <w:lang w:eastAsia="et-EE"/>
              </w:rPr>
            </w:pPr>
            <w:r w:rsidRPr="00535C09">
              <w:rPr>
                <w:rFonts w:eastAsia="Cambria Math"/>
                <w:bCs/>
                <w:i/>
                <w:snapToGrid w:val="0"/>
                <w:sz w:val="16"/>
                <w:szCs w:val="24"/>
                <w:lang w:eastAsia="et-EE"/>
              </w:rPr>
              <w:t>2009</w:t>
            </w:r>
          </w:p>
        </w:tc>
        <w:tc>
          <w:tcPr>
            <w:tcW w:w="906" w:type="dxa"/>
            <w:tcBorders>
              <w:top w:val="single" w:sz="4" w:space="0" w:color="auto"/>
              <w:bottom w:val="single" w:sz="12" w:space="0" w:color="auto"/>
            </w:tcBorders>
            <w:shd w:val="clear" w:color="auto" w:fill="auto"/>
            <w:vAlign w:val="bottom"/>
          </w:tcPr>
          <w:p w:rsidR="00535C09" w:rsidRPr="00535C09" w:rsidRDefault="00535C09" w:rsidP="00F82603">
            <w:pPr>
              <w:spacing w:before="80" w:after="80" w:line="200" w:lineRule="exact"/>
              <w:jc w:val="right"/>
              <w:rPr>
                <w:rFonts w:eastAsia="Cambria Math"/>
                <w:bCs/>
                <w:i/>
                <w:snapToGrid w:val="0"/>
                <w:sz w:val="16"/>
                <w:szCs w:val="24"/>
                <w:lang w:eastAsia="et-EE"/>
              </w:rPr>
            </w:pPr>
            <w:r w:rsidRPr="00535C09">
              <w:rPr>
                <w:rFonts w:eastAsia="Cambria Math"/>
                <w:bCs/>
                <w:i/>
                <w:snapToGrid w:val="0"/>
                <w:sz w:val="16"/>
                <w:szCs w:val="24"/>
                <w:lang w:eastAsia="et-EE"/>
              </w:rPr>
              <w:t>2010</w:t>
            </w:r>
          </w:p>
        </w:tc>
        <w:tc>
          <w:tcPr>
            <w:tcW w:w="906" w:type="dxa"/>
            <w:tcBorders>
              <w:top w:val="single" w:sz="4" w:space="0" w:color="auto"/>
              <w:bottom w:val="single" w:sz="12" w:space="0" w:color="auto"/>
            </w:tcBorders>
            <w:shd w:val="clear" w:color="auto" w:fill="auto"/>
            <w:vAlign w:val="bottom"/>
          </w:tcPr>
          <w:p w:rsidR="00535C09" w:rsidRPr="00535C09" w:rsidRDefault="00535C09" w:rsidP="00F82603">
            <w:pPr>
              <w:spacing w:before="80" w:after="80" w:line="200" w:lineRule="exact"/>
              <w:jc w:val="right"/>
              <w:rPr>
                <w:rFonts w:eastAsia="Cambria Math"/>
                <w:bCs/>
                <w:i/>
                <w:snapToGrid w:val="0"/>
                <w:sz w:val="16"/>
                <w:szCs w:val="24"/>
                <w:lang w:eastAsia="et-EE"/>
              </w:rPr>
            </w:pPr>
            <w:r w:rsidRPr="00535C09">
              <w:rPr>
                <w:rFonts w:eastAsia="Cambria Math"/>
                <w:bCs/>
                <w:i/>
                <w:snapToGrid w:val="0"/>
                <w:sz w:val="16"/>
                <w:szCs w:val="24"/>
                <w:lang w:eastAsia="et-EE"/>
              </w:rPr>
              <w:t>2011</w:t>
            </w:r>
          </w:p>
        </w:tc>
        <w:tc>
          <w:tcPr>
            <w:tcW w:w="906" w:type="dxa"/>
            <w:tcBorders>
              <w:top w:val="single" w:sz="4" w:space="0" w:color="auto"/>
              <w:bottom w:val="single" w:sz="12" w:space="0" w:color="auto"/>
            </w:tcBorders>
            <w:shd w:val="clear" w:color="auto" w:fill="auto"/>
            <w:vAlign w:val="bottom"/>
          </w:tcPr>
          <w:p w:rsidR="00535C09" w:rsidRPr="00535C09" w:rsidRDefault="00535C09" w:rsidP="00F82603">
            <w:pPr>
              <w:spacing w:before="80" w:after="80" w:line="200" w:lineRule="exact"/>
              <w:jc w:val="right"/>
              <w:rPr>
                <w:rFonts w:eastAsia="Cambria Math"/>
                <w:bCs/>
                <w:i/>
                <w:snapToGrid w:val="0"/>
                <w:sz w:val="16"/>
                <w:szCs w:val="24"/>
                <w:lang w:eastAsia="et-EE"/>
              </w:rPr>
            </w:pPr>
            <w:r w:rsidRPr="00535C09">
              <w:rPr>
                <w:rFonts w:eastAsia="Cambria Math"/>
                <w:bCs/>
                <w:i/>
                <w:snapToGrid w:val="0"/>
                <w:sz w:val="16"/>
                <w:szCs w:val="24"/>
                <w:lang w:eastAsia="et-EE"/>
              </w:rPr>
              <w:t>2012</w:t>
            </w:r>
          </w:p>
        </w:tc>
      </w:tr>
      <w:tr w:rsidR="0023339D" w:rsidRPr="00F82603">
        <w:trPr>
          <w:trHeight w:val="240"/>
        </w:trPr>
        <w:tc>
          <w:tcPr>
            <w:tcW w:w="2842" w:type="dxa"/>
            <w:tcBorders>
              <w:top w:val="single" w:sz="12" w:space="0" w:color="auto"/>
            </w:tcBorders>
            <w:shd w:val="clear" w:color="auto" w:fill="auto"/>
            <w:vAlign w:val="bottom"/>
          </w:tcPr>
          <w:p w:rsidR="00535C09" w:rsidRPr="00F82603" w:rsidRDefault="00966E29" w:rsidP="00F82603">
            <w:pPr>
              <w:spacing w:before="40" w:after="40" w:line="220" w:lineRule="exact"/>
              <w:rPr>
                <w:rFonts w:ascii="Cambria Math" w:hAnsi="Cambria Math"/>
                <w:sz w:val="18"/>
                <w:szCs w:val="18"/>
              </w:rPr>
            </w:pPr>
            <w:r w:rsidRPr="00F82603">
              <w:rPr>
                <w:sz w:val="18"/>
                <w:szCs w:val="18"/>
                <w:lang w:val="es-ES"/>
              </w:rPr>
              <w:t>Quejas</w:t>
            </w:r>
          </w:p>
        </w:tc>
        <w:tc>
          <w:tcPr>
            <w:tcW w:w="905" w:type="dxa"/>
            <w:tcBorders>
              <w:top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45</w:t>
            </w:r>
          </w:p>
        </w:tc>
        <w:tc>
          <w:tcPr>
            <w:tcW w:w="906" w:type="dxa"/>
            <w:tcBorders>
              <w:top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54</w:t>
            </w:r>
          </w:p>
        </w:tc>
        <w:tc>
          <w:tcPr>
            <w:tcW w:w="906" w:type="dxa"/>
            <w:tcBorders>
              <w:top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42</w:t>
            </w:r>
          </w:p>
        </w:tc>
        <w:tc>
          <w:tcPr>
            <w:tcW w:w="906" w:type="dxa"/>
            <w:tcBorders>
              <w:top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67</w:t>
            </w:r>
          </w:p>
        </w:tc>
        <w:tc>
          <w:tcPr>
            <w:tcW w:w="906" w:type="dxa"/>
            <w:tcBorders>
              <w:top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30</w:t>
            </w:r>
          </w:p>
        </w:tc>
      </w:tr>
      <w:tr w:rsidR="0023339D" w:rsidRPr="00F82603">
        <w:trPr>
          <w:trHeight w:val="240"/>
        </w:trPr>
        <w:tc>
          <w:tcPr>
            <w:tcW w:w="2842" w:type="dxa"/>
            <w:shd w:val="clear" w:color="auto" w:fill="auto"/>
            <w:vAlign w:val="bottom"/>
          </w:tcPr>
          <w:p w:rsidR="00535C09" w:rsidRPr="00F82603" w:rsidRDefault="00EE19BB" w:rsidP="00F82603">
            <w:pPr>
              <w:spacing w:before="40" w:after="40" w:line="220" w:lineRule="exact"/>
              <w:rPr>
                <w:rFonts w:ascii="Cambria Math" w:hAnsi="Cambria Math"/>
                <w:sz w:val="18"/>
                <w:szCs w:val="18"/>
              </w:rPr>
            </w:pPr>
            <w:r w:rsidRPr="00F82603">
              <w:rPr>
                <w:sz w:val="18"/>
                <w:szCs w:val="18"/>
                <w:lang w:val="es-ES"/>
              </w:rPr>
              <w:t>Arbitrada</w:t>
            </w:r>
            <w:r w:rsidR="00966E29" w:rsidRPr="00F82603">
              <w:rPr>
                <w:sz w:val="18"/>
                <w:szCs w:val="18"/>
                <w:lang w:val="es-ES"/>
              </w:rPr>
              <w:t>s</w:t>
            </w:r>
          </w:p>
        </w:tc>
        <w:tc>
          <w:tcPr>
            <w:tcW w:w="905"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34</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31</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34</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61</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25</w:t>
            </w:r>
          </w:p>
        </w:tc>
      </w:tr>
      <w:tr w:rsidR="0023339D" w:rsidRPr="00F82603">
        <w:trPr>
          <w:trHeight w:val="240"/>
        </w:trPr>
        <w:tc>
          <w:tcPr>
            <w:tcW w:w="2842" w:type="dxa"/>
            <w:shd w:val="clear" w:color="auto" w:fill="auto"/>
            <w:vAlign w:val="bottom"/>
          </w:tcPr>
          <w:p w:rsidR="00535C09" w:rsidRPr="00F82603" w:rsidRDefault="0023339D" w:rsidP="00F82603">
            <w:pPr>
              <w:spacing w:before="40" w:after="40" w:line="220" w:lineRule="exact"/>
              <w:rPr>
                <w:rFonts w:ascii="Cambria Math" w:hAnsi="Cambria Math"/>
                <w:sz w:val="18"/>
                <w:szCs w:val="18"/>
                <w:lang w:val="es-ES"/>
              </w:rPr>
            </w:pPr>
            <w:r w:rsidRPr="00F82603">
              <w:rPr>
                <w:sz w:val="18"/>
                <w:szCs w:val="18"/>
                <w:lang w:val="es-ES"/>
              </w:rPr>
              <w:t xml:space="preserve">De ellas: no hay </w:t>
            </w:r>
            <w:r w:rsidR="00EE19BB" w:rsidRPr="00F82603">
              <w:rPr>
                <w:sz w:val="18"/>
                <w:szCs w:val="18"/>
                <w:lang w:val="es-ES"/>
              </w:rPr>
              <w:t xml:space="preserve">infracción </w:t>
            </w:r>
            <w:r w:rsidRPr="00F82603">
              <w:rPr>
                <w:sz w:val="18"/>
                <w:szCs w:val="18"/>
                <w:lang w:val="es-ES"/>
              </w:rPr>
              <w:t>de código</w:t>
            </w:r>
          </w:p>
        </w:tc>
        <w:tc>
          <w:tcPr>
            <w:tcW w:w="905"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17</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10</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9</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28</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15</w:t>
            </w:r>
          </w:p>
        </w:tc>
      </w:tr>
      <w:tr w:rsidR="0023339D" w:rsidRPr="00F82603">
        <w:trPr>
          <w:trHeight w:val="240"/>
        </w:trPr>
        <w:tc>
          <w:tcPr>
            <w:tcW w:w="2842" w:type="dxa"/>
            <w:shd w:val="clear" w:color="auto" w:fill="auto"/>
            <w:vAlign w:val="bottom"/>
          </w:tcPr>
          <w:p w:rsidR="00535C09" w:rsidRPr="00F82603" w:rsidRDefault="0023339D" w:rsidP="00F82603">
            <w:pPr>
              <w:spacing w:before="40" w:after="40" w:line="220" w:lineRule="exact"/>
              <w:rPr>
                <w:rFonts w:ascii="Cambria Math" w:hAnsi="Cambria Math"/>
                <w:sz w:val="18"/>
                <w:szCs w:val="18"/>
              </w:rPr>
            </w:pPr>
            <w:r w:rsidRPr="00F82603">
              <w:rPr>
                <w:sz w:val="18"/>
                <w:szCs w:val="18"/>
                <w:lang w:val="es-ES"/>
              </w:rPr>
              <w:t>De ellas: condenatorias</w:t>
            </w:r>
          </w:p>
        </w:tc>
        <w:tc>
          <w:tcPr>
            <w:tcW w:w="905"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17</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21</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25</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33</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10</w:t>
            </w:r>
          </w:p>
        </w:tc>
      </w:tr>
      <w:tr w:rsidR="0023339D" w:rsidRPr="00F82603">
        <w:trPr>
          <w:trHeight w:val="240"/>
        </w:trPr>
        <w:tc>
          <w:tcPr>
            <w:tcW w:w="2842" w:type="dxa"/>
            <w:shd w:val="clear" w:color="auto" w:fill="auto"/>
            <w:vAlign w:val="bottom"/>
          </w:tcPr>
          <w:p w:rsidR="00535C09" w:rsidRPr="00F82603" w:rsidRDefault="0023339D" w:rsidP="00F82603">
            <w:pPr>
              <w:spacing w:before="40" w:after="40" w:line="220" w:lineRule="exact"/>
              <w:rPr>
                <w:rFonts w:ascii="Cambria Math" w:hAnsi="Cambria Math"/>
                <w:sz w:val="18"/>
                <w:szCs w:val="18"/>
              </w:rPr>
            </w:pPr>
            <w:r w:rsidRPr="00F82603">
              <w:rPr>
                <w:sz w:val="18"/>
                <w:szCs w:val="18"/>
                <w:lang w:val="es-ES"/>
              </w:rPr>
              <w:t>Resueltas</w:t>
            </w:r>
          </w:p>
        </w:tc>
        <w:tc>
          <w:tcPr>
            <w:tcW w:w="905"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0</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2</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w:t>
            </w:r>
          </w:p>
        </w:tc>
      </w:tr>
      <w:tr w:rsidR="0023339D" w:rsidRPr="00F82603">
        <w:trPr>
          <w:trHeight w:val="240"/>
        </w:trPr>
        <w:tc>
          <w:tcPr>
            <w:tcW w:w="2842" w:type="dxa"/>
            <w:shd w:val="clear" w:color="auto" w:fill="auto"/>
            <w:vAlign w:val="bottom"/>
          </w:tcPr>
          <w:p w:rsidR="00535C09" w:rsidRPr="00F82603" w:rsidRDefault="0023339D" w:rsidP="00F82603">
            <w:pPr>
              <w:spacing w:before="40" w:after="40" w:line="220" w:lineRule="exact"/>
              <w:rPr>
                <w:rFonts w:ascii="Cambria Math" w:hAnsi="Cambria Math"/>
                <w:sz w:val="18"/>
                <w:szCs w:val="18"/>
              </w:rPr>
            </w:pPr>
            <w:r w:rsidRPr="00F82603">
              <w:rPr>
                <w:sz w:val="18"/>
                <w:szCs w:val="18"/>
                <w:lang w:val="es-ES"/>
              </w:rPr>
              <w:t xml:space="preserve">Retiradas o </w:t>
            </w:r>
            <w:r w:rsidR="00EE19BB" w:rsidRPr="00F82603">
              <w:rPr>
                <w:sz w:val="18"/>
                <w:szCs w:val="18"/>
                <w:lang w:val="es-ES"/>
              </w:rPr>
              <w:t>d</w:t>
            </w:r>
            <w:r w:rsidRPr="00F82603">
              <w:rPr>
                <w:sz w:val="18"/>
                <w:szCs w:val="18"/>
                <w:lang w:val="es-ES"/>
              </w:rPr>
              <w:t>e</w:t>
            </w:r>
            <w:r w:rsidR="00EE19BB" w:rsidRPr="00F82603">
              <w:rPr>
                <w:sz w:val="18"/>
                <w:szCs w:val="18"/>
                <w:lang w:val="es-ES"/>
              </w:rPr>
              <w:t>sestimadas</w:t>
            </w:r>
          </w:p>
        </w:tc>
        <w:tc>
          <w:tcPr>
            <w:tcW w:w="905"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8</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14</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6</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w:t>
            </w:r>
          </w:p>
        </w:tc>
      </w:tr>
      <w:tr w:rsidR="0023339D" w:rsidRPr="00F82603">
        <w:trPr>
          <w:trHeight w:val="240"/>
        </w:trPr>
        <w:tc>
          <w:tcPr>
            <w:tcW w:w="2842" w:type="dxa"/>
            <w:shd w:val="clear" w:color="auto" w:fill="auto"/>
            <w:vAlign w:val="bottom"/>
          </w:tcPr>
          <w:p w:rsidR="00535C09" w:rsidRPr="00F82603" w:rsidRDefault="0023339D" w:rsidP="00F82603">
            <w:pPr>
              <w:spacing w:before="40" w:after="40" w:line="220" w:lineRule="exact"/>
              <w:rPr>
                <w:sz w:val="18"/>
                <w:szCs w:val="18"/>
              </w:rPr>
            </w:pPr>
            <w:r w:rsidRPr="00F82603">
              <w:rPr>
                <w:sz w:val="18"/>
                <w:szCs w:val="18"/>
                <w:lang w:val="es-ES"/>
              </w:rPr>
              <w:t>Sin decisión</w:t>
            </w:r>
          </w:p>
        </w:tc>
        <w:tc>
          <w:tcPr>
            <w:tcW w:w="905"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2</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w:t>
            </w:r>
          </w:p>
        </w:tc>
        <w:tc>
          <w:tcPr>
            <w:tcW w:w="906" w:type="dxa"/>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0</w:t>
            </w:r>
          </w:p>
        </w:tc>
      </w:tr>
      <w:tr w:rsidR="0023339D" w:rsidRPr="00F82603">
        <w:trPr>
          <w:trHeight w:val="240"/>
        </w:trPr>
        <w:tc>
          <w:tcPr>
            <w:tcW w:w="2842" w:type="dxa"/>
            <w:tcBorders>
              <w:bottom w:val="single" w:sz="12" w:space="0" w:color="auto"/>
            </w:tcBorders>
            <w:shd w:val="clear" w:color="auto" w:fill="auto"/>
            <w:vAlign w:val="bottom"/>
          </w:tcPr>
          <w:p w:rsidR="00535C09" w:rsidRPr="00F82603" w:rsidRDefault="0023339D" w:rsidP="00F82603">
            <w:pPr>
              <w:spacing w:before="40" w:after="40" w:line="220" w:lineRule="exact"/>
              <w:rPr>
                <w:rFonts w:ascii="Cambria Math" w:hAnsi="Cambria Math"/>
                <w:sz w:val="18"/>
                <w:szCs w:val="18"/>
                <w:lang w:val="es-ES"/>
              </w:rPr>
            </w:pPr>
            <w:r w:rsidRPr="00F82603">
              <w:rPr>
                <w:sz w:val="18"/>
                <w:szCs w:val="18"/>
                <w:lang w:val="es-ES"/>
              </w:rPr>
              <w:t>En trámite al final del período</w:t>
            </w:r>
          </w:p>
        </w:tc>
        <w:tc>
          <w:tcPr>
            <w:tcW w:w="905" w:type="dxa"/>
            <w:tcBorders>
              <w:bottom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3</w:t>
            </w:r>
          </w:p>
        </w:tc>
        <w:tc>
          <w:tcPr>
            <w:tcW w:w="906" w:type="dxa"/>
            <w:tcBorders>
              <w:bottom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6</w:t>
            </w:r>
          </w:p>
        </w:tc>
        <w:tc>
          <w:tcPr>
            <w:tcW w:w="906" w:type="dxa"/>
            <w:tcBorders>
              <w:bottom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6</w:t>
            </w:r>
          </w:p>
        </w:tc>
        <w:tc>
          <w:tcPr>
            <w:tcW w:w="906" w:type="dxa"/>
            <w:tcBorders>
              <w:bottom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1</w:t>
            </w:r>
          </w:p>
        </w:tc>
        <w:tc>
          <w:tcPr>
            <w:tcW w:w="906" w:type="dxa"/>
            <w:tcBorders>
              <w:bottom w:val="single" w:sz="12" w:space="0" w:color="auto"/>
            </w:tcBorders>
            <w:shd w:val="clear" w:color="auto" w:fill="auto"/>
            <w:vAlign w:val="bottom"/>
          </w:tcPr>
          <w:p w:rsidR="00535C09" w:rsidRPr="00F82603" w:rsidRDefault="00535C09" w:rsidP="00F82603">
            <w:pPr>
              <w:spacing w:before="40" w:after="40" w:line="220" w:lineRule="exact"/>
              <w:jc w:val="right"/>
              <w:rPr>
                <w:rFonts w:eastAsia="Cambria Math"/>
                <w:snapToGrid w:val="0"/>
                <w:sz w:val="18"/>
                <w:szCs w:val="18"/>
                <w:lang w:eastAsia="et-EE"/>
              </w:rPr>
            </w:pPr>
            <w:r w:rsidRPr="00F82603">
              <w:rPr>
                <w:rFonts w:eastAsia="Cambria Math"/>
                <w:snapToGrid w:val="0"/>
                <w:sz w:val="18"/>
                <w:szCs w:val="18"/>
                <w:lang w:eastAsia="et-EE"/>
              </w:rPr>
              <w:t>4</w:t>
            </w:r>
          </w:p>
        </w:tc>
      </w:tr>
    </w:tbl>
    <w:p w:rsidR="0023339D" w:rsidRPr="004453FA" w:rsidRDefault="0023339D" w:rsidP="00637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left="1134" w:right="1134" w:firstLine="170"/>
        <w:rPr>
          <w:szCs w:val="24"/>
          <w:lang w:val="es-ES"/>
        </w:rPr>
      </w:pPr>
      <w:r>
        <w:rPr>
          <w:i/>
          <w:sz w:val="18"/>
          <w:szCs w:val="24"/>
          <w:lang w:val="es-ES"/>
        </w:rPr>
        <w:t>Fuente</w:t>
      </w:r>
      <w:r w:rsidRPr="00452F8A">
        <w:rPr>
          <w:i/>
          <w:sz w:val="18"/>
          <w:szCs w:val="24"/>
          <w:lang w:val="es-ES"/>
        </w:rPr>
        <w:t>:</w:t>
      </w:r>
      <w:r w:rsidRPr="004453FA">
        <w:rPr>
          <w:sz w:val="18"/>
          <w:szCs w:val="24"/>
          <w:lang w:val="es-ES"/>
        </w:rPr>
        <w:t xml:space="preserve"> </w:t>
      </w:r>
      <w:r>
        <w:rPr>
          <w:sz w:val="18"/>
          <w:szCs w:val="24"/>
          <w:lang w:val="es-ES"/>
        </w:rPr>
        <w:t xml:space="preserve">Consejo de </w:t>
      </w:r>
      <w:smartTag w:uri="urn:schemas-microsoft-com:office:smarttags" w:element="PersonName">
        <w:smartTagPr>
          <w:attr w:name="ProductID" w:val="la Prensa."/>
        </w:smartTagPr>
        <w:r>
          <w:rPr>
            <w:sz w:val="18"/>
            <w:szCs w:val="24"/>
            <w:lang w:val="es-ES"/>
          </w:rPr>
          <w:t>la Prensa</w:t>
        </w:r>
        <w:r w:rsidR="00452F8A">
          <w:rPr>
            <w:sz w:val="18"/>
            <w:szCs w:val="24"/>
            <w:lang w:val="es-ES"/>
          </w:rPr>
          <w:t>.</w:t>
        </w:r>
      </w:smartTag>
    </w:p>
    <w:p w:rsidR="0023339D" w:rsidRPr="004453FA" w:rsidRDefault="0023339D" w:rsidP="00637350">
      <w:pPr>
        <w:pStyle w:val="H4G"/>
        <w:rPr>
          <w:lang w:val="es-ES"/>
        </w:rPr>
      </w:pPr>
      <w:r w:rsidRPr="004453FA">
        <w:rPr>
          <w:lang w:val="es-ES"/>
        </w:rPr>
        <w:tab/>
        <w:t>ix)</w:t>
      </w:r>
      <w:r w:rsidRPr="004453FA">
        <w:rPr>
          <w:lang w:val="es-ES"/>
        </w:rPr>
        <w:tab/>
      </w:r>
      <w:r>
        <w:rPr>
          <w:lang w:val="es-ES"/>
        </w:rPr>
        <w:t>El derecho a la libertad de reunión y de asociación pacíficas</w:t>
      </w:r>
    </w:p>
    <w:p w:rsidR="00F23073" w:rsidRPr="00655108" w:rsidRDefault="00F23073" w:rsidP="00637350">
      <w:pPr>
        <w:pStyle w:val="SingleTxtG"/>
        <w:rPr>
          <w:szCs w:val="24"/>
          <w:lang w:val="es-ES"/>
        </w:rPr>
      </w:pPr>
      <w:r w:rsidRPr="004453FA">
        <w:rPr>
          <w:szCs w:val="24"/>
          <w:lang w:val="es-ES"/>
        </w:rPr>
        <w:t>149.</w:t>
      </w:r>
      <w:r w:rsidRPr="004453FA">
        <w:rPr>
          <w:szCs w:val="24"/>
          <w:lang w:val="es-ES"/>
        </w:rPr>
        <w:tab/>
      </w:r>
      <w:r w:rsidR="000D24C3">
        <w:rPr>
          <w:szCs w:val="24"/>
          <w:lang w:val="es-ES"/>
        </w:rPr>
        <w:t xml:space="preserve">En Estonia, las reuniones públicas están reglamentadas en el marco de </w:t>
      </w:r>
      <w:smartTag w:uri="urn:schemas-microsoft-com:office:smarttags" w:element="PersonName">
        <w:smartTagPr>
          <w:attr w:name="ProductID" w:val="La Ley"/>
        </w:smartTagPr>
        <w:r w:rsidR="000D24C3">
          <w:rPr>
            <w:szCs w:val="24"/>
            <w:lang w:val="es-ES"/>
          </w:rPr>
          <w:t>l</w:t>
        </w:r>
        <w:r>
          <w:rPr>
            <w:szCs w:val="24"/>
            <w:lang w:val="es-ES"/>
          </w:rPr>
          <w:t>a Ley</w:t>
        </w:r>
      </w:smartTag>
      <w:r>
        <w:rPr>
          <w:szCs w:val="24"/>
          <w:lang w:val="es-ES"/>
        </w:rPr>
        <w:t xml:space="preserve"> de reuniones públicas,</w:t>
      </w:r>
      <w:r w:rsidRPr="004453FA">
        <w:rPr>
          <w:szCs w:val="24"/>
          <w:lang w:val="es-ES"/>
        </w:rPr>
        <w:t xml:space="preserve"> </w:t>
      </w:r>
      <w:r>
        <w:rPr>
          <w:szCs w:val="24"/>
          <w:lang w:val="es-ES"/>
        </w:rPr>
        <w:t>cuy</w:t>
      </w:r>
      <w:r w:rsidR="000D24C3">
        <w:rPr>
          <w:szCs w:val="24"/>
          <w:lang w:val="es-ES"/>
        </w:rPr>
        <w:t>a</w:t>
      </w:r>
      <w:r>
        <w:rPr>
          <w:szCs w:val="24"/>
          <w:lang w:val="es-ES"/>
        </w:rPr>
        <w:t xml:space="preserve"> </w:t>
      </w:r>
      <w:r w:rsidR="000D24C3">
        <w:rPr>
          <w:szCs w:val="24"/>
          <w:lang w:val="es-ES"/>
        </w:rPr>
        <w:t xml:space="preserve">finalidad </w:t>
      </w:r>
      <w:r w:rsidR="00B758F7">
        <w:rPr>
          <w:szCs w:val="24"/>
          <w:lang w:val="es-ES"/>
        </w:rPr>
        <w:t>es asegur</w:t>
      </w:r>
      <w:r>
        <w:rPr>
          <w:szCs w:val="24"/>
          <w:lang w:val="es-ES"/>
        </w:rPr>
        <w:t>ar el derecho de reunión pacífica de acuerdo con los derechos, libertades y deberes fundamentales y los principios de un Estado democrático de derecho.</w:t>
      </w:r>
      <w:r w:rsidRPr="004453FA">
        <w:rPr>
          <w:szCs w:val="24"/>
          <w:lang w:val="es-ES"/>
        </w:rPr>
        <w:t xml:space="preserve"> </w:t>
      </w:r>
      <w:r>
        <w:rPr>
          <w:szCs w:val="24"/>
          <w:lang w:val="es-ES"/>
        </w:rPr>
        <w:t xml:space="preserve">La </w:t>
      </w:r>
      <w:r w:rsidR="005554AF">
        <w:rPr>
          <w:szCs w:val="24"/>
          <w:lang w:val="es-ES"/>
        </w:rPr>
        <w:t>ley</w:t>
      </w:r>
      <w:r>
        <w:rPr>
          <w:szCs w:val="24"/>
          <w:lang w:val="es-ES"/>
        </w:rPr>
        <w:t xml:space="preserve"> establece también las restricciones a la organización y celebración de reuniones públicas que sean necesarias </w:t>
      </w:r>
      <w:r w:rsidR="000D24C3">
        <w:rPr>
          <w:szCs w:val="24"/>
          <w:lang w:val="es-ES"/>
        </w:rPr>
        <w:t xml:space="preserve">a efectos de </w:t>
      </w:r>
      <w:r>
        <w:rPr>
          <w:szCs w:val="24"/>
          <w:lang w:val="es-ES"/>
        </w:rPr>
        <w:t xml:space="preserve">garantizar la seguridad nacional, el orden público, </w:t>
      </w:r>
      <w:r w:rsidR="00F1730F">
        <w:rPr>
          <w:szCs w:val="24"/>
          <w:lang w:val="es-ES"/>
        </w:rPr>
        <w:t xml:space="preserve">la moralidad, </w:t>
      </w:r>
      <w:r>
        <w:rPr>
          <w:szCs w:val="24"/>
          <w:lang w:val="es-ES"/>
        </w:rPr>
        <w:t>la seguridad del tránsito y la seguridad de los participantes en reuniones</w:t>
      </w:r>
      <w:r w:rsidR="00C26F20">
        <w:rPr>
          <w:szCs w:val="24"/>
          <w:lang w:val="es-ES"/>
        </w:rPr>
        <w:t>, así como</w:t>
      </w:r>
      <w:r>
        <w:rPr>
          <w:szCs w:val="24"/>
          <w:lang w:val="es-ES"/>
        </w:rPr>
        <w:t xml:space="preserve"> </w:t>
      </w:r>
      <w:r w:rsidR="00C26F20">
        <w:rPr>
          <w:szCs w:val="24"/>
          <w:lang w:val="es-ES"/>
        </w:rPr>
        <w:t xml:space="preserve">de </w:t>
      </w:r>
      <w:r>
        <w:rPr>
          <w:szCs w:val="24"/>
          <w:lang w:val="es-ES"/>
        </w:rPr>
        <w:t>prevenir la propag</w:t>
      </w:r>
      <w:r w:rsidR="005C46FB">
        <w:rPr>
          <w:szCs w:val="24"/>
          <w:lang w:val="es-ES"/>
        </w:rPr>
        <w:t>ación de enfermedades infecciosa</w:t>
      </w:r>
      <w:r>
        <w:rPr>
          <w:szCs w:val="24"/>
          <w:lang w:val="es-ES"/>
        </w:rPr>
        <w:t>s.</w:t>
      </w:r>
    </w:p>
    <w:p w:rsidR="00F23073" w:rsidRPr="004453FA" w:rsidRDefault="00F23073" w:rsidP="00637350">
      <w:pPr>
        <w:pStyle w:val="SingleTxtG"/>
        <w:rPr>
          <w:szCs w:val="24"/>
          <w:lang w:val="es-ES"/>
        </w:rPr>
      </w:pPr>
      <w:r w:rsidRPr="004453FA">
        <w:rPr>
          <w:szCs w:val="24"/>
          <w:lang w:val="es-ES"/>
        </w:rPr>
        <w:t>150.</w:t>
      </w:r>
      <w:r w:rsidRPr="004453FA">
        <w:rPr>
          <w:szCs w:val="24"/>
          <w:lang w:val="es-ES"/>
        </w:rPr>
        <w:tab/>
      </w:r>
      <w:r>
        <w:rPr>
          <w:szCs w:val="24"/>
          <w:lang w:val="es-ES"/>
        </w:rPr>
        <w:t xml:space="preserve">En comparación con el informe anterior, el artículo 3 de la </w:t>
      </w:r>
      <w:r w:rsidR="005554AF">
        <w:rPr>
          <w:szCs w:val="24"/>
          <w:lang w:val="es-ES"/>
        </w:rPr>
        <w:t>ley</w:t>
      </w:r>
      <w:r>
        <w:rPr>
          <w:szCs w:val="24"/>
          <w:lang w:val="es-ES"/>
        </w:rPr>
        <w:t xml:space="preserve"> se ha modificado </w:t>
      </w:r>
      <w:r w:rsidR="009E15E5">
        <w:rPr>
          <w:szCs w:val="24"/>
          <w:lang w:val="es-ES"/>
        </w:rPr>
        <w:t xml:space="preserve">a fin de </w:t>
      </w:r>
      <w:r>
        <w:rPr>
          <w:szCs w:val="24"/>
          <w:lang w:val="es-ES"/>
        </w:rPr>
        <w:t>a</w:t>
      </w:r>
      <w:r w:rsidR="009E15E5">
        <w:rPr>
          <w:szCs w:val="24"/>
          <w:lang w:val="es-ES"/>
        </w:rPr>
        <w:t>ñadir</w:t>
      </w:r>
      <w:r>
        <w:rPr>
          <w:szCs w:val="24"/>
          <w:lang w:val="es-ES"/>
        </w:rPr>
        <w:t xml:space="preserve"> una disposición </w:t>
      </w:r>
      <w:r w:rsidR="009E15E5">
        <w:rPr>
          <w:szCs w:val="24"/>
          <w:lang w:val="es-ES"/>
        </w:rPr>
        <w:t xml:space="preserve">que </w:t>
      </w:r>
      <w:r>
        <w:rPr>
          <w:szCs w:val="24"/>
          <w:lang w:val="es-ES"/>
        </w:rPr>
        <w:t xml:space="preserve">prohíbe la organización de reuniones públicas en las que se incite a la alteración de la moralidad </w:t>
      </w:r>
      <w:r w:rsidR="00522E3A">
        <w:rPr>
          <w:szCs w:val="24"/>
          <w:lang w:val="es-ES"/>
        </w:rPr>
        <w:t xml:space="preserve">o el orden </w:t>
      </w:r>
      <w:r>
        <w:rPr>
          <w:szCs w:val="24"/>
          <w:lang w:val="es-ES"/>
        </w:rPr>
        <w:t>públic</w:t>
      </w:r>
      <w:r w:rsidR="009E15E5">
        <w:rPr>
          <w:szCs w:val="24"/>
          <w:lang w:val="es-ES"/>
        </w:rPr>
        <w:t>os</w:t>
      </w:r>
      <w:r>
        <w:rPr>
          <w:szCs w:val="24"/>
          <w:lang w:val="es-ES"/>
        </w:rPr>
        <w:t>.</w:t>
      </w:r>
      <w:r w:rsidRPr="004453FA">
        <w:rPr>
          <w:szCs w:val="24"/>
          <w:lang w:val="es-ES"/>
        </w:rPr>
        <w:t xml:space="preserve"> </w:t>
      </w:r>
      <w:r w:rsidR="009E15E5">
        <w:rPr>
          <w:szCs w:val="24"/>
          <w:lang w:val="es-ES"/>
        </w:rPr>
        <w:t xml:space="preserve">Teniendo en cuenta </w:t>
      </w:r>
      <w:r>
        <w:rPr>
          <w:szCs w:val="24"/>
          <w:lang w:val="es-ES"/>
        </w:rPr>
        <w:t xml:space="preserve">que no se han </w:t>
      </w:r>
      <w:r w:rsidR="00522E3A">
        <w:rPr>
          <w:szCs w:val="24"/>
          <w:lang w:val="es-ES"/>
        </w:rPr>
        <w:t>int</w:t>
      </w:r>
      <w:r>
        <w:rPr>
          <w:szCs w:val="24"/>
          <w:lang w:val="es-ES"/>
        </w:rPr>
        <w:t xml:space="preserve">roducido más cambios, </w:t>
      </w:r>
      <w:r w:rsidR="009E15E5">
        <w:rPr>
          <w:szCs w:val="24"/>
          <w:lang w:val="es-ES"/>
        </w:rPr>
        <w:t xml:space="preserve">sírvanse consultar </w:t>
      </w:r>
      <w:r>
        <w:rPr>
          <w:szCs w:val="24"/>
          <w:lang w:val="es-ES"/>
        </w:rPr>
        <w:t xml:space="preserve">los párrafos </w:t>
      </w:r>
      <w:smartTag w:uri="urn:schemas-microsoft-com:office:smarttags" w:element="metricconverter">
        <w:smartTagPr>
          <w:attr w:name="ProductID" w:val="148 a"/>
        </w:smartTagPr>
        <w:r>
          <w:rPr>
            <w:szCs w:val="24"/>
            <w:lang w:val="es-ES"/>
          </w:rPr>
          <w:t>148 a</w:t>
        </w:r>
      </w:smartTag>
      <w:r>
        <w:rPr>
          <w:szCs w:val="24"/>
          <w:lang w:val="es-ES"/>
        </w:rPr>
        <w:t xml:space="preserve"> 151 del informe anterior.</w:t>
      </w:r>
    </w:p>
    <w:p w:rsidR="0098427E" w:rsidRPr="00321D44" w:rsidRDefault="0098427E" w:rsidP="00637350">
      <w:pPr>
        <w:pStyle w:val="H23G"/>
        <w:rPr>
          <w:lang w:val="es-ES"/>
        </w:rPr>
      </w:pPr>
      <w:r>
        <w:rPr>
          <w:lang w:val="es-ES"/>
        </w:rPr>
        <w:tab/>
        <w:t>e)</w:t>
      </w:r>
      <w:r w:rsidRPr="00321D44">
        <w:rPr>
          <w:lang w:val="es-ES"/>
        </w:rPr>
        <w:tab/>
      </w:r>
      <w:r>
        <w:rPr>
          <w:lang w:val="es-ES"/>
        </w:rPr>
        <w:t xml:space="preserve">Los derechos económicos, sociales y culturales, en </w:t>
      </w:r>
      <w:r w:rsidR="006006DA">
        <w:rPr>
          <w:lang w:val="es-ES"/>
        </w:rPr>
        <w:t>particular</w:t>
      </w:r>
    </w:p>
    <w:p w:rsidR="0098427E" w:rsidRPr="00321D44" w:rsidRDefault="0098427E" w:rsidP="00637350">
      <w:pPr>
        <w:pStyle w:val="H4G"/>
        <w:rPr>
          <w:lang w:val="es-ES"/>
        </w:rPr>
      </w:pPr>
      <w:r w:rsidRPr="00321D44">
        <w:rPr>
          <w:lang w:val="es-ES"/>
        </w:rPr>
        <w:tab/>
      </w:r>
      <w:r>
        <w:rPr>
          <w:lang w:val="es-ES"/>
        </w:rPr>
        <w:t>i)</w:t>
      </w:r>
      <w:r w:rsidRPr="00321D44">
        <w:rPr>
          <w:lang w:val="es-ES"/>
        </w:rPr>
        <w:tab/>
      </w:r>
      <w:r>
        <w:rPr>
          <w:lang w:val="es-ES"/>
        </w:rPr>
        <w:t>El derecho al trabajo, a la libre elección de trabajo, a condiciones equitativas y satisfactorias</w:t>
      </w:r>
      <w:r w:rsidR="00321D44">
        <w:rPr>
          <w:lang w:val="es-ES"/>
        </w:rPr>
        <w:t xml:space="preserve"> de trabajo</w:t>
      </w:r>
      <w:r>
        <w:rPr>
          <w:lang w:val="es-ES"/>
        </w:rPr>
        <w:t>, etc.</w:t>
      </w:r>
    </w:p>
    <w:p w:rsidR="00DE50A4" w:rsidRPr="00321D44" w:rsidRDefault="00DE50A4" w:rsidP="00637350">
      <w:pPr>
        <w:pStyle w:val="SingleTxtG"/>
        <w:rPr>
          <w:szCs w:val="24"/>
          <w:lang w:val="es-ES"/>
        </w:rPr>
      </w:pPr>
      <w:r w:rsidRPr="00321D44">
        <w:rPr>
          <w:szCs w:val="24"/>
          <w:lang w:val="es-ES"/>
        </w:rPr>
        <w:t>151.</w:t>
      </w:r>
      <w:r w:rsidRPr="00321D44">
        <w:rPr>
          <w:szCs w:val="24"/>
          <w:lang w:val="es-ES"/>
        </w:rPr>
        <w:tab/>
      </w:r>
      <w:r>
        <w:rPr>
          <w:szCs w:val="24"/>
          <w:lang w:val="es-ES"/>
        </w:rPr>
        <w:t xml:space="preserve">El derecho al trabajo está </w:t>
      </w:r>
      <w:r w:rsidR="00C05D02">
        <w:rPr>
          <w:szCs w:val="24"/>
          <w:lang w:val="es-ES"/>
        </w:rPr>
        <w:t xml:space="preserve">garantizado en </w:t>
      </w:r>
      <w:smartTag w:uri="urn:schemas-microsoft-com:office:smarttags" w:element="PersonName">
        <w:smartTagPr>
          <w:attr w:name="ProductID" w:val="la Constituci￳n"/>
        </w:smartTagPr>
        <w:r w:rsidR="00C05D02">
          <w:rPr>
            <w:szCs w:val="24"/>
            <w:lang w:val="es-ES"/>
          </w:rPr>
          <w:t>la Constitución</w:t>
        </w:r>
      </w:smartTag>
      <w:r>
        <w:rPr>
          <w:szCs w:val="24"/>
          <w:lang w:val="es-ES"/>
        </w:rPr>
        <w:t xml:space="preserve">, </w:t>
      </w:r>
      <w:r w:rsidR="00C05D02">
        <w:rPr>
          <w:szCs w:val="24"/>
          <w:lang w:val="es-ES"/>
        </w:rPr>
        <w:t>donde se</w:t>
      </w:r>
      <w:r>
        <w:rPr>
          <w:szCs w:val="24"/>
          <w:lang w:val="es-ES"/>
        </w:rPr>
        <w:t xml:space="preserve"> estipula que </w:t>
      </w:r>
      <w:r w:rsidR="00C05D02">
        <w:rPr>
          <w:szCs w:val="24"/>
          <w:lang w:val="es-ES"/>
        </w:rPr>
        <w:t>los</w:t>
      </w:r>
      <w:r>
        <w:rPr>
          <w:szCs w:val="24"/>
          <w:lang w:val="es-ES"/>
        </w:rPr>
        <w:t xml:space="preserve"> ciudadano</w:t>
      </w:r>
      <w:r w:rsidR="00C05D02">
        <w:rPr>
          <w:szCs w:val="24"/>
          <w:lang w:val="es-ES"/>
        </w:rPr>
        <w:t>s</w:t>
      </w:r>
      <w:r>
        <w:rPr>
          <w:szCs w:val="24"/>
          <w:lang w:val="es-ES"/>
        </w:rPr>
        <w:t xml:space="preserve"> estonio</w:t>
      </w:r>
      <w:r w:rsidR="00C05D02">
        <w:rPr>
          <w:szCs w:val="24"/>
          <w:lang w:val="es-ES"/>
        </w:rPr>
        <w:t>s</w:t>
      </w:r>
      <w:r>
        <w:rPr>
          <w:szCs w:val="24"/>
          <w:lang w:val="es-ES"/>
        </w:rPr>
        <w:t xml:space="preserve"> tiene</w:t>
      </w:r>
      <w:r w:rsidR="00C05D02">
        <w:rPr>
          <w:szCs w:val="24"/>
          <w:lang w:val="es-ES"/>
        </w:rPr>
        <w:t>n</w:t>
      </w:r>
      <w:r>
        <w:rPr>
          <w:szCs w:val="24"/>
          <w:lang w:val="es-ES"/>
        </w:rPr>
        <w:t xml:space="preserve"> derecho a </w:t>
      </w:r>
      <w:r w:rsidR="00C05D02">
        <w:rPr>
          <w:szCs w:val="24"/>
          <w:lang w:val="es-ES"/>
        </w:rPr>
        <w:t>la libre elección de su esfera de</w:t>
      </w:r>
      <w:r>
        <w:rPr>
          <w:szCs w:val="24"/>
          <w:lang w:val="es-ES"/>
        </w:rPr>
        <w:t xml:space="preserve"> actividad, </w:t>
      </w:r>
      <w:r w:rsidR="00C05D02">
        <w:rPr>
          <w:szCs w:val="24"/>
          <w:lang w:val="es-ES"/>
        </w:rPr>
        <w:t xml:space="preserve">su </w:t>
      </w:r>
      <w:r>
        <w:rPr>
          <w:szCs w:val="24"/>
          <w:lang w:val="es-ES"/>
        </w:rPr>
        <w:t>profesión y</w:t>
      </w:r>
      <w:r w:rsidR="00C05D02">
        <w:rPr>
          <w:szCs w:val="24"/>
          <w:lang w:val="es-ES"/>
        </w:rPr>
        <w:t xml:space="preserve"> su</w:t>
      </w:r>
      <w:r>
        <w:rPr>
          <w:szCs w:val="24"/>
          <w:lang w:val="es-ES"/>
        </w:rPr>
        <w:t xml:space="preserve"> lugar de trabajo.</w:t>
      </w:r>
      <w:r w:rsidRPr="00321D44">
        <w:rPr>
          <w:szCs w:val="24"/>
          <w:lang w:val="es-ES"/>
        </w:rPr>
        <w:t xml:space="preserve"> </w:t>
      </w:r>
      <w:r>
        <w:rPr>
          <w:szCs w:val="24"/>
          <w:lang w:val="es-ES"/>
        </w:rPr>
        <w:t xml:space="preserve">Los </w:t>
      </w:r>
      <w:r w:rsidR="00C05D02">
        <w:rPr>
          <w:szCs w:val="24"/>
          <w:lang w:val="es-ES"/>
        </w:rPr>
        <w:t>ciudadanos de otros Estados</w:t>
      </w:r>
      <w:r>
        <w:rPr>
          <w:szCs w:val="24"/>
          <w:lang w:val="es-ES"/>
        </w:rPr>
        <w:t xml:space="preserve"> y las personas con ciudadanía indeterminada que </w:t>
      </w:r>
      <w:r w:rsidR="00C05D02">
        <w:rPr>
          <w:szCs w:val="24"/>
          <w:lang w:val="es-ES"/>
        </w:rPr>
        <w:t>se encuentran</w:t>
      </w:r>
      <w:r>
        <w:rPr>
          <w:szCs w:val="24"/>
          <w:lang w:val="es-ES"/>
        </w:rPr>
        <w:t xml:space="preserve"> en Estonia </w:t>
      </w:r>
      <w:r w:rsidR="00B758F7">
        <w:rPr>
          <w:szCs w:val="24"/>
          <w:lang w:val="es-ES"/>
        </w:rPr>
        <w:t>gozan de ese</w:t>
      </w:r>
      <w:r>
        <w:rPr>
          <w:szCs w:val="24"/>
          <w:lang w:val="es-ES"/>
        </w:rPr>
        <w:t xml:space="preserve"> derecho </w:t>
      </w:r>
      <w:r w:rsidR="00B758F7">
        <w:rPr>
          <w:szCs w:val="24"/>
          <w:lang w:val="es-ES"/>
        </w:rPr>
        <w:t>en igualdad de condiciones</w:t>
      </w:r>
      <w:r>
        <w:rPr>
          <w:szCs w:val="24"/>
          <w:lang w:val="es-ES"/>
        </w:rPr>
        <w:t xml:space="preserve">, </w:t>
      </w:r>
      <w:r w:rsidR="00C05D02">
        <w:rPr>
          <w:szCs w:val="24"/>
          <w:lang w:val="es-ES"/>
        </w:rPr>
        <w:t>a menos que</w:t>
      </w:r>
      <w:r w:rsidR="00B758F7">
        <w:rPr>
          <w:szCs w:val="24"/>
          <w:lang w:val="es-ES"/>
        </w:rPr>
        <w:t xml:space="preserve"> la ley disponga lo contrario</w:t>
      </w:r>
      <w:r>
        <w:rPr>
          <w:szCs w:val="24"/>
          <w:lang w:val="es-ES"/>
        </w:rPr>
        <w:t>.</w:t>
      </w:r>
      <w:r w:rsidRPr="00321D44">
        <w:rPr>
          <w:szCs w:val="24"/>
          <w:lang w:val="es-ES"/>
        </w:rPr>
        <w:t xml:space="preserve"> </w:t>
      </w:r>
      <w:r>
        <w:rPr>
          <w:szCs w:val="24"/>
          <w:lang w:val="es-ES"/>
        </w:rPr>
        <w:t xml:space="preserve">La prohibición de la discriminación en </w:t>
      </w:r>
      <w:r w:rsidR="00C05D02">
        <w:rPr>
          <w:szCs w:val="24"/>
          <w:lang w:val="es-ES"/>
        </w:rPr>
        <w:t>esferas relacionadas con e</w:t>
      </w:r>
      <w:r>
        <w:rPr>
          <w:szCs w:val="24"/>
          <w:lang w:val="es-ES"/>
        </w:rPr>
        <w:t xml:space="preserve">l empleo </w:t>
      </w:r>
      <w:r w:rsidR="00C05D02">
        <w:rPr>
          <w:szCs w:val="24"/>
          <w:lang w:val="es-ES"/>
        </w:rPr>
        <w:t xml:space="preserve">se reglamenta </w:t>
      </w:r>
      <w:r w:rsidR="00321D44">
        <w:rPr>
          <w:szCs w:val="24"/>
          <w:lang w:val="es-ES"/>
        </w:rPr>
        <w:t xml:space="preserve">de forma </w:t>
      </w:r>
      <w:r w:rsidR="00C05D02">
        <w:rPr>
          <w:szCs w:val="24"/>
          <w:lang w:val="es-ES"/>
        </w:rPr>
        <w:t xml:space="preserve">más detallada </w:t>
      </w:r>
      <w:r>
        <w:rPr>
          <w:szCs w:val="24"/>
          <w:lang w:val="es-ES"/>
        </w:rPr>
        <w:t xml:space="preserve">en </w:t>
      </w:r>
      <w:smartTag w:uri="urn:schemas-microsoft-com:office:smarttags" w:element="PersonName">
        <w:smartTagPr>
          <w:attr w:name="ProductID" w:val="La Ley"/>
        </w:smartTagPr>
        <w:r>
          <w:rPr>
            <w:szCs w:val="24"/>
            <w:lang w:val="es-ES"/>
          </w:rPr>
          <w:t>la Ley</w:t>
        </w:r>
      </w:smartTag>
      <w:r>
        <w:rPr>
          <w:szCs w:val="24"/>
          <w:lang w:val="es-ES"/>
        </w:rPr>
        <w:t xml:space="preserve"> de contratos de trabajo, </w:t>
      </w:r>
      <w:smartTag w:uri="urn:schemas-microsoft-com:office:smarttags" w:element="PersonName">
        <w:smartTagPr>
          <w:attr w:name="ProductID" w:val="La Ley"/>
        </w:smartTagPr>
        <w:r>
          <w:rPr>
            <w:szCs w:val="24"/>
            <w:lang w:val="es-ES"/>
          </w:rPr>
          <w:t>la Ley</w:t>
        </w:r>
      </w:smartTag>
      <w:r>
        <w:rPr>
          <w:szCs w:val="24"/>
          <w:lang w:val="es-ES"/>
        </w:rPr>
        <w:t xml:space="preserve"> d</w:t>
      </w:r>
      <w:r w:rsidR="00C05D02">
        <w:rPr>
          <w:szCs w:val="24"/>
          <w:lang w:val="es-ES"/>
        </w:rPr>
        <w:t>e servicios y prestaciones del mercado</w:t>
      </w:r>
      <w:r>
        <w:rPr>
          <w:szCs w:val="24"/>
          <w:lang w:val="es-ES"/>
        </w:rPr>
        <w:t xml:space="preserve"> </w:t>
      </w:r>
      <w:r w:rsidR="00C05D02">
        <w:rPr>
          <w:szCs w:val="24"/>
          <w:lang w:val="es-ES"/>
        </w:rPr>
        <w:t>laboral</w:t>
      </w:r>
      <w:r>
        <w:rPr>
          <w:rStyle w:val="FootnoteReference"/>
          <w:szCs w:val="24"/>
          <w:lang w:val="es-ES"/>
        </w:rPr>
        <w:footnoteReference w:id="39"/>
      </w:r>
      <w:r>
        <w:rPr>
          <w:szCs w:val="24"/>
          <w:lang w:val="es-ES"/>
        </w:rPr>
        <w:t xml:space="preserve"> y otras leyes.</w:t>
      </w:r>
      <w:r w:rsidRPr="00321D44">
        <w:rPr>
          <w:szCs w:val="24"/>
          <w:lang w:val="es-ES"/>
        </w:rPr>
        <w:t xml:space="preserve"> </w:t>
      </w:r>
      <w:r w:rsidR="00F64971">
        <w:rPr>
          <w:szCs w:val="24"/>
          <w:lang w:val="es-ES"/>
        </w:rPr>
        <w:t>Teniendo en cuenta</w:t>
      </w:r>
      <w:r>
        <w:rPr>
          <w:szCs w:val="24"/>
          <w:lang w:val="es-ES"/>
        </w:rPr>
        <w:t xml:space="preserve"> que</w:t>
      </w:r>
      <w:r w:rsidR="00B758F7">
        <w:rPr>
          <w:szCs w:val="24"/>
          <w:lang w:val="es-ES"/>
        </w:rPr>
        <w:t xml:space="preserve"> el fundamento jurídico del derecho al trabajo </w:t>
      </w:r>
      <w:r>
        <w:rPr>
          <w:szCs w:val="24"/>
          <w:lang w:val="es-ES"/>
        </w:rPr>
        <w:t xml:space="preserve">no ha cambiado </w:t>
      </w:r>
      <w:r w:rsidR="00F64971">
        <w:rPr>
          <w:szCs w:val="24"/>
          <w:lang w:val="es-ES"/>
        </w:rPr>
        <w:t xml:space="preserve">en relación con </w:t>
      </w:r>
      <w:r>
        <w:rPr>
          <w:szCs w:val="24"/>
          <w:lang w:val="es-ES"/>
        </w:rPr>
        <w:t xml:space="preserve">el quinto informe periódico, sírvanse consultar </w:t>
      </w:r>
      <w:r w:rsidR="00C05D02">
        <w:rPr>
          <w:szCs w:val="24"/>
          <w:lang w:val="es-ES"/>
        </w:rPr>
        <w:t>el panorama</w:t>
      </w:r>
      <w:r>
        <w:rPr>
          <w:szCs w:val="24"/>
          <w:lang w:val="es-ES"/>
        </w:rPr>
        <w:t xml:space="preserve"> general que </w:t>
      </w:r>
      <w:r w:rsidR="00F64971">
        <w:rPr>
          <w:szCs w:val="24"/>
          <w:lang w:val="es-ES"/>
        </w:rPr>
        <w:t xml:space="preserve">se facilita </w:t>
      </w:r>
      <w:r w:rsidR="00B758F7">
        <w:rPr>
          <w:szCs w:val="24"/>
          <w:lang w:val="es-ES"/>
        </w:rPr>
        <w:t>en el mismo con respecto a las leyes mencionadas</w:t>
      </w:r>
      <w:r>
        <w:rPr>
          <w:szCs w:val="24"/>
          <w:lang w:val="es-ES"/>
        </w:rPr>
        <w:t xml:space="preserve">. </w:t>
      </w:r>
      <w:smartTag w:uri="urn:schemas-microsoft-com:office:smarttags" w:element="PersonName">
        <w:smartTagPr>
          <w:attr w:name="ProductID" w:val="La Ley"/>
        </w:smartTagPr>
        <w:r w:rsidR="00F64971">
          <w:rPr>
            <w:szCs w:val="24"/>
            <w:lang w:val="es-ES"/>
          </w:rPr>
          <w:t>La</w:t>
        </w:r>
        <w:r>
          <w:rPr>
            <w:szCs w:val="24"/>
            <w:lang w:val="es-ES"/>
          </w:rPr>
          <w:t xml:space="preserve"> Ley</w:t>
        </w:r>
      </w:smartTag>
      <w:r>
        <w:rPr>
          <w:szCs w:val="24"/>
          <w:lang w:val="es-ES"/>
        </w:rPr>
        <w:t xml:space="preserve"> de igualdad de trato también </w:t>
      </w:r>
      <w:r w:rsidR="001C697F">
        <w:rPr>
          <w:szCs w:val="24"/>
          <w:lang w:val="es-ES"/>
        </w:rPr>
        <w:t>aborda</w:t>
      </w:r>
      <w:r w:rsidR="00C05D02">
        <w:rPr>
          <w:szCs w:val="24"/>
          <w:lang w:val="es-ES"/>
        </w:rPr>
        <w:t xml:space="preserve"> la igualdad de trato en el</w:t>
      </w:r>
      <w:r>
        <w:rPr>
          <w:szCs w:val="24"/>
          <w:lang w:val="es-ES"/>
        </w:rPr>
        <w:t xml:space="preserve"> empleo.</w:t>
      </w:r>
    </w:p>
    <w:p w:rsidR="00DB6453" w:rsidRPr="00321D44" w:rsidRDefault="00DB6453" w:rsidP="00637350">
      <w:pPr>
        <w:pStyle w:val="SingleTxtG"/>
        <w:rPr>
          <w:szCs w:val="24"/>
          <w:lang w:val="es-ES"/>
        </w:rPr>
      </w:pPr>
      <w:r w:rsidRPr="00321D44">
        <w:rPr>
          <w:szCs w:val="24"/>
          <w:lang w:val="es-ES"/>
        </w:rPr>
        <w:t>152.</w:t>
      </w:r>
      <w:r w:rsidRPr="00321D44">
        <w:rPr>
          <w:szCs w:val="24"/>
          <w:lang w:val="es-ES"/>
        </w:rPr>
        <w:tab/>
      </w:r>
      <w:r>
        <w:rPr>
          <w:szCs w:val="24"/>
          <w:lang w:val="es-ES"/>
        </w:rPr>
        <w:t>A continuación se ofrece un panorama general de los principales cambios i</w:t>
      </w:r>
      <w:r w:rsidR="00F64971">
        <w:rPr>
          <w:szCs w:val="24"/>
          <w:lang w:val="es-ES"/>
        </w:rPr>
        <w:t>ntroduci</w:t>
      </w:r>
      <w:r>
        <w:rPr>
          <w:szCs w:val="24"/>
          <w:lang w:val="es-ES"/>
        </w:rPr>
        <w:t xml:space="preserve">dos </w:t>
      </w:r>
      <w:r w:rsidR="00F64971">
        <w:rPr>
          <w:szCs w:val="24"/>
          <w:lang w:val="es-ES"/>
        </w:rPr>
        <w:t>en</w:t>
      </w:r>
      <w:r w:rsidR="003023BC">
        <w:rPr>
          <w:szCs w:val="24"/>
          <w:lang w:val="es-ES"/>
        </w:rPr>
        <w:t xml:space="preserve"> la legislación laboral</w:t>
      </w:r>
      <w:r w:rsidR="00F64971">
        <w:rPr>
          <w:szCs w:val="24"/>
          <w:lang w:val="es-ES"/>
        </w:rPr>
        <w:t xml:space="preserve"> </w:t>
      </w:r>
      <w:r>
        <w:rPr>
          <w:szCs w:val="24"/>
          <w:lang w:val="es-ES"/>
        </w:rPr>
        <w:t>durante el período examinado en el presente informe.</w:t>
      </w:r>
      <w:r w:rsidRPr="00321D44">
        <w:rPr>
          <w:szCs w:val="24"/>
          <w:lang w:val="es-ES"/>
        </w:rPr>
        <w:t xml:space="preserve"> </w:t>
      </w:r>
      <w:r>
        <w:rPr>
          <w:szCs w:val="24"/>
          <w:lang w:val="es-ES"/>
        </w:rPr>
        <w:t xml:space="preserve">El 1 de julio de 2009 entró en vigor la nueva Ley de contratos de trabajo, que sustituía a la anterior Ley de contratos de trabajo de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 Con ello </w:t>
      </w:r>
      <w:r w:rsidR="00F64971">
        <w:rPr>
          <w:szCs w:val="24"/>
          <w:lang w:val="es-ES"/>
        </w:rPr>
        <w:t xml:space="preserve">se </w:t>
      </w:r>
      <w:r>
        <w:rPr>
          <w:szCs w:val="24"/>
          <w:lang w:val="es-ES"/>
        </w:rPr>
        <w:t>deroga</w:t>
      </w:r>
      <w:r w:rsidR="00F64971">
        <w:rPr>
          <w:szCs w:val="24"/>
          <w:lang w:val="es-ES"/>
        </w:rPr>
        <w:t>ron</w:t>
      </w:r>
      <w:r>
        <w:rPr>
          <w:szCs w:val="24"/>
          <w:lang w:val="es-ES"/>
        </w:rPr>
        <w:t xml:space="preserve"> otras cuatro leyes, a saber,</w:t>
      </w:r>
      <w:r w:rsidRPr="00321D44">
        <w:rPr>
          <w:szCs w:val="24"/>
          <w:lang w:val="es-ES"/>
        </w:rPr>
        <w:t xml:space="preserve"> </w:t>
      </w:r>
      <w:smartTag w:uri="urn:schemas-microsoft-com:office:smarttags" w:element="PersonName">
        <w:smartTagPr>
          <w:attr w:name="ProductID" w:val="La Ley"/>
        </w:smartTagPr>
        <w:r>
          <w:rPr>
            <w:szCs w:val="24"/>
            <w:lang w:val="es-ES"/>
          </w:rPr>
          <w:t>la Ley</w:t>
        </w:r>
      </w:smartTag>
      <w:r>
        <w:rPr>
          <w:szCs w:val="24"/>
          <w:lang w:val="es-ES"/>
        </w:rPr>
        <w:t xml:space="preserve"> de salarios, </w:t>
      </w:r>
      <w:smartTag w:uri="urn:schemas-microsoft-com:office:smarttags" w:element="PersonName">
        <w:smartTagPr>
          <w:attr w:name="ProductID" w:val="La Ley"/>
        </w:smartTagPr>
        <w:r>
          <w:rPr>
            <w:szCs w:val="24"/>
            <w:lang w:val="es-ES"/>
          </w:rPr>
          <w:t>la Ley</w:t>
        </w:r>
      </w:smartTag>
      <w:r>
        <w:rPr>
          <w:szCs w:val="24"/>
          <w:lang w:val="es-ES"/>
        </w:rPr>
        <w:t xml:space="preserve"> de vacaciones</w:t>
      </w:r>
      <w:r w:rsidR="00F64971">
        <w:rPr>
          <w:szCs w:val="24"/>
          <w:lang w:val="es-ES"/>
        </w:rPr>
        <w:t xml:space="preserve"> pagadas</w:t>
      </w:r>
      <w:r>
        <w:rPr>
          <w:szCs w:val="24"/>
          <w:lang w:val="es-ES"/>
        </w:rPr>
        <w:t xml:space="preserve">, </w:t>
      </w:r>
      <w:smartTag w:uri="urn:schemas-microsoft-com:office:smarttags" w:element="PersonName">
        <w:smartTagPr>
          <w:attr w:name="ProductID" w:val="La Ley"/>
        </w:smartTagPr>
        <w:r>
          <w:rPr>
            <w:szCs w:val="24"/>
            <w:lang w:val="es-ES"/>
          </w:rPr>
          <w:t>la Ley</w:t>
        </w:r>
      </w:smartTag>
      <w:r>
        <w:rPr>
          <w:szCs w:val="24"/>
          <w:lang w:val="es-ES"/>
        </w:rPr>
        <w:t xml:space="preserve"> de horario de trabajo y de descanso y el Código del Trabajo de </w:t>
      </w:r>
      <w:smartTag w:uri="urn:schemas-microsoft-com:office:smarttags" w:element="PersonName">
        <w:smartTagPr>
          <w:attr w:name="ProductID" w:val="la Rep￺blica Socialista"/>
        </w:smartTagPr>
        <w:r>
          <w:rPr>
            <w:szCs w:val="24"/>
            <w:lang w:val="es-ES"/>
          </w:rPr>
          <w:t>la República Socialista</w:t>
        </w:r>
      </w:smartTag>
      <w:r>
        <w:rPr>
          <w:szCs w:val="24"/>
          <w:lang w:val="es-ES"/>
        </w:rPr>
        <w:t xml:space="preserve"> Soviética de Estonia, al tiempo que las disposicio</w:t>
      </w:r>
      <w:r w:rsidR="001C697F">
        <w:rPr>
          <w:szCs w:val="24"/>
          <w:lang w:val="es-ES"/>
        </w:rPr>
        <w:t>nes de esas leyes que continúan teniendo validez</w:t>
      </w:r>
      <w:r>
        <w:rPr>
          <w:szCs w:val="24"/>
          <w:lang w:val="es-ES"/>
        </w:rPr>
        <w:t xml:space="preserve"> se han re</w:t>
      </w:r>
      <w:r w:rsidR="00F64971">
        <w:rPr>
          <w:szCs w:val="24"/>
          <w:lang w:val="es-ES"/>
        </w:rPr>
        <w:t>f</w:t>
      </w:r>
      <w:r>
        <w:rPr>
          <w:szCs w:val="24"/>
          <w:lang w:val="es-ES"/>
        </w:rPr>
        <w:t>un</w:t>
      </w:r>
      <w:r w:rsidR="00F64971">
        <w:rPr>
          <w:szCs w:val="24"/>
          <w:lang w:val="es-ES"/>
        </w:rPr>
        <w:t>di</w:t>
      </w:r>
      <w:r>
        <w:rPr>
          <w:szCs w:val="24"/>
          <w:lang w:val="es-ES"/>
        </w:rPr>
        <w:t>do en una única ley.</w:t>
      </w:r>
      <w:r w:rsidRPr="00321D44">
        <w:rPr>
          <w:szCs w:val="24"/>
          <w:lang w:val="es-ES"/>
        </w:rPr>
        <w:t xml:space="preserve"> </w:t>
      </w:r>
      <w:r>
        <w:rPr>
          <w:szCs w:val="24"/>
          <w:lang w:val="es-ES"/>
        </w:rPr>
        <w:t xml:space="preserve">Los empleados con contrato de trabajo </w:t>
      </w:r>
      <w:r w:rsidR="00827D49">
        <w:rPr>
          <w:szCs w:val="24"/>
          <w:lang w:val="es-ES"/>
        </w:rPr>
        <w:t>y</w:t>
      </w:r>
      <w:r>
        <w:rPr>
          <w:szCs w:val="24"/>
          <w:lang w:val="es-ES"/>
        </w:rPr>
        <w:t xml:space="preserve">a </w:t>
      </w:r>
      <w:r w:rsidR="00827D49">
        <w:rPr>
          <w:szCs w:val="24"/>
          <w:lang w:val="es-ES"/>
        </w:rPr>
        <w:t xml:space="preserve">no </w:t>
      </w:r>
      <w:r>
        <w:rPr>
          <w:szCs w:val="24"/>
          <w:lang w:val="es-ES"/>
        </w:rPr>
        <w:t>est</w:t>
      </w:r>
      <w:r w:rsidR="00827D49">
        <w:rPr>
          <w:szCs w:val="24"/>
          <w:lang w:val="es-ES"/>
        </w:rPr>
        <w:t>án</w:t>
      </w:r>
      <w:r>
        <w:rPr>
          <w:szCs w:val="24"/>
          <w:lang w:val="es-ES"/>
        </w:rPr>
        <w:t xml:space="preserve"> </w:t>
      </w:r>
      <w:r w:rsidR="001C697F">
        <w:rPr>
          <w:szCs w:val="24"/>
          <w:lang w:val="es-ES"/>
        </w:rPr>
        <w:t>incluidos en</w:t>
      </w:r>
      <w:r w:rsidR="00827D49">
        <w:rPr>
          <w:szCs w:val="24"/>
          <w:lang w:val="es-ES"/>
        </w:rPr>
        <w:t xml:space="preserve"> </w:t>
      </w:r>
      <w:smartTag w:uri="urn:schemas-microsoft-com:office:smarttags" w:element="PersonName">
        <w:smartTagPr>
          <w:attr w:name="ProductID" w:val="La Ley"/>
        </w:smartTagPr>
        <w:r>
          <w:rPr>
            <w:szCs w:val="24"/>
            <w:lang w:val="es-ES"/>
          </w:rPr>
          <w:t>la Ley</w:t>
        </w:r>
      </w:smartTag>
      <w:r>
        <w:rPr>
          <w:szCs w:val="24"/>
          <w:lang w:val="es-ES"/>
        </w:rPr>
        <w:t xml:space="preserve"> de sanciones disciplinarias aplicables a los empleados.</w:t>
      </w:r>
      <w:r w:rsidRPr="00321D44">
        <w:rPr>
          <w:szCs w:val="24"/>
          <w:lang w:val="es-ES"/>
        </w:rPr>
        <w:t xml:space="preserve"> </w:t>
      </w:r>
      <w:r>
        <w:rPr>
          <w:szCs w:val="24"/>
          <w:lang w:val="es-ES"/>
        </w:rPr>
        <w:t xml:space="preserve">Se eliminaron distintas contradicciones terminológicas y sustanciales entre esas leyes, </w:t>
      </w:r>
      <w:r w:rsidR="008A4510">
        <w:rPr>
          <w:szCs w:val="24"/>
          <w:lang w:val="es-ES"/>
        </w:rPr>
        <w:t>de manera</w:t>
      </w:r>
      <w:r>
        <w:rPr>
          <w:szCs w:val="24"/>
          <w:lang w:val="es-ES"/>
        </w:rPr>
        <w:t xml:space="preserve"> que empleadores y empleados gozan </w:t>
      </w:r>
      <w:r w:rsidR="008A4510">
        <w:rPr>
          <w:szCs w:val="24"/>
          <w:lang w:val="es-ES"/>
        </w:rPr>
        <w:t xml:space="preserve">ahora </w:t>
      </w:r>
      <w:r>
        <w:rPr>
          <w:szCs w:val="24"/>
          <w:lang w:val="es-ES"/>
        </w:rPr>
        <w:t>de mayor seguridad jurídica.</w:t>
      </w:r>
      <w:r w:rsidRPr="00321D44">
        <w:rPr>
          <w:szCs w:val="24"/>
          <w:lang w:val="es-ES"/>
        </w:rPr>
        <w:t xml:space="preserve"> </w:t>
      </w:r>
      <w:r>
        <w:rPr>
          <w:szCs w:val="24"/>
          <w:lang w:val="es-ES"/>
        </w:rPr>
        <w:t>El objetivo de la nueva ley es regla</w:t>
      </w:r>
      <w:r w:rsidR="008A4510">
        <w:rPr>
          <w:szCs w:val="24"/>
          <w:lang w:val="es-ES"/>
        </w:rPr>
        <w:t>menta</w:t>
      </w:r>
      <w:r>
        <w:rPr>
          <w:szCs w:val="24"/>
          <w:lang w:val="es-ES"/>
        </w:rPr>
        <w:t>r las relacione</w:t>
      </w:r>
      <w:r w:rsidR="005D37DD">
        <w:rPr>
          <w:szCs w:val="24"/>
          <w:lang w:val="es-ES"/>
        </w:rPr>
        <w:t>s entre empleadores y empleados</w:t>
      </w:r>
      <w:r>
        <w:rPr>
          <w:szCs w:val="24"/>
          <w:lang w:val="es-ES"/>
        </w:rPr>
        <w:t xml:space="preserve"> a fin de conceder a los empleados </w:t>
      </w:r>
      <w:r w:rsidR="008A4510">
        <w:rPr>
          <w:szCs w:val="24"/>
          <w:lang w:val="es-ES"/>
        </w:rPr>
        <w:t>la</w:t>
      </w:r>
      <w:r>
        <w:rPr>
          <w:szCs w:val="24"/>
          <w:lang w:val="es-ES"/>
        </w:rPr>
        <w:t xml:space="preserve"> seguridad </w:t>
      </w:r>
      <w:r w:rsidR="008A4510">
        <w:rPr>
          <w:szCs w:val="24"/>
          <w:lang w:val="es-ES"/>
        </w:rPr>
        <w:t xml:space="preserve">y los valores </w:t>
      </w:r>
      <w:r>
        <w:rPr>
          <w:szCs w:val="24"/>
          <w:lang w:val="es-ES"/>
        </w:rPr>
        <w:t>necesari</w:t>
      </w:r>
      <w:r w:rsidR="008A4510">
        <w:rPr>
          <w:szCs w:val="24"/>
          <w:lang w:val="es-ES"/>
        </w:rPr>
        <w:t>os</w:t>
      </w:r>
      <w:r>
        <w:rPr>
          <w:szCs w:val="24"/>
          <w:lang w:val="es-ES"/>
        </w:rPr>
        <w:t xml:space="preserve"> </w:t>
      </w:r>
      <w:r w:rsidR="008A4510">
        <w:rPr>
          <w:szCs w:val="24"/>
          <w:lang w:val="es-ES"/>
        </w:rPr>
        <w:t>en e</w:t>
      </w:r>
      <w:r>
        <w:rPr>
          <w:szCs w:val="24"/>
          <w:lang w:val="es-ES"/>
        </w:rPr>
        <w:t xml:space="preserve">l </w:t>
      </w:r>
      <w:r w:rsidR="008A4510">
        <w:rPr>
          <w:szCs w:val="24"/>
          <w:lang w:val="es-ES"/>
        </w:rPr>
        <w:t xml:space="preserve">marco </w:t>
      </w:r>
      <w:r>
        <w:rPr>
          <w:szCs w:val="24"/>
          <w:lang w:val="es-ES"/>
        </w:rPr>
        <w:t>de un Estado de bienestar.</w:t>
      </w:r>
      <w:r w:rsidRPr="00321D44">
        <w:rPr>
          <w:szCs w:val="24"/>
          <w:lang w:val="es-ES"/>
        </w:rPr>
        <w:t xml:space="preserve"> </w:t>
      </w:r>
      <w:r>
        <w:rPr>
          <w:szCs w:val="24"/>
          <w:lang w:val="es-ES"/>
        </w:rPr>
        <w:t xml:space="preserve">Al mismo tiempo, la </w:t>
      </w:r>
      <w:r w:rsidR="005554AF">
        <w:rPr>
          <w:szCs w:val="24"/>
          <w:lang w:val="es-ES"/>
        </w:rPr>
        <w:t>ley</w:t>
      </w:r>
      <w:r>
        <w:rPr>
          <w:szCs w:val="24"/>
          <w:lang w:val="es-ES"/>
        </w:rPr>
        <w:t xml:space="preserve"> favorece la asociación </w:t>
      </w:r>
      <w:r w:rsidR="005D37DD">
        <w:rPr>
          <w:szCs w:val="24"/>
          <w:lang w:val="es-ES"/>
        </w:rPr>
        <w:t>y los acuerdos entre empleados y empleadores.</w:t>
      </w:r>
    </w:p>
    <w:p w:rsidR="00BD2320" w:rsidRPr="00321D44" w:rsidRDefault="00BD2320" w:rsidP="00637350">
      <w:pPr>
        <w:pStyle w:val="SingleTxtG"/>
        <w:rPr>
          <w:szCs w:val="24"/>
          <w:lang w:val="es-ES"/>
        </w:rPr>
      </w:pPr>
      <w:r w:rsidRPr="00321D44">
        <w:rPr>
          <w:szCs w:val="24"/>
          <w:lang w:val="es-ES"/>
        </w:rPr>
        <w:t>153.</w:t>
      </w:r>
      <w:r w:rsidRPr="00321D44">
        <w:rPr>
          <w:szCs w:val="24"/>
          <w:lang w:val="es-ES"/>
        </w:rPr>
        <w:tab/>
      </w:r>
      <w:r>
        <w:rPr>
          <w:szCs w:val="24"/>
          <w:lang w:val="es-ES"/>
        </w:rPr>
        <w:t xml:space="preserve">En virtud de esa nueva ley, el Fondo de Seguro de Desempleo de Estonia comenzó a asumir las funciones de </w:t>
      </w:r>
      <w:smartTag w:uri="urn:schemas-microsoft-com:office:smarttags" w:element="PersonName">
        <w:smartTagPr>
          <w:attr w:name="ProductID" w:val="La Junta"/>
        </w:smartTagPr>
        <w:r>
          <w:rPr>
            <w:szCs w:val="24"/>
            <w:lang w:val="es-ES"/>
          </w:rPr>
          <w:t>la Junta</w:t>
        </w:r>
      </w:smartTag>
      <w:r>
        <w:rPr>
          <w:szCs w:val="24"/>
          <w:lang w:val="es-ES"/>
        </w:rPr>
        <w:t xml:space="preserve"> del Mercado Laboral.</w:t>
      </w:r>
      <w:r w:rsidRPr="00321D44">
        <w:rPr>
          <w:szCs w:val="24"/>
          <w:lang w:val="es-ES"/>
        </w:rPr>
        <w:t xml:space="preserve"> </w:t>
      </w:r>
      <w:r>
        <w:rPr>
          <w:szCs w:val="24"/>
          <w:lang w:val="es-ES"/>
        </w:rPr>
        <w:t xml:space="preserve">De ese modo, las políticas </w:t>
      </w:r>
      <w:r w:rsidR="00336378">
        <w:rPr>
          <w:szCs w:val="24"/>
          <w:lang w:val="es-ES"/>
        </w:rPr>
        <w:t>nacionales de empleo se estructura</w:t>
      </w:r>
      <w:r>
        <w:rPr>
          <w:szCs w:val="24"/>
          <w:lang w:val="es-ES"/>
        </w:rPr>
        <w:t xml:space="preserve">n </w:t>
      </w:r>
      <w:r w:rsidR="00347422">
        <w:rPr>
          <w:szCs w:val="24"/>
          <w:lang w:val="es-ES"/>
        </w:rPr>
        <w:t xml:space="preserve">en el marco de </w:t>
      </w:r>
      <w:r>
        <w:rPr>
          <w:szCs w:val="24"/>
          <w:lang w:val="es-ES"/>
        </w:rPr>
        <w:t xml:space="preserve">una única institución que concede prestaciones a las personas </w:t>
      </w:r>
      <w:r w:rsidR="00347422">
        <w:rPr>
          <w:szCs w:val="24"/>
          <w:lang w:val="es-ES"/>
        </w:rPr>
        <w:t xml:space="preserve">que </w:t>
      </w:r>
      <w:r>
        <w:rPr>
          <w:szCs w:val="24"/>
          <w:lang w:val="es-ES"/>
        </w:rPr>
        <w:t>b</w:t>
      </w:r>
      <w:r w:rsidR="00347422">
        <w:rPr>
          <w:szCs w:val="24"/>
          <w:lang w:val="es-ES"/>
        </w:rPr>
        <w:t>u</w:t>
      </w:r>
      <w:r>
        <w:rPr>
          <w:szCs w:val="24"/>
          <w:lang w:val="es-ES"/>
        </w:rPr>
        <w:t>s</w:t>
      </w:r>
      <w:r w:rsidR="00347422">
        <w:rPr>
          <w:szCs w:val="24"/>
          <w:lang w:val="es-ES"/>
        </w:rPr>
        <w:t>can</w:t>
      </w:r>
      <w:r>
        <w:rPr>
          <w:szCs w:val="24"/>
          <w:lang w:val="es-ES"/>
        </w:rPr>
        <w:t xml:space="preserve"> </w:t>
      </w:r>
      <w:r w:rsidR="00347422">
        <w:rPr>
          <w:szCs w:val="24"/>
          <w:lang w:val="es-ES"/>
        </w:rPr>
        <w:t xml:space="preserve">trabajo </w:t>
      </w:r>
      <w:r>
        <w:rPr>
          <w:szCs w:val="24"/>
          <w:lang w:val="es-ES"/>
        </w:rPr>
        <w:t>y adopta medidas activas en relación con el mercado</w:t>
      </w:r>
      <w:r w:rsidR="00347422">
        <w:rPr>
          <w:szCs w:val="24"/>
          <w:lang w:val="es-ES"/>
        </w:rPr>
        <w:t xml:space="preserve"> laboral</w:t>
      </w:r>
      <w:r>
        <w:rPr>
          <w:szCs w:val="24"/>
          <w:lang w:val="es-ES"/>
        </w:rPr>
        <w:t>.</w:t>
      </w:r>
      <w:r w:rsidRPr="00321D44">
        <w:rPr>
          <w:szCs w:val="24"/>
          <w:lang w:val="es-ES"/>
        </w:rPr>
        <w:t xml:space="preserve"> </w:t>
      </w:r>
      <w:r>
        <w:rPr>
          <w:szCs w:val="24"/>
          <w:lang w:val="es-ES"/>
        </w:rPr>
        <w:t>Gracias a la nueva ley</w:t>
      </w:r>
      <w:r w:rsidR="00336378">
        <w:rPr>
          <w:szCs w:val="24"/>
          <w:lang w:val="es-ES"/>
        </w:rPr>
        <w:t>,</w:t>
      </w:r>
      <w:r>
        <w:rPr>
          <w:szCs w:val="24"/>
          <w:lang w:val="es-ES"/>
        </w:rPr>
        <w:t xml:space="preserve"> la</w:t>
      </w:r>
      <w:r w:rsidR="00336378">
        <w:rPr>
          <w:szCs w:val="24"/>
          <w:lang w:val="es-ES"/>
        </w:rPr>
        <w:t>s prestaciones de</w:t>
      </w:r>
      <w:r>
        <w:rPr>
          <w:szCs w:val="24"/>
          <w:lang w:val="es-ES"/>
        </w:rPr>
        <w:t xml:space="preserve"> seguridad social de los desempleados</w:t>
      </w:r>
      <w:r w:rsidR="00336378">
        <w:rPr>
          <w:szCs w:val="24"/>
          <w:lang w:val="es-ES"/>
        </w:rPr>
        <w:t xml:space="preserve"> han mejorado considerablemente</w:t>
      </w:r>
      <w:r>
        <w:rPr>
          <w:szCs w:val="24"/>
          <w:lang w:val="es-ES"/>
        </w:rPr>
        <w:t xml:space="preserve">. Por ejemplo, las prestaciones del seguro de desempleo pagaderas en caso de despido </w:t>
      </w:r>
      <w:r w:rsidR="00347422">
        <w:rPr>
          <w:szCs w:val="24"/>
          <w:lang w:val="es-ES"/>
        </w:rPr>
        <w:t xml:space="preserve">han </w:t>
      </w:r>
      <w:r>
        <w:rPr>
          <w:szCs w:val="24"/>
          <w:lang w:val="es-ES"/>
        </w:rPr>
        <w:t>aumenta</w:t>
      </w:r>
      <w:r w:rsidR="00347422">
        <w:rPr>
          <w:szCs w:val="24"/>
          <w:lang w:val="es-ES"/>
        </w:rPr>
        <w:t>d</w:t>
      </w:r>
      <w:r>
        <w:rPr>
          <w:szCs w:val="24"/>
          <w:lang w:val="es-ES"/>
        </w:rPr>
        <w:t>o hasta el 70% del salario durante los 100 primeros días</w:t>
      </w:r>
      <w:r w:rsidR="00336378">
        <w:rPr>
          <w:szCs w:val="24"/>
          <w:lang w:val="es-ES"/>
        </w:rPr>
        <w:t xml:space="preserve"> de desempleo, y hasta el 50%</w:t>
      </w:r>
      <w:r w:rsidR="00347422">
        <w:rPr>
          <w:szCs w:val="24"/>
          <w:lang w:val="es-ES"/>
        </w:rPr>
        <w:t xml:space="preserve"> en adelante</w:t>
      </w:r>
      <w:r>
        <w:rPr>
          <w:szCs w:val="24"/>
          <w:lang w:val="es-ES"/>
        </w:rPr>
        <w:t>.</w:t>
      </w:r>
      <w:r w:rsidRPr="00321D44">
        <w:rPr>
          <w:szCs w:val="24"/>
          <w:lang w:val="es-ES"/>
        </w:rPr>
        <w:t xml:space="preserve"> </w:t>
      </w:r>
      <w:r>
        <w:rPr>
          <w:szCs w:val="24"/>
          <w:lang w:val="es-ES"/>
        </w:rPr>
        <w:t xml:space="preserve">También existe la posibilidad de recibir </w:t>
      </w:r>
      <w:r w:rsidR="00347422">
        <w:rPr>
          <w:szCs w:val="24"/>
          <w:lang w:val="es-ES"/>
        </w:rPr>
        <w:t xml:space="preserve">cursos gratuitos de </w:t>
      </w:r>
      <w:r>
        <w:rPr>
          <w:szCs w:val="24"/>
          <w:lang w:val="es-ES"/>
        </w:rPr>
        <w:t>formación o re</w:t>
      </w:r>
      <w:r w:rsidR="00347422">
        <w:rPr>
          <w:szCs w:val="24"/>
          <w:lang w:val="es-ES"/>
        </w:rPr>
        <w:t>ciclaje</w:t>
      </w:r>
      <w:r>
        <w:rPr>
          <w:szCs w:val="24"/>
          <w:lang w:val="es-ES"/>
        </w:rPr>
        <w:t xml:space="preserve"> profesional</w:t>
      </w:r>
      <w:r w:rsidR="00347422">
        <w:rPr>
          <w:szCs w:val="24"/>
          <w:lang w:val="es-ES"/>
        </w:rPr>
        <w:t xml:space="preserve"> en el lugar de trabajo,</w:t>
      </w:r>
      <w:r>
        <w:rPr>
          <w:szCs w:val="24"/>
          <w:lang w:val="es-ES"/>
        </w:rPr>
        <w:t xml:space="preserve"> financiad</w:t>
      </w:r>
      <w:r w:rsidR="00347422">
        <w:rPr>
          <w:szCs w:val="24"/>
          <w:lang w:val="es-ES"/>
        </w:rPr>
        <w:t>os</w:t>
      </w:r>
      <w:r>
        <w:rPr>
          <w:szCs w:val="24"/>
          <w:lang w:val="es-ES"/>
        </w:rPr>
        <w:t xml:space="preserve"> con cargo al Fondo Social Europeo.</w:t>
      </w:r>
    </w:p>
    <w:p w:rsidR="00BD2320" w:rsidRPr="008A3B5E" w:rsidRDefault="00BD2320" w:rsidP="00637350">
      <w:pPr>
        <w:pStyle w:val="SingleTxtG"/>
      </w:pPr>
      <w:r w:rsidRPr="00321D44">
        <w:rPr>
          <w:lang w:val="es-ES"/>
        </w:rPr>
        <w:t>154.</w:t>
      </w:r>
      <w:r w:rsidRPr="00321D44">
        <w:rPr>
          <w:lang w:val="es-ES"/>
        </w:rPr>
        <w:tab/>
      </w:r>
      <w:r>
        <w:rPr>
          <w:lang w:val="es-ES"/>
        </w:rPr>
        <w:t xml:space="preserve">Durante el período examinado en el informe anterior se </w:t>
      </w:r>
      <w:r w:rsidR="00967137">
        <w:rPr>
          <w:lang w:val="es-ES"/>
        </w:rPr>
        <w:t xml:space="preserve">introdujeron </w:t>
      </w:r>
      <w:r>
        <w:rPr>
          <w:lang w:val="es-ES"/>
        </w:rPr>
        <w:t xml:space="preserve">varias enmiendas a </w:t>
      </w:r>
      <w:smartTag w:uri="urn:schemas-microsoft-com:office:smarttags" w:element="PersonName">
        <w:smartTagPr>
          <w:attr w:name="ProductID" w:val="La Ley"/>
        </w:smartTagPr>
        <w:r>
          <w:rPr>
            <w:lang w:val="es-ES"/>
          </w:rPr>
          <w:t>la Ley</w:t>
        </w:r>
      </w:smartTag>
      <w:r>
        <w:rPr>
          <w:lang w:val="es-ES"/>
        </w:rPr>
        <w:t xml:space="preserve"> de servicios y prestaciones del mercado </w:t>
      </w:r>
      <w:r w:rsidR="00393955">
        <w:rPr>
          <w:lang w:val="es-ES"/>
        </w:rPr>
        <w:t>laboral</w:t>
      </w:r>
      <w:r>
        <w:rPr>
          <w:lang w:val="es-ES"/>
        </w:rPr>
        <w:t xml:space="preserve"> y </w:t>
      </w:r>
      <w:smartTag w:uri="urn:schemas-microsoft-com:office:smarttags" w:element="PersonName">
        <w:smartTagPr>
          <w:attr w:name="ProductID" w:val="La Ley"/>
        </w:smartTagPr>
        <w:r>
          <w:rPr>
            <w:lang w:val="es-ES"/>
          </w:rPr>
          <w:t>la Ley</w:t>
        </w:r>
      </w:smartTag>
      <w:r>
        <w:rPr>
          <w:lang w:val="es-ES"/>
        </w:rPr>
        <w:t xml:space="preserve"> de seguro de desempleo</w:t>
      </w:r>
      <w:r>
        <w:rPr>
          <w:rStyle w:val="FootnoteReference"/>
          <w:szCs w:val="24"/>
          <w:lang w:val="es-ES"/>
        </w:rPr>
        <w:footnoteReference w:id="40"/>
      </w:r>
      <w:r>
        <w:rPr>
          <w:lang w:val="es-ES"/>
        </w:rPr>
        <w:t>.</w:t>
      </w:r>
      <w:r w:rsidRPr="00321D44">
        <w:rPr>
          <w:lang w:val="es-ES"/>
        </w:rPr>
        <w:t xml:space="preserve"> </w:t>
      </w:r>
      <w:r>
        <w:rPr>
          <w:lang w:val="es-ES"/>
        </w:rPr>
        <w:t xml:space="preserve">El objetivo de esas enmiendas era modificar el sistema de prestación de servicios relacionados con el mercado de trabajo, así como sufragar y financiar las actividades conexas </w:t>
      </w:r>
      <w:r w:rsidR="00967137">
        <w:rPr>
          <w:lang w:val="es-ES"/>
        </w:rPr>
        <w:t xml:space="preserve">a </w:t>
      </w:r>
      <w:r>
        <w:rPr>
          <w:lang w:val="es-ES"/>
        </w:rPr>
        <w:t>fin de hacer sostenibles dichos servicios y re</w:t>
      </w:r>
      <w:r w:rsidR="00967137">
        <w:rPr>
          <w:lang w:val="es-ES"/>
        </w:rPr>
        <w:t>sponder</w:t>
      </w:r>
      <w:r>
        <w:rPr>
          <w:lang w:val="es-ES"/>
        </w:rPr>
        <w:t xml:space="preserve"> a los cambios del mercado laboral de forma flexible y satisfactoria.</w:t>
      </w:r>
      <w:r w:rsidRPr="00321D44">
        <w:rPr>
          <w:lang w:val="es-ES"/>
        </w:rPr>
        <w:t xml:space="preserve"> </w:t>
      </w:r>
      <w:r>
        <w:rPr>
          <w:lang w:val="es-ES"/>
        </w:rPr>
        <w:t>Las enmiendas entraron en vigor el 1 de enero de 2011.</w:t>
      </w:r>
    </w:p>
    <w:p w:rsidR="007A5179" w:rsidRPr="00321D44" w:rsidRDefault="007A5179" w:rsidP="00637350">
      <w:pPr>
        <w:pStyle w:val="SingleTxtG"/>
        <w:rPr>
          <w:lang w:val="es-ES"/>
        </w:rPr>
      </w:pPr>
      <w:r w:rsidRPr="00321D44">
        <w:rPr>
          <w:lang w:val="es-ES"/>
        </w:rPr>
        <w:t>155.</w:t>
      </w:r>
      <w:r w:rsidRPr="00321D44">
        <w:rPr>
          <w:lang w:val="es-ES"/>
        </w:rPr>
        <w:tab/>
      </w:r>
      <w:r>
        <w:rPr>
          <w:lang w:val="es-ES"/>
        </w:rPr>
        <w:t xml:space="preserve">Se introdujeron enmiendas </w:t>
      </w:r>
      <w:r w:rsidR="00967137">
        <w:rPr>
          <w:lang w:val="es-ES"/>
        </w:rPr>
        <w:t>a</w:t>
      </w:r>
      <w:r>
        <w:rPr>
          <w:lang w:val="es-ES"/>
        </w:rPr>
        <w:t xml:space="preserve"> </w:t>
      </w:r>
      <w:smartTag w:uri="urn:schemas-microsoft-com:office:smarttags" w:element="PersonName">
        <w:smartTagPr>
          <w:attr w:name="ProductID" w:val="La Ley"/>
        </w:smartTagPr>
        <w:r>
          <w:rPr>
            <w:lang w:val="es-ES"/>
          </w:rPr>
          <w:t>la Ley</w:t>
        </w:r>
      </w:smartTag>
      <w:r>
        <w:rPr>
          <w:lang w:val="es-ES"/>
        </w:rPr>
        <w:t xml:space="preserve"> de servicios y prestaciones del mercado </w:t>
      </w:r>
      <w:r w:rsidR="00393955">
        <w:rPr>
          <w:lang w:val="es-ES"/>
        </w:rPr>
        <w:t>laboral</w:t>
      </w:r>
      <w:r>
        <w:rPr>
          <w:lang w:val="es-ES"/>
        </w:rPr>
        <w:t xml:space="preserve">, vigentes desde el 1 de mayo de 2011, con el </w:t>
      </w:r>
      <w:r w:rsidR="00967137">
        <w:rPr>
          <w:lang w:val="es-ES"/>
        </w:rPr>
        <w:t xml:space="preserve">objetivo </w:t>
      </w:r>
      <w:r>
        <w:rPr>
          <w:lang w:val="es-ES"/>
        </w:rPr>
        <w:t>de a</w:t>
      </w:r>
      <w:r w:rsidR="00967137">
        <w:rPr>
          <w:lang w:val="es-ES"/>
        </w:rPr>
        <w:t>lentar</w:t>
      </w:r>
      <w:r>
        <w:rPr>
          <w:lang w:val="es-ES"/>
        </w:rPr>
        <w:t xml:space="preserve"> </w:t>
      </w:r>
      <w:r w:rsidR="00967137">
        <w:rPr>
          <w:lang w:val="es-ES"/>
        </w:rPr>
        <w:t xml:space="preserve">la </w:t>
      </w:r>
      <w:r>
        <w:rPr>
          <w:lang w:val="es-ES"/>
        </w:rPr>
        <w:t>búsqueda de empleo</w:t>
      </w:r>
      <w:r w:rsidR="00967137">
        <w:rPr>
          <w:lang w:val="es-ES"/>
        </w:rPr>
        <w:t xml:space="preserve"> entre los desempleados</w:t>
      </w:r>
      <w:r>
        <w:rPr>
          <w:lang w:val="es-ES"/>
        </w:rPr>
        <w:t>, lograr que encuentren trabajo más rápidamente, evitar el desempleo de larga duración y f</w:t>
      </w:r>
      <w:r w:rsidR="00967137">
        <w:rPr>
          <w:lang w:val="es-ES"/>
        </w:rPr>
        <w:t xml:space="preserve">lexibilizar los </w:t>
      </w:r>
      <w:r>
        <w:rPr>
          <w:lang w:val="es-ES"/>
        </w:rPr>
        <w:t>contacto</w:t>
      </w:r>
      <w:r w:rsidR="00967137">
        <w:rPr>
          <w:lang w:val="es-ES"/>
        </w:rPr>
        <w:t xml:space="preserve">s de los desempleados </w:t>
      </w:r>
      <w:r>
        <w:rPr>
          <w:lang w:val="es-ES"/>
        </w:rPr>
        <w:t>con el Fondo de Seguro de Desempleo.</w:t>
      </w:r>
      <w:r w:rsidRPr="00321D44">
        <w:rPr>
          <w:lang w:val="es-ES"/>
        </w:rPr>
        <w:t xml:space="preserve"> </w:t>
      </w:r>
      <w:r>
        <w:rPr>
          <w:lang w:val="es-ES"/>
        </w:rPr>
        <w:t>Se modificó la definición de persona desempleada.</w:t>
      </w:r>
      <w:r w:rsidRPr="00321D44">
        <w:rPr>
          <w:lang w:val="es-ES"/>
        </w:rPr>
        <w:t xml:space="preserve"> </w:t>
      </w:r>
      <w:r>
        <w:rPr>
          <w:lang w:val="es-ES"/>
        </w:rPr>
        <w:t xml:space="preserve">El </w:t>
      </w:r>
      <w:r w:rsidR="007C5A5B">
        <w:rPr>
          <w:lang w:val="es-ES"/>
        </w:rPr>
        <w:t xml:space="preserve">denominado </w:t>
      </w:r>
      <w:r>
        <w:rPr>
          <w:lang w:val="es-ES"/>
        </w:rPr>
        <w:t xml:space="preserve">grupo de riesgo </w:t>
      </w:r>
      <w:r w:rsidR="007C5A5B">
        <w:rPr>
          <w:lang w:val="es-ES"/>
        </w:rPr>
        <w:t xml:space="preserve">de </w:t>
      </w:r>
      <w:r w:rsidR="003023BC">
        <w:rPr>
          <w:lang w:val="es-ES"/>
        </w:rPr>
        <w:t>los desempleados se amplió</w:t>
      </w:r>
      <w:r>
        <w:rPr>
          <w:lang w:val="es-ES"/>
        </w:rPr>
        <w:t xml:space="preserve"> </w:t>
      </w:r>
      <w:r w:rsidR="007C5A5B">
        <w:rPr>
          <w:lang w:val="es-ES"/>
        </w:rPr>
        <w:t>para abarcar a</w:t>
      </w:r>
      <w:r>
        <w:rPr>
          <w:lang w:val="es-ES"/>
        </w:rPr>
        <w:t xml:space="preserve"> </w:t>
      </w:r>
      <w:r w:rsidR="002B491B">
        <w:rPr>
          <w:lang w:val="es-ES"/>
        </w:rPr>
        <w:t>"</w:t>
      </w:r>
      <w:r>
        <w:rPr>
          <w:lang w:val="es-ES"/>
        </w:rPr>
        <w:t>cual</w:t>
      </w:r>
      <w:r w:rsidR="007C5A5B">
        <w:rPr>
          <w:lang w:val="es-ES"/>
        </w:rPr>
        <w:t>es</w:t>
      </w:r>
      <w:r>
        <w:rPr>
          <w:lang w:val="es-ES"/>
        </w:rPr>
        <w:t>quier</w:t>
      </w:r>
      <w:r w:rsidR="007C5A5B">
        <w:rPr>
          <w:lang w:val="es-ES"/>
        </w:rPr>
        <w:t>a</w:t>
      </w:r>
      <w:r>
        <w:rPr>
          <w:lang w:val="es-ES"/>
        </w:rPr>
        <w:t xml:space="preserve"> otra</w:t>
      </w:r>
      <w:r w:rsidR="007C5A5B">
        <w:rPr>
          <w:lang w:val="es-ES"/>
        </w:rPr>
        <w:t>s</w:t>
      </w:r>
      <w:r>
        <w:rPr>
          <w:lang w:val="es-ES"/>
        </w:rPr>
        <w:t xml:space="preserve"> persona</w:t>
      </w:r>
      <w:r w:rsidR="007C5A5B">
        <w:rPr>
          <w:lang w:val="es-ES"/>
        </w:rPr>
        <w:t>s</w:t>
      </w:r>
      <w:r>
        <w:rPr>
          <w:lang w:val="es-ES"/>
        </w:rPr>
        <w:t xml:space="preserve"> desempleada</w:t>
      </w:r>
      <w:r w:rsidR="007C5A5B">
        <w:rPr>
          <w:lang w:val="es-ES"/>
        </w:rPr>
        <w:t>s</w:t>
      </w:r>
      <w:r>
        <w:rPr>
          <w:lang w:val="es-ES"/>
        </w:rPr>
        <w:t xml:space="preserve"> </w:t>
      </w:r>
      <w:r w:rsidR="003023BC">
        <w:rPr>
          <w:lang w:val="es-ES"/>
        </w:rPr>
        <w:t>que hagan frente a dificultades particulares para</w:t>
      </w:r>
      <w:r>
        <w:rPr>
          <w:lang w:val="es-ES"/>
        </w:rPr>
        <w:t xml:space="preserve"> enc</w:t>
      </w:r>
      <w:r w:rsidR="003023BC">
        <w:rPr>
          <w:lang w:val="es-ES"/>
        </w:rPr>
        <w:t>ontrar empleo</w:t>
      </w:r>
      <w:r w:rsidR="002B491B">
        <w:rPr>
          <w:lang w:val="es-ES"/>
        </w:rPr>
        <w:t>"</w:t>
      </w:r>
      <w:r>
        <w:rPr>
          <w:lang w:val="es-ES"/>
        </w:rPr>
        <w:t>.</w:t>
      </w:r>
      <w:r w:rsidRPr="00321D44">
        <w:rPr>
          <w:lang w:val="es-ES"/>
        </w:rPr>
        <w:t xml:space="preserve"> </w:t>
      </w:r>
      <w:r w:rsidR="009548E5">
        <w:rPr>
          <w:lang w:val="es-ES"/>
        </w:rPr>
        <w:t>Se modif</w:t>
      </w:r>
      <w:r>
        <w:rPr>
          <w:lang w:val="es-ES"/>
        </w:rPr>
        <w:t>i</w:t>
      </w:r>
      <w:r w:rsidR="009548E5">
        <w:rPr>
          <w:lang w:val="es-ES"/>
        </w:rPr>
        <w:t>c</w:t>
      </w:r>
      <w:r>
        <w:rPr>
          <w:lang w:val="es-ES"/>
        </w:rPr>
        <w:t>ó el sistema de elaboración de los planes de acción individual</w:t>
      </w:r>
      <w:r w:rsidR="007C5A5B">
        <w:rPr>
          <w:lang w:val="es-ES"/>
        </w:rPr>
        <w:t xml:space="preserve">es </w:t>
      </w:r>
      <w:r w:rsidR="009548E5">
        <w:rPr>
          <w:lang w:val="es-ES"/>
        </w:rPr>
        <w:t>y el</w:t>
      </w:r>
      <w:r>
        <w:rPr>
          <w:lang w:val="es-ES"/>
        </w:rPr>
        <w:t xml:space="preserve"> contenido</w:t>
      </w:r>
      <w:r w:rsidR="009548E5">
        <w:rPr>
          <w:lang w:val="es-ES"/>
        </w:rPr>
        <w:t xml:space="preserve"> de esos planes</w:t>
      </w:r>
      <w:r>
        <w:rPr>
          <w:lang w:val="es-ES"/>
        </w:rPr>
        <w:t xml:space="preserve">, y se regularon las obligaciones de los desempleados. </w:t>
      </w:r>
      <w:r w:rsidR="007C5A5B">
        <w:rPr>
          <w:lang w:val="es-ES"/>
        </w:rPr>
        <w:t xml:space="preserve">Con arreglo a </w:t>
      </w:r>
      <w:r>
        <w:rPr>
          <w:lang w:val="es-ES"/>
        </w:rPr>
        <w:t>las modificaciones que entraron en vigor el 20 de febrero de 2012</w:t>
      </w:r>
      <w:r w:rsidR="009548E5">
        <w:rPr>
          <w:lang w:val="es-ES"/>
        </w:rPr>
        <w:t>,</w:t>
      </w:r>
      <w:r>
        <w:rPr>
          <w:lang w:val="es-ES"/>
        </w:rPr>
        <w:t xml:space="preserve"> se regularon los procedimientos relativos a la intermediación de las agencias de trabajo temporal y a </w:t>
      </w:r>
      <w:r w:rsidR="007C5A5B">
        <w:rPr>
          <w:lang w:val="es-ES"/>
        </w:rPr>
        <w:t xml:space="preserve">los </w:t>
      </w:r>
      <w:r>
        <w:rPr>
          <w:lang w:val="es-ES"/>
        </w:rPr>
        <w:t xml:space="preserve">contratos de trabajo </w:t>
      </w:r>
      <w:r w:rsidR="009548E5">
        <w:rPr>
          <w:lang w:val="es-ES"/>
        </w:rPr>
        <w:t>que tramitan</w:t>
      </w:r>
      <w:r>
        <w:rPr>
          <w:lang w:val="es-ES"/>
        </w:rPr>
        <w:t>.</w:t>
      </w:r>
      <w:r w:rsidRPr="00321D44">
        <w:rPr>
          <w:lang w:val="es-ES"/>
        </w:rPr>
        <w:t xml:space="preserve"> </w:t>
      </w:r>
      <w:r>
        <w:rPr>
          <w:lang w:val="es-ES"/>
        </w:rPr>
        <w:t xml:space="preserve">Se prohibió </w:t>
      </w:r>
      <w:r w:rsidR="009548E5">
        <w:rPr>
          <w:lang w:val="es-ES"/>
        </w:rPr>
        <w:t>la solicitud de</w:t>
      </w:r>
      <w:r>
        <w:rPr>
          <w:lang w:val="es-ES"/>
        </w:rPr>
        <w:t xml:space="preserve"> pagos a</w:t>
      </w:r>
      <w:r w:rsidR="009548E5">
        <w:rPr>
          <w:lang w:val="es-ES"/>
        </w:rPr>
        <w:t xml:space="preserve"> los</w:t>
      </w:r>
      <w:r>
        <w:rPr>
          <w:lang w:val="es-ES"/>
        </w:rPr>
        <w:t xml:space="preserve"> trabajadores por los servicios de intermediación de las agencias de trabajo de temporal.</w:t>
      </w:r>
    </w:p>
    <w:p w:rsidR="00C05D02" w:rsidRPr="00321D44" w:rsidRDefault="00C05D02" w:rsidP="00637350">
      <w:pPr>
        <w:pStyle w:val="SingleTxtG"/>
        <w:rPr>
          <w:szCs w:val="24"/>
          <w:lang w:val="es-ES"/>
        </w:rPr>
      </w:pPr>
      <w:r w:rsidRPr="00321D44">
        <w:rPr>
          <w:szCs w:val="24"/>
          <w:lang w:val="es-ES"/>
        </w:rPr>
        <w:t>156.</w:t>
      </w:r>
      <w:r w:rsidRPr="00321D44">
        <w:rPr>
          <w:szCs w:val="24"/>
          <w:lang w:val="es-ES"/>
        </w:rPr>
        <w:tab/>
      </w:r>
      <w:smartTag w:uri="urn:schemas-microsoft-com:office:smarttags" w:element="PersonName">
        <w:smartTagPr>
          <w:attr w:name="ProductID" w:val="La Ley"/>
        </w:smartTagPr>
        <w:r>
          <w:rPr>
            <w:szCs w:val="24"/>
            <w:lang w:val="es-ES"/>
          </w:rPr>
          <w:t>La Ley</w:t>
        </w:r>
      </w:smartTag>
      <w:r>
        <w:rPr>
          <w:szCs w:val="24"/>
          <w:lang w:val="es-ES"/>
        </w:rPr>
        <w:t xml:space="preserve"> de seguro de desempleo se modificó en mayo de 2011 con objeto de especificar la duración de las prestaciones d</w:t>
      </w:r>
      <w:r w:rsidR="00881C4B">
        <w:rPr>
          <w:szCs w:val="24"/>
          <w:lang w:val="es-ES"/>
        </w:rPr>
        <w:t xml:space="preserve">el seguro de desempleo </w:t>
      </w:r>
      <w:r w:rsidR="005C04BF">
        <w:rPr>
          <w:szCs w:val="24"/>
          <w:lang w:val="es-ES"/>
        </w:rPr>
        <w:t>cuando se busca trabajo</w:t>
      </w:r>
      <w:r>
        <w:rPr>
          <w:szCs w:val="24"/>
          <w:lang w:val="es-ES"/>
        </w:rPr>
        <w:t xml:space="preserve"> en otro país del Espacio Económico Europe</w:t>
      </w:r>
      <w:r w:rsidR="007C5A5B">
        <w:rPr>
          <w:szCs w:val="24"/>
          <w:lang w:val="es-ES"/>
        </w:rPr>
        <w:t>o</w:t>
      </w:r>
      <w:r>
        <w:rPr>
          <w:szCs w:val="24"/>
          <w:lang w:val="es-ES"/>
        </w:rPr>
        <w:t xml:space="preserve"> o </w:t>
      </w:r>
      <w:smartTag w:uri="urn:schemas-microsoft-com:office:smarttags" w:element="PersonName">
        <w:smartTagPr>
          <w:attr w:name="ProductID" w:val="la Confederaci￳n Suiza."/>
        </w:smartTagPr>
        <w:r>
          <w:rPr>
            <w:szCs w:val="24"/>
            <w:lang w:val="es-ES"/>
          </w:rPr>
          <w:t>la Confederación Suiza.</w:t>
        </w:r>
      </w:smartTag>
      <w:r w:rsidRPr="00321D44">
        <w:rPr>
          <w:szCs w:val="24"/>
          <w:lang w:val="es-ES"/>
        </w:rPr>
        <w:t xml:space="preserve"> </w:t>
      </w:r>
      <w:r w:rsidR="00CC5BA4">
        <w:rPr>
          <w:szCs w:val="24"/>
          <w:lang w:val="es-ES"/>
        </w:rPr>
        <w:t>Esa modificación era necesaria</w:t>
      </w:r>
      <w:r>
        <w:rPr>
          <w:szCs w:val="24"/>
          <w:lang w:val="es-ES"/>
        </w:rPr>
        <w:t xml:space="preserve"> en virtud del Reglamento (CE) </w:t>
      </w:r>
      <w:r w:rsidR="00E34555">
        <w:rPr>
          <w:szCs w:val="24"/>
          <w:lang w:val="es-ES"/>
        </w:rPr>
        <w:t xml:space="preserve">Nº </w:t>
      </w:r>
      <w:r>
        <w:rPr>
          <w:szCs w:val="24"/>
          <w:lang w:val="es-ES"/>
        </w:rPr>
        <w:t xml:space="preserve">883/2004 del </w:t>
      </w:r>
      <w:r w:rsidR="007C5A5B">
        <w:rPr>
          <w:szCs w:val="24"/>
          <w:lang w:val="es-ES"/>
        </w:rPr>
        <w:t>Parlamento Europeo y del Consejo</w:t>
      </w:r>
      <w:r>
        <w:rPr>
          <w:szCs w:val="24"/>
          <w:lang w:val="es-ES"/>
        </w:rPr>
        <w:t xml:space="preserve"> (en vi</w:t>
      </w:r>
      <w:r w:rsidR="005C04BF">
        <w:rPr>
          <w:szCs w:val="24"/>
          <w:lang w:val="es-ES"/>
        </w:rPr>
        <w:t xml:space="preserve">gor desde el 1 de mayo de 2010) ya que, de conformidad con su </w:t>
      </w:r>
      <w:r w:rsidR="00CC5BA4">
        <w:rPr>
          <w:szCs w:val="24"/>
          <w:lang w:val="es-ES"/>
        </w:rPr>
        <w:t>artículo 64</w:t>
      </w:r>
      <w:r>
        <w:rPr>
          <w:szCs w:val="24"/>
          <w:lang w:val="es-ES"/>
        </w:rPr>
        <w:t xml:space="preserve">, </w:t>
      </w:r>
      <w:r w:rsidR="002B491B">
        <w:rPr>
          <w:szCs w:val="24"/>
          <w:lang w:val="es-ES"/>
        </w:rPr>
        <w:t>"</w:t>
      </w:r>
      <w:r>
        <w:rPr>
          <w:szCs w:val="24"/>
          <w:lang w:val="es-ES"/>
        </w:rPr>
        <w:t xml:space="preserve">el </w:t>
      </w:r>
      <w:r w:rsidR="007C5A5B">
        <w:rPr>
          <w:szCs w:val="24"/>
          <w:lang w:val="es-ES"/>
        </w:rPr>
        <w:t>interesado</w:t>
      </w:r>
      <w:r>
        <w:rPr>
          <w:szCs w:val="24"/>
          <w:lang w:val="es-ES"/>
        </w:rPr>
        <w:t xml:space="preserve"> conservará el derecho a las prestaciones durante un período de tres meses a partir de la fecha en que haya dejado de estar a disposición de los servicios de empleo del Estado miembro de</w:t>
      </w:r>
      <w:r w:rsidR="00733EF2">
        <w:rPr>
          <w:szCs w:val="24"/>
          <w:lang w:val="es-ES"/>
        </w:rPr>
        <w:t xml:space="preserve"> del qu</w:t>
      </w:r>
      <w:r>
        <w:rPr>
          <w:szCs w:val="24"/>
          <w:lang w:val="es-ES"/>
        </w:rPr>
        <w:t>e proceda</w:t>
      </w:r>
      <w:r w:rsidR="002B491B">
        <w:rPr>
          <w:szCs w:val="24"/>
          <w:lang w:val="es-ES"/>
        </w:rPr>
        <w:t>"</w:t>
      </w:r>
      <w:r>
        <w:rPr>
          <w:szCs w:val="24"/>
          <w:lang w:val="es-ES"/>
        </w:rPr>
        <w:t>.</w:t>
      </w:r>
      <w:r w:rsidRPr="00321D44">
        <w:rPr>
          <w:szCs w:val="24"/>
          <w:lang w:val="es-ES"/>
        </w:rPr>
        <w:t xml:space="preserve"> </w:t>
      </w:r>
      <w:r>
        <w:rPr>
          <w:szCs w:val="24"/>
          <w:lang w:val="es-ES"/>
        </w:rPr>
        <w:t>En tales casos, el Fondo de Seguro de Desempleo de Estonia continúa abonando las prestaciones</w:t>
      </w:r>
      <w:r w:rsidR="00733EF2">
        <w:rPr>
          <w:szCs w:val="24"/>
          <w:lang w:val="es-ES"/>
        </w:rPr>
        <w:t xml:space="preserve"> si el interesado está inscrit</w:t>
      </w:r>
      <w:r>
        <w:rPr>
          <w:szCs w:val="24"/>
          <w:lang w:val="es-ES"/>
        </w:rPr>
        <w:t xml:space="preserve">o como </w:t>
      </w:r>
      <w:r w:rsidR="00BA3C05">
        <w:rPr>
          <w:szCs w:val="24"/>
          <w:lang w:val="es-ES"/>
        </w:rPr>
        <w:t>solicitant</w:t>
      </w:r>
      <w:r>
        <w:rPr>
          <w:szCs w:val="24"/>
          <w:lang w:val="es-ES"/>
        </w:rPr>
        <w:t xml:space="preserve">e de empleo, o hasta </w:t>
      </w:r>
      <w:r w:rsidR="00BA3C05">
        <w:rPr>
          <w:szCs w:val="24"/>
          <w:lang w:val="es-ES"/>
        </w:rPr>
        <w:t xml:space="preserve">su </w:t>
      </w:r>
      <w:r>
        <w:rPr>
          <w:szCs w:val="24"/>
          <w:lang w:val="es-ES"/>
        </w:rPr>
        <w:t>regres</w:t>
      </w:r>
      <w:r w:rsidR="00BA3C05">
        <w:rPr>
          <w:szCs w:val="24"/>
          <w:lang w:val="es-ES"/>
        </w:rPr>
        <w:t>o</w:t>
      </w:r>
      <w:r>
        <w:rPr>
          <w:szCs w:val="24"/>
          <w:lang w:val="es-ES"/>
        </w:rPr>
        <w:t xml:space="preserve"> a Estonia.</w:t>
      </w:r>
      <w:r w:rsidRPr="00321D44">
        <w:rPr>
          <w:szCs w:val="24"/>
          <w:lang w:val="es-ES"/>
        </w:rPr>
        <w:t xml:space="preserve"> </w:t>
      </w:r>
      <w:r>
        <w:rPr>
          <w:szCs w:val="24"/>
          <w:lang w:val="es-ES"/>
        </w:rPr>
        <w:t xml:space="preserve">El período de pago puede prolongarse hasta tres meses mediante solicitud debidamente fundamentada y por </w:t>
      </w:r>
      <w:r w:rsidR="001E7E5D">
        <w:rPr>
          <w:szCs w:val="24"/>
          <w:lang w:val="es-ES"/>
        </w:rPr>
        <w:t>decisión</w:t>
      </w:r>
      <w:r w:rsidR="008B7735">
        <w:rPr>
          <w:szCs w:val="24"/>
          <w:lang w:val="es-ES"/>
        </w:rPr>
        <w:t xml:space="preserve"> propia</w:t>
      </w:r>
      <w:r>
        <w:rPr>
          <w:szCs w:val="24"/>
          <w:lang w:val="es-ES"/>
        </w:rPr>
        <w:t>.</w:t>
      </w:r>
    </w:p>
    <w:p w:rsidR="00652C0B" w:rsidRPr="00321D44" w:rsidRDefault="00652C0B" w:rsidP="00637350">
      <w:pPr>
        <w:pStyle w:val="SingleTxtG"/>
        <w:rPr>
          <w:szCs w:val="24"/>
          <w:lang w:val="es-ES"/>
        </w:rPr>
      </w:pPr>
      <w:r w:rsidRPr="00321D44">
        <w:rPr>
          <w:szCs w:val="24"/>
          <w:lang w:val="es-ES"/>
        </w:rPr>
        <w:t>157.</w:t>
      </w:r>
      <w:r w:rsidRPr="00321D44">
        <w:rPr>
          <w:szCs w:val="24"/>
          <w:lang w:val="es-ES"/>
        </w:rPr>
        <w:tab/>
      </w:r>
      <w:r>
        <w:rPr>
          <w:szCs w:val="24"/>
          <w:lang w:val="es-ES"/>
        </w:rPr>
        <w:t xml:space="preserve">En respuesta al párrafo 16 de las observaciones finales del Comité, donde </w:t>
      </w:r>
      <w:r w:rsidR="008B7735">
        <w:rPr>
          <w:szCs w:val="24"/>
          <w:lang w:val="es-ES"/>
        </w:rPr>
        <w:t xml:space="preserve">se </w:t>
      </w:r>
      <w:r>
        <w:rPr>
          <w:szCs w:val="24"/>
          <w:lang w:val="es-ES"/>
        </w:rPr>
        <w:t>recomendaba al Estado parte arte que incluyese datos relativos al empleo desglosados por grupo étnico, nacionalidad e idioma hablado, notificamos que en Estonia no se re</w:t>
      </w:r>
      <w:r w:rsidR="008B7735">
        <w:rPr>
          <w:szCs w:val="24"/>
          <w:lang w:val="es-ES"/>
        </w:rPr>
        <w:t>copila</w:t>
      </w:r>
      <w:r>
        <w:rPr>
          <w:szCs w:val="24"/>
          <w:lang w:val="es-ES"/>
        </w:rPr>
        <w:t xml:space="preserve"> información sobre el nivel salarial de los distintos grupos étnicos.</w:t>
      </w:r>
      <w:r w:rsidRPr="00321D44">
        <w:rPr>
          <w:szCs w:val="24"/>
          <w:lang w:val="es-ES"/>
        </w:rPr>
        <w:t xml:space="preserve"> </w:t>
      </w:r>
      <w:r>
        <w:rPr>
          <w:szCs w:val="24"/>
          <w:lang w:val="es-ES"/>
        </w:rPr>
        <w:t>Los datos sobre la nacionalidad de las personas son confidenciales</w:t>
      </w:r>
      <w:r w:rsidR="001E7E5D">
        <w:rPr>
          <w:szCs w:val="24"/>
          <w:lang w:val="es-ES"/>
        </w:rPr>
        <w:t>,</w:t>
      </w:r>
      <w:r>
        <w:rPr>
          <w:szCs w:val="24"/>
          <w:lang w:val="es-ES"/>
        </w:rPr>
        <w:t xml:space="preserve"> y </w:t>
      </w:r>
      <w:r w:rsidR="008B7735">
        <w:rPr>
          <w:szCs w:val="24"/>
          <w:lang w:val="es-ES"/>
        </w:rPr>
        <w:t xml:space="preserve">para la </w:t>
      </w:r>
      <w:r>
        <w:rPr>
          <w:szCs w:val="24"/>
          <w:lang w:val="es-ES"/>
        </w:rPr>
        <w:t xml:space="preserve">recopilación de esa información </w:t>
      </w:r>
      <w:r w:rsidR="008B7735">
        <w:rPr>
          <w:szCs w:val="24"/>
          <w:lang w:val="es-ES"/>
        </w:rPr>
        <w:t xml:space="preserve">se </w:t>
      </w:r>
      <w:r>
        <w:rPr>
          <w:szCs w:val="24"/>
          <w:lang w:val="es-ES"/>
        </w:rPr>
        <w:t>requ</w:t>
      </w:r>
      <w:r w:rsidR="008B7735">
        <w:rPr>
          <w:szCs w:val="24"/>
          <w:lang w:val="es-ES"/>
        </w:rPr>
        <w:t>i</w:t>
      </w:r>
      <w:r>
        <w:rPr>
          <w:szCs w:val="24"/>
          <w:lang w:val="es-ES"/>
        </w:rPr>
        <w:t>e</w:t>
      </w:r>
      <w:r w:rsidR="008B7735">
        <w:rPr>
          <w:szCs w:val="24"/>
          <w:lang w:val="es-ES"/>
        </w:rPr>
        <w:t>re</w:t>
      </w:r>
      <w:r>
        <w:rPr>
          <w:szCs w:val="24"/>
          <w:lang w:val="es-ES"/>
        </w:rPr>
        <w:t xml:space="preserve"> </w:t>
      </w:r>
      <w:r w:rsidR="00B133CC">
        <w:rPr>
          <w:szCs w:val="24"/>
          <w:lang w:val="es-ES"/>
        </w:rPr>
        <w:t>una base</w:t>
      </w:r>
      <w:r w:rsidR="008B7735">
        <w:rPr>
          <w:szCs w:val="24"/>
          <w:lang w:val="es-ES"/>
        </w:rPr>
        <w:t xml:space="preserve"> </w:t>
      </w:r>
      <w:r>
        <w:rPr>
          <w:szCs w:val="24"/>
          <w:lang w:val="es-ES"/>
        </w:rPr>
        <w:t>jurídic</w:t>
      </w:r>
      <w:r w:rsidR="008B7735">
        <w:rPr>
          <w:szCs w:val="24"/>
          <w:lang w:val="es-ES"/>
        </w:rPr>
        <w:t>a</w:t>
      </w:r>
      <w:r>
        <w:rPr>
          <w:szCs w:val="24"/>
          <w:lang w:val="es-ES"/>
        </w:rPr>
        <w:t>.</w:t>
      </w:r>
      <w:r w:rsidRPr="00321D44">
        <w:rPr>
          <w:szCs w:val="24"/>
          <w:lang w:val="es-ES"/>
        </w:rPr>
        <w:t xml:space="preserve"> </w:t>
      </w:r>
      <w:r>
        <w:rPr>
          <w:szCs w:val="24"/>
          <w:lang w:val="es-ES"/>
        </w:rPr>
        <w:t>Los datos relativos al nivel salarial se agrupa</w:t>
      </w:r>
      <w:r w:rsidR="001E7E5D">
        <w:rPr>
          <w:szCs w:val="24"/>
          <w:lang w:val="es-ES"/>
        </w:rPr>
        <w:t>n</w:t>
      </w:r>
      <w:r>
        <w:rPr>
          <w:szCs w:val="24"/>
          <w:lang w:val="es-ES"/>
        </w:rPr>
        <w:t xml:space="preserve"> por esfera de actividad y profesión.</w:t>
      </w:r>
      <w:r w:rsidRPr="00321D44">
        <w:rPr>
          <w:szCs w:val="24"/>
          <w:lang w:val="es-ES"/>
        </w:rPr>
        <w:t xml:space="preserve"> </w:t>
      </w:r>
      <w:r>
        <w:rPr>
          <w:szCs w:val="24"/>
          <w:lang w:val="es-ES"/>
        </w:rPr>
        <w:t xml:space="preserve">Cabe señalar que, en 2010, la </w:t>
      </w:r>
      <w:r w:rsidR="008B7735">
        <w:rPr>
          <w:szCs w:val="24"/>
          <w:lang w:val="es-ES"/>
        </w:rPr>
        <w:t xml:space="preserve">relación </w:t>
      </w:r>
      <w:r w:rsidR="001E7E5D">
        <w:rPr>
          <w:szCs w:val="24"/>
          <w:lang w:val="es-ES"/>
        </w:rPr>
        <w:t xml:space="preserve">de equivalencia </w:t>
      </w:r>
      <w:r>
        <w:rPr>
          <w:szCs w:val="24"/>
          <w:lang w:val="es-ES"/>
        </w:rPr>
        <w:t>entre los ingresos de estonios y no estonios fue aproximadamente de 1,</w:t>
      </w:r>
      <w:r w:rsidR="008B7735">
        <w:rPr>
          <w:szCs w:val="24"/>
          <w:lang w:val="es-ES"/>
        </w:rPr>
        <w:t>3</w:t>
      </w:r>
      <w:r>
        <w:rPr>
          <w:szCs w:val="24"/>
          <w:lang w:val="es-ES"/>
        </w:rPr>
        <w:t>.</w:t>
      </w:r>
    </w:p>
    <w:p w:rsidR="00DB6453" w:rsidRPr="00321D44" w:rsidRDefault="00DB6453" w:rsidP="00637350">
      <w:pPr>
        <w:pStyle w:val="SingleTxtG"/>
        <w:rPr>
          <w:szCs w:val="24"/>
          <w:lang w:val="es-ES"/>
        </w:rPr>
      </w:pPr>
      <w:r w:rsidRPr="00321D44">
        <w:rPr>
          <w:szCs w:val="24"/>
          <w:lang w:val="es-ES"/>
        </w:rPr>
        <w:t>158.</w:t>
      </w:r>
      <w:r w:rsidRPr="00321D44">
        <w:rPr>
          <w:szCs w:val="24"/>
          <w:lang w:val="es-ES"/>
        </w:rPr>
        <w:tab/>
      </w:r>
      <w:r>
        <w:rPr>
          <w:szCs w:val="24"/>
          <w:lang w:val="es-ES"/>
        </w:rPr>
        <w:t xml:space="preserve">Como resultado de la crisis económica mundial que se inició en 2008, la tasa de empleo en </w:t>
      </w:r>
      <w:r w:rsidR="00696F23">
        <w:rPr>
          <w:szCs w:val="24"/>
          <w:lang w:val="es-ES"/>
        </w:rPr>
        <w:t xml:space="preserve">el grupo de edad de </w:t>
      </w:r>
      <w:smartTag w:uri="urn:schemas-microsoft-com:office:smarttags" w:element="metricconverter">
        <w:smartTagPr>
          <w:attr w:name="ProductID" w:val="15 a"/>
        </w:smartTagPr>
        <w:r>
          <w:rPr>
            <w:szCs w:val="24"/>
            <w:lang w:val="es-ES"/>
          </w:rPr>
          <w:t xml:space="preserve">15 </w:t>
        </w:r>
        <w:r w:rsidR="00696F23">
          <w:rPr>
            <w:szCs w:val="24"/>
            <w:lang w:val="es-ES"/>
          </w:rPr>
          <w:t>a</w:t>
        </w:r>
      </w:smartTag>
      <w:r>
        <w:rPr>
          <w:szCs w:val="24"/>
          <w:lang w:val="es-ES"/>
        </w:rPr>
        <w:t xml:space="preserve"> 64 años disminuyó del 69,5 al 60,7%</w:t>
      </w:r>
      <w:r w:rsidR="00696F23">
        <w:rPr>
          <w:szCs w:val="24"/>
          <w:lang w:val="es-ES"/>
        </w:rPr>
        <w:t xml:space="preserve"> en 2010</w:t>
      </w:r>
      <w:r>
        <w:rPr>
          <w:szCs w:val="24"/>
          <w:lang w:val="es-ES"/>
        </w:rPr>
        <w:t>. Paralelamente, la tasa de desempleo se incrementó hasta el 16,9%.</w:t>
      </w:r>
      <w:r w:rsidRPr="00321D44">
        <w:rPr>
          <w:szCs w:val="24"/>
          <w:lang w:val="es-ES"/>
        </w:rPr>
        <w:t xml:space="preserve"> </w:t>
      </w:r>
      <w:r>
        <w:rPr>
          <w:szCs w:val="24"/>
          <w:lang w:val="es-ES"/>
        </w:rPr>
        <w:t xml:space="preserve">Sin embargo, en 2011 </w:t>
      </w:r>
      <w:r w:rsidR="00B133CC">
        <w:rPr>
          <w:szCs w:val="24"/>
          <w:lang w:val="es-ES"/>
        </w:rPr>
        <w:t>se produjo</w:t>
      </w:r>
      <w:r w:rsidR="00824C29">
        <w:rPr>
          <w:szCs w:val="24"/>
          <w:lang w:val="es-ES"/>
        </w:rPr>
        <w:t xml:space="preserve"> </w:t>
      </w:r>
      <w:r>
        <w:rPr>
          <w:szCs w:val="24"/>
          <w:lang w:val="es-ES"/>
        </w:rPr>
        <w:t xml:space="preserve">una recuperación económica y la situación del mercado laboral ha </w:t>
      </w:r>
      <w:r w:rsidR="00824C29">
        <w:rPr>
          <w:szCs w:val="24"/>
          <w:lang w:val="es-ES"/>
        </w:rPr>
        <w:t xml:space="preserve">seguido </w:t>
      </w:r>
      <w:r>
        <w:rPr>
          <w:szCs w:val="24"/>
          <w:lang w:val="es-ES"/>
        </w:rPr>
        <w:t>mejora</w:t>
      </w:r>
      <w:r w:rsidR="00824C29">
        <w:rPr>
          <w:szCs w:val="24"/>
          <w:lang w:val="es-ES"/>
        </w:rPr>
        <w:t>n</w:t>
      </w:r>
      <w:r>
        <w:rPr>
          <w:szCs w:val="24"/>
          <w:lang w:val="es-ES"/>
        </w:rPr>
        <w:t>do desde entonces.</w:t>
      </w:r>
      <w:r w:rsidRPr="00321D44">
        <w:rPr>
          <w:szCs w:val="24"/>
          <w:lang w:val="es-ES"/>
        </w:rPr>
        <w:t xml:space="preserve"> </w:t>
      </w:r>
      <w:r>
        <w:rPr>
          <w:szCs w:val="24"/>
          <w:lang w:val="es-ES"/>
        </w:rPr>
        <w:t>La tasa de empleo fue del 64,9%</w:t>
      </w:r>
      <w:r w:rsidR="005D0327">
        <w:rPr>
          <w:szCs w:val="24"/>
          <w:lang w:val="es-ES"/>
        </w:rPr>
        <w:t xml:space="preserve"> en 2011</w:t>
      </w:r>
      <w:r>
        <w:rPr>
          <w:szCs w:val="24"/>
          <w:lang w:val="es-ES"/>
        </w:rPr>
        <w:t>, mientras que l</w:t>
      </w:r>
      <w:r w:rsidR="005D0327">
        <w:rPr>
          <w:szCs w:val="24"/>
          <w:lang w:val="es-ES"/>
        </w:rPr>
        <w:t>a</w:t>
      </w:r>
      <w:r>
        <w:rPr>
          <w:szCs w:val="24"/>
          <w:lang w:val="es-ES"/>
        </w:rPr>
        <w:t xml:space="preserve"> </w:t>
      </w:r>
      <w:r w:rsidR="005D0327">
        <w:rPr>
          <w:szCs w:val="24"/>
          <w:lang w:val="es-ES"/>
        </w:rPr>
        <w:t xml:space="preserve">tasa de </w:t>
      </w:r>
      <w:r>
        <w:rPr>
          <w:szCs w:val="24"/>
          <w:lang w:val="es-ES"/>
        </w:rPr>
        <w:t xml:space="preserve">desempleo </w:t>
      </w:r>
      <w:r w:rsidR="005D0327">
        <w:rPr>
          <w:szCs w:val="24"/>
          <w:lang w:val="es-ES"/>
        </w:rPr>
        <w:t>fue</w:t>
      </w:r>
      <w:r>
        <w:rPr>
          <w:szCs w:val="24"/>
          <w:lang w:val="es-ES"/>
        </w:rPr>
        <w:t xml:space="preserve"> </w:t>
      </w:r>
      <w:r w:rsidR="005D0327">
        <w:rPr>
          <w:szCs w:val="24"/>
          <w:lang w:val="es-ES"/>
        </w:rPr>
        <w:t>d</w:t>
      </w:r>
      <w:r>
        <w:rPr>
          <w:szCs w:val="24"/>
          <w:lang w:val="es-ES"/>
        </w:rPr>
        <w:t>el 12,5%.</w:t>
      </w:r>
      <w:r w:rsidRPr="00321D44">
        <w:rPr>
          <w:szCs w:val="24"/>
          <w:lang w:val="es-ES"/>
        </w:rPr>
        <w:t xml:space="preserve"> </w:t>
      </w:r>
      <w:r w:rsidR="005D0327">
        <w:rPr>
          <w:szCs w:val="24"/>
          <w:lang w:val="es-ES"/>
        </w:rPr>
        <w:t>En el mercado de trabajo, l</w:t>
      </w:r>
      <w:r>
        <w:rPr>
          <w:szCs w:val="24"/>
          <w:lang w:val="es-ES"/>
        </w:rPr>
        <w:t xml:space="preserve">a situación más </w:t>
      </w:r>
      <w:r w:rsidR="005D0327">
        <w:rPr>
          <w:szCs w:val="24"/>
          <w:lang w:val="es-ES"/>
        </w:rPr>
        <w:t>d</w:t>
      </w:r>
      <w:r>
        <w:rPr>
          <w:szCs w:val="24"/>
          <w:lang w:val="es-ES"/>
        </w:rPr>
        <w:t xml:space="preserve">ifícil </w:t>
      </w:r>
      <w:r w:rsidR="005D0327">
        <w:rPr>
          <w:szCs w:val="24"/>
          <w:lang w:val="es-ES"/>
        </w:rPr>
        <w:t xml:space="preserve">es la de </w:t>
      </w:r>
      <w:r w:rsidR="00B133CC">
        <w:rPr>
          <w:szCs w:val="24"/>
          <w:lang w:val="es-ES"/>
        </w:rPr>
        <w:t>quienes no</w:t>
      </w:r>
      <w:r w:rsidR="005D0327">
        <w:rPr>
          <w:szCs w:val="24"/>
          <w:lang w:val="es-ES"/>
        </w:rPr>
        <w:t xml:space="preserve"> </w:t>
      </w:r>
      <w:r w:rsidR="00B133CC">
        <w:rPr>
          <w:szCs w:val="24"/>
          <w:lang w:val="es-ES"/>
        </w:rPr>
        <w:t>dominan</w:t>
      </w:r>
      <w:r>
        <w:rPr>
          <w:szCs w:val="24"/>
          <w:lang w:val="es-ES"/>
        </w:rPr>
        <w:t xml:space="preserve"> suficiente</w:t>
      </w:r>
      <w:r w:rsidR="00B133CC">
        <w:rPr>
          <w:szCs w:val="24"/>
          <w:lang w:val="es-ES"/>
        </w:rPr>
        <w:t>ment</w:t>
      </w:r>
      <w:r>
        <w:rPr>
          <w:szCs w:val="24"/>
          <w:lang w:val="es-ES"/>
        </w:rPr>
        <w:t>e la lengua oficial.</w:t>
      </w:r>
      <w:r w:rsidRPr="00321D44">
        <w:rPr>
          <w:szCs w:val="24"/>
          <w:lang w:val="es-ES"/>
        </w:rPr>
        <w:t xml:space="preserve"> </w:t>
      </w:r>
      <w:r>
        <w:rPr>
          <w:szCs w:val="24"/>
          <w:lang w:val="es-ES"/>
        </w:rPr>
        <w:t>Su acceso al mercado laboral es más difícil y tienen m</w:t>
      </w:r>
      <w:r w:rsidR="005D0327">
        <w:rPr>
          <w:szCs w:val="24"/>
          <w:lang w:val="es-ES"/>
        </w:rPr>
        <w:t>ás</w:t>
      </w:r>
      <w:r>
        <w:rPr>
          <w:szCs w:val="24"/>
          <w:lang w:val="es-ES"/>
        </w:rPr>
        <w:t xml:space="preserve"> probabilidad</w:t>
      </w:r>
      <w:r w:rsidR="005D0327">
        <w:rPr>
          <w:szCs w:val="24"/>
          <w:lang w:val="es-ES"/>
        </w:rPr>
        <w:t>es</w:t>
      </w:r>
      <w:r>
        <w:rPr>
          <w:szCs w:val="24"/>
          <w:lang w:val="es-ES"/>
        </w:rPr>
        <w:t xml:space="preserve"> de permanecer desempleados </w:t>
      </w:r>
      <w:r w:rsidR="005D0327">
        <w:rPr>
          <w:szCs w:val="24"/>
          <w:lang w:val="es-ES"/>
        </w:rPr>
        <w:t xml:space="preserve">durante </w:t>
      </w:r>
      <w:r>
        <w:rPr>
          <w:szCs w:val="24"/>
          <w:lang w:val="es-ES"/>
        </w:rPr>
        <w:t>más tiempo.</w:t>
      </w:r>
      <w:r w:rsidRPr="00321D44">
        <w:rPr>
          <w:szCs w:val="24"/>
          <w:lang w:val="es-ES"/>
        </w:rPr>
        <w:t xml:space="preserve"> </w:t>
      </w:r>
      <w:r>
        <w:rPr>
          <w:szCs w:val="24"/>
          <w:lang w:val="es-ES"/>
        </w:rPr>
        <w:t>Según datos re</w:t>
      </w:r>
      <w:r w:rsidR="005D0327">
        <w:rPr>
          <w:szCs w:val="24"/>
          <w:lang w:val="es-ES"/>
        </w:rPr>
        <w:t>cog</w:t>
      </w:r>
      <w:r>
        <w:rPr>
          <w:szCs w:val="24"/>
          <w:lang w:val="es-ES"/>
        </w:rPr>
        <w:t xml:space="preserve">idos por el Ministerio de Asuntos Sociales, en 2011 la tasa de desempleo entre los estonios y no estonios fue del 9,7% y </w:t>
      </w:r>
      <w:r w:rsidR="005D0327">
        <w:rPr>
          <w:szCs w:val="24"/>
          <w:lang w:val="es-ES"/>
        </w:rPr>
        <w:t xml:space="preserve">del </w:t>
      </w:r>
      <w:r w:rsidR="00DC068D">
        <w:rPr>
          <w:szCs w:val="24"/>
          <w:lang w:val="es-ES"/>
        </w:rPr>
        <w:t xml:space="preserve">18,2%, </w:t>
      </w:r>
      <w:r>
        <w:rPr>
          <w:szCs w:val="24"/>
          <w:lang w:val="es-ES"/>
        </w:rPr>
        <w:t>respectivamente.</w:t>
      </w:r>
    </w:p>
    <w:p w:rsidR="00FD22EC" w:rsidRPr="00BF39E4" w:rsidRDefault="00FD22EC" w:rsidP="00637350">
      <w:pPr>
        <w:pStyle w:val="SingleTxtG"/>
        <w:rPr>
          <w:szCs w:val="24"/>
          <w:lang w:val="es-ES"/>
        </w:rPr>
      </w:pPr>
      <w:r w:rsidRPr="00BF39E4">
        <w:rPr>
          <w:szCs w:val="24"/>
          <w:lang w:val="es-ES"/>
        </w:rPr>
        <w:t>159.</w:t>
      </w:r>
      <w:r w:rsidRPr="00BF39E4">
        <w:rPr>
          <w:szCs w:val="24"/>
          <w:lang w:val="es-ES"/>
        </w:rPr>
        <w:tab/>
      </w:r>
      <w:r>
        <w:rPr>
          <w:szCs w:val="24"/>
          <w:lang w:val="es-ES"/>
        </w:rPr>
        <w:t xml:space="preserve">En comparación con los estonios, los no estonios son más activos en el mercado laboral, </w:t>
      </w:r>
      <w:r w:rsidR="00DC068D">
        <w:rPr>
          <w:szCs w:val="24"/>
          <w:lang w:val="es-ES"/>
        </w:rPr>
        <w:t>lo que se hizo más evidente</w:t>
      </w:r>
      <w:r>
        <w:rPr>
          <w:szCs w:val="24"/>
          <w:lang w:val="es-ES"/>
        </w:rPr>
        <w:t xml:space="preserve"> </w:t>
      </w:r>
      <w:r w:rsidR="00B90C84">
        <w:rPr>
          <w:szCs w:val="24"/>
          <w:lang w:val="es-ES"/>
        </w:rPr>
        <w:t xml:space="preserve">bajo </w:t>
      </w:r>
      <w:r>
        <w:rPr>
          <w:szCs w:val="24"/>
          <w:lang w:val="es-ES"/>
        </w:rPr>
        <w:t>las condiciones de la crisis económica.</w:t>
      </w:r>
      <w:r w:rsidRPr="00BF39E4">
        <w:rPr>
          <w:szCs w:val="24"/>
          <w:lang w:val="es-ES"/>
        </w:rPr>
        <w:t xml:space="preserve"> </w:t>
      </w:r>
      <w:r>
        <w:rPr>
          <w:szCs w:val="24"/>
          <w:lang w:val="es-ES"/>
        </w:rPr>
        <w:t>Los no estonios no desisten de la búsqueda de empleo con tanta frecuencia, y la proporción de personas inactivas ha d</w:t>
      </w:r>
      <w:r w:rsidR="00122076">
        <w:rPr>
          <w:szCs w:val="24"/>
          <w:lang w:val="es-ES"/>
        </w:rPr>
        <w:t>isminuido</w:t>
      </w:r>
      <w:r>
        <w:rPr>
          <w:szCs w:val="24"/>
          <w:lang w:val="es-ES"/>
        </w:rPr>
        <w:t xml:space="preserve"> incluso </w:t>
      </w:r>
      <w:r w:rsidR="00122076">
        <w:rPr>
          <w:szCs w:val="24"/>
          <w:lang w:val="es-ES"/>
        </w:rPr>
        <w:t xml:space="preserve">con </w:t>
      </w:r>
      <w:r>
        <w:rPr>
          <w:szCs w:val="24"/>
          <w:lang w:val="es-ES"/>
        </w:rPr>
        <w:t>tasa</w:t>
      </w:r>
      <w:r w:rsidR="00122076">
        <w:rPr>
          <w:szCs w:val="24"/>
          <w:lang w:val="es-ES"/>
        </w:rPr>
        <w:t>s</w:t>
      </w:r>
      <w:r>
        <w:rPr>
          <w:szCs w:val="24"/>
          <w:lang w:val="es-ES"/>
        </w:rPr>
        <w:t xml:space="preserve"> </w:t>
      </w:r>
      <w:r w:rsidR="00122076">
        <w:rPr>
          <w:szCs w:val="24"/>
          <w:lang w:val="es-ES"/>
        </w:rPr>
        <w:t xml:space="preserve">elevadas </w:t>
      </w:r>
      <w:r>
        <w:rPr>
          <w:szCs w:val="24"/>
          <w:lang w:val="es-ES"/>
        </w:rPr>
        <w:t>de desempleo.</w:t>
      </w:r>
      <w:r w:rsidRPr="00BF39E4">
        <w:rPr>
          <w:szCs w:val="24"/>
          <w:lang w:val="es-ES"/>
        </w:rPr>
        <w:t xml:space="preserve"> </w:t>
      </w:r>
      <w:r w:rsidR="00DC068D">
        <w:rPr>
          <w:szCs w:val="24"/>
          <w:lang w:val="es-ES"/>
        </w:rPr>
        <w:t>Para</w:t>
      </w:r>
      <w:r>
        <w:rPr>
          <w:szCs w:val="24"/>
          <w:lang w:val="es-ES"/>
        </w:rPr>
        <w:t xml:space="preserve"> mejorar la competitividad de los no estonios en el mercado </w:t>
      </w:r>
      <w:r w:rsidR="00B90C84">
        <w:rPr>
          <w:szCs w:val="24"/>
          <w:lang w:val="es-ES"/>
        </w:rPr>
        <w:t>de trabajo</w:t>
      </w:r>
      <w:r>
        <w:rPr>
          <w:szCs w:val="24"/>
          <w:lang w:val="es-ES"/>
        </w:rPr>
        <w:t xml:space="preserve">, </w:t>
      </w:r>
      <w:r w:rsidR="00DC068D">
        <w:rPr>
          <w:szCs w:val="24"/>
          <w:lang w:val="es-ES"/>
        </w:rPr>
        <w:t xml:space="preserve">es de suma importancia </w:t>
      </w:r>
      <w:r>
        <w:rPr>
          <w:szCs w:val="24"/>
          <w:lang w:val="es-ES"/>
        </w:rPr>
        <w:t xml:space="preserve">contribuir a </w:t>
      </w:r>
      <w:r w:rsidR="00DC068D">
        <w:rPr>
          <w:szCs w:val="24"/>
          <w:lang w:val="es-ES"/>
        </w:rPr>
        <w:t>la mejora de</w:t>
      </w:r>
      <w:r>
        <w:rPr>
          <w:szCs w:val="24"/>
          <w:lang w:val="es-ES"/>
        </w:rPr>
        <w:t xml:space="preserve"> sus conocimientos de estonio.</w:t>
      </w:r>
    </w:p>
    <w:p w:rsidR="007C4452" w:rsidRPr="00BF39E4" w:rsidRDefault="007C4452" w:rsidP="00637350">
      <w:pPr>
        <w:pStyle w:val="SingleTxtG"/>
        <w:rPr>
          <w:szCs w:val="24"/>
          <w:lang w:val="es-ES"/>
        </w:rPr>
      </w:pPr>
      <w:r w:rsidRPr="00BF39E4">
        <w:rPr>
          <w:szCs w:val="24"/>
          <w:lang w:val="es-ES"/>
        </w:rPr>
        <w:t>160.</w:t>
      </w:r>
      <w:r w:rsidRPr="00BF39E4">
        <w:rPr>
          <w:szCs w:val="24"/>
          <w:lang w:val="es-ES"/>
        </w:rPr>
        <w:tab/>
      </w:r>
      <w:r>
        <w:rPr>
          <w:szCs w:val="24"/>
          <w:lang w:val="es-ES"/>
        </w:rPr>
        <w:t>El Fondo de Seguro de Desempleo organiza cursos de estonio centrados en competencias lingüís</w:t>
      </w:r>
      <w:r w:rsidR="00DC068D">
        <w:rPr>
          <w:szCs w:val="24"/>
          <w:lang w:val="es-ES"/>
        </w:rPr>
        <w:t>ticas relacionadas con el emple</w:t>
      </w:r>
      <w:r>
        <w:rPr>
          <w:szCs w:val="24"/>
          <w:lang w:val="es-ES"/>
        </w:rPr>
        <w:t>o.</w:t>
      </w:r>
      <w:r w:rsidRPr="00BF39E4">
        <w:rPr>
          <w:szCs w:val="24"/>
          <w:lang w:val="es-ES"/>
        </w:rPr>
        <w:t xml:space="preserve"> </w:t>
      </w:r>
      <w:r>
        <w:rPr>
          <w:szCs w:val="24"/>
          <w:lang w:val="es-ES"/>
        </w:rPr>
        <w:t xml:space="preserve">En 2010, 681 personas participaron en cursos de idioma estonio </w:t>
      </w:r>
      <w:r w:rsidR="00F331CB">
        <w:rPr>
          <w:szCs w:val="24"/>
          <w:lang w:val="es-ES"/>
        </w:rPr>
        <w:t>con fines profesionales</w:t>
      </w:r>
      <w:r w:rsidR="00DC068D">
        <w:rPr>
          <w:szCs w:val="24"/>
          <w:lang w:val="es-ES"/>
        </w:rPr>
        <w:t>, mientras que en 2011 participaron</w:t>
      </w:r>
      <w:r>
        <w:rPr>
          <w:szCs w:val="24"/>
          <w:lang w:val="es-ES"/>
        </w:rPr>
        <w:t xml:space="preserve"> 1.603.</w:t>
      </w:r>
    </w:p>
    <w:p w:rsidR="00AE68BC" w:rsidRPr="00BF39E4" w:rsidRDefault="00AE68BC" w:rsidP="00637350">
      <w:pPr>
        <w:pStyle w:val="SingleTxtG"/>
        <w:rPr>
          <w:szCs w:val="24"/>
          <w:lang w:val="es-ES"/>
        </w:rPr>
      </w:pPr>
      <w:r w:rsidRPr="00BF39E4">
        <w:rPr>
          <w:szCs w:val="24"/>
          <w:lang w:val="es-ES"/>
        </w:rPr>
        <w:t>161.</w:t>
      </w:r>
      <w:r w:rsidRPr="00BF39E4">
        <w:rPr>
          <w:szCs w:val="24"/>
          <w:lang w:val="es-ES"/>
        </w:rPr>
        <w:tab/>
      </w:r>
      <w:r>
        <w:rPr>
          <w:szCs w:val="24"/>
          <w:lang w:val="es-ES"/>
        </w:rPr>
        <w:t xml:space="preserve">El Ministerio de Asuntos Sociales elabora la política </w:t>
      </w:r>
      <w:r w:rsidR="00A10BB2">
        <w:rPr>
          <w:szCs w:val="24"/>
          <w:lang w:val="es-ES"/>
        </w:rPr>
        <w:t>relativa a</w:t>
      </w:r>
      <w:r>
        <w:rPr>
          <w:szCs w:val="24"/>
          <w:lang w:val="es-ES"/>
        </w:rPr>
        <w:t xml:space="preserve">l mercado </w:t>
      </w:r>
      <w:r w:rsidR="00A10BB2">
        <w:rPr>
          <w:szCs w:val="24"/>
          <w:lang w:val="es-ES"/>
        </w:rPr>
        <w:t xml:space="preserve">de trabajo </w:t>
      </w:r>
      <w:r>
        <w:rPr>
          <w:szCs w:val="24"/>
          <w:lang w:val="es-ES"/>
        </w:rPr>
        <w:t>de Estonia.</w:t>
      </w:r>
      <w:r w:rsidRPr="00BF39E4">
        <w:rPr>
          <w:szCs w:val="24"/>
          <w:lang w:val="es-ES"/>
        </w:rPr>
        <w:t xml:space="preserve"> </w:t>
      </w:r>
      <w:r w:rsidR="00DC068D">
        <w:rPr>
          <w:szCs w:val="24"/>
          <w:lang w:val="es-ES"/>
        </w:rPr>
        <w:t>Al</w:t>
      </w:r>
      <w:r>
        <w:rPr>
          <w:szCs w:val="24"/>
          <w:lang w:val="es-ES"/>
        </w:rPr>
        <w:t xml:space="preserve"> </w:t>
      </w:r>
      <w:r w:rsidR="00A10BB2">
        <w:rPr>
          <w:szCs w:val="24"/>
          <w:lang w:val="es-ES"/>
        </w:rPr>
        <w:t>prest</w:t>
      </w:r>
      <w:r w:rsidR="00DC068D">
        <w:rPr>
          <w:szCs w:val="24"/>
          <w:lang w:val="es-ES"/>
        </w:rPr>
        <w:t xml:space="preserve">ar </w:t>
      </w:r>
      <w:r>
        <w:rPr>
          <w:szCs w:val="24"/>
          <w:lang w:val="es-ES"/>
        </w:rPr>
        <w:t xml:space="preserve">servicios </w:t>
      </w:r>
      <w:r w:rsidR="00A10BB2">
        <w:rPr>
          <w:szCs w:val="24"/>
          <w:lang w:val="es-ES"/>
        </w:rPr>
        <w:t xml:space="preserve">relacionados con </w:t>
      </w:r>
      <w:r>
        <w:rPr>
          <w:szCs w:val="24"/>
          <w:lang w:val="es-ES"/>
        </w:rPr>
        <w:t>el mercado</w:t>
      </w:r>
      <w:r w:rsidR="00A10BB2">
        <w:rPr>
          <w:szCs w:val="24"/>
          <w:lang w:val="es-ES"/>
        </w:rPr>
        <w:t xml:space="preserve"> de trabajo</w:t>
      </w:r>
      <w:r>
        <w:rPr>
          <w:szCs w:val="24"/>
          <w:lang w:val="es-ES"/>
        </w:rPr>
        <w:t xml:space="preserve">, el Ministerio presta especial atención a las regiones con mayor desempleo y </w:t>
      </w:r>
      <w:r w:rsidR="00DF4129">
        <w:rPr>
          <w:szCs w:val="24"/>
          <w:lang w:val="es-ES"/>
        </w:rPr>
        <w:t>se dirige</w:t>
      </w:r>
      <w:r>
        <w:rPr>
          <w:szCs w:val="24"/>
          <w:lang w:val="es-ES"/>
        </w:rPr>
        <w:t xml:space="preserve"> a los grupos con un mayor riesgo de desempleo.</w:t>
      </w:r>
    </w:p>
    <w:p w:rsidR="00155F52" w:rsidRPr="00BF39E4" w:rsidRDefault="00155F52" w:rsidP="00637350">
      <w:pPr>
        <w:pStyle w:val="SingleTxtG"/>
        <w:rPr>
          <w:szCs w:val="24"/>
          <w:lang w:val="es-ES"/>
        </w:rPr>
      </w:pPr>
      <w:r w:rsidRPr="00BF39E4">
        <w:rPr>
          <w:szCs w:val="24"/>
          <w:lang w:val="es-ES"/>
        </w:rPr>
        <w:t>162.</w:t>
      </w:r>
      <w:r w:rsidRPr="00BF39E4">
        <w:rPr>
          <w:szCs w:val="24"/>
          <w:lang w:val="es-ES"/>
        </w:rPr>
        <w:tab/>
      </w:r>
      <w:r>
        <w:rPr>
          <w:szCs w:val="24"/>
          <w:lang w:val="es-ES"/>
        </w:rPr>
        <w:t xml:space="preserve">Desde 2009, </w:t>
      </w:r>
      <w:r w:rsidR="00A10BB2">
        <w:rPr>
          <w:szCs w:val="24"/>
          <w:lang w:val="es-ES"/>
        </w:rPr>
        <w:t xml:space="preserve">el Fondo de Seguro de Desempleo organiza </w:t>
      </w:r>
      <w:r>
        <w:rPr>
          <w:szCs w:val="24"/>
          <w:lang w:val="es-ES"/>
        </w:rPr>
        <w:t xml:space="preserve">la prestación de los servicios nacionales de </w:t>
      </w:r>
      <w:r w:rsidR="00A10BB2">
        <w:rPr>
          <w:szCs w:val="24"/>
          <w:lang w:val="es-ES"/>
        </w:rPr>
        <w:t xml:space="preserve">empleo </w:t>
      </w:r>
      <w:r>
        <w:rPr>
          <w:szCs w:val="24"/>
          <w:lang w:val="es-ES"/>
        </w:rPr>
        <w:t>y el pago de l</w:t>
      </w:r>
      <w:r w:rsidR="00A10BB2">
        <w:rPr>
          <w:szCs w:val="24"/>
          <w:lang w:val="es-ES"/>
        </w:rPr>
        <w:t>o</w:t>
      </w:r>
      <w:r>
        <w:rPr>
          <w:szCs w:val="24"/>
          <w:lang w:val="es-ES"/>
        </w:rPr>
        <w:t>s sub</w:t>
      </w:r>
      <w:r w:rsidR="00A10BB2">
        <w:rPr>
          <w:szCs w:val="24"/>
          <w:lang w:val="es-ES"/>
        </w:rPr>
        <w:t>sidios</w:t>
      </w:r>
      <w:r>
        <w:rPr>
          <w:szCs w:val="24"/>
          <w:lang w:val="es-ES"/>
        </w:rPr>
        <w:t xml:space="preserve"> </w:t>
      </w:r>
      <w:r w:rsidR="00A10BB2">
        <w:rPr>
          <w:szCs w:val="24"/>
          <w:lang w:val="es-ES"/>
        </w:rPr>
        <w:t>d</w:t>
      </w:r>
      <w:r>
        <w:rPr>
          <w:szCs w:val="24"/>
          <w:lang w:val="es-ES"/>
        </w:rPr>
        <w:t xml:space="preserve">e </w:t>
      </w:r>
      <w:r w:rsidR="00A10BB2">
        <w:rPr>
          <w:szCs w:val="24"/>
          <w:lang w:val="es-ES"/>
        </w:rPr>
        <w:t>des</w:t>
      </w:r>
      <w:r>
        <w:rPr>
          <w:szCs w:val="24"/>
          <w:lang w:val="es-ES"/>
        </w:rPr>
        <w:t>empleo a través de oficinas locales en cada condado.</w:t>
      </w:r>
      <w:r w:rsidRPr="00BF39E4">
        <w:rPr>
          <w:szCs w:val="24"/>
          <w:lang w:val="es-ES"/>
        </w:rPr>
        <w:t xml:space="preserve"> </w:t>
      </w:r>
      <w:r>
        <w:rPr>
          <w:szCs w:val="24"/>
          <w:lang w:val="es-ES"/>
        </w:rPr>
        <w:t xml:space="preserve">Además de los desempleados, las personas que </w:t>
      </w:r>
      <w:r w:rsidR="00A10BB2">
        <w:rPr>
          <w:szCs w:val="24"/>
          <w:lang w:val="es-ES"/>
        </w:rPr>
        <w:t xml:space="preserve">consideran </w:t>
      </w:r>
      <w:r>
        <w:rPr>
          <w:szCs w:val="24"/>
          <w:lang w:val="es-ES"/>
        </w:rPr>
        <w:t xml:space="preserve">la posibilidad de cambiar de trabajo también reciben asesoramiento y ayuda de las oficinas locales del Fondo de Seguro de Desempleo, </w:t>
      </w:r>
      <w:r w:rsidR="00903694">
        <w:rPr>
          <w:szCs w:val="24"/>
          <w:lang w:val="es-ES"/>
        </w:rPr>
        <w:t xml:space="preserve">al igual que </w:t>
      </w:r>
      <w:r>
        <w:rPr>
          <w:szCs w:val="24"/>
          <w:lang w:val="es-ES"/>
        </w:rPr>
        <w:t>las personas con</w:t>
      </w:r>
      <w:r w:rsidR="00192E4D">
        <w:rPr>
          <w:szCs w:val="24"/>
          <w:lang w:val="es-ES"/>
        </w:rPr>
        <w:t xml:space="preserve"> enfermedades crónicas</w:t>
      </w:r>
      <w:r>
        <w:rPr>
          <w:szCs w:val="24"/>
          <w:lang w:val="es-ES"/>
        </w:rPr>
        <w:t xml:space="preserve">, </w:t>
      </w:r>
      <w:r w:rsidR="00DC068D">
        <w:rPr>
          <w:szCs w:val="24"/>
          <w:lang w:val="es-ES"/>
        </w:rPr>
        <w:t xml:space="preserve">quienes </w:t>
      </w:r>
      <w:r>
        <w:rPr>
          <w:szCs w:val="24"/>
          <w:lang w:val="es-ES"/>
        </w:rPr>
        <w:t>recib</w:t>
      </w:r>
      <w:r w:rsidR="00903694">
        <w:rPr>
          <w:szCs w:val="24"/>
          <w:lang w:val="es-ES"/>
        </w:rPr>
        <w:t>en</w:t>
      </w:r>
      <w:r>
        <w:rPr>
          <w:szCs w:val="24"/>
          <w:lang w:val="es-ES"/>
        </w:rPr>
        <w:t xml:space="preserve"> notificaci</w:t>
      </w:r>
      <w:r w:rsidR="00A10BB2">
        <w:rPr>
          <w:szCs w:val="24"/>
          <w:lang w:val="es-ES"/>
        </w:rPr>
        <w:t>o</w:t>
      </w:r>
      <w:r>
        <w:rPr>
          <w:szCs w:val="24"/>
          <w:lang w:val="es-ES"/>
        </w:rPr>
        <w:t>n</w:t>
      </w:r>
      <w:r w:rsidR="00A10BB2">
        <w:rPr>
          <w:szCs w:val="24"/>
          <w:lang w:val="es-ES"/>
        </w:rPr>
        <w:t>es</w:t>
      </w:r>
      <w:r>
        <w:rPr>
          <w:szCs w:val="24"/>
          <w:lang w:val="es-ES"/>
        </w:rPr>
        <w:t xml:space="preserve"> de despido</w:t>
      </w:r>
      <w:r w:rsidR="00DC068D">
        <w:rPr>
          <w:szCs w:val="24"/>
          <w:lang w:val="es-ES"/>
        </w:rPr>
        <w:t xml:space="preserve">, </w:t>
      </w:r>
      <w:r>
        <w:rPr>
          <w:szCs w:val="24"/>
          <w:lang w:val="es-ES"/>
        </w:rPr>
        <w:t>y los empleadores.</w:t>
      </w:r>
    </w:p>
    <w:p w:rsidR="001E3B82" w:rsidRPr="00BF39E4" w:rsidRDefault="001E3B82" w:rsidP="00637350">
      <w:pPr>
        <w:pStyle w:val="SingleTxtG"/>
        <w:rPr>
          <w:szCs w:val="24"/>
          <w:lang w:val="es-ES"/>
        </w:rPr>
      </w:pPr>
      <w:r w:rsidRPr="00BF39E4">
        <w:rPr>
          <w:szCs w:val="24"/>
          <w:lang w:val="es-ES"/>
        </w:rPr>
        <w:t>163.</w:t>
      </w:r>
      <w:r w:rsidRPr="00BF39E4">
        <w:rPr>
          <w:szCs w:val="24"/>
          <w:lang w:val="es-ES"/>
        </w:rPr>
        <w:tab/>
      </w:r>
      <w:r>
        <w:rPr>
          <w:szCs w:val="24"/>
          <w:lang w:val="es-ES"/>
        </w:rPr>
        <w:t>El Fondo de Seguro de Desempleo organiza principalmente cursos de formación que incluyen el aprendizaje del idioma estonio y formación especializada a</w:t>
      </w:r>
      <w:r w:rsidR="00192E4D">
        <w:rPr>
          <w:szCs w:val="24"/>
          <w:lang w:val="es-ES"/>
        </w:rPr>
        <w:t xml:space="preserve"> fin de</w:t>
      </w:r>
      <w:r>
        <w:rPr>
          <w:szCs w:val="24"/>
          <w:lang w:val="es-ES"/>
        </w:rPr>
        <w:t xml:space="preserve"> mejorar la</w:t>
      </w:r>
      <w:r w:rsidR="00192E4D">
        <w:rPr>
          <w:szCs w:val="24"/>
          <w:lang w:val="es-ES"/>
        </w:rPr>
        <w:t>s</w:t>
      </w:r>
      <w:r>
        <w:rPr>
          <w:szCs w:val="24"/>
          <w:lang w:val="es-ES"/>
        </w:rPr>
        <w:t xml:space="preserve"> compet</w:t>
      </w:r>
      <w:r w:rsidR="00192E4D">
        <w:rPr>
          <w:szCs w:val="24"/>
          <w:lang w:val="es-ES"/>
        </w:rPr>
        <w:t>encias</w:t>
      </w:r>
      <w:r>
        <w:rPr>
          <w:szCs w:val="24"/>
          <w:lang w:val="es-ES"/>
        </w:rPr>
        <w:t xml:space="preserve"> d</w:t>
      </w:r>
      <w:r w:rsidR="00DC068D">
        <w:rPr>
          <w:szCs w:val="24"/>
          <w:lang w:val="es-ES"/>
        </w:rPr>
        <w:t xml:space="preserve">e las minorías nacionales en </w:t>
      </w:r>
      <w:r w:rsidR="00192E4D">
        <w:rPr>
          <w:szCs w:val="24"/>
          <w:lang w:val="es-ES"/>
        </w:rPr>
        <w:t xml:space="preserve">el </w:t>
      </w:r>
      <w:r>
        <w:rPr>
          <w:szCs w:val="24"/>
          <w:lang w:val="es-ES"/>
        </w:rPr>
        <w:t>mercado laboral.</w:t>
      </w:r>
      <w:r w:rsidRPr="00BF39E4">
        <w:rPr>
          <w:szCs w:val="24"/>
          <w:lang w:val="es-ES"/>
        </w:rPr>
        <w:t xml:space="preserve"> </w:t>
      </w:r>
      <w:r>
        <w:rPr>
          <w:szCs w:val="24"/>
          <w:lang w:val="es-ES"/>
        </w:rPr>
        <w:t>Además de la formación, el Fondo de Seguro de Desempleo ha introducido</w:t>
      </w:r>
      <w:r w:rsidR="00DC068D">
        <w:rPr>
          <w:szCs w:val="24"/>
          <w:lang w:val="es-ES"/>
        </w:rPr>
        <w:t xml:space="preserve"> distintas posibilidades de capacit</w:t>
      </w:r>
      <w:r>
        <w:rPr>
          <w:szCs w:val="24"/>
          <w:lang w:val="es-ES"/>
        </w:rPr>
        <w:t xml:space="preserve">ación a través de Internet para mejorar el dominio del idioma estonio de manera individual, y colabora con los proyectos </w:t>
      </w:r>
      <w:r w:rsidR="00DC068D">
        <w:rPr>
          <w:szCs w:val="24"/>
          <w:lang w:val="es-ES"/>
        </w:rPr>
        <w:t>en cuyo marco s</w:t>
      </w:r>
      <w:r>
        <w:rPr>
          <w:szCs w:val="24"/>
          <w:lang w:val="es-ES"/>
        </w:rPr>
        <w:t>e ofrecen cursos de estonio para desempleados.</w:t>
      </w:r>
      <w:r w:rsidRPr="00BF39E4">
        <w:rPr>
          <w:szCs w:val="24"/>
          <w:lang w:val="es-ES"/>
        </w:rPr>
        <w:t xml:space="preserve"> </w:t>
      </w:r>
      <w:r>
        <w:rPr>
          <w:szCs w:val="24"/>
          <w:lang w:val="es-ES"/>
        </w:rPr>
        <w:t>Las personas desempleadas sin conocimientos de estonio pueden utilizar también otros servicios del mercado laboral</w:t>
      </w:r>
      <w:r w:rsidR="00192E4D">
        <w:rPr>
          <w:szCs w:val="24"/>
          <w:lang w:val="es-ES"/>
        </w:rPr>
        <w:t>, es decir,</w:t>
      </w:r>
      <w:r w:rsidRPr="00BF39E4">
        <w:rPr>
          <w:szCs w:val="24"/>
          <w:lang w:val="es-ES"/>
        </w:rPr>
        <w:t xml:space="preserve"> </w:t>
      </w:r>
      <w:r>
        <w:rPr>
          <w:szCs w:val="24"/>
          <w:lang w:val="es-ES"/>
        </w:rPr>
        <w:t xml:space="preserve">pueden </w:t>
      </w:r>
      <w:r w:rsidR="00192E4D">
        <w:rPr>
          <w:szCs w:val="24"/>
          <w:lang w:val="es-ES"/>
        </w:rPr>
        <w:t>beneficiarse d</w:t>
      </w:r>
      <w:r>
        <w:rPr>
          <w:szCs w:val="24"/>
          <w:lang w:val="es-ES"/>
        </w:rPr>
        <w:t xml:space="preserve">e asesoramiento profesional o prácticas laborales, solicitar ayuda para la puesta en marcha de un negocio, participar en instrucción preparatoria para la vida laboral o </w:t>
      </w:r>
      <w:r w:rsidR="00DC068D">
        <w:rPr>
          <w:szCs w:val="24"/>
          <w:lang w:val="es-ES"/>
        </w:rPr>
        <w:t xml:space="preserve">el </w:t>
      </w:r>
      <w:r>
        <w:rPr>
          <w:szCs w:val="24"/>
          <w:lang w:val="es-ES"/>
        </w:rPr>
        <w:t xml:space="preserve">empleo público, o </w:t>
      </w:r>
      <w:r w:rsidR="00DC068D">
        <w:rPr>
          <w:szCs w:val="24"/>
          <w:lang w:val="es-ES"/>
        </w:rPr>
        <w:t>ser contratadas gracias a las subvenciones concedidas</w:t>
      </w:r>
      <w:r>
        <w:rPr>
          <w:szCs w:val="24"/>
          <w:lang w:val="es-ES"/>
        </w:rPr>
        <w:t xml:space="preserve"> a los empleadores; también se p</w:t>
      </w:r>
      <w:r w:rsidR="003A096E">
        <w:rPr>
          <w:szCs w:val="24"/>
          <w:lang w:val="es-ES"/>
        </w:rPr>
        <w:t>roporcionan cuatro tipos específic</w:t>
      </w:r>
      <w:r>
        <w:rPr>
          <w:szCs w:val="24"/>
          <w:lang w:val="es-ES"/>
        </w:rPr>
        <w:t>os de servicios para las personas con discapacidad.</w:t>
      </w:r>
      <w:r w:rsidRPr="00BF39E4">
        <w:rPr>
          <w:szCs w:val="24"/>
          <w:lang w:val="es-ES"/>
        </w:rPr>
        <w:t xml:space="preserve"> </w:t>
      </w:r>
      <w:r>
        <w:rPr>
          <w:szCs w:val="24"/>
          <w:lang w:val="es-ES"/>
        </w:rPr>
        <w:t>En el período 2012-2013 se prestar</w:t>
      </w:r>
      <w:r w:rsidR="00AC7027">
        <w:rPr>
          <w:szCs w:val="24"/>
          <w:lang w:val="es-ES"/>
        </w:rPr>
        <w:t>á</w:t>
      </w:r>
      <w:r>
        <w:rPr>
          <w:szCs w:val="24"/>
          <w:lang w:val="es-ES"/>
        </w:rPr>
        <w:t xml:space="preserve">n </w:t>
      </w:r>
      <w:r w:rsidR="00AC7027">
        <w:rPr>
          <w:szCs w:val="24"/>
          <w:lang w:val="es-ES"/>
        </w:rPr>
        <w:t xml:space="preserve">un total de </w:t>
      </w:r>
      <w:r>
        <w:rPr>
          <w:szCs w:val="24"/>
          <w:lang w:val="es-ES"/>
        </w:rPr>
        <w:t xml:space="preserve">20 servicios diferenciados </w:t>
      </w:r>
      <w:r w:rsidR="00AC7027">
        <w:rPr>
          <w:szCs w:val="24"/>
          <w:lang w:val="es-ES"/>
        </w:rPr>
        <w:t xml:space="preserve">en </w:t>
      </w:r>
      <w:r>
        <w:rPr>
          <w:szCs w:val="24"/>
          <w:lang w:val="es-ES"/>
        </w:rPr>
        <w:t xml:space="preserve">el mercado </w:t>
      </w:r>
      <w:r w:rsidR="00AC7027">
        <w:rPr>
          <w:szCs w:val="24"/>
          <w:lang w:val="es-ES"/>
        </w:rPr>
        <w:t xml:space="preserve">de trabajo </w:t>
      </w:r>
      <w:r>
        <w:rPr>
          <w:szCs w:val="24"/>
          <w:lang w:val="es-ES"/>
        </w:rPr>
        <w:t xml:space="preserve">con arreglo a </w:t>
      </w:r>
      <w:smartTag w:uri="urn:schemas-microsoft-com:office:smarttags" w:element="PersonName">
        <w:smartTagPr>
          <w:attr w:name="ProductID" w:val="La Ley"/>
        </w:smartTagPr>
        <w:r>
          <w:rPr>
            <w:szCs w:val="24"/>
            <w:lang w:val="es-ES"/>
          </w:rPr>
          <w:t>la Ley</w:t>
        </w:r>
      </w:smartTag>
      <w:r>
        <w:rPr>
          <w:szCs w:val="24"/>
          <w:lang w:val="es-ES"/>
        </w:rPr>
        <w:t xml:space="preserve"> de servicios y prestaciones del mercado laboral y </w:t>
      </w:r>
      <w:r w:rsidR="00AC7027">
        <w:rPr>
          <w:szCs w:val="24"/>
          <w:lang w:val="es-ES"/>
        </w:rPr>
        <w:t>en el marco d</w:t>
      </w:r>
      <w:r>
        <w:rPr>
          <w:szCs w:val="24"/>
          <w:lang w:val="es-ES"/>
        </w:rPr>
        <w:t xml:space="preserve">el </w:t>
      </w:r>
      <w:r w:rsidR="00AC7027">
        <w:rPr>
          <w:szCs w:val="24"/>
          <w:lang w:val="es-ES"/>
        </w:rPr>
        <w:t>P</w:t>
      </w:r>
      <w:r>
        <w:rPr>
          <w:szCs w:val="24"/>
          <w:lang w:val="es-ES"/>
        </w:rPr>
        <w:t xml:space="preserve">rograma </w:t>
      </w:r>
      <w:r w:rsidR="00AC7027">
        <w:rPr>
          <w:szCs w:val="24"/>
          <w:lang w:val="es-ES"/>
        </w:rPr>
        <w:t xml:space="preserve">de </w:t>
      </w:r>
      <w:r>
        <w:rPr>
          <w:szCs w:val="24"/>
          <w:lang w:val="es-ES"/>
        </w:rPr>
        <w:t>empleo.</w:t>
      </w:r>
    </w:p>
    <w:p w:rsidR="004A457A" w:rsidRPr="00BF39E4" w:rsidRDefault="004A457A" w:rsidP="00637350">
      <w:pPr>
        <w:pStyle w:val="SingleTxtG"/>
        <w:rPr>
          <w:szCs w:val="24"/>
          <w:lang w:val="es-ES"/>
        </w:rPr>
      </w:pPr>
      <w:r w:rsidRPr="00BF39E4">
        <w:rPr>
          <w:szCs w:val="24"/>
          <w:lang w:val="es-ES"/>
        </w:rPr>
        <w:t>164.</w:t>
      </w:r>
      <w:r w:rsidRPr="00BF39E4">
        <w:rPr>
          <w:szCs w:val="24"/>
          <w:lang w:val="es-ES"/>
        </w:rPr>
        <w:tab/>
      </w:r>
      <w:r>
        <w:rPr>
          <w:szCs w:val="24"/>
          <w:lang w:val="es-ES"/>
        </w:rPr>
        <w:t xml:space="preserve">Para los desempleados que necesitan </w:t>
      </w:r>
      <w:r w:rsidR="00F56FDD">
        <w:rPr>
          <w:szCs w:val="24"/>
          <w:lang w:val="es-ES"/>
        </w:rPr>
        <w:t xml:space="preserve">mejorar o </w:t>
      </w:r>
      <w:r>
        <w:rPr>
          <w:szCs w:val="24"/>
          <w:lang w:val="es-ES"/>
        </w:rPr>
        <w:t>adquirir nuev</w:t>
      </w:r>
      <w:r w:rsidR="00F56FDD">
        <w:rPr>
          <w:szCs w:val="24"/>
          <w:lang w:val="es-ES"/>
        </w:rPr>
        <w:t>o</w:t>
      </w:r>
      <w:r>
        <w:rPr>
          <w:szCs w:val="24"/>
          <w:lang w:val="es-ES"/>
        </w:rPr>
        <w:t>s</w:t>
      </w:r>
      <w:r w:rsidR="00F56FDD">
        <w:rPr>
          <w:szCs w:val="24"/>
          <w:lang w:val="es-ES"/>
        </w:rPr>
        <w:t xml:space="preserve"> conocimientos</w:t>
      </w:r>
      <w:r>
        <w:rPr>
          <w:szCs w:val="24"/>
          <w:lang w:val="es-ES"/>
        </w:rPr>
        <w:t xml:space="preserve"> técnic</w:t>
      </w:r>
      <w:r w:rsidR="00F56FDD">
        <w:rPr>
          <w:szCs w:val="24"/>
          <w:lang w:val="es-ES"/>
        </w:rPr>
        <w:t>o</w:t>
      </w:r>
      <w:r>
        <w:rPr>
          <w:szCs w:val="24"/>
          <w:lang w:val="es-ES"/>
        </w:rPr>
        <w:t xml:space="preserve">s, el Fondo de Seguro de Desempleo organiza cursos de formación especializada (tanto formación en el </w:t>
      </w:r>
      <w:r w:rsidR="001469B8">
        <w:rPr>
          <w:szCs w:val="24"/>
          <w:lang w:val="es-ES"/>
        </w:rPr>
        <w:t xml:space="preserve">empleo </w:t>
      </w:r>
      <w:r>
        <w:rPr>
          <w:szCs w:val="24"/>
          <w:lang w:val="es-ES"/>
        </w:rPr>
        <w:t>como reciclaje profesional)</w:t>
      </w:r>
      <w:r w:rsidR="003A096E">
        <w:rPr>
          <w:szCs w:val="24"/>
          <w:lang w:val="es-ES"/>
        </w:rPr>
        <w:t>, que incluyen</w:t>
      </w:r>
      <w:r>
        <w:rPr>
          <w:szCs w:val="24"/>
          <w:lang w:val="es-ES"/>
        </w:rPr>
        <w:t xml:space="preserve"> la mejora de los conocimientos lingüísticos </w:t>
      </w:r>
      <w:r w:rsidR="00F331CB">
        <w:rPr>
          <w:szCs w:val="24"/>
          <w:lang w:val="es-ES"/>
        </w:rPr>
        <w:t xml:space="preserve">con fines </w:t>
      </w:r>
      <w:r>
        <w:rPr>
          <w:szCs w:val="24"/>
          <w:lang w:val="es-ES"/>
        </w:rPr>
        <w:t>profesional</w:t>
      </w:r>
      <w:r w:rsidR="00F331CB">
        <w:rPr>
          <w:szCs w:val="24"/>
          <w:lang w:val="es-ES"/>
        </w:rPr>
        <w:t>es</w:t>
      </w:r>
      <w:r>
        <w:rPr>
          <w:szCs w:val="24"/>
          <w:lang w:val="es-ES"/>
        </w:rPr>
        <w:t>.</w:t>
      </w:r>
      <w:r w:rsidRPr="00BF39E4">
        <w:rPr>
          <w:szCs w:val="24"/>
          <w:lang w:val="es-ES"/>
        </w:rPr>
        <w:t xml:space="preserve"> </w:t>
      </w:r>
      <w:r>
        <w:rPr>
          <w:szCs w:val="24"/>
          <w:lang w:val="es-ES"/>
        </w:rPr>
        <w:t xml:space="preserve">Muchos cursos de </w:t>
      </w:r>
      <w:r w:rsidR="00F56FDD">
        <w:rPr>
          <w:szCs w:val="24"/>
          <w:lang w:val="es-ES"/>
        </w:rPr>
        <w:t xml:space="preserve">formación </w:t>
      </w:r>
      <w:r>
        <w:rPr>
          <w:szCs w:val="24"/>
          <w:lang w:val="es-ES"/>
        </w:rPr>
        <w:t>especiali</w:t>
      </w:r>
      <w:r w:rsidR="00F56FDD">
        <w:rPr>
          <w:szCs w:val="24"/>
          <w:lang w:val="es-ES"/>
        </w:rPr>
        <w:t>z</w:t>
      </w:r>
      <w:r>
        <w:rPr>
          <w:szCs w:val="24"/>
          <w:lang w:val="es-ES"/>
        </w:rPr>
        <w:t>a</w:t>
      </w:r>
      <w:r w:rsidR="00F56FDD">
        <w:rPr>
          <w:szCs w:val="24"/>
          <w:lang w:val="es-ES"/>
        </w:rPr>
        <w:t>da</w:t>
      </w:r>
      <w:r>
        <w:rPr>
          <w:szCs w:val="24"/>
          <w:lang w:val="es-ES"/>
        </w:rPr>
        <w:t xml:space="preserve"> se ofrecen también en ruso.</w:t>
      </w:r>
    </w:p>
    <w:p w:rsidR="00B253A4" w:rsidRPr="00BF39E4" w:rsidRDefault="00B253A4" w:rsidP="00637350">
      <w:pPr>
        <w:pStyle w:val="SingleTxtG"/>
        <w:rPr>
          <w:szCs w:val="24"/>
          <w:lang w:val="es-ES"/>
        </w:rPr>
      </w:pPr>
      <w:r w:rsidRPr="00BF39E4">
        <w:rPr>
          <w:szCs w:val="24"/>
          <w:lang w:val="es-ES"/>
        </w:rPr>
        <w:t>165.</w:t>
      </w:r>
      <w:r w:rsidRPr="00BF39E4">
        <w:rPr>
          <w:szCs w:val="24"/>
          <w:lang w:val="es-ES"/>
        </w:rPr>
        <w:tab/>
      </w:r>
      <w:r>
        <w:rPr>
          <w:szCs w:val="24"/>
          <w:lang w:val="es-ES"/>
        </w:rPr>
        <w:t xml:space="preserve">Al mismo tiempo, </w:t>
      </w:r>
      <w:r w:rsidR="00F56FDD">
        <w:rPr>
          <w:szCs w:val="24"/>
          <w:lang w:val="es-ES"/>
        </w:rPr>
        <w:t>e</w:t>
      </w:r>
      <w:r>
        <w:rPr>
          <w:szCs w:val="24"/>
          <w:lang w:val="es-ES"/>
        </w:rPr>
        <w:t xml:space="preserve">l </w:t>
      </w:r>
      <w:r w:rsidR="003A096E">
        <w:rPr>
          <w:szCs w:val="24"/>
          <w:lang w:val="es-ES"/>
        </w:rPr>
        <w:t>nivel deficiente</w:t>
      </w:r>
      <w:r w:rsidR="00F56FDD">
        <w:rPr>
          <w:szCs w:val="24"/>
          <w:lang w:val="es-ES"/>
        </w:rPr>
        <w:t xml:space="preserve"> de </w:t>
      </w:r>
      <w:r>
        <w:rPr>
          <w:szCs w:val="24"/>
          <w:lang w:val="es-ES"/>
        </w:rPr>
        <w:t xml:space="preserve">estonio no es un factor decisivo </w:t>
      </w:r>
      <w:r w:rsidR="00F56FDD">
        <w:rPr>
          <w:szCs w:val="24"/>
          <w:lang w:val="es-ES"/>
        </w:rPr>
        <w:t xml:space="preserve">que disminuya </w:t>
      </w:r>
      <w:r>
        <w:rPr>
          <w:szCs w:val="24"/>
          <w:lang w:val="es-ES"/>
        </w:rPr>
        <w:t>la</w:t>
      </w:r>
      <w:r w:rsidR="00F56FDD">
        <w:rPr>
          <w:szCs w:val="24"/>
          <w:lang w:val="es-ES"/>
        </w:rPr>
        <w:t>s</w:t>
      </w:r>
      <w:r w:rsidR="003A096E">
        <w:rPr>
          <w:szCs w:val="24"/>
          <w:lang w:val="es-ES"/>
        </w:rPr>
        <w:t xml:space="preserve"> posibilidades de</w:t>
      </w:r>
      <w:r w:rsidR="00F56FDD">
        <w:rPr>
          <w:szCs w:val="24"/>
          <w:lang w:val="es-ES"/>
        </w:rPr>
        <w:t xml:space="preserve"> acceder a</w:t>
      </w:r>
      <w:r>
        <w:rPr>
          <w:szCs w:val="24"/>
          <w:lang w:val="es-ES"/>
        </w:rPr>
        <w:t xml:space="preserve">l mercado laboral en </w:t>
      </w:r>
      <w:r w:rsidR="00F56FDD">
        <w:rPr>
          <w:szCs w:val="24"/>
          <w:lang w:val="es-ES"/>
        </w:rPr>
        <w:t xml:space="preserve">ninguna región de </w:t>
      </w:r>
      <w:r>
        <w:rPr>
          <w:szCs w:val="24"/>
          <w:lang w:val="es-ES"/>
        </w:rPr>
        <w:t>Estonia.</w:t>
      </w:r>
      <w:r w:rsidRPr="00BF39E4">
        <w:rPr>
          <w:szCs w:val="24"/>
          <w:lang w:val="es-ES"/>
        </w:rPr>
        <w:t xml:space="preserve"> </w:t>
      </w:r>
      <w:r>
        <w:rPr>
          <w:szCs w:val="24"/>
          <w:lang w:val="es-ES"/>
        </w:rPr>
        <w:t xml:space="preserve">Por ejemplo, en el condado de Ida-Viru, donde los habitantes de habla rusa </w:t>
      </w:r>
      <w:r w:rsidR="00F56FDD">
        <w:rPr>
          <w:szCs w:val="24"/>
          <w:lang w:val="es-ES"/>
        </w:rPr>
        <w:t>representa</w:t>
      </w:r>
      <w:r>
        <w:rPr>
          <w:szCs w:val="24"/>
          <w:lang w:val="es-ES"/>
        </w:rPr>
        <w:t xml:space="preserve">n más del 90% de la población en algunas localidades, el conocimiento del estonio no es un factor determinante </w:t>
      </w:r>
      <w:r w:rsidR="00F56FDD">
        <w:rPr>
          <w:szCs w:val="24"/>
          <w:lang w:val="es-ES"/>
        </w:rPr>
        <w:t xml:space="preserve">para </w:t>
      </w:r>
      <w:r>
        <w:rPr>
          <w:szCs w:val="24"/>
          <w:lang w:val="es-ES"/>
        </w:rPr>
        <w:t>el acceso al me</w:t>
      </w:r>
      <w:r w:rsidR="003A096E">
        <w:rPr>
          <w:szCs w:val="24"/>
          <w:lang w:val="es-ES"/>
        </w:rPr>
        <w:t xml:space="preserve">rcado laboral, y son importantes </w:t>
      </w:r>
      <w:r>
        <w:rPr>
          <w:szCs w:val="24"/>
          <w:lang w:val="es-ES"/>
        </w:rPr>
        <w:t xml:space="preserve">otros servicios distintos </w:t>
      </w:r>
      <w:r w:rsidR="00F56FDD">
        <w:rPr>
          <w:szCs w:val="24"/>
          <w:lang w:val="es-ES"/>
        </w:rPr>
        <w:t>de la</w:t>
      </w:r>
      <w:r>
        <w:rPr>
          <w:szCs w:val="24"/>
          <w:lang w:val="es-ES"/>
        </w:rPr>
        <w:t xml:space="preserve"> </w:t>
      </w:r>
      <w:r w:rsidR="00F56FDD">
        <w:rPr>
          <w:szCs w:val="24"/>
          <w:lang w:val="es-ES"/>
        </w:rPr>
        <w:t>formación lingüística</w:t>
      </w:r>
      <w:r>
        <w:rPr>
          <w:szCs w:val="24"/>
          <w:lang w:val="es-ES"/>
        </w:rPr>
        <w:t>.</w:t>
      </w:r>
      <w:r w:rsidRPr="00BF39E4">
        <w:rPr>
          <w:szCs w:val="24"/>
          <w:lang w:val="es-ES"/>
        </w:rPr>
        <w:t xml:space="preserve"> </w:t>
      </w:r>
    </w:p>
    <w:p w:rsidR="00B253A4" w:rsidRPr="00BF39E4" w:rsidRDefault="00B253A4" w:rsidP="00637350">
      <w:pPr>
        <w:pStyle w:val="SingleTxtG"/>
        <w:rPr>
          <w:szCs w:val="24"/>
          <w:lang w:val="es-ES"/>
        </w:rPr>
      </w:pPr>
      <w:r w:rsidRPr="00BF39E4">
        <w:rPr>
          <w:szCs w:val="24"/>
          <w:lang w:val="es-ES"/>
        </w:rPr>
        <w:t>166.</w:t>
      </w:r>
      <w:r w:rsidRPr="00BF39E4">
        <w:rPr>
          <w:szCs w:val="24"/>
          <w:lang w:val="es-ES"/>
        </w:rPr>
        <w:tab/>
      </w:r>
      <w:r>
        <w:rPr>
          <w:szCs w:val="24"/>
          <w:lang w:val="es-ES"/>
        </w:rPr>
        <w:t>En 2011 la tasa de empleo</w:t>
      </w:r>
      <w:r w:rsidR="00CB0255">
        <w:rPr>
          <w:szCs w:val="24"/>
          <w:lang w:val="es-ES"/>
        </w:rPr>
        <w:t xml:space="preserve"> aumentó</w:t>
      </w:r>
      <w:r>
        <w:rPr>
          <w:szCs w:val="24"/>
          <w:lang w:val="es-ES"/>
        </w:rPr>
        <w:t xml:space="preserve"> entre los estonios </w:t>
      </w:r>
      <w:r w:rsidR="00CB0255">
        <w:rPr>
          <w:szCs w:val="24"/>
          <w:lang w:val="es-ES"/>
        </w:rPr>
        <w:t xml:space="preserve">y </w:t>
      </w:r>
      <w:r>
        <w:rPr>
          <w:szCs w:val="24"/>
          <w:lang w:val="es-ES"/>
        </w:rPr>
        <w:t>los no estonios.</w:t>
      </w:r>
      <w:r w:rsidRPr="00BF39E4">
        <w:rPr>
          <w:szCs w:val="24"/>
          <w:lang w:val="es-ES"/>
        </w:rPr>
        <w:t xml:space="preserve"> </w:t>
      </w:r>
      <w:r>
        <w:rPr>
          <w:szCs w:val="24"/>
          <w:lang w:val="es-ES"/>
        </w:rPr>
        <w:t xml:space="preserve">La tasa de empleo más elevada corresponde a los hombres estonios (67,8%), y es </w:t>
      </w:r>
      <w:r w:rsidR="00CB0255">
        <w:rPr>
          <w:szCs w:val="24"/>
          <w:lang w:val="es-ES"/>
        </w:rPr>
        <w:t xml:space="preserve">algo inferior </w:t>
      </w:r>
      <w:r>
        <w:rPr>
          <w:szCs w:val="24"/>
          <w:lang w:val="es-ES"/>
        </w:rPr>
        <w:t>entre los hombres no estonios (65,9%).</w:t>
      </w:r>
      <w:r w:rsidRPr="00BF39E4">
        <w:rPr>
          <w:szCs w:val="24"/>
          <w:lang w:val="es-ES"/>
        </w:rPr>
        <w:t xml:space="preserve"> </w:t>
      </w:r>
      <w:r>
        <w:rPr>
          <w:szCs w:val="24"/>
          <w:lang w:val="es-ES"/>
        </w:rPr>
        <w:t>La tasa de empleo de las mujeres estonias es del 64%, y la tasa de empleo más baja es la de las mujeres no estonias (60,2%).</w:t>
      </w:r>
    </w:p>
    <w:p w:rsidR="00B253A4" w:rsidRPr="00BF39E4" w:rsidRDefault="00B253A4" w:rsidP="00637350">
      <w:pPr>
        <w:pStyle w:val="SingleTxtG"/>
        <w:rPr>
          <w:szCs w:val="24"/>
          <w:lang w:val="es-ES"/>
        </w:rPr>
      </w:pPr>
      <w:r w:rsidRPr="00BF39E4">
        <w:rPr>
          <w:szCs w:val="24"/>
          <w:lang w:val="es-ES"/>
        </w:rPr>
        <w:t>167.</w:t>
      </w:r>
      <w:r w:rsidRPr="00BF39E4">
        <w:rPr>
          <w:szCs w:val="24"/>
          <w:lang w:val="es-ES"/>
        </w:rPr>
        <w:tab/>
      </w:r>
      <w:r w:rsidR="003A096E">
        <w:rPr>
          <w:szCs w:val="24"/>
          <w:lang w:val="es-ES"/>
        </w:rPr>
        <w:t>Cuando se examinan los cambios trimestrales durante el período 2006-2011, e</w:t>
      </w:r>
      <w:r>
        <w:rPr>
          <w:szCs w:val="24"/>
          <w:lang w:val="es-ES"/>
        </w:rPr>
        <w:t xml:space="preserve">l Estudio de Seguimiento de </w:t>
      </w:r>
      <w:smartTag w:uri="urn:schemas-microsoft-com:office:smarttags" w:element="PersonName">
        <w:smartTagPr>
          <w:attr w:name="ProductID" w:val="la Integraci￳n"/>
        </w:smartTagPr>
        <w:r>
          <w:rPr>
            <w:szCs w:val="24"/>
            <w:lang w:val="es-ES"/>
          </w:rPr>
          <w:t>la Integración</w:t>
        </w:r>
      </w:smartTag>
      <w:r>
        <w:rPr>
          <w:szCs w:val="24"/>
          <w:lang w:val="es-ES"/>
        </w:rPr>
        <w:t xml:space="preserve"> </w:t>
      </w:r>
      <w:r w:rsidR="003A096E">
        <w:rPr>
          <w:szCs w:val="24"/>
          <w:lang w:val="es-ES"/>
        </w:rPr>
        <w:t xml:space="preserve">en </w:t>
      </w:r>
      <w:smartTag w:uri="urn:schemas-microsoft-com:office:smarttags" w:element="PersonName">
        <w:smartTagPr>
          <w:attr w:name="ProductID" w:val="la Sociedad Estonia"/>
        </w:smartTagPr>
        <w:r w:rsidR="003A096E">
          <w:rPr>
            <w:szCs w:val="24"/>
            <w:lang w:val="es-ES"/>
          </w:rPr>
          <w:t>la Sociedad Estonia</w:t>
        </w:r>
      </w:smartTag>
      <w:r w:rsidR="003A096E">
        <w:rPr>
          <w:szCs w:val="24"/>
          <w:lang w:val="es-ES"/>
        </w:rPr>
        <w:t xml:space="preserve"> </w:t>
      </w:r>
      <w:r>
        <w:rPr>
          <w:szCs w:val="24"/>
          <w:lang w:val="es-ES"/>
        </w:rPr>
        <w:t>de 2011</w:t>
      </w:r>
      <w:r w:rsidR="00CB0255">
        <w:rPr>
          <w:szCs w:val="24"/>
          <w:lang w:val="es-ES"/>
        </w:rPr>
        <w:t xml:space="preserve"> confirma</w:t>
      </w:r>
      <w:r w:rsidR="003A096E">
        <w:rPr>
          <w:szCs w:val="24"/>
          <w:lang w:val="es-ES"/>
        </w:rPr>
        <w:t xml:space="preserve"> </w:t>
      </w:r>
      <w:r w:rsidR="00CB0255">
        <w:rPr>
          <w:szCs w:val="24"/>
          <w:lang w:val="es-ES"/>
        </w:rPr>
        <w:t xml:space="preserve">que </w:t>
      </w:r>
      <w:r>
        <w:rPr>
          <w:szCs w:val="24"/>
          <w:lang w:val="es-ES"/>
        </w:rPr>
        <w:t xml:space="preserve">la tasa de empleo de los estonios ha sido siempre más </w:t>
      </w:r>
      <w:r w:rsidR="00CB0255">
        <w:rPr>
          <w:szCs w:val="24"/>
          <w:lang w:val="es-ES"/>
        </w:rPr>
        <w:t xml:space="preserve">elevada </w:t>
      </w:r>
      <w:r>
        <w:rPr>
          <w:szCs w:val="24"/>
          <w:lang w:val="es-ES"/>
        </w:rPr>
        <w:t>que la de los no estonios, si bien las diferencias no son s</w:t>
      </w:r>
      <w:r w:rsidR="00CB0255">
        <w:rPr>
          <w:szCs w:val="24"/>
          <w:lang w:val="es-ES"/>
        </w:rPr>
        <w:t>ustanciales</w:t>
      </w:r>
      <w:r>
        <w:rPr>
          <w:szCs w:val="24"/>
          <w:lang w:val="es-ES"/>
        </w:rPr>
        <w:t>.</w:t>
      </w:r>
      <w:r w:rsidRPr="00BF39E4">
        <w:rPr>
          <w:szCs w:val="24"/>
          <w:lang w:val="es-ES"/>
        </w:rPr>
        <w:t xml:space="preserve"> </w:t>
      </w:r>
      <w:r>
        <w:rPr>
          <w:szCs w:val="24"/>
          <w:lang w:val="es-ES"/>
        </w:rPr>
        <w:t>Aunque la crisis económica provocó un descenso más rápido de la tasa de desempleo e</w:t>
      </w:r>
      <w:r w:rsidR="00C778A8">
        <w:rPr>
          <w:szCs w:val="24"/>
          <w:lang w:val="es-ES"/>
        </w:rPr>
        <w:t>ntre</w:t>
      </w:r>
      <w:r>
        <w:rPr>
          <w:szCs w:val="24"/>
          <w:lang w:val="es-ES"/>
        </w:rPr>
        <w:t xml:space="preserve"> los no estonios, </w:t>
      </w:r>
      <w:r w:rsidR="00DF4129">
        <w:rPr>
          <w:szCs w:val="24"/>
          <w:lang w:val="es-ES"/>
        </w:rPr>
        <w:t>incluso</w:t>
      </w:r>
      <w:r w:rsidR="001A5894">
        <w:rPr>
          <w:szCs w:val="24"/>
          <w:lang w:val="es-ES"/>
        </w:rPr>
        <w:t xml:space="preserve"> en su</w:t>
      </w:r>
      <w:r>
        <w:rPr>
          <w:szCs w:val="24"/>
          <w:lang w:val="es-ES"/>
        </w:rPr>
        <w:t xml:space="preserve"> </w:t>
      </w:r>
      <w:r w:rsidR="00C778A8">
        <w:rPr>
          <w:szCs w:val="24"/>
          <w:lang w:val="es-ES"/>
        </w:rPr>
        <w:t xml:space="preserve">fase </w:t>
      </w:r>
      <w:r>
        <w:rPr>
          <w:szCs w:val="24"/>
          <w:lang w:val="es-ES"/>
        </w:rPr>
        <w:t>más agud</w:t>
      </w:r>
      <w:r w:rsidR="00C778A8">
        <w:rPr>
          <w:szCs w:val="24"/>
          <w:lang w:val="es-ES"/>
        </w:rPr>
        <w:t>a,</w:t>
      </w:r>
      <w:r>
        <w:rPr>
          <w:szCs w:val="24"/>
          <w:lang w:val="es-ES"/>
        </w:rPr>
        <w:t xml:space="preserve"> la diferencia entre la</w:t>
      </w:r>
      <w:r w:rsidR="00C778A8">
        <w:rPr>
          <w:szCs w:val="24"/>
          <w:lang w:val="es-ES"/>
        </w:rPr>
        <w:t>s</w:t>
      </w:r>
      <w:r>
        <w:rPr>
          <w:szCs w:val="24"/>
          <w:lang w:val="es-ES"/>
        </w:rPr>
        <w:t xml:space="preserve"> tasa</w:t>
      </w:r>
      <w:r w:rsidR="00C778A8">
        <w:rPr>
          <w:szCs w:val="24"/>
          <w:lang w:val="es-ES"/>
        </w:rPr>
        <w:t>s</w:t>
      </w:r>
      <w:r>
        <w:rPr>
          <w:szCs w:val="24"/>
          <w:lang w:val="es-ES"/>
        </w:rPr>
        <w:t xml:space="preserve"> de empleo de estonios y no estonios se mantuvo en 5,6 puntos porcentuales</w:t>
      </w:r>
      <w:r w:rsidR="001A5894">
        <w:rPr>
          <w:szCs w:val="24"/>
          <w:lang w:val="es-ES"/>
        </w:rPr>
        <w:t xml:space="preserve"> durante el primer trimestre de 2010</w:t>
      </w:r>
      <w:r>
        <w:rPr>
          <w:szCs w:val="24"/>
          <w:lang w:val="es-ES"/>
        </w:rPr>
        <w:t>.</w:t>
      </w:r>
      <w:r w:rsidRPr="00BF39E4">
        <w:rPr>
          <w:szCs w:val="24"/>
          <w:lang w:val="es-ES"/>
        </w:rPr>
        <w:t xml:space="preserve"> </w:t>
      </w:r>
      <w:r>
        <w:rPr>
          <w:szCs w:val="24"/>
          <w:lang w:val="es-ES"/>
        </w:rPr>
        <w:t>Durante el tercer trimestre d</w:t>
      </w:r>
      <w:r w:rsidR="001A5894">
        <w:rPr>
          <w:szCs w:val="24"/>
          <w:lang w:val="es-ES"/>
        </w:rPr>
        <w:t>e 2011, es</w:t>
      </w:r>
      <w:r>
        <w:rPr>
          <w:szCs w:val="24"/>
          <w:lang w:val="es-ES"/>
        </w:rPr>
        <w:t xml:space="preserve">a diferencia era de 1,3 puntos porcentuales, </w:t>
      </w:r>
      <w:r w:rsidR="00DF4129">
        <w:rPr>
          <w:szCs w:val="24"/>
          <w:lang w:val="es-ES"/>
        </w:rPr>
        <w:t>ya que</w:t>
      </w:r>
      <w:r>
        <w:rPr>
          <w:szCs w:val="24"/>
          <w:lang w:val="es-ES"/>
        </w:rPr>
        <w:t xml:space="preserve"> la tasa de empleo de los estonios era del 61,4% </w:t>
      </w:r>
      <w:r w:rsidR="00C778A8">
        <w:rPr>
          <w:szCs w:val="24"/>
          <w:lang w:val="es-ES"/>
        </w:rPr>
        <w:t xml:space="preserve">frente al 60,1% de </w:t>
      </w:r>
      <w:r>
        <w:rPr>
          <w:szCs w:val="24"/>
          <w:lang w:val="es-ES"/>
        </w:rPr>
        <w:t>los no estonios</w:t>
      </w:r>
      <w:r w:rsidR="00C778A8">
        <w:rPr>
          <w:szCs w:val="24"/>
          <w:lang w:val="es-ES"/>
        </w:rPr>
        <w:t>.</w:t>
      </w:r>
    </w:p>
    <w:p w:rsidR="00287305" w:rsidRPr="00BF39E4" w:rsidRDefault="00B253A4" w:rsidP="00637350">
      <w:pPr>
        <w:pStyle w:val="Heading1"/>
        <w:spacing w:before="240"/>
        <w:rPr>
          <w:lang w:val="es-ES"/>
        </w:rPr>
      </w:pPr>
      <w:r w:rsidRPr="00BF39E4">
        <w:rPr>
          <w:lang w:val="es-ES"/>
        </w:rPr>
        <w:t>Cuadro</w:t>
      </w:r>
      <w:r w:rsidR="00287305" w:rsidRPr="00BF39E4">
        <w:rPr>
          <w:lang w:val="es-ES"/>
        </w:rPr>
        <w:t xml:space="preserve"> </w:t>
      </w:r>
      <w:r w:rsidR="00B01700" w:rsidRPr="00BF39E4">
        <w:rPr>
          <w:lang w:val="es-ES"/>
        </w:rPr>
        <w:t>7</w:t>
      </w:r>
    </w:p>
    <w:p w:rsidR="00287305" w:rsidRPr="006006DA" w:rsidRDefault="00B253A4" w:rsidP="00637350">
      <w:pPr>
        <w:pStyle w:val="SingleTxtG"/>
        <w:jc w:val="left"/>
        <w:rPr>
          <w:b/>
          <w:lang w:val="es-ES"/>
        </w:rPr>
      </w:pPr>
      <w:r w:rsidRPr="006006DA">
        <w:rPr>
          <w:b/>
          <w:lang w:val="es-ES"/>
        </w:rPr>
        <w:t>Población activa, personas desempleadas, tasa</w:t>
      </w:r>
      <w:r w:rsidR="00F30B1B" w:rsidRPr="006006DA">
        <w:rPr>
          <w:b/>
          <w:lang w:val="es-ES"/>
        </w:rPr>
        <w:t>s</w:t>
      </w:r>
      <w:r w:rsidRPr="006006DA">
        <w:rPr>
          <w:b/>
          <w:lang w:val="es-ES"/>
        </w:rPr>
        <w:t xml:space="preserve"> de empleo y desempleo entre estonios y no estonios en el grupo de edad </w:t>
      </w:r>
      <w:r w:rsidR="00F30B1B" w:rsidRPr="006006DA">
        <w:rPr>
          <w:b/>
          <w:lang w:val="es-ES"/>
        </w:rPr>
        <w:t>de</w:t>
      </w:r>
      <w:r w:rsidRPr="006006DA">
        <w:rPr>
          <w:b/>
          <w:lang w:val="es-ES"/>
        </w:rPr>
        <w:t xml:space="preserve"> </w:t>
      </w:r>
      <w:smartTag w:uri="urn:schemas-microsoft-com:office:smarttags" w:element="metricconverter">
        <w:smartTagPr>
          <w:attr w:name="ProductID" w:val="15 a"/>
        </w:smartTagPr>
        <w:r w:rsidRPr="006006DA">
          <w:rPr>
            <w:b/>
            <w:lang w:val="es-ES"/>
          </w:rPr>
          <w:t xml:space="preserve">15 </w:t>
        </w:r>
        <w:r w:rsidR="00F30B1B" w:rsidRPr="006006DA">
          <w:rPr>
            <w:b/>
            <w:lang w:val="es-ES"/>
          </w:rPr>
          <w:t>a</w:t>
        </w:r>
      </w:smartTag>
      <w:r w:rsidRPr="006006DA">
        <w:rPr>
          <w:b/>
          <w:lang w:val="es-ES"/>
        </w:rPr>
        <w:t xml:space="preserve"> 74 años, 2008</w:t>
      </w:r>
      <w:r w:rsidR="00F30B1B" w:rsidRPr="006006DA">
        <w:rPr>
          <w:b/>
          <w:lang w:val="es-ES"/>
        </w:rPr>
        <w:t>-</w:t>
      </w:r>
      <w:r w:rsidRPr="006006DA">
        <w:rPr>
          <w:b/>
          <w:lang w:val="es-ES"/>
        </w:rPr>
        <w:t>2011</w:t>
      </w:r>
    </w:p>
    <w:tbl>
      <w:tblPr>
        <w:tblW w:w="7370" w:type="dxa"/>
        <w:tblInd w:w="1134" w:type="dxa"/>
        <w:tblBorders>
          <w:top w:val="single" w:sz="4" w:space="0" w:color="auto"/>
        </w:tblBorders>
        <w:tblLayout w:type="fixed"/>
        <w:tblCellMar>
          <w:left w:w="0" w:type="dxa"/>
          <w:right w:w="0" w:type="dxa"/>
        </w:tblCellMar>
        <w:tblLook w:val="00A0"/>
      </w:tblPr>
      <w:tblGrid>
        <w:gridCol w:w="1737"/>
        <w:gridCol w:w="2128"/>
        <w:gridCol w:w="876"/>
        <w:gridCol w:w="876"/>
        <w:gridCol w:w="876"/>
        <w:gridCol w:w="877"/>
      </w:tblGrid>
      <w:tr w:rsidR="00287305" w:rsidRPr="00287305">
        <w:trPr>
          <w:trHeight w:val="240"/>
          <w:tblHeader/>
        </w:trPr>
        <w:tc>
          <w:tcPr>
            <w:tcW w:w="1737" w:type="dxa"/>
            <w:tcBorders>
              <w:top w:val="single" w:sz="4" w:space="0" w:color="auto"/>
              <w:bottom w:val="single" w:sz="12" w:space="0" w:color="auto"/>
            </w:tcBorders>
            <w:shd w:val="clear" w:color="auto" w:fill="auto"/>
            <w:vAlign w:val="bottom"/>
          </w:tcPr>
          <w:p w:rsidR="00287305" w:rsidRPr="00BF39E4" w:rsidRDefault="00287305" w:rsidP="00637350">
            <w:pPr>
              <w:spacing w:before="80" w:after="80" w:line="200" w:lineRule="exact"/>
              <w:rPr>
                <w:i/>
                <w:sz w:val="16"/>
                <w:szCs w:val="24"/>
                <w:lang w:val="es-ES" w:eastAsia="et-EE"/>
              </w:rPr>
            </w:pPr>
          </w:p>
        </w:tc>
        <w:tc>
          <w:tcPr>
            <w:tcW w:w="2128" w:type="dxa"/>
            <w:tcBorders>
              <w:top w:val="single" w:sz="4" w:space="0" w:color="auto"/>
              <w:bottom w:val="single" w:sz="12" w:space="0" w:color="auto"/>
            </w:tcBorders>
            <w:shd w:val="clear" w:color="auto" w:fill="auto"/>
            <w:vAlign w:val="bottom"/>
          </w:tcPr>
          <w:p w:rsidR="00287305" w:rsidRPr="00BF39E4" w:rsidRDefault="00287305" w:rsidP="00637350">
            <w:pPr>
              <w:spacing w:before="80" w:after="80" w:line="200" w:lineRule="exact"/>
              <w:rPr>
                <w:i/>
                <w:sz w:val="16"/>
                <w:szCs w:val="24"/>
                <w:lang w:val="es-ES" w:eastAsia="et-EE"/>
              </w:rPr>
            </w:pPr>
          </w:p>
        </w:tc>
        <w:tc>
          <w:tcPr>
            <w:tcW w:w="876" w:type="dxa"/>
            <w:tcBorders>
              <w:top w:val="single" w:sz="4" w:space="0" w:color="auto"/>
              <w:bottom w:val="single" w:sz="12" w:space="0" w:color="auto"/>
            </w:tcBorders>
            <w:shd w:val="clear" w:color="auto" w:fill="auto"/>
            <w:noWrap/>
            <w:vAlign w:val="bottom"/>
          </w:tcPr>
          <w:p w:rsidR="00287305" w:rsidRPr="00287305" w:rsidRDefault="00287305" w:rsidP="00637350">
            <w:pPr>
              <w:spacing w:before="80" w:after="80" w:line="200" w:lineRule="exact"/>
              <w:jc w:val="right"/>
              <w:rPr>
                <w:i/>
                <w:sz w:val="16"/>
                <w:szCs w:val="24"/>
                <w:lang w:eastAsia="et-EE"/>
              </w:rPr>
            </w:pPr>
            <w:r w:rsidRPr="00287305">
              <w:rPr>
                <w:i/>
                <w:sz w:val="16"/>
                <w:szCs w:val="24"/>
                <w:lang w:eastAsia="et-EE"/>
              </w:rPr>
              <w:t>2008</w:t>
            </w:r>
          </w:p>
        </w:tc>
        <w:tc>
          <w:tcPr>
            <w:tcW w:w="876" w:type="dxa"/>
            <w:tcBorders>
              <w:top w:val="single" w:sz="4" w:space="0" w:color="auto"/>
              <w:bottom w:val="single" w:sz="12" w:space="0" w:color="auto"/>
            </w:tcBorders>
            <w:shd w:val="clear" w:color="auto" w:fill="auto"/>
            <w:noWrap/>
            <w:vAlign w:val="bottom"/>
          </w:tcPr>
          <w:p w:rsidR="00287305" w:rsidRPr="00287305" w:rsidRDefault="00287305" w:rsidP="00637350">
            <w:pPr>
              <w:spacing w:before="80" w:after="80" w:line="200" w:lineRule="exact"/>
              <w:jc w:val="right"/>
              <w:rPr>
                <w:i/>
                <w:sz w:val="16"/>
                <w:szCs w:val="24"/>
                <w:lang w:eastAsia="et-EE"/>
              </w:rPr>
            </w:pPr>
            <w:r w:rsidRPr="00287305">
              <w:rPr>
                <w:i/>
                <w:sz w:val="16"/>
                <w:szCs w:val="24"/>
                <w:lang w:eastAsia="et-EE"/>
              </w:rPr>
              <w:t>2009</w:t>
            </w:r>
          </w:p>
        </w:tc>
        <w:tc>
          <w:tcPr>
            <w:tcW w:w="876" w:type="dxa"/>
            <w:tcBorders>
              <w:top w:val="single" w:sz="4" w:space="0" w:color="auto"/>
              <w:bottom w:val="single" w:sz="12" w:space="0" w:color="auto"/>
            </w:tcBorders>
            <w:shd w:val="clear" w:color="auto" w:fill="auto"/>
            <w:noWrap/>
            <w:vAlign w:val="bottom"/>
          </w:tcPr>
          <w:p w:rsidR="00287305" w:rsidRPr="00287305" w:rsidRDefault="00287305" w:rsidP="00637350">
            <w:pPr>
              <w:spacing w:before="80" w:after="80" w:line="200" w:lineRule="exact"/>
              <w:jc w:val="right"/>
              <w:rPr>
                <w:i/>
                <w:sz w:val="16"/>
                <w:szCs w:val="24"/>
                <w:lang w:eastAsia="et-EE"/>
              </w:rPr>
            </w:pPr>
            <w:r w:rsidRPr="00287305">
              <w:rPr>
                <w:i/>
                <w:sz w:val="16"/>
                <w:szCs w:val="24"/>
                <w:lang w:eastAsia="et-EE"/>
              </w:rPr>
              <w:t>2010</w:t>
            </w:r>
          </w:p>
        </w:tc>
        <w:tc>
          <w:tcPr>
            <w:tcW w:w="877" w:type="dxa"/>
            <w:tcBorders>
              <w:top w:val="single" w:sz="4" w:space="0" w:color="auto"/>
              <w:bottom w:val="single" w:sz="12" w:space="0" w:color="auto"/>
            </w:tcBorders>
            <w:shd w:val="clear" w:color="auto" w:fill="auto"/>
            <w:noWrap/>
            <w:vAlign w:val="bottom"/>
          </w:tcPr>
          <w:p w:rsidR="00287305" w:rsidRPr="00287305" w:rsidRDefault="00287305" w:rsidP="00637350">
            <w:pPr>
              <w:spacing w:before="80" w:after="80" w:line="200" w:lineRule="exact"/>
              <w:jc w:val="right"/>
              <w:rPr>
                <w:i/>
                <w:sz w:val="16"/>
                <w:szCs w:val="24"/>
                <w:lang w:eastAsia="et-EE"/>
              </w:rPr>
            </w:pPr>
            <w:r w:rsidRPr="00287305">
              <w:rPr>
                <w:i/>
                <w:sz w:val="16"/>
                <w:szCs w:val="24"/>
                <w:lang w:eastAsia="et-EE"/>
              </w:rPr>
              <w:t>2011</w:t>
            </w:r>
          </w:p>
        </w:tc>
      </w:tr>
      <w:tr w:rsidR="00287305" w:rsidRPr="006006DA">
        <w:trPr>
          <w:trHeight w:val="240"/>
        </w:trPr>
        <w:tc>
          <w:tcPr>
            <w:tcW w:w="1737" w:type="dxa"/>
            <w:vMerge w:val="restart"/>
            <w:tcBorders>
              <w:top w:val="single" w:sz="12" w:space="0" w:color="auto"/>
            </w:tcBorders>
            <w:shd w:val="clear" w:color="auto" w:fill="auto"/>
          </w:tcPr>
          <w:p w:rsidR="00287305" w:rsidRPr="006006DA" w:rsidRDefault="00B253A4" w:rsidP="00637350">
            <w:pPr>
              <w:spacing w:before="40" w:after="40" w:line="220" w:lineRule="exact"/>
              <w:rPr>
                <w:sz w:val="18"/>
                <w:szCs w:val="18"/>
              </w:rPr>
            </w:pPr>
            <w:r w:rsidRPr="006006DA">
              <w:rPr>
                <w:sz w:val="18"/>
                <w:szCs w:val="18"/>
                <w:lang w:val="es-ES"/>
              </w:rPr>
              <w:t>Estonios</w:t>
            </w:r>
          </w:p>
        </w:tc>
        <w:tc>
          <w:tcPr>
            <w:tcW w:w="2128" w:type="dxa"/>
            <w:tcBorders>
              <w:top w:val="single" w:sz="12" w:space="0" w:color="auto"/>
            </w:tcBorders>
            <w:shd w:val="clear" w:color="auto" w:fill="auto"/>
            <w:vAlign w:val="bottom"/>
          </w:tcPr>
          <w:p w:rsidR="00287305" w:rsidRPr="006006DA" w:rsidRDefault="00617176" w:rsidP="00637350">
            <w:pPr>
              <w:spacing w:before="40" w:after="40" w:line="220" w:lineRule="exact"/>
              <w:rPr>
                <w:sz w:val="18"/>
                <w:szCs w:val="18"/>
              </w:rPr>
            </w:pPr>
            <w:r w:rsidRPr="006006DA">
              <w:rPr>
                <w:sz w:val="18"/>
                <w:szCs w:val="18"/>
                <w:lang w:val="es-ES"/>
              </w:rPr>
              <w:t>Población activa (miles)</w:t>
            </w:r>
          </w:p>
        </w:tc>
        <w:tc>
          <w:tcPr>
            <w:tcW w:w="876" w:type="dxa"/>
            <w:tcBorders>
              <w:top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463</w:t>
            </w:r>
            <w:r w:rsidR="00B253A4" w:rsidRPr="006006DA">
              <w:rPr>
                <w:sz w:val="18"/>
                <w:szCs w:val="18"/>
                <w:lang w:eastAsia="et-EE"/>
              </w:rPr>
              <w:t>,</w:t>
            </w:r>
            <w:r w:rsidRPr="006006DA">
              <w:rPr>
                <w:sz w:val="18"/>
                <w:szCs w:val="18"/>
                <w:lang w:eastAsia="et-EE"/>
              </w:rPr>
              <w:t>3</w:t>
            </w:r>
          </w:p>
        </w:tc>
        <w:tc>
          <w:tcPr>
            <w:tcW w:w="876" w:type="dxa"/>
            <w:tcBorders>
              <w:top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453</w:t>
            </w:r>
            <w:r w:rsidR="00B253A4" w:rsidRPr="006006DA">
              <w:rPr>
                <w:sz w:val="18"/>
                <w:szCs w:val="18"/>
                <w:lang w:eastAsia="et-EE"/>
              </w:rPr>
              <w:t>,</w:t>
            </w:r>
            <w:r w:rsidRPr="006006DA">
              <w:rPr>
                <w:sz w:val="18"/>
                <w:szCs w:val="18"/>
                <w:lang w:eastAsia="et-EE"/>
              </w:rPr>
              <w:t>8</w:t>
            </w:r>
          </w:p>
        </w:tc>
        <w:tc>
          <w:tcPr>
            <w:tcW w:w="876" w:type="dxa"/>
            <w:tcBorders>
              <w:top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449</w:t>
            </w:r>
            <w:r w:rsidR="00B253A4" w:rsidRPr="006006DA">
              <w:rPr>
                <w:sz w:val="18"/>
                <w:szCs w:val="18"/>
                <w:lang w:eastAsia="et-EE"/>
              </w:rPr>
              <w:t>,</w:t>
            </w:r>
            <w:r w:rsidRPr="006006DA">
              <w:rPr>
                <w:sz w:val="18"/>
                <w:szCs w:val="18"/>
                <w:lang w:eastAsia="et-EE"/>
              </w:rPr>
              <w:t>7</w:t>
            </w:r>
          </w:p>
        </w:tc>
        <w:tc>
          <w:tcPr>
            <w:tcW w:w="877" w:type="dxa"/>
            <w:tcBorders>
              <w:top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465</w:t>
            </w:r>
            <w:r w:rsidR="00B253A4" w:rsidRPr="006006DA">
              <w:rPr>
                <w:sz w:val="18"/>
                <w:szCs w:val="18"/>
                <w:lang w:eastAsia="et-EE"/>
              </w:rPr>
              <w:t>,</w:t>
            </w:r>
            <w:r w:rsidRPr="006006DA">
              <w:rPr>
                <w:sz w:val="18"/>
                <w:szCs w:val="18"/>
                <w:lang w:eastAsia="et-EE"/>
              </w:rPr>
              <w:t>7</w:t>
            </w:r>
          </w:p>
        </w:tc>
      </w:tr>
      <w:tr w:rsidR="00287305" w:rsidRPr="006006DA">
        <w:trPr>
          <w:trHeight w:val="240"/>
        </w:trPr>
        <w:tc>
          <w:tcPr>
            <w:tcW w:w="1737" w:type="dxa"/>
            <w:vMerge/>
            <w:shd w:val="clear" w:color="auto" w:fill="auto"/>
          </w:tcPr>
          <w:p w:rsidR="00287305" w:rsidRPr="006006DA" w:rsidRDefault="00287305" w:rsidP="00637350">
            <w:pPr>
              <w:spacing w:before="40" w:after="40" w:line="220" w:lineRule="exact"/>
              <w:rPr>
                <w:sz w:val="18"/>
                <w:szCs w:val="18"/>
                <w:lang w:eastAsia="et-EE"/>
              </w:rPr>
            </w:pPr>
          </w:p>
        </w:tc>
        <w:tc>
          <w:tcPr>
            <w:tcW w:w="2128" w:type="dxa"/>
            <w:shd w:val="clear" w:color="auto" w:fill="auto"/>
            <w:vAlign w:val="bottom"/>
          </w:tcPr>
          <w:p w:rsidR="00287305" w:rsidRPr="006006DA" w:rsidRDefault="00617176" w:rsidP="00637350">
            <w:pPr>
              <w:spacing w:before="40" w:after="40" w:line="220" w:lineRule="exact"/>
              <w:rPr>
                <w:sz w:val="18"/>
                <w:szCs w:val="18"/>
              </w:rPr>
            </w:pPr>
            <w:r w:rsidRPr="006006DA">
              <w:rPr>
                <w:sz w:val="18"/>
                <w:szCs w:val="18"/>
                <w:lang w:val="es-ES"/>
              </w:rPr>
              <w:t>Población empleada (miles)</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444</w:t>
            </w:r>
            <w:r w:rsidR="00B253A4" w:rsidRPr="006006DA">
              <w:rPr>
                <w:sz w:val="18"/>
                <w:szCs w:val="18"/>
                <w:lang w:eastAsia="et-EE"/>
              </w:rPr>
              <w:t>,</w:t>
            </w:r>
            <w:r w:rsidRPr="006006DA">
              <w:rPr>
                <w:sz w:val="18"/>
                <w:szCs w:val="18"/>
                <w:lang w:eastAsia="et-EE"/>
              </w:rPr>
              <w:t>0</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403</w:t>
            </w:r>
            <w:r w:rsidR="00B253A4" w:rsidRPr="006006DA">
              <w:rPr>
                <w:sz w:val="18"/>
                <w:szCs w:val="18"/>
                <w:lang w:eastAsia="et-EE"/>
              </w:rPr>
              <w:t>,</w:t>
            </w:r>
            <w:r w:rsidRPr="006006DA">
              <w:rPr>
                <w:sz w:val="18"/>
                <w:szCs w:val="18"/>
                <w:lang w:eastAsia="et-EE"/>
              </w:rPr>
              <w:t>8</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389</w:t>
            </w:r>
            <w:r w:rsidR="00B253A4" w:rsidRPr="006006DA">
              <w:rPr>
                <w:sz w:val="18"/>
                <w:szCs w:val="18"/>
                <w:lang w:eastAsia="et-EE"/>
              </w:rPr>
              <w:t>,</w:t>
            </w:r>
            <w:r w:rsidRPr="006006DA">
              <w:rPr>
                <w:sz w:val="18"/>
                <w:szCs w:val="18"/>
                <w:lang w:eastAsia="et-EE"/>
              </w:rPr>
              <w:t>3</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420</w:t>
            </w:r>
            <w:r w:rsidR="00B253A4" w:rsidRPr="006006DA">
              <w:rPr>
                <w:sz w:val="18"/>
                <w:szCs w:val="18"/>
                <w:lang w:eastAsia="et-EE"/>
              </w:rPr>
              <w:t>,</w:t>
            </w:r>
            <w:r w:rsidRPr="006006DA">
              <w:rPr>
                <w:sz w:val="18"/>
                <w:szCs w:val="18"/>
                <w:lang w:eastAsia="et-EE"/>
              </w:rPr>
              <w:t>8</w:t>
            </w:r>
          </w:p>
        </w:tc>
      </w:tr>
      <w:tr w:rsidR="00287305" w:rsidRPr="006006DA">
        <w:trPr>
          <w:trHeight w:val="240"/>
        </w:trPr>
        <w:tc>
          <w:tcPr>
            <w:tcW w:w="1737" w:type="dxa"/>
            <w:vMerge/>
            <w:shd w:val="clear" w:color="auto" w:fill="auto"/>
          </w:tcPr>
          <w:p w:rsidR="00287305" w:rsidRPr="006006DA" w:rsidRDefault="00287305" w:rsidP="00637350">
            <w:pPr>
              <w:spacing w:before="40" w:after="40" w:line="220" w:lineRule="exact"/>
              <w:rPr>
                <w:sz w:val="18"/>
                <w:szCs w:val="18"/>
                <w:lang w:eastAsia="et-EE"/>
              </w:rPr>
            </w:pPr>
          </w:p>
        </w:tc>
        <w:tc>
          <w:tcPr>
            <w:tcW w:w="2128" w:type="dxa"/>
            <w:shd w:val="clear" w:color="auto" w:fill="auto"/>
            <w:vAlign w:val="bottom"/>
          </w:tcPr>
          <w:p w:rsidR="00287305" w:rsidRPr="006006DA" w:rsidRDefault="00B253A4" w:rsidP="00637350">
            <w:pPr>
              <w:spacing w:before="40" w:after="40" w:line="220" w:lineRule="exact"/>
              <w:rPr>
                <w:sz w:val="18"/>
                <w:szCs w:val="18"/>
              </w:rPr>
            </w:pPr>
            <w:r w:rsidRPr="006006DA">
              <w:rPr>
                <w:sz w:val="18"/>
                <w:szCs w:val="18"/>
                <w:lang w:val="es-ES"/>
              </w:rPr>
              <w:t>Desempleados (miles)</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19</w:t>
            </w:r>
            <w:r w:rsidR="00B253A4" w:rsidRPr="006006DA">
              <w:rPr>
                <w:sz w:val="18"/>
                <w:szCs w:val="18"/>
                <w:lang w:eastAsia="et-EE"/>
              </w:rPr>
              <w:t>,</w:t>
            </w:r>
            <w:r w:rsidRPr="006006DA">
              <w:rPr>
                <w:sz w:val="18"/>
                <w:szCs w:val="18"/>
                <w:lang w:eastAsia="et-EE"/>
              </w:rPr>
              <w:t>3</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50</w:t>
            </w:r>
            <w:r w:rsidR="00B253A4" w:rsidRPr="006006DA">
              <w:rPr>
                <w:sz w:val="18"/>
                <w:szCs w:val="18"/>
                <w:lang w:eastAsia="et-EE"/>
              </w:rPr>
              <w:t>,</w:t>
            </w:r>
            <w:r w:rsidRPr="006006DA">
              <w:rPr>
                <w:sz w:val="18"/>
                <w:szCs w:val="18"/>
                <w:lang w:eastAsia="et-EE"/>
              </w:rPr>
              <w:t>0</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60</w:t>
            </w:r>
            <w:r w:rsidR="00B253A4" w:rsidRPr="006006DA">
              <w:rPr>
                <w:sz w:val="18"/>
                <w:szCs w:val="18"/>
                <w:lang w:eastAsia="et-EE"/>
              </w:rPr>
              <w:t>,</w:t>
            </w:r>
            <w:r w:rsidRPr="006006DA">
              <w:rPr>
                <w:sz w:val="18"/>
                <w:szCs w:val="18"/>
                <w:lang w:eastAsia="et-EE"/>
              </w:rPr>
              <w:t>5</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45</w:t>
            </w:r>
            <w:r w:rsidR="00B253A4" w:rsidRPr="006006DA">
              <w:rPr>
                <w:sz w:val="18"/>
                <w:szCs w:val="18"/>
                <w:lang w:eastAsia="et-EE"/>
              </w:rPr>
              <w:t>,</w:t>
            </w:r>
            <w:r w:rsidRPr="006006DA">
              <w:rPr>
                <w:sz w:val="18"/>
                <w:szCs w:val="18"/>
                <w:lang w:eastAsia="et-EE"/>
              </w:rPr>
              <w:t>0</w:t>
            </w:r>
          </w:p>
        </w:tc>
      </w:tr>
      <w:tr w:rsidR="00287305" w:rsidRPr="006006DA">
        <w:trPr>
          <w:trHeight w:val="240"/>
        </w:trPr>
        <w:tc>
          <w:tcPr>
            <w:tcW w:w="1737" w:type="dxa"/>
            <w:vMerge/>
            <w:shd w:val="clear" w:color="auto" w:fill="auto"/>
          </w:tcPr>
          <w:p w:rsidR="00287305" w:rsidRPr="006006DA" w:rsidRDefault="00287305" w:rsidP="00637350">
            <w:pPr>
              <w:spacing w:before="40" w:after="40" w:line="220" w:lineRule="exact"/>
              <w:rPr>
                <w:sz w:val="18"/>
                <w:szCs w:val="18"/>
                <w:lang w:eastAsia="et-EE"/>
              </w:rPr>
            </w:pPr>
          </w:p>
        </w:tc>
        <w:tc>
          <w:tcPr>
            <w:tcW w:w="2128" w:type="dxa"/>
            <w:shd w:val="clear" w:color="auto" w:fill="auto"/>
            <w:vAlign w:val="bottom"/>
          </w:tcPr>
          <w:p w:rsidR="00287305" w:rsidRPr="006006DA" w:rsidRDefault="00B253A4" w:rsidP="00637350">
            <w:pPr>
              <w:spacing w:before="40" w:after="40" w:line="220" w:lineRule="exact"/>
              <w:rPr>
                <w:sz w:val="18"/>
                <w:szCs w:val="18"/>
              </w:rPr>
            </w:pPr>
            <w:r w:rsidRPr="006006DA">
              <w:rPr>
                <w:sz w:val="18"/>
                <w:szCs w:val="18"/>
                <w:lang w:val="es-ES"/>
              </w:rPr>
              <w:t>Tasa de empleo (%)</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63</w:t>
            </w:r>
            <w:r w:rsidR="00B253A4" w:rsidRPr="006006DA">
              <w:rPr>
                <w:sz w:val="18"/>
                <w:szCs w:val="18"/>
                <w:lang w:eastAsia="et-EE"/>
              </w:rPr>
              <w:t>,</w:t>
            </w:r>
            <w:r w:rsidRPr="006006DA">
              <w:rPr>
                <w:sz w:val="18"/>
                <w:szCs w:val="18"/>
                <w:lang w:eastAsia="et-EE"/>
              </w:rPr>
              <w:t>5</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58</w:t>
            </w:r>
            <w:r w:rsidR="00B253A4" w:rsidRPr="006006DA">
              <w:rPr>
                <w:sz w:val="18"/>
                <w:szCs w:val="18"/>
                <w:lang w:eastAsia="et-EE"/>
              </w:rPr>
              <w:t>,</w:t>
            </w:r>
            <w:r w:rsidRPr="006006DA">
              <w:rPr>
                <w:sz w:val="18"/>
                <w:szCs w:val="18"/>
                <w:lang w:eastAsia="et-EE"/>
              </w:rPr>
              <w:t>0</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56</w:t>
            </w:r>
            <w:r w:rsidR="00B253A4" w:rsidRPr="006006DA">
              <w:rPr>
                <w:sz w:val="18"/>
                <w:szCs w:val="18"/>
                <w:lang w:eastAsia="et-EE"/>
              </w:rPr>
              <w:t>,</w:t>
            </w:r>
            <w:r w:rsidRPr="006006DA">
              <w:rPr>
                <w:sz w:val="18"/>
                <w:szCs w:val="18"/>
                <w:lang w:eastAsia="et-EE"/>
              </w:rPr>
              <w:t>1</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60</w:t>
            </w:r>
            <w:r w:rsidR="00B253A4" w:rsidRPr="006006DA">
              <w:rPr>
                <w:sz w:val="18"/>
                <w:szCs w:val="18"/>
                <w:lang w:eastAsia="et-EE"/>
              </w:rPr>
              <w:t>,</w:t>
            </w:r>
            <w:r w:rsidRPr="006006DA">
              <w:rPr>
                <w:sz w:val="18"/>
                <w:szCs w:val="18"/>
                <w:lang w:eastAsia="et-EE"/>
              </w:rPr>
              <w:t>1</w:t>
            </w:r>
          </w:p>
        </w:tc>
      </w:tr>
      <w:tr w:rsidR="00287305" w:rsidRPr="006006DA">
        <w:trPr>
          <w:trHeight w:val="240"/>
        </w:trPr>
        <w:tc>
          <w:tcPr>
            <w:tcW w:w="1737" w:type="dxa"/>
            <w:vMerge/>
            <w:shd w:val="clear" w:color="auto" w:fill="auto"/>
          </w:tcPr>
          <w:p w:rsidR="00287305" w:rsidRPr="006006DA" w:rsidRDefault="00287305" w:rsidP="00637350">
            <w:pPr>
              <w:spacing w:before="40" w:after="40" w:line="220" w:lineRule="exact"/>
              <w:rPr>
                <w:sz w:val="18"/>
                <w:szCs w:val="18"/>
                <w:lang w:eastAsia="et-EE"/>
              </w:rPr>
            </w:pPr>
          </w:p>
        </w:tc>
        <w:tc>
          <w:tcPr>
            <w:tcW w:w="2128" w:type="dxa"/>
            <w:shd w:val="clear" w:color="auto" w:fill="auto"/>
            <w:vAlign w:val="bottom"/>
          </w:tcPr>
          <w:p w:rsidR="00287305" w:rsidRPr="006006DA" w:rsidRDefault="00B253A4" w:rsidP="00637350">
            <w:pPr>
              <w:spacing w:before="40" w:after="40" w:line="220" w:lineRule="exact"/>
              <w:rPr>
                <w:sz w:val="18"/>
                <w:szCs w:val="18"/>
              </w:rPr>
            </w:pPr>
            <w:r w:rsidRPr="006006DA">
              <w:rPr>
                <w:sz w:val="18"/>
                <w:szCs w:val="18"/>
                <w:lang w:val="es-ES"/>
              </w:rPr>
              <w:t>Tasa de desempleo (%)</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w:t>
            </w:r>
            <w:r w:rsidR="00B253A4" w:rsidRPr="006006DA">
              <w:rPr>
                <w:sz w:val="18"/>
                <w:szCs w:val="18"/>
                <w:lang w:eastAsia="et-EE"/>
              </w:rPr>
              <w:t>,</w:t>
            </w:r>
            <w:r w:rsidRPr="006006DA">
              <w:rPr>
                <w:sz w:val="18"/>
                <w:szCs w:val="18"/>
                <w:lang w:eastAsia="et-EE"/>
              </w:rPr>
              <w:t>2</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11</w:t>
            </w:r>
            <w:r w:rsidR="00B253A4" w:rsidRPr="006006DA">
              <w:rPr>
                <w:sz w:val="18"/>
                <w:szCs w:val="18"/>
                <w:lang w:eastAsia="et-EE"/>
              </w:rPr>
              <w:t>,</w:t>
            </w:r>
            <w:r w:rsidRPr="006006DA">
              <w:rPr>
                <w:sz w:val="18"/>
                <w:szCs w:val="18"/>
                <w:lang w:eastAsia="et-EE"/>
              </w:rPr>
              <w:t>0</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13</w:t>
            </w:r>
            <w:r w:rsidR="00B253A4" w:rsidRPr="006006DA">
              <w:rPr>
                <w:sz w:val="18"/>
                <w:szCs w:val="18"/>
                <w:lang w:eastAsia="et-EE"/>
              </w:rPr>
              <w:t>,</w:t>
            </w:r>
            <w:r w:rsidRPr="006006DA">
              <w:rPr>
                <w:sz w:val="18"/>
                <w:szCs w:val="18"/>
                <w:lang w:eastAsia="et-EE"/>
              </w:rPr>
              <w:t>4</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9</w:t>
            </w:r>
            <w:r w:rsidR="00B253A4" w:rsidRPr="006006DA">
              <w:rPr>
                <w:sz w:val="18"/>
                <w:szCs w:val="18"/>
                <w:lang w:eastAsia="et-EE"/>
              </w:rPr>
              <w:t>,</w:t>
            </w:r>
            <w:r w:rsidRPr="006006DA">
              <w:rPr>
                <w:sz w:val="18"/>
                <w:szCs w:val="18"/>
                <w:lang w:eastAsia="et-EE"/>
              </w:rPr>
              <w:t>7</w:t>
            </w:r>
          </w:p>
        </w:tc>
      </w:tr>
      <w:tr w:rsidR="00287305" w:rsidRPr="006006DA">
        <w:trPr>
          <w:trHeight w:val="240"/>
        </w:trPr>
        <w:tc>
          <w:tcPr>
            <w:tcW w:w="1737" w:type="dxa"/>
            <w:vMerge w:val="restart"/>
            <w:shd w:val="clear" w:color="auto" w:fill="auto"/>
          </w:tcPr>
          <w:p w:rsidR="00287305" w:rsidRPr="006006DA" w:rsidRDefault="00B253A4" w:rsidP="00637350">
            <w:pPr>
              <w:spacing w:before="40" w:after="40" w:line="220" w:lineRule="exact"/>
              <w:rPr>
                <w:sz w:val="18"/>
                <w:szCs w:val="18"/>
              </w:rPr>
            </w:pPr>
            <w:r w:rsidRPr="006006DA">
              <w:rPr>
                <w:sz w:val="18"/>
                <w:szCs w:val="18"/>
                <w:lang w:val="es-ES"/>
              </w:rPr>
              <w:t>No estonios</w:t>
            </w:r>
          </w:p>
        </w:tc>
        <w:tc>
          <w:tcPr>
            <w:tcW w:w="2128" w:type="dxa"/>
            <w:shd w:val="clear" w:color="auto" w:fill="auto"/>
            <w:vAlign w:val="bottom"/>
          </w:tcPr>
          <w:p w:rsidR="00287305" w:rsidRPr="006006DA" w:rsidRDefault="00617176" w:rsidP="00637350">
            <w:pPr>
              <w:spacing w:before="40" w:after="40" w:line="220" w:lineRule="exact"/>
              <w:rPr>
                <w:sz w:val="18"/>
                <w:szCs w:val="18"/>
              </w:rPr>
            </w:pPr>
            <w:r w:rsidRPr="006006DA">
              <w:rPr>
                <w:sz w:val="18"/>
                <w:szCs w:val="18"/>
                <w:lang w:val="es-ES"/>
              </w:rPr>
              <w:t>Población activa (miles)</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231</w:t>
            </w:r>
            <w:r w:rsidR="00B253A4" w:rsidRPr="006006DA">
              <w:rPr>
                <w:sz w:val="18"/>
                <w:szCs w:val="18"/>
                <w:lang w:eastAsia="et-EE"/>
              </w:rPr>
              <w:t>,</w:t>
            </w:r>
            <w:r w:rsidRPr="006006DA">
              <w:rPr>
                <w:sz w:val="18"/>
                <w:szCs w:val="18"/>
                <w:lang w:eastAsia="et-EE"/>
              </w:rPr>
              <w:t>6</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237</w:t>
            </w:r>
            <w:r w:rsidR="00B253A4" w:rsidRPr="006006DA">
              <w:rPr>
                <w:sz w:val="18"/>
                <w:szCs w:val="18"/>
                <w:lang w:eastAsia="et-EE"/>
              </w:rPr>
              <w:t>,</w:t>
            </w:r>
            <w:r w:rsidRPr="006006DA">
              <w:rPr>
                <w:sz w:val="18"/>
                <w:szCs w:val="18"/>
                <w:lang w:eastAsia="et-EE"/>
              </w:rPr>
              <w:t>1</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237</w:t>
            </w:r>
            <w:r w:rsidR="00B253A4" w:rsidRPr="006006DA">
              <w:rPr>
                <w:sz w:val="18"/>
                <w:szCs w:val="18"/>
                <w:lang w:eastAsia="et-EE"/>
              </w:rPr>
              <w:t>,</w:t>
            </w:r>
            <w:r w:rsidRPr="006006DA">
              <w:rPr>
                <w:sz w:val="18"/>
                <w:szCs w:val="18"/>
                <w:lang w:eastAsia="et-EE"/>
              </w:rPr>
              <w:t>1</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230</w:t>
            </w:r>
            <w:r w:rsidR="00B253A4" w:rsidRPr="006006DA">
              <w:rPr>
                <w:sz w:val="18"/>
                <w:szCs w:val="18"/>
                <w:lang w:eastAsia="et-EE"/>
              </w:rPr>
              <w:t>,</w:t>
            </w:r>
            <w:r w:rsidRPr="006006DA">
              <w:rPr>
                <w:sz w:val="18"/>
                <w:szCs w:val="18"/>
                <w:lang w:eastAsia="et-EE"/>
              </w:rPr>
              <w:t>2</w:t>
            </w:r>
          </w:p>
        </w:tc>
      </w:tr>
      <w:tr w:rsidR="00287305" w:rsidRPr="006006DA">
        <w:trPr>
          <w:trHeight w:val="240"/>
        </w:trPr>
        <w:tc>
          <w:tcPr>
            <w:tcW w:w="1737" w:type="dxa"/>
            <w:vMerge/>
            <w:shd w:val="clear" w:color="auto" w:fill="auto"/>
          </w:tcPr>
          <w:p w:rsidR="00287305" w:rsidRPr="006006DA" w:rsidRDefault="00287305" w:rsidP="00637350">
            <w:pPr>
              <w:spacing w:before="40" w:after="40" w:line="220" w:lineRule="exact"/>
              <w:rPr>
                <w:sz w:val="18"/>
                <w:szCs w:val="18"/>
                <w:lang w:eastAsia="et-EE"/>
              </w:rPr>
            </w:pPr>
          </w:p>
        </w:tc>
        <w:tc>
          <w:tcPr>
            <w:tcW w:w="2128" w:type="dxa"/>
            <w:shd w:val="clear" w:color="auto" w:fill="auto"/>
            <w:vAlign w:val="bottom"/>
          </w:tcPr>
          <w:p w:rsidR="00287305" w:rsidRPr="006006DA" w:rsidRDefault="00B253A4" w:rsidP="00637350">
            <w:pPr>
              <w:spacing w:before="40" w:after="40" w:line="220" w:lineRule="exact"/>
              <w:rPr>
                <w:sz w:val="18"/>
                <w:szCs w:val="18"/>
              </w:rPr>
            </w:pPr>
            <w:r w:rsidRPr="006006DA">
              <w:rPr>
                <w:sz w:val="18"/>
                <w:szCs w:val="18"/>
                <w:lang w:val="es-ES"/>
              </w:rPr>
              <w:t xml:space="preserve">Población </w:t>
            </w:r>
            <w:r w:rsidR="007C4770" w:rsidRPr="006006DA">
              <w:rPr>
                <w:sz w:val="18"/>
                <w:szCs w:val="18"/>
                <w:lang w:val="es-ES"/>
              </w:rPr>
              <w:t>empleada</w:t>
            </w:r>
            <w:r w:rsidRPr="006006DA">
              <w:rPr>
                <w:sz w:val="18"/>
                <w:szCs w:val="18"/>
                <w:lang w:val="es-ES"/>
              </w:rPr>
              <w:t xml:space="preserve"> (miles)</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212</w:t>
            </w:r>
            <w:r w:rsidR="00B253A4" w:rsidRPr="006006DA">
              <w:rPr>
                <w:sz w:val="18"/>
                <w:szCs w:val="18"/>
                <w:lang w:eastAsia="et-EE"/>
              </w:rPr>
              <w:t>,</w:t>
            </w:r>
            <w:r w:rsidRPr="006006DA">
              <w:rPr>
                <w:sz w:val="18"/>
                <w:szCs w:val="18"/>
                <w:lang w:eastAsia="et-EE"/>
              </w:rPr>
              <w:t>6</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192</w:t>
            </w:r>
            <w:r w:rsidR="00B253A4" w:rsidRPr="006006DA">
              <w:rPr>
                <w:sz w:val="18"/>
                <w:szCs w:val="18"/>
                <w:lang w:eastAsia="et-EE"/>
              </w:rPr>
              <w:t>,</w:t>
            </w:r>
            <w:r w:rsidRPr="006006DA">
              <w:rPr>
                <w:sz w:val="18"/>
                <w:szCs w:val="18"/>
                <w:lang w:eastAsia="et-EE"/>
              </w:rPr>
              <w:t>1</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181</w:t>
            </w:r>
            <w:r w:rsidR="00B253A4" w:rsidRPr="006006DA">
              <w:rPr>
                <w:sz w:val="18"/>
                <w:szCs w:val="18"/>
                <w:lang w:eastAsia="et-EE"/>
              </w:rPr>
              <w:t>,</w:t>
            </w:r>
            <w:r w:rsidRPr="006006DA">
              <w:rPr>
                <w:sz w:val="18"/>
                <w:szCs w:val="18"/>
                <w:lang w:eastAsia="et-EE"/>
              </w:rPr>
              <w:t>6</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188</w:t>
            </w:r>
            <w:r w:rsidR="00B253A4" w:rsidRPr="006006DA">
              <w:rPr>
                <w:sz w:val="18"/>
                <w:szCs w:val="18"/>
                <w:lang w:eastAsia="et-EE"/>
              </w:rPr>
              <w:t>,</w:t>
            </w:r>
            <w:r w:rsidRPr="006006DA">
              <w:rPr>
                <w:sz w:val="18"/>
                <w:szCs w:val="18"/>
                <w:lang w:eastAsia="et-EE"/>
              </w:rPr>
              <w:t>3</w:t>
            </w:r>
          </w:p>
        </w:tc>
      </w:tr>
      <w:tr w:rsidR="00287305" w:rsidRPr="006006DA">
        <w:trPr>
          <w:trHeight w:val="240"/>
        </w:trPr>
        <w:tc>
          <w:tcPr>
            <w:tcW w:w="1737" w:type="dxa"/>
            <w:vMerge/>
            <w:shd w:val="clear" w:color="auto" w:fill="auto"/>
          </w:tcPr>
          <w:p w:rsidR="00287305" w:rsidRPr="006006DA" w:rsidRDefault="00287305" w:rsidP="00637350">
            <w:pPr>
              <w:spacing w:before="40" w:after="40" w:line="220" w:lineRule="exact"/>
              <w:rPr>
                <w:sz w:val="18"/>
                <w:szCs w:val="18"/>
                <w:lang w:eastAsia="et-EE"/>
              </w:rPr>
            </w:pPr>
          </w:p>
        </w:tc>
        <w:tc>
          <w:tcPr>
            <w:tcW w:w="2128" w:type="dxa"/>
            <w:shd w:val="clear" w:color="auto" w:fill="auto"/>
            <w:vAlign w:val="bottom"/>
          </w:tcPr>
          <w:p w:rsidR="00287305" w:rsidRPr="006006DA" w:rsidRDefault="00B253A4" w:rsidP="00637350">
            <w:pPr>
              <w:spacing w:before="40" w:after="40" w:line="220" w:lineRule="exact"/>
              <w:rPr>
                <w:sz w:val="18"/>
                <w:szCs w:val="18"/>
              </w:rPr>
            </w:pPr>
            <w:r w:rsidRPr="006006DA">
              <w:rPr>
                <w:sz w:val="18"/>
                <w:szCs w:val="18"/>
                <w:lang w:val="es-ES"/>
              </w:rPr>
              <w:t>Desempleados (miles)</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19</w:t>
            </w:r>
            <w:r w:rsidR="00B253A4" w:rsidRPr="006006DA">
              <w:rPr>
                <w:sz w:val="18"/>
                <w:szCs w:val="18"/>
                <w:lang w:eastAsia="et-EE"/>
              </w:rPr>
              <w:t>,</w:t>
            </w:r>
            <w:r w:rsidRPr="006006DA">
              <w:rPr>
                <w:sz w:val="18"/>
                <w:szCs w:val="18"/>
                <w:lang w:eastAsia="et-EE"/>
              </w:rPr>
              <w:t>1</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45</w:t>
            </w:r>
            <w:r w:rsidR="00B253A4" w:rsidRPr="006006DA">
              <w:rPr>
                <w:sz w:val="18"/>
                <w:szCs w:val="18"/>
                <w:lang w:eastAsia="et-EE"/>
              </w:rPr>
              <w:t>,</w:t>
            </w:r>
            <w:r w:rsidRPr="006006DA">
              <w:rPr>
                <w:sz w:val="18"/>
                <w:szCs w:val="18"/>
                <w:lang w:eastAsia="et-EE"/>
              </w:rPr>
              <w:t>0</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55</w:t>
            </w:r>
            <w:r w:rsidR="00B253A4" w:rsidRPr="006006DA">
              <w:rPr>
                <w:sz w:val="18"/>
                <w:szCs w:val="18"/>
                <w:lang w:eastAsia="et-EE"/>
              </w:rPr>
              <w:t>,</w:t>
            </w:r>
            <w:r w:rsidRPr="006006DA">
              <w:rPr>
                <w:sz w:val="18"/>
                <w:szCs w:val="18"/>
                <w:lang w:eastAsia="et-EE"/>
              </w:rPr>
              <w:t>5</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41</w:t>
            </w:r>
            <w:r w:rsidR="00B253A4" w:rsidRPr="006006DA">
              <w:rPr>
                <w:sz w:val="18"/>
                <w:szCs w:val="18"/>
                <w:lang w:eastAsia="et-EE"/>
              </w:rPr>
              <w:t>,</w:t>
            </w:r>
            <w:r w:rsidRPr="006006DA">
              <w:rPr>
                <w:sz w:val="18"/>
                <w:szCs w:val="18"/>
                <w:lang w:eastAsia="et-EE"/>
              </w:rPr>
              <w:t>9</w:t>
            </w:r>
          </w:p>
        </w:tc>
      </w:tr>
      <w:tr w:rsidR="00287305" w:rsidRPr="006006DA">
        <w:trPr>
          <w:trHeight w:val="62"/>
        </w:trPr>
        <w:tc>
          <w:tcPr>
            <w:tcW w:w="1737" w:type="dxa"/>
            <w:vMerge/>
            <w:shd w:val="clear" w:color="auto" w:fill="auto"/>
          </w:tcPr>
          <w:p w:rsidR="00287305" w:rsidRPr="006006DA" w:rsidRDefault="00287305" w:rsidP="00637350">
            <w:pPr>
              <w:spacing w:before="40" w:after="40" w:line="220" w:lineRule="exact"/>
              <w:rPr>
                <w:sz w:val="18"/>
                <w:szCs w:val="18"/>
                <w:lang w:eastAsia="et-EE"/>
              </w:rPr>
            </w:pPr>
          </w:p>
        </w:tc>
        <w:tc>
          <w:tcPr>
            <w:tcW w:w="2128" w:type="dxa"/>
            <w:shd w:val="clear" w:color="auto" w:fill="auto"/>
            <w:vAlign w:val="bottom"/>
          </w:tcPr>
          <w:p w:rsidR="00287305" w:rsidRPr="006006DA" w:rsidRDefault="00B253A4" w:rsidP="00637350">
            <w:pPr>
              <w:spacing w:before="40" w:after="40" w:line="220" w:lineRule="exact"/>
              <w:rPr>
                <w:sz w:val="18"/>
                <w:szCs w:val="18"/>
              </w:rPr>
            </w:pPr>
            <w:r w:rsidRPr="006006DA">
              <w:rPr>
                <w:sz w:val="18"/>
                <w:szCs w:val="18"/>
                <w:lang w:val="es-ES"/>
              </w:rPr>
              <w:t>Tasa de empleo (%)</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61</w:t>
            </w:r>
            <w:r w:rsidR="00B253A4" w:rsidRPr="006006DA">
              <w:rPr>
                <w:sz w:val="18"/>
                <w:szCs w:val="18"/>
                <w:lang w:eastAsia="et-EE"/>
              </w:rPr>
              <w:t>,</w:t>
            </w:r>
            <w:r w:rsidRPr="006006DA">
              <w:rPr>
                <w:sz w:val="18"/>
                <w:szCs w:val="18"/>
                <w:lang w:eastAsia="et-EE"/>
              </w:rPr>
              <w:t>8</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56</w:t>
            </w:r>
            <w:r w:rsidR="00B253A4" w:rsidRPr="006006DA">
              <w:rPr>
                <w:sz w:val="18"/>
                <w:szCs w:val="18"/>
                <w:lang w:eastAsia="et-EE"/>
              </w:rPr>
              <w:t>,</w:t>
            </w:r>
            <w:r w:rsidRPr="006006DA">
              <w:rPr>
                <w:sz w:val="18"/>
                <w:szCs w:val="18"/>
                <w:lang w:eastAsia="et-EE"/>
              </w:rPr>
              <w:t>1</w:t>
            </w:r>
          </w:p>
        </w:tc>
        <w:tc>
          <w:tcPr>
            <w:tcW w:w="876"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53</w:t>
            </w:r>
            <w:r w:rsidR="00B253A4" w:rsidRPr="006006DA">
              <w:rPr>
                <w:sz w:val="18"/>
                <w:szCs w:val="18"/>
                <w:lang w:eastAsia="et-EE"/>
              </w:rPr>
              <w:t>,</w:t>
            </w:r>
            <w:r w:rsidRPr="006006DA">
              <w:rPr>
                <w:sz w:val="18"/>
                <w:szCs w:val="18"/>
                <w:lang w:eastAsia="et-EE"/>
              </w:rPr>
              <w:t>2</w:t>
            </w:r>
          </w:p>
        </w:tc>
        <w:tc>
          <w:tcPr>
            <w:tcW w:w="877" w:type="dxa"/>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57</w:t>
            </w:r>
            <w:r w:rsidR="00B253A4" w:rsidRPr="006006DA">
              <w:rPr>
                <w:sz w:val="18"/>
                <w:szCs w:val="18"/>
                <w:lang w:eastAsia="et-EE"/>
              </w:rPr>
              <w:t>,</w:t>
            </w:r>
            <w:r w:rsidRPr="006006DA">
              <w:rPr>
                <w:sz w:val="18"/>
                <w:szCs w:val="18"/>
                <w:lang w:eastAsia="et-EE"/>
              </w:rPr>
              <w:t>1</w:t>
            </w:r>
          </w:p>
        </w:tc>
      </w:tr>
      <w:tr w:rsidR="00287305" w:rsidRPr="006006DA">
        <w:trPr>
          <w:trHeight w:val="240"/>
        </w:trPr>
        <w:tc>
          <w:tcPr>
            <w:tcW w:w="1737" w:type="dxa"/>
            <w:vMerge/>
            <w:tcBorders>
              <w:bottom w:val="single" w:sz="12" w:space="0" w:color="auto"/>
            </w:tcBorders>
            <w:shd w:val="clear" w:color="auto" w:fill="auto"/>
          </w:tcPr>
          <w:p w:rsidR="00287305" w:rsidRPr="006006DA" w:rsidRDefault="00287305" w:rsidP="00637350">
            <w:pPr>
              <w:spacing w:before="40" w:after="40" w:line="220" w:lineRule="exact"/>
              <w:rPr>
                <w:sz w:val="18"/>
                <w:szCs w:val="18"/>
                <w:lang w:eastAsia="et-EE"/>
              </w:rPr>
            </w:pPr>
          </w:p>
        </w:tc>
        <w:tc>
          <w:tcPr>
            <w:tcW w:w="2128" w:type="dxa"/>
            <w:tcBorders>
              <w:bottom w:val="single" w:sz="12" w:space="0" w:color="auto"/>
            </w:tcBorders>
            <w:shd w:val="clear" w:color="auto" w:fill="auto"/>
            <w:vAlign w:val="bottom"/>
          </w:tcPr>
          <w:p w:rsidR="00287305" w:rsidRPr="006006DA" w:rsidRDefault="00B253A4" w:rsidP="00637350">
            <w:pPr>
              <w:spacing w:before="40" w:after="40" w:line="220" w:lineRule="exact"/>
              <w:rPr>
                <w:sz w:val="18"/>
                <w:szCs w:val="18"/>
              </w:rPr>
            </w:pPr>
            <w:r w:rsidRPr="006006DA">
              <w:rPr>
                <w:sz w:val="18"/>
                <w:szCs w:val="18"/>
                <w:lang w:val="es-ES"/>
              </w:rPr>
              <w:t>Tasa de desempleo (%)</w:t>
            </w:r>
          </w:p>
        </w:tc>
        <w:tc>
          <w:tcPr>
            <w:tcW w:w="876" w:type="dxa"/>
            <w:tcBorders>
              <w:bottom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8</w:t>
            </w:r>
            <w:r w:rsidR="00B253A4" w:rsidRPr="006006DA">
              <w:rPr>
                <w:sz w:val="18"/>
                <w:szCs w:val="18"/>
                <w:lang w:eastAsia="et-EE"/>
              </w:rPr>
              <w:t>,</w:t>
            </w:r>
            <w:r w:rsidRPr="006006DA">
              <w:rPr>
                <w:sz w:val="18"/>
                <w:szCs w:val="18"/>
                <w:lang w:eastAsia="et-EE"/>
              </w:rPr>
              <w:t>2</w:t>
            </w:r>
          </w:p>
        </w:tc>
        <w:tc>
          <w:tcPr>
            <w:tcW w:w="876" w:type="dxa"/>
            <w:tcBorders>
              <w:bottom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19</w:t>
            </w:r>
            <w:r w:rsidR="00B253A4" w:rsidRPr="006006DA">
              <w:rPr>
                <w:sz w:val="18"/>
                <w:szCs w:val="18"/>
                <w:lang w:eastAsia="et-EE"/>
              </w:rPr>
              <w:t>,</w:t>
            </w:r>
            <w:r w:rsidRPr="006006DA">
              <w:rPr>
                <w:sz w:val="18"/>
                <w:szCs w:val="18"/>
                <w:lang w:eastAsia="et-EE"/>
              </w:rPr>
              <w:t>0</w:t>
            </w:r>
          </w:p>
        </w:tc>
        <w:tc>
          <w:tcPr>
            <w:tcW w:w="876" w:type="dxa"/>
            <w:tcBorders>
              <w:bottom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23</w:t>
            </w:r>
            <w:r w:rsidR="00B253A4" w:rsidRPr="006006DA">
              <w:rPr>
                <w:sz w:val="18"/>
                <w:szCs w:val="18"/>
                <w:lang w:eastAsia="et-EE"/>
              </w:rPr>
              <w:t>,</w:t>
            </w:r>
            <w:r w:rsidRPr="006006DA">
              <w:rPr>
                <w:sz w:val="18"/>
                <w:szCs w:val="18"/>
                <w:lang w:eastAsia="et-EE"/>
              </w:rPr>
              <w:t>4</w:t>
            </w:r>
          </w:p>
        </w:tc>
        <w:tc>
          <w:tcPr>
            <w:tcW w:w="877" w:type="dxa"/>
            <w:tcBorders>
              <w:bottom w:val="single" w:sz="12" w:space="0" w:color="auto"/>
            </w:tcBorders>
            <w:shd w:val="clear" w:color="auto" w:fill="auto"/>
            <w:noWrap/>
            <w:vAlign w:val="bottom"/>
          </w:tcPr>
          <w:p w:rsidR="00287305" w:rsidRPr="006006DA" w:rsidRDefault="00287305" w:rsidP="00637350">
            <w:pPr>
              <w:spacing w:before="40" w:after="40" w:line="220" w:lineRule="exact"/>
              <w:jc w:val="right"/>
              <w:rPr>
                <w:sz w:val="18"/>
                <w:szCs w:val="18"/>
                <w:lang w:eastAsia="et-EE"/>
              </w:rPr>
            </w:pPr>
            <w:r w:rsidRPr="006006DA">
              <w:rPr>
                <w:sz w:val="18"/>
                <w:szCs w:val="18"/>
                <w:lang w:eastAsia="et-EE"/>
              </w:rPr>
              <w:t>18</w:t>
            </w:r>
            <w:r w:rsidR="00B253A4" w:rsidRPr="006006DA">
              <w:rPr>
                <w:sz w:val="18"/>
                <w:szCs w:val="18"/>
                <w:lang w:eastAsia="et-EE"/>
              </w:rPr>
              <w:t>,</w:t>
            </w:r>
            <w:r w:rsidRPr="006006DA">
              <w:rPr>
                <w:sz w:val="18"/>
                <w:szCs w:val="18"/>
                <w:lang w:eastAsia="et-EE"/>
              </w:rPr>
              <w:t>2</w:t>
            </w:r>
          </w:p>
        </w:tc>
      </w:tr>
    </w:tbl>
    <w:p w:rsidR="00B253A4" w:rsidRDefault="00B253A4" w:rsidP="00637350">
      <w:pPr>
        <w:spacing w:before="120" w:after="240"/>
        <w:ind w:left="1134" w:right="1134" w:firstLine="170"/>
        <w:rPr>
          <w:szCs w:val="24"/>
        </w:rPr>
      </w:pPr>
      <w:r>
        <w:rPr>
          <w:i/>
          <w:sz w:val="18"/>
          <w:szCs w:val="24"/>
          <w:lang w:val="es-ES"/>
        </w:rPr>
        <w:t>Fuente</w:t>
      </w:r>
      <w:r w:rsidRPr="00452F8A">
        <w:rPr>
          <w:i/>
          <w:sz w:val="18"/>
          <w:szCs w:val="24"/>
          <w:lang w:val="es-ES"/>
        </w:rPr>
        <w:t>:</w:t>
      </w:r>
      <w:r>
        <w:rPr>
          <w:sz w:val="18"/>
          <w:szCs w:val="24"/>
        </w:rPr>
        <w:t xml:space="preserve"> </w:t>
      </w:r>
      <w:r>
        <w:rPr>
          <w:sz w:val="18"/>
          <w:szCs w:val="24"/>
          <w:lang w:val="es-ES"/>
        </w:rPr>
        <w:t>Estadística de Estonia</w:t>
      </w:r>
      <w:r w:rsidR="00452F8A">
        <w:rPr>
          <w:sz w:val="18"/>
          <w:szCs w:val="24"/>
          <w:lang w:val="es-ES"/>
        </w:rPr>
        <w:t>.</w:t>
      </w:r>
    </w:p>
    <w:p w:rsidR="00DF4129" w:rsidRPr="00BF39E4" w:rsidRDefault="00DF4129" w:rsidP="00637350">
      <w:pPr>
        <w:pStyle w:val="SingleTxtG"/>
        <w:rPr>
          <w:sz w:val="24"/>
          <w:szCs w:val="24"/>
          <w:lang w:val="es-ES"/>
        </w:rPr>
      </w:pPr>
      <w:r w:rsidRPr="00BF39E4">
        <w:rPr>
          <w:szCs w:val="24"/>
          <w:lang w:val="es-ES"/>
        </w:rPr>
        <w:t>168.</w:t>
      </w:r>
      <w:r w:rsidRPr="00BF39E4">
        <w:rPr>
          <w:szCs w:val="24"/>
          <w:lang w:val="es-ES"/>
        </w:rPr>
        <w:tab/>
      </w:r>
      <w:r>
        <w:rPr>
          <w:szCs w:val="24"/>
          <w:lang w:val="es-ES"/>
        </w:rPr>
        <w:t>La tasa de desempleo más elevada entre los no estonios puede explicarse principalmente por su</w:t>
      </w:r>
      <w:r w:rsidR="001A5894">
        <w:rPr>
          <w:szCs w:val="24"/>
          <w:lang w:val="es-ES"/>
        </w:rPr>
        <w:t>s</w:t>
      </w:r>
      <w:r>
        <w:rPr>
          <w:szCs w:val="24"/>
          <w:lang w:val="es-ES"/>
        </w:rPr>
        <w:t xml:space="preserve"> </w:t>
      </w:r>
      <w:r w:rsidR="00F30B1B">
        <w:rPr>
          <w:szCs w:val="24"/>
          <w:lang w:val="es-ES"/>
        </w:rPr>
        <w:t>lugar</w:t>
      </w:r>
      <w:r w:rsidR="001A5894">
        <w:rPr>
          <w:szCs w:val="24"/>
          <w:lang w:val="es-ES"/>
        </w:rPr>
        <w:t>es</w:t>
      </w:r>
      <w:r w:rsidR="00F30B1B">
        <w:rPr>
          <w:szCs w:val="24"/>
          <w:lang w:val="es-ES"/>
        </w:rPr>
        <w:t xml:space="preserve"> </w:t>
      </w:r>
      <w:r>
        <w:rPr>
          <w:szCs w:val="24"/>
          <w:lang w:val="es-ES"/>
        </w:rPr>
        <w:t xml:space="preserve">de residencia, </w:t>
      </w:r>
      <w:r w:rsidR="00F30B1B">
        <w:rPr>
          <w:szCs w:val="24"/>
          <w:lang w:val="es-ES"/>
        </w:rPr>
        <w:t>e</w:t>
      </w:r>
      <w:r>
        <w:rPr>
          <w:szCs w:val="24"/>
          <w:lang w:val="es-ES"/>
        </w:rPr>
        <w:t xml:space="preserve">l </w:t>
      </w:r>
      <w:r w:rsidR="00F30B1B">
        <w:rPr>
          <w:szCs w:val="24"/>
          <w:lang w:val="es-ES"/>
        </w:rPr>
        <w:t xml:space="preserve">deficiente nivel </w:t>
      </w:r>
      <w:r>
        <w:rPr>
          <w:szCs w:val="24"/>
          <w:lang w:val="es-ES"/>
        </w:rPr>
        <w:t>de</w:t>
      </w:r>
      <w:r w:rsidR="00F30B1B">
        <w:rPr>
          <w:szCs w:val="24"/>
          <w:lang w:val="es-ES"/>
        </w:rPr>
        <w:t xml:space="preserve"> conocimientos</w:t>
      </w:r>
      <w:r>
        <w:rPr>
          <w:szCs w:val="24"/>
          <w:lang w:val="es-ES"/>
        </w:rPr>
        <w:t xml:space="preserve"> </w:t>
      </w:r>
      <w:r w:rsidR="00F30B1B">
        <w:rPr>
          <w:szCs w:val="24"/>
          <w:lang w:val="es-ES"/>
        </w:rPr>
        <w:t xml:space="preserve">del </w:t>
      </w:r>
      <w:r>
        <w:rPr>
          <w:szCs w:val="24"/>
          <w:lang w:val="es-ES"/>
        </w:rPr>
        <w:t>estonio y una baja movilidad geográfica.</w:t>
      </w:r>
      <w:r w:rsidRPr="00BF39E4">
        <w:rPr>
          <w:szCs w:val="24"/>
          <w:lang w:val="es-ES"/>
        </w:rPr>
        <w:t xml:space="preserve"> </w:t>
      </w:r>
      <w:r>
        <w:rPr>
          <w:szCs w:val="24"/>
          <w:lang w:val="es-ES"/>
        </w:rPr>
        <w:t>Los no estonios viven en su mayor parte en las ciudades y se han concentrado en dos regiones</w:t>
      </w:r>
      <w:r w:rsidR="00F30B1B">
        <w:rPr>
          <w:szCs w:val="24"/>
          <w:lang w:val="es-ES"/>
        </w:rPr>
        <w:t>, a saber,</w:t>
      </w:r>
      <w:r w:rsidRPr="00BF39E4">
        <w:rPr>
          <w:szCs w:val="24"/>
          <w:lang w:val="es-ES"/>
        </w:rPr>
        <w:t xml:space="preserve"> </w:t>
      </w:r>
      <w:r>
        <w:rPr>
          <w:szCs w:val="24"/>
          <w:lang w:val="es-ES"/>
        </w:rPr>
        <w:t xml:space="preserve">el nordeste de Estonia, donde el 80% de la población es no estonia, y la capital Tallin, donde la proporción de no estonios </w:t>
      </w:r>
      <w:r w:rsidR="00F30B1B">
        <w:rPr>
          <w:szCs w:val="24"/>
          <w:lang w:val="es-ES"/>
        </w:rPr>
        <w:t>alcanza el 50%</w:t>
      </w:r>
      <w:r>
        <w:rPr>
          <w:szCs w:val="24"/>
          <w:lang w:val="es-ES"/>
        </w:rPr>
        <w:t xml:space="preserve"> aproximadamente</w:t>
      </w:r>
      <w:r w:rsidR="00F30B1B">
        <w:rPr>
          <w:szCs w:val="24"/>
          <w:lang w:val="es-ES"/>
        </w:rPr>
        <w:t>.</w:t>
      </w:r>
      <w:r w:rsidRPr="00BF39E4">
        <w:rPr>
          <w:szCs w:val="24"/>
          <w:lang w:val="es-ES"/>
        </w:rPr>
        <w:t xml:space="preserve"> </w:t>
      </w:r>
      <w:r>
        <w:rPr>
          <w:szCs w:val="24"/>
          <w:lang w:val="es-ES"/>
        </w:rPr>
        <w:t xml:space="preserve">La tasa de </w:t>
      </w:r>
      <w:r w:rsidR="001A5894">
        <w:rPr>
          <w:szCs w:val="24"/>
          <w:lang w:val="es-ES"/>
        </w:rPr>
        <w:t>desempleo más elevada</w:t>
      </w:r>
      <w:r>
        <w:rPr>
          <w:szCs w:val="24"/>
          <w:lang w:val="es-ES"/>
        </w:rPr>
        <w:t xml:space="preserve"> corresponde al nordeste del país, donde en 2011 alcanzó el 20,3%. Es más de 1,5 veces </w:t>
      </w:r>
      <w:r w:rsidR="00F30B1B">
        <w:rPr>
          <w:szCs w:val="24"/>
          <w:lang w:val="es-ES"/>
        </w:rPr>
        <w:t xml:space="preserve">superior al </w:t>
      </w:r>
      <w:r>
        <w:rPr>
          <w:szCs w:val="24"/>
          <w:lang w:val="es-ES"/>
        </w:rPr>
        <w:t>promedio de Estonia.</w:t>
      </w:r>
    </w:p>
    <w:p w:rsidR="0007522E" w:rsidRPr="00BF39E4" w:rsidRDefault="007C4770" w:rsidP="00637350">
      <w:pPr>
        <w:pStyle w:val="Heading1"/>
        <w:spacing w:before="240"/>
        <w:rPr>
          <w:lang w:val="es-ES" w:eastAsia="et-EE"/>
        </w:rPr>
      </w:pPr>
      <w:r w:rsidRPr="00BF39E4">
        <w:rPr>
          <w:lang w:val="es-ES" w:eastAsia="et-EE"/>
        </w:rPr>
        <w:t>Cuadro</w:t>
      </w:r>
      <w:r w:rsidR="0007522E" w:rsidRPr="00BF39E4">
        <w:rPr>
          <w:lang w:val="es-ES" w:eastAsia="et-EE"/>
        </w:rPr>
        <w:t xml:space="preserve"> </w:t>
      </w:r>
      <w:r w:rsidR="00B01700" w:rsidRPr="00BF39E4">
        <w:rPr>
          <w:lang w:val="es-ES" w:eastAsia="et-EE"/>
        </w:rPr>
        <w:t>8</w:t>
      </w:r>
    </w:p>
    <w:p w:rsidR="007C4770" w:rsidRPr="006006DA" w:rsidRDefault="007C4770" w:rsidP="00637350">
      <w:pPr>
        <w:pStyle w:val="SingleTxtG"/>
        <w:jc w:val="left"/>
        <w:rPr>
          <w:b/>
          <w:lang w:val="es-ES"/>
        </w:rPr>
      </w:pPr>
      <w:r w:rsidRPr="006006DA">
        <w:rPr>
          <w:b/>
          <w:lang w:val="es-ES"/>
        </w:rPr>
        <w:t>Desempleo de larga duración, por ciudadanía</w:t>
      </w:r>
    </w:p>
    <w:p w:rsidR="004222BA" w:rsidRPr="00690FA2" w:rsidRDefault="00A5474D" w:rsidP="00637350">
      <w:pPr>
        <w:spacing w:line="276" w:lineRule="auto"/>
        <w:ind w:left="720"/>
        <w:jc w:val="both"/>
        <w:rPr>
          <w:noProof/>
          <w:sz w:val="24"/>
          <w:szCs w:val="24"/>
          <w:lang w:val="en-US"/>
        </w:rPr>
      </w:pPr>
      <w:r w:rsidRPr="00690FA2">
        <w:rPr>
          <w:noProof/>
        </w:rPr>
        <w:pict>
          <v:shapetype id="_x0000_t202" coordsize="21600,21600" o:spt="202" path="m,l,21600r21600,l21600,xe">
            <v:stroke joinstyle="miter"/>
            <v:path gradientshapeok="t" o:connecttype="rect"/>
          </v:shapetype>
          <v:shape id="Text Box 7" o:spid="_x0000_s1029" type="#_x0000_t202" style="position:absolute;left:0;text-align:left;margin-left:14.1pt;margin-top:6.75pt;width:102pt;height:1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" filled="f" stroked="f">
            <v:textbox style="mso-next-textbox:#Text Box 7" inset="0,0,0,0">
              <w:txbxContent>
                <w:tbl>
                  <w:tblPr>
                    <w:tblW w:w="1901"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847"/>
                    <w:gridCol w:w="1054"/>
                  </w:tblGrid>
                  <w:tr w:rsidR="000804D0" w:rsidRPr="00B01700">
                    <w:trPr>
                      <w:trHeight w:val="440"/>
                    </w:trPr>
                    <w:tc>
                      <w:tcPr>
                        <w:tcW w:w="847" w:type="dxa"/>
                        <w:vMerge w:val="restart"/>
                        <w:textDirection w:val="btLr"/>
                        <w:vAlign w:val="center"/>
                      </w:tcPr>
                      <w:p w:rsidR="000804D0" w:rsidRPr="00225944" w:rsidRDefault="000804D0" w:rsidP="00225944">
                        <w:pPr>
                          <w:spacing w:line="240" w:lineRule="auto"/>
                          <w:jc w:val="center"/>
                          <w:rPr>
                            <w:rFonts w:cs="Calibri"/>
                            <w:sz w:val="14"/>
                            <w:szCs w:val="10"/>
                            <w:lang w:val="es-ES"/>
                          </w:rPr>
                        </w:pPr>
                        <w:r w:rsidRPr="00225944">
                          <w:rPr>
                            <w:rFonts w:cs="Calibri"/>
                            <w:sz w:val="14"/>
                            <w:szCs w:val="10"/>
                            <w:lang w:val="es-ES"/>
                          </w:rPr>
                          <w:t>Tasa de desempleo de muy larga duración</w:t>
                        </w: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Ciudadanía indeterminada</w:t>
                        </w:r>
                      </w:p>
                    </w:tc>
                  </w:tr>
                  <w:tr w:rsidR="000804D0" w:rsidRPr="00B01700">
                    <w:trPr>
                      <w:trHeight w:val="350"/>
                    </w:trPr>
                    <w:tc>
                      <w:tcPr>
                        <w:tcW w:w="847" w:type="dxa"/>
                        <w:vMerge/>
                        <w:vAlign w:val="center"/>
                      </w:tcPr>
                      <w:p w:rsidR="000804D0" w:rsidRPr="00225944" w:rsidRDefault="000804D0" w:rsidP="00F82603">
                        <w:pPr>
                          <w:spacing w:line="240" w:lineRule="auto"/>
                          <w:jc w:val="center"/>
                          <w:rPr>
                            <w:rFonts w:cs="Calibri"/>
                            <w:sz w:val="14"/>
                            <w:szCs w:val="10"/>
                          </w:rPr>
                        </w:pP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Otra ciudadanía</w:t>
                        </w:r>
                      </w:p>
                    </w:tc>
                  </w:tr>
                  <w:tr w:rsidR="000804D0" w:rsidRPr="00B01700">
                    <w:trPr>
                      <w:trHeight w:val="350"/>
                    </w:trPr>
                    <w:tc>
                      <w:tcPr>
                        <w:tcW w:w="847" w:type="dxa"/>
                        <w:vMerge/>
                        <w:vAlign w:val="center"/>
                      </w:tcPr>
                      <w:p w:rsidR="000804D0" w:rsidRPr="00225944" w:rsidRDefault="000804D0" w:rsidP="00F82603">
                        <w:pPr>
                          <w:spacing w:line="240" w:lineRule="auto"/>
                          <w:jc w:val="center"/>
                          <w:rPr>
                            <w:rFonts w:cs="Calibri"/>
                            <w:sz w:val="14"/>
                            <w:szCs w:val="10"/>
                          </w:rPr>
                        </w:pP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Ciudadanía estonia</w:t>
                        </w:r>
                      </w:p>
                    </w:tc>
                  </w:tr>
                  <w:tr w:rsidR="000804D0" w:rsidRPr="00B01700">
                    <w:trPr>
                      <w:trHeight w:val="374"/>
                    </w:trPr>
                    <w:tc>
                      <w:tcPr>
                        <w:tcW w:w="847" w:type="dxa"/>
                        <w:vMerge w:val="restart"/>
                        <w:textDirection w:val="btLr"/>
                        <w:vAlign w:val="center"/>
                      </w:tcPr>
                      <w:p w:rsidR="000804D0" w:rsidRPr="00225944" w:rsidRDefault="000804D0" w:rsidP="00D01ACA">
                        <w:pPr>
                          <w:spacing w:line="240" w:lineRule="auto"/>
                          <w:jc w:val="center"/>
                          <w:rPr>
                            <w:rFonts w:cs="Calibri"/>
                            <w:sz w:val="14"/>
                            <w:szCs w:val="10"/>
                            <w:lang w:val="es-ES"/>
                          </w:rPr>
                        </w:pPr>
                        <w:r w:rsidRPr="00225944">
                          <w:rPr>
                            <w:rFonts w:cs="Calibri"/>
                            <w:sz w:val="14"/>
                            <w:szCs w:val="10"/>
                            <w:lang w:val="es-ES"/>
                          </w:rPr>
                          <w:t>Proporción de los desempleados de larga duración respecto del total</w:t>
                        </w: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Ciudadanía indeterminada</w:t>
                        </w:r>
                      </w:p>
                    </w:tc>
                  </w:tr>
                  <w:tr w:rsidR="000804D0" w:rsidRPr="00B01700">
                    <w:trPr>
                      <w:trHeight w:val="350"/>
                    </w:trPr>
                    <w:tc>
                      <w:tcPr>
                        <w:tcW w:w="847" w:type="dxa"/>
                        <w:vMerge/>
                        <w:vAlign w:val="center"/>
                      </w:tcPr>
                      <w:p w:rsidR="000804D0" w:rsidRPr="00225944" w:rsidRDefault="000804D0" w:rsidP="00F82603">
                        <w:pPr>
                          <w:spacing w:line="240" w:lineRule="auto"/>
                          <w:jc w:val="center"/>
                          <w:rPr>
                            <w:rFonts w:cs="Calibri"/>
                            <w:sz w:val="14"/>
                            <w:szCs w:val="10"/>
                          </w:rPr>
                        </w:pP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Otra ciudadanía</w:t>
                        </w:r>
                      </w:p>
                    </w:tc>
                  </w:tr>
                  <w:tr w:rsidR="000804D0" w:rsidRPr="00B01700">
                    <w:trPr>
                      <w:trHeight w:val="323"/>
                    </w:trPr>
                    <w:tc>
                      <w:tcPr>
                        <w:tcW w:w="847" w:type="dxa"/>
                        <w:vMerge/>
                        <w:vAlign w:val="center"/>
                      </w:tcPr>
                      <w:p w:rsidR="000804D0" w:rsidRPr="00225944" w:rsidRDefault="000804D0" w:rsidP="00F82603">
                        <w:pPr>
                          <w:spacing w:line="240" w:lineRule="auto"/>
                          <w:jc w:val="center"/>
                          <w:rPr>
                            <w:rFonts w:cs="Calibri"/>
                            <w:sz w:val="14"/>
                            <w:szCs w:val="10"/>
                          </w:rPr>
                        </w:pP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Ciudadanía estonia</w:t>
                        </w:r>
                      </w:p>
                    </w:tc>
                  </w:tr>
                  <w:tr w:rsidR="000804D0" w:rsidRPr="00B01700">
                    <w:trPr>
                      <w:trHeight w:val="386"/>
                    </w:trPr>
                    <w:tc>
                      <w:tcPr>
                        <w:tcW w:w="847" w:type="dxa"/>
                        <w:vMerge w:val="restart"/>
                        <w:textDirection w:val="btLr"/>
                        <w:vAlign w:val="center"/>
                      </w:tcPr>
                      <w:p w:rsidR="000804D0" w:rsidRPr="00225944" w:rsidRDefault="000804D0" w:rsidP="00225944">
                        <w:pPr>
                          <w:spacing w:line="240" w:lineRule="auto"/>
                          <w:jc w:val="center"/>
                          <w:rPr>
                            <w:rFonts w:cs="Calibri"/>
                            <w:sz w:val="14"/>
                            <w:szCs w:val="10"/>
                            <w:lang w:val="es-ES"/>
                          </w:rPr>
                        </w:pPr>
                        <w:r w:rsidRPr="00225944">
                          <w:rPr>
                            <w:rFonts w:cs="Calibri"/>
                            <w:sz w:val="14"/>
                            <w:szCs w:val="10"/>
                            <w:lang w:val="es-ES"/>
                          </w:rPr>
                          <w:t xml:space="preserve">Tasa de desempleo </w:t>
                        </w:r>
                        <w:r w:rsidR="00225944">
                          <w:rPr>
                            <w:rFonts w:cs="Calibri"/>
                            <w:sz w:val="14"/>
                            <w:szCs w:val="10"/>
                            <w:lang w:val="es-ES"/>
                          </w:rPr>
                          <w:br/>
                        </w:r>
                        <w:r w:rsidRPr="00225944">
                          <w:rPr>
                            <w:rFonts w:cs="Calibri"/>
                            <w:sz w:val="14"/>
                            <w:szCs w:val="10"/>
                            <w:lang w:val="es-ES"/>
                          </w:rPr>
                          <w:t>de larga duración</w:t>
                        </w: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Ciudadanía indeterminada</w:t>
                        </w:r>
                      </w:p>
                    </w:tc>
                  </w:tr>
                  <w:tr w:rsidR="000804D0" w:rsidRPr="00B01700">
                    <w:trPr>
                      <w:trHeight w:val="395"/>
                    </w:trPr>
                    <w:tc>
                      <w:tcPr>
                        <w:tcW w:w="847" w:type="dxa"/>
                        <w:vMerge/>
                      </w:tcPr>
                      <w:p w:rsidR="000804D0" w:rsidRPr="00225944" w:rsidRDefault="000804D0">
                        <w:pPr>
                          <w:rPr>
                            <w:rFonts w:cs="Calibri"/>
                            <w:sz w:val="14"/>
                            <w:szCs w:val="10"/>
                          </w:rPr>
                        </w:pP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Otra ciudadanía</w:t>
                        </w:r>
                      </w:p>
                    </w:tc>
                  </w:tr>
                  <w:tr w:rsidR="000804D0" w:rsidRPr="00B01700">
                    <w:trPr>
                      <w:trHeight w:val="467"/>
                    </w:trPr>
                    <w:tc>
                      <w:tcPr>
                        <w:tcW w:w="847" w:type="dxa"/>
                        <w:vMerge/>
                      </w:tcPr>
                      <w:p w:rsidR="000804D0" w:rsidRPr="00225944" w:rsidRDefault="000804D0">
                        <w:pPr>
                          <w:rPr>
                            <w:rFonts w:cs="Calibri"/>
                            <w:sz w:val="14"/>
                            <w:szCs w:val="10"/>
                          </w:rPr>
                        </w:pPr>
                      </w:p>
                    </w:tc>
                    <w:tc>
                      <w:tcPr>
                        <w:tcW w:w="1054" w:type="dxa"/>
                        <w:vAlign w:val="center"/>
                      </w:tcPr>
                      <w:p w:rsidR="000804D0" w:rsidRPr="00225944" w:rsidRDefault="000804D0" w:rsidP="00225944">
                        <w:pPr>
                          <w:spacing w:line="240" w:lineRule="auto"/>
                          <w:ind w:left="57" w:right="57"/>
                          <w:rPr>
                            <w:rFonts w:cs="Calibri"/>
                            <w:sz w:val="14"/>
                            <w:szCs w:val="14"/>
                          </w:rPr>
                        </w:pPr>
                        <w:r w:rsidRPr="00225944">
                          <w:rPr>
                            <w:rFonts w:cs="Calibri"/>
                            <w:sz w:val="14"/>
                            <w:szCs w:val="14"/>
                          </w:rPr>
                          <w:t>Ciudadanía estonia</w:t>
                        </w:r>
                      </w:p>
                    </w:tc>
                  </w:tr>
                </w:tbl>
                <w:p w:rsidR="000804D0" w:rsidRPr="00C56CC8" w:rsidRDefault="000804D0" w:rsidP="00225944">
                  <w:pPr>
                    <w:jc w:val="right"/>
                  </w:pPr>
                </w:p>
              </w:txbxContent>
            </v:textbox>
          </v:shape>
        </w:pict>
      </w:r>
      <w:r w:rsidR="00F82603" w:rsidRPr="00690FA2">
        <w:rPr>
          <w:noProof/>
        </w:rPr>
        <w:pict>
          <v:shape id="Text Box 8" o:spid="_x0000_s1030" type="#_x0000_t202" style="position:absolute;left:0;text-align:left;margin-left:34.65pt;margin-top:188.55pt;width:78.75pt;height:1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" strokeweight=".25pt">
            <v:textbox style="mso-next-textbox:#Text Box 8">
              <w:txbxContent>
                <w:p w:rsidR="000804D0" w:rsidRPr="007C4770" w:rsidRDefault="000804D0" w:rsidP="004222BA">
                  <w:pPr>
                    <w:jc w:val="right"/>
                    <w:rPr>
                      <w:lang w:val="es-ES"/>
                    </w:rPr>
                  </w:pPr>
                  <w:r>
                    <w:rPr>
                      <w:lang w:val="es-ES"/>
                    </w:rPr>
                    <w:t>Miles</w:t>
                  </w:r>
                </w:p>
              </w:txbxContent>
            </v:textbox>
          </v:shape>
        </w:pict>
      </w:r>
      <w:r w:rsidR="004222BA" w:rsidRPr="00690FA2">
        <w:rPr>
          <w:bCs/>
          <w:noProof/>
          <w:sz w:val="24"/>
          <w:szCs w:val="24"/>
          <w:lang w:val="et-EE" w:eastAsia="et-EE"/>
        </w:rPr>
        <w:tab/>
      </w:r>
      <w:r w:rsidR="004222BA" w:rsidRPr="00690FA2">
        <w:rPr>
          <w:bCs/>
          <w:noProof/>
          <w:sz w:val="24"/>
          <w:szCs w:val="24"/>
          <w:lang w:val="et-EE" w:eastAsia="et-EE"/>
        </w:rPr>
        <w:tab/>
      </w:r>
      <w:r w:rsidR="004222BA" w:rsidRPr="00690FA2">
        <w:rPr>
          <w:bCs/>
          <w:noProof/>
          <w:sz w:val="24"/>
          <w:szCs w:val="24"/>
          <w:lang w:val="et-EE" w:eastAsia="et-EE"/>
        </w:rPr>
        <w:tab/>
      </w:r>
      <w:r w:rsidR="0007522E" w:rsidRPr="00690FA2">
        <w:rPr>
          <w:noProof/>
          <w:sz w:val="24"/>
          <w:szCs w:val="24"/>
          <w:lang w:eastAsia="en-GB"/>
        </w:rPr>
        <w:pict>
          <v:shape id="Chart 1" o:spid="_x0000_i1026" type="#_x0000_t75" style="width:318pt;height:189pt;visibility:visible">
            <v:imagedata r:id="rId8" o:title=""/>
            <o:lock v:ext="edit" aspectratio="f"/>
          </v:shape>
        </w:pict>
      </w:r>
    </w:p>
    <w:tbl>
      <w:tblPr>
        <w:tblW w:w="0" w:type="auto"/>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8"/>
        <w:gridCol w:w="758"/>
        <w:gridCol w:w="726"/>
        <w:gridCol w:w="715"/>
        <w:gridCol w:w="769"/>
        <w:gridCol w:w="741"/>
        <w:gridCol w:w="756"/>
        <w:gridCol w:w="742"/>
        <w:gridCol w:w="742"/>
      </w:tblGrid>
      <w:tr w:rsidR="00A5474D" w:rsidRPr="004222BA">
        <w:trPr>
          <w:trHeight w:val="296"/>
        </w:trPr>
        <w:tc>
          <w:tcPr>
            <w:tcW w:w="158"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0</w:t>
            </w:r>
          </w:p>
        </w:tc>
        <w:tc>
          <w:tcPr>
            <w:tcW w:w="758"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10</w:t>
            </w:r>
          </w:p>
        </w:tc>
        <w:tc>
          <w:tcPr>
            <w:tcW w:w="726"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20</w:t>
            </w:r>
          </w:p>
        </w:tc>
        <w:tc>
          <w:tcPr>
            <w:tcW w:w="715"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30</w:t>
            </w:r>
          </w:p>
        </w:tc>
        <w:tc>
          <w:tcPr>
            <w:tcW w:w="769"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40</w:t>
            </w:r>
          </w:p>
        </w:tc>
        <w:tc>
          <w:tcPr>
            <w:tcW w:w="741"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50</w:t>
            </w:r>
          </w:p>
        </w:tc>
        <w:tc>
          <w:tcPr>
            <w:tcW w:w="756"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60</w:t>
            </w:r>
          </w:p>
        </w:tc>
        <w:tc>
          <w:tcPr>
            <w:tcW w:w="742"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70</w:t>
            </w:r>
          </w:p>
        </w:tc>
        <w:tc>
          <w:tcPr>
            <w:tcW w:w="742" w:type="dxa"/>
            <w:vAlign w:val="center"/>
          </w:tcPr>
          <w:p w:rsidR="004222BA" w:rsidRPr="004222BA" w:rsidRDefault="004222BA" w:rsidP="00A5474D">
            <w:pPr>
              <w:spacing w:line="276" w:lineRule="auto"/>
              <w:jc w:val="center"/>
              <w:rPr>
                <w:rFonts w:cs="Calibri"/>
                <w:bCs/>
                <w:noProof/>
                <w:lang w:val="et-EE" w:eastAsia="et-EE"/>
              </w:rPr>
            </w:pPr>
            <w:r w:rsidRPr="004222BA">
              <w:rPr>
                <w:rFonts w:cs="Calibri"/>
                <w:bCs/>
                <w:noProof/>
                <w:lang w:val="et-EE" w:eastAsia="et-EE"/>
              </w:rPr>
              <w:t>80</w:t>
            </w:r>
          </w:p>
        </w:tc>
      </w:tr>
    </w:tbl>
    <w:p w:rsidR="004222BA" w:rsidRPr="0007522E" w:rsidRDefault="007C4770" w:rsidP="00637350">
      <w:pPr>
        <w:autoSpaceDE w:val="0"/>
        <w:autoSpaceDN w:val="0"/>
        <w:adjustRightInd w:val="0"/>
        <w:spacing w:before="120" w:after="240"/>
        <w:ind w:left="1134" w:right="1134" w:firstLine="170"/>
        <w:jc w:val="both"/>
        <w:rPr>
          <w:sz w:val="18"/>
          <w:szCs w:val="18"/>
          <w:lang w:eastAsia="et-EE"/>
        </w:rPr>
      </w:pPr>
      <w:r>
        <w:rPr>
          <w:i/>
          <w:sz w:val="18"/>
          <w:szCs w:val="18"/>
          <w:lang w:eastAsia="et-EE"/>
        </w:rPr>
        <w:t>Fuente</w:t>
      </w:r>
      <w:r w:rsidR="004222BA" w:rsidRPr="00690FA2">
        <w:rPr>
          <w:i/>
          <w:sz w:val="18"/>
          <w:szCs w:val="18"/>
          <w:lang w:eastAsia="et-EE"/>
        </w:rPr>
        <w:t>:</w:t>
      </w:r>
      <w:r w:rsidR="004222BA" w:rsidRPr="0007522E">
        <w:rPr>
          <w:sz w:val="18"/>
          <w:szCs w:val="18"/>
          <w:lang w:eastAsia="et-EE"/>
        </w:rPr>
        <w:t xml:space="preserve"> </w:t>
      </w:r>
      <w:r>
        <w:rPr>
          <w:sz w:val="18"/>
          <w:szCs w:val="18"/>
          <w:lang w:eastAsia="et-EE"/>
        </w:rPr>
        <w:t>Estadística de Estonia</w:t>
      </w:r>
      <w:r w:rsidR="003B110F">
        <w:rPr>
          <w:sz w:val="18"/>
          <w:szCs w:val="18"/>
          <w:lang w:eastAsia="et-EE"/>
        </w:rPr>
        <w:t>.</w:t>
      </w:r>
    </w:p>
    <w:p w:rsidR="006A7FCB" w:rsidRPr="00BF39E4" w:rsidRDefault="006A7FCB" w:rsidP="00637350">
      <w:pPr>
        <w:pStyle w:val="SingleTxtG"/>
        <w:rPr>
          <w:lang w:val="es-ES"/>
        </w:rPr>
      </w:pPr>
      <w:r w:rsidRPr="00BF39E4">
        <w:rPr>
          <w:lang w:val="es-ES"/>
        </w:rPr>
        <w:t>169.</w:t>
      </w:r>
      <w:r w:rsidRPr="00BF39E4">
        <w:rPr>
          <w:lang w:val="es-ES"/>
        </w:rPr>
        <w:tab/>
      </w:r>
      <w:r>
        <w:rPr>
          <w:lang w:val="es-ES"/>
        </w:rPr>
        <w:t>L</w:t>
      </w:r>
      <w:r w:rsidR="00BA47F6">
        <w:rPr>
          <w:lang w:val="es-ES"/>
        </w:rPr>
        <w:t xml:space="preserve">os cambios que se han producido </w:t>
      </w:r>
      <w:r>
        <w:rPr>
          <w:lang w:val="es-ES"/>
        </w:rPr>
        <w:t xml:space="preserve">en el mercado laboral en los últimos años </w:t>
      </w:r>
      <w:r w:rsidRPr="006006DA">
        <w:t>también</w:t>
      </w:r>
      <w:r>
        <w:rPr>
          <w:lang w:val="es-ES"/>
        </w:rPr>
        <w:t xml:space="preserve"> se reflejan en la tasa de empleo de la población </w:t>
      </w:r>
      <w:r w:rsidR="00C558F0">
        <w:rPr>
          <w:lang w:val="es-ES"/>
        </w:rPr>
        <w:t xml:space="preserve">según la </w:t>
      </w:r>
      <w:r>
        <w:rPr>
          <w:lang w:val="es-ES"/>
        </w:rPr>
        <w:t>ciudadanía.</w:t>
      </w:r>
      <w:r w:rsidRPr="00BF39E4">
        <w:rPr>
          <w:lang w:val="es-ES"/>
        </w:rPr>
        <w:t xml:space="preserve"> </w:t>
      </w:r>
      <w:r>
        <w:rPr>
          <w:lang w:val="es-ES"/>
        </w:rPr>
        <w:t>A consecuencia de la crisis económica, la tasa de desempleo aumentó entre las personas con ciudadanía distinta a la estonia.</w:t>
      </w:r>
      <w:r w:rsidRPr="00BF39E4">
        <w:rPr>
          <w:lang w:val="es-ES"/>
        </w:rPr>
        <w:t xml:space="preserve"> </w:t>
      </w:r>
      <w:r w:rsidR="00BA47F6">
        <w:rPr>
          <w:lang w:val="es-ES"/>
        </w:rPr>
        <w:t xml:space="preserve">En 2011, la situación en </w:t>
      </w:r>
      <w:r>
        <w:rPr>
          <w:lang w:val="es-ES"/>
        </w:rPr>
        <w:t xml:space="preserve">el mercado </w:t>
      </w:r>
      <w:r w:rsidR="00C558F0">
        <w:rPr>
          <w:lang w:val="es-ES"/>
        </w:rPr>
        <w:t xml:space="preserve">de trabajo </w:t>
      </w:r>
      <w:r>
        <w:rPr>
          <w:lang w:val="es-ES"/>
        </w:rPr>
        <w:t>mejoró considera</w:t>
      </w:r>
      <w:r w:rsidR="00BA47F6">
        <w:rPr>
          <w:lang w:val="es-ES"/>
        </w:rPr>
        <w:t xml:space="preserve">blemente, incluso para </w:t>
      </w:r>
      <w:r>
        <w:rPr>
          <w:lang w:val="es-ES"/>
        </w:rPr>
        <w:t>esas personas.</w:t>
      </w:r>
    </w:p>
    <w:p w:rsidR="0007522E" w:rsidRPr="00BF39E4" w:rsidRDefault="006A7FCB" w:rsidP="00637350">
      <w:pPr>
        <w:pStyle w:val="Heading1"/>
        <w:spacing w:before="240"/>
        <w:rPr>
          <w:lang w:val="es-ES"/>
        </w:rPr>
      </w:pPr>
      <w:r w:rsidRPr="00BF39E4">
        <w:rPr>
          <w:lang w:val="es-ES"/>
        </w:rPr>
        <w:t>Cuadro</w:t>
      </w:r>
      <w:r w:rsidR="0007522E" w:rsidRPr="00BF39E4">
        <w:rPr>
          <w:lang w:val="es-ES"/>
        </w:rPr>
        <w:t xml:space="preserve"> </w:t>
      </w:r>
      <w:r w:rsidR="00B01700" w:rsidRPr="00BF39E4">
        <w:rPr>
          <w:lang w:val="es-ES"/>
        </w:rPr>
        <w:t>9</w:t>
      </w:r>
    </w:p>
    <w:p w:rsidR="0007522E" w:rsidRPr="006006DA" w:rsidRDefault="00617176" w:rsidP="00637350">
      <w:pPr>
        <w:pStyle w:val="SingleTxtG"/>
        <w:jc w:val="left"/>
        <w:rPr>
          <w:b/>
          <w:lang w:val="es-ES"/>
        </w:rPr>
      </w:pPr>
      <w:r w:rsidRPr="006006DA">
        <w:rPr>
          <w:b/>
          <w:lang w:val="es-ES"/>
        </w:rPr>
        <w:t xml:space="preserve">Tasa de empleo en el grupo de edad de </w:t>
      </w:r>
      <w:smartTag w:uri="urn:schemas-microsoft-com:office:smarttags" w:element="metricconverter">
        <w:smartTagPr>
          <w:attr w:name="ProductID" w:val="15 a"/>
        </w:smartTagPr>
        <w:r w:rsidRPr="006006DA">
          <w:rPr>
            <w:b/>
            <w:lang w:val="es-ES"/>
          </w:rPr>
          <w:t>15 a</w:t>
        </w:r>
      </w:smartTag>
      <w:r w:rsidRPr="006006DA">
        <w:rPr>
          <w:b/>
          <w:lang w:val="es-ES"/>
        </w:rPr>
        <w:t xml:space="preserve"> 74 años según la ciudadanía</w:t>
      </w:r>
    </w:p>
    <w:tbl>
      <w:tblPr>
        <w:tblW w:w="7370" w:type="dxa"/>
        <w:tblInd w:w="1134" w:type="dxa"/>
        <w:tblBorders>
          <w:top w:val="single" w:sz="4" w:space="0" w:color="auto"/>
        </w:tblBorders>
        <w:tblLayout w:type="fixed"/>
        <w:tblCellMar>
          <w:left w:w="0" w:type="dxa"/>
          <w:right w:w="0" w:type="dxa"/>
        </w:tblCellMar>
        <w:tblLook w:val="00A0"/>
      </w:tblPr>
      <w:tblGrid>
        <w:gridCol w:w="1920"/>
        <w:gridCol w:w="2372"/>
        <w:gridCol w:w="769"/>
        <w:gridCol w:w="770"/>
        <w:gridCol w:w="769"/>
        <w:gridCol w:w="770"/>
      </w:tblGrid>
      <w:tr w:rsidR="0007522E" w:rsidRPr="0007522E">
        <w:trPr>
          <w:trHeight w:val="240"/>
          <w:tblHeader/>
        </w:trPr>
        <w:tc>
          <w:tcPr>
            <w:tcW w:w="1920" w:type="dxa"/>
            <w:tcBorders>
              <w:top w:val="single" w:sz="4" w:space="0" w:color="auto"/>
              <w:bottom w:val="single" w:sz="12" w:space="0" w:color="auto"/>
            </w:tcBorders>
            <w:shd w:val="clear" w:color="auto" w:fill="auto"/>
            <w:vAlign w:val="bottom"/>
          </w:tcPr>
          <w:p w:rsidR="0007522E" w:rsidRPr="00BF39E4" w:rsidRDefault="0007522E" w:rsidP="00637350">
            <w:pPr>
              <w:spacing w:before="80" w:after="80" w:line="200" w:lineRule="exact"/>
              <w:rPr>
                <w:i/>
                <w:sz w:val="16"/>
                <w:szCs w:val="24"/>
                <w:lang w:val="es-ES" w:eastAsia="et-EE"/>
              </w:rPr>
            </w:pPr>
          </w:p>
        </w:tc>
        <w:tc>
          <w:tcPr>
            <w:tcW w:w="2372" w:type="dxa"/>
            <w:tcBorders>
              <w:top w:val="single" w:sz="4" w:space="0" w:color="auto"/>
              <w:bottom w:val="single" w:sz="12" w:space="0" w:color="auto"/>
            </w:tcBorders>
            <w:shd w:val="clear" w:color="auto" w:fill="auto"/>
            <w:vAlign w:val="bottom"/>
          </w:tcPr>
          <w:p w:rsidR="0007522E" w:rsidRPr="00BF39E4" w:rsidRDefault="0007522E" w:rsidP="00637350">
            <w:pPr>
              <w:spacing w:before="80" w:after="80" w:line="200" w:lineRule="exact"/>
              <w:jc w:val="right"/>
              <w:rPr>
                <w:i/>
                <w:sz w:val="16"/>
                <w:szCs w:val="24"/>
                <w:lang w:val="es-ES" w:eastAsia="et-EE"/>
              </w:rPr>
            </w:pPr>
          </w:p>
        </w:tc>
        <w:tc>
          <w:tcPr>
            <w:tcW w:w="769" w:type="dxa"/>
            <w:tcBorders>
              <w:top w:val="single" w:sz="4" w:space="0" w:color="auto"/>
              <w:bottom w:val="single" w:sz="12" w:space="0" w:color="auto"/>
            </w:tcBorders>
            <w:shd w:val="clear" w:color="auto" w:fill="auto"/>
            <w:noWrap/>
            <w:vAlign w:val="bottom"/>
          </w:tcPr>
          <w:p w:rsidR="0007522E" w:rsidRPr="0007522E" w:rsidRDefault="0007522E" w:rsidP="00637350">
            <w:pPr>
              <w:spacing w:before="80" w:after="80" w:line="200" w:lineRule="exact"/>
              <w:jc w:val="right"/>
              <w:rPr>
                <w:i/>
                <w:sz w:val="16"/>
                <w:szCs w:val="24"/>
                <w:lang w:eastAsia="et-EE"/>
              </w:rPr>
            </w:pPr>
            <w:r w:rsidRPr="0007522E">
              <w:rPr>
                <w:i/>
                <w:sz w:val="16"/>
                <w:szCs w:val="24"/>
                <w:lang w:eastAsia="et-EE"/>
              </w:rPr>
              <w:t>2008</w:t>
            </w:r>
          </w:p>
        </w:tc>
        <w:tc>
          <w:tcPr>
            <w:tcW w:w="770" w:type="dxa"/>
            <w:tcBorders>
              <w:top w:val="single" w:sz="4" w:space="0" w:color="auto"/>
              <w:bottom w:val="single" w:sz="12" w:space="0" w:color="auto"/>
            </w:tcBorders>
            <w:shd w:val="clear" w:color="auto" w:fill="auto"/>
            <w:noWrap/>
            <w:vAlign w:val="bottom"/>
          </w:tcPr>
          <w:p w:rsidR="0007522E" w:rsidRPr="0007522E" w:rsidRDefault="0007522E" w:rsidP="00637350">
            <w:pPr>
              <w:spacing w:before="80" w:after="80" w:line="200" w:lineRule="exact"/>
              <w:jc w:val="right"/>
              <w:rPr>
                <w:i/>
                <w:sz w:val="16"/>
                <w:szCs w:val="24"/>
                <w:lang w:eastAsia="et-EE"/>
              </w:rPr>
            </w:pPr>
            <w:r w:rsidRPr="0007522E">
              <w:rPr>
                <w:i/>
                <w:sz w:val="16"/>
                <w:szCs w:val="24"/>
                <w:lang w:eastAsia="et-EE"/>
              </w:rPr>
              <w:t>2009</w:t>
            </w:r>
          </w:p>
        </w:tc>
        <w:tc>
          <w:tcPr>
            <w:tcW w:w="769" w:type="dxa"/>
            <w:tcBorders>
              <w:top w:val="single" w:sz="4" w:space="0" w:color="auto"/>
              <w:bottom w:val="single" w:sz="12" w:space="0" w:color="auto"/>
            </w:tcBorders>
            <w:shd w:val="clear" w:color="auto" w:fill="auto"/>
            <w:noWrap/>
            <w:vAlign w:val="bottom"/>
          </w:tcPr>
          <w:p w:rsidR="0007522E" w:rsidRPr="0007522E" w:rsidRDefault="0007522E" w:rsidP="00637350">
            <w:pPr>
              <w:spacing w:before="80" w:after="80" w:line="200" w:lineRule="exact"/>
              <w:jc w:val="right"/>
              <w:rPr>
                <w:i/>
                <w:sz w:val="16"/>
                <w:szCs w:val="24"/>
                <w:lang w:eastAsia="et-EE"/>
              </w:rPr>
            </w:pPr>
            <w:r w:rsidRPr="0007522E">
              <w:rPr>
                <w:i/>
                <w:sz w:val="16"/>
                <w:szCs w:val="24"/>
                <w:lang w:eastAsia="et-EE"/>
              </w:rPr>
              <w:t>2010</w:t>
            </w:r>
          </w:p>
        </w:tc>
        <w:tc>
          <w:tcPr>
            <w:tcW w:w="770" w:type="dxa"/>
            <w:tcBorders>
              <w:top w:val="single" w:sz="4" w:space="0" w:color="auto"/>
              <w:bottom w:val="single" w:sz="12" w:space="0" w:color="auto"/>
            </w:tcBorders>
            <w:shd w:val="clear" w:color="auto" w:fill="auto"/>
            <w:noWrap/>
            <w:vAlign w:val="bottom"/>
          </w:tcPr>
          <w:p w:rsidR="0007522E" w:rsidRPr="0007522E" w:rsidRDefault="0007522E" w:rsidP="00637350">
            <w:pPr>
              <w:spacing w:before="80" w:after="80" w:line="200" w:lineRule="exact"/>
              <w:jc w:val="right"/>
              <w:rPr>
                <w:i/>
                <w:sz w:val="16"/>
                <w:szCs w:val="24"/>
                <w:lang w:eastAsia="et-EE"/>
              </w:rPr>
            </w:pPr>
            <w:r w:rsidRPr="0007522E">
              <w:rPr>
                <w:i/>
                <w:sz w:val="16"/>
                <w:szCs w:val="24"/>
                <w:lang w:eastAsia="et-EE"/>
              </w:rPr>
              <w:t>2011</w:t>
            </w:r>
          </w:p>
        </w:tc>
      </w:tr>
      <w:tr w:rsidR="0007522E" w:rsidRPr="00A5474D">
        <w:trPr>
          <w:trHeight w:val="240"/>
        </w:trPr>
        <w:tc>
          <w:tcPr>
            <w:tcW w:w="1920" w:type="dxa"/>
            <w:vMerge w:val="restart"/>
            <w:tcBorders>
              <w:top w:val="single" w:sz="12" w:space="0" w:color="auto"/>
            </w:tcBorders>
            <w:shd w:val="clear" w:color="auto" w:fill="auto"/>
          </w:tcPr>
          <w:p w:rsidR="0007522E" w:rsidRPr="00A5474D" w:rsidRDefault="00617176" w:rsidP="00A5474D">
            <w:pPr>
              <w:spacing w:before="40" w:after="40" w:line="220" w:lineRule="exact"/>
              <w:rPr>
                <w:sz w:val="18"/>
                <w:szCs w:val="18"/>
              </w:rPr>
            </w:pPr>
            <w:r w:rsidRPr="00A5474D">
              <w:rPr>
                <w:sz w:val="18"/>
                <w:szCs w:val="18"/>
                <w:lang w:val="es-ES"/>
              </w:rPr>
              <w:t>Ciudadanía estonia</w:t>
            </w:r>
          </w:p>
        </w:tc>
        <w:tc>
          <w:tcPr>
            <w:tcW w:w="2372" w:type="dxa"/>
            <w:tcBorders>
              <w:top w:val="single" w:sz="12" w:space="0" w:color="auto"/>
            </w:tcBorders>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Población activa (miles)</w:t>
            </w:r>
          </w:p>
        </w:tc>
        <w:tc>
          <w:tcPr>
            <w:tcW w:w="769" w:type="dxa"/>
            <w:tcBorders>
              <w:top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569</w:t>
            </w:r>
            <w:r w:rsidR="006006DA" w:rsidRPr="00A5474D">
              <w:rPr>
                <w:sz w:val="18"/>
                <w:szCs w:val="18"/>
                <w:lang w:eastAsia="et-EE"/>
              </w:rPr>
              <w:t>,</w:t>
            </w:r>
            <w:r w:rsidRPr="00A5474D">
              <w:rPr>
                <w:sz w:val="18"/>
                <w:szCs w:val="18"/>
                <w:lang w:eastAsia="et-EE"/>
              </w:rPr>
              <w:t>5</w:t>
            </w:r>
          </w:p>
        </w:tc>
        <w:tc>
          <w:tcPr>
            <w:tcW w:w="770" w:type="dxa"/>
            <w:tcBorders>
              <w:top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561</w:t>
            </w:r>
            <w:r w:rsidR="006006DA" w:rsidRPr="00A5474D">
              <w:rPr>
                <w:sz w:val="18"/>
                <w:szCs w:val="18"/>
                <w:lang w:eastAsia="et-EE"/>
              </w:rPr>
              <w:t>,</w:t>
            </w:r>
            <w:r w:rsidRPr="00A5474D">
              <w:rPr>
                <w:sz w:val="18"/>
                <w:szCs w:val="18"/>
                <w:lang w:eastAsia="et-EE"/>
              </w:rPr>
              <w:t>7</w:t>
            </w:r>
          </w:p>
        </w:tc>
        <w:tc>
          <w:tcPr>
            <w:tcW w:w="769" w:type="dxa"/>
            <w:tcBorders>
              <w:top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562</w:t>
            </w:r>
            <w:r w:rsidR="006006DA" w:rsidRPr="00A5474D">
              <w:rPr>
                <w:sz w:val="18"/>
                <w:szCs w:val="18"/>
                <w:lang w:eastAsia="et-EE"/>
              </w:rPr>
              <w:t>,</w:t>
            </w:r>
            <w:r w:rsidRPr="00A5474D">
              <w:rPr>
                <w:sz w:val="18"/>
                <w:szCs w:val="18"/>
                <w:lang w:eastAsia="et-EE"/>
              </w:rPr>
              <w:t>3</w:t>
            </w:r>
          </w:p>
        </w:tc>
        <w:tc>
          <w:tcPr>
            <w:tcW w:w="770" w:type="dxa"/>
            <w:tcBorders>
              <w:top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582</w:t>
            </w:r>
            <w:r w:rsidR="006006DA" w:rsidRPr="00A5474D">
              <w:rPr>
                <w:sz w:val="18"/>
                <w:szCs w:val="18"/>
                <w:lang w:eastAsia="et-EE"/>
              </w:rPr>
              <w:t>,</w:t>
            </w:r>
            <w:r w:rsidRPr="00A5474D">
              <w:rPr>
                <w:sz w:val="18"/>
                <w:szCs w:val="18"/>
                <w:lang w:eastAsia="et-EE"/>
              </w:rPr>
              <w:t>7</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Población empleada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543</w:t>
            </w:r>
            <w:r w:rsidR="006006DA" w:rsidRPr="00A5474D">
              <w:rPr>
                <w:sz w:val="18"/>
                <w:szCs w:val="18"/>
                <w:lang w:eastAsia="et-EE"/>
              </w:rPr>
              <w:t>,</w:t>
            </w:r>
            <w:r w:rsidRPr="00A5474D">
              <w:rPr>
                <w:sz w:val="18"/>
                <w:szCs w:val="18"/>
                <w:lang w:eastAsia="et-EE"/>
              </w:rPr>
              <w:t>6</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495</w:t>
            </w:r>
            <w:r w:rsidR="006006DA" w:rsidRPr="00A5474D">
              <w:rPr>
                <w:sz w:val="18"/>
                <w:szCs w:val="18"/>
                <w:lang w:eastAsia="et-EE"/>
              </w:rPr>
              <w:t>,</w:t>
            </w:r>
            <w:r w:rsidRPr="00A5474D">
              <w:rPr>
                <w:sz w:val="18"/>
                <w:szCs w:val="18"/>
                <w:lang w:eastAsia="et-EE"/>
              </w:rPr>
              <w:t>2</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482</w:t>
            </w:r>
            <w:r w:rsidR="006006DA" w:rsidRPr="00A5474D">
              <w:rPr>
                <w:sz w:val="18"/>
                <w:szCs w:val="18"/>
                <w:lang w:eastAsia="et-EE"/>
              </w:rPr>
              <w:t>,</w:t>
            </w:r>
            <w:r w:rsidRPr="00A5474D">
              <w:rPr>
                <w:sz w:val="18"/>
                <w:szCs w:val="18"/>
                <w:lang w:eastAsia="et-EE"/>
              </w:rPr>
              <w:t>5</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520</w:t>
            </w:r>
            <w:r w:rsidR="006006DA" w:rsidRPr="00A5474D">
              <w:rPr>
                <w:sz w:val="18"/>
                <w:szCs w:val="18"/>
                <w:lang w:eastAsia="et-EE"/>
              </w:rPr>
              <w:t>,</w:t>
            </w:r>
            <w:r w:rsidRPr="00A5474D">
              <w:rPr>
                <w:sz w:val="18"/>
                <w:szCs w:val="18"/>
                <w:lang w:eastAsia="et-EE"/>
              </w:rPr>
              <w:t>2</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Desempleados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25</w:t>
            </w:r>
            <w:r w:rsidR="006006DA" w:rsidRPr="00A5474D">
              <w:rPr>
                <w:sz w:val="18"/>
                <w:szCs w:val="18"/>
                <w:lang w:eastAsia="et-EE"/>
              </w:rPr>
              <w:t>,</w:t>
            </w:r>
            <w:r w:rsidRPr="00A5474D">
              <w:rPr>
                <w:sz w:val="18"/>
                <w:szCs w:val="18"/>
                <w:lang w:eastAsia="et-EE"/>
              </w:rPr>
              <w:t>9</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66</w:t>
            </w:r>
            <w:r w:rsidR="006006DA" w:rsidRPr="00A5474D">
              <w:rPr>
                <w:sz w:val="18"/>
                <w:szCs w:val="18"/>
                <w:lang w:eastAsia="et-EE"/>
              </w:rPr>
              <w:t>,</w:t>
            </w:r>
            <w:r w:rsidRPr="00A5474D">
              <w:rPr>
                <w:sz w:val="18"/>
                <w:szCs w:val="18"/>
                <w:lang w:eastAsia="et-EE"/>
              </w:rPr>
              <w:t>6</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79</w:t>
            </w:r>
            <w:r w:rsidR="006006DA" w:rsidRPr="00A5474D">
              <w:rPr>
                <w:sz w:val="18"/>
                <w:szCs w:val="18"/>
                <w:lang w:eastAsia="et-EE"/>
              </w:rPr>
              <w:t>,</w:t>
            </w:r>
            <w:r w:rsidRPr="00A5474D">
              <w:rPr>
                <w:sz w:val="18"/>
                <w:szCs w:val="18"/>
                <w:lang w:eastAsia="et-EE"/>
              </w:rPr>
              <w:t>8</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62</w:t>
            </w:r>
            <w:r w:rsidR="006006DA" w:rsidRPr="00A5474D">
              <w:rPr>
                <w:sz w:val="18"/>
                <w:szCs w:val="18"/>
                <w:lang w:eastAsia="et-EE"/>
              </w:rPr>
              <w:t>,</w:t>
            </w:r>
            <w:r w:rsidRPr="00A5474D">
              <w:rPr>
                <w:sz w:val="18"/>
                <w:szCs w:val="18"/>
                <w:lang w:eastAsia="et-EE"/>
              </w:rPr>
              <w:t>6</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empleo (%)</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63</w:t>
            </w:r>
            <w:r w:rsidR="006006DA" w:rsidRPr="00A5474D">
              <w:rPr>
                <w:sz w:val="18"/>
                <w:szCs w:val="18"/>
                <w:lang w:eastAsia="et-EE"/>
              </w:rPr>
              <w:t>,</w:t>
            </w:r>
            <w:r w:rsidRPr="00A5474D">
              <w:rPr>
                <w:sz w:val="18"/>
                <w:szCs w:val="18"/>
                <w:lang w:eastAsia="et-EE"/>
              </w:rPr>
              <w:t>4</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58</w:t>
            </w:r>
            <w:r w:rsidR="006006DA" w:rsidRPr="00A5474D">
              <w:rPr>
                <w:sz w:val="18"/>
                <w:szCs w:val="18"/>
                <w:lang w:eastAsia="et-EE"/>
              </w:rPr>
              <w:t>,</w:t>
            </w:r>
            <w:r w:rsidRPr="00A5474D">
              <w:rPr>
                <w:sz w:val="18"/>
                <w:szCs w:val="18"/>
                <w:lang w:eastAsia="et-EE"/>
              </w:rPr>
              <w:t>2</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56</w:t>
            </w:r>
            <w:r w:rsidR="006006DA" w:rsidRPr="00A5474D">
              <w:rPr>
                <w:sz w:val="18"/>
                <w:szCs w:val="18"/>
                <w:lang w:eastAsia="et-EE"/>
              </w:rPr>
              <w:t>,</w:t>
            </w:r>
            <w:r w:rsidRPr="00A5474D">
              <w:rPr>
                <w:sz w:val="18"/>
                <w:szCs w:val="18"/>
                <w:lang w:eastAsia="et-EE"/>
              </w:rPr>
              <w:t>4</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60</w:t>
            </w:r>
            <w:r w:rsidR="006006DA" w:rsidRPr="00A5474D">
              <w:rPr>
                <w:sz w:val="18"/>
                <w:szCs w:val="18"/>
                <w:lang w:eastAsia="et-EE"/>
              </w:rPr>
              <w:t>,</w:t>
            </w:r>
            <w:r w:rsidRPr="00A5474D">
              <w:rPr>
                <w:sz w:val="18"/>
                <w:szCs w:val="18"/>
                <w:lang w:eastAsia="et-EE"/>
              </w:rPr>
              <w:t>2</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desempleo (%)</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w:t>
            </w:r>
            <w:r w:rsidR="006006DA" w:rsidRPr="00A5474D">
              <w:rPr>
                <w:sz w:val="18"/>
                <w:szCs w:val="18"/>
                <w:lang w:eastAsia="et-EE"/>
              </w:rPr>
              <w:t>,</w:t>
            </w:r>
            <w:r w:rsidRPr="00A5474D">
              <w:rPr>
                <w:sz w:val="18"/>
                <w:szCs w:val="18"/>
                <w:lang w:eastAsia="et-EE"/>
              </w:rPr>
              <w:t>6</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11</w:t>
            </w:r>
            <w:r w:rsidR="006006DA" w:rsidRPr="00A5474D">
              <w:rPr>
                <w:sz w:val="18"/>
                <w:szCs w:val="18"/>
                <w:lang w:eastAsia="et-EE"/>
              </w:rPr>
              <w:t>,</w:t>
            </w:r>
            <w:r w:rsidRPr="00A5474D">
              <w:rPr>
                <w:sz w:val="18"/>
                <w:szCs w:val="18"/>
                <w:lang w:eastAsia="et-EE"/>
              </w:rPr>
              <w:t>9</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14</w:t>
            </w:r>
            <w:r w:rsidR="006006DA" w:rsidRPr="00A5474D">
              <w:rPr>
                <w:sz w:val="18"/>
                <w:szCs w:val="18"/>
                <w:lang w:eastAsia="et-EE"/>
              </w:rPr>
              <w:t>,</w:t>
            </w:r>
            <w:r w:rsidRPr="00A5474D">
              <w:rPr>
                <w:sz w:val="18"/>
                <w:szCs w:val="18"/>
                <w:lang w:eastAsia="et-EE"/>
              </w:rPr>
              <w:t>2</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10</w:t>
            </w:r>
            <w:r w:rsidR="006006DA" w:rsidRPr="00A5474D">
              <w:rPr>
                <w:sz w:val="18"/>
                <w:szCs w:val="18"/>
                <w:lang w:eastAsia="et-EE"/>
              </w:rPr>
              <w:t>,</w:t>
            </w:r>
            <w:r w:rsidRPr="00A5474D">
              <w:rPr>
                <w:sz w:val="18"/>
                <w:szCs w:val="18"/>
                <w:lang w:eastAsia="et-EE"/>
              </w:rPr>
              <w:t>7</w:t>
            </w:r>
          </w:p>
        </w:tc>
      </w:tr>
      <w:tr w:rsidR="0007522E" w:rsidRPr="00A5474D">
        <w:trPr>
          <w:trHeight w:val="240"/>
        </w:trPr>
        <w:tc>
          <w:tcPr>
            <w:tcW w:w="1920" w:type="dxa"/>
            <w:vMerge w:val="restart"/>
            <w:shd w:val="clear" w:color="auto" w:fill="auto"/>
          </w:tcPr>
          <w:p w:rsidR="0007522E" w:rsidRPr="00A5474D" w:rsidRDefault="00617176" w:rsidP="00A5474D">
            <w:pPr>
              <w:spacing w:before="40" w:after="40" w:line="220" w:lineRule="exact"/>
              <w:rPr>
                <w:sz w:val="18"/>
                <w:szCs w:val="18"/>
              </w:rPr>
            </w:pPr>
            <w:r w:rsidRPr="00A5474D">
              <w:rPr>
                <w:sz w:val="18"/>
                <w:szCs w:val="18"/>
                <w:lang w:val="es-ES"/>
              </w:rPr>
              <w:t>Otra ciudadanía</w:t>
            </w: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Población activa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125</w:t>
            </w:r>
            <w:r w:rsidR="006006DA" w:rsidRPr="00A5474D">
              <w:rPr>
                <w:sz w:val="18"/>
                <w:szCs w:val="18"/>
                <w:lang w:eastAsia="et-EE"/>
              </w:rPr>
              <w:t>,</w:t>
            </w:r>
            <w:r w:rsidRPr="00A5474D">
              <w:rPr>
                <w:sz w:val="18"/>
                <w:szCs w:val="18"/>
                <w:lang w:eastAsia="et-EE"/>
              </w:rPr>
              <w:t>4</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129</w:t>
            </w:r>
            <w:r w:rsidR="006006DA" w:rsidRPr="00A5474D">
              <w:rPr>
                <w:sz w:val="18"/>
                <w:szCs w:val="18"/>
                <w:lang w:eastAsia="et-EE"/>
              </w:rPr>
              <w:t>,</w:t>
            </w:r>
            <w:r w:rsidRPr="00A5474D">
              <w:rPr>
                <w:sz w:val="18"/>
                <w:szCs w:val="18"/>
                <w:lang w:eastAsia="et-EE"/>
              </w:rPr>
              <w:t>2</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124</w:t>
            </w:r>
            <w:r w:rsidR="006006DA" w:rsidRPr="00A5474D">
              <w:rPr>
                <w:sz w:val="18"/>
                <w:szCs w:val="18"/>
                <w:lang w:eastAsia="et-EE"/>
              </w:rPr>
              <w:t>,</w:t>
            </w:r>
            <w:r w:rsidRPr="00A5474D">
              <w:rPr>
                <w:sz w:val="18"/>
                <w:szCs w:val="18"/>
                <w:lang w:eastAsia="et-EE"/>
              </w:rPr>
              <w:t>5</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113</w:t>
            </w:r>
            <w:r w:rsidR="006006DA" w:rsidRPr="00A5474D">
              <w:rPr>
                <w:sz w:val="18"/>
                <w:szCs w:val="18"/>
                <w:lang w:eastAsia="et-EE"/>
              </w:rPr>
              <w:t>,</w:t>
            </w:r>
            <w:r w:rsidRPr="00A5474D">
              <w:rPr>
                <w:sz w:val="18"/>
                <w:szCs w:val="18"/>
                <w:lang w:eastAsia="et-EE"/>
              </w:rPr>
              <w:t>2</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Población empleada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113</w:t>
            </w:r>
            <w:r w:rsidR="006006DA" w:rsidRPr="00A5474D">
              <w:rPr>
                <w:sz w:val="18"/>
                <w:szCs w:val="18"/>
                <w:lang w:eastAsia="et-EE"/>
              </w:rPr>
              <w:t>,</w:t>
            </w:r>
            <w:r w:rsidRPr="00A5474D">
              <w:rPr>
                <w:sz w:val="18"/>
                <w:szCs w:val="18"/>
                <w:lang w:eastAsia="et-EE"/>
              </w:rPr>
              <w:t>0</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100</w:t>
            </w:r>
            <w:r w:rsidR="006006DA" w:rsidRPr="00A5474D">
              <w:rPr>
                <w:sz w:val="18"/>
                <w:szCs w:val="18"/>
                <w:lang w:eastAsia="et-EE"/>
              </w:rPr>
              <w:t>,</w:t>
            </w:r>
            <w:r w:rsidRPr="00A5474D">
              <w:rPr>
                <w:sz w:val="18"/>
                <w:szCs w:val="18"/>
                <w:lang w:eastAsia="et-EE"/>
              </w:rPr>
              <w:t>7</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88</w:t>
            </w:r>
            <w:r w:rsidR="006006DA" w:rsidRPr="00A5474D">
              <w:rPr>
                <w:sz w:val="18"/>
                <w:szCs w:val="18"/>
                <w:lang w:eastAsia="et-EE"/>
              </w:rPr>
              <w:t>,</w:t>
            </w:r>
            <w:r w:rsidRPr="00A5474D">
              <w:rPr>
                <w:sz w:val="18"/>
                <w:szCs w:val="18"/>
                <w:lang w:eastAsia="et-EE"/>
              </w:rPr>
              <w:t>4</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88</w:t>
            </w:r>
            <w:r w:rsidR="006006DA" w:rsidRPr="00A5474D">
              <w:rPr>
                <w:sz w:val="18"/>
                <w:szCs w:val="18"/>
                <w:lang w:eastAsia="et-EE"/>
              </w:rPr>
              <w:t>,</w:t>
            </w:r>
            <w:r w:rsidRPr="00A5474D">
              <w:rPr>
                <w:sz w:val="18"/>
                <w:szCs w:val="18"/>
                <w:lang w:eastAsia="et-EE"/>
              </w:rPr>
              <w:t>9</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Desempleados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12</w:t>
            </w:r>
            <w:r w:rsidR="006006DA" w:rsidRPr="00A5474D">
              <w:rPr>
                <w:sz w:val="18"/>
                <w:szCs w:val="18"/>
                <w:lang w:eastAsia="et-EE"/>
              </w:rPr>
              <w:t>,</w:t>
            </w:r>
            <w:r w:rsidRPr="00A5474D">
              <w:rPr>
                <w:sz w:val="18"/>
                <w:szCs w:val="18"/>
                <w:lang w:eastAsia="et-EE"/>
              </w:rPr>
              <w:t>4</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28</w:t>
            </w:r>
            <w:r w:rsidR="006006DA" w:rsidRPr="00A5474D">
              <w:rPr>
                <w:sz w:val="18"/>
                <w:szCs w:val="18"/>
                <w:lang w:eastAsia="et-EE"/>
              </w:rPr>
              <w:t>,</w:t>
            </w:r>
            <w:r w:rsidRPr="00A5474D">
              <w:rPr>
                <w:sz w:val="18"/>
                <w:szCs w:val="18"/>
                <w:lang w:eastAsia="et-EE"/>
              </w:rPr>
              <w:t>5</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36</w:t>
            </w:r>
            <w:r w:rsidR="006006DA" w:rsidRPr="00A5474D">
              <w:rPr>
                <w:sz w:val="18"/>
                <w:szCs w:val="18"/>
                <w:lang w:eastAsia="et-EE"/>
              </w:rPr>
              <w:t>,</w:t>
            </w:r>
            <w:r w:rsidRPr="00A5474D">
              <w:rPr>
                <w:sz w:val="18"/>
                <w:szCs w:val="18"/>
                <w:lang w:eastAsia="et-EE"/>
              </w:rPr>
              <w:t>1</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24</w:t>
            </w:r>
            <w:r w:rsidR="006006DA" w:rsidRPr="00A5474D">
              <w:rPr>
                <w:sz w:val="18"/>
                <w:szCs w:val="18"/>
                <w:lang w:eastAsia="et-EE"/>
              </w:rPr>
              <w:t>,</w:t>
            </w:r>
            <w:r w:rsidRPr="00A5474D">
              <w:rPr>
                <w:sz w:val="18"/>
                <w:szCs w:val="18"/>
                <w:lang w:eastAsia="et-EE"/>
              </w:rPr>
              <w:t>3</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empleo (%)</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60</w:t>
            </w:r>
            <w:r w:rsidR="006006DA" w:rsidRPr="00A5474D">
              <w:rPr>
                <w:sz w:val="18"/>
                <w:szCs w:val="18"/>
                <w:lang w:eastAsia="et-EE"/>
              </w:rPr>
              <w:t>,</w:t>
            </w:r>
            <w:r w:rsidRPr="00A5474D">
              <w:rPr>
                <w:sz w:val="18"/>
                <w:szCs w:val="18"/>
                <w:lang w:eastAsia="et-EE"/>
              </w:rPr>
              <w:t>8</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53</w:t>
            </w:r>
            <w:r w:rsidR="006006DA" w:rsidRPr="00A5474D">
              <w:rPr>
                <w:sz w:val="18"/>
                <w:szCs w:val="18"/>
                <w:lang w:eastAsia="et-EE"/>
              </w:rPr>
              <w:t>,</w:t>
            </w:r>
            <w:r w:rsidRPr="00A5474D">
              <w:rPr>
                <w:sz w:val="18"/>
                <w:szCs w:val="18"/>
                <w:lang w:eastAsia="et-EE"/>
              </w:rPr>
              <w:t>4</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49</w:t>
            </w:r>
            <w:r w:rsidR="006006DA" w:rsidRPr="00A5474D">
              <w:rPr>
                <w:sz w:val="18"/>
                <w:szCs w:val="18"/>
                <w:lang w:eastAsia="et-EE"/>
              </w:rPr>
              <w:t>,</w:t>
            </w:r>
            <w:r w:rsidRPr="00A5474D">
              <w:rPr>
                <w:sz w:val="18"/>
                <w:szCs w:val="18"/>
                <w:lang w:eastAsia="et-EE"/>
              </w:rPr>
              <w:t>4</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53</w:t>
            </w:r>
            <w:r w:rsidR="006006DA" w:rsidRPr="00A5474D">
              <w:rPr>
                <w:sz w:val="18"/>
                <w:szCs w:val="18"/>
                <w:lang w:eastAsia="et-EE"/>
              </w:rPr>
              <w:t>,</w:t>
            </w:r>
            <w:r w:rsidRPr="00A5474D">
              <w:rPr>
                <w:sz w:val="18"/>
                <w:szCs w:val="18"/>
                <w:lang w:eastAsia="et-EE"/>
              </w:rPr>
              <w:t>6</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desempleo (%)</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9</w:t>
            </w:r>
            <w:r w:rsidR="006006DA" w:rsidRPr="00A5474D">
              <w:rPr>
                <w:sz w:val="18"/>
                <w:szCs w:val="18"/>
                <w:lang w:eastAsia="et-EE"/>
              </w:rPr>
              <w:t>,</w:t>
            </w:r>
            <w:r w:rsidRPr="00A5474D">
              <w:rPr>
                <w:sz w:val="18"/>
                <w:szCs w:val="18"/>
                <w:lang w:eastAsia="et-EE"/>
              </w:rPr>
              <w:t>9</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22</w:t>
            </w:r>
            <w:r w:rsidR="006006DA" w:rsidRPr="00A5474D">
              <w:rPr>
                <w:sz w:val="18"/>
                <w:szCs w:val="18"/>
                <w:lang w:eastAsia="et-EE"/>
              </w:rPr>
              <w:t>,</w:t>
            </w:r>
            <w:r w:rsidRPr="00A5474D">
              <w:rPr>
                <w:sz w:val="18"/>
                <w:szCs w:val="18"/>
                <w:lang w:eastAsia="et-EE"/>
              </w:rPr>
              <w:t>1</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29</w:t>
            </w:r>
            <w:r w:rsidR="006006DA" w:rsidRPr="00A5474D">
              <w:rPr>
                <w:sz w:val="18"/>
                <w:szCs w:val="18"/>
                <w:lang w:eastAsia="et-EE"/>
              </w:rPr>
              <w:t>,</w:t>
            </w:r>
            <w:r w:rsidRPr="00A5474D">
              <w:rPr>
                <w:sz w:val="18"/>
                <w:szCs w:val="18"/>
                <w:lang w:eastAsia="et-EE"/>
              </w:rPr>
              <w:t>0</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21</w:t>
            </w:r>
            <w:r w:rsidR="006006DA" w:rsidRPr="00A5474D">
              <w:rPr>
                <w:sz w:val="18"/>
                <w:szCs w:val="18"/>
                <w:lang w:eastAsia="et-EE"/>
              </w:rPr>
              <w:t>,</w:t>
            </w:r>
            <w:r w:rsidRPr="00A5474D">
              <w:rPr>
                <w:sz w:val="18"/>
                <w:szCs w:val="18"/>
                <w:lang w:eastAsia="et-EE"/>
              </w:rPr>
              <w:t>5</w:t>
            </w:r>
          </w:p>
        </w:tc>
      </w:tr>
      <w:tr w:rsidR="0007522E" w:rsidRPr="00121F02">
        <w:trPr>
          <w:trHeight w:val="240"/>
        </w:trPr>
        <w:tc>
          <w:tcPr>
            <w:tcW w:w="1920" w:type="dxa"/>
            <w:vMerge w:val="restart"/>
            <w:shd w:val="clear" w:color="auto" w:fill="auto"/>
          </w:tcPr>
          <w:p w:rsidR="0007522E" w:rsidRPr="00A5474D" w:rsidRDefault="00617176" w:rsidP="00A5474D">
            <w:pPr>
              <w:keepNext/>
              <w:spacing w:before="40" w:after="40" w:line="220" w:lineRule="exact"/>
              <w:rPr>
                <w:sz w:val="18"/>
                <w:szCs w:val="18"/>
                <w:lang w:val="es-ES"/>
              </w:rPr>
            </w:pPr>
            <w:r w:rsidRPr="00A5474D">
              <w:rPr>
                <w:sz w:val="18"/>
                <w:szCs w:val="18"/>
                <w:lang w:val="es-ES"/>
              </w:rPr>
              <w:t xml:space="preserve">Incluidas las personas </w:t>
            </w:r>
            <w:r w:rsidR="00121F02">
              <w:rPr>
                <w:sz w:val="18"/>
                <w:szCs w:val="18"/>
                <w:lang w:val="es-ES"/>
              </w:rPr>
              <w:br/>
            </w:r>
            <w:r w:rsidRPr="00A5474D">
              <w:rPr>
                <w:sz w:val="18"/>
                <w:szCs w:val="18"/>
                <w:lang w:val="es-ES"/>
              </w:rPr>
              <w:t>con ciudadanía rusa</w:t>
            </w:r>
          </w:p>
        </w:tc>
        <w:tc>
          <w:tcPr>
            <w:tcW w:w="2372" w:type="dxa"/>
            <w:shd w:val="clear" w:color="auto" w:fill="auto"/>
            <w:vAlign w:val="bottom"/>
          </w:tcPr>
          <w:p w:rsidR="0007522E" w:rsidRPr="00A5474D" w:rsidRDefault="00617176" w:rsidP="00A5474D">
            <w:pPr>
              <w:keepNext/>
              <w:spacing w:before="40" w:after="40" w:line="220" w:lineRule="exact"/>
              <w:rPr>
                <w:sz w:val="18"/>
                <w:szCs w:val="18"/>
              </w:rPr>
            </w:pPr>
            <w:r w:rsidRPr="00A5474D">
              <w:rPr>
                <w:sz w:val="18"/>
                <w:szCs w:val="18"/>
                <w:lang w:val="es-ES"/>
              </w:rPr>
              <w:t>Población activa (miles)</w:t>
            </w:r>
          </w:p>
        </w:tc>
        <w:tc>
          <w:tcPr>
            <w:tcW w:w="769"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46</w:t>
            </w:r>
            <w:r w:rsidR="006006DA" w:rsidRPr="00A5474D">
              <w:rPr>
                <w:sz w:val="18"/>
                <w:szCs w:val="18"/>
                <w:lang w:eastAsia="et-EE"/>
              </w:rPr>
              <w:t>,</w:t>
            </w:r>
            <w:r w:rsidRPr="00A5474D">
              <w:rPr>
                <w:sz w:val="18"/>
                <w:szCs w:val="18"/>
                <w:lang w:eastAsia="et-EE"/>
              </w:rPr>
              <w:t>0</w:t>
            </w:r>
          </w:p>
        </w:tc>
        <w:tc>
          <w:tcPr>
            <w:tcW w:w="770"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52</w:t>
            </w:r>
            <w:r w:rsidR="006006DA" w:rsidRPr="00A5474D">
              <w:rPr>
                <w:sz w:val="18"/>
                <w:szCs w:val="18"/>
                <w:lang w:eastAsia="et-EE"/>
              </w:rPr>
              <w:t>,</w:t>
            </w:r>
            <w:r w:rsidRPr="00A5474D">
              <w:rPr>
                <w:sz w:val="18"/>
                <w:szCs w:val="18"/>
                <w:lang w:eastAsia="et-EE"/>
              </w:rPr>
              <w:t>9</w:t>
            </w:r>
          </w:p>
        </w:tc>
        <w:tc>
          <w:tcPr>
            <w:tcW w:w="769"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52</w:t>
            </w:r>
            <w:r w:rsidR="006006DA" w:rsidRPr="00A5474D">
              <w:rPr>
                <w:sz w:val="18"/>
                <w:szCs w:val="18"/>
                <w:lang w:eastAsia="et-EE"/>
              </w:rPr>
              <w:t>,</w:t>
            </w:r>
            <w:r w:rsidRPr="00A5474D">
              <w:rPr>
                <w:sz w:val="18"/>
                <w:szCs w:val="18"/>
                <w:lang w:eastAsia="et-EE"/>
              </w:rPr>
              <w:t>5</w:t>
            </w:r>
          </w:p>
        </w:tc>
        <w:tc>
          <w:tcPr>
            <w:tcW w:w="770"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46</w:t>
            </w:r>
            <w:r w:rsidR="006006DA" w:rsidRPr="00A5474D">
              <w:rPr>
                <w:sz w:val="18"/>
                <w:szCs w:val="18"/>
                <w:lang w:eastAsia="et-EE"/>
              </w:rPr>
              <w:t>,</w:t>
            </w:r>
            <w:r w:rsidRPr="00A5474D">
              <w:rPr>
                <w:sz w:val="18"/>
                <w:szCs w:val="18"/>
                <w:lang w:eastAsia="et-EE"/>
              </w:rPr>
              <w:t>6</w:t>
            </w:r>
          </w:p>
        </w:tc>
      </w:tr>
      <w:tr w:rsidR="0007522E" w:rsidRPr="00121F02">
        <w:trPr>
          <w:trHeight w:val="240"/>
        </w:trPr>
        <w:tc>
          <w:tcPr>
            <w:tcW w:w="1920" w:type="dxa"/>
            <w:vMerge/>
            <w:shd w:val="clear" w:color="auto" w:fill="auto"/>
          </w:tcPr>
          <w:p w:rsidR="0007522E" w:rsidRPr="00A5474D" w:rsidRDefault="0007522E" w:rsidP="00A5474D">
            <w:pPr>
              <w:keepNext/>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keepNext/>
              <w:spacing w:before="40" w:after="40" w:line="220" w:lineRule="exact"/>
              <w:rPr>
                <w:sz w:val="18"/>
                <w:szCs w:val="18"/>
              </w:rPr>
            </w:pPr>
            <w:r w:rsidRPr="00A5474D">
              <w:rPr>
                <w:sz w:val="18"/>
                <w:szCs w:val="18"/>
                <w:lang w:val="es-ES"/>
              </w:rPr>
              <w:t>Población empleada (miles)</w:t>
            </w:r>
          </w:p>
        </w:tc>
        <w:tc>
          <w:tcPr>
            <w:tcW w:w="769"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41</w:t>
            </w:r>
            <w:r w:rsidR="006006DA" w:rsidRPr="00A5474D">
              <w:rPr>
                <w:sz w:val="18"/>
                <w:szCs w:val="18"/>
                <w:lang w:eastAsia="et-EE"/>
              </w:rPr>
              <w:t>,</w:t>
            </w:r>
            <w:r w:rsidRPr="00A5474D">
              <w:rPr>
                <w:sz w:val="18"/>
                <w:szCs w:val="18"/>
                <w:lang w:eastAsia="et-EE"/>
              </w:rPr>
              <w:t>8</w:t>
            </w:r>
          </w:p>
        </w:tc>
        <w:tc>
          <w:tcPr>
            <w:tcW w:w="770"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41</w:t>
            </w:r>
            <w:r w:rsidR="006006DA" w:rsidRPr="00A5474D">
              <w:rPr>
                <w:sz w:val="18"/>
                <w:szCs w:val="18"/>
                <w:lang w:eastAsia="et-EE"/>
              </w:rPr>
              <w:t>,</w:t>
            </w:r>
            <w:r w:rsidRPr="00A5474D">
              <w:rPr>
                <w:sz w:val="18"/>
                <w:szCs w:val="18"/>
                <w:lang w:eastAsia="et-EE"/>
              </w:rPr>
              <w:t>6</w:t>
            </w:r>
          </w:p>
        </w:tc>
        <w:tc>
          <w:tcPr>
            <w:tcW w:w="769"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37</w:t>
            </w:r>
            <w:r w:rsidR="006006DA" w:rsidRPr="00A5474D">
              <w:rPr>
                <w:sz w:val="18"/>
                <w:szCs w:val="18"/>
                <w:lang w:eastAsia="et-EE"/>
              </w:rPr>
              <w:t>,</w:t>
            </w:r>
            <w:r w:rsidRPr="00A5474D">
              <w:rPr>
                <w:sz w:val="18"/>
                <w:szCs w:val="18"/>
                <w:lang w:eastAsia="et-EE"/>
              </w:rPr>
              <w:t>3</w:t>
            </w:r>
          </w:p>
        </w:tc>
        <w:tc>
          <w:tcPr>
            <w:tcW w:w="770"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36</w:t>
            </w:r>
            <w:r w:rsidR="006006DA" w:rsidRPr="00A5474D">
              <w:rPr>
                <w:sz w:val="18"/>
                <w:szCs w:val="18"/>
                <w:lang w:eastAsia="et-EE"/>
              </w:rPr>
              <w:t>,</w:t>
            </w:r>
            <w:r w:rsidRPr="00A5474D">
              <w:rPr>
                <w:sz w:val="18"/>
                <w:szCs w:val="18"/>
                <w:lang w:eastAsia="et-EE"/>
              </w:rPr>
              <w:t>7</w:t>
            </w:r>
          </w:p>
        </w:tc>
      </w:tr>
      <w:tr w:rsidR="0007522E" w:rsidRPr="00A5474D">
        <w:trPr>
          <w:trHeight w:val="240"/>
        </w:trPr>
        <w:tc>
          <w:tcPr>
            <w:tcW w:w="1920" w:type="dxa"/>
            <w:vMerge/>
            <w:shd w:val="clear" w:color="auto" w:fill="auto"/>
          </w:tcPr>
          <w:p w:rsidR="0007522E" w:rsidRPr="00A5474D" w:rsidRDefault="0007522E" w:rsidP="00A5474D">
            <w:pPr>
              <w:keepNext/>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keepNext/>
              <w:spacing w:before="40" w:after="40" w:line="220" w:lineRule="exact"/>
              <w:rPr>
                <w:sz w:val="18"/>
                <w:szCs w:val="18"/>
              </w:rPr>
            </w:pPr>
            <w:r w:rsidRPr="00A5474D">
              <w:rPr>
                <w:sz w:val="18"/>
                <w:szCs w:val="18"/>
                <w:lang w:val="es-ES"/>
              </w:rPr>
              <w:t>Desempleados (miles)</w:t>
            </w:r>
          </w:p>
        </w:tc>
        <w:tc>
          <w:tcPr>
            <w:tcW w:w="769"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4</w:t>
            </w:r>
            <w:r w:rsidR="006006DA" w:rsidRPr="00A5474D">
              <w:rPr>
                <w:sz w:val="18"/>
                <w:szCs w:val="18"/>
                <w:lang w:eastAsia="et-EE"/>
              </w:rPr>
              <w:t>,</w:t>
            </w:r>
            <w:r w:rsidRPr="00A5474D">
              <w:rPr>
                <w:sz w:val="18"/>
                <w:szCs w:val="18"/>
                <w:lang w:eastAsia="et-EE"/>
              </w:rPr>
              <w:t>2</w:t>
            </w:r>
          </w:p>
        </w:tc>
        <w:tc>
          <w:tcPr>
            <w:tcW w:w="770"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11</w:t>
            </w:r>
            <w:r w:rsidR="006006DA" w:rsidRPr="00A5474D">
              <w:rPr>
                <w:sz w:val="18"/>
                <w:szCs w:val="18"/>
                <w:lang w:eastAsia="et-EE"/>
              </w:rPr>
              <w:t>,</w:t>
            </w:r>
            <w:r w:rsidRPr="00A5474D">
              <w:rPr>
                <w:sz w:val="18"/>
                <w:szCs w:val="18"/>
                <w:lang w:eastAsia="et-EE"/>
              </w:rPr>
              <w:t>3</w:t>
            </w:r>
          </w:p>
        </w:tc>
        <w:tc>
          <w:tcPr>
            <w:tcW w:w="769"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15</w:t>
            </w:r>
            <w:r w:rsidR="006006DA" w:rsidRPr="00A5474D">
              <w:rPr>
                <w:sz w:val="18"/>
                <w:szCs w:val="18"/>
                <w:lang w:eastAsia="et-EE"/>
              </w:rPr>
              <w:t>,</w:t>
            </w:r>
            <w:r w:rsidRPr="00A5474D">
              <w:rPr>
                <w:sz w:val="18"/>
                <w:szCs w:val="18"/>
                <w:lang w:eastAsia="et-EE"/>
              </w:rPr>
              <w:t>3</w:t>
            </w:r>
          </w:p>
        </w:tc>
        <w:tc>
          <w:tcPr>
            <w:tcW w:w="770" w:type="dxa"/>
            <w:shd w:val="clear" w:color="auto" w:fill="auto"/>
            <w:noWrap/>
            <w:vAlign w:val="bottom"/>
          </w:tcPr>
          <w:p w:rsidR="0007522E" w:rsidRPr="00A5474D" w:rsidRDefault="0007522E" w:rsidP="00A5474D">
            <w:pPr>
              <w:keepNext/>
              <w:spacing w:before="40" w:after="40" w:line="220" w:lineRule="exact"/>
              <w:jc w:val="right"/>
              <w:rPr>
                <w:sz w:val="18"/>
                <w:szCs w:val="18"/>
                <w:lang w:eastAsia="et-EE"/>
              </w:rPr>
            </w:pPr>
            <w:r w:rsidRPr="00A5474D">
              <w:rPr>
                <w:sz w:val="18"/>
                <w:szCs w:val="18"/>
                <w:lang w:eastAsia="et-EE"/>
              </w:rPr>
              <w:t>9</w:t>
            </w:r>
            <w:r w:rsidR="006006DA" w:rsidRPr="00A5474D">
              <w:rPr>
                <w:sz w:val="18"/>
                <w:szCs w:val="18"/>
                <w:lang w:eastAsia="et-EE"/>
              </w:rPr>
              <w:t>,</w:t>
            </w:r>
            <w:r w:rsidRPr="00A5474D">
              <w:rPr>
                <w:sz w:val="18"/>
                <w:szCs w:val="18"/>
                <w:lang w:eastAsia="et-EE"/>
              </w:rPr>
              <w:t>8</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empleo (%)</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55</w:t>
            </w:r>
            <w:r w:rsidR="006006DA" w:rsidRPr="00A5474D">
              <w:rPr>
                <w:sz w:val="18"/>
                <w:szCs w:val="18"/>
                <w:lang w:eastAsia="et-EE"/>
              </w:rPr>
              <w:t>,</w:t>
            </w:r>
            <w:r w:rsidRPr="00A5474D">
              <w:rPr>
                <w:sz w:val="18"/>
                <w:szCs w:val="18"/>
                <w:lang w:eastAsia="et-EE"/>
              </w:rPr>
              <w:t>9</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51</w:t>
            </w:r>
            <w:r w:rsidR="006006DA" w:rsidRPr="00A5474D">
              <w:rPr>
                <w:sz w:val="18"/>
                <w:szCs w:val="18"/>
                <w:lang w:eastAsia="et-EE"/>
              </w:rPr>
              <w:t>,</w:t>
            </w:r>
            <w:r w:rsidRPr="00A5474D">
              <w:rPr>
                <w:sz w:val="18"/>
                <w:szCs w:val="18"/>
                <w:lang w:eastAsia="et-EE"/>
              </w:rPr>
              <w:t>9</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46</w:t>
            </w:r>
            <w:r w:rsidR="006006DA" w:rsidRPr="00A5474D">
              <w:rPr>
                <w:sz w:val="18"/>
                <w:szCs w:val="18"/>
                <w:lang w:eastAsia="et-EE"/>
              </w:rPr>
              <w:t>,</w:t>
            </w:r>
            <w:r w:rsidRPr="00A5474D">
              <w:rPr>
                <w:sz w:val="18"/>
                <w:szCs w:val="18"/>
                <w:lang w:eastAsia="et-EE"/>
              </w:rPr>
              <w:t>7</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49</w:t>
            </w:r>
            <w:r w:rsidR="006006DA" w:rsidRPr="00A5474D">
              <w:rPr>
                <w:sz w:val="18"/>
                <w:szCs w:val="18"/>
                <w:lang w:eastAsia="et-EE"/>
              </w:rPr>
              <w:t>,</w:t>
            </w:r>
            <w:r w:rsidRPr="00A5474D">
              <w:rPr>
                <w:sz w:val="18"/>
                <w:szCs w:val="18"/>
                <w:lang w:eastAsia="et-EE"/>
              </w:rPr>
              <w:t>5</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desempleo (%)</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9</w:t>
            </w:r>
            <w:r w:rsidR="006006DA" w:rsidRPr="00A5474D">
              <w:rPr>
                <w:sz w:val="18"/>
                <w:szCs w:val="18"/>
                <w:lang w:eastAsia="et-EE"/>
              </w:rPr>
              <w:t>,</w:t>
            </w:r>
            <w:r w:rsidRPr="00A5474D">
              <w:rPr>
                <w:sz w:val="18"/>
                <w:szCs w:val="18"/>
                <w:lang w:eastAsia="et-EE"/>
              </w:rPr>
              <w:t>1</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21</w:t>
            </w:r>
            <w:r w:rsidR="006006DA" w:rsidRPr="00A5474D">
              <w:rPr>
                <w:sz w:val="18"/>
                <w:szCs w:val="18"/>
                <w:lang w:eastAsia="et-EE"/>
              </w:rPr>
              <w:t>,</w:t>
            </w:r>
            <w:r w:rsidRPr="00A5474D">
              <w:rPr>
                <w:sz w:val="18"/>
                <w:szCs w:val="18"/>
                <w:lang w:eastAsia="et-EE"/>
              </w:rPr>
              <w:t>3</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29</w:t>
            </w:r>
            <w:r w:rsidR="006006DA" w:rsidRPr="00A5474D">
              <w:rPr>
                <w:sz w:val="18"/>
                <w:szCs w:val="18"/>
                <w:lang w:eastAsia="et-EE"/>
              </w:rPr>
              <w:t>,</w:t>
            </w:r>
            <w:r w:rsidRPr="00A5474D">
              <w:rPr>
                <w:sz w:val="18"/>
                <w:szCs w:val="18"/>
                <w:lang w:eastAsia="et-EE"/>
              </w:rPr>
              <w:t>1</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21</w:t>
            </w:r>
            <w:r w:rsidR="006006DA" w:rsidRPr="00A5474D">
              <w:rPr>
                <w:sz w:val="18"/>
                <w:szCs w:val="18"/>
                <w:lang w:eastAsia="et-EE"/>
              </w:rPr>
              <w:t>,</w:t>
            </w:r>
            <w:r w:rsidRPr="00A5474D">
              <w:rPr>
                <w:sz w:val="18"/>
                <w:szCs w:val="18"/>
                <w:lang w:eastAsia="et-EE"/>
              </w:rPr>
              <w:t>1</w:t>
            </w:r>
          </w:p>
        </w:tc>
      </w:tr>
      <w:tr w:rsidR="0007522E" w:rsidRPr="00121F02">
        <w:trPr>
          <w:trHeight w:val="240"/>
        </w:trPr>
        <w:tc>
          <w:tcPr>
            <w:tcW w:w="1920" w:type="dxa"/>
            <w:vMerge w:val="restart"/>
            <w:shd w:val="clear" w:color="auto" w:fill="auto"/>
          </w:tcPr>
          <w:p w:rsidR="0007522E" w:rsidRPr="00A5474D" w:rsidRDefault="00617176" w:rsidP="00A5474D">
            <w:pPr>
              <w:spacing w:before="40" w:after="40" w:line="220" w:lineRule="exact"/>
              <w:rPr>
                <w:sz w:val="18"/>
                <w:szCs w:val="18"/>
                <w:lang w:val="es-ES"/>
              </w:rPr>
            </w:pPr>
            <w:r w:rsidRPr="00A5474D">
              <w:rPr>
                <w:sz w:val="18"/>
                <w:szCs w:val="18"/>
                <w:lang w:val="es-ES"/>
              </w:rPr>
              <w:t xml:space="preserve">Incluidas las personas </w:t>
            </w:r>
            <w:r w:rsidR="00121F02">
              <w:rPr>
                <w:sz w:val="18"/>
                <w:szCs w:val="18"/>
                <w:lang w:val="es-ES"/>
              </w:rPr>
              <w:br/>
            </w:r>
            <w:r w:rsidRPr="00A5474D">
              <w:rPr>
                <w:sz w:val="18"/>
                <w:szCs w:val="18"/>
                <w:lang w:val="es-ES"/>
              </w:rPr>
              <w:t>con ciudadanía indeterminada</w:t>
            </w: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Población activa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72</w:t>
            </w:r>
            <w:r w:rsidR="006006DA" w:rsidRPr="00A5474D">
              <w:rPr>
                <w:sz w:val="18"/>
                <w:szCs w:val="18"/>
                <w:lang w:eastAsia="et-EE"/>
              </w:rPr>
              <w:t>,</w:t>
            </w:r>
            <w:r w:rsidRPr="00A5474D">
              <w:rPr>
                <w:sz w:val="18"/>
                <w:szCs w:val="18"/>
                <w:lang w:eastAsia="et-EE"/>
              </w:rPr>
              <w:t>6</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69</w:t>
            </w:r>
            <w:r w:rsidR="006006DA" w:rsidRPr="00A5474D">
              <w:rPr>
                <w:sz w:val="18"/>
                <w:szCs w:val="18"/>
                <w:lang w:eastAsia="et-EE"/>
              </w:rPr>
              <w:t>,</w:t>
            </w:r>
            <w:r w:rsidRPr="00A5474D">
              <w:rPr>
                <w:sz w:val="18"/>
                <w:szCs w:val="18"/>
                <w:lang w:eastAsia="et-EE"/>
              </w:rPr>
              <w:t>1</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64</w:t>
            </w:r>
            <w:r w:rsidR="006006DA" w:rsidRPr="00A5474D">
              <w:rPr>
                <w:sz w:val="18"/>
                <w:szCs w:val="18"/>
                <w:lang w:eastAsia="et-EE"/>
              </w:rPr>
              <w:t>,</w:t>
            </w:r>
            <w:r w:rsidRPr="00A5474D">
              <w:rPr>
                <w:sz w:val="18"/>
                <w:szCs w:val="18"/>
                <w:lang w:eastAsia="et-EE"/>
              </w:rPr>
              <w:t>1</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59</w:t>
            </w:r>
            <w:r w:rsidR="006006DA" w:rsidRPr="00A5474D">
              <w:rPr>
                <w:sz w:val="18"/>
                <w:szCs w:val="18"/>
                <w:lang w:eastAsia="et-EE"/>
              </w:rPr>
              <w:t>,</w:t>
            </w:r>
            <w:r w:rsidRPr="00A5474D">
              <w:rPr>
                <w:sz w:val="18"/>
                <w:szCs w:val="18"/>
                <w:lang w:eastAsia="et-EE"/>
              </w:rPr>
              <w:t>7</w:t>
            </w:r>
          </w:p>
        </w:tc>
      </w:tr>
      <w:tr w:rsidR="0007522E" w:rsidRPr="00121F02">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Población empleada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64</w:t>
            </w:r>
            <w:r w:rsidR="006006DA" w:rsidRPr="00A5474D">
              <w:rPr>
                <w:sz w:val="18"/>
                <w:szCs w:val="18"/>
                <w:lang w:eastAsia="et-EE"/>
              </w:rPr>
              <w:t>,</w:t>
            </w:r>
            <w:r w:rsidRPr="00A5474D">
              <w:rPr>
                <w:sz w:val="18"/>
                <w:szCs w:val="18"/>
                <w:lang w:eastAsia="et-EE"/>
              </w:rPr>
              <w:t>9</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53</w:t>
            </w:r>
            <w:r w:rsidR="006006DA" w:rsidRPr="00A5474D">
              <w:rPr>
                <w:sz w:val="18"/>
                <w:szCs w:val="18"/>
                <w:lang w:eastAsia="et-EE"/>
              </w:rPr>
              <w:t>,</w:t>
            </w:r>
            <w:r w:rsidRPr="00A5474D">
              <w:rPr>
                <w:sz w:val="18"/>
                <w:szCs w:val="18"/>
                <w:lang w:eastAsia="et-EE"/>
              </w:rPr>
              <w:t>2</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44</w:t>
            </w:r>
            <w:r w:rsidR="006006DA" w:rsidRPr="00A5474D">
              <w:rPr>
                <w:sz w:val="18"/>
                <w:szCs w:val="18"/>
                <w:lang w:eastAsia="et-EE"/>
              </w:rPr>
              <w:t>,</w:t>
            </w:r>
            <w:r w:rsidRPr="00A5474D">
              <w:rPr>
                <w:sz w:val="18"/>
                <w:szCs w:val="18"/>
                <w:lang w:eastAsia="et-EE"/>
              </w:rPr>
              <w:t>7</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46</w:t>
            </w:r>
            <w:r w:rsidR="006006DA" w:rsidRPr="00A5474D">
              <w:rPr>
                <w:sz w:val="18"/>
                <w:szCs w:val="18"/>
                <w:lang w:eastAsia="et-EE"/>
              </w:rPr>
              <w:t>,</w:t>
            </w:r>
            <w:r w:rsidRPr="00A5474D">
              <w:rPr>
                <w:sz w:val="18"/>
                <w:szCs w:val="18"/>
                <w:lang w:eastAsia="et-EE"/>
              </w:rPr>
              <w:t>5</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Desempleados (miles)</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7</w:t>
            </w:r>
            <w:r w:rsidR="006006DA" w:rsidRPr="00A5474D">
              <w:rPr>
                <w:sz w:val="18"/>
                <w:szCs w:val="18"/>
                <w:lang w:eastAsia="et-EE"/>
              </w:rPr>
              <w:t>,</w:t>
            </w:r>
            <w:r w:rsidRPr="00A5474D">
              <w:rPr>
                <w:sz w:val="18"/>
                <w:szCs w:val="18"/>
                <w:lang w:eastAsia="et-EE"/>
              </w:rPr>
              <w:t>7</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15</w:t>
            </w:r>
            <w:r w:rsidR="006006DA" w:rsidRPr="00A5474D">
              <w:rPr>
                <w:sz w:val="18"/>
                <w:szCs w:val="18"/>
                <w:lang w:eastAsia="et-EE"/>
              </w:rPr>
              <w:t>,</w:t>
            </w:r>
            <w:r w:rsidRPr="00A5474D">
              <w:rPr>
                <w:sz w:val="18"/>
                <w:szCs w:val="18"/>
                <w:lang w:eastAsia="et-EE"/>
              </w:rPr>
              <w:t>9</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19</w:t>
            </w:r>
            <w:r w:rsidR="006006DA" w:rsidRPr="00A5474D">
              <w:rPr>
                <w:sz w:val="18"/>
                <w:szCs w:val="18"/>
                <w:lang w:eastAsia="et-EE"/>
              </w:rPr>
              <w:t>,</w:t>
            </w:r>
            <w:r w:rsidRPr="00A5474D">
              <w:rPr>
                <w:sz w:val="18"/>
                <w:szCs w:val="18"/>
                <w:lang w:eastAsia="et-EE"/>
              </w:rPr>
              <w:t>5</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13</w:t>
            </w:r>
            <w:r w:rsidR="006006DA" w:rsidRPr="00A5474D">
              <w:rPr>
                <w:sz w:val="18"/>
                <w:szCs w:val="18"/>
                <w:lang w:eastAsia="et-EE"/>
              </w:rPr>
              <w:t>,</w:t>
            </w:r>
            <w:r w:rsidRPr="00A5474D">
              <w:rPr>
                <w:sz w:val="18"/>
                <w:szCs w:val="18"/>
                <w:lang w:eastAsia="et-EE"/>
              </w:rPr>
              <w:t>1</w:t>
            </w:r>
          </w:p>
        </w:tc>
      </w:tr>
      <w:tr w:rsidR="0007522E" w:rsidRPr="00A5474D">
        <w:trPr>
          <w:trHeight w:val="240"/>
        </w:trPr>
        <w:tc>
          <w:tcPr>
            <w:tcW w:w="1920" w:type="dxa"/>
            <w:vMerge/>
            <w:shd w:val="clear" w:color="auto" w:fill="auto"/>
          </w:tcPr>
          <w:p w:rsidR="0007522E" w:rsidRPr="00A5474D" w:rsidRDefault="0007522E" w:rsidP="00A5474D">
            <w:pPr>
              <w:spacing w:before="40" w:after="40" w:line="220" w:lineRule="exact"/>
              <w:rPr>
                <w:sz w:val="18"/>
                <w:szCs w:val="18"/>
                <w:lang w:eastAsia="et-EE"/>
              </w:rPr>
            </w:pPr>
          </w:p>
        </w:tc>
        <w:tc>
          <w:tcPr>
            <w:tcW w:w="2372" w:type="dxa"/>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empleo (%)</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64</w:t>
            </w:r>
            <w:r w:rsidR="006006DA" w:rsidRPr="00A5474D">
              <w:rPr>
                <w:sz w:val="18"/>
                <w:szCs w:val="18"/>
                <w:lang w:eastAsia="et-EE"/>
              </w:rPr>
              <w:t>,</w:t>
            </w:r>
            <w:r w:rsidRPr="00A5474D">
              <w:rPr>
                <w:sz w:val="18"/>
                <w:szCs w:val="18"/>
                <w:lang w:eastAsia="et-EE"/>
              </w:rPr>
              <w:t>1</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54</w:t>
            </w:r>
            <w:r w:rsidR="006006DA" w:rsidRPr="00A5474D">
              <w:rPr>
                <w:sz w:val="18"/>
                <w:szCs w:val="18"/>
                <w:lang w:eastAsia="et-EE"/>
              </w:rPr>
              <w:t>,</w:t>
            </w:r>
            <w:r w:rsidRPr="00A5474D">
              <w:rPr>
                <w:sz w:val="18"/>
                <w:szCs w:val="18"/>
                <w:lang w:eastAsia="et-EE"/>
              </w:rPr>
              <w:t>1</w:t>
            </w:r>
          </w:p>
        </w:tc>
        <w:tc>
          <w:tcPr>
            <w:tcW w:w="769"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50</w:t>
            </w:r>
            <w:r w:rsidR="006006DA" w:rsidRPr="00A5474D">
              <w:rPr>
                <w:sz w:val="18"/>
                <w:szCs w:val="18"/>
                <w:lang w:eastAsia="et-EE"/>
              </w:rPr>
              <w:t>,</w:t>
            </w:r>
            <w:r w:rsidRPr="00A5474D">
              <w:rPr>
                <w:sz w:val="18"/>
                <w:szCs w:val="18"/>
                <w:lang w:eastAsia="et-EE"/>
              </w:rPr>
              <w:t>8</w:t>
            </w:r>
          </w:p>
        </w:tc>
        <w:tc>
          <w:tcPr>
            <w:tcW w:w="770" w:type="dxa"/>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57</w:t>
            </w:r>
            <w:r w:rsidR="006006DA" w:rsidRPr="00A5474D">
              <w:rPr>
                <w:sz w:val="18"/>
                <w:szCs w:val="18"/>
                <w:lang w:eastAsia="et-EE"/>
              </w:rPr>
              <w:t>,</w:t>
            </w:r>
            <w:r w:rsidRPr="00A5474D">
              <w:rPr>
                <w:sz w:val="18"/>
                <w:szCs w:val="18"/>
                <w:lang w:eastAsia="et-EE"/>
              </w:rPr>
              <w:t>6</w:t>
            </w:r>
          </w:p>
        </w:tc>
      </w:tr>
      <w:tr w:rsidR="0007522E" w:rsidRPr="00A5474D">
        <w:trPr>
          <w:trHeight w:val="240"/>
        </w:trPr>
        <w:tc>
          <w:tcPr>
            <w:tcW w:w="1920" w:type="dxa"/>
            <w:vMerge/>
            <w:tcBorders>
              <w:bottom w:val="single" w:sz="12" w:space="0" w:color="auto"/>
            </w:tcBorders>
            <w:shd w:val="clear" w:color="auto" w:fill="auto"/>
          </w:tcPr>
          <w:p w:rsidR="0007522E" w:rsidRPr="00A5474D" w:rsidRDefault="0007522E" w:rsidP="00A5474D">
            <w:pPr>
              <w:spacing w:before="40" w:after="40" w:line="220" w:lineRule="exact"/>
              <w:rPr>
                <w:sz w:val="18"/>
                <w:szCs w:val="18"/>
                <w:lang w:eastAsia="et-EE"/>
              </w:rPr>
            </w:pPr>
          </w:p>
        </w:tc>
        <w:tc>
          <w:tcPr>
            <w:tcW w:w="2372" w:type="dxa"/>
            <w:tcBorders>
              <w:bottom w:val="single" w:sz="12" w:space="0" w:color="auto"/>
            </w:tcBorders>
            <w:shd w:val="clear" w:color="auto" w:fill="auto"/>
            <w:vAlign w:val="bottom"/>
          </w:tcPr>
          <w:p w:rsidR="0007522E" w:rsidRPr="00A5474D" w:rsidRDefault="00617176" w:rsidP="00A5474D">
            <w:pPr>
              <w:spacing w:before="40" w:after="40" w:line="220" w:lineRule="exact"/>
              <w:rPr>
                <w:sz w:val="18"/>
                <w:szCs w:val="18"/>
              </w:rPr>
            </w:pPr>
            <w:r w:rsidRPr="00A5474D">
              <w:rPr>
                <w:sz w:val="18"/>
                <w:szCs w:val="18"/>
                <w:lang w:val="es-ES"/>
              </w:rPr>
              <w:t>Tasa de desempleo (%)</w:t>
            </w:r>
          </w:p>
        </w:tc>
        <w:tc>
          <w:tcPr>
            <w:tcW w:w="769" w:type="dxa"/>
            <w:tcBorders>
              <w:bottom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10</w:t>
            </w:r>
            <w:r w:rsidR="006006DA" w:rsidRPr="00A5474D">
              <w:rPr>
                <w:sz w:val="18"/>
                <w:szCs w:val="18"/>
                <w:lang w:eastAsia="et-EE"/>
              </w:rPr>
              <w:t>,</w:t>
            </w:r>
            <w:r w:rsidRPr="00A5474D">
              <w:rPr>
                <w:sz w:val="18"/>
                <w:szCs w:val="18"/>
                <w:lang w:eastAsia="et-EE"/>
              </w:rPr>
              <w:t>6</w:t>
            </w:r>
          </w:p>
        </w:tc>
        <w:tc>
          <w:tcPr>
            <w:tcW w:w="770" w:type="dxa"/>
            <w:tcBorders>
              <w:bottom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23</w:t>
            </w:r>
            <w:r w:rsidR="006006DA" w:rsidRPr="00A5474D">
              <w:rPr>
                <w:sz w:val="18"/>
                <w:szCs w:val="18"/>
                <w:lang w:eastAsia="et-EE"/>
              </w:rPr>
              <w:t>,</w:t>
            </w:r>
            <w:r w:rsidRPr="00A5474D">
              <w:rPr>
                <w:sz w:val="18"/>
                <w:szCs w:val="18"/>
                <w:lang w:eastAsia="et-EE"/>
              </w:rPr>
              <w:t>0</w:t>
            </w:r>
          </w:p>
        </w:tc>
        <w:tc>
          <w:tcPr>
            <w:tcW w:w="769" w:type="dxa"/>
            <w:tcBorders>
              <w:bottom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30</w:t>
            </w:r>
            <w:r w:rsidR="006006DA" w:rsidRPr="00A5474D">
              <w:rPr>
                <w:sz w:val="18"/>
                <w:szCs w:val="18"/>
                <w:lang w:eastAsia="et-EE"/>
              </w:rPr>
              <w:t>,</w:t>
            </w:r>
            <w:r w:rsidRPr="00A5474D">
              <w:rPr>
                <w:sz w:val="18"/>
                <w:szCs w:val="18"/>
                <w:lang w:eastAsia="et-EE"/>
              </w:rPr>
              <w:t>4</w:t>
            </w:r>
          </w:p>
        </w:tc>
        <w:tc>
          <w:tcPr>
            <w:tcW w:w="770" w:type="dxa"/>
            <w:tcBorders>
              <w:bottom w:val="single" w:sz="12" w:space="0" w:color="auto"/>
            </w:tcBorders>
            <w:shd w:val="clear" w:color="auto" w:fill="auto"/>
            <w:noWrap/>
            <w:vAlign w:val="bottom"/>
          </w:tcPr>
          <w:p w:rsidR="0007522E" w:rsidRPr="00A5474D" w:rsidRDefault="0007522E" w:rsidP="00A5474D">
            <w:pPr>
              <w:spacing w:before="40" w:after="40" w:line="220" w:lineRule="exact"/>
              <w:jc w:val="right"/>
              <w:rPr>
                <w:sz w:val="18"/>
                <w:szCs w:val="18"/>
                <w:lang w:eastAsia="et-EE"/>
              </w:rPr>
            </w:pPr>
            <w:r w:rsidRPr="00A5474D">
              <w:rPr>
                <w:sz w:val="18"/>
                <w:szCs w:val="18"/>
                <w:lang w:eastAsia="et-EE"/>
              </w:rPr>
              <w:t>22</w:t>
            </w:r>
            <w:r w:rsidR="006006DA" w:rsidRPr="00A5474D">
              <w:rPr>
                <w:sz w:val="18"/>
                <w:szCs w:val="18"/>
                <w:lang w:eastAsia="et-EE"/>
              </w:rPr>
              <w:t>,</w:t>
            </w:r>
            <w:r w:rsidRPr="00A5474D">
              <w:rPr>
                <w:sz w:val="18"/>
                <w:szCs w:val="18"/>
                <w:lang w:eastAsia="et-EE"/>
              </w:rPr>
              <w:t>0</w:t>
            </w:r>
          </w:p>
        </w:tc>
      </w:tr>
    </w:tbl>
    <w:p w:rsidR="00617176" w:rsidRDefault="00617176" w:rsidP="00637350">
      <w:pPr>
        <w:pStyle w:val="SingleTxtG"/>
        <w:spacing w:before="120" w:after="240"/>
        <w:ind w:firstLine="170"/>
        <w:jc w:val="left"/>
        <w:rPr>
          <w:szCs w:val="24"/>
        </w:rPr>
      </w:pPr>
      <w:r>
        <w:rPr>
          <w:i/>
          <w:sz w:val="18"/>
          <w:szCs w:val="24"/>
          <w:lang w:val="es-ES"/>
        </w:rPr>
        <w:t>Fuente</w:t>
      </w:r>
      <w:r w:rsidRPr="00452F8A">
        <w:rPr>
          <w:i/>
          <w:sz w:val="18"/>
          <w:szCs w:val="24"/>
          <w:lang w:val="es-ES"/>
        </w:rPr>
        <w:t>:</w:t>
      </w:r>
      <w:r>
        <w:rPr>
          <w:sz w:val="18"/>
          <w:szCs w:val="24"/>
        </w:rPr>
        <w:t xml:space="preserve"> </w:t>
      </w:r>
      <w:r>
        <w:rPr>
          <w:sz w:val="18"/>
          <w:szCs w:val="24"/>
          <w:lang w:val="es-ES"/>
        </w:rPr>
        <w:t>Estadística de Estonia</w:t>
      </w:r>
      <w:r w:rsidR="00452F8A">
        <w:rPr>
          <w:sz w:val="18"/>
          <w:szCs w:val="24"/>
          <w:lang w:val="es-ES"/>
        </w:rPr>
        <w:t>.</w:t>
      </w:r>
    </w:p>
    <w:p w:rsidR="00051554" w:rsidRPr="00BF39E4" w:rsidRDefault="00051554" w:rsidP="00637350">
      <w:pPr>
        <w:pStyle w:val="SingleTxtG"/>
        <w:rPr>
          <w:szCs w:val="24"/>
          <w:lang w:val="es-ES"/>
        </w:rPr>
      </w:pPr>
      <w:r w:rsidRPr="00BF39E4">
        <w:rPr>
          <w:szCs w:val="24"/>
          <w:lang w:val="es-ES"/>
        </w:rPr>
        <w:t>170.</w:t>
      </w:r>
      <w:r w:rsidRPr="00BF39E4">
        <w:rPr>
          <w:szCs w:val="24"/>
          <w:lang w:val="es-ES"/>
        </w:rPr>
        <w:tab/>
      </w:r>
      <w:r>
        <w:rPr>
          <w:szCs w:val="24"/>
          <w:lang w:val="es-ES"/>
        </w:rPr>
        <w:t xml:space="preserve">El Estudio de Seguimiento de </w:t>
      </w:r>
      <w:smartTag w:uri="urn:schemas-microsoft-com:office:smarttags" w:element="PersonName">
        <w:smartTagPr>
          <w:attr w:name="ProductID" w:val="la Integraci￳n"/>
        </w:smartTagPr>
        <w:r>
          <w:rPr>
            <w:szCs w:val="24"/>
            <w:lang w:val="es-ES"/>
          </w:rPr>
          <w:t>la Integración</w:t>
        </w:r>
      </w:smartTag>
      <w:r>
        <w:rPr>
          <w:szCs w:val="24"/>
          <w:lang w:val="es-ES"/>
        </w:rPr>
        <w:t xml:space="preserve"> </w:t>
      </w:r>
      <w:r w:rsidR="00C558F0">
        <w:rPr>
          <w:szCs w:val="24"/>
          <w:lang w:val="es-ES"/>
        </w:rPr>
        <w:t xml:space="preserve">de </w:t>
      </w:r>
      <w:r>
        <w:rPr>
          <w:szCs w:val="24"/>
          <w:lang w:val="es-ES"/>
        </w:rPr>
        <w:t xml:space="preserve">2011 revela que los nuevos inmigrantes no </w:t>
      </w:r>
      <w:r w:rsidR="00E82444">
        <w:rPr>
          <w:szCs w:val="24"/>
          <w:lang w:val="es-ES"/>
        </w:rPr>
        <w:t>perciben</w:t>
      </w:r>
      <w:r w:rsidR="009B085B">
        <w:rPr>
          <w:szCs w:val="24"/>
          <w:lang w:val="es-ES"/>
        </w:rPr>
        <w:t xml:space="preserve"> discriminación alguna</w:t>
      </w:r>
      <w:r>
        <w:rPr>
          <w:szCs w:val="24"/>
          <w:lang w:val="es-ES"/>
        </w:rPr>
        <w:t>.</w:t>
      </w:r>
      <w:r w:rsidRPr="00BF39E4">
        <w:rPr>
          <w:szCs w:val="24"/>
          <w:lang w:val="es-ES"/>
        </w:rPr>
        <w:t xml:space="preserve"> </w:t>
      </w:r>
      <w:r>
        <w:rPr>
          <w:szCs w:val="24"/>
          <w:lang w:val="es-ES"/>
        </w:rPr>
        <w:t xml:space="preserve">Tampoco han </w:t>
      </w:r>
      <w:r w:rsidR="00E82444">
        <w:rPr>
          <w:szCs w:val="24"/>
          <w:lang w:val="es-ES"/>
        </w:rPr>
        <w:t xml:space="preserve">tenido que hacer frente a </w:t>
      </w:r>
      <w:r w:rsidR="009B085B">
        <w:rPr>
          <w:szCs w:val="24"/>
          <w:lang w:val="es-ES"/>
        </w:rPr>
        <w:t>actitudes discriminatorias</w:t>
      </w:r>
      <w:r>
        <w:rPr>
          <w:szCs w:val="24"/>
          <w:lang w:val="es-ES"/>
        </w:rPr>
        <w:t xml:space="preserve"> de los empleadores contra ellos.</w:t>
      </w:r>
      <w:r w:rsidRPr="00BF39E4">
        <w:rPr>
          <w:szCs w:val="24"/>
          <w:lang w:val="es-ES"/>
        </w:rPr>
        <w:t xml:space="preserve"> </w:t>
      </w:r>
      <w:r>
        <w:rPr>
          <w:szCs w:val="24"/>
          <w:lang w:val="es-ES"/>
        </w:rPr>
        <w:t xml:space="preserve">En general, los inmigrantes que trabajan en Estonia están satisfechos con su trabajo y </w:t>
      </w:r>
      <w:r w:rsidR="00E82444">
        <w:rPr>
          <w:szCs w:val="24"/>
          <w:lang w:val="es-ES"/>
        </w:rPr>
        <w:t xml:space="preserve">con las </w:t>
      </w:r>
      <w:r>
        <w:rPr>
          <w:szCs w:val="24"/>
          <w:lang w:val="es-ES"/>
        </w:rPr>
        <w:t>condiciones laborales</w:t>
      </w:r>
      <w:r w:rsidR="00DF4129">
        <w:rPr>
          <w:szCs w:val="24"/>
          <w:lang w:val="es-ES"/>
        </w:rPr>
        <w:t>,</w:t>
      </w:r>
      <w:r>
        <w:rPr>
          <w:szCs w:val="24"/>
          <w:lang w:val="es-ES"/>
        </w:rPr>
        <w:t xml:space="preserve"> y consideran </w:t>
      </w:r>
      <w:r w:rsidR="00E82444">
        <w:rPr>
          <w:szCs w:val="24"/>
          <w:lang w:val="es-ES"/>
        </w:rPr>
        <w:t xml:space="preserve">que son </w:t>
      </w:r>
      <w:r>
        <w:rPr>
          <w:szCs w:val="24"/>
          <w:lang w:val="es-ES"/>
        </w:rPr>
        <w:t>iguales que l</w:t>
      </w:r>
      <w:r w:rsidR="00E82444">
        <w:rPr>
          <w:szCs w:val="24"/>
          <w:lang w:val="es-ES"/>
        </w:rPr>
        <w:t>a</w:t>
      </w:r>
      <w:r>
        <w:rPr>
          <w:szCs w:val="24"/>
          <w:lang w:val="es-ES"/>
        </w:rPr>
        <w:t>s de la población local.</w:t>
      </w:r>
    </w:p>
    <w:p w:rsidR="00051554" w:rsidRPr="00BF39E4" w:rsidRDefault="00051554" w:rsidP="00637350">
      <w:pPr>
        <w:pStyle w:val="SingleTxtG"/>
        <w:rPr>
          <w:szCs w:val="24"/>
          <w:lang w:val="es-ES"/>
        </w:rPr>
      </w:pPr>
      <w:r w:rsidRPr="00BF39E4">
        <w:rPr>
          <w:szCs w:val="24"/>
          <w:lang w:val="es-ES"/>
        </w:rPr>
        <w:t>171.</w:t>
      </w:r>
      <w:r w:rsidRPr="00BF39E4">
        <w:rPr>
          <w:szCs w:val="24"/>
          <w:lang w:val="es-ES"/>
        </w:rPr>
        <w:tab/>
      </w:r>
      <w:r>
        <w:rPr>
          <w:szCs w:val="24"/>
          <w:lang w:val="es-ES"/>
        </w:rPr>
        <w:t xml:space="preserve">Al comparar los datos </w:t>
      </w:r>
      <w:r w:rsidR="00E82444">
        <w:rPr>
          <w:szCs w:val="24"/>
          <w:lang w:val="es-ES"/>
        </w:rPr>
        <w:t>sobre la base</w:t>
      </w:r>
      <w:r>
        <w:rPr>
          <w:szCs w:val="24"/>
          <w:lang w:val="es-ES"/>
        </w:rPr>
        <w:t xml:space="preserve"> </w:t>
      </w:r>
      <w:r w:rsidR="00E82444">
        <w:rPr>
          <w:szCs w:val="24"/>
          <w:lang w:val="es-ES"/>
        </w:rPr>
        <w:t>d</w:t>
      </w:r>
      <w:r>
        <w:rPr>
          <w:szCs w:val="24"/>
          <w:lang w:val="es-ES"/>
        </w:rPr>
        <w:t>e la nacional</w:t>
      </w:r>
      <w:r w:rsidR="009B085B">
        <w:rPr>
          <w:szCs w:val="24"/>
          <w:lang w:val="es-ES"/>
        </w:rPr>
        <w:t xml:space="preserve">idad y el género, cabe señalar </w:t>
      </w:r>
      <w:r>
        <w:rPr>
          <w:szCs w:val="24"/>
          <w:lang w:val="es-ES"/>
        </w:rPr>
        <w:t xml:space="preserve">que, en 2011, la diferencia en la tasa de empleo fue de 5,2 puntos porcentuales en el caso de los estonios y de 8 puntos porcentuales </w:t>
      </w:r>
      <w:r w:rsidR="00E82444">
        <w:rPr>
          <w:szCs w:val="24"/>
          <w:lang w:val="es-ES"/>
        </w:rPr>
        <w:t xml:space="preserve">en el </w:t>
      </w:r>
      <w:r w:rsidR="009B085B">
        <w:rPr>
          <w:szCs w:val="24"/>
          <w:lang w:val="es-ES"/>
        </w:rPr>
        <w:t xml:space="preserve">caso </w:t>
      </w:r>
      <w:r w:rsidR="00E82444">
        <w:rPr>
          <w:szCs w:val="24"/>
          <w:lang w:val="es-ES"/>
        </w:rPr>
        <w:t xml:space="preserve">de </w:t>
      </w:r>
      <w:r>
        <w:rPr>
          <w:szCs w:val="24"/>
          <w:lang w:val="es-ES"/>
        </w:rPr>
        <w:t>los no estonios, mientras que al compararlo</w:t>
      </w:r>
      <w:r w:rsidR="00E82444">
        <w:rPr>
          <w:szCs w:val="24"/>
          <w:lang w:val="es-ES"/>
        </w:rPr>
        <w:t>s</w:t>
      </w:r>
      <w:r>
        <w:rPr>
          <w:szCs w:val="24"/>
          <w:lang w:val="es-ES"/>
        </w:rPr>
        <w:t xml:space="preserve"> </w:t>
      </w:r>
      <w:r w:rsidR="00E82444">
        <w:rPr>
          <w:szCs w:val="24"/>
          <w:lang w:val="es-ES"/>
        </w:rPr>
        <w:t xml:space="preserve">sobre la </w:t>
      </w:r>
      <w:r>
        <w:rPr>
          <w:szCs w:val="24"/>
          <w:lang w:val="es-ES"/>
        </w:rPr>
        <w:t>bas</w:t>
      </w:r>
      <w:r w:rsidR="00E82444">
        <w:rPr>
          <w:szCs w:val="24"/>
          <w:lang w:val="es-ES"/>
        </w:rPr>
        <w:t>e</w:t>
      </w:r>
      <w:r>
        <w:rPr>
          <w:szCs w:val="24"/>
          <w:lang w:val="es-ES"/>
        </w:rPr>
        <w:t xml:space="preserve"> </w:t>
      </w:r>
      <w:r w:rsidR="00E82444">
        <w:rPr>
          <w:szCs w:val="24"/>
          <w:lang w:val="es-ES"/>
        </w:rPr>
        <w:t>d</w:t>
      </w:r>
      <w:r>
        <w:rPr>
          <w:szCs w:val="24"/>
          <w:lang w:val="es-ES"/>
        </w:rPr>
        <w:t>el</w:t>
      </w:r>
      <w:r w:rsidR="00E82444">
        <w:rPr>
          <w:szCs w:val="24"/>
          <w:lang w:val="es-ES"/>
        </w:rPr>
        <w:t xml:space="preserve"> género</w:t>
      </w:r>
      <w:r>
        <w:rPr>
          <w:szCs w:val="24"/>
          <w:lang w:val="es-ES"/>
        </w:rPr>
        <w:t xml:space="preserve">, la diferencia entre los hombres fue tan solo </w:t>
      </w:r>
      <w:r w:rsidR="00E82444">
        <w:rPr>
          <w:szCs w:val="24"/>
          <w:lang w:val="es-ES"/>
        </w:rPr>
        <w:t xml:space="preserve">de </w:t>
      </w:r>
      <w:r>
        <w:rPr>
          <w:szCs w:val="24"/>
          <w:lang w:val="es-ES"/>
        </w:rPr>
        <w:t xml:space="preserve">1,3 puntos porcentuales, y </w:t>
      </w:r>
      <w:r w:rsidR="00E82444">
        <w:rPr>
          <w:szCs w:val="24"/>
          <w:lang w:val="es-ES"/>
        </w:rPr>
        <w:t>la de las mujeres fue d</w:t>
      </w:r>
      <w:r>
        <w:rPr>
          <w:szCs w:val="24"/>
          <w:lang w:val="es-ES"/>
        </w:rPr>
        <w:t>e 4,1 puntos porcentuales.</w:t>
      </w:r>
      <w:r w:rsidRPr="00BF39E4">
        <w:rPr>
          <w:szCs w:val="24"/>
          <w:lang w:val="es-ES"/>
        </w:rPr>
        <w:t xml:space="preserve"> </w:t>
      </w:r>
      <w:r>
        <w:rPr>
          <w:szCs w:val="24"/>
          <w:lang w:val="es-ES"/>
        </w:rPr>
        <w:t xml:space="preserve">La tasa de empleo más elevada entre las personas </w:t>
      </w:r>
      <w:r w:rsidR="00E82444">
        <w:rPr>
          <w:szCs w:val="24"/>
          <w:lang w:val="es-ES"/>
        </w:rPr>
        <w:t xml:space="preserve">de </w:t>
      </w:r>
      <w:smartTag w:uri="urn:schemas-microsoft-com:office:smarttags" w:element="metricconverter">
        <w:smartTagPr>
          <w:attr w:name="ProductID" w:val="15 a"/>
        </w:smartTagPr>
        <w:r>
          <w:rPr>
            <w:szCs w:val="24"/>
            <w:lang w:val="es-ES"/>
          </w:rPr>
          <w:t xml:space="preserve">15 </w:t>
        </w:r>
        <w:r w:rsidR="00E82444">
          <w:rPr>
            <w:szCs w:val="24"/>
            <w:lang w:val="es-ES"/>
          </w:rPr>
          <w:t>a</w:t>
        </w:r>
      </w:smartTag>
      <w:r>
        <w:rPr>
          <w:szCs w:val="24"/>
          <w:lang w:val="es-ES"/>
        </w:rPr>
        <w:t xml:space="preserve"> 74 años correspondió a los hombres estonios (62,8%), mientras que la más baja </w:t>
      </w:r>
      <w:r w:rsidR="00E82444">
        <w:rPr>
          <w:szCs w:val="24"/>
          <w:lang w:val="es-ES"/>
        </w:rPr>
        <w:t xml:space="preserve">fue la de </w:t>
      </w:r>
      <w:r>
        <w:rPr>
          <w:szCs w:val="24"/>
          <w:lang w:val="es-ES"/>
        </w:rPr>
        <w:t>las mujeres no estonias (53,5%).</w:t>
      </w:r>
    </w:p>
    <w:p w:rsidR="00051554" w:rsidRPr="00BF39E4" w:rsidRDefault="00051554" w:rsidP="00637350">
      <w:pPr>
        <w:pStyle w:val="H23G"/>
        <w:rPr>
          <w:lang w:val="es-ES"/>
        </w:rPr>
      </w:pPr>
      <w:r w:rsidRPr="00BF39E4">
        <w:rPr>
          <w:lang w:val="es-ES"/>
        </w:rPr>
        <w:tab/>
      </w:r>
      <w:r w:rsidRPr="00BF39E4">
        <w:rPr>
          <w:lang w:val="es-ES"/>
        </w:rPr>
        <w:tab/>
      </w:r>
      <w:r>
        <w:rPr>
          <w:lang w:val="es-ES"/>
        </w:rPr>
        <w:t>Actividades para reducir el desempleo</w:t>
      </w:r>
    </w:p>
    <w:p w:rsidR="00051554" w:rsidRPr="00BF39E4" w:rsidRDefault="00051554" w:rsidP="00637350">
      <w:pPr>
        <w:pStyle w:val="SingleTxtG"/>
        <w:rPr>
          <w:szCs w:val="24"/>
          <w:lang w:val="es-ES"/>
        </w:rPr>
      </w:pPr>
      <w:r w:rsidRPr="00BF39E4">
        <w:rPr>
          <w:szCs w:val="24"/>
          <w:lang w:val="es-ES"/>
        </w:rPr>
        <w:t>172.</w:t>
      </w:r>
      <w:r w:rsidRPr="00BF39E4">
        <w:rPr>
          <w:szCs w:val="24"/>
          <w:lang w:val="es-ES"/>
        </w:rPr>
        <w:tab/>
      </w:r>
      <w:r>
        <w:rPr>
          <w:szCs w:val="24"/>
          <w:lang w:val="es-ES"/>
        </w:rPr>
        <w:t xml:space="preserve">En general, el dominio de la lengua estonia entre la población de origen inmigrante está mejorando, </w:t>
      </w:r>
      <w:r w:rsidR="00CF5B5D">
        <w:rPr>
          <w:szCs w:val="24"/>
          <w:lang w:val="es-ES"/>
        </w:rPr>
        <w:t xml:space="preserve">y ese continúa </w:t>
      </w:r>
      <w:r>
        <w:rPr>
          <w:szCs w:val="24"/>
          <w:lang w:val="es-ES"/>
        </w:rPr>
        <w:t xml:space="preserve">siendo uno de los factores más importantes </w:t>
      </w:r>
      <w:r w:rsidR="00CF5B5D">
        <w:rPr>
          <w:szCs w:val="24"/>
          <w:lang w:val="es-ES"/>
        </w:rPr>
        <w:t>d</w:t>
      </w:r>
      <w:r>
        <w:rPr>
          <w:szCs w:val="24"/>
          <w:lang w:val="es-ES"/>
        </w:rPr>
        <w:t>e apoy</w:t>
      </w:r>
      <w:r w:rsidR="00CF5B5D">
        <w:rPr>
          <w:szCs w:val="24"/>
          <w:lang w:val="es-ES"/>
        </w:rPr>
        <w:t>o a</w:t>
      </w:r>
      <w:r>
        <w:rPr>
          <w:szCs w:val="24"/>
          <w:lang w:val="es-ES"/>
        </w:rPr>
        <w:t xml:space="preserve"> la integración.</w:t>
      </w:r>
      <w:r w:rsidRPr="00BF39E4">
        <w:rPr>
          <w:szCs w:val="24"/>
          <w:lang w:val="es-ES"/>
        </w:rPr>
        <w:t xml:space="preserve"> </w:t>
      </w:r>
      <w:r>
        <w:rPr>
          <w:szCs w:val="24"/>
          <w:lang w:val="es-ES"/>
        </w:rPr>
        <w:t xml:space="preserve">El Informe sobre Desarrollo Humano de 2011 también </w:t>
      </w:r>
      <w:r w:rsidR="00CF5B5D">
        <w:rPr>
          <w:szCs w:val="24"/>
          <w:lang w:val="es-ES"/>
        </w:rPr>
        <w:t>pone de reliev</w:t>
      </w:r>
      <w:r>
        <w:rPr>
          <w:szCs w:val="24"/>
          <w:lang w:val="es-ES"/>
        </w:rPr>
        <w:t>e la dimensión social de la adquisición del idioma y su efecto en la percepción de una mayor capacidad de adaptación.</w:t>
      </w:r>
      <w:r w:rsidRPr="00BF39E4">
        <w:rPr>
          <w:szCs w:val="24"/>
          <w:lang w:val="es-ES"/>
        </w:rPr>
        <w:t xml:space="preserve"> </w:t>
      </w:r>
      <w:r>
        <w:rPr>
          <w:szCs w:val="24"/>
          <w:lang w:val="es-ES"/>
        </w:rPr>
        <w:t xml:space="preserve">Estonia ha prestado especial atención a la organización de cursos de idioma gratuitos, </w:t>
      </w:r>
      <w:r w:rsidR="00CF5B5D">
        <w:rPr>
          <w:szCs w:val="24"/>
          <w:lang w:val="es-ES"/>
        </w:rPr>
        <w:t xml:space="preserve">de los </w:t>
      </w:r>
      <w:r>
        <w:rPr>
          <w:szCs w:val="24"/>
          <w:lang w:val="es-ES"/>
        </w:rPr>
        <w:t xml:space="preserve">que </w:t>
      </w:r>
      <w:r w:rsidR="00CF5B5D">
        <w:rPr>
          <w:szCs w:val="24"/>
          <w:lang w:val="es-ES"/>
        </w:rPr>
        <w:t xml:space="preserve">pueden beneficiarse </w:t>
      </w:r>
      <w:r>
        <w:rPr>
          <w:szCs w:val="24"/>
          <w:lang w:val="es-ES"/>
        </w:rPr>
        <w:t>tod</w:t>
      </w:r>
      <w:r w:rsidR="00CF5B5D">
        <w:rPr>
          <w:szCs w:val="24"/>
          <w:lang w:val="es-ES"/>
        </w:rPr>
        <w:t>o</w:t>
      </w:r>
      <w:r>
        <w:rPr>
          <w:szCs w:val="24"/>
          <w:lang w:val="es-ES"/>
        </w:rPr>
        <w:t>s l</w:t>
      </w:r>
      <w:r w:rsidR="00CF5B5D">
        <w:rPr>
          <w:szCs w:val="24"/>
          <w:lang w:val="es-ES"/>
        </w:rPr>
        <w:t>o</w:t>
      </w:r>
      <w:r>
        <w:rPr>
          <w:szCs w:val="24"/>
          <w:lang w:val="es-ES"/>
        </w:rPr>
        <w:t xml:space="preserve">s </w:t>
      </w:r>
      <w:r w:rsidR="00CF5B5D">
        <w:rPr>
          <w:szCs w:val="24"/>
          <w:lang w:val="es-ES"/>
        </w:rPr>
        <w:t xml:space="preserve">ciudadanos </w:t>
      </w:r>
      <w:r>
        <w:rPr>
          <w:szCs w:val="24"/>
          <w:lang w:val="es-ES"/>
        </w:rPr>
        <w:t xml:space="preserve">de terceros países </w:t>
      </w:r>
      <w:r w:rsidR="00CF5B5D">
        <w:rPr>
          <w:szCs w:val="24"/>
          <w:lang w:val="es-ES"/>
        </w:rPr>
        <w:t xml:space="preserve">o personas </w:t>
      </w:r>
      <w:r>
        <w:rPr>
          <w:szCs w:val="24"/>
          <w:lang w:val="es-ES"/>
        </w:rPr>
        <w:t>con ciudadanía indeterminada.</w:t>
      </w:r>
      <w:r w:rsidRPr="00BF39E4">
        <w:rPr>
          <w:szCs w:val="24"/>
          <w:lang w:val="es-ES"/>
        </w:rPr>
        <w:t xml:space="preserve"> </w:t>
      </w:r>
      <w:r w:rsidR="000B1724">
        <w:rPr>
          <w:szCs w:val="24"/>
          <w:lang w:val="es-ES"/>
        </w:rPr>
        <w:t>Además, e</w:t>
      </w:r>
      <w:r w:rsidR="00DF4129">
        <w:rPr>
          <w:szCs w:val="24"/>
          <w:lang w:val="es-ES"/>
        </w:rPr>
        <w:t>l aprendizaje del</w:t>
      </w:r>
      <w:r>
        <w:rPr>
          <w:szCs w:val="24"/>
          <w:lang w:val="es-ES"/>
        </w:rPr>
        <w:t xml:space="preserve"> idioma estonio en distintos niveles recibe el apoyo de </w:t>
      </w:r>
      <w:smartTag w:uri="urn:schemas-microsoft-com:office:smarttags" w:element="PersonName">
        <w:smartTagPr>
          <w:attr w:name="ProductID" w:val="la Fundaci￳n MISA"/>
        </w:smartTagPr>
        <w:r>
          <w:rPr>
            <w:szCs w:val="24"/>
            <w:lang w:val="es-ES"/>
          </w:rPr>
          <w:t>la Fundación MISA</w:t>
        </w:r>
      </w:smartTag>
      <w:r w:rsidR="000B1724">
        <w:rPr>
          <w:szCs w:val="24"/>
          <w:lang w:val="es-ES"/>
        </w:rPr>
        <w:t>,</w:t>
      </w:r>
      <w:r w:rsidRPr="00BF39E4">
        <w:rPr>
          <w:szCs w:val="24"/>
          <w:lang w:val="es-ES"/>
        </w:rPr>
        <w:t xml:space="preserve"> </w:t>
      </w:r>
      <w:r w:rsidR="000B1724">
        <w:rPr>
          <w:szCs w:val="24"/>
          <w:lang w:val="es-ES"/>
        </w:rPr>
        <w:t>que</w:t>
      </w:r>
      <w:r>
        <w:rPr>
          <w:szCs w:val="24"/>
          <w:lang w:val="es-ES"/>
        </w:rPr>
        <w:t xml:space="preserve"> también actúa como </w:t>
      </w:r>
      <w:r w:rsidR="000B1724">
        <w:rPr>
          <w:szCs w:val="24"/>
          <w:lang w:val="es-ES"/>
        </w:rPr>
        <w:t xml:space="preserve">organismo </w:t>
      </w:r>
      <w:r>
        <w:rPr>
          <w:szCs w:val="24"/>
          <w:lang w:val="es-ES"/>
        </w:rPr>
        <w:t>mediador en programas de intercambio laboral cuy</w:t>
      </w:r>
      <w:r w:rsidR="000B1724">
        <w:rPr>
          <w:szCs w:val="24"/>
          <w:lang w:val="es-ES"/>
        </w:rPr>
        <w:t>a</w:t>
      </w:r>
      <w:r>
        <w:rPr>
          <w:szCs w:val="24"/>
          <w:lang w:val="es-ES"/>
        </w:rPr>
        <w:t xml:space="preserve"> </w:t>
      </w:r>
      <w:r w:rsidR="000B1724">
        <w:rPr>
          <w:szCs w:val="24"/>
          <w:lang w:val="es-ES"/>
        </w:rPr>
        <w:t xml:space="preserve">finalidad </w:t>
      </w:r>
      <w:r>
        <w:rPr>
          <w:szCs w:val="24"/>
          <w:lang w:val="es-ES"/>
        </w:rPr>
        <w:t>es la práctica del estonio.</w:t>
      </w:r>
      <w:r w:rsidRPr="00BF39E4">
        <w:rPr>
          <w:szCs w:val="24"/>
          <w:lang w:val="es-ES"/>
        </w:rPr>
        <w:t xml:space="preserve"> </w:t>
      </w:r>
      <w:r>
        <w:rPr>
          <w:szCs w:val="24"/>
          <w:lang w:val="es-ES"/>
        </w:rPr>
        <w:t xml:space="preserve">Los cursos de </w:t>
      </w:r>
      <w:r w:rsidR="000B1724">
        <w:rPr>
          <w:szCs w:val="24"/>
          <w:lang w:val="es-ES"/>
        </w:rPr>
        <w:t xml:space="preserve">estonio </w:t>
      </w:r>
      <w:r>
        <w:rPr>
          <w:szCs w:val="24"/>
          <w:lang w:val="es-ES"/>
        </w:rPr>
        <w:t xml:space="preserve">son gratuitos para quienes participan en </w:t>
      </w:r>
      <w:r w:rsidR="000B1724">
        <w:rPr>
          <w:szCs w:val="24"/>
          <w:lang w:val="es-ES"/>
        </w:rPr>
        <w:t xml:space="preserve">dichos </w:t>
      </w:r>
      <w:r>
        <w:rPr>
          <w:szCs w:val="24"/>
          <w:lang w:val="es-ES"/>
        </w:rPr>
        <w:t>programas.</w:t>
      </w:r>
      <w:r w:rsidRPr="00BF39E4">
        <w:rPr>
          <w:szCs w:val="24"/>
          <w:lang w:val="es-ES"/>
        </w:rPr>
        <w:t xml:space="preserve"> </w:t>
      </w:r>
      <w:r>
        <w:rPr>
          <w:szCs w:val="24"/>
          <w:lang w:val="es-ES"/>
        </w:rPr>
        <w:t xml:space="preserve">La formación se financia con cargo al presupuesto </w:t>
      </w:r>
      <w:r w:rsidR="00B024EE">
        <w:rPr>
          <w:szCs w:val="24"/>
          <w:lang w:val="es-ES"/>
        </w:rPr>
        <w:t>del E</w:t>
      </w:r>
      <w:r>
        <w:rPr>
          <w:szCs w:val="24"/>
          <w:lang w:val="es-ES"/>
        </w:rPr>
        <w:t>sta</w:t>
      </w:r>
      <w:r w:rsidR="00B024EE">
        <w:rPr>
          <w:szCs w:val="24"/>
          <w:lang w:val="es-ES"/>
        </w:rPr>
        <w:t>do</w:t>
      </w:r>
      <w:r>
        <w:rPr>
          <w:szCs w:val="24"/>
          <w:lang w:val="es-ES"/>
        </w:rPr>
        <w:t xml:space="preserve"> y </w:t>
      </w:r>
      <w:r w:rsidR="00B024EE">
        <w:rPr>
          <w:szCs w:val="24"/>
          <w:lang w:val="es-ES"/>
        </w:rPr>
        <w:t xml:space="preserve">a </w:t>
      </w:r>
      <w:r>
        <w:rPr>
          <w:szCs w:val="24"/>
          <w:lang w:val="es-ES"/>
        </w:rPr>
        <w:t xml:space="preserve">los fondos estructurales de </w:t>
      </w:r>
      <w:smartTag w:uri="urn:schemas-microsoft-com:office:smarttags" w:element="PersonName">
        <w:smartTagPr>
          <w:attr w:name="ProductID" w:val="la Uni￳n Europea."/>
        </w:smartTagPr>
        <w:r>
          <w:rPr>
            <w:szCs w:val="24"/>
            <w:lang w:val="es-ES"/>
          </w:rPr>
          <w:t>la Unión Europea.</w:t>
        </w:r>
      </w:smartTag>
    </w:p>
    <w:p w:rsidR="00051554" w:rsidRPr="00BF39E4" w:rsidRDefault="00051554" w:rsidP="00637350">
      <w:pPr>
        <w:pStyle w:val="SingleTxtG"/>
        <w:rPr>
          <w:szCs w:val="24"/>
          <w:lang w:val="es-ES"/>
        </w:rPr>
      </w:pPr>
      <w:r w:rsidRPr="00BF39E4">
        <w:rPr>
          <w:szCs w:val="24"/>
          <w:lang w:val="es-ES"/>
        </w:rPr>
        <w:t>173.</w:t>
      </w:r>
      <w:r w:rsidRPr="00BF39E4">
        <w:rPr>
          <w:szCs w:val="24"/>
          <w:lang w:val="es-ES"/>
        </w:rPr>
        <w:tab/>
      </w:r>
      <w:r>
        <w:rPr>
          <w:szCs w:val="24"/>
          <w:lang w:val="es-ES"/>
        </w:rPr>
        <w:t xml:space="preserve">En 2009 se </w:t>
      </w:r>
      <w:r w:rsidR="002C2148">
        <w:rPr>
          <w:szCs w:val="24"/>
          <w:lang w:val="es-ES"/>
        </w:rPr>
        <w:t>inici</w:t>
      </w:r>
      <w:r>
        <w:rPr>
          <w:szCs w:val="24"/>
          <w:lang w:val="es-ES"/>
        </w:rPr>
        <w:t xml:space="preserve">ó </w:t>
      </w:r>
      <w:r w:rsidR="002C2148">
        <w:rPr>
          <w:szCs w:val="24"/>
          <w:lang w:val="es-ES"/>
        </w:rPr>
        <w:t>el</w:t>
      </w:r>
      <w:r>
        <w:rPr>
          <w:szCs w:val="24"/>
          <w:lang w:val="es-ES"/>
        </w:rPr>
        <w:t xml:space="preserve"> reembols</w:t>
      </w:r>
      <w:r w:rsidR="002C2148">
        <w:rPr>
          <w:szCs w:val="24"/>
          <w:lang w:val="es-ES"/>
        </w:rPr>
        <w:t>o de</w:t>
      </w:r>
      <w:r>
        <w:rPr>
          <w:szCs w:val="24"/>
          <w:lang w:val="es-ES"/>
        </w:rPr>
        <w:t xml:space="preserve"> los gastos </w:t>
      </w:r>
      <w:r w:rsidR="00B024EE">
        <w:rPr>
          <w:szCs w:val="24"/>
          <w:lang w:val="es-ES"/>
        </w:rPr>
        <w:t xml:space="preserve">derivados </w:t>
      </w:r>
      <w:r>
        <w:rPr>
          <w:szCs w:val="24"/>
          <w:lang w:val="es-ES"/>
        </w:rPr>
        <w:t xml:space="preserve">del </w:t>
      </w:r>
      <w:r w:rsidR="00B024EE">
        <w:rPr>
          <w:szCs w:val="24"/>
          <w:lang w:val="es-ES"/>
        </w:rPr>
        <w:t xml:space="preserve">aprendizaje </w:t>
      </w:r>
      <w:r>
        <w:rPr>
          <w:szCs w:val="24"/>
          <w:lang w:val="es-ES"/>
        </w:rPr>
        <w:t xml:space="preserve">del </w:t>
      </w:r>
      <w:r w:rsidR="002C2148">
        <w:rPr>
          <w:szCs w:val="24"/>
          <w:lang w:val="es-ES"/>
        </w:rPr>
        <w:t>estonio p</w:t>
      </w:r>
      <w:r>
        <w:rPr>
          <w:szCs w:val="24"/>
          <w:lang w:val="es-ES"/>
        </w:rPr>
        <w:t>a</w:t>
      </w:r>
      <w:r w:rsidR="002C2148">
        <w:rPr>
          <w:szCs w:val="24"/>
          <w:lang w:val="es-ES"/>
        </w:rPr>
        <w:t>ra</w:t>
      </w:r>
      <w:r>
        <w:rPr>
          <w:szCs w:val="24"/>
          <w:lang w:val="es-ES"/>
        </w:rPr>
        <w:t xml:space="preserve"> </w:t>
      </w:r>
      <w:r w:rsidR="00B024EE">
        <w:rPr>
          <w:szCs w:val="24"/>
          <w:lang w:val="es-ES"/>
        </w:rPr>
        <w:t>todos los inscritos</w:t>
      </w:r>
      <w:r>
        <w:rPr>
          <w:szCs w:val="24"/>
          <w:lang w:val="es-ES"/>
        </w:rPr>
        <w:t xml:space="preserve"> </w:t>
      </w:r>
      <w:r w:rsidR="00B024EE">
        <w:rPr>
          <w:szCs w:val="24"/>
          <w:lang w:val="es-ES"/>
        </w:rPr>
        <w:t>en</w:t>
      </w:r>
      <w:r>
        <w:rPr>
          <w:szCs w:val="24"/>
          <w:lang w:val="es-ES"/>
        </w:rPr>
        <w:t xml:space="preserve"> </w:t>
      </w:r>
      <w:r w:rsidR="00B024EE">
        <w:rPr>
          <w:szCs w:val="24"/>
          <w:lang w:val="es-ES"/>
        </w:rPr>
        <w:t xml:space="preserve">esos </w:t>
      </w:r>
      <w:r>
        <w:rPr>
          <w:szCs w:val="24"/>
          <w:lang w:val="es-ES"/>
        </w:rPr>
        <w:t xml:space="preserve">cursos </w:t>
      </w:r>
      <w:r w:rsidR="00B024EE">
        <w:rPr>
          <w:szCs w:val="24"/>
          <w:lang w:val="es-ES"/>
        </w:rPr>
        <w:t>que</w:t>
      </w:r>
      <w:r>
        <w:rPr>
          <w:szCs w:val="24"/>
          <w:lang w:val="es-ES"/>
        </w:rPr>
        <w:t xml:space="preserve"> aproba</w:t>
      </w:r>
      <w:r w:rsidR="002C2148">
        <w:rPr>
          <w:szCs w:val="24"/>
          <w:lang w:val="es-ES"/>
        </w:rPr>
        <w:t>sen</w:t>
      </w:r>
      <w:r>
        <w:rPr>
          <w:szCs w:val="24"/>
          <w:lang w:val="es-ES"/>
        </w:rPr>
        <w:t xml:space="preserve"> el examen </w:t>
      </w:r>
      <w:r w:rsidR="00B024EE">
        <w:rPr>
          <w:szCs w:val="24"/>
          <w:lang w:val="es-ES"/>
        </w:rPr>
        <w:t xml:space="preserve">sobre los </w:t>
      </w:r>
      <w:r>
        <w:rPr>
          <w:szCs w:val="24"/>
          <w:lang w:val="es-ES"/>
        </w:rPr>
        <w:t>conocimientos del idioma.</w:t>
      </w:r>
      <w:r w:rsidRPr="00BF39E4">
        <w:rPr>
          <w:szCs w:val="24"/>
          <w:lang w:val="es-ES"/>
        </w:rPr>
        <w:t xml:space="preserve"> </w:t>
      </w:r>
      <w:r w:rsidR="00B024EE">
        <w:rPr>
          <w:szCs w:val="24"/>
          <w:lang w:val="es-ES"/>
        </w:rPr>
        <w:t>Dicho</w:t>
      </w:r>
      <w:r>
        <w:rPr>
          <w:szCs w:val="24"/>
          <w:lang w:val="es-ES"/>
        </w:rPr>
        <w:t xml:space="preserve">s gastos se han reembolsado en el marco del programa </w:t>
      </w:r>
      <w:r w:rsidR="002B491B">
        <w:rPr>
          <w:szCs w:val="24"/>
          <w:lang w:val="es-ES"/>
        </w:rPr>
        <w:t>"</w:t>
      </w:r>
      <w:r>
        <w:rPr>
          <w:szCs w:val="24"/>
          <w:lang w:val="es-ES"/>
        </w:rPr>
        <w:t>Desarrollo de los estudios lingüísticos 2008-2010 y 2011-2013</w:t>
      </w:r>
      <w:r w:rsidR="002B491B">
        <w:rPr>
          <w:szCs w:val="24"/>
          <w:lang w:val="es-ES"/>
        </w:rPr>
        <w:t>"</w:t>
      </w:r>
      <w:r>
        <w:rPr>
          <w:szCs w:val="24"/>
          <w:lang w:val="es-ES"/>
        </w:rPr>
        <w:t>, qu</w:t>
      </w:r>
      <w:r w:rsidR="009B085B">
        <w:rPr>
          <w:szCs w:val="24"/>
          <w:lang w:val="es-ES"/>
        </w:rPr>
        <w:t xml:space="preserve">e es competencia </w:t>
      </w:r>
      <w:r>
        <w:rPr>
          <w:szCs w:val="24"/>
          <w:lang w:val="es-ES"/>
        </w:rPr>
        <w:t>del Ministerio de Educación e Investigación.</w:t>
      </w:r>
      <w:r w:rsidRPr="00BF39E4">
        <w:rPr>
          <w:szCs w:val="24"/>
          <w:lang w:val="es-ES"/>
        </w:rPr>
        <w:t xml:space="preserve"> </w:t>
      </w:r>
      <w:r>
        <w:rPr>
          <w:szCs w:val="24"/>
          <w:lang w:val="es-ES"/>
        </w:rPr>
        <w:t>E</w:t>
      </w:r>
      <w:r w:rsidR="00F331CB">
        <w:rPr>
          <w:szCs w:val="24"/>
          <w:lang w:val="es-ES"/>
        </w:rPr>
        <w:t>n 2009</w:t>
      </w:r>
      <w:r>
        <w:rPr>
          <w:szCs w:val="24"/>
          <w:lang w:val="es-ES"/>
        </w:rPr>
        <w:t xml:space="preserve"> se </w:t>
      </w:r>
      <w:r w:rsidR="00F331CB">
        <w:rPr>
          <w:szCs w:val="24"/>
          <w:lang w:val="es-ES"/>
        </w:rPr>
        <w:t xml:space="preserve">inició también </w:t>
      </w:r>
      <w:r>
        <w:rPr>
          <w:szCs w:val="24"/>
          <w:lang w:val="es-ES"/>
        </w:rPr>
        <w:t xml:space="preserve">la elaboración </w:t>
      </w:r>
      <w:r w:rsidR="00F331CB">
        <w:rPr>
          <w:szCs w:val="24"/>
          <w:lang w:val="es-ES"/>
        </w:rPr>
        <w:t xml:space="preserve">e </w:t>
      </w:r>
      <w:r>
        <w:rPr>
          <w:szCs w:val="24"/>
          <w:lang w:val="es-ES"/>
        </w:rPr>
        <w:t xml:space="preserve">implantación de materiales de aprendizaje del idioma y la cultura, así como </w:t>
      </w:r>
      <w:r w:rsidR="009B085B">
        <w:rPr>
          <w:szCs w:val="24"/>
          <w:lang w:val="es-ES"/>
        </w:rPr>
        <w:t xml:space="preserve">de </w:t>
      </w:r>
      <w:r>
        <w:rPr>
          <w:szCs w:val="24"/>
          <w:lang w:val="es-ES"/>
        </w:rPr>
        <w:t>programas lingüísticos y de adaptación con miras</w:t>
      </w:r>
      <w:r w:rsidR="00DE6601">
        <w:rPr>
          <w:szCs w:val="24"/>
          <w:lang w:val="es-ES"/>
        </w:rPr>
        <w:t xml:space="preserve"> a</w:t>
      </w:r>
      <w:r>
        <w:rPr>
          <w:szCs w:val="24"/>
          <w:lang w:val="es-ES"/>
        </w:rPr>
        <w:t xml:space="preserve"> una integración más satisfactoria de los nuevos inmigrantes adultos en la sociedad estonia.</w:t>
      </w:r>
      <w:r w:rsidRPr="00BF39E4">
        <w:rPr>
          <w:szCs w:val="24"/>
          <w:lang w:val="es-ES"/>
        </w:rPr>
        <w:t xml:space="preserve"> </w:t>
      </w:r>
      <w:r>
        <w:rPr>
          <w:szCs w:val="24"/>
          <w:lang w:val="es-ES"/>
        </w:rPr>
        <w:t>Asimismo, se creó el servicio de personal de apoyo para nuevos inmigrantes, y los adultos pueden asistir a cursos de formación profesional.</w:t>
      </w:r>
    </w:p>
    <w:p w:rsidR="00051554" w:rsidRPr="00BF39E4" w:rsidRDefault="00051554" w:rsidP="00637350">
      <w:pPr>
        <w:pStyle w:val="SingleTxtG"/>
        <w:rPr>
          <w:szCs w:val="24"/>
          <w:lang w:val="es-ES"/>
        </w:rPr>
      </w:pPr>
      <w:r w:rsidRPr="00BF39E4">
        <w:rPr>
          <w:szCs w:val="24"/>
          <w:lang w:val="es-ES"/>
        </w:rPr>
        <w:t>174.</w:t>
      </w:r>
      <w:r w:rsidRPr="00BF39E4">
        <w:rPr>
          <w:szCs w:val="24"/>
          <w:lang w:val="es-ES"/>
        </w:rPr>
        <w:tab/>
      </w:r>
      <w:r>
        <w:rPr>
          <w:szCs w:val="24"/>
          <w:lang w:val="es-ES"/>
        </w:rPr>
        <w:t>El Estado también ofrece cursos gratuitos de estonio a personas discapacitadas y pensionistas no estonios.</w:t>
      </w:r>
      <w:r w:rsidRPr="00BF39E4">
        <w:rPr>
          <w:szCs w:val="24"/>
          <w:lang w:val="es-ES"/>
        </w:rPr>
        <w:t xml:space="preserve"> </w:t>
      </w:r>
      <w:r>
        <w:rPr>
          <w:szCs w:val="24"/>
          <w:lang w:val="es-ES"/>
        </w:rPr>
        <w:t>En 2011 se diseñaron una metodología y un manual para la enseñanza del estonio a personas discapacitadas</w:t>
      </w:r>
      <w:r>
        <w:rPr>
          <w:rStyle w:val="FootnoteReference"/>
          <w:szCs w:val="24"/>
          <w:lang w:val="es-ES"/>
        </w:rPr>
        <w:footnoteReference w:id="41"/>
      </w:r>
      <w:r w:rsidR="009B72DA">
        <w:rPr>
          <w:szCs w:val="24"/>
          <w:lang w:val="es-ES"/>
        </w:rPr>
        <w:t>.</w:t>
      </w:r>
      <w:r>
        <w:rPr>
          <w:szCs w:val="24"/>
          <w:lang w:val="es-ES"/>
        </w:rPr>
        <w:t xml:space="preserve"> El Fondo de Seguro de Desempleo organiza cursos de formación centrados en el aprendizaje de</w:t>
      </w:r>
      <w:r w:rsidR="001E13DF">
        <w:rPr>
          <w:szCs w:val="24"/>
          <w:lang w:val="es-ES"/>
        </w:rPr>
        <w:t>l</w:t>
      </w:r>
      <w:r>
        <w:rPr>
          <w:szCs w:val="24"/>
          <w:lang w:val="es-ES"/>
        </w:rPr>
        <w:t xml:space="preserve"> estonio con fines profesionales.</w:t>
      </w:r>
      <w:r w:rsidRPr="00BF39E4">
        <w:rPr>
          <w:szCs w:val="24"/>
          <w:lang w:val="es-ES"/>
        </w:rPr>
        <w:t xml:space="preserve"> </w:t>
      </w:r>
    </w:p>
    <w:p w:rsidR="000358BD" w:rsidRPr="00BF39E4" w:rsidRDefault="000358BD" w:rsidP="00637350">
      <w:pPr>
        <w:pStyle w:val="SingleTxtG"/>
        <w:rPr>
          <w:szCs w:val="24"/>
          <w:lang w:val="es-ES"/>
        </w:rPr>
      </w:pPr>
      <w:r w:rsidRPr="00BF39E4">
        <w:rPr>
          <w:szCs w:val="24"/>
          <w:lang w:val="es-ES"/>
        </w:rPr>
        <w:t>175.</w:t>
      </w:r>
      <w:r w:rsidRPr="00BF39E4">
        <w:rPr>
          <w:szCs w:val="24"/>
          <w:lang w:val="es-ES"/>
        </w:rPr>
        <w:tab/>
      </w:r>
      <w:r>
        <w:rPr>
          <w:szCs w:val="24"/>
          <w:lang w:val="es-ES"/>
        </w:rPr>
        <w:t xml:space="preserve">El programa de adaptación desarrollado para </w:t>
      </w:r>
      <w:r w:rsidR="001E13DF">
        <w:rPr>
          <w:szCs w:val="24"/>
          <w:lang w:val="es-ES"/>
        </w:rPr>
        <w:t xml:space="preserve">los </w:t>
      </w:r>
      <w:r>
        <w:rPr>
          <w:szCs w:val="24"/>
          <w:lang w:val="es-ES"/>
        </w:rPr>
        <w:t>nuevos inmigrantes abarca diferentes esferas y actividades.</w:t>
      </w:r>
      <w:r w:rsidRPr="00BF39E4">
        <w:rPr>
          <w:szCs w:val="24"/>
          <w:lang w:val="es-ES"/>
        </w:rPr>
        <w:t xml:space="preserve"> </w:t>
      </w:r>
      <w:r>
        <w:rPr>
          <w:szCs w:val="24"/>
          <w:lang w:val="es-ES"/>
        </w:rPr>
        <w:t xml:space="preserve">En los Estados miembros de </w:t>
      </w:r>
      <w:smartTag w:uri="urn:schemas-microsoft-com:office:smarttags" w:element="PersonName">
        <w:smartTagPr>
          <w:attr w:name="ProductID" w:val="la Uni￳n Europea"/>
        </w:smartTagPr>
        <w:r>
          <w:rPr>
            <w:szCs w:val="24"/>
            <w:lang w:val="es-ES"/>
          </w:rPr>
          <w:t>la Unión Europea</w:t>
        </w:r>
      </w:smartTag>
      <w:r>
        <w:rPr>
          <w:szCs w:val="24"/>
          <w:lang w:val="es-ES"/>
        </w:rPr>
        <w:t xml:space="preserve">, los principales componentes </w:t>
      </w:r>
      <w:r w:rsidR="00DF4129">
        <w:rPr>
          <w:szCs w:val="24"/>
          <w:lang w:val="es-ES"/>
        </w:rPr>
        <w:t>de los programas</w:t>
      </w:r>
      <w:r>
        <w:rPr>
          <w:szCs w:val="24"/>
          <w:lang w:val="es-ES"/>
        </w:rPr>
        <w:t xml:space="preserve"> de adaptación son el aprendizaje del idioma, el perfeccionamiento </w:t>
      </w:r>
      <w:r w:rsidR="001E13DF">
        <w:rPr>
          <w:szCs w:val="24"/>
          <w:lang w:val="es-ES"/>
        </w:rPr>
        <w:t xml:space="preserve">personal </w:t>
      </w:r>
      <w:r>
        <w:rPr>
          <w:szCs w:val="24"/>
          <w:lang w:val="es-ES"/>
        </w:rPr>
        <w:t>o reciclaje profesional y la educación cívica.</w:t>
      </w:r>
      <w:r w:rsidRPr="00BF39E4">
        <w:rPr>
          <w:szCs w:val="24"/>
          <w:lang w:val="es-ES"/>
        </w:rPr>
        <w:t xml:space="preserve"> </w:t>
      </w:r>
      <w:r>
        <w:rPr>
          <w:szCs w:val="24"/>
          <w:lang w:val="es-ES"/>
        </w:rPr>
        <w:t>En el marco del programa de adaptación que se está diseñando en Estonia, se prest</w:t>
      </w:r>
      <w:r w:rsidR="00E04CA5">
        <w:rPr>
          <w:szCs w:val="24"/>
          <w:lang w:val="es-ES"/>
        </w:rPr>
        <w:t xml:space="preserve">a un servicio primario de apoyo </w:t>
      </w:r>
      <w:r w:rsidR="001E13DF">
        <w:rPr>
          <w:szCs w:val="24"/>
          <w:lang w:val="es-ES"/>
        </w:rPr>
        <w:t xml:space="preserve">que es </w:t>
      </w:r>
      <w:r>
        <w:rPr>
          <w:szCs w:val="24"/>
          <w:lang w:val="es-ES"/>
        </w:rPr>
        <w:t>necesario para la integración en el país, se organizan cursos de formación básica y aprendizaje del idioma, y se ofrece preparación para encontrar empleo.</w:t>
      </w:r>
      <w:r w:rsidRPr="00BF39E4">
        <w:rPr>
          <w:szCs w:val="24"/>
          <w:lang w:val="es-ES"/>
        </w:rPr>
        <w:t xml:space="preserve"> </w:t>
      </w:r>
      <w:r>
        <w:rPr>
          <w:szCs w:val="24"/>
          <w:lang w:val="es-ES"/>
        </w:rPr>
        <w:t>Más concretamente, el servicio de apoyo incluye</w:t>
      </w:r>
      <w:r w:rsidR="001E13DF">
        <w:rPr>
          <w:szCs w:val="24"/>
          <w:lang w:val="es-ES"/>
        </w:rPr>
        <w:t xml:space="preserve"> </w:t>
      </w:r>
      <w:r>
        <w:rPr>
          <w:szCs w:val="24"/>
          <w:lang w:val="es-ES"/>
        </w:rPr>
        <w:t xml:space="preserve">asistencia para buscar información, encontrar alojamiento, </w:t>
      </w:r>
      <w:r w:rsidR="001E13DF">
        <w:rPr>
          <w:szCs w:val="24"/>
          <w:lang w:val="es-ES"/>
        </w:rPr>
        <w:t xml:space="preserve">acceder a </w:t>
      </w:r>
      <w:r>
        <w:rPr>
          <w:szCs w:val="24"/>
          <w:lang w:val="es-ES"/>
        </w:rPr>
        <w:t xml:space="preserve">servicios sociales y de atención de salud, </w:t>
      </w:r>
      <w:r w:rsidR="00E04CA5">
        <w:rPr>
          <w:szCs w:val="24"/>
          <w:lang w:val="es-ES"/>
        </w:rPr>
        <w:t>además de</w:t>
      </w:r>
      <w:r>
        <w:rPr>
          <w:szCs w:val="24"/>
          <w:lang w:val="es-ES"/>
        </w:rPr>
        <w:t xml:space="preserve"> servicios educativos y de formación profesional, </w:t>
      </w:r>
      <w:r w:rsidR="001E13DF">
        <w:rPr>
          <w:szCs w:val="24"/>
          <w:lang w:val="es-ES"/>
        </w:rPr>
        <w:t xml:space="preserve">así como </w:t>
      </w:r>
      <w:r>
        <w:rPr>
          <w:szCs w:val="24"/>
          <w:lang w:val="es-ES"/>
        </w:rPr>
        <w:t xml:space="preserve">ayuda </w:t>
      </w:r>
      <w:r w:rsidR="001E13DF">
        <w:rPr>
          <w:szCs w:val="24"/>
          <w:lang w:val="es-ES"/>
        </w:rPr>
        <w:t xml:space="preserve">para </w:t>
      </w:r>
      <w:r>
        <w:rPr>
          <w:szCs w:val="24"/>
          <w:lang w:val="es-ES"/>
        </w:rPr>
        <w:t>las actividades cotidianas</w:t>
      </w:r>
      <w:r w:rsidR="001E13DF">
        <w:rPr>
          <w:szCs w:val="24"/>
          <w:lang w:val="es-ES"/>
        </w:rPr>
        <w:t>, entre otras cosas</w:t>
      </w:r>
      <w:r>
        <w:rPr>
          <w:szCs w:val="24"/>
          <w:lang w:val="es-ES"/>
        </w:rPr>
        <w:t>.</w:t>
      </w:r>
    </w:p>
    <w:p w:rsidR="000358BD" w:rsidRPr="00BF39E4" w:rsidRDefault="000358BD" w:rsidP="00637350">
      <w:pPr>
        <w:pStyle w:val="H23G"/>
        <w:rPr>
          <w:lang w:val="es-ES"/>
        </w:rPr>
      </w:pPr>
      <w:r w:rsidRPr="00BF39E4">
        <w:rPr>
          <w:lang w:val="es-ES"/>
        </w:rPr>
        <w:tab/>
      </w:r>
      <w:r w:rsidRPr="00BF39E4">
        <w:rPr>
          <w:lang w:val="es-ES"/>
        </w:rPr>
        <w:tab/>
      </w:r>
      <w:r>
        <w:rPr>
          <w:lang w:val="es-ES"/>
        </w:rPr>
        <w:t xml:space="preserve">Acciones encaminadas a prevenir y combatir la violencia doméstica y la trata </w:t>
      </w:r>
      <w:r w:rsidR="006006DA">
        <w:rPr>
          <w:lang w:val="es-ES"/>
        </w:rPr>
        <w:br/>
      </w:r>
      <w:r>
        <w:rPr>
          <w:lang w:val="es-ES"/>
        </w:rPr>
        <w:t>de seres humanos</w:t>
      </w:r>
    </w:p>
    <w:p w:rsidR="00DC33B3" w:rsidRPr="00BF39E4" w:rsidRDefault="00DC33B3" w:rsidP="00637350">
      <w:pPr>
        <w:pStyle w:val="SingleTxtG"/>
        <w:rPr>
          <w:szCs w:val="24"/>
          <w:lang w:val="es-ES"/>
        </w:rPr>
      </w:pPr>
      <w:r w:rsidRPr="00BF39E4">
        <w:rPr>
          <w:szCs w:val="24"/>
          <w:lang w:val="es-ES"/>
        </w:rPr>
        <w:t>176.</w:t>
      </w:r>
      <w:r w:rsidRPr="00BF39E4">
        <w:rPr>
          <w:szCs w:val="24"/>
          <w:lang w:val="es-ES"/>
        </w:rPr>
        <w:tab/>
      </w:r>
      <w:r>
        <w:rPr>
          <w:szCs w:val="24"/>
          <w:lang w:val="es-ES"/>
        </w:rPr>
        <w:t xml:space="preserve">En el segundo trimestre de 2010 entró en vigor el primer </w:t>
      </w:r>
      <w:r w:rsidR="002B491B">
        <w:rPr>
          <w:szCs w:val="24"/>
          <w:lang w:val="es-ES"/>
        </w:rPr>
        <w:t>"</w:t>
      </w:r>
      <w:r>
        <w:rPr>
          <w:szCs w:val="24"/>
          <w:lang w:val="es-ES"/>
        </w:rPr>
        <w:t>Plan de desarrollo para la reducción de la violencia</w:t>
      </w:r>
      <w:r w:rsidR="002B491B">
        <w:rPr>
          <w:szCs w:val="24"/>
          <w:lang w:val="es-ES"/>
        </w:rPr>
        <w:t>"</w:t>
      </w:r>
      <w:r>
        <w:rPr>
          <w:szCs w:val="24"/>
          <w:lang w:val="es-ES"/>
        </w:rPr>
        <w:t xml:space="preserve"> del Gobierno de </w:t>
      </w:r>
      <w:smartTag w:uri="urn:schemas-microsoft-com:office:smarttags" w:element="PersonName">
        <w:smartTagPr>
          <w:attr w:name="ProductID" w:val="la Rep￺blica"/>
        </w:smartTagPr>
        <w:r>
          <w:rPr>
            <w:szCs w:val="24"/>
            <w:lang w:val="es-ES"/>
          </w:rPr>
          <w:t>la República</w:t>
        </w:r>
      </w:smartTag>
      <w:r>
        <w:rPr>
          <w:szCs w:val="24"/>
          <w:lang w:val="es-ES"/>
        </w:rPr>
        <w:t xml:space="preserve">, que establece, entre otras cosas, objetivos relacionados con la prevención de la violencia contra la mujer, la violencia doméstica y la trata de seres humanos, </w:t>
      </w:r>
      <w:r w:rsidR="00B012D4">
        <w:rPr>
          <w:szCs w:val="24"/>
          <w:lang w:val="es-ES"/>
        </w:rPr>
        <w:t xml:space="preserve">así como </w:t>
      </w:r>
      <w:r>
        <w:rPr>
          <w:szCs w:val="24"/>
          <w:lang w:val="es-ES"/>
        </w:rPr>
        <w:t xml:space="preserve">la lucha contra </w:t>
      </w:r>
      <w:r w:rsidR="00E04CA5">
        <w:rPr>
          <w:szCs w:val="24"/>
          <w:lang w:val="es-ES"/>
        </w:rPr>
        <w:t>esos delitos</w:t>
      </w:r>
      <w:r w:rsidR="00B012D4">
        <w:rPr>
          <w:szCs w:val="24"/>
          <w:lang w:val="es-ES"/>
        </w:rPr>
        <w:t>,</w:t>
      </w:r>
      <w:r>
        <w:rPr>
          <w:szCs w:val="24"/>
          <w:lang w:val="es-ES"/>
        </w:rPr>
        <w:t xml:space="preserve"> hasta 2014. Los temas </w:t>
      </w:r>
      <w:r w:rsidR="00FD6722">
        <w:rPr>
          <w:szCs w:val="24"/>
          <w:lang w:val="es-ES"/>
        </w:rPr>
        <w:t xml:space="preserve">generales </w:t>
      </w:r>
      <w:r>
        <w:rPr>
          <w:szCs w:val="24"/>
          <w:lang w:val="es-ES"/>
        </w:rPr>
        <w:t>del plan de desarrollo son la prevención de la violencia, el apoyo a las víctimas, la rehabilitación de los delincuentes, la recopilación de información y la mejora de la cooperación.</w:t>
      </w:r>
      <w:r w:rsidRPr="00BF39E4">
        <w:rPr>
          <w:szCs w:val="24"/>
          <w:lang w:val="es-ES"/>
        </w:rPr>
        <w:t xml:space="preserve"> </w:t>
      </w:r>
      <w:r>
        <w:rPr>
          <w:szCs w:val="24"/>
          <w:lang w:val="es-ES"/>
        </w:rPr>
        <w:t xml:space="preserve">El </w:t>
      </w:r>
      <w:r w:rsidR="00FD6722">
        <w:rPr>
          <w:szCs w:val="24"/>
          <w:lang w:val="es-ES"/>
        </w:rPr>
        <w:t xml:space="preserve">Ministerio de Justicia coordina la puesta en marcha </w:t>
      </w:r>
      <w:r>
        <w:rPr>
          <w:szCs w:val="24"/>
          <w:lang w:val="es-ES"/>
        </w:rPr>
        <w:t>del plan de desarrollo.</w:t>
      </w:r>
      <w:r w:rsidRPr="00BF39E4">
        <w:rPr>
          <w:szCs w:val="24"/>
          <w:lang w:val="es-ES"/>
        </w:rPr>
        <w:t xml:space="preserve"> </w:t>
      </w:r>
      <w:r>
        <w:rPr>
          <w:szCs w:val="24"/>
          <w:lang w:val="es-ES"/>
        </w:rPr>
        <w:t xml:space="preserve">El Ministerio de Asuntos Sociales organiza charlas informativas para la población e imparte formación para especialistas (con inclusión de </w:t>
      </w:r>
      <w:r w:rsidR="00FD6722">
        <w:rPr>
          <w:szCs w:val="24"/>
          <w:lang w:val="es-ES"/>
        </w:rPr>
        <w:t xml:space="preserve">los </w:t>
      </w:r>
      <w:r>
        <w:rPr>
          <w:szCs w:val="24"/>
          <w:lang w:val="es-ES"/>
        </w:rPr>
        <w:t xml:space="preserve">empleados de centros de acogida, asistentes sociales y </w:t>
      </w:r>
      <w:r w:rsidR="00FD6722">
        <w:rPr>
          <w:szCs w:val="24"/>
          <w:lang w:val="es-ES"/>
        </w:rPr>
        <w:t xml:space="preserve">personal </w:t>
      </w:r>
      <w:r>
        <w:rPr>
          <w:szCs w:val="24"/>
          <w:lang w:val="es-ES"/>
        </w:rPr>
        <w:t>de apoyo a las víctimas, trabajadores del ámbito de la juventud, abogados, policías y jueces), organiza mesas redondas a través de la red nacional de cooperación y distribuye periódicamente materiales informativos.</w:t>
      </w:r>
      <w:r w:rsidRPr="00BF39E4">
        <w:rPr>
          <w:szCs w:val="24"/>
          <w:lang w:val="es-ES"/>
        </w:rPr>
        <w:t xml:space="preserve"> </w:t>
      </w:r>
      <w:r>
        <w:rPr>
          <w:szCs w:val="24"/>
          <w:lang w:val="es-ES"/>
        </w:rPr>
        <w:t xml:space="preserve">Actualmente </w:t>
      </w:r>
      <w:r w:rsidR="00DD734C">
        <w:rPr>
          <w:szCs w:val="24"/>
          <w:lang w:val="es-ES"/>
        </w:rPr>
        <w:t>funciona</w:t>
      </w:r>
      <w:r w:rsidR="00E36013">
        <w:rPr>
          <w:szCs w:val="24"/>
          <w:lang w:val="es-ES"/>
        </w:rPr>
        <w:t>n</w:t>
      </w:r>
      <w:r w:rsidR="00DD734C">
        <w:rPr>
          <w:szCs w:val="24"/>
          <w:lang w:val="es-ES"/>
        </w:rPr>
        <w:t xml:space="preserve"> </w:t>
      </w:r>
      <w:r>
        <w:rPr>
          <w:szCs w:val="24"/>
          <w:lang w:val="es-ES"/>
        </w:rPr>
        <w:t>una línea telefónica de ayuda a las víctimas de</w:t>
      </w:r>
      <w:r w:rsidR="00E04CA5">
        <w:rPr>
          <w:szCs w:val="24"/>
          <w:lang w:val="es-ES"/>
        </w:rPr>
        <w:t xml:space="preserve"> la</w:t>
      </w:r>
      <w:r>
        <w:rPr>
          <w:szCs w:val="24"/>
          <w:lang w:val="es-ES"/>
        </w:rPr>
        <w:t xml:space="preserve"> trata de personas y de la violencia doméstica, un centro de rehabilitación para las mujeres que han ejercido la prostitución o han sido víctimas de la trata, y centros de acogida para mujeres.</w:t>
      </w:r>
    </w:p>
    <w:p w:rsidR="00DC33B3" w:rsidRPr="00BF39E4" w:rsidRDefault="00DC33B3" w:rsidP="00637350">
      <w:pPr>
        <w:pStyle w:val="SingleTxtG"/>
        <w:rPr>
          <w:szCs w:val="24"/>
          <w:lang w:val="es-ES"/>
        </w:rPr>
      </w:pPr>
      <w:r w:rsidRPr="00BF39E4">
        <w:rPr>
          <w:szCs w:val="24"/>
          <w:lang w:val="es-ES"/>
        </w:rPr>
        <w:t>177.</w:t>
      </w:r>
      <w:r w:rsidRPr="00BF39E4">
        <w:rPr>
          <w:szCs w:val="24"/>
          <w:lang w:val="es-ES"/>
        </w:rPr>
        <w:tab/>
      </w:r>
      <w:r w:rsidR="00E36013">
        <w:rPr>
          <w:szCs w:val="24"/>
          <w:lang w:val="es-ES"/>
        </w:rPr>
        <w:t>En el período 2010-2014 se llevan</w:t>
      </w:r>
      <w:r>
        <w:rPr>
          <w:szCs w:val="24"/>
          <w:lang w:val="es-ES"/>
        </w:rPr>
        <w:t xml:space="preserve"> a cabo actividades de lucha contra la trata de personas en el marco del </w:t>
      </w:r>
      <w:r w:rsidR="002B491B">
        <w:rPr>
          <w:szCs w:val="24"/>
          <w:lang w:val="es-ES"/>
        </w:rPr>
        <w:t>"</w:t>
      </w:r>
      <w:r>
        <w:rPr>
          <w:szCs w:val="24"/>
          <w:lang w:val="es-ES"/>
        </w:rPr>
        <w:t>Plan de desarrollo para la reducción de la violencia</w:t>
      </w:r>
      <w:r w:rsidR="002B491B">
        <w:rPr>
          <w:szCs w:val="24"/>
          <w:lang w:val="es-ES"/>
        </w:rPr>
        <w:t>"</w:t>
      </w:r>
      <w:r>
        <w:rPr>
          <w:szCs w:val="24"/>
          <w:lang w:val="es-ES"/>
        </w:rPr>
        <w:t>.</w:t>
      </w:r>
      <w:r w:rsidRPr="00BF39E4">
        <w:rPr>
          <w:szCs w:val="24"/>
          <w:lang w:val="es-ES"/>
        </w:rPr>
        <w:t xml:space="preserve"> </w:t>
      </w:r>
      <w:r w:rsidR="00E36013">
        <w:rPr>
          <w:szCs w:val="24"/>
          <w:lang w:val="es-ES"/>
        </w:rPr>
        <w:t>S</w:t>
      </w:r>
      <w:r>
        <w:rPr>
          <w:szCs w:val="24"/>
          <w:lang w:val="es-ES"/>
        </w:rPr>
        <w:t xml:space="preserve">e ha creado una red de representantes de autoridades y </w:t>
      </w:r>
      <w:r w:rsidR="00660903">
        <w:rPr>
          <w:szCs w:val="24"/>
          <w:lang w:val="es-ES"/>
        </w:rPr>
        <w:t>ONG</w:t>
      </w:r>
      <w:r>
        <w:rPr>
          <w:szCs w:val="24"/>
          <w:lang w:val="es-ES"/>
        </w:rPr>
        <w:t>, que hace posible una cooperación mutua más eficiente.</w:t>
      </w:r>
      <w:r w:rsidRPr="00BF39E4">
        <w:rPr>
          <w:szCs w:val="24"/>
          <w:lang w:val="es-ES"/>
        </w:rPr>
        <w:t xml:space="preserve"> </w:t>
      </w:r>
      <w:r w:rsidR="00DD734C">
        <w:rPr>
          <w:szCs w:val="24"/>
          <w:lang w:val="es-ES"/>
        </w:rPr>
        <w:t>El Ministerio de Justicia coordina la</w:t>
      </w:r>
      <w:r>
        <w:rPr>
          <w:szCs w:val="24"/>
          <w:lang w:val="es-ES"/>
        </w:rPr>
        <w:t>s actividades</w:t>
      </w:r>
      <w:r w:rsidR="00DD734C">
        <w:rPr>
          <w:szCs w:val="24"/>
          <w:lang w:val="es-ES"/>
        </w:rPr>
        <w:t xml:space="preserve"> de la red</w:t>
      </w:r>
      <w:r>
        <w:rPr>
          <w:szCs w:val="24"/>
          <w:lang w:val="es-ES"/>
        </w:rPr>
        <w:t>.</w:t>
      </w:r>
    </w:p>
    <w:p w:rsidR="00744D01" w:rsidRPr="00BF39E4" w:rsidRDefault="00744D01" w:rsidP="00637350">
      <w:pPr>
        <w:pStyle w:val="SingleTxtG"/>
        <w:rPr>
          <w:szCs w:val="24"/>
          <w:lang w:val="es-ES"/>
        </w:rPr>
      </w:pPr>
      <w:r w:rsidRPr="00BF39E4">
        <w:rPr>
          <w:szCs w:val="24"/>
          <w:lang w:val="es-ES"/>
        </w:rPr>
        <w:t>178.</w:t>
      </w:r>
      <w:r w:rsidRPr="00BF39E4">
        <w:rPr>
          <w:szCs w:val="24"/>
          <w:lang w:val="es-ES"/>
        </w:rPr>
        <w:tab/>
      </w:r>
      <w:r>
        <w:rPr>
          <w:szCs w:val="24"/>
          <w:lang w:val="es-ES"/>
        </w:rPr>
        <w:t>A principios de 2012 se adoptaron enmiend</w:t>
      </w:r>
      <w:r w:rsidR="00FB78D7">
        <w:rPr>
          <w:szCs w:val="24"/>
          <w:lang w:val="es-ES"/>
        </w:rPr>
        <w:t>as al Código Penal a fin de</w:t>
      </w:r>
      <w:r>
        <w:rPr>
          <w:szCs w:val="24"/>
          <w:lang w:val="es-ES"/>
        </w:rPr>
        <w:t xml:space="preserve"> revisa</w:t>
      </w:r>
      <w:r w:rsidR="00FB78D7">
        <w:rPr>
          <w:szCs w:val="24"/>
          <w:lang w:val="es-ES"/>
        </w:rPr>
        <w:t>r</w:t>
      </w:r>
      <w:r>
        <w:rPr>
          <w:szCs w:val="24"/>
          <w:lang w:val="es-ES"/>
        </w:rPr>
        <w:t xml:space="preserve"> </w:t>
      </w:r>
      <w:r w:rsidR="00C76A46">
        <w:rPr>
          <w:szCs w:val="24"/>
          <w:lang w:val="es-ES"/>
        </w:rPr>
        <w:t xml:space="preserve">en profundidad </w:t>
      </w:r>
      <w:r>
        <w:rPr>
          <w:szCs w:val="24"/>
          <w:lang w:val="es-ES"/>
        </w:rPr>
        <w:t>las disposiciones relativas a los delitos</w:t>
      </w:r>
      <w:r w:rsidR="00CD3AC2">
        <w:rPr>
          <w:szCs w:val="24"/>
          <w:lang w:val="es-ES"/>
        </w:rPr>
        <w:t xml:space="preserve"> r</w:t>
      </w:r>
      <w:r>
        <w:rPr>
          <w:szCs w:val="24"/>
          <w:lang w:val="es-ES"/>
        </w:rPr>
        <w:t>e</w:t>
      </w:r>
      <w:r w:rsidR="00CD3AC2">
        <w:rPr>
          <w:szCs w:val="24"/>
          <w:lang w:val="es-ES"/>
        </w:rPr>
        <w:t>lacionados con la</w:t>
      </w:r>
      <w:r>
        <w:rPr>
          <w:szCs w:val="24"/>
          <w:lang w:val="es-ES"/>
        </w:rPr>
        <w:t xml:space="preserve"> trata de personas, incluida la adición del artículo 133, que </w:t>
      </w:r>
      <w:r w:rsidR="00166BC3">
        <w:rPr>
          <w:szCs w:val="24"/>
          <w:lang w:val="es-ES"/>
        </w:rPr>
        <w:t>aborda</w:t>
      </w:r>
      <w:r>
        <w:rPr>
          <w:szCs w:val="24"/>
          <w:lang w:val="es-ES"/>
        </w:rPr>
        <w:t xml:space="preserve"> las sanciones </w:t>
      </w:r>
      <w:r w:rsidR="00166BC3">
        <w:rPr>
          <w:szCs w:val="24"/>
          <w:lang w:val="es-ES"/>
        </w:rPr>
        <w:t>par</w:t>
      </w:r>
      <w:r>
        <w:rPr>
          <w:szCs w:val="24"/>
          <w:lang w:val="es-ES"/>
        </w:rPr>
        <w:t>a ese delito.</w:t>
      </w:r>
      <w:r w:rsidRPr="00BF39E4">
        <w:rPr>
          <w:szCs w:val="24"/>
          <w:lang w:val="es-ES"/>
        </w:rPr>
        <w:t xml:space="preserve"> </w:t>
      </w:r>
      <w:r w:rsidR="00166BC3">
        <w:rPr>
          <w:szCs w:val="24"/>
          <w:lang w:val="es-ES"/>
        </w:rPr>
        <w:t>En las directrices de elaboración de la política penal se</w:t>
      </w:r>
      <w:r>
        <w:rPr>
          <w:szCs w:val="24"/>
          <w:lang w:val="es-ES"/>
        </w:rPr>
        <w:t xml:space="preserve"> </w:t>
      </w:r>
      <w:r w:rsidR="00FB78D7">
        <w:rPr>
          <w:szCs w:val="24"/>
          <w:lang w:val="es-ES"/>
        </w:rPr>
        <w:t xml:space="preserve">presta gran atención </w:t>
      </w:r>
      <w:r>
        <w:rPr>
          <w:szCs w:val="24"/>
          <w:lang w:val="es-ES"/>
        </w:rPr>
        <w:t>a la lucha contra la trata de personas y la violencia.</w:t>
      </w:r>
    </w:p>
    <w:p w:rsidR="00744D01" w:rsidRPr="00BF39E4" w:rsidRDefault="00744D01" w:rsidP="00637350">
      <w:pPr>
        <w:pStyle w:val="H4G"/>
        <w:rPr>
          <w:lang w:val="es-ES"/>
        </w:rPr>
      </w:pPr>
      <w:r w:rsidRPr="00BF39E4">
        <w:rPr>
          <w:lang w:val="es-ES"/>
        </w:rPr>
        <w:tab/>
      </w:r>
      <w:r>
        <w:rPr>
          <w:lang w:val="es-ES"/>
        </w:rPr>
        <w:t>ii)</w:t>
      </w:r>
      <w:r w:rsidRPr="00BF39E4">
        <w:rPr>
          <w:lang w:val="es-ES"/>
        </w:rPr>
        <w:tab/>
      </w:r>
      <w:r>
        <w:rPr>
          <w:lang w:val="es-ES"/>
        </w:rPr>
        <w:t>El derecho</w:t>
      </w:r>
      <w:r w:rsidR="00E624B7">
        <w:rPr>
          <w:lang w:val="es-ES"/>
        </w:rPr>
        <w:t xml:space="preserve"> </w:t>
      </w:r>
      <w:r>
        <w:rPr>
          <w:lang w:val="es-ES"/>
        </w:rPr>
        <w:t>a fundar sindicatos y a sindicarse</w:t>
      </w:r>
    </w:p>
    <w:p w:rsidR="00E04CA5" w:rsidRPr="00E624B7" w:rsidRDefault="00E04CA5" w:rsidP="00637350">
      <w:pPr>
        <w:pStyle w:val="SingleTxtG"/>
        <w:rPr>
          <w:szCs w:val="24"/>
          <w:lang w:val="es-ES"/>
        </w:rPr>
      </w:pPr>
      <w:r w:rsidRPr="00BF39E4">
        <w:rPr>
          <w:szCs w:val="24"/>
          <w:lang w:val="es-ES"/>
        </w:rPr>
        <w:t>179.</w:t>
      </w:r>
      <w:r w:rsidRPr="00BF39E4">
        <w:rPr>
          <w:szCs w:val="24"/>
          <w:lang w:val="es-ES"/>
        </w:rPr>
        <w:tab/>
      </w:r>
      <w:r>
        <w:rPr>
          <w:szCs w:val="24"/>
          <w:lang w:val="es-ES"/>
        </w:rPr>
        <w:t xml:space="preserve">La </w:t>
      </w:r>
      <w:r w:rsidR="00E624B7">
        <w:rPr>
          <w:szCs w:val="24"/>
          <w:lang w:val="es-ES"/>
        </w:rPr>
        <w:t>crea</w:t>
      </w:r>
      <w:r>
        <w:rPr>
          <w:szCs w:val="24"/>
          <w:lang w:val="es-ES"/>
        </w:rPr>
        <w:t xml:space="preserve">ción de sindicatos y sus actividades están reglamentadas en </w:t>
      </w:r>
      <w:smartTag w:uri="urn:schemas-microsoft-com:office:smarttags" w:element="PersonName">
        <w:smartTagPr>
          <w:attr w:name="ProductID" w:val="La Ley"/>
        </w:smartTagPr>
        <w:r>
          <w:rPr>
            <w:szCs w:val="24"/>
            <w:lang w:val="es-ES"/>
          </w:rPr>
          <w:t>la Ley</w:t>
        </w:r>
      </w:smartTag>
      <w:r w:rsidR="005554AF">
        <w:rPr>
          <w:szCs w:val="24"/>
          <w:lang w:val="es-ES"/>
        </w:rPr>
        <w:t xml:space="preserve"> de sindicatos</w:t>
      </w:r>
      <w:r>
        <w:rPr>
          <w:rStyle w:val="FootnoteReference"/>
          <w:szCs w:val="24"/>
          <w:lang w:val="es-ES"/>
        </w:rPr>
        <w:footnoteReference w:id="42"/>
      </w:r>
      <w:r w:rsidR="005554AF">
        <w:rPr>
          <w:szCs w:val="24"/>
          <w:lang w:val="es-ES"/>
        </w:rPr>
        <w:t>.</w:t>
      </w:r>
      <w:r>
        <w:rPr>
          <w:szCs w:val="24"/>
          <w:lang w:val="es-ES"/>
        </w:rPr>
        <w:t xml:space="preserve"> De conformidad con </w:t>
      </w:r>
      <w:r w:rsidR="00E624B7">
        <w:rPr>
          <w:szCs w:val="24"/>
          <w:lang w:val="es-ES"/>
        </w:rPr>
        <w:t>su</w:t>
      </w:r>
      <w:r>
        <w:rPr>
          <w:szCs w:val="24"/>
          <w:lang w:val="es-ES"/>
        </w:rPr>
        <w:t xml:space="preserve"> artículo 4, las personas tienen derecho a fundar sindicatos libremente y sin autorización previa, y </w:t>
      </w:r>
      <w:r w:rsidR="00E624B7">
        <w:rPr>
          <w:szCs w:val="24"/>
          <w:lang w:val="es-ES"/>
        </w:rPr>
        <w:t xml:space="preserve">tienen también derecho a decidir si desean </w:t>
      </w:r>
      <w:r>
        <w:rPr>
          <w:szCs w:val="24"/>
          <w:lang w:val="es-ES"/>
        </w:rPr>
        <w:t>sindicarse.</w:t>
      </w:r>
      <w:r w:rsidRPr="00BF39E4">
        <w:rPr>
          <w:szCs w:val="24"/>
          <w:lang w:val="es-ES"/>
        </w:rPr>
        <w:t xml:space="preserve"> </w:t>
      </w:r>
      <w:r>
        <w:rPr>
          <w:szCs w:val="24"/>
          <w:lang w:val="es-ES"/>
        </w:rPr>
        <w:t xml:space="preserve">Únicamente los miembros de </w:t>
      </w:r>
      <w:r w:rsidR="00E624B7">
        <w:rPr>
          <w:szCs w:val="24"/>
          <w:lang w:val="es-ES"/>
        </w:rPr>
        <w:t>las</w:t>
      </w:r>
      <w:r>
        <w:rPr>
          <w:szCs w:val="24"/>
          <w:lang w:val="es-ES"/>
        </w:rPr>
        <w:t xml:space="preserve"> Fuerzas de Defensa en servicio activo tienen prohibido fundar sindicatos y sindicarse.</w:t>
      </w:r>
      <w:r w:rsidRPr="00BF39E4">
        <w:rPr>
          <w:szCs w:val="24"/>
          <w:lang w:val="es-ES"/>
        </w:rPr>
        <w:t xml:space="preserve"> </w:t>
      </w:r>
      <w:r>
        <w:rPr>
          <w:szCs w:val="24"/>
          <w:lang w:val="es-ES"/>
        </w:rPr>
        <w:t xml:space="preserve">Los sindicatos </w:t>
      </w:r>
      <w:r w:rsidR="00E624B7">
        <w:rPr>
          <w:szCs w:val="24"/>
          <w:lang w:val="es-ES"/>
        </w:rPr>
        <w:t xml:space="preserve">tienen derecho a </w:t>
      </w:r>
      <w:r>
        <w:rPr>
          <w:szCs w:val="24"/>
          <w:lang w:val="es-ES"/>
        </w:rPr>
        <w:t xml:space="preserve">formar federaciones y confederaciones y adherirse a ellas para representar los derechos e intereses de los </w:t>
      </w:r>
      <w:r w:rsidR="00E624B7">
        <w:rPr>
          <w:szCs w:val="24"/>
          <w:lang w:val="es-ES"/>
        </w:rPr>
        <w:t>empleado</w:t>
      </w:r>
      <w:r>
        <w:rPr>
          <w:szCs w:val="24"/>
          <w:lang w:val="es-ES"/>
        </w:rPr>
        <w:t>s.</w:t>
      </w:r>
      <w:r w:rsidRPr="00BF39E4">
        <w:rPr>
          <w:szCs w:val="24"/>
          <w:lang w:val="es-ES"/>
        </w:rPr>
        <w:t xml:space="preserve"> </w:t>
      </w:r>
      <w:r w:rsidR="00E624B7">
        <w:rPr>
          <w:szCs w:val="24"/>
          <w:lang w:val="es-ES"/>
        </w:rPr>
        <w:t>Asimismo, t</w:t>
      </w:r>
      <w:r w:rsidRPr="00E624B7">
        <w:rPr>
          <w:szCs w:val="24"/>
          <w:lang w:val="es-ES"/>
        </w:rPr>
        <w:t>ienen derecho a adherirse a organizaciones internacionales</w:t>
      </w:r>
      <w:r w:rsidR="00E624B7">
        <w:rPr>
          <w:szCs w:val="24"/>
          <w:lang w:val="es-ES"/>
        </w:rPr>
        <w:t xml:space="preserve"> de empleados</w:t>
      </w:r>
      <w:r w:rsidRPr="00E624B7">
        <w:rPr>
          <w:szCs w:val="24"/>
          <w:lang w:val="es-ES"/>
        </w:rPr>
        <w:t>.</w:t>
      </w:r>
    </w:p>
    <w:p w:rsidR="00DE6601" w:rsidRPr="00E624B7" w:rsidRDefault="00DE6601" w:rsidP="00637350">
      <w:pPr>
        <w:pStyle w:val="SingleTxtG"/>
        <w:rPr>
          <w:szCs w:val="24"/>
          <w:lang w:val="es-ES"/>
        </w:rPr>
      </w:pPr>
      <w:r w:rsidRPr="00E624B7">
        <w:rPr>
          <w:szCs w:val="24"/>
          <w:lang w:val="es-ES"/>
        </w:rPr>
        <w:t>180.</w:t>
      </w:r>
      <w:r w:rsidRPr="00E624B7">
        <w:rPr>
          <w:szCs w:val="24"/>
          <w:lang w:val="es-ES"/>
        </w:rPr>
        <w:tab/>
      </w:r>
      <w:smartTag w:uri="urn:schemas-microsoft-com:office:smarttags" w:element="PersonName">
        <w:smartTagPr>
          <w:attr w:name="ProductID" w:val="La Ley"/>
        </w:smartTagPr>
        <w:r>
          <w:rPr>
            <w:szCs w:val="24"/>
            <w:lang w:val="es-ES"/>
          </w:rPr>
          <w:t>La Ley</w:t>
        </w:r>
      </w:smartTag>
      <w:r>
        <w:rPr>
          <w:szCs w:val="24"/>
          <w:lang w:val="es-ES"/>
        </w:rPr>
        <w:t xml:space="preserve"> de</w:t>
      </w:r>
      <w:r w:rsidR="00FB78D7">
        <w:rPr>
          <w:szCs w:val="24"/>
          <w:lang w:val="es-ES"/>
        </w:rPr>
        <w:t xml:space="preserve"> sindicatos no prescribe requisitos</w:t>
      </w:r>
      <w:r>
        <w:rPr>
          <w:szCs w:val="24"/>
          <w:lang w:val="es-ES"/>
        </w:rPr>
        <w:t xml:space="preserve"> para afiliarse a </w:t>
      </w:r>
      <w:r w:rsidR="00CA34BD">
        <w:rPr>
          <w:szCs w:val="24"/>
          <w:lang w:val="es-ES"/>
        </w:rPr>
        <w:t xml:space="preserve">los </w:t>
      </w:r>
      <w:r>
        <w:rPr>
          <w:szCs w:val="24"/>
          <w:lang w:val="es-ES"/>
        </w:rPr>
        <w:t>sindicato</w:t>
      </w:r>
      <w:r w:rsidR="00CA34BD">
        <w:rPr>
          <w:szCs w:val="24"/>
          <w:lang w:val="es-ES"/>
        </w:rPr>
        <w:t>s</w:t>
      </w:r>
      <w:r>
        <w:rPr>
          <w:szCs w:val="24"/>
          <w:lang w:val="es-ES"/>
        </w:rPr>
        <w:t xml:space="preserve"> (</w:t>
      </w:r>
      <w:r w:rsidR="00CA34BD">
        <w:rPr>
          <w:szCs w:val="24"/>
          <w:lang w:val="es-ES"/>
        </w:rPr>
        <w:t>en relación con</w:t>
      </w:r>
      <w:r>
        <w:rPr>
          <w:szCs w:val="24"/>
          <w:lang w:val="es-ES"/>
        </w:rPr>
        <w:t xml:space="preserve"> la edad, el sexo, la raza, la ciudadanía, etc.) o</w:t>
      </w:r>
      <w:r w:rsidR="00BB1DF2">
        <w:rPr>
          <w:szCs w:val="24"/>
          <w:lang w:val="es-ES"/>
        </w:rPr>
        <w:t xml:space="preserve"> para</w:t>
      </w:r>
      <w:r>
        <w:rPr>
          <w:szCs w:val="24"/>
          <w:lang w:val="es-ES"/>
        </w:rPr>
        <w:t xml:space="preserve"> la elección de los empleados de los sindicatos e</w:t>
      </w:r>
      <w:r w:rsidR="00CA34BD">
        <w:rPr>
          <w:szCs w:val="24"/>
          <w:lang w:val="es-ES"/>
        </w:rPr>
        <w:t>n</w:t>
      </w:r>
      <w:r>
        <w:rPr>
          <w:szCs w:val="24"/>
          <w:lang w:val="es-ES"/>
        </w:rPr>
        <w:t xml:space="preserve"> cualquier nivel, incluidos los dirigentes de las confederaciones</w:t>
      </w:r>
      <w:r w:rsidR="00CA34BD">
        <w:rPr>
          <w:szCs w:val="24"/>
          <w:lang w:val="es-ES"/>
        </w:rPr>
        <w:t xml:space="preserve"> sindicales</w:t>
      </w:r>
      <w:r>
        <w:rPr>
          <w:szCs w:val="24"/>
          <w:lang w:val="es-ES"/>
        </w:rPr>
        <w:t>.</w:t>
      </w:r>
    </w:p>
    <w:p w:rsidR="00DE6601" w:rsidRPr="00EE0800" w:rsidRDefault="00DE6601" w:rsidP="00637350">
      <w:pPr>
        <w:pStyle w:val="SingleTxtG"/>
        <w:rPr>
          <w:szCs w:val="24"/>
          <w:lang w:val="es-ES"/>
        </w:rPr>
      </w:pPr>
      <w:r w:rsidRPr="00EE0800">
        <w:rPr>
          <w:szCs w:val="24"/>
          <w:lang w:val="es-ES"/>
        </w:rPr>
        <w:t>181.</w:t>
      </w:r>
      <w:r w:rsidRPr="00EE0800">
        <w:rPr>
          <w:szCs w:val="24"/>
          <w:lang w:val="es-ES"/>
        </w:rPr>
        <w:tab/>
      </w:r>
      <w:smartTag w:uri="urn:schemas-microsoft-com:office:smarttags" w:element="PersonName">
        <w:smartTagPr>
          <w:attr w:name="ProductID" w:val="La Ley"/>
        </w:smartTagPr>
        <w:r>
          <w:rPr>
            <w:szCs w:val="24"/>
            <w:lang w:val="es-ES"/>
          </w:rPr>
          <w:t>La Ley</w:t>
        </w:r>
      </w:smartTag>
      <w:r>
        <w:rPr>
          <w:szCs w:val="24"/>
          <w:lang w:val="es-ES"/>
        </w:rPr>
        <w:t xml:space="preserve"> de representantes de los empleados</w:t>
      </w:r>
      <w:r>
        <w:rPr>
          <w:rStyle w:val="FootnoteReference"/>
          <w:szCs w:val="24"/>
          <w:lang w:val="es-ES"/>
        </w:rPr>
        <w:footnoteReference w:id="43"/>
      </w:r>
      <w:r>
        <w:rPr>
          <w:szCs w:val="24"/>
          <w:lang w:val="es-ES"/>
        </w:rPr>
        <w:t xml:space="preserve"> especifica, entre otras cosas, los derechos y obligaciones de los sindicatos y sus representantes (</w:t>
      </w:r>
      <w:r w:rsidR="00CA34BD">
        <w:rPr>
          <w:szCs w:val="24"/>
          <w:lang w:val="es-ES"/>
        </w:rPr>
        <w:t>delegados de personal</w:t>
      </w:r>
      <w:r>
        <w:rPr>
          <w:szCs w:val="24"/>
          <w:lang w:val="es-ES"/>
        </w:rPr>
        <w:t xml:space="preserve">), </w:t>
      </w:r>
      <w:r w:rsidR="00CA34BD">
        <w:rPr>
          <w:szCs w:val="24"/>
          <w:lang w:val="es-ES"/>
        </w:rPr>
        <w:t>princip</w:t>
      </w:r>
      <w:r>
        <w:rPr>
          <w:szCs w:val="24"/>
          <w:lang w:val="es-ES"/>
        </w:rPr>
        <w:t xml:space="preserve">almente </w:t>
      </w:r>
      <w:r w:rsidR="00CA34BD">
        <w:rPr>
          <w:szCs w:val="24"/>
          <w:lang w:val="es-ES"/>
        </w:rPr>
        <w:t xml:space="preserve">por </w:t>
      </w:r>
      <w:r>
        <w:rPr>
          <w:szCs w:val="24"/>
          <w:lang w:val="es-ES"/>
        </w:rPr>
        <w:t xml:space="preserve">lo que respecta a su participación en </w:t>
      </w:r>
      <w:r w:rsidR="00CA34BD">
        <w:rPr>
          <w:szCs w:val="24"/>
          <w:lang w:val="es-ES"/>
        </w:rPr>
        <w:t xml:space="preserve">el suministro </w:t>
      </w:r>
      <w:r>
        <w:rPr>
          <w:szCs w:val="24"/>
          <w:lang w:val="es-ES"/>
        </w:rPr>
        <w:t xml:space="preserve">de información a los empleados y </w:t>
      </w:r>
      <w:r w:rsidR="00CA34BD">
        <w:rPr>
          <w:szCs w:val="24"/>
          <w:lang w:val="es-ES"/>
        </w:rPr>
        <w:t xml:space="preserve">las </w:t>
      </w:r>
      <w:r>
        <w:rPr>
          <w:szCs w:val="24"/>
          <w:lang w:val="es-ES"/>
        </w:rPr>
        <w:t>consultas con ellos.</w:t>
      </w:r>
    </w:p>
    <w:p w:rsidR="00DE6601" w:rsidRPr="00E624B7" w:rsidRDefault="00DE6601" w:rsidP="00637350">
      <w:pPr>
        <w:pStyle w:val="SingleTxtG"/>
        <w:rPr>
          <w:szCs w:val="24"/>
          <w:lang w:val="es-ES"/>
        </w:rPr>
      </w:pPr>
      <w:r w:rsidRPr="00E624B7">
        <w:rPr>
          <w:szCs w:val="24"/>
          <w:lang w:val="es-ES"/>
        </w:rPr>
        <w:t>182.</w:t>
      </w:r>
      <w:r w:rsidRPr="00E624B7">
        <w:rPr>
          <w:szCs w:val="24"/>
          <w:lang w:val="es-ES"/>
        </w:rPr>
        <w:tab/>
      </w:r>
      <w:r>
        <w:rPr>
          <w:szCs w:val="24"/>
          <w:lang w:val="es-ES"/>
        </w:rPr>
        <w:t xml:space="preserve">De conformidad con el artículo 3 de </w:t>
      </w:r>
      <w:smartTag w:uri="urn:schemas-microsoft-com:office:smarttags" w:element="PersonName">
        <w:smartTagPr>
          <w:attr w:name="ProductID" w:val="La Ley"/>
        </w:smartTagPr>
        <w:r>
          <w:rPr>
            <w:szCs w:val="24"/>
            <w:lang w:val="es-ES"/>
          </w:rPr>
          <w:t>la Ley</w:t>
        </w:r>
      </w:smartTag>
      <w:r>
        <w:rPr>
          <w:szCs w:val="24"/>
          <w:lang w:val="es-ES"/>
        </w:rPr>
        <w:t xml:space="preserve"> de contratos de trabajo, </w:t>
      </w:r>
      <w:r w:rsidR="00CA34BD">
        <w:rPr>
          <w:szCs w:val="24"/>
          <w:lang w:val="es-ES"/>
        </w:rPr>
        <w:t>e</w:t>
      </w:r>
      <w:r>
        <w:rPr>
          <w:szCs w:val="24"/>
          <w:lang w:val="es-ES"/>
        </w:rPr>
        <w:t xml:space="preserve">l empleado </w:t>
      </w:r>
      <w:r w:rsidR="00CA34BD">
        <w:rPr>
          <w:szCs w:val="24"/>
          <w:lang w:val="es-ES"/>
        </w:rPr>
        <w:t xml:space="preserve">debe velar </w:t>
      </w:r>
      <w:r>
        <w:rPr>
          <w:szCs w:val="24"/>
          <w:lang w:val="es-ES"/>
        </w:rPr>
        <w:t>por la protección de los empleados frente a la discriminación, respet</w:t>
      </w:r>
      <w:r w:rsidR="00CA34BD">
        <w:rPr>
          <w:szCs w:val="24"/>
          <w:lang w:val="es-ES"/>
        </w:rPr>
        <w:t>ar</w:t>
      </w:r>
      <w:r>
        <w:rPr>
          <w:szCs w:val="24"/>
          <w:lang w:val="es-ES"/>
        </w:rPr>
        <w:t xml:space="preserve"> el principio de igualdad de trato y prom</w:t>
      </w:r>
      <w:r w:rsidR="00CA34BD">
        <w:rPr>
          <w:szCs w:val="24"/>
          <w:lang w:val="es-ES"/>
        </w:rPr>
        <w:t>over</w:t>
      </w:r>
      <w:r>
        <w:rPr>
          <w:szCs w:val="24"/>
          <w:lang w:val="es-ES"/>
        </w:rPr>
        <w:t xml:space="preserve"> la igualdad.</w:t>
      </w:r>
    </w:p>
    <w:p w:rsidR="00DE6601" w:rsidRPr="00EE0800" w:rsidRDefault="00DE6601" w:rsidP="00637350">
      <w:pPr>
        <w:pStyle w:val="SingleTxtG"/>
        <w:rPr>
          <w:szCs w:val="24"/>
          <w:lang w:val="es-ES"/>
        </w:rPr>
      </w:pPr>
      <w:r w:rsidRPr="00E624B7">
        <w:rPr>
          <w:szCs w:val="24"/>
          <w:lang w:val="es-ES"/>
        </w:rPr>
        <w:t>183.</w:t>
      </w:r>
      <w:r w:rsidRPr="00E624B7">
        <w:rPr>
          <w:szCs w:val="24"/>
          <w:lang w:val="es-ES"/>
        </w:rPr>
        <w:tab/>
      </w:r>
      <w:r>
        <w:rPr>
          <w:szCs w:val="24"/>
          <w:lang w:val="es-ES"/>
        </w:rPr>
        <w:t xml:space="preserve">De conformidad con el artículo 12 de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 se requiere al empleador que promueva el principio de igualdad de trato, aplique medidas encaminadas a proteger a los empleados frente a la discriminación</w:t>
      </w:r>
      <w:r w:rsidR="00960038">
        <w:rPr>
          <w:szCs w:val="24"/>
          <w:lang w:val="es-ES"/>
        </w:rPr>
        <w:t>,</w:t>
      </w:r>
      <w:r>
        <w:rPr>
          <w:szCs w:val="24"/>
          <w:lang w:val="es-ES"/>
        </w:rPr>
        <w:t xml:space="preserve"> e informe a los empleados </w:t>
      </w:r>
      <w:r w:rsidR="00960038">
        <w:rPr>
          <w:szCs w:val="24"/>
          <w:lang w:val="es-ES"/>
        </w:rPr>
        <w:t xml:space="preserve">sobre </w:t>
      </w:r>
      <w:r>
        <w:rPr>
          <w:szCs w:val="24"/>
          <w:lang w:val="es-ES"/>
        </w:rPr>
        <w:t>los derechos y obligaciones conexos.</w:t>
      </w:r>
      <w:r w:rsidRPr="00E624B7">
        <w:rPr>
          <w:szCs w:val="24"/>
          <w:lang w:val="es-ES"/>
        </w:rPr>
        <w:t xml:space="preserve"> </w:t>
      </w:r>
      <w:r>
        <w:rPr>
          <w:szCs w:val="24"/>
          <w:lang w:val="es-ES"/>
        </w:rPr>
        <w:t>E</w:t>
      </w:r>
      <w:r w:rsidR="00960038">
        <w:rPr>
          <w:szCs w:val="24"/>
          <w:lang w:val="es-ES"/>
        </w:rPr>
        <w:t>l</w:t>
      </w:r>
      <w:r>
        <w:rPr>
          <w:szCs w:val="24"/>
          <w:lang w:val="es-ES"/>
        </w:rPr>
        <w:t xml:space="preserve"> artículo 13 de </w:t>
      </w:r>
      <w:r w:rsidR="00960038">
        <w:rPr>
          <w:szCs w:val="24"/>
          <w:lang w:val="es-ES"/>
        </w:rPr>
        <w:t xml:space="preserve">dicha </w:t>
      </w:r>
      <w:r w:rsidR="005554AF">
        <w:rPr>
          <w:szCs w:val="24"/>
          <w:lang w:val="es-ES"/>
        </w:rPr>
        <w:t>ley</w:t>
      </w:r>
      <w:r>
        <w:rPr>
          <w:szCs w:val="24"/>
          <w:lang w:val="es-ES"/>
        </w:rPr>
        <w:t xml:space="preserve"> requiere que las instituciones educativas y de investigación, </w:t>
      </w:r>
      <w:r w:rsidR="00960038">
        <w:rPr>
          <w:szCs w:val="24"/>
          <w:lang w:val="es-ES"/>
        </w:rPr>
        <w:t xml:space="preserve">las demás </w:t>
      </w:r>
      <w:r>
        <w:rPr>
          <w:szCs w:val="24"/>
          <w:lang w:val="es-ES"/>
        </w:rPr>
        <w:t>instituciones y las personas que organicen cursos de formación</w:t>
      </w:r>
      <w:r w:rsidR="00BB1DF2">
        <w:rPr>
          <w:szCs w:val="24"/>
          <w:lang w:val="es-ES"/>
        </w:rPr>
        <w:t>,</w:t>
      </w:r>
      <w:r>
        <w:rPr>
          <w:szCs w:val="24"/>
          <w:lang w:val="es-ES"/>
        </w:rPr>
        <w:t xml:space="preserve"> tengan en cuenta la necesidad de promover el principio de igualdad de trato </w:t>
      </w:r>
      <w:r w:rsidR="00960038">
        <w:rPr>
          <w:szCs w:val="24"/>
          <w:lang w:val="es-ES"/>
        </w:rPr>
        <w:t xml:space="preserve">al </w:t>
      </w:r>
      <w:r>
        <w:rPr>
          <w:szCs w:val="24"/>
          <w:lang w:val="es-ES"/>
        </w:rPr>
        <w:t>determin</w:t>
      </w:r>
      <w:r w:rsidR="00960038">
        <w:rPr>
          <w:szCs w:val="24"/>
          <w:lang w:val="es-ES"/>
        </w:rPr>
        <w:t>ar</w:t>
      </w:r>
      <w:r>
        <w:rPr>
          <w:szCs w:val="24"/>
          <w:lang w:val="es-ES"/>
        </w:rPr>
        <w:t xml:space="preserve"> los contenidos didácticos y organi</w:t>
      </w:r>
      <w:r w:rsidR="00960038">
        <w:rPr>
          <w:szCs w:val="24"/>
          <w:lang w:val="es-ES"/>
        </w:rPr>
        <w:t>zar</w:t>
      </w:r>
      <w:r>
        <w:rPr>
          <w:szCs w:val="24"/>
          <w:lang w:val="es-ES"/>
        </w:rPr>
        <w:t xml:space="preserve"> los estudios.</w:t>
      </w:r>
    </w:p>
    <w:p w:rsidR="00DE6601" w:rsidRPr="00EE0800" w:rsidRDefault="00DE6601" w:rsidP="00637350">
      <w:pPr>
        <w:pStyle w:val="H4G"/>
        <w:rPr>
          <w:lang w:val="es-ES"/>
        </w:rPr>
      </w:pPr>
      <w:r w:rsidRPr="00EE0800">
        <w:rPr>
          <w:lang w:val="es-ES"/>
        </w:rPr>
        <w:tab/>
      </w:r>
      <w:r>
        <w:rPr>
          <w:lang w:val="es-ES"/>
        </w:rPr>
        <w:t>iii)</w:t>
      </w:r>
      <w:r w:rsidRPr="00EE0800">
        <w:rPr>
          <w:lang w:val="es-ES"/>
        </w:rPr>
        <w:tab/>
      </w:r>
      <w:r>
        <w:rPr>
          <w:lang w:val="es-ES"/>
        </w:rPr>
        <w:t>El derecho a la vivienda</w:t>
      </w:r>
    </w:p>
    <w:p w:rsidR="00DE6601" w:rsidRPr="00EE0800" w:rsidRDefault="00DE6601" w:rsidP="00637350">
      <w:pPr>
        <w:pStyle w:val="SingleTxtG"/>
        <w:rPr>
          <w:szCs w:val="24"/>
          <w:lang w:val="es-ES"/>
        </w:rPr>
      </w:pPr>
      <w:r w:rsidRPr="00E624B7">
        <w:rPr>
          <w:szCs w:val="24"/>
          <w:lang w:val="es-ES"/>
        </w:rPr>
        <w:t>184.</w:t>
      </w:r>
      <w:r w:rsidRPr="00E624B7">
        <w:rPr>
          <w:szCs w:val="24"/>
          <w:lang w:val="es-ES"/>
        </w:rPr>
        <w:tab/>
      </w:r>
      <w:r>
        <w:rPr>
          <w:szCs w:val="24"/>
          <w:lang w:val="es-ES"/>
        </w:rPr>
        <w:t xml:space="preserve">No se ha introducido ninguna enmienda legislativa de importancia </w:t>
      </w:r>
      <w:r w:rsidR="0085489A">
        <w:rPr>
          <w:szCs w:val="24"/>
          <w:lang w:val="es-ES"/>
        </w:rPr>
        <w:t xml:space="preserve">en esa esfera </w:t>
      </w:r>
      <w:r>
        <w:rPr>
          <w:szCs w:val="24"/>
          <w:lang w:val="es-ES"/>
        </w:rPr>
        <w:t>tras la presentación del informe anterior; por</w:t>
      </w:r>
      <w:r w:rsidR="0085489A">
        <w:rPr>
          <w:szCs w:val="24"/>
          <w:lang w:val="es-ES"/>
        </w:rPr>
        <w:t xml:space="preserve"> consiguiente</w:t>
      </w:r>
      <w:r>
        <w:rPr>
          <w:szCs w:val="24"/>
          <w:lang w:val="es-ES"/>
        </w:rPr>
        <w:t xml:space="preserve">, sírvanse </w:t>
      </w:r>
      <w:r w:rsidR="0085489A">
        <w:rPr>
          <w:szCs w:val="24"/>
          <w:lang w:val="es-ES"/>
        </w:rPr>
        <w:t>consult</w:t>
      </w:r>
      <w:r>
        <w:rPr>
          <w:szCs w:val="24"/>
          <w:lang w:val="es-ES"/>
        </w:rPr>
        <w:t>a</w:t>
      </w:r>
      <w:r w:rsidR="0085489A">
        <w:rPr>
          <w:szCs w:val="24"/>
          <w:lang w:val="es-ES"/>
        </w:rPr>
        <w:t>r</w:t>
      </w:r>
      <w:r>
        <w:rPr>
          <w:szCs w:val="24"/>
          <w:lang w:val="es-ES"/>
        </w:rPr>
        <w:t xml:space="preserve"> los párrafos </w:t>
      </w:r>
      <w:smartTag w:uri="urn:schemas-microsoft-com:office:smarttags" w:element="metricconverter">
        <w:smartTagPr>
          <w:attr w:name="ProductID" w:val="187 a"/>
        </w:smartTagPr>
        <w:r>
          <w:rPr>
            <w:szCs w:val="24"/>
            <w:lang w:val="es-ES"/>
          </w:rPr>
          <w:t>187 a</w:t>
        </w:r>
      </w:smartTag>
      <w:r>
        <w:rPr>
          <w:szCs w:val="24"/>
          <w:lang w:val="es-ES"/>
        </w:rPr>
        <w:t xml:space="preserve"> 194 de</w:t>
      </w:r>
      <w:r w:rsidR="0085489A">
        <w:rPr>
          <w:szCs w:val="24"/>
          <w:lang w:val="es-ES"/>
        </w:rPr>
        <w:t xml:space="preserve"> dicho</w:t>
      </w:r>
      <w:r>
        <w:rPr>
          <w:szCs w:val="24"/>
          <w:lang w:val="es-ES"/>
        </w:rPr>
        <w:t xml:space="preserve"> informe.</w:t>
      </w:r>
      <w:r w:rsidRPr="00E624B7">
        <w:rPr>
          <w:szCs w:val="24"/>
          <w:lang w:val="es-ES"/>
        </w:rPr>
        <w:t xml:space="preserve"> </w:t>
      </w:r>
      <w:r w:rsidR="00BB1DF2">
        <w:rPr>
          <w:szCs w:val="24"/>
          <w:lang w:val="es-ES"/>
        </w:rPr>
        <w:t>Con respecto a</w:t>
      </w:r>
      <w:r>
        <w:rPr>
          <w:szCs w:val="24"/>
          <w:lang w:val="es-ES"/>
        </w:rPr>
        <w:t xml:space="preserve"> las </w:t>
      </w:r>
      <w:r w:rsidR="0085489A">
        <w:rPr>
          <w:szCs w:val="24"/>
          <w:lang w:val="es-ES"/>
        </w:rPr>
        <w:t>e</w:t>
      </w:r>
      <w:r w:rsidR="000305CC">
        <w:rPr>
          <w:szCs w:val="24"/>
          <w:lang w:val="es-ES"/>
        </w:rPr>
        <w:t>nmienda</w:t>
      </w:r>
      <w:r w:rsidR="0085489A">
        <w:rPr>
          <w:szCs w:val="24"/>
          <w:lang w:val="es-ES"/>
        </w:rPr>
        <w:t xml:space="preserve">s </w:t>
      </w:r>
      <w:r>
        <w:rPr>
          <w:szCs w:val="24"/>
          <w:lang w:val="es-ES"/>
        </w:rPr>
        <w:t xml:space="preserve">aprobadas, cabe mencionar </w:t>
      </w:r>
      <w:smartTag w:uri="urn:schemas-microsoft-com:office:smarttags" w:element="PersonName">
        <w:smartTagPr>
          <w:attr w:name="ProductID" w:val="La Ley"/>
        </w:smartTagPr>
        <w:r>
          <w:rPr>
            <w:szCs w:val="24"/>
            <w:lang w:val="es-ES"/>
          </w:rPr>
          <w:t>la Ley</w:t>
        </w:r>
      </w:smartTag>
      <w:r>
        <w:rPr>
          <w:szCs w:val="24"/>
          <w:lang w:val="es-ES"/>
        </w:rPr>
        <w:t xml:space="preserve"> de igualdad de trato.</w:t>
      </w:r>
      <w:r w:rsidRPr="00EE0800">
        <w:rPr>
          <w:szCs w:val="24"/>
          <w:lang w:val="es-ES"/>
        </w:rPr>
        <w:t xml:space="preserve"> </w:t>
      </w:r>
      <w:r>
        <w:rPr>
          <w:szCs w:val="24"/>
          <w:lang w:val="es-ES"/>
        </w:rPr>
        <w:t xml:space="preserve">De conformidad con su artículo 2, párrafo 1) 7), se prohíbe discriminar a cualquier persona por motivos de nacionalidad (origen étnico), raza o color en relación con </w:t>
      </w:r>
      <w:r w:rsidR="0085489A">
        <w:rPr>
          <w:szCs w:val="24"/>
          <w:lang w:val="es-ES"/>
        </w:rPr>
        <w:t xml:space="preserve">el </w:t>
      </w:r>
      <w:r>
        <w:rPr>
          <w:szCs w:val="24"/>
          <w:lang w:val="es-ES"/>
        </w:rPr>
        <w:t xml:space="preserve">acceso a los bienes y servicios a disposición del público, incluida la vivienda, </w:t>
      </w:r>
      <w:r w:rsidR="0085489A">
        <w:rPr>
          <w:szCs w:val="24"/>
          <w:lang w:val="es-ES"/>
        </w:rPr>
        <w:t>así como su suministro</w:t>
      </w:r>
      <w:r>
        <w:rPr>
          <w:szCs w:val="24"/>
          <w:lang w:val="es-ES"/>
        </w:rPr>
        <w:t xml:space="preserve">. </w:t>
      </w:r>
    </w:p>
    <w:p w:rsidR="00DE6601" w:rsidRPr="00EE0800" w:rsidRDefault="00DE6601" w:rsidP="00637350">
      <w:pPr>
        <w:pStyle w:val="SingleTxtG"/>
        <w:rPr>
          <w:lang w:val="es-ES"/>
        </w:rPr>
      </w:pPr>
      <w:r w:rsidRPr="00E624B7">
        <w:rPr>
          <w:lang w:val="es-ES"/>
        </w:rPr>
        <w:t>185.</w:t>
      </w:r>
      <w:r w:rsidRPr="00E624B7">
        <w:rPr>
          <w:lang w:val="es-ES"/>
        </w:rPr>
        <w:tab/>
      </w:r>
      <w:r>
        <w:rPr>
          <w:lang w:val="es-ES"/>
        </w:rPr>
        <w:t xml:space="preserve">Además de la información proporcionada en el informe anterior, cabe señalar que la política nacional de vivienda se conforma sobre la base de la estrategia de desarrollo </w:t>
      </w:r>
      <w:r w:rsidR="004F3EE6">
        <w:rPr>
          <w:lang w:val="es-ES"/>
        </w:rPr>
        <w:t xml:space="preserve">en </w:t>
      </w:r>
      <w:r>
        <w:rPr>
          <w:lang w:val="es-ES"/>
        </w:rPr>
        <w:t>el</w:t>
      </w:r>
      <w:r w:rsidR="004F3EE6">
        <w:rPr>
          <w:lang w:val="es-ES"/>
        </w:rPr>
        <w:t xml:space="preserve"> marco del </w:t>
      </w:r>
      <w:r w:rsidR="002B491B">
        <w:rPr>
          <w:lang w:val="es-ES"/>
        </w:rPr>
        <w:t>"</w:t>
      </w:r>
      <w:r>
        <w:rPr>
          <w:lang w:val="es-ES"/>
        </w:rPr>
        <w:t xml:space="preserve">Plan Nacional de Desarrollo de </w:t>
      </w:r>
      <w:smartTag w:uri="urn:schemas-microsoft-com:office:smarttags" w:element="PersonName">
        <w:smartTagPr>
          <w:attr w:name="ProductID" w:val="la Vivienda"/>
        </w:smartTagPr>
        <w:r>
          <w:rPr>
            <w:lang w:val="es-ES"/>
          </w:rPr>
          <w:t>la Vivienda</w:t>
        </w:r>
      </w:smartTag>
      <w:r>
        <w:rPr>
          <w:lang w:val="es-ES"/>
        </w:rPr>
        <w:t xml:space="preserve"> para 2008-2013</w:t>
      </w:r>
      <w:r w:rsidR="002B491B">
        <w:rPr>
          <w:lang w:val="es-ES"/>
        </w:rPr>
        <w:t>"</w:t>
      </w:r>
      <w:r w:rsidR="004F3EE6">
        <w:rPr>
          <w:lang w:val="es-ES"/>
        </w:rPr>
        <w:t>,</w:t>
      </w:r>
      <w:r>
        <w:rPr>
          <w:lang w:val="es-ES"/>
        </w:rPr>
        <w:t xml:space="preserve"> aprobado por el Gobierno.</w:t>
      </w:r>
      <w:r w:rsidRPr="00E624B7">
        <w:rPr>
          <w:lang w:val="es-ES"/>
        </w:rPr>
        <w:t xml:space="preserve"> </w:t>
      </w:r>
      <w:r>
        <w:rPr>
          <w:lang w:val="es-ES"/>
        </w:rPr>
        <w:t>En la estrategia se establecen diferentes medidas encaminadas a aumentar el acceso a la vivienda y mejorar las posibilidades</w:t>
      </w:r>
      <w:r w:rsidR="004F3EE6">
        <w:rPr>
          <w:lang w:val="es-ES"/>
        </w:rPr>
        <w:t xml:space="preserve"> de compra</w:t>
      </w:r>
      <w:r>
        <w:rPr>
          <w:lang w:val="es-ES"/>
        </w:rPr>
        <w:t>.</w:t>
      </w:r>
    </w:p>
    <w:p w:rsidR="00DE6601" w:rsidRPr="00EE0800" w:rsidRDefault="00A5474D" w:rsidP="00637350">
      <w:pPr>
        <w:pStyle w:val="Heading1"/>
        <w:spacing w:before="240"/>
        <w:rPr>
          <w:lang w:val="es-ES"/>
        </w:rPr>
      </w:pPr>
      <w:r>
        <w:rPr>
          <w:lang w:val="es-ES"/>
        </w:rPr>
        <w:br w:type="page"/>
      </w:r>
      <w:r w:rsidR="00DE6601">
        <w:rPr>
          <w:lang w:val="es-ES"/>
        </w:rPr>
        <w:t>Cuadro 10</w:t>
      </w:r>
    </w:p>
    <w:p w:rsidR="00DE6601" w:rsidRPr="006006DA" w:rsidRDefault="00DE6601" w:rsidP="00637350">
      <w:pPr>
        <w:pStyle w:val="SingleTxtG"/>
        <w:jc w:val="left"/>
        <w:rPr>
          <w:b/>
          <w:lang w:val="es-ES"/>
        </w:rPr>
      </w:pPr>
      <w:r w:rsidRPr="006006DA">
        <w:rPr>
          <w:b/>
          <w:lang w:val="es-ES"/>
        </w:rPr>
        <w:t xml:space="preserve">Número de usuarios de los servicios de vivienda (en viviendas municipales o sociales según la definición que figura en el artículo 14 de </w:t>
      </w:r>
      <w:smartTag w:uri="urn:schemas-microsoft-com:office:smarttags" w:element="PersonName">
        <w:smartTagPr>
          <w:attr w:name="ProductID" w:val="La Ley"/>
        </w:smartTagPr>
        <w:r w:rsidRPr="006006DA">
          <w:rPr>
            <w:b/>
            <w:lang w:val="es-ES"/>
          </w:rPr>
          <w:t>la Ley</w:t>
        </w:r>
      </w:smartTag>
      <w:r w:rsidRPr="006006DA">
        <w:rPr>
          <w:b/>
          <w:lang w:val="es-ES"/>
        </w:rPr>
        <w:t xml:space="preserve"> de bienestar social) y número de plazas</w:t>
      </w:r>
    </w:p>
    <w:tbl>
      <w:tblPr>
        <w:tblW w:w="7371" w:type="dxa"/>
        <w:tblInd w:w="1134" w:type="dxa"/>
        <w:tblBorders>
          <w:top w:val="single" w:sz="4" w:space="0" w:color="auto"/>
        </w:tblBorders>
        <w:tblLayout w:type="fixed"/>
        <w:tblCellMar>
          <w:left w:w="0" w:type="dxa"/>
          <w:right w:w="0" w:type="dxa"/>
        </w:tblCellMar>
        <w:tblLook w:val="00A0"/>
      </w:tblPr>
      <w:tblGrid>
        <w:gridCol w:w="4108"/>
        <w:gridCol w:w="815"/>
        <w:gridCol w:w="816"/>
        <w:gridCol w:w="816"/>
        <w:gridCol w:w="816"/>
      </w:tblGrid>
      <w:tr w:rsidR="00DE6601" w:rsidRPr="009069BD">
        <w:trPr>
          <w:trHeight w:val="20"/>
          <w:tblHeader/>
        </w:trPr>
        <w:tc>
          <w:tcPr>
            <w:tcW w:w="410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E6601" w:rsidRPr="00EE0800" w:rsidRDefault="00DE6601" w:rsidP="00A5474D">
            <w:pPr>
              <w:spacing w:before="80" w:after="80" w:line="200" w:lineRule="exact"/>
              <w:rPr>
                <w:lang w:val="es-ES"/>
              </w:rPr>
            </w:pPr>
          </w:p>
        </w:tc>
        <w:tc>
          <w:tcPr>
            <w:tcW w:w="815"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80" w:after="80" w:line="200" w:lineRule="exact"/>
              <w:jc w:val="right"/>
              <w:rPr>
                <w:i/>
                <w:sz w:val="16"/>
                <w:szCs w:val="24"/>
                <w:lang w:eastAsia="et-EE"/>
              </w:rPr>
            </w:pPr>
            <w:r w:rsidRPr="009069BD">
              <w:rPr>
                <w:i/>
                <w:sz w:val="16"/>
                <w:szCs w:val="24"/>
                <w:lang w:eastAsia="et-EE"/>
              </w:rPr>
              <w:t>2008</w:t>
            </w:r>
          </w:p>
        </w:tc>
        <w:tc>
          <w:tcPr>
            <w:tcW w:w="81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80" w:after="80" w:line="200" w:lineRule="exact"/>
              <w:jc w:val="right"/>
              <w:rPr>
                <w:i/>
                <w:sz w:val="16"/>
                <w:szCs w:val="24"/>
                <w:lang w:eastAsia="et-EE"/>
              </w:rPr>
            </w:pPr>
            <w:r w:rsidRPr="009069BD">
              <w:rPr>
                <w:i/>
                <w:sz w:val="16"/>
                <w:szCs w:val="24"/>
                <w:lang w:eastAsia="et-EE"/>
              </w:rPr>
              <w:t>2009</w:t>
            </w:r>
          </w:p>
        </w:tc>
        <w:tc>
          <w:tcPr>
            <w:tcW w:w="81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80" w:after="80" w:line="200" w:lineRule="exact"/>
              <w:jc w:val="right"/>
              <w:rPr>
                <w:i/>
                <w:sz w:val="16"/>
                <w:szCs w:val="24"/>
                <w:lang w:eastAsia="et-EE"/>
              </w:rPr>
            </w:pPr>
            <w:r w:rsidRPr="009069BD">
              <w:rPr>
                <w:i/>
                <w:sz w:val="16"/>
                <w:szCs w:val="24"/>
                <w:lang w:eastAsia="et-EE"/>
              </w:rPr>
              <w:t>2010</w:t>
            </w:r>
          </w:p>
        </w:tc>
        <w:tc>
          <w:tcPr>
            <w:tcW w:w="81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80" w:after="80" w:line="200" w:lineRule="exact"/>
              <w:jc w:val="right"/>
              <w:rPr>
                <w:i/>
                <w:sz w:val="16"/>
                <w:szCs w:val="24"/>
                <w:lang w:eastAsia="et-EE"/>
              </w:rPr>
            </w:pPr>
            <w:r w:rsidRPr="009069BD">
              <w:rPr>
                <w:i/>
                <w:sz w:val="16"/>
                <w:szCs w:val="24"/>
                <w:lang w:eastAsia="et-EE"/>
              </w:rPr>
              <w:t>2011</w:t>
            </w:r>
          </w:p>
        </w:tc>
      </w:tr>
      <w:tr w:rsidR="00DE6601" w:rsidRPr="009069BD">
        <w:trPr>
          <w:trHeight w:val="20"/>
        </w:trPr>
        <w:tc>
          <w:tcPr>
            <w:tcW w:w="4108" w:type="dxa"/>
            <w:tcBorders>
              <w:top w:val="single" w:sz="12" w:space="0" w:color="auto"/>
              <w:bottom w:val="single" w:sz="4" w:space="0" w:color="auto"/>
            </w:tcBorders>
            <w:shd w:val="clear" w:color="auto" w:fill="auto"/>
            <w:tcMar>
              <w:top w:w="0" w:type="dxa"/>
              <w:left w:w="0" w:type="dxa"/>
              <w:bottom w:w="0" w:type="dxa"/>
              <w:right w:w="0" w:type="dxa"/>
            </w:tcMar>
            <w:vAlign w:val="bottom"/>
          </w:tcPr>
          <w:p w:rsidR="00DE6601" w:rsidRPr="00EE0800" w:rsidRDefault="00DE6601" w:rsidP="00A5474D">
            <w:pPr>
              <w:spacing w:before="40" w:after="40" w:line="220" w:lineRule="exact"/>
              <w:rPr>
                <w:szCs w:val="24"/>
                <w:lang w:val="es-ES"/>
              </w:rPr>
            </w:pPr>
            <w:r>
              <w:rPr>
                <w:sz w:val="18"/>
                <w:szCs w:val="24"/>
                <w:lang w:val="es-ES"/>
              </w:rPr>
              <w:t xml:space="preserve">Número de </w:t>
            </w:r>
            <w:r w:rsidR="004F3EE6">
              <w:rPr>
                <w:sz w:val="18"/>
                <w:szCs w:val="24"/>
                <w:lang w:val="es-ES"/>
              </w:rPr>
              <w:t>administracione</w:t>
            </w:r>
            <w:r>
              <w:rPr>
                <w:sz w:val="18"/>
                <w:szCs w:val="24"/>
                <w:lang w:val="es-ES"/>
              </w:rPr>
              <w:t>s locales que prestan servicios de vivienda</w:t>
            </w:r>
          </w:p>
        </w:tc>
        <w:tc>
          <w:tcPr>
            <w:tcW w:w="815" w:type="dxa"/>
            <w:tcBorders>
              <w:top w:val="single" w:sz="12" w:space="0" w:color="auto"/>
              <w:bottom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160</w:t>
            </w:r>
          </w:p>
        </w:tc>
        <w:tc>
          <w:tcPr>
            <w:tcW w:w="816" w:type="dxa"/>
            <w:tcBorders>
              <w:top w:val="single" w:sz="12" w:space="0" w:color="auto"/>
              <w:bottom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166</w:t>
            </w:r>
          </w:p>
        </w:tc>
        <w:tc>
          <w:tcPr>
            <w:tcW w:w="816" w:type="dxa"/>
            <w:tcBorders>
              <w:top w:val="single" w:sz="12" w:space="0" w:color="auto"/>
              <w:bottom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176</w:t>
            </w:r>
          </w:p>
        </w:tc>
        <w:tc>
          <w:tcPr>
            <w:tcW w:w="816" w:type="dxa"/>
            <w:tcBorders>
              <w:top w:val="single" w:sz="12" w:space="0" w:color="auto"/>
              <w:bottom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177</w:t>
            </w:r>
          </w:p>
        </w:tc>
      </w:tr>
      <w:tr w:rsidR="00DE6601" w:rsidRPr="008059A3">
        <w:trPr>
          <w:trHeight w:val="20"/>
        </w:trPr>
        <w:tc>
          <w:tcPr>
            <w:tcW w:w="4108" w:type="dxa"/>
            <w:tcBorders>
              <w:top w:val="single" w:sz="4" w:space="0" w:color="auto"/>
              <w:bottom w:val="nil"/>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ind w:left="284"/>
              <w:rPr>
                <w:b/>
                <w:szCs w:val="24"/>
                <w:lang w:val="es-ES"/>
              </w:rPr>
            </w:pPr>
            <w:r w:rsidRPr="008059A3">
              <w:rPr>
                <w:b/>
                <w:sz w:val="18"/>
                <w:szCs w:val="24"/>
                <w:lang w:val="es-ES"/>
              </w:rPr>
              <w:t>Número total de usuarios de esos servicios</w:t>
            </w:r>
          </w:p>
        </w:tc>
        <w:tc>
          <w:tcPr>
            <w:tcW w:w="815" w:type="dxa"/>
            <w:tcBorders>
              <w:top w:val="single" w:sz="4" w:space="0" w:color="auto"/>
              <w:bottom w:val="nil"/>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8 781</w:t>
            </w:r>
          </w:p>
        </w:tc>
        <w:tc>
          <w:tcPr>
            <w:tcW w:w="816" w:type="dxa"/>
            <w:tcBorders>
              <w:top w:val="single" w:sz="4" w:space="0" w:color="auto"/>
              <w:bottom w:val="nil"/>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9 458</w:t>
            </w:r>
          </w:p>
        </w:tc>
        <w:tc>
          <w:tcPr>
            <w:tcW w:w="816" w:type="dxa"/>
            <w:tcBorders>
              <w:top w:val="single" w:sz="4" w:space="0" w:color="auto"/>
              <w:bottom w:val="nil"/>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9 409</w:t>
            </w:r>
          </w:p>
        </w:tc>
        <w:tc>
          <w:tcPr>
            <w:tcW w:w="816" w:type="dxa"/>
            <w:tcBorders>
              <w:top w:val="single" w:sz="4" w:space="0" w:color="auto"/>
              <w:bottom w:val="nil"/>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10 057</w:t>
            </w:r>
          </w:p>
        </w:tc>
      </w:tr>
      <w:tr w:rsidR="00DE6601" w:rsidRPr="008059A3">
        <w:trPr>
          <w:trHeight w:val="20"/>
        </w:trPr>
        <w:tc>
          <w:tcPr>
            <w:tcW w:w="4108" w:type="dxa"/>
            <w:tcBorders>
              <w:top w:val="nil"/>
            </w:tcBorders>
            <w:shd w:val="clear" w:color="auto" w:fill="auto"/>
            <w:noWrap/>
            <w:tcMar>
              <w:top w:w="0" w:type="dxa"/>
              <w:left w:w="0" w:type="dxa"/>
              <w:bottom w:w="0" w:type="dxa"/>
              <w:right w:w="0" w:type="dxa"/>
            </w:tcMar>
            <w:vAlign w:val="bottom"/>
          </w:tcPr>
          <w:p w:rsidR="00DE6601" w:rsidRPr="008059A3" w:rsidRDefault="009B51B0" w:rsidP="008059A3">
            <w:pPr>
              <w:spacing w:before="40" w:after="40" w:line="220" w:lineRule="exact"/>
              <w:ind w:left="567"/>
              <w:rPr>
                <w:b/>
                <w:szCs w:val="24"/>
                <w:lang w:val="es-ES"/>
              </w:rPr>
            </w:pPr>
            <w:r w:rsidRPr="008059A3">
              <w:rPr>
                <w:b/>
                <w:sz w:val="18"/>
                <w:szCs w:val="24"/>
                <w:lang w:val="es-ES"/>
              </w:rPr>
              <w:t xml:space="preserve">Por </w:t>
            </w:r>
            <w:r w:rsidR="00DE6601" w:rsidRPr="008059A3">
              <w:rPr>
                <w:b/>
                <w:sz w:val="18"/>
                <w:szCs w:val="24"/>
                <w:lang w:val="es-ES"/>
              </w:rPr>
              <w:t>debajo de la edad de jubilación</w:t>
            </w:r>
          </w:p>
        </w:tc>
        <w:tc>
          <w:tcPr>
            <w:tcW w:w="815" w:type="dxa"/>
            <w:tcBorders>
              <w:top w:val="nil"/>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6 709</w:t>
            </w:r>
          </w:p>
        </w:tc>
        <w:tc>
          <w:tcPr>
            <w:tcW w:w="816" w:type="dxa"/>
            <w:tcBorders>
              <w:top w:val="nil"/>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7 168</w:t>
            </w:r>
          </w:p>
        </w:tc>
        <w:tc>
          <w:tcPr>
            <w:tcW w:w="816" w:type="dxa"/>
            <w:tcBorders>
              <w:top w:val="nil"/>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7 113</w:t>
            </w:r>
          </w:p>
        </w:tc>
        <w:tc>
          <w:tcPr>
            <w:tcW w:w="816" w:type="dxa"/>
            <w:tcBorders>
              <w:top w:val="nil"/>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7 624</w:t>
            </w:r>
          </w:p>
        </w:tc>
      </w:tr>
      <w:tr w:rsidR="00DE6601" w:rsidRPr="008059A3">
        <w:trPr>
          <w:trHeight w:val="20"/>
        </w:trPr>
        <w:tc>
          <w:tcPr>
            <w:tcW w:w="4108" w:type="dxa"/>
            <w:tcBorders>
              <w:bottom w:val="single" w:sz="4" w:space="0" w:color="auto"/>
            </w:tcBorders>
            <w:shd w:val="clear" w:color="auto" w:fill="auto"/>
            <w:noWrap/>
            <w:tcMar>
              <w:top w:w="0" w:type="dxa"/>
              <w:left w:w="0" w:type="dxa"/>
              <w:bottom w:w="0" w:type="dxa"/>
              <w:right w:w="0" w:type="dxa"/>
            </w:tcMar>
            <w:vAlign w:val="bottom"/>
          </w:tcPr>
          <w:p w:rsidR="00DE6601" w:rsidRPr="008059A3" w:rsidRDefault="009B51B0" w:rsidP="008059A3">
            <w:pPr>
              <w:spacing w:before="40" w:after="40" w:line="220" w:lineRule="exact"/>
              <w:ind w:left="567"/>
              <w:rPr>
                <w:b/>
                <w:szCs w:val="24"/>
              </w:rPr>
            </w:pPr>
            <w:r w:rsidRPr="008059A3">
              <w:rPr>
                <w:b/>
                <w:sz w:val="18"/>
                <w:szCs w:val="24"/>
                <w:lang w:val="es-ES"/>
              </w:rPr>
              <w:t xml:space="preserve">En </w:t>
            </w:r>
            <w:r w:rsidR="00DE6601" w:rsidRPr="008059A3">
              <w:rPr>
                <w:b/>
                <w:sz w:val="18"/>
                <w:szCs w:val="24"/>
                <w:lang w:val="es-ES"/>
              </w:rPr>
              <w:t>edad de jubilación</w:t>
            </w:r>
          </w:p>
        </w:tc>
        <w:tc>
          <w:tcPr>
            <w:tcW w:w="815" w:type="dxa"/>
            <w:tcBorders>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2 072</w:t>
            </w:r>
          </w:p>
        </w:tc>
        <w:tc>
          <w:tcPr>
            <w:tcW w:w="816" w:type="dxa"/>
            <w:tcBorders>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2 290</w:t>
            </w:r>
          </w:p>
        </w:tc>
        <w:tc>
          <w:tcPr>
            <w:tcW w:w="816" w:type="dxa"/>
            <w:tcBorders>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2 296</w:t>
            </w:r>
          </w:p>
        </w:tc>
        <w:tc>
          <w:tcPr>
            <w:tcW w:w="816" w:type="dxa"/>
            <w:tcBorders>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A5474D">
            <w:pPr>
              <w:spacing w:before="40" w:after="40" w:line="220" w:lineRule="exact"/>
              <w:jc w:val="right"/>
              <w:rPr>
                <w:b/>
                <w:sz w:val="18"/>
                <w:szCs w:val="24"/>
                <w:lang w:eastAsia="et-EE"/>
              </w:rPr>
            </w:pPr>
            <w:r w:rsidRPr="008059A3">
              <w:rPr>
                <w:b/>
                <w:sz w:val="18"/>
                <w:szCs w:val="24"/>
                <w:lang w:eastAsia="et-EE"/>
              </w:rPr>
              <w:t>2 433</w:t>
            </w:r>
          </w:p>
        </w:tc>
      </w:tr>
      <w:tr w:rsidR="00DE6601" w:rsidRPr="008059A3">
        <w:trPr>
          <w:trHeight w:val="20"/>
        </w:trPr>
        <w:tc>
          <w:tcPr>
            <w:tcW w:w="4108"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ind w:left="284"/>
              <w:rPr>
                <w:b/>
                <w:szCs w:val="24"/>
                <w:lang w:val="es-ES"/>
              </w:rPr>
            </w:pPr>
            <w:r w:rsidRPr="008059A3">
              <w:rPr>
                <w:b/>
                <w:sz w:val="18"/>
                <w:szCs w:val="24"/>
                <w:lang w:val="es-ES"/>
              </w:rPr>
              <w:t>Número total de personas con necesidades especiales entre los usuarios de esos servicios</w:t>
            </w:r>
          </w:p>
        </w:tc>
        <w:tc>
          <w:tcPr>
            <w:tcW w:w="815"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1 160</w:t>
            </w:r>
          </w:p>
        </w:tc>
        <w:tc>
          <w:tcPr>
            <w:tcW w:w="816"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1 156</w:t>
            </w:r>
          </w:p>
        </w:tc>
        <w:tc>
          <w:tcPr>
            <w:tcW w:w="816"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1 185</w:t>
            </w:r>
          </w:p>
        </w:tc>
        <w:tc>
          <w:tcPr>
            <w:tcW w:w="816" w:type="dxa"/>
            <w:tcBorders>
              <w:top w:val="single" w:sz="4" w:space="0" w:color="auto"/>
              <w:bottom w:val="single" w:sz="4" w:space="0" w:color="auto"/>
            </w:tcBorders>
            <w:shd w:val="clear" w:color="auto" w:fill="auto"/>
            <w:noWrap/>
            <w:tcMar>
              <w:top w:w="0" w:type="dxa"/>
              <w:left w:w="0" w:type="dxa"/>
              <w:bottom w:w="0" w:type="dxa"/>
              <w:right w:w="0" w:type="dxa"/>
            </w:tcMar>
            <w:vAlign w:val="bottom"/>
          </w:tcPr>
          <w:p w:rsidR="00DE6601" w:rsidRPr="008059A3" w:rsidRDefault="00DE6601" w:rsidP="008059A3">
            <w:pPr>
              <w:spacing w:before="80" w:after="80" w:line="220" w:lineRule="exact"/>
              <w:jc w:val="right"/>
              <w:rPr>
                <w:b/>
                <w:sz w:val="18"/>
                <w:szCs w:val="24"/>
                <w:lang w:eastAsia="et-EE"/>
              </w:rPr>
            </w:pPr>
            <w:r w:rsidRPr="008059A3">
              <w:rPr>
                <w:b/>
                <w:sz w:val="18"/>
                <w:szCs w:val="24"/>
                <w:lang w:eastAsia="et-EE"/>
              </w:rPr>
              <w:t>1 210</w:t>
            </w:r>
          </w:p>
        </w:tc>
      </w:tr>
      <w:tr w:rsidR="00DE6601" w:rsidRPr="009069BD">
        <w:trPr>
          <w:trHeight w:val="20"/>
        </w:trPr>
        <w:tc>
          <w:tcPr>
            <w:tcW w:w="4108" w:type="dxa"/>
            <w:tcBorders>
              <w:top w:val="single" w:sz="4" w:space="0" w:color="auto"/>
            </w:tcBorders>
            <w:shd w:val="clear" w:color="auto" w:fill="auto"/>
            <w:noWrap/>
            <w:tcMar>
              <w:top w:w="0" w:type="dxa"/>
              <w:left w:w="0" w:type="dxa"/>
              <w:bottom w:w="0" w:type="dxa"/>
              <w:right w:w="0" w:type="dxa"/>
            </w:tcMar>
            <w:vAlign w:val="bottom"/>
          </w:tcPr>
          <w:p w:rsidR="00DE6601" w:rsidRPr="00F833DD" w:rsidRDefault="00DE6601" w:rsidP="00A5474D">
            <w:pPr>
              <w:spacing w:before="40" w:after="40" w:line="220" w:lineRule="exact"/>
              <w:rPr>
                <w:szCs w:val="24"/>
              </w:rPr>
            </w:pPr>
            <w:r>
              <w:rPr>
                <w:sz w:val="18"/>
                <w:szCs w:val="24"/>
                <w:lang w:val="es-ES"/>
              </w:rPr>
              <w:t>Número de plazas</w:t>
            </w:r>
          </w:p>
        </w:tc>
        <w:tc>
          <w:tcPr>
            <w:tcW w:w="815" w:type="dxa"/>
            <w:tcBorders>
              <w:top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6 392</w:t>
            </w:r>
          </w:p>
        </w:tc>
        <w:tc>
          <w:tcPr>
            <w:tcW w:w="816" w:type="dxa"/>
            <w:tcBorders>
              <w:top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7 045</w:t>
            </w:r>
          </w:p>
        </w:tc>
        <w:tc>
          <w:tcPr>
            <w:tcW w:w="816" w:type="dxa"/>
            <w:tcBorders>
              <w:top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7 058</w:t>
            </w:r>
          </w:p>
        </w:tc>
        <w:tc>
          <w:tcPr>
            <w:tcW w:w="816" w:type="dxa"/>
            <w:tcBorders>
              <w:top w:val="single" w:sz="4"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7 505</w:t>
            </w:r>
          </w:p>
        </w:tc>
      </w:tr>
      <w:tr w:rsidR="00DE6601" w:rsidRPr="009069BD">
        <w:trPr>
          <w:trHeight w:val="20"/>
        </w:trPr>
        <w:tc>
          <w:tcPr>
            <w:tcW w:w="4108" w:type="dxa"/>
            <w:shd w:val="clear" w:color="auto" w:fill="auto"/>
            <w:noWrap/>
            <w:tcMar>
              <w:top w:w="0" w:type="dxa"/>
              <w:left w:w="0" w:type="dxa"/>
              <w:bottom w:w="0" w:type="dxa"/>
              <w:right w:w="0" w:type="dxa"/>
            </w:tcMar>
            <w:vAlign w:val="bottom"/>
          </w:tcPr>
          <w:p w:rsidR="00DE6601" w:rsidRPr="00EE0800" w:rsidRDefault="00DE6601" w:rsidP="00A5474D">
            <w:pPr>
              <w:spacing w:before="40" w:after="40" w:line="220" w:lineRule="exact"/>
              <w:rPr>
                <w:szCs w:val="24"/>
                <w:lang w:val="es-ES"/>
              </w:rPr>
            </w:pPr>
            <w:r>
              <w:rPr>
                <w:sz w:val="18"/>
                <w:szCs w:val="24"/>
                <w:lang w:val="es-ES"/>
              </w:rPr>
              <w:t>Número de plazas especialmente adaptadas a las personas con necesidades especiales</w:t>
            </w:r>
          </w:p>
        </w:tc>
        <w:tc>
          <w:tcPr>
            <w:tcW w:w="815" w:type="dxa"/>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293</w:t>
            </w:r>
          </w:p>
        </w:tc>
        <w:tc>
          <w:tcPr>
            <w:tcW w:w="816" w:type="dxa"/>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340</w:t>
            </w:r>
          </w:p>
        </w:tc>
        <w:tc>
          <w:tcPr>
            <w:tcW w:w="816" w:type="dxa"/>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343</w:t>
            </w:r>
          </w:p>
        </w:tc>
        <w:tc>
          <w:tcPr>
            <w:tcW w:w="816" w:type="dxa"/>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342</w:t>
            </w:r>
          </w:p>
        </w:tc>
      </w:tr>
      <w:tr w:rsidR="00DE6601" w:rsidRPr="009069BD">
        <w:trPr>
          <w:trHeight w:val="20"/>
        </w:trPr>
        <w:tc>
          <w:tcPr>
            <w:tcW w:w="4108" w:type="dxa"/>
            <w:tcBorders>
              <w:bottom w:val="single" w:sz="12" w:space="0" w:color="auto"/>
            </w:tcBorders>
            <w:shd w:val="clear" w:color="auto" w:fill="auto"/>
            <w:noWrap/>
            <w:tcMar>
              <w:top w:w="0" w:type="dxa"/>
              <w:left w:w="0" w:type="dxa"/>
              <w:bottom w:w="0" w:type="dxa"/>
              <w:right w:w="0" w:type="dxa"/>
            </w:tcMar>
            <w:vAlign w:val="bottom"/>
          </w:tcPr>
          <w:p w:rsidR="00DE6601" w:rsidRPr="00F833DD" w:rsidRDefault="00DE6601" w:rsidP="00A5474D">
            <w:pPr>
              <w:spacing w:before="40" w:after="40" w:line="220" w:lineRule="exact"/>
              <w:rPr>
                <w:szCs w:val="24"/>
              </w:rPr>
            </w:pPr>
            <w:r>
              <w:rPr>
                <w:sz w:val="18"/>
                <w:szCs w:val="24"/>
                <w:lang w:val="es-ES"/>
              </w:rPr>
              <w:t>Número de viviendas ocupadas</w:t>
            </w:r>
          </w:p>
        </w:tc>
        <w:tc>
          <w:tcPr>
            <w:tcW w:w="815" w:type="dxa"/>
            <w:tcBorders>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5 742</w:t>
            </w:r>
          </w:p>
        </w:tc>
        <w:tc>
          <w:tcPr>
            <w:tcW w:w="816" w:type="dxa"/>
            <w:tcBorders>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6 366</w:t>
            </w:r>
          </w:p>
        </w:tc>
        <w:tc>
          <w:tcPr>
            <w:tcW w:w="816" w:type="dxa"/>
            <w:tcBorders>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6 376</w:t>
            </w:r>
          </w:p>
        </w:tc>
        <w:tc>
          <w:tcPr>
            <w:tcW w:w="816" w:type="dxa"/>
            <w:tcBorders>
              <w:bottom w:val="single" w:sz="12" w:space="0" w:color="auto"/>
            </w:tcBorders>
            <w:shd w:val="clear" w:color="auto" w:fill="auto"/>
            <w:noWrap/>
            <w:tcMar>
              <w:top w:w="0" w:type="dxa"/>
              <w:left w:w="0" w:type="dxa"/>
              <w:bottom w:w="0" w:type="dxa"/>
              <w:right w:w="0" w:type="dxa"/>
            </w:tcMar>
            <w:vAlign w:val="bottom"/>
          </w:tcPr>
          <w:p w:rsidR="00DE6601" w:rsidRPr="009069BD" w:rsidRDefault="00DE6601" w:rsidP="00A5474D">
            <w:pPr>
              <w:spacing w:before="40" w:after="40" w:line="220" w:lineRule="exact"/>
              <w:jc w:val="right"/>
              <w:rPr>
                <w:sz w:val="18"/>
                <w:szCs w:val="24"/>
                <w:lang w:eastAsia="et-EE"/>
              </w:rPr>
            </w:pPr>
            <w:r w:rsidRPr="009069BD">
              <w:rPr>
                <w:sz w:val="18"/>
                <w:szCs w:val="24"/>
                <w:lang w:eastAsia="et-EE"/>
              </w:rPr>
              <w:t>6 644</w:t>
            </w:r>
          </w:p>
        </w:tc>
      </w:tr>
    </w:tbl>
    <w:p w:rsidR="00DE6601" w:rsidRPr="00EE0800" w:rsidRDefault="00DE6601" w:rsidP="00637350">
      <w:pPr>
        <w:pStyle w:val="H4G"/>
        <w:rPr>
          <w:lang w:val="es-ES"/>
        </w:rPr>
      </w:pPr>
      <w:r w:rsidRPr="00EE0800">
        <w:rPr>
          <w:lang w:val="es-ES"/>
        </w:rPr>
        <w:tab/>
        <w:t>iv)</w:t>
      </w:r>
      <w:r w:rsidRPr="00EE0800">
        <w:rPr>
          <w:lang w:val="es-ES"/>
        </w:rPr>
        <w:tab/>
      </w:r>
      <w:r>
        <w:rPr>
          <w:lang w:val="es-ES"/>
        </w:rPr>
        <w:t xml:space="preserve">El </w:t>
      </w:r>
      <w:r w:rsidRPr="00650E30">
        <w:t>derecho</w:t>
      </w:r>
      <w:r>
        <w:rPr>
          <w:lang w:val="es-ES"/>
        </w:rPr>
        <w:t xml:space="preserve"> a la salud pública, la asistencia médica, la seguridad social y </w:t>
      </w:r>
      <w:r w:rsidR="00BC15FE">
        <w:rPr>
          <w:lang w:val="es-ES"/>
        </w:rPr>
        <w:br/>
      </w:r>
      <w:r>
        <w:rPr>
          <w:lang w:val="es-ES"/>
        </w:rPr>
        <w:t>los servicios sociales</w:t>
      </w:r>
    </w:p>
    <w:p w:rsidR="00DE6601" w:rsidRPr="00EE0800" w:rsidRDefault="00DE6601" w:rsidP="00637350">
      <w:pPr>
        <w:pStyle w:val="SingleTxtG"/>
        <w:rPr>
          <w:szCs w:val="24"/>
          <w:lang w:val="es-ES"/>
        </w:rPr>
      </w:pPr>
      <w:r w:rsidRPr="00E624B7">
        <w:rPr>
          <w:szCs w:val="24"/>
          <w:lang w:val="es-ES"/>
        </w:rPr>
        <w:t>186.</w:t>
      </w:r>
      <w:r w:rsidRPr="00E624B7">
        <w:rPr>
          <w:szCs w:val="24"/>
          <w:lang w:val="es-ES"/>
        </w:rPr>
        <w:tab/>
      </w:r>
      <w:r>
        <w:rPr>
          <w:szCs w:val="24"/>
          <w:lang w:val="es-ES"/>
        </w:rPr>
        <w:t xml:space="preserve">No se han </w:t>
      </w:r>
      <w:r w:rsidR="00562DFA">
        <w:rPr>
          <w:szCs w:val="24"/>
          <w:lang w:val="es-ES"/>
        </w:rPr>
        <w:t>int</w:t>
      </w:r>
      <w:r>
        <w:rPr>
          <w:szCs w:val="24"/>
          <w:lang w:val="es-ES"/>
        </w:rPr>
        <w:t xml:space="preserve">roducido cambios significativos en relación con la disponibilidad de </w:t>
      </w:r>
      <w:r w:rsidR="00562DFA">
        <w:rPr>
          <w:szCs w:val="24"/>
          <w:lang w:val="es-ES"/>
        </w:rPr>
        <w:t xml:space="preserve">los </w:t>
      </w:r>
      <w:r>
        <w:rPr>
          <w:szCs w:val="24"/>
          <w:lang w:val="es-ES"/>
        </w:rPr>
        <w:t xml:space="preserve">servicios de atención </w:t>
      </w:r>
      <w:r w:rsidR="00562DFA">
        <w:rPr>
          <w:szCs w:val="24"/>
          <w:lang w:val="es-ES"/>
        </w:rPr>
        <w:t xml:space="preserve">de salud </w:t>
      </w:r>
      <w:r>
        <w:rPr>
          <w:szCs w:val="24"/>
          <w:lang w:val="es-ES"/>
        </w:rPr>
        <w:t>durante el período examinado en el presente informe.</w:t>
      </w:r>
      <w:r w:rsidRPr="00E624B7">
        <w:rPr>
          <w:szCs w:val="24"/>
          <w:lang w:val="es-ES"/>
        </w:rPr>
        <w:t xml:space="preserve"> </w:t>
      </w:r>
      <w:r w:rsidR="00562DFA">
        <w:rPr>
          <w:szCs w:val="24"/>
          <w:lang w:val="es-ES"/>
        </w:rPr>
        <w:t>Todas las personas que residen en Estonia tienen derecho a</w:t>
      </w:r>
      <w:r w:rsidR="005466A4">
        <w:rPr>
          <w:szCs w:val="24"/>
          <w:lang w:val="es-ES"/>
        </w:rPr>
        <w:t xml:space="preserve"> </w:t>
      </w:r>
      <w:r>
        <w:rPr>
          <w:szCs w:val="24"/>
          <w:lang w:val="es-ES"/>
        </w:rPr>
        <w:t xml:space="preserve">asistencia sanitaria de urgencia, independientemente de que tengan </w:t>
      </w:r>
      <w:r w:rsidR="00562DFA">
        <w:rPr>
          <w:szCs w:val="24"/>
          <w:lang w:val="es-ES"/>
        </w:rPr>
        <w:t xml:space="preserve">un </w:t>
      </w:r>
      <w:r>
        <w:rPr>
          <w:szCs w:val="24"/>
          <w:lang w:val="es-ES"/>
        </w:rPr>
        <w:t xml:space="preserve">seguro médico </w:t>
      </w:r>
      <w:r w:rsidR="00562DFA">
        <w:rPr>
          <w:szCs w:val="24"/>
          <w:lang w:val="es-ES"/>
        </w:rPr>
        <w:t xml:space="preserve">y </w:t>
      </w:r>
      <w:r>
        <w:rPr>
          <w:szCs w:val="24"/>
          <w:lang w:val="es-ES"/>
        </w:rPr>
        <w:t>de su nacionalidad o ciudadanía, etc.</w:t>
      </w:r>
    </w:p>
    <w:p w:rsidR="00DE6601" w:rsidRPr="00EE0800" w:rsidRDefault="00DE6601" w:rsidP="00637350">
      <w:pPr>
        <w:pStyle w:val="SingleTxtG"/>
        <w:rPr>
          <w:szCs w:val="24"/>
          <w:lang w:val="es-ES"/>
        </w:rPr>
      </w:pPr>
      <w:r w:rsidRPr="00E624B7">
        <w:rPr>
          <w:szCs w:val="24"/>
          <w:lang w:val="es-ES"/>
        </w:rPr>
        <w:t>187.</w:t>
      </w:r>
      <w:r w:rsidRPr="00E624B7">
        <w:rPr>
          <w:szCs w:val="24"/>
          <w:lang w:val="es-ES"/>
        </w:rPr>
        <w:tab/>
      </w:r>
      <w:r w:rsidR="00E73FAB">
        <w:rPr>
          <w:szCs w:val="24"/>
          <w:lang w:val="es-ES"/>
        </w:rPr>
        <w:t>L</w:t>
      </w:r>
      <w:r>
        <w:rPr>
          <w:szCs w:val="24"/>
          <w:lang w:val="es-ES"/>
        </w:rPr>
        <w:t xml:space="preserve">os residentes permanentes o los extranjeros que </w:t>
      </w:r>
      <w:r w:rsidR="00562DFA">
        <w:rPr>
          <w:szCs w:val="24"/>
          <w:lang w:val="es-ES"/>
        </w:rPr>
        <w:t xml:space="preserve">viven </w:t>
      </w:r>
      <w:r>
        <w:rPr>
          <w:szCs w:val="24"/>
          <w:lang w:val="es-ES"/>
        </w:rPr>
        <w:t xml:space="preserve">en </w:t>
      </w:r>
      <w:r w:rsidR="00E73FAB">
        <w:rPr>
          <w:szCs w:val="24"/>
          <w:lang w:val="es-ES"/>
        </w:rPr>
        <w:t>Estonia</w:t>
      </w:r>
      <w:r w:rsidR="00562DFA">
        <w:rPr>
          <w:szCs w:val="24"/>
          <w:lang w:val="es-ES"/>
        </w:rPr>
        <w:t xml:space="preserve"> </w:t>
      </w:r>
      <w:r>
        <w:rPr>
          <w:szCs w:val="24"/>
          <w:lang w:val="es-ES"/>
        </w:rPr>
        <w:t xml:space="preserve">tienen derecho a prestaciones sociales </w:t>
      </w:r>
      <w:r w:rsidR="00562DFA">
        <w:rPr>
          <w:szCs w:val="24"/>
          <w:lang w:val="es-ES"/>
        </w:rPr>
        <w:t xml:space="preserve">con arreglo a </w:t>
      </w:r>
      <w:r>
        <w:rPr>
          <w:szCs w:val="24"/>
          <w:lang w:val="es-ES"/>
        </w:rPr>
        <w:t xml:space="preserve">su permiso </w:t>
      </w:r>
      <w:r w:rsidR="00562DFA">
        <w:rPr>
          <w:szCs w:val="24"/>
          <w:lang w:val="es-ES"/>
        </w:rPr>
        <w:t xml:space="preserve">temporal </w:t>
      </w:r>
      <w:r>
        <w:rPr>
          <w:szCs w:val="24"/>
          <w:lang w:val="es-ES"/>
        </w:rPr>
        <w:t>de residencia o derecho de residencia.</w:t>
      </w:r>
      <w:r w:rsidRPr="00E624B7">
        <w:rPr>
          <w:szCs w:val="24"/>
          <w:lang w:val="es-ES"/>
        </w:rPr>
        <w:t xml:space="preserve"> </w:t>
      </w:r>
      <w:r>
        <w:rPr>
          <w:szCs w:val="24"/>
          <w:lang w:val="es-ES"/>
        </w:rPr>
        <w:t>El pago de prestaciones del segur</w:t>
      </w:r>
      <w:r w:rsidR="00562DFA">
        <w:rPr>
          <w:szCs w:val="24"/>
          <w:lang w:val="es-ES"/>
        </w:rPr>
        <w:t>o</w:t>
      </w:r>
      <w:r w:rsidR="00E73FAB">
        <w:rPr>
          <w:szCs w:val="24"/>
          <w:lang w:val="es-ES"/>
        </w:rPr>
        <w:t xml:space="preserve"> social no está supeditado a</w:t>
      </w:r>
      <w:r>
        <w:rPr>
          <w:szCs w:val="24"/>
          <w:lang w:val="es-ES"/>
        </w:rPr>
        <w:t xml:space="preserve"> la ciudadanía, </w:t>
      </w:r>
      <w:r w:rsidR="00E73FAB">
        <w:rPr>
          <w:szCs w:val="24"/>
          <w:lang w:val="es-ES"/>
        </w:rPr>
        <w:t xml:space="preserve">la </w:t>
      </w:r>
      <w:r>
        <w:rPr>
          <w:szCs w:val="24"/>
          <w:lang w:val="es-ES"/>
        </w:rPr>
        <w:t xml:space="preserve">nacionalidad o </w:t>
      </w:r>
      <w:r w:rsidR="00E73FAB">
        <w:rPr>
          <w:szCs w:val="24"/>
          <w:lang w:val="es-ES"/>
        </w:rPr>
        <w:t xml:space="preserve">la </w:t>
      </w:r>
      <w:r>
        <w:rPr>
          <w:szCs w:val="24"/>
          <w:lang w:val="es-ES"/>
        </w:rPr>
        <w:t xml:space="preserve">raza de </w:t>
      </w:r>
      <w:r w:rsidR="00562DFA">
        <w:rPr>
          <w:szCs w:val="24"/>
          <w:lang w:val="es-ES"/>
        </w:rPr>
        <w:t>l</w:t>
      </w:r>
      <w:r>
        <w:rPr>
          <w:szCs w:val="24"/>
          <w:lang w:val="es-ES"/>
        </w:rPr>
        <w:t>a</w:t>
      </w:r>
      <w:r w:rsidR="00F96767">
        <w:rPr>
          <w:szCs w:val="24"/>
          <w:lang w:val="es-ES"/>
        </w:rPr>
        <w:t>s</w:t>
      </w:r>
      <w:r>
        <w:rPr>
          <w:szCs w:val="24"/>
          <w:lang w:val="es-ES"/>
        </w:rPr>
        <w:t xml:space="preserve"> persona</w:t>
      </w:r>
      <w:r w:rsidR="00F96767">
        <w:rPr>
          <w:szCs w:val="24"/>
          <w:lang w:val="es-ES"/>
        </w:rPr>
        <w:t>s</w:t>
      </w:r>
      <w:r>
        <w:rPr>
          <w:szCs w:val="24"/>
          <w:lang w:val="es-ES"/>
        </w:rPr>
        <w:t>.</w:t>
      </w:r>
    </w:p>
    <w:p w:rsidR="00DE6601" w:rsidRPr="00E624B7" w:rsidRDefault="00DE6601" w:rsidP="00637350">
      <w:pPr>
        <w:pStyle w:val="SingleTxtG"/>
        <w:rPr>
          <w:szCs w:val="24"/>
          <w:lang w:val="es-ES"/>
        </w:rPr>
      </w:pPr>
      <w:r w:rsidRPr="00E624B7">
        <w:rPr>
          <w:szCs w:val="24"/>
          <w:lang w:val="es-ES"/>
        </w:rPr>
        <w:t>188.</w:t>
      </w:r>
      <w:r w:rsidRPr="00E624B7">
        <w:rPr>
          <w:szCs w:val="24"/>
          <w:lang w:val="es-ES"/>
        </w:rPr>
        <w:tab/>
      </w:r>
      <w:r>
        <w:rPr>
          <w:szCs w:val="24"/>
          <w:lang w:val="es-ES"/>
        </w:rPr>
        <w:t>Se prohíbe l</w:t>
      </w:r>
      <w:r w:rsidR="00E73FAB">
        <w:rPr>
          <w:szCs w:val="24"/>
          <w:lang w:val="es-ES"/>
        </w:rPr>
        <w:t>a discriminación</w:t>
      </w:r>
      <w:r>
        <w:rPr>
          <w:szCs w:val="24"/>
          <w:lang w:val="es-ES"/>
        </w:rPr>
        <w:t xml:space="preserve"> por motivos de nacionalidad (origen </w:t>
      </w:r>
      <w:r w:rsidR="00E73FAB">
        <w:rPr>
          <w:szCs w:val="24"/>
          <w:lang w:val="es-ES"/>
        </w:rPr>
        <w:t xml:space="preserve">étnico), raza y color en relación con </w:t>
      </w:r>
      <w:r>
        <w:rPr>
          <w:szCs w:val="24"/>
          <w:lang w:val="es-ES"/>
        </w:rPr>
        <w:t>el acceso a</w:t>
      </w:r>
      <w:r w:rsidR="00562DFA">
        <w:rPr>
          <w:szCs w:val="24"/>
          <w:lang w:val="es-ES"/>
        </w:rPr>
        <w:t xml:space="preserve"> los</w:t>
      </w:r>
      <w:r>
        <w:rPr>
          <w:szCs w:val="24"/>
          <w:lang w:val="es-ES"/>
        </w:rPr>
        <w:t xml:space="preserve"> servicios de bienestar social, atención </w:t>
      </w:r>
      <w:r w:rsidR="00562DFA">
        <w:rPr>
          <w:szCs w:val="24"/>
          <w:lang w:val="es-ES"/>
        </w:rPr>
        <w:t xml:space="preserve">de salud </w:t>
      </w:r>
      <w:r>
        <w:rPr>
          <w:szCs w:val="24"/>
          <w:lang w:val="es-ES"/>
        </w:rPr>
        <w:t>y seguro social, incluida la concesión de prestaciones sociales.</w:t>
      </w:r>
    </w:p>
    <w:p w:rsidR="00DE6601" w:rsidRPr="00EE0800" w:rsidRDefault="00DE6601" w:rsidP="00637350">
      <w:pPr>
        <w:pStyle w:val="SingleTxtG"/>
        <w:rPr>
          <w:szCs w:val="24"/>
          <w:lang w:val="es-ES"/>
        </w:rPr>
      </w:pPr>
      <w:r w:rsidRPr="00E624B7">
        <w:rPr>
          <w:szCs w:val="24"/>
          <w:lang w:val="es-ES"/>
        </w:rPr>
        <w:t>189.</w:t>
      </w:r>
      <w:r w:rsidRPr="00E624B7">
        <w:rPr>
          <w:szCs w:val="24"/>
          <w:lang w:val="es-ES"/>
        </w:rPr>
        <w:tab/>
      </w:r>
      <w:r>
        <w:rPr>
          <w:szCs w:val="24"/>
          <w:lang w:val="es-ES"/>
        </w:rPr>
        <w:t>Durante el período que abarca el informe se ha introducido un nuevo tipo de prestación</w:t>
      </w:r>
      <w:r w:rsidR="00562DFA">
        <w:rPr>
          <w:szCs w:val="24"/>
          <w:lang w:val="es-ES"/>
        </w:rPr>
        <w:t>, a saber,</w:t>
      </w:r>
      <w:r>
        <w:rPr>
          <w:szCs w:val="24"/>
          <w:lang w:val="es-ES"/>
        </w:rPr>
        <w:t xml:space="preserve"> la prestación </w:t>
      </w:r>
      <w:r w:rsidR="00562DFA">
        <w:rPr>
          <w:szCs w:val="24"/>
          <w:lang w:val="es-ES"/>
        </w:rPr>
        <w:t>por</w:t>
      </w:r>
      <w:r>
        <w:rPr>
          <w:szCs w:val="24"/>
          <w:lang w:val="es-ES"/>
        </w:rPr>
        <w:t xml:space="preserve"> seguro </w:t>
      </w:r>
      <w:r w:rsidR="0018464E">
        <w:rPr>
          <w:szCs w:val="24"/>
          <w:lang w:val="es-ES"/>
        </w:rPr>
        <w:t xml:space="preserve">de </w:t>
      </w:r>
      <w:r>
        <w:rPr>
          <w:szCs w:val="24"/>
          <w:lang w:val="es-ES"/>
        </w:rPr>
        <w:t xml:space="preserve">despido, que se </w:t>
      </w:r>
      <w:r w:rsidR="000A4FFA">
        <w:rPr>
          <w:szCs w:val="24"/>
          <w:lang w:val="es-ES"/>
        </w:rPr>
        <w:t>pag</w:t>
      </w:r>
      <w:r>
        <w:rPr>
          <w:szCs w:val="24"/>
          <w:lang w:val="es-ES"/>
        </w:rPr>
        <w:t>a a todas las personas que han si</w:t>
      </w:r>
      <w:r w:rsidR="0018464E">
        <w:rPr>
          <w:szCs w:val="24"/>
          <w:lang w:val="es-ES"/>
        </w:rPr>
        <w:t>do despedidas a causa de</w:t>
      </w:r>
      <w:r w:rsidR="000713F2">
        <w:rPr>
          <w:szCs w:val="24"/>
          <w:lang w:val="es-ES"/>
        </w:rPr>
        <w:t>l</w:t>
      </w:r>
      <w:r w:rsidR="0018464E">
        <w:rPr>
          <w:szCs w:val="24"/>
          <w:lang w:val="es-ES"/>
        </w:rPr>
        <w:t xml:space="preserve"> exceso de personal</w:t>
      </w:r>
      <w:r>
        <w:rPr>
          <w:szCs w:val="24"/>
          <w:lang w:val="es-ES"/>
        </w:rPr>
        <w:t>.</w:t>
      </w:r>
      <w:r w:rsidRPr="00E624B7">
        <w:rPr>
          <w:szCs w:val="24"/>
          <w:lang w:val="es-ES"/>
        </w:rPr>
        <w:t xml:space="preserve"> </w:t>
      </w:r>
      <w:r>
        <w:rPr>
          <w:szCs w:val="24"/>
          <w:lang w:val="es-ES"/>
        </w:rPr>
        <w:t xml:space="preserve">La prestación por despido equivale a la </w:t>
      </w:r>
      <w:r w:rsidR="0018464E">
        <w:rPr>
          <w:szCs w:val="24"/>
          <w:lang w:val="es-ES"/>
        </w:rPr>
        <w:t>c</w:t>
      </w:r>
      <w:r>
        <w:rPr>
          <w:szCs w:val="24"/>
          <w:lang w:val="es-ES"/>
        </w:rPr>
        <w:t>ua</w:t>
      </w:r>
      <w:r w:rsidR="0018464E">
        <w:rPr>
          <w:szCs w:val="24"/>
          <w:lang w:val="es-ES"/>
        </w:rPr>
        <w:t>ntía</w:t>
      </w:r>
      <w:r>
        <w:rPr>
          <w:szCs w:val="24"/>
          <w:lang w:val="es-ES"/>
        </w:rPr>
        <w:t xml:space="preserve"> del salario </w:t>
      </w:r>
      <w:r w:rsidR="0018464E">
        <w:rPr>
          <w:szCs w:val="24"/>
          <w:lang w:val="es-ES"/>
        </w:rPr>
        <w:t xml:space="preserve">de </w:t>
      </w:r>
      <w:r>
        <w:rPr>
          <w:szCs w:val="24"/>
          <w:lang w:val="es-ES"/>
        </w:rPr>
        <w:t xml:space="preserve">uno </w:t>
      </w:r>
      <w:r w:rsidR="00D14C11">
        <w:rPr>
          <w:szCs w:val="24"/>
          <w:lang w:val="es-ES"/>
        </w:rPr>
        <w:t>o</w:t>
      </w:r>
      <w:r>
        <w:rPr>
          <w:szCs w:val="24"/>
          <w:lang w:val="es-ES"/>
        </w:rPr>
        <w:t xml:space="preserve"> dos meses, </w:t>
      </w:r>
      <w:r w:rsidR="00D14C11">
        <w:rPr>
          <w:szCs w:val="24"/>
          <w:lang w:val="es-ES"/>
        </w:rPr>
        <w:t>según</w:t>
      </w:r>
      <w:r>
        <w:rPr>
          <w:szCs w:val="24"/>
          <w:lang w:val="es-ES"/>
        </w:rPr>
        <w:t xml:space="preserve"> l</w:t>
      </w:r>
      <w:r w:rsidR="000713F2">
        <w:rPr>
          <w:szCs w:val="24"/>
          <w:lang w:val="es-ES"/>
        </w:rPr>
        <w:t>a</w:t>
      </w:r>
      <w:r>
        <w:rPr>
          <w:szCs w:val="24"/>
          <w:lang w:val="es-ES"/>
        </w:rPr>
        <w:t xml:space="preserve"> </w:t>
      </w:r>
      <w:r w:rsidR="000713F2">
        <w:rPr>
          <w:szCs w:val="24"/>
          <w:lang w:val="es-ES"/>
        </w:rPr>
        <w:t xml:space="preserve">duración de los </w:t>
      </w:r>
      <w:r w:rsidR="0018464E">
        <w:rPr>
          <w:szCs w:val="24"/>
          <w:lang w:val="es-ES"/>
        </w:rPr>
        <w:t>servicio</w:t>
      </w:r>
      <w:r w:rsidR="000713F2">
        <w:rPr>
          <w:szCs w:val="24"/>
          <w:lang w:val="es-ES"/>
        </w:rPr>
        <w:t xml:space="preserve">s prestados por </w:t>
      </w:r>
      <w:r w:rsidR="0018464E">
        <w:rPr>
          <w:szCs w:val="24"/>
          <w:lang w:val="es-ES"/>
        </w:rPr>
        <w:t>el trabajador</w:t>
      </w:r>
      <w:r>
        <w:rPr>
          <w:szCs w:val="24"/>
          <w:lang w:val="es-ES"/>
        </w:rPr>
        <w:t>.</w:t>
      </w:r>
      <w:r w:rsidRPr="00EE0800">
        <w:rPr>
          <w:szCs w:val="24"/>
          <w:lang w:val="es-ES"/>
        </w:rPr>
        <w:t xml:space="preserve"> </w:t>
      </w:r>
      <w:r w:rsidR="0018464E">
        <w:rPr>
          <w:szCs w:val="24"/>
          <w:lang w:val="es-ES"/>
        </w:rPr>
        <w:t>A</w:t>
      </w:r>
      <w:r>
        <w:rPr>
          <w:szCs w:val="24"/>
          <w:lang w:val="es-ES"/>
        </w:rPr>
        <w:t xml:space="preserve">nteriormente solo </w:t>
      </w:r>
      <w:r w:rsidR="0018464E">
        <w:rPr>
          <w:szCs w:val="24"/>
          <w:lang w:val="es-ES"/>
        </w:rPr>
        <w:t xml:space="preserve">se abonaba </w:t>
      </w:r>
      <w:r>
        <w:rPr>
          <w:szCs w:val="24"/>
          <w:lang w:val="es-ES"/>
        </w:rPr>
        <w:t xml:space="preserve">en caso de </w:t>
      </w:r>
      <w:r w:rsidR="0018464E">
        <w:rPr>
          <w:szCs w:val="24"/>
          <w:lang w:val="es-ES"/>
        </w:rPr>
        <w:t>despido</w:t>
      </w:r>
      <w:r>
        <w:rPr>
          <w:szCs w:val="24"/>
          <w:lang w:val="es-ES"/>
        </w:rPr>
        <w:t xml:space="preserve"> colectiv</w:t>
      </w:r>
      <w:r w:rsidR="0018464E">
        <w:rPr>
          <w:szCs w:val="24"/>
          <w:lang w:val="es-ES"/>
        </w:rPr>
        <w:t>o</w:t>
      </w:r>
      <w:r>
        <w:rPr>
          <w:szCs w:val="24"/>
          <w:lang w:val="es-ES"/>
        </w:rPr>
        <w:t>.</w:t>
      </w:r>
      <w:r w:rsidRPr="00EE0800">
        <w:rPr>
          <w:szCs w:val="24"/>
          <w:lang w:val="es-ES"/>
        </w:rPr>
        <w:t xml:space="preserve"> </w:t>
      </w:r>
      <w:r>
        <w:rPr>
          <w:szCs w:val="24"/>
          <w:lang w:val="es-ES"/>
        </w:rPr>
        <w:t>Se introdujo un período de espera de 30 o 60 días (según la cuantía de</w:t>
      </w:r>
      <w:r w:rsidR="001A7FD1">
        <w:rPr>
          <w:szCs w:val="24"/>
          <w:lang w:val="es-ES"/>
        </w:rPr>
        <w:t xml:space="preserve"> la prestación por despido) en</w:t>
      </w:r>
      <w:r>
        <w:rPr>
          <w:szCs w:val="24"/>
          <w:lang w:val="es-ES"/>
        </w:rPr>
        <w:t xml:space="preserve"> el pago del s</w:t>
      </w:r>
      <w:r w:rsidR="001A7FD1">
        <w:rPr>
          <w:szCs w:val="24"/>
          <w:lang w:val="es-ES"/>
        </w:rPr>
        <w:t>eguro de desempleo a</w:t>
      </w:r>
      <w:r>
        <w:rPr>
          <w:szCs w:val="24"/>
          <w:lang w:val="es-ES"/>
        </w:rPr>
        <w:t xml:space="preserve"> las personas cuyo trabajo o relación laboral </w:t>
      </w:r>
      <w:r w:rsidR="0018464E">
        <w:rPr>
          <w:szCs w:val="24"/>
          <w:lang w:val="es-ES"/>
        </w:rPr>
        <w:t>finali</w:t>
      </w:r>
      <w:r w:rsidR="000713F2">
        <w:rPr>
          <w:szCs w:val="24"/>
          <w:lang w:val="es-ES"/>
        </w:rPr>
        <w:t>ce</w:t>
      </w:r>
      <w:r w:rsidR="0018464E">
        <w:rPr>
          <w:szCs w:val="24"/>
          <w:lang w:val="es-ES"/>
        </w:rPr>
        <w:t xml:space="preserve"> </w:t>
      </w:r>
      <w:r>
        <w:rPr>
          <w:szCs w:val="24"/>
          <w:lang w:val="es-ES"/>
        </w:rPr>
        <w:t>a causa de despido</w:t>
      </w:r>
      <w:r w:rsidR="0018464E">
        <w:rPr>
          <w:szCs w:val="24"/>
          <w:lang w:val="es-ES"/>
        </w:rPr>
        <w:t xml:space="preserve"> por exceso de personal</w:t>
      </w:r>
      <w:r>
        <w:rPr>
          <w:szCs w:val="24"/>
          <w:lang w:val="es-ES"/>
        </w:rPr>
        <w:t>.</w:t>
      </w:r>
      <w:r w:rsidRPr="00EE0800">
        <w:rPr>
          <w:szCs w:val="24"/>
          <w:lang w:val="es-ES"/>
        </w:rPr>
        <w:t xml:space="preserve"> </w:t>
      </w:r>
      <w:r>
        <w:rPr>
          <w:szCs w:val="24"/>
          <w:lang w:val="es-ES"/>
        </w:rPr>
        <w:t>El período de espera se inicia desde el momento en que termina la relación laboral, y el p</w:t>
      </w:r>
      <w:r w:rsidR="000713F2">
        <w:rPr>
          <w:szCs w:val="24"/>
          <w:lang w:val="es-ES"/>
        </w:rPr>
        <w:t>eríodo</w:t>
      </w:r>
      <w:r>
        <w:rPr>
          <w:szCs w:val="24"/>
          <w:lang w:val="es-ES"/>
        </w:rPr>
        <w:t xml:space="preserve"> durante el cual se </w:t>
      </w:r>
      <w:r w:rsidR="000A4FFA">
        <w:rPr>
          <w:szCs w:val="24"/>
          <w:lang w:val="es-ES"/>
        </w:rPr>
        <w:t xml:space="preserve">paga </w:t>
      </w:r>
      <w:r>
        <w:rPr>
          <w:szCs w:val="24"/>
          <w:lang w:val="es-ES"/>
        </w:rPr>
        <w:t xml:space="preserve">la prestación del seguro de desempleo no se </w:t>
      </w:r>
      <w:r w:rsidR="00D14C11">
        <w:rPr>
          <w:szCs w:val="24"/>
          <w:lang w:val="es-ES"/>
        </w:rPr>
        <w:t>reduc</w:t>
      </w:r>
      <w:r w:rsidR="000713F2">
        <w:rPr>
          <w:szCs w:val="24"/>
          <w:lang w:val="es-ES"/>
        </w:rPr>
        <w:t>e</w:t>
      </w:r>
      <w:r>
        <w:rPr>
          <w:szCs w:val="24"/>
          <w:lang w:val="es-ES"/>
        </w:rPr>
        <w:t xml:space="preserve"> </w:t>
      </w:r>
      <w:r w:rsidR="000713F2">
        <w:rPr>
          <w:szCs w:val="24"/>
          <w:lang w:val="es-ES"/>
        </w:rPr>
        <w:t>en ningún caso</w:t>
      </w:r>
      <w:r>
        <w:rPr>
          <w:szCs w:val="24"/>
          <w:lang w:val="es-ES"/>
        </w:rPr>
        <w:t>.</w:t>
      </w:r>
    </w:p>
    <w:p w:rsidR="00DE6601" w:rsidRPr="00EE0800" w:rsidRDefault="00DE6601" w:rsidP="00637350">
      <w:pPr>
        <w:pStyle w:val="SingleTxtG"/>
        <w:rPr>
          <w:szCs w:val="24"/>
          <w:lang w:val="es-ES"/>
        </w:rPr>
      </w:pPr>
      <w:r w:rsidRPr="00E624B7">
        <w:rPr>
          <w:szCs w:val="24"/>
          <w:lang w:val="es-ES"/>
        </w:rPr>
        <w:t>190.</w:t>
      </w:r>
      <w:r w:rsidRPr="00E624B7">
        <w:rPr>
          <w:szCs w:val="24"/>
          <w:lang w:val="es-ES"/>
        </w:rPr>
        <w:tab/>
      </w:r>
      <w:r>
        <w:rPr>
          <w:szCs w:val="24"/>
          <w:lang w:val="es-ES"/>
        </w:rPr>
        <w:t xml:space="preserve">Además, se incrementó la cuantía mínima de la prestación </w:t>
      </w:r>
      <w:r w:rsidR="00D14C11">
        <w:rPr>
          <w:szCs w:val="24"/>
          <w:lang w:val="es-ES"/>
        </w:rPr>
        <w:t>del seguro de</w:t>
      </w:r>
      <w:r>
        <w:rPr>
          <w:szCs w:val="24"/>
          <w:lang w:val="es-ES"/>
        </w:rPr>
        <w:t xml:space="preserve"> desempleo.</w:t>
      </w:r>
      <w:r w:rsidRPr="00E624B7">
        <w:rPr>
          <w:szCs w:val="24"/>
          <w:lang w:val="es-ES"/>
        </w:rPr>
        <w:t xml:space="preserve"> </w:t>
      </w:r>
      <w:r>
        <w:rPr>
          <w:szCs w:val="24"/>
          <w:lang w:val="es-ES"/>
        </w:rPr>
        <w:t xml:space="preserve">Anteriormente equivalía a la prestación por desempleo, </w:t>
      </w:r>
      <w:r w:rsidR="00D14C11">
        <w:rPr>
          <w:szCs w:val="24"/>
          <w:lang w:val="es-ES"/>
        </w:rPr>
        <w:t xml:space="preserve">y </w:t>
      </w:r>
      <w:r w:rsidR="001A7FD1">
        <w:rPr>
          <w:szCs w:val="24"/>
          <w:lang w:val="es-ES"/>
        </w:rPr>
        <w:t>en la actualidad equivale a</w:t>
      </w:r>
      <w:r>
        <w:rPr>
          <w:szCs w:val="24"/>
          <w:lang w:val="es-ES"/>
        </w:rPr>
        <w:t>l 50% del salario mínimo.</w:t>
      </w:r>
      <w:r w:rsidRPr="00EE0800">
        <w:rPr>
          <w:szCs w:val="24"/>
          <w:lang w:val="es-ES"/>
        </w:rPr>
        <w:t xml:space="preserve"> </w:t>
      </w:r>
      <w:r>
        <w:rPr>
          <w:szCs w:val="24"/>
          <w:lang w:val="es-ES"/>
        </w:rPr>
        <w:t xml:space="preserve">Con arreglo a </w:t>
      </w:r>
      <w:r w:rsidR="00A533F1">
        <w:rPr>
          <w:szCs w:val="24"/>
          <w:lang w:val="es-ES"/>
        </w:rPr>
        <w:t>es</w:t>
      </w:r>
      <w:r>
        <w:rPr>
          <w:szCs w:val="24"/>
          <w:lang w:val="es-ES"/>
        </w:rPr>
        <w:t>a</w:t>
      </w:r>
      <w:r w:rsidR="00A533F1">
        <w:rPr>
          <w:szCs w:val="24"/>
          <w:lang w:val="es-ES"/>
        </w:rPr>
        <w:t xml:space="preserve"> modificación</w:t>
      </w:r>
      <w:r>
        <w:rPr>
          <w:szCs w:val="24"/>
          <w:lang w:val="es-ES"/>
        </w:rPr>
        <w:t xml:space="preserve">, al período de referencia de 36 meses necesario para </w:t>
      </w:r>
      <w:r w:rsidR="00702ABE">
        <w:rPr>
          <w:szCs w:val="24"/>
          <w:lang w:val="es-ES"/>
        </w:rPr>
        <w:t>poder benefici</w:t>
      </w:r>
      <w:r>
        <w:rPr>
          <w:szCs w:val="24"/>
          <w:lang w:val="es-ES"/>
        </w:rPr>
        <w:t>a</w:t>
      </w:r>
      <w:r w:rsidR="00702ABE">
        <w:rPr>
          <w:szCs w:val="24"/>
          <w:lang w:val="es-ES"/>
        </w:rPr>
        <w:t>rse de</w:t>
      </w:r>
      <w:r>
        <w:rPr>
          <w:szCs w:val="24"/>
          <w:lang w:val="es-ES"/>
        </w:rPr>
        <w:t xml:space="preserve"> la presta</w:t>
      </w:r>
      <w:r w:rsidR="00075DBA">
        <w:rPr>
          <w:szCs w:val="24"/>
          <w:lang w:val="es-ES"/>
        </w:rPr>
        <w:t>ción por desempleo se le añade</w:t>
      </w:r>
      <w:r>
        <w:rPr>
          <w:szCs w:val="24"/>
          <w:lang w:val="es-ES"/>
        </w:rPr>
        <w:t xml:space="preserve"> el tiempo </w:t>
      </w:r>
      <w:r w:rsidR="00E76972">
        <w:rPr>
          <w:szCs w:val="24"/>
          <w:lang w:val="es-ES"/>
        </w:rPr>
        <w:t xml:space="preserve">empleado </w:t>
      </w:r>
      <w:r>
        <w:rPr>
          <w:szCs w:val="24"/>
          <w:lang w:val="es-ES"/>
        </w:rPr>
        <w:t>durante la licencia por embarazo, la licencia de maternidad, el permiso concedido a los padres adoptivos o la licencia de paternidad (Ley de seguro de desempleo, art</w:t>
      </w:r>
      <w:r w:rsidR="009C33BF">
        <w:rPr>
          <w:szCs w:val="24"/>
          <w:lang w:val="es-ES"/>
        </w:rPr>
        <w:t>.</w:t>
      </w:r>
      <w:r>
        <w:rPr>
          <w:szCs w:val="24"/>
          <w:lang w:val="es-ES"/>
        </w:rPr>
        <w:t xml:space="preserve"> 6, párr</w:t>
      </w:r>
      <w:r w:rsidR="009C33BF">
        <w:rPr>
          <w:szCs w:val="24"/>
          <w:lang w:val="es-ES"/>
        </w:rPr>
        <w:t>. </w:t>
      </w:r>
      <w:r>
        <w:rPr>
          <w:szCs w:val="24"/>
          <w:lang w:val="es-ES"/>
        </w:rPr>
        <w:t>5).</w:t>
      </w:r>
    </w:p>
    <w:p w:rsidR="00DE6601" w:rsidRPr="00EE0800" w:rsidRDefault="00DE6601" w:rsidP="00637350">
      <w:pPr>
        <w:pStyle w:val="SingleTxtG"/>
        <w:rPr>
          <w:szCs w:val="24"/>
          <w:lang w:val="es-ES"/>
        </w:rPr>
      </w:pPr>
      <w:r w:rsidRPr="00E624B7">
        <w:rPr>
          <w:szCs w:val="24"/>
          <w:lang w:val="es-ES"/>
        </w:rPr>
        <w:t>191.</w:t>
      </w:r>
      <w:r w:rsidRPr="00E624B7">
        <w:rPr>
          <w:szCs w:val="24"/>
          <w:lang w:val="es-ES"/>
        </w:rPr>
        <w:tab/>
      </w:r>
      <w:r>
        <w:rPr>
          <w:szCs w:val="24"/>
          <w:lang w:val="es-ES"/>
        </w:rPr>
        <w:t>L</w:t>
      </w:r>
      <w:r w:rsidR="00075DBA">
        <w:rPr>
          <w:szCs w:val="24"/>
          <w:lang w:val="es-ES"/>
        </w:rPr>
        <w:t>os principios para determinar y abona</w:t>
      </w:r>
      <w:r w:rsidR="000A4FFA">
        <w:rPr>
          <w:szCs w:val="24"/>
          <w:lang w:val="es-ES"/>
        </w:rPr>
        <w:t xml:space="preserve">r </w:t>
      </w:r>
      <w:r>
        <w:rPr>
          <w:szCs w:val="24"/>
          <w:lang w:val="es-ES"/>
        </w:rPr>
        <w:t xml:space="preserve">los subsidios familiares del Estado han </w:t>
      </w:r>
      <w:r w:rsidR="00871462">
        <w:rPr>
          <w:szCs w:val="24"/>
          <w:lang w:val="es-ES"/>
        </w:rPr>
        <w:t>per</w:t>
      </w:r>
      <w:r>
        <w:rPr>
          <w:szCs w:val="24"/>
          <w:lang w:val="es-ES"/>
        </w:rPr>
        <w:t>mane</w:t>
      </w:r>
      <w:r w:rsidR="00871462">
        <w:rPr>
          <w:szCs w:val="24"/>
          <w:lang w:val="es-ES"/>
        </w:rPr>
        <w:t>c</w:t>
      </w:r>
      <w:r>
        <w:rPr>
          <w:szCs w:val="24"/>
          <w:lang w:val="es-ES"/>
        </w:rPr>
        <w:t xml:space="preserve">ido </w:t>
      </w:r>
      <w:r w:rsidR="00075DBA">
        <w:rPr>
          <w:szCs w:val="24"/>
          <w:lang w:val="es-ES"/>
        </w:rPr>
        <w:t>sin cambios en relación con e</w:t>
      </w:r>
      <w:r w:rsidR="00D14C11">
        <w:rPr>
          <w:szCs w:val="24"/>
          <w:lang w:val="es-ES"/>
        </w:rPr>
        <w:t>l informe anterior</w:t>
      </w:r>
      <w:r w:rsidR="00075DBA">
        <w:rPr>
          <w:szCs w:val="24"/>
          <w:lang w:val="es-ES"/>
        </w:rPr>
        <w:t xml:space="preserve">. Durante el período </w:t>
      </w:r>
      <w:r>
        <w:rPr>
          <w:szCs w:val="24"/>
          <w:lang w:val="es-ES"/>
        </w:rPr>
        <w:t>examina</w:t>
      </w:r>
      <w:r w:rsidR="00075DBA">
        <w:rPr>
          <w:szCs w:val="24"/>
          <w:lang w:val="es-ES"/>
        </w:rPr>
        <w:t>do en</w:t>
      </w:r>
      <w:r>
        <w:rPr>
          <w:szCs w:val="24"/>
          <w:lang w:val="es-ES"/>
        </w:rPr>
        <w:t xml:space="preserve"> el presente informe se </w:t>
      </w:r>
      <w:r w:rsidR="00DD4FFC">
        <w:rPr>
          <w:szCs w:val="24"/>
          <w:lang w:val="es-ES"/>
        </w:rPr>
        <w:t>suspendió e</w:t>
      </w:r>
      <w:r>
        <w:rPr>
          <w:szCs w:val="24"/>
          <w:lang w:val="es-ES"/>
        </w:rPr>
        <w:t>l pago de los subsidios generales por escolarización, concretamente el 1 de julio de 2009. La cuantía del subsidio por escolarización era de 450 coronas (aproximadamente 29 euros)</w:t>
      </w:r>
      <w:r w:rsidR="00075DBA">
        <w:rPr>
          <w:szCs w:val="24"/>
          <w:lang w:val="es-ES"/>
        </w:rPr>
        <w:t>, que se pagaban</w:t>
      </w:r>
      <w:r>
        <w:rPr>
          <w:szCs w:val="24"/>
          <w:lang w:val="es-ES"/>
        </w:rPr>
        <w:t xml:space="preserve"> una vez al año a todos los alumnos al </w:t>
      </w:r>
      <w:r w:rsidR="00DD4FFC">
        <w:rPr>
          <w:szCs w:val="24"/>
          <w:lang w:val="es-ES"/>
        </w:rPr>
        <w:t xml:space="preserve">inicio </w:t>
      </w:r>
      <w:r>
        <w:rPr>
          <w:szCs w:val="24"/>
          <w:lang w:val="es-ES"/>
        </w:rPr>
        <w:t>del curso escolar.</w:t>
      </w:r>
      <w:r w:rsidRPr="00EE0800">
        <w:rPr>
          <w:szCs w:val="24"/>
          <w:lang w:val="es-ES"/>
        </w:rPr>
        <w:t xml:space="preserve"> </w:t>
      </w:r>
      <w:r>
        <w:rPr>
          <w:szCs w:val="24"/>
          <w:lang w:val="es-ES"/>
        </w:rPr>
        <w:t xml:space="preserve">El pago de ese subsidio </w:t>
      </w:r>
      <w:r w:rsidR="001A7FD1">
        <w:rPr>
          <w:szCs w:val="24"/>
          <w:lang w:val="es-ES"/>
        </w:rPr>
        <w:t>se suspendi</w:t>
      </w:r>
      <w:r w:rsidR="00D14C11">
        <w:rPr>
          <w:szCs w:val="24"/>
          <w:lang w:val="es-ES"/>
        </w:rPr>
        <w:t>ó</w:t>
      </w:r>
      <w:r>
        <w:rPr>
          <w:szCs w:val="24"/>
          <w:lang w:val="es-ES"/>
        </w:rPr>
        <w:t xml:space="preserve"> debido a la crisis económica y a la necesidad de reducir los gastos con cargo al </w:t>
      </w:r>
      <w:r w:rsidR="00DD4FFC">
        <w:rPr>
          <w:szCs w:val="24"/>
          <w:lang w:val="es-ES"/>
        </w:rPr>
        <w:t xml:space="preserve">presupuesto del </w:t>
      </w:r>
      <w:r w:rsidR="001A7FD1">
        <w:rPr>
          <w:szCs w:val="24"/>
          <w:lang w:val="es-ES"/>
        </w:rPr>
        <w:t>Estado y</w:t>
      </w:r>
      <w:r>
        <w:rPr>
          <w:szCs w:val="24"/>
          <w:lang w:val="es-ES"/>
        </w:rPr>
        <w:t xml:space="preserve"> asegurar </w:t>
      </w:r>
      <w:r w:rsidR="00DD4FFC">
        <w:rPr>
          <w:szCs w:val="24"/>
          <w:lang w:val="es-ES"/>
        </w:rPr>
        <w:t xml:space="preserve">el </w:t>
      </w:r>
      <w:r>
        <w:rPr>
          <w:szCs w:val="24"/>
          <w:lang w:val="es-ES"/>
        </w:rPr>
        <w:t>equilibrio</w:t>
      </w:r>
      <w:r w:rsidR="00DD4FFC">
        <w:rPr>
          <w:szCs w:val="24"/>
          <w:lang w:val="es-ES"/>
        </w:rPr>
        <w:t xml:space="preserve"> de dicho presupuesto.</w:t>
      </w:r>
      <w:r w:rsidRPr="00EE0800">
        <w:rPr>
          <w:szCs w:val="24"/>
          <w:lang w:val="es-ES"/>
        </w:rPr>
        <w:t xml:space="preserve"> </w:t>
      </w:r>
      <w:r w:rsidR="00A533F1">
        <w:rPr>
          <w:szCs w:val="24"/>
          <w:lang w:val="es-ES"/>
        </w:rPr>
        <w:t>Sin embargo</w:t>
      </w:r>
      <w:r>
        <w:rPr>
          <w:szCs w:val="24"/>
          <w:lang w:val="es-ES"/>
        </w:rPr>
        <w:t xml:space="preserve">, la mayoría de los municipios abonan un subsidio escolar a los padres de </w:t>
      </w:r>
      <w:r w:rsidR="00DD4FFC">
        <w:rPr>
          <w:szCs w:val="24"/>
          <w:lang w:val="es-ES"/>
        </w:rPr>
        <w:t xml:space="preserve">los </w:t>
      </w:r>
      <w:r>
        <w:rPr>
          <w:szCs w:val="24"/>
          <w:lang w:val="es-ES"/>
        </w:rPr>
        <w:t xml:space="preserve">niños que </w:t>
      </w:r>
      <w:r w:rsidR="00D14C11">
        <w:rPr>
          <w:szCs w:val="24"/>
          <w:lang w:val="es-ES"/>
        </w:rPr>
        <w:t>asisten</w:t>
      </w:r>
      <w:r>
        <w:rPr>
          <w:szCs w:val="24"/>
          <w:lang w:val="es-ES"/>
        </w:rPr>
        <w:t xml:space="preserve"> a la escuela por primera vez.</w:t>
      </w:r>
      <w:r w:rsidRPr="00EE0800">
        <w:rPr>
          <w:szCs w:val="24"/>
          <w:lang w:val="es-ES"/>
        </w:rPr>
        <w:t xml:space="preserve"> </w:t>
      </w:r>
      <w:r>
        <w:rPr>
          <w:szCs w:val="24"/>
          <w:lang w:val="es-ES"/>
        </w:rPr>
        <w:t>Hay otras prestaciones pagaderas a los alumnos</w:t>
      </w:r>
      <w:r w:rsidR="00075DBA">
        <w:rPr>
          <w:szCs w:val="24"/>
          <w:lang w:val="es-ES"/>
        </w:rPr>
        <w:t xml:space="preserve"> con cargo al presupuesto municipal</w:t>
      </w:r>
      <w:r w:rsidR="00DD4FFC">
        <w:rPr>
          <w:szCs w:val="24"/>
          <w:lang w:val="es-ES"/>
        </w:rPr>
        <w:t>,</w:t>
      </w:r>
      <w:r w:rsidR="00075DBA">
        <w:rPr>
          <w:szCs w:val="24"/>
          <w:lang w:val="es-ES"/>
        </w:rPr>
        <w:t xml:space="preserve"> calculadas </w:t>
      </w:r>
      <w:r w:rsidR="00DD4FFC">
        <w:rPr>
          <w:szCs w:val="24"/>
          <w:lang w:val="es-ES"/>
        </w:rPr>
        <w:t xml:space="preserve">sobre la base </w:t>
      </w:r>
      <w:r>
        <w:rPr>
          <w:szCs w:val="24"/>
          <w:lang w:val="es-ES"/>
        </w:rPr>
        <w:t>de la renta familiar.</w:t>
      </w:r>
      <w:r w:rsidRPr="00EE0800">
        <w:rPr>
          <w:szCs w:val="24"/>
          <w:lang w:val="es-ES"/>
        </w:rPr>
        <w:t xml:space="preserve"> </w:t>
      </w:r>
    </w:p>
    <w:p w:rsidR="00DE6601" w:rsidRPr="00E624B7" w:rsidRDefault="00DE6601" w:rsidP="00637350">
      <w:pPr>
        <w:pStyle w:val="SingleTxtG"/>
        <w:rPr>
          <w:szCs w:val="24"/>
          <w:lang w:val="es-ES"/>
        </w:rPr>
      </w:pPr>
      <w:r w:rsidRPr="00E624B7">
        <w:rPr>
          <w:szCs w:val="24"/>
          <w:lang w:val="es-ES"/>
        </w:rPr>
        <w:t>192.</w:t>
      </w:r>
      <w:r w:rsidRPr="00E624B7">
        <w:rPr>
          <w:szCs w:val="24"/>
          <w:lang w:val="es-ES"/>
        </w:rPr>
        <w:tab/>
      </w:r>
      <w:r>
        <w:rPr>
          <w:szCs w:val="24"/>
          <w:lang w:val="es-ES"/>
        </w:rPr>
        <w:t xml:space="preserve">Los principios </w:t>
      </w:r>
      <w:r w:rsidR="00EE7AB9">
        <w:rPr>
          <w:szCs w:val="24"/>
          <w:lang w:val="es-ES"/>
        </w:rPr>
        <w:t>que</w:t>
      </w:r>
      <w:r>
        <w:rPr>
          <w:szCs w:val="24"/>
          <w:lang w:val="es-ES"/>
        </w:rPr>
        <w:t xml:space="preserve"> re</w:t>
      </w:r>
      <w:r w:rsidR="00EE7AB9">
        <w:rPr>
          <w:szCs w:val="24"/>
          <w:lang w:val="es-ES"/>
        </w:rPr>
        <w:t>gula</w:t>
      </w:r>
      <w:r>
        <w:rPr>
          <w:szCs w:val="24"/>
          <w:lang w:val="es-ES"/>
        </w:rPr>
        <w:t>n el pago del subsidio de manutención y la determinación de su cuantía no han cambiado con respecto al informe anterior.</w:t>
      </w:r>
    </w:p>
    <w:p w:rsidR="00DE6601" w:rsidRPr="00E624B7" w:rsidRDefault="00DE6601" w:rsidP="00637350">
      <w:pPr>
        <w:pStyle w:val="SingleTxtG"/>
        <w:rPr>
          <w:szCs w:val="24"/>
          <w:lang w:val="es-ES"/>
        </w:rPr>
      </w:pPr>
      <w:r w:rsidRPr="00E624B7">
        <w:rPr>
          <w:szCs w:val="24"/>
          <w:lang w:val="es-ES"/>
        </w:rPr>
        <w:t>193.</w:t>
      </w:r>
      <w:r w:rsidRPr="00E624B7">
        <w:rPr>
          <w:szCs w:val="24"/>
          <w:lang w:val="es-ES"/>
        </w:rPr>
        <w:tab/>
      </w:r>
      <w:r>
        <w:rPr>
          <w:szCs w:val="24"/>
          <w:lang w:val="es-ES"/>
        </w:rPr>
        <w:t>Los principios que re</w:t>
      </w:r>
      <w:r w:rsidR="00EE7AB9">
        <w:rPr>
          <w:szCs w:val="24"/>
          <w:lang w:val="es-ES"/>
        </w:rPr>
        <w:t>gulan</w:t>
      </w:r>
      <w:r>
        <w:rPr>
          <w:szCs w:val="24"/>
          <w:lang w:val="es-ES"/>
        </w:rPr>
        <w:t xml:space="preserve"> el pago de los subsidios parentales no se han modificado durante el período abarcado en el presente informe.</w:t>
      </w:r>
      <w:r w:rsidRPr="00E624B7">
        <w:rPr>
          <w:szCs w:val="24"/>
          <w:lang w:val="es-ES"/>
        </w:rPr>
        <w:t xml:space="preserve"> </w:t>
      </w:r>
    </w:p>
    <w:p w:rsidR="00DE6601" w:rsidRPr="00EE0800" w:rsidRDefault="00DE6601" w:rsidP="00637350">
      <w:pPr>
        <w:pStyle w:val="SingleTxtG"/>
        <w:rPr>
          <w:szCs w:val="24"/>
          <w:lang w:val="es-ES"/>
        </w:rPr>
      </w:pPr>
      <w:r w:rsidRPr="00E624B7">
        <w:rPr>
          <w:szCs w:val="24"/>
          <w:lang w:val="es-ES"/>
        </w:rPr>
        <w:t>194.</w:t>
      </w:r>
      <w:r w:rsidRPr="00E624B7">
        <w:rPr>
          <w:szCs w:val="24"/>
          <w:lang w:val="es-ES"/>
        </w:rPr>
        <w:tab/>
      </w:r>
      <w:r>
        <w:rPr>
          <w:szCs w:val="24"/>
          <w:lang w:val="es-ES"/>
        </w:rPr>
        <w:t xml:space="preserve">En 2010 se </w:t>
      </w:r>
      <w:r w:rsidR="00A533F1">
        <w:rPr>
          <w:szCs w:val="24"/>
          <w:lang w:val="es-ES"/>
        </w:rPr>
        <w:t xml:space="preserve">estableció </w:t>
      </w:r>
      <w:r w:rsidR="00FC5926">
        <w:rPr>
          <w:szCs w:val="24"/>
          <w:lang w:val="es-ES"/>
        </w:rPr>
        <w:t>el requisito de edad (</w:t>
      </w:r>
      <w:r>
        <w:rPr>
          <w:szCs w:val="24"/>
          <w:lang w:val="es-ES"/>
        </w:rPr>
        <w:t>65 años</w:t>
      </w:r>
      <w:r w:rsidR="00FC5926">
        <w:rPr>
          <w:szCs w:val="24"/>
          <w:lang w:val="es-ES"/>
        </w:rPr>
        <w:t>)</w:t>
      </w:r>
      <w:r w:rsidR="00D14C11">
        <w:rPr>
          <w:szCs w:val="24"/>
          <w:lang w:val="es-ES"/>
        </w:rPr>
        <w:t xml:space="preserve"> </w:t>
      </w:r>
      <w:r>
        <w:rPr>
          <w:szCs w:val="24"/>
          <w:lang w:val="es-ES"/>
        </w:rPr>
        <w:t>para tener derecho a la pensión de vejez. A partir de 2017, la edad de jubilación comenzará a incrementarse de forma gradual en tres meses cada año, y habrá alcanzado los 65 años en 2026.</w:t>
      </w:r>
    </w:p>
    <w:p w:rsidR="00DE6601" w:rsidRPr="00EE0800" w:rsidRDefault="00DE6601" w:rsidP="00637350">
      <w:pPr>
        <w:pStyle w:val="SingleTxtG"/>
        <w:rPr>
          <w:szCs w:val="24"/>
          <w:lang w:val="es-ES"/>
        </w:rPr>
      </w:pPr>
      <w:r w:rsidRPr="00E624B7">
        <w:rPr>
          <w:szCs w:val="24"/>
          <w:lang w:val="es-ES"/>
        </w:rPr>
        <w:t>195.</w:t>
      </w:r>
      <w:r w:rsidRPr="00E624B7">
        <w:rPr>
          <w:szCs w:val="24"/>
          <w:lang w:val="es-ES"/>
        </w:rPr>
        <w:tab/>
      </w:r>
      <w:r>
        <w:rPr>
          <w:szCs w:val="24"/>
          <w:lang w:val="es-ES"/>
        </w:rPr>
        <w:t>El 1 de octubre de 2008 entr</w:t>
      </w:r>
      <w:r w:rsidR="00EE7AB9">
        <w:rPr>
          <w:szCs w:val="24"/>
          <w:lang w:val="es-ES"/>
        </w:rPr>
        <w:t>aron</w:t>
      </w:r>
      <w:r>
        <w:rPr>
          <w:szCs w:val="24"/>
          <w:lang w:val="es-ES"/>
        </w:rPr>
        <w:t xml:space="preserve"> en vigor la</w:t>
      </w:r>
      <w:r w:rsidR="00EE7AB9">
        <w:rPr>
          <w:szCs w:val="24"/>
          <w:lang w:val="es-ES"/>
        </w:rPr>
        <w:t xml:space="preserve">s enmiendas a </w:t>
      </w:r>
      <w:smartTag w:uri="urn:schemas-microsoft-com:office:smarttags" w:element="PersonName">
        <w:smartTagPr>
          <w:attr w:name="ProductID" w:val="La Ley"/>
        </w:smartTagPr>
        <w:r w:rsidR="00EE7AB9">
          <w:rPr>
            <w:szCs w:val="24"/>
            <w:lang w:val="es-ES"/>
          </w:rPr>
          <w:t>la</w:t>
        </w:r>
        <w:r>
          <w:rPr>
            <w:szCs w:val="24"/>
            <w:lang w:val="es-ES"/>
          </w:rPr>
          <w:t xml:space="preserve"> Ley</w:t>
        </w:r>
      </w:smartTag>
      <w:r>
        <w:rPr>
          <w:szCs w:val="24"/>
          <w:lang w:val="es-ES"/>
        </w:rPr>
        <w:t xml:space="preserve"> de prestaciones por discapacidad, que reformaba</w:t>
      </w:r>
      <w:r w:rsidR="00EE7AB9">
        <w:rPr>
          <w:szCs w:val="24"/>
          <w:lang w:val="es-ES"/>
        </w:rPr>
        <w:t>n</w:t>
      </w:r>
      <w:r>
        <w:rPr>
          <w:szCs w:val="24"/>
          <w:lang w:val="es-ES"/>
        </w:rPr>
        <w:t xml:space="preserve"> el sistema de prestaciones para personas discapacitadas en edad</w:t>
      </w:r>
      <w:r w:rsidR="00EE7AB9">
        <w:rPr>
          <w:szCs w:val="24"/>
          <w:lang w:val="es-ES"/>
        </w:rPr>
        <w:t xml:space="preserve"> de trabajar</w:t>
      </w:r>
      <w:r>
        <w:rPr>
          <w:szCs w:val="24"/>
          <w:lang w:val="es-ES"/>
        </w:rPr>
        <w:t>.</w:t>
      </w:r>
      <w:r w:rsidRPr="00E624B7">
        <w:rPr>
          <w:szCs w:val="24"/>
          <w:lang w:val="es-ES"/>
        </w:rPr>
        <w:t xml:space="preserve"> </w:t>
      </w:r>
      <w:r>
        <w:rPr>
          <w:szCs w:val="24"/>
          <w:lang w:val="es-ES"/>
        </w:rPr>
        <w:t>Mientras q</w:t>
      </w:r>
      <w:r w:rsidR="00EE7AB9">
        <w:rPr>
          <w:szCs w:val="24"/>
          <w:lang w:val="es-ES"/>
        </w:rPr>
        <w:t>ue</w:t>
      </w:r>
      <w:r>
        <w:rPr>
          <w:szCs w:val="24"/>
          <w:lang w:val="es-ES"/>
        </w:rPr>
        <w:t xml:space="preserve"> la cuantía de la prestación mensual </w:t>
      </w:r>
      <w:r w:rsidR="00EE7AB9">
        <w:rPr>
          <w:szCs w:val="24"/>
          <w:lang w:val="es-ES"/>
        </w:rPr>
        <w:t xml:space="preserve">para </w:t>
      </w:r>
      <w:r w:rsidR="00227481">
        <w:rPr>
          <w:szCs w:val="24"/>
          <w:lang w:val="es-ES"/>
        </w:rPr>
        <w:t>las personas en edad de trabajar</w:t>
      </w:r>
      <w:r>
        <w:rPr>
          <w:szCs w:val="24"/>
          <w:lang w:val="es-ES"/>
        </w:rPr>
        <w:t xml:space="preserve"> solía depender directamente del grado de discapacidad, </w:t>
      </w:r>
      <w:r w:rsidR="00A533F1">
        <w:rPr>
          <w:szCs w:val="24"/>
          <w:lang w:val="es-ES"/>
        </w:rPr>
        <w:t xml:space="preserve">en la actualidad </w:t>
      </w:r>
      <w:r>
        <w:rPr>
          <w:szCs w:val="24"/>
          <w:lang w:val="es-ES"/>
        </w:rPr>
        <w:t>se identifica</w:t>
      </w:r>
      <w:r w:rsidR="00A533F1">
        <w:rPr>
          <w:szCs w:val="24"/>
          <w:lang w:val="es-ES"/>
        </w:rPr>
        <w:t>n</w:t>
      </w:r>
      <w:r>
        <w:rPr>
          <w:szCs w:val="24"/>
          <w:lang w:val="es-ES"/>
        </w:rPr>
        <w:t xml:space="preserve"> gastos adiciones derivados de la discapacidad.</w:t>
      </w:r>
      <w:r w:rsidRPr="00EE0800">
        <w:rPr>
          <w:szCs w:val="24"/>
          <w:lang w:val="es-ES"/>
        </w:rPr>
        <w:t xml:space="preserve"> </w:t>
      </w:r>
      <w:r>
        <w:rPr>
          <w:szCs w:val="24"/>
          <w:lang w:val="es-ES"/>
        </w:rPr>
        <w:t xml:space="preserve">Entre ellos se incluyen </w:t>
      </w:r>
      <w:r w:rsidR="00A533F1">
        <w:rPr>
          <w:szCs w:val="24"/>
          <w:lang w:val="es-ES"/>
        </w:rPr>
        <w:t>di</w:t>
      </w:r>
      <w:r>
        <w:rPr>
          <w:szCs w:val="24"/>
          <w:lang w:val="es-ES"/>
        </w:rPr>
        <w:t>v</w:t>
      </w:r>
      <w:r w:rsidR="00A533F1">
        <w:rPr>
          <w:szCs w:val="24"/>
          <w:lang w:val="es-ES"/>
        </w:rPr>
        <w:t>e</w:t>
      </w:r>
      <w:r>
        <w:rPr>
          <w:szCs w:val="24"/>
          <w:lang w:val="es-ES"/>
        </w:rPr>
        <w:t>r</w:t>
      </w:r>
      <w:r w:rsidR="00A533F1">
        <w:rPr>
          <w:szCs w:val="24"/>
          <w:lang w:val="es-ES"/>
        </w:rPr>
        <w:t>s</w:t>
      </w:r>
      <w:r>
        <w:rPr>
          <w:szCs w:val="24"/>
          <w:lang w:val="es-ES"/>
        </w:rPr>
        <w:t xml:space="preserve">os gastos en los que </w:t>
      </w:r>
      <w:r w:rsidR="00EE7AB9">
        <w:rPr>
          <w:szCs w:val="24"/>
          <w:lang w:val="es-ES"/>
        </w:rPr>
        <w:t xml:space="preserve">puede </w:t>
      </w:r>
      <w:r>
        <w:rPr>
          <w:szCs w:val="24"/>
          <w:lang w:val="es-ES"/>
        </w:rPr>
        <w:t>incurr</w:t>
      </w:r>
      <w:r w:rsidR="00EE7AB9">
        <w:rPr>
          <w:szCs w:val="24"/>
          <w:lang w:val="es-ES"/>
        </w:rPr>
        <w:t>ir</w:t>
      </w:r>
      <w:r w:rsidR="00A533F1">
        <w:rPr>
          <w:szCs w:val="24"/>
          <w:lang w:val="es-ES"/>
        </w:rPr>
        <w:t>se</w:t>
      </w:r>
      <w:r>
        <w:rPr>
          <w:szCs w:val="24"/>
          <w:lang w:val="es-ES"/>
        </w:rPr>
        <w:t xml:space="preserve"> durante </w:t>
      </w:r>
      <w:r w:rsidR="00A533F1">
        <w:rPr>
          <w:szCs w:val="24"/>
          <w:lang w:val="es-ES"/>
        </w:rPr>
        <w:t xml:space="preserve">las </w:t>
      </w:r>
      <w:r>
        <w:rPr>
          <w:szCs w:val="24"/>
          <w:lang w:val="es-ES"/>
        </w:rPr>
        <w:t>actividades cotidianas</w:t>
      </w:r>
      <w:r w:rsidR="00EE7AB9">
        <w:rPr>
          <w:szCs w:val="24"/>
          <w:lang w:val="es-ES"/>
        </w:rPr>
        <w:t>, por</w:t>
      </w:r>
      <w:r>
        <w:rPr>
          <w:szCs w:val="24"/>
          <w:lang w:val="es-ES"/>
        </w:rPr>
        <w:t xml:space="preserve"> </w:t>
      </w:r>
      <w:r w:rsidR="00EE7AB9">
        <w:rPr>
          <w:szCs w:val="24"/>
          <w:lang w:val="es-ES"/>
        </w:rPr>
        <w:t xml:space="preserve">ejemplo </w:t>
      </w:r>
      <w:r>
        <w:rPr>
          <w:szCs w:val="24"/>
          <w:lang w:val="es-ES"/>
        </w:rPr>
        <w:t xml:space="preserve">medicinas, transporte, dispositivos médicos, necesidades especiales de ropa y calzado, mayores gastos de asistencia </w:t>
      </w:r>
      <w:r w:rsidR="00397B1B">
        <w:rPr>
          <w:szCs w:val="24"/>
          <w:lang w:val="es-ES"/>
        </w:rPr>
        <w:t xml:space="preserve">personal </w:t>
      </w:r>
      <w:r>
        <w:rPr>
          <w:szCs w:val="24"/>
          <w:lang w:val="es-ES"/>
        </w:rPr>
        <w:t>y del hogar, medios de comunicación</w:t>
      </w:r>
      <w:r w:rsidR="00397B1B">
        <w:rPr>
          <w:szCs w:val="24"/>
          <w:lang w:val="es-ES"/>
        </w:rPr>
        <w:t>, etc</w:t>
      </w:r>
      <w:r>
        <w:rPr>
          <w:szCs w:val="24"/>
          <w:lang w:val="es-ES"/>
        </w:rPr>
        <w:t xml:space="preserve">. El objetivo es </w:t>
      </w:r>
      <w:r w:rsidR="00397B1B">
        <w:rPr>
          <w:szCs w:val="24"/>
          <w:lang w:val="es-ES"/>
        </w:rPr>
        <w:t xml:space="preserve">contribuir a </w:t>
      </w:r>
      <w:r>
        <w:rPr>
          <w:szCs w:val="24"/>
          <w:lang w:val="es-ES"/>
        </w:rPr>
        <w:t>que las personas discapacitadas super</w:t>
      </w:r>
      <w:r w:rsidR="00397B1B">
        <w:rPr>
          <w:szCs w:val="24"/>
          <w:lang w:val="es-ES"/>
        </w:rPr>
        <w:t>en</w:t>
      </w:r>
      <w:r>
        <w:rPr>
          <w:szCs w:val="24"/>
          <w:lang w:val="es-ES"/>
        </w:rPr>
        <w:t xml:space="preserve"> </w:t>
      </w:r>
      <w:r w:rsidR="00A41480">
        <w:rPr>
          <w:szCs w:val="24"/>
          <w:lang w:val="es-ES"/>
        </w:rPr>
        <w:t>su</w:t>
      </w:r>
      <w:r>
        <w:rPr>
          <w:szCs w:val="24"/>
          <w:lang w:val="es-ES"/>
        </w:rPr>
        <w:t>s dificultades y trabaj</w:t>
      </w:r>
      <w:r w:rsidR="00397B1B">
        <w:rPr>
          <w:szCs w:val="24"/>
          <w:lang w:val="es-ES"/>
        </w:rPr>
        <w:t>en</w:t>
      </w:r>
      <w:r>
        <w:rPr>
          <w:szCs w:val="24"/>
          <w:lang w:val="es-ES"/>
        </w:rPr>
        <w:t xml:space="preserve"> de forma independiente</w:t>
      </w:r>
      <w:r w:rsidR="00D14C11">
        <w:rPr>
          <w:szCs w:val="24"/>
          <w:lang w:val="es-ES"/>
        </w:rPr>
        <w:t xml:space="preserve"> o</w:t>
      </w:r>
      <w:r>
        <w:rPr>
          <w:szCs w:val="24"/>
          <w:lang w:val="es-ES"/>
        </w:rPr>
        <w:t xml:space="preserve">, </w:t>
      </w:r>
      <w:r w:rsidR="00D14C11">
        <w:rPr>
          <w:szCs w:val="24"/>
          <w:lang w:val="es-ES"/>
        </w:rPr>
        <w:t>dicho de otro modo</w:t>
      </w:r>
      <w:r>
        <w:rPr>
          <w:szCs w:val="24"/>
          <w:lang w:val="es-ES"/>
        </w:rPr>
        <w:t xml:space="preserve">, </w:t>
      </w:r>
      <w:r w:rsidR="00397B1B">
        <w:rPr>
          <w:szCs w:val="24"/>
          <w:lang w:val="es-ES"/>
        </w:rPr>
        <w:t>a que se mantengan activas</w:t>
      </w:r>
      <w:r>
        <w:rPr>
          <w:szCs w:val="24"/>
          <w:lang w:val="es-ES"/>
        </w:rPr>
        <w:t>.</w:t>
      </w:r>
      <w:r w:rsidRPr="00EE0800">
        <w:rPr>
          <w:szCs w:val="24"/>
          <w:lang w:val="es-ES"/>
        </w:rPr>
        <w:t xml:space="preserve"> </w:t>
      </w:r>
      <w:r>
        <w:rPr>
          <w:szCs w:val="24"/>
          <w:lang w:val="es-ES"/>
        </w:rPr>
        <w:t xml:space="preserve">Se </w:t>
      </w:r>
      <w:r w:rsidR="00397B1B">
        <w:rPr>
          <w:szCs w:val="24"/>
          <w:lang w:val="es-ES"/>
        </w:rPr>
        <w:t>presupone</w:t>
      </w:r>
      <w:r>
        <w:rPr>
          <w:szCs w:val="24"/>
          <w:lang w:val="es-ES"/>
        </w:rPr>
        <w:t xml:space="preserve"> que las personas activas tienen </w:t>
      </w:r>
      <w:r w:rsidR="00397B1B">
        <w:rPr>
          <w:szCs w:val="24"/>
          <w:lang w:val="es-ES"/>
        </w:rPr>
        <w:t xml:space="preserve">más </w:t>
      </w:r>
      <w:r>
        <w:rPr>
          <w:szCs w:val="24"/>
          <w:lang w:val="es-ES"/>
        </w:rPr>
        <w:t>gastos adicion</w:t>
      </w:r>
      <w:r w:rsidR="00D14C11">
        <w:rPr>
          <w:szCs w:val="24"/>
          <w:lang w:val="es-ES"/>
        </w:rPr>
        <w:t>al</w:t>
      </w:r>
      <w:r>
        <w:rPr>
          <w:szCs w:val="24"/>
          <w:lang w:val="es-ES"/>
        </w:rPr>
        <w:t>es, por lo que también pueden beneficiarse de mayores prestaciones.</w:t>
      </w:r>
      <w:r w:rsidRPr="00EE0800">
        <w:rPr>
          <w:szCs w:val="24"/>
          <w:lang w:val="es-ES"/>
        </w:rPr>
        <w:t xml:space="preserve"> </w:t>
      </w:r>
      <w:r>
        <w:rPr>
          <w:szCs w:val="24"/>
          <w:lang w:val="es-ES"/>
        </w:rPr>
        <w:t xml:space="preserve">La cuantía de la prestación </w:t>
      </w:r>
      <w:r w:rsidR="00397B1B">
        <w:rPr>
          <w:szCs w:val="24"/>
          <w:lang w:val="es-ES"/>
        </w:rPr>
        <w:t xml:space="preserve">para </w:t>
      </w:r>
      <w:r>
        <w:rPr>
          <w:szCs w:val="24"/>
          <w:lang w:val="es-ES"/>
        </w:rPr>
        <w:t xml:space="preserve">las personas </w:t>
      </w:r>
      <w:r w:rsidR="00227481">
        <w:rPr>
          <w:szCs w:val="24"/>
          <w:lang w:val="es-ES"/>
        </w:rPr>
        <w:t>discapacitadas en edad de trabajar</w:t>
      </w:r>
      <w:r>
        <w:rPr>
          <w:szCs w:val="24"/>
          <w:lang w:val="es-ES"/>
        </w:rPr>
        <w:t xml:space="preserve"> es de </w:t>
      </w:r>
      <w:smartTag w:uri="urn:schemas-microsoft-com:office:smarttags" w:element="metricconverter">
        <w:smartTagPr>
          <w:attr w:name="ProductID" w:val="16,62 a"/>
        </w:smartTagPr>
        <w:r>
          <w:rPr>
            <w:szCs w:val="24"/>
            <w:lang w:val="es-ES"/>
          </w:rPr>
          <w:t xml:space="preserve">16,62 </w:t>
        </w:r>
        <w:r w:rsidR="00397B1B">
          <w:rPr>
            <w:szCs w:val="24"/>
            <w:lang w:val="es-ES"/>
          </w:rPr>
          <w:t>a</w:t>
        </w:r>
      </w:smartTag>
      <w:r>
        <w:rPr>
          <w:szCs w:val="24"/>
          <w:lang w:val="es-ES"/>
        </w:rPr>
        <w:t xml:space="preserve"> 53,70 euros </w:t>
      </w:r>
      <w:r w:rsidR="00D14C11">
        <w:rPr>
          <w:szCs w:val="24"/>
          <w:lang w:val="es-ES"/>
        </w:rPr>
        <w:t>mensuales</w:t>
      </w:r>
      <w:r>
        <w:rPr>
          <w:szCs w:val="24"/>
          <w:lang w:val="es-ES"/>
        </w:rPr>
        <w:t>.</w:t>
      </w:r>
    </w:p>
    <w:p w:rsidR="00DE6601" w:rsidRPr="00EE0800" w:rsidRDefault="00DE6601" w:rsidP="00637350">
      <w:pPr>
        <w:pStyle w:val="SingleTxtG"/>
        <w:rPr>
          <w:szCs w:val="24"/>
          <w:lang w:val="es-ES"/>
        </w:rPr>
      </w:pPr>
      <w:r w:rsidRPr="00E624B7">
        <w:rPr>
          <w:szCs w:val="24"/>
          <w:lang w:val="es-ES"/>
        </w:rPr>
        <w:t>196.</w:t>
      </w:r>
      <w:r w:rsidRPr="00E624B7">
        <w:rPr>
          <w:szCs w:val="24"/>
          <w:lang w:val="es-ES"/>
        </w:rPr>
        <w:tab/>
      </w:r>
      <w:r>
        <w:rPr>
          <w:szCs w:val="24"/>
          <w:lang w:val="es-ES"/>
        </w:rPr>
        <w:t>Con el fin de motivar a las personas discapacitadas para que participen en el mercado laboral, se estableció un nuevo tipo de prestación para ellas</w:t>
      </w:r>
      <w:r w:rsidR="00A41480">
        <w:rPr>
          <w:szCs w:val="24"/>
          <w:lang w:val="es-ES"/>
        </w:rPr>
        <w:t>, a saber,</w:t>
      </w:r>
      <w:r>
        <w:rPr>
          <w:szCs w:val="24"/>
          <w:lang w:val="es-ES"/>
        </w:rPr>
        <w:t xml:space="preserve"> la prestación por</w:t>
      </w:r>
      <w:r w:rsidR="00A41480">
        <w:rPr>
          <w:szCs w:val="24"/>
          <w:lang w:val="es-ES"/>
        </w:rPr>
        <w:t xml:space="preserve"> empleo,</w:t>
      </w:r>
      <w:r w:rsidRPr="00E624B7">
        <w:rPr>
          <w:szCs w:val="24"/>
          <w:lang w:val="es-ES"/>
        </w:rPr>
        <w:t xml:space="preserve"> </w:t>
      </w:r>
      <w:r w:rsidR="00A41480">
        <w:rPr>
          <w:szCs w:val="24"/>
          <w:lang w:val="es-ES"/>
        </w:rPr>
        <w:t>de la que es posible beneficiarse</w:t>
      </w:r>
      <w:r>
        <w:rPr>
          <w:szCs w:val="24"/>
          <w:lang w:val="es-ES"/>
        </w:rPr>
        <w:t xml:space="preserve"> hasta </w:t>
      </w:r>
      <w:r w:rsidR="00A41480">
        <w:rPr>
          <w:szCs w:val="24"/>
          <w:lang w:val="es-ES"/>
        </w:rPr>
        <w:t xml:space="preserve">los </w:t>
      </w:r>
      <w:r>
        <w:rPr>
          <w:szCs w:val="24"/>
          <w:lang w:val="es-ES"/>
        </w:rPr>
        <w:t>70 años a</w:t>
      </w:r>
      <w:r w:rsidR="00A41480">
        <w:rPr>
          <w:szCs w:val="24"/>
          <w:lang w:val="es-ES"/>
        </w:rPr>
        <w:t xml:space="preserve"> fin de</w:t>
      </w:r>
      <w:r w:rsidR="00227481">
        <w:rPr>
          <w:szCs w:val="24"/>
          <w:lang w:val="es-ES"/>
        </w:rPr>
        <w:t xml:space="preserve"> cubrir </w:t>
      </w:r>
      <w:r>
        <w:rPr>
          <w:szCs w:val="24"/>
          <w:lang w:val="es-ES"/>
        </w:rPr>
        <w:t xml:space="preserve">gastos </w:t>
      </w:r>
      <w:r w:rsidR="00227481">
        <w:rPr>
          <w:szCs w:val="24"/>
          <w:lang w:val="es-ES"/>
        </w:rPr>
        <w:t xml:space="preserve">derivados de la discapacidad y </w:t>
      </w:r>
      <w:r>
        <w:rPr>
          <w:szCs w:val="24"/>
          <w:lang w:val="es-ES"/>
        </w:rPr>
        <w:t>el empleo.</w:t>
      </w:r>
      <w:r w:rsidRPr="00EE0800">
        <w:rPr>
          <w:szCs w:val="24"/>
          <w:lang w:val="es-ES"/>
        </w:rPr>
        <w:t xml:space="preserve"> </w:t>
      </w:r>
      <w:r>
        <w:rPr>
          <w:szCs w:val="24"/>
          <w:lang w:val="es-ES"/>
        </w:rPr>
        <w:t>Entre e</w:t>
      </w:r>
      <w:r w:rsidR="00A41480">
        <w:rPr>
          <w:szCs w:val="24"/>
          <w:lang w:val="es-ES"/>
        </w:rPr>
        <w:t>sos gastos</w:t>
      </w:r>
      <w:r>
        <w:rPr>
          <w:szCs w:val="24"/>
          <w:lang w:val="es-ES"/>
        </w:rPr>
        <w:t xml:space="preserve"> pueden inclui</w:t>
      </w:r>
      <w:r w:rsidR="00D14C11">
        <w:rPr>
          <w:szCs w:val="24"/>
          <w:lang w:val="es-ES"/>
        </w:rPr>
        <w:t>rse los de transporte y los ocasionados por l</w:t>
      </w:r>
      <w:r>
        <w:rPr>
          <w:szCs w:val="24"/>
          <w:lang w:val="es-ES"/>
        </w:rPr>
        <w:t>a mayor necesidad de asisten</w:t>
      </w:r>
      <w:r w:rsidR="00A41480">
        <w:rPr>
          <w:szCs w:val="24"/>
          <w:lang w:val="es-ES"/>
        </w:rPr>
        <w:t>cia</w:t>
      </w:r>
      <w:r>
        <w:rPr>
          <w:szCs w:val="24"/>
          <w:lang w:val="es-ES"/>
        </w:rPr>
        <w:t xml:space="preserve"> o dispositivo</w:t>
      </w:r>
      <w:r w:rsidR="00A41480">
        <w:rPr>
          <w:szCs w:val="24"/>
          <w:lang w:val="es-ES"/>
        </w:rPr>
        <w:t>s</w:t>
      </w:r>
      <w:r>
        <w:rPr>
          <w:szCs w:val="24"/>
          <w:lang w:val="es-ES"/>
        </w:rPr>
        <w:t xml:space="preserve"> médico</w:t>
      </w:r>
      <w:r w:rsidR="00A41480">
        <w:rPr>
          <w:szCs w:val="24"/>
          <w:lang w:val="es-ES"/>
        </w:rPr>
        <w:t>s</w:t>
      </w:r>
      <w:r>
        <w:rPr>
          <w:szCs w:val="24"/>
          <w:lang w:val="es-ES"/>
        </w:rPr>
        <w:t xml:space="preserve">, entre otras cosas. La cuantía de </w:t>
      </w:r>
      <w:r w:rsidR="00A41480">
        <w:rPr>
          <w:szCs w:val="24"/>
          <w:lang w:val="es-ES"/>
        </w:rPr>
        <w:t>l</w:t>
      </w:r>
      <w:r>
        <w:rPr>
          <w:szCs w:val="24"/>
          <w:lang w:val="es-ES"/>
        </w:rPr>
        <w:t>a prestación es de 255,70 euros</w:t>
      </w:r>
      <w:r w:rsidR="00D14C11">
        <w:rPr>
          <w:szCs w:val="24"/>
          <w:lang w:val="es-ES"/>
        </w:rPr>
        <w:t xml:space="preserve"> </w:t>
      </w:r>
      <w:r w:rsidR="00A41480">
        <w:rPr>
          <w:szCs w:val="24"/>
          <w:lang w:val="es-ES"/>
        </w:rPr>
        <w:t xml:space="preserve">como máximo, </w:t>
      </w:r>
      <w:r w:rsidR="00D14C11">
        <w:rPr>
          <w:szCs w:val="24"/>
          <w:lang w:val="es-ES"/>
        </w:rPr>
        <w:t>pagaderos</w:t>
      </w:r>
      <w:r>
        <w:rPr>
          <w:szCs w:val="24"/>
          <w:lang w:val="es-ES"/>
        </w:rPr>
        <w:t xml:space="preserve"> en un período de tres años.</w:t>
      </w:r>
    </w:p>
    <w:p w:rsidR="00DE6601" w:rsidRPr="00E624B7" w:rsidRDefault="00DE6601" w:rsidP="00637350">
      <w:pPr>
        <w:pStyle w:val="SingleTxtG"/>
        <w:rPr>
          <w:szCs w:val="24"/>
          <w:lang w:val="es-ES"/>
        </w:rPr>
      </w:pPr>
      <w:r w:rsidRPr="00E624B7">
        <w:rPr>
          <w:szCs w:val="24"/>
          <w:lang w:val="es-ES"/>
        </w:rPr>
        <w:t>197.</w:t>
      </w:r>
      <w:r w:rsidRPr="00E624B7">
        <w:rPr>
          <w:szCs w:val="24"/>
          <w:lang w:val="es-ES"/>
        </w:rPr>
        <w:tab/>
      </w:r>
      <w:r>
        <w:rPr>
          <w:szCs w:val="24"/>
          <w:lang w:val="es-ES"/>
        </w:rPr>
        <w:t xml:space="preserve">Todas las personas que han </w:t>
      </w:r>
      <w:r w:rsidR="00A41480">
        <w:rPr>
          <w:szCs w:val="24"/>
          <w:lang w:val="es-ES"/>
        </w:rPr>
        <w:t xml:space="preserve">sido </w:t>
      </w:r>
      <w:r>
        <w:rPr>
          <w:szCs w:val="24"/>
          <w:lang w:val="es-ES"/>
        </w:rPr>
        <w:t>víctimas de negligencia, trato inadecuado, malos tratos físicos o psicológicos, abusos sexuales o lesiones</w:t>
      </w:r>
      <w:r w:rsidR="00A41480">
        <w:rPr>
          <w:szCs w:val="24"/>
          <w:lang w:val="es-ES"/>
        </w:rPr>
        <w:t>,</w:t>
      </w:r>
      <w:r>
        <w:rPr>
          <w:szCs w:val="24"/>
          <w:lang w:val="es-ES"/>
        </w:rPr>
        <w:t xml:space="preserve"> tienen derecho a </w:t>
      </w:r>
      <w:r w:rsidR="00B60B1E">
        <w:rPr>
          <w:szCs w:val="24"/>
          <w:lang w:val="es-ES"/>
        </w:rPr>
        <w:t xml:space="preserve">beneficiarse de </w:t>
      </w:r>
      <w:r w:rsidR="00227481">
        <w:rPr>
          <w:szCs w:val="24"/>
          <w:lang w:val="es-ES"/>
        </w:rPr>
        <w:t>apoyo a las</w:t>
      </w:r>
      <w:r>
        <w:rPr>
          <w:szCs w:val="24"/>
          <w:lang w:val="es-ES"/>
        </w:rPr>
        <w:t xml:space="preserve"> víctimas (</w:t>
      </w:r>
      <w:r w:rsidR="00B60B1E">
        <w:rPr>
          <w:szCs w:val="24"/>
          <w:lang w:val="es-ES"/>
        </w:rPr>
        <w:t xml:space="preserve">para obtener </w:t>
      </w:r>
      <w:r>
        <w:rPr>
          <w:szCs w:val="24"/>
          <w:lang w:val="es-ES"/>
        </w:rPr>
        <w:t xml:space="preserve">más información </w:t>
      </w:r>
      <w:r w:rsidR="00B60B1E">
        <w:rPr>
          <w:szCs w:val="24"/>
          <w:lang w:val="es-ES"/>
        </w:rPr>
        <w:t xml:space="preserve">al respecto, </w:t>
      </w:r>
      <w:r>
        <w:rPr>
          <w:szCs w:val="24"/>
          <w:lang w:val="es-ES"/>
        </w:rPr>
        <w:t>véanse los párrafos 306 a</w:t>
      </w:r>
      <w:r w:rsidR="009C33BF">
        <w:rPr>
          <w:szCs w:val="24"/>
          <w:lang w:val="es-ES"/>
        </w:rPr>
        <w:t> </w:t>
      </w:r>
      <w:r>
        <w:rPr>
          <w:szCs w:val="24"/>
          <w:lang w:val="es-ES"/>
        </w:rPr>
        <w:t>313).</w:t>
      </w:r>
    </w:p>
    <w:p w:rsidR="00DE6601" w:rsidRPr="00EE0800" w:rsidRDefault="00DE6601" w:rsidP="00637350">
      <w:pPr>
        <w:pStyle w:val="SingleTxtG"/>
        <w:rPr>
          <w:szCs w:val="24"/>
          <w:lang w:val="es-ES"/>
        </w:rPr>
      </w:pPr>
      <w:r w:rsidRPr="00E624B7">
        <w:rPr>
          <w:szCs w:val="24"/>
          <w:lang w:val="es-ES"/>
        </w:rPr>
        <w:t>198.</w:t>
      </w:r>
      <w:r w:rsidRPr="00E624B7">
        <w:rPr>
          <w:szCs w:val="24"/>
          <w:lang w:val="es-ES"/>
        </w:rPr>
        <w:tab/>
      </w:r>
      <w:r>
        <w:rPr>
          <w:szCs w:val="24"/>
          <w:lang w:val="es-ES"/>
        </w:rPr>
        <w:t xml:space="preserve">El 1 de diciembre de 2005, el Gobierno de </w:t>
      </w:r>
      <w:smartTag w:uri="urn:schemas-microsoft-com:office:smarttags" w:element="PersonName">
        <w:smartTagPr>
          <w:attr w:name="ProductID" w:val="la Rep￺blica"/>
        </w:smartTagPr>
        <w:r>
          <w:rPr>
            <w:szCs w:val="24"/>
            <w:lang w:val="es-ES"/>
          </w:rPr>
          <w:t>la República</w:t>
        </w:r>
      </w:smartTag>
      <w:r>
        <w:rPr>
          <w:szCs w:val="24"/>
          <w:lang w:val="es-ES"/>
        </w:rPr>
        <w:t xml:space="preserve"> aprobó la estrategia contra el VIH/SIDA</w:t>
      </w:r>
      <w:r w:rsidR="00A41480">
        <w:rPr>
          <w:szCs w:val="24"/>
          <w:lang w:val="es-ES"/>
        </w:rPr>
        <w:t xml:space="preserve"> para el período</w:t>
      </w:r>
      <w:r>
        <w:rPr>
          <w:szCs w:val="24"/>
          <w:lang w:val="es-ES"/>
        </w:rPr>
        <w:t xml:space="preserve"> 2006-2015. Su objetivo principal es lograr un</w:t>
      </w:r>
      <w:r w:rsidR="00A41480">
        <w:rPr>
          <w:szCs w:val="24"/>
          <w:lang w:val="es-ES"/>
        </w:rPr>
        <w:t>a</w:t>
      </w:r>
      <w:r>
        <w:rPr>
          <w:szCs w:val="24"/>
          <w:lang w:val="es-ES"/>
        </w:rPr>
        <w:t xml:space="preserve"> </w:t>
      </w:r>
      <w:r w:rsidR="00A41480">
        <w:rPr>
          <w:szCs w:val="24"/>
          <w:lang w:val="es-ES"/>
        </w:rPr>
        <w:t xml:space="preserve">reducción </w:t>
      </w:r>
      <w:r>
        <w:rPr>
          <w:szCs w:val="24"/>
          <w:lang w:val="es-ES"/>
        </w:rPr>
        <w:t>continu</w:t>
      </w:r>
      <w:r w:rsidR="00A41480">
        <w:rPr>
          <w:szCs w:val="24"/>
          <w:lang w:val="es-ES"/>
        </w:rPr>
        <w:t>a</w:t>
      </w:r>
      <w:r>
        <w:rPr>
          <w:szCs w:val="24"/>
          <w:lang w:val="es-ES"/>
        </w:rPr>
        <w:t xml:space="preserve"> de la aparición de nuevos casos de VIH/SIDA en Estonia. Entre </w:t>
      </w:r>
      <w:r w:rsidR="00290982">
        <w:rPr>
          <w:szCs w:val="24"/>
          <w:lang w:val="es-ES"/>
        </w:rPr>
        <w:t>sus prioridades</w:t>
      </w:r>
      <w:r>
        <w:rPr>
          <w:szCs w:val="24"/>
          <w:lang w:val="es-ES"/>
        </w:rPr>
        <w:t xml:space="preserve"> se incluyen la </w:t>
      </w:r>
      <w:r w:rsidR="00A41480">
        <w:rPr>
          <w:szCs w:val="24"/>
          <w:lang w:val="es-ES"/>
        </w:rPr>
        <w:t>disminu</w:t>
      </w:r>
      <w:r w:rsidR="00227481">
        <w:rPr>
          <w:szCs w:val="24"/>
          <w:lang w:val="es-ES"/>
        </w:rPr>
        <w:t>ción de</w:t>
      </w:r>
      <w:r w:rsidR="00A41480">
        <w:rPr>
          <w:szCs w:val="24"/>
          <w:lang w:val="es-ES"/>
        </w:rPr>
        <w:t xml:space="preserve"> </w:t>
      </w:r>
      <w:r>
        <w:rPr>
          <w:szCs w:val="24"/>
          <w:lang w:val="es-ES"/>
        </w:rPr>
        <w:t xml:space="preserve">daños entre </w:t>
      </w:r>
      <w:r w:rsidR="00A41480">
        <w:rPr>
          <w:szCs w:val="24"/>
          <w:lang w:val="es-ES"/>
        </w:rPr>
        <w:t xml:space="preserve">los </w:t>
      </w:r>
      <w:r>
        <w:rPr>
          <w:szCs w:val="24"/>
          <w:lang w:val="es-ES"/>
        </w:rPr>
        <w:t xml:space="preserve">consumidores de drogas inyectables y la labor preventiva entre los jóvenes, </w:t>
      </w:r>
      <w:r w:rsidR="00A41480">
        <w:rPr>
          <w:szCs w:val="24"/>
          <w:lang w:val="es-ES"/>
        </w:rPr>
        <w:t xml:space="preserve">con especial atención a </w:t>
      </w:r>
      <w:r>
        <w:rPr>
          <w:szCs w:val="24"/>
          <w:lang w:val="es-ES"/>
        </w:rPr>
        <w:t xml:space="preserve">los comportamientos de riesgo entre los jóvenes y la garantía de servicios sanitarios y sociales para </w:t>
      </w:r>
      <w:r w:rsidR="00290982">
        <w:rPr>
          <w:szCs w:val="24"/>
          <w:lang w:val="es-ES"/>
        </w:rPr>
        <w:t>las personas</w:t>
      </w:r>
      <w:r>
        <w:rPr>
          <w:szCs w:val="24"/>
          <w:lang w:val="es-ES"/>
        </w:rPr>
        <w:t xml:space="preserve"> que vive</w:t>
      </w:r>
      <w:r w:rsidR="00290982">
        <w:rPr>
          <w:szCs w:val="24"/>
          <w:lang w:val="es-ES"/>
        </w:rPr>
        <w:t>n</w:t>
      </w:r>
      <w:r>
        <w:rPr>
          <w:szCs w:val="24"/>
          <w:lang w:val="es-ES"/>
        </w:rPr>
        <w:t xml:space="preserve"> con el VIH.</w:t>
      </w:r>
    </w:p>
    <w:p w:rsidR="00DE6601" w:rsidRPr="00E624B7" w:rsidRDefault="00DE6601" w:rsidP="00637350">
      <w:pPr>
        <w:pStyle w:val="SingleTxtG"/>
        <w:rPr>
          <w:szCs w:val="24"/>
          <w:lang w:val="es-ES"/>
        </w:rPr>
      </w:pPr>
      <w:r w:rsidRPr="00E624B7">
        <w:rPr>
          <w:szCs w:val="24"/>
          <w:lang w:val="es-ES"/>
        </w:rPr>
        <w:t>199.</w:t>
      </w:r>
      <w:r w:rsidRPr="00E624B7">
        <w:rPr>
          <w:szCs w:val="24"/>
          <w:lang w:val="es-ES"/>
        </w:rPr>
        <w:tab/>
      </w:r>
      <w:r w:rsidR="009D0DF8">
        <w:rPr>
          <w:szCs w:val="24"/>
          <w:lang w:val="es-ES"/>
        </w:rPr>
        <w:t>El factor</w:t>
      </w:r>
      <w:r>
        <w:rPr>
          <w:szCs w:val="24"/>
          <w:lang w:val="es-ES"/>
        </w:rPr>
        <w:t xml:space="preserve"> </w:t>
      </w:r>
      <w:r w:rsidR="009D0DF8">
        <w:rPr>
          <w:szCs w:val="24"/>
          <w:lang w:val="es-ES"/>
        </w:rPr>
        <w:t xml:space="preserve">clave </w:t>
      </w:r>
      <w:r>
        <w:rPr>
          <w:szCs w:val="24"/>
          <w:lang w:val="es-ES"/>
        </w:rPr>
        <w:t>para detener la propagación de la infección por VIH y prevenir</w:t>
      </w:r>
      <w:r w:rsidR="009D0DF8">
        <w:rPr>
          <w:szCs w:val="24"/>
          <w:lang w:val="es-ES"/>
        </w:rPr>
        <w:t xml:space="preserve"> </w:t>
      </w:r>
      <w:r>
        <w:rPr>
          <w:szCs w:val="24"/>
          <w:lang w:val="es-ES"/>
        </w:rPr>
        <w:t>una epidemia generalizada es</w:t>
      </w:r>
      <w:r w:rsidR="00B60B1E">
        <w:rPr>
          <w:szCs w:val="24"/>
          <w:lang w:val="es-ES"/>
        </w:rPr>
        <w:t xml:space="preserve"> </w:t>
      </w:r>
      <w:r>
        <w:rPr>
          <w:szCs w:val="24"/>
          <w:lang w:val="es-ES"/>
        </w:rPr>
        <w:t>l</w:t>
      </w:r>
      <w:r w:rsidR="00B60B1E">
        <w:rPr>
          <w:szCs w:val="24"/>
          <w:lang w:val="es-ES"/>
        </w:rPr>
        <w:t>a</w:t>
      </w:r>
      <w:r>
        <w:rPr>
          <w:szCs w:val="24"/>
          <w:lang w:val="es-ES"/>
        </w:rPr>
        <w:t xml:space="preserve"> </w:t>
      </w:r>
      <w:r w:rsidR="00B60B1E">
        <w:rPr>
          <w:szCs w:val="24"/>
          <w:lang w:val="es-ES"/>
        </w:rPr>
        <w:t xml:space="preserve">labor desplegada en torno a </w:t>
      </w:r>
      <w:r>
        <w:rPr>
          <w:szCs w:val="24"/>
          <w:lang w:val="es-ES"/>
        </w:rPr>
        <w:t>los consumidores de drogas inyectables y sus parejas sexuales, los jóvenes en situación vulnerable y las personas infectadas por el VIH.</w:t>
      </w:r>
      <w:r w:rsidRPr="00E624B7">
        <w:rPr>
          <w:szCs w:val="24"/>
          <w:lang w:val="es-ES"/>
        </w:rPr>
        <w:t xml:space="preserve"> </w:t>
      </w:r>
    </w:p>
    <w:p w:rsidR="00DE6601" w:rsidRPr="00EE0800" w:rsidRDefault="00DE6601" w:rsidP="00637350">
      <w:pPr>
        <w:pStyle w:val="SingleTxtG"/>
        <w:rPr>
          <w:szCs w:val="24"/>
          <w:lang w:val="es-ES"/>
        </w:rPr>
      </w:pPr>
      <w:r w:rsidRPr="00E624B7">
        <w:rPr>
          <w:szCs w:val="24"/>
          <w:lang w:val="es-ES"/>
        </w:rPr>
        <w:t>200.</w:t>
      </w:r>
      <w:r w:rsidRPr="00E624B7">
        <w:rPr>
          <w:szCs w:val="24"/>
          <w:lang w:val="es-ES"/>
        </w:rPr>
        <w:tab/>
      </w:r>
      <w:r>
        <w:rPr>
          <w:szCs w:val="24"/>
          <w:lang w:val="es-ES"/>
        </w:rPr>
        <w:t>A nivel estatal, todos los años se elabora un plan de acción para el año siguiente en el que se examinan cuidadosamente las actividades previstas para los distintos grupos</w:t>
      </w:r>
      <w:r w:rsidR="00B60B1E">
        <w:rPr>
          <w:szCs w:val="24"/>
          <w:lang w:val="es-ES"/>
        </w:rPr>
        <w:t xml:space="preserve"> destinatarios</w:t>
      </w:r>
      <w:r>
        <w:rPr>
          <w:szCs w:val="24"/>
          <w:lang w:val="es-ES"/>
        </w:rPr>
        <w:t>.</w:t>
      </w:r>
      <w:r w:rsidRPr="00E624B7">
        <w:rPr>
          <w:szCs w:val="24"/>
          <w:lang w:val="es-ES"/>
        </w:rPr>
        <w:t xml:space="preserve"> </w:t>
      </w:r>
      <w:r w:rsidR="00290982">
        <w:rPr>
          <w:szCs w:val="24"/>
          <w:lang w:val="es-ES"/>
        </w:rPr>
        <w:t xml:space="preserve">Durante </w:t>
      </w:r>
      <w:r>
        <w:rPr>
          <w:szCs w:val="24"/>
          <w:lang w:val="es-ES"/>
        </w:rPr>
        <w:t xml:space="preserve">2012 se diseñó un nuevo plan de acción a largo plazo contra el VIH para el período 2013-2016, </w:t>
      </w:r>
      <w:r w:rsidR="009D0DF8">
        <w:rPr>
          <w:szCs w:val="24"/>
          <w:lang w:val="es-ES"/>
        </w:rPr>
        <w:t xml:space="preserve">con la </w:t>
      </w:r>
      <w:r>
        <w:rPr>
          <w:szCs w:val="24"/>
          <w:lang w:val="es-ES"/>
        </w:rPr>
        <w:t xml:space="preserve">participaron </w:t>
      </w:r>
      <w:r w:rsidR="009D0DF8">
        <w:rPr>
          <w:szCs w:val="24"/>
          <w:lang w:val="es-ES"/>
        </w:rPr>
        <w:t xml:space="preserve">de </w:t>
      </w:r>
      <w:r>
        <w:rPr>
          <w:szCs w:val="24"/>
          <w:lang w:val="es-ES"/>
        </w:rPr>
        <w:t xml:space="preserve">todos los especialistas y asociados para la cooperación </w:t>
      </w:r>
      <w:r w:rsidR="009D0DF8">
        <w:rPr>
          <w:szCs w:val="24"/>
          <w:lang w:val="es-ES"/>
        </w:rPr>
        <w:t xml:space="preserve">más destacados </w:t>
      </w:r>
      <w:r>
        <w:rPr>
          <w:szCs w:val="24"/>
          <w:lang w:val="es-ES"/>
        </w:rPr>
        <w:t>e</w:t>
      </w:r>
      <w:r w:rsidR="009D0DF8">
        <w:rPr>
          <w:szCs w:val="24"/>
          <w:lang w:val="es-ES"/>
        </w:rPr>
        <w:t>n</w:t>
      </w:r>
      <w:r>
        <w:rPr>
          <w:szCs w:val="24"/>
          <w:lang w:val="es-ES"/>
        </w:rPr>
        <w:t xml:space="preserve"> </w:t>
      </w:r>
      <w:r w:rsidR="009D0DF8">
        <w:rPr>
          <w:szCs w:val="24"/>
          <w:lang w:val="es-ES"/>
        </w:rPr>
        <w:t>sus respectivas esferas de actividad</w:t>
      </w:r>
      <w:r>
        <w:rPr>
          <w:szCs w:val="24"/>
          <w:lang w:val="es-ES"/>
        </w:rPr>
        <w:t>.</w:t>
      </w:r>
      <w:r w:rsidRPr="00EE0800">
        <w:rPr>
          <w:szCs w:val="24"/>
          <w:lang w:val="es-ES"/>
        </w:rPr>
        <w:t xml:space="preserve"> </w:t>
      </w:r>
      <w:r>
        <w:rPr>
          <w:szCs w:val="24"/>
          <w:lang w:val="es-ES"/>
        </w:rPr>
        <w:t xml:space="preserve">El nuevo plan de acción contra el VIH está vinculado al Plan de Desarrollo de </w:t>
      </w:r>
      <w:smartTag w:uri="urn:schemas-microsoft-com:office:smarttags" w:element="PersonName">
        <w:smartTagPr>
          <w:attr w:name="ProductID" w:val="la Salud"/>
        </w:smartTagPr>
        <w:r>
          <w:rPr>
            <w:szCs w:val="24"/>
            <w:lang w:val="es-ES"/>
          </w:rPr>
          <w:t>la Salud</w:t>
        </w:r>
      </w:smartTag>
      <w:r>
        <w:rPr>
          <w:szCs w:val="24"/>
          <w:lang w:val="es-ES"/>
        </w:rPr>
        <w:t xml:space="preserve"> de </w:t>
      </w:r>
      <w:smartTag w:uri="urn:schemas-microsoft-com:office:smarttags" w:element="PersonName">
        <w:smartTagPr>
          <w:attr w:name="ProductID" w:val="la Poblaci￳n"/>
        </w:smartTagPr>
        <w:r>
          <w:rPr>
            <w:szCs w:val="24"/>
            <w:lang w:val="es-ES"/>
          </w:rPr>
          <w:t>la Población</w:t>
        </w:r>
      </w:smartTag>
      <w:r>
        <w:rPr>
          <w:szCs w:val="24"/>
          <w:lang w:val="es-ES"/>
        </w:rPr>
        <w:t xml:space="preserve">, </w:t>
      </w:r>
      <w:r w:rsidR="00C8303A">
        <w:rPr>
          <w:szCs w:val="24"/>
          <w:lang w:val="es-ES"/>
        </w:rPr>
        <w:t xml:space="preserve">e </w:t>
      </w:r>
      <w:r w:rsidR="009D0DF8">
        <w:rPr>
          <w:szCs w:val="24"/>
          <w:lang w:val="es-ES"/>
        </w:rPr>
        <w:t>incluye</w:t>
      </w:r>
      <w:r>
        <w:rPr>
          <w:szCs w:val="24"/>
          <w:lang w:val="es-ES"/>
        </w:rPr>
        <w:t xml:space="preserve"> también un plan de acción estratégica contra el VIH</w:t>
      </w:r>
      <w:r w:rsidR="00C8303A">
        <w:rPr>
          <w:szCs w:val="24"/>
          <w:lang w:val="es-ES"/>
        </w:rPr>
        <w:t xml:space="preserve"> como uno de sus componentes principales</w:t>
      </w:r>
      <w:r>
        <w:rPr>
          <w:szCs w:val="24"/>
          <w:lang w:val="es-ES"/>
        </w:rPr>
        <w:t>.</w:t>
      </w:r>
      <w:r w:rsidRPr="00EE0800">
        <w:rPr>
          <w:szCs w:val="24"/>
          <w:lang w:val="es-ES"/>
        </w:rPr>
        <w:t xml:space="preserve"> </w:t>
      </w:r>
      <w:r>
        <w:rPr>
          <w:szCs w:val="24"/>
          <w:lang w:val="es-ES"/>
        </w:rPr>
        <w:t>El plan de acción incluye diversos servicios rela</w:t>
      </w:r>
      <w:r w:rsidR="00C8303A">
        <w:rPr>
          <w:szCs w:val="24"/>
          <w:lang w:val="es-ES"/>
        </w:rPr>
        <w:t>c</w:t>
      </w:r>
      <w:r>
        <w:rPr>
          <w:szCs w:val="24"/>
          <w:lang w:val="es-ES"/>
        </w:rPr>
        <w:t>io</w:t>
      </w:r>
      <w:r w:rsidR="00C8303A">
        <w:rPr>
          <w:szCs w:val="24"/>
          <w:lang w:val="es-ES"/>
        </w:rPr>
        <w:t>nado</w:t>
      </w:r>
      <w:r>
        <w:rPr>
          <w:szCs w:val="24"/>
          <w:lang w:val="es-ES"/>
        </w:rPr>
        <w:t xml:space="preserve">s </w:t>
      </w:r>
      <w:r w:rsidR="00C8303A">
        <w:rPr>
          <w:szCs w:val="24"/>
          <w:lang w:val="es-ES"/>
        </w:rPr>
        <w:t>con</w:t>
      </w:r>
      <w:r>
        <w:rPr>
          <w:szCs w:val="24"/>
          <w:lang w:val="es-ES"/>
        </w:rPr>
        <w:t xml:space="preserve"> la prevención y </w:t>
      </w:r>
      <w:r w:rsidR="00C8303A">
        <w:rPr>
          <w:szCs w:val="24"/>
          <w:lang w:val="es-ES"/>
        </w:rPr>
        <w:t>e</w:t>
      </w:r>
      <w:r>
        <w:rPr>
          <w:szCs w:val="24"/>
          <w:lang w:val="es-ES"/>
        </w:rPr>
        <w:t>l tratamiento médico</w:t>
      </w:r>
      <w:r w:rsidR="00C8303A">
        <w:rPr>
          <w:szCs w:val="24"/>
          <w:lang w:val="es-ES"/>
        </w:rPr>
        <w:t>,</w:t>
      </w:r>
      <w:r>
        <w:rPr>
          <w:szCs w:val="24"/>
          <w:lang w:val="es-ES"/>
        </w:rPr>
        <w:t xml:space="preserve"> d</w:t>
      </w:r>
      <w:r w:rsidR="00C8303A">
        <w:rPr>
          <w:szCs w:val="24"/>
          <w:lang w:val="es-ES"/>
        </w:rPr>
        <w:t>estinados</w:t>
      </w:r>
      <w:r>
        <w:rPr>
          <w:szCs w:val="24"/>
          <w:lang w:val="es-ES"/>
        </w:rPr>
        <w:t xml:space="preserve"> e</w:t>
      </w:r>
      <w:r w:rsidR="005C10B2">
        <w:rPr>
          <w:szCs w:val="24"/>
          <w:lang w:val="es-ES"/>
        </w:rPr>
        <w:t>n particular</w:t>
      </w:r>
      <w:r>
        <w:rPr>
          <w:szCs w:val="24"/>
          <w:lang w:val="es-ES"/>
        </w:rPr>
        <w:t xml:space="preserve"> al grupo de los toxicómanos, al tiempo que se </w:t>
      </w:r>
      <w:r w:rsidR="00C8303A">
        <w:rPr>
          <w:szCs w:val="24"/>
          <w:lang w:val="es-ES"/>
        </w:rPr>
        <w:t xml:space="preserve">educa </w:t>
      </w:r>
      <w:r>
        <w:rPr>
          <w:szCs w:val="24"/>
          <w:lang w:val="es-ES"/>
        </w:rPr>
        <w:t xml:space="preserve">al público </w:t>
      </w:r>
      <w:r w:rsidR="00C8303A">
        <w:rPr>
          <w:szCs w:val="24"/>
          <w:lang w:val="es-ES"/>
        </w:rPr>
        <w:t xml:space="preserve">activamente </w:t>
      </w:r>
      <w:r>
        <w:rPr>
          <w:szCs w:val="24"/>
          <w:lang w:val="es-ES"/>
        </w:rPr>
        <w:t>sobre e</w:t>
      </w:r>
      <w:r w:rsidR="005C10B2">
        <w:rPr>
          <w:szCs w:val="24"/>
          <w:lang w:val="es-ES"/>
        </w:rPr>
        <w:t>l</w:t>
      </w:r>
      <w:r>
        <w:rPr>
          <w:szCs w:val="24"/>
          <w:lang w:val="es-ES"/>
        </w:rPr>
        <w:t xml:space="preserve"> tema.</w:t>
      </w:r>
      <w:r w:rsidRPr="00EE0800">
        <w:rPr>
          <w:szCs w:val="24"/>
          <w:lang w:val="es-ES"/>
        </w:rPr>
        <w:t xml:space="preserve"> </w:t>
      </w:r>
      <w:r>
        <w:rPr>
          <w:szCs w:val="24"/>
          <w:lang w:val="es-ES"/>
        </w:rPr>
        <w:t xml:space="preserve">Con el fin de prevenir el VIH y la adicción a las drogas, </w:t>
      </w:r>
      <w:r w:rsidR="00C8303A">
        <w:rPr>
          <w:szCs w:val="24"/>
          <w:lang w:val="es-ES"/>
        </w:rPr>
        <w:t xml:space="preserve">continuamente </w:t>
      </w:r>
      <w:r>
        <w:rPr>
          <w:szCs w:val="24"/>
          <w:lang w:val="es-ES"/>
        </w:rPr>
        <w:t xml:space="preserve">se organizan amplias campañas informativas para sensibilizar </w:t>
      </w:r>
      <w:r w:rsidR="00C8303A">
        <w:rPr>
          <w:szCs w:val="24"/>
          <w:lang w:val="es-ES"/>
        </w:rPr>
        <w:t xml:space="preserve">a </w:t>
      </w:r>
      <w:r>
        <w:rPr>
          <w:szCs w:val="24"/>
          <w:lang w:val="es-ES"/>
        </w:rPr>
        <w:t xml:space="preserve">la población sobre </w:t>
      </w:r>
      <w:r w:rsidR="00290982">
        <w:rPr>
          <w:szCs w:val="24"/>
          <w:lang w:val="es-ES"/>
        </w:rPr>
        <w:t>los comportamientos</w:t>
      </w:r>
      <w:r>
        <w:rPr>
          <w:szCs w:val="24"/>
          <w:lang w:val="es-ES"/>
        </w:rPr>
        <w:t xml:space="preserve"> de riesgo.</w:t>
      </w:r>
    </w:p>
    <w:p w:rsidR="00DE6601" w:rsidRPr="00EE0800" w:rsidRDefault="00DE6601" w:rsidP="00637350">
      <w:pPr>
        <w:pStyle w:val="SingleTxtG"/>
        <w:rPr>
          <w:szCs w:val="24"/>
          <w:lang w:val="es-ES"/>
        </w:rPr>
      </w:pPr>
      <w:r w:rsidRPr="00E624B7">
        <w:rPr>
          <w:szCs w:val="24"/>
          <w:lang w:val="es-ES"/>
        </w:rPr>
        <w:t>201.</w:t>
      </w:r>
      <w:r w:rsidRPr="00E624B7">
        <w:rPr>
          <w:szCs w:val="24"/>
          <w:lang w:val="es-ES"/>
        </w:rPr>
        <w:tab/>
      </w:r>
      <w:r w:rsidR="005C10B2">
        <w:rPr>
          <w:szCs w:val="24"/>
          <w:lang w:val="es-ES"/>
        </w:rPr>
        <w:t>A</w:t>
      </w:r>
      <w:r>
        <w:rPr>
          <w:szCs w:val="24"/>
          <w:lang w:val="es-ES"/>
        </w:rPr>
        <w:t>l planifica</w:t>
      </w:r>
      <w:r w:rsidR="005C10B2">
        <w:rPr>
          <w:szCs w:val="24"/>
          <w:lang w:val="es-ES"/>
        </w:rPr>
        <w:t>r</w:t>
      </w:r>
      <w:r>
        <w:rPr>
          <w:szCs w:val="24"/>
          <w:lang w:val="es-ES"/>
        </w:rPr>
        <w:t xml:space="preserve"> las actividades en la esfera del VIH y la adicción a las drogas</w:t>
      </w:r>
      <w:r w:rsidR="00227481">
        <w:rPr>
          <w:szCs w:val="24"/>
          <w:lang w:val="es-ES"/>
        </w:rPr>
        <w:t>,</w:t>
      </w:r>
      <w:r>
        <w:rPr>
          <w:szCs w:val="24"/>
          <w:lang w:val="es-ES"/>
        </w:rPr>
        <w:t xml:space="preserve"> se tiene en cuenta la especial naturaleza de los servicios dirigidos a la población no estonia.</w:t>
      </w:r>
      <w:r w:rsidRPr="00E624B7">
        <w:rPr>
          <w:szCs w:val="24"/>
          <w:lang w:val="es-ES"/>
        </w:rPr>
        <w:t xml:space="preserve"> </w:t>
      </w:r>
      <w:r>
        <w:rPr>
          <w:szCs w:val="24"/>
          <w:lang w:val="es-ES"/>
        </w:rPr>
        <w:t>Todo el material didáctico e informativo y las actividades de información en su conjunto están disponibles en estonio y en ruso.</w:t>
      </w:r>
      <w:r w:rsidRPr="00EE0800">
        <w:rPr>
          <w:szCs w:val="24"/>
          <w:lang w:val="es-ES"/>
        </w:rPr>
        <w:t xml:space="preserve"> </w:t>
      </w:r>
      <w:r>
        <w:rPr>
          <w:szCs w:val="24"/>
          <w:lang w:val="es-ES"/>
        </w:rPr>
        <w:t>También se organizan cursos de formación para grupos de interés y especialistas en ambos idiomas.</w:t>
      </w:r>
      <w:r w:rsidRPr="00EE0800">
        <w:rPr>
          <w:szCs w:val="24"/>
          <w:lang w:val="es-ES"/>
        </w:rPr>
        <w:t xml:space="preserve"> </w:t>
      </w:r>
      <w:r>
        <w:rPr>
          <w:szCs w:val="24"/>
          <w:lang w:val="es-ES"/>
        </w:rPr>
        <w:t>Además, se llevan a cabo actividades especialmente dirigidas a grupos minoritarios.</w:t>
      </w:r>
      <w:r w:rsidRPr="00EE0800">
        <w:rPr>
          <w:szCs w:val="24"/>
          <w:lang w:val="es-ES"/>
        </w:rPr>
        <w:t xml:space="preserve"> </w:t>
      </w:r>
      <w:r>
        <w:rPr>
          <w:szCs w:val="24"/>
          <w:lang w:val="es-ES"/>
        </w:rPr>
        <w:t xml:space="preserve">Las medidas estratégicas se dirigen </w:t>
      </w:r>
      <w:r w:rsidR="005C10B2">
        <w:rPr>
          <w:szCs w:val="24"/>
          <w:lang w:val="es-ES"/>
        </w:rPr>
        <w:t xml:space="preserve">en </w:t>
      </w:r>
      <w:r>
        <w:rPr>
          <w:szCs w:val="24"/>
          <w:lang w:val="es-ES"/>
        </w:rPr>
        <w:t>p</w:t>
      </w:r>
      <w:r w:rsidR="005C10B2">
        <w:rPr>
          <w:szCs w:val="24"/>
          <w:lang w:val="es-ES"/>
        </w:rPr>
        <w:t>articular</w:t>
      </w:r>
      <w:r w:rsidR="005466A4">
        <w:rPr>
          <w:szCs w:val="24"/>
          <w:lang w:val="es-ES"/>
        </w:rPr>
        <w:t xml:space="preserve"> </w:t>
      </w:r>
      <w:r>
        <w:rPr>
          <w:szCs w:val="24"/>
          <w:lang w:val="es-ES"/>
        </w:rPr>
        <w:t>a los</w:t>
      </w:r>
      <w:r w:rsidR="005C10B2">
        <w:rPr>
          <w:szCs w:val="24"/>
          <w:lang w:val="es-ES"/>
        </w:rPr>
        <w:t xml:space="preserve"> grupos destinatarios</w:t>
      </w:r>
      <w:r>
        <w:rPr>
          <w:szCs w:val="24"/>
          <w:lang w:val="es-ES"/>
        </w:rPr>
        <w:t xml:space="preserve">, por lo que siempre se tiene en cuenta </w:t>
      </w:r>
      <w:r w:rsidR="00290982">
        <w:rPr>
          <w:szCs w:val="24"/>
          <w:lang w:val="es-ES"/>
        </w:rPr>
        <w:t>el</w:t>
      </w:r>
      <w:r>
        <w:rPr>
          <w:szCs w:val="24"/>
          <w:lang w:val="es-ES"/>
        </w:rPr>
        <w:t xml:space="preserve"> origen étnico de las personas que requieren ayuda.</w:t>
      </w:r>
    </w:p>
    <w:p w:rsidR="00DE6601" w:rsidRPr="00EE0800" w:rsidRDefault="00DE6601" w:rsidP="00637350">
      <w:pPr>
        <w:pStyle w:val="H4G"/>
        <w:rPr>
          <w:lang w:val="es-ES"/>
        </w:rPr>
      </w:pPr>
      <w:r w:rsidRPr="00EE0800">
        <w:rPr>
          <w:lang w:val="es-ES"/>
        </w:rPr>
        <w:tab/>
      </w:r>
      <w:r>
        <w:rPr>
          <w:lang w:val="es-ES"/>
        </w:rPr>
        <w:t>v)</w:t>
      </w:r>
      <w:r w:rsidRPr="00EE0800">
        <w:rPr>
          <w:lang w:val="es-ES"/>
        </w:rPr>
        <w:tab/>
      </w:r>
      <w:r>
        <w:rPr>
          <w:lang w:val="es-ES"/>
        </w:rPr>
        <w:t>El derecho a la educación y la formación profesional</w:t>
      </w:r>
    </w:p>
    <w:p w:rsidR="00DE6601" w:rsidRPr="00EE0800" w:rsidRDefault="00DE6601" w:rsidP="00637350">
      <w:pPr>
        <w:pStyle w:val="SingleTxtG"/>
        <w:rPr>
          <w:szCs w:val="24"/>
          <w:lang w:val="es-ES"/>
        </w:rPr>
      </w:pPr>
      <w:r w:rsidRPr="00E624B7">
        <w:rPr>
          <w:szCs w:val="24"/>
          <w:lang w:val="es-ES"/>
        </w:rPr>
        <w:t>202.</w:t>
      </w:r>
      <w:r w:rsidRPr="00E624B7">
        <w:rPr>
          <w:szCs w:val="24"/>
          <w:lang w:val="es-ES"/>
        </w:rPr>
        <w:tab/>
      </w:r>
      <w:r>
        <w:rPr>
          <w:szCs w:val="24"/>
          <w:lang w:val="es-ES"/>
        </w:rPr>
        <w:t xml:space="preserve">De conformidad con </w:t>
      </w:r>
      <w:smartTag w:uri="urn:schemas-microsoft-com:office:smarttags" w:element="PersonName">
        <w:smartTagPr>
          <w:attr w:name="ProductID" w:val="la Constituci￳n"/>
        </w:smartTagPr>
        <w:r>
          <w:rPr>
            <w:szCs w:val="24"/>
            <w:lang w:val="es-ES"/>
          </w:rPr>
          <w:t>la Constitución</w:t>
        </w:r>
      </w:smartTag>
      <w:r>
        <w:rPr>
          <w:szCs w:val="24"/>
          <w:lang w:val="es-ES"/>
        </w:rPr>
        <w:t xml:space="preserve"> de </w:t>
      </w:r>
      <w:smartTag w:uri="urn:schemas-microsoft-com:office:smarttags" w:element="PersonName">
        <w:smartTagPr>
          <w:attr w:name="ProductID" w:val="la Rep￺blica"/>
        </w:smartTagPr>
        <w:r>
          <w:rPr>
            <w:szCs w:val="24"/>
            <w:lang w:val="es-ES"/>
          </w:rPr>
          <w:t>la República</w:t>
        </w:r>
      </w:smartTag>
      <w:r>
        <w:rPr>
          <w:szCs w:val="24"/>
          <w:lang w:val="es-ES"/>
        </w:rPr>
        <w:t xml:space="preserve"> de Estonia, </w:t>
      </w:r>
      <w:smartTag w:uri="urn:schemas-microsoft-com:office:smarttags" w:element="PersonName">
        <w:smartTagPr>
          <w:attr w:name="ProductID" w:val="La Ley"/>
        </w:smartTagPr>
        <w:r>
          <w:rPr>
            <w:szCs w:val="24"/>
            <w:lang w:val="es-ES"/>
          </w:rPr>
          <w:t>la Ley</w:t>
        </w:r>
      </w:smartTag>
      <w:r>
        <w:rPr>
          <w:szCs w:val="24"/>
          <w:lang w:val="es-ES"/>
        </w:rPr>
        <w:t xml:space="preserve"> de </w:t>
      </w:r>
      <w:r w:rsidR="005554AF">
        <w:rPr>
          <w:szCs w:val="24"/>
          <w:lang w:val="es-ES"/>
        </w:rPr>
        <w:t>educación</w:t>
      </w:r>
      <w:r>
        <w:rPr>
          <w:szCs w:val="24"/>
          <w:lang w:val="es-ES"/>
        </w:rPr>
        <w:t xml:space="preserve">, </w:t>
      </w:r>
      <w:smartTag w:uri="urn:schemas-microsoft-com:office:smarttags" w:element="PersonName">
        <w:smartTagPr>
          <w:attr w:name="ProductID" w:val="La Ley"/>
        </w:smartTagPr>
        <w:r>
          <w:rPr>
            <w:szCs w:val="24"/>
            <w:lang w:val="es-ES"/>
          </w:rPr>
          <w:t>la Ley</w:t>
        </w:r>
      </w:smartTag>
      <w:r>
        <w:rPr>
          <w:szCs w:val="24"/>
          <w:lang w:val="es-ES"/>
        </w:rPr>
        <w:t xml:space="preserve"> de centros de atención infantil preescolar, </w:t>
      </w:r>
      <w:smartTag w:uri="urn:schemas-microsoft-com:office:smarttags" w:element="PersonName">
        <w:smartTagPr>
          <w:attr w:name="ProductID" w:val="La Ley"/>
        </w:smartTagPr>
        <w:r>
          <w:rPr>
            <w:szCs w:val="24"/>
            <w:lang w:val="es-ES"/>
          </w:rPr>
          <w:t>la Ley</w:t>
        </w:r>
      </w:smartTag>
      <w:r>
        <w:rPr>
          <w:szCs w:val="24"/>
          <w:lang w:val="es-ES"/>
        </w:rPr>
        <w:t xml:space="preserve"> de enseñanza media elemental y superior, </w:t>
      </w:r>
      <w:smartTag w:uri="urn:schemas-microsoft-com:office:smarttags" w:element="PersonName">
        <w:smartTagPr>
          <w:attr w:name="ProductID" w:val="La Ley"/>
        </w:smartTagPr>
        <w:r>
          <w:rPr>
            <w:szCs w:val="24"/>
            <w:lang w:val="es-ES"/>
          </w:rPr>
          <w:t>la Ley</w:t>
        </w:r>
      </w:smartTag>
      <w:r>
        <w:rPr>
          <w:szCs w:val="24"/>
          <w:lang w:val="es-ES"/>
        </w:rPr>
        <w:t xml:space="preserve"> de </w:t>
      </w:r>
      <w:r w:rsidR="005C10B2">
        <w:rPr>
          <w:szCs w:val="24"/>
          <w:lang w:val="es-ES"/>
        </w:rPr>
        <w:t>escuelas</w:t>
      </w:r>
      <w:r>
        <w:rPr>
          <w:szCs w:val="24"/>
          <w:lang w:val="es-ES"/>
        </w:rPr>
        <w:t xml:space="preserve"> privada</w:t>
      </w:r>
      <w:r w:rsidR="005C10B2">
        <w:rPr>
          <w:szCs w:val="24"/>
          <w:lang w:val="es-ES"/>
        </w:rPr>
        <w:t>s</w:t>
      </w:r>
      <w:r>
        <w:rPr>
          <w:szCs w:val="24"/>
          <w:lang w:val="es-ES"/>
        </w:rPr>
        <w:t xml:space="preserve">, </w:t>
      </w:r>
      <w:smartTag w:uri="urn:schemas-microsoft-com:office:smarttags" w:element="PersonName">
        <w:smartTagPr>
          <w:attr w:name="ProductID" w:val="La Ley"/>
        </w:smartTagPr>
        <w:r>
          <w:rPr>
            <w:szCs w:val="24"/>
            <w:lang w:val="es-ES"/>
          </w:rPr>
          <w:t>la Ley</w:t>
        </w:r>
      </w:smartTag>
      <w:r>
        <w:rPr>
          <w:szCs w:val="24"/>
          <w:lang w:val="es-ES"/>
        </w:rPr>
        <w:t xml:space="preserve"> de centros de formación profesional, </w:t>
      </w:r>
      <w:smartTag w:uri="urn:schemas-microsoft-com:office:smarttags" w:element="PersonName">
        <w:smartTagPr>
          <w:attr w:name="ProductID" w:val="La Ley"/>
        </w:smartTagPr>
        <w:r>
          <w:rPr>
            <w:szCs w:val="24"/>
            <w:lang w:val="es-ES"/>
          </w:rPr>
          <w:t>la Ley</w:t>
        </w:r>
      </w:smartTag>
      <w:r>
        <w:rPr>
          <w:szCs w:val="24"/>
          <w:lang w:val="es-ES"/>
        </w:rPr>
        <w:t xml:space="preserve"> de centros de educación superior y </w:t>
      </w:r>
      <w:smartTag w:uri="urn:schemas-microsoft-com:office:smarttags" w:element="PersonName">
        <w:smartTagPr>
          <w:attr w:name="ProductID" w:val="La Ley"/>
        </w:smartTagPr>
        <w:r>
          <w:rPr>
            <w:szCs w:val="24"/>
            <w:lang w:val="es-ES"/>
          </w:rPr>
          <w:t>la Ley</w:t>
        </w:r>
      </w:smartTag>
      <w:r>
        <w:rPr>
          <w:szCs w:val="24"/>
          <w:lang w:val="es-ES"/>
        </w:rPr>
        <w:t xml:space="preserve"> de universidades, todos los beneficiarios de protección internacional que se encuentren en Estonia de forma legal y todas las personas que soliciten</w:t>
      </w:r>
      <w:r w:rsidR="00047A67">
        <w:rPr>
          <w:szCs w:val="24"/>
          <w:lang w:val="es-ES"/>
        </w:rPr>
        <w:t xml:space="preserve"> protección internacional tendrán</w:t>
      </w:r>
      <w:r>
        <w:rPr>
          <w:szCs w:val="24"/>
          <w:lang w:val="es-ES"/>
        </w:rPr>
        <w:t xml:space="preserve"> derecho a recibir educación en las condiciones estipuladas.</w:t>
      </w:r>
      <w:r w:rsidRPr="00E624B7">
        <w:rPr>
          <w:szCs w:val="24"/>
          <w:lang w:val="es-ES"/>
        </w:rPr>
        <w:t xml:space="preserve"> </w:t>
      </w:r>
      <w:r>
        <w:rPr>
          <w:szCs w:val="24"/>
          <w:lang w:val="es-ES"/>
        </w:rPr>
        <w:t>El acce</w:t>
      </w:r>
      <w:r w:rsidR="00BE7123">
        <w:rPr>
          <w:szCs w:val="24"/>
          <w:lang w:val="es-ES"/>
        </w:rPr>
        <w:t>so a la educación no depende del idioma</w:t>
      </w:r>
      <w:r w:rsidR="00047A67">
        <w:rPr>
          <w:szCs w:val="24"/>
          <w:lang w:val="es-ES"/>
        </w:rPr>
        <w:t>,</w:t>
      </w:r>
      <w:r w:rsidR="00666356">
        <w:rPr>
          <w:szCs w:val="24"/>
          <w:lang w:val="es-ES"/>
        </w:rPr>
        <w:t xml:space="preserve"> </w:t>
      </w:r>
      <w:r>
        <w:rPr>
          <w:szCs w:val="24"/>
          <w:lang w:val="es-ES"/>
        </w:rPr>
        <w:t>l</w:t>
      </w:r>
      <w:r w:rsidR="00666356">
        <w:rPr>
          <w:szCs w:val="24"/>
          <w:lang w:val="es-ES"/>
        </w:rPr>
        <w:t>os</w:t>
      </w:r>
      <w:r>
        <w:rPr>
          <w:szCs w:val="24"/>
          <w:lang w:val="es-ES"/>
        </w:rPr>
        <w:t xml:space="preserve"> </w:t>
      </w:r>
      <w:r w:rsidR="00666356">
        <w:rPr>
          <w:szCs w:val="24"/>
          <w:lang w:val="es-ES"/>
        </w:rPr>
        <w:t xml:space="preserve">antecedentes </w:t>
      </w:r>
      <w:r>
        <w:rPr>
          <w:szCs w:val="24"/>
          <w:lang w:val="es-ES"/>
        </w:rPr>
        <w:t>cultural</w:t>
      </w:r>
      <w:r w:rsidR="00666356">
        <w:rPr>
          <w:szCs w:val="24"/>
          <w:lang w:val="es-ES"/>
        </w:rPr>
        <w:t>es</w:t>
      </w:r>
      <w:r>
        <w:rPr>
          <w:szCs w:val="24"/>
          <w:lang w:val="es-ES"/>
        </w:rPr>
        <w:t xml:space="preserve"> y racial</w:t>
      </w:r>
      <w:r w:rsidR="00666356">
        <w:rPr>
          <w:szCs w:val="24"/>
          <w:lang w:val="es-ES"/>
        </w:rPr>
        <w:t>es</w:t>
      </w:r>
      <w:r w:rsidR="00047A67">
        <w:rPr>
          <w:szCs w:val="24"/>
          <w:lang w:val="es-ES"/>
        </w:rPr>
        <w:t xml:space="preserve"> o</w:t>
      </w:r>
      <w:r>
        <w:rPr>
          <w:szCs w:val="24"/>
          <w:lang w:val="es-ES"/>
        </w:rPr>
        <w:t xml:space="preserve"> las creencias religiosas de </w:t>
      </w:r>
      <w:r w:rsidR="00666356">
        <w:rPr>
          <w:szCs w:val="24"/>
          <w:lang w:val="es-ES"/>
        </w:rPr>
        <w:t xml:space="preserve">las </w:t>
      </w:r>
      <w:r>
        <w:rPr>
          <w:szCs w:val="24"/>
          <w:lang w:val="es-ES"/>
        </w:rPr>
        <w:t>persona</w:t>
      </w:r>
      <w:r w:rsidR="00666356">
        <w:rPr>
          <w:szCs w:val="24"/>
          <w:lang w:val="es-ES"/>
        </w:rPr>
        <w:t>s</w:t>
      </w:r>
      <w:r>
        <w:rPr>
          <w:szCs w:val="24"/>
          <w:lang w:val="es-ES"/>
        </w:rPr>
        <w:t>.</w:t>
      </w:r>
      <w:r w:rsidRPr="00EE0800">
        <w:rPr>
          <w:szCs w:val="24"/>
          <w:lang w:val="es-ES"/>
        </w:rPr>
        <w:t xml:space="preserve"> </w:t>
      </w:r>
      <w:r>
        <w:rPr>
          <w:szCs w:val="24"/>
          <w:lang w:val="es-ES"/>
        </w:rPr>
        <w:t>La legislación que regula el acceso a la educación no ha cambiado con respecto al período examinado en el informe anterior; vé</w:t>
      </w:r>
      <w:r w:rsidR="00047A67">
        <w:rPr>
          <w:szCs w:val="24"/>
          <w:lang w:val="es-ES"/>
        </w:rPr>
        <w:t xml:space="preserve">anse los párrafos </w:t>
      </w:r>
      <w:smartTag w:uri="urn:schemas-microsoft-com:office:smarttags" w:element="metricconverter">
        <w:smartTagPr>
          <w:attr w:name="ProductID" w:val="215 a"/>
        </w:smartTagPr>
        <w:r w:rsidR="00047A67">
          <w:rPr>
            <w:szCs w:val="24"/>
            <w:lang w:val="es-ES"/>
          </w:rPr>
          <w:t>215 a</w:t>
        </w:r>
      </w:smartTag>
      <w:r w:rsidR="00047A67">
        <w:rPr>
          <w:szCs w:val="24"/>
          <w:lang w:val="es-ES"/>
        </w:rPr>
        <w:t xml:space="preserve"> 220 de dicho </w:t>
      </w:r>
      <w:r>
        <w:rPr>
          <w:szCs w:val="24"/>
          <w:lang w:val="es-ES"/>
        </w:rPr>
        <w:t>in</w:t>
      </w:r>
      <w:r w:rsidR="00047A67">
        <w:rPr>
          <w:szCs w:val="24"/>
          <w:lang w:val="es-ES"/>
        </w:rPr>
        <w:t>forme</w:t>
      </w:r>
      <w:r>
        <w:rPr>
          <w:szCs w:val="24"/>
          <w:lang w:val="es-ES"/>
        </w:rPr>
        <w:t>.</w:t>
      </w:r>
    </w:p>
    <w:p w:rsidR="00DE6601" w:rsidRPr="00EE0800" w:rsidRDefault="00DE6601" w:rsidP="00637350">
      <w:pPr>
        <w:pStyle w:val="SingleTxtG"/>
        <w:rPr>
          <w:szCs w:val="24"/>
          <w:lang w:val="es-ES"/>
        </w:rPr>
      </w:pPr>
      <w:r w:rsidRPr="00E624B7">
        <w:rPr>
          <w:szCs w:val="24"/>
          <w:lang w:val="es-ES"/>
        </w:rPr>
        <w:t>203.</w:t>
      </w:r>
      <w:r w:rsidRPr="00E624B7">
        <w:rPr>
          <w:szCs w:val="24"/>
          <w:lang w:val="es-ES"/>
        </w:rPr>
        <w:tab/>
      </w:r>
      <w:r>
        <w:rPr>
          <w:szCs w:val="24"/>
          <w:lang w:val="es-ES"/>
        </w:rPr>
        <w:t>El 1 de septiembre de 2010 entró en vigor la nueva Ley de enseñ</w:t>
      </w:r>
      <w:r w:rsidR="009B72DA">
        <w:rPr>
          <w:szCs w:val="24"/>
          <w:lang w:val="es-ES"/>
        </w:rPr>
        <w:t>anza media elemental y superior</w:t>
      </w:r>
      <w:r>
        <w:rPr>
          <w:rStyle w:val="FootnoteReference"/>
          <w:szCs w:val="24"/>
          <w:lang w:val="es-ES"/>
        </w:rPr>
        <w:footnoteReference w:id="44"/>
      </w:r>
      <w:r w:rsidR="009B72DA">
        <w:rPr>
          <w:szCs w:val="24"/>
          <w:lang w:val="es-ES"/>
        </w:rPr>
        <w:t>.</w:t>
      </w:r>
      <w:r w:rsidRPr="00E624B7">
        <w:rPr>
          <w:szCs w:val="24"/>
          <w:lang w:val="es-ES"/>
        </w:rPr>
        <w:t xml:space="preserve"> </w:t>
      </w:r>
      <w:r>
        <w:rPr>
          <w:szCs w:val="24"/>
          <w:lang w:val="es-ES"/>
        </w:rPr>
        <w:t xml:space="preserve">A continuación se </w:t>
      </w:r>
      <w:r w:rsidR="00666356">
        <w:rPr>
          <w:szCs w:val="24"/>
          <w:lang w:val="es-ES"/>
        </w:rPr>
        <w:t>ofrece</w:t>
      </w:r>
      <w:r>
        <w:rPr>
          <w:szCs w:val="24"/>
          <w:lang w:val="es-ES"/>
        </w:rPr>
        <w:t xml:space="preserve"> una visión general de las modificaciones más importantes en comparación con la </w:t>
      </w:r>
      <w:r w:rsidR="00666356">
        <w:rPr>
          <w:szCs w:val="24"/>
          <w:lang w:val="es-ES"/>
        </w:rPr>
        <w:t xml:space="preserve">legislación </w:t>
      </w:r>
      <w:r>
        <w:rPr>
          <w:szCs w:val="24"/>
          <w:lang w:val="es-ES"/>
        </w:rPr>
        <w:t>anterior.</w:t>
      </w:r>
    </w:p>
    <w:p w:rsidR="00DE6601" w:rsidRPr="00EE0800" w:rsidRDefault="00DE6601" w:rsidP="00637350">
      <w:pPr>
        <w:pStyle w:val="SingleTxtG"/>
        <w:rPr>
          <w:szCs w:val="24"/>
          <w:lang w:val="es-ES"/>
        </w:rPr>
      </w:pPr>
      <w:r w:rsidRPr="00E624B7">
        <w:rPr>
          <w:szCs w:val="24"/>
          <w:lang w:val="es-ES"/>
        </w:rPr>
        <w:t>204.</w:t>
      </w:r>
      <w:r w:rsidRPr="00E624B7">
        <w:rPr>
          <w:szCs w:val="24"/>
          <w:lang w:val="es-ES"/>
        </w:rPr>
        <w:tab/>
      </w:r>
      <w:r>
        <w:rPr>
          <w:szCs w:val="24"/>
          <w:lang w:val="es-ES"/>
        </w:rPr>
        <w:t xml:space="preserve">Por primera vez se diseñaron </w:t>
      </w:r>
      <w:r w:rsidR="004A01F0">
        <w:rPr>
          <w:szCs w:val="24"/>
          <w:lang w:val="es-ES"/>
        </w:rPr>
        <w:t xml:space="preserve">los </w:t>
      </w:r>
      <w:r>
        <w:rPr>
          <w:szCs w:val="24"/>
          <w:lang w:val="es-ES"/>
        </w:rPr>
        <w:t>planes nac</w:t>
      </w:r>
      <w:r w:rsidR="00290982">
        <w:rPr>
          <w:szCs w:val="24"/>
          <w:lang w:val="es-ES"/>
        </w:rPr>
        <w:t>ionales de estudios, inclu</w:t>
      </w:r>
      <w:r w:rsidR="004A01F0">
        <w:rPr>
          <w:szCs w:val="24"/>
          <w:lang w:val="es-ES"/>
        </w:rPr>
        <w:t>idos</w:t>
      </w:r>
      <w:r>
        <w:rPr>
          <w:szCs w:val="24"/>
          <w:lang w:val="es-ES"/>
        </w:rPr>
        <w:t xml:space="preserve"> </w:t>
      </w:r>
      <w:r w:rsidR="00666356">
        <w:rPr>
          <w:szCs w:val="24"/>
          <w:lang w:val="es-ES"/>
        </w:rPr>
        <w:t xml:space="preserve">principios y </w:t>
      </w:r>
      <w:r>
        <w:rPr>
          <w:szCs w:val="24"/>
          <w:lang w:val="es-ES"/>
        </w:rPr>
        <w:t>valores básicos, las funciones de las escuelas de enseñanza básica y secundaria superior y los principios rectores de la organización de la enseñanza.</w:t>
      </w:r>
      <w:r w:rsidRPr="00E624B7">
        <w:rPr>
          <w:szCs w:val="24"/>
          <w:lang w:val="es-ES"/>
        </w:rPr>
        <w:t xml:space="preserve"> </w:t>
      </w:r>
      <w:r w:rsidR="00666356">
        <w:rPr>
          <w:szCs w:val="24"/>
          <w:lang w:val="es-ES"/>
        </w:rPr>
        <w:t>L</w:t>
      </w:r>
      <w:r>
        <w:rPr>
          <w:szCs w:val="24"/>
          <w:lang w:val="es-ES"/>
        </w:rPr>
        <w:t>os planes de estudio</w:t>
      </w:r>
      <w:r w:rsidR="004A01F0">
        <w:rPr>
          <w:szCs w:val="24"/>
          <w:lang w:val="es-ES"/>
        </w:rPr>
        <w:t>s</w:t>
      </w:r>
      <w:r>
        <w:rPr>
          <w:szCs w:val="24"/>
          <w:lang w:val="es-ES"/>
        </w:rPr>
        <w:t xml:space="preserve"> </w:t>
      </w:r>
      <w:r w:rsidR="00666356">
        <w:rPr>
          <w:szCs w:val="24"/>
          <w:lang w:val="es-ES"/>
        </w:rPr>
        <w:t xml:space="preserve">se prepararon </w:t>
      </w:r>
      <w:r>
        <w:rPr>
          <w:szCs w:val="24"/>
          <w:lang w:val="es-ES"/>
        </w:rPr>
        <w:t xml:space="preserve">con el </w:t>
      </w:r>
      <w:r w:rsidR="00666356">
        <w:rPr>
          <w:szCs w:val="24"/>
          <w:lang w:val="es-ES"/>
        </w:rPr>
        <w:t xml:space="preserve">fin </w:t>
      </w:r>
      <w:r w:rsidR="00BE7123">
        <w:rPr>
          <w:szCs w:val="24"/>
          <w:lang w:val="es-ES"/>
        </w:rPr>
        <w:t>de situar</w:t>
      </w:r>
      <w:r>
        <w:rPr>
          <w:szCs w:val="24"/>
          <w:lang w:val="es-ES"/>
        </w:rPr>
        <w:t xml:space="preserve"> la enseñanza básica como nivel educativo diferenciado con </w:t>
      </w:r>
      <w:r w:rsidR="00666356">
        <w:rPr>
          <w:szCs w:val="24"/>
          <w:lang w:val="es-ES"/>
        </w:rPr>
        <w:t xml:space="preserve">sus propios </w:t>
      </w:r>
      <w:r>
        <w:rPr>
          <w:szCs w:val="24"/>
          <w:lang w:val="es-ES"/>
        </w:rPr>
        <w:t xml:space="preserve">objetivos y </w:t>
      </w:r>
      <w:r w:rsidR="00BE7123">
        <w:rPr>
          <w:szCs w:val="24"/>
          <w:lang w:val="es-ES"/>
        </w:rPr>
        <w:t>metas didáctica</w:t>
      </w:r>
      <w:r w:rsidR="00666356">
        <w:rPr>
          <w:szCs w:val="24"/>
          <w:lang w:val="es-ES"/>
        </w:rPr>
        <w:t>s</w:t>
      </w:r>
      <w:r>
        <w:rPr>
          <w:szCs w:val="24"/>
          <w:lang w:val="es-ES"/>
        </w:rPr>
        <w:t xml:space="preserve">, y </w:t>
      </w:r>
      <w:r w:rsidR="00BE7123">
        <w:rPr>
          <w:szCs w:val="24"/>
          <w:lang w:val="es-ES"/>
        </w:rPr>
        <w:t xml:space="preserve">de </w:t>
      </w:r>
      <w:r>
        <w:rPr>
          <w:szCs w:val="24"/>
          <w:lang w:val="es-ES"/>
        </w:rPr>
        <w:t>armonizar la</w:t>
      </w:r>
      <w:r w:rsidR="00BE7123">
        <w:rPr>
          <w:szCs w:val="24"/>
          <w:lang w:val="es-ES"/>
        </w:rPr>
        <w:t>s</w:t>
      </w:r>
      <w:r>
        <w:rPr>
          <w:szCs w:val="24"/>
          <w:lang w:val="es-ES"/>
        </w:rPr>
        <w:t xml:space="preserve"> estructura</w:t>
      </w:r>
      <w:r w:rsidR="00BE7123">
        <w:rPr>
          <w:szCs w:val="24"/>
          <w:lang w:val="es-ES"/>
        </w:rPr>
        <w:t>s</w:t>
      </w:r>
      <w:r>
        <w:rPr>
          <w:szCs w:val="24"/>
          <w:lang w:val="es-ES"/>
        </w:rPr>
        <w:t xml:space="preserve"> de la enseñanza secundaria superior y la enseñanza secundaria profesional.</w:t>
      </w:r>
      <w:r w:rsidRPr="00EE0800">
        <w:rPr>
          <w:szCs w:val="24"/>
          <w:lang w:val="es-ES"/>
        </w:rPr>
        <w:t xml:space="preserve"> </w:t>
      </w:r>
      <w:r>
        <w:rPr>
          <w:szCs w:val="24"/>
          <w:lang w:val="es-ES"/>
        </w:rPr>
        <w:t>Se añadieron disposiciones relativas a la posibilidad de considerar la enseñanza extracurricular como parte de los estudios y de utilizar el plan de estudios del Bachillerato Internacional.</w:t>
      </w:r>
    </w:p>
    <w:p w:rsidR="00DE6601" w:rsidRPr="00EE0800" w:rsidRDefault="00DE6601" w:rsidP="00637350">
      <w:pPr>
        <w:pStyle w:val="SingleTxtG"/>
        <w:rPr>
          <w:szCs w:val="24"/>
          <w:lang w:val="es-ES"/>
        </w:rPr>
      </w:pPr>
      <w:r w:rsidRPr="00E624B7">
        <w:rPr>
          <w:szCs w:val="24"/>
          <w:lang w:val="es-ES"/>
        </w:rPr>
        <w:t>205.</w:t>
      </w:r>
      <w:r w:rsidRPr="00E624B7">
        <w:rPr>
          <w:szCs w:val="24"/>
          <w:lang w:val="es-ES"/>
        </w:rPr>
        <w:tab/>
      </w:r>
      <w:r>
        <w:rPr>
          <w:szCs w:val="24"/>
          <w:lang w:val="es-ES"/>
        </w:rPr>
        <w:t>Se introdujeron nuevas disposiciones destinadas a reforzar el deber de asistir a la escuela, reducir el abandono escolar y prestar apoyo a los alumnos con necesidades educativas especiales.</w:t>
      </w:r>
      <w:r w:rsidRPr="00E624B7">
        <w:rPr>
          <w:szCs w:val="24"/>
          <w:lang w:val="es-ES"/>
        </w:rPr>
        <w:t xml:space="preserve"> </w:t>
      </w:r>
      <w:r w:rsidR="005D02BD">
        <w:rPr>
          <w:szCs w:val="24"/>
          <w:lang w:val="es-ES"/>
        </w:rPr>
        <w:t>A ese respecto, l</w:t>
      </w:r>
      <w:r>
        <w:rPr>
          <w:szCs w:val="24"/>
          <w:lang w:val="es-ES"/>
        </w:rPr>
        <w:t>as disposiciones</w:t>
      </w:r>
      <w:r w:rsidR="005D02BD">
        <w:rPr>
          <w:szCs w:val="24"/>
          <w:lang w:val="es-ES"/>
        </w:rPr>
        <w:t xml:space="preserve"> más importantes </w:t>
      </w:r>
      <w:r w:rsidR="004A01F0">
        <w:rPr>
          <w:szCs w:val="24"/>
          <w:lang w:val="es-ES"/>
        </w:rPr>
        <w:t>están relacionadas</w:t>
      </w:r>
      <w:r w:rsidR="005466A4">
        <w:rPr>
          <w:szCs w:val="24"/>
          <w:lang w:val="es-ES"/>
        </w:rPr>
        <w:t xml:space="preserve"> </w:t>
      </w:r>
      <w:r>
        <w:rPr>
          <w:szCs w:val="24"/>
          <w:lang w:val="es-ES"/>
        </w:rPr>
        <w:t>con la especificación del deber de asistir a la escuela</w:t>
      </w:r>
      <w:r w:rsidR="005D02BD">
        <w:rPr>
          <w:szCs w:val="24"/>
          <w:lang w:val="es-ES"/>
        </w:rPr>
        <w:t xml:space="preserve"> </w:t>
      </w:r>
      <w:r w:rsidR="004A01F0">
        <w:rPr>
          <w:szCs w:val="24"/>
          <w:lang w:val="es-ES"/>
        </w:rPr>
        <w:t xml:space="preserve">y </w:t>
      </w:r>
      <w:r w:rsidR="005D02BD">
        <w:rPr>
          <w:szCs w:val="24"/>
          <w:lang w:val="es-ES"/>
        </w:rPr>
        <w:t>la ampliación de</w:t>
      </w:r>
      <w:r w:rsidR="004A01F0">
        <w:rPr>
          <w:szCs w:val="24"/>
          <w:lang w:val="es-ES"/>
        </w:rPr>
        <w:t xml:space="preserve"> dicha obligación </w:t>
      </w:r>
      <w:r>
        <w:rPr>
          <w:szCs w:val="24"/>
          <w:lang w:val="es-ES"/>
        </w:rPr>
        <w:t>hasta los 18 años.</w:t>
      </w:r>
      <w:r w:rsidRPr="00EE0800">
        <w:rPr>
          <w:szCs w:val="24"/>
          <w:lang w:val="es-ES"/>
        </w:rPr>
        <w:t xml:space="preserve"> </w:t>
      </w:r>
      <w:r>
        <w:rPr>
          <w:szCs w:val="24"/>
          <w:lang w:val="es-ES"/>
        </w:rPr>
        <w:t>En caso de ausencia injustificada</w:t>
      </w:r>
      <w:r w:rsidR="00913D09">
        <w:rPr>
          <w:szCs w:val="24"/>
          <w:lang w:val="es-ES"/>
        </w:rPr>
        <w:t>,</w:t>
      </w:r>
      <w:r>
        <w:rPr>
          <w:szCs w:val="24"/>
          <w:lang w:val="es-ES"/>
        </w:rPr>
        <w:t xml:space="preserve"> deben adoptarse medidas de forma inmediata.</w:t>
      </w:r>
      <w:r w:rsidRPr="00EE0800">
        <w:rPr>
          <w:szCs w:val="24"/>
          <w:lang w:val="es-ES"/>
        </w:rPr>
        <w:t xml:space="preserve"> </w:t>
      </w:r>
      <w:r>
        <w:rPr>
          <w:szCs w:val="24"/>
          <w:lang w:val="es-ES"/>
        </w:rPr>
        <w:t xml:space="preserve">Se especificaron </w:t>
      </w:r>
      <w:r w:rsidR="004A01F0">
        <w:rPr>
          <w:szCs w:val="24"/>
          <w:lang w:val="es-ES"/>
        </w:rPr>
        <w:t xml:space="preserve">también </w:t>
      </w:r>
      <w:r>
        <w:rPr>
          <w:szCs w:val="24"/>
          <w:lang w:val="es-ES"/>
        </w:rPr>
        <w:t xml:space="preserve">las obligaciones y responsabilidades de </w:t>
      </w:r>
      <w:r w:rsidR="004A01F0">
        <w:rPr>
          <w:szCs w:val="24"/>
          <w:lang w:val="es-ES"/>
        </w:rPr>
        <w:t xml:space="preserve">las </w:t>
      </w:r>
      <w:r w:rsidR="00913D09">
        <w:rPr>
          <w:szCs w:val="24"/>
          <w:lang w:val="es-ES"/>
        </w:rPr>
        <w:t>distintas part</w:t>
      </w:r>
      <w:r w:rsidR="004A01F0">
        <w:rPr>
          <w:szCs w:val="24"/>
          <w:lang w:val="es-ES"/>
        </w:rPr>
        <w:t xml:space="preserve">es </w:t>
      </w:r>
      <w:r w:rsidR="00913D09">
        <w:rPr>
          <w:szCs w:val="24"/>
          <w:lang w:val="es-ES"/>
        </w:rPr>
        <w:t>(</w:t>
      </w:r>
      <w:r>
        <w:rPr>
          <w:szCs w:val="24"/>
          <w:lang w:val="es-ES"/>
        </w:rPr>
        <w:t>alumno</w:t>
      </w:r>
      <w:r w:rsidR="004A01F0">
        <w:rPr>
          <w:szCs w:val="24"/>
          <w:lang w:val="es-ES"/>
        </w:rPr>
        <w:t>s</w:t>
      </w:r>
      <w:r>
        <w:rPr>
          <w:szCs w:val="24"/>
          <w:lang w:val="es-ES"/>
        </w:rPr>
        <w:t>, padre</w:t>
      </w:r>
      <w:r w:rsidR="004A01F0">
        <w:rPr>
          <w:szCs w:val="24"/>
          <w:lang w:val="es-ES"/>
        </w:rPr>
        <w:t>s</w:t>
      </w:r>
      <w:r>
        <w:rPr>
          <w:szCs w:val="24"/>
          <w:lang w:val="es-ES"/>
        </w:rPr>
        <w:t>, escuela</w:t>
      </w:r>
      <w:r w:rsidR="004A01F0">
        <w:rPr>
          <w:szCs w:val="24"/>
          <w:lang w:val="es-ES"/>
        </w:rPr>
        <w:t>s</w:t>
      </w:r>
      <w:r>
        <w:rPr>
          <w:szCs w:val="24"/>
          <w:lang w:val="es-ES"/>
        </w:rPr>
        <w:t xml:space="preserve"> y municipio</w:t>
      </w:r>
      <w:r w:rsidR="00913D09">
        <w:rPr>
          <w:szCs w:val="24"/>
          <w:lang w:val="es-ES"/>
        </w:rPr>
        <w:t>s)</w:t>
      </w:r>
      <w:r>
        <w:rPr>
          <w:szCs w:val="24"/>
          <w:lang w:val="es-ES"/>
        </w:rPr>
        <w:t xml:space="preserve"> en relación con el deber de asistir a la escuela.</w:t>
      </w:r>
      <w:r w:rsidRPr="00EE0800">
        <w:rPr>
          <w:szCs w:val="24"/>
          <w:lang w:val="es-ES"/>
        </w:rPr>
        <w:t xml:space="preserve"> </w:t>
      </w:r>
      <w:r>
        <w:rPr>
          <w:szCs w:val="24"/>
          <w:lang w:val="es-ES"/>
        </w:rPr>
        <w:t>Algunas</w:t>
      </w:r>
      <w:r w:rsidR="00913D09">
        <w:rPr>
          <w:szCs w:val="24"/>
          <w:lang w:val="es-ES"/>
        </w:rPr>
        <w:t xml:space="preserve"> de las</w:t>
      </w:r>
      <w:r>
        <w:rPr>
          <w:szCs w:val="24"/>
          <w:lang w:val="es-ES"/>
        </w:rPr>
        <w:t xml:space="preserve"> enmiendas</w:t>
      </w:r>
      <w:r w:rsidR="00913D09">
        <w:rPr>
          <w:szCs w:val="24"/>
          <w:lang w:val="es-ES"/>
        </w:rPr>
        <w:t xml:space="preserve"> más</w:t>
      </w:r>
      <w:r>
        <w:rPr>
          <w:szCs w:val="24"/>
          <w:lang w:val="es-ES"/>
        </w:rPr>
        <w:t xml:space="preserve"> </w:t>
      </w:r>
      <w:r w:rsidR="003B0FA6">
        <w:rPr>
          <w:szCs w:val="24"/>
          <w:lang w:val="es-ES"/>
        </w:rPr>
        <w:t>importantes abordan</w:t>
      </w:r>
      <w:r>
        <w:rPr>
          <w:szCs w:val="24"/>
          <w:lang w:val="es-ES"/>
        </w:rPr>
        <w:t xml:space="preserve"> la</w:t>
      </w:r>
      <w:r w:rsidR="00913D09">
        <w:rPr>
          <w:szCs w:val="24"/>
          <w:lang w:val="es-ES"/>
        </w:rPr>
        <w:t xml:space="preserve"> organización de los estudios para</w:t>
      </w:r>
      <w:r>
        <w:rPr>
          <w:szCs w:val="24"/>
          <w:lang w:val="es-ES"/>
        </w:rPr>
        <w:t xml:space="preserve"> los alumnos con necesidades educativas especiales,</w:t>
      </w:r>
      <w:r w:rsidRPr="00EE0800">
        <w:rPr>
          <w:szCs w:val="24"/>
          <w:lang w:val="es-ES"/>
        </w:rPr>
        <w:t xml:space="preserve"> </w:t>
      </w:r>
      <w:r>
        <w:rPr>
          <w:szCs w:val="24"/>
          <w:lang w:val="es-ES"/>
        </w:rPr>
        <w:t xml:space="preserve">y especifican las obligaciones de las escuelas </w:t>
      </w:r>
      <w:r w:rsidR="003B0FA6">
        <w:rPr>
          <w:szCs w:val="24"/>
          <w:lang w:val="es-ES"/>
        </w:rPr>
        <w:t xml:space="preserve">al </w:t>
      </w:r>
      <w:r>
        <w:rPr>
          <w:szCs w:val="24"/>
          <w:lang w:val="es-ES"/>
        </w:rPr>
        <w:t>respecto.</w:t>
      </w:r>
      <w:r w:rsidRPr="00EE0800">
        <w:rPr>
          <w:szCs w:val="24"/>
          <w:lang w:val="es-ES"/>
        </w:rPr>
        <w:t xml:space="preserve"> </w:t>
      </w:r>
      <w:r>
        <w:rPr>
          <w:szCs w:val="24"/>
          <w:lang w:val="es-ES"/>
        </w:rPr>
        <w:t xml:space="preserve">Entre otras cosas, el </w:t>
      </w:r>
      <w:r w:rsidR="00AC6D15">
        <w:rPr>
          <w:szCs w:val="24"/>
          <w:lang w:val="es-ES"/>
        </w:rPr>
        <w:t xml:space="preserve">director </w:t>
      </w:r>
      <w:r>
        <w:rPr>
          <w:szCs w:val="24"/>
          <w:lang w:val="es-ES"/>
        </w:rPr>
        <w:t>de la escuela está obl</w:t>
      </w:r>
      <w:r w:rsidR="00913D09">
        <w:rPr>
          <w:szCs w:val="24"/>
          <w:lang w:val="es-ES"/>
        </w:rPr>
        <w:t>igado a poner a disposición de es</w:t>
      </w:r>
      <w:r>
        <w:rPr>
          <w:szCs w:val="24"/>
          <w:lang w:val="es-ES"/>
        </w:rPr>
        <w:t xml:space="preserve">os alumnos con necesidades especiales </w:t>
      </w:r>
      <w:r w:rsidR="003B0FA6">
        <w:rPr>
          <w:szCs w:val="24"/>
          <w:lang w:val="es-ES"/>
        </w:rPr>
        <w:t xml:space="preserve">los </w:t>
      </w:r>
      <w:r>
        <w:rPr>
          <w:szCs w:val="24"/>
          <w:lang w:val="es-ES"/>
        </w:rPr>
        <w:t>servicios psicológicos y sociopedagógicos</w:t>
      </w:r>
      <w:r w:rsidR="003B0FA6">
        <w:rPr>
          <w:szCs w:val="24"/>
          <w:lang w:val="es-ES"/>
        </w:rPr>
        <w:t xml:space="preserve"> que </w:t>
      </w:r>
      <w:r w:rsidR="005303EC">
        <w:rPr>
          <w:szCs w:val="24"/>
          <w:lang w:val="es-ES"/>
        </w:rPr>
        <w:t>n</w:t>
      </w:r>
      <w:r w:rsidR="003B0FA6">
        <w:rPr>
          <w:szCs w:val="24"/>
          <w:lang w:val="es-ES"/>
        </w:rPr>
        <w:t>e</w:t>
      </w:r>
      <w:r w:rsidR="005303EC">
        <w:rPr>
          <w:szCs w:val="24"/>
          <w:lang w:val="es-ES"/>
        </w:rPr>
        <w:t>c</w:t>
      </w:r>
      <w:r w:rsidR="003B0FA6">
        <w:rPr>
          <w:szCs w:val="24"/>
          <w:lang w:val="es-ES"/>
        </w:rPr>
        <w:t>e</w:t>
      </w:r>
      <w:r w:rsidR="005303EC">
        <w:rPr>
          <w:szCs w:val="24"/>
          <w:lang w:val="es-ES"/>
        </w:rPr>
        <w:t>sitan</w:t>
      </w:r>
      <w:r>
        <w:rPr>
          <w:szCs w:val="24"/>
          <w:lang w:val="es-ES"/>
        </w:rPr>
        <w:t>.</w:t>
      </w:r>
      <w:r w:rsidRPr="00EE0800">
        <w:rPr>
          <w:szCs w:val="24"/>
          <w:lang w:val="es-ES"/>
        </w:rPr>
        <w:t xml:space="preserve"> </w:t>
      </w:r>
      <w:r>
        <w:rPr>
          <w:szCs w:val="24"/>
          <w:lang w:val="es-ES"/>
        </w:rPr>
        <w:t xml:space="preserve">Se crearon condiciones de estudio más flexibles, por ejemplo </w:t>
      </w:r>
      <w:r w:rsidR="005303EC">
        <w:rPr>
          <w:szCs w:val="24"/>
          <w:lang w:val="es-ES"/>
        </w:rPr>
        <w:t xml:space="preserve">en el contexto </w:t>
      </w:r>
      <w:r>
        <w:rPr>
          <w:szCs w:val="24"/>
          <w:lang w:val="es-ES"/>
        </w:rPr>
        <w:t>de grupos de educación especial, enseñanza en clases y grupos reducidos, clases particulares, etc.</w:t>
      </w:r>
    </w:p>
    <w:p w:rsidR="00DE6601" w:rsidRPr="00EE0800" w:rsidRDefault="00DE6601" w:rsidP="00637350">
      <w:pPr>
        <w:pStyle w:val="SingleTxtG"/>
        <w:rPr>
          <w:szCs w:val="24"/>
          <w:lang w:val="es-ES"/>
        </w:rPr>
      </w:pPr>
      <w:r w:rsidRPr="00E624B7">
        <w:rPr>
          <w:szCs w:val="24"/>
          <w:lang w:val="es-ES"/>
        </w:rPr>
        <w:t>206.</w:t>
      </w:r>
      <w:r w:rsidRPr="00E624B7">
        <w:rPr>
          <w:szCs w:val="24"/>
          <w:lang w:val="es-ES"/>
        </w:rPr>
        <w:tab/>
      </w:r>
      <w:r>
        <w:rPr>
          <w:szCs w:val="24"/>
          <w:lang w:val="es-ES"/>
        </w:rPr>
        <w:t>Se prestó especial atención a la seguridad personal de los estudiantes y los empleados de las escuelas.</w:t>
      </w:r>
      <w:r w:rsidRPr="00E624B7">
        <w:rPr>
          <w:szCs w:val="24"/>
          <w:lang w:val="es-ES"/>
        </w:rPr>
        <w:t xml:space="preserve"> </w:t>
      </w:r>
      <w:r>
        <w:rPr>
          <w:szCs w:val="24"/>
          <w:lang w:val="es-ES"/>
        </w:rPr>
        <w:t xml:space="preserve">Se definieron las acciones necesarias </w:t>
      </w:r>
      <w:r w:rsidR="00E74110">
        <w:rPr>
          <w:szCs w:val="24"/>
          <w:lang w:val="es-ES"/>
        </w:rPr>
        <w:t>con miras</w:t>
      </w:r>
      <w:r w:rsidR="00290982">
        <w:rPr>
          <w:szCs w:val="24"/>
          <w:lang w:val="es-ES"/>
        </w:rPr>
        <w:t xml:space="preserve"> a</w:t>
      </w:r>
      <w:r>
        <w:rPr>
          <w:szCs w:val="24"/>
          <w:lang w:val="es-ES"/>
        </w:rPr>
        <w:t xml:space="preserve"> garantizar una escuela segura para todos.</w:t>
      </w:r>
      <w:r w:rsidRPr="00EE0800">
        <w:rPr>
          <w:szCs w:val="24"/>
          <w:lang w:val="es-ES"/>
        </w:rPr>
        <w:t xml:space="preserve"> </w:t>
      </w:r>
      <w:r>
        <w:rPr>
          <w:szCs w:val="24"/>
          <w:lang w:val="es-ES"/>
        </w:rPr>
        <w:t xml:space="preserve">La escuela está obligada a garantizar a los alumnos su seguridad física y psicológica y la protección de su salud, </w:t>
      </w:r>
      <w:r w:rsidR="005303EC">
        <w:rPr>
          <w:szCs w:val="24"/>
          <w:lang w:val="es-ES"/>
        </w:rPr>
        <w:t>así como</w:t>
      </w:r>
      <w:r>
        <w:rPr>
          <w:szCs w:val="24"/>
          <w:lang w:val="es-ES"/>
        </w:rPr>
        <w:t xml:space="preserve"> a adoptar medidas encaminadas a prevenir la violencia física y psicológica.</w:t>
      </w:r>
      <w:r w:rsidRPr="00EE0800">
        <w:rPr>
          <w:szCs w:val="24"/>
          <w:lang w:val="es-ES"/>
        </w:rPr>
        <w:t xml:space="preserve"> </w:t>
      </w:r>
      <w:r w:rsidR="00290982">
        <w:rPr>
          <w:szCs w:val="24"/>
          <w:lang w:val="es-ES"/>
        </w:rPr>
        <w:t>A tal fin</w:t>
      </w:r>
      <w:r>
        <w:rPr>
          <w:szCs w:val="24"/>
          <w:lang w:val="es-ES"/>
        </w:rPr>
        <w:t xml:space="preserve">, los alumnos </w:t>
      </w:r>
      <w:r w:rsidR="00290982">
        <w:rPr>
          <w:szCs w:val="24"/>
          <w:lang w:val="es-ES"/>
        </w:rPr>
        <w:t>cuentan con</w:t>
      </w:r>
      <w:r>
        <w:rPr>
          <w:szCs w:val="24"/>
          <w:lang w:val="es-ES"/>
        </w:rPr>
        <w:t xml:space="preserve"> un servicio de vigilancia durante toda la jornada escolar.</w:t>
      </w:r>
    </w:p>
    <w:p w:rsidR="00DE6601" w:rsidRPr="00E624B7" w:rsidRDefault="00DE6601" w:rsidP="00637350">
      <w:pPr>
        <w:pStyle w:val="H23G"/>
        <w:rPr>
          <w:lang w:val="es-ES"/>
        </w:rPr>
      </w:pPr>
      <w:r w:rsidRPr="00EE0800">
        <w:rPr>
          <w:lang w:val="es-ES"/>
        </w:rPr>
        <w:tab/>
      </w:r>
      <w:r w:rsidRPr="00EE0800">
        <w:rPr>
          <w:lang w:val="es-ES"/>
        </w:rPr>
        <w:tab/>
      </w:r>
      <w:r>
        <w:rPr>
          <w:lang w:val="es-ES"/>
        </w:rPr>
        <w:t>Educación preescolar</w:t>
      </w:r>
    </w:p>
    <w:p w:rsidR="00DE6601" w:rsidRPr="00EE0800" w:rsidRDefault="00DE6601" w:rsidP="00637350">
      <w:pPr>
        <w:pStyle w:val="SingleTxtG"/>
        <w:rPr>
          <w:szCs w:val="24"/>
          <w:lang w:val="es-ES"/>
        </w:rPr>
      </w:pPr>
      <w:r w:rsidRPr="00E624B7">
        <w:rPr>
          <w:szCs w:val="24"/>
          <w:lang w:val="es-ES"/>
        </w:rPr>
        <w:t>207.</w:t>
      </w:r>
      <w:r w:rsidRPr="00E624B7">
        <w:rPr>
          <w:szCs w:val="24"/>
          <w:lang w:val="es-ES"/>
        </w:rPr>
        <w:tab/>
      </w:r>
      <w:r>
        <w:rPr>
          <w:szCs w:val="24"/>
          <w:lang w:val="es-ES"/>
        </w:rPr>
        <w:t>La educación preescolar puede i</w:t>
      </w:r>
      <w:r w:rsidR="00114A64">
        <w:rPr>
          <w:szCs w:val="24"/>
          <w:lang w:val="es-ES"/>
        </w:rPr>
        <w:t>mpa</w:t>
      </w:r>
      <w:r>
        <w:rPr>
          <w:szCs w:val="24"/>
          <w:lang w:val="es-ES"/>
        </w:rPr>
        <w:t>r</w:t>
      </w:r>
      <w:r w:rsidR="00114A64">
        <w:rPr>
          <w:szCs w:val="24"/>
          <w:lang w:val="es-ES"/>
        </w:rPr>
        <w:t>t</w:t>
      </w:r>
      <w:r>
        <w:rPr>
          <w:szCs w:val="24"/>
          <w:lang w:val="es-ES"/>
        </w:rPr>
        <w:t xml:space="preserve">irse en centros de atención infantil preescolar (jardines de infancia). Los gobiernos locales tienen la obligación de </w:t>
      </w:r>
      <w:r w:rsidR="00E2604D">
        <w:rPr>
          <w:szCs w:val="24"/>
          <w:lang w:val="es-ES"/>
        </w:rPr>
        <w:t>facilit</w:t>
      </w:r>
      <w:r>
        <w:rPr>
          <w:szCs w:val="24"/>
          <w:lang w:val="es-ES"/>
        </w:rPr>
        <w:t xml:space="preserve">ar a todos los niños que se encuentran en sus respectivas jurisdicciones </w:t>
      </w:r>
      <w:r w:rsidR="00E2604D">
        <w:rPr>
          <w:szCs w:val="24"/>
          <w:lang w:val="es-ES"/>
        </w:rPr>
        <w:t xml:space="preserve">(incluidos los niños con necesidades especiales) </w:t>
      </w:r>
      <w:r>
        <w:rPr>
          <w:szCs w:val="24"/>
          <w:lang w:val="es-ES"/>
        </w:rPr>
        <w:t>la posibilidad de asistir a centros de ate</w:t>
      </w:r>
      <w:r w:rsidR="00E74110">
        <w:rPr>
          <w:szCs w:val="24"/>
          <w:lang w:val="es-ES"/>
        </w:rPr>
        <w:t xml:space="preserve">nción infantil si sus padres lo </w:t>
      </w:r>
      <w:r w:rsidR="006324CA">
        <w:rPr>
          <w:szCs w:val="24"/>
          <w:lang w:val="es-ES"/>
        </w:rPr>
        <w:t>s</w:t>
      </w:r>
      <w:r w:rsidR="00E74110">
        <w:rPr>
          <w:szCs w:val="24"/>
          <w:lang w:val="es-ES"/>
        </w:rPr>
        <w:t>olicit</w:t>
      </w:r>
      <w:r>
        <w:rPr>
          <w:szCs w:val="24"/>
          <w:lang w:val="es-ES"/>
        </w:rPr>
        <w:t>an.</w:t>
      </w:r>
    </w:p>
    <w:p w:rsidR="00DE6601" w:rsidRPr="00EE0800" w:rsidRDefault="00DE6601" w:rsidP="00637350">
      <w:pPr>
        <w:pStyle w:val="SingleTxtG"/>
        <w:rPr>
          <w:szCs w:val="24"/>
          <w:lang w:val="es-ES"/>
        </w:rPr>
      </w:pPr>
      <w:r w:rsidRPr="00EE0800">
        <w:rPr>
          <w:szCs w:val="24"/>
          <w:lang w:val="es-ES"/>
        </w:rPr>
        <w:t>208.</w:t>
      </w:r>
      <w:r w:rsidRPr="00EE0800">
        <w:rPr>
          <w:szCs w:val="24"/>
          <w:lang w:val="es-ES"/>
        </w:rPr>
        <w:tab/>
      </w:r>
      <w:r>
        <w:rPr>
          <w:szCs w:val="24"/>
          <w:lang w:val="es-ES"/>
        </w:rPr>
        <w:t xml:space="preserve">De conformidad con </w:t>
      </w:r>
      <w:smartTag w:uri="urn:schemas-microsoft-com:office:smarttags" w:element="PersonName">
        <w:smartTagPr>
          <w:attr w:name="ProductID" w:val="La Ley"/>
        </w:smartTagPr>
        <w:r>
          <w:rPr>
            <w:szCs w:val="24"/>
            <w:lang w:val="es-ES"/>
          </w:rPr>
          <w:t>la Ley</w:t>
        </w:r>
      </w:smartTag>
      <w:r>
        <w:rPr>
          <w:szCs w:val="24"/>
          <w:lang w:val="es-ES"/>
        </w:rPr>
        <w:t xml:space="preserve"> de centros de atención infantil preescolar, la escolarización y la enseñanza </w:t>
      </w:r>
      <w:r w:rsidR="006324CA">
        <w:rPr>
          <w:szCs w:val="24"/>
          <w:lang w:val="es-ES"/>
        </w:rPr>
        <w:t>en esos centros (hasta la edad de siete años) se llevan a cabo</w:t>
      </w:r>
      <w:r>
        <w:rPr>
          <w:szCs w:val="24"/>
          <w:lang w:val="es-ES"/>
        </w:rPr>
        <w:t xml:space="preserve"> en estonio.</w:t>
      </w:r>
      <w:r w:rsidRPr="00EE0800">
        <w:rPr>
          <w:szCs w:val="24"/>
          <w:lang w:val="es-ES"/>
        </w:rPr>
        <w:t xml:space="preserve"> </w:t>
      </w:r>
      <w:r>
        <w:rPr>
          <w:szCs w:val="24"/>
          <w:lang w:val="es-ES"/>
        </w:rPr>
        <w:t>También puede</w:t>
      </w:r>
      <w:r w:rsidR="00290982">
        <w:rPr>
          <w:szCs w:val="24"/>
          <w:lang w:val="es-ES"/>
        </w:rPr>
        <w:t>n</w:t>
      </w:r>
      <w:r>
        <w:rPr>
          <w:szCs w:val="24"/>
          <w:lang w:val="es-ES"/>
        </w:rPr>
        <w:t xml:space="preserve"> </w:t>
      </w:r>
      <w:r w:rsidR="006324CA">
        <w:rPr>
          <w:szCs w:val="24"/>
          <w:lang w:val="es-ES"/>
        </w:rPr>
        <w:t>emplearse</w:t>
      </w:r>
      <w:r>
        <w:rPr>
          <w:szCs w:val="24"/>
          <w:lang w:val="es-ES"/>
        </w:rPr>
        <w:t xml:space="preserve"> otro</w:t>
      </w:r>
      <w:r w:rsidR="006324CA">
        <w:rPr>
          <w:szCs w:val="24"/>
          <w:lang w:val="es-ES"/>
        </w:rPr>
        <w:t>s</w:t>
      </w:r>
      <w:r>
        <w:rPr>
          <w:szCs w:val="24"/>
          <w:lang w:val="es-ES"/>
        </w:rPr>
        <w:t xml:space="preserve"> idioma</w:t>
      </w:r>
      <w:r w:rsidR="006324CA">
        <w:rPr>
          <w:szCs w:val="24"/>
          <w:lang w:val="es-ES"/>
        </w:rPr>
        <w:t>s</w:t>
      </w:r>
      <w:r>
        <w:rPr>
          <w:szCs w:val="24"/>
          <w:lang w:val="es-ES"/>
        </w:rPr>
        <w:t xml:space="preserve"> si así lo decide el consejo de administración local.</w:t>
      </w:r>
      <w:r w:rsidRPr="00EE0800">
        <w:rPr>
          <w:szCs w:val="24"/>
          <w:lang w:val="es-ES"/>
        </w:rPr>
        <w:t xml:space="preserve"> </w:t>
      </w:r>
      <w:r>
        <w:rPr>
          <w:szCs w:val="24"/>
          <w:lang w:val="es-ES"/>
        </w:rPr>
        <w:t xml:space="preserve">En los centros o grupos donde la enseñanza no se </w:t>
      </w:r>
      <w:r w:rsidR="006324CA">
        <w:rPr>
          <w:szCs w:val="24"/>
          <w:lang w:val="es-ES"/>
        </w:rPr>
        <w:t>imparte</w:t>
      </w:r>
      <w:r w:rsidR="00E2604D">
        <w:rPr>
          <w:szCs w:val="24"/>
          <w:lang w:val="es-ES"/>
        </w:rPr>
        <w:t xml:space="preserve"> </w:t>
      </w:r>
      <w:r w:rsidR="006324CA">
        <w:rPr>
          <w:szCs w:val="24"/>
          <w:lang w:val="es-ES"/>
        </w:rPr>
        <w:t>en estonio,</w:t>
      </w:r>
      <w:r w:rsidR="005466A4">
        <w:rPr>
          <w:szCs w:val="24"/>
          <w:lang w:val="es-ES"/>
        </w:rPr>
        <w:t xml:space="preserve"> </w:t>
      </w:r>
      <w:r>
        <w:rPr>
          <w:szCs w:val="24"/>
          <w:lang w:val="es-ES"/>
        </w:rPr>
        <w:t>el aprendizaje del idioma estonio</w:t>
      </w:r>
      <w:r w:rsidR="006324CA">
        <w:rPr>
          <w:szCs w:val="24"/>
          <w:lang w:val="es-ES"/>
        </w:rPr>
        <w:t xml:space="preserve"> es obligatorio</w:t>
      </w:r>
      <w:r>
        <w:rPr>
          <w:szCs w:val="24"/>
          <w:lang w:val="es-ES"/>
        </w:rPr>
        <w:t xml:space="preserve"> con arreglo a lo establecido </w:t>
      </w:r>
      <w:r w:rsidR="00C328D7">
        <w:rPr>
          <w:szCs w:val="24"/>
          <w:lang w:val="es-ES"/>
        </w:rPr>
        <w:t>en</w:t>
      </w:r>
      <w:r>
        <w:rPr>
          <w:szCs w:val="24"/>
          <w:lang w:val="es-ES"/>
        </w:rPr>
        <w:t xml:space="preserve"> el programa de estudios marco para la e</w:t>
      </w:r>
      <w:r w:rsidR="006324CA">
        <w:rPr>
          <w:szCs w:val="24"/>
          <w:lang w:val="es-ES"/>
        </w:rPr>
        <w:t>nseñanza preescolar (al menos</w:t>
      </w:r>
      <w:r>
        <w:rPr>
          <w:szCs w:val="24"/>
          <w:lang w:val="es-ES"/>
        </w:rPr>
        <w:t xml:space="preserve"> una clase de 20 minutos de duración dos veces a la semana</w:t>
      </w:r>
      <w:r w:rsidR="00C328D7">
        <w:rPr>
          <w:szCs w:val="24"/>
          <w:lang w:val="es-ES"/>
        </w:rPr>
        <w:t>,</w:t>
      </w:r>
      <w:r>
        <w:rPr>
          <w:szCs w:val="24"/>
          <w:lang w:val="es-ES"/>
        </w:rPr>
        <w:t xml:space="preserve"> para niños de </w:t>
      </w:r>
      <w:smartTag w:uri="urn:schemas-microsoft-com:office:smarttags" w:element="metricconverter">
        <w:smartTagPr>
          <w:attr w:name="ProductID" w:val="3 a"/>
        </w:smartTagPr>
        <w:r>
          <w:rPr>
            <w:szCs w:val="24"/>
            <w:lang w:val="es-ES"/>
          </w:rPr>
          <w:t xml:space="preserve">3 </w:t>
        </w:r>
        <w:r w:rsidR="00C328D7">
          <w:rPr>
            <w:szCs w:val="24"/>
            <w:lang w:val="es-ES"/>
          </w:rPr>
          <w:t>a</w:t>
        </w:r>
      </w:smartTag>
      <w:r w:rsidR="00290982">
        <w:rPr>
          <w:szCs w:val="24"/>
          <w:lang w:val="es-ES"/>
        </w:rPr>
        <w:t xml:space="preserve"> 7</w:t>
      </w:r>
      <w:r>
        <w:rPr>
          <w:szCs w:val="24"/>
          <w:lang w:val="es-ES"/>
        </w:rPr>
        <w:t xml:space="preserve"> años de edad).</w:t>
      </w:r>
      <w:r w:rsidRPr="00EE0800">
        <w:rPr>
          <w:szCs w:val="24"/>
          <w:lang w:val="es-ES"/>
        </w:rPr>
        <w:t xml:space="preserve"> </w:t>
      </w:r>
      <w:r>
        <w:rPr>
          <w:szCs w:val="24"/>
          <w:lang w:val="es-ES"/>
        </w:rPr>
        <w:t xml:space="preserve">En la actualidad, los idiomas de trabajo </w:t>
      </w:r>
      <w:r w:rsidR="005B0AD0">
        <w:rPr>
          <w:szCs w:val="24"/>
          <w:lang w:val="es-ES"/>
        </w:rPr>
        <w:t xml:space="preserve">que deben emplearse </w:t>
      </w:r>
      <w:r>
        <w:rPr>
          <w:szCs w:val="24"/>
          <w:lang w:val="es-ES"/>
        </w:rPr>
        <w:t>en los centros de atención infantil son el estonio,</w:t>
      </w:r>
      <w:r w:rsidR="005A17E5">
        <w:rPr>
          <w:szCs w:val="24"/>
          <w:lang w:val="es-ES"/>
        </w:rPr>
        <w:t xml:space="preserve"> el ruso y el inglés, si bien cada grupo</w:t>
      </w:r>
      <w:r>
        <w:rPr>
          <w:szCs w:val="24"/>
          <w:lang w:val="es-ES"/>
        </w:rPr>
        <w:t xml:space="preserve"> ut</w:t>
      </w:r>
      <w:r w:rsidR="005A17E5">
        <w:rPr>
          <w:szCs w:val="24"/>
          <w:lang w:val="es-ES"/>
        </w:rPr>
        <w:t>iliza un único idioma</w:t>
      </w:r>
      <w:r>
        <w:rPr>
          <w:szCs w:val="24"/>
          <w:lang w:val="es-ES"/>
        </w:rPr>
        <w:t>.</w:t>
      </w:r>
      <w:r w:rsidRPr="00EE0800">
        <w:rPr>
          <w:szCs w:val="24"/>
          <w:lang w:val="es-ES"/>
        </w:rPr>
        <w:t xml:space="preserve"> </w:t>
      </w:r>
    </w:p>
    <w:p w:rsidR="00DE6601" w:rsidRPr="00EE0800" w:rsidRDefault="00DE6601" w:rsidP="00637350">
      <w:pPr>
        <w:pStyle w:val="SingleTxtG"/>
        <w:rPr>
          <w:szCs w:val="24"/>
          <w:lang w:val="es-ES"/>
        </w:rPr>
      </w:pPr>
      <w:r w:rsidRPr="00E624B7">
        <w:rPr>
          <w:szCs w:val="24"/>
          <w:lang w:val="es-ES"/>
        </w:rPr>
        <w:t>209.</w:t>
      </w:r>
      <w:r w:rsidRPr="00E624B7">
        <w:rPr>
          <w:szCs w:val="24"/>
          <w:lang w:val="es-ES"/>
        </w:rPr>
        <w:tab/>
      </w:r>
      <w:r>
        <w:rPr>
          <w:szCs w:val="24"/>
          <w:lang w:val="es-ES"/>
        </w:rPr>
        <w:t xml:space="preserve">Los centros de atención infantil que tienen el ruso como idioma de trabajo suelen </w:t>
      </w:r>
      <w:r w:rsidR="005B0AD0">
        <w:rPr>
          <w:szCs w:val="24"/>
          <w:lang w:val="es-ES"/>
        </w:rPr>
        <w:t xml:space="preserve">encontrarse </w:t>
      </w:r>
      <w:r>
        <w:rPr>
          <w:szCs w:val="24"/>
          <w:lang w:val="es-ES"/>
        </w:rPr>
        <w:t xml:space="preserve">en ciudades y regiones donde la población de habla rusa </w:t>
      </w:r>
      <w:r w:rsidR="005B0AD0">
        <w:rPr>
          <w:szCs w:val="24"/>
          <w:lang w:val="es-ES"/>
        </w:rPr>
        <w:t>r</w:t>
      </w:r>
      <w:r>
        <w:rPr>
          <w:szCs w:val="24"/>
          <w:lang w:val="es-ES"/>
        </w:rPr>
        <w:t>e</w:t>
      </w:r>
      <w:r w:rsidR="005B0AD0">
        <w:rPr>
          <w:szCs w:val="24"/>
          <w:lang w:val="es-ES"/>
        </w:rPr>
        <w:t>presenta</w:t>
      </w:r>
      <w:r>
        <w:rPr>
          <w:szCs w:val="24"/>
          <w:lang w:val="es-ES"/>
        </w:rPr>
        <w:t xml:space="preserve"> más del 40% (condado de Ida-Viru y condado de Harju, incluida Tallin).</w:t>
      </w:r>
      <w:r w:rsidRPr="00E624B7">
        <w:rPr>
          <w:szCs w:val="24"/>
          <w:lang w:val="es-ES"/>
        </w:rPr>
        <w:t xml:space="preserve"> </w:t>
      </w:r>
      <w:r>
        <w:rPr>
          <w:szCs w:val="24"/>
          <w:lang w:val="es-ES"/>
        </w:rPr>
        <w:t>Los grupos de los jardines de infancia que utilizan el estonio como idioma de trabajo representan el 82,6%, mientras que los grupos donde se emplea el ruso y los grupos de inmersión lingüística constituyen el 17,2%</w:t>
      </w:r>
      <w:r w:rsidR="005B0AD0">
        <w:rPr>
          <w:szCs w:val="24"/>
          <w:lang w:val="es-ES"/>
        </w:rPr>
        <w:t>,</w:t>
      </w:r>
      <w:r>
        <w:rPr>
          <w:szCs w:val="24"/>
          <w:lang w:val="es-ES"/>
        </w:rPr>
        <w:t xml:space="preserve"> y los grupos cuyo idioma de trabajo es el inglés representan el 0,2% del total.</w:t>
      </w:r>
      <w:r w:rsidRPr="00EE0800">
        <w:rPr>
          <w:szCs w:val="24"/>
          <w:lang w:val="es-ES"/>
        </w:rPr>
        <w:t xml:space="preserve"> </w:t>
      </w:r>
      <w:r w:rsidR="005B0AD0">
        <w:rPr>
          <w:szCs w:val="24"/>
          <w:lang w:val="es-ES"/>
        </w:rPr>
        <w:t>Aumenta año tras año e</w:t>
      </w:r>
      <w:r>
        <w:rPr>
          <w:szCs w:val="24"/>
          <w:lang w:val="es-ES"/>
        </w:rPr>
        <w:t>l número de grupos de inmersión lingüística, diseñados principalmente para niños cuya lengua materna es</w:t>
      </w:r>
      <w:r w:rsidR="005A17E5">
        <w:rPr>
          <w:szCs w:val="24"/>
          <w:lang w:val="es-ES"/>
        </w:rPr>
        <w:t xml:space="preserve"> el ruso, si bien el</w:t>
      </w:r>
      <w:r>
        <w:rPr>
          <w:szCs w:val="24"/>
          <w:lang w:val="es-ES"/>
        </w:rPr>
        <w:t xml:space="preserve"> programa </w:t>
      </w:r>
      <w:r w:rsidR="005A17E5">
        <w:rPr>
          <w:szCs w:val="24"/>
          <w:lang w:val="es-ES"/>
        </w:rPr>
        <w:t xml:space="preserve">es </w:t>
      </w:r>
      <w:r>
        <w:rPr>
          <w:szCs w:val="24"/>
          <w:lang w:val="es-ES"/>
        </w:rPr>
        <w:t>voluntario para padres y jardines de infancia.</w:t>
      </w:r>
    </w:p>
    <w:p w:rsidR="00DE6601" w:rsidRPr="00E624B7" w:rsidRDefault="00DE6601" w:rsidP="00637350">
      <w:pPr>
        <w:pStyle w:val="SingleTxtG"/>
        <w:rPr>
          <w:szCs w:val="24"/>
          <w:lang w:val="es-ES"/>
        </w:rPr>
      </w:pPr>
      <w:r w:rsidRPr="00E624B7">
        <w:rPr>
          <w:szCs w:val="24"/>
          <w:lang w:val="es-ES"/>
        </w:rPr>
        <w:t>210.</w:t>
      </w:r>
      <w:r w:rsidRPr="00E624B7">
        <w:rPr>
          <w:szCs w:val="24"/>
          <w:lang w:val="es-ES"/>
        </w:rPr>
        <w:tab/>
      </w:r>
      <w:r>
        <w:rPr>
          <w:szCs w:val="24"/>
          <w:lang w:val="es-ES"/>
        </w:rPr>
        <w:t xml:space="preserve">Los resultados del Estudio de Seguimiento de </w:t>
      </w:r>
      <w:smartTag w:uri="urn:schemas-microsoft-com:office:smarttags" w:element="PersonName">
        <w:smartTagPr>
          <w:attr w:name="ProductID" w:val="la Integraci￳n"/>
        </w:smartTagPr>
        <w:r>
          <w:rPr>
            <w:szCs w:val="24"/>
            <w:lang w:val="es-ES"/>
          </w:rPr>
          <w:t>la Integración</w:t>
        </w:r>
      </w:smartTag>
      <w:r>
        <w:rPr>
          <w:szCs w:val="24"/>
          <w:lang w:val="es-ES"/>
        </w:rPr>
        <w:t xml:space="preserve"> en </w:t>
      </w:r>
      <w:smartTag w:uri="urn:schemas-microsoft-com:office:smarttags" w:element="PersonName">
        <w:smartTagPr>
          <w:attr w:name="ProductID" w:val="la Sociedad Estonia"/>
        </w:smartTagPr>
        <w:r>
          <w:rPr>
            <w:szCs w:val="24"/>
            <w:lang w:val="es-ES"/>
          </w:rPr>
          <w:t>la Sociedad Estonia</w:t>
        </w:r>
      </w:smartTag>
      <w:r>
        <w:rPr>
          <w:szCs w:val="24"/>
          <w:lang w:val="es-ES"/>
        </w:rPr>
        <w:t xml:space="preserve"> de 2011 muestran que el 8</w:t>
      </w:r>
      <w:r w:rsidR="005A17E5">
        <w:rPr>
          <w:szCs w:val="24"/>
          <w:lang w:val="es-ES"/>
        </w:rPr>
        <w:t>0% de los encuestados cuya lengua materna era el ruso u otro idioma</w:t>
      </w:r>
      <w:r>
        <w:rPr>
          <w:szCs w:val="24"/>
          <w:lang w:val="es-ES"/>
        </w:rPr>
        <w:t xml:space="preserve"> p</w:t>
      </w:r>
      <w:r w:rsidR="005A17E5">
        <w:rPr>
          <w:szCs w:val="24"/>
          <w:lang w:val="es-ES"/>
        </w:rPr>
        <w:t>referían que sus hijos recibiese</w:t>
      </w:r>
      <w:r>
        <w:rPr>
          <w:szCs w:val="24"/>
          <w:lang w:val="es-ES"/>
        </w:rPr>
        <w:t xml:space="preserve">n instrucción en estonio </w:t>
      </w:r>
      <w:r w:rsidR="000A0E91">
        <w:rPr>
          <w:szCs w:val="24"/>
          <w:lang w:val="es-ES"/>
        </w:rPr>
        <w:t xml:space="preserve">desde </w:t>
      </w:r>
      <w:r>
        <w:rPr>
          <w:szCs w:val="24"/>
          <w:lang w:val="es-ES"/>
        </w:rPr>
        <w:t xml:space="preserve">el jardín </w:t>
      </w:r>
      <w:r w:rsidR="000A0E91">
        <w:rPr>
          <w:szCs w:val="24"/>
          <w:lang w:val="es-ES"/>
        </w:rPr>
        <w:t xml:space="preserve">de </w:t>
      </w:r>
      <w:r>
        <w:rPr>
          <w:szCs w:val="24"/>
          <w:lang w:val="es-ES"/>
        </w:rPr>
        <w:t>infancia.</w:t>
      </w:r>
    </w:p>
    <w:p w:rsidR="00DE6601" w:rsidRPr="00EE0800" w:rsidRDefault="00DE6601" w:rsidP="00637350">
      <w:pPr>
        <w:pStyle w:val="SingleTxtG"/>
        <w:rPr>
          <w:szCs w:val="24"/>
          <w:lang w:val="es-ES"/>
        </w:rPr>
      </w:pPr>
      <w:r w:rsidRPr="00E624B7">
        <w:rPr>
          <w:szCs w:val="24"/>
          <w:lang w:val="es-ES"/>
        </w:rPr>
        <w:t>211.</w:t>
      </w:r>
      <w:r w:rsidRPr="00E624B7">
        <w:rPr>
          <w:szCs w:val="24"/>
          <w:lang w:val="es-ES"/>
        </w:rPr>
        <w:tab/>
      </w:r>
      <w:r>
        <w:rPr>
          <w:szCs w:val="24"/>
          <w:lang w:val="es-ES"/>
        </w:rPr>
        <w:t xml:space="preserve">El Ministerio de Educación e Investigación ha apoyado diversas actividades </w:t>
      </w:r>
      <w:r w:rsidR="00174991">
        <w:rPr>
          <w:szCs w:val="24"/>
          <w:lang w:val="es-ES"/>
        </w:rPr>
        <w:t xml:space="preserve">(formación de docentes en el </w:t>
      </w:r>
      <w:r w:rsidR="001469B8">
        <w:rPr>
          <w:szCs w:val="24"/>
          <w:lang w:val="es-ES"/>
        </w:rPr>
        <w:t xml:space="preserve">empleo </w:t>
      </w:r>
      <w:r w:rsidR="00174991">
        <w:rPr>
          <w:szCs w:val="24"/>
          <w:lang w:val="es-ES"/>
        </w:rPr>
        <w:t xml:space="preserve">y preparación y publicación de materiales didácticos) </w:t>
      </w:r>
      <w:r>
        <w:rPr>
          <w:szCs w:val="24"/>
          <w:lang w:val="es-ES"/>
        </w:rPr>
        <w:t>con miras a la aplicació</w:t>
      </w:r>
      <w:r w:rsidR="007311D9">
        <w:rPr>
          <w:szCs w:val="24"/>
          <w:lang w:val="es-ES"/>
        </w:rPr>
        <w:t>n del plan de estudios nacional en</w:t>
      </w:r>
      <w:r>
        <w:rPr>
          <w:szCs w:val="24"/>
          <w:lang w:val="es-ES"/>
        </w:rPr>
        <w:t xml:space="preserve"> los centros de atención infantil preescolar</w:t>
      </w:r>
      <w:r w:rsidR="00174991">
        <w:rPr>
          <w:szCs w:val="24"/>
          <w:lang w:val="es-ES"/>
        </w:rPr>
        <w:t>,</w:t>
      </w:r>
      <w:r w:rsidR="00622311">
        <w:rPr>
          <w:szCs w:val="24"/>
          <w:lang w:val="es-ES"/>
        </w:rPr>
        <w:t xml:space="preserve"> </w:t>
      </w:r>
      <w:r w:rsidR="00174991">
        <w:rPr>
          <w:szCs w:val="24"/>
          <w:lang w:val="es-ES"/>
        </w:rPr>
        <w:t xml:space="preserve">para </w:t>
      </w:r>
      <w:r>
        <w:rPr>
          <w:szCs w:val="24"/>
          <w:lang w:val="es-ES"/>
        </w:rPr>
        <w:t>a</w:t>
      </w:r>
      <w:r w:rsidR="00622311">
        <w:rPr>
          <w:szCs w:val="24"/>
          <w:lang w:val="es-ES"/>
        </w:rPr>
        <w:t>segur</w:t>
      </w:r>
      <w:r>
        <w:rPr>
          <w:szCs w:val="24"/>
          <w:lang w:val="es-ES"/>
        </w:rPr>
        <w:t>ar la calidad de la enseñanza del estonio como segunda lengua</w:t>
      </w:r>
      <w:r w:rsidR="004348C3">
        <w:rPr>
          <w:szCs w:val="24"/>
          <w:lang w:val="es-ES"/>
        </w:rPr>
        <w:t xml:space="preserve">, </w:t>
      </w:r>
      <w:r w:rsidR="00174991">
        <w:rPr>
          <w:szCs w:val="24"/>
          <w:lang w:val="es-ES"/>
        </w:rPr>
        <w:t>entre otros objetivos</w:t>
      </w:r>
      <w:r>
        <w:rPr>
          <w:szCs w:val="24"/>
          <w:lang w:val="es-ES"/>
        </w:rPr>
        <w:t>.</w:t>
      </w:r>
      <w:r w:rsidRPr="00E624B7">
        <w:rPr>
          <w:szCs w:val="24"/>
          <w:lang w:val="es-ES"/>
        </w:rPr>
        <w:t xml:space="preserve"> </w:t>
      </w:r>
      <w:r w:rsidR="007311D9">
        <w:rPr>
          <w:szCs w:val="24"/>
          <w:lang w:val="es-ES"/>
        </w:rPr>
        <w:t>Desde 2008, todos los años se imparte formación</w:t>
      </w:r>
      <w:r>
        <w:rPr>
          <w:szCs w:val="24"/>
          <w:lang w:val="es-ES"/>
        </w:rPr>
        <w:t xml:space="preserve"> en el </w:t>
      </w:r>
      <w:r w:rsidR="007311D9">
        <w:rPr>
          <w:szCs w:val="24"/>
          <w:lang w:val="es-ES"/>
        </w:rPr>
        <w:t>empleo para los docentes</w:t>
      </w:r>
      <w:r>
        <w:rPr>
          <w:szCs w:val="24"/>
          <w:lang w:val="es-ES"/>
        </w:rPr>
        <w:t>.</w:t>
      </w:r>
    </w:p>
    <w:p w:rsidR="00DE6601" w:rsidRPr="00E624B7" w:rsidRDefault="00DE6601" w:rsidP="00637350">
      <w:pPr>
        <w:pStyle w:val="SingleTxtG"/>
        <w:rPr>
          <w:szCs w:val="24"/>
          <w:lang w:val="es-ES"/>
        </w:rPr>
      </w:pPr>
      <w:r w:rsidRPr="00E624B7">
        <w:rPr>
          <w:szCs w:val="24"/>
          <w:lang w:val="es-ES"/>
        </w:rPr>
        <w:t>212.</w:t>
      </w:r>
      <w:r w:rsidRPr="00E624B7">
        <w:rPr>
          <w:szCs w:val="24"/>
          <w:lang w:val="es-ES"/>
        </w:rPr>
        <w:tab/>
      </w:r>
      <w:r>
        <w:rPr>
          <w:szCs w:val="24"/>
          <w:lang w:val="es-ES"/>
        </w:rPr>
        <w:t xml:space="preserve">Con el fin de </w:t>
      </w:r>
      <w:r w:rsidR="00174991">
        <w:rPr>
          <w:szCs w:val="24"/>
          <w:lang w:val="es-ES"/>
        </w:rPr>
        <w:t xml:space="preserve">promover el </w:t>
      </w:r>
      <w:r>
        <w:rPr>
          <w:szCs w:val="24"/>
          <w:lang w:val="es-ES"/>
        </w:rPr>
        <w:t xml:space="preserve">aprendizaje del estonio como segunda lengua en los centros de atención infantil preescolar (desde la edad de tres años), se han concedido ayudas a los </w:t>
      </w:r>
      <w:r w:rsidR="00174991">
        <w:rPr>
          <w:szCs w:val="24"/>
          <w:lang w:val="es-ES"/>
        </w:rPr>
        <w:t xml:space="preserve">fondos de garantía </w:t>
      </w:r>
      <w:r>
        <w:rPr>
          <w:szCs w:val="24"/>
          <w:lang w:val="es-ES"/>
        </w:rPr>
        <w:t>s</w:t>
      </w:r>
      <w:r w:rsidR="00174991">
        <w:rPr>
          <w:szCs w:val="24"/>
          <w:lang w:val="es-ES"/>
        </w:rPr>
        <w:t>alarial</w:t>
      </w:r>
      <w:r>
        <w:rPr>
          <w:szCs w:val="24"/>
          <w:lang w:val="es-ES"/>
        </w:rPr>
        <w:t xml:space="preserve"> de los</w:t>
      </w:r>
      <w:r w:rsidR="00174991">
        <w:rPr>
          <w:szCs w:val="24"/>
          <w:lang w:val="es-ES"/>
        </w:rPr>
        <w:t xml:space="preserve"> docentes en cuestión</w:t>
      </w:r>
      <w:r>
        <w:rPr>
          <w:szCs w:val="24"/>
          <w:lang w:val="es-ES"/>
        </w:rPr>
        <w:t>.</w:t>
      </w:r>
      <w:r w:rsidRPr="00E624B7">
        <w:rPr>
          <w:szCs w:val="24"/>
          <w:lang w:val="es-ES"/>
        </w:rPr>
        <w:t xml:space="preserve"> </w:t>
      </w:r>
    </w:p>
    <w:p w:rsidR="00DE6601" w:rsidRPr="005E204C" w:rsidRDefault="00DE6601" w:rsidP="00637350">
      <w:pPr>
        <w:pStyle w:val="H23G"/>
        <w:rPr>
          <w:lang w:val="es-ES"/>
        </w:rPr>
      </w:pPr>
      <w:r w:rsidRPr="00E624B7">
        <w:rPr>
          <w:lang w:val="es-ES"/>
        </w:rPr>
        <w:tab/>
      </w:r>
      <w:r w:rsidRPr="00E624B7">
        <w:rPr>
          <w:lang w:val="es-ES"/>
        </w:rPr>
        <w:tab/>
      </w:r>
      <w:r>
        <w:rPr>
          <w:lang w:val="es-ES"/>
        </w:rPr>
        <w:t>Enseñanza básica</w:t>
      </w:r>
    </w:p>
    <w:p w:rsidR="00DE6601" w:rsidRPr="00EE0800" w:rsidRDefault="00DE6601" w:rsidP="00637350">
      <w:pPr>
        <w:pStyle w:val="SingleTxtG"/>
        <w:rPr>
          <w:lang w:val="es-ES"/>
        </w:rPr>
      </w:pPr>
      <w:r w:rsidRPr="00EE0800">
        <w:rPr>
          <w:lang w:val="es-ES"/>
        </w:rPr>
        <w:t>213.</w:t>
      </w:r>
      <w:r w:rsidRPr="00EE0800">
        <w:rPr>
          <w:lang w:val="es-ES"/>
        </w:rPr>
        <w:tab/>
      </w:r>
      <w:r>
        <w:rPr>
          <w:lang w:val="es-ES"/>
        </w:rPr>
        <w:t xml:space="preserve">De conformidad con el artículo 21 de </w:t>
      </w:r>
      <w:smartTag w:uri="urn:schemas-microsoft-com:office:smarttags" w:element="PersonName">
        <w:smartTagPr>
          <w:attr w:name="ProductID" w:val="La Ley"/>
        </w:smartTagPr>
        <w:r>
          <w:rPr>
            <w:lang w:val="es-ES"/>
          </w:rPr>
          <w:t>la Ley</w:t>
        </w:r>
      </w:smartTag>
      <w:r>
        <w:rPr>
          <w:lang w:val="es-ES"/>
        </w:rPr>
        <w:t xml:space="preserve"> de enseñanza media elemental y superior, </w:t>
      </w:r>
      <w:r w:rsidR="0065709A">
        <w:rPr>
          <w:lang w:val="es-ES"/>
        </w:rPr>
        <w:t>en el nivel de la educación básica (grados 1</w:t>
      </w:r>
      <w:r w:rsidR="00E34555">
        <w:rPr>
          <w:lang w:val="es-ES"/>
        </w:rPr>
        <w:t>º</w:t>
      </w:r>
      <w:r w:rsidR="0065709A">
        <w:rPr>
          <w:lang w:val="es-ES"/>
        </w:rPr>
        <w:t xml:space="preserve"> a 9</w:t>
      </w:r>
      <w:r w:rsidR="00E34555">
        <w:rPr>
          <w:lang w:val="es-ES"/>
        </w:rPr>
        <w:t>º</w:t>
      </w:r>
      <w:r w:rsidR="0065709A">
        <w:rPr>
          <w:lang w:val="es-ES"/>
        </w:rPr>
        <w:t xml:space="preserve">) </w:t>
      </w:r>
      <w:r w:rsidR="0078678D">
        <w:rPr>
          <w:lang w:val="es-ES"/>
        </w:rPr>
        <w:t xml:space="preserve">se puede utilizar </w:t>
      </w:r>
      <w:r>
        <w:rPr>
          <w:lang w:val="es-ES"/>
        </w:rPr>
        <w:t xml:space="preserve">cualquier </w:t>
      </w:r>
      <w:r w:rsidR="00343553">
        <w:rPr>
          <w:lang w:val="es-ES"/>
        </w:rPr>
        <w:t xml:space="preserve">lengua </w:t>
      </w:r>
      <w:r w:rsidR="0078678D">
        <w:rPr>
          <w:lang w:val="es-ES"/>
        </w:rPr>
        <w:t xml:space="preserve">como </w:t>
      </w:r>
      <w:r w:rsidR="00343553">
        <w:rPr>
          <w:lang w:val="es-ES"/>
        </w:rPr>
        <w:t xml:space="preserve">idioma de </w:t>
      </w:r>
      <w:r w:rsidR="0078678D">
        <w:rPr>
          <w:lang w:val="es-ES"/>
        </w:rPr>
        <w:t>instrucción</w:t>
      </w:r>
      <w:r>
        <w:rPr>
          <w:lang w:val="es-ES"/>
        </w:rPr>
        <w:t>.</w:t>
      </w:r>
      <w:r w:rsidRPr="00EE0800">
        <w:rPr>
          <w:lang w:val="es-ES"/>
        </w:rPr>
        <w:t xml:space="preserve"> </w:t>
      </w:r>
      <w:r>
        <w:rPr>
          <w:lang w:val="es-ES"/>
        </w:rPr>
        <w:t xml:space="preserve">En </w:t>
      </w:r>
      <w:r w:rsidR="0078678D">
        <w:rPr>
          <w:lang w:val="es-ES"/>
        </w:rPr>
        <w:t>dich</w:t>
      </w:r>
      <w:r>
        <w:rPr>
          <w:lang w:val="es-ES"/>
        </w:rPr>
        <w:t xml:space="preserve">a </w:t>
      </w:r>
      <w:r w:rsidR="005554AF">
        <w:rPr>
          <w:lang w:val="es-ES"/>
        </w:rPr>
        <w:t>ley</w:t>
      </w:r>
      <w:r w:rsidR="0078678D">
        <w:rPr>
          <w:lang w:val="es-ES"/>
        </w:rPr>
        <w:t>,</w:t>
      </w:r>
      <w:r>
        <w:rPr>
          <w:lang w:val="es-ES"/>
        </w:rPr>
        <w:t xml:space="preserve"> </w:t>
      </w:r>
      <w:r w:rsidR="00343553">
        <w:rPr>
          <w:lang w:val="es-ES"/>
        </w:rPr>
        <w:t>e</w:t>
      </w:r>
      <w:r>
        <w:rPr>
          <w:lang w:val="es-ES"/>
        </w:rPr>
        <w:t xml:space="preserve">l </w:t>
      </w:r>
      <w:r w:rsidR="00343553">
        <w:rPr>
          <w:lang w:val="es-ES"/>
        </w:rPr>
        <w:t xml:space="preserve">idioma </w:t>
      </w:r>
      <w:r>
        <w:rPr>
          <w:lang w:val="es-ES"/>
        </w:rPr>
        <w:t xml:space="preserve">de </w:t>
      </w:r>
      <w:r w:rsidR="0078678D">
        <w:rPr>
          <w:lang w:val="es-ES"/>
        </w:rPr>
        <w:t xml:space="preserve">instrucción se define </w:t>
      </w:r>
      <w:r>
        <w:rPr>
          <w:lang w:val="es-ES"/>
        </w:rPr>
        <w:t xml:space="preserve">como </w:t>
      </w:r>
      <w:r w:rsidR="00343553">
        <w:rPr>
          <w:lang w:val="es-ES"/>
        </w:rPr>
        <w:t>e</w:t>
      </w:r>
      <w:r>
        <w:rPr>
          <w:lang w:val="es-ES"/>
        </w:rPr>
        <w:t xml:space="preserve">l </w:t>
      </w:r>
      <w:r w:rsidR="0065709A">
        <w:rPr>
          <w:lang w:val="es-ES"/>
        </w:rPr>
        <w:t>emplead</w:t>
      </w:r>
      <w:r w:rsidR="00343553">
        <w:rPr>
          <w:lang w:val="es-ES"/>
        </w:rPr>
        <w:t>o</w:t>
      </w:r>
      <w:r w:rsidR="0065709A">
        <w:rPr>
          <w:lang w:val="es-ES"/>
        </w:rPr>
        <w:t xml:space="preserve"> en </w:t>
      </w:r>
      <w:r>
        <w:rPr>
          <w:lang w:val="es-ES"/>
        </w:rPr>
        <w:t>más del 60% de los estudios.</w:t>
      </w:r>
      <w:r w:rsidRPr="00EE0800">
        <w:rPr>
          <w:lang w:val="es-ES"/>
        </w:rPr>
        <w:t xml:space="preserve"> </w:t>
      </w:r>
      <w:r w:rsidR="0065709A">
        <w:rPr>
          <w:lang w:val="es-ES"/>
        </w:rPr>
        <w:t xml:space="preserve">El </w:t>
      </w:r>
      <w:r w:rsidR="00AC6D15">
        <w:rPr>
          <w:lang w:val="es-ES"/>
        </w:rPr>
        <w:t xml:space="preserve">director </w:t>
      </w:r>
      <w:r w:rsidR="0065709A">
        <w:rPr>
          <w:lang w:val="es-ES"/>
        </w:rPr>
        <w:t xml:space="preserve">de la </w:t>
      </w:r>
      <w:r>
        <w:rPr>
          <w:lang w:val="es-ES"/>
        </w:rPr>
        <w:t xml:space="preserve">escuela decide </w:t>
      </w:r>
      <w:r w:rsidR="00343553">
        <w:rPr>
          <w:lang w:val="es-ES"/>
        </w:rPr>
        <w:t xml:space="preserve">sobre </w:t>
      </w:r>
      <w:r>
        <w:rPr>
          <w:lang w:val="es-ES"/>
        </w:rPr>
        <w:t>el idioma d</w:t>
      </w:r>
      <w:r w:rsidR="00343553">
        <w:rPr>
          <w:lang w:val="es-ES"/>
        </w:rPr>
        <w:t>e instrucción</w:t>
      </w:r>
      <w:r>
        <w:rPr>
          <w:lang w:val="es-ES"/>
        </w:rPr>
        <w:t xml:space="preserve"> teniendo en cuenta las necesidades de la región y los recursos de que dispone, la existencia de profesores,</w:t>
      </w:r>
      <w:r w:rsidR="00521F17">
        <w:rPr>
          <w:lang w:val="es-ES"/>
        </w:rPr>
        <w:t xml:space="preserve"> las</w:t>
      </w:r>
      <w:r>
        <w:rPr>
          <w:lang w:val="es-ES"/>
        </w:rPr>
        <w:t xml:space="preserve"> opciones para obtener materiales didácticos, etc. Actualmente, en las escuelas de educación </w:t>
      </w:r>
      <w:r w:rsidR="00343553">
        <w:rPr>
          <w:lang w:val="es-ES"/>
        </w:rPr>
        <w:t xml:space="preserve">básica la enseñanza </w:t>
      </w:r>
      <w:r>
        <w:rPr>
          <w:lang w:val="es-ES"/>
        </w:rPr>
        <w:t>se imparte en estonio, ruso, inglés y finlandés.</w:t>
      </w:r>
      <w:r w:rsidRPr="00EE0800">
        <w:rPr>
          <w:lang w:val="es-ES"/>
        </w:rPr>
        <w:t xml:space="preserve"> </w:t>
      </w:r>
      <w:r w:rsidR="007466FA">
        <w:rPr>
          <w:lang w:val="es-ES"/>
        </w:rPr>
        <w:t>E</w:t>
      </w:r>
      <w:r w:rsidR="00397677">
        <w:rPr>
          <w:lang w:val="es-ES"/>
        </w:rPr>
        <w:t>n el 83% de las escuelas de enseñanza general e</w:t>
      </w:r>
      <w:r w:rsidR="007466FA">
        <w:rPr>
          <w:lang w:val="es-ES"/>
        </w:rPr>
        <w:t>l idioma de instrucción</w:t>
      </w:r>
      <w:r w:rsidR="00521F17">
        <w:rPr>
          <w:lang w:val="es-ES"/>
        </w:rPr>
        <w:t xml:space="preserve"> es el estonio, y</w:t>
      </w:r>
      <w:r w:rsidR="00397677">
        <w:rPr>
          <w:lang w:val="es-ES"/>
        </w:rPr>
        <w:t xml:space="preserve"> </w:t>
      </w:r>
      <w:r>
        <w:rPr>
          <w:lang w:val="es-ES"/>
        </w:rPr>
        <w:t>en el 1,5%</w:t>
      </w:r>
      <w:r w:rsidR="00397677">
        <w:rPr>
          <w:lang w:val="es-ES"/>
        </w:rPr>
        <w:t xml:space="preserve"> de esas escuelas</w:t>
      </w:r>
      <w:r w:rsidR="00521F17">
        <w:rPr>
          <w:lang w:val="es-ES"/>
        </w:rPr>
        <w:t xml:space="preserve"> es el ruso</w:t>
      </w:r>
      <w:r>
        <w:rPr>
          <w:lang w:val="es-ES"/>
        </w:rPr>
        <w:t xml:space="preserve">; el 14% de las escuelas tienen </w:t>
      </w:r>
      <w:r w:rsidR="0006701F">
        <w:rPr>
          <w:lang w:val="es-ES"/>
        </w:rPr>
        <w:t>d</w:t>
      </w:r>
      <w:r>
        <w:rPr>
          <w:lang w:val="es-ES"/>
        </w:rPr>
        <w:t>e</w:t>
      </w:r>
      <w:r w:rsidR="0006701F">
        <w:rPr>
          <w:lang w:val="es-ES"/>
        </w:rPr>
        <w:t>partamentos</w:t>
      </w:r>
      <w:r>
        <w:rPr>
          <w:lang w:val="es-ES"/>
        </w:rPr>
        <w:t xml:space="preserve"> </w:t>
      </w:r>
      <w:r w:rsidR="0006701F">
        <w:rPr>
          <w:lang w:val="es-ES"/>
        </w:rPr>
        <w:t xml:space="preserve">de </w:t>
      </w:r>
      <w:r>
        <w:rPr>
          <w:lang w:val="es-ES"/>
        </w:rPr>
        <w:t xml:space="preserve">estonio </w:t>
      </w:r>
      <w:r w:rsidR="0006701F">
        <w:rPr>
          <w:lang w:val="es-ES"/>
        </w:rPr>
        <w:t>y</w:t>
      </w:r>
      <w:r>
        <w:rPr>
          <w:lang w:val="es-ES"/>
        </w:rPr>
        <w:t xml:space="preserve"> ruso, y las escuelas restantes (1,5%) tienen</w:t>
      </w:r>
      <w:r w:rsidR="00B5105C">
        <w:rPr>
          <w:lang w:val="es-ES"/>
        </w:rPr>
        <w:t xml:space="preserve"> como idiomas de instrucción</w:t>
      </w:r>
      <w:r>
        <w:rPr>
          <w:lang w:val="es-ES"/>
        </w:rPr>
        <w:t xml:space="preserve"> el inglés, el inglés y el estonio, o el finlandés y el eston</w:t>
      </w:r>
      <w:r w:rsidR="00B5105C">
        <w:rPr>
          <w:lang w:val="es-ES"/>
        </w:rPr>
        <w:t>io</w:t>
      </w:r>
      <w:r>
        <w:rPr>
          <w:lang w:val="es-ES"/>
        </w:rPr>
        <w:t>.</w:t>
      </w:r>
    </w:p>
    <w:p w:rsidR="00DE6601" w:rsidRPr="00EE0800" w:rsidRDefault="00DE6601" w:rsidP="00637350">
      <w:pPr>
        <w:pStyle w:val="Heading1"/>
        <w:spacing w:before="240"/>
        <w:rPr>
          <w:lang w:val="es-ES"/>
        </w:rPr>
      </w:pPr>
      <w:r>
        <w:rPr>
          <w:lang w:val="es-ES"/>
        </w:rPr>
        <w:t>Cuadro 11</w:t>
      </w:r>
    </w:p>
    <w:p w:rsidR="00DE6601" w:rsidRPr="00336726" w:rsidRDefault="00DE6601" w:rsidP="00637350">
      <w:pPr>
        <w:pStyle w:val="SingleTxtG"/>
        <w:jc w:val="left"/>
        <w:rPr>
          <w:b/>
          <w:lang w:val="es-ES"/>
        </w:rPr>
      </w:pPr>
      <w:r w:rsidRPr="00336726">
        <w:rPr>
          <w:b/>
          <w:lang w:val="es-ES"/>
        </w:rPr>
        <w:t>Escuelas de enseñanza general (excepto las escuelas de enseñanza secundaria superior para adultos) por idioma de</w:t>
      </w:r>
      <w:r w:rsidR="00E86B5E" w:rsidRPr="00336726">
        <w:rPr>
          <w:b/>
          <w:lang w:val="es-ES"/>
        </w:rPr>
        <w:t xml:space="preserve"> instrucción</w:t>
      </w:r>
      <w:r w:rsidRPr="00336726">
        <w:rPr>
          <w:b/>
          <w:lang w:val="es-ES"/>
        </w:rPr>
        <w:t xml:space="preserve">, de </w:t>
      </w:r>
      <w:smartTag w:uri="urn:schemas-microsoft-com:office:smarttags" w:element="metricconverter">
        <w:smartTagPr>
          <w:attr w:name="ProductID" w:val="2008 a"/>
        </w:smartTagPr>
        <w:r w:rsidRPr="00336726">
          <w:rPr>
            <w:b/>
            <w:lang w:val="es-ES"/>
          </w:rPr>
          <w:t>2008 a</w:t>
        </w:r>
      </w:smartTag>
      <w:r w:rsidRPr="00336726">
        <w:rPr>
          <w:b/>
          <w:lang w:val="es-ES"/>
        </w:rPr>
        <w:t xml:space="preserve"> 2012</w:t>
      </w:r>
    </w:p>
    <w:tbl>
      <w:tblPr>
        <w:tblW w:w="8504" w:type="dxa"/>
        <w:tblInd w:w="1134" w:type="dxa"/>
        <w:tblBorders>
          <w:top w:val="single" w:sz="4" w:space="0" w:color="auto"/>
        </w:tblBorders>
        <w:tblLayout w:type="fixed"/>
        <w:tblCellMar>
          <w:left w:w="0" w:type="dxa"/>
          <w:right w:w="0" w:type="dxa"/>
        </w:tblCellMar>
        <w:tblLook w:val="00A0"/>
      </w:tblPr>
      <w:tblGrid>
        <w:gridCol w:w="966"/>
        <w:gridCol w:w="1011"/>
        <w:gridCol w:w="1011"/>
        <w:gridCol w:w="1011"/>
        <w:gridCol w:w="1012"/>
        <w:gridCol w:w="1323"/>
        <w:gridCol w:w="1323"/>
        <w:gridCol w:w="847"/>
      </w:tblGrid>
      <w:tr w:rsidR="00F50F44" w:rsidRPr="00653CCB">
        <w:trPr>
          <w:trHeight w:val="20"/>
          <w:tblHeader/>
        </w:trPr>
        <w:tc>
          <w:tcPr>
            <w:tcW w:w="966" w:type="dxa"/>
            <w:tcBorders>
              <w:top w:val="single" w:sz="4" w:space="0" w:color="auto"/>
              <w:bottom w:val="single" w:sz="12" w:space="0" w:color="auto"/>
            </w:tcBorders>
            <w:shd w:val="clear" w:color="auto" w:fill="auto"/>
            <w:noWrap/>
            <w:vAlign w:val="bottom"/>
          </w:tcPr>
          <w:p w:rsidR="00DE6601" w:rsidRPr="007F2FC8" w:rsidRDefault="00EF1EC9" w:rsidP="00F50F44">
            <w:pPr>
              <w:spacing w:before="80" w:after="80" w:line="200" w:lineRule="exact"/>
              <w:rPr>
                <w:szCs w:val="24"/>
              </w:rPr>
            </w:pPr>
            <w:r>
              <w:rPr>
                <w:i/>
                <w:sz w:val="16"/>
                <w:szCs w:val="24"/>
                <w:lang w:val="es-ES"/>
              </w:rPr>
              <w:t>Año</w:t>
            </w:r>
            <w:r w:rsidR="00DE6601">
              <w:rPr>
                <w:i/>
                <w:sz w:val="16"/>
                <w:szCs w:val="24"/>
                <w:lang w:val="es-ES"/>
              </w:rPr>
              <w:t xml:space="preserve"> escolar</w:t>
            </w:r>
          </w:p>
        </w:tc>
        <w:tc>
          <w:tcPr>
            <w:tcW w:w="1011" w:type="dxa"/>
            <w:tcBorders>
              <w:top w:val="single" w:sz="4" w:space="0" w:color="auto"/>
              <w:bottom w:val="single" w:sz="12" w:space="0" w:color="auto"/>
            </w:tcBorders>
            <w:shd w:val="clear" w:color="auto" w:fill="auto"/>
            <w:noWrap/>
            <w:vAlign w:val="bottom"/>
          </w:tcPr>
          <w:p w:rsidR="00DE6601" w:rsidRPr="007F2FC8" w:rsidRDefault="00DE6601" w:rsidP="00F50F44">
            <w:pPr>
              <w:spacing w:before="80" w:after="80" w:line="200" w:lineRule="exact"/>
              <w:ind w:hanging="143"/>
              <w:jc w:val="right"/>
              <w:rPr>
                <w:szCs w:val="24"/>
              </w:rPr>
            </w:pPr>
            <w:r>
              <w:rPr>
                <w:i/>
                <w:sz w:val="16"/>
                <w:szCs w:val="24"/>
                <w:lang w:val="es-ES"/>
              </w:rPr>
              <w:t>Estonio</w:t>
            </w:r>
          </w:p>
        </w:tc>
        <w:tc>
          <w:tcPr>
            <w:tcW w:w="1011" w:type="dxa"/>
            <w:tcBorders>
              <w:top w:val="single" w:sz="4" w:space="0" w:color="auto"/>
              <w:bottom w:val="single" w:sz="12" w:space="0" w:color="auto"/>
            </w:tcBorders>
            <w:shd w:val="clear" w:color="auto" w:fill="auto"/>
            <w:noWrap/>
            <w:vAlign w:val="bottom"/>
          </w:tcPr>
          <w:p w:rsidR="00DE6601" w:rsidRPr="007F2FC8" w:rsidRDefault="00DE6601" w:rsidP="00F50F44">
            <w:pPr>
              <w:spacing w:before="80" w:after="80" w:line="200" w:lineRule="exact"/>
              <w:jc w:val="right"/>
              <w:rPr>
                <w:szCs w:val="24"/>
              </w:rPr>
            </w:pPr>
            <w:r>
              <w:rPr>
                <w:i/>
                <w:sz w:val="16"/>
                <w:szCs w:val="24"/>
                <w:lang w:val="es-ES"/>
              </w:rPr>
              <w:t>Ruso</w:t>
            </w:r>
          </w:p>
        </w:tc>
        <w:tc>
          <w:tcPr>
            <w:tcW w:w="1011" w:type="dxa"/>
            <w:tcBorders>
              <w:top w:val="single" w:sz="4" w:space="0" w:color="auto"/>
              <w:bottom w:val="single" w:sz="12" w:space="0" w:color="auto"/>
            </w:tcBorders>
            <w:shd w:val="clear" w:color="auto" w:fill="auto"/>
            <w:noWrap/>
            <w:vAlign w:val="bottom"/>
          </w:tcPr>
          <w:p w:rsidR="00DE6601" w:rsidRPr="007F2FC8" w:rsidRDefault="00DE6601" w:rsidP="00F50F44">
            <w:pPr>
              <w:spacing w:before="80" w:after="80" w:line="200" w:lineRule="exact"/>
              <w:jc w:val="right"/>
              <w:rPr>
                <w:szCs w:val="24"/>
              </w:rPr>
            </w:pPr>
            <w:r>
              <w:rPr>
                <w:i/>
                <w:sz w:val="16"/>
                <w:szCs w:val="24"/>
                <w:lang w:val="es-ES"/>
              </w:rPr>
              <w:t>Estonio</w:t>
            </w:r>
            <w:r w:rsidR="00F50F44">
              <w:rPr>
                <w:i/>
                <w:sz w:val="16"/>
                <w:szCs w:val="24"/>
                <w:lang w:val="es-ES"/>
              </w:rPr>
              <w:t>/r</w:t>
            </w:r>
            <w:r>
              <w:rPr>
                <w:i/>
                <w:sz w:val="16"/>
                <w:szCs w:val="24"/>
                <w:lang w:val="es-ES"/>
              </w:rPr>
              <w:t>uso</w:t>
            </w:r>
          </w:p>
        </w:tc>
        <w:tc>
          <w:tcPr>
            <w:tcW w:w="1012" w:type="dxa"/>
            <w:tcBorders>
              <w:top w:val="single" w:sz="4" w:space="0" w:color="auto"/>
              <w:bottom w:val="single" w:sz="12" w:space="0" w:color="auto"/>
            </w:tcBorders>
            <w:shd w:val="clear" w:color="auto" w:fill="auto"/>
            <w:noWrap/>
            <w:vAlign w:val="bottom"/>
          </w:tcPr>
          <w:p w:rsidR="00DE6601" w:rsidRPr="007F2FC8" w:rsidRDefault="00DE6601" w:rsidP="00F50F44">
            <w:pPr>
              <w:spacing w:before="80" w:after="80" w:line="200" w:lineRule="exact"/>
              <w:jc w:val="right"/>
              <w:rPr>
                <w:szCs w:val="24"/>
              </w:rPr>
            </w:pPr>
            <w:r>
              <w:rPr>
                <w:i/>
                <w:sz w:val="16"/>
                <w:szCs w:val="24"/>
                <w:lang w:val="es-ES"/>
              </w:rPr>
              <w:t>Inglés</w:t>
            </w:r>
          </w:p>
        </w:tc>
        <w:tc>
          <w:tcPr>
            <w:tcW w:w="1323" w:type="dxa"/>
            <w:tcBorders>
              <w:top w:val="single" w:sz="4" w:space="0" w:color="auto"/>
              <w:bottom w:val="single" w:sz="12" w:space="0" w:color="auto"/>
            </w:tcBorders>
            <w:shd w:val="clear" w:color="auto" w:fill="auto"/>
            <w:noWrap/>
            <w:vAlign w:val="bottom"/>
          </w:tcPr>
          <w:p w:rsidR="00DE6601" w:rsidRPr="007F2FC8" w:rsidRDefault="00DE6601" w:rsidP="00F50F44">
            <w:pPr>
              <w:spacing w:before="80" w:after="80" w:line="200" w:lineRule="exact"/>
              <w:jc w:val="right"/>
              <w:rPr>
                <w:szCs w:val="24"/>
              </w:rPr>
            </w:pPr>
            <w:r>
              <w:rPr>
                <w:i/>
                <w:sz w:val="16"/>
                <w:szCs w:val="24"/>
                <w:lang w:val="es-ES"/>
              </w:rPr>
              <w:t>Estonio/inglés</w:t>
            </w:r>
          </w:p>
        </w:tc>
        <w:tc>
          <w:tcPr>
            <w:tcW w:w="1323" w:type="dxa"/>
            <w:tcBorders>
              <w:top w:val="single" w:sz="4" w:space="0" w:color="auto"/>
              <w:bottom w:val="single" w:sz="12" w:space="0" w:color="auto"/>
            </w:tcBorders>
            <w:shd w:val="clear" w:color="auto" w:fill="auto"/>
            <w:noWrap/>
            <w:vAlign w:val="bottom"/>
          </w:tcPr>
          <w:p w:rsidR="00DE6601" w:rsidRPr="007F2FC8" w:rsidRDefault="00DE6601" w:rsidP="00F50F44">
            <w:pPr>
              <w:spacing w:before="80" w:after="80" w:line="200" w:lineRule="exact"/>
              <w:jc w:val="right"/>
              <w:rPr>
                <w:szCs w:val="24"/>
              </w:rPr>
            </w:pPr>
            <w:r>
              <w:rPr>
                <w:i/>
                <w:sz w:val="16"/>
                <w:szCs w:val="24"/>
                <w:lang w:val="es-ES"/>
              </w:rPr>
              <w:t>Estonio/finlandés</w:t>
            </w:r>
          </w:p>
        </w:tc>
        <w:tc>
          <w:tcPr>
            <w:tcW w:w="847" w:type="dxa"/>
            <w:tcBorders>
              <w:top w:val="single" w:sz="4" w:space="0" w:color="auto"/>
              <w:bottom w:val="single" w:sz="12" w:space="0" w:color="auto"/>
            </w:tcBorders>
            <w:shd w:val="clear" w:color="auto" w:fill="auto"/>
            <w:noWrap/>
            <w:vAlign w:val="bottom"/>
          </w:tcPr>
          <w:p w:rsidR="00DE6601" w:rsidRPr="00F50F44" w:rsidRDefault="00DE6601" w:rsidP="00F50F44">
            <w:pPr>
              <w:spacing w:before="80" w:after="80" w:line="200" w:lineRule="exact"/>
              <w:jc w:val="right"/>
              <w:rPr>
                <w:b/>
                <w:szCs w:val="24"/>
              </w:rPr>
            </w:pPr>
            <w:r w:rsidRPr="00F50F44">
              <w:rPr>
                <w:b/>
                <w:i/>
                <w:sz w:val="16"/>
                <w:szCs w:val="24"/>
                <w:lang w:val="es-ES"/>
              </w:rPr>
              <w:t>Total</w:t>
            </w:r>
          </w:p>
        </w:tc>
      </w:tr>
      <w:tr w:rsidR="00F50F44" w:rsidRPr="00653CCB">
        <w:trPr>
          <w:trHeight w:val="20"/>
        </w:trPr>
        <w:tc>
          <w:tcPr>
            <w:tcW w:w="966" w:type="dxa"/>
            <w:tcBorders>
              <w:top w:val="single" w:sz="12" w:space="0" w:color="auto"/>
            </w:tcBorders>
            <w:shd w:val="clear" w:color="auto" w:fill="auto"/>
            <w:noWrap/>
            <w:vAlign w:val="bottom"/>
          </w:tcPr>
          <w:p w:rsidR="00DE6601" w:rsidRPr="00653CCB" w:rsidRDefault="00DE6601" w:rsidP="00F50F44">
            <w:pPr>
              <w:spacing w:before="40" w:after="40" w:line="220" w:lineRule="exact"/>
              <w:rPr>
                <w:sz w:val="18"/>
                <w:szCs w:val="24"/>
                <w:lang w:eastAsia="et-EE"/>
              </w:rPr>
            </w:pPr>
            <w:r w:rsidRPr="00653CCB">
              <w:rPr>
                <w:sz w:val="18"/>
                <w:szCs w:val="24"/>
                <w:lang w:eastAsia="et-EE"/>
              </w:rPr>
              <w:t>2008/09</w:t>
            </w:r>
          </w:p>
        </w:tc>
        <w:tc>
          <w:tcPr>
            <w:tcW w:w="1011" w:type="dxa"/>
            <w:tcBorders>
              <w:top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473</w:t>
            </w:r>
          </w:p>
        </w:tc>
        <w:tc>
          <w:tcPr>
            <w:tcW w:w="1011" w:type="dxa"/>
            <w:tcBorders>
              <w:top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62</w:t>
            </w:r>
          </w:p>
        </w:tc>
        <w:tc>
          <w:tcPr>
            <w:tcW w:w="1011" w:type="dxa"/>
            <w:tcBorders>
              <w:top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27</w:t>
            </w:r>
          </w:p>
        </w:tc>
        <w:tc>
          <w:tcPr>
            <w:tcW w:w="1012" w:type="dxa"/>
            <w:tcBorders>
              <w:top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w:t>
            </w:r>
          </w:p>
        </w:tc>
        <w:tc>
          <w:tcPr>
            <w:tcW w:w="1323" w:type="dxa"/>
            <w:tcBorders>
              <w:top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1</w:t>
            </w:r>
          </w:p>
        </w:tc>
        <w:tc>
          <w:tcPr>
            <w:tcW w:w="1323" w:type="dxa"/>
            <w:tcBorders>
              <w:top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1</w:t>
            </w:r>
          </w:p>
        </w:tc>
        <w:tc>
          <w:tcPr>
            <w:tcW w:w="847" w:type="dxa"/>
            <w:tcBorders>
              <w:top w:val="single" w:sz="12" w:space="0" w:color="auto"/>
            </w:tcBorders>
            <w:shd w:val="clear" w:color="auto" w:fill="auto"/>
            <w:noWrap/>
            <w:vAlign w:val="bottom"/>
          </w:tcPr>
          <w:p w:rsidR="00DE6601" w:rsidRPr="00F50F44" w:rsidRDefault="00DE6601" w:rsidP="00F50F44">
            <w:pPr>
              <w:spacing w:before="40" w:after="40" w:line="220" w:lineRule="exact"/>
              <w:jc w:val="right"/>
              <w:rPr>
                <w:b/>
                <w:sz w:val="18"/>
                <w:szCs w:val="24"/>
                <w:lang w:eastAsia="et-EE"/>
              </w:rPr>
            </w:pPr>
            <w:r w:rsidRPr="00F50F44">
              <w:rPr>
                <w:b/>
                <w:sz w:val="18"/>
                <w:szCs w:val="24"/>
                <w:lang w:eastAsia="et-EE"/>
              </w:rPr>
              <w:t>566</w:t>
            </w:r>
          </w:p>
        </w:tc>
      </w:tr>
      <w:tr w:rsidR="00F50F44" w:rsidRPr="00653CCB">
        <w:trPr>
          <w:trHeight w:val="20"/>
        </w:trPr>
        <w:tc>
          <w:tcPr>
            <w:tcW w:w="966" w:type="dxa"/>
            <w:shd w:val="clear" w:color="auto" w:fill="auto"/>
            <w:noWrap/>
            <w:vAlign w:val="bottom"/>
          </w:tcPr>
          <w:p w:rsidR="00DE6601" w:rsidRPr="00653CCB" w:rsidRDefault="00DE6601" w:rsidP="00F50F44">
            <w:pPr>
              <w:spacing w:before="40" w:after="40" w:line="220" w:lineRule="exact"/>
              <w:rPr>
                <w:sz w:val="18"/>
                <w:szCs w:val="24"/>
                <w:lang w:eastAsia="et-EE"/>
              </w:rPr>
            </w:pPr>
            <w:r w:rsidRPr="00653CCB">
              <w:rPr>
                <w:sz w:val="18"/>
                <w:szCs w:val="24"/>
                <w:lang w:eastAsia="et-EE"/>
              </w:rPr>
              <w:t>2009/10</w:t>
            </w:r>
          </w:p>
        </w:tc>
        <w:tc>
          <w:tcPr>
            <w:tcW w:w="1011"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465</w:t>
            </w:r>
          </w:p>
        </w:tc>
        <w:tc>
          <w:tcPr>
            <w:tcW w:w="1011"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61</w:t>
            </w:r>
          </w:p>
        </w:tc>
        <w:tc>
          <w:tcPr>
            <w:tcW w:w="1011"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28</w:t>
            </w:r>
          </w:p>
        </w:tc>
        <w:tc>
          <w:tcPr>
            <w:tcW w:w="1012"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w:t>
            </w:r>
          </w:p>
        </w:tc>
        <w:tc>
          <w:tcPr>
            <w:tcW w:w="1323"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1</w:t>
            </w:r>
          </w:p>
        </w:tc>
        <w:tc>
          <w:tcPr>
            <w:tcW w:w="1323"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w:t>
            </w:r>
          </w:p>
        </w:tc>
        <w:tc>
          <w:tcPr>
            <w:tcW w:w="847" w:type="dxa"/>
            <w:shd w:val="clear" w:color="auto" w:fill="auto"/>
            <w:noWrap/>
            <w:vAlign w:val="bottom"/>
          </w:tcPr>
          <w:p w:rsidR="00DE6601" w:rsidRPr="00F50F44" w:rsidRDefault="00DE6601" w:rsidP="00F50F44">
            <w:pPr>
              <w:spacing w:before="40" w:after="40" w:line="220" w:lineRule="exact"/>
              <w:jc w:val="right"/>
              <w:rPr>
                <w:b/>
                <w:sz w:val="18"/>
                <w:szCs w:val="24"/>
                <w:lang w:eastAsia="et-EE"/>
              </w:rPr>
            </w:pPr>
            <w:r w:rsidRPr="00F50F44">
              <w:rPr>
                <w:b/>
                <w:sz w:val="18"/>
                <w:szCs w:val="24"/>
                <w:lang w:eastAsia="et-EE"/>
              </w:rPr>
              <w:t>559</w:t>
            </w:r>
          </w:p>
        </w:tc>
      </w:tr>
      <w:tr w:rsidR="00F50F44" w:rsidRPr="00653CCB">
        <w:trPr>
          <w:trHeight w:val="20"/>
        </w:trPr>
        <w:tc>
          <w:tcPr>
            <w:tcW w:w="966" w:type="dxa"/>
            <w:shd w:val="clear" w:color="auto" w:fill="auto"/>
            <w:noWrap/>
            <w:vAlign w:val="bottom"/>
          </w:tcPr>
          <w:p w:rsidR="00DE6601" w:rsidRPr="00653CCB" w:rsidRDefault="00DE6601" w:rsidP="00F50F44">
            <w:pPr>
              <w:spacing w:before="40" w:after="40" w:line="220" w:lineRule="exact"/>
              <w:rPr>
                <w:sz w:val="18"/>
                <w:szCs w:val="24"/>
                <w:lang w:eastAsia="et-EE"/>
              </w:rPr>
            </w:pPr>
            <w:r w:rsidRPr="00653CCB">
              <w:rPr>
                <w:sz w:val="18"/>
                <w:szCs w:val="24"/>
                <w:lang w:eastAsia="et-EE"/>
              </w:rPr>
              <w:t>2010/11</w:t>
            </w:r>
          </w:p>
        </w:tc>
        <w:tc>
          <w:tcPr>
            <w:tcW w:w="1011"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454</w:t>
            </w:r>
          </w:p>
        </w:tc>
        <w:tc>
          <w:tcPr>
            <w:tcW w:w="1011"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58</w:t>
            </w:r>
          </w:p>
        </w:tc>
        <w:tc>
          <w:tcPr>
            <w:tcW w:w="1011"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28</w:t>
            </w:r>
          </w:p>
        </w:tc>
        <w:tc>
          <w:tcPr>
            <w:tcW w:w="1012"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w:t>
            </w:r>
          </w:p>
        </w:tc>
        <w:tc>
          <w:tcPr>
            <w:tcW w:w="1323"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1</w:t>
            </w:r>
          </w:p>
        </w:tc>
        <w:tc>
          <w:tcPr>
            <w:tcW w:w="1323" w:type="dxa"/>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w:t>
            </w:r>
          </w:p>
        </w:tc>
        <w:tc>
          <w:tcPr>
            <w:tcW w:w="847" w:type="dxa"/>
            <w:shd w:val="clear" w:color="auto" w:fill="auto"/>
            <w:noWrap/>
            <w:vAlign w:val="bottom"/>
          </w:tcPr>
          <w:p w:rsidR="00DE6601" w:rsidRPr="00F50F44" w:rsidRDefault="00DE6601" w:rsidP="00F50F44">
            <w:pPr>
              <w:spacing w:before="40" w:after="40" w:line="220" w:lineRule="exact"/>
              <w:jc w:val="right"/>
              <w:rPr>
                <w:b/>
                <w:sz w:val="18"/>
                <w:szCs w:val="24"/>
                <w:lang w:eastAsia="et-EE"/>
              </w:rPr>
            </w:pPr>
            <w:r w:rsidRPr="00F50F44">
              <w:rPr>
                <w:b/>
                <w:sz w:val="18"/>
                <w:szCs w:val="24"/>
                <w:lang w:eastAsia="et-EE"/>
              </w:rPr>
              <w:t>545</w:t>
            </w:r>
          </w:p>
        </w:tc>
      </w:tr>
      <w:tr w:rsidR="00F50F44" w:rsidRPr="00653CCB">
        <w:trPr>
          <w:trHeight w:val="20"/>
        </w:trPr>
        <w:tc>
          <w:tcPr>
            <w:tcW w:w="966" w:type="dxa"/>
            <w:tcBorders>
              <w:bottom w:val="single" w:sz="12" w:space="0" w:color="auto"/>
            </w:tcBorders>
            <w:shd w:val="clear" w:color="auto" w:fill="auto"/>
            <w:noWrap/>
            <w:vAlign w:val="bottom"/>
          </w:tcPr>
          <w:p w:rsidR="00DE6601" w:rsidRPr="00653CCB" w:rsidRDefault="00DE6601" w:rsidP="00F50F44">
            <w:pPr>
              <w:spacing w:before="40" w:after="40" w:line="220" w:lineRule="exact"/>
              <w:rPr>
                <w:sz w:val="18"/>
                <w:szCs w:val="24"/>
                <w:lang w:eastAsia="et-EE"/>
              </w:rPr>
            </w:pPr>
            <w:r w:rsidRPr="00653CCB">
              <w:rPr>
                <w:sz w:val="18"/>
                <w:szCs w:val="24"/>
                <w:lang w:eastAsia="et-EE"/>
              </w:rPr>
              <w:t>2011/12</w:t>
            </w:r>
          </w:p>
        </w:tc>
        <w:tc>
          <w:tcPr>
            <w:tcW w:w="1011" w:type="dxa"/>
            <w:tcBorders>
              <w:bottom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447</w:t>
            </w:r>
          </w:p>
        </w:tc>
        <w:tc>
          <w:tcPr>
            <w:tcW w:w="1011" w:type="dxa"/>
            <w:tcBorders>
              <w:bottom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8</w:t>
            </w:r>
          </w:p>
        </w:tc>
        <w:tc>
          <w:tcPr>
            <w:tcW w:w="1011" w:type="dxa"/>
            <w:tcBorders>
              <w:bottom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77</w:t>
            </w:r>
          </w:p>
        </w:tc>
        <w:tc>
          <w:tcPr>
            <w:tcW w:w="1012" w:type="dxa"/>
            <w:tcBorders>
              <w:bottom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w:t>
            </w:r>
          </w:p>
        </w:tc>
        <w:tc>
          <w:tcPr>
            <w:tcW w:w="1323" w:type="dxa"/>
            <w:tcBorders>
              <w:bottom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4</w:t>
            </w:r>
          </w:p>
        </w:tc>
        <w:tc>
          <w:tcPr>
            <w:tcW w:w="1323" w:type="dxa"/>
            <w:tcBorders>
              <w:bottom w:val="single" w:sz="12" w:space="0" w:color="auto"/>
            </w:tcBorders>
            <w:shd w:val="clear" w:color="auto" w:fill="auto"/>
            <w:noWrap/>
            <w:vAlign w:val="bottom"/>
          </w:tcPr>
          <w:p w:rsidR="00DE6601" w:rsidRPr="00653CCB" w:rsidRDefault="00DE6601" w:rsidP="00F50F44">
            <w:pPr>
              <w:spacing w:before="40" w:after="40" w:line="220" w:lineRule="exact"/>
              <w:jc w:val="right"/>
              <w:rPr>
                <w:sz w:val="18"/>
                <w:szCs w:val="24"/>
                <w:lang w:eastAsia="et-EE"/>
              </w:rPr>
            </w:pPr>
            <w:r w:rsidRPr="00653CCB">
              <w:rPr>
                <w:sz w:val="18"/>
                <w:szCs w:val="24"/>
                <w:lang w:eastAsia="et-EE"/>
              </w:rPr>
              <w:t>2</w:t>
            </w:r>
          </w:p>
        </w:tc>
        <w:tc>
          <w:tcPr>
            <w:tcW w:w="847" w:type="dxa"/>
            <w:tcBorders>
              <w:bottom w:val="single" w:sz="12" w:space="0" w:color="auto"/>
            </w:tcBorders>
            <w:shd w:val="clear" w:color="auto" w:fill="auto"/>
            <w:noWrap/>
            <w:vAlign w:val="bottom"/>
          </w:tcPr>
          <w:p w:rsidR="00DE6601" w:rsidRPr="00F50F44" w:rsidRDefault="00DE6601" w:rsidP="00F50F44">
            <w:pPr>
              <w:spacing w:before="40" w:after="40" w:line="220" w:lineRule="exact"/>
              <w:jc w:val="right"/>
              <w:rPr>
                <w:b/>
                <w:sz w:val="18"/>
                <w:szCs w:val="24"/>
                <w:lang w:eastAsia="et-EE"/>
              </w:rPr>
            </w:pPr>
            <w:r w:rsidRPr="00F50F44">
              <w:rPr>
                <w:b/>
                <w:sz w:val="18"/>
                <w:szCs w:val="24"/>
                <w:lang w:eastAsia="et-EE"/>
              </w:rPr>
              <w:t>540</w:t>
            </w:r>
          </w:p>
        </w:tc>
      </w:tr>
    </w:tbl>
    <w:p w:rsidR="00DE6601" w:rsidRPr="00EE0800" w:rsidRDefault="00DE6601" w:rsidP="00D604D7">
      <w:pPr>
        <w:spacing w:before="120" w:after="240"/>
        <w:ind w:left="1134" w:firstLine="170"/>
        <w:rPr>
          <w:szCs w:val="24"/>
          <w:lang w:val="es-ES"/>
        </w:rPr>
      </w:pPr>
      <w:r>
        <w:rPr>
          <w:i/>
          <w:sz w:val="18"/>
          <w:szCs w:val="24"/>
          <w:lang w:val="es-ES"/>
        </w:rPr>
        <w:t>Fuente</w:t>
      </w:r>
      <w:r w:rsidRPr="005466A4">
        <w:rPr>
          <w:i/>
          <w:sz w:val="18"/>
          <w:szCs w:val="24"/>
          <w:lang w:val="es-ES"/>
        </w:rPr>
        <w:t>:</w:t>
      </w:r>
      <w:r w:rsidRPr="00EE0800">
        <w:rPr>
          <w:sz w:val="18"/>
          <w:szCs w:val="24"/>
          <w:lang w:val="es-ES"/>
        </w:rPr>
        <w:t xml:space="preserve"> </w:t>
      </w:r>
      <w:r>
        <w:rPr>
          <w:sz w:val="18"/>
          <w:szCs w:val="24"/>
          <w:lang w:val="es-ES"/>
        </w:rPr>
        <w:t xml:space="preserve">Sistema de Información </w:t>
      </w:r>
      <w:r w:rsidR="00E86B5E">
        <w:rPr>
          <w:sz w:val="18"/>
          <w:szCs w:val="24"/>
          <w:lang w:val="es-ES"/>
        </w:rPr>
        <w:t>sobr</w:t>
      </w:r>
      <w:r>
        <w:rPr>
          <w:sz w:val="18"/>
          <w:szCs w:val="24"/>
          <w:lang w:val="es-ES"/>
        </w:rPr>
        <w:t xml:space="preserve">e </w:t>
      </w:r>
      <w:smartTag w:uri="urn:schemas-microsoft-com:office:smarttags" w:element="PersonName">
        <w:smartTagPr>
          <w:attr w:name="ProductID" w:val="la Ense￱anza"/>
        </w:smartTagPr>
        <w:r>
          <w:rPr>
            <w:sz w:val="18"/>
            <w:szCs w:val="24"/>
            <w:lang w:val="es-ES"/>
          </w:rPr>
          <w:t>la Enseñanza</w:t>
        </w:r>
      </w:smartTag>
      <w:r>
        <w:rPr>
          <w:sz w:val="18"/>
          <w:szCs w:val="24"/>
          <w:lang w:val="es-ES"/>
        </w:rPr>
        <w:t xml:space="preserve"> </w:t>
      </w:r>
      <w:r w:rsidR="00E86B5E">
        <w:rPr>
          <w:sz w:val="18"/>
          <w:szCs w:val="24"/>
          <w:lang w:val="es-ES"/>
        </w:rPr>
        <w:t xml:space="preserve">del </w:t>
      </w:r>
      <w:r>
        <w:rPr>
          <w:sz w:val="18"/>
          <w:szCs w:val="24"/>
          <w:lang w:val="es-ES"/>
        </w:rPr>
        <w:t>Estoni</w:t>
      </w:r>
      <w:r w:rsidR="00E86B5E">
        <w:rPr>
          <w:sz w:val="18"/>
          <w:szCs w:val="24"/>
          <w:lang w:val="es-ES"/>
        </w:rPr>
        <w:t>o</w:t>
      </w:r>
      <w:r w:rsidR="005466A4">
        <w:rPr>
          <w:sz w:val="18"/>
          <w:szCs w:val="24"/>
          <w:lang w:val="es-ES"/>
        </w:rPr>
        <w:t>.</w:t>
      </w:r>
    </w:p>
    <w:p w:rsidR="00DE6601" w:rsidRPr="00EE0800" w:rsidRDefault="00DE6601" w:rsidP="00637350">
      <w:pPr>
        <w:pStyle w:val="SingleTxtG"/>
        <w:rPr>
          <w:lang w:val="es-ES"/>
        </w:rPr>
      </w:pPr>
      <w:r w:rsidRPr="00EE0800">
        <w:rPr>
          <w:lang w:val="es-ES"/>
        </w:rPr>
        <w:t>214.</w:t>
      </w:r>
      <w:r w:rsidRPr="00EE0800">
        <w:rPr>
          <w:lang w:val="es-ES"/>
        </w:rPr>
        <w:tab/>
      </w:r>
      <w:r w:rsidR="008A2BF1">
        <w:rPr>
          <w:lang w:val="es-ES"/>
        </w:rPr>
        <w:t>En el caso de</w:t>
      </w:r>
      <w:r w:rsidR="004348C3">
        <w:rPr>
          <w:lang w:val="es-ES"/>
        </w:rPr>
        <w:t xml:space="preserve"> </w:t>
      </w:r>
      <w:r>
        <w:rPr>
          <w:lang w:val="es-ES"/>
        </w:rPr>
        <w:t xml:space="preserve">los alumnos </w:t>
      </w:r>
      <w:r w:rsidR="00E86B5E">
        <w:rPr>
          <w:lang w:val="es-ES"/>
        </w:rPr>
        <w:t xml:space="preserve">en el nivel de </w:t>
      </w:r>
      <w:r>
        <w:rPr>
          <w:lang w:val="es-ES"/>
        </w:rPr>
        <w:t>enseñanza básica cuya</w:t>
      </w:r>
      <w:r w:rsidR="008A2BF1">
        <w:rPr>
          <w:lang w:val="es-ES"/>
        </w:rPr>
        <w:t xml:space="preserve"> lengua materna no es</w:t>
      </w:r>
      <w:r w:rsidR="004348C3">
        <w:rPr>
          <w:lang w:val="es-ES"/>
        </w:rPr>
        <w:t xml:space="preserve"> </w:t>
      </w:r>
      <w:r w:rsidR="008A2BF1">
        <w:rPr>
          <w:lang w:val="es-ES"/>
        </w:rPr>
        <w:t>e</w:t>
      </w:r>
      <w:r w:rsidR="004348C3">
        <w:rPr>
          <w:lang w:val="es-ES"/>
        </w:rPr>
        <w:t>l</w:t>
      </w:r>
      <w:r>
        <w:rPr>
          <w:lang w:val="es-ES"/>
        </w:rPr>
        <w:t xml:space="preserve"> idioma de </w:t>
      </w:r>
      <w:r w:rsidR="008A2BF1">
        <w:rPr>
          <w:lang w:val="es-ES"/>
        </w:rPr>
        <w:t>instrucción</w:t>
      </w:r>
      <w:r>
        <w:rPr>
          <w:lang w:val="es-ES"/>
        </w:rPr>
        <w:t xml:space="preserve">, las escuelas, </w:t>
      </w:r>
      <w:r w:rsidR="00E86B5E">
        <w:rPr>
          <w:lang w:val="es-ES"/>
        </w:rPr>
        <w:t xml:space="preserve">en cooperación </w:t>
      </w:r>
      <w:r>
        <w:rPr>
          <w:lang w:val="es-ES"/>
        </w:rPr>
        <w:t>con el Estado y la</w:t>
      </w:r>
      <w:r w:rsidR="00E86B5E">
        <w:rPr>
          <w:lang w:val="es-ES"/>
        </w:rPr>
        <w:t>s</w:t>
      </w:r>
      <w:r>
        <w:rPr>
          <w:lang w:val="es-ES"/>
        </w:rPr>
        <w:t xml:space="preserve"> </w:t>
      </w:r>
      <w:r w:rsidR="00E86B5E">
        <w:rPr>
          <w:lang w:val="es-ES"/>
        </w:rPr>
        <w:t xml:space="preserve">administraciones </w:t>
      </w:r>
      <w:r>
        <w:rPr>
          <w:lang w:val="es-ES"/>
        </w:rPr>
        <w:t>local</w:t>
      </w:r>
      <w:r w:rsidR="00E86B5E">
        <w:rPr>
          <w:lang w:val="es-ES"/>
        </w:rPr>
        <w:t>es,</w:t>
      </w:r>
      <w:r w:rsidR="008A2BF1">
        <w:rPr>
          <w:lang w:val="es-ES"/>
        </w:rPr>
        <w:t xml:space="preserve"> deben asegurar</w:t>
      </w:r>
      <w:r>
        <w:rPr>
          <w:lang w:val="es-ES"/>
        </w:rPr>
        <w:t xml:space="preserve"> </w:t>
      </w:r>
      <w:r w:rsidR="00E86B5E">
        <w:rPr>
          <w:lang w:val="es-ES"/>
        </w:rPr>
        <w:t xml:space="preserve">la </w:t>
      </w:r>
      <w:r>
        <w:rPr>
          <w:lang w:val="es-ES"/>
        </w:rPr>
        <w:t>posibilidad de estudi</w:t>
      </w:r>
      <w:r w:rsidR="00E86B5E">
        <w:rPr>
          <w:lang w:val="es-ES"/>
        </w:rPr>
        <w:t>ar</w:t>
      </w:r>
      <w:r>
        <w:rPr>
          <w:lang w:val="es-ES"/>
        </w:rPr>
        <w:t xml:space="preserve"> </w:t>
      </w:r>
      <w:r w:rsidR="00C4754E">
        <w:rPr>
          <w:lang w:val="es-ES"/>
        </w:rPr>
        <w:t>la</w:t>
      </w:r>
      <w:r>
        <w:rPr>
          <w:lang w:val="es-ES"/>
        </w:rPr>
        <w:t xml:space="preserve"> lengua </w:t>
      </w:r>
      <w:r w:rsidR="00E86B5E">
        <w:rPr>
          <w:lang w:val="es-ES"/>
        </w:rPr>
        <w:t xml:space="preserve">y cultura </w:t>
      </w:r>
      <w:r>
        <w:rPr>
          <w:lang w:val="es-ES"/>
        </w:rPr>
        <w:t>materna</w:t>
      </w:r>
      <w:r w:rsidR="00E86B5E">
        <w:rPr>
          <w:lang w:val="es-ES"/>
        </w:rPr>
        <w:t>s</w:t>
      </w:r>
      <w:r>
        <w:rPr>
          <w:lang w:val="es-ES"/>
        </w:rPr>
        <w:t xml:space="preserve"> </w:t>
      </w:r>
      <w:r w:rsidR="008A2BF1">
        <w:rPr>
          <w:lang w:val="es-ES"/>
        </w:rPr>
        <w:t>a fin de que esos alumnos puedan</w:t>
      </w:r>
      <w:r w:rsidR="00E86B5E">
        <w:rPr>
          <w:lang w:val="es-ES"/>
        </w:rPr>
        <w:t xml:space="preserve"> </w:t>
      </w:r>
      <w:r w:rsidR="00C4754E">
        <w:rPr>
          <w:lang w:val="es-ES"/>
        </w:rPr>
        <w:t>mantener su</w:t>
      </w:r>
      <w:r>
        <w:rPr>
          <w:lang w:val="es-ES"/>
        </w:rPr>
        <w:t xml:space="preserve"> identidad nacional.</w:t>
      </w:r>
      <w:r w:rsidRPr="00EE0800">
        <w:rPr>
          <w:lang w:val="es-ES"/>
        </w:rPr>
        <w:t xml:space="preserve"> </w:t>
      </w:r>
      <w:r w:rsidR="00B16B4C">
        <w:rPr>
          <w:lang w:val="es-ES"/>
        </w:rPr>
        <w:t>E</w:t>
      </w:r>
      <w:r>
        <w:rPr>
          <w:lang w:val="es-ES"/>
        </w:rPr>
        <w:t xml:space="preserve">l derecho a </w:t>
      </w:r>
      <w:r w:rsidR="00E86B5E">
        <w:rPr>
          <w:lang w:val="es-ES"/>
        </w:rPr>
        <w:t xml:space="preserve">establecer </w:t>
      </w:r>
      <w:r>
        <w:rPr>
          <w:lang w:val="es-ES"/>
        </w:rPr>
        <w:t>un grupo de aprendizaje en un idioma</w:t>
      </w:r>
      <w:r w:rsidR="00535E12">
        <w:rPr>
          <w:lang w:val="es-ES"/>
        </w:rPr>
        <w:t xml:space="preserve"> determinado</w:t>
      </w:r>
      <w:r w:rsidR="00B16B4C">
        <w:rPr>
          <w:lang w:val="es-ES"/>
        </w:rPr>
        <w:t xml:space="preserve"> debe respetarse cuando </w:t>
      </w:r>
      <w:r>
        <w:rPr>
          <w:lang w:val="es-ES"/>
        </w:rPr>
        <w:t>al menos diez padres o madres de la misma nacionalidad</w:t>
      </w:r>
      <w:r w:rsidR="00B16B4C">
        <w:rPr>
          <w:lang w:val="es-ES"/>
        </w:rPr>
        <w:t xml:space="preserve"> lo soliciten por escrito</w:t>
      </w:r>
      <w:r>
        <w:rPr>
          <w:lang w:val="es-ES"/>
        </w:rPr>
        <w:t>.</w:t>
      </w:r>
      <w:r w:rsidRPr="00EE0800">
        <w:rPr>
          <w:lang w:val="es-ES"/>
        </w:rPr>
        <w:t xml:space="preserve"> </w:t>
      </w:r>
      <w:r>
        <w:rPr>
          <w:lang w:val="es-ES"/>
        </w:rPr>
        <w:t>El número de estudiantes cuya lengua materna no es el estonio ha aumentado cont</w:t>
      </w:r>
      <w:r w:rsidR="00535E12">
        <w:rPr>
          <w:lang w:val="es-ES"/>
        </w:rPr>
        <w:t>i</w:t>
      </w:r>
      <w:r>
        <w:rPr>
          <w:lang w:val="es-ES"/>
        </w:rPr>
        <w:t>n</w:t>
      </w:r>
      <w:r w:rsidR="00535E12">
        <w:rPr>
          <w:lang w:val="es-ES"/>
        </w:rPr>
        <w:t>ua</w:t>
      </w:r>
      <w:r>
        <w:rPr>
          <w:lang w:val="es-ES"/>
        </w:rPr>
        <w:t xml:space="preserve">mente en las clases </w:t>
      </w:r>
      <w:r w:rsidR="00535E12">
        <w:rPr>
          <w:lang w:val="es-ES"/>
        </w:rPr>
        <w:t xml:space="preserve">impartidas </w:t>
      </w:r>
      <w:r>
        <w:rPr>
          <w:lang w:val="es-ES"/>
        </w:rPr>
        <w:t>e</w:t>
      </w:r>
      <w:r w:rsidR="00535E12">
        <w:rPr>
          <w:lang w:val="es-ES"/>
        </w:rPr>
        <w:t>n</w:t>
      </w:r>
      <w:r>
        <w:rPr>
          <w:lang w:val="es-ES"/>
        </w:rPr>
        <w:t xml:space="preserve"> estonio.</w:t>
      </w:r>
      <w:r w:rsidRPr="00EE0800">
        <w:rPr>
          <w:lang w:val="es-ES"/>
        </w:rPr>
        <w:t xml:space="preserve"> </w:t>
      </w:r>
      <w:r>
        <w:rPr>
          <w:lang w:val="es-ES"/>
        </w:rPr>
        <w:t xml:space="preserve">De </w:t>
      </w:r>
      <w:smartTag w:uri="urn:schemas-microsoft-com:office:smarttags" w:element="metricconverter">
        <w:smartTagPr>
          <w:attr w:name="ProductID" w:val="2006 a"/>
        </w:smartTagPr>
        <w:r>
          <w:rPr>
            <w:lang w:val="es-ES"/>
          </w:rPr>
          <w:t>2006 a</w:t>
        </w:r>
      </w:smartTag>
      <w:r>
        <w:rPr>
          <w:lang w:val="es-ES"/>
        </w:rPr>
        <w:t xml:space="preserve"> 2011, el número de estudiantes cuya lengua materna es el ruso y que estudian en escuelas donde el estonio es </w:t>
      </w:r>
      <w:r w:rsidR="00700E6F">
        <w:rPr>
          <w:lang w:val="es-ES"/>
        </w:rPr>
        <w:t>e</w:t>
      </w:r>
      <w:r>
        <w:rPr>
          <w:lang w:val="es-ES"/>
        </w:rPr>
        <w:t>l</w:t>
      </w:r>
      <w:r w:rsidR="00700E6F">
        <w:rPr>
          <w:lang w:val="es-ES"/>
        </w:rPr>
        <w:t xml:space="preserve"> idioma de instrucción</w:t>
      </w:r>
      <w:r>
        <w:rPr>
          <w:lang w:val="es-ES"/>
        </w:rPr>
        <w:t>, o en clases de inmersión lingüística, se ha incrementado gradualmente y muestra una tendencia ascendente.</w:t>
      </w:r>
    </w:p>
    <w:p w:rsidR="00DE6601" w:rsidRPr="00EE0800" w:rsidRDefault="00DE6601" w:rsidP="00637350">
      <w:pPr>
        <w:pStyle w:val="SingleTxtG"/>
        <w:rPr>
          <w:lang w:val="es-ES"/>
        </w:rPr>
      </w:pPr>
      <w:r w:rsidRPr="00EE0800">
        <w:rPr>
          <w:lang w:val="es-ES"/>
        </w:rPr>
        <w:t>215.</w:t>
      </w:r>
      <w:r w:rsidRPr="00EE0800">
        <w:rPr>
          <w:lang w:val="es-ES"/>
        </w:rPr>
        <w:tab/>
      </w:r>
      <w:r>
        <w:rPr>
          <w:lang w:val="es-ES"/>
        </w:rPr>
        <w:t xml:space="preserve">Conforme a </w:t>
      </w:r>
      <w:smartTag w:uri="urn:schemas-microsoft-com:office:smarttags" w:element="PersonName">
        <w:smartTagPr>
          <w:attr w:name="ProductID" w:val="La Ley"/>
        </w:smartTagPr>
        <w:r>
          <w:rPr>
            <w:lang w:val="es-ES"/>
          </w:rPr>
          <w:t>la Ley</w:t>
        </w:r>
      </w:smartTag>
      <w:r>
        <w:rPr>
          <w:lang w:val="es-ES"/>
        </w:rPr>
        <w:t xml:space="preserve"> de enseñanza media elemental y superior, en la etapa de </w:t>
      </w:r>
      <w:r w:rsidR="00700E6F">
        <w:rPr>
          <w:lang w:val="es-ES"/>
        </w:rPr>
        <w:t xml:space="preserve">la </w:t>
      </w:r>
      <w:r>
        <w:rPr>
          <w:lang w:val="es-ES"/>
        </w:rPr>
        <w:t>enseñanza secundaria superior (grados 10</w:t>
      </w:r>
      <w:r w:rsidR="00E34555">
        <w:rPr>
          <w:lang w:val="es-ES"/>
        </w:rPr>
        <w:t>º</w:t>
      </w:r>
      <w:r>
        <w:rPr>
          <w:lang w:val="es-ES"/>
        </w:rPr>
        <w:t xml:space="preserve"> a 12</w:t>
      </w:r>
      <w:r w:rsidR="00E34555">
        <w:rPr>
          <w:lang w:val="es-ES"/>
        </w:rPr>
        <w:t>º</w:t>
      </w:r>
      <w:r>
        <w:rPr>
          <w:lang w:val="es-ES"/>
        </w:rPr>
        <w:t xml:space="preserve">) el idioma de </w:t>
      </w:r>
      <w:r w:rsidR="00700E6F">
        <w:rPr>
          <w:lang w:val="es-ES"/>
        </w:rPr>
        <w:t xml:space="preserve">instrucción </w:t>
      </w:r>
      <w:r>
        <w:rPr>
          <w:lang w:val="es-ES"/>
        </w:rPr>
        <w:t xml:space="preserve">es el estonio, </w:t>
      </w:r>
      <w:r w:rsidR="00700E6F">
        <w:rPr>
          <w:lang w:val="es-ES"/>
        </w:rPr>
        <w:t xml:space="preserve">si bien </w:t>
      </w:r>
      <w:r>
        <w:rPr>
          <w:lang w:val="es-ES"/>
        </w:rPr>
        <w:t>p</w:t>
      </w:r>
      <w:r w:rsidR="00700E6F">
        <w:rPr>
          <w:lang w:val="es-ES"/>
        </w:rPr>
        <w:t>uede</w:t>
      </w:r>
      <w:r>
        <w:rPr>
          <w:lang w:val="es-ES"/>
        </w:rPr>
        <w:t xml:space="preserve"> ser cualquier otro idioma e</w:t>
      </w:r>
      <w:r w:rsidR="00700E6F">
        <w:rPr>
          <w:lang w:val="es-ES"/>
        </w:rPr>
        <w:t xml:space="preserve">n </w:t>
      </w:r>
      <w:r>
        <w:rPr>
          <w:lang w:val="es-ES"/>
        </w:rPr>
        <w:t xml:space="preserve">las escuelas municipales y en algunos grados de </w:t>
      </w:r>
      <w:r w:rsidR="004348C3">
        <w:rPr>
          <w:lang w:val="es-ES"/>
        </w:rPr>
        <w:t>ese ciclo</w:t>
      </w:r>
      <w:r>
        <w:rPr>
          <w:lang w:val="es-ES"/>
        </w:rPr>
        <w:t>.</w:t>
      </w:r>
      <w:r w:rsidRPr="00EE0800">
        <w:rPr>
          <w:lang w:val="es-ES"/>
        </w:rPr>
        <w:t xml:space="preserve"> </w:t>
      </w:r>
      <w:r>
        <w:rPr>
          <w:lang w:val="es-ES"/>
        </w:rPr>
        <w:t xml:space="preserve">El </w:t>
      </w:r>
      <w:r w:rsidR="00EA0FDC">
        <w:rPr>
          <w:lang w:val="es-ES"/>
        </w:rPr>
        <w:t xml:space="preserve">Gobierno concede el </w:t>
      </w:r>
      <w:r>
        <w:rPr>
          <w:lang w:val="es-ES"/>
        </w:rPr>
        <w:t xml:space="preserve">permiso para la enseñanza en otro idioma </w:t>
      </w:r>
      <w:r w:rsidR="00EA0FDC">
        <w:rPr>
          <w:lang w:val="es-ES"/>
        </w:rPr>
        <w:t xml:space="preserve">sobre la </w:t>
      </w:r>
      <w:r>
        <w:rPr>
          <w:lang w:val="es-ES"/>
        </w:rPr>
        <w:t>bas</w:t>
      </w:r>
      <w:r w:rsidR="00EA0FDC">
        <w:rPr>
          <w:lang w:val="es-ES"/>
        </w:rPr>
        <w:t>e</w:t>
      </w:r>
      <w:r>
        <w:rPr>
          <w:lang w:val="es-ES"/>
        </w:rPr>
        <w:t xml:space="preserve"> </w:t>
      </w:r>
      <w:r w:rsidR="00EA0FDC">
        <w:rPr>
          <w:lang w:val="es-ES"/>
        </w:rPr>
        <w:t>d</w:t>
      </w:r>
      <w:r>
        <w:rPr>
          <w:lang w:val="es-ES"/>
        </w:rPr>
        <w:t>e la solicitud de un consejo de administración local.</w:t>
      </w:r>
      <w:r w:rsidRPr="00EE0800">
        <w:rPr>
          <w:lang w:val="es-ES"/>
        </w:rPr>
        <w:t xml:space="preserve"> </w:t>
      </w:r>
      <w:r w:rsidR="006E3F12">
        <w:rPr>
          <w:lang w:val="es-ES"/>
        </w:rPr>
        <w:t xml:space="preserve">La junta directiva de la escuela de secundaria superior formulará la propuesta pertinente </w:t>
      </w:r>
      <w:r w:rsidR="00BA65E4">
        <w:rPr>
          <w:lang w:val="es-ES"/>
        </w:rPr>
        <w:t>al consejo,</w:t>
      </w:r>
      <w:r>
        <w:rPr>
          <w:lang w:val="es-ES"/>
        </w:rPr>
        <w:t xml:space="preserve"> </w:t>
      </w:r>
      <w:r w:rsidR="00BA65E4">
        <w:rPr>
          <w:lang w:val="es-ES"/>
        </w:rPr>
        <w:t>de</w:t>
      </w:r>
      <w:r w:rsidR="00EA0FDC">
        <w:rPr>
          <w:lang w:val="es-ES"/>
        </w:rPr>
        <w:t xml:space="preserve"> conformidad con su</w:t>
      </w:r>
      <w:r>
        <w:rPr>
          <w:lang w:val="es-ES"/>
        </w:rPr>
        <w:t xml:space="preserve"> plan de desarrollo.</w:t>
      </w:r>
      <w:r w:rsidRPr="00EE0800">
        <w:rPr>
          <w:lang w:val="es-ES"/>
        </w:rPr>
        <w:t xml:space="preserve"> </w:t>
      </w:r>
      <w:r>
        <w:rPr>
          <w:lang w:val="es-ES"/>
        </w:rPr>
        <w:t xml:space="preserve">En las escuelas privadas, el </w:t>
      </w:r>
      <w:r w:rsidR="00EA0FDC">
        <w:rPr>
          <w:lang w:val="es-ES"/>
        </w:rPr>
        <w:t xml:space="preserve">director </w:t>
      </w:r>
      <w:r>
        <w:rPr>
          <w:lang w:val="es-ES"/>
        </w:rPr>
        <w:t xml:space="preserve">de la escuela decide </w:t>
      </w:r>
      <w:r w:rsidR="00EA0FDC">
        <w:rPr>
          <w:lang w:val="es-ES"/>
        </w:rPr>
        <w:t xml:space="preserve">sobre </w:t>
      </w:r>
      <w:r>
        <w:rPr>
          <w:lang w:val="es-ES"/>
        </w:rPr>
        <w:t>el idioma de</w:t>
      </w:r>
      <w:r w:rsidR="00EA0FDC">
        <w:rPr>
          <w:lang w:val="es-ES"/>
        </w:rPr>
        <w:t xml:space="preserve"> instrucción</w:t>
      </w:r>
      <w:r>
        <w:rPr>
          <w:lang w:val="es-ES"/>
        </w:rPr>
        <w:t>.</w:t>
      </w:r>
    </w:p>
    <w:p w:rsidR="004348C3" w:rsidRPr="00E624B7" w:rsidRDefault="004348C3" w:rsidP="00637350">
      <w:pPr>
        <w:pStyle w:val="SingleTxtG"/>
        <w:rPr>
          <w:lang w:val="es-ES"/>
        </w:rPr>
      </w:pPr>
      <w:r w:rsidRPr="00E624B7">
        <w:rPr>
          <w:lang w:val="es-ES"/>
        </w:rPr>
        <w:t>216.</w:t>
      </w:r>
      <w:r w:rsidRPr="00E624B7">
        <w:rPr>
          <w:lang w:val="es-ES"/>
        </w:rPr>
        <w:tab/>
      </w:r>
      <w:r>
        <w:rPr>
          <w:lang w:val="es-ES"/>
        </w:rPr>
        <w:t>De conformidad con l</w:t>
      </w:r>
      <w:r w:rsidR="00613086">
        <w:rPr>
          <w:lang w:val="es-ES"/>
        </w:rPr>
        <w:t>a</w:t>
      </w:r>
      <w:r>
        <w:rPr>
          <w:lang w:val="es-ES"/>
        </w:rPr>
        <w:t xml:space="preserve"> </w:t>
      </w:r>
      <w:r w:rsidR="00613086">
        <w:rPr>
          <w:lang w:val="es-ES"/>
        </w:rPr>
        <w:t xml:space="preserve">normativa establecida por </w:t>
      </w:r>
      <w:r>
        <w:rPr>
          <w:lang w:val="es-ES"/>
        </w:rPr>
        <w:t xml:space="preserve">el Gobierno de </w:t>
      </w:r>
      <w:smartTag w:uri="urn:schemas-microsoft-com:office:smarttags" w:element="PersonName">
        <w:smartTagPr>
          <w:attr w:name="ProductID" w:val="la Rep￺blica"/>
        </w:smartTagPr>
        <w:r>
          <w:rPr>
            <w:lang w:val="es-ES"/>
          </w:rPr>
          <w:t>la República</w:t>
        </w:r>
      </w:smartTag>
      <w:r>
        <w:rPr>
          <w:lang w:val="es-ES"/>
        </w:rPr>
        <w:t>, e</w:t>
      </w:r>
      <w:r w:rsidR="00613086">
        <w:rPr>
          <w:lang w:val="es-ES"/>
        </w:rPr>
        <w:t>n</w:t>
      </w:r>
      <w:r>
        <w:rPr>
          <w:lang w:val="es-ES"/>
        </w:rPr>
        <w:t xml:space="preserve"> las escuelas </w:t>
      </w:r>
      <w:r w:rsidR="00613086">
        <w:rPr>
          <w:lang w:val="es-ES"/>
        </w:rPr>
        <w:t xml:space="preserve">de </w:t>
      </w:r>
      <w:r w:rsidR="001739A4">
        <w:rPr>
          <w:lang w:val="es-ES"/>
        </w:rPr>
        <w:t xml:space="preserve">secundaria </w:t>
      </w:r>
      <w:r>
        <w:rPr>
          <w:lang w:val="es-ES"/>
        </w:rPr>
        <w:t xml:space="preserve">superior </w:t>
      </w:r>
      <w:r w:rsidR="00613086">
        <w:rPr>
          <w:lang w:val="es-ES"/>
        </w:rPr>
        <w:t xml:space="preserve">donde </w:t>
      </w:r>
      <w:r>
        <w:rPr>
          <w:lang w:val="es-ES"/>
        </w:rPr>
        <w:t xml:space="preserve">el idioma de </w:t>
      </w:r>
      <w:r w:rsidR="00613086">
        <w:rPr>
          <w:lang w:val="es-ES"/>
        </w:rPr>
        <w:t>instrucción e</w:t>
      </w:r>
      <w:r>
        <w:rPr>
          <w:lang w:val="es-ES"/>
        </w:rPr>
        <w:t>s el ruso</w:t>
      </w:r>
      <w:r w:rsidR="003E5BC2">
        <w:rPr>
          <w:lang w:val="es-ES"/>
        </w:rPr>
        <w:t>,</w:t>
      </w:r>
      <w:r>
        <w:rPr>
          <w:lang w:val="es-ES"/>
        </w:rPr>
        <w:t xml:space="preserve"> </w:t>
      </w:r>
      <w:r w:rsidR="003E5BC2">
        <w:rPr>
          <w:lang w:val="es-ES"/>
        </w:rPr>
        <w:t xml:space="preserve">el 60% de las clases </w:t>
      </w:r>
      <w:r>
        <w:rPr>
          <w:lang w:val="es-ES"/>
        </w:rPr>
        <w:t>deberá</w:t>
      </w:r>
      <w:r w:rsidR="003E5BC2">
        <w:rPr>
          <w:lang w:val="es-ES"/>
        </w:rPr>
        <w:t>n</w:t>
      </w:r>
      <w:r>
        <w:rPr>
          <w:lang w:val="es-ES"/>
        </w:rPr>
        <w:t xml:space="preserve"> impartirse en estonio </w:t>
      </w:r>
      <w:r w:rsidR="003E5BC2">
        <w:rPr>
          <w:lang w:val="es-ES"/>
        </w:rPr>
        <w:t>a</w:t>
      </w:r>
      <w:r w:rsidR="00CE27E1">
        <w:rPr>
          <w:lang w:val="es-ES"/>
        </w:rPr>
        <w:t xml:space="preserve"> los alumno</w:t>
      </w:r>
      <w:r>
        <w:rPr>
          <w:lang w:val="es-ES"/>
        </w:rPr>
        <w:t xml:space="preserve">s que </w:t>
      </w:r>
      <w:r w:rsidR="00CE27E1">
        <w:rPr>
          <w:lang w:val="es-ES"/>
        </w:rPr>
        <w:t>iniciaron</w:t>
      </w:r>
      <w:r>
        <w:rPr>
          <w:lang w:val="es-ES"/>
        </w:rPr>
        <w:t xml:space="preserve"> sus estudios de 10</w:t>
      </w:r>
      <w:r w:rsidR="00E34555">
        <w:rPr>
          <w:lang w:val="es-ES"/>
        </w:rPr>
        <w:t>º</w:t>
      </w:r>
      <w:r>
        <w:rPr>
          <w:lang w:val="es-ES"/>
        </w:rPr>
        <w:t xml:space="preserve"> grado en el </w:t>
      </w:r>
      <w:r w:rsidR="00EF1EC9">
        <w:rPr>
          <w:lang w:val="es-ES"/>
        </w:rPr>
        <w:t xml:space="preserve">año </w:t>
      </w:r>
      <w:r w:rsidR="00A2326F">
        <w:rPr>
          <w:lang w:val="es-ES"/>
        </w:rPr>
        <w:t>escolar 2011/</w:t>
      </w:r>
      <w:r>
        <w:rPr>
          <w:lang w:val="es-ES"/>
        </w:rPr>
        <w:t>12.</w:t>
      </w:r>
    </w:p>
    <w:p w:rsidR="00DE6601" w:rsidRPr="00EE0800" w:rsidRDefault="00DE6601" w:rsidP="00637350">
      <w:pPr>
        <w:pStyle w:val="Heading1"/>
        <w:spacing w:before="240"/>
        <w:rPr>
          <w:lang w:val="es-ES"/>
        </w:rPr>
      </w:pPr>
      <w:r>
        <w:rPr>
          <w:lang w:val="es-ES"/>
        </w:rPr>
        <w:t>Cuadro 12</w:t>
      </w:r>
    </w:p>
    <w:p w:rsidR="00DE6601" w:rsidRPr="00336726" w:rsidRDefault="00DE6601" w:rsidP="00637350">
      <w:pPr>
        <w:pStyle w:val="SingleTxtG"/>
        <w:jc w:val="left"/>
        <w:rPr>
          <w:b/>
          <w:lang w:val="es-ES"/>
        </w:rPr>
      </w:pPr>
      <w:r w:rsidRPr="00336726">
        <w:rPr>
          <w:b/>
          <w:lang w:val="es-ES"/>
        </w:rPr>
        <w:t xml:space="preserve">Número de estudiantes de </w:t>
      </w:r>
      <w:r w:rsidR="00986803" w:rsidRPr="00336726">
        <w:rPr>
          <w:b/>
          <w:lang w:val="es-ES"/>
        </w:rPr>
        <w:t xml:space="preserve">las </w:t>
      </w:r>
      <w:r w:rsidRPr="00336726">
        <w:rPr>
          <w:b/>
          <w:lang w:val="es-ES"/>
        </w:rPr>
        <w:t>escuelas de enseñanza básica c</w:t>
      </w:r>
      <w:r w:rsidR="00986803" w:rsidRPr="00336726">
        <w:rPr>
          <w:b/>
          <w:lang w:val="es-ES"/>
        </w:rPr>
        <w:t>uya</w:t>
      </w:r>
      <w:r w:rsidRPr="00336726">
        <w:rPr>
          <w:b/>
          <w:lang w:val="es-ES"/>
        </w:rPr>
        <w:t xml:space="preserve"> lengua materna </w:t>
      </w:r>
      <w:r w:rsidR="00986803" w:rsidRPr="00336726">
        <w:rPr>
          <w:b/>
          <w:lang w:val="es-ES"/>
        </w:rPr>
        <w:t xml:space="preserve">no es </w:t>
      </w:r>
      <w:r w:rsidR="003E5BC2" w:rsidRPr="00336726">
        <w:rPr>
          <w:b/>
          <w:lang w:val="es-ES"/>
        </w:rPr>
        <w:t>e</w:t>
      </w:r>
      <w:r w:rsidRPr="00336726">
        <w:rPr>
          <w:b/>
          <w:lang w:val="es-ES"/>
        </w:rPr>
        <w:t xml:space="preserve">l estonio, </w:t>
      </w:r>
      <w:r w:rsidR="003E5BC2" w:rsidRPr="00336726">
        <w:rPr>
          <w:b/>
          <w:lang w:val="es-ES"/>
        </w:rPr>
        <w:t xml:space="preserve">su </w:t>
      </w:r>
      <w:r w:rsidRPr="00336726">
        <w:rPr>
          <w:b/>
          <w:lang w:val="es-ES"/>
        </w:rPr>
        <w:t xml:space="preserve">proporción en las escuelas donde el estonio es el idioma de </w:t>
      </w:r>
      <w:r w:rsidR="003E5BC2" w:rsidRPr="00336726">
        <w:rPr>
          <w:b/>
          <w:lang w:val="es-ES"/>
        </w:rPr>
        <w:t xml:space="preserve">instrucción </w:t>
      </w:r>
      <w:r w:rsidR="00ED6C55" w:rsidRPr="00336726">
        <w:rPr>
          <w:b/>
          <w:lang w:val="es-ES"/>
        </w:rPr>
        <w:t>así como</w:t>
      </w:r>
      <w:r w:rsidRPr="00336726">
        <w:rPr>
          <w:b/>
          <w:lang w:val="es-ES"/>
        </w:rPr>
        <w:t xml:space="preserve"> en las clases de inmersión lingüística, y número de escuelas que </w:t>
      </w:r>
      <w:r w:rsidR="003E5BC2" w:rsidRPr="00336726">
        <w:rPr>
          <w:b/>
          <w:lang w:val="es-ES"/>
        </w:rPr>
        <w:t xml:space="preserve">emplearon </w:t>
      </w:r>
      <w:r w:rsidRPr="00336726">
        <w:rPr>
          <w:b/>
          <w:lang w:val="es-ES"/>
        </w:rPr>
        <w:t>el método de inmersión lingüística en 2008</w:t>
      </w:r>
      <w:r w:rsidR="003E5BC2" w:rsidRPr="00336726">
        <w:rPr>
          <w:b/>
          <w:lang w:val="es-ES"/>
        </w:rPr>
        <w:t>-</w:t>
      </w:r>
      <w:r w:rsidRPr="00336726">
        <w:rPr>
          <w:b/>
          <w:lang w:val="es-ES"/>
        </w:rPr>
        <w:t>2011</w:t>
      </w:r>
    </w:p>
    <w:tbl>
      <w:tblPr>
        <w:tblW w:w="8505" w:type="dxa"/>
        <w:tblInd w:w="1134" w:type="dxa"/>
        <w:tblBorders>
          <w:top w:val="single" w:sz="4" w:space="0" w:color="auto"/>
        </w:tblBorders>
        <w:tblLayout w:type="fixed"/>
        <w:tblCellMar>
          <w:left w:w="0" w:type="dxa"/>
          <w:right w:w="0" w:type="dxa"/>
        </w:tblCellMar>
        <w:tblLook w:val="00A0"/>
      </w:tblPr>
      <w:tblGrid>
        <w:gridCol w:w="546"/>
        <w:gridCol w:w="2324"/>
        <w:gridCol w:w="3093"/>
        <w:gridCol w:w="2542"/>
      </w:tblGrid>
      <w:tr w:rsidR="00DE6601" w:rsidRPr="00EE0800">
        <w:trPr>
          <w:trHeight w:val="240"/>
          <w:tblHeader/>
        </w:trPr>
        <w:tc>
          <w:tcPr>
            <w:tcW w:w="546" w:type="dxa"/>
            <w:tcBorders>
              <w:top w:val="single" w:sz="4" w:space="0" w:color="auto"/>
              <w:bottom w:val="single" w:sz="12" w:space="0" w:color="auto"/>
            </w:tcBorders>
            <w:shd w:val="clear" w:color="auto" w:fill="auto"/>
            <w:vAlign w:val="bottom"/>
          </w:tcPr>
          <w:p w:rsidR="00DE6601" w:rsidRPr="00A86E86" w:rsidRDefault="00DE6601" w:rsidP="00637350">
            <w:pPr>
              <w:spacing w:before="80" w:after="80" w:line="200" w:lineRule="exact"/>
              <w:rPr>
                <w:szCs w:val="24"/>
              </w:rPr>
            </w:pPr>
            <w:r>
              <w:rPr>
                <w:i/>
                <w:sz w:val="16"/>
                <w:szCs w:val="24"/>
                <w:lang w:val="es-ES"/>
              </w:rPr>
              <w:t>Año</w:t>
            </w:r>
          </w:p>
        </w:tc>
        <w:tc>
          <w:tcPr>
            <w:tcW w:w="2324" w:type="dxa"/>
            <w:tcBorders>
              <w:top w:val="single" w:sz="4" w:space="0" w:color="auto"/>
              <w:bottom w:val="single" w:sz="12" w:space="0" w:color="auto"/>
            </w:tcBorders>
            <w:shd w:val="clear" w:color="auto" w:fill="auto"/>
            <w:vAlign w:val="bottom"/>
          </w:tcPr>
          <w:p w:rsidR="00DE6601" w:rsidRPr="00A2326F" w:rsidRDefault="00DE6601" w:rsidP="00F544B6">
            <w:pPr>
              <w:spacing w:before="80" w:after="80" w:line="200" w:lineRule="exact"/>
              <w:jc w:val="right"/>
              <w:rPr>
                <w:b/>
                <w:szCs w:val="24"/>
                <w:lang w:val="es-ES"/>
              </w:rPr>
            </w:pPr>
            <w:r w:rsidRPr="00A2326F">
              <w:rPr>
                <w:b/>
                <w:i/>
                <w:sz w:val="16"/>
                <w:szCs w:val="24"/>
                <w:lang w:val="es-ES"/>
              </w:rPr>
              <w:t>Número total de estudiantes c</w:t>
            </w:r>
            <w:r w:rsidR="00ED6C55" w:rsidRPr="00A2326F">
              <w:rPr>
                <w:b/>
                <w:i/>
                <w:sz w:val="16"/>
                <w:szCs w:val="24"/>
                <w:lang w:val="es-ES"/>
              </w:rPr>
              <w:t>uya</w:t>
            </w:r>
            <w:r w:rsidRPr="00A2326F">
              <w:rPr>
                <w:b/>
                <w:i/>
                <w:sz w:val="16"/>
                <w:szCs w:val="24"/>
                <w:lang w:val="es-ES"/>
              </w:rPr>
              <w:t xml:space="preserve"> </w:t>
            </w:r>
            <w:r w:rsidR="00F544B6">
              <w:rPr>
                <w:b/>
                <w:i/>
                <w:sz w:val="16"/>
                <w:szCs w:val="24"/>
                <w:lang w:val="es-ES"/>
              </w:rPr>
              <w:br/>
            </w:r>
            <w:r w:rsidRPr="00A2326F">
              <w:rPr>
                <w:b/>
                <w:i/>
                <w:sz w:val="16"/>
                <w:szCs w:val="24"/>
                <w:lang w:val="es-ES"/>
              </w:rPr>
              <w:t xml:space="preserve">lengua materna </w:t>
            </w:r>
            <w:r w:rsidR="00ED6C55" w:rsidRPr="00A2326F">
              <w:rPr>
                <w:b/>
                <w:i/>
                <w:sz w:val="16"/>
                <w:szCs w:val="24"/>
                <w:lang w:val="es-ES"/>
              </w:rPr>
              <w:t>no es el</w:t>
            </w:r>
            <w:r w:rsidRPr="00A2326F">
              <w:rPr>
                <w:b/>
                <w:i/>
                <w:sz w:val="16"/>
                <w:szCs w:val="24"/>
                <w:lang w:val="es-ES"/>
              </w:rPr>
              <w:t xml:space="preserve"> estonio</w:t>
            </w:r>
          </w:p>
        </w:tc>
        <w:tc>
          <w:tcPr>
            <w:tcW w:w="3093" w:type="dxa"/>
            <w:tcBorders>
              <w:top w:val="single" w:sz="4" w:space="0" w:color="auto"/>
              <w:bottom w:val="single" w:sz="12" w:space="0" w:color="auto"/>
            </w:tcBorders>
            <w:shd w:val="clear" w:color="auto" w:fill="auto"/>
            <w:vAlign w:val="bottom"/>
          </w:tcPr>
          <w:p w:rsidR="00DE6601" w:rsidRPr="00EE0800" w:rsidRDefault="00DE6601" w:rsidP="00637350">
            <w:pPr>
              <w:spacing w:before="80" w:after="80" w:line="200" w:lineRule="exact"/>
              <w:jc w:val="right"/>
              <w:rPr>
                <w:szCs w:val="24"/>
                <w:lang w:val="es-ES"/>
              </w:rPr>
            </w:pPr>
            <w:r>
              <w:rPr>
                <w:i/>
                <w:sz w:val="16"/>
                <w:szCs w:val="24"/>
                <w:lang w:val="es-ES"/>
              </w:rPr>
              <w:t xml:space="preserve">Porcentaje de participación en escuelas </w:t>
            </w:r>
            <w:r w:rsidR="00F544B6">
              <w:rPr>
                <w:i/>
                <w:sz w:val="16"/>
                <w:szCs w:val="24"/>
                <w:lang w:val="es-ES"/>
              </w:rPr>
              <w:br/>
            </w:r>
            <w:r>
              <w:rPr>
                <w:i/>
                <w:sz w:val="16"/>
                <w:szCs w:val="24"/>
                <w:lang w:val="es-ES"/>
              </w:rPr>
              <w:t xml:space="preserve">donde el estonio es el idioma de </w:t>
            </w:r>
            <w:r w:rsidR="00ED6C55">
              <w:rPr>
                <w:i/>
                <w:sz w:val="16"/>
                <w:szCs w:val="24"/>
                <w:lang w:val="es-ES"/>
              </w:rPr>
              <w:t xml:space="preserve">instrucción </w:t>
            </w:r>
            <w:r w:rsidR="00F544B6">
              <w:rPr>
                <w:i/>
                <w:sz w:val="16"/>
                <w:szCs w:val="24"/>
                <w:lang w:val="es-ES"/>
              </w:rPr>
              <w:br/>
            </w:r>
            <w:r>
              <w:rPr>
                <w:i/>
                <w:sz w:val="16"/>
                <w:szCs w:val="24"/>
                <w:lang w:val="es-ES"/>
              </w:rPr>
              <w:t>y en las clases de inmersión lingüística</w:t>
            </w:r>
          </w:p>
        </w:tc>
        <w:tc>
          <w:tcPr>
            <w:tcW w:w="2542" w:type="dxa"/>
            <w:tcBorders>
              <w:top w:val="single" w:sz="4" w:space="0" w:color="auto"/>
              <w:bottom w:val="single" w:sz="12" w:space="0" w:color="auto"/>
            </w:tcBorders>
            <w:shd w:val="clear" w:color="auto" w:fill="auto"/>
            <w:vAlign w:val="bottom"/>
          </w:tcPr>
          <w:p w:rsidR="00DE6601" w:rsidRPr="00EE0800" w:rsidRDefault="00DE6601" w:rsidP="00637350">
            <w:pPr>
              <w:spacing w:before="80" w:after="80" w:line="200" w:lineRule="exact"/>
              <w:jc w:val="right"/>
              <w:rPr>
                <w:i/>
                <w:sz w:val="16"/>
                <w:szCs w:val="24"/>
                <w:lang w:val="es-ES" w:eastAsia="et-EE"/>
              </w:rPr>
            </w:pPr>
            <w:r>
              <w:rPr>
                <w:i/>
                <w:sz w:val="16"/>
                <w:szCs w:val="24"/>
                <w:lang w:val="es-ES"/>
              </w:rPr>
              <w:t xml:space="preserve">Número de escuelas que </w:t>
            </w:r>
            <w:r w:rsidR="00ED6C55">
              <w:rPr>
                <w:i/>
                <w:sz w:val="16"/>
                <w:szCs w:val="24"/>
                <w:lang w:val="es-ES"/>
              </w:rPr>
              <w:t>emplear</w:t>
            </w:r>
            <w:r>
              <w:rPr>
                <w:i/>
                <w:sz w:val="16"/>
                <w:szCs w:val="24"/>
                <w:lang w:val="es-ES"/>
              </w:rPr>
              <w:t xml:space="preserve">on </w:t>
            </w:r>
            <w:r w:rsidR="00F544B6">
              <w:rPr>
                <w:i/>
                <w:sz w:val="16"/>
                <w:szCs w:val="24"/>
                <w:lang w:val="es-ES"/>
              </w:rPr>
              <w:br/>
            </w:r>
            <w:r>
              <w:rPr>
                <w:i/>
                <w:sz w:val="16"/>
                <w:szCs w:val="24"/>
                <w:lang w:val="es-ES"/>
              </w:rPr>
              <w:t>el método de inmersión lingüística</w:t>
            </w:r>
          </w:p>
        </w:tc>
      </w:tr>
      <w:tr w:rsidR="00DE6601" w:rsidRPr="00F544B6">
        <w:trPr>
          <w:trHeight w:val="240"/>
        </w:trPr>
        <w:tc>
          <w:tcPr>
            <w:tcW w:w="546" w:type="dxa"/>
            <w:tcBorders>
              <w:top w:val="single" w:sz="12" w:space="0" w:color="auto"/>
            </w:tcBorders>
            <w:shd w:val="clear" w:color="auto" w:fill="auto"/>
            <w:vAlign w:val="bottom"/>
          </w:tcPr>
          <w:p w:rsidR="00DE6601" w:rsidRPr="00F544B6" w:rsidRDefault="00DE6601" w:rsidP="00637350">
            <w:pPr>
              <w:spacing w:before="40" w:after="40" w:line="220" w:lineRule="exact"/>
              <w:rPr>
                <w:sz w:val="18"/>
                <w:szCs w:val="18"/>
                <w:lang w:eastAsia="et-EE"/>
              </w:rPr>
            </w:pPr>
            <w:r w:rsidRPr="00F544B6">
              <w:rPr>
                <w:sz w:val="18"/>
                <w:szCs w:val="18"/>
                <w:lang w:eastAsia="et-EE"/>
              </w:rPr>
              <w:t>2008</w:t>
            </w:r>
          </w:p>
        </w:tc>
        <w:tc>
          <w:tcPr>
            <w:tcW w:w="2324" w:type="dxa"/>
            <w:tcBorders>
              <w:top w:val="single" w:sz="12" w:space="0" w:color="auto"/>
            </w:tcBorders>
            <w:shd w:val="clear" w:color="auto" w:fill="auto"/>
            <w:vAlign w:val="bottom"/>
          </w:tcPr>
          <w:p w:rsidR="00DE6601" w:rsidRPr="00F544B6" w:rsidRDefault="00DE6601" w:rsidP="00637350">
            <w:pPr>
              <w:spacing w:before="40" w:after="40" w:line="220" w:lineRule="exact"/>
              <w:jc w:val="right"/>
              <w:rPr>
                <w:b/>
                <w:sz w:val="18"/>
                <w:szCs w:val="18"/>
                <w:lang w:eastAsia="et-EE"/>
              </w:rPr>
            </w:pPr>
            <w:r w:rsidRPr="00F544B6">
              <w:rPr>
                <w:b/>
                <w:sz w:val="18"/>
                <w:szCs w:val="18"/>
                <w:lang w:eastAsia="et-EE"/>
              </w:rPr>
              <w:t>27</w:t>
            </w:r>
            <w:r w:rsidR="00A2326F" w:rsidRPr="00F544B6">
              <w:rPr>
                <w:b/>
                <w:sz w:val="18"/>
                <w:szCs w:val="18"/>
                <w:lang w:eastAsia="et-EE"/>
              </w:rPr>
              <w:t xml:space="preserve"> </w:t>
            </w:r>
            <w:r w:rsidRPr="00F544B6">
              <w:rPr>
                <w:b/>
                <w:sz w:val="18"/>
                <w:szCs w:val="18"/>
                <w:lang w:eastAsia="et-EE"/>
              </w:rPr>
              <w:t>563</w:t>
            </w:r>
          </w:p>
        </w:tc>
        <w:tc>
          <w:tcPr>
            <w:tcW w:w="3093" w:type="dxa"/>
            <w:tcBorders>
              <w:top w:val="single" w:sz="12" w:space="0" w:color="auto"/>
            </w:tcBorders>
            <w:shd w:val="clear" w:color="auto" w:fill="auto"/>
            <w:vAlign w:val="bottom"/>
          </w:tcPr>
          <w:p w:rsidR="00DE6601" w:rsidRPr="00F544B6" w:rsidRDefault="001739A4" w:rsidP="00637350">
            <w:pPr>
              <w:spacing w:before="40" w:after="40" w:line="220" w:lineRule="exact"/>
              <w:jc w:val="right"/>
              <w:rPr>
                <w:sz w:val="18"/>
                <w:szCs w:val="18"/>
                <w:lang w:eastAsia="et-EE"/>
              </w:rPr>
            </w:pPr>
            <w:r w:rsidRPr="00F544B6">
              <w:rPr>
                <w:sz w:val="18"/>
                <w:szCs w:val="18"/>
                <w:lang w:eastAsia="et-EE"/>
              </w:rPr>
              <w:t>21,</w:t>
            </w:r>
            <w:r w:rsidR="00DE6601" w:rsidRPr="00F544B6">
              <w:rPr>
                <w:sz w:val="18"/>
                <w:szCs w:val="18"/>
                <w:lang w:eastAsia="et-EE"/>
              </w:rPr>
              <w:t>7</w:t>
            </w:r>
          </w:p>
        </w:tc>
        <w:tc>
          <w:tcPr>
            <w:tcW w:w="2542" w:type="dxa"/>
            <w:tcBorders>
              <w:top w:val="single" w:sz="12" w:space="0" w:color="auto"/>
            </w:tcBorders>
            <w:shd w:val="clear" w:color="auto" w:fill="auto"/>
            <w:vAlign w:val="bottom"/>
          </w:tcPr>
          <w:p w:rsidR="00DE6601" w:rsidRPr="00F544B6" w:rsidRDefault="00DE6601" w:rsidP="00637350">
            <w:pPr>
              <w:spacing w:before="40" w:after="40" w:line="220" w:lineRule="exact"/>
              <w:jc w:val="right"/>
              <w:rPr>
                <w:sz w:val="18"/>
                <w:szCs w:val="18"/>
                <w:lang w:eastAsia="et-EE"/>
              </w:rPr>
            </w:pPr>
            <w:r w:rsidRPr="00F544B6">
              <w:rPr>
                <w:sz w:val="18"/>
                <w:szCs w:val="18"/>
                <w:lang w:eastAsia="et-EE"/>
              </w:rPr>
              <w:t>27</w:t>
            </w:r>
          </w:p>
        </w:tc>
      </w:tr>
      <w:tr w:rsidR="00DE6601" w:rsidRPr="00F544B6">
        <w:trPr>
          <w:trHeight w:val="240"/>
        </w:trPr>
        <w:tc>
          <w:tcPr>
            <w:tcW w:w="546" w:type="dxa"/>
            <w:shd w:val="clear" w:color="auto" w:fill="auto"/>
            <w:vAlign w:val="bottom"/>
          </w:tcPr>
          <w:p w:rsidR="00DE6601" w:rsidRPr="00F544B6" w:rsidRDefault="00DE6601" w:rsidP="00637350">
            <w:pPr>
              <w:spacing w:before="40" w:after="40" w:line="220" w:lineRule="exact"/>
              <w:rPr>
                <w:sz w:val="18"/>
                <w:szCs w:val="18"/>
                <w:lang w:eastAsia="et-EE"/>
              </w:rPr>
            </w:pPr>
            <w:r w:rsidRPr="00F544B6">
              <w:rPr>
                <w:sz w:val="18"/>
                <w:szCs w:val="18"/>
                <w:lang w:eastAsia="et-EE"/>
              </w:rPr>
              <w:t>2009</w:t>
            </w:r>
          </w:p>
        </w:tc>
        <w:tc>
          <w:tcPr>
            <w:tcW w:w="2324" w:type="dxa"/>
            <w:shd w:val="clear" w:color="auto" w:fill="auto"/>
            <w:vAlign w:val="bottom"/>
          </w:tcPr>
          <w:p w:rsidR="00DE6601" w:rsidRPr="00F544B6" w:rsidRDefault="00DE6601" w:rsidP="00637350">
            <w:pPr>
              <w:spacing w:before="40" w:after="40" w:line="220" w:lineRule="exact"/>
              <w:jc w:val="right"/>
              <w:rPr>
                <w:b/>
                <w:sz w:val="18"/>
                <w:szCs w:val="18"/>
                <w:lang w:eastAsia="et-EE"/>
              </w:rPr>
            </w:pPr>
            <w:r w:rsidRPr="00F544B6">
              <w:rPr>
                <w:b/>
                <w:sz w:val="18"/>
                <w:szCs w:val="18"/>
                <w:lang w:eastAsia="et-EE"/>
              </w:rPr>
              <w:t>27</w:t>
            </w:r>
            <w:r w:rsidR="00A2326F" w:rsidRPr="00F544B6">
              <w:rPr>
                <w:b/>
                <w:sz w:val="18"/>
                <w:szCs w:val="18"/>
                <w:lang w:eastAsia="et-EE"/>
              </w:rPr>
              <w:t xml:space="preserve"> </w:t>
            </w:r>
            <w:r w:rsidRPr="00F544B6">
              <w:rPr>
                <w:b/>
                <w:sz w:val="18"/>
                <w:szCs w:val="18"/>
                <w:lang w:eastAsia="et-EE"/>
              </w:rPr>
              <w:t>410</w:t>
            </w:r>
          </w:p>
        </w:tc>
        <w:tc>
          <w:tcPr>
            <w:tcW w:w="3093" w:type="dxa"/>
            <w:shd w:val="clear" w:color="auto" w:fill="auto"/>
            <w:vAlign w:val="bottom"/>
          </w:tcPr>
          <w:p w:rsidR="00DE6601" w:rsidRPr="00F544B6" w:rsidRDefault="001739A4" w:rsidP="00637350">
            <w:pPr>
              <w:spacing w:before="40" w:after="40" w:line="220" w:lineRule="exact"/>
              <w:jc w:val="right"/>
              <w:rPr>
                <w:sz w:val="18"/>
                <w:szCs w:val="18"/>
                <w:lang w:eastAsia="et-EE"/>
              </w:rPr>
            </w:pPr>
            <w:r w:rsidRPr="00F544B6">
              <w:rPr>
                <w:sz w:val="18"/>
                <w:szCs w:val="18"/>
                <w:lang w:eastAsia="et-EE"/>
              </w:rPr>
              <w:t>21,</w:t>
            </w:r>
            <w:r w:rsidR="00DE6601" w:rsidRPr="00F544B6">
              <w:rPr>
                <w:sz w:val="18"/>
                <w:szCs w:val="18"/>
                <w:lang w:eastAsia="et-EE"/>
              </w:rPr>
              <w:t>5</w:t>
            </w:r>
          </w:p>
        </w:tc>
        <w:tc>
          <w:tcPr>
            <w:tcW w:w="2542" w:type="dxa"/>
            <w:shd w:val="clear" w:color="auto" w:fill="auto"/>
            <w:vAlign w:val="bottom"/>
          </w:tcPr>
          <w:p w:rsidR="00DE6601" w:rsidRPr="00F544B6" w:rsidRDefault="00DE6601" w:rsidP="00637350">
            <w:pPr>
              <w:spacing w:before="40" w:after="40" w:line="220" w:lineRule="exact"/>
              <w:jc w:val="right"/>
              <w:rPr>
                <w:sz w:val="18"/>
                <w:szCs w:val="18"/>
                <w:lang w:eastAsia="et-EE"/>
              </w:rPr>
            </w:pPr>
            <w:r w:rsidRPr="00F544B6">
              <w:rPr>
                <w:sz w:val="18"/>
                <w:szCs w:val="18"/>
                <w:lang w:eastAsia="et-EE"/>
              </w:rPr>
              <w:t>25</w:t>
            </w:r>
          </w:p>
        </w:tc>
      </w:tr>
      <w:tr w:rsidR="00DE6601" w:rsidRPr="00F544B6">
        <w:trPr>
          <w:trHeight w:val="240"/>
        </w:trPr>
        <w:tc>
          <w:tcPr>
            <w:tcW w:w="546" w:type="dxa"/>
            <w:shd w:val="clear" w:color="auto" w:fill="auto"/>
            <w:vAlign w:val="bottom"/>
          </w:tcPr>
          <w:p w:rsidR="00DE6601" w:rsidRPr="00F544B6" w:rsidRDefault="00DE6601" w:rsidP="00637350">
            <w:pPr>
              <w:spacing w:before="40" w:after="40" w:line="220" w:lineRule="exact"/>
              <w:rPr>
                <w:sz w:val="18"/>
                <w:szCs w:val="18"/>
                <w:lang w:eastAsia="et-EE"/>
              </w:rPr>
            </w:pPr>
            <w:r w:rsidRPr="00F544B6">
              <w:rPr>
                <w:sz w:val="18"/>
                <w:szCs w:val="18"/>
                <w:lang w:eastAsia="et-EE"/>
              </w:rPr>
              <w:t>2010</w:t>
            </w:r>
          </w:p>
        </w:tc>
        <w:tc>
          <w:tcPr>
            <w:tcW w:w="2324" w:type="dxa"/>
            <w:shd w:val="clear" w:color="auto" w:fill="auto"/>
            <w:vAlign w:val="bottom"/>
          </w:tcPr>
          <w:p w:rsidR="00DE6601" w:rsidRPr="00F544B6" w:rsidRDefault="00DE6601" w:rsidP="00637350">
            <w:pPr>
              <w:spacing w:before="40" w:after="40" w:line="220" w:lineRule="exact"/>
              <w:jc w:val="right"/>
              <w:rPr>
                <w:b/>
                <w:sz w:val="18"/>
                <w:szCs w:val="18"/>
                <w:lang w:eastAsia="et-EE"/>
              </w:rPr>
            </w:pPr>
            <w:r w:rsidRPr="00F544B6">
              <w:rPr>
                <w:b/>
                <w:sz w:val="18"/>
                <w:szCs w:val="18"/>
                <w:lang w:eastAsia="et-EE"/>
              </w:rPr>
              <w:t>27</w:t>
            </w:r>
            <w:r w:rsidR="00A2326F" w:rsidRPr="00F544B6">
              <w:rPr>
                <w:b/>
                <w:sz w:val="18"/>
                <w:szCs w:val="18"/>
                <w:lang w:eastAsia="et-EE"/>
              </w:rPr>
              <w:t xml:space="preserve"> </w:t>
            </w:r>
            <w:r w:rsidRPr="00F544B6">
              <w:rPr>
                <w:b/>
                <w:sz w:val="18"/>
                <w:szCs w:val="18"/>
                <w:lang w:eastAsia="et-EE"/>
              </w:rPr>
              <w:t>523</w:t>
            </w:r>
          </w:p>
        </w:tc>
        <w:tc>
          <w:tcPr>
            <w:tcW w:w="3093" w:type="dxa"/>
            <w:shd w:val="clear" w:color="auto" w:fill="auto"/>
            <w:vAlign w:val="bottom"/>
          </w:tcPr>
          <w:p w:rsidR="00DE6601" w:rsidRPr="00F544B6" w:rsidRDefault="00DE6601" w:rsidP="00637350">
            <w:pPr>
              <w:spacing w:before="40" w:after="40" w:line="220" w:lineRule="exact"/>
              <w:jc w:val="right"/>
              <w:rPr>
                <w:sz w:val="18"/>
                <w:szCs w:val="18"/>
                <w:lang w:eastAsia="et-EE"/>
              </w:rPr>
            </w:pPr>
            <w:r w:rsidRPr="00F544B6">
              <w:rPr>
                <w:sz w:val="18"/>
                <w:szCs w:val="18"/>
                <w:lang w:eastAsia="et-EE"/>
              </w:rPr>
              <w:t>22</w:t>
            </w:r>
          </w:p>
        </w:tc>
        <w:tc>
          <w:tcPr>
            <w:tcW w:w="2542" w:type="dxa"/>
            <w:shd w:val="clear" w:color="auto" w:fill="auto"/>
            <w:vAlign w:val="bottom"/>
          </w:tcPr>
          <w:p w:rsidR="00DE6601" w:rsidRPr="00F544B6" w:rsidRDefault="00DE6601" w:rsidP="00637350">
            <w:pPr>
              <w:spacing w:before="40" w:after="40" w:line="220" w:lineRule="exact"/>
              <w:jc w:val="right"/>
              <w:rPr>
                <w:sz w:val="18"/>
                <w:szCs w:val="18"/>
                <w:lang w:eastAsia="et-EE"/>
              </w:rPr>
            </w:pPr>
            <w:r w:rsidRPr="00F544B6">
              <w:rPr>
                <w:sz w:val="18"/>
                <w:szCs w:val="18"/>
                <w:lang w:eastAsia="et-EE"/>
              </w:rPr>
              <w:t>28</w:t>
            </w:r>
          </w:p>
        </w:tc>
      </w:tr>
      <w:tr w:rsidR="00DE6601" w:rsidRPr="00F544B6">
        <w:trPr>
          <w:trHeight w:val="240"/>
        </w:trPr>
        <w:tc>
          <w:tcPr>
            <w:tcW w:w="546" w:type="dxa"/>
            <w:tcBorders>
              <w:bottom w:val="single" w:sz="12" w:space="0" w:color="auto"/>
            </w:tcBorders>
            <w:shd w:val="clear" w:color="auto" w:fill="auto"/>
            <w:vAlign w:val="bottom"/>
          </w:tcPr>
          <w:p w:rsidR="00DE6601" w:rsidRPr="00F544B6" w:rsidRDefault="00DE6601" w:rsidP="00637350">
            <w:pPr>
              <w:spacing w:before="40" w:after="40" w:line="220" w:lineRule="exact"/>
              <w:rPr>
                <w:sz w:val="18"/>
                <w:szCs w:val="18"/>
                <w:lang w:eastAsia="et-EE"/>
              </w:rPr>
            </w:pPr>
            <w:r w:rsidRPr="00F544B6">
              <w:rPr>
                <w:sz w:val="18"/>
                <w:szCs w:val="18"/>
                <w:lang w:eastAsia="et-EE"/>
              </w:rPr>
              <w:t>2011</w:t>
            </w:r>
          </w:p>
        </w:tc>
        <w:tc>
          <w:tcPr>
            <w:tcW w:w="2324" w:type="dxa"/>
            <w:tcBorders>
              <w:bottom w:val="single" w:sz="12" w:space="0" w:color="auto"/>
            </w:tcBorders>
            <w:shd w:val="clear" w:color="auto" w:fill="auto"/>
            <w:vAlign w:val="bottom"/>
          </w:tcPr>
          <w:p w:rsidR="00DE6601" w:rsidRPr="00F544B6" w:rsidRDefault="00DE6601" w:rsidP="00637350">
            <w:pPr>
              <w:spacing w:before="40" w:after="40" w:line="220" w:lineRule="exact"/>
              <w:jc w:val="right"/>
              <w:rPr>
                <w:b/>
                <w:sz w:val="18"/>
                <w:szCs w:val="18"/>
                <w:lang w:eastAsia="et-EE"/>
              </w:rPr>
            </w:pPr>
            <w:r w:rsidRPr="00F544B6">
              <w:rPr>
                <w:b/>
                <w:sz w:val="18"/>
                <w:szCs w:val="18"/>
                <w:lang w:eastAsia="et-EE"/>
              </w:rPr>
              <w:t>27</w:t>
            </w:r>
            <w:r w:rsidR="00A2326F" w:rsidRPr="00F544B6">
              <w:rPr>
                <w:b/>
                <w:sz w:val="18"/>
                <w:szCs w:val="18"/>
                <w:lang w:eastAsia="et-EE"/>
              </w:rPr>
              <w:t xml:space="preserve"> </w:t>
            </w:r>
            <w:r w:rsidRPr="00F544B6">
              <w:rPr>
                <w:b/>
                <w:sz w:val="18"/>
                <w:szCs w:val="18"/>
                <w:lang w:eastAsia="et-EE"/>
              </w:rPr>
              <w:t>565</w:t>
            </w:r>
          </w:p>
        </w:tc>
        <w:tc>
          <w:tcPr>
            <w:tcW w:w="3093" w:type="dxa"/>
            <w:tcBorders>
              <w:bottom w:val="single" w:sz="12" w:space="0" w:color="auto"/>
            </w:tcBorders>
            <w:shd w:val="clear" w:color="auto" w:fill="auto"/>
            <w:vAlign w:val="bottom"/>
          </w:tcPr>
          <w:p w:rsidR="00DE6601" w:rsidRPr="00F544B6" w:rsidRDefault="001739A4" w:rsidP="00637350">
            <w:pPr>
              <w:spacing w:before="40" w:after="40" w:line="220" w:lineRule="exact"/>
              <w:jc w:val="right"/>
              <w:rPr>
                <w:sz w:val="18"/>
                <w:szCs w:val="18"/>
                <w:lang w:eastAsia="et-EE"/>
              </w:rPr>
            </w:pPr>
            <w:r w:rsidRPr="00F544B6">
              <w:rPr>
                <w:sz w:val="18"/>
                <w:szCs w:val="18"/>
                <w:lang w:eastAsia="et-EE"/>
              </w:rPr>
              <w:t>22,</w:t>
            </w:r>
            <w:r w:rsidR="00DE6601" w:rsidRPr="00F544B6">
              <w:rPr>
                <w:sz w:val="18"/>
                <w:szCs w:val="18"/>
                <w:lang w:eastAsia="et-EE"/>
              </w:rPr>
              <w:t>1</w:t>
            </w:r>
          </w:p>
        </w:tc>
        <w:tc>
          <w:tcPr>
            <w:tcW w:w="2542" w:type="dxa"/>
            <w:tcBorders>
              <w:bottom w:val="single" w:sz="12" w:space="0" w:color="auto"/>
            </w:tcBorders>
            <w:shd w:val="clear" w:color="auto" w:fill="auto"/>
            <w:vAlign w:val="bottom"/>
          </w:tcPr>
          <w:p w:rsidR="00DE6601" w:rsidRPr="00F544B6" w:rsidRDefault="00DE6601" w:rsidP="00637350">
            <w:pPr>
              <w:spacing w:before="40" w:after="40" w:line="220" w:lineRule="exact"/>
              <w:jc w:val="right"/>
              <w:rPr>
                <w:sz w:val="18"/>
                <w:szCs w:val="18"/>
                <w:lang w:eastAsia="et-EE"/>
              </w:rPr>
            </w:pPr>
            <w:r w:rsidRPr="00F544B6">
              <w:rPr>
                <w:sz w:val="18"/>
                <w:szCs w:val="18"/>
                <w:lang w:eastAsia="et-EE"/>
              </w:rPr>
              <w:t>31</w:t>
            </w:r>
          </w:p>
        </w:tc>
      </w:tr>
    </w:tbl>
    <w:p w:rsidR="00DE6601" w:rsidRPr="00452F8A" w:rsidRDefault="00DE6601" w:rsidP="00F544B6">
      <w:pPr>
        <w:pStyle w:val="SingleTxtG"/>
        <w:spacing w:before="120" w:after="240"/>
        <w:ind w:right="0" w:firstLine="170"/>
        <w:jc w:val="left"/>
        <w:rPr>
          <w:sz w:val="18"/>
          <w:szCs w:val="24"/>
          <w:lang w:val="es-ES"/>
        </w:rPr>
      </w:pPr>
      <w:r w:rsidRPr="00452F8A">
        <w:rPr>
          <w:i/>
          <w:sz w:val="18"/>
          <w:szCs w:val="24"/>
          <w:lang w:val="es-ES"/>
        </w:rPr>
        <w:t>Fuente:</w:t>
      </w:r>
      <w:r w:rsidRPr="00452F8A">
        <w:rPr>
          <w:sz w:val="18"/>
          <w:szCs w:val="24"/>
          <w:lang w:val="es-ES"/>
        </w:rPr>
        <w:t xml:space="preserve"> Sistema de Información </w:t>
      </w:r>
      <w:r w:rsidR="00ED6C55" w:rsidRPr="00452F8A">
        <w:rPr>
          <w:sz w:val="18"/>
          <w:szCs w:val="24"/>
          <w:lang w:val="es-ES"/>
        </w:rPr>
        <w:t>sobr</w:t>
      </w:r>
      <w:r w:rsidRPr="00452F8A">
        <w:rPr>
          <w:sz w:val="18"/>
          <w:szCs w:val="24"/>
          <w:lang w:val="es-ES"/>
        </w:rPr>
        <w:t xml:space="preserve">e </w:t>
      </w:r>
      <w:smartTag w:uri="urn:schemas-microsoft-com:office:smarttags" w:element="PersonName">
        <w:smartTagPr>
          <w:attr w:name="ProductID" w:val="la Ense￱anza"/>
        </w:smartTagPr>
        <w:r w:rsidRPr="00452F8A">
          <w:rPr>
            <w:sz w:val="18"/>
            <w:szCs w:val="24"/>
            <w:lang w:val="es-ES"/>
          </w:rPr>
          <w:t>la Enseñanza</w:t>
        </w:r>
      </w:smartTag>
      <w:r w:rsidRPr="00452F8A">
        <w:rPr>
          <w:sz w:val="18"/>
          <w:szCs w:val="24"/>
          <w:lang w:val="es-ES"/>
        </w:rPr>
        <w:t xml:space="preserve"> del Estonio</w:t>
      </w:r>
      <w:r w:rsidR="00452F8A">
        <w:rPr>
          <w:sz w:val="18"/>
          <w:szCs w:val="24"/>
          <w:lang w:val="es-ES"/>
        </w:rPr>
        <w:t>.</w:t>
      </w:r>
    </w:p>
    <w:p w:rsidR="0095061B" w:rsidRPr="005E204C" w:rsidRDefault="0095061B" w:rsidP="00637350">
      <w:pPr>
        <w:pStyle w:val="SingleTxtG"/>
        <w:rPr>
          <w:lang w:val="es-ES"/>
        </w:rPr>
      </w:pPr>
      <w:r w:rsidRPr="005E204C">
        <w:rPr>
          <w:lang w:val="es-ES"/>
        </w:rPr>
        <w:t>217.</w:t>
      </w:r>
      <w:r w:rsidRPr="005E204C">
        <w:rPr>
          <w:lang w:val="es-ES"/>
        </w:rPr>
        <w:tab/>
      </w:r>
      <w:r>
        <w:rPr>
          <w:lang w:val="es-ES"/>
        </w:rPr>
        <w:t xml:space="preserve">La transición a la enseñanza en estonio es obligatoria en virtud de </w:t>
      </w:r>
      <w:smartTag w:uri="urn:schemas-microsoft-com:office:smarttags" w:element="PersonName">
        <w:smartTagPr>
          <w:attr w:name="ProductID" w:val="La Ley"/>
        </w:smartTagPr>
        <w:r>
          <w:rPr>
            <w:lang w:val="es-ES"/>
          </w:rPr>
          <w:t>la Ley</w:t>
        </w:r>
      </w:smartTag>
      <w:r>
        <w:rPr>
          <w:lang w:val="es-ES"/>
        </w:rPr>
        <w:t xml:space="preserve"> de enseñanza media elemental y superior</w:t>
      </w:r>
      <w:r w:rsidR="00061D7E">
        <w:rPr>
          <w:lang w:val="es-ES"/>
        </w:rPr>
        <w:t>,</w:t>
      </w:r>
      <w:r w:rsidRPr="005E204C">
        <w:rPr>
          <w:lang w:val="es-ES"/>
        </w:rPr>
        <w:t xml:space="preserve"> </w:t>
      </w:r>
      <w:r w:rsidR="00061D7E">
        <w:rPr>
          <w:lang w:val="es-ES"/>
        </w:rPr>
        <w:t xml:space="preserve">que </w:t>
      </w:r>
      <w:r>
        <w:rPr>
          <w:lang w:val="es-ES"/>
        </w:rPr>
        <w:t>est</w:t>
      </w:r>
      <w:r w:rsidR="00061D7E">
        <w:rPr>
          <w:lang w:val="es-ES"/>
        </w:rPr>
        <w:t>ablece</w:t>
      </w:r>
      <w:r>
        <w:rPr>
          <w:lang w:val="es-ES"/>
        </w:rPr>
        <w:t xml:space="preserve"> como norma general </w:t>
      </w:r>
      <w:r w:rsidR="00061D7E">
        <w:rPr>
          <w:lang w:val="es-ES"/>
        </w:rPr>
        <w:t xml:space="preserve">que </w:t>
      </w:r>
      <w:r>
        <w:rPr>
          <w:lang w:val="es-ES"/>
        </w:rPr>
        <w:t>el</w:t>
      </w:r>
      <w:r w:rsidR="00CE27E1">
        <w:rPr>
          <w:lang w:val="es-ES"/>
        </w:rPr>
        <w:t xml:space="preserve"> estonio es el</w:t>
      </w:r>
      <w:r>
        <w:rPr>
          <w:lang w:val="es-ES"/>
        </w:rPr>
        <w:t xml:space="preserve"> idioma de </w:t>
      </w:r>
      <w:r w:rsidR="00061D7E">
        <w:rPr>
          <w:lang w:val="es-ES"/>
        </w:rPr>
        <w:t xml:space="preserve">instrucción </w:t>
      </w:r>
      <w:r>
        <w:rPr>
          <w:lang w:val="es-ES"/>
        </w:rPr>
        <w:t>en las escuelas d</w:t>
      </w:r>
      <w:r w:rsidR="00CE27E1">
        <w:rPr>
          <w:lang w:val="es-ES"/>
        </w:rPr>
        <w:t>e enseñanza secundaria superior</w:t>
      </w:r>
      <w:r>
        <w:rPr>
          <w:lang w:val="es-ES"/>
        </w:rPr>
        <w:t>.</w:t>
      </w:r>
      <w:r w:rsidRPr="005E204C">
        <w:rPr>
          <w:lang w:val="es-ES"/>
        </w:rPr>
        <w:t xml:space="preserve"> </w:t>
      </w:r>
      <w:r>
        <w:rPr>
          <w:lang w:val="es-ES"/>
        </w:rPr>
        <w:t xml:space="preserve">El objetivo primordial de la reforma educativa es aumentar la cohesión social y evitar la segregación, así como mejorar la calidad de la enseñanza en las escuelas de lengua rusa para proporcionar a los graduados las mismas oportunidades en la sociedad, especialmente con el fin de facilitarles </w:t>
      </w:r>
      <w:r w:rsidR="00061D7E">
        <w:rPr>
          <w:lang w:val="es-ES"/>
        </w:rPr>
        <w:t xml:space="preserve">el </w:t>
      </w:r>
      <w:r>
        <w:rPr>
          <w:lang w:val="es-ES"/>
        </w:rPr>
        <w:t>acceso a la educación superior y al mercado</w:t>
      </w:r>
      <w:r w:rsidR="00061D7E">
        <w:rPr>
          <w:lang w:val="es-ES"/>
        </w:rPr>
        <w:t xml:space="preserve"> de trabajo</w:t>
      </w:r>
      <w:r>
        <w:rPr>
          <w:lang w:val="es-ES"/>
        </w:rPr>
        <w:t>.</w:t>
      </w:r>
    </w:p>
    <w:p w:rsidR="0095061B" w:rsidRPr="005E204C" w:rsidRDefault="0095061B" w:rsidP="00637350">
      <w:pPr>
        <w:pStyle w:val="SingleTxtG"/>
        <w:rPr>
          <w:szCs w:val="24"/>
          <w:lang w:val="es-ES"/>
        </w:rPr>
      </w:pPr>
      <w:r w:rsidRPr="005E204C">
        <w:rPr>
          <w:szCs w:val="24"/>
          <w:lang w:val="es-ES"/>
        </w:rPr>
        <w:t>218.</w:t>
      </w:r>
      <w:r w:rsidRPr="005E204C">
        <w:rPr>
          <w:szCs w:val="24"/>
          <w:lang w:val="es-ES"/>
        </w:rPr>
        <w:tab/>
      </w:r>
      <w:r>
        <w:rPr>
          <w:szCs w:val="24"/>
          <w:lang w:val="es-ES"/>
        </w:rPr>
        <w:t>La transición a la enseñanza en estonio ha sido flexible.</w:t>
      </w:r>
      <w:r w:rsidRPr="005E204C">
        <w:rPr>
          <w:szCs w:val="24"/>
          <w:lang w:val="es-ES"/>
        </w:rPr>
        <w:t xml:space="preserve"> </w:t>
      </w:r>
      <w:r>
        <w:rPr>
          <w:szCs w:val="24"/>
          <w:lang w:val="es-ES"/>
        </w:rPr>
        <w:t>El cambio a la enseñanza parcial en esto</w:t>
      </w:r>
      <w:r w:rsidR="00FB40CF">
        <w:rPr>
          <w:szCs w:val="24"/>
          <w:lang w:val="es-ES"/>
        </w:rPr>
        <w:t xml:space="preserve">nio solo afecta al nivel de secundaria superior </w:t>
      </w:r>
      <w:r w:rsidR="00DB633C">
        <w:rPr>
          <w:szCs w:val="24"/>
          <w:lang w:val="es-ES"/>
        </w:rPr>
        <w:t>ya que</w:t>
      </w:r>
      <w:r w:rsidR="00FB40CF">
        <w:rPr>
          <w:szCs w:val="24"/>
          <w:lang w:val="es-ES"/>
        </w:rPr>
        <w:t>,</w:t>
      </w:r>
      <w:r w:rsidR="00DB633C">
        <w:rPr>
          <w:szCs w:val="24"/>
          <w:lang w:val="es-ES"/>
        </w:rPr>
        <w:t xml:space="preserve"> </w:t>
      </w:r>
      <w:r>
        <w:rPr>
          <w:szCs w:val="24"/>
          <w:lang w:val="es-ES"/>
        </w:rPr>
        <w:t>desde 2011</w:t>
      </w:r>
      <w:r w:rsidR="00FB40CF">
        <w:rPr>
          <w:szCs w:val="24"/>
          <w:lang w:val="es-ES"/>
        </w:rPr>
        <w:t>,</w:t>
      </w:r>
      <w:r w:rsidR="00DB633C">
        <w:rPr>
          <w:szCs w:val="24"/>
          <w:lang w:val="es-ES"/>
        </w:rPr>
        <w:t xml:space="preserve"> y</w:t>
      </w:r>
      <w:r>
        <w:rPr>
          <w:szCs w:val="24"/>
          <w:lang w:val="es-ES"/>
        </w:rPr>
        <w:t xml:space="preserve"> </w:t>
      </w:r>
      <w:r w:rsidR="00FB40CF">
        <w:rPr>
          <w:szCs w:val="24"/>
          <w:lang w:val="es-ES"/>
        </w:rPr>
        <w:t xml:space="preserve">tras varios años de preparación, </w:t>
      </w:r>
      <w:r>
        <w:rPr>
          <w:szCs w:val="24"/>
          <w:lang w:val="es-ES"/>
        </w:rPr>
        <w:t xml:space="preserve">el 60% del </w:t>
      </w:r>
      <w:r w:rsidR="00DB633C">
        <w:rPr>
          <w:szCs w:val="24"/>
          <w:lang w:val="es-ES"/>
        </w:rPr>
        <w:t xml:space="preserve">contenido de ese </w:t>
      </w:r>
      <w:r>
        <w:rPr>
          <w:szCs w:val="24"/>
          <w:lang w:val="es-ES"/>
        </w:rPr>
        <w:t>plan de estudios ha de impartirse en estonio.</w:t>
      </w:r>
      <w:r w:rsidRPr="005E204C">
        <w:rPr>
          <w:szCs w:val="24"/>
          <w:lang w:val="es-ES"/>
        </w:rPr>
        <w:t xml:space="preserve"> </w:t>
      </w:r>
      <w:r>
        <w:rPr>
          <w:szCs w:val="24"/>
          <w:lang w:val="es-ES"/>
        </w:rPr>
        <w:t xml:space="preserve">El 40% </w:t>
      </w:r>
      <w:r w:rsidR="00DB633C">
        <w:rPr>
          <w:szCs w:val="24"/>
          <w:lang w:val="es-ES"/>
        </w:rPr>
        <w:t xml:space="preserve">restante </w:t>
      </w:r>
      <w:r>
        <w:rPr>
          <w:szCs w:val="24"/>
          <w:lang w:val="es-ES"/>
        </w:rPr>
        <w:t>seguirá impartiéndose en ruso.</w:t>
      </w:r>
      <w:r w:rsidRPr="005E204C">
        <w:rPr>
          <w:szCs w:val="24"/>
          <w:lang w:val="es-ES"/>
        </w:rPr>
        <w:t xml:space="preserve"> </w:t>
      </w:r>
      <w:r>
        <w:rPr>
          <w:szCs w:val="24"/>
          <w:lang w:val="es-ES"/>
        </w:rPr>
        <w:t xml:space="preserve">La enseñanza en estonio se hizo obligatoria para cinco asignaturas, </w:t>
      </w:r>
      <w:r w:rsidR="00B60459">
        <w:rPr>
          <w:szCs w:val="24"/>
          <w:lang w:val="es-ES"/>
        </w:rPr>
        <w:t xml:space="preserve">y </w:t>
      </w:r>
      <w:r>
        <w:rPr>
          <w:szCs w:val="24"/>
          <w:lang w:val="es-ES"/>
        </w:rPr>
        <w:t xml:space="preserve">las escuelas </w:t>
      </w:r>
      <w:r w:rsidR="00B60459">
        <w:rPr>
          <w:szCs w:val="24"/>
          <w:lang w:val="es-ES"/>
        </w:rPr>
        <w:t xml:space="preserve">han </w:t>
      </w:r>
      <w:r>
        <w:rPr>
          <w:szCs w:val="24"/>
          <w:lang w:val="es-ES"/>
        </w:rPr>
        <w:t xml:space="preserve">elegido las </w:t>
      </w:r>
      <w:r w:rsidR="00B60459">
        <w:rPr>
          <w:szCs w:val="24"/>
          <w:lang w:val="es-ES"/>
        </w:rPr>
        <w:t xml:space="preserve">demás </w:t>
      </w:r>
      <w:r>
        <w:rPr>
          <w:szCs w:val="24"/>
          <w:lang w:val="es-ES"/>
        </w:rPr>
        <w:t xml:space="preserve">asignaturas </w:t>
      </w:r>
      <w:r w:rsidR="00B60459">
        <w:rPr>
          <w:szCs w:val="24"/>
          <w:lang w:val="es-ES"/>
        </w:rPr>
        <w:t xml:space="preserve">con arreglo a los </w:t>
      </w:r>
      <w:r>
        <w:rPr>
          <w:szCs w:val="24"/>
          <w:lang w:val="es-ES"/>
        </w:rPr>
        <w:t>estudio</w:t>
      </w:r>
      <w:r w:rsidR="00B60459">
        <w:rPr>
          <w:szCs w:val="24"/>
          <w:lang w:val="es-ES"/>
        </w:rPr>
        <w:t>s impartidos</w:t>
      </w:r>
      <w:r>
        <w:rPr>
          <w:szCs w:val="24"/>
          <w:lang w:val="es-ES"/>
        </w:rPr>
        <w:t xml:space="preserve">, la </w:t>
      </w:r>
      <w:r w:rsidR="00B60459">
        <w:rPr>
          <w:szCs w:val="24"/>
          <w:lang w:val="es-ES"/>
        </w:rPr>
        <w:t xml:space="preserve">disponibilidad </w:t>
      </w:r>
      <w:r>
        <w:rPr>
          <w:szCs w:val="24"/>
          <w:lang w:val="es-ES"/>
        </w:rPr>
        <w:t>de docentes, etc.</w:t>
      </w:r>
    </w:p>
    <w:p w:rsidR="0095061B" w:rsidRPr="005E204C" w:rsidRDefault="0095061B" w:rsidP="00637350">
      <w:pPr>
        <w:pStyle w:val="SingleTxtG"/>
        <w:rPr>
          <w:szCs w:val="24"/>
          <w:lang w:val="es-ES"/>
        </w:rPr>
      </w:pPr>
      <w:r w:rsidRPr="005E204C">
        <w:rPr>
          <w:szCs w:val="24"/>
          <w:lang w:val="es-ES"/>
        </w:rPr>
        <w:t>219.</w:t>
      </w:r>
      <w:r w:rsidRPr="005E204C">
        <w:rPr>
          <w:szCs w:val="24"/>
          <w:lang w:val="es-ES"/>
        </w:rPr>
        <w:tab/>
      </w:r>
      <w:r>
        <w:rPr>
          <w:szCs w:val="24"/>
          <w:lang w:val="es-ES"/>
        </w:rPr>
        <w:t>El Ministerio de Educación e Investigación ha apoyado también las actividades necesarias para la transición a la enseñanza en estonio.</w:t>
      </w:r>
      <w:r w:rsidR="005466A4">
        <w:rPr>
          <w:szCs w:val="24"/>
          <w:lang w:val="es-ES"/>
        </w:rPr>
        <w:t xml:space="preserve"> </w:t>
      </w:r>
      <w:r>
        <w:rPr>
          <w:szCs w:val="24"/>
          <w:lang w:val="es-ES"/>
        </w:rPr>
        <w:t xml:space="preserve">Los profesores de literatura estonia, educación cívica, historia, música y geografía han </w:t>
      </w:r>
      <w:r w:rsidR="00B60459">
        <w:rPr>
          <w:szCs w:val="24"/>
          <w:lang w:val="es-ES"/>
        </w:rPr>
        <w:t>completa</w:t>
      </w:r>
      <w:r>
        <w:rPr>
          <w:szCs w:val="24"/>
          <w:lang w:val="es-ES"/>
        </w:rPr>
        <w:t>do la formación correspondiente.</w:t>
      </w:r>
      <w:r w:rsidRPr="005E204C">
        <w:rPr>
          <w:szCs w:val="24"/>
          <w:lang w:val="es-ES"/>
        </w:rPr>
        <w:t xml:space="preserve"> </w:t>
      </w:r>
      <w:r>
        <w:rPr>
          <w:szCs w:val="24"/>
          <w:lang w:val="es-ES"/>
        </w:rPr>
        <w:t xml:space="preserve">Todos los profesores pueden recibir formación en el empleo </w:t>
      </w:r>
      <w:r w:rsidR="00B60459">
        <w:rPr>
          <w:szCs w:val="24"/>
          <w:lang w:val="es-ES"/>
        </w:rPr>
        <w:t xml:space="preserve">sobre </w:t>
      </w:r>
      <w:r>
        <w:rPr>
          <w:szCs w:val="24"/>
          <w:lang w:val="es-ES"/>
        </w:rPr>
        <w:t>la metodología didáctica en otro idioma.</w:t>
      </w:r>
      <w:r w:rsidRPr="005E204C">
        <w:rPr>
          <w:szCs w:val="24"/>
          <w:lang w:val="es-ES"/>
        </w:rPr>
        <w:t xml:space="preserve"> </w:t>
      </w:r>
      <w:r>
        <w:rPr>
          <w:szCs w:val="24"/>
          <w:lang w:val="es-ES"/>
        </w:rPr>
        <w:t xml:space="preserve">Con el fin de asegurar la calidad de la educación y de apoyar la formación de los profesores, se han habilitado centros de asesoramiento entre cuyas funciones se </w:t>
      </w:r>
      <w:r w:rsidR="00B60459">
        <w:rPr>
          <w:szCs w:val="24"/>
          <w:lang w:val="es-ES"/>
        </w:rPr>
        <w:t xml:space="preserve">incluyen la </w:t>
      </w:r>
      <w:r>
        <w:rPr>
          <w:szCs w:val="24"/>
          <w:lang w:val="es-ES"/>
        </w:rPr>
        <w:t xml:space="preserve">formación en el </w:t>
      </w:r>
      <w:r w:rsidR="001469B8">
        <w:rPr>
          <w:szCs w:val="24"/>
          <w:lang w:val="es-ES"/>
        </w:rPr>
        <w:t xml:space="preserve">empleo </w:t>
      </w:r>
      <w:r>
        <w:rPr>
          <w:szCs w:val="24"/>
          <w:lang w:val="es-ES"/>
        </w:rPr>
        <w:t xml:space="preserve">y </w:t>
      </w:r>
      <w:r w:rsidR="00B60459">
        <w:rPr>
          <w:szCs w:val="24"/>
          <w:lang w:val="es-ES"/>
        </w:rPr>
        <w:t xml:space="preserve">las </w:t>
      </w:r>
      <w:r>
        <w:rPr>
          <w:szCs w:val="24"/>
          <w:lang w:val="es-ES"/>
        </w:rPr>
        <w:t>consultas personales y colectivas.</w:t>
      </w:r>
      <w:r w:rsidRPr="005E204C">
        <w:rPr>
          <w:szCs w:val="24"/>
          <w:lang w:val="es-ES"/>
        </w:rPr>
        <w:t xml:space="preserve"> </w:t>
      </w:r>
      <w:r w:rsidR="00B60459">
        <w:rPr>
          <w:szCs w:val="24"/>
          <w:lang w:val="es-ES"/>
        </w:rPr>
        <w:t>A tal fin, l</w:t>
      </w:r>
      <w:r>
        <w:rPr>
          <w:szCs w:val="24"/>
          <w:lang w:val="es-ES"/>
        </w:rPr>
        <w:t xml:space="preserve">os centros de asesoramiento </w:t>
      </w:r>
      <w:r w:rsidR="00B60459">
        <w:rPr>
          <w:szCs w:val="24"/>
          <w:lang w:val="es-ES"/>
        </w:rPr>
        <w:t xml:space="preserve">han recibido </w:t>
      </w:r>
      <w:r>
        <w:rPr>
          <w:szCs w:val="24"/>
          <w:lang w:val="es-ES"/>
        </w:rPr>
        <w:t>materiales didácticos y metodológicos.</w:t>
      </w:r>
    </w:p>
    <w:p w:rsidR="0095061B" w:rsidRPr="005E204C" w:rsidRDefault="0095061B" w:rsidP="00637350">
      <w:pPr>
        <w:pStyle w:val="SingleTxtG"/>
        <w:rPr>
          <w:szCs w:val="24"/>
          <w:lang w:val="es-ES"/>
        </w:rPr>
      </w:pPr>
      <w:r w:rsidRPr="005E204C">
        <w:rPr>
          <w:szCs w:val="24"/>
          <w:lang w:val="es-ES"/>
        </w:rPr>
        <w:t>220.</w:t>
      </w:r>
      <w:r w:rsidRPr="005E204C">
        <w:rPr>
          <w:szCs w:val="24"/>
          <w:lang w:val="es-ES"/>
        </w:rPr>
        <w:tab/>
      </w:r>
      <w:r>
        <w:rPr>
          <w:szCs w:val="24"/>
          <w:lang w:val="es-ES"/>
        </w:rPr>
        <w:t>El nivel de conocimiento del estonio e</w:t>
      </w:r>
      <w:r w:rsidR="00B60459">
        <w:rPr>
          <w:szCs w:val="24"/>
          <w:lang w:val="es-ES"/>
        </w:rPr>
        <w:t>ntre</w:t>
      </w:r>
      <w:r>
        <w:rPr>
          <w:szCs w:val="24"/>
          <w:lang w:val="es-ES"/>
        </w:rPr>
        <w:t xml:space="preserve"> los docentes de enseñanza básica y los jóvenes que cursan e</w:t>
      </w:r>
      <w:r w:rsidR="00B60459">
        <w:rPr>
          <w:szCs w:val="24"/>
          <w:lang w:val="es-ES"/>
        </w:rPr>
        <w:t>studios de</w:t>
      </w:r>
      <w:r>
        <w:rPr>
          <w:szCs w:val="24"/>
          <w:lang w:val="es-ES"/>
        </w:rPr>
        <w:t xml:space="preserve"> secundaria se ha mantenido estable según las evaluaciones externa</w:t>
      </w:r>
      <w:r w:rsidR="00B60459">
        <w:rPr>
          <w:szCs w:val="24"/>
          <w:lang w:val="es-ES"/>
        </w:rPr>
        <w:t>s</w:t>
      </w:r>
      <w:r>
        <w:rPr>
          <w:szCs w:val="24"/>
          <w:lang w:val="es-ES"/>
        </w:rPr>
        <w:t>, es decir, los resultados de los exámenes estatales.</w:t>
      </w:r>
    </w:p>
    <w:p w:rsidR="0095061B" w:rsidRPr="005E204C" w:rsidRDefault="0095061B" w:rsidP="00637350">
      <w:pPr>
        <w:pStyle w:val="H23G"/>
        <w:rPr>
          <w:lang w:val="es-ES"/>
        </w:rPr>
      </w:pPr>
      <w:r w:rsidRPr="005E204C">
        <w:rPr>
          <w:lang w:val="es-ES"/>
        </w:rPr>
        <w:tab/>
      </w:r>
      <w:r w:rsidRPr="005E204C">
        <w:rPr>
          <w:lang w:val="es-ES"/>
        </w:rPr>
        <w:tab/>
      </w:r>
      <w:r>
        <w:rPr>
          <w:lang w:val="es-ES"/>
        </w:rPr>
        <w:t>Formación profesional</w:t>
      </w:r>
    </w:p>
    <w:p w:rsidR="0095061B" w:rsidRPr="005E204C" w:rsidRDefault="0095061B" w:rsidP="00637350">
      <w:pPr>
        <w:pStyle w:val="SingleTxtG"/>
        <w:rPr>
          <w:szCs w:val="24"/>
          <w:lang w:val="es-ES"/>
        </w:rPr>
      </w:pPr>
      <w:r w:rsidRPr="005E204C">
        <w:rPr>
          <w:szCs w:val="24"/>
          <w:lang w:val="es-ES"/>
        </w:rPr>
        <w:t>221.</w:t>
      </w:r>
      <w:r w:rsidRPr="005E204C">
        <w:rPr>
          <w:szCs w:val="24"/>
          <w:lang w:val="es-ES"/>
        </w:rPr>
        <w:tab/>
      </w:r>
      <w:r>
        <w:rPr>
          <w:szCs w:val="24"/>
          <w:lang w:val="es-ES"/>
        </w:rPr>
        <w:t xml:space="preserve">Durante el </w:t>
      </w:r>
      <w:r w:rsidR="00EF1EC9">
        <w:rPr>
          <w:szCs w:val="24"/>
          <w:lang w:val="es-ES"/>
        </w:rPr>
        <w:t xml:space="preserve">año </w:t>
      </w:r>
      <w:r>
        <w:rPr>
          <w:szCs w:val="24"/>
          <w:lang w:val="es-ES"/>
        </w:rPr>
        <w:t>escolar 2011/12, había 42 escuelas de formación profesional en Estonia</w:t>
      </w:r>
      <w:r w:rsidR="00FB40CF">
        <w:rPr>
          <w:szCs w:val="24"/>
          <w:lang w:val="es-ES"/>
        </w:rPr>
        <w:t xml:space="preserve"> (</w:t>
      </w:r>
      <w:r>
        <w:rPr>
          <w:szCs w:val="24"/>
          <w:lang w:val="es-ES"/>
        </w:rPr>
        <w:t>30 de propiedad estatal, 3 de propiedad municipal y 9 de propiedad privada</w:t>
      </w:r>
      <w:r w:rsidR="00FB40CF">
        <w:rPr>
          <w:szCs w:val="24"/>
          <w:lang w:val="es-ES"/>
        </w:rPr>
        <w:t>)</w:t>
      </w:r>
      <w:r>
        <w:rPr>
          <w:szCs w:val="24"/>
          <w:lang w:val="es-ES"/>
        </w:rPr>
        <w:t xml:space="preserve">. </w:t>
      </w:r>
      <w:r w:rsidR="0085447E">
        <w:rPr>
          <w:szCs w:val="24"/>
          <w:lang w:val="es-ES"/>
        </w:rPr>
        <w:t>De co</w:t>
      </w:r>
      <w:r>
        <w:rPr>
          <w:szCs w:val="24"/>
          <w:lang w:val="es-ES"/>
        </w:rPr>
        <w:t>nform</w:t>
      </w:r>
      <w:r w:rsidR="0085447E">
        <w:rPr>
          <w:szCs w:val="24"/>
          <w:lang w:val="es-ES"/>
        </w:rPr>
        <w:t>idad con</w:t>
      </w:r>
      <w:r>
        <w:rPr>
          <w:szCs w:val="24"/>
          <w:lang w:val="es-ES"/>
        </w:rPr>
        <w:t xml:space="preserve"> </w:t>
      </w:r>
      <w:r w:rsidR="0085447E">
        <w:rPr>
          <w:szCs w:val="24"/>
          <w:lang w:val="es-ES"/>
        </w:rPr>
        <w:t>e</w:t>
      </w:r>
      <w:r>
        <w:rPr>
          <w:szCs w:val="24"/>
          <w:lang w:val="es-ES"/>
        </w:rPr>
        <w:t xml:space="preserve">l artículo 18 de </w:t>
      </w:r>
      <w:smartTag w:uri="urn:schemas-microsoft-com:office:smarttags" w:element="PersonName">
        <w:smartTagPr>
          <w:attr w:name="ProductID" w:val="La Ley"/>
        </w:smartTagPr>
        <w:r>
          <w:rPr>
            <w:szCs w:val="24"/>
            <w:lang w:val="es-ES"/>
          </w:rPr>
          <w:t>la Ley</w:t>
        </w:r>
      </w:smartTag>
      <w:r>
        <w:rPr>
          <w:szCs w:val="24"/>
          <w:lang w:val="es-ES"/>
        </w:rPr>
        <w:t xml:space="preserve"> de centros educativos de formación profesional, </w:t>
      </w:r>
      <w:r w:rsidR="00FB40CF">
        <w:rPr>
          <w:szCs w:val="24"/>
          <w:lang w:val="es-ES"/>
        </w:rPr>
        <w:t xml:space="preserve">el estonio es </w:t>
      </w:r>
      <w:r>
        <w:rPr>
          <w:szCs w:val="24"/>
          <w:lang w:val="es-ES"/>
        </w:rPr>
        <w:t xml:space="preserve">el idioma de </w:t>
      </w:r>
      <w:r w:rsidR="0085447E">
        <w:rPr>
          <w:szCs w:val="24"/>
          <w:lang w:val="es-ES"/>
        </w:rPr>
        <w:t xml:space="preserve">instrucción </w:t>
      </w:r>
      <w:r w:rsidR="00FB40CF">
        <w:rPr>
          <w:szCs w:val="24"/>
          <w:lang w:val="es-ES"/>
        </w:rPr>
        <w:t xml:space="preserve">en </w:t>
      </w:r>
      <w:r>
        <w:rPr>
          <w:szCs w:val="24"/>
          <w:lang w:val="es-ES"/>
        </w:rPr>
        <w:t>las escuelas de for</w:t>
      </w:r>
      <w:r w:rsidR="00FB40CF">
        <w:rPr>
          <w:szCs w:val="24"/>
          <w:lang w:val="es-ES"/>
        </w:rPr>
        <w:t>mación profesional, aunque pueden emplea</w:t>
      </w:r>
      <w:r>
        <w:rPr>
          <w:szCs w:val="24"/>
          <w:lang w:val="es-ES"/>
        </w:rPr>
        <w:t>rse otros.</w:t>
      </w:r>
      <w:r w:rsidRPr="005E204C">
        <w:rPr>
          <w:szCs w:val="24"/>
          <w:lang w:val="es-ES"/>
        </w:rPr>
        <w:t xml:space="preserve"> </w:t>
      </w:r>
      <w:r>
        <w:rPr>
          <w:szCs w:val="24"/>
          <w:lang w:val="es-ES"/>
        </w:rPr>
        <w:t xml:space="preserve">El Ministerio de Educación e Investigación decide </w:t>
      </w:r>
      <w:r w:rsidR="0085447E">
        <w:rPr>
          <w:szCs w:val="24"/>
          <w:lang w:val="es-ES"/>
        </w:rPr>
        <w:t xml:space="preserve">sobre </w:t>
      </w:r>
      <w:r>
        <w:rPr>
          <w:szCs w:val="24"/>
          <w:lang w:val="es-ES"/>
        </w:rPr>
        <w:t>el uso de otros idiomas.</w:t>
      </w:r>
      <w:r w:rsidRPr="005E204C">
        <w:rPr>
          <w:szCs w:val="24"/>
          <w:lang w:val="es-ES"/>
        </w:rPr>
        <w:t xml:space="preserve"> </w:t>
      </w:r>
      <w:r>
        <w:rPr>
          <w:szCs w:val="24"/>
          <w:lang w:val="es-ES"/>
        </w:rPr>
        <w:t xml:space="preserve">Actualmente, la formación profesional se puede </w:t>
      </w:r>
      <w:r w:rsidR="0085447E">
        <w:rPr>
          <w:szCs w:val="24"/>
          <w:lang w:val="es-ES"/>
        </w:rPr>
        <w:t xml:space="preserve">impartir </w:t>
      </w:r>
      <w:r>
        <w:rPr>
          <w:szCs w:val="24"/>
          <w:lang w:val="es-ES"/>
        </w:rPr>
        <w:t>en estonio y en ruso.</w:t>
      </w:r>
      <w:r w:rsidRPr="005E204C">
        <w:rPr>
          <w:szCs w:val="24"/>
          <w:lang w:val="es-ES"/>
        </w:rPr>
        <w:t xml:space="preserve"> </w:t>
      </w:r>
      <w:r>
        <w:rPr>
          <w:szCs w:val="24"/>
          <w:lang w:val="es-ES"/>
        </w:rPr>
        <w:t xml:space="preserve">En el </w:t>
      </w:r>
      <w:r w:rsidR="00EF1EC9">
        <w:rPr>
          <w:szCs w:val="24"/>
          <w:lang w:val="es-ES"/>
        </w:rPr>
        <w:t xml:space="preserve">año </w:t>
      </w:r>
      <w:r>
        <w:rPr>
          <w:szCs w:val="24"/>
          <w:lang w:val="es-ES"/>
        </w:rPr>
        <w:t xml:space="preserve">escolar 2011/12, los centros de formación profesional cuyo </w:t>
      </w:r>
      <w:r w:rsidR="0085447E">
        <w:rPr>
          <w:szCs w:val="24"/>
          <w:lang w:val="es-ES"/>
        </w:rPr>
        <w:t xml:space="preserve">único </w:t>
      </w:r>
      <w:r>
        <w:rPr>
          <w:szCs w:val="24"/>
          <w:lang w:val="es-ES"/>
        </w:rPr>
        <w:t xml:space="preserve">idioma de </w:t>
      </w:r>
      <w:r w:rsidR="0085447E">
        <w:rPr>
          <w:szCs w:val="24"/>
          <w:lang w:val="es-ES"/>
        </w:rPr>
        <w:t xml:space="preserve">instrucción </w:t>
      </w:r>
      <w:r>
        <w:rPr>
          <w:szCs w:val="24"/>
          <w:lang w:val="es-ES"/>
        </w:rPr>
        <w:t xml:space="preserve">era el ruso representaban el 10% del total </w:t>
      </w:r>
      <w:r w:rsidR="0085447E">
        <w:rPr>
          <w:szCs w:val="24"/>
          <w:lang w:val="es-ES"/>
        </w:rPr>
        <w:t>(</w:t>
      </w:r>
      <w:r>
        <w:rPr>
          <w:szCs w:val="24"/>
          <w:lang w:val="es-ES"/>
        </w:rPr>
        <w:t>un</w:t>
      </w:r>
      <w:r w:rsidR="00EF1EC9">
        <w:rPr>
          <w:szCs w:val="24"/>
          <w:lang w:val="es-ES"/>
        </w:rPr>
        <w:t>a</w:t>
      </w:r>
      <w:r w:rsidR="0085447E">
        <w:rPr>
          <w:szCs w:val="24"/>
          <w:lang w:val="es-ES"/>
        </w:rPr>
        <w:t xml:space="preserve"> </w:t>
      </w:r>
      <w:r w:rsidR="00EF1EC9">
        <w:rPr>
          <w:szCs w:val="24"/>
          <w:lang w:val="es-ES"/>
        </w:rPr>
        <w:t xml:space="preserve">institución </w:t>
      </w:r>
      <w:r>
        <w:rPr>
          <w:szCs w:val="24"/>
          <w:lang w:val="es-ES"/>
        </w:rPr>
        <w:t xml:space="preserve">estatal o municipal y tres </w:t>
      </w:r>
      <w:r w:rsidR="00EF1EC9">
        <w:rPr>
          <w:szCs w:val="24"/>
          <w:lang w:val="es-ES"/>
        </w:rPr>
        <w:t xml:space="preserve">instituciones </w:t>
      </w:r>
      <w:r>
        <w:rPr>
          <w:szCs w:val="24"/>
          <w:lang w:val="es-ES"/>
        </w:rPr>
        <w:t>privadas</w:t>
      </w:r>
      <w:r w:rsidR="0085447E">
        <w:rPr>
          <w:szCs w:val="24"/>
          <w:lang w:val="es-ES"/>
        </w:rPr>
        <w:t>)</w:t>
      </w:r>
      <w:r>
        <w:rPr>
          <w:szCs w:val="24"/>
          <w:lang w:val="es-ES"/>
        </w:rPr>
        <w:t>.</w:t>
      </w:r>
      <w:r w:rsidRPr="005E204C">
        <w:rPr>
          <w:szCs w:val="24"/>
          <w:lang w:val="es-ES"/>
        </w:rPr>
        <w:t xml:space="preserve"> </w:t>
      </w:r>
      <w:r w:rsidR="0085447E">
        <w:rPr>
          <w:szCs w:val="24"/>
          <w:lang w:val="es-ES"/>
        </w:rPr>
        <w:t>El 24% d</w:t>
      </w:r>
      <w:r>
        <w:rPr>
          <w:szCs w:val="24"/>
          <w:lang w:val="es-ES"/>
        </w:rPr>
        <w:t>e to</w:t>
      </w:r>
      <w:r w:rsidR="00EF1EC9">
        <w:rPr>
          <w:szCs w:val="24"/>
          <w:lang w:val="es-ES"/>
        </w:rPr>
        <w:t>dos los</w:t>
      </w:r>
      <w:r>
        <w:rPr>
          <w:szCs w:val="24"/>
          <w:lang w:val="es-ES"/>
        </w:rPr>
        <w:t xml:space="preserve"> centros de formación profesional tenía</w:t>
      </w:r>
      <w:r w:rsidR="00EF1EC9">
        <w:rPr>
          <w:szCs w:val="24"/>
          <w:lang w:val="es-ES"/>
        </w:rPr>
        <w:t xml:space="preserve">n el estonio y el ruso </w:t>
      </w:r>
      <w:r>
        <w:rPr>
          <w:szCs w:val="24"/>
          <w:lang w:val="es-ES"/>
        </w:rPr>
        <w:t xml:space="preserve">como idiomas de </w:t>
      </w:r>
      <w:r w:rsidR="0085447E">
        <w:rPr>
          <w:szCs w:val="24"/>
          <w:lang w:val="es-ES"/>
        </w:rPr>
        <w:t>instrucción</w:t>
      </w:r>
      <w:r>
        <w:rPr>
          <w:szCs w:val="24"/>
          <w:lang w:val="es-ES"/>
        </w:rPr>
        <w:t xml:space="preserve"> </w:t>
      </w:r>
      <w:r w:rsidR="00EF1EC9">
        <w:rPr>
          <w:szCs w:val="24"/>
          <w:lang w:val="es-ES"/>
        </w:rPr>
        <w:t>(</w:t>
      </w:r>
      <w:r>
        <w:rPr>
          <w:szCs w:val="24"/>
          <w:lang w:val="es-ES"/>
        </w:rPr>
        <w:t xml:space="preserve">8 </w:t>
      </w:r>
      <w:r w:rsidR="00EF1EC9">
        <w:rPr>
          <w:szCs w:val="24"/>
          <w:lang w:val="es-ES"/>
        </w:rPr>
        <w:t xml:space="preserve">instituciones </w:t>
      </w:r>
      <w:r>
        <w:rPr>
          <w:szCs w:val="24"/>
          <w:lang w:val="es-ES"/>
        </w:rPr>
        <w:t>estatales o municipales y 4 privad</w:t>
      </w:r>
      <w:r w:rsidR="00EF1EC9">
        <w:rPr>
          <w:szCs w:val="24"/>
          <w:lang w:val="es-ES"/>
        </w:rPr>
        <w:t>a</w:t>
      </w:r>
      <w:r>
        <w:rPr>
          <w:szCs w:val="24"/>
          <w:lang w:val="es-ES"/>
        </w:rPr>
        <w:t>s</w:t>
      </w:r>
      <w:r w:rsidR="00EF1EC9">
        <w:rPr>
          <w:szCs w:val="24"/>
          <w:lang w:val="es-ES"/>
        </w:rPr>
        <w:t>)</w:t>
      </w:r>
      <w:r>
        <w:rPr>
          <w:szCs w:val="24"/>
          <w:lang w:val="es-ES"/>
        </w:rPr>
        <w:t>.</w:t>
      </w:r>
      <w:r w:rsidRPr="005E204C">
        <w:rPr>
          <w:szCs w:val="24"/>
          <w:lang w:val="es-ES"/>
        </w:rPr>
        <w:t xml:space="preserve"> </w:t>
      </w:r>
      <w:r>
        <w:rPr>
          <w:szCs w:val="24"/>
          <w:lang w:val="es-ES"/>
        </w:rPr>
        <w:t xml:space="preserve">En ese período, el estonio era el idioma de </w:t>
      </w:r>
      <w:r w:rsidR="0085447E">
        <w:rPr>
          <w:szCs w:val="24"/>
          <w:lang w:val="es-ES"/>
        </w:rPr>
        <w:t xml:space="preserve">instrucción </w:t>
      </w:r>
      <w:r>
        <w:rPr>
          <w:szCs w:val="24"/>
          <w:lang w:val="es-ES"/>
        </w:rPr>
        <w:t xml:space="preserve">en 21 </w:t>
      </w:r>
      <w:r w:rsidR="00EF1EC9">
        <w:rPr>
          <w:szCs w:val="24"/>
          <w:lang w:val="es-ES"/>
        </w:rPr>
        <w:t xml:space="preserve">instituciones </w:t>
      </w:r>
      <w:r w:rsidR="0085447E">
        <w:rPr>
          <w:szCs w:val="24"/>
          <w:lang w:val="es-ES"/>
        </w:rPr>
        <w:t xml:space="preserve">estatales y municipales </w:t>
      </w:r>
      <w:r>
        <w:rPr>
          <w:szCs w:val="24"/>
          <w:lang w:val="es-ES"/>
        </w:rPr>
        <w:t xml:space="preserve">y en 4 </w:t>
      </w:r>
      <w:r w:rsidR="00EF1EC9">
        <w:rPr>
          <w:szCs w:val="24"/>
          <w:lang w:val="es-ES"/>
        </w:rPr>
        <w:t xml:space="preserve">instituciones </w:t>
      </w:r>
      <w:r>
        <w:rPr>
          <w:szCs w:val="24"/>
          <w:lang w:val="es-ES"/>
        </w:rPr>
        <w:t>privad</w:t>
      </w:r>
      <w:r w:rsidR="00EF1EC9">
        <w:rPr>
          <w:szCs w:val="24"/>
          <w:lang w:val="es-ES"/>
        </w:rPr>
        <w:t>a</w:t>
      </w:r>
      <w:r>
        <w:rPr>
          <w:szCs w:val="24"/>
          <w:lang w:val="es-ES"/>
        </w:rPr>
        <w:t>s</w:t>
      </w:r>
      <w:r w:rsidR="00EF1EC9">
        <w:rPr>
          <w:szCs w:val="24"/>
          <w:lang w:val="es-ES"/>
        </w:rPr>
        <w:t xml:space="preserve"> de formación profesional</w:t>
      </w:r>
      <w:r>
        <w:rPr>
          <w:szCs w:val="24"/>
          <w:lang w:val="es-ES"/>
        </w:rPr>
        <w:t>.</w:t>
      </w:r>
    </w:p>
    <w:p w:rsidR="0095061B" w:rsidRPr="005E204C" w:rsidRDefault="0095061B" w:rsidP="00637350">
      <w:pPr>
        <w:pStyle w:val="Heading1"/>
        <w:spacing w:before="240"/>
        <w:rPr>
          <w:lang w:val="es-ES"/>
        </w:rPr>
      </w:pPr>
      <w:r w:rsidRPr="005E204C">
        <w:rPr>
          <w:lang w:val="es-ES"/>
        </w:rPr>
        <w:t>Cuadro 13</w:t>
      </w:r>
    </w:p>
    <w:p w:rsidR="0095061B" w:rsidRPr="00336726" w:rsidRDefault="0095061B" w:rsidP="00637350">
      <w:pPr>
        <w:pStyle w:val="SingleTxtG"/>
        <w:jc w:val="left"/>
        <w:rPr>
          <w:b/>
          <w:lang w:val="es-ES"/>
        </w:rPr>
      </w:pPr>
      <w:r w:rsidRPr="00336726">
        <w:rPr>
          <w:b/>
          <w:lang w:val="es-ES"/>
        </w:rPr>
        <w:t xml:space="preserve">Proporción de estudiantes de formación profesional por idioma de </w:t>
      </w:r>
      <w:r w:rsidR="00EF1EC9" w:rsidRPr="00336726">
        <w:rPr>
          <w:b/>
          <w:lang w:val="es-ES"/>
        </w:rPr>
        <w:t xml:space="preserve">instrucción </w:t>
      </w:r>
      <w:r w:rsidRPr="00336726">
        <w:rPr>
          <w:b/>
          <w:lang w:val="es-ES"/>
        </w:rPr>
        <w:t xml:space="preserve">en los </w:t>
      </w:r>
      <w:r w:rsidR="00EF1EC9" w:rsidRPr="00336726">
        <w:rPr>
          <w:b/>
          <w:lang w:val="es-ES"/>
        </w:rPr>
        <w:t>años</w:t>
      </w:r>
      <w:r w:rsidRPr="00336726">
        <w:rPr>
          <w:b/>
          <w:lang w:val="es-ES"/>
        </w:rPr>
        <w:t xml:space="preserve"> escolares de 2007/08 a 2011/12</w:t>
      </w:r>
    </w:p>
    <w:p w:rsidR="0095061B" w:rsidRDefault="00602C5F" w:rsidP="00637350">
      <w:pPr>
        <w:pStyle w:val="SingleTxtG"/>
        <w:rPr>
          <w:noProof/>
          <w:sz w:val="24"/>
          <w:szCs w:val="24"/>
          <w:lang w:eastAsia="en-GB"/>
        </w:rPr>
      </w:pPr>
      <w:r>
        <w:rPr>
          <w:i/>
          <w:noProof/>
          <w:sz w:val="18"/>
          <w:szCs w:val="24"/>
          <w:lang w:val="es-ES" w:eastAsia="es-ES"/>
        </w:rPr>
        <w:pict>
          <v:shape id="_x0000_s1033" type="#_x0000_t202" style="position:absolute;left:0;text-align:left;margin-left:102.7pt;margin-top:170.35pt;width:140.2pt;height:12.55pt;z-index:3" stroked="f">
            <v:textbox style="mso-next-textbox:#_x0000_s1033" inset="0,0,0,0">
              <w:txbxContent>
                <w:p w:rsidR="00F544B6" w:rsidRPr="004B0F19" w:rsidRDefault="00F544B6" w:rsidP="00F544B6">
                  <w:pPr>
                    <w:spacing w:line="240" w:lineRule="auto"/>
                    <w:rPr>
                      <w:sz w:val="16"/>
                      <w:szCs w:val="12"/>
                    </w:rPr>
                  </w:pPr>
                  <w:r w:rsidRPr="004B0F19">
                    <w:rPr>
                      <w:sz w:val="16"/>
                      <w:szCs w:val="12"/>
                      <w:lang w:val="es-ES"/>
                    </w:rPr>
                    <w:t>El idioma de instrucción era el estonio</w:t>
                  </w:r>
                </w:p>
              </w:txbxContent>
            </v:textbox>
          </v:shape>
        </w:pict>
      </w:r>
      <w:r>
        <w:rPr>
          <w:noProof/>
        </w:rPr>
        <w:pict>
          <v:shape id="_x0000_s1037" type="#_x0000_t75" style="position:absolute;left:0;text-align:left;margin-left:90.1pt;margin-top:167.95pt;width:11.3pt;height:13.95pt;z-index:5">
            <v:imagedata r:id="rId9" o:title=""/>
          </v:shape>
          <o:OLEObject Type="Embed" ProgID="Word.Picture.8" ShapeID="_x0000_s1037" DrawAspect="Content" ObjectID="_1457974062" r:id="rId10"/>
        </w:pict>
      </w:r>
      <w:r w:rsidR="004B0F19">
        <w:rPr>
          <w:b/>
          <w:noProof/>
          <w:lang w:val="es-ES" w:eastAsia="es-ES"/>
        </w:rPr>
        <w:pict>
          <v:shape id="_x0000_s1034" type="#_x0000_t202" style="position:absolute;left:0;text-align:left;margin-left:256.55pt;margin-top:169.95pt;width:142.1pt;height:12.7pt;z-index:4" stroked="f">
            <v:textbox style="mso-next-textbox:#_x0000_s1034" inset="0,0,0,0">
              <w:txbxContent>
                <w:p w:rsidR="0095662A" w:rsidRPr="004B0F19" w:rsidRDefault="0095662A" w:rsidP="004B0F19">
                  <w:pPr>
                    <w:spacing w:line="240" w:lineRule="auto"/>
                    <w:ind w:left="57"/>
                    <w:rPr>
                      <w:sz w:val="16"/>
                      <w:szCs w:val="12"/>
                    </w:rPr>
                  </w:pPr>
                  <w:r w:rsidRPr="004B0F19">
                    <w:rPr>
                      <w:sz w:val="16"/>
                      <w:szCs w:val="12"/>
                      <w:lang w:val="es-ES"/>
                    </w:rPr>
                    <w:t>El idioma de instrucción era el ruso</w:t>
                  </w:r>
                </w:p>
              </w:txbxContent>
            </v:textbox>
          </v:shape>
        </w:pict>
      </w:r>
      <w:r w:rsidR="0095061B" w:rsidRPr="00B527E7">
        <w:rPr>
          <w:noProof/>
          <w:sz w:val="24"/>
          <w:szCs w:val="24"/>
          <w:lang w:eastAsia="en-GB"/>
        </w:rPr>
        <w:pict>
          <v:shape id="Picture 1" o:spid="_x0000_i1027" type="#_x0000_t75" alt="Description: cid:image003.png@01CD68CE.78855C90" style="width:373.5pt;height:187.5pt;visibility:visible">
            <v:imagedata r:id="rId11" o:title="image003"/>
          </v:shape>
        </w:pict>
      </w:r>
    </w:p>
    <w:p w:rsidR="0095061B" w:rsidRPr="00452F8A" w:rsidRDefault="0095061B" w:rsidP="009B51B0">
      <w:pPr>
        <w:pStyle w:val="SingleTxtG"/>
        <w:spacing w:before="120" w:after="240"/>
        <w:ind w:firstLine="170"/>
        <w:jc w:val="left"/>
        <w:rPr>
          <w:sz w:val="18"/>
          <w:szCs w:val="24"/>
          <w:lang w:val="es-ES"/>
        </w:rPr>
      </w:pPr>
      <w:r w:rsidRPr="00452F8A">
        <w:rPr>
          <w:i/>
          <w:sz w:val="18"/>
          <w:szCs w:val="24"/>
          <w:lang w:val="es-ES"/>
        </w:rPr>
        <w:t>Fuente:</w:t>
      </w:r>
      <w:r w:rsidRPr="00452F8A">
        <w:rPr>
          <w:sz w:val="18"/>
          <w:szCs w:val="24"/>
          <w:lang w:val="es-ES"/>
        </w:rPr>
        <w:t xml:space="preserve"> Ministerio de Educación e Investigación</w:t>
      </w:r>
      <w:r w:rsidR="00452F8A">
        <w:rPr>
          <w:sz w:val="18"/>
          <w:szCs w:val="24"/>
          <w:lang w:val="es-ES"/>
        </w:rPr>
        <w:t>.</w:t>
      </w:r>
    </w:p>
    <w:p w:rsidR="0095061B" w:rsidRPr="005E204C" w:rsidRDefault="0095061B" w:rsidP="00637350">
      <w:pPr>
        <w:pStyle w:val="SingleTxtG"/>
        <w:rPr>
          <w:szCs w:val="24"/>
          <w:lang w:val="es-ES"/>
        </w:rPr>
      </w:pPr>
      <w:r w:rsidRPr="005E204C">
        <w:rPr>
          <w:szCs w:val="24"/>
          <w:lang w:val="es-ES"/>
        </w:rPr>
        <w:t>222.</w:t>
      </w:r>
      <w:r w:rsidRPr="005E204C">
        <w:rPr>
          <w:szCs w:val="24"/>
          <w:lang w:val="es-ES"/>
        </w:rPr>
        <w:tab/>
      </w:r>
      <w:r>
        <w:rPr>
          <w:szCs w:val="24"/>
          <w:lang w:val="es-ES"/>
        </w:rPr>
        <w:t xml:space="preserve">De conformidad con el artículo 13 de </w:t>
      </w:r>
      <w:smartTag w:uri="urn:schemas-microsoft-com:office:smarttags" w:element="PersonName">
        <w:smartTagPr>
          <w:attr w:name="ProductID" w:val="La Ley"/>
        </w:smartTagPr>
        <w:r>
          <w:rPr>
            <w:szCs w:val="24"/>
            <w:lang w:val="es-ES"/>
          </w:rPr>
          <w:t>la Ley</w:t>
        </w:r>
      </w:smartTag>
      <w:r>
        <w:rPr>
          <w:szCs w:val="24"/>
          <w:lang w:val="es-ES"/>
        </w:rPr>
        <w:t xml:space="preserve"> de centros de formación profesional, el plan de estudios de los centros de formación profesional se preparará sobre la base de los requisitos establecidos en la normativa </w:t>
      </w:r>
      <w:r w:rsidR="007515CA">
        <w:rPr>
          <w:szCs w:val="24"/>
          <w:lang w:val="es-ES"/>
        </w:rPr>
        <w:t xml:space="preserve">sobre la </w:t>
      </w:r>
      <w:r>
        <w:rPr>
          <w:szCs w:val="24"/>
          <w:lang w:val="es-ES"/>
        </w:rPr>
        <w:t>formación profesional y en el correspondiente plan de estudios</w:t>
      </w:r>
      <w:r w:rsidR="00EF1EC9">
        <w:rPr>
          <w:szCs w:val="24"/>
          <w:lang w:val="es-ES"/>
        </w:rPr>
        <w:t xml:space="preserve"> nacional</w:t>
      </w:r>
      <w:r>
        <w:rPr>
          <w:szCs w:val="24"/>
          <w:lang w:val="es-ES"/>
        </w:rPr>
        <w:t xml:space="preserve">. De conformidad con el artículo 22 de </w:t>
      </w:r>
      <w:r w:rsidR="007515CA">
        <w:rPr>
          <w:szCs w:val="24"/>
          <w:lang w:val="es-ES"/>
        </w:rPr>
        <w:t>es</w:t>
      </w:r>
      <w:r>
        <w:rPr>
          <w:szCs w:val="24"/>
          <w:lang w:val="es-ES"/>
        </w:rPr>
        <w:t xml:space="preserve">a </w:t>
      </w:r>
      <w:r w:rsidR="005554AF">
        <w:rPr>
          <w:szCs w:val="24"/>
          <w:lang w:val="es-ES"/>
        </w:rPr>
        <w:t>ley</w:t>
      </w:r>
      <w:r>
        <w:rPr>
          <w:szCs w:val="24"/>
          <w:lang w:val="es-ES"/>
        </w:rPr>
        <w:t>, el estudio del idioma est</w:t>
      </w:r>
      <w:r w:rsidR="00EF1EC9">
        <w:rPr>
          <w:szCs w:val="24"/>
          <w:lang w:val="es-ES"/>
        </w:rPr>
        <w:t>on</w:t>
      </w:r>
      <w:r>
        <w:rPr>
          <w:szCs w:val="24"/>
          <w:lang w:val="es-ES"/>
        </w:rPr>
        <w:t xml:space="preserve">io es obligatorio en </w:t>
      </w:r>
      <w:r w:rsidR="00EF1EC9">
        <w:rPr>
          <w:szCs w:val="24"/>
          <w:lang w:val="es-ES"/>
        </w:rPr>
        <w:t>el</w:t>
      </w:r>
      <w:r>
        <w:rPr>
          <w:szCs w:val="24"/>
          <w:lang w:val="es-ES"/>
        </w:rPr>
        <w:t xml:space="preserve"> </w:t>
      </w:r>
      <w:r w:rsidR="00EF1EC9">
        <w:rPr>
          <w:szCs w:val="24"/>
          <w:lang w:val="es-ES"/>
        </w:rPr>
        <w:t xml:space="preserve">nivel de </w:t>
      </w:r>
      <w:r>
        <w:rPr>
          <w:szCs w:val="24"/>
          <w:lang w:val="es-ES"/>
        </w:rPr>
        <w:t>secundaria e</w:t>
      </w:r>
      <w:r w:rsidR="00EF1EC9">
        <w:rPr>
          <w:szCs w:val="24"/>
          <w:lang w:val="es-ES"/>
        </w:rPr>
        <w:t>n</w:t>
      </w:r>
      <w:r>
        <w:rPr>
          <w:szCs w:val="24"/>
          <w:lang w:val="es-ES"/>
        </w:rPr>
        <w:t xml:space="preserve"> los centros de formación profesional donde el idioma de </w:t>
      </w:r>
      <w:r w:rsidR="00EF1EC9">
        <w:rPr>
          <w:szCs w:val="24"/>
          <w:lang w:val="es-ES"/>
        </w:rPr>
        <w:t xml:space="preserve">instrucción </w:t>
      </w:r>
      <w:r>
        <w:rPr>
          <w:szCs w:val="24"/>
          <w:lang w:val="es-ES"/>
        </w:rPr>
        <w:t xml:space="preserve">es distinto </w:t>
      </w:r>
      <w:r w:rsidR="00EF1EC9">
        <w:rPr>
          <w:szCs w:val="24"/>
          <w:lang w:val="es-ES"/>
        </w:rPr>
        <w:t>de</w:t>
      </w:r>
      <w:r>
        <w:rPr>
          <w:szCs w:val="24"/>
          <w:lang w:val="es-ES"/>
        </w:rPr>
        <w:t>l estonio</w:t>
      </w:r>
      <w:r w:rsidR="007515CA">
        <w:rPr>
          <w:szCs w:val="24"/>
          <w:lang w:val="es-ES"/>
        </w:rPr>
        <w:t>;</w:t>
      </w:r>
      <w:r w:rsidRPr="005E204C">
        <w:rPr>
          <w:szCs w:val="24"/>
          <w:lang w:val="es-ES"/>
        </w:rPr>
        <w:t xml:space="preserve"> </w:t>
      </w:r>
      <w:r w:rsidR="007515CA">
        <w:rPr>
          <w:szCs w:val="24"/>
          <w:lang w:val="es-ES"/>
        </w:rPr>
        <w:t xml:space="preserve">quienes deseen graduarse </w:t>
      </w:r>
      <w:r>
        <w:rPr>
          <w:szCs w:val="24"/>
          <w:lang w:val="es-ES"/>
        </w:rPr>
        <w:t>deben aprobar el examen estatal en estonio.</w:t>
      </w:r>
      <w:r w:rsidRPr="005E204C">
        <w:rPr>
          <w:szCs w:val="24"/>
          <w:lang w:val="es-ES"/>
        </w:rPr>
        <w:t xml:space="preserve"> </w:t>
      </w:r>
      <w:r w:rsidR="007515CA">
        <w:rPr>
          <w:szCs w:val="24"/>
          <w:lang w:val="es-ES"/>
        </w:rPr>
        <w:t xml:space="preserve">La duración </w:t>
      </w:r>
      <w:r w:rsidR="00EF1EC9">
        <w:rPr>
          <w:szCs w:val="24"/>
          <w:lang w:val="es-ES"/>
        </w:rPr>
        <w:t xml:space="preserve">y </w:t>
      </w:r>
      <w:r>
        <w:rPr>
          <w:szCs w:val="24"/>
          <w:lang w:val="es-ES"/>
        </w:rPr>
        <w:t>organización de</w:t>
      </w:r>
      <w:r w:rsidR="00EF1EC9">
        <w:rPr>
          <w:szCs w:val="24"/>
          <w:lang w:val="es-ES"/>
        </w:rPr>
        <w:t xml:space="preserve"> </w:t>
      </w:r>
      <w:r>
        <w:rPr>
          <w:szCs w:val="24"/>
          <w:lang w:val="es-ES"/>
        </w:rPr>
        <w:t>l</w:t>
      </w:r>
      <w:r w:rsidR="00EF1EC9">
        <w:rPr>
          <w:szCs w:val="24"/>
          <w:lang w:val="es-ES"/>
        </w:rPr>
        <w:t>os</w:t>
      </w:r>
      <w:r>
        <w:rPr>
          <w:szCs w:val="24"/>
          <w:lang w:val="es-ES"/>
        </w:rPr>
        <w:t xml:space="preserve"> estudio</w:t>
      </w:r>
      <w:r w:rsidR="00EF1EC9">
        <w:rPr>
          <w:szCs w:val="24"/>
          <w:lang w:val="es-ES"/>
        </w:rPr>
        <w:t>s</w:t>
      </w:r>
      <w:r>
        <w:rPr>
          <w:szCs w:val="24"/>
          <w:lang w:val="es-ES"/>
        </w:rPr>
        <w:t xml:space="preserve"> </w:t>
      </w:r>
      <w:r w:rsidR="00EF1EC9">
        <w:rPr>
          <w:szCs w:val="24"/>
          <w:lang w:val="es-ES"/>
        </w:rPr>
        <w:t xml:space="preserve">se </w:t>
      </w:r>
      <w:r>
        <w:rPr>
          <w:szCs w:val="24"/>
          <w:lang w:val="es-ES"/>
        </w:rPr>
        <w:t>determina</w:t>
      </w:r>
      <w:r w:rsidR="00EF1EC9">
        <w:rPr>
          <w:szCs w:val="24"/>
          <w:lang w:val="es-ES"/>
        </w:rPr>
        <w:t>n</w:t>
      </w:r>
      <w:r>
        <w:rPr>
          <w:szCs w:val="24"/>
          <w:lang w:val="es-ES"/>
        </w:rPr>
        <w:t xml:space="preserve"> en el </w:t>
      </w:r>
      <w:r w:rsidR="00EF1EC9">
        <w:rPr>
          <w:szCs w:val="24"/>
          <w:lang w:val="es-ES"/>
        </w:rPr>
        <w:t xml:space="preserve">marco del </w:t>
      </w:r>
      <w:r>
        <w:rPr>
          <w:szCs w:val="24"/>
          <w:lang w:val="es-ES"/>
        </w:rPr>
        <w:t xml:space="preserve">plan de estudios </w:t>
      </w:r>
      <w:r w:rsidR="00EF1EC9">
        <w:rPr>
          <w:szCs w:val="24"/>
          <w:lang w:val="es-ES"/>
        </w:rPr>
        <w:t xml:space="preserve">de cada </w:t>
      </w:r>
      <w:r>
        <w:rPr>
          <w:szCs w:val="24"/>
          <w:lang w:val="es-ES"/>
        </w:rPr>
        <w:t>esc</w:t>
      </w:r>
      <w:r w:rsidR="00EF1EC9">
        <w:rPr>
          <w:szCs w:val="24"/>
          <w:lang w:val="es-ES"/>
        </w:rPr>
        <w:t>uela</w:t>
      </w:r>
      <w:r>
        <w:rPr>
          <w:szCs w:val="24"/>
          <w:lang w:val="es-ES"/>
        </w:rPr>
        <w:t>.</w:t>
      </w:r>
    </w:p>
    <w:p w:rsidR="0095061B" w:rsidRPr="005E204C" w:rsidRDefault="0095061B" w:rsidP="00637350">
      <w:pPr>
        <w:pStyle w:val="SingleTxtG"/>
        <w:rPr>
          <w:szCs w:val="24"/>
          <w:lang w:val="es-ES"/>
        </w:rPr>
      </w:pPr>
      <w:r w:rsidRPr="005E204C">
        <w:rPr>
          <w:szCs w:val="24"/>
          <w:lang w:val="es-ES"/>
        </w:rPr>
        <w:t>223.</w:t>
      </w:r>
      <w:r w:rsidRPr="005E204C">
        <w:rPr>
          <w:szCs w:val="24"/>
          <w:lang w:val="es-ES"/>
        </w:rPr>
        <w:tab/>
      </w:r>
      <w:r>
        <w:rPr>
          <w:szCs w:val="24"/>
          <w:lang w:val="es-ES"/>
        </w:rPr>
        <w:t xml:space="preserve">La duración de los estudios </w:t>
      </w:r>
      <w:r w:rsidR="00FB40CF">
        <w:rPr>
          <w:szCs w:val="24"/>
          <w:lang w:val="es-ES"/>
        </w:rPr>
        <w:t>obligatorios de</w:t>
      </w:r>
      <w:r>
        <w:rPr>
          <w:szCs w:val="24"/>
          <w:lang w:val="es-ES"/>
        </w:rPr>
        <w:t xml:space="preserve"> estonio </w:t>
      </w:r>
      <w:r w:rsidR="00584B89">
        <w:rPr>
          <w:szCs w:val="24"/>
          <w:lang w:val="es-ES"/>
        </w:rPr>
        <w:t xml:space="preserve">para </w:t>
      </w:r>
      <w:r>
        <w:rPr>
          <w:szCs w:val="24"/>
          <w:lang w:val="es-ES"/>
        </w:rPr>
        <w:t xml:space="preserve">los grupos de los centros de formación profesional </w:t>
      </w:r>
      <w:r w:rsidR="00584B89">
        <w:rPr>
          <w:szCs w:val="24"/>
          <w:lang w:val="es-ES"/>
        </w:rPr>
        <w:t>cuyo</w:t>
      </w:r>
      <w:r>
        <w:rPr>
          <w:szCs w:val="24"/>
          <w:lang w:val="es-ES"/>
        </w:rPr>
        <w:t xml:space="preserve"> idioma de </w:t>
      </w:r>
      <w:r w:rsidR="007515CA">
        <w:rPr>
          <w:szCs w:val="24"/>
          <w:lang w:val="es-ES"/>
        </w:rPr>
        <w:t xml:space="preserve">instrucción </w:t>
      </w:r>
      <w:r>
        <w:rPr>
          <w:szCs w:val="24"/>
          <w:lang w:val="es-ES"/>
        </w:rPr>
        <w:t>no es el estonio es de cuatro semanas.</w:t>
      </w:r>
      <w:r w:rsidRPr="005E204C">
        <w:rPr>
          <w:szCs w:val="24"/>
          <w:lang w:val="es-ES"/>
        </w:rPr>
        <w:t xml:space="preserve"> </w:t>
      </w:r>
      <w:r>
        <w:rPr>
          <w:szCs w:val="24"/>
          <w:lang w:val="es-ES"/>
        </w:rPr>
        <w:t>Muchos estudiantes de formación profesional que cursan sus estudios en ruso realizan el examen profesional e</w:t>
      </w:r>
      <w:r w:rsidR="00584B89">
        <w:rPr>
          <w:szCs w:val="24"/>
          <w:lang w:val="es-ES"/>
        </w:rPr>
        <w:t>n</w:t>
      </w:r>
      <w:r w:rsidR="00FB40CF">
        <w:rPr>
          <w:szCs w:val="24"/>
          <w:lang w:val="es-ES"/>
        </w:rPr>
        <w:t xml:space="preserve"> estonio, y esa prueba</w:t>
      </w:r>
      <w:r>
        <w:rPr>
          <w:szCs w:val="24"/>
          <w:lang w:val="es-ES"/>
        </w:rPr>
        <w:t xml:space="preserve"> se realiza </w:t>
      </w:r>
      <w:r w:rsidR="00584B89">
        <w:rPr>
          <w:szCs w:val="24"/>
          <w:lang w:val="es-ES"/>
        </w:rPr>
        <w:t xml:space="preserve">casi siempre </w:t>
      </w:r>
      <w:r w:rsidR="00FB40CF">
        <w:rPr>
          <w:szCs w:val="24"/>
          <w:lang w:val="es-ES"/>
        </w:rPr>
        <w:t xml:space="preserve">en dicho idioma en el caso de </w:t>
      </w:r>
      <w:r>
        <w:rPr>
          <w:szCs w:val="24"/>
          <w:lang w:val="es-ES"/>
        </w:rPr>
        <w:t xml:space="preserve">las profesiones del sector de servicios. El aumento de la competitividad </w:t>
      </w:r>
      <w:r w:rsidR="001469B8">
        <w:rPr>
          <w:szCs w:val="24"/>
          <w:lang w:val="es-ES"/>
        </w:rPr>
        <w:t xml:space="preserve">en el mercado laboral </w:t>
      </w:r>
      <w:r>
        <w:rPr>
          <w:szCs w:val="24"/>
          <w:lang w:val="es-ES"/>
        </w:rPr>
        <w:t xml:space="preserve">entre los graduados de </w:t>
      </w:r>
      <w:r w:rsidR="000A6690">
        <w:rPr>
          <w:szCs w:val="24"/>
          <w:lang w:val="es-ES"/>
        </w:rPr>
        <w:t xml:space="preserve">los </w:t>
      </w:r>
      <w:r>
        <w:rPr>
          <w:szCs w:val="24"/>
          <w:lang w:val="es-ES"/>
        </w:rPr>
        <w:t>grupos de lengua rusa de los centros de formación profesional es uno de los efectos previstos del Plan de desarrollo del idioma estonio para el período 2011-2017.</w:t>
      </w:r>
    </w:p>
    <w:p w:rsidR="0095061B" w:rsidRPr="005E204C" w:rsidRDefault="0095061B" w:rsidP="00637350">
      <w:pPr>
        <w:pStyle w:val="SingleTxtG"/>
        <w:rPr>
          <w:szCs w:val="24"/>
          <w:lang w:val="es-ES"/>
        </w:rPr>
      </w:pPr>
      <w:r w:rsidRPr="005E204C">
        <w:rPr>
          <w:szCs w:val="24"/>
          <w:lang w:val="es-ES"/>
        </w:rPr>
        <w:t>224.</w:t>
      </w:r>
      <w:r w:rsidRPr="005E204C">
        <w:rPr>
          <w:szCs w:val="24"/>
          <w:lang w:val="es-ES"/>
        </w:rPr>
        <w:tab/>
      </w:r>
      <w:r>
        <w:rPr>
          <w:szCs w:val="24"/>
          <w:lang w:val="es-ES"/>
        </w:rPr>
        <w:t xml:space="preserve">Para diversificar las posibilidades de </w:t>
      </w:r>
      <w:r w:rsidR="001469B8">
        <w:rPr>
          <w:szCs w:val="24"/>
          <w:lang w:val="es-ES"/>
        </w:rPr>
        <w:t>emple</w:t>
      </w:r>
      <w:r>
        <w:rPr>
          <w:szCs w:val="24"/>
          <w:lang w:val="es-ES"/>
        </w:rPr>
        <w:t>ar y aprender el estonio, se brinda apoyo a las instituciones educati</w:t>
      </w:r>
      <w:r w:rsidR="000A797D">
        <w:rPr>
          <w:szCs w:val="24"/>
          <w:lang w:val="es-ES"/>
        </w:rPr>
        <w:t>vas para la enseñanza en ese idioma</w:t>
      </w:r>
      <w:r>
        <w:rPr>
          <w:szCs w:val="24"/>
          <w:lang w:val="es-ES"/>
        </w:rPr>
        <w:t>.</w:t>
      </w:r>
      <w:r w:rsidRPr="005E204C">
        <w:rPr>
          <w:szCs w:val="24"/>
          <w:lang w:val="es-ES"/>
        </w:rPr>
        <w:t xml:space="preserve"> </w:t>
      </w:r>
      <w:r>
        <w:rPr>
          <w:szCs w:val="24"/>
          <w:lang w:val="es-ES"/>
        </w:rPr>
        <w:t>En el marco de</w:t>
      </w:r>
      <w:r w:rsidR="001469B8">
        <w:rPr>
          <w:szCs w:val="24"/>
          <w:lang w:val="es-ES"/>
        </w:rPr>
        <w:t xml:space="preserve"> un</w:t>
      </w:r>
      <w:r>
        <w:rPr>
          <w:szCs w:val="24"/>
          <w:lang w:val="es-ES"/>
        </w:rPr>
        <w:t xml:space="preserve"> </w:t>
      </w:r>
      <w:r w:rsidR="001469B8">
        <w:rPr>
          <w:szCs w:val="24"/>
          <w:lang w:val="es-ES"/>
        </w:rPr>
        <w:t xml:space="preserve">programa </w:t>
      </w:r>
      <w:r>
        <w:rPr>
          <w:szCs w:val="24"/>
          <w:lang w:val="es-ES"/>
        </w:rPr>
        <w:t>del Fondo Social Europeo</w:t>
      </w:r>
      <w:r w:rsidR="000A797D">
        <w:rPr>
          <w:szCs w:val="24"/>
          <w:lang w:val="es-ES"/>
        </w:rPr>
        <w:t>,</w:t>
      </w:r>
      <w:r>
        <w:rPr>
          <w:szCs w:val="24"/>
          <w:lang w:val="es-ES"/>
        </w:rPr>
        <w:t xml:space="preserve"> se apoy</w:t>
      </w:r>
      <w:r w:rsidR="001469B8">
        <w:rPr>
          <w:szCs w:val="24"/>
          <w:lang w:val="es-ES"/>
        </w:rPr>
        <w:t>a</w:t>
      </w:r>
      <w:r>
        <w:rPr>
          <w:szCs w:val="24"/>
          <w:lang w:val="es-ES"/>
        </w:rPr>
        <w:t xml:space="preserve"> la formación en el empleo de los profesores</w:t>
      </w:r>
      <w:r w:rsidR="000A797D">
        <w:rPr>
          <w:szCs w:val="24"/>
          <w:lang w:val="es-ES"/>
        </w:rPr>
        <w:t xml:space="preserve"> de estonio como segunda lengua y</w:t>
      </w:r>
      <w:r>
        <w:rPr>
          <w:szCs w:val="24"/>
          <w:lang w:val="es-ES"/>
        </w:rPr>
        <w:t xml:space="preserve"> </w:t>
      </w:r>
      <w:r w:rsidR="00980A65">
        <w:rPr>
          <w:szCs w:val="24"/>
          <w:lang w:val="es-ES"/>
        </w:rPr>
        <w:t xml:space="preserve">de </w:t>
      </w:r>
      <w:r>
        <w:rPr>
          <w:szCs w:val="24"/>
          <w:lang w:val="es-ES"/>
        </w:rPr>
        <w:t>asignaturas general</w:t>
      </w:r>
      <w:r w:rsidR="00980A65">
        <w:rPr>
          <w:szCs w:val="24"/>
          <w:lang w:val="es-ES"/>
        </w:rPr>
        <w:t>es</w:t>
      </w:r>
      <w:r>
        <w:rPr>
          <w:szCs w:val="24"/>
          <w:lang w:val="es-ES"/>
        </w:rPr>
        <w:t xml:space="preserve"> y especializadas, </w:t>
      </w:r>
      <w:r w:rsidR="00980A65">
        <w:rPr>
          <w:szCs w:val="24"/>
          <w:lang w:val="es-ES"/>
        </w:rPr>
        <w:t xml:space="preserve">incluidos </w:t>
      </w:r>
      <w:r>
        <w:rPr>
          <w:szCs w:val="24"/>
          <w:lang w:val="es-ES"/>
        </w:rPr>
        <w:t xml:space="preserve">métodos de </w:t>
      </w:r>
      <w:r w:rsidR="00980A65">
        <w:rPr>
          <w:szCs w:val="24"/>
          <w:lang w:val="es-ES"/>
        </w:rPr>
        <w:t xml:space="preserve">instrucción </w:t>
      </w:r>
      <w:r>
        <w:rPr>
          <w:szCs w:val="24"/>
          <w:lang w:val="es-ES"/>
        </w:rPr>
        <w:t>e</w:t>
      </w:r>
      <w:r w:rsidR="00980A65">
        <w:rPr>
          <w:szCs w:val="24"/>
          <w:lang w:val="es-ES"/>
        </w:rPr>
        <w:t>n</w:t>
      </w:r>
      <w:r>
        <w:rPr>
          <w:szCs w:val="24"/>
          <w:lang w:val="es-ES"/>
        </w:rPr>
        <w:t xml:space="preserve"> otros idiomas.</w:t>
      </w:r>
      <w:r w:rsidRPr="005E204C">
        <w:rPr>
          <w:szCs w:val="24"/>
          <w:lang w:val="es-ES"/>
        </w:rPr>
        <w:t xml:space="preserve"> </w:t>
      </w:r>
      <w:r>
        <w:rPr>
          <w:szCs w:val="24"/>
          <w:lang w:val="es-ES"/>
        </w:rPr>
        <w:t>Se han elaborado materiales e</w:t>
      </w:r>
      <w:r w:rsidR="00980A65">
        <w:rPr>
          <w:szCs w:val="24"/>
          <w:lang w:val="es-ES"/>
        </w:rPr>
        <w:t>n</w:t>
      </w:r>
      <w:r>
        <w:rPr>
          <w:szCs w:val="24"/>
          <w:lang w:val="es-ES"/>
        </w:rPr>
        <w:t xml:space="preserve"> idioma estonio y con fines profesionales para los estudiantes, </w:t>
      </w:r>
      <w:r w:rsidR="00980A65">
        <w:rPr>
          <w:szCs w:val="24"/>
          <w:lang w:val="es-ES"/>
        </w:rPr>
        <w:t>así como</w:t>
      </w:r>
      <w:r>
        <w:rPr>
          <w:szCs w:val="24"/>
          <w:lang w:val="es-ES"/>
        </w:rPr>
        <w:t xml:space="preserve"> material metodológico para los profesores.</w:t>
      </w:r>
      <w:r w:rsidRPr="005E204C">
        <w:rPr>
          <w:szCs w:val="24"/>
          <w:lang w:val="es-ES"/>
        </w:rPr>
        <w:t xml:space="preserve"> </w:t>
      </w:r>
    </w:p>
    <w:p w:rsidR="0095061B" w:rsidRPr="005E204C" w:rsidRDefault="0095061B" w:rsidP="00637350">
      <w:pPr>
        <w:pStyle w:val="SingleTxtG"/>
        <w:rPr>
          <w:szCs w:val="24"/>
          <w:lang w:val="es-ES"/>
        </w:rPr>
      </w:pPr>
      <w:r w:rsidRPr="005E204C">
        <w:rPr>
          <w:szCs w:val="24"/>
          <w:lang w:val="es-ES"/>
        </w:rPr>
        <w:t>225.</w:t>
      </w:r>
      <w:r w:rsidRPr="005E204C">
        <w:rPr>
          <w:szCs w:val="24"/>
          <w:lang w:val="es-ES"/>
        </w:rPr>
        <w:tab/>
      </w:r>
      <w:r>
        <w:rPr>
          <w:szCs w:val="24"/>
          <w:lang w:val="es-ES"/>
        </w:rPr>
        <w:t xml:space="preserve">Con el fin de mejorar los conocimientos de estonio y la capacidad de adaptación </w:t>
      </w:r>
      <w:r w:rsidR="00980A65">
        <w:rPr>
          <w:szCs w:val="24"/>
          <w:lang w:val="es-ES"/>
        </w:rPr>
        <w:t>al mercado laboral de</w:t>
      </w:r>
      <w:r>
        <w:rPr>
          <w:szCs w:val="24"/>
          <w:lang w:val="es-ES"/>
        </w:rPr>
        <w:t xml:space="preserve"> los estudiantes de formación pro</w:t>
      </w:r>
      <w:r w:rsidR="000A797D">
        <w:rPr>
          <w:szCs w:val="24"/>
          <w:lang w:val="es-ES"/>
        </w:rPr>
        <w:t>fesional cuyo</w:t>
      </w:r>
      <w:r>
        <w:rPr>
          <w:szCs w:val="24"/>
          <w:lang w:val="es-ES"/>
        </w:rPr>
        <w:t xml:space="preserve"> idioma de </w:t>
      </w:r>
      <w:r w:rsidR="00980A65">
        <w:rPr>
          <w:szCs w:val="24"/>
          <w:lang w:val="es-ES"/>
        </w:rPr>
        <w:t>instrucción</w:t>
      </w:r>
      <w:r w:rsidR="000A797D">
        <w:rPr>
          <w:szCs w:val="24"/>
          <w:lang w:val="es-ES"/>
        </w:rPr>
        <w:t xml:space="preserve"> es el ruso</w:t>
      </w:r>
      <w:r>
        <w:rPr>
          <w:szCs w:val="24"/>
          <w:lang w:val="es-ES"/>
        </w:rPr>
        <w:t xml:space="preserve">, el Ministerio de Educación e Investigación ha elaborado un plan de acción para </w:t>
      </w:r>
      <w:r w:rsidR="00980A65">
        <w:rPr>
          <w:szCs w:val="24"/>
          <w:lang w:val="es-ES"/>
        </w:rPr>
        <w:t xml:space="preserve">la transición gradual de </w:t>
      </w:r>
      <w:r>
        <w:rPr>
          <w:szCs w:val="24"/>
          <w:lang w:val="es-ES"/>
        </w:rPr>
        <w:t xml:space="preserve">los centros de formación profesional a la </w:t>
      </w:r>
      <w:r w:rsidR="00980A65">
        <w:rPr>
          <w:szCs w:val="24"/>
          <w:lang w:val="es-ES"/>
        </w:rPr>
        <w:t xml:space="preserve">instrucción </w:t>
      </w:r>
      <w:r>
        <w:rPr>
          <w:szCs w:val="24"/>
          <w:lang w:val="es-ES"/>
        </w:rPr>
        <w:t>en estonio.</w:t>
      </w:r>
      <w:r w:rsidR="005466A4">
        <w:rPr>
          <w:szCs w:val="24"/>
          <w:lang w:val="es-ES"/>
        </w:rPr>
        <w:t xml:space="preserve"> </w:t>
      </w:r>
      <w:r>
        <w:rPr>
          <w:szCs w:val="24"/>
          <w:lang w:val="es-ES"/>
        </w:rPr>
        <w:t>El Fondo Social Europeo también ha apoyado el estudio del estonio por parte de los estudiantes de formación profesional, por ejemplo, la prep</w:t>
      </w:r>
      <w:r w:rsidR="000A797D">
        <w:rPr>
          <w:szCs w:val="24"/>
          <w:lang w:val="es-ES"/>
        </w:rPr>
        <w:t xml:space="preserve">aración del examen profesional </w:t>
      </w:r>
      <w:r>
        <w:rPr>
          <w:szCs w:val="24"/>
          <w:lang w:val="es-ES"/>
        </w:rPr>
        <w:t>e</w:t>
      </w:r>
      <w:r w:rsidR="000A797D">
        <w:rPr>
          <w:szCs w:val="24"/>
          <w:lang w:val="es-ES"/>
        </w:rPr>
        <w:t>n</w:t>
      </w:r>
      <w:r>
        <w:rPr>
          <w:szCs w:val="24"/>
          <w:lang w:val="es-ES"/>
        </w:rPr>
        <w:t xml:space="preserve"> estonio, las prácticas profesionales en entornos d</w:t>
      </w:r>
      <w:r w:rsidR="00980A65">
        <w:rPr>
          <w:szCs w:val="24"/>
          <w:lang w:val="es-ES"/>
        </w:rPr>
        <w:t xml:space="preserve">onde se utiliza el </w:t>
      </w:r>
      <w:r>
        <w:rPr>
          <w:szCs w:val="24"/>
          <w:lang w:val="es-ES"/>
        </w:rPr>
        <w:t>estoni</w:t>
      </w:r>
      <w:r w:rsidR="00980A65">
        <w:rPr>
          <w:szCs w:val="24"/>
          <w:lang w:val="es-ES"/>
        </w:rPr>
        <w:t>o,</w:t>
      </w:r>
      <w:r>
        <w:rPr>
          <w:szCs w:val="24"/>
          <w:lang w:val="es-ES"/>
        </w:rPr>
        <w:t xml:space="preserve"> y los programas de intercambio que permiten desarrollar los conocimientos del estonio e</w:t>
      </w:r>
      <w:r w:rsidR="00980A65">
        <w:rPr>
          <w:szCs w:val="24"/>
          <w:lang w:val="es-ES"/>
        </w:rPr>
        <w:t>ntre</w:t>
      </w:r>
      <w:r>
        <w:rPr>
          <w:szCs w:val="24"/>
          <w:lang w:val="es-ES"/>
        </w:rPr>
        <w:t xml:space="preserve"> profesores y estudiantes.</w:t>
      </w:r>
    </w:p>
    <w:p w:rsidR="0095061B" w:rsidRPr="005E204C" w:rsidRDefault="0095061B" w:rsidP="00637350">
      <w:pPr>
        <w:pStyle w:val="H23G"/>
        <w:rPr>
          <w:lang w:val="es-ES"/>
        </w:rPr>
      </w:pPr>
      <w:r w:rsidRPr="005E204C">
        <w:rPr>
          <w:lang w:val="es-ES"/>
        </w:rPr>
        <w:tab/>
      </w:r>
      <w:r w:rsidRPr="005E204C">
        <w:rPr>
          <w:lang w:val="es-ES"/>
        </w:rPr>
        <w:tab/>
      </w:r>
      <w:r>
        <w:rPr>
          <w:lang w:val="es-ES"/>
        </w:rPr>
        <w:t>Educación superior</w:t>
      </w:r>
    </w:p>
    <w:p w:rsidR="0095061B" w:rsidRPr="005E204C" w:rsidRDefault="0095061B" w:rsidP="00637350">
      <w:pPr>
        <w:pStyle w:val="SingleTxtG"/>
        <w:rPr>
          <w:szCs w:val="24"/>
          <w:lang w:val="es-ES"/>
        </w:rPr>
      </w:pPr>
      <w:r w:rsidRPr="005E204C">
        <w:rPr>
          <w:szCs w:val="24"/>
          <w:lang w:val="es-ES"/>
        </w:rPr>
        <w:t>226.</w:t>
      </w:r>
      <w:r w:rsidRPr="005E204C">
        <w:rPr>
          <w:szCs w:val="24"/>
          <w:lang w:val="es-ES"/>
        </w:rPr>
        <w:tab/>
      </w:r>
      <w:r>
        <w:rPr>
          <w:szCs w:val="24"/>
          <w:lang w:val="es-ES"/>
        </w:rPr>
        <w:t xml:space="preserve">De conformidad con </w:t>
      </w:r>
      <w:smartTag w:uri="urn:schemas-microsoft-com:office:smarttags" w:element="PersonName">
        <w:smartTagPr>
          <w:attr w:name="ProductID" w:val="La Ley"/>
        </w:smartTagPr>
        <w:r>
          <w:rPr>
            <w:szCs w:val="24"/>
            <w:lang w:val="es-ES"/>
          </w:rPr>
          <w:t>la Ley</w:t>
        </w:r>
      </w:smartTag>
      <w:r>
        <w:rPr>
          <w:szCs w:val="24"/>
          <w:lang w:val="es-ES"/>
        </w:rPr>
        <w:t xml:space="preserve"> de universidades</w:t>
      </w:r>
      <w:r w:rsidR="00980A65">
        <w:rPr>
          <w:szCs w:val="24"/>
          <w:lang w:val="es-ES"/>
        </w:rPr>
        <w:t xml:space="preserve"> (art. 22 8))</w:t>
      </w:r>
      <w:r>
        <w:rPr>
          <w:szCs w:val="24"/>
          <w:lang w:val="es-ES"/>
        </w:rPr>
        <w:t xml:space="preserve"> </w:t>
      </w:r>
      <w:r w:rsidR="00980A65">
        <w:rPr>
          <w:szCs w:val="24"/>
          <w:lang w:val="es-ES"/>
        </w:rPr>
        <w:t xml:space="preserve">y con </w:t>
      </w:r>
      <w:smartTag w:uri="urn:schemas-microsoft-com:office:smarttags" w:element="PersonName">
        <w:smartTagPr>
          <w:attr w:name="ProductID" w:val="La Ley"/>
        </w:smartTagPr>
        <w:r>
          <w:rPr>
            <w:szCs w:val="24"/>
            <w:lang w:val="es-ES"/>
          </w:rPr>
          <w:t>la Ley</w:t>
        </w:r>
      </w:smartTag>
      <w:r>
        <w:rPr>
          <w:szCs w:val="24"/>
          <w:lang w:val="es-ES"/>
        </w:rPr>
        <w:t xml:space="preserve"> de centros de educación superior profesional</w:t>
      </w:r>
      <w:r w:rsidR="00980A65">
        <w:rPr>
          <w:szCs w:val="24"/>
          <w:lang w:val="es-ES"/>
        </w:rPr>
        <w:t xml:space="preserve"> (art. 17)</w:t>
      </w:r>
      <w:r>
        <w:rPr>
          <w:szCs w:val="24"/>
          <w:lang w:val="es-ES"/>
        </w:rPr>
        <w:t xml:space="preserve">, el idioma de </w:t>
      </w:r>
      <w:r w:rsidR="00980A65">
        <w:rPr>
          <w:szCs w:val="24"/>
          <w:lang w:val="es-ES"/>
        </w:rPr>
        <w:t xml:space="preserve">instrucción </w:t>
      </w:r>
      <w:r>
        <w:rPr>
          <w:szCs w:val="24"/>
          <w:lang w:val="es-ES"/>
        </w:rPr>
        <w:t xml:space="preserve">en la educación superior es el estonio, y el consejo de una institución de enseñanza superior o el Ministerio de Educación e Investigación </w:t>
      </w:r>
      <w:r w:rsidR="00980A65">
        <w:rPr>
          <w:szCs w:val="24"/>
          <w:lang w:val="es-ES"/>
        </w:rPr>
        <w:t xml:space="preserve">deben </w:t>
      </w:r>
      <w:r>
        <w:rPr>
          <w:szCs w:val="24"/>
          <w:lang w:val="es-ES"/>
        </w:rPr>
        <w:t>decid</w:t>
      </w:r>
      <w:r w:rsidR="00980A65">
        <w:rPr>
          <w:szCs w:val="24"/>
          <w:lang w:val="es-ES"/>
        </w:rPr>
        <w:t>ir</w:t>
      </w:r>
      <w:r>
        <w:rPr>
          <w:szCs w:val="24"/>
          <w:lang w:val="es-ES"/>
        </w:rPr>
        <w:t xml:space="preserve"> </w:t>
      </w:r>
      <w:r w:rsidR="00980A65">
        <w:rPr>
          <w:szCs w:val="24"/>
          <w:lang w:val="es-ES"/>
        </w:rPr>
        <w:t>sobre el emple</w:t>
      </w:r>
      <w:r>
        <w:rPr>
          <w:szCs w:val="24"/>
          <w:lang w:val="es-ES"/>
        </w:rPr>
        <w:t>o de otros idiomas.</w:t>
      </w:r>
      <w:r w:rsidRPr="005E204C">
        <w:rPr>
          <w:szCs w:val="24"/>
          <w:lang w:val="es-ES"/>
        </w:rPr>
        <w:t xml:space="preserve"> </w:t>
      </w:r>
      <w:r>
        <w:rPr>
          <w:szCs w:val="24"/>
          <w:lang w:val="es-ES"/>
        </w:rPr>
        <w:t xml:space="preserve">Al mismo tiempo, esas leyes no definen el concepto de </w:t>
      </w:r>
      <w:r w:rsidR="002B491B">
        <w:rPr>
          <w:szCs w:val="24"/>
          <w:lang w:val="es-ES"/>
        </w:rPr>
        <w:t>"</w:t>
      </w:r>
      <w:r>
        <w:rPr>
          <w:szCs w:val="24"/>
          <w:lang w:val="es-ES"/>
        </w:rPr>
        <w:t xml:space="preserve">idioma de </w:t>
      </w:r>
      <w:r w:rsidR="003B54EE">
        <w:rPr>
          <w:szCs w:val="24"/>
          <w:lang w:val="es-ES"/>
        </w:rPr>
        <w:t>instrucción</w:t>
      </w:r>
      <w:r w:rsidR="002B491B">
        <w:rPr>
          <w:szCs w:val="24"/>
          <w:lang w:val="es-ES"/>
        </w:rPr>
        <w:t>"</w:t>
      </w:r>
      <w:r w:rsidR="00EE581A">
        <w:rPr>
          <w:szCs w:val="24"/>
          <w:lang w:val="es-ES"/>
        </w:rPr>
        <w:t>. Dicho concepto</w:t>
      </w:r>
      <w:r w:rsidRPr="005E204C">
        <w:rPr>
          <w:szCs w:val="24"/>
          <w:lang w:val="es-ES"/>
        </w:rPr>
        <w:t xml:space="preserve"> </w:t>
      </w:r>
      <w:r>
        <w:rPr>
          <w:szCs w:val="24"/>
          <w:lang w:val="es-ES"/>
        </w:rPr>
        <w:t>se especifica en el reglamento del</w:t>
      </w:r>
      <w:r w:rsidR="00EE581A">
        <w:rPr>
          <w:szCs w:val="24"/>
          <w:lang w:val="es-ES"/>
        </w:rPr>
        <w:t xml:space="preserve"> Gobierno de </w:t>
      </w:r>
      <w:smartTag w:uri="urn:schemas-microsoft-com:office:smarttags" w:element="PersonName">
        <w:smartTagPr>
          <w:attr w:name="ProductID" w:val="la Rep￺blica"/>
        </w:smartTagPr>
        <w:r w:rsidR="00EE581A">
          <w:rPr>
            <w:szCs w:val="24"/>
            <w:lang w:val="es-ES"/>
          </w:rPr>
          <w:t>l</w:t>
        </w:r>
        <w:r>
          <w:rPr>
            <w:szCs w:val="24"/>
            <w:lang w:val="es-ES"/>
          </w:rPr>
          <w:t>a República</w:t>
        </w:r>
      </w:smartTag>
      <w:r>
        <w:rPr>
          <w:szCs w:val="24"/>
          <w:lang w:val="es-ES"/>
        </w:rPr>
        <w:t xml:space="preserve"> que lleva por título </w:t>
      </w:r>
      <w:r w:rsidR="002B491B">
        <w:rPr>
          <w:szCs w:val="24"/>
          <w:lang w:val="es-ES"/>
        </w:rPr>
        <w:t>"</w:t>
      </w:r>
      <w:r>
        <w:rPr>
          <w:szCs w:val="24"/>
          <w:lang w:val="es-ES"/>
        </w:rPr>
        <w:t>Normas de la educación superior</w:t>
      </w:r>
      <w:r w:rsidR="002B491B">
        <w:rPr>
          <w:szCs w:val="24"/>
          <w:lang w:val="es-ES"/>
        </w:rPr>
        <w:t>"</w:t>
      </w:r>
      <w:r>
        <w:rPr>
          <w:szCs w:val="24"/>
          <w:lang w:val="es-ES"/>
        </w:rPr>
        <w:t xml:space="preserve">, donde se establece que todos los planes de estudios tendrán un idioma de </w:t>
      </w:r>
      <w:r w:rsidR="006E599F">
        <w:rPr>
          <w:szCs w:val="24"/>
          <w:lang w:val="es-ES"/>
        </w:rPr>
        <w:t xml:space="preserve">instrucción </w:t>
      </w:r>
      <w:r>
        <w:rPr>
          <w:szCs w:val="24"/>
          <w:lang w:val="es-ES"/>
        </w:rPr>
        <w:t xml:space="preserve">principal, y que podrán utilizarse </w:t>
      </w:r>
      <w:r w:rsidR="00EE581A">
        <w:rPr>
          <w:szCs w:val="24"/>
          <w:lang w:val="es-ES"/>
        </w:rPr>
        <w:t xml:space="preserve">también </w:t>
      </w:r>
      <w:r>
        <w:rPr>
          <w:szCs w:val="24"/>
          <w:lang w:val="es-ES"/>
        </w:rPr>
        <w:t>otros idiomas para alcanzar los objetivos de estudio.</w:t>
      </w:r>
      <w:r w:rsidRPr="005E204C">
        <w:rPr>
          <w:szCs w:val="24"/>
          <w:lang w:val="es-ES"/>
        </w:rPr>
        <w:t xml:space="preserve"> </w:t>
      </w:r>
      <w:r w:rsidR="00EE581A">
        <w:rPr>
          <w:szCs w:val="24"/>
          <w:lang w:val="es-ES"/>
        </w:rPr>
        <w:t>U</w:t>
      </w:r>
      <w:r>
        <w:rPr>
          <w:szCs w:val="24"/>
          <w:lang w:val="es-ES"/>
        </w:rPr>
        <w:t xml:space="preserve">na excepción a esa norma </w:t>
      </w:r>
      <w:r w:rsidR="00EE581A">
        <w:rPr>
          <w:szCs w:val="24"/>
          <w:lang w:val="es-ES"/>
        </w:rPr>
        <w:t xml:space="preserve">son </w:t>
      </w:r>
      <w:r>
        <w:rPr>
          <w:szCs w:val="24"/>
          <w:lang w:val="es-ES"/>
        </w:rPr>
        <w:t>las especiali</w:t>
      </w:r>
      <w:r w:rsidR="007A35AD">
        <w:rPr>
          <w:szCs w:val="24"/>
          <w:lang w:val="es-ES"/>
        </w:rPr>
        <w:t xml:space="preserve">dades de filologías extranjeras, </w:t>
      </w:r>
      <w:r>
        <w:rPr>
          <w:szCs w:val="24"/>
          <w:lang w:val="es-ES"/>
        </w:rPr>
        <w:t xml:space="preserve">donde el idioma de </w:t>
      </w:r>
      <w:r w:rsidR="00EE581A">
        <w:rPr>
          <w:szCs w:val="24"/>
          <w:lang w:val="es-ES"/>
        </w:rPr>
        <w:t xml:space="preserve">instrucción </w:t>
      </w:r>
      <w:r>
        <w:rPr>
          <w:szCs w:val="24"/>
          <w:lang w:val="es-ES"/>
        </w:rPr>
        <w:t xml:space="preserve">es el idioma objeto de estudio (por ejemplo, en filología inglesa, las materias </w:t>
      </w:r>
      <w:r w:rsidR="00EE581A">
        <w:rPr>
          <w:szCs w:val="24"/>
          <w:lang w:val="es-ES"/>
        </w:rPr>
        <w:t xml:space="preserve">distintas </w:t>
      </w:r>
      <w:r>
        <w:rPr>
          <w:szCs w:val="24"/>
          <w:lang w:val="es-ES"/>
        </w:rPr>
        <w:t xml:space="preserve">del inglés también se </w:t>
      </w:r>
      <w:r w:rsidR="006E599F">
        <w:rPr>
          <w:szCs w:val="24"/>
          <w:lang w:val="es-ES"/>
        </w:rPr>
        <w:t xml:space="preserve">imparten en </w:t>
      </w:r>
      <w:r>
        <w:rPr>
          <w:szCs w:val="24"/>
          <w:lang w:val="es-ES"/>
        </w:rPr>
        <w:t>inglés).</w:t>
      </w:r>
    </w:p>
    <w:p w:rsidR="0095061B" w:rsidRPr="005E204C" w:rsidRDefault="0095061B" w:rsidP="00637350">
      <w:pPr>
        <w:pStyle w:val="SingleTxtG"/>
        <w:rPr>
          <w:szCs w:val="24"/>
          <w:lang w:val="es-ES"/>
        </w:rPr>
      </w:pPr>
      <w:r w:rsidRPr="005E204C">
        <w:rPr>
          <w:szCs w:val="24"/>
          <w:lang w:val="es-ES"/>
        </w:rPr>
        <w:t>227.</w:t>
      </w:r>
      <w:r w:rsidRPr="005E204C">
        <w:rPr>
          <w:szCs w:val="24"/>
          <w:lang w:val="es-ES"/>
        </w:rPr>
        <w:tab/>
      </w:r>
      <w:r>
        <w:rPr>
          <w:szCs w:val="24"/>
          <w:lang w:val="es-ES"/>
        </w:rPr>
        <w:t>En Es</w:t>
      </w:r>
      <w:r w:rsidR="007A35AD">
        <w:rPr>
          <w:szCs w:val="24"/>
          <w:lang w:val="es-ES"/>
        </w:rPr>
        <w:t>tonia, los estudios</w:t>
      </w:r>
      <w:r>
        <w:rPr>
          <w:szCs w:val="24"/>
          <w:lang w:val="es-ES"/>
        </w:rPr>
        <w:t xml:space="preserve"> superior</w:t>
      </w:r>
      <w:r w:rsidR="007A35AD">
        <w:rPr>
          <w:szCs w:val="24"/>
          <w:lang w:val="es-ES"/>
        </w:rPr>
        <w:t>es</w:t>
      </w:r>
      <w:r>
        <w:rPr>
          <w:szCs w:val="24"/>
          <w:lang w:val="es-ES"/>
        </w:rPr>
        <w:t xml:space="preserve"> se imparten en estonio, ruso o inglés.</w:t>
      </w:r>
      <w:r w:rsidRPr="005E204C">
        <w:rPr>
          <w:szCs w:val="24"/>
          <w:lang w:val="es-ES"/>
        </w:rPr>
        <w:t xml:space="preserve"> </w:t>
      </w:r>
      <w:r>
        <w:rPr>
          <w:szCs w:val="24"/>
          <w:lang w:val="es-ES"/>
        </w:rPr>
        <w:t xml:space="preserve">El idioma principal </w:t>
      </w:r>
      <w:r w:rsidR="00EE581A">
        <w:rPr>
          <w:szCs w:val="24"/>
          <w:lang w:val="es-ES"/>
        </w:rPr>
        <w:t xml:space="preserve">de instrucción </w:t>
      </w:r>
      <w:r>
        <w:rPr>
          <w:szCs w:val="24"/>
          <w:lang w:val="es-ES"/>
        </w:rPr>
        <w:t>es el estonio:</w:t>
      </w:r>
      <w:r w:rsidRPr="005E204C">
        <w:rPr>
          <w:szCs w:val="24"/>
          <w:lang w:val="es-ES"/>
        </w:rPr>
        <w:t xml:space="preserve"> </w:t>
      </w:r>
      <w:r>
        <w:rPr>
          <w:szCs w:val="24"/>
          <w:lang w:val="es-ES"/>
        </w:rPr>
        <w:t xml:space="preserve">en el </w:t>
      </w:r>
      <w:r w:rsidR="00EE581A">
        <w:rPr>
          <w:szCs w:val="24"/>
          <w:lang w:val="es-ES"/>
        </w:rPr>
        <w:t xml:space="preserve">año escolar </w:t>
      </w:r>
      <w:r>
        <w:rPr>
          <w:szCs w:val="24"/>
          <w:lang w:val="es-ES"/>
        </w:rPr>
        <w:t>2011/12, el 91% de los estudiantes cursaba sus estudios en estonio, el 7% lo hacía en ruso y el 2% en inglés.</w:t>
      </w:r>
    </w:p>
    <w:p w:rsidR="0095061B" w:rsidRPr="005E204C" w:rsidRDefault="0095061B" w:rsidP="00637350">
      <w:pPr>
        <w:pStyle w:val="Heading1"/>
        <w:spacing w:before="240"/>
        <w:rPr>
          <w:lang w:val="es-ES"/>
        </w:rPr>
      </w:pPr>
      <w:r>
        <w:rPr>
          <w:lang w:val="es-ES"/>
        </w:rPr>
        <w:t>Cuadro 14</w:t>
      </w:r>
    </w:p>
    <w:p w:rsidR="0095061B" w:rsidRPr="00336726" w:rsidRDefault="0095061B" w:rsidP="00637350">
      <w:pPr>
        <w:pStyle w:val="SingleTxtG"/>
        <w:jc w:val="left"/>
        <w:rPr>
          <w:b/>
          <w:lang w:val="es-ES"/>
        </w:rPr>
      </w:pPr>
      <w:r w:rsidRPr="00336726">
        <w:rPr>
          <w:b/>
          <w:lang w:val="es-ES"/>
        </w:rPr>
        <w:t xml:space="preserve">Proporción de alumnos por idioma de </w:t>
      </w:r>
      <w:r w:rsidR="001652B1" w:rsidRPr="00336726">
        <w:rPr>
          <w:b/>
          <w:lang w:val="es-ES"/>
        </w:rPr>
        <w:t xml:space="preserve">instrucción </w:t>
      </w:r>
      <w:r w:rsidRPr="00336726">
        <w:rPr>
          <w:b/>
          <w:lang w:val="es-ES"/>
        </w:rPr>
        <w:t xml:space="preserve">en los </w:t>
      </w:r>
      <w:r w:rsidR="001652B1" w:rsidRPr="00336726">
        <w:rPr>
          <w:b/>
          <w:lang w:val="es-ES"/>
        </w:rPr>
        <w:t xml:space="preserve">años escolares </w:t>
      </w:r>
      <w:r w:rsidRPr="00336726">
        <w:rPr>
          <w:b/>
          <w:lang w:val="es-ES"/>
        </w:rPr>
        <w:t xml:space="preserve">2008/09 </w:t>
      </w:r>
      <w:r w:rsidR="00336726">
        <w:rPr>
          <w:b/>
          <w:lang w:val="es-ES"/>
        </w:rPr>
        <w:br/>
      </w:r>
      <w:r w:rsidRPr="00336726">
        <w:rPr>
          <w:b/>
          <w:lang w:val="es-ES"/>
        </w:rPr>
        <w:t>a 2011/12</w:t>
      </w:r>
    </w:p>
    <w:tbl>
      <w:tblPr>
        <w:tblW w:w="7370" w:type="dxa"/>
        <w:tblInd w:w="1134" w:type="dxa"/>
        <w:tblBorders>
          <w:top w:val="single" w:sz="4" w:space="0" w:color="auto"/>
        </w:tblBorders>
        <w:tblLayout w:type="fixed"/>
        <w:tblCellMar>
          <w:left w:w="0" w:type="dxa"/>
          <w:right w:w="0" w:type="dxa"/>
        </w:tblCellMar>
        <w:tblLook w:val="00A0"/>
      </w:tblPr>
      <w:tblGrid>
        <w:gridCol w:w="1854"/>
        <w:gridCol w:w="1379"/>
        <w:gridCol w:w="1379"/>
        <w:gridCol w:w="1379"/>
        <w:gridCol w:w="1379"/>
      </w:tblGrid>
      <w:tr w:rsidR="0095061B" w:rsidRPr="002B77D0">
        <w:trPr>
          <w:cantSplit/>
          <w:trHeight w:val="20"/>
          <w:tblHeader/>
        </w:trPr>
        <w:tc>
          <w:tcPr>
            <w:tcW w:w="1854" w:type="dxa"/>
            <w:tcBorders>
              <w:top w:val="single" w:sz="4" w:space="0" w:color="auto"/>
              <w:bottom w:val="single" w:sz="12" w:space="0" w:color="auto"/>
            </w:tcBorders>
            <w:shd w:val="clear" w:color="auto" w:fill="auto"/>
            <w:vAlign w:val="bottom"/>
          </w:tcPr>
          <w:p w:rsidR="0095061B" w:rsidRPr="005E204C" w:rsidRDefault="0095061B" w:rsidP="005D122D">
            <w:pPr>
              <w:spacing w:before="80" w:after="80" w:line="200" w:lineRule="exact"/>
              <w:rPr>
                <w:i/>
                <w:sz w:val="16"/>
                <w:lang w:val="es-ES"/>
              </w:rPr>
            </w:pPr>
          </w:p>
        </w:tc>
        <w:tc>
          <w:tcPr>
            <w:tcW w:w="1379" w:type="dxa"/>
            <w:tcBorders>
              <w:top w:val="single" w:sz="4" w:space="0" w:color="auto"/>
              <w:bottom w:val="single" w:sz="12" w:space="0" w:color="auto"/>
            </w:tcBorders>
            <w:shd w:val="clear" w:color="auto" w:fill="auto"/>
            <w:vAlign w:val="bottom"/>
          </w:tcPr>
          <w:p w:rsidR="0095061B" w:rsidRPr="002B77D0" w:rsidRDefault="0095061B" w:rsidP="005D122D">
            <w:pPr>
              <w:spacing w:before="80" w:after="80" w:line="200" w:lineRule="exact"/>
              <w:jc w:val="right"/>
              <w:rPr>
                <w:i/>
                <w:sz w:val="16"/>
              </w:rPr>
            </w:pPr>
            <w:r w:rsidRPr="002B77D0">
              <w:rPr>
                <w:i/>
                <w:sz w:val="16"/>
              </w:rPr>
              <w:t>2008/09</w:t>
            </w:r>
          </w:p>
        </w:tc>
        <w:tc>
          <w:tcPr>
            <w:tcW w:w="1379" w:type="dxa"/>
            <w:tcBorders>
              <w:top w:val="single" w:sz="4" w:space="0" w:color="auto"/>
              <w:bottom w:val="single" w:sz="12" w:space="0" w:color="auto"/>
            </w:tcBorders>
            <w:shd w:val="clear" w:color="auto" w:fill="auto"/>
            <w:vAlign w:val="bottom"/>
          </w:tcPr>
          <w:p w:rsidR="0095061B" w:rsidRPr="002B77D0" w:rsidRDefault="0095061B" w:rsidP="005D122D">
            <w:pPr>
              <w:spacing w:before="80" w:after="80" w:line="200" w:lineRule="exact"/>
              <w:jc w:val="right"/>
              <w:rPr>
                <w:i/>
                <w:sz w:val="16"/>
              </w:rPr>
            </w:pPr>
            <w:r w:rsidRPr="002B77D0">
              <w:rPr>
                <w:i/>
                <w:sz w:val="16"/>
              </w:rPr>
              <w:t>2009/10</w:t>
            </w:r>
          </w:p>
        </w:tc>
        <w:tc>
          <w:tcPr>
            <w:tcW w:w="1379" w:type="dxa"/>
            <w:tcBorders>
              <w:top w:val="single" w:sz="4" w:space="0" w:color="auto"/>
              <w:bottom w:val="single" w:sz="12" w:space="0" w:color="auto"/>
            </w:tcBorders>
            <w:shd w:val="clear" w:color="auto" w:fill="auto"/>
            <w:vAlign w:val="bottom"/>
          </w:tcPr>
          <w:p w:rsidR="0095061B" w:rsidRPr="002B77D0" w:rsidRDefault="0095061B" w:rsidP="005D122D">
            <w:pPr>
              <w:spacing w:before="80" w:after="80" w:line="200" w:lineRule="exact"/>
              <w:jc w:val="right"/>
              <w:rPr>
                <w:i/>
                <w:sz w:val="16"/>
              </w:rPr>
            </w:pPr>
            <w:r w:rsidRPr="002B77D0">
              <w:rPr>
                <w:i/>
                <w:sz w:val="16"/>
              </w:rPr>
              <w:t>2010/11</w:t>
            </w:r>
          </w:p>
        </w:tc>
        <w:tc>
          <w:tcPr>
            <w:tcW w:w="1379" w:type="dxa"/>
            <w:tcBorders>
              <w:top w:val="single" w:sz="4" w:space="0" w:color="auto"/>
              <w:bottom w:val="single" w:sz="12" w:space="0" w:color="auto"/>
            </w:tcBorders>
            <w:shd w:val="clear" w:color="auto" w:fill="auto"/>
            <w:vAlign w:val="bottom"/>
          </w:tcPr>
          <w:p w:rsidR="0095061B" w:rsidRPr="002B77D0" w:rsidRDefault="0095061B" w:rsidP="005D122D">
            <w:pPr>
              <w:spacing w:before="80" w:after="80" w:line="200" w:lineRule="exact"/>
              <w:jc w:val="right"/>
              <w:rPr>
                <w:i/>
                <w:sz w:val="16"/>
              </w:rPr>
            </w:pPr>
            <w:r w:rsidRPr="002B77D0">
              <w:rPr>
                <w:i/>
                <w:sz w:val="16"/>
              </w:rPr>
              <w:t>2011/12</w:t>
            </w:r>
          </w:p>
        </w:tc>
      </w:tr>
      <w:tr w:rsidR="0095061B" w:rsidRPr="002B77D0">
        <w:trPr>
          <w:cantSplit/>
          <w:trHeight w:val="20"/>
        </w:trPr>
        <w:tc>
          <w:tcPr>
            <w:tcW w:w="1854" w:type="dxa"/>
            <w:tcBorders>
              <w:top w:val="single" w:sz="12" w:space="0" w:color="auto"/>
            </w:tcBorders>
            <w:shd w:val="clear" w:color="auto" w:fill="auto"/>
            <w:vAlign w:val="bottom"/>
          </w:tcPr>
          <w:p w:rsidR="0095061B" w:rsidRPr="001A0FB8" w:rsidRDefault="0095061B" w:rsidP="005D122D">
            <w:pPr>
              <w:spacing w:before="40" w:after="40" w:line="220" w:lineRule="exact"/>
              <w:rPr>
                <w:szCs w:val="24"/>
              </w:rPr>
            </w:pPr>
            <w:r>
              <w:rPr>
                <w:sz w:val="18"/>
                <w:szCs w:val="24"/>
                <w:lang w:val="en-US"/>
              </w:rPr>
              <w:t>Estonio</w:t>
            </w:r>
            <w:r w:rsidR="00555908">
              <w:rPr>
                <w:sz w:val="18"/>
                <w:szCs w:val="24"/>
                <w:lang w:val="en-US"/>
              </w:rPr>
              <w:t xml:space="preserve"> (%)</w:t>
            </w:r>
          </w:p>
        </w:tc>
        <w:tc>
          <w:tcPr>
            <w:tcW w:w="1379" w:type="dxa"/>
            <w:tcBorders>
              <w:top w:val="single" w:sz="12" w:space="0" w:color="auto"/>
            </w:tcBorders>
            <w:shd w:val="clear" w:color="auto" w:fill="auto"/>
            <w:vAlign w:val="bottom"/>
          </w:tcPr>
          <w:p w:rsidR="0095061B" w:rsidRPr="002B77D0" w:rsidRDefault="00555908" w:rsidP="005D122D">
            <w:pPr>
              <w:spacing w:before="40" w:after="40" w:line="220" w:lineRule="exact"/>
              <w:jc w:val="right"/>
              <w:rPr>
                <w:sz w:val="18"/>
              </w:rPr>
            </w:pPr>
            <w:r>
              <w:rPr>
                <w:sz w:val="18"/>
              </w:rPr>
              <w:t>88</w:t>
            </w:r>
          </w:p>
        </w:tc>
        <w:tc>
          <w:tcPr>
            <w:tcW w:w="1379" w:type="dxa"/>
            <w:tcBorders>
              <w:top w:val="single" w:sz="12" w:space="0" w:color="auto"/>
            </w:tcBorders>
            <w:shd w:val="clear" w:color="auto" w:fill="auto"/>
            <w:vAlign w:val="bottom"/>
          </w:tcPr>
          <w:p w:rsidR="0095061B" w:rsidRPr="002B77D0" w:rsidRDefault="0095061B" w:rsidP="005D122D">
            <w:pPr>
              <w:spacing w:before="40" w:after="40" w:line="220" w:lineRule="exact"/>
              <w:jc w:val="right"/>
              <w:rPr>
                <w:sz w:val="18"/>
              </w:rPr>
            </w:pPr>
            <w:r w:rsidRPr="002B77D0">
              <w:rPr>
                <w:sz w:val="18"/>
              </w:rPr>
              <w:t>89</w:t>
            </w:r>
          </w:p>
        </w:tc>
        <w:tc>
          <w:tcPr>
            <w:tcW w:w="1379" w:type="dxa"/>
            <w:tcBorders>
              <w:top w:val="single" w:sz="12" w:space="0" w:color="auto"/>
            </w:tcBorders>
            <w:shd w:val="clear" w:color="auto" w:fill="auto"/>
            <w:vAlign w:val="bottom"/>
          </w:tcPr>
          <w:p w:rsidR="0095061B" w:rsidRPr="002B77D0" w:rsidRDefault="00555908" w:rsidP="005D122D">
            <w:pPr>
              <w:spacing w:before="40" w:after="40" w:line="220" w:lineRule="exact"/>
              <w:jc w:val="right"/>
              <w:rPr>
                <w:sz w:val="18"/>
              </w:rPr>
            </w:pPr>
            <w:r>
              <w:rPr>
                <w:sz w:val="18"/>
              </w:rPr>
              <w:t>90</w:t>
            </w:r>
          </w:p>
        </w:tc>
        <w:tc>
          <w:tcPr>
            <w:tcW w:w="1379" w:type="dxa"/>
            <w:tcBorders>
              <w:top w:val="single" w:sz="12" w:space="0" w:color="auto"/>
            </w:tcBorders>
            <w:shd w:val="clear" w:color="auto" w:fill="auto"/>
            <w:vAlign w:val="bottom"/>
          </w:tcPr>
          <w:p w:rsidR="0095061B" w:rsidRPr="002B77D0" w:rsidRDefault="00555908" w:rsidP="005D122D">
            <w:pPr>
              <w:spacing w:before="40" w:after="40" w:line="220" w:lineRule="exact"/>
              <w:jc w:val="right"/>
              <w:rPr>
                <w:sz w:val="18"/>
              </w:rPr>
            </w:pPr>
            <w:r>
              <w:rPr>
                <w:sz w:val="18"/>
              </w:rPr>
              <w:t>91</w:t>
            </w:r>
          </w:p>
        </w:tc>
      </w:tr>
      <w:tr w:rsidR="0095061B" w:rsidRPr="002B77D0">
        <w:trPr>
          <w:cantSplit/>
          <w:trHeight w:val="20"/>
        </w:trPr>
        <w:tc>
          <w:tcPr>
            <w:tcW w:w="1854" w:type="dxa"/>
            <w:shd w:val="clear" w:color="auto" w:fill="auto"/>
            <w:vAlign w:val="bottom"/>
          </w:tcPr>
          <w:p w:rsidR="0095061B" w:rsidRPr="002B77D0" w:rsidRDefault="0095061B" w:rsidP="005D122D">
            <w:pPr>
              <w:spacing w:before="40" w:after="40" w:line="220" w:lineRule="exact"/>
              <w:rPr>
                <w:sz w:val="18"/>
              </w:rPr>
            </w:pPr>
            <w:r>
              <w:rPr>
                <w:noProof/>
                <w:sz w:val="18"/>
              </w:rPr>
              <w:t>Ruso</w:t>
            </w:r>
            <w:r w:rsidR="00555908">
              <w:rPr>
                <w:noProof/>
                <w:sz w:val="18"/>
              </w:rPr>
              <w:t xml:space="preserve"> </w:t>
            </w:r>
            <w:r w:rsidR="00555908">
              <w:rPr>
                <w:sz w:val="18"/>
                <w:szCs w:val="24"/>
                <w:lang w:val="en-US"/>
              </w:rPr>
              <w:t>(%)</w:t>
            </w:r>
          </w:p>
        </w:tc>
        <w:tc>
          <w:tcPr>
            <w:tcW w:w="1379" w:type="dxa"/>
            <w:shd w:val="clear" w:color="auto" w:fill="auto"/>
            <w:vAlign w:val="bottom"/>
          </w:tcPr>
          <w:p w:rsidR="0095061B" w:rsidRPr="002B77D0" w:rsidRDefault="00555908" w:rsidP="005D122D">
            <w:pPr>
              <w:spacing w:before="40" w:after="40" w:line="220" w:lineRule="exact"/>
              <w:jc w:val="right"/>
              <w:rPr>
                <w:sz w:val="18"/>
              </w:rPr>
            </w:pPr>
            <w:r>
              <w:rPr>
                <w:sz w:val="18"/>
              </w:rPr>
              <w:t>10</w:t>
            </w:r>
          </w:p>
        </w:tc>
        <w:tc>
          <w:tcPr>
            <w:tcW w:w="1379" w:type="dxa"/>
            <w:shd w:val="clear" w:color="auto" w:fill="auto"/>
            <w:vAlign w:val="bottom"/>
          </w:tcPr>
          <w:p w:rsidR="0095061B" w:rsidRPr="002B77D0" w:rsidRDefault="00555908" w:rsidP="005D122D">
            <w:pPr>
              <w:spacing w:before="40" w:after="40" w:line="220" w:lineRule="exact"/>
              <w:jc w:val="right"/>
              <w:rPr>
                <w:sz w:val="18"/>
              </w:rPr>
            </w:pPr>
            <w:r>
              <w:rPr>
                <w:sz w:val="18"/>
              </w:rPr>
              <w:t>9</w:t>
            </w:r>
          </w:p>
        </w:tc>
        <w:tc>
          <w:tcPr>
            <w:tcW w:w="1379" w:type="dxa"/>
            <w:shd w:val="clear" w:color="auto" w:fill="auto"/>
            <w:vAlign w:val="bottom"/>
          </w:tcPr>
          <w:p w:rsidR="0095061B" w:rsidRPr="002B77D0" w:rsidRDefault="00555908" w:rsidP="005D122D">
            <w:pPr>
              <w:spacing w:before="40" w:after="40" w:line="220" w:lineRule="exact"/>
              <w:jc w:val="right"/>
              <w:rPr>
                <w:sz w:val="18"/>
              </w:rPr>
            </w:pPr>
            <w:r>
              <w:rPr>
                <w:sz w:val="18"/>
              </w:rPr>
              <w:t>8</w:t>
            </w:r>
          </w:p>
        </w:tc>
        <w:tc>
          <w:tcPr>
            <w:tcW w:w="1379" w:type="dxa"/>
            <w:shd w:val="clear" w:color="auto" w:fill="auto"/>
            <w:vAlign w:val="bottom"/>
          </w:tcPr>
          <w:p w:rsidR="0095061B" w:rsidRPr="002B77D0" w:rsidRDefault="00555908" w:rsidP="005D122D">
            <w:pPr>
              <w:spacing w:before="40" w:after="40" w:line="220" w:lineRule="exact"/>
              <w:jc w:val="right"/>
              <w:rPr>
                <w:sz w:val="18"/>
              </w:rPr>
            </w:pPr>
            <w:r>
              <w:rPr>
                <w:sz w:val="18"/>
              </w:rPr>
              <w:t>7</w:t>
            </w:r>
          </w:p>
        </w:tc>
      </w:tr>
      <w:tr w:rsidR="0095061B" w:rsidRPr="002B77D0">
        <w:trPr>
          <w:cantSplit/>
          <w:trHeight w:val="20"/>
        </w:trPr>
        <w:tc>
          <w:tcPr>
            <w:tcW w:w="1854" w:type="dxa"/>
            <w:tcBorders>
              <w:bottom w:val="single" w:sz="12" w:space="0" w:color="auto"/>
            </w:tcBorders>
            <w:shd w:val="clear" w:color="auto" w:fill="auto"/>
            <w:vAlign w:val="bottom"/>
          </w:tcPr>
          <w:p w:rsidR="0095061B" w:rsidRPr="002B77D0" w:rsidRDefault="0095061B" w:rsidP="005D122D">
            <w:pPr>
              <w:spacing w:before="40" w:after="40" w:line="220" w:lineRule="exact"/>
              <w:rPr>
                <w:sz w:val="18"/>
              </w:rPr>
            </w:pPr>
            <w:r>
              <w:rPr>
                <w:noProof/>
                <w:sz w:val="18"/>
              </w:rPr>
              <w:t>Inglés</w:t>
            </w:r>
            <w:r w:rsidR="00555908">
              <w:rPr>
                <w:noProof/>
                <w:sz w:val="18"/>
              </w:rPr>
              <w:t xml:space="preserve"> </w:t>
            </w:r>
            <w:r w:rsidR="00555908">
              <w:rPr>
                <w:sz w:val="18"/>
                <w:szCs w:val="24"/>
                <w:lang w:val="en-US"/>
              </w:rPr>
              <w:t>(%)</w:t>
            </w:r>
          </w:p>
        </w:tc>
        <w:tc>
          <w:tcPr>
            <w:tcW w:w="1379" w:type="dxa"/>
            <w:tcBorders>
              <w:bottom w:val="single" w:sz="12" w:space="0" w:color="auto"/>
            </w:tcBorders>
            <w:shd w:val="clear" w:color="auto" w:fill="auto"/>
            <w:vAlign w:val="bottom"/>
          </w:tcPr>
          <w:p w:rsidR="0095061B" w:rsidRPr="002B77D0" w:rsidRDefault="00555908" w:rsidP="005D122D">
            <w:pPr>
              <w:spacing w:before="40" w:after="40" w:line="220" w:lineRule="exact"/>
              <w:jc w:val="right"/>
              <w:rPr>
                <w:sz w:val="18"/>
              </w:rPr>
            </w:pPr>
            <w:r>
              <w:rPr>
                <w:sz w:val="18"/>
              </w:rPr>
              <w:t>2</w:t>
            </w:r>
          </w:p>
        </w:tc>
        <w:tc>
          <w:tcPr>
            <w:tcW w:w="1379" w:type="dxa"/>
            <w:tcBorders>
              <w:bottom w:val="single" w:sz="12" w:space="0" w:color="auto"/>
            </w:tcBorders>
            <w:shd w:val="clear" w:color="auto" w:fill="auto"/>
            <w:vAlign w:val="bottom"/>
          </w:tcPr>
          <w:p w:rsidR="0095061B" w:rsidRPr="002B77D0" w:rsidRDefault="00555908" w:rsidP="005D122D">
            <w:pPr>
              <w:spacing w:before="40" w:after="40" w:line="220" w:lineRule="exact"/>
              <w:jc w:val="right"/>
              <w:rPr>
                <w:sz w:val="18"/>
              </w:rPr>
            </w:pPr>
            <w:r>
              <w:rPr>
                <w:sz w:val="18"/>
              </w:rPr>
              <w:t>2</w:t>
            </w:r>
          </w:p>
        </w:tc>
        <w:tc>
          <w:tcPr>
            <w:tcW w:w="1379" w:type="dxa"/>
            <w:tcBorders>
              <w:bottom w:val="single" w:sz="12" w:space="0" w:color="auto"/>
            </w:tcBorders>
            <w:shd w:val="clear" w:color="auto" w:fill="auto"/>
            <w:vAlign w:val="bottom"/>
          </w:tcPr>
          <w:p w:rsidR="0095061B" w:rsidRPr="002B77D0" w:rsidRDefault="00555908" w:rsidP="005D122D">
            <w:pPr>
              <w:spacing w:before="40" w:after="40" w:line="220" w:lineRule="exact"/>
              <w:jc w:val="right"/>
              <w:rPr>
                <w:sz w:val="18"/>
              </w:rPr>
            </w:pPr>
            <w:r>
              <w:rPr>
                <w:sz w:val="18"/>
              </w:rPr>
              <w:t>2</w:t>
            </w:r>
          </w:p>
        </w:tc>
        <w:tc>
          <w:tcPr>
            <w:tcW w:w="1379" w:type="dxa"/>
            <w:tcBorders>
              <w:bottom w:val="single" w:sz="12" w:space="0" w:color="auto"/>
            </w:tcBorders>
            <w:shd w:val="clear" w:color="auto" w:fill="auto"/>
            <w:vAlign w:val="bottom"/>
          </w:tcPr>
          <w:p w:rsidR="0095061B" w:rsidRPr="002B77D0" w:rsidRDefault="00555908" w:rsidP="005D122D">
            <w:pPr>
              <w:spacing w:before="40" w:after="40" w:line="220" w:lineRule="exact"/>
              <w:jc w:val="right"/>
              <w:rPr>
                <w:sz w:val="18"/>
              </w:rPr>
            </w:pPr>
            <w:r>
              <w:rPr>
                <w:sz w:val="18"/>
              </w:rPr>
              <w:t>2</w:t>
            </w:r>
          </w:p>
        </w:tc>
      </w:tr>
    </w:tbl>
    <w:p w:rsidR="0095061B" w:rsidRDefault="0095061B" w:rsidP="00637350">
      <w:pPr>
        <w:pStyle w:val="SingleTxtG"/>
        <w:spacing w:before="120" w:after="240"/>
        <w:ind w:firstLine="170"/>
        <w:jc w:val="left"/>
        <w:rPr>
          <w:noProof/>
          <w:szCs w:val="24"/>
          <w:lang w:val="es-ES"/>
        </w:rPr>
      </w:pPr>
      <w:r>
        <w:rPr>
          <w:i/>
          <w:sz w:val="18"/>
          <w:szCs w:val="24"/>
          <w:lang w:val="es-ES"/>
        </w:rPr>
        <w:t>Fuente</w:t>
      </w:r>
      <w:r w:rsidRPr="00452F8A">
        <w:rPr>
          <w:i/>
          <w:sz w:val="18"/>
          <w:szCs w:val="24"/>
          <w:lang w:val="es-ES"/>
        </w:rPr>
        <w:t>:</w:t>
      </w:r>
      <w:r w:rsidRPr="005E204C">
        <w:rPr>
          <w:sz w:val="18"/>
          <w:szCs w:val="24"/>
          <w:lang w:val="es-ES"/>
        </w:rPr>
        <w:t xml:space="preserve"> </w:t>
      </w:r>
      <w:r>
        <w:rPr>
          <w:sz w:val="18"/>
          <w:szCs w:val="24"/>
          <w:lang w:val="es-ES"/>
        </w:rPr>
        <w:t xml:space="preserve">Sistema de Información </w:t>
      </w:r>
      <w:r w:rsidR="001652B1">
        <w:rPr>
          <w:sz w:val="18"/>
          <w:szCs w:val="24"/>
          <w:lang w:val="es-ES"/>
        </w:rPr>
        <w:t>sobr</w:t>
      </w:r>
      <w:r>
        <w:rPr>
          <w:sz w:val="18"/>
          <w:szCs w:val="24"/>
          <w:lang w:val="es-ES"/>
        </w:rPr>
        <w:t xml:space="preserve">e </w:t>
      </w:r>
      <w:smartTag w:uri="urn:schemas-microsoft-com:office:smarttags" w:element="PersonName">
        <w:smartTagPr>
          <w:attr w:name="ProductID" w:val="la Ense￱anza"/>
        </w:smartTagPr>
        <w:r>
          <w:rPr>
            <w:sz w:val="18"/>
            <w:szCs w:val="24"/>
            <w:lang w:val="es-ES"/>
          </w:rPr>
          <w:t>la Enseñanza</w:t>
        </w:r>
      </w:smartTag>
      <w:r>
        <w:rPr>
          <w:sz w:val="18"/>
          <w:szCs w:val="24"/>
          <w:lang w:val="es-ES"/>
        </w:rPr>
        <w:t xml:space="preserve"> del Estonio</w:t>
      </w:r>
      <w:r w:rsidR="00452F8A">
        <w:rPr>
          <w:sz w:val="18"/>
          <w:szCs w:val="24"/>
          <w:lang w:val="es-ES"/>
        </w:rPr>
        <w:t>.</w:t>
      </w:r>
    </w:p>
    <w:p w:rsidR="0095061B" w:rsidRPr="005E204C" w:rsidRDefault="0095061B" w:rsidP="00637350">
      <w:pPr>
        <w:pStyle w:val="SingleTxtG"/>
        <w:rPr>
          <w:szCs w:val="24"/>
          <w:lang w:val="es-ES"/>
        </w:rPr>
      </w:pPr>
      <w:r w:rsidRPr="005E204C">
        <w:rPr>
          <w:szCs w:val="24"/>
          <w:lang w:val="es-ES"/>
        </w:rPr>
        <w:t>228.</w:t>
      </w:r>
      <w:r w:rsidRPr="005E204C">
        <w:rPr>
          <w:szCs w:val="24"/>
          <w:lang w:val="es-ES"/>
        </w:rPr>
        <w:tab/>
      </w:r>
      <w:r>
        <w:rPr>
          <w:szCs w:val="24"/>
          <w:lang w:val="es-ES"/>
        </w:rPr>
        <w:t xml:space="preserve">Durante el </w:t>
      </w:r>
      <w:r w:rsidR="00D75726">
        <w:rPr>
          <w:szCs w:val="24"/>
          <w:lang w:val="es-ES"/>
        </w:rPr>
        <w:t xml:space="preserve">año escolar </w:t>
      </w:r>
      <w:r w:rsidR="00E3097D">
        <w:rPr>
          <w:szCs w:val="24"/>
          <w:lang w:val="es-ES"/>
        </w:rPr>
        <w:t>2010/11, había u</w:t>
      </w:r>
      <w:r>
        <w:rPr>
          <w:szCs w:val="24"/>
          <w:lang w:val="es-ES"/>
        </w:rPr>
        <w:t xml:space="preserve">n total </w:t>
      </w:r>
      <w:r w:rsidR="00E3097D">
        <w:rPr>
          <w:szCs w:val="24"/>
          <w:lang w:val="es-ES"/>
        </w:rPr>
        <w:t xml:space="preserve">de </w:t>
      </w:r>
      <w:r>
        <w:rPr>
          <w:szCs w:val="24"/>
          <w:lang w:val="es-ES"/>
        </w:rPr>
        <w:t xml:space="preserve">10.080 </w:t>
      </w:r>
      <w:r w:rsidR="00D75726">
        <w:rPr>
          <w:szCs w:val="24"/>
          <w:lang w:val="es-ES"/>
        </w:rPr>
        <w:t xml:space="preserve">graduados </w:t>
      </w:r>
      <w:r>
        <w:rPr>
          <w:szCs w:val="24"/>
          <w:lang w:val="es-ES"/>
        </w:rPr>
        <w:t>e</w:t>
      </w:r>
      <w:r w:rsidR="00D75726">
        <w:rPr>
          <w:szCs w:val="24"/>
          <w:lang w:val="es-ES"/>
        </w:rPr>
        <w:t>n</w:t>
      </w:r>
      <w:r>
        <w:rPr>
          <w:szCs w:val="24"/>
          <w:lang w:val="es-ES"/>
        </w:rPr>
        <w:t xml:space="preserve"> enseñanza secundaria general, de los cuales el 57% prosiguió sus estudios </w:t>
      </w:r>
      <w:r w:rsidR="00D75726">
        <w:rPr>
          <w:szCs w:val="24"/>
          <w:lang w:val="es-ES"/>
        </w:rPr>
        <w:t>en el</w:t>
      </w:r>
      <w:r>
        <w:rPr>
          <w:szCs w:val="24"/>
          <w:lang w:val="es-ES"/>
        </w:rPr>
        <w:t xml:space="preserve"> nivel de educación superior el mismo año.</w:t>
      </w:r>
      <w:r w:rsidRPr="005E204C">
        <w:rPr>
          <w:szCs w:val="24"/>
          <w:lang w:val="es-ES"/>
        </w:rPr>
        <w:t xml:space="preserve"> </w:t>
      </w:r>
      <w:r>
        <w:rPr>
          <w:szCs w:val="24"/>
          <w:lang w:val="es-ES"/>
        </w:rPr>
        <w:t xml:space="preserve">De los </w:t>
      </w:r>
      <w:r w:rsidR="00D75726">
        <w:rPr>
          <w:szCs w:val="24"/>
          <w:lang w:val="es-ES"/>
        </w:rPr>
        <w:t xml:space="preserve">graduados </w:t>
      </w:r>
      <w:r>
        <w:rPr>
          <w:szCs w:val="24"/>
          <w:lang w:val="es-ES"/>
        </w:rPr>
        <w:t>e</w:t>
      </w:r>
      <w:r w:rsidR="00D75726">
        <w:rPr>
          <w:szCs w:val="24"/>
          <w:lang w:val="es-ES"/>
        </w:rPr>
        <w:t xml:space="preserve">n </w:t>
      </w:r>
      <w:r>
        <w:rPr>
          <w:szCs w:val="24"/>
          <w:lang w:val="es-ES"/>
        </w:rPr>
        <w:t xml:space="preserve">enseñanza secundaria superior que prosiguieron sus estudios </w:t>
      </w:r>
      <w:r w:rsidR="00D75726">
        <w:rPr>
          <w:szCs w:val="24"/>
          <w:lang w:val="es-ES"/>
        </w:rPr>
        <w:t>en el</w:t>
      </w:r>
      <w:r>
        <w:rPr>
          <w:szCs w:val="24"/>
          <w:lang w:val="es-ES"/>
        </w:rPr>
        <w:t xml:space="preserve"> nivel de educación superior, el 30% accedió a centros de educación superior profesional y el 70% se matriculó en estudios académicos superiores.</w:t>
      </w:r>
      <w:r w:rsidRPr="005E204C">
        <w:rPr>
          <w:szCs w:val="24"/>
          <w:lang w:val="es-ES"/>
        </w:rPr>
        <w:t xml:space="preserve"> </w:t>
      </w:r>
      <w:r>
        <w:rPr>
          <w:szCs w:val="24"/>
          <w:lang w:val="es-ES"/>
        </w:rPr>
        <w:t>Entre los graduados de las escuelas de enseñanza secundaria superior e</w:t>
      </w:r>
      <w:r w:rsidR="00D75726">
        <w:rPr>
          <w:szCs w:val="24"/>
          <w:lang w:val="es-ES"/>
        </w:rPr>
        <w:t>n</w:t>
      </w:r>
      <w:r>
        <w:rPr>
          <w:szCs w:val="24"/>
          <w:lang w:val="es-ES"/>
        </w:rPr>
        <w:t xml:space="preserve"> lengua rusa, el porcentaje de los que acceden a la educación superior inmediatamente después de graduarse ha d</w:t>
      </w:r>
      <w:r w:rsidR="00D75726">
        <w:rPr>
          <w:szCs w:val="24"/>
          <w:lang w:val="es-ES"/>
        </w:rPr>
        <w:t>isminuido</w:t>
      </w:r>
      <w:r w:rsidR="00E3097D">
        <w:rPr>
          <w:szCs w:val="24"/>
          <w:lang w:val="es-ES"/>
        </w:rPr>
        <w:t xml:space="preserve"> durante</w:t>
      </w:r>
      <w:r>
        <w:rPr>
          <w:szCs w:val="24"/>
          <w:lang w:val="es-ES"/>
        </w:rPr>
        <w:t xml:space="preserve"> los últimos seis años (del 64 al 48%).</w:t>
      </w:r>
      <w:r w:rsidRPr="005E204C">
        <w:rPr>
          <w:szCs w:val="24"/>
          <w:lang w:val="es-ES"/>
        </w:rPr>
        <w:t xml:space="preserve"> </w:t>
      </w:r>
      <w:r>
        <w:rPr>
          <w:szCs w:val="24"/>
          <w:lang w:val="es-ES"/>
        </w:rPr>
        <w:t xml:space="preserve">En 2011, el 59% de los graduados de las escuelas de enseñanza secundaria superior que utilizaban el estonio como idioma de </w:t>
      </w:r>
      <w:r w:rsidR="00D75726">
        <w:rPr>
          <w:szCs w:val="24"/>
          <w:lang w:val="es-ES"/>
        </w:rPr>
        <w:t xml:space="preserve">instrucción </w:t>
      </w:r>
      <w:r w:rsidR="008F07FE">
        <w:rPr>
          <w:szCs w:val="24"/>
          <w:lang w:val="es-ES"/>
        </w:rPr>
        <w:t>prosiguiero</w:t>
      </w:r>
      <w:r>
        <w:rPr>
          <w:szCs w:val="24"/>
          <w:lang w:val="es-ES"/>
        </w:rPr>
        <w:t xml:space="preserve">n sus estudios </w:t>
      </w:r>
      <w:r w:rsidR="008F07FE">
        <w:rPr>
          <w:szCs w:val="24"/>
          <w:lang w:val="es-ES"/>
        </w:rPr>
        <w:t>hasta el nivel de</w:t>
      </w:r>
      <w:r>
        <w:rPr>
          <w:szCs w:val="24"/>
          <w:lang w:val="es-ES"/>
        </w:rPr>
        <w:t xml:space="preserve"> educación superior, frente al 48% de los estudiantes de las escuelas cuyo idioma de enseñanza era el ruso.</w:t>
      </w:r>
      <w:r w:rsidRPr="005E204C">
        <w:rPr>
          <w:szCs w:val="24"/>
          <w:lang w:val="es-ES"/>
        </w:rPr>
        <w:t xml:space="preserve"> </w:t>
      </w:r>
      <w:r>
        <w:rPr>
          <w:szCs w:val="24"/>
          <w:lang w:val="es-ES"/>
        </w:rPr>
        <w:t>De los graduados más recientes e</w:t>
      </w:r>
      <w:r w:rsidR="008F07FE">
        <w:rPr>
          <w:szCs w:val="24"/>
          <w:lang w:val="es-ES"/>
        </w:rPr>
        <w:t>n</w:t>
      </w:r>
      <w:r>
        <w:rPr>
          <w:szCs w:val="24"/>
          <w:lang w:val="es-ES"/>
        </w:rPr>
        <w:t xml:space="preserve"> las escuelas de enseñanza secundaria superior </w:t>
      </w:r>
      <w:r w:rsidR="008F07FE">
        <w:rPr>
          <w:szCs w:val="24"/>
          <w:lang w:val="es-ES"/>
        </w:rPr>
        <w:t xml:space="preserve">que han sido </w:t>
      </w:r>
      <w:r>
        <w:rPr>
          <w:szCs w:val="24"/>
          <w:lang w:val="es-ES"/>
        </w:rPr>
        <w:t>admiti</w:t>
      </w:r>
      <w:r w:rsidR="00E3097D">
        <w:rPr>
          <w:szCs w:val="24"/>
          <w:lang w:val="es-ES"/>
        </w:rPr>
        <w:t>dos al primer nivel de estudios</w:t>
      </w:r>
      <w:r>
        <w:rPr>
          <w:szCs w:val="24"/>
          <w:lang w:val="es-ES"/>
        </w:rPr>
        <w:t xml:space="preserve"> superior</w:t>
      </w:r>
      <w:r w:rsidR="00E3097D">
        <w:rPr>
          <w:szCs w:val="24"/>
          <w:lang w:val="es-ES"/>
        </w:rPr>
        <w:t>es</w:t>
      </w:r>
      <w:r>
        <w:rPr>
          <w:szCs w:val="24"/>
          <w:lang w:val="es-ES"/>
        </w:rPr>
        <w:t xml:space="preserve"> en el curso 2011/12, aproximadamente el 15% </w:t>
      </w:r>
      <w:r w:rsidR="008F07FE">
        <w:rPr>
          <w:szCs w:val="24"/>
          <w:lang w:val="es-ES"/>
        </w:rPr>
        <w:t>curs</w:t>
      </w:r>
      <w:r w:rsidR="009A04CF">
        <w:rPr>
          <w:szCs w:val="24"/>
          <w:lang w:val="es-ES"/>
        </w:rPr>
        <w:t>ó</w:t>
      </w:r>
      <w:r w:rsidR="008F07FE">
        <w:rPr>
          <w:szCs w:val="24"/>
          <w:lang w:val="es-ES"/>
        </w:rPr>
        <w:t xml:space="preserve"> </w:t>
      </w:r>
      <w:r w:rsidR="00E3097D">
        <w:rPr>
          <w:szCs w:val="24"/>
          <w:lang w:val="es-ES"/>
        </w:rPr>
        <w:t>la secundaria superior</w:t>
      </w:r>
      <w:r>
        <w:rPr>
          <w:szCs w:val="24"/>
          <w:lang w:val="es-ES"/>
        </w:rPr>
        <w:t xml:space="preserve"> en ruso y el 62% de ellos </w:t>
      </w:r>
      <w:r w:rsidR="008F07FE">
        <w:rPr>
          <w:szCs w:val="24"/>
          <w:lang w:val="es-ES"/>
        </w:rPr>
        <w:t xml:space="preserve">prosiguieron </w:t>
      </w:r>
      <w:r>
        <w:rPr>
          <w:szCs w:val="24"/>
          <w:lang w:val="es-ES"/>
        </w:rPr>
        <w:t>sus estudios en estonio.</w:t>
      </w:r>
    </w:p>
    <w:p w:rsidR="0095061B" w:rsidRPr="005E204C" w:rsidRDefault="0095061B" w:rsidP="00637350">
      <w:pPr>
        <w:pStyle w:val="SingleTxtG"/>
        <w:rPr>
          <w:szCs w:val="24"/>
          <w:lang w:val="es-ES"/>
        </w:rPr>
      </w:pPr>
      <w:r w:rsidRPr="005E204C">
        <w:rPr>
          <w:szCs w:val="24"/>
          <w:lang w:val="es-ES"/>
        </w:rPr>
        <w:t>229.</w:t>
      </w:r>
      <w:r w:rsidRPr="005E204C">
        <w:rPr>
          <w:szCs w:val="24"/>
          <w:lang w:val="es-ES"/>
        </w:rPr>
        <w:tab/>
      </w:r>
      <w:r>
        <w:rPr>
          <w:szCs w:val="24"/>
          <w:lang w:val="es-ES"/>
        </w:rPr>
        <w:t xml:space="preserve">De conformidad con </w:t>
      </w:r>
      <w:smartTag w:uri="urn:schemas-microsoft-com:office:smarttags" w:element="PersonName">
        <w:smartTagPr>
          <w:attr w:name="ProductID" w:val="La Ley"/>
        </w:smartTagPr>
        <w:r>
          <w:rPr>
            <w:szCs w:val="24"/>
            <w:lang w:val="es-ES"/>
          </w:rPr>
          <w:t>la Ley</w:t>
        </w:r>
      </w:smartTag>
      <w:r>
        <w:rPr>
          <w:szCs w:val="24"/>
          <w:lang w:val="es-ES"/>
        </w:rPr>
        <w:t xml:space="preserve"> de universidades y </w:t>
      </w:r>
      <w:smartTag w:uri="urn:schemas-microsoft-com:office:smarttags" w:element="PersonName">
        <w:smartTagPr>
          <w:attr w:name="ProductID" w:val="La Ley"/>
        </w:smartTagPr>
        <w:r>
          <w:rPr>
            <w:szCs w:val="24"/>
            <w:lang w:val="es-ES"/>
          </w:rPr>
          <w:t>la Ley</w:t>
        </w:r>
      </w:smartTag>
      <w:r>
        <w:rPr>
          <w:szCs w:val="24"/>
          <w:lang w:val="es-ES"/>
        </w:rPr>
        <w:t xml:space="preserve"> de centros de educación superior profesional</w:t>
      </w:r>
      <w:r>
        <w:rPr>
          <w:rStyle w:val="FootnoteReference"/>
          <w:szCs w:val="24"/>
          <w:lang w:val="es-ES"/>
        </w:rPr>
        <w:footnoteReference w:id="45"/>
      </w:r>
      <w:r>
        <w:rPr>
          <w:szCs w:val="24"/>
          <w:lang w:val="es-ES"/>
        </w:rPr>
        <w:t>, los alumnos cuyos conocimientos de estonio no son suficientes para completar el programa de estudios en estonio pueden estudiar e</w:t>
      </w:r>
      <w:r w:rsidR="009A04CF">
        <w:rPr>
          <w:szCs w:val="24"/>
          <w:lang w:val="es-ES"/>
        </w:rPr>
        <w:t xml:space="preserve">se idioma </w:t>
      </w:r>
      <w:r>
        <w:rPr>
          <w:szCs w:val="24"/>
          <w:lang w:val="es-ES"/>
        </w:rPr>
        <w:t>de forma intensiva.</w:t>
      </w:r>
      <w:r w:rsidRPr="005E204C">
        <w:rPr>
          <w:szCs w:val="24"/>
          <w:lang w:val="es-ES"/>
        </w:rPr>
        <w:t xml:space="preserve"> </w:t>
      </w:r>
      <w:r>
        <w:rPr>
          <w:szCs w:val="24"/>
          <w:lang w:val="es-ES"/>
        </w:rPr>
        <w:t xml:space="preserve">En </w:t>
      </w:r>
      <w:r w:rsidR="009A04CF">
        <w:rPr>
          <w:szCs w:val="24"/>
          <w:lang w:val="es-ES"/>
        </w:rPr>
        <w:t xml:space="preserve">tal </w:t>
      </w:r>
      <w:r>
        <w:rPr>
          <w:szCs w:val="24"/>
          <w:lang w:val="es-ES"/>
        </w:rPr>
        <w:t>cas</w:t>
      </w:r>
      <w:r w:rsidR="009A04CF">
        <w:rPr>
          <w:szCs w:val="24"/>
          <w:lang w:val="es-ES"/>
        </w:rPr>
        <w:t>o</w:t>
      </w:r>
      <w:r>
        <w:rPr>
          <w:szCs w:val="24"/>
          <w:lang w:val="es-ES"/>
        </w:rPr>
        <w:t xml:space="preserve">, </w:t>
      </w:r>
      <w:r w:rsidR="009A04CF">
        <w:rPr>
          <w:szCs w:val="24"/>
          <w:lang w:val="es-ES"/>
        </w:rPr>
        <w:t xml:space="preserve">la duración </w:t>
      </w:r>
      <w:r>
        <w:rPr>
          <w:szCs w:val="24"/>
          <w:lang w:val="es-ES"/>
        </w:rPr>
        <w:t xml:space="preserve">de </w:t>
      </w:r>
      <w:r w:rsidR="009A04CF">
        <w:rPr>
          <w:szCs w:val="24"/>
          <w:lang w:val="es-ES"/>
        </w:rPr>
        <w:t xml:space="preserve">sus </w:t>
      </w:r>
      <w:r>
        <w:rPr>
          <w:szCs w:val="24"/>
          <w:lang w:val="es-ES"/>
        </w:rPr>
        <w:t>estudios se amplía en un año académico</w:t>
      </w:r>
      <w:r w:rsidR="00E3097D">
        <w:rPr>
          <w:szCs w:val="24"/>
          <w:lang w:val="es-ES"/>
        </w:rPr>
        <w:t xml:space="preserve"> como</w:t>
      </w:r>
      <w:r w:rsidR="009A04CF">
        <w:rPr>
          <w:szCs w:val="24"/>
          <w:lang w:val="es-ES"/>
        </w:rPr>
        <w:t xml:space="preserve"> norma general</w:t>
      </w:r>
      <w:r>
        <w:rPr>
          <w:szCs w:val="24"/>
          <w:lang w:val="es-ES"/>
        </w:rPr>
        <w:t>.</w:t>
      </w:r>
    </w:p>
    <w:p w:rsidR="0095061B" w:rsidRPr="005E204C" w:rsidRDefault="0095061B" w:rsidP="00637350">
      <w:pPr>
        <w:pStyle w:val="SingleTxtG"/>
        <w:rPr>
          <w:szCs w:val="24"/>
          <w:lang w:val="es-ES"/>
        </w:rPr>
      </w:pPr>
      <w:r w:rsidRPr="005E204C">
        <w:rPr>
          <w:szCs w:val="24"/>
          <w:lang w:val="es-ES"/>
        </w:rPr>
        <w:t>230.</w:t>
      </w:r>
      <w:r w:rsidRPr="005E204C">
        <w:rPr>
          <w:szCs w:val="24"/>
          <w:lang w:val="es-ES"/>
        </w:rPr>
        <w:tab/>
      </w:r>
      <w:r>
        <w:rPr>
          <w:szCs w:val="24"/>
          <w:lang w:val="es-ES"/>
        </w:rPr>
        <w:t>Desde 2008,</w:t>
      </w:r>
      <w:r w:rsidR="000A6690">
        <w:rPr>
          <w:szCs w:val="24"/>
          <w:lang w:val="es-ES"/>
        </w:rPr>
        <w:t xml:space="preserve"> todos los estudiantes que desee</w:t>
      </w:r>
      <w:r>
        <w:rPr>
          <w:szCs w:val="24"/>
          <w:lang w:val="es-ES"/>
        </w:rPr>
        <w:t xml:space="preserve">n cursar sus estudios </w:t>
      </w:r>
      <w:r w:rsidR="007E415F">
        <w:rPr>
          <w:szCs w:val="24"/>
          <w:lang w:val="es-ES"/>
        </w:rPr>
        <w:t xml:space="preserve">en el marco del </w:t>
      </w:r>
      <w:r>
        <w:rPr>
          <w:szCs w:val="24"/>
          <w:lang w:val="es-ES"/>
        </w:rPr>
        <w:t>p</w:t>
      </w:r>
      <w:r w:rsidR="007E415F">
        <w:rPr>
          <w:szCs w:val="24"/>
          <w:lang w:val="es-ES"/>
        </w:rPr>
        <w:t>lan</w:t>
      </w:r>
      <w:r>
        <w:rPr>
          <w:szCs w:val="24"/>
          <w:lang w:val="es-ES"/>
        </w:rPr>
        <w:t xml:space="preserve"> estonio</w:t>
      </w:r>
      <w:r w:rsidR="000A6690">
        <w:rPr>
          <w:szCs w:val="24"/>
          <w:lang w:val="es-ES"/>
        </w:rPr>
        <w:t xml:space="preserve"> a</w:t>
      </w:r>
      <w:r>
        <w:rPr>
          <w:szCs w:val="24"/>
          <w:lang w:val="es-ES"/>
        </w:rPr>
        <w:t xml:space="preserve"> </w:t>
      </w:r>
      <w:r w:rsidR="000A6690">
        <w:rPr>
          <w:szCs w:val="24"/>
          <w:lang w:val="es-ES"/>
        </w:rPr>
        <w:t>pes</w:t>
      </w:r>
      <w:r w:rsidR="009A04CF">
        <w:rPr>
          <w:szCs w:val="24"/>
          <w:lang w:val="es-ES"/>
        </w:rPr>
        <w:t>a</w:t>
      </w:r>
      <w:r w:rsidR="000A6690">
        <w:rPr>
          <w:szCs w:val="24"/>
          <w:lang w:val="es-ES"/>
        </w:rPr>
        <w:t>r de un insuficiente conocimiento del idioma</w:t>
      </w:r>
      <w:r>
        <w:rPr>
          <w:szCs w:val="24"/>
          <w:lang w:val="es-ES"/>
        </w:rPr>
        <w:t>, pueden estudiar estoni</w:t>
      </w:r>
      <w:r w:rsidR="009A04CF">
        <w:rPr>
          <w:szCs w:val="24"/>
          <w:lang w:val="es-ES"/>
        </w:rPr>
        <w:t>o</w:t>
      </w:r>
      <w:r>
        <w:rPr>
          <w:szCs w:val="24"/>
          <w:lang w:val="es-ES"/>
        </w:rPr>
        <w:t xml:space="preserve"> durante el 0,5</w:t>
      </w:r>
      <w:r w:rsidR="00660903">
        <w:rPr>
          <w:szCs w:val="24"/>
          <w:lang w:val="es-ES"/>
        </w:rPr>
        <w:t>-</w:t>
      </w:r>
      <w:r>
        <w:rPr>
          <w:szCs w:val="24"/>
          <w:lang w:val="es-ES"/>
        </w:rPr>
        <w:t>1% de</w:t>
      </w:r>
      <w:r w:rsidR="009A04CF">
        <w:rPr>
          <w:szCs w:val="24"/>
          <w:lang w:val="es-ES"/>
        </w:rPr>
        <w:t xml:space="preserve"> su primer c</w:t>
      </w:r>
      <w:r>
        <w:rPr>
          <w:szCs w:val="24"/>
          <w:lang w:val="es-ES"/>
        </w:rPr>
        <w:t>urso académico.</w:t>
      </w:r>
      <w:r w:rsidRPr="005E204C">
        <w:rPr>
          <w:szCs w:val="24"/>
          <w:lang w:val="es-ES"/>
        </w:rPr>
        <w:t xml:space="preserve"> </w:t>
      </w:r>
      <w:r>
        <w:rPr>
          <w:szCs w:val="24"/>
          <w:lang w:val="es-ES"/>
        </w:rPr>
        <w:t>En el marco del programa del Fondo Social Europeo, los centros de educación superior reciben apoyo para desarrollar y llevar a cabo dist</w:t>
      </w:r>
      <w:r w:rsidR="000A6690">
        <w:rPr>
          <w:szCs w:val="24"/>
          <w:lang w:val="es-ES"/>
        </w:rPr>
        <w:t xml:space="preserve">intos tipos de cursos de </w:t>
      </w:r>
      <w:r>
        <w:rPr>
          <w:szCs w:val="24"/>
          <w:lang w:val="es-ES"/>
        </w:rPr>
        <w:t>estonio.</w:t>
      </w:r>
      <w:r w:rsidRPr="005E204C">
        <w:rPr>
          <w:szCs w:val="24"/>
          <w:lang w:val="es-ES"/>
        </w:rPr>
        <w:t xml:space="preserve"> </w:t>
      </w:r>
      <w:r>
        <w:rPr>
          <w:szCs w:val="24"/>
          <w:lang w:val="es-ES"/>
        </w:rPr>
        <w:t>Esos cursos se ofrecen como complemento a las asignaturas del plan de estudios elegido por el estudiante.</w:t>
      </w:r>
    </w:p>
    <w:p w:rsidR="0095061B" w:rsidRPr="005E204C" w:rsidRDefault="0095061B" w:rsidP="00637350">
      <w:pPr>
        <w:pStyle w:val="H23G"/>
        <w:rPr>
          <w:lang w:val="es-ES"/>
        </w:rPr>
      </w:pPr>
      <w:r w:rsidRPr="005E204C">
        <w:rPr>
          <w:lang w:val="es-ES"/>
        </w:rPr>
        <w:tab/>
      </w:r>
      <w:r w:rsidRPr="005E204C">
        <w:rPr>
          <w:lang w:val="es-ES"/>
        </w:rPr>
        <w:tab/>
      </w:r>
      <w:r>
        <w:rPr>
          <w:lang w:val="es-ES"/>
        </w:rPr>
        <w:t xml:space="preserve">Escuelas de </w:t>
      </w:r>
      <w:r w:rsidR="007E415F">
        <w:rPr>
          <w:lang w:val="es-ES"/>
        </w:rPr>
        <w:t xml:space="preserve">aficiones </w:t>
      </w:r>
      <w:r>
        <w:rPr>
          <w:lang w:val="es-ES"/>
        </w:rPr>
        <w:t>y extracurriculares</w:t>
      </w:r>
    </w:p>
    <w:p w:rsidR="0095061B" w:rsidRPr="005E204C" w:rsidRDefault="0095061B" w:rsidP="00637350">
      <w:pPr>
        <w:pStyle w:val="SingleTxtG"/>
        <w:rPr>
          <w:szCs w:val="24"/>
          <w:lang w:val="es-ES"/>
        </w:rPr>
      </w:pPr>
      <w:r w:rsidRPr="005E204C">
        <w:rPr>
          <w:szCs w:val="24"/>
          <w:lang w:val="es-ES"/>
        </w:rPr>
        <w:t>231.</w:t>
      </w:r>
      <w:r w:rsidRPr="005E204C">
        <w:rPr>
          <w:szCs w:val="24"/>
          <w:lang w:val="es-ES"/>
        </w:rPr>
        <w:tab/>
      </w:r>
      <w:r>
        <w:rPr>
          <w:szCs w:val="24"/>
          <w:lang w:val="es-ES"/>
        </w:rPr>
        <w:t xml:space="preserve">En el artículo 3 de </w:t>
      </w:r>
      <w:smartTag w:uri="urn:schemas-microsoft-com:office:smarttags" w:element="PersonName">
        <w:smartTagPr>
          <w:attr w:name="ProductID" w:val="La Ley"/>
        </w:smartTagPr>
        <w:r>
          <w:rPr>
            <w:szCs w:val="24"/>
            <w:lang w:val="es-ES"/>
          </w:rPr>
          <w:t>la Ley</w:t>
        </w:r>
      </w:smartTag>
      <w:r>
        <w:rPr>
          <w:szCs w:val="24"/>
          <w:lang w:val="es-ES"/>
        </w:rPr>
        <w:t xml:space="preserve"> de escuelas de aficiones, estas se definen como centros educativos que operan en la esfera del trabajo </w:t>
      </w:r>
      <w:r w:rsidR="00EF6EA1">
        <w:rPr>
          <w:szCs w:val="24"/>
          <w:lang w:val="es-ES"/>
        </w:rPr>
        <w:t xml:space="preserve">con los jóvenes </w:t>
      </w:r>
      <w:r>
        <w:rPr>
          <w:szCs w:val="24"/>
          <w:lang w:val="es-ES"/>
        </w:rPr>
        <w:t xml:space="preserve">y ofrecen la oportunidad de adquirir </w:t>
      </w:r>
      <w:r w:rsidR="00EF6EA1">
        <w:rPr>
          <w:szCs w:val="24"/>
          <w:lang w:val="es-ES"/>
        </w:rPr>
        <w:t xml:space="preserve">formación </w:t>
      </w:r>
      <w:r>
        <w:rPr>
          <w:szCs w:val="24"/>
          <w:lang w:val="es-ES"/>
        </w:rPr>
        <w:t xml:space="preserve">no académica </w:t>
      </w:r>
      <w:r w:rsidR="00EF6EA1">
        <w:rPr>
          <w:szCs w:val="24"/>
          <w:lang w:val="es-ES"/>
        </w:rPr>
        <w:t xml:space="preserve">en distintos ámbitos y </w:t>
      </w:r>
      <w:r>
        <w:rPr>
          <w:szCs w:val="24"/>
          <w:lang w:val="es-ES"/>
        </w:rPr>
        <w:t>desarroll</w:t>
      </w:r>
      <w:r w:rsidR="00EF6EA1">
        <w:rPr>
          <w:szCs w:val="24"/>
          <w:lang w:val="es-ES"/>
        </w:rPr>
        <w:t>ar</w:t>
      </w:r>
      <w:r>
        <w:rPr>
          <w:szCs w:val="24"/>
          <w:lang w:val="es-ES"/>
        </w:rPr>
        <w:t xml:space="preserve"> la personalidad</w:t>
      </w:r>
      <w:r w:rsidR="00EF6EA1">
        <w:rPr>
          <w:szCs w:val="24"/>
          <w:lang w:val="es-ES"/>
        </w:rPr>
        <w:t xml:space="preserve"> de diversas maneras</w:t>
      </w:r>
      <w:r>
        <w:rPr>
          <w:szCs w:val="24"/>
          <w:lang w:val="es-ES"/>
        </w:rPr>
        <w:t>, inclus</w:t>
      </w:r>
      <w:r w:rsidR="00EF6EA1">
        <w:rPr>
          <w:szCs w:val="24"/>
          <w:lang w:val="es-ES"/>
        </w:rPr>
        <w:t>o</w:t>
      </w:r>
      <w:r w:rsidR="005466A4">
        <w:rPr>
          <w:szCs w:val="24"/>
          <w:lang w:val="es-ES"/>
        </w:rPr>
        <w:t xml:space="preserve"> </w:t>
      </w:r>
      <w:r w:rsidR="00EF6EA1">
        <w:rPr>
          <w:szCs w:val="24"/>
          <w:lang w:val="es-ES"/>
        </w:rPr>
        <w:t>mediante el aprendizaje d</w:t>
      </w:r>
      <w:r>
        <w:rPr>
          <w:szCs w:val="24"/>
          <w:lang w:val="es-ES"/>
        </w:rPr>
        <w:t>el idioma y la cultura propios.</w:t>
      </w:r>
    </w:p>
    <w:p w:rsidR="0095061B" w:rsidRPr="005E204C" w:rsidRDefault="0095061B" w:rsidP="00637350">
      <w:pPr>
        <w:pStyle w:val="SingleTxtG"/>
        <w:rPr>
          <w:szCs w:val="24"/>
          <w:lang w:val="es-ES"/>
        </w:rPr>
      </w:pPr>
      <w:r w:rsidRPr="005E204C">
        <w:rPr>
          <w:szCs w:val="24"/>
          <w:lang w:val="es-ES"/>
        </w:rPr>
        <w:t>232.</w:t>
      </w:r>
      <w:r w:rsidRPr="005E204C">
        <w:rPr>
          <w:szCs w:val="24"/>
          <w:lang w:val="es-ES"/>
        </w:rPr>
        <w:tab/>
      </w:r>
      <w:r>
        <w:rPr>
          <w:szCs w:val="24"/>
          <w:lang w:val="es-ES"/>
        </w:rPr>
        <w:t xml:space="preserve">Continúa brindándose apoyo </w:t>
      </w:r>
      <w:r w:rsidR="00EF6EA1">
        <w:rPr>
          <w:szCs w:val="24"/>
          <w:lang w:val="es-ES"/>
        </w:rPr>
        <w:t>con cargo a</w:t>
      </w:r>
      <w:r>
        <w:rPr>
          <w:szCs w:val="24"/>
          <w:lang w:val="es-ES"/>
        </w:rPr>
        <w:t xml:space="preserve">l presupuesto </w:t>
      </w:r>
      <w:r w:rsidR="00EF6EA1">
        <w:rPr>
          <w:szCs w:val="24"/>
          <w:lang w:val="es-ES"/>
        </w:rPr>
        <w:t>del E</w:t>
      </w:r>
      <w:r>
        <w:rPr>
          <w:szCs w:val="24"/>
          <w:lang w:val="es-ES"/>
        </w:rPr>
        <w:t>sta</w:t>
      </w:r>
      <w:r w:rsidR="00EF6EA1">
        <w:rPr>
          <w:szCs w:val="24"/>
          <w:lang w:val="es-ES"/>
        </w:rPr>
        <w:t>do</w:t>
      </w:r>
      <w:r>
        <w:rPr>
          <w:szCs w:val="24"/>
          <w:lang w:val="es-ES"/>
        </w:rPr>
        <w:t xml:space="preserve"> a la enseñanza en campamentos y </w:t>
      </w:r>
      <w:r w:rsidR="00EF6EA1">
        <w:rPr>
          <w:szCs w:val="24"/>
          <w:lang w:val="es-ES"/>
        </w:rPr>
        <w:t xml:space="preserve">grupos de </w:t>
      </w:r>
      <w:r>
        <w:rPr>
          <w:szCs w:val="24"/>
          <w:lang w:val="es-ES"/>
        </w:rPr>
        <w:t xml:space="preserve">familias, así como a proyectos de aprendizaje del idioma fuera del centro escolar, </w:t>
      </w:r>
      <w:r w:rsidR="00715D73">
        <w:rPr>
          <w:szCs w:val="24"/>
          <w:lang w:val="es-ES"/>
        </w:rPr>
        <w:t xml:space="preserve">tal </w:t>
      </w:r>
      <w:r>
        <w:rPr>
          <w:szCs w:val="24"/>
          <w:lang w:val="es-ES"/>
        </w:rPr>
        <w:t>como se describió en el informe anterior.</w:t>
      </w:r>
      <w:r w:rsidRPr="005E204C">
        <w:rPr>
          <w:szCs w:val="24"/>
          <w:lang w:val="es-ES"/>
        </w:rPr>
        <w:t xml:space="preserve"> </w:t>
      </w:r>
      <w:r>
        <w:rPr>
          <w:szCs w:val="24"/>
          <w:lang w:val="es-ES"/>
        </w:rPr>
        <w:t>Los proyectos están dest</w:t>
      </w:r>
      <w:r w:rsidR="00520113">
        <w:rPr>
          <w:szCs w:val="24"/>
          <w:lang w:val="es-ES"/>
        </w:rPr>
        <w:t>inados a jóvenes cuya</w:t>
      </w:r>
      <w:r>
        <w:rPr>
          <w:szCs w:val="24"/>
          <w:lang w:val="es-ES"/>
        </w:rPr>
        <w:t xml:space="preserve"> lengua materna </w:t>
      </w:r>
      <w:r w:rsidR="00520113">
        <w:rPr>
          <w:szCs w:val="24"/>
          <w:lang w:val="es-ES"/>
        </w:rPr>
        <w:t xml:space="preserve">es el estonio u </w:t>
      </w:r>
      <w:r>
        <w:rPr>
          <w:szCs w:val="24"/>
          <w:lang w:val="es-ES"/>
        </w:rPr>
        <w:t xml:space="preserve">otros idiomas, y </w:t>
      </w:r>
      <w:r w:rsidR="00EF6EA1">
        <w:rPr>
          <w:szCs w:val="24"/>
          <w:lang w:val="es-ES"/>
        </w:rPr>
        <w:t xml:space="preserve">han beneficiado a unas </w:t>
      </w:r>
      <w:r>
        <w:rPr>
          <w:szCs w:val="24"/>
          <w:lang w:val="es-ES"/>
        </w:rPr>
        <w:t>1.200 personas.</w:t>
      </w:r>
      <w:r w:rsidRPr="005E204C">
        <w:rPr>
          <w:szCs w:val="24"/>
          <w:lang w:val="es-ES"/>
        </w:rPr>
        <w:t xml:space="preserve"> </w:t>
      </w:r>
      <w:r>
        <w:rPr>
          <w:szCs w:val="24"/>
          <w:lang w:val="es-ES"/>
        </w:rPr>
        <w:t>Los participantes son personas que hablan estonio y otros idiomas, puesto que también se apoya</w:t>
      </w:r>
      <w:r w:rsidR="00EF6EA1">
        <w:rPr>
          <w:szCs w:val="24"/>
          <w:lang w:val="es-ES"/>
        </w:rPr>
        <w:t>n</w:t>
      </w:r>
      <w:r>
        <w:rPr>
          <w:szCs w:val="24"/>
          <w:lang w:val="es-ES"/>
        </w:rPr>
        <w:t xml:space="preserve"> </w:t>
      </w:r>
      <w:r w:rsidR="00EF6EA1">
        <w:rPr>
          <w:szCs w:val="24"/>
          <w:lang w:val="es-ES"/>
        </w:rPr>
        <w:t xml:space="preserve">los </w:t>
      </w:r>
      <w:r>
        <w:rPr>
          <w:szCs w:val="24"/>
          <w:lang w:val="es-ES"/>
        </w:rPr>
        <w:t>contactos entre jóvenes con distintas lenguas maternas.</w:t>
      </w:r>
    </w:p>
    <w:p w:rsidR="0095061B" w:rsidRPr="005E204C" w:rsidRDefault="0095061B" w:rsidP="00637350">
      <w:pPr>
        <w:pStyle w:val="SingleTxtG"/>
        <w:rPr>
          <w:szCs w:val="24"/>
          <w:lang w:val="es-ES"/>
        </w:rPr>
      </w:pPr>
      <w:r w:rsidRPr="005E204C">
        <w:rPr>
          <w:szCs w:val="24"/>
          <w:lang w:val="es-ES"/>
        </w:rPr>
        <w:t>233.</w:t>
      </w:r>
      <w:r w:rsidRPr="005E204C">
        <w:rPr>
          <w:szCs w:val="24"/>
          <w:lang w:val="es-ES"/>
        </w:rPr>
        <w:tab/>
      </w:r>
      <w:r w:rsidR="00B477B8">
        <w:rPr>
          <w:szCs w:val="24"/>
          <w:lang w:val="es-ES"/>
        </w:rPr>
        <w:t xml:space="preserve">En Estonia se han registrado alrededor de </w:t>
      </w:r>
      <w:r>
        <w:rPr>
          <w:szCs w:val="24"/>
          <w:lang w:val="es-ES"/>
        </w:rPr>
        <w:t>40 escuelas extracurriculares donde se enseña a niños de diferentes nacionalidades la cultura, el idioma y las tradiciones de sus países de origen</w:t>
      </w:r>
      <w:r w:rsidR="000A6690">
        <w:rPr>
          <w:szCs w:val="24"/>
          <w:lang w:val="es-ES"/>
        </w:rPr>
        <w:t>, además de introducir</w:t>
      </w:r>
      <w:r w:rsidR="00B477B8">
        <w:rPr>
          <w:szCs w:val="24"/>
          <w:lang w:val="es-ES"/>
        </w:rPr>
        <w:t xml:space="preserve"> la cultura de esos países entre</w:t>
      </w:r>
      <w:r>
        <w:rPr>
          <w:szCs w:val="24"/>
          <w:lang w:val="es-ES"/>
        </w:rPr>
        <w:t xml:space="preserve"> los residentes estonios.</w:t>
      </w:r>
      <w:r w:rsidRPr="005E204C">
        <w:rPr>
          <w:szCs w:val="24"/>
          <w:lang w:val="es-ES"/>
        </w:rPr>
        <w:t xml:space="preserve"> </w:t>
      </w:r>
      <w:r w:rsidR="00B477B8">
        <w:rPr>
          <w:szCs w:val="24"/>
          <w:lang w:val="es-ES"/>
        </w:rPr>
        <w:t>El Estado contribuye</w:t>
      </w:r>
      <w:r>
        <w:rPr>
          <w:szCs w:val="24"/>
          <w:lang w:val="es-ES"/>
        </w:rPr>
        <w:t xml:space="preserve"> a la financiación básica de las escuelas extracurriculares, a la formación de docentes en Estonia y en el país de origen, y a la enseñanza de la cultura estonia.</w:t>
      </w:r>
      <w:r w:rsidRPr="005E204C">
        <w:rPr>
          <w:szCs w:val="24"/>
          <w:lang w:val="es-ES"/>
        </w:rPr>
        <w:t xml:space="preserve"> </w:t>
      </w:r>
      <w:r>
        <w:rPr>
          <w:szCs w:val="24"/>
          <w:lang w:val="es-ES"/>
        </w:rPr>
        <w:t xml:space="preserve">En el </w:t>
      </w:r>
      <w:r w:rsidR="00EF1EC9">
        <w:rPr>
          <w:szCs w:val="24"/>
          <w:lang w:val="es-ES"/>
        </w:rPr>
        <w:t xml:space="preserve">año </w:t>
      </w:r>
      <w:r>
        <w:rPr>
          <w:szCs w:val="24"/>
          <w:lang w:val="es-ES"/>
        </w:rPr>
        <w:t>escol</w:t>
      </w:r>
      <w:r w:rsidR="00B477B8">
        <w:rPr>
          <w:szCs w:val="24"/>
          <w:lang w:val="es-ES"/>
        </w:rPr>
        <w:t>ar 2010/11,</w:t>
      </w:r>
      <w:r>
        <w:rPr>
          <w:szCs w:val="24"/>
          <w:lang w:val="es-ES"/>
        </w:rPr>
        <w:t xml:space="preserve"> 19 escuelas extracurriculares </w:t>
      </w:r>
      <w:r w:rsidR="00B477B8">
        <w:rPr>
          <w:szCs w:val="24"/>
          <w:lang w:val="es-ES"/>
        </w:rPr>
        <w:t>recibieron fondos por un monto</w:t>
      </w:r>
      <w:r>
        <w:rPr>
          <w:szCs w:val="24"/>
          <w:lang w:val="es-ES"/>
        </w:rPr>
        <w:t xml:space="preserve"> total de 1,2 millones de coronas</w:t>
      </w:r>
      <w:r w:rsidR="00B477B8">
        <w:rPr>
          <w:szCs w:val="24"/>
          <w:lang w:val="es-ES"/>
        </w:rPr>
        <w:t>,</w:t>
      </w:r>
      <w:r>
        <w:rPr>
          <w:szCs w:val="24"/>
          <w:lang w:val="es-ES"/>
        </w:rPr>
        <w:t xml:space="preserve"> o 700 euros</w:t>
      </w:r>
      <w:r w:rsidR="00B477B8">
        <w:rPr>
          <w:szCs w:val="24"/>
          <w:lang w:val="es-ES"/>
        </w:rPr>
        <w:t>, para llevar a cabo sus actividades</w:t>
      </w:r>
      <w:r>
        <w:rPr>
          <w:szCs w:val="24"/>
          <w:lang w:val="es-ES"/>
        </w:rPr>
        <w:t xml:space="preserve">. Durante el </w:t>
      </w:r>
      <w:r w:rsidR="00EF1EC9">
        <w:rPr>
          <w:szCs w:val="24"/>
          <w:lang w:val="es-ES"/>
        </w:rPr>
        <w:t xml:space="preserve">año </w:t>
      </w:r>
      <w:r>
        <w:rPr>
          <w:szCs w:val="24"/>
          <w:lang w:val="es-ES"/>
        </w:rPr>
        <w:t>escolar 2011/12, el Ministerio de Educación e Investigación brindó apoyo a 22 escue</w:t>
      </w:r>
      <w:r w:rsidR="00B477B8">
        <w:rPr>
          <w:szCs w:val="24"/>
          <w:lang w:val="es-ES"/>
        </w:rPr>
        <w:t>las extracurriculares con fondos por valor</w:t>
      </w:r>
      <w:r>
        <w:rPr>
          <w:szCs w:val="24"/>
          <w:lang w:val="es-ES"/>
        </w:rPr>
        <w:t xml:space="preserve"> de 83.678 euros.</w:t>
      </w:r>
    </w:p>
    <w:p w:rsidR="002B77D0" w:rsidRPr="009D66BE" w:rsidRDefault="00B477B8" w:rsidP="00637350">
      <w:pPr>
        <w:pStyle w:val="H23G"/>
      </w:pPr>
      <w:r>
        <w:rPr>
          <w:lang w:val="es-ES"/>
        </w:rPr>
        <w:tab/>
      </w:r>
      <w:r>
        <w:rPr>
          <w:lang w:val="es-ES"/>
        </w:rPr>
        <w:tab/>
      </w:r>
      <w:r>
        <w:t>Ed</w:t>
      </w:r>
      <w:r w:rsidR="002B77D0" w:rsidRPr="009D66BE">
        <w:t>u</w:t>
      </w:r>
      <w:r>
        <w:t>cación en materia de derechos humanos</w:t>
      </w:r>
    </w:p>
    <w:p w:rsidR="00002D98" w:rsidRDefault="007131BF" w:rsidP="00637350">
      <w:pPr>
        <w:pStyle w:val="SingleTxtG"/>
      </w:pPr>
      <w:r w:rsidRPr="002B77D0">
        <w:t>23</w:t>
      </w:r>
      <w:r>
        <w:t>4</w:t>
      </w:r>
      <w:r w:rsidR="002B77D0" w:rsidRPr="002B77D0">
        <w:t>.</w:t>
      </w:r>
      <w:r w:rsidR="002B77D0">
        <w:tab/>
      </w:r>
      <w:r w:rsidR="00EE29D8">
        <w:t>Se han iniciado diversas actividades en diferentes niveles en la esfera de la educa</w:t>
      </w:r>
      <w:r w:rsidR="00520113">
        <w:t>ción con miras a aumentar el</w:t>
      </w:r>
      <w:r w:rsidR="00EE29D8">
        <w:t xml:space="preserve"> entendimiento mutuo,</w:t>
      </w:r>
      <w:r w:rsidR="00520113">
        <w:t xml:space="preserve"> la</w:t>
      </w:r>
      <w:r w:rsidR="00EE29D8">
        <w:t xml:space="preserve"> tolerancia</w:t>
      </w:r>
      <w:r w:rsidR="00520113">
        <w:t xml:space="preserve"> y la cohesión social, así como</w:t>
      </w:r>
      <w:r w:rsidR="00EE29D8">
        <w:t xml:space="preserve"> desarrollar los planes nacionales de estudios. Los principales conocimientos y competencias para comunicarse </w:t>
      </w:r>
      <w:r w:rsidR="00002D98">
        <w:t>con diferentes personas se adquieren ya durante la etapa de la enseñanza preescolar.</w:t>
      </w:r>
    </w:p>
    <w:p w:rsidR="002B77D0" w:rsidRPr="002B77D0" w:rsidRDefault="007131BF" w:rsidP="00637350">
      <w:pPr>
        <w:pStyle w:val="SingleTxtG"/>
      </w:pPr>
      <w:r w:rsidRPr="002B77D0">
        <w:t>23</w:t>
      </w:r>
      <w:r>
        <w:t>5</w:t>
      </w:r>
      <w:r w:rsidR="002B77D0" w:rsidRPr="002B77D0">
        <w:t>.</w:t>
      </w:r>
      <w:r w:rsidR="002B77D0">
        <w:tab/>
      </w:r>
      <w:r w:rsidR="00D916B4">
        <w:t>Entre los principios incluidos en los planes nacionales de estudios para los centros de atención infantil preescolar figuran los siguientes: valoración de la relaciones humanas y democráticas; valoración de las tradiciones culturales de Estonia y examen de las particularidades de otras culturas.</w:t>
      </w:r>
      <w:r w:rsidR="002B77D0" w:rsidRPr="002B77D0">
        <w:t xml:space="preserve"> </w:t>
      </w:r>
      <w:r w:rsidR="0026269D">
        <w:t xml:space="preserve">Tales principios se respetan al organizar las actividades educativas y escolares, al diseñar el entorno de estudio y en la comunicación </w:t>
      </w:r>
      <w:r w:rsidR="00133462">
        <w:t xml:space="preserve">diaria </w:t>
      </w:r>
      <w:r w:rsidR="0026269D">
        <w:t>en los centros de atención infantil preescolar</w:t>
      </w:r>
      <w:r w:rsidR="002B77D0" w:rsidRPr="002B77D0">
        <w:t>.</w:t>
      </w:r>
    </w:p>
    <w:p w:rsidR="002B77D0" w:rsidRPr="002B77D0" w:rsidRDefault="007131BF" w:rsidP="00637350">
      <w:pPr>
        <w:pStyle w:val="SingleTxtG"/>
      </w:pPr>
      <w:r w:rsidRPr="002B77D0">
        <w:t>23</w:t>
      </w:r>
      <w:r>
        <w:t>6</w:t>
      </w:r>
      <w:r w:rsidR="002B77D0" w:rsidRPr="002B77D0">
        <w:t>.</w:t>
      </w:r>
      <w:r w:rsidR="002B77D0">
        <w:tab/>
      </w:r>
      <w:r w:rsidR="00133462">
        <w:t>Entre los objetivos de estudio de la asignatura del medio social incluidos en los planes nacionales de estudios para las escuelas de enseñanza básica se incluyen los siguientes</w:t>
      </w:r>
      <w:r w:rsidR="002B77D0" w:rsidRPr="002B77D0">
        <w:t xml:space="preserve">: </w:t>
      </w:r>
      <w:r w:rsidR="00133462">
        <w:t>los alumnos deben conocer y poder utilizar en su contexto expresiones tales como derechos humanos, derechos fundamentales, derechos socioeconómicos, derechos políticos, derechos culturales, etc.;</w:t>
      </w:r>
      <w:r w:rsidR="002B77D0" w:rsidRPr="002B77D0">
        <w:t xml:space="preserve"> </w:t>
      </w:r>
      <w:r w:rsidR="00133462">
        <w:t>deben conocer los derechos humanos de los niños y los principios relacionados con la protección de la infancia,</w:t>
      </w:r>
      <w:r w:rsidR="002B77D0" w:rsidRPr="002B77D0">
        <w:t xml:space="preserve"> </w:t>
      </w:r>
      <w:r w:rsidR="00D37368">
        <w:t>así como observar las violaciones de tales derechos, con inclusión de la violencia, el maltrato, la trata de seres humanos,</w:t>
      </w:r>
      <w:r w:rsidR="002B77D0" w:rsidRPr="002B77D0">
        <w:t xml:space="preserve"> etc</w:t>
      </w:r>
      <w:r w:rsidR="00D37368">
        <w:t>.</w:t>
      </w:r>
      <w:r w:rsidR="002B77D0" w:rsidRPr="002B77D0">
        <w:t>;</w:t>
      </w:r>
      <w:r w:rsidR="005466A4">
        <w:t xml:space="preserve"> </w:t>
      </w:r>
      <w:r w:rsidR="00D37368">
        <w:t>y conocer la relación que exist</w:t>
      </w:r>
      <w:r w:rsidR="00D7631F">
        <w:t>e entre derechos y obligaciones y entre</w:t>
      </w:r>
      <w:r w:rsidR="00D37368">
        <w:t xml:space="preserve"> libertad y responsabilidad</w:t>
      </w:r>
      <w:r w:rsidR="002B77D0" w:rsidRPr="002B77D0">
        <w:t xml:space="preserve">. </w:t>
      </w:r>
      <w:r w:rsidR="00D37368">
        <w:t xml:space="preserve">Esos conocimientos y competencias se adquieren, por ejemplo, familiarizándose con </w:t>
      </w:r>
      <w:smartTag w:uri="urn:schemas-microsoft-com:office:smarttags" w:element="PersonName">
        <w:smartTagPr>
          <w:attr w:name="ProductID" w:val="la Constituci￳n"/>
        </w:smartTagPr>
        <w:r w:rsidR="00D37368">
          <w:t>la Constitución</w:t>
        </w:r>
      </w:smartTag>
      <w:r w:rsidR="00D37368">
        <w:t xml:space="preserve"> de Estonia, </w:t>
      </w:r>
      <w:smartTag w:uri="urn:schemas-microsoft-com:office:smarttags" w:element="PersonName">
        <w:smartTagPr>
          <w:attr w:name="ProductID" w:val="la Declaraci￳n Universal"/>
        </w:smartTagPr>
        <w:r w:rsidR="00D37368">
          <w:t>la Declaración Universal</w:t>
        </w:r>
      </w:smartTag>
      <w:r w:rsidR="00D37368">
        <w:t xml:space="preserve"> de Derechos Humanos de las Naciones Unidas, y </w:t>
      </w:r>
      <w:smartTag w:uri="urn:schemas-microsoft-com:office:smarttags" w:element="PersonName">
        <w:smartTagPr>
          <w:attr w:name="ProductID" w:val="la Convenci￳n"/>
        </w:smartTagPr>
        <w:r w:rsidR="00D37368">
          <w:t>la Convención</w:t>
        </w:r>
      </w:smartTag>
      <w:r w:rsidR="00D37368">
        <w:t xml:space="preserve"> sobre los Derechos del Niño, disponibles en la escuela y en las clases.</w:t>
      </w:r>
    </w:p>
    <w:p w:rsidR="002B77D0" w:rsidRPr="002B77D0" w:rsidRDefault="007131BF" w:rsidP="00637350">
      <w:pPr>
        <w:pStyle w:val="SingleTxtG"/>
      </w:pPr>
      <w:r w:rsidRPr="002B77D0">
        <w:t>23</w:t>
      </w:r>
      <w:r>
        <w:t>7</w:t>
      </w:r>
      <w:r w:rsidR="002B77D0" w:rsidRPr="002B77D0">
        <w:t>.</w:t>
      </w:r>
      <w:r w:rsidR="002B77D0">
        <w:tab/>
      </w:r>
      <w:r w:rsidR="00D37368">
        <w:t>Por lo que se refiere a la formación principal y en el empleo de los docentes</w:t>
      </w:r>
      <w:r w:rsidR="002B77D0" w:rsidRPr="002B77D0">
        <w:t xml:space="preserve">, </w:t>
      </w:r>
      <w:r w:rsidR="00306352">
        <w:t xml:space="preserve">los programas </w:t>
      </w:r>
      <w:r w:rsidR="00D37368">
        <w:t xml:space="preserve">se preparan sobre la base de los planes nacionales de estudios, entre otras cosas. Los temas relacionados con los derechos humanos </w:t>
      </w:r>
      <w:r w:rsidR="00D7631F">
        <w:t>se tratan en profundidad en el marco de</w:t>
      </w:r>
      <w:r w:rsidR="00D37368">
        <w:t xml:space="preserve"> la formación en el empleo de los docentes</w:t>
      </w:r>
      <w:r w:rsidR="00306352">
        <w:t>,</w:t>
      </w:r>
      <w:r w:rsidR="002B77D0" w:rsidRPr="002B77D0">
        <w:t xml:space="preserve"> </w:t>
      </w:r>
      <w:r w:rsidR="00D7631F">
        <w:t>por ejemplo</w:t>
      </w:r>
      <w:r w:rsidR="00306352">
        <w:t xml:space="preserve"> la </w:t>
      </w:r>
      <w:r w:rsidR="00D7631F">
        <w:t xml:space="preserve">que imparte </w:t>
      </w:r>
      <w:r w:rsidR="00306352">
        <w:t>el Instituto de Derechos Humanos de Estonia</w:t>
      </w:r>
      <w:r w:rsidR="002B77D0" w:rsidRPr="002B77D0">
        <w:t>.</w:t>
      </w:r>
    </w:p>
    <w:p w:rsidR="002B77D0" w:rsidRPr="002B77D0" w:rsidRDefault="007131BF" w:rsidP="00637350">
      <w:pPr>
        <w:pStyle w:val="SingleTxtG"/>
      </w:pPr>
      <w:r w:rsidRPr="002B77D0">
        <w:t>23</w:t>
      </w:r>
      <w:r>
        <w:t>8</w:t>
      </w:r>
      <w:r w:rsidR="002B77D0" w:rsidRPr="002B77D0">
        <w:t>.</w:t>
      </w:r>
      <w:r w:rsidR="009D66BE">
        <w:tab/>
      </w:r>
      <w:r w:rsidR="00306352">
        <w:t xml:space="preserve">Los planes nacionales de estudios de la enseñanza general incluyen educación en materia de derechos humanos. El 1 de septiembre de 2011 se introdujeron en Estonia un nuevo plan nacional de estudios para las escuelas de enseñanza básica y otro para las </w:t>
      </w:r>
      <w:r w:rsidR="00C36768">
        <w:t xml:space="preserve">escuelas de </w:t>
      </w:r>
      <w:r w:rsidR="00306352">
        <w:t>secundaria superior.</w:t>
      </w:r>
      <w:r w:rsidR="002B77D0" w:rsidRPr="002B77D0">
        <w:t xml:space="preserve"> </w:t>
      </w:r>
      <w:r w:rsidR="00743FE6">
        <w:t xml:space="preserve">Los planes nacionales de estudios ponen de relieve los valores derivados de los principios éticos que se especifican en </w:t>
      </w:r>
      <w:smartTag w:uri="urn:schemas-microsoft-com:office:smarttags" w:element="PersonName">
        <w:smartTagPr>
          <w:attr w:name="ProductID" w:val="la Constituci￳n"/>
        </w:smartTagPr>
        <w:r w:rsidR="00743FE6">
          <w:t>la Constitución</w:t>
        </w:r>
      </w:smartTag>
      <w:r w:rsidR="00743FE6">
        <w:t xml:space="preserve"> de </w:t>
      </w:r>
      <w:smartTag w:uri="urn:schemas-microsoft-com:office:smarttags" w:element="PersonName">
        <w:smartTagPr>
          <w:attr w:name="ProductID" w:val="la Rep￺blica"/>
        </w:smartTagPr>
        <w:r w:rsidR="00743FE6">
          <w:t>la República</w:t>
        </w:r>
      </w:smartTag>
      <w:r w:rsidR="00743FE6">
        <w:t xml:space="preserve"> de Estonia, </w:t>
      </w:r>
      <w:smartTag w:uri="urn:schemas-microsoft-com:office:smarttags" w:element="PersonName">
        <w:smartTagPr>
          <w:attr w:name="ProductID" w:val="la Declaraci￳n Universal"/>
        </w:smartTagPr>
        <w:r w:rsidR="00743FE6">
          <w:t>la Declaración Universal</w:t>
        </w:r>
      </w:smartTag>
      <w:r w:rsidR="00743FE6">
        <w:t xml:space="preserve"> de Derechos Humanos, </w:t>
      </w:r>
      <w:smartTag w:uri="urn:schemas-microsoft-com:office:smarttags" w:element="PersonName">
        <w:smartTagPr>
          <w:attr w:name="ProductID" w:val="la Convenci￳n"/>
        </w:smartTagPr>
        <w:r w:rsidR="00743FE6">
          <w:t>la Convención</w:t>
        </w:r>
      </w:smartTag>
      <w:r w:rsidR="00743FE6">
        <w:t xml:space="preserve"> sobre los Derechos del Niño y los tratados de </w:t>
      </w:r>
      <w:smartTag w:uri="urn:schemas-microsoft-com:office:smarttags" w:element="PersonName">
        <w:smartTagPr>
          <w:attr w:name="ProductID" w:val="la Uni￳n Europea."/>
        </w:smartTagPr>
        <w:r w:rsidR="00743FE6">
          <w:t>la Unión Europea.</w:t>
        </w:r>
      </w:smartTag>
      <w:r w:rsidR="00743FE6">
        <w:t xml:space="preserve"> Se concede gran importancia a valores básicos como los valores humanos universales</w:t>
      </w:r>
      <w:r w:rsidR="002B77D0" w:rsidRPr="002B77D0">
        <w:rPr>
          <w:iCs/>
        </w:rPr>
        <w:t xml:space="preserve"> (</w:t>
      </w:r>
      <w:r w:rsidR="00743FE6">
        <w:rPr>
          <w:iCs/>
        </w:rPr>
        <w:t>honradez, consideración, respeto por la vida, equidad, dignidad humana, respeto hacia una mismo y hacia los demás</w:t>
      </w:r>
      <w:r w:rsidR="002B77D0" w:rsidRPr="002B77D0">
        <w:rPr>
          <w:iCs/>
        </w:rPr>
        <w:t xml:space="preserve">) </w:t>
      </w:r>
      <w:r w:rsidR="00743FE6">
        <w:rPr>
          <w:iCs/>
        </w:rPr>
        <w:t xml:space="preserve">y los valores sociales </w:t>
      </w:r>
      <w:r w:rsidR="002B77D0" w:rsidRPr="002B77D0">
        <w:rPr>
          <w:iCs/>
        </w:rPr>
        <w:t>(</w:t>
      </w:r>
      <w:r w:rsidR="00743FE6">
        <w:rPr>
          <w:iCs/>
        </w:rPr>
        <w:t>libertad, democracia, respeto por la lengua y la cultura maternas, patriotismo, diversidad cultural, tolerancia, sos</w:t>
      </w:r>
      <w:r w:rsidR="00C36768">
        <w:rPr>
          <w:iCs/>
        </w:rPr>
        <w:t>tenibilidad del medio ambiente, legalidad, solidaridad, responsabilidad e igualdad de género</w:t>
      </w:r>
      <w:r w:rsidR="002B77D0" w:rsidRPr="002B77D0">
        <w:rPr>
          <w:iCs/>
        </w:rPr>
        <w:t>)</w:t>
      </w:r>
      <w:r w:rsidR="002B77D0" w:rsidRPr="002B77D0">
        <w:t xml:space="preserve">. </w:t>
      </w:r>
      <w:r w:rsidR="00C36768">
        <w:t>Los planes nacionales de estudios establecen el aprendizaje de las asignaturas sociales, y ayudan a los alumnos a convertirse en miembros competentes y respetuosos de la sociedad, capaces de desarrollar todo su potencial. La educación social tiene por objeto que los alumnos respeten los derechos humanos y principios democráticos tales como la legalidad, conozcan la relación entre libertad y responsabilidad, respeten a las demás personas, valoren la diversidad, contribuyan a la cohesión social y al desarrollo sostenible de la sociedad</w:t>
      </w:r>
      <w:r w:rsidR="002B77D0" w:rsidRPr="002B77D0">
        <w:t xml:space="preserve">, </w:t>
      </w:r>
      <w:r w:rsidR="00C36768">
        <w:t>luchen contra las violaciones de las normas y respeten las leyes, entre otras cosas</w:t>
      </w:r>
      <w:r w:rsidR="002B77D0" w:rsidRPr="002B77D0">
        <w:t>.</w:t>
      </w:r>
    </w:p>
    <w:p w:rsidR="002B77D0" w:rsidRPr="002B77D0" w:rsidRDefault="007131BF" w:rsidP="00637350">
      <w:pPr>
        <w:pStyle w:val="SingleTxtG"/>
      </w:pPr>
      <w:r w:rsidRPr="002B77D0">
        <w:t>23</w:t>
      </w:r>
      <w:r>
        <w:t>9</w:t>
      </w:r>
      <w:r w:rsidR="002B77D0" w:rsidRPr="002B77D0">
        <w:t>.</w:t>
      </w:r>
      <w:r w:rsidR="002B77D0">
        <w:tab/>
      </w:r>
      <w:r w:rsidR="00D7631F">
        <w:t>En las escuelas de enseñanza general, el tema de la discriminación se aborda en</w:t>
      </w:r>
      <w:r w:rsidR="00245E80">
        <w:t xml:space="preserve"> las clases de educación cívica y humanidades</w:t>
      </w:r>
      <w:r w:rsidR="007A5061">
        <w:t>. Dicho tema se incluye también</w:t>
      </w:r>
      <w:r w:rsidR="00D7631F">
        <w:t xml:space="preserve"> </w:t>
      </w:r>
      <w:r w:rsidR="00245E80">
        <w:t>en los materiales didácticos</w:t>
      </w:r>
      <w:r w:rsidR="00D7631F">
        <w:t xml:space="preserve"> pertinentes. Se crean materiales de estudio adicionales en el entorno de aprendizaje virtual </w:t>
      </w:r>
      <w:r w:rsidR="002B77D0" w:rsidRPr="002B77D0">
        <w:t>MIKSIKE (</w:t>
      </w:r>
      <w:r w:rsidR="002B77D0" w:rsidRPr="008F6BAB">
        <w:t>www.miksike.ee</w:t>
      </w:r>
      <w:r w:rsidR="002B77D0" w:rsidRPr="002B77D0">
        <w:t xml:space="preserve">). </w:t>
      </w:r>
      <w:r w:rsidR="002B30FC">
        <w:t>Se han preparado e impreso</w:t>
      </w:r>
      <w:r w:rsidR="00D7631F">
        <w:t xml:space="preserve"> </w:t>
      </w:r>
      <w:smartTag w:uri="urn:schemas-microsoft-com:office:smarttags" w:element="PersonName">
        <w:smartTagPr>
          <w:attr w:name="ProductID" w:val="la Carta"/>
        </w:smartTagPr>
        <w:r w:rsidR="00D7631F">
          <w:t>la Carta</w:t>
        </w:r>
      </w:smartTag>
      <w:r w:rsidR="00D7631F">
        <w:t xml:space="preserve"> de lo</w:t>
      </w:r>
      <w:r w:rsidR="007A5061">
        <w:t xml:space="preserve">s Derechos Fundamentales de </w:t>
      </w:r>
      <w:smartTag w:uri="urn:schemas-microsoft-com:office:smarttags" w:element="PersonName">
        <w:smartTagPr>
          <w:attr w:name="ProductID" w:val="la Uni￳n Europea"/>
        </w:smartTagPr>
        <w:r w:rsidR="007A5061">
          <w:t>la Unión E</w:t>
        </w:r>
        <w:r w:rsidR="00D7631F">
          <w:t>uropea</w:t>
        </w:r>
      </w:smartTag>
      <w:r w:rsidR="00D7631F">
        <w:t xml:space="preserve"> </w:t>
      </w:r>
      <w:r w:rsidR="002B30FC">
        <w:t xml:space="preserve">y sus observaciones </w:t>
      </w:r>
      <w:r w:rsidR="00D7631F">
        <w:t xml:space="preserve">en los idioma ruso </w:t>
      </w:r>
      <w:r w:rsidR="007A5061">
        <w:t>y estonio</w:t>
      </w:r>
      <w:r w:rsidR="002B30FC">
        <w:t>,</w:t>
      </w:r>
      <w:r w:rsidR="007A5061">
        <w:t xml:space="preserve"> para su distribución en</w:t>
      </w:r>
      <w:r w:rsidR="00D7631F">
        <w:t xml:space="preserve"> las escuelas</w:t>
      </w:r>
      <w:r w:rsidR="002B77D0" w:rsidRPr="002B77D0">
        <w:t xml:space="preserve">. </w:t>
      </w:r>
      <w:r w:rsidR="007A5061">
        <w:t>Ent</w:t>
      </w:r>
      <w:r w:rsidR="00245E80">
        <w:t>re los materiales didácticos</w:t>
      </w:r>
      <w:r w:rsidR="007A5061">
        <w:t xml:space="preserve"> de las escuelas figuran asimismo </w:t>
      </w:r>
      <w:smartTag w:uri="urn:schemas-microsoft-com:office:smarttags" w:element="PersonName">
        <w:smartTagPr>
          <w:attr w:name="ProductID" w:val="la Convenci￳n"/>
        </w:smartTagPr>
        <w:r w:rsidR="007A5061">
          <w:t>la Convención</w:t>
        </w:r>
      </w:smartTag>
      <w:r w:rsidR="007A5061">
        <w:t xml:space="preserve"> sobre los Derechos del Niño y </w:t>
      </w:r>
      <w:smartTag w:uri="urn:schemas-microsoft-com:office:smarttags" w:element="PersonName">
        <w:smartTagPr>
          <w:attr w:name="ProductID" w:val="la Declaraci￳n Universal"/>
        </w:smartTagPr>
        <w:r w:rsidR="007A5061">
          <w:t>la Declaración Universal</w:t>
        </w:r>
      </w:smartTag>
      <w:r w:rsidR="007A5061">
        <w:t xml:space="preserve"> de Derechos Humanos</w:t>
      </w:r>
      <w:r w:rsidR="002B77D0" w:rsidRPr="002B77D0">
        <w:t>.</w:t>
      </w:r>
    </w:p>
    <w:p w:rsidR="002B77D0" w:rsidRPr="002B77D0" w:rsidRDefault="007131BF" w:rsidP="00637350">
      <w:pPr>
        <w:pStyle w:val="SingleTxtG"/>
      </w:pPr>
      <w:r w:rsidRPr="002B77D0">
        <w:t>2</w:t>
      </w:r>
      <w:r>
        <w:t>40</w:t>
      </w:r>
      <w:r w:rsidR="002B77D0" w:rsidRPr="002B77D0">
        <w:t>.</w:t>
      </w:r>
      <w:r w:rsidR="002B77D0">
        <w:tab/>
      </w:r>
      <w:r w:rsidR="007A5061">
        <w:t>El Instituto de Derechos Humanos de Estonia informa sobre el derecho a protegerse frente a la discriminación racial mediante la educación y el asesoramiento en materia de derechos humanos, así como en el marco de proyectos internacionales y nacionales</w:t>
      </w:r>
      <w:r w:rsidR="002B77D0" w:rsidRPr="002B77D0">
        <w:t xml:space="preserve"> </w:t>
      </w:r>
      <w:r w:rsidR="005D122D">
        <w:t>(por </w:t>
      </w:r>
      <w:r w:rsidR="007A5061">
        <w:t>ejemplo, los proy</w:t>
      </w:r>
      <w:r w:rsidR="002B77D0" w:rsidRPr="002B77D0">
        <w:t>ect</w:t>
      </w:r>
      <w:r w:rsidR="007A5061">
        <w:t>o</w:t>
      </w:r>
      <w:r w:rsidR="002B77D0" w:rsidRPr="002B77D0">
        <w:t xml:space="preserve">s FRALEX, FWC COM Lot 1). </w:t>
      </w:r>
      <w:r w:rsidR="007A5061">
        <w:t>El Instituto</w:t>
      </w:r>
      <w:r w:rsidR="002B77D0" w:rsidRPr="002B77D0">
        <w:t xml:space="preserve"> organ</w:t>
      </w:r>
      <w:r w:rsidR="007A5061">
        <w:t>iza</w:t>
      </w:r>
      <w:r w:rsidR="002B77D0" w:rsidRPr="002B77D0">
        <w:t xml:space="preserve"> seminar</w:t>
      </w:r>
      <w:r w:rsidR="007A5061">
        <w:t>ios y</w:t>
      </w:r>
      <w:r w:rsidR="002B77D0" w:rsidRPr="002B77D0">
        <w:t xml:space="preserve"> </w:t>
      </w:r>
      <w:r w:rsidR="007A5061">
        <w:t xml:space="preserve">eventos </w:t>
      </w:r>
      <w:r w:rsidR="002B77D0" w:rsidRPr="002B77D0">
        <w:t>informati</w:t>
      </w:r>
      <w:r w:rsidR="007A5061">
        <w:t>vos e</w:t>
      </w:r>
      <w:r w:rsidR="002B77D0" w:rsidRPr="002B77D0">
        <w:t>n</w:t>
      </w:r>
      <w:r w:rsidR="007A5061">
        <w:t xml:space="preserve"> el Condado de Ida-Viru y en Talli</w:t>
      </w:r>
      <w:r w:rsidR="002B77D0" w:rsidRPr="002B77D0">
        <w:t xml:space="preserve">n. </w:t>
      </w:r>
      <w:r w:rsidR="007A5061">
        <w:t>Entre los participantes también figuran alumnos de diversas instituciones educativas</w:t>
      </w:r>
      <w:r w:rsidR="002B77D0" w:rsidRPr="002B77D0">
        <w:t>.</w:t>
      </w:r>
    </w:p>
    <w:p w:rsidR="002B77D0" w:rsidRPr="002B77D0" w:rsidRDefault="007131BF" w:rsidP="00637350">
      <w:pPr>
        <w:pStyle w:val="SingleTxtG"/>
      </w:pPr>
      <w:r w:rsidRPr="002B77D0">
        <w:t>24</w:t>
      </w:r>
      <w:r>
        <w:t>1</w:t>
      </w:r>
      <w:r w:rsidR="002B77D0" w:rsidRPr="002B77D0">
        <w:t>.</w:t>
      </w:r>
      <w:r w:rsidR="002B77D0">
        <w:tab/>
      </w:r>
      <w:r w:rsidR="00DB402E">
        <w:t>E</w:t>
      </w:r>
      <w:r w:rsidR="002B77D0" w:rsidRPr="002B77D0">
        <w:t xml:space="preserve">n 2009, </w:t>
      </w:r>
      <w:r w:rsidR="00DB402E">
        <w:t xml:space="preserve">el Instituto de Derechos Humanos de Estonia y </w:t>
      </w:r>
      <w:smartTag w:uri="urn:schemas-microsoft-com:office:smarttags" w:element="PersonName">
        <w:smartTagPr>
          <w:attr w:name="ProductID" w:val="la Uni￳n"/>
        </w:smartTagPr>
        <w:r w:rsidR="00DB402E">
          <w:t>la Unión</w:t>
        </w:r>
      </w:smartTag>
      <w:r w:rsidR="00DB402E">
        <w:t xml:space="preserve"> para el Bienestar de </w:t>
      </w:r>
      <w:smartTag w:uri="urn:schemas-microsoft-com:office:smarttags" w:element="PersonName">
        <w:smartTagPr>
          <w:attr w:name="ProductID" w:val="la Infancia"/>
        </w:smartTagPr>
        <w:r w:rsidR="00DB402E">
          <w:t>la Infancia</w:t>
        </w:r>
      </w:smartTag>
      <w:r w:rsidR="00DB402E">
        <w:t xml:space="preserve"> prepararon el material de estudio sobre los derechos humanos, que se ha modificado y ampliado con arreglo a la evolución del derecho internacional y de las leyes nacionales</w:t>
      </w:r>
      <w:r w:rsidR="002B77D0" w:rsidRPr="002B77D0">
        <w:t xml:space="preserve">. </w:t>
      </w:r>
      <w:r w:rsidR="00DB402E">
        <w:t>El material de estudio incluye una visión general del derecho a protegerse contra la discriminación racial, de conformidad con los instrumentos y mecanismos del derecho internacional. El material de estudio sobre los derechos humanos puede consultarse de forma gratuita en el sitio web del Instituto de Dere</w:t>
      </w:r>
      <w:r w:rsidR="002B30FC">
        <w:t>chos Humanos de Estonia</w:t>
      </w:r>
      <w:r w:rsidR="002B77D0">
        <w:rPr>
          <w:rStyle w:val="FootnoteReference"/>
        </w:rPr>
        <w:footnoteReference w:id="46"/>
      </w:r>
      <w:r w:rsidR="009B72DA">
        <w:t>.</w:t>
      </w:r>
    </w:p>
    <w:p w:rsidR="002B77D0" w:rsidRPr="002B77D0" w:rsidRDefault="007131BF" w:rsidP="00637350">
      <w:pPr>
        <w:pStyle w:val="SingleTxtG"/>
      </w:pPr>
      <w:r w:rsidRPr="002B77D0">
        <w:t>24</w:t>
      </w:r>
      <w:r>
        <w:t>2</w:t>
      </w:r>
      <w:r w:rsidR="002B77D0" w:rsidRPr="002B77D0">
        <w:t>.</w:t>
      </w:r>
      <w:r w:rsidR="002B77D0">
        <w:tab/>
      </w:r>
      <w:r w:rsidR="00DB402E">
        <w:t>Desde 2012, el Instituto de Derechos Humanos de Estonia</w:t>
      </w:r>
      <w:r w:rsidR="00245E80">
        <w:t>,</w:t>
      </w:r>
      <w:r w:rsidR="00DB402E">
        <w:t xml:space="preserve"> en cooperación con </w:t>
      </w:r>
      <w:smartTag w:uri="urn:schemas-microsoft-com:office:smarttags" w:element="PersonName">
        <w:smartTagPr>
          <w:attr w:name="ProductID" w:val="la Asociaci￳n"/>
        </w:smartTagPr>
        <w:r w:rsidR="00DB402E">
          <w:t>la Asociación</w:t>
        </w:r>
      </w:smartTag>
      <w:r w:rsidR="00DB402E">
        <w:t xml:space="preserve"> de Profesores de Historia y el Ministerio de Educ</w:t>
      </w:r>
      <w:r w:rsidR="00245E80">
        <w:t>ación e Investigación, organiza</w:t>
      </w:r>
      <w:r w:rsidR="00DB402E">
        <w:t xml:space="preserve"> el proyecto </w:t>
      </w:r>
      <w:r w:rsidR="002B491B">
        <w:rPr>
          <w:szCs w:val="24"/>
          <w:lang w:val="es-ES"/>
        </w:rPr>
        <w:t>"</w:t>
      </w:r>
      <w:r w:rsidR="00245E80">
        <w:t>R</w:t>
      </w:r>
      <w:r w:rsidR="002B77D0" w:rsidRPr="002B77D0">
        <w:t>e</w:t>
      </w:r>
      <w:r w:rsidR="00245E80">
        <w:t>greso al futuro</w:t>
      </w:r>
      <w:r w:rsidR="002B491B">
        <w:rPr>
          <w:szCs w:val="24"/>
          <w:lang w:val="es-ES"/>
        </w:rPr>
        <w:t>"</w:t>
      </w:r>
      <w:r w:rsidR="002B77D0" w:rsidRPr="002B77D0">
        <w:t xml:space="preserve">. </w:t>
      </w:r>
      <w:r w:rsidR="00245E80">
        <w:t>En el marco del proyecto se organizan jornadas de información sobre los derechos humanos para los profesores de historia y educación cí</w:t>
      </w:r>
      <w:r w:rsidR="00360605">
        <w:t>vica. El objetivo de es</w:t>
      </w:r>
      <w:r w:rsidR="00245E80">
        <w:t>a formación es facilitar una introducción al tema de los derec</w:t>
      </w:r>
      <w:r w:rsidR="00360605">
        <w:t>hos humanos, al tiempo que el</w:t>
      </w:r>
      <w:r w:rsidR="00245E80">
        <w:t xml:space="preserve"> tema se vincula a la historia de Estonia. También se introducen los princip</w:t>
      </w:r>
      <w:r w:rsidR="00360605">
        <w:t xml:space="preserve">ios y métodos para </w:t>
      </w:r>
      <w:r w:rsidR="00245E80">
        <w:t>el aprendizaje de los derechos humanos</w:t>
      </w:r>
      <w:r w:rsidR="00360605">
        <w:t>,</w:t>
      </w:r>
      <w:r w:rsidR="00245E80">
        <w:t xml:space="preserve"> así como</w:t>
      </w:r>
      <w:r w:rsidR="005466A4">
        <w:t xml:space="preserve"> </w:t>
      </w:r>
      <w:r w:rsidR="00360605">
        <w:t>el material didáctico pertinente, que los profesor</w:t>
      </w:r>
      <w:r w:rsidR="00245E80">
        <w:t xml:space="preserve">es </w:t>
      </w:r>
      <w:r w:rsidR="00360605">
        <w:t>y activistas de la sociedad civil pueden utilizar en su trabajo y sus actividades docentes. Además, el Instituto tiene la intención de contribuir con un capítulo sobre los derechos humanos</w:t>
      </w:r>
      <w:r w:rsidR="002B77D0" w:rsidRPr="002B77D0">
        <w:t xml:space="preserve"> </w:t>
      </w:r>
      <w:r w:rsidR="00360605">
        <w:t>al libro de texto de estudios sociales que se utiliza en las escuelas de enseñanza general</w:t>
      </w:r>
      <w:r w:rsidR="002B77D0" w:rsidRPr="002B77D0">
        <w:t>.</w:t>
      </w:r>
    </w:p>
    <w:p w:rsidR="002B77D0" w:rsidRPr="002B77D0" w:rsidRDefault="007131BF" w:rsidP="00637350">
      <w:pPr>
        <w:pStyle w:val="SingleTxtG"/>
      </w:pPr>
      <w:r w:rsidRPr="002B77D0">
        <w:t>24</w:t>
      </w:r>
      <w:r>
        <w:t>3</w:t>
      </w:r>
      <w:r w:rsidR="002B77D0" w:rsidRPr="002B77D0">
        <w:t>.</w:t>
      </w:r>
      <w:r w:rsidR="002B77D0">
        <w:tab/>
      </w:r>
      <w:r w:rsidR="0044561A">
        <w:t xml:space="preserve">En 2000 y 2008, </w:t>
      </w:r>
      <w:smartTag w:uri="urn:schemas-microsoft-com:office:smarttags" w:element="PersonName">
        <w:smartTagPr>
          <w:attr w:name="ProductID" w:val="la Asociaci￳n"/>
        </w:smartTagPr>
        <w:r w:rsidR="0044561A">
          <w:t>la Asociación</w:t>
        </w:r>
      </w:smartTag>
      <w:r w:rsidR="0044561A">
        <w:t xml:space="preserve"> de Profesores de Historia y Educación Cívica de Estonia participó en el proyecto internacional de educación en materia de derechos humanos</w:t>
      </w:r>
      <w:r w:rsidR="002B77D0" w:rsidRPr="002B77D0">
        <w:t xml:space="preserve">. </w:t>
      </w:r>
      <w:r w:rsidR="0044561A">
        <w:t xml:space="preserve">En el marco de ese proyecto, el 2 de febrero de 2008 se celebró un taller para responder al cuestionario </w:t>
      </w:r>
      <w:r w:rsidR="002B77D0" w:rsidRPr="002B77D0">
        <w:t xml:space="preserve">EUROCLIO </w:t>
      </w:r>
      <w:r w:rsidR="0044561A">
        <w:t>sobre educación en materia de derechos humanos y examinar las posibilidades de abordar el tema de forma más eficiente en las escuelas de enseñanza general</w:t>
      </w:r>
      <w:r w:rsidR="002B77D0" w:rsidRPr="002B77D0">
        <w:t xml:space="preserve">. </w:t>
      </w:r>
      <w:r w:rsidR="0044561A">
        <w:t xml:space="preserve">El objetivo del proyecto era compartir experiencias de enseñanza de los derechos humanos en los países participantes. Estonia presentó un capítulo de la compilación titulada </w:t>
      </w:r>
      <w:r w:rsidR="002B491B">
        <w:rPr>
          <w:szCs w:val="24"/>
          <w:lang w:val="es-ES"/>
        </w:rPr>
        <w:t>"</w:t>
      </w:r>
      <w:r w:rsidR="0044561A">
        <w:t>El individuo y la sociedad</w:t>
      </w:r>
      <w:r w:rsidR="002B491B">
        <w:rPr>
          <w:szCs w:val="24"/>
          <w:lang w:val="es-ES"/>
        </w:rPr>
        <w:t>"</w:t>
      </w:r>
      <w:r w:rsidR="0044561A">
        <w:t xml:space="preserve"> al comité de evaluación del material didáctico, que este valoró de forma muy positiva</w:t>
      </w:r>
      <w:r w:rsidR="002B77D0" w:rsidRPr="002B77D0">
        <w:t>.</w:t>
      </w:r>
    </w:p>
    <w:p w:rsidR="002B77D0" w:rsidRPr="002B77D0" w:rsidRDefault="007131BF" w:rsidP="00637350">
      <w:pPr>
        <w:pStyle w:val="SingleTxtG"/>
      </w:pPr>
      <w:r w:rsidRPr="002B77D0">
        <w:t>24</w:t>
      </w:r>
      <w:r>
        <w:t>4</w:t>
      </w:r>
      <w:r w:rsidR="002B77D0" w:rsidRPr="002B77D0">
        <w:t>.</w:t>
      </w:r>
      <w:r w:rsidR="002B77D0">
        <w:tab/>
      </w:r>
      <w:r w:rsidR="00AB5762">
        <w:t>En 2012 se distribuyó material metodológico sobre derecho humanitario a todas las escuelas, y se presentó a todos los profesores de historia y educación cívica.</w:t>
      </w:r>
    </w:p>
    <w:p w:rsidR="002B77D0" w:rsidRPr="009D66BE" w:rsidRDefault="002B77D0" w:rsidP="00637350">
      <w:pPr>
        <w:pStyle w:val="H23G"/>
      </w:pPr>
      <w:r>
        <w:tab/>
      </w:r>
      <w:r>
        <w:tab/>
      </w:r>
      <w:r w:rsidRPr="009D66BE">
        <w:t>E</w:t>
      </w:r>
      <w:r w:rsidR="00E30F68">
        <w:t>ducación de los niños romaníes</w:t>
      </w:r>
    </w:p>
    <w:p w:rsidR="002B77D0" w:rsidRPr="002B77D0" w:rsidRDefault="007131BF" w:rsidP="00637350">
      <w:pPr>
        <w:pStyle w:val="SingleTxtG"/>
      </w:pPr>
      <w:r w:rsidRPr="002B77D0">
        <w:t>24</w:t>
      </w:r>
      <w:r>
        <w:t>5</w:t>
      </w:r>
      <w:r w:rsidR="002B77D0" w:rsidRPr="002B77D0">
        <w:t>.</w:t>
      </w:r>
      <w:r w:rsidR="002B77D0">
        <w:tab/>
      </w:r>
      <w:r w:rsidR="00AB5762">
        <w:t>En respuesta a la petición incluida en el párrafo 17 de las observaciones finales del Comité de presentar datos adicionales sobre el acceso de los niños romaníes a escuelas para niños con necesidades educativas especiales, nos complace facilitar la siguiente información</w:t>
      </w:r>
      <w:r w:rsidR="002B77D0" w:rsidRPr="002B77D0">
        <w:t>.</w:t>
      </w:r>
    </w:p>
    <w:p w:rsidR="002B77D0" w:rsidRPr="002B77D0" w:rsidRDefault="007131BF" w:rsidP="00637350">
      <w:pPr>
        <w:pStyle w:val="SingleTxtG"/>
      </w:pPr>
      <w:r w:rsidRPr="002B77D0">
        <w:t>24</w:t>
      </w:r>
      <w:r>
        <w:t>6</w:t>
      </w:r>
      <w:r w:rsidR="002B77D0" w:rsidRPr="002B77D0">
        <w:t>.</w:t>
      </w:r>
      <w:r w:rsidR="002B77D0">
        <w:tab/>
      </w:r>
      <w:r w:rsidR="00AB5762">
        <w:t>De acuerdo con los datos del censo de población de 2011, 633 personas se han identificado como romaníes en Estonia, de las cuales 582 han inscrito como lugar de residencia ese país</w:t>
      </w:r>
      <w:r w:rsidR="002B77D0" w:rsidRPr="002B77D0">
        <w:t xml:space="preserve">, 17 </w:t>
      </w:r>
      <w:r w:rsidR="00AB5762">
        <w:t>no han inscrito lugar de residencia alguno, y 25 figuran como residentes en el extranjero</w:t>
      </w:r>
      <w:r w:rsidR="002B77D0" w:rsidRPr="002B77D0">
        <w:t xml:space="preserve">. </w:t>
      </w:r>
      <w:r w:rsidR="00AB5762">
        <w:t>La población romaní de Estonia se concentra en pequeños asentamientos y ciudades.</w:t>
      </w:r>
      <w:r w:rsidR="002B77D0" w:rsidRPr="002B77D0">
        <w:t xml:space="preserve"> </w:t>
      </w:r>
      <w:r w:rsidR="00AB5762">
        <w:t>En 2011, la comunidad más numeros</w:t>
      </w:r>
      <w:r w:rsidR="00337561">
        <w:t xml:space="preserve">a de romaníes residía en el sur </w:t>
      </w:r>
      <w:r w:rsidR="00AB5762">
        <w:t>del país (185 personas</w:t>
      </w:r>
      <w:r w:rsidR="002B77D0" w:rsidRPr="002B77D0">
        <w:t xml:space="preserve">), </w:t>
      </w:r>
      <w:r w:rsidR="00337561">
        <w:t>seguido del norte (92</w:t>
      </w:r>
      <w:r w:rsidR="002B77D0" w:rsidRPr="002B77D0">
        <w:t>)</w:t>
      </w:r>
      <w:r w:rsidR="00337561">
        <w:t xml:space="preserve"> y el oeste</w:t>
      </w:r>
      <w:r w:rsidR="002B77D0" w:rsidRPr="002B77D0">
        <w:t xml:space="preserve"> (69). </w:t>
      </w:r>
      <w:r w:rsidR="003C1E2D">
        <w:t>No hay romaníes inscritos en las islas de Estonia. La comunidad más numerosa, integrada por 90 adultos y 19 menores, reside la ciudad de Valga</w:t>
      </w:r>
      <w:r w:rsidR="002B77D0" w:rsidRPr="002B77D0">
        <w:t>.</w:t>
      </w:r>
    </w:p>
    <w:p w:rsidR="002B77D0" w:rsidRPr="002B77D0" w:rsidRDefault="007131BF" w:rsidP="00637350">
      <w:pPr>
        <w:pStyle w:val="SingleTxtG"/>
      </w:pPr>
      <w:r w:rsidRPr="002B77D0">
        <w:t>24</w:t>
      </w:r>
      <w:r>
        <w:t>7</w:t>
      </w:r>
      <w:r w:rsidR="002B77D0" w:rsidRPr="002B77D0">
        <w:t>.</w:t>
      </w:r>
      <w:r w:rsidR="002B77D0">
        <w:tab/>
      </w:r>
      <w:r w:rsidR="003C1E2D">
        <w:t>En Estonia, los niños romaníes asisten a escuelas cuyo idioma de instrucción es el estonio y, en algunos casos, a escuelas rusas junto con alumnos cuya lengua materna es el estonio o el ruso</w:t>
      </w:r>
      <w:r w:rsidR="002B77D0" w:rsidRPr="002B77D0">
        <w:t xml:space="preserve">. </w:t>
      </w:r>
      <w:r w:rsidR="003C1E2D">
        <w:t xml:space="preserve">En Estonia no hay escuelas o clases dedicadas específicamente a los niños romaníes. Esos niños estudian con arreglo al plan nacional de estudios, y no se les separa de los demás alumnos en ningún caso. </w:t>
      </w:r>
    </w:p>
    <w:p w:rsidR="002B77D0" w:rsidRPr="002B77D0" w:rsidRDefault="007131BF" w:rsidP="00637350">
      <w:pPr>
        <w:pStyle w:val="SingleTxtG"/>
      </w:pPr>
      <w:r w:rsidRPr="002B77D0">
        <w:t>24</w:t>
      </w:r>
      <w:r>
        <w:t>8</w:t>
      </w:r>
      <w:r w:rsidR="002B77D0" w:rsidRPr="002B77D0">
        <w:t>.</w:t>
      </w:r>
      <w:r w:rsidR="002B77D0">
        <w:tab/>
      </w:r>
      <w:r w:rsidR="004F5F87">
        <w:t>La lengua materna o hablada en el hogar de un estudiante se registra en el</w:t>
      </w:r>
      <w:r w:rsidR="00370872">
        <w:t xml:space="preserve"> Sistema de Información sobre </w:t>
      </w:r>
      <w:smartTag w:uri="urn:schemas-microsoft-com:office:smarttags" w:element="PersonName">
        <w:smartTagPr>
          <w:attr w:name="ProductID" w:val="la Ense￱anza"/>
        </w:smartTagPr>
        <w:r w:rsidR="00370872">
          <w:t>la Enseñanza</w:t>
        </w:r>
      </w:smartTag>
      <w:r w:rsidR="004F5F87">
        <w:t xml:space="preserve"> de</w:t>
      </w:r>
      <w:r w:rsidR="00370872">
        <w:t>l Estonio</w:t>
      </w:r>
      <w:r w:rsidR="004F5F87">
        <w:t xml:space="preserve"> sobre la base de la declaración del niño o de sus padres.</w:t>
      </w:r>
      <w:r w:rsidR="002B77D0" w:rsidRPr="002B77D0">
        <w:t xml:space="preserve"> </w:t>
      </w:r>
      <w:r w:rsidR="004F5F87">
        <w:t>Así pues, la lengua materna o principal se determina sobre la base de la libre elección de las personas. En consecuencia, los datos que figuran e</w:t>
      </w:r>
      <w:r w:rsidR="00370872">
        <w:t xml:space="preserve">n el Sistema de Información sobre </w:t>
      </w:r>
      <w:smartTag w:uri="urn:schemas-microsoft-com:office:smarttags" w:element="PersonName">
        <w:smartTagPr>
          <w:attr w:name="ProductID" w:val="la Ense￱anza"/>
        </w:smartTagPr>
        <w:r w:rsidR="00370872">
          <w:t>la Enseñanza</w:t>
        </w:r>
      </w:smartTag>
      <w:r w:rsidR="00370872">
        <w:t xml:space="preserve"> del Estonio</w:t>
      </w:r>
      <w:r w:rsidR="004F5F87">
        <w:t xml:space="preserve"> acerca de la nacionalidad de los romaníes no coinciden con los del censo de población. </w:t>
      </w:r>
      <w:r w:rsidR="00370872">
        <w:t xml:space="preserve">La encuesta llevada cabo por </w:t>
      </w:r>
      <w:smartTag w:uri="urn:schemas-microsoft-com:office:smarttags" w:element="PersonName">
        <w:smartTagPr>
          <w:attr w:name="ProductID" w:val="la Asociaci￳n Roman￭"/>
        </w:smartTagPr>
        <w:r w:rsidR="00370872">
          <w:t>la Asociación Romaní</w:t>
        </w:r>
      </w:smartTag>
      <w:r w:rsidR="00370872">
        <w:t xml:space="preserve"> del Norte de Estonia con la ayuda del censo de población y el Ministerio de Educación e Investigación muestra que, en 2010, había 90 niños romaníes en edad de asistir a la escuela obligatoriamente, pertenecientes a familias en las que uno o ambos progenitores eran de origen romaní.</w:t>
      </w:r>
    </w:p>
    <w:p w:rsidR="002B77D0" w:rsidRPr="002B77D0" w:rsidRDefault="007131BF" w:rsidP="00637350">
      <w:pPr>
        <w:pStyle w:val="SingleTxtG"/>
      </w:pPr>
      <w:r w:rsidRPr="002B77D0">
        <w:t>24</w:t>
      </w:r>
      <w:r>
        <w:t>9</w:t>
      </w:r>
      <w:r w:rsidR="002B77D0" w:rsidRPr="002B77D0">
        <w:t>.</w:t>
      </w:r>
      <w:r w:rsidR="002B77D0">
        <w:tab/>
      </w:r>
      <w:r w:rsidR="00370872">
        <w:t xml:space="preserve">A fin de promover el adelanto de los niños y alumnos romaníes, el Ministerio de Educación e Investigación ha previsto diferentes medidas tales como la formación en el empleo </w:t>
      </w:r>
      <w:r w:rsidR="00F00009">
        <w:t>para docentes, miembros y empleados del comité de asesoramiento, y también ha realizado una encuesta adicional</w:t>
      </w:r>
      <w:r w:rsidR="002B77D0" w:rsidRPr="002B77D0">
        <w:t>.</w:t>
      </w:r>
    </w:p>
    <w:p w:rsidR="002B77D0" w:rsidRDefault="007131BF" w:rsidP="00637350">
      <w:pPr>
        <w:pStyle w:val="SingleTxtG"/>
      </w:pPr>
      <w:r w:rsidRPr="002B77D0">
        <w:t>2</w:t>
      </w:r>
      <w:r>
        <w:t>50</w:t>
      </w:r>
      <w:r w:rsidR="002B77D0" w:rsidRPr="002B77D0">
        <w:t>.</w:t>
      </w:r>
      <w:r w:rsidR="002B77D0">
        <w:tab/>
      </w:r>
      <w:r w:rsidR="00F00009">
        <w:t>Según datos correspondientes al curso académico</w:t>
      </w:r>
      <w:r w:rsidR="002B77D0" w:rsidRPr="002B77D0">
        <w:t xml:space="preserve"> 2011/12, 22 </w:t>
      </w:r>
      <w:r w:rsidR="00F00009">
        <w:t xml:space="preserve">alumnos de escuelas de enseñanza general han declarado que el romaní es la lengua </w:t>
      </w:r>
      <w:r w:rsidR="0074218B">
        <w:t>que hablan</w:t>
      </w:r>
      <w:r w:rsidR="00F00009">
        <w:t xml:space="preserve"> en el hogar.</w:t>
      </w:r>
      <w:r w:rsidR="002B77D0" w:rsidRPr="002B77D0">
        <w:t xml:space="preserve"> </w:t>
      </w:r>
      <w:r w:rsidR="00FD1003">
        <w:t xml:space="preserve">Dieciséis </w:t>
      </w:r>
      <w:r w:rsidR="00F00009">
        <w:t>de esos 22 alumnos estudian con arreglo al plan naciona</w:t>
      </w:r>
      <w:r w:rsidR="0074218B">
        <w:t xml:space="preserve">l de estudios en el nivel de </w:t>
      </w:r>
      <w:r w:rsidR="00F00009">
        <w:t>enseñanza general básica</w:t>
      </w:r>
      <w:r w:rsidR="0074218B">
        <w:t xml:space="preserve">, </w:t>
      </w:r>
      <w:r w:rsidR="00FD1003">
        <w:t xml:space="preserve">1 </w:t>
      </w:r>
      <w:r w:rsidR="0074218B">
        <w:t>alumno</w:t>
      </w:r>
      <w:r w:rsidR="002B77D0" w:rsidRPr="002B77D0">
        <w:t xml:space="preserve"> (</w:t>
      </w:r>
      <w:r w:rsidR="0074218B">
        <w:t>con discapacidad mental leve</w:t>
      </w:r>
      <w:r w:rsidR="002B77D0" w:rsidRPr="002B77D0">
        <w:t xml:space="preserve">) </w:t>
      </w:r>
      <w:r w:rsidR="0074218B">
        <w:t>estudia en el marco del plan simplificado de estudios también en el nivel de enseñanza general básica,</w:t>
      </w:r>
      <w:r w:rsidR="005466A4">
        <w:t xml:space="preserve"> </w:t>
      </w:r>
      <w:r w:rsidR="0074218B">
        <w:t xml:space="preserve">y </w:t>
      </w:r>
      <w:r w:rsidR="00FD1003">
        <w:t xml:space="preserve">5 </w:t>
      </w:r>
      <w:r w:rsidR="0074218B">
        <w:t>alumnos</w:t>
      </w:r>
      <w:r w:rsidR="002B77D0" w:rsidRPr="002B77D0">
        <w:t xml:space="preserve"> (</w:t>
      </w:r>
      <w:r w:rsidR="0074218B">
        <w:t>con discapacidad mental leve</w:t>
      </w:r>
      <w:r w:rsidR="002B77D0" w:rsidRPr="002B77D0">
        <w:t xml:space="preserve">) </w:t>
      </w:r>
      <w:r w:rsidR="0074218B">
        <w:t xml:space="preserve">lo hacen con arreglo al plan simplificado de estudios en el nivel de enseñanza básica en una escuela para niños con necesidades educativas especiales. </w:t>
      </w:r>
      <w:r w:rsidR="00FD1003">
        <w:t xml:space="preserve">Diez </w:t>
      </w:r>
      <w:r w:rsidR="0074218B">
        <w:t>de esos alumnos estudian en una escuela cuyo idioma de instrucción es el estonio, y 12 asisten a escuelas rusas en diferentes regiones del país</w:t>
      </w:r>
      <w:r w:rsidR="002B77D0" w:rsidRPr="002B77D0">
        <w:t>.</w:t>
      </w:r>
    </w:p>
    <w:p w:rsidR="002B77D0" w:rsidRDefault="0074218B" w:rsidP="00637350">
      <w:pPr>
        <w:pStyle w:val="Heading1"/>
        <w:spacing w:before="240"/>
      </w:pPr>
      <w:r>
        <w:t>Cuadro</w:t>
      </w:r>
      <w:r w:rsidR="002B77D0" w:rsidRPr="002B77D0">
        <w:t xml:space="preserve"> 1</w:t>
      </w:r>
      <w:r w:rsidR="00B01700">
        <w:t>5</w:t>
      </w:r>
    </w:p>
    <w:p w:rsidR="002B77D0" w:rsidRPr="00E30F68" w:rsidRDefault="002B77D0" w:rsidP="00637350">
      <w:pPr>
        <w:pStyle w:val="SingleTxtG"/>
        <w:jc w:val="left"/>
        <w:rPr>
          <w:b/>
        </w:rPr>
      </w:pPr>
      <w:r w:rsidRPr="00E30F68">
        <w:rPr>
          <w:b/>
        </w:rPr>
        <w:t>N</w:t>
      </w:r>
      <w:r w:rsidR="0074218B" w:rsidRPr="00E30F68">
        <w:rPr>
          <w:b/>
        </w:rPr>
        <w:t>úmero de estudiantes en escuelas de enseñanza general que hablan romaní en el hogar, octubre de</w:t>
      </w:r>
      <w:r w:rsidRPr="00E30F68">
        <w:rPr>
          <w:b/>
        </w:rPr>
        <w:t xml:space="preserve"> 2012</w:t>
      </w:r>
    </w:p>
    <w:tbl>
      <w:tblPr>
        <w:tblW w:w="7370" w:type="dxa"/>
        <w:tblInd w:w="1134" w:type="dxa"/>
        <w:tblBorders>
          <w:top w:val="single" w:sz="4" w:space="0" w:color="auto"/>
        </w:tblBorders>
        <w:tblLayout w:type="fixed"/>
        <w:tblCellMar>
          <w:left w:w="0" w:type="dxa"/>
          <w:right w:w="0" w:type="dxa"/>
        </w:tblCellMar>
        <w:tblLook w:val="00A0"/>
      </w:tblPr>
      <w:tblGrid>
        <w:gridCol w:w="882"/>
        <w:gridCol w:w="2162"/>
        <w:gridCol w:w="2961"/>
        <w:gridCol w:w="1365"/>
      </w:tblGrid>
      <w:tr w:rsidR="002B77D0" w:rsidRPr="00FD1003">
        <w:trPr>
          <w:trHeight w:val="20"/>
          <w:tblHeader/>
        </w:trPr>
        <w:tc>
          <w:tcPr>
            <w:tcW w:w="882" w:type="dxa"/>
            <w:tcBorders>
              <w:top w:val="single" w:sz="4" w:space="0" w:color="auto"/>
              <w:bottom w:val="single" w:sz="12" w:space="0" w:color="auto"/>
            </w:tcBorders>
            <w:shd w:val="clear" w:color="auto" w:fill="auto"/>
            <w:vAlign w:val="bottom"/>
          </w:tcPr>
          <w:p w:rsidR="002B77D0" w:rsidRPr="002B77D0" w:rsidRDefault="002B77D0" w:rsidP="009C33BF">
            <w:pPr>
              <w:spacing w:before="60" w:after="60" w:line="200" w:lineRule="exact"/>
              <w:rPr>
                <w:i/>
                <w:sz w:val="16"/>
                <w:szCs w:val="24"/>
                <w:lang w:eastAsia="et-EE"/>
              </w:rPr>
            </w:pPr>
            <w:r w:rsidRPr="002B77D0">
              <w:rPr>
                <w:i/>
                <w:noProof/>
                <w:sz w:val="16"/>
                <w:szCs w:val="24"/>
                <w:lang w:eastAsia="et-EE"/>
              </w:rPr>
              <w:t>Grad</w:t>
            </w:r>
            <w:r w:rsidR="007F4EB2">
              <w:rPr>
                <w:i/>
                <w:noProof/>
                <w:sz w:val="16"/>
                <w:szCs w:val="24"/>
                <w:lang w:eastAsia="et-EE"/>
              </w:rPr>
              <w:t>o</w:t>
            </w:r>
          </w:p>
        </w:tc>
        <w:tc>
          <w:tcPr>
            <w:tcW w:w="2162" w:type="dxa"/>
            <w:tcBorders>
              <w:top w:val="single" w:sz="4" w:space="0" w:color="auto"/>
              <w:bottom w:val="single" w:sz="12" w:space="0" w:color="auto"/>
            </w:tcBorders>
            <w:shd w:val="clear" w:color="auto" w:fill="auto"/>
            <w:vAlign w:val="bottom"/>
          </w:tcPr>
          <w:p w:rsidR="002B77D0" w:rsidRPr="002B77D0" w:rsidRDefault="002B77D0" w:rsidP="009C33BF">
            <w:pPr>
              <w:spacing w:before="60" w:after="60" w:line="200" w:lineRule="exact"/>
              <w:jc w:val="right"/>
              <w:rPr>
                <w:i/>
                <w:sz w:val="16"/>
                <w:szCs w:val="24"/>
                <w:lang w:eastAsia="et-EE"/>
              </w:rPr>
            </w:pPr>
            <w:r w:rsidRPr="002B77D0">
              <w:rPr>
                <w:i/>
                <w:noProof/>
                <w:sz w:val="16"/>
                <w:szCs w:val="24"/>
                <w:lang w:eastAsia="et-EE"/>
              </w:rPr>
              <w:t>N</w:t>
            </w:r>
            <w:r w:rsidR="007F4EB2">
              <w:rPr>
                <w:i/>
                <w:noProof/>
                <w:sz w:val="16"/>
                <w:szCs w:val="24"/>
                <w:lang w:eastAsia="et-EE"/>
              </w:rPr>
              <w:t>úmero de alumnos que asisten regularmente a tiempo completo</w:t>
            </w:r>
          </w:p>
        </w:tc>
        <w:tc>
          <w:tcPr>
            <w:tcW w:w="2961" w:type="dxa"/>
            <w:tcBorders>
              <w:top w:val="single" w:sz="4" w:space="0" w:color="auto"/>
              <w:bottom w:val="single" w:sz="12" w:space="0" w:color="auto"/>
            </w:tcBorders>
            <w:shd w:val="clear" w:color="auto" w:fill="auto"/>
            <w:vAlign w:val="bottom"/>
          </w:tcPr>
          <w:p w:rsidR="002B77D0" w:rsidRPr="002B77D0" w:rsidRDefault="002B77D0" w:rsidP="009C33BF">
            <w:pPr>
              <w:spacing w:before="60" w:after="60" w:line="200" w:lineRule="exact"/>
              <w:jc w:val="right"/>
              <w:rPr>
                <w:i/>
                <w:sz w:val="16"/>
                <w:szCs w:val="24"/>
                <w:lang w:eastAsia="et-EE"/>
              </w:rPr>
            </w:pPr>
            <w:r w:rsidRPr="002B77D0">
              <w:rPr>
                <w:i/>
                <w:noProof/>
                <w:sz w:val="16"/>
                <w:szCs w:val="24"/>
                <w:lang w:eastAsia="et-EE"/>
              </w:rPr>
              <w:t>N</w:t>
            </w:r>
            <w:r w:rsidR="007F4EB2">
              <w:rPr>
                <w:i/>
                <w:noProof/>
                <w:sz w:val="16"/>
                <w:szCs w:val="24"/>
                <w:lang w:eastAsia="et-EE"/>
              </w:rPr>
              <w:t xml:space="preserve">úmero de alumnos que cursan sus </w:t>
            </w:r>
            <w:r w:rsidR="00FD1003">
              <w:rPr>
                <w:i/>
                <w:noProof/>
                <w:sz w:val="16"/>
                <w:szCs w:val="24"/>
                <w:lang w:eastAsia="et-EE"/>
              </w:rPr>
              <w:br/>
            </w:r>
            <w:r w:rsidR="007F4EB2">
              <w:rPr>
                <w:i/>
                <w:noProof/>
                <w:sz w:val="16"/>
                <w:szCs w:val="24"/>
                <w:lang w:eastAsia="et-EE"/>
              </w:rPr>
              <w:t>estudios en horario nocturno o a distancia</w:t>
            </w:r>
          </w:p>
        </w:tc>
        <w:tc>
          <w:tcPr>
            <w:tcW w:w="1365" w:type="dxa"/>
            <w:tcBorders>
              <w:top w:val="single" w:sz="4" w:space="0" w:color="auto"/>
              <w:bottom w:val="single" w:sz="12" w:space="0" w:color="auto"/>
            </w:tcBorders>
            <w:shd w:val="clear" w:color="auto" w:fill="auto"/>
            <w:vAlign w:val="bottom"/>
          </w:tcPr>
          <w:p w:rsidR="002B77D0" w:rsidRPr="00FD1003" w:rsidRDefault="007F4EB2" w:rsidP="009C33BF">
            <w:pPr>
              <w:spacing w:before="60" w:after="60" w:line="200" w:lineRule="exact"/>
              <w:jc w:val="right"/>
              <w:rPr>
                <w:b/>
                <w:i/>
                <w:sz w:val="16"/>
                <w:szCs w:val="24"/>
                <w:lang w:eastAsia="et-EE"/>
              </w:rPr>
            </w:pPr>
            <w:r w:rsidRPr="00FD1003">
              <w:rPr>
                <w:b/>
                <w:i/>
                <w:noProof/>
                <w:sz w:val="16"/>
                <w:szCs w:val="24"/>
                <w:lang w:eastAsia="et-EE"/>
              </w:rPr>
              <w:t xml:space="preserve">Número total </w:t>
            </w:r>
            <w:r w:rsidR="00FD1003">
              <w:rPr>
                <w:b/>
                <w:i/>
                <w:noProof/>
                <w:sz w:val="16"/>
                <w:szCs w:val="24"/>
                <w:lang w:eastAsia="et-EE"/>
              </w:rPr>
              <w:br/>
            </w:r>
            <w:r w:rsidRPr="00FD1003">
              <w:rPr>
                <w:b/>
                <w:i/>
                <w:noProof/>
                <w:sz w:val="16"/>
                <w:szCs w:val="24"/>
                <w:lang w:eastAsia="et-EE"/>
              </w:rPr>
              <w:t xml:space="preserve">de alumnos </w:t>
            </w:r>
          </w:p>
        </w:tc>
      </w:tr>
      <w:tr w:rsidR="002B77D0" w:rsidRPr="00FD1003">
        <w:trPr>
          <w:trHeight w:val="20"/>
        </w:trPr>
        <w:tc>
          <w:tcPr>
            <w:tcW w:w="882" w:type="dxa"/>
            <w:tcBorders>
              <w:top w:val="single" w:sz="12" w:space="0" w:color="auto"/>
            </w:tcBorders>
            <w:shd w:val="clear" w:color="auto" w:fill="auto"/>
            <w:vAlign w:val="bottom"/>
          </w:tcPr>
          <w:p w:rsidR="002B77D0" w:rsidRPr="002B77D0" w:rsidRDefault="007F4EB2" w:rsidP="00FD1003">
            <w:pPr>
              <w:spacing w:before="40" w:after="40" w:line="220" w:lineRule="exact"/>
              <w:rPr>
                <w:sz w:val="18"/>
                <w:szCs w:val="24"/>
                <w:lang w:eastAsia="et-EE"/>
              </w:rPr>
            </w:pPr>
            <w:r>
              <w:rPr>
                <w:noProof/>
                <w:sz w:val="18"/>
                <w:szCs w:val="24"/>
                <w:lang w:eastAsia="et-EE"/>
              </w:rPr>
              <w:t>1</w:t>
            </w:r>
            <w:r w:rsidRPr="00FD1003">
              <w:rPr>
                <w:noProof/>
                <w:sz w:val="18"/>
                <w:szCs w:val="24"/>
                <w:vertAlign w:val="superscript"/>
                <w:lang w:eastAsia="et-EE"/>
              </w:rPr>
              <w:t>er</w:t>
            </w:r>
          </w:p>
        </w:tc>
        <w:tc>
          <w:tcPr>
            <w:tcW w:w="2162" w:type="dxa"/>
            <w:tcBorders>
              <w:top w:val="single" w:sz="12" w:space="0" w:color="auto"/>
            </w:tcBorders>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7</w:t>
            </w:r>
          </w:p>
        </w:tc>
        <w:tc>
          <w:tcPr>
            <w:tcW w:w="2961" w:type="dxa"/>
            <w:tcBorders>
              <w:top w:val="single" w:sz="12" w:space="0" w:color="auto"/>
            </w:tcBorders>
            <w:shd w:val="clear" w:color="auto" w:fill="auto"/>
            <w:vAlign w:val="bottom"/>
          </w:tcPr>
          <w:p w:rsidR="002B77D0" w:rsidRPr="002B77D0" w:rsidRDefault="002B77D0" w:rsidP="00FD1003">
            <w:pPr>
              <w:spacing w:before="40" w:after="40" w:line="220" w:lineRule="exact"/>
              <w:jc w:val="right"/>
              <w:rPr>
                <w:sz w:val="18"/>
                <w:szCs w:val="24"/>
                <w:lang w:eastAsia="et-EE"/>
              </w:rPr>
            </w:pPr>
          </w:p>
        </w:tc>
        <w:tc>
          <w:tcPr>
            <w:tcW w:w="1365" w:type="dxa"/>
            <w:tcBorders>
              <w:top w:val="single" w:sz="12" w:space="0" w:color="auto"/>
            </w:tcBorders>
            <w:shd w:val="clear" w:color="auto" w:fill="auto"/>
            <w:vAlign w:val="bottom"/>
          </w:tcPr>
          <w:p w:rsidR="002B77D0" w:rsidRPr="00FD1003" w:rsidRDefault="002B77D0" w:rsidP="00FD1003">
            <w:pPr>
              <w:spacing w:before="40" w:after="40" w:line="220" w:lineRule="exact"/>
              <w:jc w:val="right"/>
              <w:rPr>
                <w:b/>
                <w:sz w:val="18"/>
                <w:szCs w:val="24"/>
                <w:lang w:eastAsia="et-EE"/>
              </w:rPr>
            </w:pPr>
            <w:r w:rsidRPr="00FD1003">
              <w:rPr>
                <w:b/>
                <w:sz w:val="18"/>
                <w:szCs w:val="24"/>
                <w:lang w:eastAsia="et-EE"/>
              </w:rPr>
              <w:t>7</w:t>
            </w:r>
          </w:p>
        </w:tc>
      </w:tr>
      <w:tr w:rsidR="002B77D0" w:rsidRPr="00FD1003">
        <w:trPr>
          <w:trHeight w:val="20"/>
        </w:trPr>
        <w:tc>
          <w:tcPr>
            <w:tcW w:w="882" w:type="dxa"/>
            <w:shd w:val="clear" w:color="auto" w:fill="auto"/>
            <w:vAlign w:val="bottom"/>
          </w:tcPr>
          <w:p w:rsidR="002B77D0" w:rsidRPr="002B77D0" w:rsidRDefault="002B77D0" w:rsidP="00FD1003">
            <w:pPr>
              <w:spacing w:before="40" w:after="40" w:line="220" w:lineRule="exact"/>
              <w:rPr>
                <w:sz w:val="18"/>
                <w:szCs w:val="24"/>
                <w:lang w:eastAsia="et-EE"/>
              </w:rPr>
            </w:pPr>
            <w:r w:rsidRPr="002B77D0">
              <w:rPr>
                <w:noProof/>
                <w:sz w:val="18"/>
                <w:szCs w:val="24"/>
                <w:lang w:eastAsia="et-EE"/>
              </w:rPr>
              <w:t>2</w:t>
            </w:r>
            <w:r w:rsidR="00E34555">
              <w:rPr>
                <w:noProof/>
                <w:sz w:val="18"/>
                <w:szCs w:val="24"/>
                <w:lang w:eastAsia="et-EE"/>
              </w:rPr>
              <w:t>º</w:t>
            </w:r>
          </w:p>
        </w:tc>
        <w:tc>
          <w:tcPr>
            <w:tcW w:w="2162" w:type="dxa"/>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5</w:t>
            </w:r>
          </w:p>
        </w:tc>
        <w:tc>
          <w:tcPr>
            <w:tcW w:w="2961" w:type="dxa"/>
            <w:shd w:val="clear" w:color="auto" w:fill="auto"/>
            <w:vAlign w:val="bottom"/>
          </w:tcPr>
          <w:p w:rsidR="002B77D0" w:rsidRPr="002B77D0" w:rsidRDefault="002B77D0" w:rsidP="00FD1003">
            <w:pPr>
              <w:spacing w:before="40" w:after="40" w:line="220" w:lineRule="exact"/>
              <w:jc w:val="right"/>
              <w:rPr>
                <w:sz w:val="18"/>
                <w:szCs w:val="24"/>
                <w:lang w:eastAsia="et-EE"/>
              </w:rPr>
            </w:pPr>
          </w:p>
        </w:tc>
        <w:tc>
          <w:tcPr>
            <w:tcW w:w="1365" w:type="dxa"/>
            <w:shd w:val="clear" w:color="auto" w:fill="auto"/>
            <w:vAlign w:val="bottom"/>
          </w:tcPr>
          <w:p w:rsidR="002B77D0" w:rsidRPr="00FD1003" w:rsidRDefault="002B77D0" w:rsidP="00FD1003">
            <w:pPr>
              <w:spacing w:before="40" w:after="40" w:line="220" w:lineRule="exact"/>
              <w:jc w:val="right"/>
              <w:rPr>
                <w:b/>
                <w:sz w:val="18"/>
                <w:szCs w:val="24"/>
                <w:lang w:eastAsia="et-EE"/>
              </w:rPr>
            </w:pPr>
            <w:r w:rsidRPr="00FD1003">
              <w:rPr>
                <w:b/>
                <w:sz w:val="18"/>
                <w:szCs w:val="24"/>
                <w:lang w:eastAsia="et-EE"/>
              </w:rPr>
              <w:t>5</w:t>
            </w:r>
          </w:p>
        </w:tc>
      </w:tr>
      <w:tr w:rsidR="002B77D0" w:rsidRPr="00FD1003">
        <w:trPr>
          <w:trHeight w:val="20"/>
        </w:trPr>
        <w:tc>
          <w:tcPr>
            <w:tcW w:w="882" w:type="dxa"/>
            <w:shd w:val="clear" w:color="auto" w:fill="auto"/>
            <w:vAlign w:val="bottom"/>
          </w:tcPr>
          <w:p w:rsidR="002B77D0" w:rsidRPr="002B77D0" w:rsidRDefault="007F4EB2" w:rsidP="00FD1003">
            <w:pPr>
              <w:spacing w:before="40" w:after="40" w:line="220" w:lineRule="exact"/>
              <w:rPr>
                <w:sz w:val="18"/>
                <w:szCs w:val="24"/>
                <w:lang w:eastAsia="et-EE"/>
              </w:rPr>
            </w:pPr>
            <w:r>
              <w:rPr>
                <w:noProof/>
                <w:sz w:val="18"/>
                <w:szCs w:val="24"/>
                <w:lang w:eastAsia="et-EE"/>
              </w:rPr>
              <w:t>3</w:t>
            </w:r>
            <w:r w:rsidR="00E34555">
              <w:rPr>
                <w:noProof/>
                <w:sz w:val="18"/>
                <w:szCs w:val="24"/>
                <w:lang w:eastAsia="et-EE"/>
              </w:rPr>
              <w:t>º</w:t>
            </w:r>
          </w:p>
        </w:tc>
        <w:tc>
          <w:tcPr>
            <w:tcW w:w="2162" w:type="dxa"/>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1</w:t>
            </w:r>
          </w:p>
        </w:tc>
        <w:tc>
          <w:tcPr>
            <w:tcW w:w="2961" w:type="dxa"/>
            <w:shd w:val="clear" w:color="auto" w:fill="auto"/>
            <w:vAlign w:val="bottom"/>
          </w:tcPr>
          <w:p w:rsidR="002B77D0" w:rsidRPr="002B77D0" w:rsidRDefault="002B77D0" w:rsidP="00FD1003">
            <w:pPr>
              <w:spacing w:before="40" w:after="40" w:line="220" w:lineRule="exact"/>
              <w:jc w:val="right"/>
              <w:rPr>
                <w:sz w:val="18"/>
                <w:szCs w:val="24"/>
                <w:lang w:eastAsia="et-EE"/>
              </w:rPr>
            </w:pPr>
          </w:p>
        </w:tc>
        <w:tc>
          <w:tcPr>
            <w:tcW w:w="1365" w:type="dxa"/>
            <w:shd w:val="clear" w:color="auto" w:fill="auto"/>
            <w:vAlign w:val="bottom"/>
          </w:tcPr>
          <w:p w:rsidR="002B77D0" w:rsidRPr="00FD1003" w:rsidRDefault="002B77D0" w:rsidP="00FD1003">
            <w:pPr>
              <w:spacing w:before="40" w:after="40" w:line="220" w:lineRule="exact"/>
              <w:jc w:val="right"/>
              <w:rPr>
                <w:b/>
                <w:sz w:val="18"/>
                <w:szCs w:val="24"/>
                <w:lang w:eastAsia="et-EE"/>
              </w:rPr>
            </w:pPr>
            <w:r w:rsidRPr="00FD1003">
              <w:rPr>
                <w:b/>
                <w:sz w:val="18"/>
                <w:szCs w:val="24"/>
                <w:lang w:eastAsia="et-EE"/>
              </w:rPr>
              <w:t>1</w:t>
            </w:r>
          </w:p>
        </w:tc>
      </w:tr>
      <w:tr w:rsidR="002B77D0" w:rsidRPr="00FD1003">
        <w:trPr>
          <w:trHeight w:val="20"/>
        </w:trPr>
        <w:tc>
          <w:tcPr>
            <w:tcW w:w="882" w:type="dxa"/>
            <w:shd w:val="clear" w:color="auto" w:fill="auto"/>
            <w:vAlign w:val="bottom"/>
          </w:tcPr>
          <w:p w:rsidR="002B77D0" w:rsidRPr="002B77D0" w:rsidRDefault="002B77D0" w:rsidP="00FD1003">
            <w:pPr>
              <w:spacing w:before="40" w:after="40" w:line="220" w:lineRule="exact"/>
              <w:rPr>
                <w:sz w:val="18"/>
                <w:szCs w:val="24"/>
                <w:lang w:eastAsia="et-EE"/>
              </w:rPr>
            </w:pPr>
            <w:r w:rsidRPr="002B77D0">
              <w:rPr>
                <w:noProof/>
                <w:sz w:val="18"/>
                <w:szCs w:val="24"/>
                <w:lang w:eastAsia="et-EE"/>
              </w:rPr>
              <w:t>4</w:t>
            </w:r>
            <w:r w:rsidR="00E34555">
              <w:rPr>
                <w:noProof/>
                <w:sz w:val="18"/>
                <w:szCs w:val="24"/>
                <w:lang w:eastAsia="et-EE"/>
              </w:rPr>
              <w:t>º</w:t>
            </w:r>
          </w:p>
        </w:tc>
        <w:tc>
          <w:tcPr>
            <w:tcW w:w="2162" w:type="dxa"/>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3</w:t>
            </w:r>
          </w:p>
        </w:tc>
        <w:tc>
          <w:tcPr>
            <w:tcW w:w="2961" w:type="dxa"/>
            <w:shd w:val="clear" w:color="auto" w:fill="auto"/>
            <w:vAlign w:val="bottom"/>
          </w:tcPr>
          <w:p w:rsidR="002B77D0" w:rsidRPr="002B77D0" w:rsidRDefault="002B77D0" w:rsidP="00FD1003">
            <w:pPr>
              <w:spacing w:before="40" w:after="40" w:line="220" w:lineRule="exact"/>
              <w:jc w:val="right"/>
              <w:rPr>
                <w:sz w:val="18"/>
                <w:szCs w:val="24"/>
                <w:lang w:eastAsia="et-EE"/>
              </w:rPr>
            </w:pPr>
          </w:p>
        </w:tc>
        <w:tc>
          <w:tcPr>
            <w:tcW w:w="1365" w:type="dxa"/>
            <w:shd w:val="clear" w:color="auto" w:fill="auto"/>
            <w:vAlign w:val="bottom"/>
          </w:tcPr>
          <w:p w:rsidR="002B77D0" w:rsidRPr="00FD1003" w:rsidRDefault="002B77D0" w:rsidP="00FD1003">
            <w:pPr>
              <w:spacing w:before="40" w:after="40" w:line="220" w:lineRule="exact"/>
              <w:jc w:val="right"/>
              <w:rPr>
                <w:b/>
                <w:sz w:val="18"/>
                <w:szCs w:val="24"/>
                <w:lang w:eastAsia="et-EE"/>
              </w:rPr>
            </w:pPr>
            <w:r w:rsidRPr="00FD1003">
              <w:rPr>
                <w:b/>
                <w:sz w:val="18"/>
                <w:szCs w:val="24"/>
                <w:lang w:eastAsia="et-EE"/>
              </w:rPr>
              <w:t>3</w:t>
            </w:r>
          </w:p>
        </w:tc>
      </w:tr>
      <w:tr w:rsidR="002B77D0" w:rsidRPr="00FD1003">
        <w:trPr>
          <w:trHeight w:val="20"/>
        </w:trPr>
        <w:tc>
          <w:tcPr>
            <w:tcW w:w="882" w:type="dxa"/>
            <w:shd w:val="clear" w:color="auto" w:fill="auto"/>
            <w:vAlign w:val="bottom"/>
          </w:tcPr>
          <w:p w:rsidR="002B77D0" w:rsidRPr="002B77D0" w:rsidRDefault="007F4EB2" w:rsidP="00FD1003">
            <w:pPr>
              <w:spacing w:before="40" w:after="40" w:line="220" w:lineRule="exact"/>
              <w:rPr>
                <w:sz w:val="18"/>
                <w:szCs w:val="24"/>
                <w:lang w:eastAsia="et-EE"/>
              </w:rPr>
            </w:pPr>
            <w:r>
              <w:rPr>
                <w:noProof/>
                <w:sz w:val="18"/>
                <w:szCs w:val="24"/>
                <w:lang w:eastAsia="et-EE"/>
              </w:rPr>
              <w:t>5</w:t>
            </w:r>
            <w:r w:rsidR="00E34555">
              <w:rPr>
                <w:noProof/>
                <w:sz w:val="18"/>
                <w:szCs w:val="24"/>
                <w:lang w:eastAsia="et-EE"/>
              </w:rPr>
              <w:t>º</w:t>
            </w:r>
          </w:p>
        </w:tc>
        <w:tc>
          <w:tcPr>
            <w:tcW w:w="2162" w:type="dxa"/>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2</w:t>
            </w:r>
          </w:p>
        </w:tc>
        <w:tc>
          <w:tcPr>
            <w:tcW w:w="2961" w:type="dxa"/>
            <w:shd w:val="clear" w:color="auto" w:fill="auto"/>
            <w:vAlign w:val="bottom"/>
          </w:tcPr>
          <w:p w:rsidR="002B77D0" w:rsidRPr="002B77D0" w:rsidRDefault="002B77D0" w:rsidP="00FD1003">
            <w:pPr>
              <w:spacing w:before="40" w:after="40" w:line="220" w:lineRule="exact"/>
              <w:jc w:val="right"/>
              <w:rPr>
                <w:sz w:val="18"/>
                <w:szCs w:val="24"/>
                <w:lang w:eastAsia="et-EE"/>
              </w:rPr>
            </w:pPr>
          </w:p>
        </w:tc>
        <w:tc>
          <w:tcPr>
            <w:tcW w:w="1365" w:type="dxa"/>
            <w:shd w:val="clear" w:color="auto" w:fill="auto"/>
            <w:vAlign w:val="bottom"/>
          </w:tcPr>
          <w:p w:rsidR="002B77D0" w:rsidRPr="00FD1003" w:rsidRDefault="002B77D0" w:rsidP="00FD1003">
            <w:pPr>
              <w:spacing w:before="40" w:after="40" w:line="220" w:lineRule="exact"/>
              <w:jc w:val="right"/>
              <w:rPr>
                <w:b/>
                <w:sz w:val="18"/>
                <w:szCs w:val="24"/>
                <w:lang w:eastAsia="et-EE"/>
              </w:rPr>
            </w:pPr>
            <w:r w:rsidRPr="00FD1003">
              <w:rPr>
                <w:b/>
                <w:sz w:val="18"/>
                <w:szCs w:val="24"/>
                <w:lang w:eastAsia="et-EE"/>
              </w:rPr>
              <w:t>2</w:t>
            </w:r>
          </w:p>
        </w:tc>
      </w:tr>
      <w:tr w:rsidR="002B77D0" w:rsidRPr="00FD1003">
        <w:trPr>
          <w:trHeight w:val="20"/>
        </w:trPr>
        <w:tc>
          <w:tcPr>
            <w:tcW w:w="882" w:type="dxa"/>
            <w:shd w:val="clear" w:color="auto" w:fill="auto"/>
            <w:vAlign w:val="bottom"/>
          </w:tcPr>
          <w:p w:rsidR="002B77D0" w:rsidRPr="002B77D0" w:rsidRDefault="002B77D0" w:rsidP="00FD1003">
            <w:pPr>
              <w:spacing w:before="40" w:after="40" w:line="220" w:lineRule="exact"/>
              <w:rPr>
                <w:sz w:val="18"/>
                <w:szCs w:val="24"/>
                <w:lang w:eastAsia="et-EE"/>
              </w:rPr>
            </w:pPr>
            <w:r w:rsidRPr="002B77D0">
              <w:rPr>
                <w:noProof/>
                <w:sz w:val="18"/>
                <w:szCs w:val="24"/>
                <w:lang w:eastAsia="et-EE"/>
              </w:rPr>
              <w:t>6</w:t>
            </w:r>
            <w:r w:rsidR="00E34555">
              <w:rPr>
                <w:noProof/>
                <w:sz w:val="18"/>
                <w:szCs w:val="24"/>
                <w:lang w:eastAsia="et-EE"/>
              </w:rPr>
              <w:t>º</w:t>
            </w:r>
          </w:p>
        </w:tc>
        <w:tc>
          <w:tcPr>
            <w:tcW w:w="2162" w:type="dxa"/>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1</w:t>
            </w:r>
          </w:p>
        </w:tc>
        <w:tc>
          <w:tcPr>
            <w:tcW w:w="2961" w:type="dxa"/>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1</w:t>
            </w:r>
          </w:p>
        </w:tc>
        <w:tc>
          <w:tcPr>
            <w:tcW w:w="1365" w:type="dxa"/>
            <w:shd w:val="clear" w:color="auto" w:fill="auto"/>
            <w:vAlign w:val="bottom"/>
          </w:tcPr>
          <w:p w:rsidR="002B77D0" w:rsidRPr="00FD1003" w:rsidRDefault="002B77D0" w:rsidP="00FD1003">
            <w:pPr>
              <w:spacing w:before="40" w:after="40" w:line="220" w:lineRule="exact"/>
              <w:jc w:val="right"/>
              <w:rPr>
                <w:b/>
                <w:sz w:val="18"/>
                <w:szCs w:val="24"/>
                <w:lang w:eastAsia="et-EE"/>
              </w:rPr>
            </w:pPr>
            <w:r w:rsidRPr="00FD1003">
              <w:rPr>
                <w:b/>
                <w:sz w:val="18"/>
                <w:szCs w:val="24"/>
                <w:lang w:eastAsia="et-EE"/>
              </w:rPr>
              <w:t>2</w:t>
            </w:r>
          </w:p>
        </w:tc>
      </w:tr>
      <w:tr w:rsidR="002B77D0" w:rsidRPr="00FD1003">
        <w:trPr>
          <w:trHeight w:val="20"/>
        </w:trPr>
        <w:tc>
          <w:tcPr>
            <w:tcW w:w="882" w:type="dxa"/>
            <w:tcBorders>
              <w:bottom w:val="single" w:sz="4" w:space="0" w:color="auto"/>
            </w:tcBorders>
            <w:shd w:val="clear" w:color="auto" w:fill="auto"/>
            <w:vAlign w:val="bottom"/>
          </w:tcPr>
          <w:p w:rsidR="002B77D0" w:rsidRPr="002B77D0" w:rsidRDefault="002B77D0" w:rsidP="00FD1003">
            <w:pPr>
              <w:spacing w:before="40" w:after="40" w:line="220" w:lineRule="exact"/>
              <w:rPr>
                <w:sz w:val="18"/>
                <w:szCs w:val="24"/>
                <w:lang w:eastAsia="et-EE"/>
              </w:rPr>
            </w:pPr>
            <w:r w:rsidRPr="002B77D0">
              <w:rPr>
                <w:noProof/>
                <w:sz w:val="18"/>
                <w:szCs w:val="24"/>
                <w:lang w:eastAsia="et-EE"/>
              </w:rPr>
              <w:t>7</w:t>
            </w:r>
            <w:r w:rsidR="00E34555">
              <w:rPr>
                <w:noProof/>
                <w:sz w:val="18"/>
                <w:szCs w:val="24"/>
                <w:lang w:eastAsia="et-EE"/>
              </w:rPr>
              <w:t>º</w:t>
            </w:r>
          </w:p>
        </w:tc>
        <w:tc>
          <w:tcPr>
            <w:tcW w:w="2162" w:type="dxa"/>
            <w:tcBorders>
              <w:bottom w:val="single" w:sz="4" w:space="0" w:color="auto"/>
            </w:tcBorders>
            <w:shd w:val="clear" w:color="auto" w:fill="auto"/>
            <w:vAlign w:val="bottom"/>
          </w:tcPr>
          <w:p w:rsidR="002B77D0" w:rsidRPr="002B77D0" w:rsidRDefault="002B77D0" w:rsidP="00FD1003">
            <w:pPr>
              <w:spacing w:before="40" w:after="40" w:line="220" w:lineRule="exact"/>
              <w:jc w:val="right"/>
              <w:rPr>
                <w:sz w:val="18"/>
                <w:szCs w:val="24"/>
                <w:lang w:eastAsia="et-EE"/>
              </w:rPr>
            </w:pPr>
            <w:r w:rsidRPr="002B77D0">
              <w:rPr>
                <w:sz w:val="18"/>
                <w:szCs w:val="24"/>
                <w:lang w:eastAsia="et-EE"/>
              </w:rPr>
              <w:t>1</w:t>
            </w:r>
          </w:p>
        </w:tc>
        <w:tc>
          <w:tcPr>
            <w:tcW w:w="2961" w:type="dxa"/>
            <w:tcBorders>
              <w:bottom w:val="single" w:sz="4" w:space="0" w:color="auto"/>
            </w:tcBorders>
            <w:shd w:val="clear" w:color="auto" w:fill="auto"/>
            <w:vAlign w:val="bottom"/>
          </w:tcPr>
          <w:p w:rsidR="002B77D0" w:rsidRPr="002B77D0" w:rsidRDefault="002B77D0" w:rsidP="00FD1003">
            <w:pPr>
              <w:spacing w:before="40" w:after="40" w:line="220" w:lineRule="exact"/>
              <w:jc w:val="right"/>
              <w:rPr>
                <w:sz w:val="18"/>
                <w:szCs w:val="24"/>
                <w:lang w:eastAsia="et-EE"/>
              </w:rPr>
            </w:pPr>
          </w:p>
        </w:tc>
        <w:tc>
          <w:tcPr>
            <w:tcW w:w="1365" w:type="dxa"/>
            <w:tcBorders>
              <w:bottom w:val="single" w:sz="4" w:space="0" w:color="auto"/>
            </w:tcBorders>
            <w:shd w:val="clear" w:color="auto" w:fill="auto"/>
            <w:vAlign w:val="bottom"/>
          </w:tcPr>
          <w:p w:rsidR="002B77D0" w:rsidRPr="00FD1003" w:rsidRDefault="002B77D0" w:rsidP="00FD1003">
            <w:pPr>
              <w:spacing w:before="40" w:after="40" w:line="220" w:lineRule="exact"/>
              <w:jc w:val="right"/>
              <w:rPr>
                <w:b/>
                <w:sz w:val="18"/>
                <w:szCs w:val="24"/>
                <w:lang w:eastAsia="et-EE"/>
              </w:rPr>
            </w:pPr>
            <w:r w:rsidRPr="00FD1003">
              <w:rPr>
                <w:b/>
                <w:sz w:val="18"/>
                <w:szCs w:val="24"/>
                <w:lang w:eastAsia="et-EE"/>
              </w:rPr>
              <w:t>1</w:t>
            </w:r>
          </w:p>
        </w:tc>
      </w:tr>
      <w:tr w:rsidR="002B77D0" w:rsidRPr="00FD1003">
        <w:trPr>
          <w:trHeight w:val="20"/>
        </w:trPr>
        <w:tc>
          <w:tcPr>
            <w:tcW w:w="882" w:type="dxa"/>
            <w:tcBorders>
              <w:top w:val="single" w:sz="4" w:space="0" w:color="auto"/>
              <w:bottom w:val="single" w:sz="12" w:space="0" w:color="auto"/>
            </w:tcBorders>
            <w:shd w:val="clear" w:color="auto" w:fill="auto"/>
            <w:vAlign w:val="bottom"/>
          </w:tcPr>
          <w:p w:rsidR="002B77D0" w:rsidRPr="00FD1003" w:rsidRDefault="002B77D0" w:rsidP="009C33BF">
            <w:pPr>
              <w:spacing w:before="60" w:after="60" w:line="220" w:lineRule="exact"/>
              <w:ind w:left="284"/>
              <w:rPr>
                <w:b/>
                <w:sz w:val="18"/>
                <w:szCs w:val="24"/>
                <w:lang w:eastAsia="et-EE"/>
              </w:rPr>
            </w:pPr>
            <w:r w:rsidRPr="00FD1003">
              <w:rPr>
                <w:b/>
                <w:noProof/>
                <w:sz w:val="18"/>
                <w:szCs w:val="24"/>
                <w:lang w:eastAsia="et-EE"/>
              </w:rPr>
              <w:t>Total</w:t>
            </w:r>
          </w:p>
        </w:tc>
        <w:tc>
          <w:tcPr>
            <w:tcW w:w="2162" w:type="dxa"/>
            <w:tcBorders>
              <w:top w:val="single" w:sz="4" w:space="0" w:color="auto"/>
              <w:bottom w:val="single" w:sz="12" w:space="0" w:color="auto"/>
            </w:tcBorders>
            <w:shd w:val="clear" w:color="auto" w:fill="auto"/>
            <w:vAlign w:val="bottom"/>
          </w:tcPr>
          <w:p w:rsidR="002B77D0" w:rsidRPr="00FD1003" w:rsidRDefault="002B77D0" w:rsidP="009C33BF">
            <w:pPr>
              <w:spacing w:before="60" w:after="60" w:line="220" w:lineRule="exact"/>
              <w:jc w:val="right"/>
              <w:rPr>
                <w:b/>
                <w:sz w:val="18"/>
                <w:szCs w:val="24"/>
                <w:lang w:eastAsia="et-EE"/>
              </w:rPr>
            </w:pPr>
            <w:r w:rsidRPr="00FD1003">
              <w:rPr>
                <w:b/>
                <w:sz w:val="18"/>
                <w:szCs w:val="24"/>
                <w:lang w:eastAsia="et-EE"/>
              </w:rPr>
              <w:t>21</w:t>
            </w:r>
          </w:p>
        </w:tc>
        <w:tc>
          <w:tcPr>
            <w:tcW w:w="2961" w:type="dxa"/>
            <w:tcBorders>
              <w:top w:val="single" w:sz="4" w:space="0" w:color="auto"/>
              <w:bottom w:val="single" w:sz="12" w:space="0" w:color="auto"/>
            </w:tcBorders>
            <w:shd w:val="clear" w:color="auto" w:fill="auto"/>
            <w:vAlign w:val="bottom"/>
          </w:tcPr>
          <w:p w:rsidR="002B77D0" w:rsidRPr="00FD1003" w:rsidRDefault="002B77D0" w:rsidP="009C33BF">
            <w:pPr>
              <w:spacing w:before="60" w:after="60" w:line="220" w:lineRule="exact"/>
              <w:jc w:val="right"/>
              <w:rPr>
                <w:b/>
                <w:sz w:val="18"/>
                <w:szCs w:val="24"/>
                <w:lang w:eastAsia="et-EE"/>
              </w:rPr>
            </w:pPr>
            <w:r w:rsidRPr="00FD1003">
              <w:rPr>
                <w:b/>
                <w:sz w:val="18"/>
                <w:szCs w:val="24"/>
                <w:lang w:eastAsia="et-EE"/>
              </w:rPr>
              <w:t>1</w:t>
            </w:r>
          </w:p>
        </w:tc>
        <w:tc>
          <w:tcPr>
            <w:tcW w:w="1365" w:type="dxa"/>
            <w:tcBorders>
              <w:top w:val="single" w:sz="4" w:space="0" w:color="auto"/>
              <w:bottom w:val="single" w:sz="12" w:space="0" w:color="auto"/>
            </w:tcBorders>
            <w:shd w:val="clear" w:color="auto" w:fill="auto"/>
            <w:vAlign w:val="bottom"/>
          </w:tcPr>
          <w:p w:rsidR="002B77D0" w:rsidRPr="00FD1003" w:rsidRDefault="002B77D0" w:rsidP="009C33BF">
            <w:pPr>
              <w:spacing w:before="60" w:after="60" w:line="220" w:lineRule="exact"/>
              <w:jc w:val="right"/>
              <w:rPr>
                <w:b/>
                <w:sz w:val="18"/>
                <w:szCs w:val="24"/>
                <w:lang w:eastAsia="et-EE"/>
              </w:rPr>
            </w:pPr>
            <w:r w:rsidRPr="00FD1003">
              <w:rPr>
                <w:b/>
                <w:sz w:val="18"/>
                <w:szCs w:val="24"/>
                <w:lang w:eastAsia="et-EE"/>
              </w:rPr>
              <w:t>22</w:t>
            </w:r>
          </w:p>
        </w:tc>
      </w:tr>
    </w:tbl>
    <w:p w:rsidR="002B77D0" w:rsidRDefault="007F4EB2" w:rsidP="00637350">
      <w:pPr>
        <w:pStyle w:val="SingleTxtG"/>
        <w:spacing w:before="120" w:after="240"/>
        <w:ind w:firstLine="170"/>
        <w:jc w:val="left"/>
        <w:rPr>
          <w:noProof/>
          <w:sz w:val="18"/>
          <w:szCs w:val="18"/>
          <w:lang w:eastAsia="et-EE"/>
        </w:rPr>
      </w:pPr>
      <w:r>
        <w:rPr>
          <w:i/>
          <w:noProof/>
          <w:sz w:val="18"/>
          <w:szCs w:val="18"/>
          <w:lang w:eastAsia="et-EE"/>
        </w:rPr>
        <w:t>Fuent</w:t>
      </w:r>
      <w:r w:rsidR="002B77D0" w:rsidRPr="002B77D0">
        <w:rPr>
          <w:i/>
          <w:noProof/>
          <w:sz w:val="18"/>
          <w:szCs w:val="18"/>
          <w:lang w:eastAsia="et-EE"/>
        </w:rPr>
        <w:t>e</w:t>
      </w:r>
      <w:r w:rsidR="002B77D0" w:rsidRPr="00452F8A">
        <w:rPr>
          <w:i/>
          <w:noProof/>
          <w:sz w:val="18"/>
          <w:szCs w:val="18"/>
          <w:lang w:eastAsia="et-EE"/>
        </w:rPr>
        <w:t>:</w:t>
      </w:r>
      <w:r w:rsidR="002B77D0" w:rsidRPr="002B77D0">
        <w:rPr>
          <w:sz w:val="18"/>
          <w:szCs w:val="18"/>
          <w:lang w:eastAsia="et-EE"/>
        </w:rPr>
        <w:t xml:space="preserve"> </w:t>
      </w:r>
      <w:r>
        <w:rPr>
          <w:sz w:val="18"/>
          <w:szCs w:val="18"/>
          <w:lang w:eastAsia="et-EE"/>
        </w:rPr>
        <w:t xml:space="preserve">Sistema de Información sobre </w:t>
      </w:r>
      <w:smartTag w:uri="urn:schemas-microsoft-com:office:smarttags" w:element="PersonName">
        <w:smartTagPr>
          <w:attr w:name="ProductID" w:val="la Ense￱anza"/>
        </w:smartTagPr>
        <w:r>
          <w:rPr>
            <w:sz w:val="18"/>
            <w:szCs w:val="18"/>
            <w:lang w:eastAsia="et-EE"/>
          </w:rPr>
          <w:t>la Enseñanza</w:t>
        </w:r>
      </w:smartTag>
      <w:r>
        <w:rPr>
          <w:sz w:val="18"/>
          <w:szCs w:val="18"/>
          <w:lang w:eastAsia="et-EE"/>
        </w:rPr>
        <w:t xml:space="preserve"> del Estonio</w:t>
      </w:r>
      <w:r w:rsidR="00452F8A">
        <w:rPr>
          <w:sz w:val="18"/>
          <w:szCs w:val="18"/>
          <w:lang w:eastAsia="et-EE"/>
        </w:rPr>
        <w:t>.</w:t>
      </w:r>
    </w:p>
    <w:p w:rsidR="00721E3B" w:rsidRPr="00721E3B" w:rsidRDefault="007131BF" w:rsidP="00637350">
      <w:pPr>
        <w:pStyle w:val="SingleTxtG"/>
      </w:pPr>
      <w:r w:rsidRPr="00721E3B">
        <w:t>25</w:t>
      </w:r>
      <w:r>
        <w:t>1</w:t>
      </w:r>
      <w:r w:rsidR="00721E3B" w:rsidRPr="00721E3B">
        <w:t>.</w:t>
      </w:r>
      <w:r>
        <w:tab/>
      </w:r>
      <w:r w:rsidR="00EE495A">
        <w:t>En Estonia, los niños son destinados a escuelas especiales sobre la base de indicaciones médicas, únicamente con el consentimiento de un padre o tutor legal y previa evaluación médica</w:t>
      </w:r>
      <w:r w:rsidR="00721E3B" w:rsidRPr="00721E3B">
        <w:t xml:space="preserve">. </w:t>
      </w:r>
      <w:r w:rsidR="00EE495A">
        <w:t>La asignación de un niño romaní a una escuela para niños con necesidades educativas especiales o a una escuela de enseñanza básica en el marco del plan simplificado de estudios tiene lugar con arreglo a principios generales, es decir, las necesidades educativas especiales de los niños romaníes y la recomendación de las medidas necesaria</w:t>
      </w:r>
      <w:r w:rsidR="00721E3B" w:rsidRPr="00721E3B">
        <w:t xml:space="preserve">s </w:t>
      </w:r>
      <w:r w:rsidR="00EE495A">
        <w:t>se evalúan sobre la misma base que en el caso de los niños que hablan estonio u otro idioma en el hogar</w:t>
      </w:r>
      <w:r w:rsidR="00721E3B" w:rsidRPr="00721E3B">
        <w:t xml:space="preserve">. </w:t>
      </w:r>
      <w:r w:rsidR="003A1CFB">
        <w:t xml:space="preserve">Los padres, o las instituciones de enseñanza con el consentimiento de </w:t>
      </w:r>
      <w:r w:rsidR="00F77C03">
        <w:t>est</w:t>
      </w:r>
      <w:r w:rsidR="003D7942">
        <w:t>o</w:t>
      </w:r>
      <w:r w:rsidR="00F77C03">
        <w:t>s</w:t>
      </w:r>
      <w:r w:rsidR="003A1CFB">
        <w:t>, pueden identificar las necesidades educativas especiales y medidas de apoyo necesarias, incluida la designación de escuelas para niños con dichas necesidades</w:t>
      </w:r>
      <w:r w:rsidR="00721E3B" w:rsidRPr="00721E3B">
        <w:t>.</w:t>
      </w:r>
    </w:p>
    <w:p w:rsidR="00721E3B" w:rsidRPr="00721E3B" w:rsidRDefault="007131BF" w:rsidP="00637350">
      <w:pPr>
        <w:pStyle w:val="SingleTxtG"/>
      </w:pPr>
      <w:r w:rsidRPr="00721E3B">
        <w:t>25</w:t>
      </w:r>
      <w:r>
        <w:t>2</w:t>
      </w:r>
      <w:r w:rsidR="00721E3B" w:rsidRPr="00721E3B">
        <w:t>.</w:t>
      </w:r>
      <w:r w:rsidR="00721E3B">
        <w:tab/>
      </w:r>
      <w:r w:rsidR="003A1CFB">
        <w:t>Los datos confirman que los a</w:t>
      </w:r>
      <w:r w:rsidR="00121F39">
        <w:t>lumnos de origen romaní que el comité consultivo recomienda</w:t>
      </w:r>
      <w:r w:rsidR="003A1CFB">
        <w:t xml:space="preserve"> incluir en el plan simplificado de estudios, es decir, los alumnos con discapacidad mental leve,</w:t>
      </w:r>
      <w:r w:rsidR="00721E3B" w:rsidRPr="00721E3B">
        <w:t xml:space="preserve"> </w:t>
      </w:r>
      <w:r w:rsidR="00121F39">
        <w:t>ya s</w:t>
      </w:r>
      <w:r w:rsidR="003A1CFB">
        <w:t>on objeto de dicha recomendación desde el primer grado, y su plan de estudios no se modifica durante el período de enseñanza básica</w:t>
      </w:r>
      <w:r w:rsidR="00721E3B" w:rsidRPr="00721E3B">
        <w:t>.</w:t>
      </w:r>
    </w:p>
    <w:p w:rsidR="00721E3B" w:rsidRPr="00721E3B" w:rsidRDefault="007131BF" w:rsidP="00637350">
      <w:pPr>
        <w:pStyle w:val="SingleTxtG"/>
      </w:pPr>
      <w:r w:rsidRPr="00721E3B">
        <w:t>25</w:t>
      </w:r>
      <w:r>
        <w:t>3</w:t>
      </w:r>
      <w:r w:rsidR="00721E3B" w:rsidRPr="00721E3B">
        <w:t>.</w:t>
      </w:r>
      <w:r w:rsidR="00721E3B">
        <w:tab/>
      </w:r>
      <w:r w:rsidR="00721E3B" w:rsidRPr="00721E3B">
        <w:t>T</w:t>
      </w:r>
      <w:r w:rsidR="00121F39">
        <w:t>eniendo en cuenta la proporción de romaníes entre la población de Estonia (0,04%</w:t>
      </w:r>
      <w:r w:rsidR="00721E3B" w:rsidRPr="00721E3B">
        <w:t xml:space="preserve">) </w:t>
      </w:r>
      <w:r w:rsidR="00121F39">
        <w:t>y que el proceso de integrar a las minorías nacionales del país está basado en diferentes aspectos de la vida y no en la pertenencia a grupos técnicos, Estonia considera adecuado seguir aplicando las medidas pertinentes en diversos sectores de políticas, tal como se especifica en el plan de integración para los romaníes</w:t>
      </w:r>
      <w:r w:rsidR="00A601D4">
        <w:t>. Entre esas medidas figuran actividades educativas y culturales, cuestiones relacionadas con el empleo, participación social, actividades de los medios de comunicación</w:t>
      </w:r>
      <w:r w:rsidR="00721E3B" w:rsidRPr="00721E3B">
        <w:t>, etc.</w:t>
      </w:r>
      <w:r w:rsidR="00A601D4">
        <w:t xml:space="preserve">, en relación con </w:t>
      </w:r>
      <w:r w:rsidR="0086152E">
        <w:t>diferentes grupos étnicos, pero</w:t>
      </w:r>
      <w:r w:rsidR="00A601D4">
        <w:t xml:space="preserve"> no </w:t>
      </w:r>
      <w:r w:rsidR="0086152E">
        <w:t xml:space="preserve">se prevé </w:t>
      </w:r>
      <w:r w:rsidR="00A601D4">
        <w:t>la elaboración de una estrategia independiente basada en la nacionalidad</w:t>
      </w:r>
      <w:r w:rsidR="00721E3B" w:rsidRPr="00721E3B">
        <w:t xml:space="preserve">. </w:t>
      </w:r>
      <w:r w:rsidR="0086152E">
        <w:t>Se otorga prioridad especial a la cooperación con las autoridades regionales y locales, así como ONG y partes interesadas pertinentes</w:t>
      </w:r>
      <w:r w:rsidR="00721E3B" w:rsidRPr="00721E3B">
        <w:t xml:space="preserve">. </w:t>
      </w:r>
      <w:r w:rsidR="0086152E">
        <w:t xml:space="preserve">Por ejemplo, el Instituto de Derechos Humanos de Estonia coopera con </w:t>
      </w:r>
      <w:smartTag w:uri="urn:schemas-microsoft-com:office:smarttags" w:element="PersonName">
        <w:smartTagPr>
          <w:attr w:name="ProductID" w:val="la Asociaci￳n Roman￭"/>
        </w:smartTagPr>
        <w:r w:rsidR="0086152E">
          <w:t>la Asociación Romaní</w:t>
        </w:r>
      </w:smartTag>
      <w:r w:rsidR="0086152E">
        <w:t xml:space="preserve"> del Norte de Estonia y ha logrado que los romaníes participen en tareas de cooperación a nivel nacional e internacional en 2011 y 20</w:t>
      </w:r>
      <w:r w:rsidR="00721E3B" w:rsidRPr="00721E3B">
        <w:t>12.</w:t>
      </w:r>
    </w:p>
    <w:p w:rsidR="00721E3B" w:rsidRPr="00721E3B" w:rsidRDefault="00721E3B" w:rsidP="00637350">
      <w:pPr>
        <w:pStyle w:val="H4G"/>
      </w:pPr>
      <w:r>
        <w:tab/>
      </w:r>
      <w:r w:rsidRPr="00721E3B">
        <w:t>vi)</w:t>
      </w:r>
      <w:r>
        <w:tab/>
      </w:r>
      <w:r w:rsidR="0086152E">
        <w:t>El derecho a participar, en condiciones de igualdad, en las actividades culturale</w:t>
      </w:r>
      <w:r w:rsidRPr="00721E3B">
        <w:t>s</w:t>
      </w:r>
    </w:p>
    <w:p w:rsidR="00721E3B" w:rsidRPr="00721E3B" w:rsidRDefault="007131BF" w:rsidP="00637350">
      <w:pPr>
        <w:pStyle w:val="SingleTxtG"/>
      </w:pPr>
      <w:r w:rsidRPr="00721E3B">
        <w:t>25</w:t>
      </w:r>
      <w:r>
        <w:t>4</w:t>
      </w:r>
      <w:r w:rsidR="00721E3B" w:rsidRPr="00721E3B">
        <w:t>.</w:t>
      </w:r>
      <w:r w:rsidR="00721E3B">
        <w:tab/>
      </w:r>
      <w:r w:rsidR="003533C5">
        <w:t>Los representantes de las minorías nacionales alemana, rusa, sueca y judía, así como los representantes de las nacionalidades que suman más de</w:t>
      </w:r>
      <w:r w:rsidR="00721E3B" w:rsidRPr="00721E3B">
        <w:t xml:space="preserve"> 3</w:t>
      </w:r>
      <w:r w:rsidR="00ED0A48">
        <w:t>.</w:t>
      </w:r>
      <w:r w:rsidR="00721E3B" w:rsidRPr="00721E3B">
        <w:t>000</w:t>
      </w:r>
      <w:r w:rsidR="003533C5">
        <w:t xml:space="preserve"> personas</w:t>
      </w:r>
      <w:r w:rsidR="00721E3B" w:rsidRPr="00721E3B">
        <w:t xml:space="preserve">, </w:t>
      </w:r>
      <w:r w:rsidR="003533C5">
        <w:t xml:space="preserve">pueden constituir autonomías culturales de las minorías nacionales. De conformidad con </w:t>
      </w:r>
      <w:smartTag w:uri="urn:schemas-microsoft-com:office:smarttags" w:element="PersonName">
        <w:smartTagPr>
          <w:attr w:name="ProductID" w:val="La Ley"/>
        </w:smartTagPr>
        <w:r w:rsidR="003533C5">
          <w:t>la Ley</w:t>
        </w:r>
      </w:smartTag>
      <w:r w:rsidR="003533C5">
        <w:t xml:space="preserve"> de autonomía cultural de las minorías nacionales</w:t>
      </w:r>
      <w:r w:rsidR="00721E3B" w:rsidRPr="00721E3B">
        <w:t xml:space="preserve">, </w:t>
      </w:r>
      <w:r w:rsidR="003533C5">
        <w:t xml:space="preserve">las minorías nacionales que han constituido una autonomía cultural tienen derecho a emplear su lengua materna en la administración pública respetando los límites establecidos </w:t>
      </w:r>
      <w:r w:rsidR="00721E3B" w:rsidRPr="00721E3B">
        <w:t>e</w:t>
      </w:r>
      <w:r w:rsidR="003533C5">
        <w:t xml:space="preserve">n </w:t>
      </w:r>
      <w:smartTag w:uri="urn:schemas-microsoft-com:office:smarttags" w:element="PersonName">
        <w:smartTagPr>
          <w:attr w:name="ProductID" w:val="La Ley"/>
        </w:smartTagPr>
        <w:r w:rsidR="003533C5">
          <w:t>la Ley</w:t>
        </w:r>
      </w:smartTag>
      <w:r w:rsidR="003533C5">
        <w:t xml:space="preserve"> de </w:t>
      </w:r>
      <w:r w:rsidR="00D87273">
        <w:t>idiomas;</w:t>
      </w:r>
      <w:r w:rsidR="005466A4">
        <w:t xml:space="preserve"> </w:t>
      </w:r>
      <w:r w:rsidR="0071619A">
        <w:t xml:space="preserve">publicar material impreso en sus lenguas nacionales; difundir e intercambiar información en su lengua materna; y organizar </w:t>
      </w:r>
      <w:r w:rsidR="00B632D7">
        <w:t>lo</w:t>
      </w:r>
      <w:r w:rsidR="0071619A">
        <w:t>s estudios en su lengua materna.</w:t>
      </w:r>
      <w:r w:rsidR="00B632D7">
        <w:t xml:space="preserve"> Dos minorías nacionales han constituido autonomías culturales, a saber,</w:t>
      </w:r>
      <w:r w:rsidR="005466A4">
        <w:t xml:space="preserve"> </w:t>
      </w:r>
      <w:r w:rsidR="00B632D7">
        <w:t>los finlandeses ingrios y los suecos estonios</w:t>
      </w:r>
      <w:r w:rsidR="00721E3B" w:rsidRPr="00721E3B">
        <w:t>.</w:t>
      </w:r>
    </w:p>
    <w:p w:rsidR="00721E3B" w:rsidRPr="00721E3B" w:rsidRDefault="007131BF" w:rsidP="00637350">
      <w:pPr>
        <w:pStyle w:val="SingleTxtG"/>
      </w:pPr>
      <w:r w:rsidRPr="00721E3B">
        <w:t>25</w:t>
      </w:r>
      <w:r>
        <w:t>5</w:t>
      </w:r>
      <w:r w:rsidR="00721E3B" w:rsidRPr="00721E3B">
        <w:t>.</w:t>
      </w:r>
      <w:r w:rsidR="00721E3B">
        <w:tab/>
      </w:r>
      <w:r w:rsidR="008028E1">
        <w:t xml:space="preserve">En el territorio de Estonia, </w:t>
      </w:r>
      <w:smartTag w:uri="urn:schemas-microsoft-com:office:smarttags" w:element="PersonName">
        <w:smartTagPr>
          <w:attr w:name="ProductID" w:val="La Ley"/>
        </w:smartTagPr>
        <w:r w:rsidR="008028E1">
          <w:t>la Ley</w:t>
        </w:r>
      </w:smartTag>
      <w:r w:rsidR="008028E1">
        <w:t xml:space="preserve"> de idiomas regula el empleo del idioma estonio y otros idiomas, por ejemplo, en la administración y en los servicios de información pública, tanto a nivel oral como escrito</w:t>
      </w:r>
      <w:r w:rsidR="00721E3B" w:rsidRPr="00721E3B">
        <w:t xml:space="preserve">. </w:t>
      </w:r>
      <w:r w:rsidR="008028E1">
        <w:t>De con</w:t>
      </w:r>
      <w:r w:rsidR="00D06815">
        <w:t xml:space="preserve">formidad con </w:t>
      </w:r>
      <w:smartTag w:uri="urn:schemas-microsoft-com:office:smarttags" w:element="PersonName">
        <w:smartTagPr>
          <w:attr w:name="ProductID" w:val="La Ley"/>
        </w:smartTagPr>
        <w:r w:rsidR="00D06815">
          <w:t>la Ley</w:t>
        </w:r>
      </w:smartTag>
      <w:r w:rsidR="00D06815">
        <w:t xml:space="preserve"> de idiomas,</w:t>
      </w:r>
      <w:r w:rsidR="00721E3B" w:rsidRPr="00721E3B">
        <w:t xml:space="preserve"> </w:t>
      </w:r>
      <w:r w:rsidR="00D06815">
        <w:t>toda</w:t>
      </w:r>
      <w:r w:rsidR="008028E1">
        <w:t>s</w:t>
      </w:r>
      <w:r w:rsidR="00D06815">
        <w:t xml:space="preserve"> las personas</w:t>
      </w:r>
      <w:r w:rsidR="008028E1">
        <w:t xml:space="preserve"> tienen derecho a dirigirse en su idioma a</w:t>
      </w:r>
      <w:r w:rsidR="00807EA7">
        <w:t xml:space="preserve"> las autoridades </w:t>
      </w:r>
      <w:r w:rsidR="004332A1">
        <w:t xml:space="preserve">locales </w:t>
      </w:r>
      <w:r w:rsidR="00807EA7">
        <w:t xml:space="preserve">y los </w:t>
      </w:r>
      <w:r w:rsidR="008028E1">
        <w:t xml:space="preserve">organismos estatales </w:t>
      </w:r>
      <w:r w:rsidR="00807EA7">
        <w:t xml:space="preserve">que operan en </w:t>
      </w:r>
      <w:r w:rsidR="008028E1">
        <w:t>el territorio de la</w:t>
      </w:r>
      <w:r w:rsidR="00D06815">
        <w:t>s</w:t>
      </w:r>
      <w:r w:rsidR="008028E1">
        <w:t xml:space="preserve"> admin</w:t>
      </w:r>
      <w:r w:rsidR="00D06815">
        <w:t>istracio</w:t>
      </w:r>
      <w:r w:rsidR="00807EA7">
        <w:t>n</w:t>
      </w:r>
      <w:r w:rsidR="00D06815">
        <w:t>es locales</w:t>
      </w:r>
      <w:r w:rsidR="00721E3B" w:rsidRPr="00721E3B">
        <w:t xml:space="preserve">, </w:t>
      </w:r>
      <w:r w:rsidR="0026194B">
        <w:t>así como a r</w:t>
      </w:r>
      <w:r w:rsidR="00807EA7">
        <w:t>ecibir</w:t>
      </w:r>
      <w:r w:rsidR="0026194B">
        <w:t xml:space="preserve"> también en su idioma las respuestas de esos organismos y los funcionarios </w:t>
      </w:r>
      <w:r w:rsidR="00807EA7">
        <w:t>y empleados que trabajan en ello</w:t>
      </w:r>
      <w:r w:rsidR="0026194B">
        <w:t>s, además de recibirlas en estonio</w:t>
      </w:r>
      <w:r w:rsidR="006753DD">
        <w:t>, allí donde al menos la mitad</w:t>
      </w:r>
      <w:r w:rsidR="00D06815">
        <w:t xml:space="preserve"> de</w:t>
      </w:r>
      <w:r w:rsidR="006753DD">
        <w:t xml:space="preserve"> los</w:t>
      </w:r>
      <w:r w:rsidR="00D06815">
        <w:t xml:space="preserve"> residentes permanentes pertene</w:t>
      </w:r>
      <w:r w:rsidR="004332A1">
        <w:t>z</w:t>
      </w:r>
      <w:r w:rsidR="00D06815">
        <w:t>c</w:t>
      </w:r>
      <w:r w:rsidR="004332A1">
        <w:t>a</w:t>
      </w:r>
      <w:r w:rsidR="00D06815">
        <w:t>n a minorías nacionales</w:t>
      </w:r>
      <w:r w:rsidR="00721E3B" w:rsidRPr="00721E3B">
        <w:t>.</w:t>
      </w:r>
    </w:p>
    <w:p w:rsidR="00721E3B" w:rsidRPr="00721E3B" w:rsidRDefault="007131BF" w:rsidP="00637350">
      <w:pPr>
        <w:pStyle w:val="SingleTxtG"/>
      </w:pPr>
      <w:r w:rsidRPr="00721E3B">
        <w:t>25</w:t>
      </w:r>
      <w:r>
        <w:t>6</w:t>
      </w:r>
      <w:r w:rsidR="00721E3B" w:rsidRPr="00721E3B">
        <w:t>.</w:t>
      </w:r>
      <w:r w:rsidR="00721E3B">
        <w:tab/>
      </w:r>
      <w:r w:rsidR="00807EA7">
        <w:t>En Estonia, todas las personas gozan del derecho constitucional a formar asociaciones, sociedades y clubes,</w:t>
      </w:r>
      <w:r w:rsidR="00721E3B" w:rsidRPr="00721E3B">
        <w:t xml:space="preserve"> </w:t>
      </w:r>
      <w:r w:rsidR="00807EA7">
        <w:t>proteger sus propios intereses y expresar opiniones comunes</w:t>
      </w:r>
      <w:r w:rsidR="00721E3B" w:rsidRPr="00721E3B">
        <w:t xml:space="preserve">. </w:t>
      </w:r>
      <w:r w:rsidR="00807EA7">
        <w:t xml:space="preserve">No hay restricciones basadas en el origen étnico, racial </w:t>
      </w:r>
      <w:r w:rsidR="005A469B">
        <w:t xml:space="preserve">u </w:t>
      </w:r>
      <w:r w:rsidR="00807EA7">
        <w:t>otras características con respecto a la participación e</w:t>
      </w:r>
      <w:r w:rsidR="005A469B">
        <w:t>n</w:t>
      </w:r>
      <w:r w:rsidR="00807EA7">
        <w:t xml:space="preserve"> las actividades culturales y la creación de cultura</w:t>
      </w:r>
      <w:r w:rsidR="005A469B">
        <w:t>. Todas las asociaciones y colectivos de las minorías nacionales pueden solicitar ayuda para llevar a cabo sus actividades en pie de igualdad con las asociaciones culturales estonias. Estonia apoya las asociaciones culturales de las minorías nacionales cuya finalidad es preservar, desarrollar e introducir la cultura étnica. Toda asociación cultural registrada cuyas actividades estatutarias tengan por finalidad la preservación del idioma y la cultura de una minoría nacional puede solicitar financiación básica para cubrir gastos fijos tales como los de contabilidad, instalaciones, eventos tradicionales</w:t>
      </w:r>
      <w:r w:rsidR="00721E3B" w:rsidRPr="00721E3B">
        <w:t>, etc.</w:t>
      </w:r>
    </w:p>
    <w:p w:rsidR="00721E3B" w:rsidRPr="00721E3B" w:rsidRDefault="007131BF" w:rsidP="00637350">
      <w:pPr>
        <w:pStyle w:val="SingleTxtG"/>
      </w:pPr>
      <w:r w:rsidRPr="00721E3B">
        <w:t>25</w:t>
      </w:r>
      <w:r>
        <w:t>7</w:t>
      </w:r>
      <w:r w:rsidR="00721E3B" w:rsidRPr="00721E3B">
        <w:t>.</w:t>
      </w:r>
      <w:r w:rsidR="00721E3B">
        <w:tab/>
      </w:r>
      <w:r w:rsidR="005A469B">
        <w:t xml:space="preserve">En Estonia hay cerca de 300 asociaciones y sociedades culturales registradas, cuyos gastos operativos se financian en parte con cargo al presupuesto del Estado. Dichas asociaciones se han consolidado </w:t>
      </w:r>
      <w:r w:rsidR="00365B2C">
        <w:t>en el marco de 23 organizaciones coordinadoras</w:t>
      </w:r>
      <w:r w:rsidR="00721E3B" w:rsidRPr="00721E3B">
        <w:t xml:space="preserve">. </w:t>
      </w:r>
      <w:r w:rsidR="00365B2C">
        <w:t>Hay alrededor de 100 asociaciones culturales rusas consolidadas en el marco de siete organizaciones coordinadoras</w:t>
      </w:r>
      <w:r w:rsidR="00B14FFC">
        <w:rPr>
          <w:rStyle w:val="FootnoteReference"/>
        </w:rPr>
        <w:footnoteReference w:id="47"/>
      </w:r>
      <w:r w:rsidR="00721E3B" w:rsidRPr="00721E3B">
        <w:t xml:space="preserve"> </w:t>
      </w:r>
      <w:r w:rsidR="00365B2C">
        <w:t>cuyas actividades estatutarias tienen por finalidad la preservación de la cultura y el idioma rusos</w:t>
      </w:r>
      <w:r w:rsidR="00721E3B" w:rsidRPr="00721E3B">
        <w:t xml:space="preserve">. </w:t>
      </w:r>
      <w:r w:rsidR="00365B2C">
        <w:t>Las asociaciones culturales rusas representan cerca de la mitad del total de asociaciones culturales de minorías nacionales. E</w:t>
      </w:r>
      <w:r w:rsidR="00721E3B" w:rsidRPr="00721E3B">
        <w:t xml:space="preserve">n 2011, </w:t>
      </w:r>
      <w:r w:rsidR="00365B2C">
        <w:t>dichas asociaciones obtuvieron financiación básica destinada a las orga</w:t>
      </w:r>
      <w:r w:rsidR="009951CB">
        <w:t xml:space="preserve">nizaciones coordinadoras de </w:t>
      </w:r>
      <w:r w:rsidR="00365B2C">
        <w:t xml:space="preserve">asociaciones culturales de </w:t>
      </w:r>
      <w:r w:rsidR="009951CB">
        <w:t xml:space="preserve">las </w:t>
      </w:r>
      <w:r w:rsidR="00365B2C">
        <w:t>minorías nacionales por un monto total de 132.</w:t>
      </w:r>
      <w:r w:rsidR="00721E3B" w:rsidRPr="00721E3B">
        <w:t xml:space="preserve">552 </w:t>
      </w:r>
      <w:r w:rsidR="00365B2C">
        <w:t>euros, o el</w:t>
      </w:r>
      <w:r w:rsidR="00721E3B" w:rsidRPr="00721E3B">
        <w:t xml:space="preserve"> 42</w:t>
      </w:r>
      <w:r w:rsidR="00086B8C">
        <w:t xml:space="preserve">% del presupuesto total asignado a dicha </w:t>
      </w:r>
      <w:r w:rsidR="00365B2C">
        <w:t>financiación básica (313.</w:t>
      </w:r>
      <w:r w:rsidR="00721E3B" w:rsidRPr="00721E3B">
        <w:t>167</w:t>
      </w:r>
      <w:r w:rsidR="00365B2C">
        <w:t xml:space="preserve"> euros</w:t>
      </w:r>
      <w:r w:rsidR="00721E3B" w:rsidRPr="00721E3B">
        <w:t>). 16</w:t>
      </w:r>
      <w:r w:rsidR="00086B8C">
        <w:t xml:space="preserve"> asociaciones rusas pertenecen también a otras organizaciones coordinadoras de las minorías nacionales</w:t>
      </w:r>
      <w:r w:rsidR="00721E3B" w:rsidRPr="00721E3B">
        <w:t>.</w:t>
      </w:r>
    </w:p>
    <w:p w:rsidR="00721E3B" w:rsidRPr="00721E3B" w:rsidRDefault="007131BF" w:rsidP="00637350">
      <w:pPr>
        <w:pStyle w:val="SingleTxtG"/>
      </w:pPr>
      <w:r w:rsidRPr="00721E3B">
        <w:t>25</w:t>
      </w:r>
      <w:r>
        <w:t>8</w:t>
      </w:r>
      <w:r w:rsidR="00721E3B" w:rsidRPr="00721E3B">
        <w:t>.</w:t>
      </w:r>
      <w:r w:rsidR="00721E3B">
        <w:tab/>
      </w:r>
      <w:r w:rsidR="00086B8C">
        <w:t>Por lo que respecta a las asociaciones culturales, una de las prioridades es apoyar sus ac</w:t>
      </w:r>
      <w:r w:rsidR="00741960">
        <w:t>tividades y prestarles asesoramiento</w:t>
      </w:r>
      <w:r w:rsidR="00086B8C">
        <w:t xml:space="preserve"> con miras a aumentar su capacidad administrativa y velar por su sostenibilidad. La cuantía de la financiación básica con cargo al presupuesto del Est</w:t>
      </w:r>
      <w:r w:rsidR="00614EF9">
        <w:t>ado ha aumentado continuamente: 159.</w:t>
      </w:r>
      <w:r w:rsidR="00721E3B" w:rsidRPr="00721E3B">
        <w:t xml:space="preserve">770 </w:t>
      </w:r>
      <w:r w:rsidR="00614EF9">
        <w:t>euros en 2003; 204.</w:t>
      </w:r>
      <w:r w:rsidR="00721E3B" w:rsidRPr="00721E3B">
        <w:t xml:space="preserve">517 </w:t>
      </w:r>
      <w:r w:rsidR="00614EF9">
        <w:t>euros en 2006; 307.</w:t>
      </w:r>
      <w:r w:rsidR="00721E3B" w:rsidRPr="00721E3B">
        <w:t xml:space="preserve">692 </w:t>
      </w:r>
      <w:r w:rsidR="00614EF9">
        <w:t>euros en 2009; 314.</w:t>
      </w:r>
      <w:r w:rsidR="00721E3B" w:rsidRPr="00721E3B">
        <w:t xml:space="preserve">102 </w:t>
      </w:r>
      <w:r w:rsidR="00614EF9">
        <w:t>euros en 2010; y 313.</w:t>
      </w:r>
      <w:r w:rsidR="00721E3B" w:rsidRPr="00721E3B">
        <w:t xml:space="preserve">167 </w:t>
      </w:r>
      <w:r w:rsidR="00614EF9">
        <w:t>euros en 2010 y</w:t>
      </w:r>
      <w:r w:rsidR="00721E3B" w:rsidRPr="00721E3B">
        <w:t xml:space="preserve"> 2011.</w:t>
      </w:r>
    </w:p>
    <w:p w:rsidR="00721E3B" w:rsidRPr="00721E3B" w:rsidRDefault="007131BF" w:rsidP="00637350">
      <w:pPr>
        <w:pStyle w:val="SingleTxtG"/>
      </w:pPr>
      <w:r w:rsidRPr="00721E3B">
        <w:t>25</w:t>
      </w:r>
      <w:r>
        <w:t>9</w:t>
      </w:r>
      <w:r w:rsidR="00721E3B" w:rsidRPr="00721E3B">
        <w:t>.</w:t>
      </w:r>
      <w:r w:rsidR="00721E3B">
        <w:tab/>
      </w:r>
      <w:r w:rsidR="00741960">
        <w:t>El Ministerio de Cultura considera importante apoyar las actividades culturales de las minorías nacionales que viven en Estonia, y contribuir a la preservación de su idiosincrasia cultural y su idioma. Los representantes de las asociaciones culturales de las minorías nacionales han participado activamente en los procesos de examen que se iniciaron en 2001</w:t>
      </w:r>
      <w:r w:rsidR="00721E3B" w:rsidRPr="00721E3B">
        <w:t xml:space="preserve"> </w:t>
      </w:r>
      <w:r w:rsidR="00741960">
        <w:t>para la elaboración de principios de política cultural hasta 2010, y la elaboración de principios de financiación básica</w:t>
      </w:r>
      <w:r w:rsidR="00721E3B" w:rsidRPr="00721E3B">
        <w:t xml:space="preserve"> (</w:t>
      </w:r>
      <w:r w:rsidR="00741960">
        <w:t>apoyo a las actividades con cargo al presupuesto del Estado</w:t>
      </w:r>
      <w:r w:rsidR="00721E3B" w:rsidRPr="00721E3B">
        <w:t xml:space="preserve">) </w:t>
      </w:r>
      <w:r w:rsidR="00741960">
        <w:t>de las orga</w:t>
      </w:r>
      <w:r w:rsidR="009951CB">
        <w:t xml:space="preserve">nizaciones coordinadoras de </w:t>
      </w:r>
      <w:r w:rsidR="00741960">
        <w:t xml:space="preserve">asociaciones culturales de </w:t>
      </w:r>
      <w:r w:rsidR="009951CB">
        <w:t xml:space="preserve">las </w:t>
      </w:r>
      <w:r w:rsidR="00741960">
        <w:t>minorías nacionales</w:t>
      </w:r>
      <w:r w:rsidR="00721E3B" w:rsidRPr="00721E3B">
        <w:t>.</w:t>
      </w:r>
    </w:p>
    <w:p w:rsidR="00721E3B" w:rsidRPr="00721E3B" w:rsidRDefault="007131BF" w:rsidP="00637350">
      <w:pPr>
        <w:pStyle w:val="SingleTxtG"/>
      </w:pPr>
      <w:r w:rsidRPr="00721E3B">
        <w:t>2</w:t>
      </w:r>
      <w:r>
        <w:t>60</w:t>
      </w:r>
      <w:r w:rsidR="00721E3B" w:rsidRPr="00721E3B">
        <w:t>.</w:t>
      </w:r>
      <w:r w:rsidR="00721E3B">
        <w:tab/>
      </w:r>
      <w:r w:rsidR="009951CB">
        <w:t>En cuanto a la integración en la sociedad estonia, una de las tareas más importantes del Estado consiste en facilitar a las minorías nacionales la posibilidad de preservar su lengua materna y promover su cultura</w:t>
      </w:r>
      <w:r w:rsidR="00721E3B" w:rsidRPr="00721E3B">
        <w:t xml:space="preserve">. </w:t>
      </w:r>
      <w:r w:rsidR="009951CB">
        <w:t xml:space="preserve">El Ministerio de Cultura concede ayudas a varios programas destinados a preservar la herencia cultural de las minorías nacionales, por ejemplo, el programa nacional denominado </w:t>
      </w:r>
      <w:r w:rsidR="002B491B">
        <w:rPr>
          <w:szCs w:val="24"/>
          <w:lang w:val="es-ES"/>
        </w:rPr>
        <w:t>"</w:t>
      </w:r>
      <w:r w:rsidR="009951CB">
        <w:t>Preservación y desarrollo de los santuario</w:t>
      </w:r>
      <w:r w:rsidR="00721E3B" w:rsidRPr="00721E3B">
        <w:t>s 2003-2013</w:t>
      </w:r>
      <w:r w:rsidR="002B491B">
        <w:rPr>
          <w:szCs w:val="24"/>
          <w:lang w:val="es-ES"/>
        </w:rPr>
        <w:t>"</w:t>
      </w:r>
      <w:r w:rsidR="00B14FFC">
        <w:rPr>
          <w:rStyle w:val="FootnoteReference"/>
        </w:rPr>
        <w:footnoteReference w:id="48"/>
      </w:r>
      <w:r w:rsidR="002B491B">
        <w:rPr>
          <w:szCs w:val="24"/>
          <w:lang w:val="es-ES"/>
        </w:rPr>
        <w:t>;</w:t>
      </w:r>
      <w:r w:rsidR="00721E3B" w:rsidRPr="00721E3B">
        <w:t xml:space="preserve"> </w:t>
      </w:r>
      <w:r w:rsidR="00856B99">
        <w:t>el programa sectorial</w:t>
      </w:r>
      <w:r w:rsidR="00721E3B" w:rsidRPr="00721E3B">
        <w:t xml:space="preserve"> </w:t>
      </w:r>
      <w:r w:rsidR="002B491B">
        <w:rPr>
          <w:szCs w:val="24"/>
          <w:lang w:val="es-ES"/>
        </w:rPr>
        <w:t>"</w:t>
      </w:r>
      <w:r w:rsidR="00856B99">
        <w:t>Entorno cultural tradicional de las islas 2008-2010 y 2011-2013</w:t>
      </w:r>
      <w:r w:rsidR="002B491B">
        <w:rPr>
          <w:szCs w:val="24"/>
          <w:lang w:val="es-ES"/>
        </w:rPr>
        <w:t>"</w:t>
      </w:r>
      <w:r w:rsidR="00856B99">
        <w:t>;</w:t>
      </w:r>
      <w:r w:rsidR="00721E3B" w:rsidRPr="00721E3B">
        <w:t xml:space="preserve"> </w:t>
      </w:r>
      <w:r w:rsidR="00856B99">
        <w:t xml:space="preserve">y el programa </w:t>
      </w:r>
      <w:r w:rsidR="002B491B">
        <w:rPr>
          <w:szCs w:val="24"/>
          <w:lang w:val="es-ES"/>
        </w:rPr>
        <w:t>"</w:t>
      </w:r>
      <w:r w:rsidR="00856B99">
        <w:t>Espacio cultural de</w:t>
      </w:r>
      <w:r w:rsidR="00721E3B" w:rsidRPr="00721E3B">
        <w:t xml:space="preserve"> Peipsiveere 2009-2012</w:t>
      </w:r>
      <w:r w:rsidR="002B491B">
        <w:rPr>
          <w:szCs w:val="24"/>
          <w:lang w:val="es-ES"/>
        </w:rPr>
        <w:t>"</w:t>
      </w:r>
      <w:r w:rsidR="00721E3B" w:rsidRPr="00721E3B">
        <w:t xml:space="preserve">. </w:t>
      </w:r>
      <w:r w:rsidR="00D455A4">
        <w:t>Se garantiza el apoyo con cargo al presupuesto del Estado para las autonomías culturales de los finlandeses estonios y los finlandeses ingrios</w:t>
      </w:r>
      <w:r w:rsidR="00721E3B" w:rsidRPr="00721E3B">
        <w:t xml:space="preserve">, </w:t>
      </w:r>
      <w:r w:rsidR="00D455A4">
        <w:t>así como para 20 organizaciones coordinadoras de asociaciones culturales de las minorías nacionales</w:t>
      </w:r>
      <w:r w:rsidR="00721E3B" w:rsidRPr="00721E3B">
        <w:t>.</w:t>
      </w:r>
    </w:p>
    <w:p w:rsidR="00721E3B" w:rsidRPr="00721E3B" w:rsidRDefault="007131BF" w:rsidP="00637350">
      <w:pPr>
        <w:pStyle w:val="SingleTxtG"/>
      </w:pPr>
      <w:r w:rsidRPr="00721E3B">
        <w:t>26</w:t>
      </w:r>
      <w:r>
        <w:t>1</w:t>
      </w:r>
      <w:r w:rsidR="00721E3B" w:rsidRPr="00721E3B">
        <w:t>.</w:t>
      </w:r>
      <w:r w:rsidR="00721E3B">
        <w:tab/>
      </w:r>
      <w:r w:rsidR="00D455A4">
        <w:t xml:space="preserve">El Ministerio </w:t>
      </w:r>
      <w:r w:rsidR="000C4744">
        <w:t>de Cultura apoya continuamente</w:t>
      </w:r>
      <w:r w:rsidR="00D455A4">
        <w:t xml:space="preserve"> los teatros profesionales y de aficionados de las minorías nacionales, los organizadores de conciertos, los museos, los proyectos de publicaciones, así como la organización de eventos literarios</w:t>
      </w:r>
      <w:r w:rsidR="00721E3B" w:rsidRPr="00721E3B">
        <w:t>, festival</w:t>
      </w:r>
      <w:r w:rsidR="00D455A4">
        <w:t>e</w:t>
      </w:r>
      <w:r w:rsidR="00721E3B" w:rsidRPr="00721E3B">
        <w:t>s</w:t>
      </w:r>
      <w:r w:rsidR="00D455A4">
        <w:t xml:space="preserve"> y demás eventos culturales de las minorías nacionales en Estonia</w:t>
      </w:r>
      <w:r w:rsidR="00721E3B" w:rsidRPr="00721E3B">
        <w:t xml:space="preserve">. </w:t>
      </w:r>
      <w:r w:rsidR="00D455A4">
        <w:t>También se conceden ayuda</w:t>
      </w:r>
      <w:r w:rsidR="000C4744">
        <w:t>s</w:t>
      </w:r>
      <w:r w:rsidR="00D455A4">
        <w:t xml:space="preserve"> con ca</w:t>
      </w:r>
      <w:r w:rsidR="000C4744">
        <w:t>rgo al presupuesto del Estado para el</w:t>
      </w:r>
      <w:r w:rsidR="00D455A4">
        <w:t xml:space="preserve"> teatro y los medios</w:t>
      </w:r>
      <w:r w:rsidR="000C4744">
        <w:t xml:space="preserve"> de comunicación rusos en</w:t>
      </w:r>
      <w:r w:rsidR="00D455A4">
        <w:t xml:space="preserve"> la radio </w:t>
      </w:r>
      <w:r w:rsidR="000C4744">
        <w:t xml:space="preserve">y </w:t>
      </w:r>
      <w:r w:rsidR="00D455A4">
        <w:t>televisión públicas</w:t>
      </w:r>
      <w:r w:rsidR="00721E3B" w:rsidRPr="00721E3B">
        <w:t>.</w:t>
      </w:r>
    </w:p>
    <w:p w:rsidR="00721E3B" w:rsidRPr="00721E3B" w:rsidRDefault="007131BF" w:rsidP="00637350">
      <w:pPr>
        <w:pStyle w:val="SingleTxtG"/>
      </w:pPr>
      <w:r w:rsidRPr="00721E3B">
        <w:t>26</w:t>
      </w:r>
      <w:r>
        <w:t>2</w:t>
      </w:r>
      <w:r w:rsidR="00721E3B" w:rsidRPr="00721E3B">
        <w:t>.</w:t>
      </w:r>
      <w:r w:rsidR="00721E3B">
        <w:tab/>
      </w:r>
      <w:r w:rsidR="00952FF0">
        <w:t>Por lo que se refiere a las actividades artísticas, el teatro en lengua rusa es la esfera más apoyada por el Estado</w:t>
      </w:r>
      <w:r w:rsidR="00721E3B" w:rsidRPr="00721E3B">
        <w:t xml:space="preserve">, </w:t>
      </w:r>
      <w:r w:rsidR="00952FF0">
        <w:t>si bien se han proporcionado también ayudas al colectivo de los músicos rusos</w:t>
      </w:r>
      <w:r w:rsidR="00721E3B" w:rsidRPr="00721E3B">
        <w:t xml:space="preserve">. </w:t>
      </w:r>
      <w:r w:rsidR="00952FF0">
        <w:t xml:space="preserve">La donación más cuantiosa se ha destinado al teatro ruso, </w:t>
      </w:r>
      <w:r w:rsidR="004472D0">
        <w:t>por un monto de 808.</w:t>
      </w:r>
      <w:r w:rsidR="00721E3B" w:rsidRPr="00721E3B">
        <w:t>749</w:t>
      </w:r>
      <w:r w:rsidR="004472D0">
        <w:t xml:space="preserve"> euros en 2010; 884.</w:t>
      </w:r>
      <w:r w:rsidR="00721E3B" w:rsidRPr="00721E3B">
        <w:t xml:space="preserve">385 </w:t>
      </w:r>
      <w:r w:rsidR="004472D0">
        <w:t>euros en 2011 y 1.621.719 euros e</w:t>
      </w:r>
      <w:r w:rsidR="00721E3B" w:rsidRPr="00721E3B">
        <w:t xml:space="preserve">n 2012. </w:t>
      </w:r>
      <w:r w:rsidR="004472D0">
        <w:t xml:space="preserve">Cada año se celebra en Estonia el festival de teatro ruso </w:t>
      </w:r>
      <w:r w:rsidR="002B491B">
        <w:rPr>
          <w:szCs w:val="24"/>
          <w:lang w:val="es-ES"/>
        </w:rPr>
        <w:t>"</w:t>
      </w:r>
      <w:r w:rsidR="004472D0">
        <w:t>Máscara Dorada</w:t>
      </w:r>
      <w:r w:rsidR="002B491B">
        <w:rPr>
          <w:szCs w:val="24"/>
          <w:lang w:val="es-ES"/>
        </w:rPr>
        <w:t>"</w:t>
      </w:r>
      <w:r w:rsidR="00721E3B" w:rsidRPr="00721E3B">
        <w:t xml:space="preserve"> </w:t>
      </w:r>
      <w:r w:rsidR="004472D0">
        <w:t xml:space="preserve">en el marco del programa de cooperación cultural entre el Ministerio de Cultura de </w:t>
      </w:r>
      <w:smartTag w:uri="urn:schemas-microsoft-com:office:smarttags" w:element="PersonName">
        <w:smartTagPr>
          <w:attr w:name="ProductID" w:val="la Rep￺blica"/>
        </w:smartTagPr>
        <w:r w:rsidR="004472D0">
          <w:t>la República</w:t>
        </w:r>
      </w:smartTag>
      <w:r w:rsidR="004472D0">
        <w:t xml:space="preserve"> de Estonia y el Ministerio de Cultura de </w:t>
      </w:r>
      <w:smartTag w:uri="urn:schemas-microsoft-com:office:smarttags" w:element="PersonName">
        <w:smartTagPr>
          <w:attr w:name="ProductID" w:val="la Federaci￳n"/>
        </w:smartTagPr>
        <w:r w:rsidR="004472D0">
          <w:t>la Federación</w:t>
        </w:r>
      </w:smartTag>
      <w:r w:rsidR="004472D0">
        <w:t xml:space="preserve"> de Rusia</w:t>
      </w:r>
      <w:r w:rsidR="00721E3B" w:rsidRPr="00721E3B">
        <w:t xml:space="preserve">. </w:t>
      </w:r>
      <w:r w:rsidR="004472D0">
        <w:t>La cultura de las minorías nacionales se da a conocer mediante diversos festivales musicales, exposiciones, y eventos literarios y de cultura tradicional</w:t>
      </w:r>
      <w:r w:rsidR="00721E3B" w:rsidRPr="00721E3B">
        <w:t>.</w:t>
      </w:r>
    </w:p>
    <w:p w:rsidR="00721E3B" w:rsidRPr="00721E3B" w:rsidRDefault="007131BF" w:rsidP="00637350">
      <w:pPr>
        <w:pStyle w:val="SingleTxtG"/>
      </w:pPr>
      <w:r w:rsidRPr="00721E3B">
        <w:t>26</w:t>
      </w:r>
      <w:r>
        <w:t>3</w:t>
      </w:r>
      <w:r w:rsidR="00721E3B" w:rsidRPr="00721E3B">
        <w:t>.</w:t>
      </w:r>
      <w:r w:rsidR="00B14FFC">
        <w:tab/>
      </w:r>
      <w:r w:rsidR="004472D0">
        <w:t xml:space="preserve">Además, en Tallin y en el condado de Ida-Viru </w:t>
      </w:r>
      <w:r w:rsidR="002042FB">
        <w:t>hay asociaciones de artistas estonios y rusos; hay escuelas de música y arte que ofrecen también clases en ruso con el apoyo de las administraciones locales</w:t>
      </w:r>
      <w:r w:rsidR="00721E3B" w:rsidRPr="00721E3B">
        <w:t>.</w:t>
      </w:r>
    </w:p>
    <w:p w:rsidR="00721E3B" w:rsidRPr="00721E3B" w:rsidRDefault="007131BF" w:rsidP="00637350">
      <w:pPr>
        <w:pStyle w:val="SingleTxtG"/>
      </w:pPr>
      <w:r w:rsidRPr="00721E3B">
        <w:t>26</w:t>
      </w:r>
      <w:r>
        <w:t>4</w:t>
      </w:r>
      <w:r w:rsidR="00721E3B" w:rsidRPr="00721E3B">
        <w:t>.</w:t>
      </w:r>
      <w:r w:rsidR="00B14FFC">
        <w:tab/>
      </w:r>
      <w:r w:rsidR="002042FB">
        <w:t>En 2008 se creó una base de datos virtual</w:t>
      </w:r>
      <w:r w:rsidR="00721E3B" w:rsidRPr="00721E3B">
        <w:t xml:space="preserve"> (</w:t>
      </w:r>
      <w:r w:rsidR="00721E3B" w:rsidRPr="008F6BAB">
        <w:t>www.starover.eu</w:t>
      </w:r>
      <w:r w:rsidR="00721E3B" w:rsidRPr="00721E3B">
        <w:t xml:space="preserve">) </w:t>
      </w:r>
      <w:r w:rsidR="002042FB">
        <w:t>para apoyar e introducir la cultura de los viejos creyentes rusos en Estonia</w:t>
      </w:r>
      <w:r w:rsidR="00721E3B" w:rsidRPr="00721E3B">
        <w:t>.</w:t>
      </w:r>
      <w:r w:rsidR="002042FB">
        <w:t xml:space="preserve"> El programa del Ministerio de Cultura denominado</w:t>
      </w:r>
      <w:r w:rsidR="00721E3B" w:rsidRPr="00721E3B">
        <w:t xml:space="preserve"> </w:t>
      </w:r>
      <w:r w:rsidR="002B491B">
        <w:rPr>
          <w:szCs w:val="24"/>
          <w:lang w:val="es-ES"/>
        </w:rPr>
        <w:t>"</w:t>
      </w:r>
      <w:r w:rsidR="002042FB">
        <w:t>Espacio c</w:t>
      </w:r>
      <w:r w:rsidR="00721E3B" w:rsidRPr="00721E3B">
        <w:t xml:space="preserve">ultural </w:t>
      </w:r>
      <w:r w:rsidR="002042FB">
        <w:t>de</w:t>
      </w:r>
      <w:r w:rsidR="00721E3B" w:rsidRPr="00721E3B">
        <w:t xml:space="preserve"> Peipsiveere 2009-2012</w:t>
      </w:r>
      <w:r w:rsidR="002B491B">
        <w:rPr>
          <w:szCs w:val="24"/>
          <w:lang w:val="es-ES"/>
        </w:rPr>
        <w:t>"</w:t>
      </w:r>
      <w:r w:rsidR="00721E3B" w:rsidRPr="00721E3B">
        <w:t xml:space="preserve"> </w:t>
      </w:r>
      <w:r w:rsidR="002042FB">
        <w:t>apoya la preservación de la herencia cultural regional, con especial atención a la presentación e introducción de la herencia cultural de los viejos creyentes rusos</w:t>
      </w:r>
      <w:r w:rsidR="00721E3B" w:rsidRPr="00721E3B">
        <w:t xml:space="preserve">. </w:t>
      </w:r>
      <w:r w:rsidR="002042FB">
        <w:t xml:space="preserve">El programa y las administraciones locales han apoyado, por ejemplo, los gastos de desplazamiento para visitar la exposición permanente del museo </w:t>
      </w:r>
      <w:r w:rsidR="00721E3B" w:rsidRPr="00721E3B">
        <w:t xml:space="preserve">Kolkja, </w:t>
      </w:r>
      <w:r w:rsidR="002042FB">
        <w:t xml:space="preserve">la organización de clases de canto </w:t>
      </w:r>
      <w:r w:rsidR="00721E3B" w:rsidRPr="002B491B">
        <w:rPr>
          <w:i/>
          <w:iCs/>
        </w:rPr>
        <w:t>neumads</w:t>
      </w:r>
      <w:r w:rsidR="002B491B" w:rsidRPr="002B491B">
        <w:rPr>
          <w:i/>
        </w:rPr>
        <w:t>'</w:t>
      </w:r>
      <w:r w:rsidR="00721E3B" w:rsidRPr="00721E3B">
        <w:t xml:space="preserve">, </w:t>
      </w:r>
      <w:r w:rsidR="002042FB">
        <w:t>así como la</w:t>
      </w:r>
      <w:r w:rsidR="005466A4">
        <w:t xml:space="preserve"> </w:t>
      </w:r>
      <w:r w:rsidR="002042FB">
        <w:t>conservación de edificios e iconos de esa congregación, la realización del festival</w:t>
      </w:r>
      <w:r w:rsidR="00721E3B" w:rsidRPr="00721E3B">
        <w:t xml:space="preserve"> </w:t>
      </w:r>
      <w:r w:rsidR="002B491B">
        <w:rPr>
          <w:szCs w:val="24"/>
          <w:lang w:val="es-ES"/>
        </w:rPr>
        <w:t>"</w:t>
      </w:r>
      <w:r w:rsidR="00721E3B" w:rsidRPr="00721E3B">
        <w:t>Peipus</w:t>
      </w:r>
      <w:r w:rsidR="002B491B">
        <w:rPr>
          <w:szCs w:val="24"/>
          <w:lang w:val="es-ES"/>
        </w:rPr>
        <w:t>"</w:t>
      </w:r>
      <w:r w:rsidR="002042FB">
        <w:t>, las jornadas culturales de Peipsimaa y campamentos culturales de verano para niños. E</w:t>
      </w:r>
      <w:r w:rsidR="00721E3B" w:rsidRPr="00721E3B">
        <w:t xml:space="preserve">n 2009-2012, </w:t>
      </w:r>
      <w:r w:rsidR="00EF65CB">
        <w:t xml:space="preserve">52 proyectos diferentes recibieron ayuda financiera en el marco del programa cultural, y el Estado también apoyó las actividades de </w:t>
      </w:r>
      <w:smartTag w:uri="urn:schemas-microsoft-com:office:smarttags" w:element="PersonName">
        <w:smartTagPr>
          <w:attr w:name="ProductID" w:val="la ONG Sociedad"/>
        </w:smartTagPr>
        <w:r w:rsidR="00EF65CB">
          <w:t xml:space="preserve">la ONG </w:t>
        </w:r>
        <w:r w:rsidR="001D3458">
          <w:t>Sociedad</w:t>
        </w:r>
      </w:smartTag>
      <w:r w:rsidR="001D3458">
        <w:t xml:space="preserve"> para </w:t>
      </w:r>
      <w:smartTag w:uri="urn:schemas-microsoft-com:office:smarttags" w:element="PersonName">
        <w:smartTagPr>
          <w:attr w:name="ProductID" w:val="la Cultura"/>
        </w:smartTagPr>
        <w:r w:rsidR="001D3458">
          <w:t>la Cultura</w:t>
        </w:r>
      </w:smartTag>
      <w:r w:rsidR="001D3458">
        <w:t xml:space="preserve"> y el Desarrollo de los Viejos C</w:t>
      </w:r>
      <w:r w:rsidR="00EF65CB">
        <w:t>reyentes de Estonia.</w:t>
      </w:r>
    </w:p>
    <w:p w:rsidR="00721E3B" w:rsidRPr="00721E3B" w:rsidRDefault="007131BF" w:rsidP="00637350">
      <w:pPr>
        <w:pStyle w:val="SingleTxtG"/>
      </w:pPr>
      <w:r w:rsidRPr="00721E3B">
        <w:t>26</w:t>
      </w:r>
      <w:r>
        <w:t>5</w:t>
      </w:r>
      <w:r w:rsidR="00721E3B" w:rsidRPr="00721E3B">
        <w:t>.</w:t>
      </w:r>
      <w:r w:rsidR="00B14FFC">
        <w:tab/>
      </w:r>
      <w:r w:rsidR="001D3458">
        <w:t>En</w:t>
      </w:r>
      <w:r w:rsidR="006A5518">
        <w:t xml:space="preserve"> Tallin se encuentran el Museo R</w:t>
      </w:r>
      <w:r w:rsidR="001D3458">
        <w:t>uso, el Centro</w:t>
      </w:r>
      <w:r w:rsidR="006A5518">
        <w:t xml:space="preserve"> de Cultura Rusa, el Centro de Cultura Ucraniana y el Museo J</w:t>
      </w:r>
      <w:r w:rsidR="001D3458">
        <w:t>udío</w:t>
      </w:r>
      <w:r w:rsidR="00721E3B" w:rsidRPr="00721E3B">
        <w:t xml:space="preserve">; </w:t>
      </w:r>
      <w:r w:rsidR="001D3458">
        <w:t>en las administraciones locales del lago</w:t>
      </w:r>
      <w:r w:rsidR="006A5518">
        <w:t xml:space="preserve"> Peipus hay varios museos y centros para visitantes que presentan la historia y la cultura de los viejos creyentes; en Haapsalu hay un museo que da a conocer la herencia cultural</w:t>
      </w:r>
      <w:r w:rsidR="00721E3B" w:rsidRPr="00721E3B">
        <w:t xml:space="preserve"> </w:t>
      </w:r>
      <w:r w:rsidR="006A5518">
        <w:t>de los suecos de las costas</w:t>
      </w:r>
      <w:r w:rsidR="00721E3B" w:rsidRPr="00721E3B">
        <w:t xml:space="preserve">. </w:t>
      </w:r>
      <w:r w:rsidR="006A5518">
        <w:t xml:space="preserve">La herencia cultural de los alemanes del Báltico se preserva en mansiones renovadas y restauradas, muchas de las cuales funcionan como escuelas o centros turísticos. El Museo Nacional de Estonia, en </w:t>
      </w:r>
      <w:r w:rsidR="00721E3B" w:rsidRPr="00721E3B">
        <w:t>Tartu</w:t>
      </w:r>
      <w:r w:rsidR="006A5518">
        <w:t xml:space="preserve">, es un museo etnográfico que guarda la herencia histórica y cultural de las minorías nacionales que viven en </w:t>
      </w:r>
      <w:r w:rsidR="00721E3B" w:rsidRPr="00721E3B">
        <w:t xml:space="preserve">Estonia. </w:t>
      </w:r>
      <w:r w:rsidR="006A5518">
        <w:t>Cada año se celebran en Estonia varios festivales, exposiciones, ferias artesanas y eventos literarios que introducen la cultura y la herencia cultural de las minorías nacionales</w:t>
      </w:r>
      <w:r w:rsidR="00721E3B" w:rsidRPr="00721E3B">
        <w:t xml:space="preserve">, </w:t>
      </w:r>
      <w:r w:rsidR="004F14E2">
        <w:t>cubiertos por los medios de comunicación</w:t>
      </w:r>
      <w:r w:rsidR="00721E3B" w:rsidRPr="00721E3B">
        <w:t>.</w:t>
      </w:r>
    </w:p>
    <w:p w:rsidR="00721E3B" w:rsidRPr="00721E3B" w:rsidRDefault="007131BF" w:rsidP="00637350">
      <w:pPr>
        <w:pStyle w:val="SingleTxtG"/>
      </w:pPr>
      <w:r w:rsidRPr="00721E3B">
        <w:t>26</w:t>
      </w:r>
      <w:r>
        <w:t>6</w:t>
      </w:r>
      <w:r w:rsidR="00721E3B" w:rsidRPr="00721E3B">
        <w:t>.</w:t>
      </w:r>
      <w:r w:rsidR="00B14FFC">
        <w:tab/>
      </w:r>
      <w:r w:rsidR="004F14E2">
        <w:t>Una de las prioridades del plan de</w:t>
      </w:r>
      <w:r w:rsidR="00721E3B" w:rsidRPr="00721E3B">
        <w:t xml:space="preserve"> integra</w:t>
      </w:r>
      <w:r w:rsidR="004F14E2">
        <w:t>c</w:t>
      </w:r>
      <w:r w:rsidR="00721E3B" w:rsidRPr="00721E3B">
        <w:t>i</w:t>
      </w:r>
      <w:r w:rsidR="004F14E2">
        <w:t>ó</w:t>
      </w:r>
      <w:r w:rsidR="00721E3B" w:rsidRPr="00721E3B">
        <w:t xml:space="preserve">n </w:t>
      </w:r>
      <w:r w:rsidR="004F14E2">
        <w:t>2011-2013 e</w:t>
      </w:r>
      <w:r w:rsidR="00721E3B" w:rsidRPr="00721E3B">
        <w:t xml:space="preserve">s </w:t>
      </w:r>
      <w:r w:rsidR="004F14E2">
        <w:t xml:space="preserve">el desarrollo integral del sistema de comunicación e información a fin de facilitar más información adecuada a la población cuya lengua materna es distinta del estonio, </w:t>
      </w:r>
      <w:r w:rsidR="003F12C1">
        <w:t xml:space="preserve">por ejemplo </w:t>
      </w:r>
      <w:r w:rsidR="004F14E2">
        <w:t>mediante actividades de apoyo a la información en ruso</w:t>
      </w:r>
      <w:r w:rsidR="00721E3B" w:rsidRPr="00721E3B">
        <w:t xml:space="preserve">; </w:t>
      </w:r>
      <w:r w:rsidR="004F14E2">
        <w:t xml:space="preserve">la traducción </w:t>
      </w:r>
      <w:r w:rsidR="00D21D7A">
        <w:t xml:space="preserve">al ruso </w:t>
      </w:r>
      <w:r w:rsidR="004F14E2">
        <w:t>de sitios w</w:t>
      </w:r>
      <w:r w:rsidR="00721E3B" w:rsidRPr="00721E3B">
        <w:t>eb</w:t>
      </w:r>
      <w:r w:rsidR="004F14E2">
        <w:t xml:space="preserve"> y folletos</w:t>
      </w:r>
      <w:r w:rsidR="00721E3B" w:rsidRPr="00721E3B">
        <w:t xml:space="preserve"> informati</w:t>
      </w:r>
      <w:r w:rsidR="004F14E2">
        <w:t>v</w:t>
      </w:r>
      <w:r w:rsidR="00721E3B" w:rsidRPr="00721E3B">
        <w:t>o</w:t>
      </w:r>
      <w:r w:rsidR="003F12C1">
        <w:t>s de organizaciones de la sociedad civil</w:t>
      </w:r>
      <w:r w:rsidR="00D21D7A">
        <w:t xml:space="preserve"> con miras a</w:t>
      </w:r>
      <w:r w:rsidR="003F12C1">
        <w:t xml:space="preserve"> promover la participación y las actitudes pro</w:t>
      </w:r>
      <w:r w:rsidR="00721E3B" w:rsidRPr="00721E3B">
        <w:t>acti</w:t>
      </w:r>
      <w:r w:rsidR="003F12C1">
        <w:t>vas por parte de la ciudadanía</w:t>
      </w:r>
      <w:r w:rsidR="00721E3B" w:rsidRPr="00721E3B">
        <w:t xml:space="preserve"> (</w:t>
      </w:r>
      <w:r w:rsidR="003F12C1">
        <w:t xml:space="preserve">actividades </w:t>
      </w:r>
      <w:r w:rsidR="00721E3B" w:rsidRPr="00721E3B">
        <w:t>cultur</w:t>
      </w:r>
      <w:r w:rsidR="003F12C1">
        <w:t>ales y</w:t>
      </w:r>
      <w:r w:rsidR="00721E3B" w:rsidRPr="00721E3B">
        <w:t xml:space="preserve"> </w:t>
      </w:r>
      <w:r w:rsidR="003F12C1">
        <w:t>deportiva</w:t>
      </w:r>
      <w:r w:rsidR="00721E3B" w:rsidRPr="00721E3B">
        <w:t xml:space="preserve">s, </w:t>
      </w:r>
      <w:r w:rsidR="003F12C1">
        <w:t>aficiones</w:t>
      </w:r>
      <w:r w:rsidR="00721E3B" w:rsidRPr="00721E3B">
        <w:t xml:space="preserve"> etc.); </w:t>
      </w:r>
      <w:r w:rsidR="003F12C1">
        <w:t xml:space="preserve">el apoyo a un espacio común de </w:t>
      </w:r>
      <w:r w:rsidR="00721E3B" w:rsidRPr="00721E3B">
        <w:t>informa</w:t>
      </w:r>
      <w:r w:rsidR="003F12C1">
        <w:t>c</w:t>
      </w:r>
      <w:r w:rsidR="00721E3B" w:rsidRPr="00721E3B">
        <w:t>i</w:t>
      </w:r>
      <w:r w:rsidR="003F12C1">
        <w:t>ó</w:t>
      </w:r>
      <w:r w:rsidR="00721E3B" w:rsidRPr="00721E3B">
        <w:t>n</w:t>
      </w:r>
      <w:r w:rsidR="003F12C1">
        <w:t>;</w:t>
      </w:r>
      <w:r w:rsidR="00721E3B" w:rsidRPr="00721E3B">
        <w:t xml:space="preserve"> </w:t>
      </w:r>
      <w:r w:rsidR="003F12C1">
        <w:t>el apoyo a la cooperación y formación para los periodistas de los medios de comunicación en estonio y ruso</w:t>
      </w:r>
      <w:r w:rsidR="00721E3B" w:rsidRPr="00721E3B">
        <w:t xml:space="preserve">; </w:t>
      </w:r>
      <w:r w:rsidR="003F12C1">
        <w:t>la transmisión de la información produci</w:t>
      </w:r>
      <w:r w:rsidR="00721E3B" w:rsidRPr="00721E3B">
        <w:t>d</w:t>
      </w:r>
      <w:r w:rsidR="003F12C1">
        <w:t>a e</w:t>
      </w:r>
      <w:r w:rsidR="00721E3B" w:rsidRPr="00721E3B">
        <w:t xml:space="preserve">n Estonia </w:t>
      </w:r>
      <w:r w:rsidR="003F12C1">
        <w:t xml:space="preserve">y en los medios de comunicación del país </w:t>
      </w:r>
      <w:r w:rsidR="00721E3B" w:rsidRPr="00721E3B">
        <w:t>a</w:t>
      </w:r>
      <w:r w:rsidR="003F12C1">
        <w:t xml:space="preserve"> la población de habla rusa</w:t>
      </w:r>
      <w:r w:rsidR="00721E3B" w:rsidRPr="00721E3B">
        <w:t xml:space="preserve">; </w:t>
      </w:r>
      <w:r w:rsidR="003F12C1">
        <w:t>el apoyo a los programas de los medios de comunicación que cubren la esfera de la integración como un proce</w:t>
      </w:r>
      <w:r w:rsidR="00721E3B" w:rsidRPr="00721E3B">
        <w:t>s</w:t>
      </w:r>
      <w:r w:rsidR="005A6534">
        <w:t>o recíproco</w:t>
      </w:r>
      <w:r w:rsidR="00721E3B" w:rsidRPr="00721E3B">
        <w:t>.</w:t>
      </w:r>
    </w:p>
    <w:p w:rsidR="00721E3B" w:rsidRPr="00721E3B" w:rsidRDefault="007131BF" w:rsidP="00637350">
      <w:pPr>
        <w:pStyle w:val="SingleTxtG"/>
      </w:pPr>
      <w:r w:rsidRPr="00721E3B">
        <w:t>26</w:t>
      </w:r>
      <w:r>
        <w:t>7</w:t>
      </w:r>
      <w:r w:rsidR="00721E3B" w:rsidRPr="00721E3B">
        <w:t>.</w:t>
      </w:r>
      <w:r w:rsidR="00B14FFC">
        <w:tab/>
      </w:r>
      <w:r w:rsidR="005A6534">
        <w:t>Se ha apoyado la traducción de varios portales de información al ruso para facilitar la participación de la población de habla rusa en la sociedad</w:t>
      </w:r>
      <w:r w:rsidR="00721E3B" w:rsidRPr="00721E3B">
        <w:t xml:space="preserve">: </w:t>
      </w:r>
      <w:r w:rsidR="00721E3B" w:rsidRPr="008F6BAB">
        <w:t>www.kultuur.info</w:t>
      </w:r>
      <w:r w:rsidR="00721E3B" w:rsidRPr="00721E3B">
        <w:t xml:space="preserve"> (</w:t>
      </w:r>
      <w:r w:rsidR="005A6534">
        <w:t>información en ruso sobre eventos culturales e</w:t>
      </w:r>
      <w:r w:rsidR="00721E3B" w:rsidRPr="00721E3B">
        <w:t xml:space="preserve">n Estonia); </w:t>
      </w:r>
      <w:r w:rsidR="00721E3B" w:rsidRPr="008F6BAB">
        <w:t>www.tallinn2011/kalender</w:t>
      </w:r>
      <w:r w:rsidR="00B46315">
        <w:t xml:space="preserve"> (información sobre eventos</w:t>
      </w:r>
      <w:r w:rsidR="00721E3B" w:rsidRPr="00721E3B">
        <w:t xml:space="preserve"> cultural</w:t>
      </w:r>
      <w:r w:rsidR="002D6B28">
        <w:t>es</w:t>
      </w:r>
      <w:r w:rsidR="00721E3B" w:rsidRPr="00721E3B">
        <w:t xml:space="preserve">; </w:t>
      </w:r>
      <w:r w:rsidR="002D6B28" w:rsidRPr="008F6BAB">
        <w:t>http://www.estonica.org</w:t>
      </w:r>
      <w:r w:rsidR="002D6B28">
        <w:t xml:space="preserve">, el sitio </w:t>
      </w:r>
      <w:r w:rsidR="00721E3B" w:rsidRPr="00721E3B">
        <w:t xml:space="preserve">web </w:t>
      </w:r>
      <w:r w:rsidR="002D6B28">
        <w:t>de la enciclop</w:t>
      </w:r>
      <w:r w:rsidR="00721E3B" w:rsidRPr="00721E3B">
        <w:t xml:space="preserve">edia </w:t>
      </w:r>
      <w:r w:rsidR="00721E3B" w:rsidRPr="00721E3B">
        <w:rPr>
          <w:i/>
          <w:iCs/>
        </w:rPr>
        <w:t>Estonica</w:t>
      </w:r>
      <w:r w:rsidR="002D6B28">
        <w:t>, e</w:t>
      </w:r>
      <w:r w:rsidR="00721E3B" w:rsidRPr="00721E3B">
        <w:t>s</w:t>
      </w:r>
      <w:r w:rsidR="002D6B28">
        <w:t>tá disponi</w:t>
      </w:r>
      <w:r w:rsidR="00721E3B" w:rsidRPr="00721E3B">
        <w:t>ble</w:t>
      </w:r>
      <w:r w:rsidR="002D6B28">
        <w:t xml:space="preserve"> en estonio e inglés desde 2000, y también en ruso desde 2010 (incluy</w:t>
      </w:r>
      <w:r w:rsidR="00721E3B" w:rsidRPr="00721E3B">
        <w:t>e</w:t>
      </w:r>
      <w:r w:rsidR="002D6B28">
        <w:t xml:space="preserve"> un conjunto resumido de t</w:t>
      </w:r>
      <w:r w:rsidR="00721E3B" w:rsidRPr="00721E3B">
        <w:t>ext</w:t>
      </w:r>
      <w:r w:rsidR="002D6B28">
        <w:t>o</w:t>
      </w:r>
      <w:r w:rsidR="00721E3B" w:rsidRPr="00721E3B">
        <w:t xml:space="preserve">s </w:t>
      </w:r>
      <w:r w:rsidR="002D6B28">
        <w:t>sobre la sociedad</w:t>
      </w:r>
      <w:r w:rsidR="00721E3B" w:rsidRPr="00721E3B">
        <w:t xml:space="preserve">, </w:t>
      </w:r>
      <w:r w:rsidR="002D6B28">
        <w:t>la cultura</w:t>
      </w:r>
      <w:r w:rsidR="00721E3B" w:rsidRPr="00721E3B">
        <w:t xml:space="preserve">, </w:t>
      </w:r>
      <w:r w:rsidR="002D6B28">
        <w:t>la historia</w:t>
      </w:r>
      <w:r w:rsidR="00721E3B" w:rsidRPr="00721E3B">
        <w:t xml:space="preserve">, </w:t>
      </w:r>
      <w:r w:rsidR="002D6B28">
        <w:t xml:space="preserve">la </w:t>
      </w:r>
      <w:r w:rsidR="00721E3B" w:rsidRPr="00721E3B">
        <w:t>natur</w:t>
      </w:r>
      <w:r w:rsidR="002D6B28">
        <w:t>al</w:t>
      </w:r>
      <w:r w:rsidR="00721E3B" w:rsidRPr="00721E3B">
        <w:t>e</w:t>
      </w:r>
      <w:r w:rsidR="002D6B28">
        <w:t>za</w:t>
      </w:r>
      <w:r w:rsidR="00721E3B" w:rsidRPr="00721E3B">
        <w:t xml:space="preserve">, </w:t>
      </w:r>
      <w:r w:rsidR="002D6B28">
        <w:t xml:space="preserve">la </w:t>
      </w:r>
      <w:r w:rsidR="00721E3B" w:rsidRPr="00721E3B">
        <w:t>educa</w:t>
      </w:r>
      <w:r w:rsidR="002D6B28">
        <w:t>c</w:t>
      </w:r>
      <w:r w:rsidR="00721E3B" w:rsidRPr="00721E3B">
        <w:t>i</w:t>
      </w:r>
      <w:r w:rsidR="002D6B28">
        <w:t>ó</w:t>
      </w:r>
      <w:r w:rsidR="00721E3B" w:rsidRPr="00721E3B">
        <w:t xml:space="preserve">n, </w:t>
      </w:r>
      <w:r w:rsidR="002D6B28">
        <w:t>la investigación, la organización nacional y la economía de Estonia, así como los vínculos entre esas esferas</w:t>
      </w:r>
      <w:r w:rsidR="00721E3B" w:rsidRPr="00721E3B">
        <w:t xml:space="preserve">); </w:t>
      </w:r>
      <w:r w:rsidR="002D6B28">
        <w:t xml:space="preserve">y el </w:t>
      </w:r>
      <w:r w:rsidR="00721E3B" w:rsidRPr="00721E3B">
        <w:t xml:space="preserve">portal </w:t>
      </w:r>
      <w:r w:rsidR="00721E3B" w:rsidRPr="008F6BAB">
        <w:t>www.ngo.ee/rus</w:t>
      </w:r>
      <w:r w:rsidR="00721E3B" w:rsidRPr="00721E3B">
        <w:t xml:space="preserve"> (</w:t>
      </w:r>
      <w:r w:rsidR="002D6B28">
        <w:t xml:space="preserve">portal de noticias en ruso de </w:t>
      </w:r>
      <w:smartTag w:uri="urn:schemas-microsoft-com:office:smarttags" w:element="PersonName">
        <w:smartTagPr>
          <w:attr w:name="ProductID" w:val="la Red"/>
        </w:smartTagPr>
        <w:r w:rsidR="002D6B28">
          <w:t>la Red</w:t>
        </w:r>
      </w:smartTag>
      <w:r w:rsidR="002D6B28">
        <w:t xml:space="preserve"> de Organizaciones sin Fines de Lucro E</w:t>
      </w:r>
      <w:r w:rsidR="00721E3B" w:rsidRPr="00721E3B">
        <w:t xml:space="preserve">stonia). </w:t>
      </w:r>
    </w:p>
    <w:p w:rsidR="00721E3B" w:rsidRPr="00721E3B" w:rsidRDefault="007131BF" w:rsidP="00637350">
      <w:pPr>
        <w:pStyle w:val="SingleTxtG"/>
      </w:pPr>
      <w:r w:rsidRPr="00721E3B">
        <w:t>26</w:t>
      </w:r>
      <w:r>
        <w:t>8</w:t>
      </w:r>
      <w:r w:rsidR="00721E3B" w:rsidRPr="00721E3B">
        <w:t>.</w:t>
      </w:r>
      <w:r w:rsidR="00B14FFC">
        <w:tab/>
      </w:r>
      <w:r w:rsidR="002D6B28">
        <w:t>En 2010 se crearon</w:t>
      </w:r>
      <w:r w:rsidR="00721E3B" w:rsidRPr="00721E3B">
        <w:t xml:space="preserve"> </w:t>
      </w:r>
      <w:r w:rsidR="002D6B28">
        <w:t>un portal de noticias en ruso (</w:t>
      </w:r>
      <w:r w:rsidR="00721E3B" w:rsidRPr="008F6BAB">
        <w:t>www.rus.err.ee</w:t>
      </w:r>
      <w:r w:rsidR="002D6B28">
        <w:t>) y otro en inglés (</w:t>
      </w:r>
      <w:r w:rsidR="00721E3B" w:rsidRPr="002B491B">
        <w:t>http://news.err.ee/</w:t>
      </w:r>
      <w:r w:rsidR="002D6B28">
        <w:t>)</w:t>
      </w:r>
      <w:r w:rsidR="00721E3B" w:rsidRPr="00721E3B">
        <w:t xml:space="preserve"> </w:t>
      </w:r>
      <w:r w:rsidR="00927202">
        <w:t xml:space="preserve">para </w:t>
      </w:r>
      <w:smartTag w:uri="urn:schemas-microsoft-com:office:smarttags" w:element="PersonName">
        <w:smartTagPr>
          <w:attr w:name="ProductID" w:val="la Radio"/>
        </w:smartTagPr>
        <w:r w:rsidR="00927202">
          <w:t>la Radio</w:t>
        </w:r>
      </w:smartTag>
      <w:r w:rsidR="00927202">
        <w:t xml:space="preserve"> y Televisión Nacional de</w:t>
      </w:r>
      <w:r w:rsidR="00721E3B" w:rsidRPr="00721E3B">
        <w:t xml:space="preserve"> Estonia.</w:t>
      </w:r>
    </w:p>
    <w:p w:rsidR="00721E3B" w:rsidRPr="00721E3B" w:rsidRDefault="007131BF" w:rsidP="00637350">
      <w:pPr>
        <w:pStyle w:val="SingleTxtG"/>
      </w:pPr>
      <w:r w:rsidRPr="00721E3B">
        <w:t>26</w:t>
      </w:r>
      <w:r>
        <w:t>9</w:t>
      </w:r>
      <w:r w:rsidR="00721E3B" w:rsidRPr="00721E3B">
        <w:t>.</w:t>
      </w:r>
      <w:r w:rsidR="00B14FFC">
        <w:tab/>
      </w:r>
      <w:r w:rsidR="00927202">
        <w:t>Los periódicos publicados en idiomas distintos del estonio representan el</w:t>
      </w:r>
      <w:r w:rsidR="00721E3B" w:rsidRPr="00721E3B">
        <w:t xml:space="preserve"> 17</w:t>
      </w:r>
      <w:r w:rsidR="00927202">
        <w:t>% de todos los periódicos publicados en el país</w:t>
      </w:r>
      <w:r w:rsidR="00721E3B" w:rsidRPr="00721E3B">
        <w:t xml:space="preserve">. </w:t>
      </w:r>
      <w:r w:rsidR="00927202">
        <w:t xml:space="preserve">Hay periódicos culturales </w:t>
      </w:r>
      <w:r w:rsidR="00721E3B" w:rsidRPr="00555908">
        <w:rPr>
          <w:i/>
        </w:rPr>
        <w:t>(Tallinn, Vyshgorod, Plug</w:t>
      </w:r>
      <w:r w:rsidR="00927202" w:rsidRPr="00555908">
        <w:rPr>
          <w:i/>
        </w:rPr>
        <w:t>)</w:t>
      </w:r>
      <w:r w:rsidR="00927202">
        <w:t xml:space="preserve"> y libros de ficción (las editoriales más importantes son KPD y Aleksandra) publicados en ruso</w:t>
      </w:r>
      <w:r w:rsidR="00721E3B" w:rsidRPr="00721E3B">
        <w:t xml:space="preserve">. </w:t>
      </w:r>
      <w:r w:rsidR="00927202">
        <w:t>En Estonia se publican un diario nacional</w:t>
      </w:r>
      <w:r w:rsidR="00721E3B" w:rsidRPr="00721E3B">
        <w:t xml:space="preserve"> </w:t>
      </w:r>
      <w:r w:rsidR="00927202" w:rsidRPr="00555908">
        <w:rPr>
          <w:i/>
        </w:rPr>
        <w:t>(</w:t>
      </w:r>
      <w:r w:rsidR="00721E3B" w:rsidRPr="00555908">
        <w:rPr>
          <w:i/>
          <w:iCs/>
        </w:rPr>
        <w:t>Postimees Na Russkom Jazyke</w:t>
      </w:r>
      <w:r w:rsidR="00927202" w:rsidRPr="00555908">
        <w:rPr>
          <w:i/>
        </w:rPr>
        <w:t>)</w:t>
      </w:r>
      <w:r w:rsidR="00927202">
        <w:t>, con una tirada de 10.000 ejemplares e</w:t>
      </w:r>
      <w:r w:rsidR="00721E3B" w:rsidRPr="00721E3B">
        <w:t>n 2012,</w:t>
      </w:r>
      <w:r w:rsidR="00927202">
        <w:t xml:space="preserve"> y ocho diarios r</w:t>
      </w:r>
      <w:r w:rsidR="00721E3B" w:rsidRPr="00721E3B">
        <w:t>egional</w:t>
      </w:r>
      <w:r w:rsidR="00927202">
        <w:t>es en ruso</w:t>
      </w:r>
      <w:r w:rsidR="00721E3B" w:rsidRPr="00721E3B">
        <w:t xml:space="preserve">. </w:t>
      </w:r>
      <w:r w:rsidR="00927202">
        <w:t>Además</w:t>
      </w:r>
      <w:r w:rsidR="00721E3B" w:rsidRPr="00721E3B">
        <w:t xml:space="preserve">, </w:t>
      </w:r>
      <w:r w:rsidR="00927202">
        <w:t>se publican cuatro perió</w:t>
      </w:r>
      <w:r w:rsidR="00CD7B3E">
        <w:t>dicos semanales</w:t>
      </w:r>
      <w:r w:rsidR="00927202">
        <w:t xml:space="preserve"> </w:t>
      </w:r>
      <w:r w:rsidR="00721E3B" w:rsidRPr="00721E3B">
        <w:t>(</w:t>
      </w:r>
      <w:r w:rsidR="00721E3B" w:rsidRPr="00721E3B">
        <w:rPr>
          <w:i/>
          <w:iCs/>
        </w:rPr>
        <w:t>MK-Estonija</w:t>
      </w:r>
      <w:r w:rsidR="00721E3B" w:rsidRPr="00721E3B">
        <w:t xml:space="preserve">, </w:t>
      </w:r>
      <w:r w:rsidR="00721E3B" w:rsidRPr="00721E3B">
        <w:rPr>
          <w:i/>
          <w:iCs/>
        </w:rPr>
        <w:t>Den Za Dnjom</w:t>
      </w:r>
      <w:r w:rsidR="00721E3B" w:rsidRPr="00721E3B">
        <w:t xml:space="preserve">, </w:t>
      </w:r>
      <w:r w:rsidR="00927202">
        <w:t>cada uno de ellos con una tirada aproximada de</w:t>
      </w:r>
      <w:r w:rsidR="00CD7B3E">
        <w:t xml:space="preserve"> 12.000 ejemplare</w:t>
      </w:r>
      <w:r w:rsidR="00721E3B" w:rsidRPr="00721E3B">
        <w:t xml:space="preserve">s, </w:t>
      </w:r>
      <w:r w:rsidR="00721E3B" w:rsidRPr="00721E3B">
        <w:rPr>
          <w:i/>
          <w:iCs/>
        </w:rPr>
        <w:t>Komsomolskaja Pravda v Baltii</w:t>
      </w:r>
      <w:r w:rsidR="00721E3B" w:rsidRPr="00477578">
        <w:rPr>
          <w:iCs/>
        </w:rPr>
        <w:t xml:space="preserve">, </w:t>
      </w:r>
      <w:r w:rsidR="00721E3B" w:rsidRPr="00721E3B">
        <w:rPr>
          <w:i/>
          <w:iCs/>
        </w:rPr>
        <w:t>Delovõje Vedomosti</w:t>
      </w:r>
      <w:r w:rsidR="00CD7B3E">
        <w:t>) y 14 diarios a nivel nacional</w:t>
      </w:r>
      <w:r w:rsidR="00721E3B" w:rsidRPr="00721E3B">
        <w:t>.</w:t>
      </w:r>
    </w:p>
    <w:p w:rsidR="00721E3B" w:rsidRPr="00721E3B" w:rsidRDefault="007131BF" w:rsidP="00637350">
      <w:pPr>
        <w:pStyle w:val="SingleTxtG"/>
      </w:pPr>
      <w:r w:rsidRPr="00721E3B">
        <w:t>2</w:t>
      </w:r>
      <w:r>
        <w:t>70</w:t>
      </w:r>
      <w:r w:rsidR="00721E3B" w:rsidRPr="00721E3B">
        <w:t>.</w:t>
      </w:r>
      <w:r w:rsidR="00B14FFC">
        <w:tab/>
      </w:r>
      <w:r w:rsidR="00CD7B3E">
        <w:t xml:space="preserve">La prensa regional en lengua rusa existe en casi todo el territorio de </w:t>
      </w:r>
      <w:r w:rsidR="00721E3B" w:rsidRPr="00721E3B">
        <w:t xml:space="preserve">Estonia </w:t>
      </w:r>
      <w:r w:rsidR="00CD7B3E">
        <w:t xml:space="preserve">donde la población de habla rusa es numerosa. Las publicaciones más importantes son </w:t>
      </w:r>
      <w:r w:rsidR="00721E3B" w:rsidRPr="00721E3B">
        <w:rPr>
          <w:i/>
          <w:iCs/>
        </w:rPr>
        <w:t>Narvskaja Gazeta</w:t>
      </w:r>
      <w:r w:rsidR="00721E3B" w:rsidRPr="00477578">
        <w:rPr>
          <w:iCs/>
        </w:rPr>
        <w:t xml:space="preserve">, </w:t>
      </w:r>
      <w:r w:rsidR="00721E3B" w:rsidRPr="00721E3B">
        <w:rPr>
          <w:i/>
          <w:iCs/>
        </w:rPr>
        <w:t>Narva</w:t>
      </w:r>
      <w:r w:rsidR="00721E3B" w:rsidRPr="00477578">
        <w:rPr>
          <w:iCs/>
        </w:rPr>
        <w:t xml:space="preserve">, </w:t>
      </w:r>
      <w:r w:rsidR="00721E3B" w:rsidRPr="00721E3B">
        <w:rPr>
          <w:i/>
          <w:iCs/>
        </w:rPr>
        <w:t>Gorod</w:t>
      </w:r>
      <w:r w:rsidR="00721E3B" w:rsidRPr="00477578">
        <w:rPr>
          <w:iCs/>
        </w:rPr>
        <w:t xml:space="preserve">, </w:t>
      </w:r>
      <w:r w:rsidR="00721E3B" w:rsidRPr="00721E3B">
        <w:rPr>
          <w:i/>
          <w:iCs/>
        </w:rPr>
        <w:t>Viru Prospekt</w:t>
      </w:r>
      <w:r w:rsidR="00721E3B" w:rsidRPr="00477578">
        <w:rPr>
          <w:iCs/>
        </w:rPr>
        <w:t xml:space="preserve">, </w:t>
      </w:r>
      <w:r w:rsidR="00721E3B" w:rsidRPr="00721E3B">
        <w:rPr>
          <w:i/>
          <w:iCs/>
        </w:rPr>
        <w:t>Severnoje Poberezhje</w:t>
      </w:r>
      <w:r w:rsidR="00721E3B" w:rsidRPr="00477578">
        <w:rPr>
          <w:iCs/>
        </w:rPr>
        <w:t xml:space="preserve">, </w:t>
      </w:r>
      <w:r w:rsidR="00721E3B" w:rsidRPr="00721E3B">
        <w:rPr>
          <w:i/>
          <w:iCs/>
        </w:rPr>
        <w:t>Sillamjaeski Vestnik</w:t>
      </w:r>
      <w:r w:rsidR="00721E3B" w:rsidRPr="00477578">
        <w:rPr>
          <w:iCs/>
        </w:rPr>
        <w:t xml:space="preserve">, </w:t>
      </w:r>
      <w:r w:rsidR="00721E3B" w:rsidRPr="00721E3B">
        <w:rPr>
          <w:i/>
          <w:iCs/>
        </w:rPr>
        <w:t xml:space="preserve">Panorama </w:t>
      </w:r>
      <w:r w:rsidR="00CD7B3E">
        <w:t>e</w:t>
      </w:r>
      <w:r w:rsidR="00721E3B" w:rsidRPr="00721E3B">
        <w:t>n</w:t>
      </w:r>
      <w:r w:rsidR="00CD7B3E">
        <w:t xml:space="preserve"> el condado de</w:t>
      </w:r>
      <w:r w:rsidR="00721E3B" w:rsidRPr="00721E3B">
        <w:t xml:space="preserve"> Ida-Viru</w:t>
      </w:r>
      <w:r w:rsidR="00721E3B" w:rsidRPr="00477578">
        <w:rPr>
          <w:iCs/>
        </w:rPr>
        <w:t xml:space="preserve">; </w:t>
      </w:r>
      <w:r w:rsidR="00721E3B" w:rsidRPr="00721E3B">
        <w:rPr>
          <w:i/>
          <w:iCs/>
        </w:rPr>
        <w:t>Tshudskoje Poberezhje</w:t>
      </w:r>
      <w:r w:rsidR="00CD7B3E">
        <w:t xml:space="preserve"> en la zona del lago</w:t>
      </w:r>
      <w:r w:rsidR="00721E3B" w:rsidRPr="00721E3B">
        <w:t xml:space="preserve"> Peipus; </w:t>
      </w:r>
      <w:r w:rsidR="00721E3B" w:rsidRPr="00721E3B">
        <w:rPr>
          <w:i/>
          <w:iCs/>
        </w:rPr>
        <w:t>Valk</w:t>
      </w:r>
      <w:r w:rsidR="00CD7B3E">
        <w:t xml:space="preserve"> e</w:t>
      </w:r>
      <w:r w:rsidR="00721E3B" w:rsidRPr="00721E3B">
        <w:t xml:space="preserve">n </w:t>
      </w:r>
      <w:r w:rsidR="00CD7B3E">
        <w:t>el condado de Valga, etc. El periódico municipal más</w:t>
      </w:r>
      <w:r w:rsidR="00721E3B" w:rsidRPr="00721E3B">
        <w:t xml:space="preserve"> popular </w:t>
      </w:r>
      <w:r w:rsidR="00CD7B3E">
        <w:t>en lengua rusa es</w:t>
      </w:r>
      <w:r w:rsidR="005466A4">
        <w:t xml:space="preserve"> </w:t>
      </w:r>
      <w:r w:rsidR="00721E3B" w:rsidRPr="00721E3B">
        <w:rPr>
          <w:i/>
          <w:iCs/>
        </w:rPr>
        <w:t>Stolitsa</w:t>
      </w:r>
      <w:r w:rsidR="00CD7B3E">
        <w:t>, editado en Talli</w:t>
      </w:r>
      <w:r w:rsidR="00721E3B" w:rsidRPr="00721E3B">
        <w:t xml:space="preserve">n </w:t>
      </w:r>
      <w:r w:rsidR="00CD7B3E">
        <w:t xml:space="preserve">con una tirada de 50.000 </w:t>
      </w:r>
      <w:r w:rsidR="00721E3B" w:rsidRPr="00721E3B">
        <w:t>e</w:t>
      </w:r>
      <w:r w:rsidR="00CD7B3E">
        <w:t>jemplare</w:t>
      </w:r>
      <w:r w:rsidR="00721E3B" w:rsidRPr="00721E3B">
        <w:t>s.</w:t>
      </w:r>
    </w:p>
    <w:p w:rsidR="00721E3B" w:rsidRPr="00721E3B" w:rsidRDefault="00AE5625" w:rsidP="00637350">
      <w:pPr>
        <w:pStyle w:val="SingleTxtG"/>
      </w:pPr>
      <w:r w:rsidRPr="00721E3B">
        <w:t>27</w:t>
      </w:r>
      <w:r>
        <w:t>1</w:t>
      </w:r>
      <w:r w:rsidR="00721E3B" w:rsidRPr="00721E3B">
        <w:t>.</w:t>
      </w:r>
      <w:r w:rsidR="00B14FFC">
        <w:tab/>
      </w:r>
      <w:r w:rsidR="00CE4879">
        <w:t>Además</w:t>
      </w:r>
      <w:r w:rsidR="00721E3B" w:rsidRPr="00721E3B">
        <w:t xml:space="preserve">, </w:t>
      </w:r>
      <w:r w:rsidR="00CE4879">
        <w:t>se publican periódicos y diarios en otras lenguas de las minorías nac</w:t>
      </w:r>
      <w:r w:rsidR="00721E3B" w:rsidRPr="00721E3B">
        <w:t>ional</w:t>
      </w:r>
      <w:r w:rsidR="00CE4879">
        <w:t>es, por ejemplo</w:t>
      </w:r>
      <w:r w:rsidR="00721E3B" w:rsidRPr="00721E3B">
        <w:t xml:space="preserve">, </w:t>
      </w:r>
      <w:r w:rsidR="00CE4879">
        <w:t>el finlandés</w:t>
      </w:r>
      <w:r w:rsidR="00721E3B" w:rsidRPr="00721E3B">
        <w:t xml:space="preserve"> </w:t>
      </w:r>
      <w:r w:rsidR="00721E3B" w:rsidRPr="00721E3B">
        <w:rPr>
          <w:i/>
        </w:rPr>
        <w:t>Inkeri</w:t>
      </w:r>
      <w:r w:rsidR="00721E3B" w:rsidRPr="00721E3B">
        <w:t xml:space="preserve"> </w:t>
      </w:r>
      <w:r w:rsidR="00CE4879">
        <w:t>y el sueco</w:t>
      </w:r>
      <w:r w:rsidR="00721E3B" w:rsidRPr="00721E3B">
        <w:t xml:space="preserve"> </w:t>
      </w:r>
      <w:r w:rsidR="00721E3B" w:rsidRPr="00721E3B">
        <w:rPr>
          <w:i/>
        </w:rPr>
        <w:t>Kustbon</w:t>
      </w:r>
      <w:r w:rsidR="00721E3B" w:rsidRPr="00721E3B">
        <w:t xml:space="preserve">; </w:t>
      </w:r>
      <w:r w:rsidR="00CE4879">
        <w:t xml:space="preserve">la asociación </w:t>
      </w:r>
      <w:r w:rsidR="00721E3B" w:rsidRPr="00721E3B">
        <w:t>cultural</w:t>
      </w:r>
      <w:r w:rsidR="00CE4879">
        <w:t xml:space="preserve"> ucraniana</w:t>
      </w:r>
      <w:r w:rsidR="00721E3B" w:rsidRPr="00721E3B">
        <w:t xml:space="preserve"> </w:t>
      </w:r>
      <w:r w:rsidR="002B491B">
        <w:rPr>
          <w:szCs w:val="24"/>
          <w:lang w:val="es-ES"/>
        </w:rPr>
        <w:t>"</w:t>
      </w:r>
      <w:r w:rsidR="00CE4879">
        <w:t>Vodograi</w:t>
      </w:r>
      <w:r w:rsidR="002B491B">
        <w:rPr>
          <w:szCs w:val="24"/>
          <w:lang w:val="es-ES"/>
        </w:rPr>
        <w:t>"</w:t>
      </w:r>
      <w:r w:rsidR="00CE4879">
        <w:t xml:space="preserve"> edita</w:t>
      </w:r>
      <w:r w:rsidR="00721E3B" w:rsidRPr="00721E3B">
        <w:t xml:space="preserve"> </w:t>
      </w:r>
      <w:r w:rsidR="00CE4879">
        <w:t>men</w:t>
      </w:r>
      <w:r w:rsidR="00C6494F">
        <w:t>s</w:t>
      </w:r>
      <w:r w:rsidR="00CE4879">
        <w:t>ualmente publicaciones electró</w:t>
      </w:r>
      <w:r w:rsidR="00721E3B" w:rsidRPr="00721E3B">
        <w:t>nic</w:t>
      </w:r>
      <w:r w:rsidR="00CE4879">
        <w:t>as</w:t>
      </w:r>
      <w:r w:rsidR="00721E3B" w:rsidRPr="00721E3B">
        <w:t>.</w:t>
      </w:r>
    </w:p>
    <w:p w:rsidR="00721E3B" w:rsidRPr="00721E3B" w:rsidRDefault="00AE5625" w:rsidP="00637350">
      <w:pPr>
        <w:pStyle w:val="SingleTxtG"/>
      </w:pPr>
      <w:r w:rsidRPr="00721E3B">
        <w:t>27</w:t>
      </w:r>
      <w:r>
        <w:t>2</w:t>
      </w:r>
      <w:r w:rsidR="00721E3B" w:rsidRPr="00721E3B">
        <w:t>.</w:t>
      </w:r>
      <w:r w:rsidR="00B14FFC">
        <w:tab/>
      </w:r>
      <w:smartTag w:uri="urn:schemas-microsoft-com:office:smarttags" w:element="PersonName">
        <w:smartTagPr>
          <w:attr w:name="ProductID" w:val="la Radio"/>
        </w:smartTagPr>
        <w:r w:rsidR="00C6494F">
          <w:t>La Radio</w:t>
        </w:r>
      </w:smartTag>
      <w:r w:rsidR="00C6494F">
        <w:t xml:space="preserve"> y Televisión Nacional de E</w:t>
      </w:r>
      <w:r w:rsidR="00721E3B" w:rsidRPr="00721E3B">
        <w:t xml:space="preserve">stonia </w:t>
      </w:r>
      <w:r w:rsidR="00C6494F">
        <w:t>cuenta con dos canales de televisión: ETV y ETV2. Desde</w:t>
      </w:r>
      <w:r w:rsidR="00721E3B" w:rsidRPr="00721E3B">
        <w:t xml:space="preserve"> 2008, </w:t>
      </w:r>
      <w:r w:rsidR="00C6494F">
        <w:t>los programas en ruso s</w:t>
      </w:r>
      <w:r w:rsidR="00721E3B" w:rsidRPr="00721E3B">
        <w:t xml:space="preserve">e </w:t>
      </w:r>
      <w:r w:rsidR="00C6494F">
        <w:t>emiten en ETV2, incluidas</w:t>
      </w:r>
      <w:r w:rsidR="00721E3B" w:rsidRPr="00721E3B">
        <w:t xml:space="preserve"> </w:t>
      </w:r>
      <w:r w:rsidR="00C6494F">
        <w:t xml:space="preserve">las </w:t>
      </w:r>
      <w:r w:rsidR="00721E3B" w:rsidRPr="00721E3B">
        <w:t>n</w:t>
      </w:r>
      <w:r w:rsidR="00C6494F">
        <w:t>oticias en ruso</w:t>
      </w:r>
      <w:r w:rsidR="00721E3B" w:rsidRPr="00721E3B">
        <w:t xml:space="preserve">. </w:t>
      </w:r>
      <w:r w:rsidR="00C6494F">
        <w:t>Dicho organismo se financia con cargo al presupuesto del Estado</w:t>
      </w:r>
      <w:r w:rsidR="00721E3B" w:rsidRPr="00721E3B">
        <w:t xml:space="preserve">. </w:t>
      </w:r>
      <w:r w:rsidR="00C6494F">
        <w:t xml:space="preserve">Según el Estudio de Seguimiento sobre </w:t>
      </w:r>
      <w:smartTag w:uri="urn:schemas-microsoft-com:office:smarttags" w:element="PersonName">
        <w:smartTagPr>
          <w:attr w:name="ProductID" w:val="la Integraci￳n"/>
        </w:smartTagPr>
        <w:r w:rsidR="00C6494F">
          <w:t>la Integración</w:t>
        </w:r>
      </w:smartTag>
      <w:r w:rsidR="00C6494F">
        <w:t xml:space="preserve"> de </w:t>
      </w:r>
      <w:r w:rsidR="00721E3B" w:rsidRPr="00721E3B">
        <w:t xml:space="preserve">2011, </w:t>
      </w:r>
      <w:r w:rsidR="00C6494F">
        <w:t xml:space="preserve">la población </w:t>
      </w:r>
      <w:r w:rsidR="00721E3B" w:rsidRPr="00721E3B">
        <w:t xml:space="preserve">local </w:t>
      </w:r>
      <w:r w:rsidR="00C6494F">
        <w:t>de habla rusa no siente la necesidad de un canal de televisión propio en lengua rusa</w:t>
      </w:r>
      <w:r w:rsidR="00721E3B" w:rsidRPr="00721E3B">
        <w:t xml:space="preserve">. </w:t>
      </w:r>
      <w:r w:rsidR="00FB3F4B">
        <w:t>Ello puede explicarse principalmente</w:t>
      </w:r>
      <w:r w:rsidR="00C6494F">
        <w:t xml:space="preserve"> por la disponibilidad de numerosos cana</w:t>
      </w:r>
      <w:r w:rsidR="00721E3B" w:rsidRPr="00721E3B">
        <w:t>l</w:t>
      </w:r>
      <w:r w:rsidR="00C6494F">
        <w:t>e</w:t>
      </w:r>
      <w:r w:rsidR="00FB3F4B">
        <w:t>s a través del cable y la televisión digital</w:t>
      </w:r>
      <w:r w:rsidR="00721E3B" w:rsidRPr="00721E3B">
        <w:t xml:space="preserve">. </w:t>
      </w:r>
      <w:r w:rsidR="00FB3F4B">
        <w:t xml:space="preserve">En la actualidad, los paquetes de </w:t>
      </w:r>
      <w:r w:rsidR="00CC0DAE">
        <w:t>programas que ofrecen</w:t>
      </w:r>
      <w:r w:rsidR="00FB3F4B">
        <w:t xml:space="preserve"> los operadores de televisión por cable incluyen </w:t>
      </w:r>
      <w:r w:rsidR="00CC0DAE">
        <w:t>numerosos canales</w:t>
      </w:r>
      <w:r w:rsidR="00FB3F4B">
        <w:t xml:space="preserve"> en lengua rusa</w:t>
      </w:r>
      <w:r w:rsidR="00721E3B" w:rsidRPr="00721E3B">
        <w:t xml:space="preserve">. </w:t>
      </w:r>
    </w:p>
    <w:p w:rsidR="00721E3B" w:rsidRPr="00721E3B" w:rsidRDefault="00AE5625" w:rsidP="00637350">
      <w:pPr>
        <w:pStyle w:val="SingleTxtG"/>
      </w:pPr>
      <w:r w:rsidRPr="00721E3B">
        <w:t>27</w:t>
      </w:r>
      <w:r>
        <w:t>3</w:t>
      </w:r>
      <w:r w:rsidR="00721E3B" w:rsidRPr="00721E3B">
        <w:t>.</w:t>
      </w:r>
      <w:r w:rsidR="00B14FFC">
        <w:tab/>
      </w:r>
      <w:r w:rsidR="00CC0DAE">
        <w:t>La emisora de radio en lengua rusa e</w:t>
      </w:r>
      <w:r w:rsidR="00721E3B" w:rsidRPr="00721E3B">
        <w:t>s Radio 4</w:t>
      </w:r>
      <w:r w:rsidR="00CC0DAE">
        <w:t xml:space="preserve">, que es también la emisora </w:t>
      </w:r>
      <w:r w:rsidR="00B62C12">
        <w:t>pública de radio</w:t>
      </w:r>
      <w:r w:rsidR="00721E3B" w:rsidRPr="00721E3B">
        <w:t xml:space="preserve"> </w:t>
      </w:r>
      <w:r w:rsidR="009F7586">
        <w:t>má</w:t>
      </w:r>
      <w:r w:rsidR="00B62C12">
        <w:t>s importante por nivel</w:t>
      </w:r>
      <w:r w:rsidR="009F7586">
        <w:t xml:space="preserve"> de a</w:t>
      </w:r>
      <w:r w:rsidR="00721E3B" w:rsidRPr="00721E3B">
        <w:t>udienc</w:t>
      </w:r>
      <w:r w:rsidR="009F7586">
        <w:t>ia y</w:t>
      </w:r>
      <w:r w:rsidR="00721E3B" w:rsidRPr="00721E3B">
        <w:t xml:space="preserve"> </w:t>
      </w:r>
      <w:r w:rsidR="009F7586">
        <w:t>v</w:t>
      </w:r>
      <w:r w:rsidR="00721E3B" w:rsidRPr="00721E3B">
        <w:t>olume</w:t>
      </w:r>
      <w:r w:rsidR="009F7586">
        <w:t>n de producciones propias. Radio 4 emite programación en ruso las 24 ho</w:t>
      </w:r>
      <w:r w:rsidR="00721E3B" w:rsidRPr="00721E3B">
        <w:t>r</w:t>
      </w:r>
      <w:r w:rsidR="009F7586">
        <w:t xml:space="preserve">as </w:t>
      </w:r>
      <w:r w:rsidR="00B62C12">
        <w:t xml:space="preserve">del día, </w:t>
      </w:r>
      <w:r w:rsidR="009F7586">
        <w:t>incluidas emisiones perió</w:t>
      </w:r>
      <w:r w:rsidR="00B62C12">
        <w:t>dicas</w:t>
      </w:r>
      <w:r w:rsidR="009F7586">
        <w:t xml:space="preserve"> pa</w:t>
      </w:r>
      <w:r w:rsidR="00721E3B" w:rsidRPr="00721E3B">
        <w:t>r</w:t>
      </w:r>
      <w:r w:rsidR="009F7586">
        <w:t>a</w:t>
      </w:r>
      <w:r w:rsidR="00721E3B" w:rsidRPr="00721E3B">
        <w:t xml:space="preserve"> </w:t>
      </w:r>
      <w:r w:rsidR="009F7586">
        <w:t>otras minorías nac</w:t>
      </w:r>
      <w:r w:rsidR="00721E3B" w:rsidRPr="00721E3B">
        <w:t>ional</w:t>
      </w:r>
      <w:r w:rsidR="009F7586">
        <w:t>es (en polaco, g</w:t>
      </w:r>
      <w:r w:rsidR="00721E3B" w:rsidRPr="00721E3B">
        <w:t>eorgian</w:t>
      </w:r>
      <w:r w:rsidR="009F7586">
        <w:t>o, ucra</w:t>
      </w:r>
      <w:r w:rsidR="00721E3B" w:rsidRPr="00721E3B">
        <w:t>nian</w:t>
      </w:r>
      <w:r w:rsidR="009F7586">
        <w:t>o, armenio, bielorruso, azerba</w:t>
      </w:r>
      <w:r w:rsidR="006E36F8">
        <w:t>i</w:t>
      </w:r>
      <w:r w:rsidR="009F7586">
        <w:t>yan</w:t>
      </w:r>
      <w:r w:rsidR="00B62C12">
        <w:t>o</w:t>
      </w:r>
      <w:r w:rsidR="006E36F8">
        <w:t>, chuvasio</w:t>
      </w:r>
      <w:r w:rsidR="009F7586">
        <w:t xml:space="preserve"> y hebreo</w:t>
      </w:r>
      <w:r w:rsidR="006E36F8">
        <w:t>). Radio 4 es la emisora de radio más</w:t>
      </w:r>
      <w:r w:rsidR="00721E3B" w:rsidRPr="00721E3B">
        <w:t xml:space="preserve"> popular </w:t>
      </w:r>
      <w:r w:rsidR="006E36F8">
        <w:t>de Estonia entre los oyentes no estonios</w:t>
      </w:r>
      <w:r w:rsidR="00721E3B" w:rsidRPr="00721E3B">
        <w:t xml:space="preserve">, </w:t>
      </w:r>
      <w:r w:rsidR="006E36F8">
        <w:t>y su audiencia semanal es de 180.000</w:t>
      </w:r>
      <w:r w:rsidR="00660903">
        <w:t>-</w:t>
      </w:r>
      <w:r w:rsidR="006E36F8">
        <w:t>200.</w:t>
      </w:r>
      <w:r w:rsidR="00721E3B" w:rsidRPr="00721E3B">
        <w:t>000 person</w:t>
      </w:r>
      <w:r w:rsidR="006E36F8">
        <w:t>a</w:t>
      </w:r>
      <w:r w:rsidR="00721E3B" w:rsidRPr="00721E3B">
        <w:t>s.</w:t>
      </w:r>
    </w:p>
    <w:p w:rsidR="00721E3B" w:rsidRPr="00477578" w:rsidRDefault="00AE5625" w:rsidP="00637350">
      <w:pPr>
        <w:pStyle w:val="SingleTxtG"/>
      </w:pPr>
      <w:r w:rsidRPr="00721E3B">
        <w:t>27</w:t>
      </w:r>
      <w:r>
        <w:t>4</w:t>
      </w:r>
      <w:r w:rsidR="00721E3B" w:rsidRPr="00721E3B">
        <w:t>.</w:t>
      </w:r>
      <w:r w:rsidR="00B14FFC">
        <w:tab/>
      </w:r>
      <w:r w:rsidR="00603DDB">
        <w:t xml:space="preserve">Además, seis emisoras comerciales de radio transmiten en la banda de </w:t>
      </w:r>
      <w:r w:rsidR="00721E3B" w:rsidRPr="00721E3B">
        <w:t>FM</w:t>
      </w:r>
      <w:r w:rsidR="00603DDB">
        <w:t xml:space="preserve"> en lengua rusa, a saber, Sky Radio y</w:t>
      </w:r>
      <w:r w:rsidR="00721E3B" w:rsidRPr="00721E3B">
        <w:t xml:space="preserve"> </w:t>
      </w:r>
      <w:r w:rsidR="00721E3B" w:rsidRPr="00721E3B">
        <w:rPr>
          <w:i/>
          <w:iCs/>
        </w:rPr>
        <w:t>Russkoje Radi</w:t>
      </w:r>
      <w:r w:rsidR="00603DDB">
        <w:rPr>
          <w:i/>
          <w:iCs/>
        </w:rPr>
        <w:t>o</w:t>
      </w:r>
      <w:r w:rsidR="00603DDB">
        <w:t>, de propiedad de Sky Media Group;</w:t>
      </w:r>
      <w:r w:rsidR="00721E3B" w:rsidRPr="00721E3B">
        <w:rPr>
          <w:i/>
          <w:iCs/>
        </w:rPr>
        <w:t xml:space="preserve"> Narodnoje Radio</w:t>
      </w:r>
      <w:r w:rsidR="00603DDB">
        <w:t xml:space="preserve"> y </w:t>
      </w:r>
      <w:r w:rsidR="00721E3B" w:rsidRPr="00721E3B">
        <w:rPr>
          <w:i/>
          <w:iCs/>
        </w:rPr>
        <w:t>Dinamit</w:t>
      </w:r>
      <w:r w:rsidR="00765F74">
        <w:t xml:space="preserve"> FM;</w:t>
      </w:r>
      <w:r w:rsidR="00721E3B" w:rsidRPr="00721E3B">
        <w:t xml:space="preserve"> </w:t>
      </w:r>
      <w:r w:rsidR="00721E3B" w:rsidRPr="00721E3B">
        <w:rPr>
          <w:i/>
          <w:iCs/>
        </w:rPr>
        <w:t>Evro</w:t>
      </w:r>
      <w:r w:rsidR="00765F74">
        <w:t xml:space="preserve"> FM; </w:t>
      </w:r>
      <w:r w:rsidR="00603DDB">
        <w:t>y la emisora religio</w:t>
      </w:r>
      <w:r w:rsidR="00721E3B" w:rsidRPr="00721E3B">
        <w:t>s</w:t>
      </w:r>
      <w:r w:rsidR="00603DDB">
        <w:t>a</w:t>
      </w:r>
      <w:r w:rsidR="00721E3B" w:rsidRPr="00721E3B">
        <w:t xml:space="preserve"> </w:t>
      </w:r>
      <w:r w:rsidR="00721E3B" w:rsidRPr="00721E3B">
        <w:rPr>
          <w:i/>
          <w:iCs/>
        </w:rPr>
        <w:t>Semeinoje Radio</w:t>
      </w:r>
      <w:r w:rsidR="00721E3B" w:rsidRPr="00477578">
        <w:rPr>
          <w:iCs/>
        </w:rPr>
        <w:t>.</w:t>
      </w:r>
    </w:p>
    <w:p w:rsidR="00721E3B" w:rsidRPr="00721E3B" w:rsidRDefault="00AE5625" w:rsidP="00637350">
      <w:pPr>
        <w:pStyle w:val="SingleTxtG"/>
      </w:pPr>
      <w:r w:rsidRPr="00721E3B">
        <w:t>27</w:t>
      </w:r>
      <w:r>
        <w:t>5</w:t>
      </w:r>
      <w:r w:rsidR="00721E3B" w:rsidRPr="00721E3B">
        <w:t>.</w:t>
      </w:r>
      <w:r w:rsidR="00B14FFC">
        <w:tab/>
      </w:r>
      <w:r w:rsidR="00765F74">
        <w:t>La difusión de contenidos en lengua rusa a través de Internet también se</w:t>
      </w:r>
      <w:r w:rsidR="00D61079">
        <w:t xml:space="preserve"> ha desarrollado ampliamente</w:t>
      </w:r>
      <w:r w:rsidR="00765F74">
        <w:t>. El p</w:t>
      </w:r>
      <w:r w:rsidR="00721E3B" w:rsidRPr="00721E3B">
        <w:t xml:space="preserve">ortal </w:t>
      </w:r>
      <w:r w:rsidR="00721E3B" w:rsidRPr="00721E3B">
        <w:rPr>
          <w:i/>
        </w:rPr>
        <w:t>Delfi</w:t>
      </w:r>
      <w:r w:rsidR="00765F74">
        <w:t xml:space="preserve"> funciona desde 1</w:t>
      </w:r>
      <w:r w:rsidR="00D61079">
        <w:t xml:space="preserve">999 y cuenta con el mayor número de usuarios, con 200.000 visitas semanales. En 2005 inició sus operaciones </w:t>
      </w:r>
      <w:r w:rsidR="00721E3B" w:rsidRPr="00721E3B">
        <w:t>P</w:t>
      </w:r>
      <w:r w:rsidR="00D61079">
        <w:t>ostimees Online</w:t>
      </w:r>
      <w:r w:rsidR="00721E3B" w:rsidRPr="00721E3B">
        <w:t xml:space="preserve">, </w:t>
      </w:r>
      <w:r w:rsidR="00D61079">
        <w:t>con unas 90.000 visitas semanales</w:t>
      </w:r>
      <w:r w:rsidR="00721E3B" w:rsidRPr="00721E3B">
        <w:t xml:space="preserve">. </w:t>
      </w:r>
      <w:r w:rsidR="00D61079">
        <w:t xml:space="preserve">El portal </w:t>
      </w:r>
      <w:r w:rsidR="00721E3B" w:rsidRPr="00721E3B">
        <w:rPr>
          <w:i/>
          <w:iCs/>
        </w:rPr>
        <w:t>Delovyje Vedomosti</w:t>
      </w:r>
      <w:r w:rsidR="00721E3B" w:rsidRPr="00721E3B">
        <w:t xml:space="preserve"> dv.ee </w:t>
      </w:r>
      <w:r w:rsidR="00D61079">
        <w:t>tiene 20.000 visitas cada semana</w:t>
      </w:r>
      <w:r w:rsidR="00721E3B" w:rsidRPr="00721E3B">
        <w:t xml:space="preserve">. </w:t>
      </w:r>
      <w:r w:rsidR="00D61079">
        <w:t>En 2009 se inauguró</w:t>
      </w:r>
      <w:r w:rsidR="00721E3B" w:rsidRPr="00721E3B">
        <w:t xml:space="preserve"> </w:t>
      </w:r>
      <w:r w:rsidR="00721E3B" w:rsidRPr="008F6BAB">
        <w:t>http://www.dzd.ee/</w:t>
      </w:r>
      <w:r w:rsidR="00721E3B" w:rsidRPr="00721E3B">
        <w:t xml:space="preserve">, </w:t>
      </w:r>
      <w:r w:rsidR="00D61079">
        <w:t>un portal renovado que alberga el diario web</w:t>
      </w:r>
      <w:r w:rsidR="00721E3B" w:rsidRPr="00721E3B">
        <w:t xml:space="preserve"> </w:t>
      </w:r>
      <w:r w:rsidR="00721E3B" w:rsidRPr="00721E3B">
        <w:rPr>
          <w:i/>
          <w:iCs/>
        </w:rPr>
        <w:t>Den Za Dnjom</w:t>
      </w:r>
      <w:r w:rsidR="00D61079">
        <w:t>, una fuente completa e independiente de información</w:t>
      </w:r>
      <w:r w:rsidR="00721E3B" w:rsidRPr="00721E3B">
        <w:t xml:space="preserve">. </w:t>
      </w:r>
      <w:r w:rsidR="00D61079">
        <w:t xml:space="preserve">El </w:t>
      </w:r>
      <w:r w:rsidR="00721E3B" w:rsidRPr="00721E3B">
        <w:t>portal mke.ee (MK-Estonija), la</w:t>
      </w:r>
      <w:r w:rsidR="00D61079">
        <w:t>nzado e</w:t>
      </w:r>
      <w:r w:rsidR="00721E3B" w:rsidRPr="00721E3B">
        <w:t xml:space="preserve">n 2011, </w:t>
      </w:r>
      <w:r w:rsidR="00D61079">
        <w:t>funciona también como pu</w:t>
      </w:r>
      <w:r w:rsidR="00097D84">
        <w:t>blicación independiente, y recibe</w:t>
      </w:r>
      <w:r w:rsidR="00D61079">
        <w:t xml:space="preserve"> unas 12.000 visitas seman</w:t>
      </w:r>
      <w:r w:rsidR="00721E3B" w:rsidRPr="00721E3B">
        <w:t>al</w:t>
      </w:r>
      <w:r w:rsidR="00D61079">
        <w:t>e</w:t>
      </w:r>
      <w:r w:rsidR="00721E3B" w:rsidRPr="00721E3B">
        <w:t xml:space="preserve">s. </w:t>
      </w:r>
      <w:r w:rsidR="00D61079">
        <w:t>Además, en Estonia hay decenas de páginas de Internet con información en lengua rusa</w:t>
      </w:r>
      <w:r w:rsidR="00721E3B" w:rsidRPr="00721E3B">
        <w:t>.</w:t>
      </w:r>
    </w:p>
    <w:p w:rsidR="00721E3B" w:rsidRPr="00721E3B" w:rsidRDefault="00AE5625" w:rsidP="00637350">
      <w:pPr>
        <w:pStyle w:val="SingleTxtG"/>
      </w:pPr>
      <w:r w:rsidRPr="00721E3B">
        <w:t>27</w:t>
      </w:r>
      <w:r>
        <w:t>6</w:t>
      </w:r>
      <w:r w:rsidR="00721E3B" w:rsidRPr="00721E3B">
        <w:t>.</w:t>
      </w:r>
      <w:r w:rsidR="009F35C7">
        <w:tab/>
      </w:r>
      <w:r w:rsidR="00E935EA">
        <w:t>En Estonia todas las personas tienen acceso a las instalaciones y competiciones deportivas, y oportunidades de practicar deporte</w:t>
      </w:r>
      <w:r w:rsidR="00721E3B" w:rsidRPr="00721E3B">
        <w:t xml:space="preserve">. </w:t>
      </w:r>
      <w:r w:rsidR="00E935EA">
        <w:t>Independientemente de la raza, la orientación sexual o el género,</w:t>
      </w:r>
      <w:r w:rsidR="00721E3B" w:rsidRPr="00721E3B">
        <w:t xml:space="preserve"> </w:t>
      </w:r>
      <w:r w:rsidR="00E935EA">
        <w:t>todos tienen acceso a diferentes instalaciones exteriores e interiores</w:t>
      </w:r>
      <w:r w:rsidR="00721E3B" w:rsidRPr="00721E3B">
        <w:t xml:space="preserve">, </w:t>
      </w:r>
      <w:r w:rsidR="00E935EA">
        <w:t>así como la posibilidad de practicar sus deportes favoritos, participar en competiciones, asistir a eventos deportivos</w:t>
      </w:r>
      <w:r w:rsidR="00721E3B" w:rsidRPr="00721E3B">
        <w:t xml:space="preserve"> </w:t>
      </w:r>
      <w:r w:rsidR="00E935EA">
        <w:t>y establecer clubes deportivos para promover un deporte en particular</w:t>
      </w:r>
      <w:r w:rsidR="00721E3B" w:rsidRPr="00721E3B">
        <w:t xml:space="preserve">. </w:t>
      </w:r>
      <w:r w:rsidR="00E935EA">
        <w:t>Independientemente de la orientación sexual o el género de los miembros o representantes electos, cada club deportivo tiene la posibilidad y el derecho de</w:t>
      </w:r>
      <w:r w:rsidR="00721E3B" w:rsidRPr="00721E3B">
        <w:t xml:space="preserve"> </w:t>
      </w:r>
      <w:r w:rsidR="00E935EA">
        <w:t>presentar una solicitud de financiación de un</w:t>
      </w:r>
      <w:r w:rsidR="005E1F92">
        <w:t>o de sus</w:t>
      </w:r>
      <w:r w:rsidR="00E935EA">
        <w:t xml:space="preserve"> evento</w:t>
      </w:r>
      <w:r w:rsidR="005E1F92">
        <w:t xml:space="preserve">s o actividades </w:t>
      </w:r>
      <w:r w:rsidR="00E935EA">
        <w:t>al sector público</w:t>
      </w:r>
      <w:r w:rsidR="00721E3B" w:rsidRPr="00721E3B">
        <w:t xml:space="preserve"> (</w:t>
      </w:r>
      <w:r w:rsidR="005E1F92">
        <w:t>por ejemplo, el</w:t>
      </w:r>
      <w:r w:rsidR="00721E3B" w:rsidRPr="00721E3B">
        <w:t xml:space="preserve"> </w:t>
      </w:r>
      <w:r w:rsidR="005E1F92">
        <w:t xml:space="preserve">Fondo de Dotación de Recursos para </w:t>
      </w:r>
      <w:smartTag w:uri="urn:schemas-microsoft-com:office:smarttags" w:element="PersonName">
        <w:smartTagPr>
          <w:attr w:name="ProductID" w:val="la Cultura"/>
        </w:smartTagPr>
        <w:r w:rsidR="005E1F92">
          <w:t>la Cultura</w:t>
        </w:r>
      </w:smartTag>
      <w:r w:rsidR="005E1F92">
        <w:t xml:space="preserve"> en Estonia o el</w:t>
      </w:r>
      <w:r w:rsidR="00721E3B" w:rsidRPr="00721E3B">
        <w:t xml:space="preserve"> </w:t>
      </w:r>
      <w:r w:rsidR="005E1F92">
        <w:t>Fondo del Impuesto sobre el Juego</w:t>
      </w:r>
      <w:r w:rsidR="00721E3B" w:rsidRPr="00721E3B">
        <w:t>).</w:t>
      </w:r>
    </w:p>
    <w:p w:rsidR="00721E3B" w:rsidRPr="00721E3B" w:rsidRDefault="00AE5625" w:rsidP="00637350">
      <w:pPr>
        <w:pStyle w:val="SingleTxtG"/>
      </w:pPr>
      <w:r w:rsidRPr="00721E3B">
        <w:t>27</w:t>
      </w:r>
      <w:r>
        <w:t>7</w:t>
      </w:r>
      <w:r w:rsidR="00721E3B" w:rsidRPr="00721E3B">
        <w:t>.</w:t>
      </w:r>
      <w:r w:rsidR="00B14FFC">
        <w:tab/>
      </w:r>
      <w:r w:rsidR="00721E3B" w:rsidRPr="00721E3B">
        <w:t xml:space="preserve">Estonia </w:t>
      </w:r>
      <w:r w:rsidR="00F01967">
        <w:t>ha aprobado el Convenio Europeo sobre la violencia e irrupciones de espectadores con motivo de manifestaciones deportivas y especialmente de partidos de fútbol</w:t>
      </w:r>
      <w:r w:rsidR="00721E3B" w:rsidRPr="00721E3B">
        <w:t xml:space="preserve">, </w:t>
      </w:r>
      <w:r w:rsidR="00F01967">
        <w:t xml:space="preserve">y los organizadores de eventos deportivos, en cooperación con </w:t>
      </w:r>
      <w:smartTag w:uri="urn:schemas-microsoft-com:office:smarttags" w:element="PersonName">
        <w:smartTagPr>
          <w:attr w:name="ProductID" w:val="La Junta"/>
        </w:smartTagPr>
        <w:r w:rsidR="00F01967">
          <w:t>la</w:t>
        </w:r>
        <w:r w:rsidR="00721E3B" w:rsidRPr="00721E3B">
          <w:t xml:space="preserve"> </w:t>
        </w:r>
        <w:r w:rsidR="00F01967">
          <w:t>Junta</w:t>
        </w:r>
      </w:smartTag>
      <w:r w:rsidR="00F01967">
        <w:t xml:space="preserve"> de </w:t>
      </w:r>
      <w:smartTag w:uri="urn:schemas-microsoft-com:office:smarttags" w:element="PersonName">
        <w:smartTagPr>
          <w:attr w:name="ProductID" w:val="la Polic￭a"/>
        </w:smartTagPr>
        <w:r w:rsidR="00F01967">
          <w:t>la Policía</w:t>
        </w:r>
      </w:smartTag>
      <w:r w:rsidR="00F01967">
        <w:t xml:space="preserve"> y </w:t>
      </w:r>
      <w:smartTag w:uri="urn:schemas-microsoft-com:office:smarttags" w:element="PersonName">
        <w:smartTagPr>
          <w:attr w:name="ProductID" w:val="la Guardia"/>
        </w:smartTagPr>
        <w:r w:rsidR="00F01967">
          <w:t>la Guardia</w:t>
        </w:r>
      </w:smartTag>
      <w:r w:rsidR="00F01967">
        <w:t xml:space="preserve"> de Fronteras, respetan los principios establecidos en dicho Convenio</w:t>
      </w:r>
      <w:r w:rsidR="00721E3B" w:rsidRPr="00721E3B">
        <w:t xml:space="preserve">. </w:t>
      </w:r>
      <w:r w:rsidR="00F01967">
        <w:t xml:space="preserve">Si se lanzan mensajes homofóbicos o transfóbicos en eventos deportivos o en relación con dichos eventos, intervienen los organizadores y los funcionarios o el personal de seguridad de </w:t>
      </w:r>
      <w:smartTag w:uri="urn:schemas-microsoft-com:office:smarttags" w:element="PersonName">
        <w:smartTagPr>
          <w:attr w:name="ProductID" w:val="La Junta"/>
        </w:smartTagPr>
        <w:r w:rsidR="00F01967">
          <w:t>la Junta</w:t>
        </w:r>
      </w:smartTag>
      <w:r w:rsidR="00F01967">
        <w:t xml:space="preserve"> de </w:t>
      </w:r>
      <w:smartTag w:uri="urn:schemas-microsoft-com:office:smarttags" w:element="PersonName">
        <w:smartTagPr>
          <w:attr w:name="ProductID" w:val="la Polic￭a"/>
        </w:smartTagPr>
        <w:r w:rsidR="00F01967">
          <w:t>la Policía</w:t>
        </w:r>
      </w:smartTag>
      <w:r w:rsidR="00F01967">
        <w:t xml:space="preserve"> y </w:t>
      </w:r>
      <w:smartTag w:uri="urn:schemas-microsoft-com:office:smarttags" w:element="PersonName">
        <w:smartTagPr>
          <w:attr w:name="ProductID" w:val="la Guardia"/>
        </w:smartTagPr>
        <w:r w:rsidR="00F01967">
          <w:t>la Guardia</w:t>
        </w:r>
      </w:smartTag>
      <w:r w:rsidR="00F01967">
        <w:t xml:space="preserve"> de Fronteras, y los infractores son llamados al orden o expulsados del evento, y sancionados con arreglo al procedimiento establecido</w:t>
      </w:r>
      <w:r w:rsidR="00721E3B" w:rsidRPr="00721E3B">
        <w:t>.</w:t>
      </w:r>
    </w:p>
    <w:p w:rsidR="00721E3B" w:rsidRPr="00721E3B" w:rsidRDefault="00AE5625" w:rsidP="00637350">
      <w:pPr>
        <w:pStyle w:val="SingleTxtG"/>
      </w:pPr>
      <w:r w:rsidRPr="00721E3B">
        <w:t>27</w:t>
      </w:r>
      <w:r>
        <w:t>8</w:t>
      </w:r>
      <w:r w:rsidR="00721E3B" w:rsidRPr="00721E3B">
        <w:t>.</w:t>
      </w:r>
      <w:r w:rsidR="00B14FFC">
        <w:tab/>
      </w:r>
      <w:r w:rsidR="00213ABB">
        <w:t xml:space="preserve">Además de dicho Convenio, las asociaciones deportivas de Estonia respetan los principios de </w:t>
      </w:r>
      <w:smartTag w:uri="urn:schemas-microsoft-com:office:smarttags" w:element="PersonName">
        <w:smartTagPr>
          <w:attr w:name="ProductID" w:val="la Carta Ol￭mpica"/>
        </w:smartTagPr>
        <w:r w:rsidR="00213ABB">
          <w:t>la Carta Olímpica</w:t>
        </w:r>
      </w:smartTag>
      <w:r w:rsidR="00213ABB">
        <w:t>, que estipula que nadie puede ser objeto de discriminación por motivos de raza, religión, política, género o cualesquiera otros motivos</w:t>
      </w:r>
      <w:r w:rsidR="00721E3B" w:rsidRPr="00721E3B">
        <w:t>.</w:t>
      </w:r>
    </w:p>
    <w:p w:rsidR="00721E3B" w:rsidRPr="00721E3B" w:rsidRDefault="00FF717B" w:rsidP="00637350">
      <w:pPr>
        <w:pStyle w:val="H23G"/>
      </w:pPr>
      <w:r>
        <w:tab/>
      </w:r>
      <w:r w:rsidR="00721E3B" w:rsidRPr="00721E3B">
        <w:t>f)</w:t>
      </w:r>
      <w:r>
        <w:tab/>
      </w:r>
      <w:r w:rsidR="00213ABB">
        <w:t xml:space="preserve">El derecho de acceso a todos los lugares y servicios destinados al uso público, </w:t>
      </w:r>
      <w:r w:rsidR="00452F8A">
        <w:br/>
      </w:r>
      <w:r w:rsidR="00213ABB">
        <w:t xml:space="preserve">tales como los medios de transporte, hoteles, restaurantes, cafés, espectáculos </w:t>
      </w:r>
      <w:r w:rsidR="00452F8A">
        <w:br/>
      </w:r>
      <w:r w:rsidR="00213ABB">
        <w:t>y parques</w:t>
      </w:r>
    </w:p>
    <w:p w:rsidR="00721E3B" w:rsidRPr="00721E3B" w:rsidRDefault="007131BF" w:rsidP="00637350">
      <w:pPr>
        <w:pStyle w:val="SingleTxtG"/>
      </w:pPr>
      <w:r w:rsidRPr="00721E3B">
        <w:t>27</w:t>
      </w:r>
      <w:r>
        <w:t>9</w:t>
      </w:r>
      <w:r w:rsidR="00721E3B" w:rsidRPr="00721E3B">
        <w:t>.</w:t>
      </w:r>
      <w:r w:rsidR="00FF717B">
        <w:tab/>
      </w:r>
      <w:r w:rsidR="001D37C6">
        <w:t xml:space="preserve">Estos derechos se describen detalladamente en el quinto informe de Estonia. Cabe añadir que </w:t>
      </w:r>
      <w:smartTag w:uri="urn:schemas-microsoft-com:office:smarttags" w:element="PersonName">
        <w:smartTagPr>
          <w:attr w:name="ProductID" w:val="La Ley"/>
        </w:smartTagPr>
        <w:r w:rsidR="001D37C6">
          <w:t>la Ley</w:t>
        </w:r>
      </w:smartTag>
      <w:r w:rsidR="001D37C6">
        <w:t xml:space="preserve"> de igualdad de trato prohíbe la discriminación de las personas por motivos de nacionalidad (origen étnico), raza o color, entre otras cosas, respecto del acceso y suministro de bienes y servicios que están a disposición del pú</w:t>
      </w:r>
      <w:r w:rsidR="00721E3B" w:rsidRPr="00721E3B">
        <w:t>blic</w:t>
      </w:r>
      <w:r w:rsidR="001D37C6">
        <w:t>o, incluida la vivienda</w:t>
      </w:r>
      <w:r w:rsidR="00721E3B" w:rsidRPr="00721E3B">
        <w:t>.</w:t>
      </w:r>
    </w:p>
    <w:p w:rsidR="00721E3B" w:rsidRPr="00721E3B" w:rsidRDefault="007131BF" w:rsidP="00637350">
      <w:pPr>
        <w:pStyle w:val="SingleTxtG"/>
      </w:pPr>
      <w:r w:rsidRPr="00721E3B">
        <w:t>2</w:t>
      </w:r>
      <w:r>
        <w:t>80</w:t>
      </w:r>
      <w:r w:rsidR="00721E3B" w:rsidRPr="00721E3B">
        <w:t>.</w:t>
      </w:r>
      <w:r w:rsidR="00FF717B">
        <w:tab/>
      </w:r>
      <w:r w:rsidR="00AE6C15">
        <w:t>En Estonia, los servicios públicos se facilitan en inglés además de en estonio y ruso. En general, todas las organizaciones que proporcionan servicios públicos tienen un sitio web en tres idiomas, con información detallada sobre todo sus servicios</w:t>
      </w:r>
      <w:r w:rsidR="00721E3B" w:rsidRPr="00721E3B">
        <w:t xml:space="preserve">. </w:t>
      </w:r>
      <w:r w:rsidR="00EC7E18">
        <w:t>El ruso se emplea en el s</w:t>
      </w:r>
      <w:r w:rsidR="00D06815">
        <w:t>ector bancario y empresarial, los servicios de</w:t>
      </w:r>
      <w:r w:rsidR="00EC7E18">
        <w:t xml:space="preserve"> atención médica, la policía, y también en las administraciones locales y servicios municipales a</w:t>
      </w:r>
      <w:r w:rsidR="00D06815">
        <w:t>llí donde la población de habla</w:t>
      </w:r>
      <w:r w:rsidR="00EC7E18">
        <w:t xml:space="preserve"> rusa es numerosa</w:t>
      </w:r>
      <w:r w:rsidR="00721E3B" w:rsidRPr="00721E3B">
        <w:t xml:space="preserve">. </w:t>
      </w:r>
      <w:r w:rsidR="00EC7E18">
        <w:t>Como norma general, los proveedores de servicios prefieren contratar a empleados que dominan el ruso además del estonio y el inglés</w:t>
      </w:r>
      <w:r w:rsidR="00721E3B" w:rsidRPr="00721E3B">
        <w:t>.</w:t>
      </w:r>
    </w:p>
    <w:p w:rsidR="00721E3B" w:rsidRDefault="007131BF" w:rsidP="00637350">
      <w:pPr>
        <w:pStyle w:val="SingleTxtG"/>
      </w:pPr>
      <w:r w:rsidRPr="00721E3B">
        <w:t>28</w:t>
      </w:r>
      <w:r>
        <w:t>1</w:t>
      </w:r>
      <w:r w:rsidR="00721E3B" w:rsidRPr="00721E3B">
        <w:t>.</w:t>
      </w:r>
      <w:r w:rsidR="00FF717B">
        <w:tab/>
      </w:r>
      <w:r w:rsidR="004332A1">
        <w:t>De conformidad con el artículo 51, párrafo 2</w:t>
      </w:r>
      <w:r w:rsidR="003D7942">
        <w:t>,</w:t>
      </w:r>
      <w:r w:rsidR="004332A1">
        <w:t xml:space="preserve"> de </w:t>
      </w:r>
      <w:smartTag w:uri="urn:schemas-microsoft-com:office:smarttags" w:element="PersonName">
        <w:smartTagPr>
          <w:attr w:name="ProductID" w:val="la Constituci￳n"/>
        </w:smartTagPr>
        <w:r w:rsidR="004332A1">
          <w:t>la Constitución</w:t>
        </w:r>
      </w:smartTag>
      <w:r w:rsidR="004332A1">
        <w:t xml:space="preserve">, todas las personas tienen </w:t>
      </w:r>
      <w:r w:rsidR="006753DD">
        <w:t xml:space="preserve">también </w:t>
      </w:r>
      <w:r w:rsidR="004332A1">
        <w:t>derecho a obtener respuestas de los organismos gubernamentales, las autoridades locales y sus funcionarios</w:t>
      </w:r>
      <w:r w:rsidR="006753DD">
        <w:t xml:space="preserve"> en el idioma de la minoría nacional</w:t>
      </w:r>
      <w:r w:rsidR="004332A1">
        <w:t xml:space="preserve">, </w:t>
      </w:r>
      <w:r w:rsidR="006753DD">
        <w:t>allí donde al menos la mitad de los residentes permanentes pertenezcan a una de esas minorías</w:t>
      </w:r>
      <w:r w:rsidR="00721E3B" w:rsidRPr="00721E3B">
        <w:t xml:space="preserve">. </w:t>
      </w:r>
      <w:r w:rsidR="006753DD">
        <w:t>En las localidades donde el idioma de la mayoría de los residentes no es el estonio, las autoridades locales pueden emplear el idioma de la mayoría de los residentes permanentes como idioma de trabajo</w:t>
      </w:r>
      <w:r w:rsidR="00895138">
        <w:t>,</w:t>
      </w:r>
      <w:r w:rsidR="006753DD">
        <w:t xml:space="preserve"> con arreglo al procedimiento</w:t>
      </w:r>
      <w:r w:rsidR="00895138">
        <w:t xml:space="preserve"> y en la medida que se prevé</w:t>
      </w:r>
      <w:r w:rsidR="000A6690">
        <w:t>n</w:t>
      </w:r>
      <w:r w:rsidR="006753DD">
        <w:t xml:space="preserve"> en la legislación</w:t>
      </w:r>
      <w:r w:rsidR="00721E3B" w:rsidRPr="00721E3B">
        <w:t>.</w:t>
      </w:r>
    </w:p>
    <w:p w:rsidR="00E93F75" w:rsidRPr="00E93F75" w:rsidRDefault="00E93F75" w:rsidP="00637350">
      <w:pPr>
        <w:pStyle w:val="H1G"/>
      </w:pPr>
      <w:r>
        <w:tab/>
      </w:r>
      <w:r>
        <w:tab/>
      </w:r>
      <w:r w:rsidR="00C10AB4">
        <w:t>Artí</w:t>
      </w:r>
      <w:r w:rsidRPr="00E93F75">
        <w:t>c</w:t>
      </w:r>
      <w:r w:rsidR="00C10AB4">
        <w:t>ulo</w:t>
      </w:r>
      <w:r w:rsidRPr="00E93F75">
        <w:t xml:space="preserve"> 6</w:t>
      </w:r>
    </w:p>
    <w:p w:rsidR="00E93F75" w:rsidRPr="00E93F75" w:rsidRDefault="00E93F75" w:rsidP="00637350">
      <w:pPr>
        <w:pStyle w:val="H23G"/>
      </w:pPr>
      <w:r>
        <w:tab/>
      </w:r>
      <w:r>
        <w:tab/>
      </w:r>
      <w:r w:rsidR="00C10AB4">
        <w:t>Derecho de acceso a los tribunales</w:t>
      </w:r>
    </w:p>
    <w:p w:rsidR="00E93F75" w:rsidRPr="00E93F75" w:rsidRDefault="007131BF" w:rsidP="00637350">
      <w:pPr>
        <w:pStyle w:val="SingleTxtG"/>
      </w:pPr>
      <w:r w:rsidRPr="00E93F75">
        <w:t>28</w:t>
      </w:r>
      <w:r>
        <w:t>2</w:t>
      </w:r>
      <w:r w:rsidR="00E93F75" w:rsidRPr="00E93F75">
        <w:t>.</w:t>
      </w:r>
      <w:r w:rsidR="00E93F75">
        <w:tab/>
      </w:r>
      <w:r w:rsidR="00C10AB4">
        <w:t>Por lo que respecta al derecho de acceso a los tribunales y al sistema judicial de Estonia</w:t>
      </w:r>
      <w:r w:rsidR="00E93F75" w:rsidRPr="00E93F75">
        <w:t xml:space="preserve">, </w:t>
      </w:r>
      <w:r w:rsidR="00C10AB4">
        <w:t xml:space="preserve">sírvanse consultar los párrafos </w:t>
      </w:r>
      <w:smartTag w:uri="urn:schemas-microsoft-com:office:smarttags" w:element="metricconverter">
        <w:smartTagPr>
          <w:attr w:name="ProductID" w:val="258 a"/>
        </w:smartTagPr>
        <w:r w:rsidR="00C10AB4">
          <w:t>258 a</w:t>
        </w:r>
      </w:smartTag>
      <w:r w:rsidR="00C10AB4">
        <w:t xml:space="preserve"> </w:t>
      </w:r>
      <w:r w:rsidR="00E93F75" w:rsidRPr="00E93F75">
        <w:t xml:space="preserve">261 </w:t>
      </w:r>
      <w:r w:rsidR="00C10AB4">
        <w:t>del informe anterior</w:t>
      </w:r>
      <w:r w:rsidR="00E93F75" w:rsidRPr="00E93F75">
        <w:t>.</w:t>
      </w:r>
    </w:p>
    <w:p w:rsidR="00E93F75" w:rsidRPr="00E93F75" w:rsidRDefault="007131BF" w:rsidP="00637350">
      <w:pPr>
        <w:pStyle w:val="SingleTxtG"/>
      </w:pPr>
      <w:r w:rsidRPr="00E93F75">
        <w:t>28</w:t>
      </w:r>
      <w:r>
        <w:t>3</w:t>
      </w:r>
      <w:r w:rsidR="00E93F75" w:rsidRPr="00E93F75">
        <w:t>.</w:t>
      </w:r>
      <w:r w:rsidR="00E93F75">
        <w:tab/>
      </w:r>
      <w:r w:rsidR="00C10AB4">
        <w:t xml:space="preserve">En el párrafo </w:t>
      </w:r>
      <w:r w:rsidR="006D1AB0">
        <w:t>18</w:t>
      </w:r>
      <w:r w:rsidR="006D1AB0" w:rsidRPr="00E93F75">
        <w:t xml:space="preserve"> </w:t>
      </w:r>
      <w:r w:rsidR="00C10AB4">
        <w:t>de sus observaciones finales, el Comité expresó preocupación por</w:t>
      </w:r>
      <w:r w:rsidR="005466A4">
        <w:t xml:space="preserve"> </w:t>
      </w:r>
      <w:r w:rsidR="00C10AB4">
        <w:t xml:space="preserve">la ausencia casi total de denuncias de actos de discriminación </w:t>
      </w:r>
      <w:r w:rsidR="00E93F75" w:rsidRPr="00E93F75">
        <w:t xml:space="preserve">racial </w:t>
      </w:r>
      <w:r w:rsidR="00C10AB4">
        <w:t xml:space="preserve">presentados ante los tribunales y otras autoridades </w:t>
      </w:r>
      <w:r w:rsidR="00E93F75" w:rsidRPr="00E93F75">
        <w:t>competent</w:t>
      </w:r>
      <w:r w:rsidR="00C10AB4">
        <w:t>es durante el período que abarca el informe</w:t>
      </w:r>
      <w:r w:rsidR="00E93F75" w:rsidRPr="00E93F75">
        <w:t>.</w:t>
      </w:r>
    </w:p>
    <w:p w:rsidR="00E93F75" w:rsidRPr="00E93F75" w:rsidRDefault="007131BF" w:rsidP="00637350">
      <w:pPr>
        <w:pStyle w:val="SingleTxtG"/>
      </w:pPr>
      <w:r w:rsidRPr="00E93F75">
        <w:t>28</w:t>
      </w:r>
      <w:r>
        <w:t>4</w:t>
      </w:r>
      <w:r w:rsidR="00E93F75" w:rsidRPr="00E93F75">
        <w:t>.</w:t>
      </w:r>
      <w:r w:rsidR="00E93F75">
        <w:tab/>
      </w:r>
      <w:r w:rsidR="000F2DE4">
        <w:t>Estonia dispone del marco jurídico pertinente</w:t>
      </w:r>
      <w:r w:rsidR="00E93F75" w:rsidRPr="00E93F75">
        <w:t xml:space="preserve">, </w:t>
      </w:r>
      <w:r w:rsidR="000F2DE4">
        <w:t xml:space="preserve">es decir, las disposiciones aplicables a la discriminación </w:t>
      </w:r>
      <w:r w:rsidR="00E93F75" w:rsidRPr="00E93F75">
        <w:t xml:space="preserve">racial. </w:t>
      </w:r>
      <w:r w:rsidR="000F2DE4">
        <w:t>Las estadísticas penales para el período</w:t>
      </w:r>
      <w:r w:rsidR="008048AC">
        <w:t xml:space="preserve"> 2009</w:t>
      </w:r>
      <w:r w:rsidR="00660903">
        <w:t>-</w:t>
      </w:r>
      <w:r w:rsidR="008048AC">
        <w:t xml:space="preserve">2011 </w:t>
      </w:r>
      <w:r w:rsidR="000F2DE4">
        <w:t xml:space="preserve">muestran que </w:t>
      </w:r>
      <w:r w:rsidR="004F24D5">
        <w:t xml:space="preserve">no se ha </w:t>
      </w:r>
      <w:r w:rsidR="000F2DE4">
        <w:t>registrado</w:t>
      </w:r>
      <w:r w:rsidR="004F24D5">
        <w:t xml:space="preserve"> ninguno de los delitos</w:t>
      </w:r>
      <w:r w:rsidR="000F2DE4">
        <w:t xml:space="preserve"> previstos en los artículos </w:t>
      </w:r>
      <w:smartTag w:uri="urn:schemas-microsoft-com:office:smarttags" w:element="metricconverter">
        <w:smartTagPr>
          <w:attr w:name="ProductID" w:val="151 a"/>
        </w:smartTagPr>
        <w:r w:rsidR="00E93F75" w:rsidRPr="00E93F75">
          <w:t>151</w:t>
        </w:r>
        <w:r w:rsidR="000F2DE4">
          <w:t xml:space="preserve"> a</w:t>
        </w:r>
      </w:smartTag>
      <w:r w:rsidR="000F2DE4">
        <w:t xml:space="preserve"> </w:t>
      </w:r>
      <w:r w:rsidR="00E93F75" w:rsidRPr="00E93F75">
        <w:t>153</w:t>
      </w:r>
      <w:r w:rsidR="000F2DE4">
        <w:t xml:space="preserve"> del Código Penal</w:t>
      </w:r>
      <w:r w:rsidR="00E93F75" w:rsidRPr="00E93F75">
        <w:t>.</w:t>
      </w:r>
    </w:p>
    <w:p w:rsidR="00E93F75" w:rsidRPr="00E93F75" w:rsidRDefault="007131BF" w:rsidP="00637350">
      <w:pPr>
        <w:pStyle w:val="SingleTxtG"/>
      </w:pPr>
      <w:r w:rsidRPr="00E93F75">
        <w:t>28</w:t>
      </w:r>
      <w:r>
        <w:t>5</w:t>
      </w:r>
      <w:r w:rsidR="00E93F75" w:rsidRPr="00E93F75">
        <w:t>.</w:t>
      </w:r>
      <w:r w:rsidR="00E93F75">
        <w:tab/>
      </w:r>
      <w:r w:rsidR="004F24D5">
        <w:t xml:space="preserve">Deseamos también poner de relieve que </w:t>
      </w:r>
      <w:r w:rsidR="00E93F75" w:rsidRPr="00E93F75">
        <w:t xml:space="preserve">Estonia </w:t>
      </w:r>
      <w:r w:rsidR="004F24D5">
        <w:t>cuenta con leyes y reglamentos pertinentes</w:t>
      </w:r>
      <w:r w:rsidR="00E93F75" w:rsidRPr="00E93F75">
        <w:t xml:space="preserve">, </w:t>
      </w:r>
      <w:r w:rsidR="004F24D5">
        <w:t xml:space="preserve">así como </w:t>
      </w:r>
      <w:r w:rsidR="000D6DFF">
        <w:t xml:space="preserve">con </w:t>
      </w:r>
      <w:r w:rsidR="004F24D5">
        <w:t>la voluntad de las autoridades pú</w:t>
      </w:r>
      <w:r w:rsidR="00E93F75" w:rsidRPr="00E93F75">
        <w:t>blic</w:t>
      </w:r>
      <w:r w:rsidR="004F24D5">
        <w:t>as de ocuparse de las reclamaciones</w:t>
      </w:r>
      <w:r w:rsidR="00DB2DF3">
        <w:t xml:space="preserve"> por discriminación. La población estonia es muy consciente de la existencia de soluciones legales; </w:t>
      </w:r>
      <w:r w:rsidR="00660903">
        <w:rPr>
          <w:szCs w:val="24"/>
          <w:lang w:val="es-ES"/>
        </w:rPr>
        <w:t>ONG</w:t>
      </w:r>
      <w:r w:rsidR="00DB2DF3">
        <w:t xml:space="preserve">, representantes de minorías nacionales y ciudadanos corrientes a menudo han recabado la atención de las autoridades encargadas de hacer cumplir la ley hacia los casos que se producen en los medios de comunicación o en los espacios públicos </w:t>
      </w:r>
      <w:r w:rsidR="00E93F75" w:rsidRPr="00E93F75">
        <w:t>(</w:t>
      </w:r>
      <w:r w:rsidR="00DB2DF3">
        <w:t>comentarios en Internet, artículos o</w:t>
      </w:r>
      <w:r w:rsidR="00E93F75" w:rsidRPr="00E93F75">
        <w:t xml:space="preserve"> </w:t>
      </w:r>
      <w:r w:rsidR="00E93F75" w:rsidRPr="00DB2DF3">
        <w:rPr>
          <w:i/>
        </w:rPr>
        <w:t>graffiti</w:t>
      </w:r>
      <w:r w:rsidR="00E93F75" w:rsidRPr="00E93F75">
        <w:t xml:space="preserve">), </w:t>
      </w:r>
      <w:r w:rsidR="00DB2DF3">
        <w:t>puesto que habían detec</w:t>
      </w:r>
      <w:r w:rsidR="00EF6C4E">
        <w:t>tado incitación al odio étnico</w:t>
      </w:r>
      <w:r w:rsidR="00DB2DF3">
        <w:t>, racial o religioso. Si una valoración experta independiente confirma la existencia</w:t>
      </w:r>
      <w:r w:rsidR="00EF6C4E">
        <w:t xml:space="preserve"> de incitación al odio étnico </w:t>
      </w:r>
      <w:r w:rsidR="00DB2DF3">
        <w:t>o racial en alguno de esos casos, se llevan acabo las actuaciones pertinentes</w:t>
      </w:r>
      <w:r w:rsidR="00E93F75" w:rsidRPr="00E93F75">
        <w:t>.</w:t>
      </w:r>
    </w:p>
    <w:p w:rsidR="00E93F75" w:rsidRPr="00E93F75" w:rsidRDefault="007131BF" w:rsidP="00637350">
      <w:pPr>
        <w:pStyle w:val="SingleTxtG"/>
      </w:pPr>
      <w:r w:rsidRPr="00E93F75">
        <w:t>28</w:t>
      </w:r>
      <w:r>
        <w:t>6</w:t>
      </w:r>
      <w:r w:rsidR="00E93F75" w:rsidRPr="00E93F75">
        <w:t>.</w:t>
      </w:r>
      <w:r w:rsidR="00E93F75">
        <w:tab/>
      </w:r>
      <w:r w:rsidR="00EF6C4E">
        <w:t>De los estudios realizados por el Ministerio de Justicia</w:t>
      </w:r>
      <w:r w:rsidR="00E93F75" w:rsidRPr="00E93F75">
        <w:t xml:space="preserve">, </w:t>
      </w:r>
      <w:r w:rsidR="00EF6C4E">
        <w:t xml:space="preserve">deseamos destacar el que lleva por título </w:t>
      </w:r>
      <w:r w:rsidR="002B491B">
        <w:rPr>
          <w:szCs w:val="24"/>
          <w:lang w:val="es-ES"/>
        </w:rPr>
        <w:t>"</w:t>
      </w:r>
      <w:r w:rsidR="00EF6C4E">
        <w:t>Odio r</w:t>
      </w:r>
      <w:r w:rsidR="00E93F75" w:rsidRPr="00E93F75">
        <w:t xml:space="preserve">acial </w:t>
      </w:r>
      <w:r w:rsidR="00EF6C4E">
        <w:t>y xenof</w:t>
      </w:r>
      <w:r w:rsidR="00E93F75" w:rsidRPr="00E93F75">
        <w:t>obi</w:t>
      </w:r>
      <w:r w:rsidR="00EF6C4E">
        <w:t>a e</w:t>
      </w:r>
      <w:r w:rsidR="00E93F75" w:rsidRPr="00E93F75">
        <w:t>n Estonia</w:t>
      </w:r>
      <w:r w:rsidR="002B491B">
        <w:rPr>
          <w:szCs w:val="24"/>
          <w:lang w:val="es-ES"/>
        </w:rPr>
        <w:t>"</w:t>
      </w:r>
      <w:r w:rsidR="00E93F75" w:rsidRPr="00E93F75">
        <w:t xml:space="preserve"> </w:t>
      </w:r>
      <w:r w:rsidR="00E93F75" w:rsidRPr="002B491B">
        <w:rPr>
          <w:i/>
        </w:rPr>
        <w:t>(</w:t>
      </w:r>
      <w:r w:rsidR="00E93F75" w:rsidRPr="002B491B">
        <w:rPr>
          <w:i/>
          <w:iCs/>
        </w:rPr>
        <w:t>Rassi- ja võõravimm Eestis</w:t>
      </w:r>
      <w:r w:rsidR="00E93F75" w:rsidRPr="002B491B">
        <w:rPr>
          <w:i/>
        </w:rPr>
        <w:t>)</w:t>
      </w:r>
      <w:r w:rsidR="00E93F75">
        <w:rPr>
          <w:rStyle w:val="FootnoteReference"/>
        </w:rPr>
        <w:footnoteReference w:id="49"/>
      </w:r>
      <w:r w:rsidR="00EF6C4E">
        <w:t>, que aborda el racismo y la xenofobia</w:t>
      </w:r>
      <w:r w:rsidR="00E93F75" w:rsidRPr="00E93F75">
        <w:t>.</w:t>
      </w:r>
    </w:p>
    <w:p w:rsidR="00E93F75" w:rsidRPr="00E93F75" w:rsidRDefault="00E93F75" w:rsidP="00637350">
      <w:pPr>
        <w:pStyle w:val="H23G"/>
      </w:pPr>
      <w:r>
        <w:tab/>
      </w:r>
      <w:r>
        <w:tab/>
      </w:r>
      <w:r w:rsidR="00EF6C4E">
        <w:t>El derecho a recurrir a otras institucione</w:t>
      </w:r>
      <w:r w:rsidR="00A31F7C">
        <w:t>s</w:t>
      </w:r>
    </w:p>
    <w:p w:rsidR="00E93F75" w:rsidRPr="00E93F75" w:rsidRDefault="007131BF" w:rsidP="00637350">
      <w:pPr>
        <w:pStyle w:val="SingleTxtG"/>
      </w:pPr>
      <w:r w:rsidRPr="00E93F75">
        <w:t>28</w:t>
      </w:r>
      <w:r>
        <w:t>7</w:t>
      </w:r>
      <w:r w:rsidR="00E93F75" w:rsidRPr="00E93F75">
        <w:t>.</w:t>
      </w:r>
      <w:r w:rsidR="00E93F75">
        <w:tab/>
      </w:r>
      <w:r w:rsidR="00EF6C4E">
        <w:t xml:space="preserve">En los párrafos </w:t>
      </w:r>
      <w:smartTag w:uri="urn:schemas-microsoft-com:office:smarttags" w:element="metricconverter">
        <w:smartTagPr>
          <w:attr w:name="ProductID" w:val="191 a"/>
        </w:smartTagPr>
        <w:r w:rsidR="00EF6C4E">
          <w:t>191 a</w:t>
        </w:r>
      </w:smartTag>
      <w:r w:rsidR="00EF6C4E">
        <w:t xml:space="preserve"> 201 de los informes sexto y séptimo de Estonia se describen detalladamente las actividades de la institución del Canciller de Justicia</w:t>
      </w:r>
      <w:r w:rsidR="00E93F75" w:rsidRPr="00E93F75">
        <w:t>.</w:t>
      </w:r>
    </w:p>
    <w:p w:rsidR="00E93F75" w:rsidRPr="00E93F75" w:rsidRDefault="007131BF" w:rsidP="00637350">
      <w:pPr>
        <w:pStyle w:val="SingleTxtG"/>
      </w:pPr>
      <w:r w:rsidRPr="00E93F75">
        <w:t>28</w:t>
      </w:r>
      <w:r>
        <w:t>8</w:t>
      </w:r>
      <w:r w:rsidR="00E93F75" w:rsidRPr="00E93F75">
        <w:t>.</w:t>
      </w:r>
      <w:r w:rsidR="00E93F75">
        <w:tab/>
      </w:r>
      <w:smartTag w:uri="urn:schemas-microsoft-com:office:smarttags" w:element="PersonName">
        <w:smartTagPr>
          <w:attr w:name="ProductID" w:val="La Oficina"/>
        </w:smartTagPr>
        <w:r w:rsidR="00A31F7C">
          <w:t>La Oficina</w:t>
        </w:r>
      </w:smartTag>
      <w:r w:rsidR="00A31F7C">
        <w:t xml:space="preserve"> del Canciller de Justicia no recopila estadísticas independientes sobre solicitudes referidas a una posible discriminación </w:t>
      </w:r>
      <w:r w:rsidR="00E93F75" w:rsidRPr="00E93F75">
        <w:t xml:space="preserve">racial. </w:t>
      </w:r>
      <w:r w:rsidR="00A31F7C">
        <w:t xml:space="preserve">Sin embargo, sí lo hace con respecto </w:t>
      </w:r>
      <w:r w:rsidR="00E93F75" w:rsidRPr="00E93F75">
        <w:t>a</w:t>
      </w:r>
      <w:r w:rsidR="00A31F7C">
        <w:t xml:space="preserve"> las solicitudes </w:t>
      </w:r>
      <w:r w:rsidR="000D6DFF">
        <w:t>que puedan estar relacionadas</w:t>
      </w:r>
      <w:r w:rsidR="00A31F7C">
        <w:t xml:space="preserve"> con el principio de igualdad de trato</w:t>
      </w:r>
      <w:r w:rsidR="000D6DFF">
        <w:t>,</w:t>
      </w:r>
      <w:r w:rsidR="00A31F7C">
        <w:t xml:space="preserve"> o</w:t>
      </w:r>
      <w:r w:rsidR="000D6DFF">
        <w:t xml:space="preserve"> con una</w:t>
      </w:r>
      <w:r w:rsidR="00A31F7C">
        <w:t xml:space="preserve"> violación del mismo</w:t>
      </w:r>
      <w:r w:rsidR="00E93F75" w:rsidRPr="00E93F75">
        <w:t>.</w:t>
      </w:r>
    </w:p>
    <w:p w:rsidR="00E93F75" w:rsidRPr="00E93F75" w:rsidRDefault="007131BF" w:rsidP="00637350">
      <w:pPr>
        <w:pStyle w:val="SingleTxtG"/>
      </w:pPr>
      <w:r w:rsidRPr="00E93F75">
        <w:t>28</w:t>
      </w:r>
      <w:r>
        <w:t>9</w:t>
      </w:r>
      <w:r w:rsidR="00E93F75" w:rsidRPr="00E93F75">
        <w:t>.</w:t>
      </w:r>
      <w:r w:rsidR="00E93F75">
        <w:tab/>
      </w:r>
      <w:r w:rsidR="00A31F7C">
        <w:t>A continuación se muestra un panorama general de las actuaciones del Canciller de Justicia e</w:t>
      </w:r>
      <w:r w:rsidR="00E93F75" w:rsidRPr="00E93F75">
        <w:t>n</w:t>
      </w:r>
      <w:r w:rsidR="00A31F7C">
        <w:t xml:space="preserve"> el período</w:t>
      </w:r>
      <w:r w:rsidR="00E93F75" w:rsidRPr="00E93F75">
        <w:t xml:space="preserve"> 2009</w:t>
      </w:r>
      <w:r w:rsidR="00660903">
        <w:t>-</w:t>
      </w:r>
      <w:r w:rsidR="00E93F75" w:rsidRPr="00E93F75">
        <w:t xml:space="preserve">2011, </w:t>
      </w:r>
      <w:r w:rsidR="00A31F7C">
        <w:t>en su mayor parte relacionadas con el principio de igualdad de trato.</w:t>
      </w:r>
    </w:p>
    <w:p w:rsidR="00E93F75" w:rsidRPr="00E93F75" w:rsidRDefault="007131BF" w:rsidP="00637350">
      <w:pPr>
        <w:pStyle w:val="SingleTxtG"/>
      </w:pPr>
      <w:r w:rsidRPr="00E93F75">
        <w:t>2</w:t>
      </w:r>
      <w:r>
        <w:t>90</w:t>
      </w:r>
      <w:r w:rsidR="00E93F75" w:rsidRPr="00E93F75">
        <w:t>.</w:t>
      </w:r>
      <w:r w:rsidR="00E93F75">
        <w:tab/>
      </w:r>
      <w:r w:rsidR="00B83FD4">
        <w:t>En 2009 el Canciller de Justicia recibió 26 solicitudes relativas al principio de igualdad de trato</w:t>
      </w:r>
      <w:r w:rsidR="00E93F75" w:rsidRPr="00E93F75">
        <w:t xml:space="preserve">. </w:t>
      </w:r>
      <w:r w:rsidR="00B83FD4">
        <w:t xml:space="preserve">Dichas solicitudes se referían a la conformidad de leyes y reglamentos con </w:t>
      </w:r>
      <w:smartTag w:uri="urn:schemas-microsoft-com:office:smarttags" w:element="PersonName">
        <w:smartTagPr>
          <w:attr w:name="ProductID" w:val="la Constituci￳n"/>
        </w:smartTagPr>
        <w:r w:rsidR="00B83FD4">
          <w:t>la Constitución</w:t>
        </w:r>
      </w:smartTag>
      <w:r w:rsidR="00E93F75" w:rsidRPr="00E93F75">
        <w:t xml:space="preserve">, </w:t>
      </w:r>
      <w:r w:rsidR="00B83FD4">
        <w:t>las actividades de las autoridades públicas y los resultados de los actos de conciliación</w:t>
      </w:r>
      <w:r w:rsidR="00E93F75" w:rsidRPr="00E93F75">
        <w:t xml:space="preserve">. </w:t>
      </w:r>
    </w:p>
    <w:p w:rsidR="00E93F75" w:rsidRPr="00E93F75" w:rsidRDefault="007131BF" w:rsidP="00637350">
      <w:pPr>
        <w:pStyle w:val="SingleTxtG"/>
      </w:pPr>
      <w:r w:rsidRPr="00E93F75">
        <w:t>29</w:t>
      </w:r>
      <w:r>
        <w:t>1</w:t>
      </w:r>
      <w:r w:rsidR="00E93F75" w:rsidRPr="00E93F75">
        <w:t>.</w:t>
      </w:r>
      <w:r w:rsidR="00E93F75">
        <w:tab/>
      </w:r>
      <w:r w:rsidR="00661492">
        <w:t>Una de las dos solicitudes presentadas en 2009 para que se llevaran acabo actos de conciliación se refería a la supuesta discriminación de una persona debido a su origen étnico</w:t>
      </w:r>
      <w:r w:rsidR="00E93F75" w:rsidRPr="00E93F75">
        <w:t xml:space="preserve">, </w:t>
      </w:r>
      <w:r w:rsidR="00661492">
        <w:t>ya que no se la había facilitado el acceso a diversas prestaciones laborales</w:t>
      </w:r>
      <w:r w:rsidR="00E93F75" w:rsidRPr="00E93F75">
        <w:t xml:space="preserve">. </w:t>
      </w:r>
      <w:r w:rsidR="00661492">
        <w:t xml:space="preserve">El Canciller de Justicia </w:t>
      </w:r>
      <w:r w:rsidR="00B300D7">
        <w:t xml:space="preserve">suspendió </w:t>
      </w:r>
      <w:r w:rsidR="00661492">
        <w:t>las diligencias debido al desacuerdo del demandado con las mismas</w:t>
      </w:r>
      <w:r w:rsidR="00E93F75" w:rsidRPr="00E93F75">
        <w:t>.</w:t>
      </w:r>
    </w:p>
    <w:p w:rsidR="00E93F75" w:rsidRPr="00E93F75" w:rsidRDefault="007131BF" w:rsidP="00637350">
      <w:pPr>
        <w:pStyle w:val="SingleTxtG"/>
      </w:pPr>
      <w:r w:rsidRPr="00E93F75">
        <w:t>29</w:t>
      </w:r>
      <w:r>
        <w:t>2</w:t>
      </w:r>
      <w:r w:rsidR="00E93F75" w:rsidRPr="00E93F75">
        <w:t>.</w:t>
      </w:r>
      <w:r w:rsidR="00E93F75">
        <w:tab/>
      </w:r>
      <w:r w:rsidR="00661492">
        <w:t>E</w:t>
      </w:r>
      <w:r w:rsidR="00157132">
        <w:t>n 2009</w:t>
      </w:r>
      <w:r w:rsidR="00E93F75" w:rsidRPr="00E93F75">
        <w:t xml:space="preserve"> </w:t>
      </w:r>
      <w:r w:rsidR="00157132">
        <w:t>se presentó una solicitud en la que el demandante alegaba que dos administraciones locales le habían discriminado por motivos de raza y origen étnico al negarle un puesto en una feria u ofrecerle una ubicación menos ventajosa</w:t>
      </w:r>
      <w:r w:rsidR="00E93F75" w:rsidRPr="00E93F75">
        <w:t xml:space="preserve">. </w:t>
      </w:r>
      <w:r w:rsidR="00C0405B">
        <w:t>No obstante, el Canciller de Justicia no identificó discriminación étnica o racial como resultado de las diligencias practicadas</w:t>
      </w:r>
      <w:r w:rsidR="00E93F75" w:rsidRPr="00E93F75">
        <w:t xml:space="preserve">. </w:t>
      </w:r>
      <w:r w:rsidR="00C0405B">
        <w:t>Con respecto a la primera alegación, los productos que el demandante quería vender no satisfacían las condiciones requeridas para el comercio en dicha feria, y no había datos relacionados con la existencia de discriminación étnica o racial, directa o indirecta</w:t>
      </w:r>
      <w:r w:rsidR="00E93F75" w:rsidRPr="00E93F75">
        <w:t xml:space="preserve">. </w:t>
      </w:r>
      <w:r w:rsidR="00C0405B">
        <w:t xml:space="preserve">Por </w:t>
      </w:r>
      <w:r w:rsidR="008A6F54">
        <w:t>lo que se refiere a la segunda al</w:t>
      </w:r>
      <w:r w:rsidR="00C0405B">
        <w:t>egación, la administración local asignaba los puestos sobre la base de principios objetivos, habida cuenta de la naturaleza de las mercancías</w:t>
      </w:r>
      <w:r w:rsidR="008A6F54">
        <w:t xml:space="preserve"> en </w:t>
      </w:r>
      <w:r w:rsidR="009A32EC">
        <w:t>venta, el tipo de instalaciones y</w:t>
      </w:r>
      <w:r w:rsidR="008A6F54">
        <w:t xml:space="preserve"> el tamaño de los puestos, así como el tiempo empleado y las colas para el registro; además, las personas que desearan vender sus productos podían expresar sus opiniones</w:t>
      </w:r>
      <w:r w:rsidR="00E93F75" w:rsidRPr="00E93F75">
        <w:t xml:space="preserve"> </w:t>
      </w:r>
      <w:r w:rsidR="008A6F54">
        <w:t>sobre la ubicación de l</w:t>
      </w:r>
      <w:r w:rsidR="009A32EC">
        <w:t>os puestos y, de ser posible,</w:t>
      </w:r>
      <w:r w:rsidR="00836F23">
        <w:t xml:space="preserve"> estos se asignaban teniendo en cuenta</w:t>
      </w:r>
      <w:r w:rsidR="009A32EC">
        <w:t xml:space="preserve"> su</w:t>
      </w:r>
      <w:r w:rsidR="008A6F54">
        <w:t>s pre</w:t>
      </w:r>
      <w:r w:rsidR="009A32EC">
        <w:t>ferencias</w:t>
      </w:r>
      <w:r w:rsidR="00E93F75" w:rsidRPr="00E93F75">
        <w:t xml:space="preserve">. </w:t>
      </w:r>
      <w:r w:rsidR="009A32EC">
        <w:t>Tampoco en este caso se dispuso de datos sobre un trato menos favorable</w:t>
      </w:r>
      <w:r w:rsidR="00836F23">
        <w:t xml:space="preserve"> por motivos de</w:t>
      </w:r>
      <w:r w:rsidR="009A32EC">
        <w:t xml:space="preserve"> origen étnico o</w:t>
      </w:r>
      <w:r w:rsidR="00836F23">
        <w:t xml:space="preserve"> color de</w:t>
      </w:r>
      <w:r w:rsidR="005466A4">
        <w:t xml:space="preserve"> </w:t>
      </w:r>
      <w:r w:rsidR="009A32EC">
        <w:t>piel del solicitante</w:t>
      </w:r>
      <w:r w:rsidR="00E93F75" w:rsidRPr="00E93F75">
        <w:t>.</w:t>
      </w:r>
    </w:p>
    <w:p w:rsidR="00E93F75" w:rsidRPr="00E93F75" w:rsidRDefault="007131BF" w:rsidP="00637350">
      <w:pPr>
        <w:pStyle w:val="SingleTxtG"/>
      </w:pPr>
      <w:r w:rsidRPr="00E93F75">
        <w:t>29</w:t>
      </w:r>
      <w:r>
        <w:t>3</w:t>
      </w:r>
      <w:r w:rsidR="00E93F75" w:rsidRPr="00E93F75">
        <w:t>.</w:t>
      </w:r>
      <w:r w:rsidR="00E93F75">
        <w:tab/>
      </w:r>
      <w:r w:rsidR="00836F23">
        <w:t>E</w:t>
      </w:r>
      <w:r w:rsidR="00E93F75" w:rsidRPr="00E93F75">
        <w:t xml:space="preserve">n 2010, </w:t>
      </w:r>
      <w:r w:rsidR="00836F23">
        <w:t>el Canciller de Justicia recibió 43 reclamaciones relacionadas con el incumplimiento del principio de igualdad de trato, 10 de las cuales se referían a posibles casos de discriminación (es decir, trato menos favorable por motivos específicos de discriminación,</w:t>
      </w:r>
      <w:r w:rsidR="00E93F75" w:rsidRPr="00E93F75">
        <w:t xml:space="preserve"> </w:t>
      </w:r>
      <w:r w:rsidR="00836F23">
        <w:t xml:space="preserve">de conformidad con lo establecido en </w:t>
      </w:r>
      <w:r w:rsidR="00317615">
        <w:t>la segunda oración d</w:t>
      </w:r>
      <w:r w:rsidR="00836F23">
        <w:t xml:space="preserve">el artículo 12 </w:t>
      </w:r>
      <w:r w:rsidR="00E93F75" w:rsidRPr="00E93F75">
        <w:t>1))</w:t>
      </w:r>
      <w:r w:rsidR="00836F23">
        <w:t xml:space="preserve"> de </w:t>
      </w:r>
      <w:smartTag w:uri="urn:schemas-microsoft-com:office:smarttags" w:element="PersonName">
        <w:smartTagPr>
          <w:attr w:name="ProductID" w:val="la Constituci￳n. En"/>
        </w:smartTagPr>
        <w:r w:rsidR="00836F23">
          <w:t>la Constitución</w:t>
        </w:r>
        <w:r w:rsidR="00E93F75" w:rsidRPr="00E93F75">
          <w:t xml:space="preserve">. </w:t>
        </w:r>
        <w:r w:rsidR="00836F23">
          <w:t>En</w:t>
        </w:r>
      </w:smartTag>
      <w:r w:rsidR="00836F23">
        <w:t xml:space="preserve"> las demás reclamaciones se expresaba la preocupación sobre el incumplimiento del principio general de igualdad, y se referían a la conformidad de las leyes y reglamentos con </w:t>
      </w:r>
      <w:smartTag w:uri="urn:schemas-microsoft-com:office:smarttags" w:element="PersonName">
        <w:smartTagPr>
          <w:attr w:name="ProductID" w:val="la Constituci￳n"/>
        </w:smartTagPr>
        <w:r w:rsidR="00836F23">
          <w:t>la Constitución</w:t>
        </w:r>
      </w:smartTag>
      <w:r w:rsidR="00836F23">
        <w:t>, las actividades de las autoridades públicas y los resultados de los actos de conciliación</w:t>
      </w:r>
      <w:r w:rsidR="00E93F75" w:rsidRPr="00E93F75">
        <w:t>.</w:t>
      </w:r>
    </w:p>
    <w:p w:rsidR="00E93F75" w:rsidRPr="00E93F75" w:rsidRDefault="007131BF" w:rsidP="00637350">
      <w:pPr>
        <w:pStyle w:val="SingleTxtG"/>
      </w:pPr>
      <w:r w:rsidRPr="00E93F75">
        <w:t>29</w:t>
      </w:r>
      <w:r>
        <w:t>4</w:t>
      </w:r>
      <w:r w:rsidR="00E93F75" w:rsidRPr="00E93F75">
        <w:t>.</w:t>
      </w:r>
      <w:r w:rsidR="00E93F75">
        <w:tab/>
      </w:r>
      <w:r w:rsidR="00317615">
        <w:t xml:space="preserve">En tres ocasiones, el Canciller de Justicia identificó la incompatibilidad de un acto legislativo con el derecho fundamental a la igualdad, establecido en la primera oración del artículo 12 de </w:t>
      </w:r>
      <w:smartTag w:uri="urn:schemas-microsoft-com:office:smarttags" w:element="PersonName">
        <w:smartTagPr>
          <w:attr w:name="ProductID" w:val="la Constituci￳n."/>
        </w:smartTagPr>
        <w:r w:rsidR="00317615">
          <w:t>la Constitución</w:t>
        </w:r>
        <w:r w:rsidR="00E93F75" w:rsidRPr="00E93F75">
          <w:t>.</w:t>
        </w:r>
      </w:smartTag>
    </w:p>
    <w:p w:rsidR="00E93F75" w:rsidRPr="00E93F75" w:rsidRDefault="007131BF" w:rsidP="00637350">
      <w:pPr>
        <w:pStyle w:val="SingleTxtG"/>
      </w:pPr>
      <w:r w:rsidRPr="00E93F75">
        <w:t>29</w:t>
      </w:r>
      <w:r>
        <w:t>5</w:t>
      </w:r>
      <w:r w:rsidR="00E93F75" w:rsidRPr="00E93F75">
        <w:t>.</w:t>
      </w:r>
      <w:r w:rsidR="00E93F75">
        <w:tab/>
      </w:r>
      <w:r w:rsidR="00317615">
        <w:t>E</w:t>
      </w:r>
      <w:r w:rsidR="003F5429">
        <w:t xml:space="preserve">n 2010 se planteó </w:t>
      </w:r>
      <w:r w:rsidR="00B300D7">
        <w:t>la cuestión d</w:t>
      </w:r>
      <w:r w:rsidR="003F5429">
        <w:t>el cumplimiento del principio de igualdad de trato en el contexto de varias actuaciones del Canciller de Justicia en calidad de defensor del pueblo</w:t>
      </w:r>
      <w:r w:rsidR="00E93F75" w:rsidRPr="00E93F75">
        <w:t xml:space="preserve">. </w:t>
      </w:r>
      <w:r w:rsidR="003F5429">
        <w:t xml:space="preserve">Por ejemplo, un demandante alegó discriminación del Ministerio de Asuntos Sociales por motivos políticos </w:t>
      </w:r>
      <w:r w:rsidR="004D48D9">
        <w:t>en relación con el nombramiento de miembros del Comité Económico y Social Europeo</w:t>
      </w:r>
      <w:r w:rsidR="00E93F75" w:rsidRPr="00E93F75">
        <w:t xml:space="preserve">. </w:t>
      </w:r>
      <w:r w:rsidR="004D48D9">
        <w:t>Además, el Canciller de Justicia inició actuaciones por iniciativa propia a fin de examinar la práctica de dirigir a los niños de origen romaní a escuelas para niños con necesidades especiale</w:t>
      </w:r>
      <w:r w:rsidR="00E93F75" w:rsidRPr="00E93F75">
        <w:t>s.</w:t>
      </w:r>
    </w:p>
    <w:p w:rsidR="00E93F75" w:rsidRPr="00E93F75" w:rsidRDefault="007131BF" w:rsidP="00637350">
      <w:pPr>
        <w:pStyle w:val="SingleTxtG"/>
      </w:pPr>
      <w:r w:rsidRPr="00E93F75">
        <w:t>29</w:t>
      </w:r>
      <w:r>
        <w:t>6</w:t>
      </w:r>
      <w:r w:rsidR="00E93F75" w:rsidRPr="00E93F75">
        <w:t>.</w:t>
      </w:r>
      <w:r w:rsidR="00E93F75">
        <w:tab/>
      </w:r>
      <w:r w:rsidR="004D48D9">
        <w:t xml:space="preserve">En 2010, </w:t>
      </w:r>
      <w:r w:rsidR="00E93F75" w:rsidRPr="00E93F75">
        <w:t>e</w:t>
      </w:r>
      <w:r w:rsidR="004D48D9">
        <w:t>l</w:t>
      </w:r>
      <w:r w:rsidR="00E93F75" w:rsidRPr="00E93F75">
        <w:t xml:space="preserve"> </w:t>
      </w:r>
      <w:r w:rsidR="004D48D9">
        <w:t>Ministro de Justicia recibió dos solicitudes para iniciar actos de conciliación. E</w:t>
      </w:r>
      <w:r w:rsidR="00E93F75" w:rsidRPr="00E93F75">
        <w:t xml:space="preserve">n </w:t>
      </w:r>
      <w:r w:rsidR="004D48D9">
        <w:t>uno de los casos, el Canciller de Justicia dio por finalizado el acto de conciliación debido al desacuerdo del demandado al respecto. E</w:t>
      </w:r>
      <w:r w:rsidR="00E93F75" w:rsidRPr="00E93F75">
        <w:t xml:space="preserve">n </w:t>
      </w:r>
      <w:r w:rsidR="004D48D9">
        <w:t>el otro caso</w:t>
      </w:r>
      <w:r w:rsidR="00E93F75" w:rsidRPr="00E93F75">
        <w:t>,</w:t>
      </w:r>
      <w:r w:rsidR="004D48D9">
        <w:t xml:space="preserve"> el demandante retiró la solicitud de iniciar el acto de conciliación</w:t>
      </w:r>
      <w:r w:rsidR="00E93F75" w:rsidRPr="00E93F75">
        <w:t xml:space="preserve">. </w:t>
      </w:r>
    </w:p>
    <w:p w:rsidR="00E93F75" w:rsidRPr="00E93F75" w:rsidRDefault="007131BF" w:rsidP="00637350">
      <w:pPr>
        <w:pStyle w:val="SingleTxtG"/>
      </w:pPr>
      <w:r w:rsidRPr="00E93F75">
        <w:t>29</w:t>
      </w:r>
      <w:r>
        <w:t>7</w:t>
      </w:r>
      <w:r w:rsidR="00E93F75" w:rsidRPr="00E93F75">
        <w:t>.</w:t>
      </w:r>
      <w:r w:rsidR="00E93F75">
        <w:tab/>
      </w:r>
      <w:r w:rsidR="00B927BF">
        <w:t>E</w:t>
      </w:r>
      <w:r w:rsidR="00E93F75" w:rsidRPr="00E93F75">
        <w:t xml:space="preserve">n 2011, </w:t>
      </w:r>
      <w:r w:rsidR="00B927BF">
        <w:t>el Canciller de Justicia inici</w:t>
      </w:r>
      <w:r w:rsidR="008C1337">
        <w:t>ó</w:t>
      </w:r>
      <w:r w:rsidR="00B927BF">
        <w:t xml:space="preserve"> 42 actuaciones relacionadas con la igualdad de trato y la discriminación, principalmente relacionadas con la violación del derecho fundamental a la igualdad por motivos no especificados en la legislación</w:t>
      </w:r>
      <w:r w:rsidR="00E93F75" w:rsidRPr="00E93F75">
        <w:t>.</w:t>
      </w:r>
      <w:r w:rsidR="00B927BF">
        <w:t xml:space="preserve"> Diez de esas actuaciones se referían a un posible trato desigual por motivos específicos </w:t>
      </w:r>
      <w:r w:rsidR="007F2AAD">
        <w:t xml:space="preserve">de </w:t>
      </w:r>
      <w:r w:rsidR="00B927BF">
        <w:t>discriminación</w:t>
      </w:r>
      <w:r w:rsidR="00E93F75" w:rsidRPr="00E93F75">
        <w:t>.</w:t>
      </w:r>
    </w:p>
    <w:p w:rsidR="00E93F75" w:rsidRPr="00E93F75" w:rsidRDefault="007131BF" w:rsidP="00637350">
      <w:pPr>
        <w:pStyle w:val="SingleTxtG"/>
      </w:pPr>
      <w:r w:rsidRPr="00E93F75">
        <w:t>29</w:t>
      </w:r>
      <w:r>
        <w:t>8</w:t>
      </w:r>
      <w:r w:rsidR="00E93F75" w:rsidRPr="00E93F75">
        <w:t>.</w:t>
      </w:r>
      <w:r w:rsidR="00E93F75">
        <w:tab/>
      </w:r>
      <w:r w:rsidR="004D48D9">
        <w:t>E</w:t>
      </w:r>
      <w:r w:rsidR="00E93F75" w:rsidRPr="00E93F75">
        <w:t xml:space="preserve">n 2011, </w:t>
      </w:r>
      <w:r w:rsidR="004D48D9">
        <w:t>el Canciller de Justicia recibió una solicitud para iniciar un acto de conciliación</w:t>
      </w:r>
      <w:r w:rsidR="00E93F75" w:rsidRPr="00E93F75">
        <w:t xml:space="preserve">. </w:t>
      </w:r>
      <w:r w:rsidR="004D48D9">
        <w:t>El solicitante consideraba que había sido objeto de discriminación por motivos de origen étnico, raza, colo</w:t>
      </w:r>
      <w:r w:rsidR="00E93F75" w:rsidRPr="00E93F75">
        <w:t>r</w:t>
      </w:r>
      <w:r w:rsidR="004D48D9">
        <w:t xml:space="preserve"> de piel y religión, debido a que el propietario de un café le denegó el acceso al mismo</w:t>
      </w:r>
      <w:r w:rsidR="00E93F75" w:rsidRPr="00E93F75">
        <w:t>.</w:t>
      </w:r>
      <w:r w:rsidR="005466A4">
        <w:t xml:space="preserve"> </w:t>
      </w:r>
      <w:r w:rsidR="00B927BF">
        <w:t xml:space="preserve">El Canciller de Justicia no inició el acto de conciliación, </w:t>
      </w:r>
      <w:r w:rsidR="008C1337">
        <w:t>y</w:t>
      </w:r>
      <w:r w:rsidR="00B927BF">
        <w:t xml:space="preserve"> recomendó </w:t>
      </w:r>
      <w:r w:rsidR="008C1337">
        <w:t xml:space="preserve">en cambio </w:t>
      </w:r>
      <w:r w:rsidR="00B927BF">
        <w:t>al solicitante que recurriera a medidas jurídicas más efectivas</w:t>
      </w:r>
      <w:r w:rsidR="00E93F75" w:rsidRPr="00E93F75">
        <w:t>.</w:t>
      </w:r>
    </w:p>
    <w:p w:rsidR="00E93F75" w:rsidRPr="00E93F75" w:rsidRDefault="007131BF" w:rsidP="00637350">
      <w:pPr>
        <w:pStyle w:val="SingleTxtG"/>
      </w:pPr>
      <w:r w:rsidRPr="00E93F75">
        <w:t>29</w:t>
      </w:r>
      <w:r>
        <w:t>9</w:t>
      </w:r>
      <w:r w:rsidR="00E93F75" w:rsidRPr="00E93F75">
        <w:t>.</w:t>
      </w:r>
      <w:r w:rsidR="00E93F75">
        <w:tab/>
      </w:r>
      <w:r w:rsidR="00313627">
        <w:t>Los actos de conciliación se basan en la idea de que debería ser relativamente sencillo para cualquier persona ponerse en contacto con el Canciller de Justicia y que, debido al carácter discrecional de las actuaciones del Canciller, se garantizan los derechos e intereses de los solicitantes durante todo el proceso de investigación</w:t>
      </w:r>
      <w:r w:rsidR="0021345E">
        <w:t>. El objetivo de las actuaciones no es el castigo, si bien el Canciller debe escuchar a ambas partes en su calidad de defensor del pueblo, determinar los hechos y buscar la conciliación</w:t>
      </w:r>
      <w:r w:rsidR="00E93F75" w:rsidRPr="00E93F75">
        <w:t xml:space="preserve">. </w:t>
      </w:r>
      <w:r w:rsidR="0021345E">
        <w:t>Toda la información relacionada con los actos de conciliación solamente se revela de forma que no permita la identificación de las partes en las diligencias</w:t>
      </w:r>
      <w:r w:rsidR="00E93F75" w:rsidRPr="00E93F75">
        <w:t xml:space="preserve">. </w:t>
      </w:r>
      <w:r w:rsidR="0021345E">
        <w:t>El objetivo de la conciliación voluntaria es acercar a las partes en conflicto y alentarlas a modificar sus posiciones con el fin de encontrar una solución común. El papel del Canciller es proponer soluciones</w:t>
      </w:r>
      <w:r w:rsidR="00E93F75" w:rsidRPr="00E93F75">
        <w:t>.</w:t>
      </w:r>
    </w:p>
    <w:p w:rsidR="00E93F75" w:rsidRPr="00E93F75" w:rsidRDefault="007131BF" w:rsidP="00637350">
      <w:pPr>
        <w:pStyle w:val="SingleTxtG"/>
      </w:pPr>
      <w:r>
        <w:t>300</w:t>
      </w:r>
      <w:r w:rsidR="00E93F75" w:rsidRPr="00E93F75">
        <w:t>.</w:t>
      </w:r>
      <w:r w:rsidR="00E93F75">
        <w:tab/>
      </w:r>
      <w:r w:rsidR="0021345E">
        <w:t xml:space="preserve">El objetivo de </w:t>
      </w:r>
      <w:smartTag w:uri="urn:schemas-microsoft-com:office:smarttags" w:element="PersonName">
        <w:smartTagPr>
          <w:attr w:name="ProductID" w:val="La Ley"/>
        </w:smartTagPr>
        <w:r w:rsidR="0021345E">
          <w:t>la Ley</w:t>
        </w:r>
      </w:smartTag>
      <w:r w:rsidR="0021345E">
        <w:t xml:space="preserve"> del Canciller de Justicia es garantizar de la manera más sencilla, rápida y eficaz posible la protección de los derechos de las personas que pueden haber sido víctimas de discriminación</w:t>
      </w:r>
      <w:r w:rsidR="00E93F75" w:rsidRPr="00E93F75">
        <w:t xml:space="preserve">. </w:t>
      </w:r>
      <w:r w:rsidR="0021345E">
        <w:t>En los casos de presunta discriminación, la propia valoración de una persona puede ser subjetiva; por eso, en sus actos de conciliación, el Cancill</w:t>
      </w:r>
      <w:r w:rsidR="00D222D5">
        <w:t>er propone soluciones teniendo</w:t>
      </w:r>
      <w:r w:rsidR="0021345E">
        <w:t xml:space="preserve"> en cuenta los derechos de la víctima en la mayor medida de lo posible. </w:t>
      </w:r>
      <w:r w:rsidR="00D222D5">
        <w:t>En la búsqueda de soluciones, es necesario descartar situaciones donde una persona renuncie a proteger sus derechos porque las diligencias en las que debería tomar parte son excesivamente complicadas</w:t>
      </w:r>
      <w:r w:rsidR="00E93F75" w:rsidRPr="00E93F75">
        <w:t>.</w:t>
      </w:r>
    </w:p>
    <w:p w:rsidR="00E93F75" w:rsidRPr="00E93F75" w:rsidRDefault="007131BF" w:rsidP="00637350">
      <w:pPr>
        <w:pStyle w:val="SingleTxtG"/>
      </w:pPr>
      <w:r w:rsidRPr="00E93F75">
        <w:t>30</w:t>
      </w:r>
      <w:r>
        <w:t>1</w:t>
      </w:r>
      <w:r w:rsidR="00E93F75" w:rsidRPr="00E93F75">
        <w:t>.</w:t>
      </w:r>
      <w:r w:rsidR="00E93F75">
        <w:tab/>
      </w:r>
      <w:r w:rsidR="00BD1453">
        <w:t>En el caso de violaciones del derecho fundamental a la igualdad, el Canciller</w:t>
      </w:r>
      <w:r w:rsidR="002E04A0">
        <w:t xml:space="preserve"> de Justicia</w:t>
      </w:r>
      <w:r w:rsidR="00BD1453">
        <w:t xml:space="preserve"> puede formular una propuesta o una recomendación al Parlamento, un organismo estatal u otro representante de la autoridad pública (por ejemplo, una recomendación para adoptar una nueva decisión o presentar disculpas al solicitante</w:t>
      </w:r>
      <w:r w:rsidR="00E93F75" w:rsidRPr="00E93F75">
        <w:t>).</w:t>
      </w:r>
    </w:p>
    <w:p w:rsidR="00E93F75" w:rsidRPr="00E93F75" w:rsidRDefault="007131BF" w:rsidP="00637350">
      <w:pPr>
        <w:pStyle w:val="SingleTxtG"/>
      </w:pPr>
      <w:r w:rsidRPr="00E93F75">
        <w:t>30</w:t>
      </w:r>
      <w:r>
        <w:t>2</w:t>
      </w:r>
      <w:r w:rsidR="00E93F75" w:rsidRPr="00E93F75">
        <w:t>.</w:t>
      </w:r>
      <w:r w:rsidR="001D40C5">
        <w:tab/>
      </w:r>
      <w:r w:rsidR="002E04A0">
        <w:t>El Canciller de Justicia carece de medios legales coercitivos (es decir, la posibilidad de imponer sanciones) para obligar al cumplimiento de sus propuestas</w:t>
      </w:r>
      <w:r w:rsidR="00E93F75" w:rsidRPr="00E93F75">
        <w:t xml:space="preserve">, </w:t>
      </w:r>
      <w:r w:rsidR="002E04A0">
        <w:t>si bien la mayoría de estas han sido acatadas debido al gran respeto que merece la institución en la sociedad de Estonia</w:t>
      </w:r>
      <w:r w:rsidR="00E93F75" w:rsidRPr="00E93F75">
        <w:t xml:space="preserve">. </w:t>
      </w:r>
    </w:p>
    <w:p w:rsidR="00E93F75" w:rsidRPr="00E93F75" w:rsidRDefault="007131BF" w:rsidP="00637350">
      <w:pPr>
        <w:pStyle w:val="SingleTxtG"/>
      </w:pPr>
      <w:r w:rsidRPr="00E93F75">
        <w:t>30</w:t>
      </w:r>
      <w:r>
        <w:t>3</w:t>
      </w:r>
      <w:r w:rsidR="00E93F75" w:rsidRPr="00E93F75">
        <w:t>.</w:t>
      </w:r>
      <w:r w:rsidR="001D40C5">
        <w:tab/>
      </w:r>
      <w:r w:rsidR="002E04A0">
        <w:t>E</w:t>
      </w:r>
      <w:r w:rsidR="00E93F75" w:rsidRPr="00E93F75">
        <w:t>n</w:t>
      </w:r>
      <w:r w:rsidR="00B34AC7">
        <w:t>tre sus actividades, el Canciller de Justicia ha iniciado también una campaña de información a fin de introducir el principio de igualdad de trato</w:t>
      </w:r>
      <w:r w:rsidR="00E93F75" w:rsidRPr="00E93F75">
        <w:t>.</w:t>
      </w:r>
    </w:p>
    <w:p w:rsidR="00E93F75" w:rsidRPr="00E93F75" w:rsidRDefault="007131BF" w:rsidP="00637350">
      <w:pPr>
        <w:pStyle w:val="SingleTxtG"/>
      </w:pPr>
      <w:r w:rsidRPr="00E93F75">
        <w:t>30</w:t>
      </w:r>
      <w:r>
        <w:t>4</w:t>
      </w:r>
      <w:r w:rsidR="00E93F75" w:rsidRPr="00E93F75">
        <w:t>.</w:t>
      </w:r>
      <w:r w:rsidR="001D40C5">
        <w:tab/>
      </w:r>
      <w:r w:rsidR="00B34AC7">
        <w:t xml:space="preserve">Desde 2004, Estonia tiene un Comisionado para </w:t>
      </w:r>
      <w:smartTag w:uri="urn:schemas-microsoft-com:office:smarttags" w:element="PersonName">
        <w:smartTagPr>
          <w:attr w:name="ProductID" w:val="la Igualdad"/>
        </w:smartTagPr>
        <w:r w:rsidR="00B34AC7">
          <w:t>la Igualdad</w:t>
        </w:r>
      </w:smartTag>
      <w:r w:rsidR="00B34AC7">
        <w:t xml:space="preserve"> de Género y </w:t>
      </w:r>
      <w:smartTag w:uri="urn:schemas-microsoft-com:office:smarttags" w:element="PersonName">
        <w:smartTagPr>
          <w:attr w:name="ProductID" w:val="la Igualdad"/>
        </w:smartTagPr>
        <w:r w:rsidR="00B34AC7">
          <w:t>la Igualdad</w:t>
        </w:r>
      </w:smartTag>
      <w:r w:rsidR="00B34AC7">
        <w:t xml:space="preserve"> de Trato independiente e imparcial</w:t>
      </w:r>
      <w:r w:rsidR="00E93F75" w:rsidRPr="00E93F75">
        <w:t xml:space="preserve">. </w:t>
      </w:r>
      <w:r w:rsidR="00B34AC7">
        <w:t xml:space="preserve">Con </w:t>
      </w:r>
      <w:smartTag w:uri="urn:schemas-microsoft-com:office:smarttags" w:element="PersonName">
        <w:smartTagPr>
          <w:attr w:name="ProductID" w:val="La Ley"/>
        </w:smartTagPr>
        <w:r w:rsidR="00B34AC7">
          <w:t>la Ley</w:t>
        </w:r>
      </w:smartTag>
      <w:r w:rsidR="00B34AC7">
        <w:t xml:space="preserve"> de igualdad de trato se ampliaron las competencias del Comisionado a fin de incluir otros tipos de discriminación</w:t>
      </w:r>
      <w:r w:rsidR="00E93F75" w:rsidRPr="00E93F75">
        <w:t>.</w:t>
      </w:r>
    </w:p>
    <w:p w:rsidR="00E93F75" w:rsidRPr="00E93F75" w:rsidRDefault="007131BF" w:rsidP="00637350">
      <w:pPr>
        <w:pStyle w:val="SingleTxtG"/>
      </w:pPr>
      <w:r w:rsidRPr="00E93F75">
        <w:t>30</w:t>
      </w:r>
      <w:r>
        <w:t>5</w:t>
      </w:r>
      <w:r w:rsidR="00E93F75" w:rsidRPr="00E93F75">
        <w:t>.</w:t>
      </w:r>
      <w:r w:rsidR="001D40C5">
        <w:tab/>
      </w:r>
      <w:r w:rsidR="00363847">
        <w:t xml:space="preserve">De conformidad con </w:t>
      </w:r>
      <w:smartTag w:uri="urn:schemas-microsoft-com:office:smarttags" w:element="PersonName">
        <w:smartTagPr>
          <w:attr w:name="ProductID" w:val="La Ley"/>
        </w:smartTagPr>
        <w:r w:rsidR="00363847">
          <w:t>la Ley</w:t>
        </w:r>
      </w:smartTag>
      <w:r w:rsidR="00363847">
        <w:t xml:space="preserve"> de igualdad de trato</w:t>
      </w:r>
      <w:r w:rsidR="00E93F75" w:rsidRPr="00E93F75">
        <w:t xml:space="preserve">, </w:t>
      </w:r>
      <w:r w:rsidR="00363847">
        <w:t xml:space="preserve">el Comisionado para </w:t>
      </w:r>
      <w:smartTag w:uri="urn:schemas-microsoft-com:office:smarttags" w:element="PersonName">
        <w:smartTagPr>
          <w:attr w:name="ProductID" w:val="la Igualdad"/>
        </w:smartTagPr>
        <w:r w:rsidR="00363847">
          <w:t>la Igualdad</w:t>
        </w:r>
      </w:smartTag>
      <w:r w:rsidR="00363847">
        <w:t xml:space="preserve"> de Género y </w:t>
      </w:r>
      <w:smartTag w:uri="urn:schemas-microsoft-com:office:smarttags" w:element="PersonName">
        <w:smartTagPr>
          <w:attr w:name="ProductID" w:val="la Igualdad"/>
        </w:smartTagPr>
        <w:r w:rsidR="00363847">
          <w:t>la Igualdad</w:t>
        </w:r>
      </w:smartTag>
      <w:r w:rsidR="00363847">
        <w:t xml:space="preserve"> de Trato</w:t>
      </w:r>
      <w:r w:rsidR="00E93F75" w:rsidRPr="00E93F75">
        <w:t xml:space="preserve"> </w:t>
      </w:r>
      <w:r w:rsidR="00363847">
        <w:t>aporta dictámenes a las personas que han presentado solicitudes con respecto a posibles casos de discriminación y, si es necesario, a las personas que tienen un interés legítimo en velar por el cumplimiento de los requisitos en materia de igualdad de trato</w:t>
      </w:r>
      <w:r w:rsidR="00E93F75" w:rsidRPr="00E93F75">
        <w:t xml:space="preserve">. </w:t>
      </w:r>
      <w:r w:rsidR="00363847">
        <w:t xml:space="preserve">El propósito del dictamen es facilitar una valoración que, conjuntamente con </w:t>
      </w:r>
      <w:smartTag w:uri="urn:schemas-microsoft-com:office:smarttags" w:element="PersonName">
        <w:smartTagPr>
          <w:attr w:name="ProductID" w:val="La Ley"/>
        </w:smartTagPr>
        <w:r w:rsidR="00363847">
          <w:t>la Ley</w:t>
        </w:r>
      </w:smartTag>
      <w:r w:rsidR="00363847">
        <w:t xml:space="preserve"> de igualdad de trato, </w:t>
      </w:r>
      <w:smartTag w:uri="urn:schemas-microsoft-com:office:smarttags" w:element="PersonName">
        <w:smartTagPr>
          <w:attr w:name="ProductID" w:val="La Ley"/>
        </w:smartTagPr>
        <w:r w:rsidR="00363847">
          <w:t>la Ley</w:t>
        </w:r>
      </w:smartTag>
      <w:r w:rsidR="00363847">
        <w:t xml:space="preserve"> de igualdad de género, los acuerdos internacionales vinculantes en </w:t>
      </w:r>
      <w:smartTag w:uri="urn:schemas-microsoft-com:office:smarttags" w:element="PersonName">
        <w:smartTagPr>
          <w:attr w:name="ProductID" w:val="la Rep￺blica"/>
        </w:smartTagPr>
        <w:r w:rsidR="00363847">
          <w:t>la República</w:t>
        </w:r>
      </w:smartTag>
      <w:r w:rsidR="00363847">
        <w:t xml:space="preserve"> de Estonia y otras leyes, permita evaluar si el principio de igualdad de trato ha sido violado en una relación jurídica en particular</w:t>
      </w:r>
      <w:r w:rsidR="00E93F75" w:rsidRPr="00E93F75">
        <w:t xml:space="preserve">. </w:t>
      </w:r>
      <w:r w:rsidR="00A83412">
        <w:t>El dictamen del Comisionado es una opinión experta sobre cuya base las personas pueden evaluar la conveniencia de recurrir a los tribunales. Además, las diligencias del Comisionado no suponen gastos importantes, y entre sus tareas se incluyen el asesoramiento individual y la prestación de asistencia para la presentación de reclamaciones por discriminación</w:t>
      </w:r>
      <w:r w:rsidR="00E93F75" w:rsidRPr="00E93F75">
        <w:t>.</w:t>
      </w:r>
      <w:r w:rsidR="00A83412">
        <w:t xml:space="preserve"> Estas funciones del Comisionado pueden considerarse como medidas que apoyan la aplicación efectiva del artículo 6 de </w:t>
      </w:r>
      <w:smartTag w:uri="urn:schemas-microsoft-com:office:smarttags" w:element="PersonName">
        <w:smartTagPr>
          <w:attr w:name="ProductID" w:val="la Convenci￳n."/>
        </w:smartTagPr>
        <w:r w:rsidR="00A83412">
          <w:t>la Convención</w:t>
        </w:r>
        <w:r w:rsidR="00E93F75" w:rsidRPr="00E93F75">
          <w:t>.</w:t>
        </w:r>
      </w:smartTag>
    </w:p>
    <w:p w:rsidR="00E93F75" w:rsidRPr="00E93F75" w:rsidRDefault="001D40C5" w:rsidP="00637350">
      <w:pPr>
        <w:pStyle w:val="H23G"/>
      </w:pPr>
      <w:r>
        <w:tab/>
      </w:r>
      <w:r>
        <w:tab/>
      </w:r>
      <w:r w:rsidR="00E30F68">
        <w:t>Apoyo a las víctimas</w:t>
      </w:r>
    </w:p>
    <w:p w:rsidR="00E93F75" w:rsidRPr="00E93F75" w:rsidRDefault="007131BF" w:rsidP="00637350">
      <w:pPr>
        <w:pStyle w:val="SingleTxtG"/>
      </w:pPr>
      <w:r w:rsidRPr="00E93F75">
        <w:t>30</w:t>
      </w:r>
      <w:r>
        <w:t>6</w:t>
      </w:r>
      <w:r w:rsidR="00E93F75" w:rsidRPr="00E93F75">
        <w:t>.</w:t>
      </w:r>
      <w:r w:rsidR="001D40C5">
        <w:tab/>
      </w:r>
      <w:smartTag w:uri="urn:schemas-microsoft-com:office:smarttags" w:element="PersonName">
        <w:smartTagPr>
          <w:attr w:name="ProductID" w:val="La Ley"/>
        </w:smartTagPr>
        <w:r w:rsidR="00230923">
          <w:t>La L</w:t>
        </w:r>
        <w:r w:rsidR="0090124B">
          <w:t>ey</w:t>
        </w:r>
      </w:smartTag>
      <w:r w:rsidR="0090124B">
        <w:t xml:space="preserve"> de apoyo a las víctimas</w:t>
      </w:r>
      <w:r w:rsidR="001D40C5">
        <w:rPr>
          <w:rStyle w:val="FootnoteReference"/>
        </w:rPr>
        <w:footnoteReference w:id="50"/>
      </w:r>
      <w:r w:rsidR="00230923">
        <w:t>, que entró en vigor el 1 de febrero de 2004, sienta las bases para la organización estatal del apoyo a las víctimas, la organización del servicio de conciliación</w:t>
      </w:r>
      <w:r w:rsidR="00E93F75" w:rsidRPr="00E93F75">
        <w:t xml:space="preserve">, </w:t>
      </w:r>
      <w:r w:rsidR="00230923">
        <w:t>el pago de indemnizaciones por atención psicológica en el marco de la prestación de servicios de apoyo a las víctimas y el procedimiento para el pago de indemnizaciones estatales a las víctimas de delitos</w:t>
      </w:r>
      <w:r w:rsidR="00E93F75" w:rsidRPr="00E93F75">
        <w:t xml:space="preserve">. </w:t>
      </w:r>
      <w:r w:rsidR="00230923">
        <w:t xml:space="preserve">Además, la </w:t>
      </w:r>
      <w:r w:rsidR="005554AF">
        <w:t>ley</w:t>
      </w:r>
      <w:r w:rsidR="00230923">
        <w:t xml:space="preserve"> prescribe qué personas tienen derecho a los servicios de apoyo a las víctimas, al cobro de indemnización por atención psicológica y a indemnización estatal</w:t>
      </w:r>
      <w:r w:rsidR="00EE6BC1">
        <w:t>; las condiciones y el procedimiento para solicitar, conceder y pagar las indemnizaciones especificadas; y el procedimiento para la prestación del servicio de conciliación</w:t>
      </w:r>
      <w:r w:rsidR="00E93F75" w:rsidRPr="00E93F75">
        <w:t>.</w:t>
      </w:r>
    </w:p>
    <w:p w:rsidR="00E93F75" w:rsidRPr="00E93F75" w:rsidRDefault="007131BF" w:rsidP="00637350">
      <w:pPr>
        <w:pStyle w:val="SingleTxtG"/>
      </w:pPr>
      <w:r w:rsidRPr="00E93F75">
        <w:t>30</w:t>
      </w:r>
      <w:r>
        <w:t>7</w:t>
      </w:r>
      <w:r w:rsidR="00E93F75" w:rsidRPr="00E93F75">
        <w:t>.</w:t>
      </w:r>
      <w:r w:rsidR="001D40C5">
        <w:tab/>
      </w:r>
      <w:r w:rsidR="00EB7467">
        <w:t>Los servicios de apoyo a las víctimas consisten en la prestación (inicial) de asesoramiento y asistencia a las víctimas para la comunicación con las distintas autoridades. Tienen derecho a recibir apoyo las víctimas todas las personas que han sido objeto de negligencias o de trato inadecuado, así como violencia física, psicológica o sexual</w:t>
      </w:r>
      <w:r w:rsidR="00E93F75" w:rsidRPr="00E93F75">
        <w:t xml:space="preserve"> (</w:t>
      </w:r>
      <w:r w:rsidR="00EB7467">
        <w:t>incluidas la violencia doméstica y la violencia contra los niños</w:t>
      </w:r>
      <w:r w:rsidR="00E93F75" w:rsidRPr="00E93F75">
        <w:t>).</w:t>
      </w:r>
      <w:r w:rsidR="00EB7467">
        <w:t xml:space="preserve"> Mediante el empleo de diferentes métodos y el recurso a otros especialistas, las personas que trabajan en la esfera del apoyo a las víctimas tratan de mantener o mejorar la capacidad de esas personas para hacer frente a su situación y superarla. </w:t>
      </w:r>
    </w:p>
    <w:p w:rsidR="00E93F75" w:rsidRPr="00E93F75" w:rsidRDefault="007131BF" w:rsidP="00637350">
      <w:pPr>
        <w:pStyle w:val="SingleTxtG"/>
      </w:pPr>
      <w:r w:rsidRPr="00E93F75">
        <w:t>30</w:t>
      </w:r>
      <w:r>
        <w:t>8</w:t>
      </w:r>
      <w:r w:rsidR="00E93F75" w:rsidRPr="00E93F75">
        <w:t>.</w:t>
      </w:r>
      <w:r w:rsidR="001D40C5">
        <w:tab/>
      </w:r>
      <w:smartTag w:uri="urn:schemas-microsoft-com:office:smarttags" w:element="PersonName">
        <w:smartTagPr>
          <w:attr w:name="ProductID" w:val="La Junta"/>
        </w:smartTagPr>
        <w:r w:rsidR="00EB7467">
          <w:t>La Junta</w:t>
        </w:r>
      </w:smartTag>
      <w:r w:rsidR="00EB7467">
        <w:t xml:space="preserve"> de Seguridad Social garantiza la prestación de los servicios de apoyo a las víctimas sobre la base del principio de regionalidad</w:t>
      </w:r>
      <w:r w:rsidR="00E93F75" w:rsidRPr="00E93F75">
        <w:t xml:space="preserve">. </w:t>
      </w:r>
      <w:r w:rsidR="00EB7467">
        <w:t>Hay trabajadores de apoyo a las víctimas en todos los condados</w:t>
      </w:r>
      <w:r w:rsidR="00E93F75" w:rsidRPr="00E93F75">
        <w:t xml:space="preserve">. </w:t>
      </w:r>
      <w:r w:rsidR="00EB7467">
        <w:t>El principio de regionalidad significa que los trabajadores de apoyo a las víctimas prestan el servicio en las regiones donde más se necesita, por ejemplo, según el nivel de delitos o la densidad de población</w:t>
      </w:r>
      <w:r w:rsidR="00E93F75" w:rsidRPr="00E93F75">
        <w:t>.</w:t>
      </w:r>
    </w:p>
    <w:p w:rsidR="00E93F75" w:rsidRPr="00E93F75" w:rsidRDefault="007131BF" w:rsidP="00637350">
      <w:pPr>
        <w:pStyle w:val="SingleTxtG"/>
      </w:pPr>
      <w:r w:rsidRPr="00E93F75">
        <w:t>30</w:t>
      </w:r>
      <w:r>
        <w:t>9</w:t>
      </w:r>
      <w:r w:rsidR="00E93F75" w:rsidRPr="00E93F75">
        <w:t>.</w:t>
      </w:r>
      <w:r w:rsidR="001D40C5">
        <w:tab/>
      </w:r>
      <w:r w:rsidR="00EB7467">
        <w:t>Para prestar los servicios de apoyo a las víctimas, dichos trabajadores han establecido redes de cooperación regional donde participan la policía, el personal médico de emergencias, trabajadores del sector de la atención de salud, trabajadores sociales, servicios de rescate, vigilancia del vecindario, varias ONG,</w:t>
      </w:r>
      <w:r w:rsidR="00E93F75" w:rsidRPr="00E93F75">
        <w:t xml:space="preserve"> etc. </w:t>
      </w:r>
    </w:p>
    <w:p w:rsidR="00E93F75" w:rsidRPr="00E93F75" w:rsidRDefault="007131BF" w:rsidP="00637350">
      <w:pPr>
        <w:pStyle w:val="SingleTxtG"/>
      </w:pPr>
      <w:r w:rsidRPr="00E93F75">
        <w:t>3</w:t>
      </w:r>
      <w:r>
        <w:t>10</w:t>
      </w:r>
      <w:r w:rsidR="00E93F75" w:rsidRPr="00E93F75">
        <w:t>.</w:t>
      </w:r>
      <w:r w:rsidR="001D40C5">
        <w:tab/>
      </w:r>
      <w:r w:rsidR="005544B7">
        <w:t xml:space="preserve">El departamento de apoyo a las víctimas forma parte de </w:t>
      </w:r>
      <w:smartTag w:uri="urn:schemas-microsoft-com:office:smarttags" w:element="PersonName">
        <w:smartTagPr>
          <w:attr w:name="ProductID" w:val="La Junta"/>
        </w:smartTagPr>
        <w:r w:rsidR="005544B7">
          <w:t>la Junta</w:t>
        </w:r>
      </w:smartTag>
      <w:r w:rsidR="005544B7">
        <w:t xml:space="preserve"> de Seguridad Social y emplea a 27 trabajadores de apoyo a las víctimas</w:t>
      </w:r>
      <w:r w:rsidR="00E93F75" w:rsidRPr="00E93F75">
        <w:t xml:space="preserve">. </w:t>
      </w:r>
      <w:r w:rsidR="005544B7">
        <w:t xml:space="preserve">En Estonia hay más de 15 centros de apoyo a las víctimas, divididos entre cuatro regiones </w:t>
      </w:r>
      <w:r w:rsidR="00E93F75" w:rsidRPr="00E93F75">
        <w:t>(</w:t>
      </w:r>
      <w:r w:rsidR="005544B7">
        <w:t xml:space="preserve">norte, sur, este y oeste) según la distribución de las prefecturas de </w:t>
      </w:r>
      <w:smartTag w:uri="urn:schemas-microsoft-com:office:smarttags" w:element="PersonName">
        <w:smartTagPr>
          <w:attr w:name="ProductID" w:val="La Junta"/>
        </w:smartTagPr>
        <w:r w:rsidR="005544B7">
          <w:t>la Junta</w:t>
        </w:r>
      </w:smartTag>
      <w:r w:rsidR="005544B7">
        <w:t xml:space="preserve"> de </w:t>
      </w:r>
      <w:smartTag w:uri="urn:schemas-microsoft-com:office:smarttags" w:element="PersonName">
        <w:smartTagPr>
          <w:attr w:name="ProductID" w:val="la Polic￭a"/>
        </w:smartTagPr>
        <w:r w:rsidR="005544B7">
          <w:t>la Policía</w:t>
        </w:r>
      </w:smartTag>
      <w:r w:rsidR="005544B7">
        <w:t xml:space="preserve"> y </w:t>
      </w:r>
      <w:smartTag w:uri="urn:schemas-microsoft-com:office:smarttags" w:element="PersonName">
        <w:smartTagPr>
          <w:attr w:name="ProductID" w:val="la Guardia"/>
        </w:smartTagPr>
        <w:r w:rsidR="005544B7">
          <w:t>la Guardia</w:t>
        </w:r>
      </w:smartTag>
      <w:r w:rsidR="005544B7">
        <w:t xml:space="preserve"> de Fronteras.</w:t>
      </w:r>
      <w:r w:rsidR="00E93F75" w:rsidRPr="00E93F75">
        <w:t xml:space="preserve"> </w:t>
      </w:r>
      <w:r w:rsidR="005544B7">
        <w:t xml:space="preserve">En el marco del acuerdo de cooperación entre </w:t>
      </w:r>
      <w:smartTag w:uri="urn:schemas-microsoft-com:office:smarttags" w:element="PersonName">
        <w:smartTagPr>
          <w:attr w:name="ProductID" w:val="La Junta"/>
        </w:smartTagPr>
        <w:r w:rsidR="005544B7">
          <w:t>la Junta</w:t>
        </w:r>
      </w:smartTag>
      <w:r w:rsidR="005544B7">
        <w:t xml:space="preserve"> de Seguridad Social y </w:t>
      </w:r>
      <w:smartTag w:uri="urn:schemas-microsoft-com:office:smarttags" w:element="PersonName">
        <w:smartTagPr>
          <w:attr w:name="ProductID" w:val="La Junta"/>
        </w:smartTagPr>
        <w:r w:rsidR="005544B7">
          <w:t>la Junta</w:t>
        </w:r>
      </w:smartTag>
      <w:r w:rsidR="005544B7">
        <w:t xml:space="preserve"> de </w:t>
      </w:r>
      <w:smartTag w:uri="urn:schemas-microsoft-com:office:smarttags" w:element="PersonName">
        <w:smartTagPr>
          <w:attr w:name="ProductID" w:val="la Polic￭a"/>
        </w:smartTagPr>
        <w:r w:rsidR="005544B7">
          <w:t>la Policía</w:t>
        </w:r>
      </w:smartTag>
      <w:r w:rsidR="005544B7">
        <w:t xml:space="preserve"> y </w:t>
      </w:r>
      <w:smartTag w:uri="urn:schemas-microsoft-com:office:smarttags" w:element="PersonName">
        <w:smartTagPr>
          <w:attr w:name="ProductID" w:val="la Guardia"/>
        </w:smartTagPr>
        <w:r w:rsidR="005544B7">
          <w:t>la Guardia</w:t>
        </w:r>
      </w:smartTag>
      <w:r w:rsidR="005544B7">
        <w:t xml:space="preserve"> de Fronteras</w:t>
      </w:r>
      <w:r w:rsidR="00E93F75" w:rsidRPr="00E93F75">
        <w:t xml:space="preserve">, </w:t>
      </w:r>
      <w:r w:rsidR="005544B7">
        <w:t>los centros de apoyo a las víctimas suelen estar ubicados donde hay comisarías y agentes de policía locales, quienes deben proporcionar información sobre casos de violencia a los trabajadores de apoyo a las ví</w:t>
      </w:r>
      <w:r w:rsidR="00A81F8A">
        <w:t xml:space="preserve">ctimas </w:t>
      </w:r>
      <w:r w:rsidR="005544B7">
        <w:t>con el consentimiento de estas</w:t>
      </w:r>
      <w:r w:rsidR="00E93F75" w:rsidRPr="00E93F75">
        <w:t>.</w:t>
      </w:r>
    </w:p>
    <w:p w:rsidR="00E93F75" w:rsidRPr="00E93F75" w:rsidRDefault="007131BF" w:rsidP="00637350">
      <w:pPr>
        <w:pStyle w:val="SingleTxtG"/>
      </w:pPr>
      <w:r w:rsidRPr="00E93F75">
        <w:t>31</w:t>
      </w:r>
      <w:r>
        <w:t>1</w:t>
      </w:r>
      <w:r w:rsidR="00E93F75" w:rsidRPr="00E93F75">
        <w:t>.</w:t>
      </w:r>
      <w:r w:rsidR="001D40C5">
        <w:tab/>
      </w:r>
      <w:r w:rsidR="00A81F8A">
        <w:t>La información sobre los servicios de apoyo a las víctimas está</w:t>
      </w:r>
      <w:r w:rsidR="00F42D52">
        <w:t>n</w:t>
      </w:r>
      <w:r w:rsidR="00A81F8A">
        <w:t xml:space="preserve"> disponible</w:t>
      </w:r>
      <w:r w:rsidR="00F42D52">
        <w:t>s</w:t>
      </w:r>
      <w:r w:rsidR="00A81F8A">
        <w:t xml:space="preserve"> en las oficinas</w:t>
      </w:r>
      <w:r w:rsidR="00F42D52">
        <w:t xml:space="preserve"> de la administración local, las comisarías</w:t>
      </w:r>
      <w:r w:rsidR="00A81F8A">
        <w:t xml:space="preserve">, los servicios </w:t>
      </w:r>
      <w:r w:rsidR="0013414F">
        <w:t>de atención médica de emergencia, los servicios de rescate y otros establecimientos pertinentes accesibles para quienes puedan necesitar dichos servicios</w:t>
      </w:r>
      <w:r w:rsidR="00E93F75" w:rsidRPr="00E93F75">
        <w:t xml:space="preserve">. </w:t>
      </w:r>
      <w:r w:rsidR="00F42D52">
        <w:t xml:space="preserve">La información sobre los servicios de apoyo a las víctimas también está disponible en los sitios web de </w:t>
      </w:r>
      <w:smartTag w:uri="urn:schemas-microsoft-com:office:smarttags" w:element="PersonName">
        <w:smartTagPr>
          <w:attr w:name="ProductID" w:val="La Junta"/>
        </w:smartTagPr>
        <w:r w:rsidR="00F42D52">
          <w:t>la Junta</w:t>
        </w:r>
      </w:smartTag>
      <w:r w:rsidR="00F42D52">
        <w:t xml:space="preserve"> de Seguridad Social, </w:t>
      </w:r>
      <w:smartTag w:uri="urn:schemas-microsoft-com:office:smarttags" w:element="PersonName">
        <w:smartTagPr>
          <w:attr w:name="ProductID" w:val="La Junta"/>
        </w:smartTagPr>
        <w:r w:rsidR="00F42D52">
          <w:t>la Junta</w:t>
        </w:r>
      </w:smartTag>
      <w:r w:rsidR="00F42D52">
        <w:t xml:space="preserve"> de </w:t>
      </w:r>
      <w:smartTag w:uri="urn:schemas-microsoft-com:office:smarttags" w:element="PersonName">
        <w:smartTagPr>
          <w:attr w:name="ProductID" w:val="la Polic￭a"/>
        </w:smartTagPr>
        <w:r w:rsidR="00F42D52">
          <w:t>la Policía</w:t>
        </w:r>
      </w:smartTag>
      <w:r w:rsidR="00F42D52">
        <w:t xml:space="preserve"> y </w:t>
      </w:r>
      <w:smartTag w:uri="urn:schemas-microsoft-com:office:smarttags" w:element="PersonName">
        <w:smartTagPr>
          <w:attr w:name="ProductID" w:val="la Guardia"/>
        </w:smartTagPr>
        <w:r w:rsidR="00F42D52">
          <w:t>la Guardia</w:t>
        </w:r>
      </w:smartTag>
      <w:r w:rsidR="00F42D52">
        <w:t xml:space="preserve"> de F</w:t>
      </w:r>
      <w:r w:rsidR="006574F3">
        <w:t>ronteras, así como</w:t>
      </w:r>
      <w:r w:rsidR="00F42D52">
        <w:t xml:space="preserve"> algunas administraciones locales y diversas ONG</w:t>
      </w:r>
      <w:r w:rsidR="00E93F75" w:rsidRPr="00E93F75">
        <w:t>.</w:t>
      </w:r>
    </w:p>
    <w:p w:rsidR="00E93F75" w:rsidRPr="00E93F75" w:rsidRDefault="007131BF" w:rsidP="00637350">
      <w:pPr>
        <w:pStyle w:val="SingleTxtG"/>
      </w:pPr>
      <w:r w:rsidRPr="00E93F75">
        <w:t>31</w:t>
      </w:r>
      <w:r>
        <w:t>2</w:t>
      </w:r>
      <w:r w:rsidR="00E93F75" w:rsidRPr="00E93F75">
        <w:t>.</w:t>
      </w:r>
      <w:r w:rsidR="001D40C5">
        <w:tab/>
      </w:r>
      <w:r w:rsidR="006574F3">
        <w:t xml:space="preserve">Los trabajadores de asistencia a las víctimas fueron requeridos por </w:t>
      </w:r>
      <w:r w:rsidR="00E93F75" w:rsidRPr="00E93F75">
        <w:t>4</w:t>
      </w:r>
      <w:r w:rsidR="006574F3">
        <w:t>.</w:t>
      </w:r>
      <w:r w:rsidR="00E93F75" w:rsidRPr="00E93F75">
        <w:t>116 person</w:t>
      </w:r>
      <w:r w:rsidR="006574F3">
        <w:t>a</w:t>
      </w:r>
      <w:r w:rsidR="00E93F75" w:rsidRPr="00E93F75">
        <w:t>s</w:t>
      </w:r>
      <w:r w:rsidR="006574F3">
        <w:t xml:space="preserve"> en 2009, </w:t>
      </w:r>
      <w:r w:rsidR="00E93F75" w:rsidRPr="00E93F75">
        <w:t>3</w:t>
      </w:r>
      <w:r w:rsidR="006574F3">
        <w:t>.</w:t>
      </w:r>
      <w:r w:rsidR="00E93F75" w:rsidRPr="00E93F75">
        <w:t>978 person</w:t>
      </w:r>
      <w:r w:rsidR="006574F3">
        <w:t>a</w:t>
      </w:r>
      <w:r w:rsidR="00E93F75" w:rsidRPr="00E93F75">
        <w:t>s</w:t>
      </w:r>
      <w:r w:rsidR="006574F3">
        <w:t xml:space="preserve"> en 2010, </w:t>
      </w:r>
      <w:r w:rsidR="00E93F75" w:rsidRPr="00E93F75">
        <w:t>4</w:t>
      </w:r>
      <w:r w:rsidR="006574F3">
        <w:t>.</w:t>
      </w:r>
      <w:r w:rsidR="00E93F75" w:rsidRPr="00E93F75">
        <w:t>671 person</w:t>
      </w:r>
      <w:r w:rsidR="006574F3">
        <w:t>a</w:t>
      </w:r>
      <w:r w:rsidR="00E93F75" w:rsidRPr="00E93F75">
        <w:t>s</w:t>
      </w:r>
      <w:r w:rsidR="006574F3">
        <w:t xml:space="preserve"> en 2011, y 1.222 personas</w:t>
      </w:r>
      <w:r w:rsidR="00E93F75" w:rsidRPr="00E93F75">
        <w:t xml:space="preserve"> </w:t>
      </w:r>
      <w:r w:rsidR="006574F3">
        <w:t xml:space="preserve">en el primer trimestre de </w:t>
      </w:r>
      <w:r w:rsidR="00E93F75" w:rsidRPr="00E93F75">
        <w:t>2012.</w:t>
      </w:r>
    </w:p>
    <w:p w:rsidR="00E93F75" w:rsidRPr="00E93F75" w:rsidRDefault="007131BF" w:rsidP="00637350">
      <w:pPr>
        <w:pStyle w:val="SingleTxtG"/>
      </w:pPr>
      <w:r w:rsidRPr="00E93F75">
        <w:t>31</w:t>
      </w:r>
      <w:r>
        <w:t>3</w:t>
      </w:r>
      <w:r w:rsidR="00E93F75" w:rsidRPr="00E93F75">
        <w:t>.</w:t>
      </w:r>
      <w:r w:rsidR="001D40C5">
        <w:tab/>
      </w:r>
      <w:r w:rsidR="00E12E45">
        <w:t xml:space="preserve">Con respecto a la conciliación entre la víctima y el infractor, sírvanse consultar los párrafos </w:t>
      </w:r>
      <w:smartTag w:uri="urn:schemas-microsoft-com:office:smarttags" w:element="metricconverter">
        <w:smartTagPr>
          <w:attr w:name="ProductID" w:val="305 a"/>
        </w:smartTagPr>
        <w:r w:rsidR="00E12E45">
          <w:t>305 a</w:t>
        </w:r>
      </w:smartTag>
      <w:r w:rsidR="00E12E45">
        <w:t xml:space="preserve"> </w:t>
      </w:r>
      <w:r w:rsidR="00E93F75" w:rsidRPr="00E93F75">
        <w:t xml:space="preserve">307 </w:t>
      </w:r>
      <w:r w:rsidR="00E12E45">
        <w:t>del informe anterior. En 2009 se llevaron a cabo</w:t>
      </w:r>
      <w:r w:rsidR="00E93F75" w:rsidRPr="00E93F75">
        <w:t xml:space="preserve"> 221 </w:t>
      </w:r>
      <w:r w:rsidR="00E12E45">
        <w:t>actos de conciliació</w:t>
      </w:r>
      <w:r w:rsidR="00E93F75" w:rsidRPr="00E93F75">
        <w:t xml:space="preserve">n, </w:t>
      </w:r>
      <w:r w:rsidR="00E12E45">
        <w:t xml:space="preserve">417 en </w:t>
      </w:r>
      <w:r w:rsidR="00E93F75" w:rsidRPr="00E93F75">
        <w:t>2010</w:t>
      </w:r>
      <w:r w:rsidR="00E12E45">
        <w:t>, 534 en 2011</w:t>
      </w:r>
      <w:r w:rsidR="00E93F75" w:rsidRPr="00E93F75">
        <w:t xml:space="preserve"> </w:t>
      </w:r>
      <w:r w:rsidR="00E12E45">
        <w:t>y 129 en el primer trimestre de 2012</w:t>
      </w:r>
      <w:r w:rsidR="00E93F75" w:rsidRPr="00E93F75">
        <w:t>.</w:t>
      </w:r>
    </w:p>
    <w:p w:rsidR="00E93F75" w:rsidRPr="00E93F75" w:rsidRDefault="001D40C5" w:rsidP="00637350">
      <w:pPr>
        <w:pStyle w:val="H1G"/>
      </w:pPr>
      <w:r>
        <w:tab/>
      </w:r>
      <w:r>
        <w:tab/>
      </w:r>
      <w:r w:rsidR="00882E1A">
        <w:t>Artí</w:t>
      </w:r>
      <w:r w:rsidR="00E93F75" w:rsidRPr="00E93F75">
        <w:t>c</w:t>
      </w:r>
      <w:r w:rsidR="00882E1A">
        <w:t xml:space="preserve">ulo </w:t>
      </w:r>
      <w:r w:rsidR="00E93F75" w:rsidRPr="00E93F75">
        <w:t>7</w:t>
      </w:r>
    </w:p>
    <w:p w:rsidR="00E93F75" w:rsidRPr="00E93F75" w:rsidRDefault="007131BF" w:rsidP="00637350">
      <w:pPr>
        <w:pStyle w:val="SingleTxtG"/>
      </w:pPr>
      <w:r w:rsidRPr="00E93F75">
        <w:t>31</w:t>
      </w:r>
      <w:r>
        <w:t>4</w:t>
      </w:r>
      <w:r w:rsidR="00E93F75" w:rsidRPr="00E93F75">
        <w:t>.</w:t>
      </w:r>
      <w:r w:rsidR="001D40C5">
        <w:tab/>
      </w:r>
      <w:r w:rsidR="008F6D76">
        <w:t>El Plan de Integración de</w:t>
      </w:r>
      <w:r w:rsidR="00E93F75" w:rsidRPr="00E93F75">
        <w:t xml:space="preserve"> Estonia</w:t>
      </w:r>
      <w:r w:rsidR="008F6D76">
        <w:t xml:space="preserve"> </w:t>
      </w:r>
      <w:r w:rsidR="00E93F75" w:rsidRPr="00E93F75">
        <w:t>(2008</w:t>
      </w:r>
      <w:r w:rsidR="00FC479E">
        <w:t>-</w:t>
      </w:r>
      <w:r w:rsidR="00E93F75" w:rsidRPr="00E93F75">
        <w:t>2013) s</w:t>
      </w:r>
      <w:r w:rsidR="008F6D76">
        <w:t xml:space="preserve">e describe en </w:t>
      </w:r>
      <w:r w:rsidR="008C1337">
        <w:t xml:space="preserve">la sección relativa al </w:t>
      </w:r>
      <w:r w:rsidR="008F6D76">
        <w:t>artículo</w:t>
      </w:r>
      <w:r w:rsidR="00AA0187" w:rsidRPr="00E93F75">
        <w:t xml:space="preserve"> </w:t>
      </w:r>
      <w:r w:rsidR="00E93F75" w:rsidRPr="00E93F75">
        <w:t>2.</w:t>
      </w:r>
    </w:p>
    <w:p w:rsidR="00E93F75" w:rsidRPr="00E93F75" w:rsidRDefault="007131BF" w:rsidP="00637350">
      <w:pPr>
        <w:pStyle w:val="SingleTxtG"/>
      </w:pPr>
      <w:r w:rsidRPr="00E93F75">
        <w:t>31</w:t>
      </w:r>
      <w:r>
        <w:t>5</w:t>
      </w:r>
      <w:r w:rsidR="00E93F75" w:rsidRPr="00E93F75">
        <w:t>.</w:t>
      </w:r>
      <w:r w:rsidR="001D40C5">
        <w:tab/>
      </w:r>
      <w:r w:rsidR="008F6D76">
        <w:t xml:space="preserve">El análisis sobre el desarrollo humano realizado en </w:t>
      </w:r>
      <w:smartTag w:uri="urn:schemas-microsoft-com:office:smarttags" w:element="metricconverter">
        <w:smartTagPr>
          <w:attr w:name="ProductID" w:val="2011 ha"/>
        </w:smartTagPr>
        <w:r w:rsidR="00E93F75" w:rsidRPr="00E93F75">
          <w:t>2011 ha</w:t>
        </w:r>
      </w:smartTag>
      <w:r w:rsidR="008F6D76">
        <w:t xml:space="preserve"> mo</w:t>
      </w:r>
      <w:r w:rsidR="00E93F75" w:rsidRPr="00E93F75">
        <w:t>s</w:t>
      </w:r>
      <w:r w:rsidR="008F6D76">
        <w:t>trado que el idioma e</w:t>
      </w:r>
      <w:r w:rsidR="00E93F75" w:rsidRPr="00E93F75">
        <w:t>stoni</w:t>
      </w:r>
      <w:r w:rsidR="008F6D76">
        <w:t>o es una herramienta necesaria para lograr el bienestar socioeconó</w:t>
      </w:r>
      <w:r w:rsidR="00E93F75" w:rsidRPr="00E93F75">
        <w:t>mic</w:t>
      </w:r>
      <w:r w:rsidR="008F6D76">
        <w:t>o en el país, y que los problemas relacionados con la adquisición de conocimientos de idiomas tienen una dimensión muy poderosa de seguridad social</w:t>
      </w:r>
      <w:r w:rsidR="00E93F75" w:rsidRPr="00E93F75">
        <w:t>.</w:t>
      </w:r>
    </w:p>
    <w:p w:rsidR="00E93F75" w:rsidRPr="00E93F75" w:rsidRDefault="007131BF" w:rsidP="00637350">
      <w:pPr>
        <w:pStyle w:val="SingleTxtG"/>
      </w:pPr>
      <w:r w:rsidRPr="00E93F75">
        <w:t>31</w:t>
      </w:r>
      <w:r>
        <w:t>6</w:t>
      </w:r>
      <w:r w:rsidR="00E93F75" w:rsidRPr="00E93F75">
        <w:t>.</w:t>
      </w:r>
      <w:r w:rsidR="001D40C5">
        <w:tab/>
      </w:r>
      <w:r w:rsidR="008F6D76">
        <w:t>El</w:t>
      </w:r>
      <w:r w:rsidR="00512422">
        <w:t xml:space="preserve"> Estudio de</w:t>
      </w:r>
      <w:r w:rsidR="00113FDF">
        <w:t xml:space="preserve"> Seguimiento de </w:t>
      </w:r>
      <w:smartTag w:uri="urn:schemas-microsoft-com:office:smarttags" w:element="PersonName">
        <w:smartTagPr>
          <w:attr w:name="ProductID" w:val="la Integraci￳n"/>
        </w:smartTagPr>
        <w:r w:rsidR="00113FDF">
          <w:t>la I</w:t>
        </w:r>
        <w:r w:rsidR="008F6D76">
          <w:t>ntegración</w:t>
        </w:r>
      </w:smartTag>
      <w:r w:rsidR="008F6D76">
        <w:t xml:space="preserve"> </w:t>
      </w:r>
      <w:r w:rsidR="001E575E">
        <w:t xml:space="preserve">de 2011 confirma que un tercio de las </w:t>
      </w:r>
      <w:r w:rsidR="008F6D76">
        <w:t>persona</w:t>
      </w:r>
      <w:r w:rsidR="001E575E">
        <w:t>s</w:t>
      </w:r>
      <w:r w:rsidR="008F6D76">
        <w:t xml:space="preserve"> cuya lengua materna no es el estonio domina</w:t>
      </w:r>
      <w:r w:rsidR="001E575E">
        <w:t>n</w:t>
      </w:r>
      <w:r w:rsidR="008F6D76">
        <w:t xml:space="preserve"> el idioma oficial en un nivel activo, es decir, puede</w:t>
      </w:r>
      <w:r w:rsidR="001E575E">
        <w:t>n</w:t>
      </w:r>
      <w:r w:rsidR="008F6D76">
        <w:t xml:space="preserve"> hacer frente a niveles de comunicación oral más complejos</w:t>
      </w:r>
      <w:r w:rsidR="00512422">
        <w:t xml:space="preserve"> y a expresarse en forma escrita con limitaciones, </w:t>
      </w:r>
      <w:r w:rsidR="001E575E">
        <w:t xml:space="preserve">así como a la comprensión </w:t>
      </w:r>
      <w:r w:rsidR="00512422">
        <w:t>lect</w:t>
      </w:r>
      <w:r w:rsidR="001E575E">
        <w:t>o</w:t>
      </w:r>
      <w:r w:rsidR="00512422">
        <w:t>ra</w:t>
      </w:r>
      <w:r w:rsidR="00E93F75" w:rsidRPr="00E93F75">
        <w:t xml:space="preserve">. </w:t>
      </w:r>
      <w:r w:rsidR="00512422">
        <w:t>Aproxi</w:t>
      </w:r>
      <w:r w:rsidR="001E575E">
        <w:t xml:space="preserve">madamente, la mitad de las personas </w:t>
      </w:r>
      <w:r w:rsidR="00512422">
        <w:t>cuya lengua materna no es el estonio domina</w:t>
      </w:r>
      <w:r w:rsidR="008C1337">
        <w:t>n</w:t>
      </w:r>
      <w:r w:rsidR="00512422">
        <w:t xml:space="preserve"> el idioma oficial, </w:t>
      </w:r>
      <w:r w:rsidR="001E575E">
        <w:t>en par</w:t>
      </w:r>
      <w:r w:rsidR="00512422">
        <w:t>t</w:t>
      </w:r>
      <w:r w:rsidR="001E575E">
        <w:t>icular en el</w:t>
      </w:r>
      <w:r w:rsidR="00512422">
        <w:t xml:space="preserve"> nivel pasivo, es decir, puede</w:t>
      </w:r>
      <w:r w:rsidR="001E575E">
        <w:t>n</w:t>
      </w:r>
      <w:r w:rsidR="00512422">
        <w:t xml:space="preserve"> comprender la información proporcionada en el entorno estonio y tiene</w:t>
      </w:r>
      <w:r w:rsidR="008C1337">
        <w:t>n</w:t>
      </w:r>
      <w:r w:rsidR="00512422">
        <w:t xml:space="preserve"> competencias limitadas para expresarse en ese idioma</w:t>
      </w:r>
      <w:r w:rsidR="00E93F75" w:rsidRPr="00E93F75">
        <w:t xml:space="preserve">. </w:t>
      </w:r>
    </w:p>
    <w:p w:rsidR="00E93F75" w:rsidRPr="00E93F75" w:rsidRDefault="007131BF" w:rsidP="00637350">
      <w:pPr>
        <w:pStyle w:val="SingleTxtG"/>
      </w:pPr>
      <w:r w:rsidRPr="00E93F75">
        <w:t>31</w:t>
      </w:r>
      <w:r>
        <w:t>7</w:t>
      </w:r>
      <w:r w:rsidR="00E93F75" w:rsidRPr="00E93F75">
        <w:t>.</w:t>
      </w:r>
      <w:r w:rsidR="001D40C5">
        <w:tab/>
      </w:r>
      <w:r w:rsidR="00512422">
        <w:t xml:space="preserve">Durante los últimos </w:t>
      </w:r>
      <w:r w:rsidR="005466A4">
        <w:t>diez</w:t>
      </w:r>
      <w:r w:rsidR="00512422">
        <w:t xml:space="preserve"> años, el desarrollo de las aptitudes lingüísticas se ha vist</w:t>
      </w:r>
      <w:r w:rsidR="001E575E">
        <w:t>o favorecido por factores sociop</w:t>
      </w:r>
      <w:r w:rsidR="00512422">
        <w:t>sicológicos tales como el fomento de la movilidad social, y factores estructurales como el sistema educativo y el entorno natural de vida en el lugar de residencia</w:t>
      </w:r>
      <w:r w:rsidR="00E93F75" w:rsidRPr="00E93F75">
        <w:t xml:space="preserve">. </w:t>
      </w:r>
      <w:r w:rsidR="00512422">
        <w:t xml:space="preserve">En comparación con la situación </w:t>
      </w:r>
      <w:r w:rsidR="005466A4">
        <w:t>diez</w:t>
      </w:r>
      <w:r w:rsidR="00512422">
        <w:t xml:space="preserve"> años atrás, aumenta el número de jóvenes con dominio activo del estonio que asisten a la escuela o han finalizado sus estudios y prosiguen en el nivel de la enseñanza superior</w:t>
      </w:r>
      <w:r w:rsidR="00E93F75" w:rsidRPr="00E93F75">
        <w:t xml:space="preserve">. </w:t>
      </w:r>
      <w:r w:rsidR="00512422">
        <w:t>Ha mejorado el conocimiento del estonio entre los ciudadanos estonios cuya lengua materna es el ruso u otros idiomas</w:t>
      </w:r>
      <w:r w:rsidR="00E93F75" w:rsidRPr="00E93F75">
        <w:t xml:space="preserve">. </w:t>
      </w:r>
      <w:r w:rsidR="00512422">
        <w:t xml:space="preserve">En la actualidad, cerca de un tercio de la población de habla rusa en edad de trabajar y que trabaja dispone de un certificado </w:t>
      </w:r>
      <w:r w:rsidR="001E575E">
        <w:t>de nivel que es válido o puede validarse, lo que debe permitirle aspirar a puestos de trabajo que requieran el nivel de estonio correspondiente</w:t>
      </w:r>
      <w:r w:rsidR="00E93F75" w:rsidRPr="00E93F75">
        <w:t>.</w:t>
      </w:r>
    </w:p>
    <w:p w:rsidR="00E93F75" w:rsidRPr="00E93F75" w:rsidRDefault="007131BF" w:rsidP="00637350">
      <w:pPr>
        <w:pStyle w:val="SingleTxtG"/>
      </w:pPr>
      <w:r w:rsidRPr="00E93F75">
        <w:t>31</w:t>
      </w:r>
      <w:r>
        <w:t>8</w:t>
      </w:r>
      <w:r w:rsidR="00E93F75" w:rsidRPr="00E93F75">
        <w:t>.</w:t>
      </w:r>
      <w:r w:rsidR="001D40C5">
        <w:tab/>
      </w:r>
      <w:r w:rsidR="00113FDF">
        <w:t xml:space="preserve">De acuerdo con el Estudio de Seguimiento de </w:t>
      </w:r>
      <w:smartTag w:uri="urn:schemas-microsoft-com:office:smarttags" w:element="PersonName">
        <w:smartTagPr>
          <w:attr w:name="ProductID" w:val="la Integraci￳n"/>
        </w:smartTagPr>
        <w:r w:rsidR="00113FDF">
          <w:t>la I</w:t>
        </w:r>
        <w:r w:rsidR="001E575E">
          <w:t>ntegración</w:t>
        </w:r>
      </w:smartTag>
      <w:r w:rsidR="001E575E">
        <w:t>, el dominio del estonio ha mejorado en todos los grupos de edad; ha disminuido el número de personas</w:t>
      </w:r>
      <w:r w:rsidR="00FA44C1">
        <w:t xml:space="preserve"> que considera que no domina el</w:t>
      </w:r>
      <w:r w:rsidR="001E575E">
        <w:t xml:space="preserve"> idioma o </w:t>
      </w:r>
      <w:r w:rsidR="00F77C03">
        <w:t>solo</w:t>
      </w:r>
      <w:r w:rsidR="001E575E">
        <w:t xml:space="preserve"> tiene un conocimiento pasivo del mismo</w:t>
      </w:r>
      <w:r w:rsidR="00E93F75" w:rsidRPr="00E93F75">
        <w:t xml:space="preserve">. </w:t>
      </w:r>
      <w:r w:rsidR="001E575E">
        <w:t>Las personas que trabajan y tienen un nivel educativo superior evalúan su dominio del estonio de forma más positiva</w:t>
      </w:r>
      <w:r w:rsidR="00E93F75" w:rsidRPr="00E93F75">
        <w:t xml:space="preserve">. </w:t>
      </w:r>
      <w:r w:rsidR="001E575E">
        <w:t>El nivel de aptitudes lingüísticas de las personas con ciudadanía estonia ha mejorado significativamente de acuerdo con dicha autoevaluación y, en particular, ha disminuido el número de personas que no domina el idioma</w:t>
      </w:r>
      <w:r w:rsidR="00E93F75" w:rsidRPr="00E93F75">
        <w:t xml:space="preserve">. </w:t>
      </w:r>
    </w:p>
    <w:p w:rsidR="00E93F75" w:rsidRPr="00E93F75" w:rsidRDefault="001D40C5" w:rsidP="00637350">
      <w:pPr>
        <w:pStyle w:val="H23G"/>
      </w:pPr>
      <w:r>
        <w:tab/>
      </w:r>
      <w:r>
        <w:tab/>
      </w:r>
      <w:r w:rsidR="003518C3">
        <w:t>Radio y Televisión Nacional de Estonia</w:t>
      </w:r>
    </w:p>
    <w:p w:rsidR="00E93F75" w:rsidRPr="00E93F75" w:rsidRDefault="007131BF" w:rsidP="00637350">
      <w:pPr>
        <w:pStyle w:val="SingleTxtG"/>
      </w:pPr>
      <w:r w:rsidRPr="00E93F75">
        <w:t>31</w:t>
      </w:r>
      <w:r>
        <w:t>9</w:t>
      </w:r>
      <w:r w:rsidR="00E93F75" w:rsidRPr="00E93F75">
        <w:t>.</w:t>
      </w:r>
      <w:r w:rsidR="001D40C5">
        <w:tab/>
      </w:r>
      <w:r w:rsidR="00D633E6">
        <w:t xml:space="preserve">Según el Estudio de Seguimiento de </w:t>
      </w:r>
      <w:smartTag w:uri="urn:schemas-microsoft-com:office:smarttags" w:element="PersonName">
        <w:smartTagPr>
          <w:attr w:name="ProductID" w:val="la Integraci￳n"/>
        </w:smartTagPr>
        <w:r w:rsidR="00D633E6">
          <w:t>la Integración</w:t>
        </w:r>
      </w:smartTag>
      <w:r w:rsidR="00D633E6">
        <w:t xml:space="preserve"> de 2011, en Estonia y en </w:t>
      </w:r>
      <w:smartTag w:uri="urn:schemas-microsoft-com:office:smarttags" w:element="PersonName">
        <w:smartTagPr>
          <w:attr w:name="ProductID" w:val="la Uni￳n Europea"/>
        </w:smartTagPr>
        <w:r w:rsidR="00D633E6">
          <w:t>la Unión Europea</w:t>
        </w:r>
      </w:smartTag>
      <w:r w:rsidR="00D633E6">
        <w:t xml:space="preserve"> ha aumentado el conocimiento de lo que sucede en cada localidad por parte de la población de habla rusa, sobre la base de su propia evaluación</w:t>
      </w:r>
      <w:r w:rsidR="00E93F75" w:rsidRPr="00E93F75">
        <w:t xml:space="preserve">. </w:t>
      </w:r>
      <w:r w:rsidR="00D633E6">
        <w:t xml:space="preserve">De acuerdo con el estudio, el 79% se considera bien informado </w:t>
      </w:r>
      <w:r w:rsidR="00E93F75" w:rsidRPr="00E93F75">
        <w:t>(</w:t>
      </w:r>
      <w:r w:rsidR="00D633E6">
        <w:t>70% en 2008</w:t>
      </w:r>
      <w:r w:rsidR="00E93F75" w:rsidRPr="00E93F75">
        <w:t xml:space="preserve">). </w:t>
      </w:r>
      <w:r w:rsidR="009306CD">
        <w:t xml:space="preserve">En cuanto a </w:t>
      </w:r>
      <w:smartTag w:uri="urn:schemas-microsoft-com:office:smarttags" w:element="PersonName">
        <w:smartTagPr>
          <w:attr w:name="ProductID" w:val="la Uni￳n Europea"/>
        </w:smartTagPr>
        <w:r w:rsidR="009306CD">
          <w:t>la Unión Europea</w:t>
        </w:r>
      </w:smartTag>
      <w:r w:rsidR="009306CD">
        <w:t>, el 58% de las personas se consideran bien informadas, en comparación con el 45% en 2008</w:t>
      </w:r>
      <w:r w:rsidR="00E93F75" w:rsidRPr="00E93F75">
        <w:t>.</w:t>
      </w:r>
    </w:p>
    <w:p w:rsidR="001D40C5" w:rsidRDefault="009C33BF" w:rsidP="00637350">
      <w:pPr>
        <w:pStyle w:val="Heading1"/>
        <w:spacing w:before="240"/>
      </w:pPr>
      <w:r>
        <w:br w:type="page"/>
      </w:r>
      <w:r w:rsidR="00FA44C1">
        <w:t>Cuadro</w:t>
      </w:r>
      <w:r w:rsidR="00E93F75" w:rsidRPr="00E93F75">
        <w:t xml:space="preserve"> 1</w:t>
      </w:r>
      <w:r w:rsidR="00B01700">
        <w:t>6</w:t>
      </w:r>
    </w:p>
    <w:p w:rsidR="00FF717B" w:rsidRPr="00E30F68" w:rsidRDefault="00E93F75" w:rsidP="00637350">
      <w:pPr>
        <w:pStyle w:val="SingleTxtG"/>
        <w:jc w:val="left"/>
        <w:rPr>
          <w:b/>
        </w:rPr>
      </w:pPr>
      <w:r w:rsidRPr="00E30F68">
        <w:rPr>
          <w:b/>
        </w:rPr>
        <w:t>Volume</w:t>
      </w:r>
      <w:r w:rsidR="00FA44C1" w:rsidRPr="00E30F68">
        <w:rPr>
          <w:b/>
        </w:rPr>
        <w:t xml:space="preserve">n de emisiones en ruso y con subtítulos en ruso en los canales ETV y ETV2 </w:t>
      </w:r>
      <w:r w:rsidR="00113FDF" w:rsidRPr="00E30F68">
        <w:rPr>
          <w:b/>
        </w:rPr>
        <w:t>de</w:t>
      </w:r>
      <w:r w:rsidR="00FA44C1" w:rsidRPr="00E30F68">
        <w:rPr>
          <w:b/>
        </w:rPr>
        <w:t xml:space="preserve"> </w:t>
      </w:r>
      <w:smartTag w:uri="urn:schemas-microsoft-com:office:smarttags" w:element="PersonName">
        <w:smartTagPr>
          <w:attr w:name="ProductID" w:val="la Radio"/>
        </w:smartTagPr>
        <w:r w:rsidR="00FA44C1" w:rsidRPr="00E30F68">
          <w:rPr>
            <w:b/>
          </w:rPr>
          <w:t>la Radio</w:t>
        </w:r>
      </w:smartTag>
      <w:r w:rsidR="00FA44C1" w:rsidRPr="00E30F68">
        <w:rPr>
          <w:b/>
        </w:rPr>
        <w:t xml:space="preserve"> y Televisión Nacional de Estonia</w:t>
      </w:r>
      <w:r w:rsidRPr="00E30F68">
        <w:rPr>
          <w:b/>
        </w:rPr>
        <w:t xml:space="preserve"> </w:t>
      </w:r>
      <w:r w:rsidR="00FA44C1" w:rsidRPr="00E30F68">
        <w:rPr>
          <w:b/>
        </w:rPr>
        <w:t>e</w:t>
      </w:r>
      <w:r w:rsidRPr="00E30F68">
        <w:rPr>
          <w:b/>
        </w:rPr>
        <w:t>n 2009</w:t>
      </w:r>
      <w:r w:rsidR="00660903" w:rsidRPr="00E30F68">
        <w:rPr>
          <w:b/>
        </w:rPr>
        <w:t>-</w:t>
      </w:r>
      <w:r w:rsidRPr="00E30F68">
        <w:rPr>
          <w:b/>
        </w:rPr>
        <w:t>2011</w:t>
      </w:r>
    </w:p>
    <w:tbl>
      <w:tblPr>
        <w:tblW w:w="7370" w:type="dxa"/>
        <w:tblInd w:w="1134" w:type="dxa"/>
        <w:tblBorders>
          <w:top w:val="single" w:sz="4" w:space="0" w:color="auto"/>
        </w:tblBorders>
        <w:tblLayout w:type="fixed"/>
        <w:tblCellMar>
          <w:left w:w="0" w:type="dxa"/>
          <w:right w:w="0" w:type="dxa"/>
        </w:tblCellMar>
        <w:tblLook w:val="00A0"/>
      </w:tblPr>
      <w:tblGrid>
        <w:gridCol w:w="3304"/>
        <w:gridCol w:w="1355"/>
        <w:gridCol w:w="1355"/>
        <w:gridCol w:w="1356"/>
      </w:tblGrid>
      <w:tr w:rsidR="009C33BF" w:rsidRPr="001D40C5">
        <w:trPr>
          <w:trHeight w:val="240"/>
          <w:tblHeader/>
        </w:trPr>
        <w:tc>
          <w:tcPr>
            <w:tcW w:w="3304" w:type="dxa"/>
            <w:vMerge w:val="restart"/>
            <w:tcBorders>
              <w:top w:val="single" w:sz="4" w:space="0" w:color="auto"/>
              <w:bottom w:val="single" w:sz="12" w:space="0" w:color="auto"/>
            </w:tcBorders>
            <w:shd w:val="clear" w:color="auto" w:fill="auto"/>
            <w:vAlign w:val="bottom"/>
          </w:tcPr>
          <w:p w:rsidR="009C33BF" w:rsidRPr="001D40C5" w:rsidRDefault="009C33BF" w:rsidP="00854A08">
            <w:pPr>
              <w:autoSpaceDE w:val="0"/>
              <w:autoSpaceDN w:val="0"/>
              <w:adjustRightInd w:val="0"/>
              <w:spacing w:before="80" w:after="80" w:line="200" w:lineRule="exact"/>
              <w:ind w:right="113"/>
              <w:rPr>
                <w:bCs/>
                <w:i/>
                <w:sz w:val="16"/>
                <w:szCs w:val="24"/>
                <w:lang w:eastAsia="et-EE"/>
              </w:rPr>
            </w:pPr>
          </w:p>
        </w:tc>
        <w:tc>
          <w:tcPr>
            <w:tcW w:w="4066" w:type="dxa"/>
            <w:gridSpan w:val="3"/>
            <w:tcBorders>
              <w:top w:val="single" w:sz="4" w:space="0" w:color="auto"/>
              <w:bottom w:val="single" w:sz="4" w:space="0" w:color="auto"/>
            </w:tcBorders>
            <w:shd w:val="clear" w:color="auto" w:fill="auto"/>
            <w:vAlign w:val="bottom"/>
          </w:tcPr>
          <w:p w:rsidR="009C33BF" w:rsidRPr="009C33BF" w:rsidRDefault="009C33BF" w:rsidP="009C33BF">
            <w:pPr>
              <w:autoSpaceDE w:val="0"/>
              <w:autoSpaceDN w:val="0"/>
              <w:adjustRightInd w:val="0"/>
              <w:spacing w:before="80" w:after="80" w:line="200" w:lineRule="exact"/>
              <w:jc w:val="center"/>
              <w:rPr>
                <w:bCs/>
                <w:i/>
                <w:sz w:val="16"/>
                <w:szCs w:val="16"/>
                <w:lang w:eastAsia="et-EE"/>
              </w:rPr>
            </w:pPr>
            <w:r w:rsidRPr="009C33BF">
              <w:rPr>
                <w:bCs/>
                <w:i/>
                <w:noProof/>
                <w:sz w:val="16"/>
                <w:szCs w:val="16"/>
                <w:lang w:eastAsia="et-EE"/>
              </w:rPr>
              <w:t>ETV/ETV2</w:t>
            </w:r>
          </w:p>
        </w:tc>
      </w:tr>
      <w:tr w:rsidR="009C33BF" w:rsidRPr="001D40C5">
        <w:trPr>
          <w:trHeight w:val="240"/>
          <w:tblHeader/>
        </w:trPr>
        <w:tc>
          <w:tcPr>
            <w:tcW w:w="3304" w:type="dxa"/>
            <w:vMerge/>
            <w:tcBorders>
              <w:top w:val="single" w:sz="12" w:space="0" w:color="auto"/>
              <w:bottom w:val="single" w:sz="12" w:space="0" w:color="auto"/>
            </w:tcBorders>
            <w:shd w:val="clear" w:color="auto" w:fill="auto"/>
            <w:vAlign w:val="bottom"/>
          </w:tcPr>
          <w:p w:rsidR="009C33BF" w:rsidRPr="001D40C5" w:rsidRDefault="009C33BF" w:rsidP="00854A08">
            <w:pPr>
              <w:autoSpaceDE w:val="0"/>
              <w:autoSpaceDN w:val="0"/>
              <w:adjustRightInd w:val="0"/>
              <w:spacing w:before="80" w:after="80" w:line="200" w:lineRule="exact"/>
              <w:ind w:right="113"/>
              <w:rPr>
                <w:bCs/>
                <w:sz w:val="18"/>
                <w:szCs w:val="24"/>
                <w:lang w:eastAsia="et-EE"/>
              </w:rPr>
            </w:pPr>
          </w:p>
        </w:tc>
        <w:tc>
          <w:tcPr>
            <w:tcW w:w="1355" w:type="dxa"/>
            <w:tcBorders>
              <w:top w:val="single" w:sz="4" w:space="0" w:color="auto"/>
              <w:bottom w:val="single" w:sz="12" w:space="0" w:color="auto"/>
            </w:tcBorders>
            <w:shd w:val="clear" w:color="auto" w:fill="auto"/>
            <w:vAlign w:val="bottom"/>
          </w:tcPr>
          <w:p w:rsidR="009C33BF" w:rsidRPr="001D40C5" w:rsidRDefault="009C33BF" w:rsidP="009C33BF">
            <w:pPr>
              <w:autoSpaceDE w:val="0"/>
              <w:autoSpaceDN w:val="0"/>
              <w:adjustRightInd w:val="0"/>
              <w:spacing w:before="80" w:after="80" w:line="200" w:lineRule="exact"/>
              <w:jc w:val="right"/>
              <w:rPr>
                <w:bCs/>
                <w:i/>
                <w:sz w:val="16"/>
                <w:szCs w:val="24"/>
                <w:lang w:eastAsia="et-EE"/>
              </w:rPr>
            </w:pPr>
            <w:r w:rsidRPr="001D40C5">
              <w:rPr>
                <w:bCs/>
                <w:i/>
                <w:sz w:val="16"/>
                <w:szCs w:val="24"/>
                <w:lang w:eastAsia="et-EE"/>
              </w:rPr>
              <w:t>2009</w:t>
            </w:r>
          </w:p>
        </w:tc>
        <w:tc>
          <w:tcPr>
            <w:tcW w:w="1355" w:type="dxa"/>
            <w:tcBorders>
              <w:top w:val="single" w:sz="4" w:space="0" w:color="auto"/>
              <w:bottom w:val="single" w:sz="12" w:space="0" w:color="auto"/>
            </w:tcBorders>
            <w:shd w:val="clear" w:color="auto" w:fill="auto"/>
            <w:vAlign w:val="bottom"/>
          </w:tcPr>
          <w:p w:rsidR="009C33BF" w:rsidRPr="001D40C5" w:rsidRDefault="009C33BF" w:rsidP="009C33BF">
            <w:pPr>
              <w:autoSpaceDE w:val="0"/>
              <w:autoSpaceDN w:val="0"/>
              <w:adjustRightInd w:val="0"/>
              <w:spacing w:before="80" w:after="80" w:line="200" w:lineRule="exact"/>
              <w:jc w:val="right"/>
              <w:rPr>
                <w:bCs/>
                <w:i/>
                <w:sz w:val="16"/>
                <w:szCs w:val="24"/>
                <w:lang w:eastAsia="et-EE"/>
              </w:rPr>
            </w:pPr>
            <w:r w:rsidRPr="001D40C5">
              <w:rPr>
                <w:bCs/>
                <w:i/>
                <w:sz w:val="16"/>
                <w:szCs w:val="24"/>
                <w:lang w:eastAsia="et-EE"/>
              </w:rPr>
              <w:t>2010</w:t>
            </w:r>
          </w:p>
        </w:tc>
        <w:tc>
          <w:tcPr>
            <w:tcW w:w="1356" w:type="dxa"/>
            <w:tcBorders>
              <w:top w:val="single" w:sz="4" w:space="0" w:color="auto"/>
              <w:bottom w:val="single" w:sz="12" w:space="0" w:color="auto"/>
            </w:tcBorders>
            <w:shd w:val="clear" w:color="auto" w:fill="auto"/>
            <w:vAlign w:val="bottom"/>
          </w:tcPr>
          <w:p w:rsidR="009C33BF" w:rsidRPr="001D40C5" w:rsidRDefault="009C33BF" w:rsidP="009C33BF">
            <w:pPr>
              <w:autoSpaceDE w:val="0"/>
              <w:autoSpaceDN w:val="0"/>
              <w:adjustRightInd w:val="0"/>
              <w:spacing w:before="80" w:after="80" w:line="200" w:lineRule="exact"/>
              <w:jc w:val="right"/>
              <w:rPr>
                <w:bCs/>
                <w:i/>
                <w:sz w:val="16"/>
                <w:szCs w:val="24"/>
                <w:lang w:eastAsia="et-EE"/>
              </w:rPr>
            </w:pPr>
            <w:r w:rsidRPr="001D40C5">
              <w:rPr>
                <w:bCs/>
                <w:i/>
                <w:sz w:val="16"/>
                <w:szCs w:val="24"/>
                <w:lang w:eastAsia="et-EE"/>
              </w:rPr>
              <w:t>2011</w:t>
            </w:r>
          </w:p>
        </w:tc>
      </w:tr>
      <w:tr w:rsidR="009C33BF" w:rsidRPr="001D40C5">
        <w:trPr>
          <w:trHeight w:val="240"/>
        </w:trPr>
        <w:tc>
          <w:tcPr>
            <w:tcW w:w="3304" w:type="dxa"/>
            <w:tcBorders>
              <w:top w:val="single" w:sz="12" w:space="0" w:color="auto"/>
            </w:tcBorders>
            <w:shd w:val="clear" w:color="auto" w:fill="auto"/>
            <w:vAlign w:val="bottom"/>
          </w:tcPr>
          <w:p w:rsidR="009C33BF" w:rsidRPr="001D40C5" w:rsidRDefault="009C33BF" w:rsidP="00854A08">
            <w:pPr>
              <w:autoSpaceDE w:val="0"/>
              <w:autoSpaceDN w:val="0"/>
              <w:adjustRightInd w:val="0"/>
              <w:spacing w:before="40" w:after="40" w:line="220" w:lineRule="exact"/>
              <w:ind w:right="113"/>
              <w:rPr>
                <w:sz w:val="18"/>
                <w:szCs w:val="24"/>
                <w:lang w:eastAsia="et-EE"/>
              </w:rPr>
            </w:pPr>
            <w:r>
              <w:rPr>
                <w:noProof/>
                <w:sz w:val="18"/>
                <w:szCs w:val="24"/>
                <w:lang w:eastAsia="et-EE"/>
              </w:rPr>
              <w:t>En ruso (ho</w:t>
            </w:r>
            <w:r w:rsidRPr="001D40C5">
              <w:rPr>
                <w:noProof/>
                <w:sz w:val="18"/>
                <w:szCs w:val="24"/>
                <w:lang w:eastAsia="et-EE"/>
              </w:rPr>
              <w:t>r</w:t>
            </w:r>
            <w:r>
              <w:rPr>
                <w:noProof/>
                <w:sz w:val="18"/>
                <w:szCs w:val="24"/>
                <w:lang w:eastAsia="et-EE"/>
              </w:rPr>
              <w:t>a</w:t>
            </w:r>
            <w:r w:rsidRPr="001D40C5">
              <w:rPr>
                <w:noProof/>
                <w:sz w:val="18"/>
                <w:szCs w:val="24"/>
                <w:lang w:eastAsia="et-EE"/>
              </w:rPr>
              <w:t>s)</w:t>
            </w:r>
          </w:p>
        </w:tc>
        <w:tc>
          <w:tcPr>
            <w:tcW w:w="1355" w:type="dxa"/>
            <w:tcBorders>
              <w:top w:val="single" w:sz="12" w:space="0" w:color="auto"/>
            </w:tcBorders>
            <w:shd w:val="clear" w:color="auto" w:fill="auto"/>
            <w:vAlign w:val="bottom"/>
          </w:tcPr>
          <w:p w:rsidR="009C33BF" w:rsidRPr="001D40C5" w:rsidRDefault="009C33BF" w:rsidP="009C33BF">
            <w:pPr>
              <w:autoSpaceDE w:val="0"/>
              <w:autoSpaceDN w:val="0"/>
              <w:adjustRightInd w:val="0"/>
              <w:spacing w:before="40" w:after="40" w:line="220" w:lineRule="exact"/>
              <w:jc w:val="right"/>
              <w:rPr>
                <w:sz w:val="18"/>
                <w:szCs w:val="24"/>
                <w:lang w:eastAsia="et-EE"/>
              </w:rPr>
            </w:pPr>
            <w:r w:rsidRPr="001D40C5">
              <w:rPr>
                <w:sz w:val="18"/>
                <w:szCs w:val="24"/>
                <w:lang w:eastAsia="et-EE"/>
              </w:rPr>
              <w:t>76/455</w:t>
            </w:r>
          </w:p>
        </w:tc>
        <w:tc>
          <w:tcPr>
            <w:tcW w:w="1355" w:type="dxa"/>
            <w:tcBorders>
              <w:top w:val="single" w:sz="12" w:space="0" w:color="auto"/>
            </w:tcBorders>
            <w:shd w:val="clear" w:color="auto" w:fill="auto"/>
            <w:vAlign w:val="bottom"/>
          </w:tcPr>
          <w:p w:rsidR="009C33BF" w:rsidRPr="001D40C5" w:rsidRDefault="009C33BF" w:rsidP="009C33BF">
            <w:pPr>
              <w:autoSpaceDE w:val="0"/>
              <w:autoSpaceDN w:val="0"/>
              <w:adjustRightInd w:val="0"/>
              <w:spacing w:before="40" w:after="40" w:line="220" w:lineRule="exact"/>
              <w:jc w:val="right"/>
              <w:rPr>
                <w:sz w:val="18"/>
                <w:szCs w:val="24"/>
                <w:lang w:eastAsia="et-EE"/>
              </w:rPr>
            </w:pPr>
            <w:r w:rsidRPr="001D40C5">
              <w:rPr>
                <w:sz w:val="18"/>
                <w:szCs w:val="24"/>
                <w:lang w:eastAsia="et-EE"/>
              </w:rPr>
              <w:t>72/477</w:t>
            </w:r>
          </w:p>
        </w:tc>
        <w:tc>
          <w:tcPr>
            <w:tcW w:w="1356" w:type="dxa"/>
            <w:tcBorders>
              <w:top w:val="single" w:sz="12" w:space="0" w:color="auto"/>
            </w:tcBorders>
            <w:shd w:val="clear" w:color="auto" w:fill="auto"/>
            <w:vAlign w:val="bottom"/>
          </w:tcPr>
          <w:p w:rsidR="009C33BF" w:rsidRPr="001D40C5" w:rsidRDefault="009C33BF" w:rsidP="009C33BF">
            <w:pPr>
              <w:autoSpaceDE w:val="0"/>
              <w:autoSpaceDN w:val="0"/>
              <w:adjustRightInd w:val="0"/>
              <w:spacing w:before="40" w:after="40" w:line="220" w:lineRule="exact"/>
              <w:jc w:val="right"/>
              <w:rPr>
                <w:sz w:val="18"/>
                <w:szCs w:val="24"/>
                <w:lang w:eastAsia="et-EE"/>
              </w:rPr>
            </w:pPr>
            <w:r w:rsidRPr="001D40C5">
              <w:rPr>
                <w:sz w:val="18"/>
                <w:szCs w:val="24"/>
                <w:lang w:eastAsia="et-EE"/>
              </w:rPr>
              <w:t>95/463</w:t>
            </w:r>
          </w:p>
        </w:tc>
      </w:tr>
      <w:tr w:rsidR="009C33BF" w:rsidRPr="001D40C5">
        <w:trPr>
          <w:trHeight w:val="240"/>
        </w:trPr>
        <w:tc>
          <w:tcPr>
            <w:tcW w:w="3304" w:type="dxa"/>
            <w:tcBorders>
              <w:bottom w:val="single" w:sz="12" w:space="0" w:color="auto"/>
            </w:tcBorders>
            <w:shd w:val="clear" w:color="auto" w:fill="auto"/>
            <w:vAlign w:val="bottom"/>
          </w:tcPr>
          <w:p w:rsidR="009C33BF" w:rsidRPr="001D40C5" w:rsidRDefault="009C33BF" w:rsidP="00854A08">
            <w:pPr>
              <w:autoSpaceDE w:val="0"/>
              <w:autoSpaceDN w:val="0"/>
              <w:adjustRightInd w:val="0"/>
              <w:spacing w:before="40" w:after="40" w:line="220" w:lineRule="exact"/>
              <w:ind w:right="113"/>
              <w:rPr>
                <w:sz w:val="18"/>
                <w:szCs w:val="24"/>
                <w:lang w:eastAsia="et-EE"/>
              </w:rPr>
            </w:pPr>
            <w:r>
              <w:rPr>
                <w:noProof/>
                <w:sz w:val="18"/>
                <w:szCs w:val="24"/>
                <w:lang w:eastAsia="et-EE"/>
              </w:rPr>
              <w:t>Porcentaje del volumen total de emisione</w:t>
            </w:r>
            <w:r w:rsidRPr="001D40C5">
              <w:rPr>
                <w:noProof/>
                <w:sz w:val="18"/>
                <w:szCs w:val="24"/>
                <w:lang w:eastAsia="et-EE"/>
              </w:rPr>
              <w:t>s</w:t>
            </w:r>
          </w:p>
        </w:tc>
        <w:tc>
          <w:tcPr>
            <w:tcW w:w="1355" w:type="dxa"/>
            <w:tcBorders>
              <w:bottom w:val="single" w:sz="12" w:space="0" w:color="auto"/>
            </w:tcBorders>
            <w:shd w:val="clear" w:color="auto" w:fill="auto"/>
            <w:vAlign w:val="bottom"/>
          </w:tcPr>
          <w:p w:rsidR="009C33BF" w:rsidRPr="001D40C5" w:rsidRDefault="009C33BF" w:rsidP="009C33BF">
            <w:pPr>
              <w:autoSpaceDE w:val="0"/>
              <w:autoSpaceDN w:val="0"/>
              <w:adjustRightInd w:val="0"/>
              <w:spacing w:before="40" w:after="40" w:line="220" w:lineRule="exact"/>
              <w:jc w:val="right"/>
              <w:rPr>
                <w:sz w:val="18"/>
                <w:szCs w:val="24"/>
                <w:lang w:eastAsia="et-EE"/>
              </w:rPr>
            </w:pPr>
            <w:r w:rsidRPr="001D40C5">
              <w:rPr>
                <w:sz w:val="18"/>
                <w:szCs w:val="24"/>
                <w:lang w:eastAsia="et-EE"/>
              </w:rPr>
              <w:t>1</w:t>
            </w:r>
            <w:r>
              <w:rPr>
                <w:sz w:val="18"/>
                <w:szCs w:val="24"/>
                <w:lang w:eastAsia="et-EE"/>
              </w:rPr>
              <w:t>,</w:t>
            </w:r>
            <w:r w:rsidRPr="001D40C5">
              <w:rPr>
                <w:sz w:val="18"/>
                <w:szCs w:val="24"/>
                <w:lang w:eastAsia="et-EE"/>
              </w:rPr>
              <w:t>1/16</w:t>
            </w:r>
            <w:r>
              <w:rPr>
                <w:sz w:val="18"/>
                <w:szCs w:val="24"/>
                <w:lang w:eastAsia="et-EE"/>
              </w:rPr>
              <w:t>,</w:t>
            </w:r>
            <w:r w:rsidRPr="001D40C5">
              <w:rPr>
                <w:sz w:val="18"/>
                <w:szCs w:val="24"/>
                <w:lang w:eastAsia="et-EE"/>
              </w:rPr>
              <w:t>2</w:t>
            </w:r>
          </w:p>
        </w:tc>
        <w:tc>
          <w:tcPr>
            <w:tcW w:w="1355" w:type="dxa"/>
            <w:tcBorders>
              <w:bottom w:val="single" w:sz="12" w:space="0" w:color="auto"/>
            </w:tcBorders>
            <w:shd w:val="clear" w:color="auto" w:fill="auto"/>
            <w:vAlign w:val="bottom"/>
          </w:tcPr>
          <w:p w:rsidR="009C33BF" w:rsidRPr="001D40C5" w:rsidRDefault="009C33BF" w:rsidP="009C33BF">
            <w:pPr>
              <w:autoSpaceDE w:val="0"/>
              <w:autoSpaceDN w:val="0"/>
              <w:adjustRightInd w:val="0"/>
              <w:spacing w:before="40" w:after="40" w:line="220" w:lineRule="exact"/>
              <w:jc w:val="right"/>
              <w:rPr>
                <w:sz w:val="18"/>
                <w:szCs w:val="24"/>
                <w:lang w:eastAsia="et-EE"/>
              </w:rPr>
            </w:pPr>
            <w:r w:rsidRPr="001D40C5">
              <w:rPr>
                <w:sz w:val="18"/>
                <w:szCs w:val="24"/>
                <w:lang w:eastAsia="et-EE"/>
              </w:rPr>
              <w:t>1</w:t>
            </w:r>
            <w:r>
              <w:rPr>
                <w:sz w:val="18"/>
                <w:szCs w:val="24"/>
                <w:lang w:eastAsia="et-EE"/>
              </w:rPr>
              <w:t>,</w:t>
            </w:r>
            <w:r w:rsidRPr="001D40C5">
              <w:rPr>
                <w:sz w:val="18"/>
                <w:szCs w:val="24"/>
                <w:lang w:eastAsia="et-EE"/>
              </w:rPr>
              <w:t>1/11</w:t>
            </w:r>
            <w:r>
              <w:rPr>
                <w:sz w:val="18"/>
                <w:szCs w:val="24"/>
                <w:lang w:eastAsia="et-EE"/>
              </w:rPr>
              <w:t>,</w:t>
            </w:r>
            <w:r w:rsidRPr="001D40C5">
              <w:rPr>
                <w:sz w:val="18"/>
                <w:szCs w:val="24"/>
                <w:lang w:eastAsia="et-EE"/>
              </w:rPr>
              <w:t>5</w:t>
            </w:r>
          </w:p>
        </w:tc>
        <w:tc>
          <w:tcPr>
            <w:tcW w:w="1356" w:type="dxa"/>
            <w:tcBorders>
              <w:bottom w:val="single" w:sz="12" w:space="0" w:color="auto"/>
            </w:tcBorders>
            <w:shd w:val="clear" w:color="auto" w:fill="auto"/>
            <w:vAlign w:val="bottom"/>
          </w:tcPr>
          <w:p w:rsidR="009C33BF" w:rsidRPr="001D40C5" w:rsidRDefault="009C33BF" w:rsidP="009C33BF">
            <w:pPr>
              <w:autoSpaceDE w:val="0"/>
              <w:autoSpaceDN w:val="0"/>
              <w:adjustRightInd w:val="0"/>
              <w:spacing w:before="40" w:after="40" w:line="220" w:lineRule="exact"/>
              <w:jc w:val="right"/>
              <w:rPr>
                <w:sz w:val="18"/>
                <w:szCs w:val="24"/>
                <w:lang w:eastAsia="et-EE"/>
              </w:rPr>
            </w:pPr>
            <w:r w:rsidRPr="001D40C5">
              <w:rPr>
                <w:sz w:val="18"/>
                <w:szCs w:val="24"/>
                <w:lang w:eastAsia="et-EE"/>
              </w:rPr>
              <w:t>1</w:t>
            </w:r>
            <w:r>
              <w:rPr>
                <w:sz w:val="18"/>
                <w:szCs w:val="24"/>
                <w:lang w:eastAsia="et-EE"/>
              </w:rPr>
              <w:t>,</w:t>
            </w:r>
            <w:r w:rsidRPr="001D40C5">
              <w:rPr>
                <w:sz w:val="18"/>
                <w:szCs w:val="24"/>
                <w:lang w:eastAsia="et-EE"/>
              </w:rPr>
              <w:t>4/10</w:t>
            </w:r>
            <w:r>
              <w:rPr>
                <w:sz w:val="18"/>
                <w:szCs w:val="24"/>
                <w:lang w:eastAsia="et-EE"/>
              </w:rPr>
              <w:t>,0</w:t>
            </w:r>
          </w:p>
        </w:tc>
      </w:tr>
    </w:tbl>
    <w:p w:rsidR="00E93F75" w:rsidRPr="00E93F75" w:rsidRDefault="007131BF" w:rsidP="00637350">
      <w:pPr>
        <w:pStyle w:val="SingleTxtG"/>
        <w:spacing w:before="240"/>
      </w:pPr>
      <w:r w:rsidRPr="00E93F75">
        <w:t>3</w:t>
      </w:r>
      <w:r>
        <w:t>20</w:t>
      </w:r>
      <w:r w:rsidR="00E93F75" w:rsidRPr="00E93F75">
        <w:t>.</w:t>
      </w:r>
      <w:r w:rsidR="001D40C5">
        <w:tab/>
      </w:r>
      <w:r w:rsidR="008914A8">
        <w:t xml:space="preserve">De acuerdo con el plan de desarrollo de </w:t>
      </w:r>
      <w:smartTag w:uri="urn:schemas-microsoft-com:office:smarttags" w:element="PersonName">
        <w:smartTagPr>
          <w:attr w:name="ProductID" w:val="la Radio"/>
        </w:smartTagPr>
        <w:r w:rsidR="008914A8">
          <w:t>la Radio</w:t>
        </w:r>
      </w:smartTag>
      <w:r w:rsidR="008914A8">
        <w:t xml:space="preserve"> y Televisión Nacional </w:t>
      </w:r>
      <w:r w:rsidR="00E93F75" w:rsidRPr="00E93F75">
        <w:t xml:space="preserve">(EPB) </w:t>
      </w:r>
      <w:r w:rsidR="008914A8">
        <w:t xml:space="preserve">para </w:t>
      </w:r>
      <w:r w:rsidR="00E93F75" w:rsidRPr="00E93F75">
        <w:t>2010</w:t>
      </w:r>
      <w:r w:rsidR="005466A4">
        <w:t>-</w:t>
      </w:r>
      <w:r w:rsidR="00E93F75" w:rsidRPr="00E93F75">
        <w:t xml:space="preserve">2013, </w:t>
      </w:r>
      <w:r w:rsidR="008914A8">
        <w:t>sus canales de radiodifusión y comunicación a través de Internet apoyan la tolerancia y el entendimiento mutuo entre los grupos sociales de Estonia,</w:t>
      </w:r>
      <w:r w:rsidR="00E93F75" w:rsidRPr="00E93F75">
        <w:t xml:space="preserve"> </w:t>
      </w:r>
      <w:r w:rsidR="008914A8">
        <w:t>y permanecen abiertos al mayor número y diversidad de representantes de la sociedad estonia</w:t>
      </w:r>
      <w:r w:rsidR="00E93F75" w:rsidRPr="00E93F75">
        <w:t xml:space="preserve">. </w:t>
      </w:r>
      <w:r w:rsidR="008914A8">
        <w:t xml:space="preserve">En particular, </w:t>
      </w:r>
      <w:r w:rsidR="00E93F75" w:rsidRPr="00E93F75">
        <w:t xml:space="preserve">EPB </w:t>
      </w:r>
      <w:r w:rsidR="008914A8">
        <w:t>intenta asegurarse de que los distintos grupos de población estén representados en sus canales</w:t>
      </w:r>
      <w:r w:rsidR="00E93F75" w:rsidRPr="00E93F75">
        <w:t xml:space="preserve">: </w:t>
      </w:r>
      <w:r w:rsidR="008914A8">
        <w:t>personas mayores, personas con necesidades especiales, minorías nacionales, congregaciones religiosas, jóvenes y niños</w:t>
      </w:r>
      <w:r w:rsidR="00E93F75" w:rsidRPr="00E93F75">
        <w:t xml:space="preserve">. </w:t>
      </w:r>
      <w:r w:rsidR="008914A8">
        <w:t>A tal fin</w:t>
      </w:r>
      <w:r w:rsidR="00E93F75" w:rsidRPr="00E93F75">
        <w:t>,</w:t>
      </w:r>
      <w:r w:rsidR="008914A8">
        <w:t xml:space="preserve"> los programas de</w:t>
      </w:r>
      <w:r w:rsidR="00E93F75" w:rsidRPr="00E93F75">
        <w:t xml:space="preserve"> EPB </w:t>
      </w:r>
      <w:r w:rsidR="008914A8">
        <w:t>incluyen emisiones donde participan los representantes de los distintos grupos sociales y los líderes de opinión; emisiones religiosas; programas para las personas mayores; y programas para las personas con discapacidad</w:t>
      </w:r>
      <w:r w:rsidR="00E93F75" w:rsidRPr="00E93F75">
        <w:t>.</w:t>
      </w:r>
    </w:p>
    <w:p w:rsidR="00E93F75" w:rsidRPr="00E93F75" w:rsidRDefault="007131BF" w:rsidP="00637350">
      <w:pPr>
        <w:pStyle w:val="SingleTxtG"/>
      </w:pPr>
      <w:r w:rsidRPr="00E93F75">
        <w:t>32</w:t>
      </w:r>
      <w:r>
        <w:t>1</w:t>
      </w:r>
      <w:r w:rsidR="00E93F75" w:rsidRPr="00E93F75">
        <w:t>.</w:t>
      </w:r>
      <w:r w:rsidR="001D40C5">
        <w:tab/>
      </w:r>
      <w:r w:rsidR="003C0F2C">
        <w:t>E</w:t>
      </w:r>
      <w:r w:rsidR="00E93F75" w:rsidRPr="00E93F75">
        <w:t xml:space="preserve">n </w:t>
      </w:r>
      <w:r w:rsidR="003C0F2C">
        <w:t>agosto de 2008 se lanzó</w:t>
      </w:r>
      <w:r w:rsidR="00E93F75" w:rsidRPr="00E93F75">
        <w:t xml:space="preserve"> ETV2</w:t>
      </w:r>
      <w:r w:rsidR="004C7C63">
        <w:t>,</w:t>
      </w:r>
      <w:r w:rsidR="00E93F75" w:rsidRPr="00E93F75">
        <w:t xml:space="preserve"> </w:t>
      </w:r>
      <w:r w:rsidR="003C0F2C">
        <w:t xml:space="preserve">en el marco del programa de </w:t>
      </w:r>
      <w:smartTag w:uri="urn:schemas-microsoft-com:office:smarttags" w:element="PersonName">
        <w:smartTagPr>
          <w:attr w:name="ProductID" w:val="la Radio"/>
        </w:smartTagPr>
        <w:r w:rsidR="003C0F2C">
          <w:t>la Radio</w:t>
        </w:r>
      </w:smartTag>
      <w:r w:rsidR="003C0F2C">
        <w:t xml:space="preserve"> y Televisión Nacional</w:t>
      </w:r>
      <w:r w:rsidR="00E93F75" w:rsidRPr="00E93F75">
        <w:t xml:space="preserve">. </w:t>
      </w:r>
      <w:r w:rsidR="003C0F2C">
        <w:t>El nuevo canal de televisión aumentó la proporció</w:t>
      </w:r>
      <w:r w:rsidR="004C7C63">
        <w:t>n de programas destinado</w:t>
      </w:r>
      <w:r w:rsidR="003C0F2C">
        <w:t xml:space="preserve">s a la población de habla rusa </w:t>
      </w:r>
      <w:r w:rsidR="004C7C63">
        <w:t>y preparado</w:t>
      </w:r>
      <w:r w:rsidR="003C0F2C">
        <w:t>s con su participación, prestando especial atención a lo</w:t>
      </w:r>
      <w:r w:rsidR="004C7C63">
        <w:t>s informativos y a los</w:t>
      </w:r>
      <w:r w:rsidR="003C0F2C">
        <w:t xml:space="preserve"> </w:t>
      </w:r>
      <w:r w:rsidR="004C7C63">
        <w:t xml:space="preserve">programas que abordan </w:t>
      </w:r>
      <w:r w:rsidR="003C0F2C">
        <w:t>cuestiones sociales y políticas</w:t>
      </w:r>
      <w:r w:rsidR="00E93F75" w:rsidRPr="00E93F75">
        <w:t>.</w:t>
      </w:r>
      <w:r w:rsidR="005466A4">
        <w:t xml:space="preserve"> </w:t>
      </w:r>
      <w:r w:rsidR="003C0F2C">
        <w:t>Además, el canal</w:t>
      </w:r>
      <w:r w:rsidR="00E93F75" w:rsidRPr="00E93F75">
        <w:t xml:space="preserve"> ETV </w:t>
      </w:r>
      <w:r w:rsidR="003C0F2C">
        <w:t>incluye programas populares con subtítulos en ruso</w:t>
      </w:r>
      <w:r w:rsidR="00E93F75" w:rsidRPr="00E93F75">
        <w:t>.</w:t>
      </w:r>
    </w:p>
    <w:p w:rsidR="00E93F75" w:rsidRPr="00E93F75" w:rsidRDefault="007131BF" w:rsidP="00637350">
      <w:pPr>
        <w:pStyle w:val="SingleTxtG"/>
      </w:pPr>
      <w:r w:rsidRPr="00E93F75">
        <w:t>32</w:t>
      </w:r>
      <w:r>
        <w:t>2</w:t>
      </w:r>
      <w:r w:rsidR="00E93F75" w:rsidRPr="00E93F75">
        <w:t>.</w:t>
      </w:r>
      <w:r w:rsidR="001D40C5">
        <w:tab/>
      </w:r>
      <w:r w:rsidR="004C7C63">
        <w:t>E</w:t>
      </w:r>
      <w:r w:rsidR="00E93F75" w:rsidRPr="00E93F75">
        <w:t xml:space="preserve">n 2011, ETV2 </w:t>
      </w:r>
      <w:r w:rsidR="004C7C63">
        <w:t>siguió manteniendo y mejorando su imagen como canal de televisión centrado en la programación infantil</w:t>
      </w:r>
      <w:r w:rsidR="00B97C48">
        <w:t xml:space="preserve"> y</w:t>
      </w:r>
      <w:r w:rsidR="00E93F75" w:rsidRPr="00E93F75">
        <w:t xml:space="preserve"> cu</w:t>
      </w:r>
      <w:r w:rsidR="004C7C63">
        <w:t>ltural</w:t>
      </w:r>
      <w:r w:rsidR="00B97C48">
        <w:t xml:space="preserve">, así como la </w:t>
      </w:r>
      <w:r w:rsidR="004C7C63">
        <w:t>destinada a la población de habla rusa</w:t>
      </w:r>
      <w:r w:rsidR="00E93F75" w:rsidRPr="00E93F75">
        <w:t xml:space="preserve">. </w:t>
      </w:r>
      <w:r w:rsidR="004C7C63">
        <w:t>Los objetivos de la</w:t>
      </w:r>
      <w:r w:rsidR="005466A4">
        <w:t xml:space="preserve"> </w:t>
      </w:r>
      <w:r w:rsidR="004C7C63">
        <w:t>programación de ETV2 son los siguientes</w:t>
      </w:r>
      <w:r w:rsidR="00E93F75" w:rsidRPr="00E93F75">
        <w:t xml:space="preserve">: </w:t>
      </w:r>
      <w:r w:rsidR="00B97C48">
        <w:t>ofrecer al menos dos programas semanales de producción propia a los espectadores de habla rusa</w:t>
      </w:r>
      <w:r w:rsidR="00E93F75" w:rsidRPr="00E93F75">
        <w:t>, transfer</w:t>
      </w:r>
      <w:r w:rsidR="00B97C48">
        <w:t>ir la totalidad de la programación infantil a</w:t>
      </w:r>
      <w:r w:rsidR="00E93F75" w:rsidRPr="00E93F75">
        <w:t xml:space="preserve"> ETV2</w:t>
      </w:r>
      <w:r w:rsidR="00B97C48">
        <w:t xml:space="preserve"> y diseñar la programación nocturna de manera que satisfaga las expectativas de los espectad</w:t>
      </w:r>
      <w:r w:rsidR="00E93F75" w:rsidRPr="00E93F75">
        <w:t>or</w:t>
      </w:r>
      <w:r w:rsidR="00B97C48">
        <w:t>e</w:t>
      </w:r>
      <w:r w:rsidR="00E93F75" w:rsidRPr="00E93F75">
        <w:t>s.</w:t>
      </w:r>
    </w:p>
    <w:p w:rsidR="00E93F75" w:rsidRPr="00E93F75" w:rsidRDefault="007131BF" w:rsidP="00637350">
      <w:pPr>
        <w:pStyle w:val="SingleTxtG"/>
      </w:pPr>
      <w:r w:rsidRPr="00E93F75">
        <w:t>32</w:t>
      </w:r>
      <w:r>
        <w:t>3</w:t>
      </w:r>
      <w:r w:rsidR="00E93F75" w:rsidRPr="00E93F75">
        <w:t>.</w:t>
      </w:r>
      <w:r w:rsidR="001D40C5">
        <w:tab/>
      </w:r>
      <w:r w:rsidR="00B97C48">
        <w:t xml:space="preserve">En Estonia, </w:t>
      </w:r>
      <w:r w:rsidR="00E93F75" w:rsidRPr="00E93F75">
        <w:t>e</w:t>
      </w:r>
      <w:r w:rsidR="00B97C48">
        <w:t xml:space="preserve">l idioma de la televisión y la radio </w:t>
      </w:r>
      <w:r w:rsidR="005F388D">
        <w:t>se puede elegir libremente</w:t>
      </w:r>
      <w:r w:rsidR="000976D8">
        <w:t>,</w:t>
      </w:r>
      <w:r w:rsidR="005F388D">
        <w:t xml:space="preserve"> y hay tres programas de televisión y ocho programas de radio en lengua rusa con licencia para operar en el país</w:t>
      </w:r>
      <w:r w:rsidR="00E93F75" w:rsidRPr="00E93F75">
        <w:t xml:space="preserve">. </w:t>
      </w:r>
      <w:r w:rsidR="000976D8">
        <w:t>La legislación garantiza la libertad de recepción y reproducción de los programas de radio y televisió</w:t>
      </w:r>
      <w:r w:rsidR="00E93F75" w:rsidRPr="00E93F75">
        <w:t>n.</w:t>
      </w:r>
      <w:r w:rsidR="000976D8">
        <w:t xml:space="preserve"> No se restringen la recepción ni la transmisión</w:t>
      </w:r>
      <w:r w:rsidR="00E93F75" w:rsidRPr="00E93F75">
        <w:t xml:space="preserve"> </w:t>
      </w:r>
      <w:r w:rsidR="000976D8">
        <w:t>de los programas de radio y televisió</w:t>
      </w:r>
      <w:r w:rsidR="000976D8" w:rsidRPr="00E93F75">
        <w:t xml:space="preserve">n </w:t>
      </w:r>
      <w:r w:rsidR="000976D8">
        <w:t>de otros países</w:t>
      </w:r>
      <w:r w:rsidR="00E93F75" w:rsidRPr="00E93F75">
        <w:t>.</w:t>
      </w:r>
    </w:p>
    <w:p w:rsidR="00E93F75" w:rsidRPr="00E93F75" w:rsidRDefault="001D40C5" w:rsidP="00637350">
      <w:pPr>
        <w:pStyle w:val="H23G"/>
      </w:pPr>
      <w:r>
        <w:tab/>
      </w:r>
      <w:r>
        <w:tab/>
      </w:r>
      <w:r w:rsidR="00B00C89">
        <w:t>Introducció</w:t>
      </w:r>
      <w:r w:rsidR="00E93F75" w:rsidRPr="00E93F75">
        <w:t>n</w:t>
      </w:r>
      <w:r w:rsidR="00B00C89">
        <w:t xml:space="preserve"> de los principios de derechos humanos a través de los medios de comunicación</w:t>
      </w:r>
    </w:p>
    <w:p w:rsidR="00E93F75" w:rsidRPr="00E93F75" w:rsidRDefault="007131BF" w:rsidP="00637350">
      <w:pPr>
        <w:pStyle w:val="SingleTxtG"/>
      </w:pPr>
      <w:r w:rsidRPr="00E93F75">
        <w:t>32</w:t>
      </w:r>
      <w:r>
        <w:t>4</w:t>
      </w:r>
      <w:r w:rsidR="00E93F75" w:rsidRPr="00E93F75">
        <w:t>.</w:t>
      </w:r>
      <w:r w:rsidR="001D40C5">
        <w:tab/>
      </w:r>
      <w:r w:rsidR="00F95AE3">
        <w:t xml:space="preserve">Los principios de derechos humanos se introducen de manera continua en los programas de </w:t>
      </w:r>
      <w:smartTag w:uri="urn:schemas-microsoft-com:office:smarttags" w:element="PersonName">
        <w:smartTagPr>
          <w:attr w:name="ProductID" w:val="la Radio"/>
        </w:smartTagPr>
        <w:r w:rsidR="00F95AE3">
          <w:t>la Radio</w:t>
        </w:r>
      </w:smartTag>
      <w:r w:rsidR="00F95AE3">
        <w:t xml:space="preserve"> y Televisión Nacional </w:t>
      </w:r>
      <w:r w:rsidR="00E93F75" w:rsidRPr="00E93F75">
        <w:t xml:space="preserve">(EPB). </w:t>
      </w:r>
      <w:r w:rsidR="00896A84">
        <w:t>La nueva programación incluye las imágenes y el so</w:t>
      </w:r>
      <w:r w:rsidR="00750194">
        <w:t xml:space="preserve">nido de los informativos </w:t>
      </w:r>
      <w:r w:rsidR="00896A84">
        <w:t>de radio y televisió</w:t>
      </w:r>
      <w:r w:rsidR="00E93F75" w:rsidRPr="00E93F75">
        <w:t>n</w:t>
      </w:r>
      <w:r w:rsidR="00750194">
        <w:t>, así</w:t>
      </w:r>
      <w:r w:rsidR="00E93F75" w:rsidRPr="00E93F75">
        <w:t xml:space="preserve"> </w:t>
      </w:r>
      <w:r w:rsidR="00750194">
        <w:t>como el texto de las noticias que elabora su personal de r</w:t>
      </w:r>
      <w:r w:rsidR="00E93F75" w:rsidRPr="00E93F75">
        <w:t>e</w:t>
      </w:r>
      <w:r w:rsidR="00750194">
        <w:t>dacción</w:t>
      </w:r>
      <w:r w:rsidR="00E93F75" w:rsidRPr="00E93F75">
        <w:t xml:space="preserve">, </w:t>
      </w:r>
      <w:r w:rsidR="00750194">
        <w:t>también en inglés y ruso</w:t>
      </w:r>
      <w:r w:rsidR="00E93F75" w:rsidRPr="00E93F75">
        <w:t>.</w:t>
      </w:r>
    </w:p>
    <w:p w:rsidR="00E93F75" w:rsidRPr="00E93F75" w:rsidRDefault="007131BF" w:rsidP="00637350">
      <w:pPr>
        <w:pStyle w:val="SingleTxtG"/>
      </w:pPr>
      <w:r w:rsidRPr="00E93F75">
        <w:t>32</w:t>
      </w:r>
      <w:r>
        <w:t>5</w:t>
      </w:r>
      <w:r w:rsidR="00E93F75" w:rsidRPr="00E93F75">
        <w:t>.</w:t>
      </w:r>
      <w:r w:rsidR="001D40C5">
        <w:tab/>
      </w:r>
      <w:r w:rsidR="00750194">
        <w:t xml:space="preserve">El canal </w:t>
      </w:r>
      <w:r w:rsidR="00E93F75" w:rsidRPr="00E93F75">
        <w:t xml:space="preserve">ETV </w:t>
      </w:r>
      <w:r w:rsidR="00750194">
        <w:t xml:space="preserve">emite una serie semanal de política exterior </w:t>
      </w:r>
      <w:r w:rsidR="00750194" w:rsidRPr="002B491B">
        <w:rPr>
          <w:i/>
        </w:rPr>
        <w:t>(</w:t>
      </w:r>
      <w:r w:rsidR="002B491B" w:rsidRPr="002B491B">
        <w:rPr>
          <w:i/>
          <w:szCs w:val="24"/>
          <w:lang w:val="es-ES"/>
        </w:rPr>
        <w:t>"</w:t>
      </w:r>
      <w:r w:rsidR="00E93F75" w:rsidRPr="002B491B">
        <w:rPr>
          <w:i/>
        </w:rPr>
        <w:t>Välisilm</w:t>
      </w:r>
      <w:r w:rsidR="002B491B" w:rsidRPr="002B491B">
        <w:rPr>
          <w:i/>
          <w:szCs w:val="24"/>
          <w:lang w:val="es-ES"/>
        </w:rPr>
        <w:t>"</w:t>
      </w:r>
      <w:r w:rsidR="00750194" w:rsidRPr="002B491B">
        <w:rPr>
          <w:i/>
        </w:rPr>
        <w:t>)</w:t>
      </w:r>
      <w:r w:rsidR="00E93F75" w:rsidRPr="00E93F75">
        <w:t xml:space="preserve"> </w:t>
      </w:r>
      <w:r w:rsidR="00750194">
        <w:t xml:space="preserve">y los </w:t>
      </w:r>
      <w:r w:rsidR="00E93F75" w:rsidRPr="00E93F75">
        <w:t>documental</w:t>
      </w:r>
      <w:r w:rsidR="00750194">
        <w:t xml:space="preserve">es </w:t>
      </w:r>
      <w:r w:rsidR="00E93F75" w:rsidRPr="00E93F75">
        <w:t>selec</w:t>
      </w:r>
      <w:r w:rsidR="00750194">
        <w:t>cionados por el personal de redacción de dicha serie</w:t>
      </w:r>
      <w:r w:rsidR="00E93F75" w:rsidRPr="00E93F75">
        <w:t xml:space="preserve">, </w:t>
      </w:r>
      <w:r w:rsidR="00750194">
        <w:t>que abordan la situación relativa a los derechos humanos en países extranjeros y cuestiones relacionadas con la trata de seres humanos</w:t>
      </w:r>
      <w:r w:rsidR="00E93F75" w:rsidRPr="00E93F75">
        <w:t xml:space="preserve">. </w:t>
      </w:r>
      <w:r w:rsidR="00750194">
        <w:t>El tema de los derechos humanos se aborda ta</w:t>
      </w:r>
      <w:r w:rsidR="00E3548C">
        <w:t>mbién a discreción en</w:t>
      </w:r>
      <w:r w:rsidR="00750194">
        <w:t xml:space="preserve"> el debate semanal que lleva por título </w:t>
      </w:r>
      <w:r w:rsidR="002B491B" w:rsidRPr="002B491B">
        <w:rPr>
          <w:i/>
          <w:szCs w:val="24"/>
          <w:lang w:val="es-ES"/>
        </w:rPr>
        <w:t>"</w:t>
      </w:r>
      <w:r w:rsidR="00E93F75" w:rsidRPr="002B491B">
        <w:rPr>
          <w:i/>
        </w:rPr>
        <w:t>Vabariigi kodanikud</w:t>
      </w:r>
      <w:r w:rsidR="002B491B" w:rsidRPr="002B491B">
        <w:rPr>
          <w:i/>
          <w:szCs w:val="24"/>
          <w:lang w:val="es-ES"/>
        </w:rPr>
        <w:t>"</w:t>
      </w:r>
      <w:r w:rsidR="00E93F75" w:rsidRPr="00E93F75">
        <w:t>.</w:t>
      </w:r>
    </w:p>
    <w:p w:rsidR="00E93F75" w:rsidRPr="00E93F75" w:rsidRDefault="007131BF" w:rsidP="00637350">
      <w:pPr>
        <w:pStyle w:val="SingleTxtG"/>
      </w:pPr>
      <w:r w:rsidRPr="00E93F75">
        <w:t>32</w:t>
      </w:r>
      <w:r>
        <w:t>6</w:t>
      </w:r>
      <w:r w:rsidR="00E93F75" w:rsidRPr="00E93F75">
        <w:t>.</w:t>
      </w:r>
      <w:r w:rsidR="001D40C5">
        <w:tab/>
      </w:r>
      <w:r w:rsidR="00E3548C">
        <w:t xml:space="preserve">Desde el otoño de </w:t>
      </w:r>
      <w:r w:rsidR="00E93F75" w:rsidRPr="00E93F75">
        <w:t xml:space="preserve">2009, </w:t>
      </w:r>
      <w:r w:rsidR="00E3548C">
        <w:t>el canal ETV2</w:t>
      </w:r>
      <w:r w:rsidR="00090E6F">
        <w:t xml:space="preserve"> difunde una serie diaria de pequeñas emisiones televisiva</w:t>
      </w:r>
      <w:r w:rsidR="00E3548C">
        <w:t>s de dos minutos de</w:t>
      </w:r>
      <w:r w:rsidR="00E93F75" w:rsidRPr="00E93F75">
        <w:t xml:space="preserve"> </w:t>
      </w:r>
      <w:r w:rsidR="00E3548C">
        <w:t xml:space="preserve">duración denominada </w:t>
      </w:r>
      <w:r w:rsidR="002B491B">
        <w:rPr>
          <w:szCs w:val="24"/>
          <w:lang w:val="es-ES"/>
        </w:rPr>
        <w:t>"</w:t>
      </w:r>
      <w:r w:rsidR="00E93F75" w:rsidRPr="00E93F75">
        <w:t>6</w:t>
      </w:r>
      <w:r w:rsidR="00CC47AE">
        <w:t>.000 mill</w:t>
      </w:r>
      <w:r w:rsidR="00E93F75" w:rsidRPr="00E93F75">
        <w:t>on</w:t>
      </w:r>
      <w:r w:rsidR="00CC47AE">
        <w:t>es</w:t>
      </w:r>
      <w:r w:rsidR="00E93F75" w:rsidRPr="00E93F75">
        <w:t xml:space="preserve"> </w:t>
      </w:r>
      <w:r w:rsidR="00CC47AE">
        <w:t xml:space="preserve">de </w:t>
      </w:r>
      <w:r w:rsidR="00857A14">
        <w:t>extranjero</w:t>
      </w:r>
      <w:r w:rsidR="00E93F75" w:rsidRPr="00E93F75">
        <w:t>s</w:t>
      </w:r>
      <w:r w:rsidR="002B491B">
        <w:rPr>
          <w:szCs w:val="24"/>
          <w:lang w:val="es-ES"/>
        </w:rPr>
        <w:t>"</w:t>
      </w:r>
      <w:r w:rsidR="00E93F75" w:rsidRPr="00E93F75">
        <w:t xml:space="preserve">, </w:t>
      </w:r>
      <w:r w:rsidR="00CC47AE">
        <w:t>que consta de</w:t>
      </w:r>
      <w:r w:rsidR="00E93F75" w:rsidRPr="00E93F75">
        <w:t xml:space="preserve"> 150 </w:t>
      </w:r>
      <w:r w:rsidR="00CC47AE">
        <w:t>fragmentos y se</w:t>
      </w:r>
      <w:r w:rsidR="00090E6F">
        <w:t xml:space="preserve"> emite inmediatamente después del noticiario en lengua rusa. Dichas emisiones están abiertas a p</w:t>
      </w:r>
      <w:r w:rsidR="00E93F75" w:rsidRPr="00E93F75">
        <w:t>e</w:t>
      </w:r>
      <w:r w:rsidR="00090E6F">
        <w:t>rs</w:t>
      </w:r>
      <w:r w:rsidR="00E93F75" w:rsidRPr="00E93F75">
        <w:t>o</w:t>
      </w:r>
      <w:r w:rsidR="00090E6F">
        <w:t>nas de diferentes nacionalidades, razas y sistemas polí</w:t>
      </w:r>
      <w:r w:rsidR="00857A14">
        <w:t>tico</w:t>
      </w:r>
      <w:r w:rsidR="00090E6F">
        <w:t>s</w:t>
      </w:r>
      <w:r w:rsidR="00776CFE">
        <w:t xml:space="preserve"> en todo el mundo</w:t>
      </w:r>
      <w:r w:rsidR="00857A14">
        <w:t>. En los primeros semestres del</w:t>
      </w:r>
      <w:r w:rsidR="00776CFE">
        <w:t xml:space="preserve"> período 2009</w:t>
      </w:r>
      <w:r w:rsidR="00660903">
        <w:t>-</w:t>
      </w:r>
      <w:r w:rsidR="00776CFE">
        <w:t>2012</w:t>
      </w:r>
      <w:r w:rsidR="00857A14">
        <w:t>,</w:t>
      </w:r>
      <w:r w:rsidR="00776CFE">
        <w:t xml:space="preserve"> se emitieron</w:t>
      </w:r>
      <w:r w:rsidR="00E93F75" w:rsidRPr="00E93F75">
        <w:t xml:space="preserve"> 626 </w:t>
      </w:r>
      <w:r w:rsidR="00776CFE">
        <w:t xml:space="preserve">de esos fragmentos </w:t>
      </w:r>
      <w:r w:rsidR="00857A14">
        <w:t xml:space="preserve">durante un total </w:t>
      </w:r>
      <w:r w:rsidR="00776CFE">
        <w:t>de 17,5 ho</w:t>
      </w:r>
      <w:r w:rsidR="00E93F75" w:rsidRPr="00E93F75">
        <w:t>r</w:t>
      </w:r>
      <w:r w:rsidR="00776CFE">
        <w:t>a</w:t>
      </w:r>
      <w:r w:rsidR="00E93F75" w:rsidRPr="00E93F75">
        <w:t>s.</w:t>
      </w:r>
    </w:p>
    <w:p w:rsidR="00E93F75" w:rsidRPr="00E93F75" w:rsidRDefault="007131BF" w:rsidP="00637350">
      <w:pPr>
        <w:pStyle w:val="SingleTxtG"/>
      </w:pPr>
      <w:r w:rsidRPr="00E93F75">
        <w:t>32</w:t>
      </w:r>
      <w:r>
        <w:t>7</w:t>
      </w:r>
      <w:r w:rsidR="00E93F75" w:rsidRPr="00E93F75">
        <w:t>.</w:t>
      </w:r>
      <w:r w:rsidR="001D40C5">
        <w:tab/>
      </w:r>
      <w:r w:rsidR="009913C4">
        <w:t xml:space="preserve">El canal </w:t>
      </w:r>
      <w:r w:rsidR="00857A14">
        <w:t>de radio</w:t>
      </w:r>
      <w:r w:rsidR="00E93F75" w:rsidRPr="00E93F75">
        <w:t xml:space="preserve"> </w:t>
      </w:r>
      <w:r w:rsidR="00E93F75" w:rsidRPr="00E93F75">
        <w:rPr>
          <w:i/>
          <w:iCs/>
        </w:rPr>
        <w:t>Vikerraadio</w:t>
      </w:r>
      <w:r w:rsidR="00E93F75" w:rsidRPr="00E93F75">
        <w:t xml:space="preserve">, </w:t>
      </w:r>
      <w:r w:rsidR="009913C4">
        <w:t xml:space="preserve">que es la emisora </w:t>
      </w:r>
      <w:r w:rsidR="00E93F75" w:rsidRPr="00E93F75">
        <w:t>c</w:t>
      </w:r>
      <w:r w:rsidR="00857A14">
        <w:t xml:space="preserve">on los mayores índices de audiencia en </w:t>
      </w:r>
      <w:r w:rsidR="00E93F75" w:rsidRPr="00E93F75">
        <w:t xml:space="preserve">Estonia </w:t>
      </w:r>
      <w:r w:rsidR="00857A14">
        <w:t>según las encuestas (340.000 oyentes semanales en promedio), emite un programa semanal de una ho</w:t>
      </w:r>
      <w:r w:rsidR="00E93F75" w:rsidRPr="00E93F75">
        <w:t>r</w:t>
      </w:r>
      <w:r w:rsidR="00857A14">
        <w:t>a de duración sobre política exterior</w:t>
      </w:r>
      <w:r w:rsidR="00E93F75" w:rsidRPr="00E93F75">
        <w:t xml:space="preserve"> </w:t>
      </w:r>
      <w:r w:rsidR="00E93F75" w:rsidRPr="002B491B">
        <w:rPr>
          <w:i/>
        </w:rPr>
        <w:t>(</w:t>
      </w:r>
      <w:r w:rsidR="002B491B" w:rsidRPr="002B491B">
        <w:rPr>
          <w:i/>
          <w:szCs w:val="24"/>
          <w:lang w:val="es-ES"/>
        </w:rPr>
        <w:t>"</w:t>
      </w:r>
      <w:r w:rsidR="00E93F75" w:rsidRPr="002B491B">
        <w:rPr>
          <w:i/>
          <w:iCs/>
        </w:rPr>
        <w:t>Uudis+</w:t>
      </w:r>
      <w:r w:rsidR="002B491B" w:rsidRPr="002B491B">
        <w:rPr>
          <w:i/>
          <w:szCs w:val="24"/>
          <w:lang w:val="es-ES"/>
        </w:rPr>
        <w:t>"</w:t>
      </w:r>
      <w:r w:rsidR="009913C4" w:rsidRPr="002B491B">
        <w:rPr>
          <w:i/>
        </w:rPr>
        <w:t>)</w:t>
      </w:r>
      <w:r w:rsidR="009913C4">
        <w:t xml:space="preserve"> en el </w:t>
      </w:r>
      <w:r w:rsidR="00857A14">
        <w:t xml:space="preserve">que </w:t>
      </w:r>
      <w:r w:rsidR="009913C4">
        <w:t xml:space="preserve">se </w:t>
      </w:r>
      <w:r w:rsidR="00857A14">
        <w:t xml:space="preserve">aborda el tema de </w:t>
      </w:r>
      <w:r w:rsidR="00A91562">
        <w:t>los derechos</w:t>
      </w:r>
      <w:r w:rsidR="00E93F75" w:rsidRPr="00E93F75">
        <w:t xml:space="preserve"> human</w:t>
      </w:r>
      <w:r w:rsidR="009913C4">
        <w:t>os, entre otra</w:t>
      </w:r>
      <w:r w:rsidR="00A91562">
        <w:t>s</w:t>
      </w:r>
      <w:r w:rsidR="009913C4">
        <w:t xml:space="preserve"> cuestiones</w:t>
      </w:r>
      <w:r w:rsidR="00E93F75" w:rsidRPr="00E93F75">
        <w:t>.</w:t>
      </w:r>
    </w:p>
    <w:p w:rsidR="00E93F75" w:rsidRPr="00E93F75" w:rsidRDefault="007131BF" w:rsidP="00637350">
      <w:pPr>
        <w:pStyle w:val="SingleTxtG"/>
      </w:pPr>
      <w:r w:rsidRPr="00E93F75">
        <w:t>32</w:t>
      </w:r>
      <w:r>
        <w:t>8</w:t>
      </w:r>
      <w:r w:rsidR="00E93F75" w:rsidRPr="00E93F75">
        <w:t>.</w:t>
      </w:r>
      <w:r w:rsidR="001D40C5">
        <w:tab/>
      </w:r>
      <w:r w:rsidR="009913C4">
        <w:t>En la emisora R</w:t>
      </w:r>
      <w:r w:rsidR="00E93F75" w:rsidRPr="00E93F75">
        <w:t xml:space="preserve">adio 4 </w:t>
      </w:r>
      <w:r w:rsidR="009913C4">
        <w:t>se abordan temas internac</w:t>
      </w:r>
      <w:r w:rsidR="00E93F75" w:rsidRPr="00E93F75">
        <w:t>ional</w:t>
      </w:r>
      <w:r w:rsidR="009913C4">
        <w:t>es, incluidos los derechos h</w:t>
      </w:r>
      <w:r w:rsidR="00E93F75" w:rsidRPr="00E93F75">
        <w:t>uman</w:t>
      </w:r>
      <w:r w:rsidR="009913C4">
        <w:t>os</w:t>
      </w:r>
      <w:r w:rsidR="00E93F75" w:rsidRPr="00E93F75">
        <w:t xml:space="preserve"> </w:t>
      </w:r>
      <w:r w:rsidR="009913C4">
        <w:t>(emisiones</w:t>
      </w:r>
      <w:r w:rsidR="00E93F75" w:rsidRPr="00E93F75">
        <w:t xml:space="preserve"> </w:t>
      </w:r>
      <w:r w:rsidR="002B491B" w:rsidRPr="002B491B">
        <w:rPr>
          <w:i/>
          <w:szCs w:val="24"/>
          <w:lang w:val="es-ES"/>
        </w:rPr>
        <w:t>"</w:t>
      </w:r>
      <w:r w:rsidR="00E93F75" w:rsidRPr="002B491B">
        <w:rPr>
          <w:i/>
          <w:iCs/>
        </w:rPr>
        <w:t>Keerdkäigud</w:t>
      </w:r>
      <w:r w:rsidR="002B491B" w:rsidRPr="002B491B">
        <w:rPr>
          <w:i/>
          <w:szCs w:val="24"/>
          <w:lang w:val="es-ES"/>
        </w:rPr>
        <w:t>"</w:t>
      </w:r>
      <w:r w:rsidR="00E93F75" w:rsidRPr="00477578">
        <w:rPr>
          <w:iCs/>
        </w:rPr>
        <w:t xml:space="preserve">, </w:t>
      </w:r>
      <w:r w:rsidR="002B491B" w:rsidRPr="002B491B">
        <w:rPr>
          <w:i/>
          <w:szCs w:val="24"/>
          <w:lang w:val="es-ES"/>
        </w:rPr>
        <w:t>"</w:t>
      </w:r>
      <w:r w:rsidR="00E93F75" w:rsidRPr="002B491B">
        <w:rPr>
          <w:i/>
          <w:iCs/>
        </w:rPr>
        <w:t>Vaatleja</w:t>
      </w:r>
      <w:r w:rsidR="002B491B" w:rsidRPr="002B491B">
        <w:rPr>
          <w:i/>
          <w:szCs w:val="24"/>
          <w:lang w:val="es-ES"/>
        </w:rPr>
        <w:t>"</w:t>
      </w:r>
      <w:r w:rsidR="00E93F75" w:rsidRPr="00477578">
        <w:rPr>
          <w:iCs/>
        </w:rPr>
        <w:t xml:space="preserve">, </w:t>
      </w:r>
      <w:r w:rsidR="002B491B" w:rsidRPr="002B491B">
        <w:rPr>
          <w:i/>
          <w:szCs w:val="24"/>
          <w:lang w:val="es-ES"/>
        </w:rPr>
        <w:t>"</w:t>
      </w:r>
      <w:r w:rsidR="00E93F75" w:rsidRPr="002B491B">
        <w:rPr>
          <w:i/>
          <w:iCs/>
        </w:rPr>
        <w:t>Euroopa täna</w:t>
      </w:r>
      <w:r w:rsidR="002B491B" w:rsidRPr="002B491B">
        <w:rPr>
          <w:i/>
          <w:szCs w:val="24"/>
          <w:lang w:val="es-ES"/>
        </w:rPr>
        <w:t>"</w:t>
      </w:r>
      <w:r w:rsidR="009913C4">
        <w:t>), y se ofrecen reportajes en las emisiones</w:t>
      </w:r>
      <w:r w:rsidR="00E93F75" w:rsidRPr="006C745B">
        <w:rPr>
          <w:bCs/>
        </w:rPr>
        <w:t xml:space="preserve"> </w:t>
      </w:r>
      <w:r w:rsidR="002B491B" w:rsidRPr="002B491B">
        <w:rPr>
          <w:i/>
          <w:szCs w:val="24"/>
          <w:lang w:val="es-ES"/>
        </w:rPr>
        <w:t>"</w:t>
      </w:r>
      <w:r w:rsidR="00E93F75" w:rsidRPr="002B491B">
        <w:rPr>
          <w:i/>
          <w:iCs/>
        </w:rPr>
        <w:t>Tipptund</w:t>
      </w:r>
      <w:r w:rsidR="002B491B" w:rsidRPr="002B491B">
        <w:rPr>
          <w:i/>
          <w:szCs w:val="24"/>
          <w:lang w:val="es-ES"/>
        </w:rPr>
        <w:t>"</w:t>
      </w:r>
      <w:r w:rsidR="00E93F75" w:rsidRPr="002B491B">
        <w:rPr>
          <w:iCs/>
        </w:rPr>
        <w:t xml:space="preserve">, </w:t>
      </w:r>
      <w:r w:rsidR="002B491B" w:rsidRPr="002B491B">
        <w:rPr>
          <w:i/>
          <w:szCs w:val="24"/>
          <w:lang w:val="es-ES"/>
        </w:rPr>
        <w:t>"</w:t>
      </w:r>
      <w:r w:rsidR="00E93F75" w:rsidRPr="002B491B">
        <w:rPr>
          <w:i/>
          <w:iCs/>
        </w:rPr>
        <w:t>Meridiaan</w:t>
      </w:r>
      <w:r w:rsidR="002B491B" w:rsidRPr="002B491B">
        <w:rPr>
          <w:i/>
          <w:szCs w:val="24"/>
          <w:lang w:val="es-ES"/>
        </w:rPr>
        <w:t>"</w:t>
      </w:r>
      <w:r w:rsidR="00E93F75" w:rsidRPr="00E93F75">
        <w:rPr>
          <w:i/>
          <w:iCs/>
        </w:rPr>
        <w:t xml:space="preserve"> </w:t>
      </w:r>
      <w:r w:rsidR="009913C4">
        <w:t>o</w:t>
      </w:r>
      <w:r w:rsidR="00E93F75" w:rsidRPr="00E93F75">
        <w:rPr>
          <w:i/>
          <w:iCs/>
        </w:rPr>
        <w:t xml:space="preserve"> </w:t>
      </w:r>
      <w:r w:rsidR="002B491B" w:rsidRPr="002B491B">
        <w:rPr>
          <w:i/>
          <w:szCs w:val="24"/>
          <w:lang w:val="es-ES"/>
        </w:rPr>
        <w:t>"</w:t>
      </w:r>
      <w:r w:rsidR="00E93F75" w:rsidRPr="002B491B">
        <w:rPr>
          <w:i/>
          <w:iCs/>
        </w:rPr>
        <w:t>Päevakaja</w:t>
      </w:r>
      <w:r w:rsidR="002B491B" w:rsidRPr="002B491B">
        <w:rPr>
          <w:i/>
          <w:szCs w:val="24"/>
          <w:lang w:val="es-ES"/>
        </w:rPr>
        <w:t>"</w:t>
      </w:r>
      <w:r w:rsidR="00E93F75" w:rsidRPr="00E93F75">
        <w:t xml:space="preserve">. </w:t>
      </w:r>
      <w:r w:rsidR="009913C4">
        <w:t>El tema de la igualdad de trato se aborda e</w:t>
      </w:r>
      <w:r w:rsidR="008739BE">
        <w:t>n varia</w:t>
      </w:r>
      <w:r w:rsidR="009913C4">
        <w:t xml:space="preserve">s emisiones de debate, </w:t>
      </w:r>
      <w:r w:rsidR="008739BE">
        <w:t xml:space="preserve">y a ese respecto cabe tener especialmente en cuenta </w:t>
      </w:r>
      <w:r w:rsidR="007450AF">
        <w:t>que Radio 4 e</w:t>
      </w:r>
      <w:r w:rsidR="00E93F75" w:rsidRPr="00E93F75">
        <w:t xml:space="preserve">s </w:t>
      </w:r>
      <w:r w:rsidR="007450AF">
        <w:t xml:space="preserve">una emisora de radio extranjera </w:t>
      </w:r>
      <w:r w:rsidR="00E93F75" w:rsidRPr="00E93F75">
        <w:t>(</w:t>
      </w:r>
      <w:r w:rsidR="007450AF">
        <w:t>lengua rusa)</w:t>
      </w:r>
      <w:r w:rsidR="00E93F75" w:rsidRPr="00E93F75">
        <w:t>.</w:t>
      </w:r>
    </w:p>
    <w:p w:rsidR="00E93F75" w:rsidRPr="00E93F75" w:rsidRDefault="007131BF" w:rsidP="00637350">
      <w:pPr>
        <w:pStyle w:val="SingleTxtG"/>
      </w:pPr>
      <w:r w:rsidRPr="00E93F75">
        <w:t>32</w:t>
      </w:r>
      <w:r>
        <w:t>9</w:t>
      </w:r>
      <w:r w:rsidR="00E93F75" w:rsidRPr="00E93F75">
        <w:t>.</w:t>
      </w:r>
      <w:r w:rsidR="001D40C5">
        <w:tab/>
      </w:r>
      <w:r w:rsidR="00157301">
        <w:t xml:space="preserve">Con el fin de lograr un ámbito informativo común e informar mejor a la población, cada año </w:t>
      </w:r>
      <w:smartTag w:uri="urn:schemas-microsoft-com:office:smarttags" w:element="PersonName">
        <w:smartTagPr>
          <w:attr w:name="ProductID" w:val="la Fundaci￳n MISA"/>
        </w:smartTagPr>
        <w:r w:rsidR="00EF0449">
          <w:t xml:space="preserve">la Fundación </w:t>
        </w:r>
        <w:r w:rsidR="00157301">
          <w:t>MISA</w:t>
        </w:r>
      </w:smartTag>
      <w:r w:rsidR="00157301">
        <w:t xml:space="preserve"> produce emisiones de televisión y radio y publicaciones</w:t>
      </w:r>
      <w:r w:rsidR="00EF0449">
        <w:t xml:space="preserve"> en los medios impresos que abo</w:t>
      </w:r>
      <w:r w:rsidR="00157301">
        <w:t>rdan el tema de la integración</w:t>
      </w:r>
      <w:r w:rsidR="00E93F75" w:rsidRPr="00E93F75">
        <w:t xml:space="preserve">. </w:t>
      </w:r>
      <w:r w:rsidR="00D92DA6">
        <w:t xml:space="preserve">Por otra parte, </w:t>
      </w:r>
      <w:r w:rsidR="00E93F75" w:rsidRPr="00E93F75">
        <w:t>MISA a</w:t>
      </w:r>
      <w:r w:rsidR="00D92DA6">
        <w:t>poya los proyectos en Internet</w:t>
      </w:r>
      <w:r w:rsidR="00E93F75" w:rsidRPr="00E93F75">
        <w:t xml:space="preserve"> </w:t>
      </w:r>
      <w:r w:rsidR="00D92DA6">
        <w:t>destinados a aumentar la información disponible para la sociedad e</w:t>
      </w:r>
      <w:r w:rsidR="00E93F75" w:rsidRPr="00E93F75">
        <w:t>stonia</w:t>
      </w:r>
      <w:r w:rsidR="00D92DA6">
        <w:t xml:space="preserve"> </w:t>
      </w:r>
      <w:r w:rsidR="00DF6F24">
        <w:t>y su</w:t>
      </w:r>
      <w:r w:rsidR="00D92DA6">
        <w:t>s posibilidad</w:t>
      </w:r>
      <w:r w:rsidR="00E93F75" w:rsidRPr="00E93F75">
        <w:t xml:space="preserve">es </w:t>
      </w:r>
      <w:r w:rsidR="00D92DA6">
        <w:t>de participación activa</w:t>
      </w:r>
      <w:r w:rsidR="00E93F75" w:rsidRPr="00E93F75">
        <w:t>.</w:t>
      </w:r>
      <w:r w:rsidR="00DF6F24">
        <w:t xml:space="preserve"> Se han concedido ayudas a proyectos destinados a sensibilizar en mayor medida</w:t>
      </w:r>
      <w:r w:rsidR="00E93F75" w:rsidRPr="00E93F75">
        <w:t xml:space="preserve"> </w:t>
      </w:r>
      <w:r w:rsidR="00DF6F24">
        <w:t xml:space="preserve">sobre </w:t>
      </w:r>
      <w:smartTag w:uri="urn:schemas-microsoft-com:office:smarttags" w:element="PersonName">
        <w:smartTagPr>
          <w:attr w:name="ProductID" w:val="La Ley"/>
        </w:smartTagPr>
        <w:r w:rsidR="00DF6F24">
          <w:t>la Ley</w:t>
        </w:r>
      </w:smartTag>
      <w:r w:rsidR="00DF6F24">
        <w:t xml:space="preserve"> de igualdad de trato a las asociaciones de profesionales</w:t>
      </w:r>
      <w:r w:rsidR="00E93F75" w:rsidRPr="00E93F75">
        <w:t xml:space="preserve">, </w:t>
      </w:r>
      <w:r w:rsidR="00DF6F24">
        <w:t>las organizaciones de representación de empleados y empleadores, las organizaciones de representación de las minorías, y el público en general. E</w:t>
      </w:r>
      <w:r w:rsidR="004275CB">
        <w:t>n 2009-</w:t>
      </w:r>
      <w:r w:rsidR="00E93F75" w:rsidRPr="00E93F75">
        <w:t xml:space="preserve">2012, MISA </w:t>
      </w:r>
      <w:r w:rsidR="00DF6F24">
        <w:t>asignó un total de 875.926,</w:t>
      </w:r>
      <w:r w:rsidR="00E93F75" w:rsidRPr="00E93F75">
        <w:t xml:space="preserve">56 </w:t>
      </w:r>
      <w:r w:rsidR="00DF6F24">
        <w:t>euros a</w:t>
      </w:r>
      <w:r w:rsidR="00E93F75" w:rsidRPr="00E93F75">
        <w:t xml:space="preserve"> 27</w:t>
      </w:r>
      <w:r w:rsidR="00DF6F24">
        <w:t xml:space="preserve"> proyectos</w:t>
      </w:r>
      <w:r w:rsidR="002D3627">
        <w:t xml:space="preserve"> de los medios de comunicación diseñados</w:t>
      </w:r>
      <w:r w:rsidR="00DF6F24">
        <w:t xml:space="preserve"> para desarrollar un entorno informativo</w:t>
      </w:r>
      <w:r w:rsidR="002D3627">
        <w:t xml:space="preserve"> </w:t>
      </w:r>
      <w:r w:rsidR="00DF6F24">
        <w:t>común</w:t>
      </w:r>
      <w:r w:rsidR="00E93F75" w:rsidRPr="00E93F75">
        <w:t>.</w:t>
      </w:r>
    </w:p>
    <w:p w:rsidR="00E93F75" w:rsidRDefault="007131BF" w:rsidP="00637350">
      <w:pPr>
        <w:pStyle w:val="SingleTxtG"/>
      </w:pPr>
      <w:r w:rsidRPr="00E93F75">
        <w:t>3</w:t>
      </w:r>
      <w:r>
        <w:t>30</w:t>
      </w:r>
      <w:r w:rsidR="00E93F75" w:rsidRPr="00E93F75">
        <w:t>.</w:t>
      </w:r>
      <w:r w:rsidR="001D40C5">
        <w:tab/>
      </w:r>
      <w:r w:rsidR="002D3627">
        <w:t>E</w:t>
      </w:r>
      <w:r w:rsidR="00E93F75" w:rsidRPr="00E93F75">
        <w:t>n 2011</w:t>
      </w:r>
      <w:r w:rsidR="00660903">
        <w:t>-</w:t>
      </w:r>
      <w:r w:rsidR="00E93F75" w:rsidRPr="00E93F75">
        <w:t xml:space="preserve">2012, </w:t>
      </w:r>
      <w:r w:rsidR="002D3627">
        <w:t xml:space="preserve">la oficina de </w:t>
      </w:r>
      <w:smartTag w:uri="urn:schemas-microsoft-com:office:smarttags" w:element="PersonName">
        <w:smartTagPr>
          <w:attr w:name="ProductID" w:val="la OIM"/>
        </w:smartTagPr>
        <w:r w:rsidR="002D3627">
          <w:t xml:space="preserve">la </w:t>
        </w:r>
        <w:r w:rsidR="001D2B22">
          <w:rPr>
            <w:szCs w:val="24"/>
            <w:lang w:val="es-ES"/>
          </w:rPr>
          <w:t>OIM</w:t>
        </w:r>
      </w:smartTag>
      <w:r w:rsidR="002D3627">
        <w:t xml:space="preserve"> en Tallin</w:t>
      </w:r>
      <w:r w:rsidR="00E93F75" w:rsidRPr="00E93F75">
        <w:t xml:space="preserve"> </w:t>
      </w:r>
      <w:r w:rsidR="002D3627">
        <w:t xml:space="preserve">puso en marcha el proyecto </w:t>
      </w:r>
      <w:r w:rsidR="004275CB" w:rsidRPr="004275CB">
        <w:rPr>
          <w:i/>
        </w:rPr>
        <w:t>"</w:t>
      </w:r>
      <w:r w:rsidR="00E93F75" w:rsidRPr="004275CB">
        <w:rPr>
          <w:i/>
        </w:rPr>
        <w:t>Parem</w:t>
      </w:r>
      <w:r w:rsidR="004275CB" w:rsidRPr="004275CB">
        <w:rPr>
          <w:i/>
        </w:rPr>
        <w:t>"</w:t>
      </w:r>
      <w:r w:rsidR="001D40C5">
        <w:rPr>
          <w:rStyle w:val="FootnoteReference"/>
        </w:rPr>
        <w:footnoteReference w:id="51"/>
      </w:r>
      <w:r w:rsidR="00E93F75" w:rsidRPr="00E93F75">
        <w:t xml:space="preserve"> </w:t>
      </w:r>
      <w:r w:rsidR="002D3627">
        <w:t>con el fin de sensibilizar en mayor medida sobre las cuestiones relacionadas con el asilo y la migración</w:t>
      </w:r>
      <w:r w:rsidR="00E93F75" w:rsidRPr="00E93F75">
        <w:t xml:space="preserve">. </w:t>
      </w:r>
      <w:r w:rsidR="002D3627">
        <w:t>El objetivo principal del proyecto e</w:t>
      </w:r>
      <w:r w:rsidR="00E93F75" w:rsidRPr="00E93F75">
        <w:t xml:space="preserve">s </w:t>
      </w:r>
      <w:r w:rsidR="002D3627">
        <w:t>aumentar los conocimientos generales sobre la terminología pertinente y apoyar la tolerancia hacia los refugiados y migrantes en general</w:t>
      </w:r>
      <w:r w:rsidR="00E93F75" w:rsidRPr="00E93F75">
        <w:t xml:space="preserve">. </w:t>
      </w:r>
      <w:r w:rsidR="002D3627">
        <w:t>El tema del proyecto se abarca en la prensa escrita, la radio, la televisión e Internet</w:t>
      </w:r>
      <w:r w:rsidR="008B43D1" w:rsidRPr="00E93F75">
        <w:t>;</w:t>
      </w:r>
      <w:r w:rsidR="005466A4">
        <w:t xml:space="preserve"> </w:t>
      </w:r>
      <w:r w:rsidR="008A6447">
        <w:t>también se organizan cursos de formación para periodistas</w:t>
      </w:r>
      <w:r w:rsidR="00E93F75" w:rsidRPr="00E93F75">
        <w:t>.</w:t>
      </w:r>
    </w:p>
    <w:p w:rsidR="001D40C5" w:rsidRPr="001D40C5" w:rsidRDefault="001D40C5" w:rsidP="00637350">
      <w:pPr>
        <w:pStyle w:val="SingleTxtG"/>
        <w:spacing w:before="240" w:after="0"/>
        <w:jc w:val="center"/>
        <w:rPr>
          <w:u w:val="single"/>
        </w:rPr>
      </w:pPr>
      <w:r>
        <w:rPr>
          <w:u w:val="single"/>
        </w:rPr>
        <w:tab/>
      </w:r>
      <w:r>
        <w:rPr>
          <w:u w:val="single"/>
        </w:rPr>
        <w:tab/>
      </w:r>
      <w:r>
        <w:rPr>
          <w:u w:val="single"/>
        </w:rPr>
        <w:tab/>
      </w:r>
    </w:p>
    <w:sectPr w:rsidR="001D40C5" w:rsidRPr="001D40C5" w:rsidSect="005D2F6A">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1C" w:rsidRDefault="0038251C"/>
  </w:endnote>
  <w:endnote w:type="continuationSeparator" w:id="0">
    <w:p w:rsidR="0038251C" w:rsidRDefault="0038251C"/>
  </w:endnote>
  <w:endnote w:type="continuationNotice" w:id="1">
    <w:p w:rsidR="0038251C" w:rsidRDefault="003825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0" w:rsidRPr="003B110F" w:rsidRDefault="000804D0" w:rsidP="005D2F6A">
    <w:pPr>
      <w:pStyle w:val="Footer"/>
      <w:tabs>
        <w:tab w:val="right" w:pos="9638"/>
      </w:tabs>
      <w:rPr>
        <w:sz w:val="12"/>
      </w:rPr>
    </w:pPr>
    <w:r w:rsidRPr="005D2F6A">
      <w:rPr>
        <w:b/>
        <w:sz w:val="18"/>
      </w:rPr>
      <w:fldChar w:fldCharType="begin"/>
    </w:r>
    <w:r w:rsidRPr="005D2F6A">
      <w:rPr>
        <w:b/>
        <w:sz w:val="18"/>
      </w:rPr>
      <w:instrText xml:space="preserve"> </w:instrText>
    </w:r>
    <w:r>
      <w:rPr>
        <w:b/>
        <w:sz w:val="18"/>
      </w:rPr>
      <w:instrText>PAGE</w:instrText>
    </w:r>
    <w:r w:rsidRPr="005D2F6A">
      <w:rPr>
        <w:b/>
        <w:sz w:val="18"/>
      </w:rPr>
      <w:instrText xml:space="preserve">  \* MERGEFORMAT </w:instrText>
    </w:r>
    <w:r w:rsidRPr="005D2F6A">
      <w:rPr>
        <w:b/>
        <w:sz w:val="18"/>
      </w:rPr>
      <w:fldChar w:fldCharType="separate"/>
    </w:r>
    <w:r w:rsidR="00AB0290">
      <w:rPr>
        <w:b/>
        <w:noProof/>
        <w:sz w:val="18"/>
      </w:rPr>
      <w:t>60</w:t>
    </w:r>
    <w:r w:rsidRPr="005D2F6A">
      <w:rPr>
        <w:b/>
        <w:sz w:val="18"/>
      </w:rPr>
      <w:fldChar w:fldCharType="end"/>
    </w:r>
    <w:r>
      <w:rPr>
        <w:sz w:val="18"/>
      </w:rPr>
      <w:tab/>
    </w:r>
    <w:r w:rsidRPr="003B110F">
      <w:t>GE.13-43905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0" w:rsidRPr="005D2F6A" w:rsidRDefault="000804D0" w:rsidP="005D2F6A">
    <w:pPr>
      <w:pStyle w:val="Footer"/>
      <w:tabs>
        <w:tab w:val="right" w:pos="9638"/>
      </w:tabs>
      <w:rPr>
        <w:b/>
        <w:sz w:val="18"/>
      </w:rPr>
    </w:pPr>
    <w:r w:rsidRPr="003B110F">
      <w:t>GE.13-43905  (EXT)</w:t>
    </w:r>
    <w:r>
      <w:tab/>
    </w:r>
    <w:r w:rsidRPr="005D2F6A">
      <w:rPr>
        <w:b/>
        <w:sz w:val="18"/>
      </w:rPr>
      <w:fldChar w:fldCharType="begin"/>
    </w:r>
    <w:r w:rsidRPr="005D2F6A">
      <w:rPr>
        <w:b/>
        <w:sz w:val="18"/>
      </w:rPr>
      <w:instrText xml:space="preserve"> </w:instrText>
    </w:r>
    <w:r>
      <w:rPr>
        <w:b/>
        <w:sz w:val="18"/>
      </w:rPr>
      <w:instrText>PAGE</w:instrText>
    </w:r>
    <w:r w:rsidRPr="005D2F6A">
      <w:rPr>
        <w:b/>
        <w:sz w:val="18"/>
      </w:rPr>
      <w:instrText xml:space="preserve">  \* MERGEFORMAT </w:instrText>
    </w:r>
    <w:r w:rsidRPr="005D2F6A">
      <w:rPr>
        <w:b/>
        <w:sz w:val="18"/>
      </w:rPr>
      <w:fldChar w:fldCharType="separate"/>
    </w:r>
    <w:r w:rsidR="00AB0290">
      <w:rPr>
        <w:b/>
        <w:noProof/>
        <w:sz w:val="18"/>
      </w:rPr>
      <w:t>59</w:t>
    </w:r>
    <w:r w:rsidRPr="005D2F6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0" w:rsidRPr="005D2F6A" w:rsidRDefault="000804D0">
    <w:pPr>
      <w:pStyle w:val="Footer"/>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4pt;margin-top:-6.8pt;width:85.5pt;height:18pt;z-index:1" wrapcoords="18189 0 0 9900 -189 12600 -189 17100 758 19800 19516 19800 20274 19800 21032 14400 21600 14400 21600 8100 20653 0 18189 0">
          <v:imagedata r:id="rId1" o:title="recycle_Spanish"/>
          <w10:anchorlock/>
        </v:shape>
      </w:pict>
    </w:r>
    <w:r>
      <w:rPr>
        <w:sz w:val="20"/>
      </w:rPr>
      <w:t>GE.13-43905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1C" w:rsidRPr="000B175B" w:rsidRDefault="0038251C" w:rsidP="000B175B">
      <w:pPr>
        <w:tabs>
          <w:tab w:val="right" w:pos="2155"/>
        </w:tabs>
        <w:spacing w:after="80"/>
        <w:ind w:left="680"/>
        <w:rPr>
          <w:u w:val="single"/>
        </w:rPr>
      </w:pPr>
      <w:r>
        <w:rPr>
          <w:u w:val="single"/>
        </w:rPr>
        <w:tab/>
      </w:r>
    </w:p>
  </w:footnote>
  <w:footnote w:type="continuationSeparator" w:id="0">
    <w:p w:rsidR="0038251C" w:rsidRPr="00FC68B7" w:rsidRDefault="0038251C" w:rsidP="00FC68B7">
      <w:pPr>
        <w:tabs>
          <w:tab w:val="left" w:pos="2155"/>
        </w:tabs>
        <w:spacing w:after="80"/>
        <w:ind w:left="680"/>
        <w:rPr>
          <w:u w:val="single"/>
        </w:rPr>
      </w:pPr>
      <w:r>
        <w:rPr>
          <w:u w:val="single"/>
        </w:rPr>
        <w:tab/>
      </w:r>
    </w:p>
  </w:footnote>
  <w:footnote w:type="continuationNotice" w:id="1">
    <w:p w:rsidR="0038251C" w:rsidRDefault="0038251C"/>
  </w:footnote>
  <w:footnote w:id="2">
    <w:p w:rsidR="000804D0" w:rsidRPr="00C262EC" w:rsidRDefault="000804D0" w:rsidP="00E96AC3">
      <w:pPr>
        <w:pStyle w:val="FootnoteText"/>
        <w:rPr>
          <w:sz w:val="20"/>
          <w:lang w:val="es-ES"/>
        </w:rPr>
      </w:pPr>
      <w:r>
        <w:tab/>
      </w:r>
      <w:r w:rsidRPr="00C262EC">
        <w:rPr>
          <w:rStyle w:val="FootnoteReference"/>
          <w:sz w:val="20"/>
          <w:vertAlign w:val="baseline"/>
        </w:rPr>
        <w:t>*</w:t>
      </w:r>
      <w:r w:rsidRPr="00C262EC">
        <w:tab/>
      </w:r>
      <w:r w:rsidRPr="009C7B33">
        <w:rPr>
          <w:szCs w:val="18"/>
          <w:lang w:val="es-ES"/>
        </w:rPr>
        <w:t>El presente documento contiene los informes periódicos 10º y 11º de Estonia, que deb</w:t>
      </w:r>
      <w:r>
        <w:rPr>
          <w:szCs w:val="18"/>
          <w:lang w:val="es-ES"/>
        </w:rPr>
        <w:t>ían presentarse el 20 de noviembre de 2012, reunidos en un solo documento. Los informes periódicos 8º y 9º y las actas resumidas de las sesiones en las que el Comité examinó esos informes figuran en los documentos CERD/C/EST/8-9 y CERD/C/SR.2038, 2039 y 2047.</w:t>
      </w:r>
    </w:p>
  </w:footnote>
  <w:footnote w:id="3">
    <w:p w:rsidR="000804D0" w:rsidRPr="00C262EC" w:rsidRDefault="000804D0" w:rsidP="00E96AC3">
      <w:pPr>
        <w:pStyle w:val="FootnoteText"/>
        <w:rPr>
          <w:sz w:val="20"/>
          <w:lang w:val="es-ES"/>
        </w:rPr>
      </w:pPr>
      <w:r>
        <w:tab/>
      </w:r>
      <w:r w:rsidRPr="00C262EC">
        <w:rPr>
          <w:rStyle w:val="FootnoteReference"/>
          <w:sz w:val="20"/>
          <w:vertAlign w:val="baseline"/>
        </w:rPr>
        <w:t>**</w:t>
      </w:r>
      <w:r w:rsidRPr="00C262EC">
        <w:tab/>
      </w:r>
      <w:r>
        <w:rPr>
          <w:szCs w:val="18"/>
          <w:lang w:val="es-ES"/>
        </w:rPr>
        <w:t>De conformidad con</w:t>
      </w:r>
      <w:r w:rsidRPr="009C7B33">
        <w:rPr>
          <w:szCs w:val="18"/>
          <w:lang w:val="es-ES"/>
        </w:rPr>
        <w:t xml:space="preserve"> la información transmitida a los Estados partes acerca de la publicación de sus informes, el presente documento no </w:t>
      </w:r>
      <w:r>
        <w:rPr>
          <w:szCs w:val="18"/>
          <w:lang w:val="es-ES"/>
        </w:rPr>
        <w:t>fue objeto de revisión editorial</w:t>
      </w:r>
      <w:r w:rsidRPr="009C7B33">
        <w:rPr>
          <w:szCs w:val="18"/>
          <w:lang w:val="es-ES"/>
        </w:rPr>
        <w:t>.</w:t>
      </w:r>
    </w:p>
  </w:footnote>
  <w:footnote w:id="4">
    <w:p w:rsidR="000804D0" w:rsidRPr="00C262EC" w:rsidRDefault="000804D0" w:rsidP="00E96AC3">
      <w:pPr>
        <w:pStyle w:val="FootnoteText"/>
        <w:rPr>
          <w:sz w:val="20"/>
          <w:lang w:val="es-ES"/>
        </w:rPr>
      </w:pPr>
      <w:r>
        <w:tab/>
      </w:r>
      <w:r w:rsidRPr="00C262EC">
        <w:rPr>
          <w:rStyle w:val="FootnoteReference"/>
          <w:sz w:val="20"/>
          <w:vertAlign w:val="baseline"/>
        </w:rPr>
        <w:t>***</w:t>
      </w:r>
      <w:r w:rsidRPr="00C262EC">
        <w:tab/>
      </w:r>
      <w:r w:rsidRPr="009C7B33">
        <w:rPr>
          <w:szCs w:val="18"/>
          <w:lang w:val="es-ES"/>
        </w:rPr>
        <w:t>Los anexos pueden consultarse en los archivos de la secretar</w:t>
      </w:r>
      <w:r>
        <w:rPr>
          <w:szCs w:val="18"/>
          <w:lang w:val="es-ES"/>
        </w:rPr>
        <w:t>ía.</w:t>
      </w:r>
    </w:p>
  </w:footnote>
  <w:footnote w:id="5">
    <w:p w:rsidR="000804D0" w:rsidRPr="006568F3" w:rsidRDefault="000804D0" w:rsidP="00E96AC3">
      <w:pPr>
        <w:pStyle w:val="FootnoteText"/>
        <w:rPr>
          <w:lang w:val="es-ES"/>
        </w:rPr>
      </w:pPr>
      <w:r>
        <w:rPr>
          <w:szCs w:val="24"/>
          <w:lang w:val="es-ES"/>
        </w:rPr>
        <w:tab/>
      </w:r>
      <w:r>
        <w:rPr>
          <w:rStyle w:val="FootnoteReference"/>
          <w:szCs w:val="24"/>
        </w:rPr>
        <w:footnoteRef/>
      </w:r>
      <w:r>
        <w:rPr>
          <w:szCs w:val="24"/>
          <w:lang w:val="es-ES"/>
        </w:rPr>
        <w:tab/>
        <w:t xml:space="preserve">Dicho instrumento </w:t>
      </w:r>
      <w:r w:rsidRPr="00B905B0">
        <w:rPr>
          <w:lang w:val="es-ES"/>
        </w:rPr>
        <w:t>se encuentra disponible en inglés en: http://www.legaltext.ee/et/andmebaas/</w:t>
      </w:r>
      <w:r>
        <w:rPr>
          <w:lang w:val="es-ES"/>
        </w:rPr>
        <w:br/>
      </w:r>
      <w:r w:rsidRPr="00B905B0">
        <w:rPr>
          <w:lang w:val="es-ES"/>
        </w:rPr>
        <w:t>tekst.asp?loc=text&amp;dok=X0000K2&amp;keel=en&amp;pg=1&amp;ptyyp=RT&amp;tyyp=X&amp;query=p%F5hiseadus.</w:t>
      </w:r>
    </w:p>
  </w:footnote>
  <w:footnote w:id="6">
    <w:p w:rsidR="000804D0" w:rsidRPr="00FA5C99"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Dicha ley se encuentra disponible en inglés en: http://www.legaltext.ee/et/andmebaas/tekst.asp?loc=</w:t>
      </w:r>
      <w:r>
        <w:rPr>
          <w:szCs w:val="24"/>
          <w:lang w:val="es-ES"/>
        </w:rPr>
        <w:br/>
        <w:t>text&amp;dok=XXXX006K2&amp;keel=en&amp;pg=1&amp;ptyyp=RT&amp;tyyp=X&amp;query=v%F5rdse+.</w:t>
      </w:r>
    </w:p>
  </w:footnote>
  <w:footnote w:id="7">
    <w:p w:rsidR="000804D0" w:rsidRPr="00FA5C99"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Dicha ley se encuentra disponible en inglés en: http://www.legaltext.ee/et/andmebaas/tekst.asp?loc=</w:t>
      </w:r>
      <w:r>
        <w:rPr>
          <w:szCs w:val="24"/>
          <w:lang w:val="es-ES"/>
        </w:rPr>
        <w:br/>
        <w:t>text&amp;dok=X80041K1&amp;keel=en&amp;pg=1&amp;ptyyp=RT&amp;tyyp=X&amp;query=soolise.</w:t>
      </w:r>
    </w:p>
  </w:footnote>
  <w:footnote w:id="8">
    <w:p w:rsidR="000804D0" w:rsidRPr="00FA5C99"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Dicha ley se encuentra disponible en inglés en: http://www.legaltext.ee/et/andmebaas/tekst.asp?loc=</w:t>
      </w:r>
      <w:r>
        <w:rPr>
          <w:szCs w:val="24"/>
          <w:lang w:val="es-ES"/>
        </w:rPr>
        <w:br/>
        <w:t>text&amp;dok=XXXX060K1&amp;keel=en&amp;pg=1&amp;ptyyp=RT&amp;tyyp=X&amp;query=t%F6%F6lepingu.</w:t>
      </w:r>
    </w:p>
  </w:footnote>
  <w:footnote w:id="9">
    <w:p w:rsidR="000804D0" w:rsidRPr="00FA5C99"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Dicho instrumento se encuentra disponible en inglés en: http://www.legaltext.ee/et/andmebaas/</w:t>
      </w:r>
      <w:r w:rsidR="009C3534">
        <w:rPr>
          <w:szCs w:val="24"/>
          <w:lang w:val="es-ES"/>
        </w:rPr>
        <w:br/>
      </w:r>
      <w:r>
        <w:rPr>
          <w:szCs w:val="24"/>
          <w:lang w:val="es-ES"/>
        </w:rPr>
        <w:t>tekst.asp?loc=text&amp;dok=X30068K10&amp;keel=en&amp;pg=1&amp;ptyyp=RT&amp;tyyp=X&amp;query=karistus.</w:t>
      </w:r>
    </w:p>
  </w:footnote>
  <w:footnote w:id="10">
    <w:p w:rsidR="000804D0" w:rsidRPr="00FA5C99"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http://www.svv.ee/index.php?t=2.</w:t>
      </w:r>
    </w:p>
  </w:footnote>
  <w:footnote w:id="11">
    <w:p w:rsidR="000804D0" w:rsidRPr="000B69A9" w:rsidRDefault="000804D0" w:rsidP="00E96AC3">
      <w:pPr>
        <w:pStyle w:val="FootnoteText"/>
        <w:spacing w:after="60"/>
        <w:rPr>
          <w:lang w:val="es-ES"/>
        </w:rPr>
      </w:pPr>
      <w:r>
        <w:rPr>
          <w:szCs w:val="24"/>
          <w:lang w:val="es-ES"/>
        </w:rPr>
        <w:tab/>
      </w:r>
      <w:r>
        <w:rPr>
          <w:rStyle w:val="FootnoteReference"/>
          <w:szCs w:val="24"/>
        </w:rPr>
        <w:footnoteRef/>
      </w:r>
      <w:r>
        <w:rPr>
          <w:lang w:val="es-ES"/>
        </w:rPr>
        <w:tab/>
      </w:r>
      <w:r w:rsidRPr="000B69A9">
        <w:rPr>
          <w:lang w:val="es-ES"/>
        </w:rPr>
        <w:t>§ 151. Incitación al odio: 1) Las actividades que incit</w:t>
      </w:r>
      <w:r>
        <w:rPr>
          <w:lang w:val="es-ES"/>
        </w:rPr>
        <w:t>e</w:t>
      </w:r>
      <w:r w:rsidRPr="000B69A9">
        <w:rPr>
          <w:lang w:val="es-ES"/>
        </w:rPr>
        <w:t xml:space="preserve">n públicamente al odio, la violencia o la discriminación </w:t>
      </w:r>
      <w:r>
        <w:rPr>
          <w:lang w:val="es-ES"/>
        </w:rPr>
        <w:t xml:space="preserve">sobre la base </w:t>
      </w:r>
      <w:r w:rsidRPr="000B69A9">
        <w:rPr>
          <w:lang w:val="es-ES"/>
        </w:rPr>
        <w:t>de la nacionalidad, la raza, el color, el género, el idioma, el origen,</w:t>
      </w:r>
      <w:r>
        <w:rPr>
          <w:lang w:val="es-ES"/>
        </w:rPr>
        <w:t xml:space="preserve"> la religión, </w:t>
      </w:r>
      <w:r w:rsidRPr="000B69A9">
        <w:rPr>
          <w:lang w:val="es-ES"/>
        </w:rPr>
        <w:t>la orientación sexual</w:t>
      </w:r>
      <w:r>
        <w:rPr>
          <w:lang w:val="es-ES"/>
        </w:rPr>
        <w:t>,</w:t>
      </w:r>
      <w:r w:rsidRPr="000B69A9">
        <w:rPr>
          <w:lang w:val="es-ES"/>
        </w:rPr>
        <w:t xml:space="preserve"> la opinión política</w:t>
      </w:r>
      <w:r>
        <w:rPr>
          <w:lang w:val="es-ES"/>
        </w:rPr>
        <w:t>,</w:t>
      </w:r>
      <w:r w:rsidRPr="000B69A9">
        <w:rPr>
          <w:lang w:val="es-ES"/>
        </w:rPr>
        <w:t xml:space="preserve"> la condición social</w:t>
      </w:r>
      <w:r>
        <w:rPr>
          <w:lang w:val="es-ES"/>
        </w:rPr>
        <w:t xml:space="preserve"> o la situación financiera</w:t>
      </w:r>
      <w:r w:rsidRPr="000B69A9">
        <w:rPr>
          <w:lang w:val="es-ES"/>
        </w:rPr>
        <w:t xml:space="preserve"> serán punibles con una multa de hasta 300 unidades o detención</w:t>
      </w:r>
      <w:r>
        <w:rPr>
          <w:lang w:val="es-ES"/>
        </w:rPr>
        <w:t xml:space="preserve">, </w:t>
      </w:r>
      <w:r w:rsidRPr="000B69A9">
        <w:rPr>
          <w:lang w:val="es-ES"/>
        </w:rPr>
        <w:t xml:space="preserve">si </w:t>
      </w:r>
      <w:r>
        <w:rPr>
          <w:lang w:val="es-ES"/>
        </w:rPr>
        <w:t>tienen como resultado u</w:t>
      </w:r>
      <w:r w:rsidRPr="000B69A9">
        <w:rPr>
          <w:lang w:val="es-ES"/>
        </w:rPr>
        <w:t>n peligro para la vida, la salud o la propiedad de una persona. 2) Ese mismo acto</w:t>
      </w:r>
      <w:r>
        <w:rPr>
          <w:lang w:val="es-ES"/>
        </w:rPr>
        <w:t xml:space="preserve"> </w:t>
      </w:r>
      <w:r w:rsidRPr="000B69A9">
        <w:rPr>
          <w:lang w:val="es-ES"/>
        </w:rPr>
        <w:t>será punible con una multa o tres años de prisión</w:t>
      </w:r>
      <w:r>
        <w:rPr>
          <w:lang w:val="es-ES"/>
        </w:rPr>
        <w:t xml:space="preserve"> como máximo</w:t>
      </w:r>
      <w:r w:rsidRPr="000B69A9">
        <w:rPr>
          <w:lang w:val="es-ES"/>
        </w:rPr>
        <w:t xml:space="preserve"> si: 1) causa la muerte de una persona o p</w:t>
      </w:r>
      <w:r>
        <w:rPr>
          <w:lang w:val="es-ES"/>
        </w:rPr>
        <w:t>e</w:t>
      </w:r>
      <w:r w:rsidRPr="000B69A9">
        <w:rPr>
          <w:lang w:val="es-ES"/>
        </w:rPr>
        <w:t>r</w:t>
      </w:r>
      <w:r>
        <w:rPr>
          <w:lang w:val="es-ES"/>
        </w:rPr>
        <w:t>judica</w:t>
      </w:r>
      <w:r w:rsidRPr="000B69A9">
        <w:rPr>
          <w:lang w:val="es-ES"/>
        </w:rPr>
        <w:t xml:space="preserve"> la salud</w:t>
      </w:r>
      <w:r>
        <w:rPr>
          <w:lang w:val="es-ES"/>
        </w:rPr>
        <w:t xml:space="preserve"> o</w:t>
      </w:r>
      <w:r w:rsidRPr="000B69A9">
        <w:rPr>
          <w:lang w:val="es-ES"/>
        </w:rPr>
        <w:t xml:space="preserve"> </w:t>
      </w:r>
      <w:r>
        <w:rPr>
          <w:lang w:val="es-ES"/>
        </w:rPr>
        <w:t>tiene</w:t>
      </w:r>
      <w:r w:rsidRPr="000B69A9">
        <w:rPr>
          <w:lang w:val="es-ES"/>
        </w:rPr>
        <w:t xml:space="preserve"> otras consecuencias graves; o 2) ha sido cometido por una persona anteriormente sancionada por </w:t>
      </w:r>
      <w:r>
        <w:rPr>
          <w:lang w:val="es-ES"/>
        </w:rPr>
        <w:t xml:space="preserve">el mismo </w:t>
      </w:r>
      <w:r w:rsidRPr="000B69A9">
        <w:rPr>
          <w:lang w:val="es-ES"/>
        </w:rPr>
        <w:t>acto; o 3) ha sido cometido por una organización criminal.</w:t>
      </w:r>
      <w:r>
        <w:rPr>
          <w:lang w:val="es-ES"/>
        </w:rPr>
        <w:t xml:space="preserve"> </w:t>
      </w:r>
      <w:r w:rsidRPr="000B69A9">
        <w:rPr>
          <w:lang w:val="es-ES"/>
        </w:rPr>
        <w:t xml:space="preserve">Todo acto </w:t>
      </w:r>
      <w:r>
        <w:rPr>
          <w:lang w:val="es-ES"/>
        </w:rPr>
        <w:t>previsto</w:t>
      </w:r>
      <w:r w:rsidRPr="000B69A9">
        <w:rPr>
          <w:lang w:val="es-ES"/>
        </w:rPr>
        <w:t xml:space="preserve"> en el párrafo 1) de</w:t>
      </w:r>
      <w:r>
        <w:rPr>
          <w:lang w:val="es-ES"/>
        </w:rPr>
        <w:t>l</w:t>
      </w:r>
      <w:r w:rsidRPr="000B69A9">
        <w:rPr>
          <w:lang w:val="es-ES"/>
        </w:rPr>
        <w:t xml:space="preserve"> </w:t>
      </w:r>
      <w:r>
        <w:rPr>
          <w:lang w:val="es-ES"/>
        </w:rPr>
        <w:t xml:space="preserve">presente </w:t>
      </w:r>
      <w:r w:rsidRPr="000B69A9">
        <w:rPr>
          <w:lang w:val="es-ES"/>
        </w:rPr>
        <w:t xml:space="preserve">artículo será punible con una multa de hasta </w:t>
      </w:r>
      <w:r>
        <w:rPr>
          <w:lang w:val="es-ES"/>
        </w:rPr>
        <w:t>3</w:t>
      </w:r>
      <w:r w:rsidRPr="000B69A9">
        <w:rPr>
          <w:lang w:val="es-ES"/>
        </w:rPr>
        <w:t>.</w:t>
      </w:r>
      <w:r>
        <w:rPr>
          <w:lang w:val="es-ES"/>
        </w:rPr>
        <w:t>200</w:t>
      </w:r>
      <w:r w:rsidRPr="000B69A9">
        <w:rPr>
          <w:lang w:val="es-ES"/>
        </w:rPr>
        <w:t xml:space="preserve"> </w:t>
      </w:r>
      <w:r>
        <w:rPr>
          <w:lang w:val="es-ES"/>
        </w:rPr>
        <w:t xml:space="preserve">euros </w:t>
      </w:r>
      <w:r w:rsidRPr="000B69A9">
        <w:rPr>
          <w:lang w:val="es-ES"/>
        </w:rPr>
        <w:t xml:space="preserve">si lo comete una persona jurídica. Todo acto </w:t>
      </w:r>
      <w:r>
        <w:rPr>
          <w:lang w:val="es-ES"/>
        </w:rPr>
        <w:t>previsto</w:t>
      </w:r>
      <w:r w:rsidRPr="000B69A9">
        <w:rPr>
          <w:lang w:val="es-ES"/>
        </w:rPr>
        <w:t xml:space="preserve"> en el párrafo 2) de</w:t>
      </w:r>
      <w:r>
        <w:rPr>
          <w:lang w:val="es-ES"/>
        </w:rPr>
        <w:t>l presente</w:t>
      </w:r>
      <w:r w:rsidRPr="000B69A9">
        <w:rPr>
          <w:lang w:val="es-ES"/>
        </w:rPr>
        <w:t xml:space="preserve"> artículo será punible con una multa</w:t>
      </w:r>
      <w:r>
        <w:rPr>
          <w:lang w:val="es-ES"/>
        </w:rPr>
        <w:t xml:space="preserve"> </w:t>
      </w:r>
      <w:r w:rsidRPr="000B69A9">
        <w:rPr>
          <w:lang w:val="es-ES"/>
        </w:rPr>
        <w:t>si lo comete una persona jurídica.</w:t>
      </w:r>
    </w:p>
    <w:p w:rsidR="000804D0" w:rsidRPr="000B69A9" w:rsidRDefault="000804D0" w:rsidP="00E96AC3">
      <w:pPr>
        <w:pStyle w:val="FootnoteText"/>
        <w:spacing w:after="60"/>
        <w:rPr>
          <w:lang w:val="es-ES"/>
        </w:rPr>
      </w:pPr>
      <w:r w:rsidRPr="000B69A9">
        <w:rPr>
          <w:lang w:val="es-ES"/>
        </w:rPr>
        <w:tab/>
      </w:r>
      <w:r w:rsidRPr="000B69A9">
        <w:rPr>
          <w:lang w:val="es-ES"/>
        </w:rPr>
        <w:tab/>
        <w:t>§ 152. Violación de la igualdad</w:t>
      </w:r>
      <w:r>
        <w:rPr>
          <w:lang w:val="es-ES"/>
        </w:rPr>
        <w:t>:</w:t>
      </w:r>
      <w:r w:rsidRPr="000B69A9">
        <w:rPr>
          <w:lang w:val="es-ES"/>
        </w:rPr>
        <w:t xml:space="preserve"> 1) La </w:t>
      </w:r>
      <w:r>
        <w:rPr>
          <w:lang w:val="es-ES"/>
        </w:rPr>
        <w:t>restricci</w:t>
      </w:r>
      <w:r w:rsidRPr="000B69A9">
        <w:rPr>
          <w:lang w:val="es-ES"/>
        </w:rPr>
        <w:t>ón ilícita de los derechos de una persona o la concesión de privilegios ilícitos a una persona por motivo de su nacionalidad, raza, color, género, idioma, origen, religión, orientación sexual, opinión política</w:t>
      </w:r>
      <w:r>
        <w:rPr>
          <w:lang w:val="es-ES"/>
        </w:rPr>
        <w:t>,</w:t>
      </w:r>
      <w:r w:rsidRPr="000B69A9">
        <w:rPr>
          <w:lang w:val="es-ES"/>
        </w:rPr>
        <w:t xml:space="preserve"> condición social o </w:t>
      </w:r>
      <w:r>
        <w:rPr>
          <w:lang w:val="es-ES"/>
        </w:rPr>
        <w:t xml:space="preserve">situación </w:t>
      </w:r>
      <w:r w:rsidRPr="000B69A9">
        <w:rPr>
          <w:lang w:val="es-ES"/>
        </w:rPr>
        <w:t>financiera será punible con una multa de hasta 300 unidades o detención. 2) Ese mismo acto</w:t>
      </w:r>
      <w:r>
        <w:rPr>
          <w:lang w:val="es-ES"/>
        </w:rPr>
        <w:t xml:space="preserve"> </w:t>
      </w:r>
      <w:r w:rsidRPr="000B69A9">
        <w:rPr>
          <w:lang w:val="es-ES"/>
        </w:rPr>
        <w:t>será punible con una multa o hasta un año de prisión</w:t>
      </w:r>
      <w:r>
        <w:rPr>
          <w:lang w:val="es-ES"/>
        </w:rPr>
        <w:t xml:space="preserve"> </w:t>
      </w:r>
      <w:r w:rsidRPr="000B69A9">
        <w:rPr>
          <w:lang w:val="es-ES"/>
        </w:rPr>
        <w:t xml:space="preserve">si se comete: 1) al menos dos veces; o 2) causa un </w:t>
      </w:r>
      <w:r>
        <w:rPr>
          <w:lang w:val="es-ES"/>
        </w:rPr>
        <w:t xml:space="preserve">perjuicio </w:t>
      </w:r>
      <w:r w:rsidRPr="000B69A9">
        <w:rPr>
          <w:lang w:val="es-ES"/>
        </w:rPr>
        <w:t xml:space="preserve">importante a los derechos </w:t>
      </w:r>
      <w:r>
        <w:rPr>
          <w:lang w:val="es-ES"/>
        </w:rPr>
        <w:t>o</w:t>
      </w:r>
      <w:r w:rsidRPr="000B69A9">
        <w:rPr>
          <w:lang w:val="es-ES"/>
        </w:rPr>
        <w:t xml:space="preserve"> intereses protegidos por ley de otra persona o al interés público.</w:t>
      </w:r>
    </w:p>
    <w:p w:rsidR="000804D0" w:rsidRPr="00076BB9" w:rsidRDefault="000804D0" w:rsidP="00E96AC3">
      <w:pPr>
        <w:pStyle w:val="FootnoteText"/>
        <w:tabs>
          <w:tab w:val="clear" w:pos="1021"/>
          <w:tab w:val="right" w:pos="1020"/>
        </w:tabs>
        <w:rPr>
          <w:szCs w:val="24"/>
          <w:lang w:val="es-ES"/>
        </w:rPr>
      </w:pPr>
      <w:r>
        <w:rPr>
          <w:szCs w:val="24"/>
          <w:lang w:val="es-ES"/>
        </w:rPr>
        <w:tab/>
      </w:r>
      <w:r>
        <w:rPr>
          <w:szCs w:val="24"/>
          <w:lang w:val="es-ES"/>
        </w:rPr>
        <w:tab/>
      </w:r>
      <w:r w:rsidRPr="00076BB9">
        <w:rPr>
          <w:szCs w:val="24"/>
          <w:lang w:val="es-ES"/>
        </w:rPr>
        <w:t>§ 153. Discriminación basada en los riesgos gen</w:t>
      </w:r>
      <w:r>
        <w:rPr>
          <w:szCs w:val="24"/>
          <w:lang w:val="es-ES"/>
        </w:rPr>
        <w:t>éticos: 1) La restricción ilícita de los derechos de una persona o la concesión de privilegios ilícitos a una persona por motivo de sus riesgos genéticos será punible con una multa de hasta 300 unidades o detención. 2) Ese mismo acto será punible con una multa o hasta un año de prisión si se comete: 1) al menos dos veces; o 2) causa un perjuicio importante a los derechos o intereses protegidos por ley de otra persona o al interés público.</w:t>
      </w:r>
    </w:p>
  </w:footnote>
  <w:footnote w:id="12">
    <w:p w:rsidR="000804D0" w:rsidRPr="00EA46FE"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Disponible en inglés en: http://www.just.ee/arengusuunad2018.</w:t>
      </w:r>
    </w:p>
  </w:footnote>
  <w:footnote w:id="13">
    <w:p w:rsidR="000804D0" w:rsidRPr="007E7D3D"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 xml:space="preserve">El ámbito de competencias del Canciller de Justicia se describen en los párrafos </w:t>
      </w:r>
      <w:smartTag w:uri="urn:schemas-microsoft-com:office:smarttags" w:element="metricconverter">
        <w:smartTagPr>
          <w:attr w:name="ProductID" w:val="16 a"/>
        </w:smartTagPr>
        <w:r>
          <w:rPr>
            <w:szCs w:val="24"/>
            <w:lang w:val="es-ES"/>
          </w:rPr>
          <w:t>16 a</w:t>
        </w:r>
      </w:smartTag>
      <w:r>
        <w:rPr>
          <w:szCs w:val="24"/>
          <w:lang w:val="es-ES"/>
        </w:rPr>
        <w:t xml:space="preserve"> 18 del informe anterior. Los casos investigados por el Canciller de Justicia se describen en los párrafos </w:t>
      </w:r>
      <w:smartTag w:uri="urn:schemas-microsoft-com:office:smarttags" w:element="metricconverter">
        <w:smartTagPr>
          <w:attr w:name="ProductID" w:val="289 a"/>
        </w:smartTagPr>
        <w:r>
          <w:rPr>
            <w:szCs w:val="24"/>
            <w:lang w:val="es-ES"/>
          </w:rPr>
          <w:t>289 a</w:t>
        </w:r>
      </w:smartTag>
      <w:r>
        <w:rPr>
          <w:szCs w:val="24"/>
          <w:lang w:val="es-ES"/>
        </w:rPr>
        <w:t xml:space="preserve"> 298 del presente informe.</w:t>
      </w:r>
    </w:p>
  </w:footnote>
  <w:footnote w:id="14">
    <w:p w:rsidR="000804D0" w:rsidRPr="003C67BD"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 xml:space="preserve">Hasta el cambio de gobierno que tuvo lugar en junio de 2009, </w:t>
      </w:r>
      <w:smartTag w:uri="urn:schemas-microsoft-com:office:smarttags" w:element="PersonName">
        <w:smartTagPr>
          <w:attr w:name="ProductID" w:val="La Oficina"/>
        </w:smartTagPr>
        <w:r>
          <w:rPr>
            <w:szCs w:val="24"/>
            <w:lang w:val="es-ES"/>
          </w:rPr>
          <w:t>la Oficina</w:t>
        </w:r>
      </w:smartTag>
      <w:r>
        <w:rPr>
          <w:szCs w:val="24"/>
          <w:lang w:val="es-ES"/>
        </w:rPr>
        <w:t xml:space="preserve"> del Ministro de Población y Asuntos Étnicos (adscrita a </w:t>
      </w:r>
      <w:smartTag w:uri="urn:schemas-microsoft-com:office:smarttags" w:element="PersonName">
        <w:smartTagPr>
          <w:attr w:name="ProductID" w:val="la Canciller￭a"/>
        </w:smartTagPr>
        <w:r>
          <w:rPr>
            <w:szCs w:val="24"/>
            <w:lang w:val="es-ES"/>
          </w:rPr>
          <w:t>la Cancillería</w:t>
        </w:r>
      </w:smartTag>
      <w:r>
        <w:rPr>
          <w:szCs w:val="24"/>
          <w:lang w:val="es-ES"/>
        </w:rPr>
        <w:t xml:space="preserve"> de Estado) se encargaba principalmente de atender las cuestiones relativas a la integración, los estonios residentes en el extranjero y la población en general. A partir de entonces se disolvió y sus competencias se repartieron entre el Ministerio de Asuntos Sociales, el Ministerio de Educación e Investigación, el Ministerio de Cultura y el Ministerio del Interior.</w:t>
      </w:r>
    </w:p>
  </w:footnote>
  <w:footnote w:id="15">
    <w:p w:rsidR="000804D0" w:rsidRPr="00C67A39"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 xml:space="preserve">Las tareas del Comité Directivo del Plan de Integración son las siguientes: formular recomendaciones al Gobierno de </w:t>
      </w:r>
      <w:smartTag w:uri="urn:schemas-microsoft-com:office:smarttags" w:element="PersonName">
        <w:smartTagPr>
          <w:attr w:name="ProductID" w:val="la Rep￺blica"/>
        </w:smartTagPr>
        <w:r>
          <w:rPr>
            <w:szCs w:val="24"/>
            <w:lang w:val="es-ES"/>
          </w:rPr>
          <w:t>la República</w:t>
        </w:r>
      </w:smartTag>
      <w:r>
        <w:rPr>
          <w:szCs w:val="24"/>
          <w:lang w:val="es-ES"/>
        </w:rPr>
        <w:t xml:space="preserve"> por mediación del Ministro de Cultura para modificar, si fuera necesario, el Plan de Integración 2008-2013 y su plan de aplicación, e iniciar la elaboración del Plan de Integración correspondiente al siguiente período.</w:t>
      </w:r>
    </w:p>
  </w:footnote>
  <w:footnote w:id="16">
    <w:p w:rsidR="000804D0" w:rsidRPr="00C67A39"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Entre las funciones del Grupo Directivo del Plan de Integración se incluye la recopilación periódica de información sobre el programa de aplicación del Plan de Integración y su ejecución estratégica, con el fin de analizar el desarrollo de la integración y los procesos conexos, así como intercambiar información con las distintas partes que ejecutan o se benefician del Plan y el público en general.</w:t>
      </w:r>
    </w:p>
  </w:footnote>
  <w:footnote w:id="17">
    <w:p w:rsidR="000804D0" w:rsidRPr="007E4D9D"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http://www.lihr.ee.</w:t>
      </w:r>
    </w:p>
  </w:footnote>
  <w:footnote w:id="18">
    <w:p w:rsidR="000804D0" w:rsidRPr="007E4D9D"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http://www.eihr.ee/en/.</w:t>
      </w:r>
    </w:p>
  </w:footnote>
  <w:footnote w:id="19">
    <w:p w:rsidR="000804D0" w:rsidRPr="009F297D"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http://humanrights.ee/en/.</w:t>
      </w:r>
    </w:p>
  </w:footnote>
  <w:footnote w:id="20">
    <w:p w:rsidR="000804D0" w:rsidRPr="006F71A0"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http://humanrights.ee/wp-content/uploads/2011/09/EIKaruanne2011.eng_.pdf.</w:t>
      </w:r>
    </w:p>
  </w:footnote>
  <w:footnote w:id="21">
    <w:p w:rsidR="000804D0" w:rsidRPr="000006E5" w:rsidRDefault="000804D0" w:rsidP="00E96AC3">
      <w:pPr>
        <w:pStyle w:val="FootnoteText"/>
        <w:tabs>
          <w:tab w:val="clear" w:pos="1021"/>
          <w:tab w:val="right" w:pos="1020"/>
        </w:tabs>
        <w:rPr>
          <w:szCs w:val="24"/>
          <w:lang w:val="es-ES"/>
        </w:rPr>
      </w:pPr>
      <w:r w:rsidRPr="006F71A0">
        <w:rPr>
          <w:szCs w:val="24"/>
          <w:lang w:val="es-ES"/>
        </w:rPr>
        <w:tab/>
      </w:r>
      <w:r>
        <w:rPr>
          <w:rStyle w:val="FootnoteReference"/>
          <w:szCs w:val="24"/>
        </w:rPr>
        <w:footnoteRef/>
      </w:r>
      <w:r>
        <w:rPr>
          <w:szCs w:val="24"/>
          <w:lang w:val="es-ES"/>
        </w:rPr>
        <w:tab/>
        <w:t>http://www.eihr.ee/en/roundtable/.</w:t>
      </w:r>
    </w:p>
  </w:footnote>
  <w:footnote w:id="22">
    <w:p w:rsidR="000804D0" w:rsidRPr="002674B1"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http://www.mnemosyne.ee/lang/en-us.</w:t>
      </w:r>
    </w:p>
  </w:footnote>
  <w:footnote w:id="23">
    <w:p w:rsidR="000804D0" w:rsidRPr="009F297D"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sidRPr="009F297D">
        <w:rPr>
          <w:szCs w:val="24"/>
          <w:lang w:val="es-ES"/>
        </w:rPr>
        <w:tab/>
        <w:t>http://www.coe.int/t/dg4/nscentre/ge/gew_EN.asp.</w:t>
      </w:r>
    </w:p>
  </w:footnote>
  <w:footnote w:id="24">
    <w:p w:rsidR="000804D0" w:rsidRPr="009F297D" w:rsidRDefault="000804D0" w:rsidP="00127A57">
      <w:pPr>
        <w:pStyle w:val="FootnoteText"/>
        <w:rPr>
          <w:lang w:val="es-ES"/>
        </w:rPr>
      </w:pPr>
      <w:r w:rsidRPr="009F297D">
        <w:rPr>
          <w:lang w:val="es-ES"/>
        </w:rPr>
        <w:tab/>
      </w:r>
      <w:r>
        <w:rPr>
          <w:rStyle w:val="FootnoteReference"/>
          <w:szCs w:val="24"/>
        </w:rPr>
        <w:footnoteRef/>
      </w:r>
      <w:r w:rsidRPr="009F297D">
        <w:rPr>
          <w:lang w:val="es-ES"/>
        </w:rPr>
        <w:tab/>
        <w:t>http://www.kul.ee/webeditor/files/integratsioon/Intmon_2011_pt_8.pdf; el resumen de los resultados se encuentra disponible en inglés en: http://www.kul.ee/webeditor/files/integratsioon/Monitooring_</w:t>
      </w:r>
      <w:r w:rsidR="00127A57">
        <w:rPr>
          <w:lang w:val="es-ES"/>
        </w:rPr>
        <w:br/>
      </w:r>
      <w:r w:rsidRPr="009F297D">
        <w:rPr>
          <w:lang w:val="es-ES"/>
        </w:rPr>
        <w:t>2011_EN.pdf.</w:t>
      </w:r>
    </w:p>
  </w:footnote>
  <w:footnote w:id="25">
    <w:p w:rsidR="000804D0" w:rsidRDefault="000804D0" w:rsidP="00E96AC3">
      <w:pPr>
        <w:pStyle w:val="FootnoteText"/>
        <w:tabs>
          <w:tab w:val="clear" w:pos="1021"/>
          <w:tab w:val="right" w:pos="1020"/>
        </w:tabs>
        <w:rPr>
          <w:szCs w:val="24"/>
        </w:rPr>
      </w:pPr>
      <w:r>
        <w:rPr>
          <w:szCs w:val="24"/>
        </w:rPr>
        <w:tab/>
      </w:r>
      <w:r>
        <w:rPr>
          <w:rStyle w:val="FootnoteReference"/>
          <w:szCs w:val="24"/>
        </w:rPr>
        <w:footnoteRef/>
      </w:r>
      <w:r>
        <w:rPr>
          <w:szCs w:val="24"/>
        </w:rPr>
        <w:tab/>
        <w:t>http://www.eata.ee/holokaust.</w:t>
      </w:r>
    </w:p>
  </w:footnote>
  <w:footnote w:id="26">
    <w:p w:rsidR="000804D0" w:rsidRPr="006F71A0" w:rsidRDefault="000804D0" w:rsidP="00E96AC3">
      <w:pPr>
        <w:pStyle w:val="FootnoteText"/>
        <w:tabs>
          <w:tab w:val="clear" w:pos="1021"/>
          <w:tab w:val="right" w:pos="1020"/>
        </w:tabs>
        <w:rPr>
          <w:szCs w:val="24"/>
          <w:lang w:val="es-ES"/>
        </w:rPr>
      </w:pPr>
      <w:r>
        <w:rPr>
          <w:szCs w:val="24"/>
        </w:rPr>
        <w:tab/>
      </w:r>
      <w:r>
        <w:rPr>
          <w:rStyle w:val="FootnoteReference"/>
          <w:szCs w:val="24"/>
        </w:rPr>
        <w:footnoteRef/>
      </w:r>
      <w:r w:rsidRPr="006F71A0">
        <w:rPr>
          <w:szCs w:val="24"/>
          <w:lang w:val="es-ES"/>
        </w:rPr>
        <w:tab/>
        <w:t>La ley se encuentra disponible en inglés en: http://www.legaltext.ee/et/andmebaas/tekst.asp?loc=</w:t>
      </w:r>
      <w:r>
        <w:rPr>
          <w:szCs w:val="24"/>
          <w:lang w:val="es-ES"/>
        </w:rPr>
        <w:br/>
      </w:r>
      <w:r w:rsidRPr="006F71A0">
        <w:rPr>
          <w:szCs w:val="24"/>
          <w:lang w:val="es-ES"/>
        </w:rPr>
        <w:t>text&amp;dok=X30065K7&amp;keel=en&amp;pg=1&amp;ptyyp=RT&amp;tyyp=X&amp;query=kohtute.</w:t>
      </w:r>
    </w:p>
  </w:footnote>
  <w:footnote w:id="27">
    <w:p w:rsidR="000804D0" w:rsidRPr="006F71A0" w:rsidRDefault="000804D0" w:rsidP="00E96AC3">
      <w:pPr>
        <w:pStyle w:val="FootnoteText"/>
        <w:tabs>
          <w:tab w:val="clear" w:pos="1021"/>
          <w:tab w:val="right" w:pos="1020"/>
        </w:tabs>
        <w:rPr>
          <w:szCs w:val="24"/>
          <w:lang w:val="es-ES"/>
        </w:rPr>
      </w:pPr>
      <w:r w:rsidRPr="006F71A0">
        <w:rPr>
          <w:szCs w:val="24"/>
          <w:lang w:val="es-ES"/>
        </w:rPr>
        <w:tab/>
      </w:r>
      <w:r>
        <w:rPr>
          <w:rStyle w:val="FootnoteReference"/>
          <w:szCs w:val="24"/>
        </w:rPr>
        <w:footnoteRef/>
      </w:r>
      <w:r w:rsidRPr="006F71A0">
        <w:rPr>
          <w:szCs w:val="24"/>
          <w:lang w:val="es-ES"/>
        </w:rPr>
        <w:tab/>
        <w:t>http://eelnoud.valitsus.ee/main#P5wGmcUN.</w:t>
      </w:r>
    </w:p>
  </w:footnote>
  <w:footnote w:id="28">
    <w:p w:rsidR="000804D0" w:rsidRPr="006F71A0" w:rsidRDefault="000804D0" w:rsidP="00E96AC3">
      <w:pPr>
        <w:pStyle w:val="FootnoteText"/>
        <w:tabs>
          <w:tab w:val="clear" w:pos="1021"/>
          <w:tab w:val="right" w:pos="1020"/>
        </w:tabs>
        <w:rPr>
          <w:szCs w:val="24"/>
          <w:lang w:val="es-ES"/>
        </w:rPr>
      </w:pPr>
      <w:r w:rsidRPr="006F71A0">
        <w:rPr>
          <w:szCs w:val="24"/>
          <w:lang w:val="es-ES"/>
        </w:rPr>
        <w:tab/>
      </w:r>
      <w:r>
        <w:rPr>
          <w:rStyle w:val="FootnoteReference"/>
          <w:szCs w:val="24"/>
        </w:rPr>
        <w:footnoteRef/>
      </w:r>
      <w:r w:rsidRPr="006F71A0">
        <w:rPr>
          <w:szCs w:val="24"/>
          <w:lang w:val="es-ES"/>
        </w:rPr>
        <w:tab/>
        <w:t xml:space="preserve">En virtud del artículo 5 1) de </w:t>
      </w:r>
      <w:smartTag w:uri="urn:schemas-microsoft-com:office:smarttags" w:element="PersonName">
        <w:smartTagPr>
          <w:attr w:name="ProductID" w:val="La Ley"/>
        </w:smartTagPr>
        <w:r w:rsidRPr="006F71A0">
          <w:rPr>
            <w:szCs w:val="24"/>
            <w:lang w:val="es-ES"/>
          </w:rPr>
          <w:t>la Ley</w:t>
        </w:r>
      </w:smartTag>
      <w:r w:rsidRPr="006F71A0">
        <w:rPr>
          <w:szCs w:val="24"/>
          <w:lang w:val="es-ES"/>
        </w:rPr>
        <w:t xml:space="preserve"> de partidos políticos, los ciudadanos de </w:t>
      </w:r>
      <w:smartTag w:uri="urn:schemas-microsoft-com:office:smarttags" w:element="PersonName">
        <w:smartTagPr>
          <w:attr w:name="ProductID" w:val="la Uni￳n Europea"/>
        </w:smartTagPr>
        <w:r w:rsidRPr="006F71A0">
          <w:rPr>
            <w:szCs w:val="24"/>
            <w:lang w:val="es-ES"/>
          </w:rPr>
          <w:t>la Unión Europea</w:t>
        </w:r>
      </w:smartTag>
      <w:r w:rsidRPr="006F71A0">
        <w:rPr>
          <w:szCs w:val="24"/>
          <w:lang w:val="es-ES"/>
        </w:rPr>
        <w:t xml:space="preserve"> con residencia permanente en Estonia también pueden ser miembros de partido</w:t>
      </w:r>
      <w:r>
        <w:rPr>
          <w:szCs w:val="24"/>
          <w:lang w:val="es-ES"/>
        </w:rPr>
        <w:t>s</w:t>
      </w:r>
      <w:r w:rsidRPr="006F71A0">
        <w:rPr>
          <w:szCs w:val="24"/>
          <w:lang w:val="es-ES"/>
        </w:rPr>
        <w:t xml:space="preserve"> pol</w:t>
      </w:r>
      <w:r>
        <w:rPr>
          <w:szCs w:val="24"/>
          <w:lang w:val="es-ES"/>
        </w:rPr>
        <w:t>í</w:t>
      </w:r>
      <w:r w:rsidRPr="006F71A0">
        <w:rPr>
          <w:szCs w:val="24"/>
          <w:lang w:val="es-ES"/>
        </w:rPr>
        <w:t>tico</w:t>
      </w:r>
      <w:r>
        <w:rPr>
          <w:szCs w:val="24"/>
          <w:lang w:val="es-ES"/>
        </w:rPr>
        <w:t>s</w:t>
      </w:r>
      <w:r w:rsidRPr="006F71A0">
        <w:rPr>
          <w:szCs w:val="24"/>
          <w:lang w:val="es-ES"/>
        </w:rPr>
        <w:t>.</w:t>
      </w:r>
    </w:p>
  </w:footnote>
  <w:footnote w:id="29">
    <w:p w:rsidR="000804D0" w:rsidRPr="006F71A0" w:rsidRDefault="000804D0" w:rsidP="00E96AC3">
      <w:pPr>
        <w:pStyle w:val="FootnoteText"/>
        <w:tabs>
          <w:tab w:val="clear" w:pos="1021"/>
          <w:tab w:val="right" w:pos="1020"/>
        </w:tabs>
        <w:rPr>
          <w:szCs w:val="24"/>
          <w:lang w:val="es-ES"/>
        </w:rPr>
      </w:pPr>
      <w:r w:rsidRPr="006F71A0">
        <w:rPr>
          <w:szCs w:val="24"/>
          <w:lang w:val="es-ES"/>
        </w:rPr>
        <w:tab/>
      </w:r>
      <w:r>
        <w:rPr>
          <w:rStyle w:val="FootnoteReference"/>
          <w:szCs w:val="24"/>
        </w:rPr>
        <w:footnoteRef/>
      </w:r>
      <w:r w:rsidRPr="006F71A0">
        <w:rPr>
          <w:szCs w:val="24"/>
          <w:lang w:val="es-ES"/>
        </w:rPr>
        <w:tab/>
        <w:t>La ley está disponible en inglés en: http://www.legaltext.ee/et/andmebaas/tekst.asp?loc=</w:t>
      </w:r>
      <w:r>
        <w:rPr>
          <w:szCs w:val="24"/>
          <w:lang w:val="es-ES"/>
        </w:rPr>
        <w:br/>
      </w:r>
      <w:r w:rsidRPr="006F71A0">
        <w:rPr>
          <w:szCs w:val="24"/>
          <w:lang w:val="es-ES"/>
        </w:rPr>
        <w:t>text&amp;dok=XX00013K1&amp;keel=en&amp;pg=3&amp;ptyyp=RT&amp;tyyp=X&amp;query=rahvusvahelise.</w:t>
      </w:r>
    </w:p>
  </w:footnote>
  <w:footnote w:id="30">
    <w:p w:rsidR="000804D0" w:rsidRPr="004453FA" w:rsidRDefault="000804D0" w:rsidP="00E96AC3">
      <w:pPr>
        <w:pStyle w:val="FootnoteText"/>
        <w:tabs>
          <w:tab w:val="clear" w:pos="1021"/>
          <w:tab w:val="right" w:pos="1020"/>
        </w:tabs>
        <w:spacing w:line="200" w:lineRule="exact"/>
        <w:rPr>
          <w:szCs w:val="24"/>
          <w:lang w:val="es-ES"/>
        </w:rPr>
      </w:pPr>
      <w:r>
        <w:rPr>
          <w:szCs w:val="24"/>
          <w:lang w:val="es-ES"/>
        </w:rPr>
        <w:tab/>
      </w:r>
      <w:r>
        <w:rPr>
          <w:rStyle w:val="FootnoteReference"/>
          <w:szCs w:val="24"/>
        </w:rPr>
        <w:footnoteRef/>
      </w:r>
      <w:r>
        <w:rPr>
          <w:szCs w:val="24"/>
          <w:lang w:val="es-ES"/>
        </w:rPr>
        <w:tab/>
        <w:t>La ley está disponible en inglés en: http://www.legaltext.ee/et/andmebaas/tekst.asp?loc=</w:t>
      </w:r>
      <w:r>
        <w:rPr>
          <w:szCs w:val="24"/>
          <w:lang w:val="es-ES"/>
        </w:rPr>
        <w:br/>
        <w:t>text&amp;dok=XXXXXX14K1&amp;keel=en&amp;pg=1&amp;ptyyp=RT&amp;tyyp=X&amp;query=v%E4lismaalaste.</w:t>
      </w:r>
    </w:p>
  </w:footnote>
  <w:footnote w:id="31">
    <w:p w:rsidR="000804D0" w:rsidRPr="000D1764"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http://www.politsei.ee/dotAsset/25136.pdf.</w:t>
      </w:r>
    </w:p>
  </w:footnote>
  <w:footnote w:id="32">
    <w:p w:rsidR="000804D0" w:rsidRPr="006F71A0" w:rsidRDefault="000804D0" w:rsidP="00E96AC3">
      <w:pPr>
        <w:pStyle w:val="FootnoteText"/>
        <w:tabs>
          <w:tab w:val="clear" w:pos="1021"/>
          <w:tab w:val="right" w:pos="1020"/>
        </w:tabs>
        <w:rPr>
          <w:szCs w:val="24"/>
          <w:lang w:val="es-ES"/>
        </w:rPr>
      </w:pPr>
      <w:r w:rsidRPr="006F71A0">
        <w:rPr>
          <w:szCs w:val="24"/>
          <w:lang w:val="es-ES"/>
        </w:rPr>
        <w:tab/>
      </w:r>
      <w:r>
        <w:rPr>
          <w:rStyle w:val="FootnoteReference"/>
          <w:szCs w:val="24"/>
        </w:rPr>
        <w:footnoteRef/>
      </w:r>
      <w:r w:rsidRPr="006F71A0">
        <w:rPr>
          <w:szCs w:val="24"/>
          <w:lang w:val="es-ES"/>
        </w:rPr>
        <w:tab/>
        <w:t>La ley está disponible en inglés en: http://www.legaltext.ee/et/andmebaas/tekst.asp?loc=</w:t>
      </w:r>
      <w:r>
        <w:rPr>
          <w:szCs w:val="24"/>
          <w:lang w:val="es-ES"/>
        </w:rPr>
        <w:br/>
      </w:r>
      <w:r w:rsidRPr="006F71A0">
        <w:rPr>
          <w:szCs w:val="24"/>
          <w:lang w:val="es-ES"/>
        </w:rPr>
        <w:t>text&amp;dok=X30034K10&amp;keel=en&amp;pg=1&amp;ptyyp=RT&amp;tyyp=X&amp;query=v%E4ljas%F5idukohustuse.</w:t>
      </w:r>
    </w:p>
  </w:footnote>
  <w:footnote w:id="33">
    <w:p w:rsidR="000804D0" w:rsidRPr="004453FA"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La ley se encuentra disponible en inglés en: http://www.legaltext.ee/et/andmebaas/tekst.asp?loc=</w:t>
      </w:r>
      <w:r>
        <w:rPr>
          <w:szCs w:val="24"/>
          <w:lang w:val="es-ES"/>
        </w:rPr>
        <w:br/>
        <w:t>text&amp;dok=X0004K11&amp;keel=en&amp;pg=1&amp;ptyyp=RT&amp;tyyp=X&amp;query=Law+of+Property+Act.</w:t>
      </w:r>
    </w:p>
  </w:footnote>
  <w:footnote w:id="34">
    <w:p w:rsidR="000804D0" w:rsidRPr="004453FA"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Pr>
          <w:szCs w:val="24"/>
          <w:lang w:val="es-ES"/>
        </w:rPr>
        <w:tab/>
        <w:t>La ley se encuentra disponible en inglés en: http://www.legaltext.ee/et/andmebaas/tekst.asp?loc=</w:t>
      </w:r>
      <w:r>
        <w:rPr>
          <w:szCs w:val="24"/>
          <w:lang w:val="es-ES"/>
        </w:rPr>
        <w:br/>
        <w:t>text&amp;dok=2012X10&amp;keel=en&amp;pg=1&amp;ptyyp=RT&amp;tyyp=X&amp;query=kinnisasja.</w:t>
      </w:r>
    </w:p>
  </w:footnote>
  <w:footnote w:id="35">
    <w:p w:rsidR="000804D0" w:rsidRPr="000D1764" w:rsidRDefault="000804D0" w:rsidP="00E96AC3">
      <w:pPr>
        <w:pStyle w:val="FootnoteText"/>
        <w:tabs>
          <w:tab w:val="clear" w:pos="1021"/>
          <w:tab w:val="right" w:pos="1020"/>
        </w:tabs>
        <w:rPr>
          <w:szCs w:val="24"/>
          <w:lang w:val="es-ES"/>
        </w:rPr>
      </w:pPr>
      <w:r w:rsidRPr="000D1764">
        <w:rPr>
          <w:szCs w:val="24"/>
          <w:lang w:val="es-ES"/>
        </w:rPr>
        <w:tab/>
      </w:r>
      <w:r>
        <w:rPr>
          <w:rStyle w:val="FootnoteReference"/>
          <w:szCs w:val="24"/>
        </w:rPr>
        <w:footnoteRef/>
      </w:r>
      <w:r w:rsidRPr="000D1764">
        <w:rPr>
          <w:szCs w:val="24"/>
          <w:lang w:val="es-ES"/>
        </w:rPr>
        <w:tab/>
        <w:t>http://www.tka.riik.ee/en.</w:t>
      </w:r>
    </w:p>
  </w:footnote>
  <w:footnote w:id="36">
    <w:p w:rsidR="000804D0" w:rsidRPr="000D1764" w:rsidRDefault="000804D0" w:rsidP="00E96AC3">
      <w:pPr>
        <w:pStyle w:val="FootnoteText"/>
        <w:tabs>
          <w:tab w:val="clear" w:pos="1021"/>
          <w:tab w:val="right" w:pos="1020"/>
        </w:tabs>
        <w:rPr>
          <w:szCs w:val="24"/>
          <w:lang w:val="es-ES"/>
        </w:rPr>
      </w:pPr>
      <w:r w:rsidRPr="000D1764">
        <w:rPr>
          <w:szCs w:val="24"/>
          <w:lang w:val="es-ES"/>
        </w:rPr>
        <w:tab/>
      </w:r>
      <w:r>
        <w:rPr>
          <w:rStyle w:val="FootnoteReference"/>
          <w:szCs w:val="24"/>
        </w:rPr>
        <w:footnoteRef/>
      </w:r>
      <w:r w:rsidRPr="000D1764">
        <w:rPr>
          <w:szCs w:val="24"/>
          <w:lang w:val="es-ES"/>
        </w:rPr>
        <w:tab/>
        <w:t>http://www.asn.org.ee/english/index.html.</w:t>
      </w:r>
    </w:p>
  </w:footnote>
  <w:footnote w:id="37">
    <w:p w:rsidR="000804D0" w:rsidRPr="005D6734" w:rsidRDefault="000804D0" w:rsidP="00E96AC3">
      <w:pPr>
        <w:pStyle w:val="FootnoteText"/>
        <w:tabs>
          <w:tab w:val="clear" w:pos="1021"/>
          <w:tab w:val="right" w:pos="1020"/>
        </w:tabs>
        <w:rPr>
          <w:szCs w:val="24"/>
          <w:lang w:val="es-ES"/>
        </w:rPr>
      </w:pPr>
      <w:r>
        <w:rPr>
          <w:szCs w:val="24"/>
          <w:lang w:val="es-ES"/>
        </w:rPr>
        <w:tab/>
      </w:r>
      <w:r>
        <w:rPr>
          <w:rStyle w:val="FootnoteReference"/>
          <w:szCs w:val="24"/>
        </w:rPr>
        <w:footnoteRef/>
      </w:r>
      <w:r w:rsidRPr="005D6734">
        <w:rPr>
          <w:szCs w:val="24"/>
          <w:lang w:val="es-ES"/>
        </w:rPr>
        <w:tab/>
      </w:r>
      <w:r>
        <w:rPr>
          <w:szCs w:val="24"/>
          <w:lang w:val="es-ES"/>
        </w:rPr>
        <w:t>La ley se encuentra disponible en inglés en</w:t>
      </w:r>
      <w:r w:rsidRPr="005D6734">
        <w:rPr>
          <w:szCs w:val="24"/>
          <w:lang w:val="es-ES"/>
        </w:rPr>
        <w:t>: http://www.legaltext.ee/et/andmebaas/tekst.asp?loc=</w:t>
      </w:r>
      <w:r>
        <w:rPr>
          <w:szCs w:val="24"/>
          <w:lang w:val="es-ES"/>
        </w:rPr>
        <w:br/>
      </w:r>
      <w:r w:rsidRPr="005D6734">
        <w:rPr>
          <w:szCs w:val="24"/>
          <w:lang w:val="es-ES"/>
        </w:rPr>
        <w:t>text&amp;dok=X60025K2&amp;keel=en&amp;pg=1&amp;ptyyp=RT&amp;tyyp=X&amp;query=kirikute.</w:t>
      </w:r>
    </w:p>
  </w:footnote>
  <w:footnote w:id="38">
    <w:p w:rsidR="000804D0" w:rsidRDefault="000804D0" w:rsidP="00E96AC3">
      <w:pPr>
        <w:pStyle w:val="FootnoteText"/>
        <w:tabs>
          <w:tab w:val="clear" w:pos="1021"/>
          <w:tab w:val="right" w:pos="1020"/>
        </w:tabs>
        <w:rPr>
          <w:szCs w:val="24"/>
        </w:rPr>
      </w:pPr>
      <w:r w:rsidRPr="005D6734">
        <w:rPr>
          <w:szCs w:val="24"/>
          <w:lang w:val="es-ES"/>
        </w:rPr>
        <w:tab/>
      </w:r>
      <w:r>
        <w:rPr>
          <w:rStyle w:val="FootnoteReference"/>
          <w:szCs w:val="24"/>
        </w:rPr>
        <w:footnoteRef/>
      </w:r>
      <w:r>
        <w:rPr>
          <w:szCs w:val="24"/>
        </w:rPr>
        <w:tab/>
        <w:t>http://www.eall.ee/pressinoukogu/index-eng.html.</w:t>
      </w:r>
    </w:p>
  </w:footnote>
  <w:footnote w:id="39">
    <w:p w:rsidR="000804D0" w:rsidRPr="00321D44" w:rsidRDefault="000804D0" w:rsidP="00E96AC3">
      <w:pPr>
        <w:pStyle w:val="FootnoteText"/>
        <w:tabs>
          <w:tab w:val="clear" w:pos="1021"/>
          <w:tab w:val="right" w:pos="1020"/>
        </w:tabs>
        <w:rPr>
          <w:szCs w:val="24"/>
          <w:lang w:val="es-ES"/>
        </w:rPr>
      </w:pPr>
      <w:r>
        <w:rPr>
          <w:szCs w:val="24"/>
        </w:rPr>
        <w:tab/>
      </w:r>
      <w:r>
        <w:rPr>
          <w:rStyle w:val="FootnoteReference"/>
          <w:szCs w:val="24"/>
        </w:rPr>
        <w:footnoteRef/>
      </w:r>
      <w:r w:rsidRPr="00321D44">
        <w:rPr>
          <w:szCs w:val="24"/>
          <w:lang w:val="es-ES"/>
        </w:rPr>
        <w:tab/>
        <w:t>La ley se encuentra disponible en inglés en: http://www.legaltext.ee/et/andmebaas/tekst.asp?loc=</w:t>
      </w:r>
      <w:r>
        <w:rPr>
          <w:szCs w:val="24"/>
          <w:lang w:val="es-ES"/>
        </w:rPr>
        <w:br/>
      </w:r>
      <w:r w:rsidRPr="00321D44">
        <w:rPr>
          <w:szCs w:val="24"/>
          <w:lang w:val="es-ES"/>
        </w:rPr>
        <w:t>text&amp;dok=XX00039K2&amp;keel=en&amp;pg=1&amp;ptyyp=RT&amp;tyyp=X&amp;query=T%F6%F6turuteenuste+ja+%2Dtoetuste+seadus.</w:t>
      </w:r>
    </w:p>
  </w:footnote>
  <w:footnote w:id="40">
    <w:p w:rsidR="000804D0" w:rsidRPr="00321D44" w:rsidRDefault="000804D0" w:rsidP="00E96AC3">
      <w:pPr>
        <w:pStyle w:val="FootnoteText"/>
        <w:tabs>
          <w:tab w:val="clear" w:pos="1021"/>
          <w:tab w:val="right" w:pos="1020"/>
        </w:tabs>
        <w:rPr>
          <w:szCs w:val="24"/>
          <w:lang w:val="es-ES"/>
        </w:rPr>
      </w:pPr>
      <w:r w:rsidRPr="00321D44">
        <w:rPr>
          <w:szCs w:val="24"/>
          <w:lang w:val="es-ES"/>
        </w:rPr>
        <w:tab/>
      </w:r>
      <w:r>
        <w:rPr>
          <w:rStyle w:val="FootnoteReference"/>
          <w:szCs w:val="24"/>
        </w:rPr>
        <w:footnoteRef/>
      </w:r>
      <w:r w:rsidRPr="00321D44">
        <w:rPr>
          <w:szCs w:val="24"/>
          <w:lang w:val="es-ES"/>
        </w:rPr>
        <w:tab/>
        <w:t>La ley se encuentra disponible en inglés en: http://www.legaltext.ee/et/andmebaas/tekst.asp?loc=</w:t>
      </w:r>
      <w:r>
        <w:rPr>
          <w:szCs w:val="24"/>
          <w:lang w:val="es-ES"/>
        </w:rPr>
        <w:br/>
      </w:r>
      <w:r w:rsidRPr="00321D44">
        <w:rPr>
          <w:szCs w:val="24"/>
          <w:lang w:val="es-ES"/>
        </w:rPr>
        <w:t>text&amp;dok=X50053K10&amp;keel=en&amp;pg=1&amp;ptyyp=RT&amp;tyyp=X&amp;query=t%F6%F6tuskindlustus.</w:t>
      </w:r>
    </w:p>
  </w:footnote>
  <w:footnote w:id="41">
    <w:p w:rsidR="000804D0" w:rsidRPr="00BF39E4" w:rsidRDefault="000804D0" w:rsidP="00E96AC3">
      <w:pPr>
        <w:pStyle w:val="FootnoteText"/>
        <w:rPr>
          <w:lang w:val="es-ES"/>
        </w:rPr>
      </w:pPr>
      <w:r>
        <w:rPr>
          <w:lang w:val="es-ES"/>
        </w:rPr>
        <w:tab/>
      </w:r>
      <w:r>
        <w:rPr>
          <w:rStyle w:val="FootnoteReference"/>
          <w:szCs w:val="24"/>
        </w:rPr>
        <w:footnoteRef/>
      </w:r>
      <w:r w:rsidRPr="00BF39E4">
        <w:rPr>
          <w:lang w:val="es-ES"/>
        </w:rPr>
        <w:tab/>
        <w:t>www.meis.ee/library?book_id=163&amp;action=download2.</w:t>
      </w:r>
    </w:p>
  </w:footnote>
  <w:footnote w:id="42">
    <w:p w:rsidR="000804D0" w:rsidRPr="00BF39E4" w:rsidRDefault="000804D0" w:rsidP="00E96AC3">
      <w:pPr>
        <w:pStyle w:val="FootnoteText"/>
        <w:tabs>
          <w:tab w:val="clear" w:pos="1021"/>
          <w:tab w:val="right" w:pos="1020"/>
        </w:tabs>
        <w:rPr>
          <w:szCs w:val="24"/>
          <w:lang w:val="es-ES"/>
        </w:rPr>
      </w:pPr>
      <w:r w:rsidRPr="00BF39E4">
        <w:rPr>
          <w:szCs w:val="24"/>
          <w:lang w:val="es-ES"/>
        </w:rPr>
        <w:tab/>
      </w:r>
      <w:r>
        <w:rPr>
          <w:rStyle w:val="FootnoteReference"/>
          <w:szCs w:val="24"/>
        </w:rPr>
        <w:footnoteRef/>
      </w:r>
      <w:r>
        <w:rPr>
          <w:szCs w:val="24"/>
          <w:lang w:val="es-ES"/>
        </w:rPr>
        <w:tab/>
      </w:r>
      <w:r w:rsidRPr="00BF39E4">
        <w:rPr>
          <w:szCs w:val="24"/>
          <w:lang w:val="es-ES"/>
        </w:rPr>
        <w:t>La ley se encuentra disponible en ingl</w:t>
      </w:r>
      <w:r>
        <w:rPr>
          <w:szCs w:val="24"/>
          <w:lang w:val="es-ES"/>
        </w:rPr>
        <w:t>é</w:t>
      </w:r>
      <w:r w:rsidRPr="00BF39E4">
        <w:rPr>
          <w:szCs w:val="24"/>
          <w:lang w:val="es-ES"/>
        </w:rPr>
        <w:t>s en: http://www.legaltext.ee/et/andmebaas/tekst.asp?loc=</w:t>
      </w:r>
      <w:r>
        <w:rPr>
          <w:szCs w:val="24"/>
          <w:lang w:val="es-ES"/>
        </w:rPr>
        <w:br/>
      </w:r>
      <w:r w:rsidRPr="00BF39E4">
        <w:rPr>
          <w:szCs w:val="24"/>
          <w:lang w:val="es-ES"/>
        </w:rPr>
        <w:t>text&amp;dok=X30087K2&amp;keel=en&amp;pg=1&amp;ptyyp=RT&amp;tyyp=X&amp;query=ameti%FChingute.</w:t>
      </w:r>
    </w:p>
  </w:footnote>
  <w:footnote w:id="43">
    <w:p w:rsidR="000804D0" w:rsidRPr="00EE0800" w:rsidRDefault="000804D0" w:rsidP="00E96AC3">
      <w:pPr>
        <w:pStyle w:val="FootnoteText"/>
        <w:tabs>
          <w:tab w:val="clear" w:pos="1021"/>
          <w:tab w:val="right" w:pos="1020"/>
        </w:tabs>
        <w:rPr>
          <w:szCs w:val="24"/>
          <w:lang w:val="es-ES"/>
        </w:rPr>
      </w:pPr>
      <w:r w:rsidRPr="00E624B7">
        <w:rPr>
          <w:szCs w:val="24"/>
          <w:lang w:val="es-ES"/>
        </w:rPr>
        <w:tab/>
      </w:r>
      <w:r>
        <w:rPr>
          <w:rStyle w:val="FootnoteReference"/>
          <w:szCs w:val="24"/>
        </w:rPr>
        <w:footnoteRef/>
      </w:r>
      <w:r>
        <w:rPr>
          <w:szCs w:val="24"/>
          <w:lang w:val="es-ES"/>
        </w:rPr>
        <w:tab/>
      </w:r>
      <w:r w:rsidRPr="00EE0800">
        <w:rPr>
          <w:szCs w:val="24"/>
          <w:lang w:val="es-ES"/>
        </w:rPr>
        <w:t>La ley se encuentra disponible en ingl</w:t>
      </w:r>
      <w:r>
        <w:rPr>
          <w:szCs w:val="24"/>
          <w:lang w:val="es-ES"/>
        </w:rPr>
        <w:t>é</w:t>
      </w:r>
      <w:r w:rsidRPr="00EE0800">
        <w:rPr>
          <w:szCs w:val="24"/>
          <w:lang w:val="es-ES"/>
        </w:rPr>
        <w:t>s en: http://www.legaltext.ee/et/andmebaas/tekst.asp?loc=</w:t>
      </w:r>
      <w:r>
        <w:rPr>
          <w:szCs w:val="24"/>
          <w:lang w:val="es-ES"/>
        </w:rPr>
        <w:br/>
      </w:r>
      <w:r w:rsidRPr="00EE0800">
        <w:rPr>
          <w:szCs w:val="24"/>
          <w:lang w:val="es-ES"/>
        </w:rPr>
        <w:t>text&amp;dok=XX10005K1&amp;keel=en&amp;pg=1&amp;ptyyp=RT&amp;tyyp=X&amp;query=t%F6%F6tajate.</w:t>
      </w:r>
    </w:p>
  </w:footnote>
  <w:footnote w:id="44">
    <w:p w:rsidR="000804D0" w:rsidRPr="00EE0800" w:rsidRDefault="000804D0" w:rsidP="00E96AC3">
      <w:pPr>
        <w:pStyle w:val="FootnoteText"/>
        <w:rPr>
          <w:lang w:val="es-ES"/>
        </w:rPr>
      </w:pPr>
      <w:r w:rsidRPr="00EE0800">
        <w:rPr>
          <w:lang w:val="es-ES"/>
        </w:rPr>
        <w:tab/>
      </w:r>
      <w:r>
        <w:rPr>
          <w:rStyle w:val="FootnoteReference"/>
          <w:szCs w:val="24"/>
        </w:rPr>
        <w:footnoteRef/>
      </w:r>
      <w:r w:rsidRPr="00EE0800">
        <w:rPr>
          <w:lang w:val="es-ES"/>
        </w:rPr>
        <w:tab/>
        <w:t>La ley se encuentra disponible en inglés en: http://www.legaltext.ee/et/andmebaas/tekst.asp?loc=</w:t>
      </w:r>
      <w:r>
        <w:rPr>
          <w:lang w:val="es-ES"/>
        </w:rPr>
        <w:br/>
      </w:r>
      <w:r w:rsidRPr="00EE0800">
        <w:rPr>
          <w:lang w:val="es-ES"/>
        </w:rPr>
        <w:t>text&amp;dok=XXXXXX12K1&amp;keel=en&amp;pg=1&amp;ptyyp=RT&amp;tyyp=X&amp;query=p%F5hikooli.</w:t>
      </w:r>
    </w:p>
  </w:footnote>
  <w:footnote w:id="45">
    <w:p w:rsidR="000804D0" w:rsidRPr="005E204C" w:rsidRDefault="000804D0" w:rsidP="00E96AC3">
      <w:pPr>
        <w:pStyle w:val="FootnoteText"/>
        <w:tabs>
          <w:tab w:val="clear" w:pos="1021"/>
          <w:tab w:val="right" w:pos="1020"/>
        </w:tabs>
        <w:rPr>
          <w:szCs w:val="24"/>
          <w:lang w:val="es-ES"/>
        </w:rPr>
      </w:pPr>
      <w:r>
        <w:rPr>
          <w:szCs w:val="24"/>
        </w:rPr>
        <w:tab/>
      </w:r>
      <w:r>
        <w:rPr>
          <w:rStyle w:val="FootnoteReference"/>
          <w:szCs w:val="24"/>
        </w:rPr>
        <w:footnoteRef/>
      </w:r>
      <w:r w:rsidRPr="005E204C">
        <w:rPr>
          <w:szCs w:val="24"/>
          <w:lang w:val="es-ES"/>
        </w:rPr>
        <w:tab/>
        <w:t>La ley se encuentra disponible en inglés en: http://www.legaltext.ee/et/andmebaas/tekst.asp?loc=</w:t>
      </w:r>
      <w:r>
        <w:rPr>
          <w:szCs w:val="24"/>
          <w:lang w:val="es-ES"/>
        </w:rPr>
        <w:br/>
      </w:r>
      <w:r w:rsidRPr="005E204C">
        <w:rPr>
          <w:szCs w:val="24"/>
          <w:lang w:val="es-ES"/>
        </w:rPr>
        <w:t>text&amp;dok=XX00038&amp;keel=en&amp;pg=1&amp;ptyyp=RT&amp;tyyp=X&amp;query=kultuuriautonoomia.</w:t>
      </w:r>
    </w:p>
  </w:footnote>
  <w:footnote w:id="46">
    <w:p w:rsidR="000804D0" w:rsidRPr="008A080C" w:rsidRDefault="000804D0" w:rsidP="00E96AC3">
      <w:pPr>
        <w:pStyle w:val="FootnoteText"/>
        <w:tabs>
          <w:tab w:val="clear" w:pos="1021"/>
          <w:tab w:val="right" w:pos="1020"/>
        </w:tabs>
      </w:pPr>
      <w:r w:rsidRPr="005E204C">
        <w:rPr>
          <w:lang w:val="es-ES"/>
        </w:rPr>
        <w:tab/>
      </w:r>
      <w:r>
        <w:rPr>
          <w:rStyle w:val="FootnoteReference"/>
        </w:rPr>
        <w:footnoteRef/>
      </w:r>
      <w:r>
        <w:tab/>
      </w:r>
      <w:r w:rsidRPr="002B77D0">
        <w:t>http://www.eihr.ee/inimoiguste-oppevara/</w:t>
      </w:r>
      <w:r>
        <w:t>.</w:t>
      </w:r>
    </w:p>
  </w:footnote>
  <w:footnote w:id="47">
    <w:p w:rsidR="000804D0" w:rsidRPr="008A080C" w:rsidRDefault="000804D0" w:rsidP="00E96AC3">
      <w:pPr>
        <w:pStyle w:val="FootnoteText"/>
        <w:tabs>
          <w:tab w:val="clear" w:pos="1021"/>
          <w:tab w:val="right" w:pos="1020"/>
        </w:tabs>
      </w:pPr>
      <w:r>
        <w:tab/>
      </w:r>
      <w:r>
        <w:rPr>
          <w:rStyle w:val="FootnoteReference"/>
        </w:rPr>
        <w:footnoteRef/>
      </w:r>
      <w:r>
        <w:tab/>
        <w:t>Centro cultural de viejos creyentes de Estonia;</w:t>
      </w:r>
      <w:r w:rsidRPr="00B14FFC">
        <w:t xml:space="preserve"> </w:t>
      </w:r>
      <w:r>
        <w:t xml:space="preserve">Sociedad de cultura eslava de </w:t>
      </w:r>
      <w:r w:rsidRPr="00B14FFC">
        <w:t>Tallin</w:t>
      </w:r>
      <w:r>
        <w:t xml:space="preserve">; </w:t>
      </w:r>
      <w:r w:rsidRPr="00B14FFC">
        <w:t>Russki Dom-Eston</w:t>
      </w:r>
      <w:r>
        <w:t xml:space="preserve">ia (ONG); Asociación de sociedades culturales rusas RUTHENIA; Sociedad de colectivos de creadores rusos Kalinka en Estonia; Asociación de organizaciones culturales étnicas rusas SADKO en Estonia (ONG); </w:t>
      </w:r>
      <w:r w:rsidRPr="00B14FFC">
        <w:t>A</w:t>
      </w:r>
      <w:r>
        <w:t>sociación de sociedades benéficas y educativas rusas en</w:t>
      </w:r>
      <w:r w:rsidRPr="00B14FFC">
        <w:t xml:space="preserve"> Estonia</w:t>
      </w:r>
      <w:r>
        <w:t>.</w:t>
      </w:r>
    </w:p>
  </w:footnote>
  <w:footnote w:id="48">
    <w:p w:rsidR="000804D0" w:rsidRPr="008A080C" w:rsidRDefault="000804D0" w:rsidP="00E96AC3">
      <w:pPr>
        <w:pStyle w:val="FootnoteText"/>
        <w:tabs>
          <w:tab w:val="clear" w:pos="1021"/>
          <w:tab w:val="right" w:pos="1020"/>
        </w:tabs>
      </w:pPr>
      <w:r>
        <w:tab/>
      </w:r>
      <w:r>
        <w:rPr>
          <w:rStyle w:val="FootnoteReference"/>
        </w:rPr>
        <w:footnoteRef/>
      </w:r>
      <w:r>
        <w:tab/>
        <w:t xml:space="preserve">El programa apoya la renovación de los santuarios de </w:t>
      </w:r>
      <w:smartTag w:uri="urn:schemas-microsoft-com:office:smarttags" w:element="PersonName">
        <w:smartTagPr>
          <w:attr w:name="ProductID" w:val="la Iglesia Ortodoxa"/>
        </w:smartTagPr>
        <w:r>
          <w:t>la Iglesia Ortodoxa</w:t>
        </w:r>
      </w:smartTag>
      <w:r>
        <w:t xml:space="preserve"> de Estonia</w:t>
      </w:r>
      <w:r w:rsidRPr="00B14FFC">
        <w:t xml:space="preserve">, </w:t>
      </w:r>
      <w:smartTag w:uri="urn:schemas-microsoft-com:office:smarttags" w:element="PersonName">
        <w:smartTagPr>
          <w:attr w:name="ProductID" w:val="la Iglesia Ortodoxa"/>
        </w:smartTagPr>
        <w:r>
          <w:t>la Iglesia Ortodoxa</w:t>
        </w:r>
      </w:smartTag>
      <w:r>
        <w:t xml:space="preserve"> del Patriarcado de Moscú en Estonia y los Viejos Creyentes rusos</w:t>
      </w:r>
      <w:r w:rsidRPr="00B14FFC">
        <w:t xml:space="preserve">. </w:t>
      </w:r>
      <w:r>
        <w:t>La proporción de la ayuda para esas tres confesiones con respecto al presupuesto total del programa ascendió al 30,65% en 2010 y al 39,4% e</w:t>
      </w:r>
      <w:r w:rsidRPr="00B14FFC">
        <w:t>n 2011.</w:t>
      </w:r>
    </w:p>
  </w:footnote>
  <w:footnote w:id="49">
    <w:p w:rsidR="000804D0" w:rsidRPr="008A080C" w:rsidRDefault="000804D0" w:rsidP="00E96AC3">
      <w:pPr>
        <w:pStyle w:val="FootnoteText"/>
        <w:tabs>
          <w:tab w:val="clear" w:pos="1021"/>
          <w:tab w:val="right" w:pos="1020"/>
        </w:tabs>
      </w:pPr>
      <w:r>
        <w:tab/>
      </w:r>
      <w:r>
        <w:rPr>
          <w:rStyle w:val="FootnoteReference"/>
        </w:rPr>
        <w:footnoteRef/>
      </w:r>
      <w:r>
        <w:tab/>
      </w:r>
      <w:r w:rsidRPr="00E93F75">
        <w:t>http://www.just.ee/30181</w:t>
      </w:r>
      <w:r>
        <w:t>.</w:t>
      </w:r>
    </w:p>
  </w:footnote>
  <w:footnote w:id="50">
    <w:p w:rsidR="000804D0" w:rsidRPr="008A080C" w:rsidRDefault="000804D0" w:rsidP="00E96AC3">
      <w:pPr>
        <w:pStyle w:val="FootnoteText"/>
        <w:tabs>
          <w:tab w:val="clear" w:pos="1021"/>
          <w:tab w:val="right" w:pos="1020"/>
        </w:tabs>
      </w:pPr>
      <w:r>
        <w:tab/>
      </w:r>
      <w:r>
        <w:rPr>
          <w:rStyle w:val="FootnoteReference"/>
        </w:rPr>
        <w:footnoteRef/>
      </w:r>
      <w:r>
        <w:tab/>
      </w:r>
      <w:r w:rsidRPr="005E204C">
        <w:rPr>
          <w:szCs w:val="24"/>
          <w:lang w:val="es-ES"/>
        </w:rPr>
        <w:t>La ley se encuentra disponible en inglés en</w:t>
      </w:r>
      <w:r w:rsidRPr="001D40C5">
        <w:t>: http://www.legaltext.ee/et/andmebaas/tekst.asp?loc=</w:t>
      </w:r>
      <w:r>
        <w:br/>
      </w:r>
      <w:r w:rsidRPr="001D40C5">
        <w:t>text&amp;dok=X80012K2&amp;keel=en&amp;pg=1&amp;ptyyp=RT&amp;tyyp=X&amp;query=ohvriabi</w:t>
      </w:r>
      <w:r>
        <w:t>.</w:t>
      </w:r>
    </w:p>
  </w:footnote>
  <w:footnote w:id="51">
    <w:p w:rsidR="000804D0" w:rsidRPr="008A080C" w:rsidRDefault="000804D0" w:rsidP="00E96AC3">
      <w:pPr>
        <w:pStyle w:val="FootnoteText"/>
        <w:tabs>
          <w:tab w:val="clear" w:pos="1021"/>
          <w:tab w:val="right" w:pos="1020"/>
        </w:tabs>
      </w:pPr>
      <w:r>
        <w:tab/>
      </w:r>
      <w:r>
        <w:rPr>
          <w:rStyle w:val="FootnoteReference"/>
        </w:rPr>
        <w:footnoteRef/>
      </w:r>
      <w:r>
        <w:tab/>
      </w:r>
      <w:r w:rsidRPr="001D40C5">
        <w:t>http://www.iom.ee/parem/projekt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0" w:rsidRPr="005D2F6A" w:rsidRDefault="000804D0">
    <w:pPr>
      <w:pStyle w:val="Header"/>
    </w:pPr>
    <w:r>
      <w:t>CERD/C/EST/10-11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D0" w:rsidRPr="005D2F6A" w:rsidRDefault="000804D0" w:rsidP="005D2F6A">
    <w:pPr>
      <w:pStyle w:val="Header"/>
      <w:jc w:val="right"/>
    </w:pPr>
    <w:r>
      <w:t>CERD/C/EST/10-11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72AB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2C2DA5"/>
    <w:multiLevelType w:val="hybridMultilevel"/>
    <w:tmpl w:val="9EB02D6A"/>
    <w:lvl w:ilvl="0" w:tplc="9B62A61E">
      <w:start w:val="1"/>
      <w:numFmt w:val="bullet"/>
      <w:lvlText w:val="-"/>
      <w:lvlJc w:val="left"/>
      <w:pPr>
        <w:tabs>
          <w:tab w:val="num" w:pos="1891"/>
        </w:tabs>
        <w:ind w:left="1891"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12A9B"/>
    <w:multiLevelType w:val="hybridMultilevel"/>
    <w:tmpl w:val="81AC2F14"/>
    <w:lvl w:ilvl="0" w:tplc="0096C7FC">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44EB9"/>
    <w:multiLevelType w:val="hybridMultilevel"/>
    <w:tmpl w:val="1C8A3F9A"/>
    <w:lvl w:ilvl="0" w:tplc="0FA0B3B0">
      <w:start w:val="1"/>
      <w:numFmt w:val="bullet"/>
      <w:lvlText w:val=""/>
      <w:lvlJc w:val="left"/>
      <w:pPr>
        <w:ind w:left="1494" w:hanging="360"/>
      </w:pPr>
      <w:rPr>
        <w:rFonts w:ascii="Symbol" w:eastAsia="Cambria Math"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nsid w:val="67B31163"/>
    <w:multiLevelType w:val="hybridMultilevel"/>
    <w:tmpl w:val="08C49376"/>
    <w:lvl w:ilvl="0" w:tplc="0409000F">
      <w:start w:val="1"/>
      <w:numFmt w:val="decimal"/>
      <w:lvlText w:val="%1."/>
      <w:lvlJc w:val="left"/>
      <w:pPr>
        <w:tabs>
          <w:tab w:val="num" w:pos="720"/>
        </w:tabs>
        <w:ind w:left="720" w:hanging="360"/>
      </w:pPr>
      <w:rPr>
        <w:rFonts w:cs="Times New Roman"/>
      </w:rPr>
    </w:lvl>
    <w:lvl w:ilvl="1" w:tplc="85629866">
      <w:start w:val="1"/>
      <w:numFmt w:val="lowerLetter"/>
      <w:lvlText w:val="%2."/>
      <w:lvlJc w:val="left"/>
      <w:pPr>
        <w:tabs>
          <w:tab w:val="num" w:pos="1440"/>
        </w:tabs>
        <w:ind w:left="1440" w:hanging="360"/>
      </w:pPr>
      <w:rPr>
        <w:rFonts w:cs="Times New Roman"/>
        <w:i w:val="0"/>
        <w:i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CE37EC"/>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7"/>
  </w:num>
  <w:num w:numId="7">
    <w:abstractNumId w:val="2"/>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6fc,#39f,#36f"/>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F6A"/>
    <w:rsid w:val="00002D98"/>
    <w:rsid w:val="00010DE8"/>
    <w:rsid w:val="0001253D"/>
    <w:rsid w:val="000130EA"/>
    <w:rsid w:val="00017F18"/>
    <w:rsid w:val="000305CC"/>
    <w:rsid w:val="00030C99"/>
    <w:rsid w:val="00032FF2"/>
    <w:rsid w:val="000358BD"/>
    <w:rsid w:val="00037999"/>
    <w:rsid w:val="00044955"/>
    <w:rsid w:val="000450E3"/>
    <w:rsid w:val="00047A67"/>
    <w:rsid w:val="00050F6B"/>
    <w:rsid w:val="00051554"/>
    <w:rsid w:val="000526C1"/>
    <w:rsid w:val="00054ABE"/>
    <w:rsid w:val="00054FB7"/>
    <w:rsid w:val="00055027"/>
    <w:rsid w:val="000551DC"/>
    <w:rsid w:val="00061D7E"/>
    <w:rsid w:val="000669BA"/>
    <w:rsid w:val="0006701F"/>
    <w:rsid w:val="000673B0"/>
    <w:rsid w:val="00067FDF"/>
    <w:rsid w:val="000713F2"/>
    <w:rsid w:val="00072C8C"/>
    <w:rsid w:val="000733B5"/>
    <w:rsid w:val="00074396"/>
    <w:rsid w:val="000747D2"/>
    <w:rsid w:val="0007522E"/>
    <w:rsid w:val="00075DBA"/>
    <w:rsid w:val="000764A8"/>
    <w:rsid w:val="00076BB9"/>
    <w:rsid w:val="0007743D"/>
    <w:rsid w:val="00077485"/>
    <w:rsid w:val="000804D0"/>
    <w:rsid w:val="0008148F"/>
    <w:rsid w:val="00082B8E"/>
    <w:rsid w:val="000866A2"/>
    <w:rsid w:val="00086B8C"/>
    <w:rsid w:val="00090E6F"/>
    <w:rsid w:val="000927E6"/>
    <w:rsid w:val="000931C0"/>
    <w:rsid w:val="00093604"/>
    <w:rsid w:val="000937AE"/>
    <w:rsid w:val="00093F7A"/>
    <w:rsid w:val="00096587"/>
    <w:rsid w:val="000976D8"/>
    <w:rsid w:val="00097D84"/>
    <w:rsid w:val="00097DE7"/>
    <w:rsid w:val="000A0BD5"/>
    <w:rsid w:val="000A0E91"/>
    <w:rsid w:val="000A18BF"/>
    <w:rsid w:val="000A4FFA"/>
    <w:rsid w:val="000A5B11"/>
    <w:rsid w:val="000A5D3B"/>
    <w:rsid w:val="000A6690"/>
    <w:rsid w:val="000A7519"/>
    <w:rsid w:val="000A797D"/>
    <w:rsid w:val="000B1724"/>
    <w:rsid w:val="000B175B"/>
    <w:rsid w:val="000B17CC"/>
    <w:rsid w:val="000B17D0"/>
    <w:rsid w:val="000B2F41"/>
    <w:rsid w:val="000B3A0F"/>
    <w:rsid w:val="000B4EF7"/>
    <w:rsid w:val="000C1462"/>
    <w:rsid w:val="000C2D2E"/>
    <w:rsid w:val="000C4744"/>
    <w:rsid w:val="000D1764"/>
    <w:rsid w:val="000D24C3"/>
    <w:rsid w:val="000D392E"/>
    <w:rsid w:val="000D6DFF"/>
    <w:rsid w:val="000D7DF4"/>
    <w:rsid w:val="000E0415"/>
    <w:rsid w:val="000E1E41"/>
    <w:rsid w:val="000F2DE4"/>
    <w:rsid w:val="000F662F"/>
    <w:rsid w:val="00100B8C"/>
    <w:rsid w:val="00106643"/>
    <w:rsid w:val="00107FA2"/>
    <w:rsid w:val="001103AA"/>
    <w:rsid w:val="0011335B"/>
    <w:rsid w:val="00113FDF"/>
    <w:rsid w:val="00114A64"/>
    <w:rsid w:val="00116E0E"/>
    <w:rsid w:val="00117537"/>
    <w:rsid w:val="00120DE1"/>
    <w:rsid w:val="001218F9"/>
    <w:rsid w:val="00121F02"/>
    <w:rsid w:val="00121F39"/>
    <w:rsid w:val="00122076"/>
    <w:rsid w:val="001226B2"/>
    <w:rsid w:val="001242E3"/>
    <w:rsid w:val="00125331"/>
    <w:rsid w:val="001255D9"/>
    <w:rsid w:val="00127A57"/>
    <w:rsid w:val="00133462"/>
    <w:rsid w:val="0013414F"/>
    <w:rsid w:val="001415F1"/>
    <w:rsid w:val="0014382E"/>
    <w:rsid w:val="00143EAA"/>
    <w:rsid w:val="0014518D"/>
    <w:rsid w:val="001459F1"/>
    <w:rsid w:val="001469B8"/>
    <w:rsid w:val="00146A30"/>
    <w:rsid w:val="00150503"/>
    <w:rsid w:val="00155467"/>
    <w:rsid w:val="00155F52"/>
    <w:rsid w:val="00157132"/>
    <w:rsid w:val="00157301"/>
    <w:rsid w:val="00157354"/>
    <w:rsid w:val="00157751"/>
    <w:rsid w:val="00163E09"/>
    <w:rsid w:val="001652B1"/>
    <w:rsid w:val="00166BC3"/>
    <w:rsid w:val="00170278"/>
    <w:rsid w:val="001739A4"/>
    <w:rsid w:val="00174991"/>
    <w:rsid w:val="00180D95"/>
    <w:rsid w:val="00183063"/>
    <w:rsid w:val="001833C2"/>
    <w:rsid w:val="00183702"/>
    <w:rsid w:val="0018464E"/>
    <w:rsid w:val="00186513"/>
    <w:rsid w:val="00186714"/>
    <w:rsid w:val="0018711F"/>
    <w:rsid w:val="00192212"/>
    <w:rsid w:val="00192E4D"/>
    <w:rsid w:val="00197099"/>
    <w:rsid w:val="0019761F"/>
    <w:rsid w:val="00197C5B"/>
    <w:rsid w:val="001A04F5"/>
    <w:rsid w:val="001A11E2"/>
    <w:rsid w:val="001A5894"/>
    <w:rsid w:val="001A604D"/>
    <w:rsid w:val="001A645D"/>
    <w:rsid w:val="001A7FD1"/>
    <w:rsid w:val="001B175B"/>
    <w:rsid w:val="001B3BD0"/>
    <w:rsid w:val="001B4B04"/>
    <w:rsid w:val="001B4B35"/>
    <w:rsid w:val="001B4FD7"/>
    <w:rsid w:val="001B618F"/>
    <w:rsid w:val="001B62EE"/>
    <w:rsid w:val="001B7324"/>
    <w:rsid w:val="001B778C"/>
    <w:rsid w:val="001C1A32"/>
    <w:rsid w:val="001C2784"/>
    <w:rsid w:val="001C50AC"/>
    <w:rsid w:val="001C6663"/>
    <w:rsid w:val="001C697F"/>
    <w:rsid w:val="001C7895"/>
    <w:rsid w:val="001D1237"/>
    <w:rsid w:val="001D26DF"/>
    <w:rsid w:val="001D2B22"/>
    <w:rsid w:val="001D3458"/>
    <w:rsid w:val="001D37C6"/>
    <w:rsid w:val="001D40C5"/>
    <w:rsid w:val="001D74D8"/>
    <w:rsid w:val="001D7785"/>
    <w:rsid w:val="001E13DF"/>
    <w:rsid w:val="001E3B82"/>
    <w:rsid w:val="001E575E"/>
    <w:rsid w:val="001E5AA0"/>
    <w:rsid w:val="001E5B14"/>
    <w:rsid w:val="001E7E5D"/>
    <w:rsid w:val="001F02C9"/>
    <w:rsid w:val="001F14BC"/>
    <w:rsid w:val="001F32DB"/>
    <w:rsid w:val="0020102C"/>
    <w:rsid w:val="00202A35"/>
    <w:rsid w:val="00202DA8"/>
    <w:rsid w:val="002042FB"/>
    <w:rsid w:val="00207F8C"/>
    <w:rsid w:val="00210ADE"/>
    <w:rsid w:val="00211E0B"/>
    <w:rsid w:val="0021345E"/>
    <w:rsid w:val="00213ABB"/>
    <w:rsid w:val="002200C7"/>
    <w:rsid w:val="00220627"/>
    <w:rsid w:val="00221F2C"/>
    <w:rsid w:val="00225944"/>
    <w:rsid w:val="00226E4F"/>
    <w:rsid w:val="00227014"/>
    <w:rsid w:val="00227481"/>
    <w:rsid w:val="00230923"/>
    <w:rsid w:val="00231353"/>
    <w:rsid w:val="00232D23"/>
    <w:rsid w:val="0023339D"/>
    <w:rsid w:val="00234897"/>
    <w:rsid w:val="00235C71"/>
    <w:rsid w:val="002409BB"/>
    <w:rsid w:val="00240C38"/>
    <w:rsid w:val="002441FA"/>
    <w:rsid w:val="00245E80"/>
    <w:rsid w:val="00260EA6"/>
    <w:rsid w:val="0026194B"/>
    <w:rsid w:val="002623E6"/>
    <w:rsid w:val="0026269D"/>
    <w:rsid w:val="00271CF8"/>
    <w:rsid w:val="002770D5"/>
    <w:rsid w:val="0028048A"/>
    <w:rsid w:val="00284A88"/>
    <w:rsid w:val="00285D80"/>
    <w:rsid w:val="00287305"/>
    <w:rsid w:val="002902B9"/>
    <w:rsid w:val="00290982"/>
    <w:rsid w:val="00296C67"/>
    <w:rsid w:val="00297AEF"/>
    <w:rsid w:val="002A009B"/>
    <w:rsid w:val="002A62F1"/>
    <w:rsid w:val="002B0464"/>
    <w:rsid w:val="002B30FC"/>
    <w:rsid w:val="002B40FD"/>
    <w:rsid w:val="002B491B"/>
    <w:rsid w:val="002B5B15"/>
    <w:rsid w:val="002B6AE2"/>
    <w:rsid w:val="002B76F4"/>
    <w:rsid w:val="002B77D0"/>
    <w:rsid w:val="002C0B66"/>
    <w:rsid w:val="002C2148"/>
    <w:rsid w:val="002C5A3C"/>
    <w:rsid w:val="002C5C95"/>
    <w:rsid w:val="002C7DFD"/>
    <w:rsid w:val="002D1BF4"/>
    <w:rsid w:val="002D1CA8"/>
    <w:rsid w:val="002D3134"/>
    <w:rsid w:val="002D3627"/>
    <w:rsid w:val="002D66DE"/>
    <w:rsid w:val="002D6B28"/>
    <w:rsid w:val="002E04A0"/>
    <w:rsid w:val="002E0DF4"/>
    <w:rsid w:val="002E173A"/>
    <w:rsid w:val="002E3649"/>
    <w:rsid w:val="002E5683"/>
    <w:rsid w:val="002E639A"/>
    <w:rsid w:val="002F0E1D"/>
    <w:rsid w:val="002F175C"/>
    <w:rsid w:val="002F69C9"/>
    <w:rsid w:val="002F79C3"/>
    <w:rsid w:val="003014DC"/>
    <w:rsid w:val="00301FAF"/>
    <w:rsid w:val="003021E5"/>
    <w:rsid w:val="003023BC"/>
    <w:rsid w:val="00306352"/>
    <w:rsid w:val="003102CF"/>
    <w:rsid w:val="00310482"/>
    <w:rsid w:val="00310C36"/>
    <w:rsid w:val="00313627"/>
    <w:rsid w:val="0031543D"/>
    <w:rsid w:val="00316ABD"/>
    <w:rsid w:val="00316AD0"/>
    <w:rsid w:val="00317615"/>
    <w:rsid w:val="00321D44"/>
    <w:rsid w:val="003229D8"/>
    <w:rsid w:val="00323438"/>
    <w:rsid w:val="003254E4"/>
    <w:rsid w:val="003305AB"/>
    <w:rsid w:val="00331F50"/>
    <w:rsid w:val="0033441B"/>
    <w:rsid w:val="00336378"/>
    <w:rsid w:val="00336726"/>
    <w:rsid w:val="00336A77"/>
    <w:rsid w:val="00337561"/>
    <w:rsid w:val="0034089C"/>
    <w:rsid w:val="00343553"/>
    <w:rsid w:val="00347422"/>
    <w:rsid w:val="003476CB"/>
    <w:rsid w:val="003518C3"/>
    <w:rsid w:val="00352709"/>
    <w:rsid w:val="003533C5"/>
    <w:rsid w:val="00354C02"/>
    <w:rsid w:val="00355158"/>
    <w:rsid w:val="003557DD"/>
    <w:rsid w:val="003574D0"/>
    <w:rsid w:val="00360605"/>
    <w:rsid w:val="003626C8"/>
    <w:rsid w:val="00363847"/>
    <w:rsid w:val="00364D4B"/>
    <w:rsid w:val="00365AF4"/>
    <w:rsid w:val="00365B2C"/>
    <w:rsid w:val="00370872"/>
    <w:rsid w:val="00371178"/>
    <w:rsid w:val="00373F01"/>
    <w:rsid w:val="00374856"/>
    <w:rsid w:val="00374D0D"/>
    <w:rsid w:val="0038184E"/>
    <w:rsid w:val="0038251C"/>
    <w:rsid w:val="0038645C"/>
    <w:rsid w:val="00393072"/>
    <w:rsid w:val="00393955"/>
    <w:rsid w:val="00394615"/>
    <w:rsid w:val="003952DF"/>
    <w:rsid w:val="00397677"/>
    <w:rsid w:val="00397B1B"/>
    <w:rsid w:val="00397E97"/>
    <w:rsid w:val="003A096E"/>
    <w:rsid w:val="003A1CFB"/>
    <w:rsid w:val="003A4810"/>
    <w:rsid w:val="003A5182"/>
    <w:rsid w:val="003A54D9"/>
    <w:rsid w:val="003A5E14"/>
    <w:rsid w:val="003A6810"/>
    <w:rsid w:val="003B0FA6"/>
    <w:rsid w:val="003B110F"/>
    <w:rsid w:val="003B3BB5"/>
    <w:rsid w:val="003B4E47"/>
    <w:rsid w:val="003B534B"/>
    <w:rsid w:val="003B54EE"/>
    <w:rsid w:val="003C0F2C"/>
    <w:rsid w:val="003C1E2D"/>
    <w:rsid w:val="003C2CC4"/>
    <w:rsid w:val="003C67BD"/>
    <w:rsid w:val="003C71CF"/>
    <w:rsid w:val="003C7D3C"/>
    <w:rsid w:val="003D4B23"/>
    <w:rsid w:val="003D7942"/>
    <w:rsid w:val="003E1150"/>
    <w:rsid w:val="003E5333"/>
    <w:rsid w:val="003E5BC2"/>
    <w:rsid w:val="003F06BB"/>
    <w:rsid w:val="003F0EA8"/>
    <w:rsid w:val="003F12C1"/>
    <w:rsid w:val="003F2DA5"/>
    <w:rsid w:val="003F31B1"/>
    <w:rsid w:val="003F3C04"/>
    <w:rsid w:val="003F5429"/>
    <w:rsid w:val="003F5582"/>
    <w:rsid w:val="00403912"/>
    <w:rsid w:val="00405DDC"/>
    <w:rsid w:val="00410C89"/>
    <w:rsid w:val="00416BD7"/>
    <w:rsid w:val="004222BA"/>
    <w:rsid w:val="00422AC9"/>
    <w:rsid w:val="00425602"/>
    <w:rsid w:val="004275CB"/>
    <w:rsid w:val="004325CB"/>
    <w:rsid w:val="00432DD6"/>
    <w:rsid w:val="00432EFE"/>
    <w:rsid w:val="004332A1"/>
    <w:rsid w:val="004348C3"/>
    <w:rsid w:val="00437C1B"/>
    <w:rsid w:val="00443723"/>
    <w:rsid w:val="004453FA"/>
    <w:rsid w:val="0044561A"/>
    <w:rsid w:val="00445931"/>
    <w:rsid w:val="0044667E"/>
    <w:rsid w:val="004472D0"/>
    <w:rsid w:val="004476FB"/>
    <w:rsid w:val="00452F8A"/>
    <w:rsid w:val="0045495B"/>
    <w:rsid w:val="00460515"/>
    <w:rsid w:val="00465846"/>
    <w:rsid w:val="00466EF7"/>
    <w:rsid w:val="00477578"/>
    <w:rsid w:val="00481D30"/>
    <w:rsid w:val="00485E16"/>
    <w:rsid w:val="00487334"/>
    <w:rsid w:val="00490D9F"/>
    <w:rsid w:val="00492E6F"/>
    <w:rsid w:val="004A01F0"/>
    <w:rsid w:val="004A0B65"/>
    <w:rsid w:val="004A420B"/>
    <w:rsid w:val="004A44E9"/>
    <w:rsid w:val="004A457A"/>
    <w:rsid w:val="004B0F19"/>
    <w:rsid w:val="004B2578"/>
    <w:rsid w:val="004B3523"/>
    <w:rsid w:val="004C3654"/>
    <w:rsid w:val="004C5E02"/>
    <w:rsid w:val="004C7C63"/>
    <w:rsid w:val="004D25E4"/>
    <w:rsid w:val="004D48D9"/>
    <w:rsid w:val="004D5D6E"/>
    <w:rsid w:val="004D6465"/>
    <w:rsid w:val="004D7681"/>
    <w:rsid w:val="004E4A00"/>
    <w:rsid w:val="004E4ACB"/>
    <w:rsid w:val="004E5BC1"/>
    <w:rsid w:val="004F0200"/>
    <w:rsid w:val="004F12C6"/>
    <w:rsid w:val="004F14E2"/>
    <w:rsid w:val="004F24D5"/>
    <w:rsid w:val="004F3EE6"/>
    <w:rsid w:val="004F5F87"/>
    <w:rsid w:val="004F6FF5"/>
    <w:rsid w:val="00502894"/>
    <w:rsid w:val="00506D28"/>
    <w:rsid w:val="00512422"/>
    <w:rsid w:val="00512C2A"/>
    <w:rsid w:val="00513687"/>
    <w:rsid w:val="00516D39"/>
    <w:rsid w:val="00517B36"/>
    <w:rsid w:val="00520113"/>
    <w:rsid w:val="00520AC6"/>
    <w:rsid w:val="00520D35"/>
    <w:rsid w:val="00521F17"/>
    <w:rsid w:val="00522E3A"/>
    <w:rsid w:val="00523650"/>
    <w:rsid w:val="005303EC"/>
    <w:rsid w:val="00533A2F"/>
    <w:rsid w:val="00535C09"/>
    <w:rsid w:val="00535E12"/>
    <w:rsid w:val="00537823"/>
    <w:rsid w:val="00537FD3"/>
    <w:rsid w:val="005416FD"/>
    <w:rsid w:val="005420F2"/>
    <w:rsid w:val="00543D9B"/>
    <w:rsid w:val="005466A4"/>
    <w:rsid w:val="0054796F"/>
    <w:rsid w:val="00550237"/>
    <w:rsid w:val="0055215E"/>
    <w:rsid w:val="005544B7"/>
    <w:rsid w:val="005554AF"/>
    <w:rsid w:val="00555908"/>
    <w:rsid w:val="0056237A"/>
    <w:rsid w:val="00562DFA"/>
    <w:rsid w:val="00564C80"/>
    <w:rsid w:val="00580882"/>
    <w:rsid w:val="00583F6B"/>
    <w:rsid w:val="00584B89"/>
    <w:rsid w:val="00587918"/>
    <w:rsid w:val="005A17E5"/>
    <w:rsid w:val="005A3EC4"/>
    <w:rsid w:val="005A469B"/>
    <w:rsid w:val="005A6534"/>
    <w:rsid w:val="005B0AD0"/>
    <w:rsid w:val="005B3DB3"/>
    <w:rsid w:val="005C04BF"/>
    <w:rsid w:val="005C10B2"/>
    <w:rsid w:val="005C38B0"/>
    <w:rsid w:val="005C46FB"/>
    <w:rsid w:val="005C6A79"/>
    <w:rsid w:val="005C7903"/>
    <w:rsid w:val="005D02BD"/>
    <w:rsid w:val="005D0327"/>
    <w:rsid w:val="005D122D"/>
    <w:rsid w:val="005D2F6A"/>
    <w:rsid w:val="005D37DD"/>
    <w:rsid w:val="005D6734"/>
    <w:rsid w:val="005E1F92"/>
    <w:rsid w:val="005E204C"/>
    <w:rsid w:val="005F2EBE"/>
    <w:rsid w:val="005F388D"/>
    <w:rsid w:val="006001EE"/>
    <w:rsid w:val="006006DA"/>
    <w:rsid w:val="00602C5F"/>
    <w:rsid w:val="00603DDB"/>
    <w:rsid w:val="00605402"/>
    <w:rsid w:val="00611FC4"/>
    <w:rsid w:val="00613086"/>
    <w:rsid w:val="00614EF9"/>
    <w:rsid w:val="00617176"/>
    <w:rsid w:val="006176FB"/>
    <w:rsid w:val="00617BCA"/>
    <w:rsid w:val="00622311"/>
    <w:rsid w:val="00630328"/>
    <w:rsid w:val="00630474"/>
    <w:rsid w:val="006324CA"/>
    <w:rsid w:val="006329A1"/>
    <w:rsid w:val="006329AA"/>
    <w:rsid w:val="00637350"/>
    <w:rsid w:val="00640B26"/>
    <w:rsid w:val="0064104C"/>
    <w:rsid w:val="006423C9"/>
    <w:rsid w:val="00644028"/>
    <w:rsid w:val="00650E30"/>
    <w:rsid w:val="0065106E"/>
    <w:rsid w:val="00652C0B"/>
    <w:rsid w:val="00653CCB"/>
    <w:rsid w:val="00655108"/>
    <w:rsid w:val="006568F3"/>
    <w:rsid w:val="0065709A"/>
    <w:rsid w:val="006574F3"/>
    <w:rsid w:val="00657536"/>
    <w:rsid w:val="00660903"/>
    <w:rsid w:val="00660DC9"/>
    <w:rsid w:val="00661492"/>
    <w:rsid w:val="00665746"/>
    <w:rsid w:val="00666356"/>
    <w:rsid w:val="006705AF"/>
    <w:rsid w:val="00673A9F"/>
    <w:rsid w:val="0067475C"/>
    <w:rsid w:val="006753DD"/>
    <w:rsid w:val="00675BED"/>
    <w:rsid w:val="00676511"/>
    <w:rsid w:val="006835E5"/>
    <w:rsid w:val="00690FA2"/>
    <w:rsid w:val="00691DAB"/>
    <w:rsid w:val="00696F23"/>
    <w:rsid w:val="0069709A"/>
    <w:rsid w:val="006A488B"/>
    <w:rsid w:val="006A4DD1"/>
    <w:rsid w:val="006A5518"/>
    <w:rsid w:val="006A7FCB"/>
    <w:rsid w:val="006B30C6"/>
    <w:rsid w:val="006B3760"/>
    <w:rsid w:val="006B78E6"/>
    <w:rsid w:val="006B7F3C"/>
    <w:rsid w:val="006C2730"/>
    <w:rsid w:val="006C2A8F"/>
    <w:rsid w:val="006C672C"/>
    <w:rsid w:val="006C6A8C"/>
    <w:rsid w:val="006C745B"/>
    <w:rsid w:val="006C7EF1"/>
    <w:rsid w:val="006D1AB0"/>
    <w:rsid w:val="006E36F8"/>
    <w:rsid w:val="006E3F12"/>
    <w:rsid w:val="006E564B"/>
    <w:rsid w:val="006E599F"/>
    <w:rsid w:val="006E5ACA"/>
    <w:rsid w:val="006F512A"/>
    <w:rsid w:val="006F71A0"/>
    <w:rsid w:val="00700E6F"/>
    <w:rsid w:val="0070111B"/>
    <w:rsid w:val="0070213A"/>
    <w:rsid w:val="00702ABE"/>
    <w:rsid w:val="007039E6"/>
    <w:rsid w:val="0070464B"/>
    <w:rsid w:val="007070B1"/>
    <w:rsid w:val="007131BF"/>
    <w:rsid w:val="007144B1"/>
    <w:rsid w:val="00714554"/>
    <w:rsid w:val="00715D73"/>
    <w:rsid w:val="0071619A"/>
    <w:rsid w:val="00721E3B"/>
    <w:rsid w:val="007240A9"/>
    <w:rsid w:val="00724B99"/>
    <w:rsid w:val="0072632A"/>
    <w:rsid w:val="007279B6"/>
    <w:rsid w:val="007311D9"/>
    <w:rsid w:val="00733EF2"/>
    <w:rsid w:val="0073499C"/>
    <w:rsid w:val="00737BC4"/>
    <w:rsid w:val="00741960"/>
    <w:rsid w:val="0074218B"/>
    <w:rsid w:val="00743FE6"/>
    <w:rsid w:val="00744D01"/>
    <w:rsid w:val="00744D84"/>
    <w:rsid w:val="007450AF"/>
    <w:rsid w:val="0074651C"/>
    <w:rsid w:val="007466FA"/>
    <w:rsid w:val="00750194"/>
    <w:rsid w:val="007515CA"/>
    <w:rsid w:val="007567B2"/>
    <w:rsid w:val="007610AF"/>
    <w:rsid w:val="00765F74"/>
    <w:rsid w:val="00776A57"/>
    <w:rsid w:val="00776CFE"/>
    <w:rsid w:val="00780A37"/>
    <w:rsid w:val="00780D2A"/>
    <w:rsid w:val="00781B2F"/>
    <w:rsid w:val="00782822"/>
    <w:rsid w:val="00784A09"/>
    <w:rsid w:val="007852E7"/>
    <w:rsid w:val="0078678D"/>
    <w:rsid w:val="007877C8"/>
    <w:rsid w:val="00792EAC"/>
    <w:rsid w:val="00793807"/>
    <w:rsid w:val="00793CAF"/>
    <w:rsid w:val="007A06C6"/>
    <w:rsid w:val="007A1664"/>
    <w:rsid w:val="007A35AD"/>
    <w:rsid w:val="007A5061"/>
    <w:rsid w:val="007A5179"/>
    <w:rsid w:val="007B1553"/>
    <w:rsid w:val="007B5452"/>
    <w:rsid w:val="007B6BA5"/>
    <w:rsid w:val="007B79DF"/>
    <w:rsid w:val="007C3390"/>
    <w:rsid w:val="007C4452"/>
    <w:rsid w:val="007C4770"/>
    <w:rsid w:val="007C4F4B"/>
    <w:rsid w:val="007C5A5B"/>
    <w:rsid w:val="007C5C36"/>
    <w:rsid w:val="007D054B"/>
    <w:rsid w:val="007D35B4"/>
    <w:rsid w:val="007D4ED8"/>
    <w:rsid w:val="007E2DA0"/>
    <w:rsid w:val="007E415F"/>
    <w:rsid w:val="007E7D3D"/>
    <w:rsid w:val="007F2AAD"/>
    <w:rsid w:val="007F2E0A"/>
    <w:rsid w:val="007F35B8"/>
    <w:rsid w:val="007F3AAE"/>
    <w:rsid w:val="007F490C"/>
    <w:rsid w:val="007F4EB2"/>
    <w:rsid w:val="007F5B17"/>
    <w:rsid w:val="007F6611"/>
    <w:rsid w:val="00800F1E"/>
    <w:rsid w:val="0080222B"/>
    <w:rsid w:val="008028E1"/>
    <w:rsid w:val="0080335E"/>
    <w:rsid w:val="00803BDB"/>
    <w:rsid w:val="008048AC"/>
    <w:rsid w:val="008059A3"/>
    <w:rsid w:val="00807EA7"/>
    <w:rsid w:val="008115AC"/>
    <w:rsid w:val="00812AD1"/>
    <w:rsid w:val="008139D7"/>
    <w:rsid w:val="00814443"/>
    <w:rsid w:val="00816F36"/>
    <w:rsid w:val="008242D7"/>
    <w:rsid w:val="00824C29"/>
    <w:rsid w:val="008269AD"/>
    <w:rsid w:val="00827D49"/>
    <w:rsid w:val="008313E3"/>
    <w:rsid w:val="00832D01"/>
    <w:rsid w:val="008349B3"/>
    <w:rsid w:val="00836F23"/>
    <w:rsid w:val="00851404"/>
    <w:rsid w:val="00851CCE"/>
    <w:rsid w:val="0085447E"/>
    <w:rsid w:val="0085489A"/>
    <w:rsid w:val="00854A08"/>
    <w:rsid w:val="00855F7E"/>
    <w:rsid w:val="00856B99"/>
    <w:rsid w:val="00857A14"/>
    <w:rsid w:val="0086152E"/>
    <w:rsid w:val="008647C1"/>
    <w:rsid w:val="0086549C"/>
    <w:rsid w:val="008670CB"/>
    <w:rsid w:val="00871462"/>
    <w:rsid w:val="0087225C"/>
    <w:rsid w:val="00872B05"/>
    <w:rsid w:val="008739BE"/>
    <w:rsid w:val="008804A2"/>
    <w:rsid w:val="00881C4B"/>
    <w:rsid w:val="0088277D"/>
    <w:rsid w:val="00882E1A"/>
    <w:rsid w:val="008862A7"/>
    <w:rsid w:val="008875FC"/>
    <w:rsid w:val="00887BAF"/>
    <w:rsid w:val="00890EAE"/>
    <w:rsid w:val="008910B8"/>
    <w:rsid w:val="008914A8"/>
    <w:rsid w:val="00893296"/>
    <w:rsid w:val="008933CF"/>
    <w:rsid w:val="00895138"/>
    <w:rsid w:val="00896A84"/>
    <w:rsid w:val="008979B1"/>
    <w:rsid w:val="008A080C"/>
    <w:rsid w:val="008A21DE"/>
    <w:rsid w:val="008A2BF1"/>
    <w:rsid w:val="008A3B5E"/>
    <w:rsid w:val="008A4510"/>
    <w:rsid w:val="008A60B9"/>
    <w:rsid w:val="008A63C4"/>
    <w:rsid w:val="008A6447"/>
    <w:rsid w:val="008A6B25"/>
    <w:rsid w:val="008A6C4F"/>
    <w:rsid w:val="008A6F54"/>
    <w:rsid w:val="008B1F86"/>
    <w:rsid w:val="008B2335"/>
    <w:rsid w:val="008B32A0"/>
    <w:rsid w:val="008B43D1"/>
    <w:rsid w:val="008B5250"/>
    <w:rsid w:val="008B7735"/>
    <w:rsid w:val="008C080B"/>
    <w:rsid w:val="008C1337"/>
    <w:rsid w:val="008C15F6"/>
    <w:rsid w:val="008C2682"/>
    <w:rsid w:val="008C29AC"/>
    <w:rsid w:val="008C3AA3"/>
    <w:rsid w:val="008C46F0"/>
    <w:rsid w:val="008C7568"/>
    <w:rsid w:val="008C7EBB"/>
    <w:rsid w:val="008D25C1"/>
    <w:rsid w:val="008D2657"/>
    <w:rsid w:val="008D70FB"/>
    <w:rsid w:val="008D7A57"/>
    <w:rsid w:val="008E131A"/>
    <w:rsid w:val="008E5C9B"/>
    <w:rsid w:val="008E66D8"/>
    <w:rsid w:val="008F07FE"/>
    <w:rsid w:val="008F3D11"/>
    <w:rsid w:val="008F6BAB"/>
    <w:rsid w:val="008F6D76"/>
    <w:rsid w:val="0090124B"/>
    <w:rsid w:val="00903694"/>
    <w:rsid w:val="009069BD"/>
    <w:rsid w:val="00906F56"/>
    <w:rsid w:val="0090734F"/>
    <w:rsid w:val="00907F92"/>
    <w:rsid w:val="00911D72"/>
    <w:rsid w:val="009135E1"/>
    <w:rsid w:val="00913D09"/>
    <w:rsid w:val="009223CA"/>
    <w:rsid w:val="00927202"/>
    <w:rsid w:val="009306CD"/>
    <w:rsid w:val="00933B97"/>
    <w:rsid w:val="00935EF1"/>
    <w:rsid w:val="009369F6"/>
    <w:rsid w:val="00940F93"/>
    <w:rsid w:val="0095061B"/>
    <w:rsid w:val="00952C88"/>
    <w:rsid w:val="00952FF0"/>
    <w:rsid w:val="00953874"/>
    <w:rsid w:val="009538C8"/>
    <w:rsid w:val="00953A75"/>
    <w:rsid w:val="00953BB2"/>
    <w:rsid w:val="009548E5"/>
    <w:rsid w:val="00954A7D"/>
    <w:rsid w:val="0095662A"/>
    <w:rsid w:val="00960038"/>
    <w:rsid w:val="009603EF"/>
    <w:rsid w:val="00961987"/>
    <w:rsid w:val="00966E29"/>
    <w:rsid w:val="00967137"/>
    <w:rsid w:val="009712FB"/>
    <w:rsid w:val="00973BCE"/>
    <w:rsid w:val="009766EA"/>
    <w:rsid w:val="00977BCC"/>
    <w:rsid w:val="00980A65"/>
    <w:rsid w:val="00982583"/>
    <w:rsid w:val="00983A68"/>
    <w:rsid w:val="0098427E"/>
    <w:rsid w:val="00986803"/>
    <w:rsid w:val="009869D2"/>
    <w:rsid w:val="009913C4"/>
    <w:rsid w:val="009923CF"/>
    <w:rsid w:val="00992ACD"/>
    <w:rsid w:val="009951CB"/>
    <w:rsid w:val="00995539"/>
    <w:rsid w:val="00997C4D"/>
    <w:rsid w:val="009A04CF"/>
    <w:rsid w:val="009A0EB0"/>
    <w:rsid w:val="009A10F3"/>
    <w:rsid w:val="009A1649"/>
    <w:rsid w:val="009A32EC"/>
    <w:rsid w:val="009B085B"/>
    <w:rsid w:val="009B184B"/>
    <w:rsid w:val="009B4A1B"/>
    <w:rsid w:val="009B51B0"/>
    <w:rsid w:val="009B55B8"/>
    <w:rsid w:val="009B72DA"/>
    <w:rsid w:val="009B78A2"/>
    <w:rsid w:val="009C025F"/>
    <w:rsid w:val="009C07D6"/>
    <w:rsid w:val="009C0EE8"/>
    <w:rsid w:val="009C14AA"/>
    <w:rsid w:val="009C33BF"/>
    <w:rsid w:val="009C3534"/>
    <w:rsid w:val="009C4491"/>
    <w:rsid w:val="009C4EBE"/>
    <w:rsid w:val="009C7B33"/>
    <w:rsid w:val="009D0DF8"/>
    <w:rsid w:val="009D2D37"/>
    <w:rsid w:val="009D66BE"/>
    <w:rsid w:val="009E05EE"/>
    <w:rsid w:val="009E15E5"/>
    <w:rsid w:val="009E18EA"/>
    <w:rsid w:val="009E19BA"/>
    <w:rsid w:val="009E30CC"/>
    <w:rsid w:val="009E341D"/>
    <w:rsid w:val="009E35F0"/>
    <w:rsid w:val="009E3C9C"/>
    <w:rsid w:val="009F297D"/>
    <w:rsid w:val="009F35C7"/>
    <w:rsid w:val="009F6DAF"/>
    <w:rsid w:val="009F6EEC"/>
    <w:rsid w:val="009F7586"/>
    <w:rsid w:val="00A0106F"/>
    <w:rsid w:val="00A01489"/>
    <w:rsid w:val="00A04E4A"/>
    <w:rsid w:val="00A066AF"/>
    <w:rsid w:val="00A06B1C"/>
    <w:rsid w:val="00A10102"/>
    <w:rsid w:val="00A10BB2"/>
    <w:rsid w:val="00A13884"/>
    <w:rsid w:val="00A15943"/>
    <w:rsid w:val="00A15C98"/>
    <w:rsid w:val="00A209A6"/>
    <w:rsid w:val="00A2326F"/>
    <w:rsid w:val="00A23342"/>
    <w:rsid w:val="00A258AC"/>
    <w:rsid w:val="00A31CD7"/>
    <w:rsid w:val="00A31F7C"/>
    <w:rsid w:val="00A322F4"/>
    <w:rsid w:val="00A41480"/>
    <w:rsid w:val="00A417EA"/>
    <w:rsid w:val="00A43080"/>
    <w:rsid w:val="00A4534A"/>
    <w:rsid w:val="00A533F1"/>
    <w:rsid w:val="00A5474D"/>
    <w:rsid w:val="00A54DD4"/>
    <w:rsid w:val="00A56DD3"/>
    <w:rsid w:val="00A576C6"/>
    <w:rsid w:val="00A601D4"/>
    <w:rsid w:val="00A61CCD"/>
    <w:rsid w:val="00A67369"/>
    <w:rsid w:val="00A72F22"/>
    <w:rsid w:val="00A748A6"/>
    <w:rsid w:val="00A776B4"/>
    <w:rsid w:val="00A81F8A"/>
    <w:rsid w:val="00A82B65"/>
    <w:rsid w:val="00A83412"/>
    <w:rsid w:val="00A85F59"/>
    <w:rsid w:val="00A90C40"/>
    <w:rsid w:val="00A91562"/>
    <w:rsid w:val="00A94361"/>
    <w:rsid w:val="00A943E5"/>
    <w:rsid w:val="00A95040"/>
    <w:rsid w:val="00A96593"/>
    <w:rsid w:val="00AA0187"/>
    <w:rsid w:val="00AA74E3"/>
    <w:rsid w:val="00AB0290"/>
    <w:rsid w:val="00AB3B70"/>
    <w:rsid w:val="00AB5762"/>
    <w:rsid w:val="00AC1552"/>
    <w:rsid w:val="00AC1DDA"/>
    <w:rsid w:val="00AC2780"/>
    <w:rsid w:val="00AC573C"/>
    <w:rsid w:val="00AC5E2B"/>
    <w:rsid w:val="00AC6999"/>
    <w:rsid w:val="00AC6D15"/>
    <w:rsid w:val="00AC7027"/>
    <w:rsid w:val="00AD1949"/>
    <w:rsid w:val="00AD310D"/>
    <w:rsid w:val="00AD41BD"/>
    <w:rsid w:val="00AE31DB"/>
    <w:rsid w:val="00AE5625"/>
    <w:rsid w:val="00AE68BC"/>
    <w:rsid w:val="00AE6C15"/>
    <w:rsid w:val="00AE775D"/>
    <w:rsid w:val="00B00C89"/>
    <w:rsid w:val="00B012D4"/>
    <w:rsid w:val="00B01700"/>
    <w:rsid w:val="00B024EE"/>
    <w:rsid w:val="00B055F0"/>
    <w:rsid w:val="00B06775"/>
    <w:rsid w:val="00B133CC"/>
    <w:rsid w:val="00B13AD5"/>
    <w:rsid w:val="00B14FFC"/>
    <w:rsid w:val="00B156F4"/>
    <w:rsid w:val="00B16B4C"/>
    <w:rsid w:val="00B2531B"/>
    <w:rsid w:val="00B253A4"/>
    <w:rsid w:val="00B257A7"/>
    <w:rsid w:val="00B26B13"/>
    <w:rsid w:val="00B300D7"/>
    <w:rsid w:val="00B30179"/>
    <w:rsid w:val="00B32C2C"/>
    <w:rsid w:val="00B34AC7"/>
    <w:rsid w:val="00B41A44"/>
    <w:rsid w:val="00B4603E"/>
    <w:rsid w:val="00B46315"/>
    <w:rsid w:val="00B477B8"/>
    <w:rsid w:val="00B5105C"/>
    <w:rsid w:val="00B527E7"/>
    <w:rsid w:val="00B56E9C"/>
    <w:rsid w:val="00B57208"/>
    <w:rsid w:val="00B60459"/>
    <w:rsid w:val="00B60B1E"/>
    <w:rsid w:val="00B61089"/>
    <w:rsid w:val="00B61D9E"/>
    <w:rsid w:val="00B61F52"/>
    <w:rsid w:val="00B62542"/>
    <w:rsid w:val="00B62C12"/>
    <w:rsid w:val="00B632D7"/>
    <w:rsid w:val="00B63CB0"/>
    <w:rsid w:val="00B64B00"/>
    <w:rsid w:val="00B64B1F"/>
    <w:rsid w:val="00B64C9B"/>
    <w:rsid w:val="00B6553F"/>
    <w:rsid w:val="00B757DD"/>
    <w:rsid w:val="00B758F7"/>
    <w:rsid w:val="00B81B87"/>
    <w:rsid w:val="00B81B94"/>
    <w:rsid w:val="00B81E12"/>
    <w:rsid w:val="00B83FD4"/>
    <w:rsid w:val="00B8401F"/>
    <w:rsid w:val="00B905B0"/>
    <w:rsid w:val="00B90C84"/>
    <w:rsid w:val="00B927BF"/>
    <w:rsid w:val="00B95F1C"/>
    <w:rsid w:val="00B968C3"/>
    <w:rsid w:val="00B97197"/>
    <w:rsid w:val="00B97C48"/>
    <w:rsid w:val="00BA0DBC"/>
    <w:rsid w:val="00BA3C05"/>
    <w:rsid w:val="00BA47F6"/>
    <w:rsid w:val="00BA65E4"/>
    <w:rsid w:val="00BA6DC3"/>
    <w:rsid w:val="00BA78DA"/>
    <w:rsid w:val="00BB1DF2"/>
    <w:rsid w:val="00BB48C8"/>
    <w:rsid w:val="00BB48DC"/>
    <w:rsid w:val="00BC15FE"/>
    <w:rsid w:val="00BC2326"/>
    <w:rsid w:val="00BC3CCC"/>
    <w:rsid w:val="00BC40B4"/>
    <w:rsid w:val="00BC559C"/>
    <w:rsid w:val="00BC6615"/>
    <w:rsid w:val="00BC74E9"/>
    <w:rsid w:val="00BC75CA"/>
    <w:rsid w:val="00BD1453"/>
    <w:rsid w:val="00BD2320"/>
    <w:rsid w:val="00BD5E15"/>
    <w:rsid w:val="00BD75A9"/>
    <w:rsid w:val="00BD7763"/>
    <w:rsid w:val="00BE1FC8"/>
    <w:rsid w:val="00BE48CA"/>
    <w:rsid w:val="00BE7123"/>
    <w:rsid w:val="00BF39E4"/>
    <w:rsid w:val="00BF42E6"/>
    <w:rsid w:val="00BF68A8"/>
    <w:rsid w:val="00C0405B"/>
    <w:rsid w:val="00C05329"/>
    <w:rsid w:val="00C05D02"/>
    <w:rsid w:val="00C10AB4"/>
    <w:rsid w:val="00C11D8C"/>
    <w:rsid w:val="00C11EBF"/>
    <w:rsid w:val="00C200C8"/>
    <w:rsid w:val="00C2063C"/>
    <w:rsid w:val="00C20645"/>
    <w:rsid w:val="00C2284E"/>
    <w:rsid w:val="00C262EC"/>
    <w:rsid w:val="00C26F20"/>
    <w:rsid w:val="00C3206E"/>
    <w:rsid w:val="00C328D7"/>
    <w:rsid w:val="00C32E50"/>
    <w:rsid w:val="00C36768"/>
    <w:rsid w:val="00C42A18"/>
    <w:rsid w:val="00C463DD"/>
    <w:rsid w:val="00C4724C"/>
    <w:rsid w:val="00C4754E"/>
    <w:rsid w:val="00C475AB"/>
    <w:rsid w:val="00C511AA"/>
    <w:rsid w:val="00C51361"/>
    <w:rsid w:val="00C51E0D"/>
    <w:rsid w:val="00C524E7"/>
    <w:rsid w:val="00C52573"/>
    <w:rsid w:val="00C53A77"/>
    <w:rsid w:val="00C53FD1"/>
    <w:rsid w:val="00C54F41"/>
    <w:rsid w:val="00C558F0"/>
    <w:rsid w:val="00C55DBE"/>
    <w:rsid w:val="00C60A23"/>
    <w:rsid w:val="00C60BAE"/>
    <w:rsid w:val="00C629A0"/>
    <w:rsid w:val="00C6494F"/>
    <w:rsid w:val="00C67A39"/>
    <w:rsid w:val="00C7298F"/>
    <w:rsid w:val="00C73CCA"/>
    <w:rsid w:val="00C745C3"/>
    <w:rsid w:val="00C757AB"/>
    <w:rsid w:val="00C75FB9"/>
    <w:rsid w:val="00C76A46"/>
    <w:rsid w:val="00C778A8"/>
    <w:rsid w:val="00C8303A"/>
    <w:rsid w:val="00C93178"/>
    <w:rsid w:val="00C95577"/>
    <w:rsid w:val="00C95DE0"/>
    <w:rsid w:val="00C9682A"/>
    <w:rsid w:val="00CA34BD"/>
    <w:rsid w:val="00CA3899"/>
    <w:rsid w:val="00CA4939"/>
    <w:rsid w:val="00CA61F0"/>
    <w:rsid w:val="00CB0255"/>
    <w:rsid w:val="00CB0A49"/>
    <w:rsid w:val="00CB1F32"/>
    <w:rsid w:val="00CB231B"/>
    <w:rsid w:val="00CB5D84"/>
    <w:rsid w:val="00CB7D89"/>
    <w:rsid w:val="00CC00AC"/>
    <w:rsid w:val="00CC0A15"/>
    <w:rsid w:val="00CC0DAE"/>
    <w:rsid w:val="00CC2203"/>
    <w:rsid w:val="00CC24D2"/>
    <w:rsid w:val="00CC414E"/>
    <w:rsid w:val="00CC47AE"/>
    <w:rsid w:val="00CC5BA4"/>
    <w:rsid w:val="00CD09F5"/>
    <w:rsid w:val="00CD3A7F"/>
    <w:rsid w:val="00CD3AC2"/>
    <w:rsid w:val="00CD7B3E"/>
    <w:rsid w:val="00CE27E1"/>
    <w:rsid w:val="00CE4879"/>
    <w:rsid w:val="00CE4A7D"/>
    <w:rsid w:val="00CE4A8F"/>
    <w:rsid w:val="00CE6555"/>
    <w:rsid w:val="00CF1FE8"/>
    <w:rsid w:val="00CF50AD"/>
    <w:rsid w:val="00CF5B5D"/>
    <w:rsid w:val="00D0177F"/>
    <w:rsid w:val="00D01ACA"/>
    <w:rsid w:val="00D02A69"/>
    <w:rsid w:val="00D03D45"/>
    <w:rsid w:val="00D06815"/>
    <w:rsid w:val="00D11069"/>
    <w:rsid w:val="00D14C11"/>
    <w:rsid w:val="00D162A6"/>
    <w:rsid w:val="00D2031B"/>
    <w:rsid w:val="00D218CB"/>
    <w:rsid w:val="00D21D7A"/>
    <w:rsid w:val="00D222D5"/>
    <w:rsid w:val="00D25FE2"/>
    <w:rsid w:val="00D26881"/>
    <w:rsid w:val="00D332F1"/>
    <w:rsid w:val="00D350F9"/>
    <w:rsid w:val="00D37368"/>
    <w:rsid w:val="00D41714"/>
    <w:rsid w:val="00D43252"/>
    <w:rsid w:val="00D43EBB"/>
    <w:rsid w:val="00D455A4"/>
    <w:rsid w:val="00D51E7F"/>
    <w:rsid w:val="00D57B6E"/>
    <w:rsid w:val="00D604D7"/>
    <w:rsid w:val="00D61079"/>
    <w:rsid w:val="00D625D1"/>
    <w:rsid w:val="00D633E6"/>
    <w:rsid w:val="00D674A3"/>
    <w:rsid w:val="00D701F1"/>
    <w:rsid w:val="00D75726"/>
    <w:rsid w:val="00D7631F"/>
    <w:rsid w:val="00D7767E"/>
    <w:rsid w:val="00D80F1A"/>
    <w:rsid w:val="00D835BB"/>
    <w:rsid w:val="00D85E3C"/>
    <w:rsid w:val="00D8615C"/>
    <w:rsid w:val="00D8695F"/>
    <w:rsid w:val="00D87273"/>
    <w:rsid w:val="00D90715"/>
    <w:rsid w:val="00D916B4"/>
    <w:rsid w:val="00D92DA6"/>
    <w:rsid w:val="00D976FF"/>
    <w:rsid w:val="00D978C6"/>
    <w:rsid w:val="00DA2FFC"/>
    <w:rsid w:val="00DA3C1C"/>
    <w:rsid w:val="00DA6C8C"/>
    <w:rsid w:val="00DB195A"/>
    <w:rsid w:val="00DB2DF3"/>
    <w:rsid w:val="00DB3AC6"/>
    <w:rsid w:val="00DB402E"/>
    <w:rsid w:val="00DB633C"/>
    <w:rsid w:val="00DB6453"/>
    <w:rsid w:val="00DC068D"/>
    <w:rsid w:val="00DC0C86"/>
    <w:rsid w:val="00DC203C"/>
    <w:rsid w:val="00DC33B3"/>
    <w:rsid w:val="00DC5328"/>
    <w:rsid w:val="00DC6E43"/>
    <w:rsid w:val="00DD0174"/>
    <w:rsid w:val="00DD14C8"/>
    <w:rsid w:val="00DD4438"/>
    <w:rsid w:val="00DD4FFC"/>
    <w:rsid w:val="00DD5188"/>
    <w:rsid w:val="00DD72B8"/>
    <w:rsid w:val="00DD734C"/>
    <w:rsid w:val="00DE0B3B"/>
    <w:rsid w:val="00DE50A4"/>
    <w:rsid w:val="00DE6601"/>
    <w:rsid w:val="00DE732E"/>
    <w:rsid w:val="00DF35C4"/>
    <w:rsid w:val="00DF3C81"/>
    <w:rsid w:val="00DF4129"/>
    <w:rsid w:val="00DF5111"/>
    <w:rsid w:val="00DF67E3"/>
    <w:rsid w:val="00DF6F24"/>
    <w:rsid w:val="00DF7164"/>
    <w:rsid w:val="00E04CA5"/>
    <w:rsid w:val="00E059CC"/>
    <w:rsid w:val="00E05F34"/>
    <w:rsid w:val="00E07320"/>
    <w:rsid w:val="00E07580"/>
    <w:rsid w:val="00E109FB"/>
    <w:rsid w:val="00E12E45"/>
    <w:rsid w:val="00E132D3"/>
    <w:rsid w:val="00E133B7"/>
    <w:rsid w:val="00E143E5"/>
    <w:rsid w:val="00E16DF1"/>
    <w:rsid w:val="00E20E0D"/>
    <w:rsid w:val="00E21882"/>
    <w:rsid w:val="00E2604D"/>
    <w:rsid w:val="00E3097D"/>
    <w:rsid w:val="00E30F68"/>
    <w:rsid w:val="00E32EEE"/>
    <w:rsid w:val="00E34555"/>
    <w:rsid w:val="00E3548C"/>
    <w:rsid w:val="00E35E26"/>
    <w:rsid w:val="00E36013"/>
    <w:rsid w:val="00E4337B"/>
    <w:rsid w:val="00E433D1"/>
    <w:rsid w:val="00E4392A"/>
    <w:rsid w:val="00E45331"/>
    <w:rsid w:val="00E50A82"/>
    <w:rsid w:val="00E56E08"/>
    <w:rsid w:val="00E572F9"/>
    <w:rsid w:val="00E624B7"/>
    <w:rsid w:val="00E63389"/>
    <w:rsid w:val="00E633C6"/>
    <w:rsid w:val="00E63C5A"/>
    <w:rsid w:val="00E71BC8"/>
    <w:rsid w:val="00E721CF"/>
    <w:rsid w:val="00E7260F"/>
    <w:rsid w:val="00E73C41"/>
    <w:rsid w:val="00E73FAB"/>
    <w:rsid w:val="00E74110"/>
    <w:rsid w:val="00E76972"/>
    <w:rsid w:val="00E76C4A"/>
    <w:rsid w:val="00E7728D"/>
    <w:rsid w:val="00E8216A"/>
    <w:rsid w:val="00E82444"/>
    <w:rsid w:val="00E839F6"/>
    <w:rsid w:val="00E86B5E"/>
    <w:rsid w:val="00E90451"/>
    <w:rsid w:val="00E92B9F"/>
    <w:rsid w:val="00E935EA"/>
    <w:rsid w:val="00E93F75"/>
    <w:rsid w:val="00E96630"/>
    <w:rsid w:val="00E96AC3"/>
    <w:rsid w:val="00EA0FDC"/>
    <w:rsid w:val="00EA15AD"/>
    <w:rsid w:val="00EA3172"/>
    <w:rsid w:val="00EA46FE"/>
    <w:rsid w:val="00EB29EF"/>
    <w:rsid w:val="00EB5C6C"/>
    <w:rsid w:val="00EB7467"/>
    <w:rsid w:val="00EC7E18"/>
    <w:rsid w:val="00ED0A48"/>
    <w:rsid w:val="00ED1BBC"/>
    <w:rsid w:val="00ED32A3"/>
    <w:rsid w:val="00ED35E7"/>
    <w:rsid w:val="00ED56AE"/>
    <w:rsid w:val="00ED616A"/>
    <w:rsid w:val="00ED6C55"/>
    <w:rsid w:val="00ED7A2A"/>
    <w:rsid w:val="00EE039F"/>
    <w:rsid w:val="00EE045E"/>
    <w:rsid w:val="00EE0800"/>
    <w:rsid w:val="00EE19BB"/>
    <w:rsid w:val="00EE29D8"/>
    <w:rsid w:val="00EE495A"/>
    <w:rsid w:val="00EE581A"/>
    <w:rsid w:val="00EE5B05"/>
    <w:rsid w:val="00EE6B78"/>
    <w:rsid w:val="00EE6BC1"/>
    <w:rsid w:val="00EE78A0"/>
    <w:rsid w:val="00EE7AB9"/>
    <w:rsid w:val="00EE7C53"/>
    <w:rsid w:val="00EF0449"/>
    <w:rsid w:val="00EF1D7F"/>
    <w:rsid w:val="00EF1EC9"/>
    <w:rsid w:val="00EF301B"/>
    <w:rsid w:val="00EF3098"/>
    <w:rsid w:val="00EF65CB"/>
    <w:rsid w:val="00EF6C4E"/>
    <w:rsid w:val="00EF6DFE"/>
    <w:rsid w:val="00EF6EA1"/>
    <w:rsid w:val="00F00009"/>
    <w:rsid w:val="00F005FA"/>
    <w:rsid w:val="00F01967"/>
    <w:rsid w:val="00F042AF"/>
    <w:rsid w:val="00F06365"/>
    <w:rsid w:val="00F11251"/>
    <w:rsid w:val="00F1730F"/>
    <w:rsid w:val="00F23073"/>
    <w:rsid w:val="00F30B1B"/>
    <w:rsid w:val="00F331CB"/>
    <w:rsid w:val="00F34583"/>
    <w:rsid w:val="00F35D3D"/>
    <w:rsid w:val="00F40250"/>
    <w:rsid w:val="00F42D52"/>
    <w:rsid w:val="00F44CC8"/>
    <w:rsid w:val="00F504DF"/>
    <w:rsid w:val="00F50F44"/>
    <w:rsid w:val="00F544B6"/>
    <w:rsid w:val="00F55BF7"/>
    <w:rsid w:val="00F56FDD"/>
    <w:rsid w:val="00F61BD5"/>
    <w:rsid w:val="00F634D1"/>
    <w:rsid w:val="00F64971"/>
    <w:rsid w:val="00F70142"/>
    <w:rsid w:val="00F765EF"/>
    <w:rsid w:val="00F77C03"/>
    <w:rsid w:val="00F82603"/>
    <w:rsid w:val="00F859ED"/>
    <w:rsid w:val="00F9386F"/>
    <w:rsid w:val="00F95929"/>
    <w:rsid w:val="00F95AE3"/>
    <w:rsid w:val="00F96767"/>
    <w:rsid w:val="00FA271C"/>
    <w:rsid w:val="00FA44C1"/>
    <w:rsid w:val="00FA5C99"/>
    <w:rsid w:val="00FA6240"/>
    <w:rsid w:val="00FB091A"/>
    <w:rsid w:val="00FB3CDF"/>
    <w:rsid w:val="00FB3F4B"/>
    <w:rsid w:val="00FB40CF"/>
    <w:rsid w:val="00FB4666"/>
    <w:rsid w:val="00FB78D7"/>
    <w:rsid w:val="00FC0B0E"/>
    <w:rsid w:val="00FC479E"/>
    <w:rsid w:val="00FC5926"/>
    <w:rsid w:val="00FC642F"/>
    <w:rsid w:val="00FC68B7"/>
    <w:rsid w:val="00FD1003"/>
    <w:rsid w:val="00FD1A09"/>
    <w:rsid w:val="00FD2231"/>
    <w:rsid w:val="00FD22EC"/>
    <w:rsid w:val="00FD2EAA"/>
    <w:rsid w:val="00FD6722"/>
    <w:rsid w:val="00FE5FF5"/>
    <w:rsid w:val="00FE7AE1"/>
    <w:rsid w:val="00FF011F"/>
    <w:rsid w:val="00FF0684"/>
    <w:rsid w:val="00FF0D76"/>
    <w:rsid w:val="00FF167D"/>
    <w:rsid w:val="00FF3524"/>
    <w:rsid w:val="00FF717B"/>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colormru v:ext="edit" colors="#6fc,#39f,#3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s-ES_tradnl"/>
    </w:rPr>
  </w:style>
  <w:style w:type="paragraph" w:styleId="Heading1">
    <w:name w:val="heading 1"/>
    <w:aliases w:val="Table_G"/>
    <w:basedOn w:val="SingleTxtG"/>
    <w:next w:val="SingleTxtG"/>
    <w:link w:val="Heading1Char"/>
    <w:qFormat/>
    <w:rsid w:val="00523650"/>
    <w:pPr>
      <w:spacing w:after="0" w:line="240" w:lineRule="auto"/>
      <w:ind w:right="0"/>
      <w:jc w:val="left"/>
      <w:outlineLvl w:val="0"/>
    </w:pPr>
    <w:rPr>
      <w:lang/>
    </w:r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2 Char Char,Footnote Text Char1 Char Char Char,Footnote Text Char Char Char Char Char,Footnote Text Char Char1 Char Char Char,EUMC_Lábjegyzetszöveg + 13 pt,Félkövér,Do"/>
    <w:basedOn w:val="Normal"/>
    <w:link w:val="FootnoteTextChar"/>
    <w:rsid w:val="00432EFE"/>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Pie de página Car Char Car Char Car,Pie de página Car1 Car Char Car Char Car,Pie de página Car Car Car Char Car Char Car,Pie de página Car1 Car Car Car Char Car Char Car,Pie de página Car Car Car Car Car Char Car Char Car Car"/>
    <w:basedOn w:val="Normal"/>
    <w:link w:val="HTMLCite"/>
    <w:rsid w:val="00523650"/>
    <w:pPr>
      <w:spacing w:line="240" w:lineRule="auto"/>
    </w:pPr>
    <w:rPr>
      <w:sz w:val="16"/>
      <w:lang/>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Do Char"/>
    <w:link w:val="FootnoteText"/>
    <w:locked/>
    <w:rsid w:val="00432EFE"/>
    <w:rPr>
      <w:sz w:val="18"/>
      <w:lang w:val="en-GB" w:eastAsia="en-US" w:bidi="ar-SA"/>
    </w:rPr>
  </w:style>
  <w:style w:type="paragraph" w:styleId="NoSpacing">
    <w:name w:val="No Spacing"/>
    <w:uiPriority w:val="1"/>
    <w:qFormat/>
    <w:rsid w:val="00210ADE"/>
    <w:pPr>
      <w:suppressAutoHyphens/>
    </w:pPr>
    <w:rPr>
      <w:lang w:val="en-GB"/>
    </w:rPr>
  </w:style>
  <w:style w:type="character" w:customStyle="1" w:styleId="Heading1Char">
    <w:name w:val="Heading 1 Char"/>
    <w:aliases w:val="Table_G Char"/>
    <w:link w:val="Heading1"/>
    <w:locked/>
    <w:rsid w:val="00DF3C81"/>
    <w:rPr>
      <w:lang w:eastAsia="en-US"/>
    </w:rPr>
  </w:style>
  <w:style w:type="character" w:styleId="HTMLCite">
    <w:name w:val="HTML Cite"/>
    <w:aliases w:val="Footer Char,Pie de página Car Char Car Char Car Char,Pie de página Car1 Car Char Car Char Car Char,Pie de página Car Car Car Char Car Char Car Char,Pie de página Car1 Car Car Car Char Car Char Car Char"/>
    <w:link w:val="Footer"/>
    <w:rsid w:val="0007522E"/>
    <w:rPr>
      <w:sz w:val="16"/>
      <w:lang w:eastAsia="en-US"/>
    </w:rPr>
  </w:style>
  <w:style w:type="paragraph" w:styleId="PlainText">
    <w:name w:val="Plain Text"/>
    <w:basedOn w:val="Normal"/>
    <w:link w:val="PlainTextChar"/>
    <w:rsid w:val="00721E3B"/>
    <w:rPr>
      <w:rFonts w:ascii="Courier New" w:hAnsi="Courier New"/>
      <w:lang/>
    </w:rPr>
  </w:style>
  <w:style w:type="character" w:customStyle="1" w:styleId="PlainTextChar">
    <w:name w:val="Plain Text Char"/>
    <w:link w:val="PlainText"/>
    <w:rsid w:val="00721E3B"/>
    <w:rPr>
      <w:rFonts w:ascii="Courier New" w:hAnsi="Courier New" w:cs="Courier New"/>
      <w:lang w:eastAsia="en-US"/>
    </w:rPr>
  </w:style>
  <w:style w:type="paragraph" w:styleId="BalloonText">
    <w:name w:val="Balloon Text"/>
    <w:basedOn w:val="Normal"/>
    <w:link w:val="BalloonTextChar"/>
    <w:rsid w:val="00803BDB"/>
    <w:pPr>
      <w:spacing w:line="240" w:lineRule="auto"/>
    </w:pPr>
    <w:rPr>
      <w:rFonts w:ascii="Tahoma" w:hAnsi="Tahoma"/>
      <w:sz w:val="16"/>
      <w:szCs w:val="16"/>
      <w:lang/>
    </w:rPr>
  </w:style>
  <w:style w:type="character" w:customStyle="1" w:styleId="BalloonTextChar">
    <w:name w:val="Balloon Text Char"/>
    <w:link w:val="BalloonText"/>
    <w:rsid w:val="00803BDB"/>
    <w:rPr>
      <w:rFonts w:ascii="Tahoma" w:hAnsi="Tahoma" w:cs="Tahoma"/>
      <w:sz w:val="16"/>
      <w:szCs w:val="16"/>
      <w:lang w:eastAsia="en-US"/>
    </w:rPr>
  </w:style>
  <w:style w:type="character" w:customStyle="1" w:styleId="tw4winMark">
    <w:name w:val="tw4winMark"/>
    <w:rsid w:val="009C7B33"/>
    <w:rPr>
      <w:rFonts w:ascii="Courier New" w:hAnsi="Courier New"/>
      <w:vanish/>
      <w:color w:val="800080"/>
      <w:vertAlign w:val="subscript"/>
    </w:rPr>
  </w:style>
  <w:style w:type="character" w:styleId="CommentReference">
    <w:name w:val="annotation reference"/>
    <w:semiHidden/>
    <w:rsid w:val="00D674A3"/>
    <w:rPr>
      <w:sz w:val="16"/>
      <w:szCs w:val="16"/>
    </w:rPr>
  </w:style>
  <w:style w:type="paragraph" w:styleId="CommentText">
    <w:name w:val="annotation text"/>
    <w:basedOn w:val="Normal"/>
    <w:semiHidden/>
    <w:rsid w:val="00D674A3"/>
  </w:style>
  <w:style w:type="paragraph" w:styleId="CommentSubject">
    <w:name w:val="annotation subject"/>
    <w:basedOn w:val="CommentText"/>
    <w:next w:val="CommentText"/>
    <w:semiHidden/>
    <w:rsid w:val="00D674A3"/>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0</TotalTime>
  <Pages>1</Pages>
  <Words>30466</Words>
  <Characters>173657</Characters>
  <Application>Microsoft Office Outlook</Application>
  <DocSecurity>4</DocSecurity>
  <Lines>1447</Lines>
  <Paragraphs>407</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203716</CharactersWithSpaces>
  <SharedDoc>false</SharedDoc>
  <HLinks>
    <vt:vector size="6" baseType="variant">
      <vt:variant>
        <vt:i4>1900601</vt:i4>
      </vt:variant>
      <vt:variant>
        <vt:i4>0</vt:i4>
      </vt:variant>
      <vt:variant>
        <vt:i4>0</vt:i4>
      </vt:variant>
      <vt:variant>
        <vt:i4>5</vt:i4>
      </vt:variant>
      <vt:variant>
        <vt:lpwstr/>
      </vt:variant>
      <vt:variant>
        <vt:lpwstr>_Toc315863902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DCM</dc:creator>
  <cp:keywords/>
  <cp:lastModifiedBy>DCM</cp:lastModifiedBy>
  <cp:revision>2</cp:revision>
  <cp:lastPrinted>2013-09-16T08:12:00Z</cp:lastPrinted>
  <dcterms:created xsi:type="dcterms:W3CDTF">2013-09-16T08:25:00Z</dcterms:created>
  <dcterms:modified xsi:type="dcterms:W3CDTF">2013-09-16T08:25:00Z</dcterms:modified>
</cp:coreProperties>
</file>