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A83D26"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A83D26" w:rsidRDefault="00895C96" w:rsidP="00895C96">
            <w:pPr>
              <w:jc w:val="right"/>
              <w:rPr>
                <w:lang w:val="en-US"/>
              </w:rPr>
            </w:pPr>
            <w:r w:rsidRPr="00A83D26">
              <w:rPr>
                <w:sz w:val="40"/>
                <w:lang w:val="en-US"/>
              </w:rPr>
              <w:t>CCPR</w:t>
            </w:r>
            <w:r w:rsidRPr="00A83D26">
              <w:rPr>
                <w:lang w:val="en-US"/>
              </w:rPr>
              <w:t>/C/TGO/Q/4/Add.1</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895C96" w:rsidRDefault="00895C96" w:rsidP="00464EEE">
            <w:pPr>
              <w:spacing w:before="240"/>
            </w:pPr>
            <w:r>
              <w:t>Distr.</w:t>
            </w:r>
            <w:r w:rsidR="00A83D26">
              <w:t xml:space="preserve">: </w:t>
            </w:r>
            <w:r>
              <w:t>générale</w:t>
            </w:r>
          </w:p>
          <w:p w:rsidR="00895C96" w:rsidRDefault="00907745" w:rsidP="00895C96">
            <w:pPr>
              <w:spacing w:line="240" w:lineRule="exact"/>
            </w:pPr>
            <w:r>
              <w:t>3</w:t>
            </w:r>
            <w:r w:rsidR="00202C4B">
              <w:t xml:space="preserve"> </w:t>
            </w:r>
            <w:r w:rsidR="0008197A">
              <w:t xml:space="preserve">mars </w:t>
            </w:r>
            <w:r w:rsidR="00895C96">
              <w:t>2011</w:t>
            </w:r>
          </w:p>
          <w:p w:rsidR="00895C96" w:rsidRDefault="00895C96" w:rsidP="00895C96">
            <w:pPr>
              <w:spacing w:line="240" w:lineRule="exact"/>
            </w:pPr>
          </w:p>
          <w:p w:rsidR="00AF1CE8" w:rsidRPr="00DB58B5" w:rsidRDefault="00895C96" w:rsidP="00895C96">
            <w:pPr>
              <w:spacing w:line="240" w:lineRule="exact"/>
            </w:pPr>
            <w:r>
              <w:t xml:space="preserve">Original: français </w:t>
            </w:r>
          </w:p>
        </w:tc>
      </w:tr>
    </w:tbl>
    <w:p w:rsidR="00FF1DBD" w:rsidRPr="00DF3BF1" w:rsidRDefault="00DF3BF1" w:rsidP="00DF3BF1">
      <w:pPr>
        <w:spacing w:before="120"/>
        <w:rPr>
          <w:b/>
          <w:sz w:val="24"/>
          <w:szCs w:val="24"/>
        </w:rPr>
      </w:pPr>
      <w:r w:rsidRPr="00DF3BF1">
        <w:rPr>
          <w:b/>
          <w:sz w:val="24"/>
          <w:szCs w:val="24"/>
        </w:rPr>
        <w:t>Comité des droits de l’homme</w:t>
      </w:r>
    </w:p>
    <w:p w:rsidR="00E04030" w:rsidRPr="00B425C1" w:rsidRDefault="00E04030" w:rsidP="00E04030">
      <w:pPr>
        <w:suppressAutoHyphens w:val="0"/>
        <w:spacing w:line="240" w:lineRule="auto"/>
        <w:rPr>
          <w:b/>
          <w:lang w:val="fr-FR"/>
        </w:rPr>
      </w:pPr>
      <w:r w:rsidRPr="00B425C1">
        <w:rPr>
          <w:b/>
          <w:lang w:val="fr-FR"/>
        </w:rPr>
        <w:t>Cent unième session</w:t>
      </w:r>
    </w:p>
    <w:p w:rsidR="00E04030" w:rsidRPr="0009708E" w:rsidRDefault="00E04030" w:rsidP="00E04030">
      <w:pPr>
        <w:suppressAutoHyphens w:val="0"/>
        <w:spacing w:after="240"/>
        <w:rPr>
          <w:lang w:val="fr-FR"/>
        </w:rPr>
      </w:pPr>
      <w:r w:rsidRPr="00DD28DE">
        <w:rPr>
          <w:lang w:val="fr-FR"/>
        </w:rPr>
        <w:t>New York, 14 mars-1</w:t>
      </w:r>
      <w:r w:rsidRPr="00DD28DE">
        <w:rPr>
          <w:vertAlign w:val="superscript"/>
          <w:lang w:val="fr-FR"/>
        </w:rPr>
        <w:t>er</w:t>
      </w:r>
      <w:r w:rsidRPr="00DD28DE">
        <w:rPr>
          <w:lang w:val="fr-FR"/>
        </w:rPr>
        <w:t xml:space="preserve"> avril 2011</w:t>
      </w:r>
    </w:p>
    <w:p w:rsidR="009225C6" w:rsidRDefault="00B2633F" w:rsidP="00B2633F">
      <w:pPr>
        <w:pStyle w:val="HChG"/>
      </w:pPr>
      <w:r>
        <w:tab/>
      </w:r>
      <w:r>
        <w:tab/>
      </w:r>
      <w:r w:rsidRPr="009225C6">
        <w:t>Réponses écrites du Gouvernement d</w:t>
      </w:r>
      <w:r w:rsidR="00D0342E" w:rsidRPr="009225C6">
        <w:t>u</w:t>
      </w:r>
      <w:r w:rsidRPr="009225C6">
        <w:t xml:space="preserve"> Togo à la liste de points à traiter (CCPR/C/TGO/Q/4) se rapportant à l’examen du quatrième rapport périodique d</w:t>
      </w:r>
      <w:r w:rsidR="00D0342E" w:rsidRPr="009225C6">
        <w:t>u</w:t>
      </w:r>
      <w:r w:rsidRPr="009225C6">
        <w:t xml:space="preserve"> Togo (CCPR/C/TGO/4)</w:t>
      </w:r>
    </w:p>
    <w:p w:rsidR="00B2633F" w:rsidRDefault="009225C6" w:rsidP="00B2633F">
      <w:pPr>
        <w:pStyle w:val="HChG"/>
      </w:pPr>
      <w:r>
        <w:tab/>
      </w:r>
      <w:r>
        <w:tab/>
        <w:t>Togo</w:t>
      </w:r>
      <w:r w:rsidR="00907745" w:rsidRPr="00907745">
        <w:rPr>
          <w:rStyle w:val="FootnoteReference"/>
        </w:rPr>
        <w:footnoteReference w:customMarkFollows="1" w:id="2"/>
        <w:sym w:font="Symbol" w:char="F02A"/>
      </w:r>
    </w:p>
    <w:p w:rsidR="00E04030" w:rsidRPr="00E04030" w:rsidRDefault="00E04030" w:rsidP="00E04030"/>
    <w:p w:rsidR="00D0342E" w:rsidRDefault="00D0342E" w:rsidP="00E04030">
      <w:pPr>
        <w:spacing w:after="240"/>
        <w:jc w:val="right"/>
      </w:pPr>
    </w:p>
    <w:p w:rsidR="00D0342E" w:rsidRDefault="00D0342E" w:rsidP="00E04030">
      <w:pPr>
        <w:spacing w:after="240"/>
        <w:jc w:val="right"/>
      </w:pPr>
    </w:p>
    <w:p w:rsidR="00E04030" w:rsidRDefault="00E04030" w:rsidP="00E04030">
      <w:pPr>
        <w:spacing w:after="240"/>
        <w:jc w:val="right"/>
      </w:pPr>
      <w:r>
        <w:t>[Reçues le 22 février 2011]</w:t>
      </w:r>
    </w:p>
    <w:p w:rsidR="00895C96" w:rsidRPr="00B100AF" w:rsidRDefault="00895C96" w:rsidP="00B425C1">
      <w:pPr>
        <w:pStyle w:val="H1G"/>
      </w:pPr>
      <w:r>
        <w:br w:type="column"/>
      </w:r>
      <w:r w:rsidR="00E04030" w:rsidRPr="00B425C1">
        <w:tab/>
      </w:r>
      <w:r w:rsidR="00E04030" w:rsidRPr="00B425C1">
        <w:tab/>
      </w:r>
      <w:r w:rsidRPr="00B100AF">
        <w:t>Cadre constitutionnel et juridique de l’application du Pacte (art</w:t>
      </w:r>
      <w:r w:rsidR="00D46FB6" w:rsidRPr="00B100AF">
        <w:t>.</w:t>
      </w:r>
      <w:r w:rsidRPr="00B100AF">
        <w:t xml:space="preserve"> 2)</w:t>
      </w:r>
    </w:p>
    <w:p w:rsidR="00895C96" w:rsidRPr="00B100AF" w:rsidRDefault="00E04030" w:rsidP="00B100AF">
      <w:pPr>
        <w:pStyle w:val="H1G"/>
        <w:tabs>
          <w:tab w:val="left" w:pos="3710"/>
        </w:tabs>
        <w:rPr>
          <w:sz w:val="20"/>
          <w:lang w:val="fr-FR"/>
        </w:rPr>
      </w:pPr>
      <w:r w:rsidRPr="00B100AF">
        <w:rPr>
          <w:lang w:val="fr-FR"/>
        </w:rPr>
        <w:tab/>
      </w:r>
      <w:r w:rsidRPr="00B100AF">
        <w:rPr>
          <w:lang w:val="fr-FR"/>
        </w:rPr>
        <w:tab/>
      </w:r>
      <w:r w:rsidR="00895C96" w:rsidRPr="00B100AF">
        <w:rPr>
          <w:sz w:val="20"/>
          <w:lang w:val="fr-FR"/>
        </w:rPr>
        <w:t>Réponse</w:t>
      </w:r>
      <w:r w:rsidR="00382281" w:rsidRPr="00B100AF">
        <w:rPr>
          <w:sz w:val="20"/>
          <w:lang w:val="fr-FR"/>
        </w:rPr>
        <w:t xml:space="preserve"> </w:t>
      </w:r>
      <w:r w:rsidR="00B100AF">
        <w:rPr>
          <w:sz w:val="20"/>
          <w:lang w:val="fr-FR"/>
        </w:rPr>
        <w:t xml:space="preserve">au paragraphe </w:t>
      </w:r>
      <w:r w:rsidR="00895C96" w:rsidRPr="00B100AF">
        <w:rPr>
          <w:sz w:val="20"/>
          <w:lang w:val="fr-FR"/>
        </w:rPr>
        <w:t xml:space="preserve">1 </w:t>
      </w:r>
      <w:r w:rsidR="00B100AF">
        <w:rPr>
          <w:sz w:val="20"/>
          <w:lang w:val="fr-FR"/>
        </w:rPr>
        <w:t xml:space="preserve">de la liste de points à traiter </w:t>
      </w:r>
      <w:r w:rsidR="00B100AF" w:rsidRPr="00B100AF">
        <w:rPr>
          <w:sz w:val="20"/>
          <w:lang w:val="fr-FR"/>
        </w:rPr>
        <w:t>(CCPR/C/TGO/Q/4)</w:t>
      </w:r>
      <w:r w:rsidR="00B100AF" w:rsidRPr="00B100AF">
        <w:rPr>
          <w:sz w:val="20"/>
          <w:lang w:val="fr-FR"/>
        </w:rPr>
        <w:tab/>
      </w:r>
    </w:p>
    <w:p w:rsidR="00895C96" w:rsidRPr="00895C96" w:rsidRDefault="004C1F3E" w:rsidP="00E04030">
      <w:pPr>
        <w:pStyle w:val="SingleTxtG"/>
        <w:rPr>
          <w:lang w:val="fr-FR"/>
        </w:rPr>
      </w:pPr>
      <w:r>
        <w:rPr>
          <w:lang w:val="fr-FR"/>
        </w:rPr>
        <w:t>1.</w:t>
      </w:r>
      <w:r w:rsidR="00E04030">
        <w:rPr>
          <w:lang w:val="fr-FR"/>
        </w:rPr>
        <w:tab/>
      </w:r>
      <w:r w:rsidR="00895C96" w:rsidRPr="00895C96">
        <w:rPr>
          <w:lang w:val="fr-FR"/>
        </w:rPr>
        <w:t>Il n’existe pas d’exemple concret de procédure judicaire dans l</w:t>
      </w:r>
      <w:r w:rsidR="00D46FB6">
        <w:rPr>
          <w:lang w:val="fr-FR"/>
        </w:rPr>
        <w:t>a</w:t>
      </w:r>
      <w:r w:rsidR="00895C96" w:rsidRPr="00895C96">
        <w:rPr>
          <w:lang w:val="fr-FR"/>
        </w:rPr>
        <w:t xml:space="preserve">quelle les dispositions du </w:t>
      </w:r>
      <w:r w:rsidR="00D46FB6">
        <w:rPr>
          <w:lang w:val="fr-FR"/>
        </w:rPr>
        <w:t>P</w:t>
      </w:r>
      <w:r w:rsidR="00895C96" w:rsidRPr="00895C96">
        <w:rPr>
          <w:lang w:val="fr-FR"/>
        </w:rPr>
        <w:t xml:space="preserve">acte </w:t>
      </w:r>
      <w:r w:rsidR="00D46FB6">
        <w:rPr>
          <w:lang w:val="fr-FR"/>
        </w:rPr>
        <w:t xml:space="preserve">international relatif aux droits civils et politiques </w:t>
      </w:r>
      <w:r w:rsidR="00895C96" w:rsidRPr="00895C96">
        <w:rPr>
          <w:lang w:val="fr-FR"/>
        </w:rPr>
        <w:t>ont</w:t>
      </w:r>
      <w:r w:rsidR="00382281">
        <w:rPr>
          <w:lang w:val="fr-FR"/>
        </w:rPr>
        <w:t xml:space="preserve"> </w:t>
      </w:r>
      <w:r w:rsidR="00895C96" w:rsidRPr="00895C96">
        <w:rPr>
          <w:lang w:val="fr-FR"/>
        </w:rPr>
        <w:t xml:space="preserve">été invoquées directement par l’une des parties </w:t>
      </w:r>
      <w:r w:rsidR="00D46FB6">
        <w:rPr>
          <w:lang w:val="fr-FR"/>
        </w:rPr>
        <w:t>ni</w:t>
      </w:r>
      <w:r w:rsidR="00D46FB6" w:rsidRPr="00895C96">
        <w:rPr>
          <w:lang w:val="fr-FR"/>
        </w:rPr>
        <w:t xml:space="preserve"> </w:t>
      </w:r>
      <w:r w:rsidR="00895C96" w:rsidRPr="00895C96">
        <w:rPr>
          <w:lang w:val="fr-FR"/>
        </w:rPr>
        <w:t xml:space="preserve">de cas </w:t>
      </w:r>
      <w:r w:rsidR="00D46FB6">
        <w:rPr>
          <w:lang w:val="fr-FR"/>
        </w:rPr>
        <w:t>d’application directe du Pacte par</w:t>
      </w:r>
      <w:r w:rsidR="00895C96" w:rsidRPr="00895C96">
        <w:rPr>
          <w:lang w:val="fr-FR"/>
        </w:rPr>
        <w:t xml:space="preserve"> les tribunaux nationaux.</w:t>
      </w:r>
    </w:p>
    <w:p w:rsidR="00895C96" w:rsidRPr="00895C96" w:rsidRDefault="004C1F3E" w:rsidP="00E04030">
      <w:pPr>
        <w:pStyle w:val="SingleTxtG"/>
        <w:rPr>
          <w:lang w:val="fr-FR"/>
        </w:rPr>
      </w:pPr>
      <w:r>
        <w:rPr>
          <w:lang w:val="fr-FR"/>
        </w:rPr>
        <w:t>2.</w:t>
      </w:r>
      <w:r w:rsidR="00E04030">
        <w:rPr>
          <w:lang w:val="fr-FR"/>
        </w:rPr>
        <w:tab/>
      </w:r>
      <w:r w:rsidR="00895C96" w:rsidRPr="00895C96">
        <w:rPr>
          <w:lang w:val="fr-FR"/>
        </w:rPr>
        <w:t>Certes la Constitution consacre en ses articles 50 et 140 l</w:t>
      </w:r>
      <w:r w:rsidR="00150905">
        <w:rPr>
          <w:lang w:val="fr-FR"/>
        </w:rPr>
        <w:t>a légalité de l</w:t>
      </w:r>
      <w:r w:rsidR="00895C96" w:rsidRPr="00895C96">
        <w:rPr>
          <w:lang w:val="fr-FR"/>
        </w:rPr>
        <w:t xml:space="preserve">’application des dispositions des conventions ratifiées par le Togo </w:t>
      </w:r>
      <w:r w:rsidR="00502BB0" w:rsidRPr="00656E8B">
        <w:rPr>
          <w:lang w:val="fr-FR"/>
        </w:rPr>
        <w:t xml:space="preserve">dans le droit interne </w:t>
      </w:r>
      <w:r w:rsidR="00895C96" w:rsidRPr="00656E8B">
        <w:rPr>
          <w:lang w:val="fr-FR"/>
        </w:rPr>
        <w:t xml:space="preserve">et leur </w:t>
      </w:r>
      <w:r w:rsidR="00150905" w:rsidRPr="00656E8B">
        <w:rPr>
          <w:lang w:val="fr-FR"/>
        </w:rPr>
        <w:t>supériorité sur</w:t>
      </w:r>
      <w:r w:rsidR="00393196" w:rsidRPr="00656E8B">
        <w:rPr>
          <w:lang w:val="fr-FR"/>
        </w:rPr>
        <w:t xml:space="preserve"> </w:t>
      </w:r>
      <w:r w:rsidR="00895C96" w:rsidRPr="00656E8B">
        <w:rPr>
          <w:lang w:val="fr-FR"/>
        </w:rPr>
        <w:t xml:space="preserve">la loi interne, </w:t>
      </w:r>
      <w:r w:rsidR="002851F8" w:rsidRPr="00656E8B">
        <w:rPr>
          <w:lang w:val="fr-FR"/>
        </w:rPr>
        <w:t xml:space="preserve">mais </w:t>
      </w:r>
      <w:r w:rsidR="00895C96" w:rsidRPr="00656E8B">
        <w:rPr>
          <w:lang w:val="fr-FR"/>
        </w:rPr>
        <w:t xml:space="preserve">il </w:t>
      </w:r>
      <w:r w:rsidR="00150905" w:rsidRPr="00656E8B">
        <w:rPr>
          <w:lang w:val="fr-FR"/>
        </w:rPr>
        <w:t>convient de</w:t>
      </w:r>
      <w:r w:rsidR="00895C96" w:rsidRPr="00656E8B">
        <w:rPr>
          <w:lang w:val="fr-FR"/>
        </w:rPr>
        <w:t xml:space="preserve"> nuanc</w:t>
      </w:r>
      <w:r w:rsidR="00150905" w:rsidRPr="00656E8B">
        <w:rPr>
          <w:lang w:val="fr-FR"/>
        </w:rPr>
        <w:t>er</w:t>
      </w:r>
      <w:r w:rsidR="00895C96" w:rsidRPr="00656E8B">
        <w:rPr>
          <w:lang w:val="fr-FR"/>
        </w:rPr>
        <w:t xml:space="preserve"> leur</w:t>
      </w:r>
      <w:r w:rsidR="00895C96" w:rsidRPr="00895C96">
        <w:rPr>
          <w:lang w:val="fr-FR"/>
        </w:rPr>
        <w:t xml:space="preserve"> application. En effet, si la supériorité des dispositions des conventions ratifiées par le Togo sur </w:t>
      </w:r>
      <w:r w:rsidR="00895C96" w:rsidRPr="00656E8B">
        <w:rPr>
          <w:lang w:val="fr-FR"/>
        </w:rPr>
        <w:t>celle</w:t>
      </w:r>
      <w:r w:rsidR="00882513" w:rsidRPr="00656E8B">
        <w:rPr>
          <w:lang w:val="fr-FR"/>
        </w:rPr>
        <w:t>s</w:t>
      </w:r>
      <w:r w:rsidR="00895C96" w:rsidRPr="00895C96">
        <w:rPr>
          <w:lang w:val="fr-FR"/>
        </w:rPr>
        <w:t xml:space="preserve"> des lois internes ne souffre aucune exception, l’applicabilité de ces dispositions dépend de leur objectif. Ainsi, toute disposition édict</w:t>
      </w:r>
      <w:r w:rsidR="00882513">
        <w:rPr>
          <w:lang w:val="fr-FR"/>
        </w:rPr>
        <w:t>ant</w:t>
      </w:r>
      <w:r w:rsidR="00895C96" w:rsidRPr="00895C96">
        <w:rPr>
          <w:lang w:val="fr-FR"/>
        </w:rPr>
        <w:t xml:space="preserve"> uniquement des droits au profit des citoyens s’applique immédiatement et peut être invoquée devant les tribunaux</w:t>
      </w:r>
      <w:r w:rsidR="00882513">
        <w:rPr>
          <w:lang w:val="fr-FR"/>
        </w:rPr>
        <w:t>,</w:t>
      </w:r>
      <w:r w:rsidR="00895C96" w:rsidRPr="00895C96">
        <w:rPr>
          <w:lang w:val="fr-FR"/>
        </w:rPr>
        <w:t xml:space="preserve"> </w:t>
      </w:r>
      <w:r w:rsidR="00882513">
        <w:rPr>
          <w:lang w:val="fr-FR"/>
        </w:rPr>
        <w:t>lesquels</w:t>
      </w:r>
      <w:r w:rsidR="00882513" w:rsidRPr="00895C96">
        <w:rPr>
          <w:lang w:val="fr-FR"/>
        </w:rPr>
        <w:t xml:space="preserve"> </w:t>
      </w:r>
      <w:r w:rsidR="00895C96" w:rsidRPr="00895C96">
        <w:rPr>
          <w:lang w:val="fr-FR"/>
        </w:rPr>
        <w:t xml:space="preserve">sont tenus de l’appliquer. Par contre, </w:t>
      </w:r>
      <w:r w:rsidR="00882513">
        <w:rPr>
          <w:lang w:val="fr-FR"/>
        </w:rPr>
        <w:t>lorsqu’</w:t>
      </w:r>
      <w:r w:rsidR="00895C96" w:rsidRPr="00895C96">
        <w:rPr>
          <w:lang w:val="fr-FR"/>
        </w:rPr>
        <w:t>elle vise l’incrimination d’un acte ou d’un fait</w:t>
      </w:r>
      <w:r w:rsidR="00882513">
        <w:rPr>
          <w:lang w:val="fr-FR"/>
        </w:rPr>
        <w:t>, elle</w:t>
      </w:r>
      <w:r w:rsidR="00895C96" w:rsidRPr="00895C96">
        <w:rPr>
          <w:lang w:val="fr-FR"/>
        </w:rPr>
        <w:t xml:space="preserve"> est</w:t>
      </w:r>
      <w:r w:rsidR="00393196">
        <w:rPr>
          <w:lang w:val="fr-FR"/>
        </w:rPr>
        <w:t xml:space="preserve"> </w:t>
      </w:r>
      <w:r w:rsidR="00895C96" w:rsidRPr="00895C96">
        <w:rPr>
          <w:lang w:val="fr-FR"/>
        </w:rPr>
        <w:t xml:space="preserve">sujette à la mise en conformité de la loi interne, </w:t>
      </w:r>
      <w:r w:rsidR="00882513">
        <w:rPr>
          <w:lang w:val="fr-FR"/>
        </w:rPr>
        <w:t>et cette dernière</w:t>
      </w:r>
      <w:r w:rsidR="00882513" w:rsidRPr="00895C96">
        <w:rPr>
          <w:lang w:val="fr-FR"/>
        </w:rPr>
        <w:t xml:space="preserve"> </w:t>
      </w:r>
      <w:r w:rsidR="00895C96" w:rsidRPr="00656E8B">
        <w:rPr>
          <w:lang w:val="fr-FR"/>
        </w:rPr>
        <w:t>devra</w:t>
      </w:r>
      <w:r w:rsidR="00895C96" w:rsidRPr="00895C96">
        <w:rPr>
          <w:lang w:val="fr-FR"/>
        </w:rPr>
        <w:t xml:space="preserve"> prévoir les sanctions applicables.</w:t>
      </w:r>
    </w:p>
    <w:p w:rsidR="00895C96" w:rsidRPr="00895C96" w:rsidRDefault="004C1F3E" w:rsidP="00E04030">
      <w:pPr>
        <w:pStyle w:val="SingleTxtG"/>
        <w:rPr>
          <w:lang w:val="fr-FR"/>
        </w:rPr>
      </w:pPr>
      <w:r>
        <w:rPr>
          <w:lang w:val="fr-FR"/>
        </w:rPr>
        <w:t>3.</w:t>
      </w:r>
      <w:r w:rsidR="00E04030">
        <w:rPr>
          <w:lang w:val="fr-FR"/>
        </w:rPr>
        <w:tab/>
      </w:r>
      <w:r w:rsidR="00895C96" w:rsidRPr="00895C96">
        <w:rPr>
          <w:lang w:val="fr-FR"/>
        </w:rPr>
        <w:t>C’est là la substance du prochain code pénal.</w:t>
      </w:r>
    </w:p>
    <w:p w:rsidR="00895C96" w:rsidRPr="00895C96" w:rsidRDefault="004C1F3E" w:rsidP="00E04030">
      <w:pPr>
        <w:pStyle w:val="SingleTxtG"/>
        <w:rPr>
          <w:lang w:val="fr-FR"/>
        </w:rPr>
      </w:pPr>
      <w:r>
        <w:rPr>
          <w:lang w:val="fr-FR"/>
        </w:rPr>
        <w:t>4.</w:t>
      </w:r>
      <w:r w:rsidR="00E04030">
        <w:rPr>
          <w:lang w:val="fr-FR"/>
        </w:rPr>
        <w:tab/>
      </w:r>
      <w:r w:rsidR="00895C96" w:rsidRPr="003C3E7F">
        <w:rPr>
          <w:lang w:val="fr-FR"/>
        </w:rPr>
        <w:t>Il existe des</w:t>
      </w:r>
      <w:r w:rsidR="00895C96" w:rsidRPr="00895C96">
        <w:rPr>
          <w:lang w:val="fr-FR"/>
        </w:rPr>
        <w:t xml:space="preserve"> programmes de formation. Des séminaires de formation </w:t>
      </w:r>
      <w:r w:rsidR="00E33897">
        <w:rPr>
          <w:lang w:val="fr-FR"/>
        </w:rPr>
        <w:t xml:space="preserve">au Pacte </w:t>
      </w:r>
      <w:r w:rsidR="00895C96" w:rsidRPr="00895C96">
        <w:rPr>
          <w:lang w:val="fr-FR"/>
        </w:rPr>
        <w:t xml:space="preserve">sont organisés par le Ministère des Droits de l’Homme de la Consolidation, de la Démocratie et de la Formation Civique, la Commission Nationale des Droits de l’Homme (CNDH), le </w:t>
      </w:r>
      <w:r w:rsidR="00656E8B" w:rsidRPr="00656E8B">
        <w:rPr>
          <w:lang w:val="fr-FR"/>
        </w:rPr>
        <w:t>b</w:t>
      </w:r>
      <w:r w:rsidR="00895C96" w:rsidRPr="00656E8B">
        <w:rPr>
          <w:lang w:val="fr-FR"/>
        </w:rPr>
        <w:t>ureau</w:t>
      </w:r>
      <w:r w:rsidR="00895C96" w:rsidRPr="00895C96">
        <w:rPr>
          <w:lang w:val="fr-FR"/>
        </w:rPr>
        <w:t xml:space="preserve"> du Haut</w:t>
      </w:r>
      <w:r w:rsidR="002D4A2F">
        <w:rPr>
          <w:lang w:val="fr-FR"/>
        </w:rPr>
        <w:t>-</w:t>
      </w:r>
      <w:r w:rsidR="00895C96" w:rsidRPr="00895C96">
        <w:rPr>
          <w:lang w:val="fr-FR"/>
        </w:rPr>
        <w:t xml:space="preserve">Commissariat aux </w:t>
      </w:r>
      <w:r w:rsidR="002D4A2F">
        <w:rPr>
          <w:lang w:val="fr-FR"/>
        </w:rPr>
        <w:t>d</w:t>
      </w:r>
      <w:r w:rsidR="00895C96" w:rsidRPr="00895C96">
        <w:rPr>
          <w:lang w:val="fr-FR"/>
        </w:rPr>
        <w:t>roits de l’</w:t>
      </w:r>
      <w:r w:rsidR="00C42224">
        <w:rPr>
          <w:lang w:val="fr-FR"/>
        </w:rPr>
        <w:t>h</w:t>
      </w:r>
      <w:r w:rsidR="00895C96" w:rsidRPr="00895C96">
        <w:rPr>
          <w:lang w:val="fr-FR"/>
        </w:rPr>
        <w:t>omme au Togo</w:t>
      </w:r>
      <w:r w:rsidR="00382281">
        <w:rPr>
          <w:lang w:val="fr-FR"/>
        </w:rPr>
        <w:t xml:space="preserve"> </w:t>
      </w:r>
      <w:r w:rsidR="00895C96" w:rsidRPr="00895C96">
        <w:rPr>
          <w:lang w:val="fr-FR"/>
        </w:rPr>
        <w:t>et la société civile à l’</w:t>
      </w:r>
      <w:r w:rsidR="00E33897">
        <w:rPr>
          <w:lang w:val="fr-FR"/>
        </w:rPr>
        <w:t>in</w:t>
      </w:r>
      <w:r w:rsidR="00895C96" w:rsidRPr="00895C96">
        <w:rPr>
          <w:lang w:val="fr-FR"/>
        </w:rPr>
        <w:t>tention des avocats, des magistrats</w:t>
      </w:r>
      <w:r w:rsidR="00E33897">
        <w:rPr>
          <w:lang w:val="fr-FR"/>
        </w:rPr>
        <w:t xml:space="preserve"> et</w:t>
      </w:r>
      <w:r w:rsidR="00895C96" w:rsidRPr="00895C96">
        <w:rPr>
          <w:lang w:val="fr-FR"/>
        </w:rPr>
        <w:t xml:space="preserve"> des membres des forces de défense et de sécurité.</w:t>
      </w:r>
    </w:p>
    <w:p w:rsidR="00895C96" w:rsidRPr="00895C96" w:rsidRDefault="00E04030" w:rsidP="00E04030">
      <w:pPr>
        <w:pStyle w:val="H23G"/>
        <w:rPr>
          <w:lang w:val="fr-FR"/>
        </w:rPr>
      </w:pPr>
      <w:r>
        <w:rPr>
          <w:lang w:val="fr-FR"/>
        </w:rPr>
        <w:tab/>
      </w:r>
      <w:r>
        <w:rPr>
          <w:lang w:val="fr-FR"/>
        </w:rPr>
        <w:tab/>
      </w:r>
      <w:r w:rsidR="00895C96" w:rsidRPr="00895C96">
        <w:rPr>
          <w:lang w:val="fr-FR"/>
        </w:rPr>
        <w:t>Réponse</w:t>
      </w:r>
      <w:r w:rsidR="00382281">
        <w:rPr>
          <w:lang w:val="fr-FR"/>
        </w:rPr>
        <w:t xml:space="preserve"> </w:t>
      </w:r>
      <w:r w:rsidR="00656E8B">
        <w:rPr>
          <w:lang w:val="fr-FR"/>
        </w:rPr>
        <w:t>au paragraphe 2</w:t>
      </w:r>
      <w:r w:rsidR="00656E8B" w:rsidRPr="00B100AF">
        <w:rPr>
          <w:lang w:val="fr-FR"/>
        </w:rPr>
        <w:t xml:space="preserve"> </w:t>
      </w:r>
      <w:r w:rsidR="00656E8B">
        <w:rPr>
          <w:lang w:val="fr-FR"/>
        </w:rPr>
        <w:t xml:space="preserve">de la liste de points à traiter </w:t>
      </w:r>
    </w:p>
    <w:p w:rsidR="00895C96" w:rsidRPr="00895C96" w:rsidRDefault="00E04030" w:rsidP="00E04030">
      <w:pPr>
        <w:pStyle w:val="H23G"/>
        <w:rPr>
          <w:lang w:val="fr-FR"/>
        </w:rPr>
      </w:pPr>
      <w:r>
        <w:rPr>
          <w:lang w:val="fr-FR"/>
        </w:rPr>
        <w:tab/>
      </w:r>
      <w:r>
        <w:rPr>
          <w:lang w:val="fr-FR"/>
        </w:rPr>
        <w:tab/>
      </w:r>
      <w:r w:rsidR="00895C96" w:rsidRPr="00895C96">
        <w:rPr>
          <w:lang w:val="fr-FR"/>
        </w:rPr>
        <w:t>Sur les informations complémentaires sur la loi n° 2005-004 du</w:t>
      </w:r>
      <w:r w:rsidR="00382281">
        <w:rPr>
          <w:lang w:val="fr-FR"/>
        </w:rPr>
        <w:t xml:space="preserve"> </w:t>
      </w:r>
      <w:r w:rsidR="00895C96" w:rsidRPr="00895C96">
        <w:rPr>
          <w:lang w:val="fr-FR"/>
        </w:rPr>
        <w:t xml:space="preserve">9 février 2005 </w:t>
      </w:r>
    </w:p>
    <w:p w:rsidR="00895C96" w:rsidRPr="00895C96" w:rsidRDefault="004C1F3E" w:rsidP="00E04030">
      <w:pPr>
        <w:pStyle w:val="SingleTxtG"/>
        <w:rPr>
          <w:lang w:val="fr-FR"/>
        </w:rPr>
      </w:pPr>
      <w:r w:rsidRPr="00D77888">
        <w:rPr>
          <w:lang w:val="fr-FR"/>
        </w:rPr>
        <w:t>5.</w:t>
      </w:r>
      <w:r w:rsidR="00E04030" w:rsidRPr="00D77888">
        <w:rPr>
          <w:lang w:val="fr-FR"/>
        </w:rPr>
        <w:tab/>
      </w:r>
      <w:r w:rsidR="00895C96" w:rsidRPr="00D77888">
        <w:rPr>
          <w:lang w:val="fr-FR"/>
        </w:rPr>
        <w:t xml:space="preserve">Dans le cadre de la mise en œuvre des 22 engagements signés par le Gouvernement </w:t>
      </w:r>
      <w:r w:rsidR="001E7B6C" w:rsidRPr="00D77888">
        <w:rPr>
          <w:lang w:val="fr-FR"/>
        </w:rPr>
        <w:t>togolais</w:t>
      </w:r>
      <w:r w:rsidR="00895C96" w:rsidRPr="00D77888">
        <w:rPr>
          <w:lang w:val="fr-FR"/>
        </w:rPr>
        <w:t xml:space="preserve"> à Bruxelles le 14 avril 2004, lors de l’ouverture de consultation</w:t>
      </w:r>
      <w:r w:rsidR="00D77888" w:rsidRPr="00D77888">
        <w:rPr>
          <w:lang w:val="fr-FR"/>
        </w:rPr>
        <w:t xml:space="preserve">s sur </w:t>
      </w:r>
      <w:r w:rsidR="00895C96" w:rsidRPr="00D77888">
        <w:rPr>
          <w:lang w:val="fr-FR"/>
        </w:rPr>
        <w:t>l’</w:t>
      </w:r>
      <w:r w:rsidR="00D77888" w:rsidRPr="00D77888">
        <w:rPr>
          <w:lang w:val="fr-FR"/>
        </w:rPr>
        <w:t>A</w:t>
      </w:r>
      <w:r w:rsidR="00895C96" w:rsidRPr="00D77888">
        <w:rPr>
          <w:lang w:val="fr-FR"/>
        </w:rPr>
        <w:t xml:space="preserve">ccord de Cotonou entre l’Union </w:t>
      </w:r>
      <w:r w:rsidR="00382281" w:rsidRPr="00D77888">
        <w:rPr>
          <w:lang w:val="fr-FR"/>
        </w:rPr>
        <w:t>européenne</w:t>
      </w:r>
      <w:r w:rsidR="00895C96" w:rsidRPr="00D77888">
        <w:rPr>
          <w:lang w:val="fr-FR"/>
        </w:rPr>
        <w:t xml:space="preserve"> et le Gouvernement</w:t>
      </w:r>
      <w:r w:rsidR="00382281" w:rsidRPr="00D77888">
        <w:rPr>
          <w:lang w:val="fr-FR"/>
        </w:rPr>
        <w:t xml:space="preserve"> </w:t>
      </w:r>
      <w:r w:rsidR="001E7B6C" w:rsidRPr="00D77888">
        <w:rPr>
          <w:lang w:val="fr-FR"/>
        </w:rPr>
        <w:t>togolais</w:t>
      </w:r>
      <w:r w:rsidR="00895C96" w:rsidRPr="00D77888">
        <w:rPr>
          <w:lang w:val="fr-FR"/>
        </w:rPr>
        <w:t xml:space="preserve"> au point 2.5 qui recommande</w:t>
      </w:r>
      <w:r w:rsidR="00F33DC4" w:rsidRPr="00D77888">
        <w:rPr>
          <w:lang w:val="fr-FR"/>
        </w:rPr>
        <w:t>:</w:t>
      </w:r>
      <w:r w:rsidR="00895C96" w:rsidRPr="00D77888">
        <w:rPr>
          <w:lang w:val="fr-FR"/>
        </w:rPr>
        <w:t> «revoir le mandat et le statut de la CNDH en vue de garantir son indépendance effective par rapport aux autorités administratives». La loi organique n° 96-12 du 11 décembre 1996 portant composition, organisation et fonctionnement de la CNDH a été modifiée et complétée par la loi organique n° 2005-004 du</w:t>
      </w:r>
      <w:r w:rsidR="00382281" w:rsidRPr="00D77888">
        <w:rPr>
          <w:lang w:val="fr-FR"/>
        </w:rPr>
        <w:t xml:space="preserve"> </w:t>
      </w:r>
      <w:r w:rsidR="00895C96" w:rsidRPr="00D77888">
        <w:rPr>
          <w:lang w:val="fr-FR"/>
        </w:rPr>
        <w:t>9 février 2005.</w:t>
      </w:r>
      <w:r w:rsidR="00895C96" w:rsidRPr="00895C96">
        <w:rPr>
          <w:lang w:val="fr-FR"/>
        </w:rPr>
        <w:t xml:space="preserve"> </w:t>
      </w:r>
    </w:p>
    <w:p w:rsidR="00895C96" w:rsidRPr="00895C96" w:rsidRDefault="004C1F3E" w:rsidP="00E04030">
      <w:pPr>
        <w:pStyle w:val="SingleTxtG"/>
        <w:rPr>
          <w:lang w:val="fr-FR"/>
        </w:rPr>
      </w:pPr>
      <w:r>
        <w:rPr>
          <w:lang w:val="fr-FR"/>
        </w:rPr>
        <w:t>6.</w:t>
      </w:r>
      <w:r w:rsidR="00E04030">
        <w:rPr>
          <w:lang w:val="fr-FR"/>
        </w:rPr>
        <w:tab/>
      </w:r>
      <w:r w:rsidR="00895C96" w:rsidRPr="00895C96">
        <w:rPr>
          <w:lang w:val="fr-FR"/>
        </w:rPr>
        <w:t>Cette modification s'inscri</w:t>
      </w:r>
      <w:r w:rsidR="0078658A">
        <w:rPr>
          <w:lang w:val="fr-FR"/>
        </w:rPr>
        <w:t>vai</w:t>
      </w:r>
      <w:r w:rsidR="00895C96" w:rsidRPr="00895C96">
        <w:rPr>
          <w:lang w:val="fr-FR"/>
        </w:rPr>
        <w:t xml:space="preserve">t également dans le cadre du renforcement de l'efficacité, de l'indépendance et de l'impartialité de la CNDH en vue de répondre aux </w:t>
      </w:r>
      <w:r w:rsidR="00172B7D" w:rsidRPr="001F686C">
        <w:rPr>
          <w:lang w:val="fr-FR"/>
        </w:rPr>
        <w:t>P</w:t>
      </w:r>
      <w:r w:rsidR="00895C96" w:rsidRPr="001F686C">
        <w:rPr>
          <w:lang w:val="fr-FR"/>
        </w:rPr>
        <w:t xml:space="preserve">rincipes de Paris </w:t>
      </w:r>
      <w:r w:rsidR="001F686C">
        <w:rPr>
          <w:lang w:val="fr-FR"/>
        </w:rPr>
        <w:t xml:space="preserve">en ce qui concerne </w:t>
      </w:r>
      <w:r w:rsidR="00895C96" w:rsidRPr="00895C96">
        <w:rPr>
          <w:lang w:val="fr-FR"/>
        </w:rPr>
        <w:t xml:space="preserve">la composition et le fonctionnement des institutions nationales des droits de l'homme. </w:t>
      </w:r>
    </w:p>
    <w:p w:rsidR="00895C96" w:rsidRPr="00895C96" w:rsidRDefault="004C1F3E" w:rsidP="00E04030">
      <w:pPr>
        <w:pStyle w:val="SingleTxtG"/>
        <w:rPr>
          <w:lang w:val="fr-FR"/>
        </w:rPr>
      </w:pPr>
      <w:r>
        <w:rPr>
          <w:lang w:val="fr-FR"/>
        </w:rPr>
        <w:t>7.</w:t>
      </w:r>
      <w:r w:rsidR="00E04030">
        <w:rPr>
          <w:lang w:val="fr-FR"/>
        </w:rPr>
        <w:tab/>
      </w:r>
      <w:r w:rsidR="00895C96" w:rsidRPr="00895C96">
        <w:rPr>
          <w:lang w:val="fr-FR"/>
        </w:rPr>
        <w:t>La loi organique du</w:t>
      </w:r>
      <w:r w:rsidR="00382281">
        <w:rPr>
          <w:lang w:val="fr-FR"/>
        </w:rPr>
        <w:t xml:space="preserve"> </w:t>
      </w:r>
      <w:r w:rsidR="00895C96" w:rsidRPr="00895C96">
        <w:rPr>
          <w:lang w:val="fr-FR"/>
        </w:rPr>
        <w:t>9 février 2005 a introduit les</w:t>
      </w:r>
      <w:r w:rsidR="00382281">
        <w:rPr>
          <w:lang w:val="fr-FR"/>
        </w:rPr>
        <w:t xml:space="preserve"> </w:t>
      </w:r>
      <w:r w:rsidR="00895C96" w:rsidRPr="00895C96">
        <w:rPr>
          <w:lang w:val="fr-FR"/>
        </w:rPr>
        <w:t>innovations suivantes</w:t>
      </w:r>
      <w:r w:rsidR="00F33DC4">
        <w:rPr>
          <w:lang w:val="fr-FR"/>
        </w:rPr>
        <w:t>:</w:t>
      </w:r>
      <w:r w:rsidR="00895C96" w:rsidRPr="00895C96">
        <w:rPr>
          <w:lang w:val="fr-FR"/>
        </w:rPr>
        <w:t xml:space="preserve"> </w:t>
      </w:r>
    </w:p>
    <w:p w:rsidR="00895C96" w:rsidRPr="00895C96" w:rsidRDefault="00895C96" w:rsidP="00E04030">
      <w:pPr>
        <w:pStyle w:val="Bullet1G"/>
        <w:rPr>
          <w:lang w:val="fr-FR"/>
        </w:rPr>
      </w:pPr>
      <w:r w:rsidRPr="00895C96">
        <w:rPr>
          <w:lang w:val="fr-FR"/>
        </w:rPr>
        <w:t>L'admission d'un représentant des organisations de défense et de promotion des droits de l'enfant</w:t>
      </w:r>
      <w:r w:rsidR="00382281">
        <w:rPr>
          <w:lang w:val="fr-FR"/>
        </w:rPr>
        <w:t>;</w:t>
      </w:r>
      <w:r w:rsidRPr="00895C96">
        <w:rPr>
          <w:lang w:val="fr-FR"/>
        </w:rPr>
        <w:t xml:space="preserve"> </w:t>
      </w:r>
    </w:p>
    <w:p w:rsidR="00895C96" w:rsidRPr="00895C96" w:rsidRDefault="00895C96" w:rsidP="00E04030">
      <w:pPr>
        <w:pStyle w:val="Bullet1G"/>
        <w:rPr>
          <w:lang w:val="fr-FR"/>
        </w:rPr>
      </w:pPr>
      <w:r w:rsidRPr="00895C96">
        <w:rPr>
          <w:lang w:val="fr-FR"/>
        </w:rPr>
        <w:t xml:space="preserve">La prestation de serment des membres devant le </w:t>
      </w:r>
      <w:r w:rsidR="00CA363B" w:rsidRPr="00CA363B">
        <w:rPr>
          <w:lang w:val="fr-FR"/>
        </w:rPr>
        <w:t>B</w:t>
      </w:r>
      <w:r w:rsidRPr="00CA363B">
        <w:rPr>
          <w:lang w:val="fr-FR"/>
        </w:rPr>
        <w:t>ureau</w:t>
      </w:r>
      <w:r w:rsidRPr="00895C96">
        <w:rPr>
          <w:lang w:val="fr-FR"/>
        </w:rPr>
        <w:t xml:space="preserve"> de l'Assemblée </w:t>
      </w:r>
      <w:r w:rsidR="00BA0A3F">
        <w:rPr>
          <w:lang w:val="fr-FR"/>
        </w:rPr>
        <w:t>n</w:t>
      </w:r>
      <w:r w:rsidRPr="00895C96">
        <w:rPr>
          <w:lang w:val="fr-FR"/>
        </w:rPr>
        <w:t>ationale (article 3)</w:t>
      </w:r>
      <w:r w:rsidR="00382281">
        <w:rPr>
          <w:lang w:val="fr-FR"/>
        </w:rPr>
        <w:t>;</w:t>
      </w:r>
      <w:r w:rsidRPr="00895C96">
        <w:rPr>
          <w:lang w:val="fr-FR"/>
        </w:rPr>
        <w:t xml:space="preserve"> </w:t>
      </w:r>
    </w:p>
    <w:p w:rsidR="00895C96" w:rsidRPr="00895C96" w:rsidRDefault="00895C96" w:rsidP="00E04030">
      <w:pPr>
        <w:pStyle w:val="Bullet1G"/>
        <w:rPr>
          <w:lang w:val="fr-FR"/>
        </w:rPr>
      </w:pPr>
      <w:r w:rsidRPr="00895C96">
        <w:rPr>
          <w:lang w:val="fr-FR"/>
        </w:rPr>
        <w:t>L'irrévocabilité du mandat des membres (article 4)</w:t>
      </w:r>
      <w:r w:rsidR="00382281">
        <w:rPr>
          <w:lang w:val="fr-FR"/>
        </w:rPr>
        <w:t>;</w:t>
      </w:r>
      <w:r w:rsidRPr="00895C96">
        <w:rPr>
          <w:lang w:val="fr-FR"/>
        </w:rPr>
        <w:t xml:space="preserve"> </w:t>
      </w:r>
    </w:p>
    <w:p w:rsidR="00895C96" w:rsidRPr="00895C96" w:rsidRDefault="00895C96" w:rsidP="00E04030">
      <w:pPr>
        <w:pStyle w:val="Bullet1G"/>
        <w:rPr>
          <w:lang w:val="fr-FR"/>
        </w:rPr>
      </w:pPr>
      <w:r w:rsidRPr="00895C96">
        <w:rPr>
          <w:lang w:val="fr-FR"/>
        </w:rPr>
        <w:t>L'autosaisine d'office de la Commission en cas de violation des droits de l'homme (article 17)</w:t>
      </w:r>
      <w:r w:rsidR="00382281">
        <w:rPr>
          <w:lang w:val="fr-FR"/>
        </w:rPr>
        <w:t>;</w:t>
      </w:r>
      <w:r w:rsidRPr="00895C96">
        <w:rPr>
          <w:lang w:val="fr-FR"/>
        </w:rPr>
        <w:t xml:space="preserve"> </w:t>
      </w:r>
    </w:p>
    <w:p w:rsidR="00895C96" w:rsidRPr="00895C96" w:rsidRDefault="00895C96" w:rsidP="00E04030">
      <w:pPr>
        <w:pStyle w:val="Bullet1G"/>
        <w:rPr>
          <w:lang w:val="fr-FR"/>
        </w:rPr>
      </w:pPr>
      <w:r w:rsidRPr="00895C96">
        <w:rPr>
          <w:lang w:val="fr-FR"/>
        </w:rPr>
        <w:t>La possibilité de saisir les tribunaux en cas de persistance d'une violation des droits de l'homme nonobstant les recommandations de la CNDH (article 22)</w:t>
      </w:r>
      <w:r w:rsidR="00382281">
        <w:rPr>
          <w:lang w:val="fr-FR"/>
        </w:rPr>
        <w:t>;</w:t>
      </w:r>
      <w:r w:rsidRPr="00895C96">
        <w:rPr>
          <w:lang w:val="fr-FR"/>
        </w:rPr>
        <w:t xml:space="preserve"> </w:t>
      </w:r>
    </w:p>
    <w:p w:rsidR="00895C96" w:rsidRPr="00895C96" w:rsidRDefault="00895C96" w:rsidP="00E04030">
      <w:pPr>
        <w:pStyle w:val="Bullet1G"/>
        <w:rPr>
          <w:lang w:val="fr-FR"/>
        </w:rPr>
      </w:pPr>
      <w:r w:rsidRPr="00895C96">
        <w:rPr>
          <w:lang w:val="fr-FR"/>
        </w:rPr>
        <w:t xml:space="preserve">La réaffirmation de l'autonomie de gestion administrative et financière de la CNDH (article 25). </w:t>
      </w:r>
    </w:p>
    <w:p w:rsidR="00895C96" w:rsidRPr="00895C96" w:rsidRDefault="004C1F3E" w:rsidP="00E04030">
      <w:pPr>
        <w:pStyle w:val="SingleTxtG"/>
        <w:rPr>
          <w:lang w:val="fr-FR"/>
        </w:rPr>
      </w:pPr>
      <w:r w:rsidRPr="00231C31">
        <w:rPr>
          <w:lang w:val="fr-FR"/>
        </w:rPr>
        <w:t>8.</w:t>
      </w:r>
      <w:r w:rsidR="00E04030" w:rsidRPr="00231C31">
        <w:rPr>
          <w:lang w:val="fr-FR"/>
        </w:rPr>
        <w:tab/>
      </w:r>
      <w:r w:rsidR="00BA0A3F" w:rsidRPr="00231C31">
        <w:rPr>
          <w:lang w:val="fr-FR"/>
        </w:rPr>
        <w:t xml:space="preserve">Consécutivement </w:t>
      </w:r>
      <w:r w:rsidR="00895C96" w:rsidRPr="00231C31">
        <w:rPr>
          <w:lang w:val="fr-FR"/>
        </w:rPr>
        <w:t xml:space="preserve">à cette réforme, le </w:t>
      </w:r>
      <w:r w:rsidR="0005452E" w:rsidRPr="00231C31">
        <w:rPr>
          <w:lang w:val="fr-FR"/>
        </w:rPr>
        <w:t>C</w:t>
      </w:r>
      <w:r w:rsidR="00895C96" w:rsidRPr="00231C31">
        <w:rPr>
          <w:lang w:val="fr-FR"/>
        </w:rPr>
        <w:t xml:space="preserve">omité international de coordination des institutions nationales </w:t>
      </w:r>
      <w:r w:rsidR="00B47BC3" w:rsidRPr="00231C31">
        <w:rPr>
          <w:lang w:val="fr-FR"/>
        </w:rPr>
        <w:t xml:space="preserve">pour la promotion et la protection des droits de l’homme </w:t>
      </w:r>
      <w:r w:rsidR="00895C96" w:rsidRPr="00231C31">
        <w:rPr>
          <w:lang w:val="fr-FR"/>
        </w:rPr>
        <w:t xml:space="preserve">a décidé </w:t>
      </w:r>
      <w:r w:rsidR="00BA0A3F" w:rsidRPr="00231C31">
        <w:rPr>
          <w:lang w:val="fr-FR"/>
        </w:rPr>
        <w:t xml:space="preserve">à </w:t>
      </w:r>
      <w:r w:rsidR="00895C96" w:rsidRPr="00231C31">
        <w:rPr>
          <w:lang w:val="fr-FR"/>
        </w:rPr>
        <w:t xml:space="preserve">sa </w:t>
      </w:r>
      <w:r w:rsidR="001E7B6C" w:rsidRPr="00231C31">
        <w:rPr>
          <w:lang w:val="fr-FR"/>
        </w:rPr>
        <w:t xml:space="preserve">vingtième </w:t>
      </w:r>
      <w:r w:rsidR="00895C96" w:rsidRPr="00231C31">
        <w:rPr>
          <w:lang w:val="fr-FR"/>
        </w:rPr>
        <w:t>session, tenue à Genève du 14 au 18 avril 2008</w:t>
      </w:r>
      <w:r w:rsidR="0005452E" w:rsidRPr="00231C31">
        <w:rPr>
          <w:lang w:val="fr-FR"/>
        </w:rPr>
        <w:t>,</w:t>
      </w:r>
      <w:r w:rsidR="00895C96" w:rsidRPr="00231C31">
        <w:rPr>
          <w:lang w:val="fr-FR"/>
        </w:rPr>
        <w:t xml:space="preserve"> d'accréditer la CNDH</w:t>
      </w:r>
      <w:r w:rsidR="0005452E" w:rsidRPr="00231C31">
        <w:rPr>
          <w:lang w:val="fr-FR"/>
        </w:rPr>
        <w:t xml:space="preserve"> du Togo</w:t>
      </w:r>
      <w:r w:rsidR="00895C96" w:rsidRPr="00231C31">
        <w:rPr>
          <w:lang w:val="fr-FR"/>
        </w:rPr>
        <w:t xml:space="preserve"> </w:t>
      </w:r>
      <w:r w:rsidR="00231C31" w:rsidRPr="00231C31">
        <w:rPr>
          <w:lang w:val="fr-FR"/>
        </w:rPr>
        <w:t xml:space="preserve">en lui accordant le </w:t>
      </w:r>
      <w:r w:rsidR="00895C96" w:rsidRPr="00231C31">
        <w:rPr>
          <w:lang w:val="fr-FR"/>
        </w:rPr>
        <w:t xml:space="preserve">statut A, </w:t>
      </w:r>
      <w:r w:rsidR="0005452E" w:rsidRPr="00231C31">
        <w:rPr>
          <w:lang w:val="fr-FR"/>
        </w:rPr>
        <w:t xml:space="preserve">attestant </w:t>
      </w:r>
      <w:r w:rsidR="00895C96" w:rsidRPr="00231C31">
        <w:rPr>
          <w:lang w:val="fr-FR"/>
        </w:rPr>
        <w:t xml:space="preserve">ainsi que l'institution remplit les exigences d'indépendance, d'efficacité et de crédibilité fixées par «les </w:t>
      </w:r>
      <w:r w:rsidR="0005452E" w:rsidRPr="00231C31">
        <w:rPr>
          <w:lang w:val="fr-FR"/>
        </w:rPr>
        <w:t>P</w:t>
      </w:r>
      <w:r w:rsidR="00895C96" w:rsidRPr="00231C31">
        <w:rPr>
          <w:lang w:val="fr-FR"/>
        </w:rPr>
        <w:t xml:space="preserve">rincipes de Paris» </w:t>
      </w:r>
      <w:r w:rsidR="00231C31" w:rsidRPr="00231C31">
        <w:rPr>
          <w:lang w:val="fr-FR"/>
        </w:rPr>
        <w:t xml:space="preserve">en ce qui concerne </w:t>
      </w:r>
      <w:r w:rsidR="00895C96" w:rsidRPr="00231C31">
        <w:rPr>
          <w:lang w:val="fr-FR"/>
        </w:rPr>
        <w:t>les institutions nationales de promotion et de protection des droits de l'homme.</w:t>
      </w:r>
      <w:r w:rsidR="00895C96" w:rsidRPr="00895C96">
        <w:rPr>
          <w:lang w:val="fr-FR"/>
        </w:rPr>
        <w:t xml:space="preserve"> </w:t>
      </w:r>
    </w:p>
    <w:p w:rsidR="00895C96" w:rsidRPr="00895C96" w:rsidRDefault="00E04030" w:rsidP="00E04030">
      <w:pPr>
        <w:pStyle w:val="H23G"/>
        <w:rPr>
          <w:lang w:val="fr-FR"/>
        </w:rPr>
      </w:pPr>
      <w:r>
        <w:rPr>
          <w:lang w:val="fr-FR"/>
        </w:rPr>
        <w:tab/>
      </w:r>
      <w:r>
        <w:rPr>
          <w:lang w:val="fr-FR"/>
        </w:rPr>
        <w:tab/>
      </w:r>
      <w:r w:rsidR="00895C96" w:rsidRPr="00895C96">
        <w:rPr>
          <w:lang w:val="fr-FR"/>
        </w:rPr>
        <w:t xml:space="preserve">Sur la compétence de la CNDH en matière de violation des droits de l'homme </w:t>
      </w:r>
    </w:p>
    <w:p w:rsidR="00895C96" w:rsidRPr="00895C96" w:rsidRDefault="004C1F3E" w:rsidP="00E04030">
      <w:pPr>
        <w:pStyle w:val="SingleTxtG"/>
        <w:rPr>
          <w:lang w:val="fr-FR"/>
        </w:rPr>
      </w:pPr>
      <w:r>
        <w:rPr>
          <w:lang w:val="fr-FR"/>
        </w:rPr>
        <w:t>9.</w:t>
      </w:r>
      <w:r w:rsidR="00E04030">
        <w:rPr>
          <w:lang w:val="fr-FR"/>
        </w:rPr>
        <w:tab/>
      </w:r>
      <w:r w:rsidR="00895C96" w:rsidRPr="00895C96">
        <w:rPr>
          <w:lang w:val="fr-FR"/>
        </w:rPr>
        <w:t xml:space="preserve">Aux termes de </w:t>
      </w:r>
      <w:r w:rsidR="00EA6694">
        <w:rPr>
          <w:lang w:val="fr-FR"/>
        </w:rPr>
        <w:t>l’</w:t>
      </w:r>
      <w:r w:rsidR="00EA6694" w:rsidRPr="00895C96">
        <w:rPr>
          <w:lang w:val="fr-FR"/>
        </w:rPr>
        <w:t>article 17</w:t>
      </w:r>
      <w:r w:rsidR="00EA6694">
        <w:rPr>
          <w:lang w:val="fr-FR"/>
        </w:rPr>
        <w:t xml:space="preserve"> de </w:t>
      </w:r>
      <w:r w:rsidR="00895C96" w:rsidRPr="00895C96">
        <w:rPr>
          <w:lang w:val="fr-FR"/>
        </w:rPr>
        <w:t>la loi organique de 2005, la CNDH est compétente pour connaître de toutes</w:t>
      </w:r>
      <w:r w:rsidR="009A3A4D">
        <w:rPr>
          <w:lang w:val="fr-FR"/>
        </w:rPr>
        <w:t xml:space="preserve"> les</w:t>
      </w:r>
      <w:r w:rsidR="00895C96" w:rsidRPr="00895C96">
        <w:rPr>
          <w:lang w:val="fr-FR"/>
        </w:rPr>
        <w:t xml:space="preserve"> formes de violation de</w:t>
      </w:r>
      <w:r w:rsidR="009A3A4D">
        <w:rPr>
          <w:lang w:val="fr-FR"/>
        </w:rPr>
        <w:t>s</w:t>
      </w:r>
      <w:r w:rsidR="00895C96" w:rsidRPr="00895C96">
        <w:rPr>
          <w:lang w:val="fr-FR"/>
        </w:rPr>
        <w:t xml:space="preserve"> droits de l'homme commises sur le territoire togolais. Ainsi</w:t>
      </w:r>
      <w:r w:rsidR="00595477">
        <w:rPr>
          <w:lang w:val="fr-FR"/>
        </w:rPr>
        <w:t>,</w:t>
      </w:r>
      <w:r w:rsidR="00895C96" w:rsidRPr="00895C96">
        <w:rPr>
          <w:lang w:val="fr-FR"/>
        </w:rPr>
        <w:t xml:space="preserve"> toute personne qui s'estime victime d</w:t>
      </w:r>
      <w:r w:rsidR="00595477">
        <w:rPr>
          <w:lang w:val="fr-FR"/>
        </w:rPr>
        <w:t>’un</w:t>
      </w:r>
      <w:r w:rsidR="00895C96" w:rsidRPr="00895C96">
        <w:rPr>
          <w:lang w:val="fr-FR"/>
        </w:rPr>
        <w:t>e violation d</w:t>
      </w:r>
      <w:r w:rsidR="00595477">
        <w:rPr>
          <w:lang w:val="fr-FR"/>
        </w:rPr>
        <w:t>es</w:t>
      </w:r>
      <w:r w:rsidR="00895C96" w:rsidRPr="00895C96">
        <w:rPr>
          <w:lang w:val="fr-FR"/>
        </w:rPr>
        <w:t xml:space="preserve"> droit</w:t>
      </w:r>
      <w:r w:rsidR="00595477">
        <w:rPr>
          <w:lang w:val="fr-FR"/>
        </w:rPr>
        <w:t>s</w:t>
      </w:r>
      <w:r w:rsidR="00895C96" w:rsidRPr="00895C96">
        <w:rPr>
          <w:lang w:val="fr-FR"/>
        </w:rPr>
        <w:t xml:space="preserve"> de l'homme peut adresser une requête à la Commission</w:t>
      </w:r>
      <w:r w:rsidR="00A90EA7">
        <w:rPr>
          <w:lang w:val="fr-FR"/>
        </w:rPr>
        <w:t xml:space="preserve"> à cet effet</w:t>
      </w:r>
      <w:r w:rsidR="00895C96" w:rsidRPr="00895C96">
        <w:rPr>
          <w:lang w:val="fr-FR"/>
        </w:rPr>
        <w:t xml:space="preserve">. </w:t>
      </w:r>
    </w:p>
    <w:p w:rsidR="00895C96" w:rsidRPr="00895C96" w:rsidRDefault="004C1F3E" w:rsidP="00E04030">
      <w:pPr>
        <w:pStyle w:val="SingleTxtG"/>
        <w:rPr>
          <w:lang w:val="fr-FR"/>
        </w:rPr>
      </w:pPr>
      <w:r>
        <w:rPr>
          <w:lang w:val="fr-FR"/>
        </w:rPr>
        <w:t>10.</w:t>
      </w:r>
      <w:r w:rsidR="00E04030">
        <w:rPr>
          <w:lang w:val="fr-FR"/>
        </w:rPr>
        <w:tab/>
      </w:r>
      <w:r w:rsidR="00895C96" w:rsidRPr="00895C96">
        <w:rPr>
          <w:lang w:val="fr-FR"/>
        </w:rPr>
        <w:t>La requête peut émaner également d'une tierce personne ou d'une organisation non gouvernementale.</w:t>
      </w:r>
    </w:p>
    <w:p w:rsidR="00895C96" w:rsidRPr="00895C96" w:rsidRDefault="004C1F3E" w:rsidP="00275484">
      <w:pPr>
        <w:pStyle w:val="SingleTxtG"/>
        <w:rPr>
          <w:lang w:val="fr-FR"/>
        </w:rPr>
      </w:pPr>
      <w:r>
        <w:rPr>
          <w:lang w:val="fr-FR"/>
        </w:rPr>
        <w:t>11.</w:t>
      </w:r>
      <w:r w:rsidR="00E04030">
        <w:rPr>
          <w:lang w:val="fr-FR"/>
        </w:rPr>
        <w:tab/>
      </w:r>
      <w:r w:rsidR="00895C96" w:rsidRPr="00895C96">
        <w:rPr>
          <w:lang w:val="fr-FR"/>
        </w:rPr>
        <w:t>La requête doit, sous peine d'irrecevabilité,</w:t>
      </w:r>
      <w:r w:rsidR="00275484">
        <w:rPr>
          <w:lang w:val="fr-FR"/>
        </w:rPr>
        <w:t xml:space="preserve"> p</w:t>
      </w:r>
      <w:r w:rsidR="00895C96" w:rsidRPr="00895C96">
        <w:rPr>
          <w:lang w:val="fr-FR"/>
        </w:rPr>
        <w:t>réciser l'identité et l'adresse de l'auteur</w:t>
      </w:r>
      <w:r w:rsidR="00275484">
        <w:rPr>
          <w:lang w:val="fr-FR"/>
        </w:rPr>
        <w:t xml:space="preserve">, </w:t>
      </w:r>
      <w:r w:rsidR="00583A01">
        <w:rPr>
          <w:lang w:val="fr-FR"/>
        </w:rPr>
        <w:t>et</w:t>
      </w:r>
      <w:r w:rsidR="00275484">
        <w:rPr>
          <w:lang w:val="fr-FR"/>
        </w:rPr>
        <w:t xml:space="preserve"> s</w:t>
      </w:r>
      <w:r w:rsidR="00895C96" w:rsidRPr="00895C96">
        <w:rPr>
          <w:lang w:val="fr-FR"/>
        </w:rPr>
        <w:t>pécifier l</w:t>
      </w:r>
      <w:r w:rsidR="00275484">
        <w:rPr>
          <w:lang w:val="fr-FR"/>
        </w:rPr>
        <w:t>a</w:t>
      </w:r>
      <w:r w:rsidR="00895C96" w:rsidRPr="00895C96">
        <w:rPr>
          <w:lang w:val="fr-FR"/>
        </w:rPr>
        <w:t xml:space="preserve"> violation commise</w:t>
      </w:r>
      <w:r w:rsidR="00275484">
        <w:rPr>
          <w:lang w:val="fr-FR"/>
        </w:rPr>
        <w:t xml:space="preserve">. Elle </w:t>
      </w:r>
      <w:r w:rsidR="00895C96" w:rsidRPr="00895C96">
        <w:rPr>
          <w:lang w:val="fr-FR"/>
        </w:rPr>
        <w:t>ne p</w:t>
      </w:r>
      <w:r w:rsidR="00275484">
        <w:rPr>
          <w:lang w:val="fr-FR"/>
        </w:rPr>
        <w:t>eut</w:t>
      </w:r>
      <w:r w:rsidR="00895C96" w:rsidRPr="00895C96">
        <w:rPr>
          <w:lang w:val="fr-FR"/>
        </w:rPr>
        <w:t xml:space="preserve"> concerner une violation qui a déjà cessé</w:t>
      </w:r>
      <w:r w:rsidR="00275484">
        <w:rPr>
          <w:lang w:val="fr-FR"/>
        </w:rPr>
        <w:t xml:space="preserve"> ni </w:t>
      </w:r>
      <w:r w:rsidR="00895C96" w:rsidRPr="00895C96">
        <w:rPr>
          <w:lang w:val="fr-FR"/>
        </w:rPr>
        <w:t>contenir de terme outrageant ou injurieux à l'égard de l'agent ou de l'administration mis en cause.</w:t>
      </w:r>
    </w:p>
    <w:p w:rsidR="00895C96" w:rsidRPr="00895C96" w:rsidRDefault="004C1F3E" w:rsidP="00E04030">
      <w:pPr>
        <w:pStyle w:val="SingleTxtG"/>
        <w:rPr>
          <w:lang w:val="fr-FR"/>
        </w:rPr>
      </w:pPr>
      <w:r>
        <w:rPr>
          <w:lang w:val="fr-FR"/>
        </w:rPr>
        <w:t>12.</w:t>
      </w:r>
      <w:r w:rsidR="00E04030">
        <w:rPr>
          <w:lang w:val="fr-FR"/>
        </w:rPr>
        <w:tab/>
      </w:r>
      <w:r w:rsidR="00895C96" w:rsidRPr="00895C96">
        <w:rPr>
          <w:lang w:val="fr-FR"/>
        </w:rPr>
        <w:t xml:space="preserve">Il ne saurait y avoir de requête </w:t>
      </w:r>
      <w:r w:rsidR="00895C96" w:rsidRPr="00EA0108">
        <w:rPr>
          <w:lang w:val="fr-FR"/>
        </w:rPr>
        <w:t>pour</w:t>
      </w:r>
      <w:r w:rsidR="00895C96" w:rsidRPr="00895C96">
        <w:rPr>
          <w:lang w:val="fr-FR"/>
        </w:rPr>
        <w:t xml:space="preserve"> des faits dont la justice est déjà saisie sauf en cas de déni manifeste de justice (article 18). </w:t>
      </w:r>
    </w:p>
    <w:p w:rsidR="00895C96" w:rsidRPr="00895C96" w:rsidRDefault="004C1F3E" w:rsidP="00E04030">
      <w:pPr>
        <w:pStyle w:val="SingleTxtG"/>
        <w:rPr>
          <w:lang w:val="fr-FR"/>
        </w:rPr>
      </w:pPr>
      <w:r>
        <w:rPr>
          <w:lang w:val="fr-FR"/>
        </w:rPr>
        <w:t>13.</w:t>
      </w:r>
      <w:r w:rsidR="00E04030">
        <w:rPr>
          <w:lang w:val="fr-FR"/>
        </w:rPr>
        <w:tab/>
      </w:r>
      <w:r w:rsidR="00895C96" w:rsidRPr="00895C96">
        <w:rPr>
          <w:lang w:val="fr-FR"/>
        </w:rPr>
        <w:t xml:space="preserve">En cas de violation des droits de l'homme, le </w:t>
      </w:r>
      <w:r w:rsidR="00895C96" w:rsidRPr="00EA0108">
        <w:rPr>
          <w:lang w:val="fr-FR"/>
        </w:rPr>
        <w:t>bureau</w:t>
      </w:r>
      <w:r w:rsidR="00895C96" w:rsidRPr="00895C96">
        <w:rPr>
          <w:lang w:val="fr-FR"/>
        </w:rPr>
        <w:t xml:space="preserve"> exécutif se réunit au plus tard dans les 48 heures </w:t>
      </w:r>
      <w:r w:rsidR="00E957FB">
        <w:rPr>
          <w:lang w:val="fr-FR"/>
        </w:rPr>
        <w:t xml:space="preserve">qui </w:t>
      </w:r>
      <w:r w:rsidR="00895C96" w:rsidRPr="00895C96">
        <w:rPr>
          <w:lang w:val="fr-FR"/>
        </w:rPr>
        <w:t>suiv</w:t>
      </w:r>
      <w:r w:rsidR="00E957FB">
        <w:rPr>
          <w:lang w:val="fr-FR"/>
        </w:rPr>
        <w:t>e</w:t>
      </w:r>
      <w:r w:rsidR="00895C96" w:rsidRPr="00895C96">
        <w:rPr>
          <w:lang w:val="fr-FR"/>
        </w:rPr>
        <w:t xml:space="preserve">nt la saisine de la Commission. </w:t>
      </w:r>
    </w:p>
    <w:p w:rsidR="00895C96" w:rsidRPr="00895C96" w:rsidRDefault="004C1F3E" w:rsidP="00E04030">
      <w:pPr>
        <w:pStyle w:val="SingleTxtG"/>
        <w:rPr>
          <w:lang w:val="fr-FR"/>
        </w:rPr>
      </w:pPr>
      <w:r>
        <w:rPr>
          <w:lang w:val="fr-FR"/>
        </w:rPr>
        <w:t>14.</w:t>
      </w:r>
      <w:r w:rsidR="00E04030">
        <w:rPr>
          <w:lang w:val="fr-FR"/>
        </w:rPr>
        <w:tab/>
      </w:r>
      <w:r w:rsidR="00895C96" w:rsidRPr="00895C96">
        <w:rPr>
          <w:lang w:val="fr-FR"/>
        </w:rPr>
        <w:t xml:space="preserve">Si la requête est recevable, le </w:t>
      </w:r>
      <w:r w:rsidR="00895C96" w:rsidRPr="00EA0108">
        <w:rPr>
          <w:lang w:val="fr-FR"/>
        </w:rPr>
        <w:t xml:space="preserve">bureau désigne parmi </w:t>
      </w:r>
      <w:r w:rsidR="00515242" w:rsidRPr="00EA0108">
        <w:rPr>
          <w:lang w:val="fr-FR"/>
        </w:rPr>
        <w:t>s</w:t>
      </w:r>
      <w:r w:rsidR="00895C96" w:rsidRPr="00EA0108">
        <w:rPr>
          <w:lang w:val="fr-FR"/>
        </w:rPr>
        <w:t xml:space="preserve">es membres un rapporteur spécial </w:t>
      </w:r>
      <w:r w:rsidR="00EC226D" w:rsidRPr="00EA0108">
        <w:rPr>
          <w:lang w:val="fr-FR"/>
        </w:rPr>
        <w:t>pour</w:t>
      </w:r>
      <w:r w:rsidR="00895C96" w:rsidRPr="00EA0108">
        <w:rPr>
          <w:lang w:val="fr-FR"/>
        </w:rPr>
        <w:t xml:space="preserve"> l'instruire.</w:t>
      </w:r>
      <w:r w:rsidR="00895C96" w:rsidRPr="00895C96">
        <w:rPr>
          <w:lang w:val="fr-FR"/>
        </w:rPr>
        <w:t xml:space="preserve"> </w:t>
      </w:r>
    </w:p>
    <w:p w:rsidR="00895C96" w:rsidRPr="00895C96" w:rsidRDefault="004C1F3E" w:rsidP="00E04030">
      <w:pPr>
        <w:pStyle w:val="SingleTxtG"/>
        <w:rPr>
          <w:lang w:val="fr-FR"/>
        </w:rPr>
      </w:pPr>
      <w:r>
        <w:rPr>
          <w:lang w:val="fr-FR"/>
        </w:rPr>
        <w:t>15.</w:t>
      </w:r>
      <w:r w:rsidR="00E04030">
        <w:rPr>
          <w:lang w:val="fr-FR"/>
        </w:rPr>
        <w:tab/>
      </w:r>
      <w:r w:rsidR="00895C96" w:rsidRPr="00895C96">
        <w:rPr>
          <w:lang w:val="fr-FR"/>
        </w:rPr>
        <w:t>Le rapporteur est habilité dans le cadre de ses investigations</w:t>
      </w:r>
      <w:r w:rsidR="00EC226D">
        <w:rPr>
          <w:lang w:val="fr-FR"/>
        </w:rPr>
        <w:t xml:space="preserve"> à</w:t>
      </w:r>
      <w:r w:rsidR="00F33DC4">
        <w:rPr>
          <w:lang w:val="fr-FR"/>
        </w:rPr>
        <w:t>:</w:t>
      </w:r>
      <w:r w:rsidR="00895C96" w:rsidRPr="00895C96">
        <w:rPr>
          <w:lang w:val="fr-FR"/>
        </w:rPr>
        <w:t xml:space="preserve"> </w:t>
      </w:r>
    </w:p>
    <w:p w:rsidR="00895C96" w:rsidRPr="00895C96" w:rsidRDefault="00EC226D" w:rsidP="00E04030">
      <w:pPr>
        <w:pStyle w:val="Bullet1G"/>
        <w:rPr>
          <w:lang w:val="fr-FR"/>
        </w:rPr>
      </w:pPr>
      <w:r>
        <w:rPr>
          <w:lang w:val="fr-FR"/>
        </w:rPr>
        <w:t>N</w:t>
      </w:r>
      <w:r w:rsidR="00895C96" w:rsidRPr="00895C96">
        <w:rPr>
          <w:lang w:val="fr-FR"/>
        </w:rPr>
        <w:t>otifier la requête à l'agent ou à l'administration mis en cause</w:t>
      </w:r>
      <w:r>
        <w:rPr>
          <w:lang w:val="fr-FR"/>
        </w:rPr>
        <w:t xml:space="preserve"> en demandant des explications</w:t>
      </w:r>
      <w:r w:rsidR="00895C96" w:rsidRPr="00895C96">
        <w:rPr>
          <w:lang w:val="fr-FR"/>
        </w:rPr>
        <w:t xml:space="preserve">; </w:t>
      </w:r>
    </w:p>
    <w:p w:rsidR="00895C96" w:rsidRPr="00895C96" w:rsidRDefault="00EC226D" w:rsidP="00E04030">
      <w:pPr>
        <w:pStyle w:val="Bullet1G"/>
        <w:rPr>
          <w:lang w:val="fr-FR"/>
        </w:rPr>
      </w:pPr>
      <w:r>
        <w:rPr>
          <w:lang w:val="fr-FR"/>
        </w:rPr>
        <w:t>P</w:t>
      </w:r>
      <w:r w:rsidR="00895C96" w:rsidRPr="00895C96">
        <w:rPr>
          <w:lang w:val="fr-FR"/>
        </w:rPr>
        <w:t xml:space="preserve">rocéder à l'audition de la victime, de l'agent impliqué et de toute personne apte à l'éclairer; </w:t>
      </w:r>
    </w:p>
    <w:p w:rsidR="00895C96" w:rsidRPr="00895C96" w:rsidRDefault="00EC226D" w:rsidP="00E04030">
      <w:pPr>
        <w:pStyle w:val="Bullet1G"/>
        <w:rPr>
          <w:lang w:val="fr-FR"/>
        </w:rPr>
      </w:pPr>
      <w:r>
        <w:rPr>
          <w:lang w:val="fr-FR"/>
        </w:rPr>
        <w:t>A</w:t>
      </w:r>
      <w:r w:rsidR="00895C96" w:rsidRPr="00895C96">
        <w:rPr>
          <w:lang w:val="fr-FR"/>
        </w:rPr>
        <w:t xml:space="preserve">voir accès à tous rapports, registres et autres documents ainsi qu'à tous objets et lieux ayant trait à l'enquête; </w:t>
      </w:r>
    </w:p>
    <w:p w:rsidR="00895C96" w:rsidRPr="00895C96" w:rsidRDefault="00EC226D" w:rsidP="00E04030">
      <w:pPr>
        <w:pStyle w:val="Bullet1G"/>
        <w:rPr>
          <w:lang w:val="fr-FR"/>
        </w:rPr>
      </w:pPr>
      <w:r>
        <w:rPr>
          <w:lang w:val="fr-FR"/>
        </w:rPr>
        <w:t>B</w:t>
      </w:r>
      <w:r w:rsidR="00895C96" w:rsidRPr="00895C96">
        <w:rPr>
          <w:lang w:val="fr-FR"/>
        </w:rPr>
        <w:t>énéficier, dans l'accomplissement de sa mission, du concours des supérieurs hiérarchiques de l'agent impliqué.</w:t>
      </w:r>
    </w:p>
    <w:p w:rsidR="00895C96" w:rsidRPr="00895C96" w:rsidRDefault="004C1F3E" w:rsidP="00E04030">
      <w:pPr>
        <w:pStyle w:val="SingleTxtG"/>
        <w:rPr>
          <w:lang w:val="fr-FR"/>
        </w:rPr>
      </w:pPr>
      <w:r>
        <w:rPr>
          <w:lang w:val="fr-FR"/>
        </w:rPr>
        <w:t>16.</w:t>
      </w:r>
      <w:r w:rsidR="00E04030">
        <w:rPr>
          <w:lang w:val="fr-FR"/>
        </w:rPr>
        <w:tab/>
      </w:r>
      <w:r w:rsidR="00895C96" w:rsidRPr="00895C96">
        <w:rPr>
          <w:lang w:val="fr-FR"/>
        </w:rPr>
        <w:t xml:space="preserve">Il recherche, s'il y a lieu, avec l'administration concernée les voies et moyens </w:t>
      </w:r>
      <w:r w:rsidR="00E34DC8">
        <w:rPr>
          <w:lang w:val="fr-FR"/>
        </w:rPr>
        <w:t>susceptibles de</w:t>
      </w:r>
      <w:r w:rsidR="00E34DC8" w:rsidRPr="00895C96">
        <w:rPr>
          <w:lang w:val="fr-FR"/>
        </w:rPr>
        <w:t xml:space="preserve"> </w:t>
      </w:r>
      <w:r w:rsidR="00895C96" w:rsidRPr="00895C96">
        <w:rPr>
          <w:lang w:val="fr-FR"/>
        </w:rPr>
        <w:t>faire cesser la violation</w:t>
      </w:r>
      <w:r w:rsidR="00E34DC8">
        <w:rPr>
          <w:lang w:val="fr-FR"/>
        </w:rPr>
        <w:t xml:space="preserve"> qui fait l’</w:t>
      </w:r>
      <w:r w:rsidR="00895C96" w:rsidRPr="00895C96">
        <w:rPr>
          <w:lang w:val="fr-FR"/>
        </w:rPr>
        <w:t xml:space="preserve">objet de la requête. Il </w:t>
      </w:r>
      <w:r w:rsidR="00610A7E">
        <w:rPr>
          <w:lang w:val="fr-FR"/>
        </w:rPr>
        <w:t>re</w:t>
      </w:r>
      <w:r w:rsidR="004B3E4B">
        <w:rPr>
          <w:lang w:val="fr-FR"/>
        </w:rPr>
        <w:t>met</w:t>
      </w:r>
      <w:r w:rsidR="00895C96" w:rsidRPr="00895C96">
        <w:rPr>
          <w:lang w:val="fr-FR"/>
        </w:rPr>
        <w:t>, au plus tard dans un délai de quinze (15)</w:t>
      </w:r>
      <w:r w:rsidR="00721DF4">
        <w:rPr>
          <w:lang w:val="fr-FR"/>
        </w:rPr>
        <w:t xml:space="preserve"> </w:t>
      </w:r>
      <w:r w:rsidR="00895C96" w:rsidRPr="00895C96">
        <w:rPr>
          <w:lang w:val="fr-FR"/>
        </w:rPr>
        <w:t xml:space="preserve">jours à compter de sa désignation, </w:t>
      </w:r>
      <w:r w:rsidR="00610A7E">
        <w:rPr>
          <w:lang w:val="fr-FR"/>
        </w:rPr>
        <w:t>son</w:t>
      </w:r>
      <w:r w:rsidR="00610A7E" w:rsidRPr="00895C96">
        <w:rPr>
          <w:lang w:val="fr-FR"/>
        </w:rPr>
        <w:t xml:space="preserve"> </w:t>
      </w:r>
      <w:r w:rsidR="00895C96" w:rsidRPr="00895C96">
        <w:rPr>
          <w:lang w:val="fr-FR"/>
        </w:rPr>
        <w:t xml:space="preserve">rapport sur l'ensemble des diligences qu'il a effectuées et </w:t>
      </w:r>
      <w:r w:rsidR="005D2295">
        <w:rPr>
          <w:lang w:val="fr-FR"/>
        </w:rPr>
        <w:t>adresse</w:t>
      </w:r>
      <w:r w:rsidR="00921442">
        <w:rPr>
          <w:lang w:val="fr-FR"/>
        </w:rPr>
        <w:t>,</w:t>
      </w:r>
      <w:r w:rsidR="00895C96" w:rsidRPr="00895C96">
        <w:rPr>
          <w:lang w:val="fr-FR"/>
        </w:rPr>
        <w:t xml:space="preserve"> le cas échéant, des avis et </w:t>
      </w:r>
      <w:r w:rsidR="00921442">
        <w:rPr>
          <w:lang w:val="fr-FR"/>
        </w:rPr>
        <w:t xml:space="preserve">des </w:t>
      </w:r>
      <w:r w:rsidR="00895C96" w:rsidRPr="00895C96">
        <w:rPr>
          <w:lang w:val="fr-FR"/>
        </w:rPr>
        <w:t xml:space="preserve">recommandations </w:t>
      </w:r>
      <w:r w:rsidR="00895C96" w:rsidRPr="005D2295">
        <w:rPr>
          <w:lang w:val="fr-FR"/>
        </w:rPr>
        <w:t>à la</w:t>
      </w:r>
      <w:r w:rsidR="00895C96" w:rsidRPr="00895C96">
        <w:rPr>
          <w:lang w:val="fr-FR"/>
        </w:rPr>
        <w:t xml:space="preserve"> Commission (article 21).</w:t>
      </w:r>
    </w:p>
    <w:p w:rsidR="00895C96" w:rsidRPr="00895C96" w:rsidRDefault="004C1F3E" w:rsidP="00E04030">
      <w:pPr>
        <w:pStyle w:val="SingleTxtG"/>
        <w:rPr>
          <w:lang w:val="fr-FR"/>
        </w:rPr>
      </w:pPr>
      <w:r>
        <w:rPr>
          <w:lang w:val="fr-FR"/>
        </w:rPr>
        <w:t>17.</w:t>
      </w:r>
      <w:r w:rsidR="00E04030">
        <w:rPr>
          <w:lang w:val="fr-FR"/>
        </w:rPr>
        <w:tab/>
      </w:r>
      <w:r w:rsidR="004B3E4B">
        <w:rPr>
          <w:lang w:val="fr-FR"/>
        </w:rPr>
        <w:t>En</w:t>
      </w:r>
      <w:r w:rsidR="004B3E4B" w:rsidRPr="00895C96">
        <w:rPr>
          <w:lang w:val="fr-FR"/>
        </w:rPr>
        <w:t xml:space="preserve"> </w:t>
      </w:r>
      <w:r w:rsidR="00895C96" w:rsidRPr="00895C96">
        <w:rPr>
          <w:lang w:val="fr-FR"/>
        </w:rPr>
        <w:t xml:space="preserve">cas </w:t>
      </w:r>
      <w:r w:rsidR="004B3E4B">
        <w:rPr>
          <w:lang w:val="fr-FR"/>
        </w:rPr>
        <w:t xml:space="preserve">de persistance de </w:t>
      </w:r>
      <w:r w:rsidR="00895C96" w:rsidRPr="00895C96">
        <w:rPr>
          <w:lang w:val="fr-FR"/>
        </w:rPr>
        <w:t xml:space="preserve">la violation, la Commission se réunit immédiatement </w:t>
      </w:r>
      <w:r w:rsidR="004B3E4B">
        <w:rPr>
          <w:lang w:val="fr-FR"/>
        </w:rPr>
        <w:t>aux fins d’</w:t>
      </w:r>
      <w:r w:rsidR="00895C96" w:rsidRPr="00895C96">
        <w:rPr>
          <w:lang w:val="fr-FR"/>
        </w:rPr>
        <w:t>examiner le rapport déposé</w:t>
      </w:r>
      <w:r w:rsidR="003559E5">
        <w:rPr>
          <w:lang w:val="fr-FR"/>
        </w:rPr>
        <w:t xml:space="preserve"> par le Rapporteur</w:t>
      </w:r>
      <w:r w:rsidR="00895C96" w:rsidRPr="00895C96">
        <w:rPr>
          <w:lang w:val="fr-FR"/>
        </w:rPr>
        <w:t xml:space="preserve"> et arrête toutes mesures susceptibles d</w:t>
      </w:r>
      <w:r w:rsidR="003559E5">
        <w:rPr>
          <w:lang w:val="fr-FR"/>
        </w:rPr>
        <w:t xml:space="preserve">e </w:t>
      </w:r>
      <w:r w:rsidR="00895C96" w:rsidRPr="00895C96">
        <w:rPr>
          <w:lang w:val="fr-FR"/>
        </w:rPr>
        <w:t>mettre fin</w:t>
      </w:r>
      <w:r w:rsidR="003559E5">
        <w:rPr>
          <w:lang w:val="fr-FR"/>
        </w:rPr>
        <w:t xml:space="preserve"> à la violation</w:t>
      </w:r>
      <w:r w:rsidR="00895C96" w:rsidRPr="00895C96">
        <w:rPr>
          <w:lang w:val="fr-FR"/>
        </w:rPr>
        <w:t xml:space="preserve">, notamment </w:t>
      </w:r>
      <w:r w:rsidR="003559E5">
        <w:rPr>
          <w:lang w:val="fr-FR"/>
        </w:rPr>
        <w:t xml:space="preserve">en s’adressant </w:t>
      </w:r>
      <w:r w:rsidR="00895C96" w:rsidRPr="00895C96">
        <w:rPr>
          <w:lang w:val="fr-FR"/>
        </w:rPr>
        <w:t xml:space="preserve">: </w:t>
      </w:r>
    </w:p>
    <w:p w:rsidR="00895C96" w:rsidRPr="00895C96" w:rsidRDefault="00E52785" w:rsidP="00E04030">
      <w:pPr>
        <w:pStyle w:val="Bullet1G"/>
        <w:rPr>
          <w:lang w:val="fr-FR"/>
        </w:rPr>
      </w:pPr>
      <w:r w:rsidRPr="005021E5">
        <w:rPr>
          <w:lang w:val="fr-FR"/>
        </w:rPr>
        <w:t>A</w:t>
      </w:r>
      <w:r w:rsidR="00895C96" w:rsidRPr="005021E5">
        <w:rPr>
          <w:lang w:val="fr-FR"/>
        </w:rPr>
        <w:t xml:space="preserve">u Président de l'Assemblée </w:t>
      </w:r>
      <w:r w:rsidRPr="005021E5">
        <w:rPr>
          <w:lang w:val="fr-FR"/>
        </w:rPr>
        <w:t>n</w:t>
      </w:r>
      <w:r w:rsidR="00895C96" w:rsidRPr="005021E5">
        <w:rPr>
          <w:lang w:val="fr-FR"/>
        </w:rPr>
        <w:t>ationale</w:t>
      </w:r>
      <w:r w:rsidR="00E8058A" w:rsidRPr="005021E5">
        <w:rPr>
          <w:lang w:val="fr-FR"/>
        </w:rPr>
        <w:t>,</w:t>
      </w:r>
      <w:r w:rsidR="00895C96" w:rsidRPr="005021E5">
        <w:rPr>
          <w:lang w:val="fr-FR"/>
        </w:rPr>
        <w:t xml:space="preserve"> qui en fait rapport</w:t>
      </w:r>
      <w:r w:rsidR="00895C96" w:rsidRPr="00895C96">
        <w:rPr>
          <w:lang w:val="fr-FR"/>
        </w:rPr>
        <w:t xml:space="preserve"> à l'Assemblée Nationale</w:t>
      </w:r>
      <w:r w:rsidR="00382281">
        <w:rPr>
          <w:lang w:val="fr-FR"/>
        </w:rPr>
        <w:t>;</w:t>
      </w:r>
      <w:r w:rsidR="00895C96" w:rsidRPr="00895C96">
        <w:rPr>
          <w:lang w:val="fr-FR"/>
        </w:rPr>
        <w:t xml:space="preserve"> </w:t>
      </w:r>
    </w:p>
    <w:p w:rsidR="00895C96" w:rsidRPr="00895C96" w:rsidRDefault="00E52785" w:rsidP="00E04030">
      <w:pPr>
        <w:pStyle w:val="Bullet1G"/>
        <w:rPr>
          <w:lang w:val="fr-FR"/>
        </w:rPr>
      </w:pPr>
      <w:r>
        <w:rPr>
          <w:lang w:val="fr-FR"/>
        </w:rPr>
        <w:t>O</w:t>
      </w:r>
      <w:r w:rsidR="00895C96" w:rsidRPr="00895C96">
        <w:rPr>
          <w:lang w:val="fr-FR"/>
        </w:rPr>
        <w:t xml:space="preserve">u </w:t>
      </w:r>
      <w:r w:rsidR="00895C96" w:rsidRPr="00895C96">
        <w:rPr>
          <w:i/>
          <w:iCs/>
          <w:lang w:val="fr-FR"/>
        </w:rPr>
        <w:t xml:space="preserve">/ </w:t>
      </w:r>
      <w:r w:rsidR="00895C96" w:rsidRPr="00895C96">
        <w:rPr>
          <w:lang w:val="fr-FR"/>
        </w:rPr>
        <w:t xml:space="preserve">et au </w:t>
      </w:r>
      <w:r w:rsidR="001E7B6C">
        <w:rPr>
          <w:lang w:val="fr-FR"/>
        </w:rPr>
        <w:t>c</w:t>
      </w:r>
      <w:r w:rsidR="00895C96" w:rsidRPr="00895C96">
        <w:rPr>
          <w:lang w:val="fr-FR"/>
        </w:rPr>
        <w:t>hef de l'</w:t>
      </w:r>
      <w:r w:rsidR="001E7B6C">
        <w:rPr>
          <w:lang w:val="fr-FR"/>
        </w:rPr>
        <w:t>É</w:t>
      </w:r>
      <w:r w:rsidR="00895C96" w:rsidRPr="00895C96">
        <w:rPr>
          <w:lang w:val="fr-FR"/>
        </w:rPr>
        <w:t>tat</w:t>
      </w:r>
      <w:r w:rsidR="00382281">
        <w:rPr>
          <w:lang w:val="fr-FR"/>
        </w:rPr>
        <w:t>;</w:t>
      </w:r>
      <w:r w:rsidR="00895C96" w:rsidRPr="00895C96">
        <w:rPr>
          <w:lang w:val="fr-FR"/>
        </w:rPr>
        <w:t xml:space="preserve"> </w:t>
      </w:r>
    </w:p>
    <w:p w:rsidR="00895C96" w:rsidRPr="00895C96" w:rsidRDefault="00E52785" w:rsidP="00E04030">
      <w:pPr>
        <w:pStyle w:val="Bullet1G"/>
        <w:rPr>
          <w:lang w:val="fr-FR"/>
        </w:rPr>
      </w:pPr>
      <w:r>
        <w:rPr>
          <w:lang w:val="fr-FR"/>
        </w:rPr>
        <w:t>A</w:t>
      </w:r>
      <w:r w:rsidR="00895C96" w:rsidRPr="00895C96">
        <w:rPr>
          <w:lang w:val="fr-FR"/>
        </w:rPr>
        <w:t xml:space="preserve">ux tribunaux. </w:t>
      </w:r>
    </w:p>
    <w:p w:rsidR="00895C96" w:rsidRPr="00895C96" w:rsidRDefault="00E04030" w:rsidP="00E04030">
      <w:pPr>
        <w:pStyle w:val="H23G"/>
        <w:rPr>
          <w:lang w:val="fr-FR"/>
        </w:rPr>
      </w:pPr>
      <w:r>
        <w:rPr>
          <w:lang w:val="fr-FR"/>
        </w:rPr>
        <w:tab/>
      </w:r>
      <w:r>
        <w:rPr>
          <w:lang w:val="fr-FR"/>
        </w:rPr>
        <w:tab/>
      </w:r>
      <w:r w:rsidR="00895C96" w:rsidRPr="00895C96">
        <w:rPr>
          <w:lang w:val="fr-FR"/>
        </w:rPr>
        <w:t xml:space="preserve">Les mesures prises pour garantir l'indépendance de la CNDH </w:t>
      </w:r>
    </w:p>
    <w:p w:rsidR="00895C96" w:rsidRPr="00895C96" w:rsidRDefault="004C1F3E" w:rsidP="00E04030">
      <w:pPr>
        <w:pStyle w:val="SingleTxtG"/>
        <w:rPr>
          <w:lang w:val="fr-FR"/>
        </w:rPr>
      </w:pPr>
      <w:r>
        <w:rPr>
          <w:lang w:val="fr-FR"/>
        </w:rPr>
        <w:t>18.</w:t>
      </w:r>
      <w:r w:rsidR="00E04030">
        <w:rPr>
          <w:lang w:val="fr-FR"/>
        </w:rPr>
        <w:tab/>
      </w:r>
      <w:r w:rsidR="00895C96" w:rsidRPr="00895C96">
        <w:rPr>
          <w:lang w:val="fr-FR"/>
        </w:rPr>
        <w:t>Aux termes de l'article 1</w:t>
      </w:r>
      <w:r w:rsidR="00895C96" w:rsidRPr="00895C96">
        <w:rPr>
          <w:vertAlign w:val="superscript"/>
          <w:lang w:val="fr-FR"/>
        </w:rPr>
        <w:t>er</w:t>
      </w:r>
      <w:r w:rsidR="00382281">
        <w:rPr>
          <w:lang w:val="fr-FR"/>
        </w:rPr>
        <w:t xml:space="preserve"> </w:t>
      </w:r>
      <w:r w:rsidR="00895C96" w:rsidRPr="00895C96">
        <w:rPr>
          <w:lang w:val="fr-FR"/>
        </w:rPr>
        <w:t xml:space="preserve">de la loi de 2005, la CNDH est conformément à l'article 152 de la </w:t>
      </w:r>
      <w:r w:rsidR="001E7B6C">
        <w:rPr>
          <w:lang w:val="fr-FR"/>
        </w:rPr>
        <w:t>Constitution</w:t>
      </w:r>
      <w:r w:rsidR="00895C96" w:rsidRPr="00895C96">
        <w:rPr>
          <w:lang w:val="fr-FR"/>
        </w:rPr>
        <w:t xml:space="preserve"> une institution indépendante, </w:t>
      </w:r>
      <w:r w:rsidR="00716CEB">
        <w:rPr>
          <w:lang w:val="fr-FR"/>
        </w:rPr>
        <w:t>qui</w:t>
      </w:r>
      <w:r w:rsidR="00716CEB" w:rsidRPr="00895C96">
        <w:rPr>
          <w:lang w:val="fr-FR"/>
        </w:rPr>
        <w:t xml:space="preserve"> </w:t>
      </w:r>
      <w:r w:rsidR="00895C96" w:rsidRPr="00895C96">
        <w:rPr>
          <w:lang w:val="fr-FR"/>
        </w:rPr>
        <w:t>n'est soumise qu’à</w:t>
      </w:r>
      <w:r w:rsidR="00382281">
        <w:rPr>
          <w:lang w:val="fr-FR"/>
        </w:rPr>
        <w:t xml:space="preserve"> </w:t>
      </w:r>
      <w:r w:rsidR="00895C96" w:rsidRPr="00895C96">
        <w:rPr>
          <w:lang w:val="fr-FR"/>
        </w:rPr>
        <w:t xml:space="preserve">la </w:t>
      </w:r>
      <w:r w:rsidR="001E7B6C">
        <w:rPr>
          <w:lang w:val="fr-FR"/>
        </w:rPr>
        <w:t>Constitution</w:t>
      </w:r>
      <w:r w:rsidR="00895C96" w:rsidRPr="00895C96">
        <w:rPr>
          <w:lang w:val="fr-FR"/>
        </w:rPr>
        <w:t xml:space="preserve"> et à la loi. Aucun membre du </w:t>
      </w:r>
      <w:r w:rsidR="001E7B6C">
        <w:rPr>
          <w:lang w:val="fr-FR"/>
        </w:rPr>
        <w:t xml:space="preserve">Gouvernement </w:t>
      </w:r>
      <w:r w:rsidR="00895C96" w:rsidRPr="00895C96">
        <w:rPr>
          <w:lang w:val="fr-FR"/>
        </w:rPr>
        <w:t xml:space="preserve">ou du </w:t>
      </w:r>
      <w:r w:rsidR="00716CEB">
        <w:rPr>
          <w:lang w:val="fr-FR"/>
        </w:rPr>
        <w:t>P</w:t>
      </w:r>
      <w:r w:rsidR="00895C96" w:rsidRPr="00895C96">
        <w:rPr>
          <w:lang w:val="fr-FR"/>
        </w:rPr>
        <w:t>arlement, aucune autre personne ne s'i</w:t>
      </w:r>
      <w:r w:rsidR="00716CEB">
        <w:rPr>
          <w:lang w:val="fr-FR"/>
        </w:rPr>
        <w:t>ngère</w:t>
      </w:r>
      <w:r w:rsidR="00895C96" w:rsidRPr="00895C96">
        <w:rPr>
          <w:lang w:val="fr-FR"/>
        </w:rPr>
        <w:t xml:space="preserve"> dans l'exercice de ses fonctions et tous les organes de l'</w:t>
      </w:r>
      <w:r w:rsidR="001E7B6C">
        <w:rPr>
          <w:lang w:val="fr-FR"/>
        </w:rPr>
        <w:t xml:space="preserve">État </w:t>
      </w:r>
      <w:r w:rsidR="00895C96" w:rsidRPr="00895C96">
        <w:rPr>
          <w:lang w:val="fr-FR"/>
        </w:rPr>
        <w:t xml:space="preserve">lui accordent l'assistance dont elle peut avoir besoin pour préserver son indépendance, sa dignité et son efficacité. </w:t>
      </w:r>
    </w:p>
    <w:p w:rsidR="00895C96" w:rsidRPr="00895C96" w:rsidRDefault="004C1F3E" w:rsidP="00E04030">
      <w:pPr>
        <w:pStyle w:val="SingleTxtG"/>
        <w:rPr>
          <w:lang w:val="fr-FR"/>
        </w:rPr>
      </w:pPr>
      <w:r>
        <w:rPr>
          <w:lang w:val="fr-FR"/>
        </w:rPr>
        <w:t>19.</w:t>
      </w:r>
      <w:r w:rsidR="00E04030">
        <w:rPr>
          <w:lang w:val="fr-FR"/>
        </w:rPr>
        <w:tab/>
      </w:r>
      <w:r w:rsidR="00895C96" w:rsidRPr="00895C96">
        <w:rPr>
          <w:lang w:val="fr-FR"/>
        </w:rPr>
        <w:t xml:space="preserve">Les membres de la Commission jouissent de l'immunité pendant l'exercice de leurs fonctions et un (01) an après la cessation de celles-ci (article 14). </w:t>
      </w:r>
    </w:p>
    <w:p w:rsidR="00895C96" w:rsidRPr="00895C96" w:rsidRDefault="004C1F3E" w:rsidP="00E04030">
      <w:pPr>
        <w:pStyle w:val="SingleTxtG"/>
        <w:rPr>
          <w:lang w:val="fr-FR"/>
        </w:rPr>
      </w:pPr>
      <w:r>
        <w:rPr>
          <w:lang w:val="fr-FR"/>
        </w:rPr>
        <w:t>20.</w:t>
      </w:r>
      <w:r w:rsidR="00E04030">
        <w:rPr>
          <w:lang w:val="fr-FR"/>
        </w:rPr>
        <w:tab/>
      </w:r>
      <w:r w:rsidR="00895C96" w:rsidRPr="00895C96">
        <w:rPr>
          <w:lang w:val="fr-FR"/>
        </w:rPr>
        <w:t>Le mandat de</w:t>
      </w:r>
      <w:r w:rsidR="00716CEB">
        <w:rPr>
          <w:lang w:val="fr-FR"/>
        </w:rPr>
        <w:t xml:space="preserve"> se</w:t>
      </w:r>
      <w:r w:rsidR="00895C96" w:rsidRPr="00895C96">
        <w:rPr>
          <w:lang w:val="fr-FR"/>
        </w:rPr>
        <w:t xml:space="preserve">s membres est irrévocable (article 4). </w:t>
      </w:r>
    </w:p>
    <w:p w:rsidR="00895C96" w:rsidRPr="00895C96" w:rsidRDefault="004C1F3E" w:rsidP="00E04030">
      <w:pPr>
        <w:pStyle w:val="SingleTxtG"/>
        <w:rPr>
          <w:lang w:val="fr-FR"/>
        </w:rPr>
      </w:pPr>
      <w:r>
        <w:rPr>
          <w:lang w:val="fr-FR"/>
        </w:rPr>
        <w:t>21.</w:t>
      </w:r>
      <w:r w:rsidR="00E04030">
        <w:rPr>
          <w:lang w:val="fr-FR"/>
        </w:rPr>
        <w:tab/>
      </w:r>
      <w:r w:rsidR="00895C96" w:rsidRPr="00895C96">
        <w:rPr>
          <w:lang w:val="fr-FR"/>
        </w:rPr>
        <w:t xml:space="preserve">Le </w:t>
      </w:r>
      <w:r w:rsidR="00895C96" w:rsidRPr="005021E5">
        <w:rPr>
          <w:lang w:val="fr-FR"/>
        </w:rPr>
        <w:t>Pr</w:t>
      </w:r>
      <w:r w:rsidR="00895C96" w:rsidRPr="00895C96">
        <w:rPr>
          <w:lang w:val="fr-FR"/>
        </w:rPr>
        <w:t>ésident de la Commission est élu par les membres</w:t>
      </w:r>
      <w:r w:rsidR="00F33DC4">
        <w:rPr>
          <w:lang w:val="fr-FR"/>
        </w:rPr>
        <w:t>;</w:t>
      </w:r>
      <w:r w:rsidR="00895C96" w:rsidRPr="00895C96">
        <w:rPr>
          <w:lang w:val="fr-FR"/>
        </w:rPr>
        <w:t xml:space="preserve"> ses fonctions sont incompatibles avec tout mandat électif, tout emploi privé ou public, civil ou militaire, toute activité professionnelle et toute fonction de représentation nationale. </w:t>
      </w:r>
    </w:p>
    <w:p w:rsidR="00895C96" w:rsidRPr="00895C96" w:rsidRDefault="004C1F3E" w:rsidP="00E04030">
      <w:pPr>
        <w:pStyle w:val="SingleTxtG"/>
        <w:rPr>
          <w:lang w:val="fr-FR"/>
        </w:rPr>
      </w:pPr>
      <w:r>
        <w:rPr>
          <w:lang w:val="fr-FR"/>
        </w:rPr>
        <w:t>22.</w:t>
      </w:r>
      <w:r w:rsidR="00E04030">
        <w:rPr>
          <w:lang w:val="fr-FR"/>
        </w:rPr>
        <w:tab/>
      </w:r>
      <w:r w:rsidR="00895C96" w:rsidRPr="00895C96">
        <w:rPr>
          <w:lang w:val="fr-FR"/>
        </w:rPr>
        <w:t>L'article 25 de la loi organique du 09 février 2005 fait obligation à l'</w:t>
      </w:r>
      <w:r w:rsidR="001E7B6C">
        <w:rPr>
          <w:lang w:val="fr-FR"/>
        </w:rPr>
        <w:t xml:space="preserve">État </w:t>
      </w:r>
      <w:r w:rsidR="00895C96" w:rsidRPr="00895C96">
        <w:rPr>
          <w:lang w:val="fr-FR"/>
        </w:rPr>
        <w:t xml:space="preserve">d'inscrire </w:t>
      </w:r>
      <w:r w:rsidR="00B077BA" w:rsidRPr="00895C96">
        <w:rPr>
          <w:lang w:val="fr-FR"/>
        </w:rPr>
        <w:t xml:space="preserve">chaque année </w:t>
      </w:r>
      <w:r w:rsidR="00895C96" w:rsidRPr="00895C96">
        <w:rPr>
          <w:lang w:val="fr-FR"/>
        </w:rPr>
        <w:t>au budget général</w:t>
      </w:r>
      <w:r w:rsidR="00B077BA">
        <w:rPr>
          <w:lang w:val="fr-FR"/>
        </w:rPr>
        <w:t xml:space="preserve"> </w:t>
      </w:r>
      <w:r w:rsidR="00895C96" w:rsidRPr="00895C96">
        <w:rPr>
          <w:lang w:val="fr-FR"/>
        </w:rPr>
        <w:t>les crédits nécessaires au fonctionnement de la Commission. Aussi, la CNDH vit principalement des subventions de l'</w:t>
      </w:r>
      <w:r w:rsidR="001E7B6C">
        <w:rPr>
          <w:lang w:val="fr-FR"/>
        </w:rPr>
        <w:t xml:space="preserve">État </w:t>
      </w:r>
      <w:r w:rsidR="00895C96" w:rsidRPr="00895C96">
        <w:rPr>
          <w:lang w:val="fr-FR"/>
        </w:rPr>
        <w:t xml:space="preserve">et détermine et exécute librement ses activités de promotion et de protection des droits de l'homme. </w:t>
      </w:r>
      <w:r w:rsidR="00B077BA">
        <w:rPr>
          <w:lang w:val="fr-FR"/>
        </w:rPr>
        <w:t>E</w:t>
      </w:r>
      <w:r w:rsidR="00895C96" w:rsidRPr="00895C96">
        <w:rPr>
          <w:lang w:val="fr-FR"/>
        </w:rPr>
        <w:t xml:space="preserve">lle entretient avec les administrations publiques </w:t>
      </w:r>
      <w:r w:rsidR="00B077BA">
        <w:rPr>
          <w:lang w:val="fr-FR"/>
        </w:rPr>
        <w:t xml:space="preserve">des </w:t>
      </w:r>
      <w:r w:rsidR="00B077BA" w:rsidRPr="00895C96">
        <w:rPr>
          <w:lang w:val="fr-FR"/>
        </w:rPr>
        <w:t xml:space="preserve">liens </w:t>
      </w:r>
      <w:r w:rsidR="00895C96" w:rsidRPr="00895C96">
        <w:rPr>
          <w:lang w:val="fr-FR"/>
        </w:rPr>
        <w:t xml:space="preserve">de collaboration et de partenariat. </w:t>
      </w:r>
    </w:p>
    <w:p w:rsidR="00895C96" w:rsidRPr="00895C96" w:rsidRDefault="004C1F3E" w:rsidP="00E04030">
      <w:pPr>
        <w:pStyle w:val="SingleTxtG"/>
        <w:rPr>
          <w:lang w:val="fr-FR"/>
        </w:rPr>
      </w:pPr>
      <w:r>
        <w:rPr>
          <w:lang w:val="fr-FR"/>
        </w:rPr>
        <w:t>23.</w:t>
      </w:r>
      <w:r w:rsidR="00E04030">
        <w:rPr>
          <w:lang w:val="fr-FR"/>
        </w:rPr>
        <w:tab/>
      </w:r>
      <w:r w:rsidR="00895C96" w:rsidRPr="00895C96">
        <w:rPr>
          <w:lang w:val="fr-FR"/>
        </w:rPr>
        <w:t xml:space="preserve">La dépendance financière pose la </w:t>
      </w:r>
      <w:r w:rsidR="00895C96" w:rsidRPr="00E8058A">
        <w:rPr>
          <w:lang w:val="fr-FR"/>
        </w:rPr>
        <w:t>problématique</w:t>
      </w:r>
      <w:r w:rsidR="00895C96" w:rsidRPr="00895C96">
        <w:rPr>
          <w:lang w:val="fr-FR"/>
        </w:rPr>
        <w:t xml:space="preserve"> des institutions nationales des droits de l’</w:t>
      </w:r>
      <w:r w:rsidR="00B077BA">
        <w:rPr>
          <w:lang w:val="fr-FR"/>
        </w:rPr>
        <w:t>h</w:t>
      </w:r>
      <w:r w:rsidR="00895C96" w:rsidRPr="00895C96">
        <w:rPr>
          <w:lang w:val="fr-FR"/>
        </w:rPr>
        <w:t>omme partout où elles existent.</w:t>
      </w:r>
    </w:p>
    <w:p w:rsidR="00895C96" w:rsidRPr="00895C96" w:rsidRDefault="004C1F3E" w:rsidP="00E04030">
      <w:pPr>
        <w:pStyle w:val="SingleTxtG"/>
        <w:rPr>
          <w:lang w:val="fr-FR"/>
        </w:rPr>
      </w:pPr>
      <w:r>
        <w:rPr>
          <w:lang w:val="fr-FR"/>
        </w:rPr>
        <w:t>24.</w:t>
      </w:r>
      <w:r w:rsidR="00E04030">
        <w:rPr>
          <w:lang w:val="fr-FR"/>
        </w:rPr>
        <w:tab/>
      </w:r>
      <w:r w:rsidR="00895C96" w:rsidRPr="00895C96">
        <w:rPr>
          <w:lang w:val="fr-FR"/>
        </w:rPr>
        <w:t xml:space="preserve">S’agissant de la </w:t>
      </w:r>
      <w:r w:rsidR="00895C96" w:rsidRPr="00A13AF0">
        <w:rPr>
          <w:lang w:val="fr-FR"/>
        </w:rPr>
        <w:t>Commission</w:t>
      </w:r>
      <w:r w:rsidR="00895C96" w:rsidRPr="00895C96">
        <w:rPr>
          <w:lang w:val="fr-FR"/>
        </w:rPr>
        <w:t xml:space="preserve"> des Droits de l’Homme, </w:t>
      </w:r>
      <w:r w:rsidR="00B077BA">
        <w:rPr>
          <w:lang w:val="fr-FR"/>
        </w:rPr>
        <w:t>c</w:t>
      </w:r>
      <w:r w:rsidR="00895C96" w:rsidRPr="00895C96">
        <w:rPr>
          <w:lang w:val="fr-FR"/>
        </w:rPr>
        <w:t>elle</w:t>
      </w:r>
      <w:r w:rsidR="00B077BA">
        <w:rPr>
          <w:lang w:val="fr-FR"/>
        </w:rPr>
        <w:t>-ci</w:t>
      </w:r>
      <w:r w:rsidR="00895C96" w:rsidRPr="00895C96">
        <w:rPr>
          <w:lang w:val="fr-FR"/>
        </w:rPr>
        <w:t xml:space="preserve"> a ouvert de larges négociations avec le </w:t>
      </w:r>
      <w:r w:rsidR="001E7B6C">
        <w:rPr>
          <w:lang w:val="fr-FR"/>
        </w:rPr>
        <w:t xml:space="preserve">Gouvernement </w:t>
      </w:r>
      <w:r w:rsidR="00895C96" w:rsidRPr="00895C96">
        <w:rPr>
          <w:lang w:val="fr-FR"/>
        </w:rPr>
        <w:t xml:space="preserve">pour renforcer ses moyens d’action et éviter </w:t>
      </w:r>
      <w:r w:rsidR="00D217F6">
        <w:rPr>
          <w:lang w:val="fr-FR"/>
        </w:rPr>
        <w:t>dans la mesure du</w:t>
      </w:r>
      <w:r w:rsidR="00895C96" w:rsidRPr="00895C96">
        <w:rPr>
          <w:lang w:val="fr-FR"/>
        </w:rPr>
        <w:t xml:space="preserve"> possible de dépendre de l’extérieur. Quoi qu’il en soit, la CNDH</w:t>
      </w:r>
      <w:r w:rsidR="004A6B17">
        <w:rPr>
          <w:lang w:val="fr-FR"/>
        </w:rPr>
        <w:t>,</w:t>
      </w:r>
      <w:r w:rsidR="00895C96" w:rsidRPr="00895C96">
        <w:rPr>
          <w:lang w:val="fr-FR"/>
        </w:rPr>
        <w:t xml:space="preserve"> dans le souci de préserver son indépendance</w:t>
      </w:r>
      <w:r w:rsidR="004A6B17">
        <w:rPr>
          <w:lang w:val="fr-FR"/>
        </w:rPr>
        <w:t>,</w:t>
      </w:r>
      <w:r w:rsidR="00895C96" w:rsidRPr="00895C96">
        <w:rPr>
          <w:lang w:val="fr-FR"/>
        </w:rPr>
        <w:t xml:space="preserve"> s’abstient de recevoir des dons ou </w:t>
      </w:r>
      <w:r w:rsidR="004A6B17">
        <w:rPr>
          <w:lang w:val="fr-FR"/>
        </w:rPr>
        <w:t xml:space="preserve">des </w:t>
      </w:r>
      <w:r w:rsidR="00895C96" w:rsidRPr="00895C96">
        <w:rPr>
          <w:lang w:val="fr-FR"/>
        </w:rPr>
        <w:t xml:space="preserve">aides soumises à des </w:t>
      </w:r>
      <w:r w:rsidR="00895C96" w:rsidRPr="007351BA">
        <w:rPr>
          <w:lang w:val="fr-FR"/>
        </w:rPr>
        <w:t>condition</w:t>
      </w:r>
      <w:r w:rsidR="007351BA" w:rsidRPr="007351BA">
        <w:rPr>
          <w:lang w:val="fr-FR"/>
        </w:rPr>
        <w:t>s</w:t>
      </w:r>
      <w:r w:rsidR="00895C96" w:rsidRPr="00895C96">
        <w:rPr>
          <w:lang w:val="fr-FR"/>
        </w:rPr>
        <w:t>.</w:t>
      </w:r>
    </w:p>
    <w:p w:rsidR="00895C96" w:rsidRPr="00895C96" w:rsidRDefault="004C1F3E" w:rsidP="00E04030">
      <w:pPr>
        <w:pStyle w:val="SingleTxtG"/>
        <w:rPr>
          <w:lang w:val="fr-FR"/>
        </w:rPr>
      </w:pPr>
      <w:r>
        <w:rPr>
          <w:lang w:val="fr-FR"/>
        </w:rPr>
        <w:t>25.</w:t>
      </w:r>
      <w:r w:rsidR="00E04030">
        <w:rPr>
          <w:lang w:val="fr-FR"/>
        </w:rPr>
        <w:tab/>
      </w:r>
      <w:r w:rsidR="00895C96" w:rsidRPr="00895C96">
        <w:rPr>
          <w:lang w:val="fr-FR"/>
        </w:rPr>
        <w:t xml:space="preserve">Le budget annuel alloué à la Commission est de deux </w:t>
      </w:r>
      <w:r w:rsidR="00895C96" w:rsidRPr="00B121F8">
        <w:rPr>
          <w:lang w:val="fr-FR"/>
        </w:rPr>
        <w:t>cent millions (200 000 000) de francs CFA, soit quatre cent mille (400 000) dollars.</w:t>
      </w:r>
      <w:r w:rsidR="00895C96" w:rsidRPr="00895C96">
        <w:rPr>
          <w:lang w:val="fr-FR"/>
        </w:rPr>
        <w:t xml:space="preserve"> </w:t>
      </w:r>
    </w:p>
    <w:p w:rsidR="00895C96" w:rsidRPr="00895C96" w:rsidRDefault="00E04030" w:rsidP="00E04030">
      <w:pPr>
        <w:pStyle w:val="H23G"/>
        <w:rPr>
          <w:lang w:val="fr-FR"/>
        </w:rPr>
      </w:pPr>
      <w:r>
        <w:rPr>
          <w:lang w:val="fr-FR"/>
        </w:rPr>
        <w:tab/>
      </w:r>
      <w:r>
        <w:rPr>
          <w:lang w:val="fr-FR"/>
        </w:rPr>
        <w:tab/>
      </w:r>
      <w:r w:rsidR="00895C96" w:rsidRPr="00895C96">
        <w:rPr>
          <w:lang w:val="fr-FR"/>
        </w:rPr>
        <w:t xml:space="preserve"> </w:t>
      </w:r>
      <w:r w:rsidR="00EC57F7">
        <w:rPr>
          <w:lang w:val="fr-FR"/>
        </w:rPr>
        <w:t>Au sujet d</w:t>
      </w:r>
      <w:r w:rsidR="00895C96" w:rsidRPr="00895C96">
        <w:rPr>
          <w:lang w:val="fr-FR"/>
        </w:rPr>
        <w:t xml:space="preserve">es plaintes enregistrées au cours des cinq (05) dernières années </w:t>
      </w:r>
    </w:p>
    <w:p w:rsidR="00895C96" w:rsidRPr="00895C96" w:rsidRDefault="004C1F3E" w:rsidP="00E04030">
      <w:pPr>
        <w:pStyle w:val="SingleTxtG"/>
        <w:rPr>
          <w:lang w:val="fr-FR"/>
        </w:rPr>
      </w:pPr>
      <w:r>
        <w:rPr>
          <w:lang w:val="fr-FR"/>
        </w:rPr>
        <w:t>26.</w:t>
      </w:r>
      <w:r w:rsidR="00E04030">
        <w:rPr>
          <w:lang w:val="fr-FR"/>
        </w:rPr>
        <w:tab/>
      </w:r>
      <w:r w:rsidR="00895C96" w:rsidRPr="00895C96">
        <w:rPr>
          <w:lang w:val="fr-FR"/>
        </w:rPr>
        <w:t xml:space="preserve">Les plaintes enregistrées par la Commission au cours des cinq (05) dernières années se </w:t>
      </w:r>
      <w:r w:rsidR="00E10845">
        <w:rPr>
          <w:lang w:val="fr-FR"/>
        </w:rPr>
        <w:t>répartissent</w:t>
      </w:r>
      <w:r w:rsidR="00E10845" w:rsidRPr="00895C96">
        <w:rPr>
          <w:lang w:val="fr-FR"/>
        </w:rPr>
        <w:t xml:space="preserve"> </w:t>
      </w:r>
      <w:r w:rsidR="00895C96" w:rsidRPr="00895C96">
        <w:rPr>
          <w:lang w:val="fr-FR"/>
        </w:rPr>
        <w:t>comme</w:t>
      </w:r>
      <w:r w:rsidR="00382281">
        <w:rPr>
          <w:lang w:val="fr-FR"/>
        </w:rPr>
        <w:t xml:space="preserve"> </w:t>
      </w:r>
      <w:r w:rsidR="00895C96" w:rsidRPr="00895C96">
        <w:rPr>
          <w:lang w:val="fr-FR"/>
        </w:rPr>
        <w:t xml:space="preserve">suit: </w:t>
      </w:r>
    </w:p>
    <w:p w:rsidR="00895C96" w:rsidRPr="00895C96" w:rsidRDefault="00895C96" w:rsidP="00E04030">
      <w:pPr>
        <w:pStyle w:val="SingleTxtG"/>
        <w:rPr>
          <w:u w:val="single"/>
          <w:lang w:val="fr-FR"/>
        </w:rPr>
      </w:pPr>
      <w:r w:rsidRPr="00B121F8">
        <w:rPr>
          <w:lang w:val="fr-FR"/>
        </w:rPr>
        <w:t>T</w:t>
      </w:r>
      <w:r w:rsidRPr="00B121F8">
        <w:rPr>
          <w:u w:val="single"/>
          <w:lang w:val="fr-FR"/>
        </w:rPr>
        <w:t xml:space="preserve">ableau des plaintes enregistrées par la CNDH </w:t>
      </w:r>
      <w:r w:rsidR="009D2FA2" w:rsidRPr="00B121F8">
        <w:rPr>
          <w:u w:val="single"/>
          <w:lang w:val="fr-FR"/>
        </w:rPr>
        <w:t xml:space="preserve">entre </w:t>
      </w:r>
      <w:r w:rsidRPr="00B121F8">
        <w:rPr>
          <w:u w:val="single"/>
          <w:lang w:val="fr-FR"/>
        </w:rPr>
        <w:t>2005</w:t>
      </w:r>
      <w:r w:rsidR="009D2FA2" w:rsidRPr="00B121F8">
        <w:rPr>
          <w:u w:val="single"/>
          <w:lang w:val="fr-FR"/>
        </w:rPr>
        <w:t xml:space="preserve"> et </w:t>
      </w:r>
      <w:r w:rsidRPr="00B121F8">
        <w:rPr>
          <w:u w:val="single"/>
          <w:lang w:val="fr-FR"/>
        </w:rPr>
        <w:t>2009</w:t>
      </w:r>
      <w:r w:rsidRPr="00895C96">
        <w:rPr>
          <w:u w:val="single"/>
          <w:lang w:val="fr-FR"/>
        </w:rPr>
        <w:t xml:space="preserve"> </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1103"/>
        <w:gridCol w:w="2158"/>
        <w:gridCol w:w="2031"/>
        <w:gridCol w:w="2078"/>
      </w:tblGrid>
      <w:tr w:rsidR="00895C96" w:rsidRPr="00E04030" w:rsidTr="00E04030">
        <w:trPr>
          <w:trHeight w:val="240"/>
          <w:tblHeader/>
        </w:trPr>
        <w:tc>
          <w:tcPr>
            <w:tcW w:w="1401" w:type="dxa"/>
            <w:tcBorders>
              <w:top w:val="single" w:sz="4" w:space="0" w:color="auto"/>
              <w:bottom w:val="single" w:sz="12" w:space="0" w:color="auto"/>
            </w:tcBorders>
            <w:shd w:val="clear" w:color="auto" w:fill="auto"/>
            <w:vAlign w:val="bottom"/>
          </w:tcPr>
          <w:p w:rsidR="00895C96" w:rsidRPr="00E04030" w:rsidRDefault="00895C96" w:rsidP="00E04030">
            <w:pPr>
              <w:pStyle w:val="SingleTxtG"/>
              <w:suppressAutoHyphens w:val="0"/>
              <w:spacing w:before="80" w:after="80" w:line="200" w:lineRule="exact"/>
              <w:ind w:left="0" w:right="0"/>
              <w:jc w:val="left"/>
              <w:rPr>
                <w:i/>
                <w:sz w:val="16"/>
                <w:lang w:val="fr-FR"/>
              </w:rPr>
            </w:pPr>
            <w:r w:rsidRPr="00E04030">
              <w:rPr>
                <w:i/>
                <w:sz w:val="16"/>
                <w:lang w:val="fr-FR"/>
              </w:rPr>
              <w:t>Années</w:t>
            </w:r>
          </w:p>
        </w:tc>
        <w:tc>
          <w:tcPr>
            <w:tcW w:w="2875" w:type="dxa"/>
            <w:tcBorders>
              <w:top w:val="single" w:sz="4" w:space="0" w:color="auto"/>
              <w:bottom w:val="single" w:sz="12" w:space="0" w:color="auto"/>
            </w:tcBorders>
            <w:shd w:val="clear" w:color="auto" w:fill="auto"/>
            <w:vAlign w:val="bottom"/>
          </w:tcPr>
          <w:p w:rsidR="00895C96" w:rsidRPr="00E04030" w:rsidRDefault="00895C96" w:rsidP="00E04030">
            <w:pPr>
              <w:pStyle w:val="SingleTxtG"/>
              <w:suppressAutoHyphens w:val="0"/>
              <w:spacing w:before="80" w:after="80" w:line="200" w:lineRule="exact"/>
              <w:ind w:left="0" w:right="0"/>
              <w:jc w:val="left"/>
              <w:rPr>
                <w:i/>
                <w:sz w:val="16"/>
                <w:lang w:val="fr-FR"/>
              </w:rPr>
            </w:pPr>
            <w:r w:rsidRPr="00E04030">
              <w:rPr>
                <w:i/>
                <w:sz w:val="16"/>
                <w:lang w:val="fr-FR"/>
              </w:rPr>
              <w:t>Requêtes enregistrées</w:t>
            </w:r>
          </w:p>
        </w:tc>
        <w:tc>
          <w:tcPr>
            <w:tcW w:w="2732" w:type="dxa"/>
            <w:tcBorders>
              <w:top w:val="single" w:sz="4" w:space="0" w:color="auto"/>
              <w:bottom w:val="single" w:sz="12" w:space="0" w:color="auto"/>
            </w:tcBorders>
            <w:shd w:val="clear" w:color="auto" w:fill="auto"/>
            <w:vAlign w:val="bottom"/>
          </w:tcPr>
          <w:p w:rsidR="00895C96" w:rsidRPr="00E04030" w:rsidRDefault="00895C96" w:rsidP="00E04030">
            <w:pPr>
              <w:pStyle w:val="SingleTxtG"/>
              <w:suppressAutoHyphens w:val="0"/>
              <w:spacing w:before="80" w:after="80" w:line="200" w:lineRule="exact"/>
              <w:ind w:left="0" w:right="0"/>
              <w:jc w:val="left"/>
              <w:rPr>
                <w:i/>
                <w:sz w:val="16"/>
                <w:lang w:val="fr-FR"/>
              </w:rPr>
            </w:pPr>
            <w:r w:rsidRPr="00E04030">
              <w:rPr>
                <w:i/>
                <w:sz w:val="16"/>
                <w:lang w:val="fr-FR"/>
              </w:rPr>
              <w:t>Requêtes recevables</w:t>
            </w:r>
          </w:p>
        </w:tc>
        <w:tc>
          <w:tcPr>
            <w:tcW w:w="2745" w:type="dxa"/>
            <w:tcBorders>
              <w:top w:val="single" w:sz="4" w:space="0" w:color="auto"/>
              <w:bottom w:val="single" w:sz="12" w:space="0" w:color="auto"/>
            </w:tcBorders>
            <w:shd w:val="clear" w:color="auto" w:fill="auto"/>
            <w:vAlign w:val="bottom"/>
          </w:tcPr>
          <w:p w:rsidR="00895C96" w:rsidRPr="00E04030" w:rsidRDefault="00895C96" w:rsidP="00E04030">
            <w:pPr>
              <w:pStyle w:val="SingleTxtG"/>
              <w:suppressAutoHyphens w:val="0"/>
              <w:spacing w:before="80" w:after="80" w:line="200" w:lineRule="exact"/>
              <w:ind w:left="0" w:right="0"/>
              <w:jc w:val="left"/>
              <w:rPr>
                <w:i/>
                <w:sz w:val="16"/>
                <w:lang w:val="fr-FR"/>
              </w:rPr>
            </w:pPr>
            <w:r w:rsidRPr="00E04030">
              <w:rPr>
                <w:i/>
                <w:sz w:val="16"/>
                <w:lang w:val="fr-FR"/>
              </w:rPr>
              <w:t>Requêtes irrecevables</w:t>
            </w:r>
          </w:p>
        </w:tc>
      </w:tr>
      <w:tr w:rsidR="00895C96" w:rsidRPr="00E04030" w:rsidTr="00E04030">
        <w:trPr>
          <w:trHeight w:val="240"/>
        </w:trPr>
        <w:tc>
          <w:tcPr>
            <w:tcW w:w="1401" w:type="dxa"/>
            <w:tcBorders>
              <w:top w:val="single" w:sz="12" w:space="0" w:color="auto"/>
            </w:tcBorders>
            <w:shd w:val="clear" w:color="auto" w:fill="auto"/>
          </w:tcPr>
          <w:p w:rsidR="00895C96" w:rsidRPr="00E04030" w:rsidRDefault="00895C96" w:rsidP="00E04030">
            <w:pPr>
              <w:pStyle w:val="SingleTxtG"/>
              <w:suppressAutoHyphens w:val="0"/>
              <w:spacing w:before="40" w:line="220" w:lineRule="exact"/>
              <w:ind w:left="0" w:right="0"/>
              <w:jc w:val="left"/>
              <w:rPr>
                <w:lang w:val="fr-FR"/>
              </w:rPr>
            </w:pPr>
            <w:r w:rsidRPr="00E04030">
              <w:rPr>
                <w:lang w:val="fr-FR"/>
              </w:rPr>
              <w:t>2005-2006</w:t>
            </w:r>
          </w:p>
        </w:tc>
        <w:tc>
          <w:tcPr>
            <w:tcW w:w="2875" w:type="dxa"/>
            <w:tcBorders>
              <w:top w:val="single" w:sz="12" w:space="0" w:color="auto"/>
            </w:tcBorders>
            <w:shd w:val="clear" w:color="auto" w:fill="auto"/>
          </w:tcPr>
          <w:p w:rsidR="00895C96" w:rsidRPr="00E04030" w:rsidRDefault="00895C96" w:rsidP="00E04030">
            <w:pPr>
              <w:pStyle w:val="SingleTxtG"/>
              <w:suppressAutoHyphens w:val="0"/>
              <w:spacing w:before="40" w:line="220" w:lineRule="exact"/>
              <w:ind w:left="0" w:right="0"/>
              <w:jc w:val="left"/>
              <w:rPr>
                <w:lang w:val="fr-FR"/>
              </w:rPr>
            </w:pPr>
            <w:r w:rsidRPr="00E04030">
              <w:rPr>
                <w:lang w:val="fr-FR"/>
              </w:rPr>
              <w:t>222</w:t>
            </w:r>
          </w:p>
        </w:tc>
        <w:tc>
          <w:tcPr>
            <w:tcW w:w="2732" w:type="dxa"/>
            <w:tcBorders>
              <w:top w:val="single" w:sz="12" w:space="0" w:color="auto"/>
            </w:tcBorders>
            <w:shd w:val="clear" w:color="auto" w:fill="auto"/>
          </w:tcPr>
          <w:p w:rsidR="00895C96" w:rsidRPr="00E04030" w:rsidRDefault="00895C96" w:rsidP="00E04030">
            <w:pPr>
              <w:pStyle w:val="SingleTxtG"/>
              <w:suppressAutoHyphens w:val="0"/>
              <w:spacing w:before="40" w:line="220" w:lineRule="exact"/>
              <w:ind w:left="0" w:right="0"/>
              <w:jc w:val="left"/>
              <w:rPr>
                <w:lang w:val="fr-FR"/>
              </w:rPr>
            </w:pPr>
            <w:r w:rsidRPr="00E04030">
              <w:rPr>
                <w:lang w:val="fr-FR"/>
              </w:rPr>
              <w:t>177</w:t>
            </w:r>
          </w:p>
        </w:tc>
        <w:tc>
          <w:tcPr>
            <w:tcW w:w="2745" w:type="dxa"/>
            <w:tcBorders>
              <w:top w:val="single" w:sz="12" w:space="0" w:color="auto"/>
            </w:tcBorders>
            <w:shd w:val="clear" w:color="auto" w:fill="auto"/>
          </w:tcPr>
          <w:p w:rsidR="00895C96" w:rsidRPr="00E04030" w:rsidRDefault="00895C96" w:rsidP="00E04030">
            <w:pPr>
              <w:pStyle w:val="SingleTxtG"/>
              <w:suppressAutoHyphens w:val="0"/>
              <w:spacing w:before="40" w:line="220" w:lineRule="exact"/>
              <w:ind w:left="0" w:right="0"/>
              <w:jc w:val="left"/>
              <w:rPr>
                <w:lang w:val="fr-FR"/>
              </w:rPr>
            </w:pPr>
            <w:r w:rsidRPr="00E04030">
              <w:rPr>
                <w:lang w:val="fr-FR"/>
              </w:rPr>
              <w:t>45</w:t>
            </w:r>
          </w:p>
        </w:tc>
      </w:tr>
      <w:tr w:rsidR="00895C96" w:rsidRPr="00E04030" w:rsidTr="00E04030">
        <w:trPr>
          <w:trHeight w:val="240"/>
        </w:trPr>
        <w:tc>
          <w:tcPr>
            <w:tcW w:w="1401" w:type="dxa"/>
            <w:shd w:val="clear" w:color="auto" w:fill="auto"/>
          </w:tcPr>
          <w:p w:rsidR="00895C96" w:rsidRPr="00E04030" w:rsidRDefault="00895C96" w:rsidP="00E04030">
            <w:pPr>
              <w:pStyle w:val="SingleTxtG"/>
              <w:suppressAutoHyphens w:val="0"/>
              <w:spacing w:before="40" w:line="220" w:lineRule="exact"/>
              <w:ind w:left="0" w:right="0"/>
              <w:jc w:val="left"/>
              <w:rPr>
                <w:lang w:val="fr-FR"/>
              </w:rPr>
            </w:pPr>
            <w:r w:rsidRPr="00E04030">
              <w:rPr>
                <w:lang w:val="fr-FR"/>
              </w:rPr>
              <w:t>2007</w:t>
            </w:r>
          </w:p>
        </w:tc>
        <w:tc>
          <w:tcPr>
            <w:tcW w:w="2875" w:type="dxa"/>
            <w:shd w:val="clear" w:color="auto" w:fill="auto"/>
          </w:tcPr>
          <w:p w:rsidR="00895C96" w:rsidRPr="00E04030" w:rsidRDefault="00895C96" w:rsidP="00E04030">
            <w:pPr>
              <w:pStyle w:val="SingleTxtG"/>
              <w:suppressAutoHyphens w:val="0"/>
              <w:spacing w:before="40" w:line="220" w:lineRule="exact"/>
              <w:ind w:left="0" w:right="0"/>
              <w:jc w:val="left"/>
              <w:rPr>
                <w:lang w:val="fr-FR"/>
              </w:rPr>
            </w:pPr>
            <w:r w:rsidRPr="00E04030">
              <w:rPr>
                <w:lang w:val="fr-FR"/>
              </w:rPr>
              <w:t>155</w:t>
            </w:r>
          </w:p>
        </w:tc>
        <w:tc>
          <w:tcPr>
            <w:tcW w:w="2732" w:type="dxa"/>
            <w:shd w:val="clear" w:color="auto" w:fill="auto"/>
          </w:tcPr>
          <w:p w:rsidR="00895C96" w:rsidRPr="00E04030" w:rsidRDefault="00895C96" w:rsidP="00E04030">
            <w:pPr>
              <w:pStyle w:val="SingleTxtG"/>
              <w:suppressAutoHyphens w:val="0"/>
              <w:spacing w:before="40" w:line="220" w:lineRule="exact"/>
              <w:ind w:left="0" w:right="0"/>
              <w:jc w:val="left"/>
              <w:rPr>
                <w:lang w:val="fr-FR"/>
              </w:rPr>
            </w:pPr>
            <w:r w:rsidRPr="00E04030">
              <w:rPr>
                <w:lang w:val="fr-FR"/>
              </w:rPr>
              <w:t>102</w:t>
            </w:r>
          </w:p>
        </w:tc>
        <w:tc>
          <w:tcPr>
            <w:tcW w:w="2745" w:type="dxa"/>
            <w:shd w:val="clear" w:color="auto" w:fill="auto"/>
          </w:tcPr>
          <w:p w:rsidR="00895C96" w:rsidRPr="00E04030" w:rsidRDefault="00895C96" w:rsidP="00E04030">
            <w:pPr>
              <w:pStyle w:val="SingleTxtG"/>
              <w:suppressAutoHyphens w:val="0"/>
              <w:spacing w:before="40" w:line="220" w:lineRule="exact"/>
              <w:ind w:left="0" w:right="0"/>
              <w:jc w:val="left"/>
              <w:rPr>
                <w:lang w:val="fr-FR"/>
              </w:rPr>
            </w:pPr>
            <w:r w:rsidRPr="00E04030">
              <w:rPr>
                <w:lang w:val="fr-FR"/>
              </w:rPr>
              <w:t>53</w:t>
            </w:r>
          </w:p>
        </w:tc>
      </w:tr>
      <w:tr w:rsidR="00895C96" w:rsidRPr="00E04030" w:rsidTr="00E04030">
        <w:trPr>
          <w:trHeight w:val="240"/>
        </w:trPr>
        <w:tc>
          <w:tcPr>
            <w:tcW w:w="1401" w:type="dxa"/>
            <w:shd w:val="clear" w:color="auto" w:fill="auto"/>
          </w:tcPr>
          <w:p w:rsidR="00895C96" w:rsidRPr="00E04030" w:rsidRDefault="00895C96" w:rsidP="00E04030">
            <w:pPr>
              <w:pStyle w:val="SingleTxtG"/>
              <w:suppressAutoHyphens w:val="0"/>
              <w:spacing w:before="40" w:line="220" w:lineRule="exact"/>
              <w:ind w:left="0" w:right="0"/>
              <w:jc w:val="left"/>
              <w:rPr>
                <w:lang w:val="fr-FR"/>
              </w:rPr>
            </w:pPr>
            <w:r w:rsidRPr="00E04030">
              <w:rPr>
                <w:lang w:val="fr-FR"/>
              </w:rPr>
              <w:t>2008</w:t>
            </w:r>
          </w:p>
        </w:tc>
        <w:tc>
          <w:tcPr>
            <w:tcW w:w="2875" w:type="dxa"/>
            <w:shd w:val="clear" w:color="auto" w:fill="auto"/>
          </w:tcPr>
          <w:p w:rsidR="00895C96" w:rsidRPr="00E04030" w:rsidRDefault="00895C96" w:rsidP="00E04030">
            <w:pPr>
              <w:pStyle w:val="SingleTxtG"/>
              <w:suppressAutoHyphens w:val="0"/>
              <w:spacing w:before="40" w:line="220" w:lineRule="exact"/>
              <w:ind w:left="0" w:right="0"/>
              <w:jc w:val="left"/>
              <w:rPr>
                <w:lang w:val="fr-FR"/>
              </w:rPr>
            </w:pPr>
            <w:r w:rsidRPr="00E04030">
              <w:rPr>
                <w:lang w:val="fr-FR"/>
              </w:rPr>
              <w:t>158</w:t>
            </w:r>
          </w:p>
        </w:tc>
        <w:tc>
          <w:tcPr>
            <w:tcW w:w="2732" w:type="dxa"/>
            <w:shd w:val="clear" w:color="auto" w:fill="auto"/>
          </w:tcPr>
          <w:p w:rsidR="00895C96" w:rsidRPr="00E04030" w:rsidRDefault="00895C96" w:rsidP="00E04030">
            <w:pPr>
              <w:pStyle w:val="SingleTxtG"/>
              <w:suppressAutoHyphens w:val="0"/>
              <w:spacing w:before="40" w:line="220" w:lineRule="exact"/>
              <w:ind w:left="0" w:right="0"/>
              <w:jc w:val="left"/>
              <w:rPr>
                <w:lang w:val="fr-FR"/>
              </w:rPr>
            </w:pPr>
            <w:r w:rsidRPr="00E04030">
              <w:rPr>
                <w:lang w:val="fr-FR"/>
              </w:rPr>
              <w:t>104</w:t>
            </w:r>
          </w:p>
        </w:tc>
        <w:tc>
          <w:tcPr>
            <w:tcW w:w="2745" w:type="dxa"/>
            <w:shd w:val="clear" w:color="auto" w:fill="auto"/>
          </w:tcPr>
          <w:p w:rsidR="00895C96" w:rsidRPr="00E04030" w:rsidRDefault="00895C96" w:rsidP="00E04030">
            <w:pPr>
              <w:pStyle w:val="SingleTxtG"/>
              <w:suppressAutoHyphens w:val="0"/>
              <w:spacing w:before="40" w:line="220" w:lineRule="exact"/>
              <w:ind w:left="0" w:right="0"/>
              <w:jc w:val="left"/>
              <w:rPr>
                <w:lang w:val="fr-FR"/>
              </w:rPr>
            </w:pPr>
            <w:r w:rsidRPr="00E04030">
              <w:rPr>
                <w:lang w:val="fr-FR"/>
              </w:rPr>
              <w:t>54</w:t>
            </w:r>
          </w:p>
        </w:tc>
      </w:tr>
      <w:tr w:rsidR="00895C96" w:rsidRPr="00E04030" w:rsidTr="00E04030">
        <w:trPr>
          <w:trHeight w:val="240"/>
        </w:trPr>
        <w:tc>
          <w:tcPr>
            <w:tcW w:w="1401" w:type="dxa"/>
            <w:tcBorders>
              <w:bottom w:val="single" w:sz="12" w:space="0" w:color="auto"/>
            </w:tcBorders>
            <w:shd w:val="clear" w:color="auto" w:fill="auto"/>
          </w:tcPr>
          <w:p w:rsidR="00895C96" w:rsidRPr="00E04030" w:rsidRDefault="00895C96" w:rsidP="00E04030">
            <w:pPr>
              <w:pStyle w:val="SingleTxtG"/>
              <w:suppressAutoHyphens w:val="0"/>
              <w:spacing w:before="40" w:line="220" w:lineRule="exact"/>
              <w:ind w:left="0" w:right="0"/>
              <w:jc w:val="left"/>
              <w:rPr>
                <w:lang w:val="fr-FR"/>
              </w:rPr>
            </w:pPr>
            <w:r w:rsidRPr="00E04030">
              <w:rPr>
                <w:lang w:val="fr-FR"/>
              </w:rPr>
              <w:t>2009</w:t>
            </w:r>
          </w:p>
        </w:tc>
        <w:tc>
          <w:tcPr>
            <w:tcW w:w="2875" w:type="dxa"/>
            <w:tcBorders>
              <w:bottom w:val="single" w:sz="12" w:space="0" w:color="auto"/>
            </w:tcBorders>
            <w:shd w:val="clear" w:color="auto" w:fill="auto"/>
          </w:tcPr>
          <w:p w:rsidR="00895C96" w:rsidRPr="00E04030" w:rsidRDefault="00895C96" w:rsidP="00E04030">
            <w:pPr>
              <w:pStyle w:val="SingleTxtG"/>
              <w:suppressAutoHyphens w:val="0"/>
              <w:spacing w:before="40" w:line="220" w:lineRule="exact"/>
              <w:ind w:left="0" w:right="0"/>
              <w:jc w:val="left"/>
              <w:rPr>
                <w:lang w:val="fr-FR"/>
              </w:rPr>
            </w:pPr>
            <w:r w:rsidRPr="00E04030">
              <w:rPr>
                <w:lang w:val="fr-FR"/>
              </w:rPr>
              <w:t>144</w:t>
            </w:r>
          </w:p>
        </w:tc>
        <w:tc>
          <w:tcPr>
            <w:tcW w:w="2732" w:type="dxa"/>
            <w:tcBorders>
              <w:bottom w:val="single" w:sz="12" w:space="0" w:color="auto"/>
            </w:tcBorders>
            <w:shd w:val="clear" w:color="auto" w:fill="auto"/>
          </w:tcPr>
          <w:p w:rsidR="00895C96" w:rsidRPr="00E04030" w:rsidRDefault="00895C96" w:rsidP="00E04030">
            <w:pPr>
              <w:pStyle w:val="SingleTxtG"/>
              <w:suppressAutoHyphens w:val="0"/>
              <w:spacing w:before="40" w:line="220" w:lineRule="exact"/>
              <w:ind w:left="0" w:right="0"/>
              <w:jc w:val="left"/>
              <w:rPr>
                <w:lang w:val="fr-FR"/>
              </w:rPr>
            </w:pPr>
            <w:r w:rsidRPr="00E04030">
              <w:rPr>
                <w:lang w:val="fr-FR"/>
              </w:rPr>
              <w:t>91</w:t>
            </w:r>
          </w:p>
        </w:tc>
        <w:tc>
          <w:tcPr>
            <w:tcW w:w="2745" w:type="dxa"/>
            <w:tcBorders>
              <w:bottom w:val="single" w:sz="12" w:space="0" w:color="auto"/>
            </w:tcBorders>
            <w:shd w:val="clear" w:color="auto" w:fill="auto"/>
          </w:tcPr>
          <w:p w:rsidR="00895C96" w:rsidRPr="00E04030" w:rsidRDefault="00895C96" w:rsidP="00E04030">
            <w:pPr>
              <w:pStyle w:val="SingleTxtG"/>
              <w:suppressAutoHyphens w:val="0"/>
              <w:spacing w:before="40" w:line="220" w:lineRule="exact"/>
              <w:ind w:left="0" w:right="0"/>
              <w:jc w:val="left"/>
              <w:rPr>
                <w:lang w:val="fr-FR"/>
              </w:rPr>
            </w:pPr>
            <w:r w:rsidRPr="00E04030">
              <w:rPr>
                <w:lang w:val="fr-FR"/>
              </w:rPr>
              <w:t>53</w:t>
            </w:r>
          </w:p>
        </w:tc>
      </w:tr>
    </w:tbl>
    <w:p w:rsidR="004C1F3E" w:rsidRDefault="004C1F3E" w:rsidP="00E04030">
      <w:pPr>
        <w:pStyle w:val="SingleTxtG"/>
        <w:rPr>
          <w:lang w:val="fr-FR"/>
        </w:rPr>
      </w:pPr>
    </w:p>
    <w:p w:rsidR="00895C96" w:rsidRPr="00895C96" w:rsidRDefault="004C1F3E" w:rsidP="00E04030">
      <w:pPr>
        <w:pStyle w:val="SingleTxtG"/>
        <w:rPr>
          <w:lang w:val="fr-FR"/>
        </w:rPr>
      </w:pPr>
      <w:r>
        <w:rPr>
          <w:lang w:val="fr-FR"/>
        </w:rPr>
        <w:t>27.</w:t>
      </w:r>
      <w:r w:rsidR="00E04030">
        <w:rPr>
          <w:lang w:val="fr-FR"/>
        </w:rPr>
        <w:tab/>
      </w:r>
      <w:r w:rsidR="00895C96" w:rsidRPr="00895C96">
        <w:rPr>
          <w:lang w:val="fr-FR"/>
        </w:rPr>
        <w:t xml:space="preserve">Les requêtes recevables ont été instruites conformément à la procédure </w:t>
      </w:r>
      <w:r w:rsidR="00157CB7" w:rsidRPr="00895C96">
        <w:rPr>
          <w:lang w:val="fr-FR"/>
        </w:rPr>
        <w:t xml:space="preserve">décrite </w:t>
      </w:r>
      <w:r w:rsidR="00895C96" w:rsidRPr="00895C96">
        <w:rPr>
          <w:lang w:val="fr-FR"/>
        </w:rPr>
        <w:t xml:space="preserve">ci-dessus. La suite de l'instruction a révélé </w:t>
      </w:r>
      <w:r w:rsidR="00157CB7" w:rsidRPr="00895C96">
        <w:rPr>
          <w:lang w:val="fr-FR"/>
        </w:rPr>
        <w:t>que</w:t>
      </w:r>
      <w:r w:rsidR="00157CB7">
        <w:rPr>
          <w:lang w:val="fr-FR"/>
        </w:rPr>
        <w:t>,</w:t>
      </w:r>
      <w:r w:rsidR="00157CB7" w:rsidRPr="00895C96">
        <w:rPr>
          <w:lang w:val="fr-FR"/>
        </w:rPr>
        <w:t xml:space="preserve"> </w:t>
      </w:r>
      <w:r w:rsidR="00895C96" w:rsidRPr="00895C96">
        <w:rPr>
          <w:lang w:val="fr-FR"/>
        </w:rPr>
        <w:t>dans la plupart des cas</w:t>
      </w:r>
      <w:r w:rsidR="00157CB7">
        <w:rPr>
          <w:lang w:val="fr-FR"/>
        </w:rPr>
        <w:t>,</w:t>
      </w:r>
      <w:r w:rsidR="00895C96" w:rsidRPr="00895C96">
        <w:rPr>
          <w:lang w:val="fr-FR"/>
        </w:rPr>
        <w:t xml:space="preserve"> certaines requêtes ne sont pas fondées tandis que d'autres le sont. Ces dernières ont été </w:t>
      </w:r>
      <w:r w:rsidR="004C735B">
        <w:rPr>
          <w:lang w:val="fr-FR"/>
        </w:rPr>
        <w:t>classées</w:t>
      </w:r>
      <w:r w:rsidR="004C735B" w:rsidRPr="00895C96">
        <w:rPr>
          <w:lang w:val="fr-FR"/>
        </w:rPr>
        <w:t xml:space="preserve"> </w:t>
      </w:r>
      <w:r w:rsidR="00895C96" w:rsidRPr="00895C96">
        <w:rPr>
          <w:lang w:val="fr-FR"/>
        </w:rPr>
        <w:t xml:space="preserve">après cessation de la violation alléguée. </w:t>
      </w:r>
    </w:p>
    <w:p w:rsidR="00895C96" w:rsidRPr="00895C96" w:rsidRDefault="00786CA5" w:rsidP="00E04030">
      <w:pPr>
        <w:pStyle w:val="SingleTxtG"/>
        <w:rPr>
          <w:lang w:val="fr-FR"/>
        </w:rPr>
      </w:pPr>
      <w:r>
        <w:rPr>
          <w:lang w:val="fr-FR"/>
        </w:rPr>
        <w:t>28.</w:t>
      </w:r>
      <w:r w:rsidR="00E04030">
        <w:rPr>
          <w:lang w:val="fr-FR"/>
        </w:rPr>
        <w:tab/>
      </w:r>
      <w:r w:rsidR="00895C96" w:rsidRPr="00895C96">
        <w:rPr>
          <w:lang w:val="fr-FR"/>
        </w:rPr>
        <w:t xml:space="preserve">Pour diverses raisons, certaines requêtes recevables n'ont pas été </w:t>
      </w:r>
      <w:r w:rsidR="004C735B">
        <w:rPr>
          <w:lang w:val="fr-FR"/>
        </w:rPr>
        <w:t>classées</w:t>
      </w:r>
      <w:r w:rsidR="00895C96" w:rsidRPr="00895C96">
        <w:rPr>
          <w:lang w:val="fr-FR"/>
        </w:rPr>
        <w:t xml:space="preserve"> </w:t>
      </w:r>
      <w:r w:rsidR="00B50EE4">
        <w:rPr>
          <w:lang w:val="fr-FR"/>
        </w:rPr>
        <w:t xml:space="preserve">dans </w:t>
      </w:r>
      <w:r w:rsidR="00895C96" w:rsidRPr="00895C96">
        <w:rPr>
          <w:lang w:val="fr-FR"/>
        </w:rPr>
        <w:t xml:space="preserve">l'année de leur enregistrement, justifiant ainsi leur report </w:t>
      </w:r>
      <w:r w:rsidR="00895C96" w:rsidRPr="004C735B">
        <w:rPr>
          <w:lang w:val="fr-FR"/>
        </w:rPr>
        <w:t>sur les</w:t>
      </w:r>
      <w:r w:rsidR="00895C96" w:rsidRPr="00895C96">
        <w:rPr>
          <w:lang w:val="fr-FR"/>
        </w:rPr>
        <w:t xml:space="preserve"> années suivantes. </w:t>
      </w:r>
    </w:p>
    <w:p w:rsidR="00B50EE4" w:rsidRDefault="00786CA5" w:rsidP="00E04030">
      <w:pPr>
        <w:pStyle w:val="SingleTxtG"/>
        <w:rPr>
          <w:lang w:val="fr-FR"/>
        </w:rPr>
      </w:pPr>
      <w:r>
        <w:rPr>
          <w:lang w:val="fr-FR"/>
        </w:rPr>
        <w:t>29.</w:t>
      </w:r>
      <w:r w:rsidR="00E04030">
        <w:rPr>
          <w:lang w:val="fr-FR"/>
        </w:rPr>
        <w:tab/>
      </w:r>
      <w:r w:rsidR="00895C96" w:rsidRPr="00895C96">
        <w:rPr>
          <w:lang w:val="fr-FR"/>
        </w:rPr>
        <w:t xml:space="preserve">Pour plus d'informations, veuillez visiter le site web de la Commission </w:t>
      </w:r>
      <w:r w:rsidR="00B50EE4">
        <w:rPr>
          <w:lang w:val="fr-FR"/>
        </w:rPr>
        <w:t xml:space="preserve">sur lequel </w:t>
      </w:r>
      <w:r w:rsidR="00B50EE4" w:rsidRPr="00895C96">
        <w:rPr>
          <w:lang w:val="fr-FR"/>
        </w:rPr>
        <w:t>sont publiés tous les rapports annuels</w:t>
      </w:r>
      <w:r w:rsidR="00B50EE4">
        <w:rPr>
          <w:lang w:val="fr-FR"/>
        </w:rPr>
        <w:t>:</w:t>
      </w:r>
    </w:p>
    <w:p w:rsidR="00895C96" w:rsidRPr="00895C96" w:rsidRDefault="00B50EE4" w:rsidP="00E04030">
      <w:pPr>
        <w:pStyle w:val="SingleTxtG"/>
        <w:rPr>
          <w:lang w:val="fr-FR"/>
        </w:rPr>
      </w:pPr>
      <w:r w:rsidRPr="00895C96">
        <w:rPr>
          <w:lang w:val="fr-FR"/>
        </w:rPr>
        <w:t xml:space="preserve"> </w:t>
      </w:r>
      <w:r w:rsidR="00895C96" w:rsidRPr="00DD28DE">
        <w:rPr>
          <w:lang w:val="fr-FR"/>
        </w:rPr>
        <w:t>http//www.cndh- togo.tg</w:t>
      </w:r>
    </w:p>
    <w:p w:rsidR="00895C96" w:rsidRPr="00895C96" w:rsidRDefault="00E04030" w:rsidP="00B425C1">
      <w:pPr>
        <w:pStyle w:val="H1G"/>
        <w:rPr>
          <w:lang w:val="fr-FR"/>
        </w:rPr>
      </w:pPr>
      <w:r>
        <w:rPr>
          <w:lang w:val="fr-FR"/>
        </w:rPr>
        <w:tab/>
      </w:r>
      <w:r>
        <w:rPr>
          <w:lang w:val="fr-FR"/>
        </w:rPr>
        <w:tab/>
      </w:r>
      <w:r w:rsidR="00895C96" w:rsidRPr="00895C96">
        <w:rPr>
          <w:lang w:val="fr-FR"/>
        </w:rPr>
        <w:t>Participation à la vie publique et incitation à la haine raciale (art</w:t>
      </w:r>
      <w:r w:rsidR="001E7B6C">
        <w:rPr>
          <w:lang w:val="fr-FR"/>
        </w:rPr>
        <w:t>.</w:t>
      </w:r>
      <w:r w:rsidR="00895C96" w:rsidRPr="00895C96">
        <w:rPr>
          <w:lang w:val="fr-FR"/>
        </w:rPr>
        <w:t xml:space="preserve"> 20 et 25)</w:t>
      </w:r>
    </w:p>
    <w:p w:rsidR="00895C96" w:rsidRPr="00895C96" w:rsidRDefault="00E04030" w:rsidP="00E04030">
      <w:pPr>
        <w:pStyle w:val="H23G"/>
        <w:rPr>
          <w:lang w:val="fr-FR"/>
        </w:rPr>
      </w:pPr>
      <w:r>
        <w:rPr>
          <w:lang w:val="fr-FR"/>
        </w:rPr>
        <w:tab/>
      </w:r>
      <w:r>
        <w:rPr>
          <w:lang w:val="fr-FR"/>
        </w:rPr>
        <w:tab/>
      </w:r>
      <w:r w:rsidR="00895C96" w:rsidRPr="00895C96">
        <w:rPr>
          <w:lang w:val="fr-FR"/>
        </w:rPr>
        <w:t>Réponse</w:t>
      </w:r>
      <w:r w:rsidR="00382281">
        <w:rPr>
          <w:lang w:val="fr-FR"/>
        </w:rPr>
        <w:t xml:space="preserve"> </w:t>
      </w:r>
      <w:r w:rsidR="002C235D">
        <w:rPr>
          <w:lang w:val="fr-FR"/>
        </w:rPr>
        <w:t>au paragraphe 3</w:t>
      </w:r>
      <w:r w:rsidR="002C235D" w:rsidRPr="00B100AF">
        <w:rPr>
          <w:lang w:val="fr-FR"/>
        </w:rPr>
        <w:t xml:space="preserve"> </w:t>
      </w:r>
      <w:r w:rsidR="002C235D">
        <w:rPr>
          <w:lang w:val="fr-FR"/>
        </w:rPr>
        <w:t xml:space="preserve">de la liste de points à traiter </w:t>
      </w:r>
    </w:p>
    <w:p w:rsidR="00895C96" w:rsidRPr="00895C96" w:rsidRDefault="00786CA5" w:rsidP="00E04030">
      <w:pPr>
        <w:pStyle w:val="SingleTxtG"/>
        <w:rPr>
          <w:lang w:val="fr-FR"/>
        </w:rPr>
      </w:pPr>
      <w:r>
        <w:rPr>
          <w:lang w:val="fr-FR"/>
        </w:rPr>
        <w:t>30.</w:t>
      </w:r>
      <w:r w:rsidR="00E04030">
        <w:rPr>
          <w:lang w:val="fr-FR"/>
        </w:rPr>
        <w:tab/>
      </w:r>
      <w:r w:rsidR="00895C96" w:rsidRPr="00FA0D74">
        <w:rPr>
          <w:lang w:val="fr-FR"/>
        </w:rPr>
        <w:t xml:space="preserve">En dehors des résultats de </w:t>
      </w:r>
      <w:r w:rsidR="00895C96" w:rsidRPr="00420AA0">
        <w:rPr>
          <w:lang w:val="fr-FR"/>
        </w:rPr>
        <w:t>la</w:t>
      </w:r>
      <w:r w:rsidR="00382281" w:rsidRPr="00420AA0">
        <w:rPr>
          <w:lang w:val="fr-FR"/>
        </w:rPr>
        <w:t xml:space="preserve"> </w:t>
      </w:r>
      <w:r w:rsidR="00420AA0" w:rsidRPr="00420AA0">
        <w:rPr>
          <w:lang w:val="fr-FR"/>
        </w:rPr>
        <w:t>M</w:t>
      </w:r>
      <w:r w:rsidR="00895C96" w:rsidRPr="00420AA0">
        <w:rPr>
          <w:lang w:val="fr-FR"/>
        </w:rPr>
        <w:t>ission d’établissement des faits des Nations Unies du 29 août 2005 chargée de faire la lumière sur les violences et les allégations de violations des droits de l’homme survenues</w:t>
      </w:r>
      <w:r w:rsidR="00895C96" w:rsidRPr="00FA0D74">
        <w:rPr>
          <w:lang w:val="fr-FR"/>
        </w:rPr>
        <w:t xml:space="preserve"> au Togo avant, pendant et après l’élection présidentielle du 24 avril 2005</w:t>
      </w:r>
      <w:r w:rsidR="00382281" w:rsidRPr="00FA0D74">
        <w:rPr>
          <w:lang w:val="fr-FR"/>
        </w:rPr>
        <w:t xml:space="preserve"> </w:t>
      </w:r>
      <w:r w:rsidR="00895C96" w:rsidRPr="00FA0D74">
        <w:rPr>
          <w:lang w:val="fr-FR"/>
        </w:rPr>
        <w:t xml:space="preserve">et </w:t>
      </w:r>
      <w:r w:rsidR="00FA0D74">
        <w:rPr>
          <w:lang w:val="fr-FR"/>
        </w:rPr>
        <w:t>du</w:t>
      </w:r>
      <w:r w:rsidR="00FA0D74" w:rsidRPr="00FA0D74">
        <w:rPr>
          <w:lang w:val="fr-FR"/>
        </w:rPr>
        <w:t xml:space="preserve"> </w:t>
      </w:r>
      <w:r w:rsidR="00420AA0" w:rsidRPr="009F22F2">
        <w:rPr>
          <w:lang w:val="fr-FR"/>
        </w:rPr>
        <w:t>R</w:t>
      </w:r>
      <w:r w:rsidR="00895C96" w:rsidRPr="009F22F2">
        <w:rPr>
          <w:lang w:val="fr-FR"/>
        </w:rPr>
        <w:t>apport</w:t>
      </w:r>
      <w:r w:rsidR="00895C96" w:rsidRPr="00FA0D74">
        <w:rPr>
          <w:lang w:val="fr-FR"/>
        </w:rPr>
        <w:t xml:space="preserve"> sur les actes de violence et de vandalisme survenus au Togo avant, pendant et après l’élection présidentielle du 24 avril 2005 de novembre 2005 de la </w:t>
      </w:r>
      <w:r w:rsidR="00895C96" w:rsidRPr="009F22F2">
        <w:rPr>
          <w:lang w:val="fr-FR"/>
        </w:rPr>
        <w:t>Commission Nationale Spéciale d’Enquête Indépendante</w:t>
      </w:r>
      <w:r w:rsidR="00895C96" w:rsidRPr="00FA0D74">
        <w:rPr>
          <w:lang w:val="fr-FR"/>
        </w:rPr>
        <w:t xml:space="preserve"> (CNSEI) qui ont suivi ces évènements, aucune autre enquête judiciaire n’a encore été ouverte. La Commission Vérité, Justice et</w:t>
      </w:r>
      <w:r w:rsidR="00382281" w:rsidRPr="00FA0D74">
        <w:rPr>
          <w:lang w:val="fr-FR"/>
        </w:rPr>
        <w:t xml:space="preserve"> </w:t>
      </w:r>
      <w:r w:rsidR="00895C96" w:rsidRPr="00FA0D74">
        <w:rPr>
          <w:lang w:val="fr-FR"/>
        </w:rPr>
        <w:t xml:space="preserve">Réconciliation (CVJR) est à pied d’œuvre pour examiner les différentes déclarations faites </w:t>
      </w:r>
      <w:r w:rsidR="00DA5003">
        <w:rPr>
          <w:lang w:val="fr-FR"/>
        </w:rPr>
        <w:t>au cours</w:t>
      </w:r>
      <w:r w:rsidR="00DA5003" w:rsidRPr="00FA0D74">
        <w:rPr>
          <w:lang w:val="fr-FR"/>
        </w:rPr>
        <w:t xml:space="preserve"> </w:t>
      </w:r>
      <w:r w:rsidR="00895C96" w:rsidRPr="00FA0D74">
        <w:rPr>
          <w:lang w:val="fr-FR"/>
        </w:rPr>
        <w:t xml:space="preserve">de la période d’audition afin de proposer au </w:t>
      </w:r>
      <w:r w:rsidR="001E7B6C" w:rsidRPr="00FA0D74">
        <w:rPr>
          <w:lang w:val="fr-FR"/>
        </w:rPr>
        <w:t xml:space="preserve">Gouvernement </w:t>
      </w:r>
      <w:r w:rsidR="00895C96" w:rsidRPr="00FA0D74">
        <w:rPr>
          <w:lang w:val="fr-FR"/>
        </w:rPr>
        <w:t xml:space="preserve">les mesures idoines de nature à régler de façon responsable et définitive cette situation. Ainsi, avant la fin de la mission de cette </w:t>
      </w:r>
      <w:r w:rsidR="00382281" w:rsidRPr="00FA0D74">
        <w:rPr>
          <w:lang w:val="fr-FR"/>
        </w:rPr>
        <w:t>Commission</w:t>
      </w:r>
      <w:r w:rsidR="00041612">
        <w:rPr>
          <w:lang w:val="fr-FR"/>
        </w:rPr>
        <w:t>,</w:t>
      </w:r>
      <w:r w:rsidR="00895C96" w:rsidRPr="00FA0D74">
        <w:rPr>
          <w:lang w:val="fr-FR"/>
        </w:rPr>
        <w:t xml:space="preserve"> notamment ses conclusions, aucune procédure judiciaire ne </w:t>
      </w:r>
      <w:r w:rsidR="00041612">
        <w:rPr>
          <w:lang w:val="fr-FR"/>
        </w:rPr>
        <w:t>pourra</w:t>
      </w:r>
      <w:r w:rsidR="00041612" w:rsidRPr="00FA0D74">
        <w:rPr>
          <w:lang w:val="fr-FR"/>
        </w:rPr>
        <w:t xml:space="preserve"> </w:t>
      </w:r>
      <w:r w:rsidR="00895C96" w:rsidRPr="00FA0D74">
        <w:rPr>
          <w:lang w:val="fr-FR"/>
        </w:rPr>
        <w:t>être enclenchée et aucune sanction ne pourra être prononcée.</w:t>
      </w:r>
      <w:r w:rsidR="00895C96" w:rsidRPr="00895C96">
        <w:rPr>
          <w:lang w:val="fr-FR"/>
        </w:rPr>
        <w:t xml:space="preserve"> </w:t>
      </w:r>
    </w:p>
    <w:p w:rsidR="00895C96" w:rsidRPr="00895C96" w:rsidRDefault="00E04030" w:rsidP="00E04030">
      <w:pPr>
        <w:pStyle w:val="H23G"/>
        <w:rPr>
          <w:lang w:val="fr-FR"/>
        </w:rPr>
      </w:pPr>
      <w:r>
        <w:rPr>
          <w:lang w:val="fr-FR"/>
        </w:rPr>
        <w:tab/>
      </w:r>
      <w:r>
        <w:rPr>
          <w:lang w:val="fr-FR"/>
        </w:rPr>
        <w:tab/>
      </w:r>
      <w:r w:rsidR="001E7B6C">
        <w:rPr>
          <w:lang w:val="fr-FR"/>
        </w:rPr>
        <w:t xml:space="preserve">État </w:t>
      </w:r>
      <w:r w:rsidR="00895C96" w:rsidRPr="00895C96">
        <w:rPr>
          <w:lang w:val="fr-FR"/>
        </w:rPr>
        <w:t xml:space="preserve">d'avancement des enquêtes ouvertes par la Commission Vérité, Justice et Réconciliation </w:t>
      </w:r>
    </w:p>
    <w:p w:rsidR="00895C96" w:rsidRPr="00895C96" w:rsidRDefault="00786CA5" w:rsidP="00E04030">
      <w:pPr>
        <w:pStyle w:val="SingleTxtG"/>
        <w:rPr>
          <w:lang w:val="fr-FR"/>
        </w:rPr>
      </w:pPr>
      <w:r>
        <w:rPr>
          <w:lang w:val="fr-FR"/>
        </w:rPr>
        <w:t>31.</w:t>
      </w:r>
      <w:r w:rsidR="00E04030">
        <w:rPr>
          <w:lang w:val="fr-FR"/>
        </w:rPr>
        <w:tab/>
      </w:r>
      <w:r w:rsidR="00895C96" w:rsidRPr="00895C96">
        <w:rPr>
          <w:lang w:val="fr-FR"/>
        </w:rPr>
        <w:t>La Commission Vérité, Justice et Réconciliation (CVJR)</w:t>
      </w:r>
      <w:r w:rsidR="007A00F9">
        <w:rPr>
          <w:lang w:val="fr-FR"/>
        </w:rPr>
        <w:t>, qui a été</w:t>
      </w:r>
      <w:r w:rsidR="00895C96" w:rsidRPr="00895C96">
        <w:rPr>
          <w:lang w:val="fr-FR"/>
        </w:rPr>
        <w:t xml:space="preserve"> créée en 2009 par décret pris en conseil des </w:t>
      </w:r>
      <w:r w:rsidR="001E7B6C">
        <w:rPr>
          <w:lang w:val="fr-FR"/>
        </w:rPr>
        <w:t>m</w:t>
      </w:r>
      <w:r w:rsidR="00895C96" w:rsidRPr="00895C96">
        <w:rPr>
          <w:lang w:val="fr-FR"/>
        </w:rPr>
        <w:t>inistres</w:t>
      </w:r>
      <w:r w:rsidR="007A00F9">
        <w:rPr>
          <w:lang w:val="fr-FR"/>
        </w:rPr>
        <w:t>,</w:t>
      </w:r>
      <w:r w:rsidR="00895C96" w:rsidRPr="00895C96">
        <w:rPr>
          <w:lang w:val="fr-FR"/>
        </w:rPr>
        <w:t xml:space="preserve"> a pour objectif ultime la réconciliation nationale. Pour y parvenir</w:t>
      </w:r>
      <w:r w:rsidR="008149E4">
        <w:rPr>
          <w:lang w:val="fr-FR"/>
        </w:rPr>
        <w:t>,</w:t>
      </w:r>
      <w:r w:rsidR="00895C96" w:rsidRPr="00895C96">
        <w:rPr>
          <w:lang w:val="fr-FR"/>
        </w:rPr>
        <w:t xml:space="preserve"> elle est appelée à faire la lumière sur les actes de violence et </w:t>
      </w:r>
      <w:r w:rsidR="008149E4">
        <w:rPr>
          <w:lang w:val="fr-FR"/>
        </w:rPr>
        <w:t xml:space="preserve">les </w:t>
      </w:r>
      <w:r w:rsidR="00895C96" w:rsidRPr="00895C96">
        <w:rPr>
          <w:lang w:val="fr-FR"/>
        </w:rPr>
        <w:t xml:space="preserve">violations des droits de l'homme à caractère politique </w:t>
      </w:r>
      <w:r w:rsidR="00A47982">
        <w:rPr>
          <w:lang w:val="fr-FR"/>
        </w:rPr>
        <w:t>survenus entre</w:t>
      </w:r>
      <w:r w:rsidR="00895C96" w:rsidRPr="00895C96">
        <w:rPr>
          <w:lang w:val="fr-FR"/>
        </w:rPr>
        <w:t xml:space="preserve"> 1958 </w:t>
      </w:r>
      <w:r w:rsidR="00A47982">
        <w:rPr>
          <w:lang w:val="fr-FR"/>
        </w:rPr>
        <w:t>et</w:t>
      </w:r>
      <w:r w:rsidR="00895C96" w:rsidRPr="00895C96">
        <w:rPr>
          <w:lang w:val="fr-FR"/>
        </w:rPr>
        <w:t xml:space="preserve"> 2005 et à </w:t>
      </w:r>
      <w:r w:rsidR="008149E4">
        <w:rPr>
          <w:lang w:val="fr-FR"/>
        </w:rPr>
        <w:t>formuler</w:t>
      </w:r>
      <w:r w:rsidR="008149E4" w:rsidRPr="00895C96">
        <w:rPr>
          <w:lang w:val="fr-FR"/>
        </w:rPr>
        <w:t xml:space="preserve"> </w:t>
      </w:r>
      <w:r w:rsidR="00895C96" w:rsidRPr="00895C96">
        <w:rPr>
          <w:lang w:val="fr-FR"/>
        </w:rPr>
        <w:t>des recommandations à l'</w:t>
      </w:r>
      <w:r w:rsidR="008149E4">
        <w:rPr>
          <w:lang w:val="fr-FR"/>
        </w:rPr>
        <w:t xml:space="preserve">intention </w:t>
      </w:r>
      <w:r w:rsidR="00895C96" w:rsidRPr="00895C96">
        <w:rPr>
          <w:lang w:val="fr-FR"/>
        </w:rPr>
        <w:t xml:space="preserve">du </w:t>
      </w:r>
      <w:r w:rsidR="008149E4">
        <w:rPr>
          <w:lang w:val="fr-FR"/>
        </w:rPr>
        <w:t>G</w:t>
      </w:r>
      <w:r w:rsidR="00895C96" w:rsidRPr="00895C96">
        <w:rPr>
          <w:lang w:val="fr-FR"/>
        </w:rPr>
        <w:t xml:space="preserve">ouvernement. </w:t>
      </w:r>
    </w:p>
    <w:p w:rsidR="00895C96" w:rsidRPr="00895C96" w:rsidRDefault="00786CA5" w:rsidP="00E04030">
      <w:pPr>
        <w:pStyle w:val="SingleTxtG"/>
        <w:rPr>
          <w:lang w:val="fr-FR"/>
        </w:rPr>
      </w:pPr>
      <w:r>
        <w:rPr>
          <w:lang w:val="fr-FR"/>
        </w:rPr>
        <w:t>32.</w:t>
      </w:r>
      <w:r w:rsidR="00E04030">
        <w:rPr>
          <w:lang w:val="fr-FR"/>
        </w:rPr>
        <w:tab/>
      </w:r>
      <w:r w:rsidR="00895C96" w:rsidRPr="00895C96">
        <w:rPr>
          <w:lang w:val="fr-FR"/>
        </w:rPr>
        <w:t xml:space="preserve">Avant de préciser l’état d'avancement des travaux de la CVJR </w:t>
      </w:r>
      <w:r w:rsidR="00B015EF">
        <w:rPr>
          <w:lang w:val="fr-FR"/>
        </w:rPr>
        <w:t>et de s</w:t>
      </w:r>
      <w:r w:rsidR="00895C96" w:rsidRPr="00895C96">
        <w:rPr>
          <w:lang w:val="fr-FR"/>
        </w:rPr>
        <w:t xml:space="preserve">es enquêtes </w:t>
      </w:r>
      <w:r w:rsidR="00B015EF">
        <w:rPr>
          <w:lang w:val="fr-FR"/>
        </w:rPr>
        <w:t>sur les</w:t>
      </w:r>
      <w:r w:rsidR="00895C96" w:rsidRPr="00895C96">
        <w:rPr>
          <w:lang w:val="fr-FR"/>
        </w:rPr>
        <w:t xml:space="preserve"> allégations faisant état de graves violations des droits de l'homme </w:t>
      </w:r>
      <w:r w:rsidR="00895C96" w:rsidRPr="00895C96">
        <w:rPr>
          <w:lang w:val="fr-FR"/>
        </w:rPr>
        <w:br/>
        <w:t xml:space="preserve">commises avant, pendant et après l'élection présidentielle du 24 avril 2005, il convient de rappeler le contexte de sa création et ses compétences. </w:t>
      </w:r>
    </w:p>
    <w:p w:rsidR="00895C96" w:rsidRPr="00895C96" w:rsidRDefault="00895C96" w:rsidP="004E072E">
      <w:pPr>
        <w:pStyle w:val="H23G"/>
        <w:rPr>
          <w:lang w:val="fr-FR"/>
        </w:rPr>
      </w:pPr>
      <w:r w:rsidRPr="00895C96">
        <w:rPr>
          <w:lang w:val="fr-FR"/>
        </w:rPr>
        <w:tab/>
      </w:r>
      <w:r w:rsidR="004E072E">
        <w:rPr>
          <w:lang w:val="fr-FR"/>
        </w:rPr>
        <w:t>I</w:t>
      </w:r>
      <w:r w:rsidR="00E04030">
        <w:rPr>
          <w:lang w:val="fr-FR"/>
        </w:rPr>
        <w:t>.</w:t>
      </w:r>
      <w:r w:rsidR="00E04030">
        <w:rPr>
          <w:lang w:val="fr-FR"/>
        </w:rPr>
        <w:tab/>
      </w:r>
      <w:r w:rsidRPr="00895C96">
        <w:rPr>
          <w:lang w:val="fr-FR"/>
        </w:rPr>
        <w:t xml:space="preserve">Contexte de la création et compétences de la Commission </w:t>
      </w:r>
    </w:p>
    <w:p w:rsidR="00895C96" w:rsidRPr="00895C96" w:rsidRDefault="004E072E" w:rsidP="004E072E">
      <w:pPr>
        <w:pStyle w:val="H23G"/>
        <w:rPr>
          <w:lang w:val="fr-FR"/>
        </w:rPr>
      </w:pPr>
      <w:r>
        <w:rPr>
          <w:lang w:val="fr-FR"/>
        </w:rPr>
        <w:tab/>
      </w:r>
      <w:r>
        <w:rPr>
          <w:lang w:val="fr-FR"/>
        </w:rPr>
        <w:tab/>
      </w:r>
      <w:r w:rsidR="00895C96" w:rsidRPr="00895C96">
        <w:rPr>
          <w:lang w:val="fr-FR"/>
        </w:rPr>
        <w:t>1.</w:t>
      </w:r>
      <w:r>
        <w:rPr>
          <w:lang w:val="fr-FR"/>
        </w:rPr>
        <w:tab/>
      </w:r>
      <w:r w:rsidR="00895C96" w:rsidRPr="00895C96">
        <w:rPr>
          <w:lang w:val="fr-FR"/>
        </w:rPr>
        <w:t>Contexte de la création de la CVJR</w:t>
      </w:r>
    </w:p>
    <w:p w:rsidR="00895C96" w:rsidRPr="00895C96" w:rsidRDefault="00786CA5" w:rsidP="00E04030">
      <w:pPr>
        <w:pStyle w:val="SingleTxtG"/>
        <w:rPr>
          <w:lang w:val="fr-FR"/>
        </w:rPr>
      </w:pPr>
      <w:r>
        <w:rPr>
          <w:lang w:val="fr-FR"/>
        </w:rPr>
        <w:t>33.</w:t>
      </w:r>
      <w:r w:rsidR="004E072E">
        <w:rPr>
          <w:lang w:val="fr-FR"/>
        </w:rPr>
        <w:tab/>
      </w:r>
      <w:r w:rsidR="00895C96" w:rsidRPr="00895C96">
        <w:rPr>
          <w:lang w:val="fr-FR"/>
        </w:rPr>
        <w:t xml:space="preserve">L'histoire politique du Togo a souvent été émaillée, surtout en période électorale, de violences qui se sont manifestées sous plusieurs formes et </w:t>
      </w:r>
      <w:r w:rsidR="00B015EF">
        <w:rPr>
          <w:lang w:val="fr-FR"/>
        </w:rPr>
        <w:t xml:space="preserve">à </w:t>
      </w:r>
      <w:r w:rsidR="00895C96" w:rsidRPr="00895C96">
        <w:rPr>
          <w:lang w:val="fr-FR"/>
        </w:rPr>
        <w:t>d</w:t>
      </w:r>
      <w:r w:rsidR="00B015EF">
        <w:rPr>
          <w:lang w:val="fr-FR"/>
        </w:rPr>
        <w:t xml:space="preserve">es </w:t>
      </w:r>
      <w:r w:rsidR="00895C96" w:rsidRPr="00895C96">
        <w:rPr>
          <w:lang w:val="fr-FR"/>
        </w:rPr>
        <w:t xml:space="preserve">intensités différentes selon les moments. Le point culminant de ces violences a été atteint lors de l'élection présidentielle d'avril 2005. </w:t>
      </w:r>
    </w:p>
    <w:p w:rsidR="00895C96" w:rsidRPr="00895C96" w:rsidRDefault="00786CA5" w:rsidP="00E04030">
      <w:pPr>
        <w:pStyle w:val="SingleTxtG"/>
        <w:rPr>
          <w:lang w:val="fr-FR"/>
        </w:rPr>
      </w:pPr>
      <w:r>
        <w:rPr>
          <w:lang w:val="fr-FR"/>
        </w:rPr>
        <w:t>34.</w:t>
      </w:r>
      <w:r w:rsidR="004E072E">
        <w:rPr>
          <w:lang w:val="fr-FR"/>
        </w:rPr>
        <w:tab/>
      </w:r>
      <w:r w:rsidR="00895C96" w:rsidRPr="00895C96">
        <w:rPr>
          <w:lang w:val="fr-FR"/>
        </w:rPr>
        <w:t>Le 20 août 2006, les acteurs de la vie sociopolitique du Togo ont signé l'Accord Politique Global (APG) qui préconis</w:t>
      </w:r>
      <w:r w:rsidR="00877948">
        <w:rPr>
          <w:lang w:val="fr-FR"/>
        </w:rPr>
        <w:t>e</w:t>
      </w:r>
      <w:r w:rsidR="00895C96" w:rsidRPr="00895C96">
        <w:rPr>
          <w:lang w:val="fr-FR"/>
        </w:rPr>
        <w:t xml:space="preserve"> </w:t>
      </w:r>
      <w:r w:rsidR="00877948">
        <w:rPr>
          <w:lang w:val="fr-FR"/>
        </w:rPr>
        <w:t>dans</w:t>
      </w:r>
      <w:r w:rsidR="00877948" w:rsidRPr="00895C96">
        <w:rPr>
          <w:lang w:val="fr-FR"/>
        </w:rPr>
        <w:t xml:space="preserve"> </w:t>
      </w:r>
      <w:r w:rsidR="00895C96" w:rsidRPr="00895C96">
        <w:rPr>
          <w:lang w:val="fr-FR"/>
        </w:rPr>
        <w:t xml:space="preserve">ses points 2.2.2 et 2.4 la mise en place d'une </w:t>
      </w:r>
      <w:r w:rsidR="00877948">
        <w:rPr>
          <w:lang w:val="fr-FR"/>
        </w:rPr>
        <w:t>c</w:t>
      </w:r>
      <w:r w:rsidR="00895C96" w:rsidRPr="00895C96">
        <w:rPr>
          <w:lang w:val="fr-FR"/>
        </w:rPr>
        <w:t xml:space="preserve">ommission Vérité, Justice et Réconciliation qui a pour objectif ultime d'œuvrer à la réconciliation nationale, à la paix civile et à la stabilité politique. Après la signature de l'APG et la tenue effective des élections législatives </w:t>
      </w:r>
      <w:r w:rsidR="00877948">
        <w:rPr>
          <w:lang w:val="fr-FR"/>
        </w:rPr>
        <w:t>le</w:t>
      </w:r>
      <w:r w:rsidR="00877948" w:rsidRPr="00895C96">
        <w:rPr>
          <w:lang w:val="fr-FR"/>
        </w:rPr>
        <w:t xml:space="preserve"> </w:t>
      </w:r>
      <w:r w:rsidR="00895C96" w:rsidRPr="00895C96">
        <w:rPr>
          <w:lang w:val="fr-FR"/>
        </w:rPr>
        <w:t>14 octobre 2007, les observateurs notent un retour à un climat de paix</w:t>
      </w:r>
      <w:r w:rsidR="00877948">
        <w:rPr>
          <w:lang w:val="fr-FR"/>
        </w:rPr>
        <w:t>. Celui-ci</w:t>
      </w:r>
      <w:r w:rsidR="00895C96" w:rsidRPr="00895C96">
        <w:rPr>
          <w:lang w:val="fr-FR"/>
        </w:rPr>
        <w:t xml:space="preserve"> a besoin d'être consolidé, notamment en permettant à la population</w:t>
      </w:r>
      <w:r w:rsidR="00877948">
        <w:rPr>
          <w:lang w:val="fr-FR"/>
        </w:rPr>
        <w:t>,</w:t>
      </w:r>
      <w:r w:rsidR="00895C96" w:rsidRPr="00895C96">
        <w:rPr>
          <w:lang w:val="fr-FR"/>
        </w:rPr>
        <w:t xml:space="preserve"> dans le cadre </w:t>
      </w:r>
      <w:r w:rsidR="00895C96" w:rsidRPr="000F0FFC">
        <w:rPr>
          <w:lang w:val="fr-FR"/>
        </w:rPr>
        <w:t>des</w:t>
      </w:r>
      <w:r w:rsidR="00895C96" w:rsidRPr="00895C96">
        <w:rPr>
          <w:lang w:val="fr-FR"/>
        </w:rPr>
        <w:t xml:space="preserve"> consultations nationales, de choisir les voies et moyens pour résoudre, par des voies légitimes et justes, des questions politiquement sensibles telles que la prise en charge adéquate des violations du passé, la discrimination fondée sur l'appartenance ethnique, l'inégalité d'accès aux richesses et aux services sociaux et les abus de pouvoir. </w:t>
      </w:r>
    </w:p>
    <w:p w:rsidR="00895C96" w:rsidRPr="00895C96" w:rsidRDefault="00786CA5" w:rsidP="00E04030">
      <w:pPr>
        <w:pStyle w:val="SingleTxtG"/>
        <w:rPr>
          <w:lang w:val="fr-FR"/>
        </w:rPr>
      </w:pPr>
      <w:r>
        <w:rPr>
          <w:lang w:val="fr-FR"/>
        </w:rPr>
        <w:t>35.</w:t>
      </w:r>
      <w:r w:rsidR="004E072E">
        <w:rPr>
          <w:lang w:val="fr-FR"/>
        </w:rPr>
        <w:tab/>
      </w:r>
      <w:r w:rsidR="001E7B6C">
        <w:rPr>
          <w:lang w:val="fr-FR"/>
        </w:rPr>
        <w:t>À</w:t>
      </w:r>
      <w:r w:rsidR="00895C96" w:rsidRPr="00895C96">
        <w:rPr>
          <w:lang w:val="fr-FR"/>
        </w:rPr>
        <w:t xml:space="preserve"> l'issue des consultations nationales, </w:t>
      </w:r>
      <w:r w:rsidR="00895C96" w:rsidRPr="009F22F2">
        <w:rPr>
          <w:lang w:val="fr-FR"/>
        </w:rPr>
        <w:t>préalables</w:t>
      </w:r>
      <w:r w:rsidR="00895C96" w:rsidRPr="00895C96">
        <w:rPr>
          <w:lang w:val="fr-FR"/>
        </w:rPr>
        <w:t xml:space="preserve"> à la mise en œuvre du processus Vérité et Réconciliation conduit avec l'appui du système des Nations Unies et particulièrement du Bureau </w:t>
      </w:r>
      <w:r w:rsidR="00895C96" w:rsidRPr="009F22F2">
        <w:rPr>
          <w:lang w:val="fr-FR"/>
        </w:rPr>
        <w:t>du</w:t>
      </w:r>
      <w:r w:rsidR="00895C96" w:rsidRPr="00895C96">
        <w:rPr>
          <w:lang w:val="fr-FR"/>
        </w:rPr>
        <w:t xml:space="preserve"> Togo du Haut</w:t>
      </w:r>
      <w:r w:rsidR="001E7B6C">
        <w:rPr>
          <w:lang w:val="fr-FR"/>
        </w:rPr>
        <w:t>-</w:t>
      </w:r>
      <w:r w:rsidR="00895C96" w:rsidRPr="00895C96">
        <w:rPr>
          <w:lang w:val="fr-FR"/>
        </w:rPr>
        <w:t xml:space="preserve">Commissariat aux </w:t>
      </w:r>
      <w:r w:rsidR="001E7B6C">
        <w:rPr>
          <w:lang w:val="fr-FR"/>
        </w:rPr>
        <w:t>d</w:t>
      </w:r>
      <w:r w:rsidR="00895C96" w:rsidRPr="00895C96">
        <w:rPr>
          <w:lang w:val="fr-FR"/>
        </w:rPr>
        <w:t>roits de l'</w:t>
      </w:r>
      <w:r w:rsidR="001E7B6C">
        <w:rPr>
          <w:lang w:val="fr-FR"/>
        </w:rPr>
        <w:t>h</w:t>
      </w:r>
      <w:r w:rsidR="00895C96" w:rsidRPr="00895C96">
        <w:rPr>
          <w:lang w:val="fr-FR"/>
        </w:rPr>
        <w:t>omme (HCDH)</w:t>
      </w:r>
      <w:r w:rsidR="00222391">
        <w:rPr>
          <w:lang w:val="fr-FR"/>
        </w:rPr>
        <w:t>,</w:t>
      </w:r>
      <w:r w:rsidR="00895C96" w:rsidRPr="00895C96">
        <w:rPr>
          <w:lang w:val="fr-FR"/>
        </w:rPr>
        <w:t xml:space="preserve"> et </w:t>
      </w:r>
      <w:r w:rsidR="00222391">
        <w:rPr>
          <w:lang w:val="fr-FR"/>
        </w:rPr>
        <w:t>dans le</w:t>
      </w:r>
      <w:r w:rsidR="00222391" w:rsidRPr="00895C96">
        <w:rPr>
          <w:lang w:val="fr-FR"/>
        </w:rPr>
        <w:t xml:space="preserve"> </w:t>
      </w:r>
      <w:r w:rsidR="00895C96" w:rsidRPr="00895C96">
        <w:rPr>
          <w:lang w:val="fr-FR"/>
        </w:rPr>
        <w:t>respect de ses engagements renouvelés, le Gouvernement du Togo a institué par</w:t>
      </w:r>
      <w:r w:rsidR="00941AF3">
        <w:rPr>
          <w:lang w:val="fr-FR"/>
        </w:rPr>
        <w:t xml:space="preserve"> le</w:t>
      </w:r>
      <w:r w:rsidR="00895C96" w:rsidRPr="00895C96">
        <w:rPr>
          <w:lang w:val="fr-FR"/>
        </w:rPr>
        <w:t xml:space="preserve"> décret n° 2009-046/PR du 25 février 2009 une Commission Vérité Justice et Réconciliation (CJVR) qui a été officiellement installée le 29 mai 2009. </w:t>
      </w:r>
    </w:p>
    <w:p w:rsidR="00895C96" w:rsidRPr="00895C96" w:rsidRDefault="00786CA5" w:rsidP="00E04030">
      <w:pPr>
        <w:pStyle w:val="SingleTxtG"/>
        <w:rPr>
          <w:lang w:val="fr-FR"/>
        </w:rPr>
      </w:pPr>
      <w:r>
        <w:rPr>
          <w:lang w:val="fr-FR"/>
        </w:rPr>
        <w:t>36.</w:t>
      </w:r>
      <w:r w:rsidR="004E072E">
        <w:rPr>
          <w:lang w:val="fr-FR"/>
        </w:rPr>
        <w:tab/>
      </w:r>
      <w:r w:rsidR="00895C96" w:rsidRPr="00895C96">
        <w:rPr>
          <w:lang w:val="fr-FR"/>
        </w:rPr>
        <w:t>Aux termes des dispositions de l'article 8 du décret n° 2009-046/PR sus</w:t>
      </w:r>
      <w:r w:rsidR="00941AF3">
        <w:rPr>
          <w:lang w:val="fr-FR"/>
        </w:rPr>
        <w:t>mentionné</w:t>
      </w:r>
      <w:r w:rsidR="00895C96" w:rsidRPr="00895C96">
        <w:rPr>
          <w:lang w:val="fr-FR"/>
        </w:rPr>
        <w:t xml:space="preserve">, elle dispose d'un délai de dix huit </w:t>
      </w:r>
      <w:r w:rsidR="00895C96" w:rsidRPr="00CC76D6">
        <w:rPr>
          <w:lang w:val="fr-FR"/>
        </w:rPr>
        <w:t>(18)</w:t>
      </w:r>
      <w:r w:rsidR="00895C96" w:rsidRPr="00895C96">
        <w:rPr>
          <w:lang w:val="fr-FR"/>
        </w:rPr>
        <w:t xml:space="preserve"> mois, qui peut être prorogé de six (6) mois, pour accomplir ses missions à compter de sa mise en place effective. Elle compte onze (11) Commissaires nommés en raison de leur compétence et de leur probité morale. Ils sont issus de toutes les couches socioprofessionnelles, confessions religieuses, </w:t>
      </w:r>
      <w:r w:rsidR="00B05474">
        <w:rPr>
          <w:lang w:val="fr-FR"/>
        </w:rPr>
        <w:t>d’</w:t>
      </w:r>
      <w:r w:rsidR="00895C96" w:rsidRPr="00895C96">
        <w:rPr>
          <w:lang w:val="fr-FR"/>
        </w:rPr>
        <w:t xml:space="preserve">organisations de défense des droits de l'homme, </w:t>
      </w:r>
      <w:r w:rsidR="00B05474">
        <w:rPr>
          <w:lang w:val="fr-FR"/>
        </w:rPr>
        <w:t>d’</w:t>
      </w:r>
      <w:r w:rsidR="00895C96" w:rsidRPr="00895C96">
        <w:rPr>
          <w:lang w:val="fr-FR"/>
        </w:rPr>
        <w:t xml:space="preserve">organisations de femmes, de la chefferie traditionnelle, de l'ordre des médecins et des </w:t>
      </w:r>
      <w:r w:rsidR="00385A96">
        <w:rPr>
          <w:lang w:val="fr-FR"/>
        </w:rPr>
        <w:t xml:space="preserve">milieux </w:t>
      </w:r>
      <w:r w:rsidR="00895C96" w:rsidRPr="00895C96">
        <w:rPr>
          <w:lang w:val="fr-FR"/>
        </w:rPr>
        <w:t xml:space="preserve">universitaires. </w:t>
      </w:r>
    </w:p>
    <w:p w:rsidR="00895C96" w:rsidRPr="00895C96" w:rsidRDefault="004E072E" w:rsidP="004E072E">
      <w:pPr>
        <w:pStyle w:val="H23G"/>
        <w:rPr>
          <w:lang w:val="fr-FR"/>
        </w:rPr>
      </w:pPr>
      <w:r>
        <w:rPr>
          <w:lang w:val="fr-FR"/>
        </w:rPr>
        <w:tab/>
      </w:r>
      <w:r>
        <w:rPr>
          <w:lang w:val="fr-FR"/>
        </w:rPr>
        <w:tab/>
      </w:r>
      <w:r w:rsidR="00895C96" w:rsidRPr="00895C96">
        <w:rPr>
          <w:lang w:val="fr-FR"/>
        </w:rPr>
        <w:t>2</w:t>
      </w:r>
      <w:r w:rsidR="00B425C1">
        <w:rPr>
          <w:lang w:val="fr-FR"/>
        </w:rPr>
        <w:t>.</w:t>
      </w:r>
      <w:r>
        <w:rPr>
          <w:lang w:val="fr-FR"/>
        </w:rPr>
        <w:tab/>
      </w:r>
      <w:r w:rsidR="00895C96" w:rsidRPr="00895C96">
        <w:rPr>
          <w:lang w:val="fr-FR"/>
        </w:rPr>
        <w:t xml:space="preserve">Les pouvoirs de la Commission </w:t>
      </w:r>
    </w:p>
    <w:p w:rsidR="00895C96" w:rsidRPr="00895C96" w:rsidRDefault="00786CA5" w:rsidP="00E04030">
      <w:pPr>
        <w:pStyle w:val="SingleTxtG"/>
        <w:rPr>
          <w:lang w:val="fr-FR"/>
        </w:rPr>
      </w:pPr>
      <w:r>
        <w:rPr>
          <w:lang w:val="fr-FR"/>
        </w:rPr>
        <w:t>37.</w:t>
      </w:r>
      <w:r w:rsidR="004E072E">
        <w:rPr>
          <w:lang w:val="fr-FR"/>
        </w:rPr>
        <w:tab/>
      </w:r>
      <w:r w:rsidR="00895C96" w:rsidRPr="00895C96">
        <w:rPr>
          <w:lang w:val="fr-FR"/>
        </w:rPr>
        <w:t>La CVJR dispose de pouvoirs larges et étendus</w:t>
      </w:r>
      <w:r w:rsidR="00667D6F">
        <w:rPr>
          <w:lang w:val="fr-FR"/>
        </w:rPr>
        <w:t>,</w:t>
      </w:r>
      <w:r w:rsidR="00895C96" w:rsidRPr="00895C96">
        <w:rPr>
          <w:lang w:val="fr-FR"/>
        </w:rPr>
        <w:t xml:space="preserve"> spécifiés par le décret </w:t>
      </w:r>
      <w:r w:rsidR="00667D6F">
        <w:rPr>
          <w:lang w:val="fr-FR"/>
        </w:rPr>
        <w:t>n</w:t>
      </w:r>
      <w:r w:rsidR="00895C96" w:rsidRPr="00895C96">
        <w:rPr>
          <w:lang w:val="fr-FR"/>
        </w:rPr>
        <w:t xml:space="preserve">° 2009- </w:t>
      </w:r>
      <w:r w:rsidR="00895C96" w:rsidRPr="00895C96">
        <w:rPr>
          <w:lang w:val="fr-FR"/>
        </w:rPr>
        <w:br/>
        <w:t xml:space="preserve">046/PR du 25 février 2009 portant sa création. Aux termes de ce décret, la Commission est notamment investie du pouvoir de déterminer, </w:t>
      </w:r>
      <w:r w:rsidR="00813AB7">
        <w:rPr>
          <w:lang w:val="fr-FR"/>
        </w:rPr>
        <w:t>au moyen d’</w:t>
      </w:r>
      <w:r w:rsidR="00895C96" w:rsidRPr="00895C96">
        <w:rPr>
          <w:lang w:val="fr-FR"/>
        </w:rPr>
        <w:t>un rapport circonstancié et détaillé, les causes, l'étendue et les conséquences des violations des droits de l'</w:t>
      </w:r>
      <w:r w:rsidR="00BD0563">
        <w:rPr>
          <w:lang w:val="fr-FR"/>
        </w:rPr>
        <w:t>h</w:t>
      </w:r>
      <w:r w:rsidR="00895C96" w:rsidRPr="00895C96">
        <w:rPr>
          <w:lang w:val="fr-FR"/>
        </w:rPr>
        <w:t xml:space="preserve">omme et </w:t>
      </w:r>
      <w:r w:rsidR="00BD0563">
        <w:rPr>
          <w:lang w:val="fr-FR"/>
        </w:rPr>
        <w:t>d</w:t>
      </w:r>
      <w:r w:rsidR="00895C96" w:rsidRPr="00895C96">
        <w:rPr>
          <w:lang w:val="fr-FR"/>
        </w:rPr>
        <w:t xml:space="preserve">es violences qui ont secoué les fondements de la communauté togolaise </w:t>
      </w:r>
      <w:r w:rsidR="00BD0563">
        <w:rPr>
          <w:lang w:val="fr-FR"/>
        </w:rPr>
        <w:t>entre</w:t>
      </w:r>
      <w:r w:rsidR="00BD0563" w:rsidRPr="00895C96">
        <w:rPr>
          <w:lang w:val="fr-FR"/>
        </w:rPr>
        <w:t xml:space="preserve"> </w:t>
      </w:r>
      <w:r w:rsidR="00895C96" w:rsidRPr="00895C96">
        <w:rPr>
          <w:lang w:val="fr-FR"/>
        </w:rPr>
        <w:t xml:space="preserve">1958 </w:t>
      </w:r>
      <w:r w:rsidR="00BD0563">
        <w:rPr>
          <w:lang w:val="fr-FR"/>
        </w:rPr>
        <w:t xml:space="preserve">et </w:t>
      </w:r>
      <w:r w:rsidR="00895C96" w:rsidRPr="00895C96">
        <w:rPr>
          <w:lang w:val="fr-FR"/>
        </w:rPr>
        <w:t xml:space="preserve"> 2005. La CVJR a pour mission de proposer des mesures susceptibles de favoriser le pardon et la réconciliation nationale. De ce fait, elle a pour principal but d'aider à réconcilier le peuple togolais en cherchant la vérité sur les abus et les violations des droits humains à caractère politique et d'aider les victimes à guérir de leurs traumatismes pour retrouver goût à la vie. La CVJR va également aider les présumés auteurs à guérir eux aussi de leurs traumatismes en </w:t>
      </w:r>
      <w:r w:rsidR="00BD0563">
        <w:rPr>
          <w:lang w:val="fr-FR"/>
        </w:rPr>
        <w:t xml:space="preserve">leur permettant de </w:t>
      </w:r>
      <w:r w:rsidR="00895C96" w:rsidRPr="00895C96">
        <w:rPr>
          <w:lang w:val="fr-FR"/>
        </w:rPr>
        <w:t>relat</w:t>
      </w:r>
      <w:r w:rsidR="00BD0563">
        <w:rPr>
          <w:lang w:val="fr-FR"/>
        </w:rPr>
        <w:t xml:space="preserve">er </w:t>
      </w:r>
      <w:r w:rsidR="00895C96" w:rsidRPr="00895C96">
        <w:rPr>
          <w:lang w:val="fr-FR"/>
        </w:rPr>
        <w:t xml:space="preserve">leurs versions des faits et </w:t>
      </w:r>
      <w:r w:rsidR="00BD0563">
        <w:rPr>
          <w:lang w:val="fr-FR"/>
        </w:rPr>
        <w:t>de</w:t>
      </w:r>
      <w:r w:rsidR="00895C96" w:rsidRPr="00895C96">
        <w:rPr>
          <w:lang w:val="fr-FR"/>
        </w:rPr>
        <w:t xml:space="preserve"> demand</w:t>
      </w:r>
      <w:r w:rsidR="00BD0563">
        <w:rPr>
          <w:lang w:val="fr-FR"/>
        </w:rPr>
        <w:t>er</w:t>
      </w:r>
      <w:r w:rsidR="00895C96" w:rsidRPr="00895C96">
        <w:rPr>
          <w:lang w:val="fr-FR"/>
        </w:rPr>
        <w:t xml:space="preserve"> pardon. </w:t>
      </w:r>
    </w:p>
    <w:p w:rsidR="00895C96" w:rsidRPr="00895C96" w:rsidRDefault="00786CA5" w:rsidP="00E04030">
      <w:pPr>
        <w:pStyle w:val="SingleTxtG"/>
        <w:rPr>
          <w:lang w:val="fr-FR"/>
        </w:rPr>
      </w:pPr>
      <w:r>
        <w:rPr>
          <w:lang w:val="fr-FR"/>
        </w:rPr>
        <w:t>38.</w:t>
      </w:r>
      <w:r w:rsidR="004E072E">
        <w:rPr>
          <w:lang w:val="fr-FR"/>
        </w:rPr>
        <w:tab/>
      </w:r>
      <w:r w:rsidR="00895C96" w:rsidRPr="00895C96">
        <w:rPr>
          <w:lang w:val="fr-FR"/>
        </w:rPr>
        <w:t>La CVJR a donc compétence pour</w:t>
      </w:r>
      <w:r w:rsidR="00F33DC4">
        <w:rPr>
          <w:lang w:val="fr-FR"/>
        </w:rPr>
        <w:t>:</w:t>
      </w:r>
      <w:r w:rsidR="00895C96" w:rsidRPr="00895C96">
        <w:rPr>
          <w:lang w:val="fr-FR"/>
        </w:rPr>
        <w:t xml:space="preserve"> </w:t>
      </w:r>
    </w:p>
    <w:p w:rsidR="00895C96" w:rsidRPr="00895C96" w:rsidRDefault="007503CC" w:rsidP="004E072E">
      <w:pPr>
        <w:pStyle w:val="Bullet1G"/>
        <w:rPr>
          <w:lang w:val="fr-FR"/>
        </w:rPr>
      </w:pPr>
      <w:r>
        <w:rPr>
          <w:lang w:val="fr-FR"/>
        </w:rPr>
        <w:t>D</w:t>
      </w:r>
      <w:r w:rsidR="00895C96" w:rsidRPr="00895C96">
        <w:rPr>
          <w:lang w:val="fr-FR"/>
        </w:rPr>
        <w:t>éterminer</w:t>
      </w:r>
      <w:r w:rsidR="00DD28DE">
        <w:rPr>
          <w:lang w:val="fr-FR"/>
        </w:rPr>
        <w:t>, notamment</w:t>
      </w:r>
      <w:r w:rsidR="00895C96" w:rsidRPr="00DD28DE">
        <w:rPr>
          <w:lang w:val="fr-FR"/>
        </w:rPr>
        <w:t>,</w:t>
      </w:r>
      <w:r w:rsidR="00DD28DE">
        <w:rPr>
          <w:lang w:val="fr-FR"/>
        </w:rPr>
        <w:t xml:space="preserve"> </w:t>
      </w:r>
      <w:r w:rsidR="00895C96" w:rsidRPr="00895C96">
        <w:rPr>
          <w:lang w:val="fr-FR"/>
        </w:rPr>
        <w:t xml:space="preserve">l'étendue et les conséquences des violations des droits de l'homme et des violences qui ont secoué les fondements de notre vie commune; </w:t>
      </w:r>
    </w:p>
    <w:p w:rsidR="00895C96" w:rsidRPr="00895C96" w:rsidRDefault="007503CC" w:rsidP="004E072E">
      <w:pPr>
        <w:pStyle w:val="Bullet1G"/>
        <w:rPr>
          <w:lang w:val="fr-FR"/>
        </w:rPr>
      </w:pPr>
      <w:r>
        <w:rPr>
          <w:lang w:val="fr-FR"/>
        </w:rPr>
        <w:t>E</w:t>
      </w:r>
      <w:r w:rsidR="00895C96" w:rsidRPr="00895C96">
        <w:rPr>
          <w:lang w:val="fr-FR"/>
        </w:rPr>
        <w:t xml:space="preserve">ntreprendre des investigations approfondies auprès des personnes, des institutions, des administrations, des autorités politiques, religieuses, traditionnelles et de la société civile; </w:t>
      </w:r>
    </w:p>
    <w:p w:rsidR="00895C96" w:rsidRPr="00895C96" w:rsidRDefault="007503CC" w:rsidP="004E072E">
      <w:pPr>
        <w:pStyle w:val="Bullet1G"/>
        <w:rPr>
          <w:lang w:val="fr-FR"/>
        </w:rPr>
      </w:pPr>
      <w:r>
        <w:rPr>
          <w:lang w:val="fr-FR"/>
        </w:rPr>
        <w:t>A</w:t>
      </w:r>
      <w:r w:rsidR="00895C96" w:rsidRPr="00895C96">
        <w:rPr>
          <w:lang w:val="fr-FR"/>
        </w:rPr>
        <w:t xml:space="preserve">ccéder aux archives, aux documents et à toutes les informations et recueillir tous </w:t>
      </w:r>
      <w:r w:rsidR="00895C96" w:rsidRPr="00CC76D6">
        <w:rPr>
          <w:lang w:val="fr-FR"/>
        </w:rPr>
        <w:t>les renseignements</w:t>
      </w:r>
      <w:r w:rsidR="00895C96" w:rsidRPr="00895C96">
        <w:rPr>
          <w:lang w:val="fr-FR"/>
        </w:rPr>
        <w:t xml:space="preserve"> nécessaires à la construction de la mémoire collective; </w:t>
      </w:r>
    </w:p>
    <w:p w:rsidR="00895C96" w:rsidRPr="00895C96" w:rsidRDefault="007503CC" w:rsidP="004E072E">
      <w:pPr>
        <w:pStyle w:val="Bullet1G"/>
        <w:rPr>
          <w:lang w:val="fr-FR"/>
        </w:rPr>
      </w:pPr>
      <w:r>
        <w:rPr>
          <w:lang w:val="fr-FR"/>
        </w:rPr>
        <w:t>I</w:t>
      </w:r>
      <w:r w:rsidR="00895C96" w:rsidRPr="00895C96">
        <w:rPr>
          <w:lang w:val="fr-FR"/>
        </w:rPr>
        <w:t>nitier des enquêtes pour recenser et identifier les victimes de</w:t>
      </w:r>
      <w:r>
        <w:rPr>
          <w:lang w:val="fr-FR"/>
        </w:rPr>
        <w:t>s</w:t>
      </w:r>
      <w:r w:rsidR="00895C96" w:rsidRPr="00895C96">
        <w:rPr>
          <w:lang w:val="fr-FR"/>
        </w:rPr>
        <w:t xml:space="preserve"> violences ou leurs ayant</w:t>
      </w:r>
      <w:r>
        <w:rPr>
          <w:lang w:val="fr-FR"/>
        </w:rPr>
        <w:t>s</w:t>
      </w:r>
      <w:r w:rsidR="00895C96" w:rsidRPr="00895C96">
        <w:rPr>
          <w:lang w:val="fr-FR"/>
        </w:rPr>
        <w:t xml:space="preserve"> droit; </w:t>
      </w:r>
    </w:p>
    <w:p w:rsidR="00895C96" w:rsidRPr="00895C96" w:rsidRDefault="007503CC" w:rsidP="004E072E">
      <w:pPr>
        <w:pStyle w:val="Bullet1G"/>
        <w:rPr>
          <w:lang w:val="fr-FR"/>
        </w:rPr>
      </w:pPr>
      <w:r>
        <w:rPr>
          <w:lang w:val="fr-FR"/>
        </w:rPr>
        <w:t>R</w:t>
      </w:r>
      <w:r w:rsidR="00895C96" w:rsidRPr="00895C96">
        <w:rPr>
          <w:lang w:val="fr-FR"/>
        </w:rPr>
        <w:t xml:space="preserve">ecevoir </w:t>
      </w:r>
      <w:r w:rsidR="009D45BD">
        <w:rPr>
          <w:lang w:val="fr-FR"/>
        </w:rPr>
        <w:t>l</w:t>
      </w:r>
      <w:r w:rsidR="00895C96" w:rsidRPr="00895C96">
        <w:rPr>
          <w:lang w:val="fr-FR"/>
        </w:rPr>
        <w:t>es plaintes de</w:t>
      </w:r>
      <w:r w:rsidR="009D45BD">
        <w:rPr>
          <w:lang w:val="fr-FR"/>
        </w:rPr>
        <w:t>s</w:t>
      </w:r>
      <w:r w:rsidR="00895C96" w:rsidRPr="00895C96">
        <w:rPr>
          <w:lang w:val="fr-FR"/>
        </w:rPr>
        <w:t xml:space="preserve"> victimes, entendre</w:t>
      </w:r>
      <w:r w:rsidR="009D45BD">
        <w:rPr>
          <w:lang w:val="fr-FR"/>
        </w:rPr>
        <w:t xml:space="preserve"> celles-ci et </w:t>
      </w:r>
      <w:r w:rsidR="00895C96" w:rsidRPr="00895C96">
        <w:rPr>
          <w:lang w:val="fr-FR"/>
        </w:rPr>
        <w:t xml:space="preserve">les confronter avec les témoins et les présumés </w:t>
      </w:r>
      <w:r w:rsidR="00895C96" w:rsidRPr="00CC76D6">
        <w:rPr>
          <w:lang w:val="fr-FR"/>
        </w:rPr>
        <w:t>auteurs d'infractions</w:t>
      </w:r>
      <w:r w:rsidR="00895C96" w:rsidRPr="00895C96">
        <w:rPr>
          <w:lang w:val="fr-FR"/>
        </w:rPr>
        <w:t xml:space="preserve">; </w:t>
      </w:r>
    </w:p>
    <w:p w:rsidR="00895C96" w:rsidRPr="00895C96" w:rsidRDefault="00792243" w:rsidP="004E072E">
      <w:pPr>
        <w:pStyle w:val="Bullet1G"/>
        <w:rPr>
          <w:lang w:val="fr-FR"/>
        </w:rPr>
      </w:pPr>
      <w:r>
        <w:rPr>
          <w:lang w:val="fr-FR"/>
        </w:rPr>
        <w:t>O</w:t>
      </w:r>
      <w:r w:rsidR="00895C96" w:rsidRPr="00895C96">
        <w:rPr>
          <w:lang w:val="fr-FR"/>
        </w:rPr>
        <w:t xml:space="preserve">rganiser des auditions entre eux en tenant compte des droits de la défense, du principe du contradictoire, des exigences de la vérité et des droits des citoyens; </w:t>
      </w:r>
    </w:p>
    <w:p w:rsidR="00895C96" w:rsidRPr="00895C96" w:rsidRDefault="00792243" w:rsidP="004E072E">
      <w:pPr>
        <w:pStyle w:val="Bullet1G"/>
        <w:rPr>
          <w:lang w:val="fr-FR"/>
        </w:rPr>
      </w:pPr>
      <w:r>
        <w:rPr>
          <w:lang w:val="fr-FR"/>
        </w:rPr>
        <w:t>É</w:t>
      </w:r>
      <w:r w:rsidR="00895C96" w:rsidRPr="00895C96">
        <w:rPr>
          <w:lang w:val="fr-FR"/>
        </w:rPr>
        <w:t>tablir toute l</w:t>
      </w:r>
      <w:r w:rsidR="006A56C2">
        <w:rPr>
          <w:lang w:val="fr-FR"/>
        </w:rPr>
        <w:t>a</w:t>
      </w:r>
      <w:r w:rsidR="00895C96" w:rsidRPr="00895C96">
        <w:rPr>
          <w:lang w:val="fr-FR"/>
        </w:rPr>
        <w:t xml:space="preserve"> gamme </w:t>
      </w:r>
      <w:r w:rsidR="00895C96" w:rsidRPr="006A56C2">
        <w:rPr>
          <w:lang w:val="fr-FR"/>
        </w:rPr>
        <w:t>de</w:t>
      </w:r>
      <w:r w:rsidR="006A56C2" w:rsidRPr="006A56C2">
        <w:rPr>
          <w:lang w:val="fr-FR"/>
        </w:rPr>
        <w:t>s</w:t>
      </w:r>
      <w:r w:rsidR="00895C96" w:rsidRPr="00895C96">
        <w:rPr>
          <w:lang w:val="fr-FR"/>
        </w:rPr>
        <w:t xml:space="preserve"> violations des droits humains; </w:t>
      </w:r>
    </w:p>
    <w:p w:rsidR="00895C96" w:rsidRPr="00895C96" w:rsidRDefault="00D72DD9" w:rsidP="004E072E">
      <w:pPr>
        <w:pStyle w:val="Bullet1G"/>
        <w:rPr>
          <w:lang w:val="fr-FR"/>
        </w:rPr>
      </w:pPr>
      <w:r>
        <w:rPr>
          <w:lang w:val="fr-FR"/>
        </w:rPr>
        <w:t>Adresser</w:t>
      </w:r>
      <w:r w:rsidR="00895C96" w:rsidRPr="00895C96">
        <w:rPr>
          <w:lang w:val="fr-FR"/>
        </w:rPr>
        <w:t xml:space="preserve"> au </w:t>
      </w:r>
      <w:r>
        <w:rPr>
          <w:lang w:val="fr-FR"/>
        </w:rPr>
        <w:t>G</w:t>
      </w:r>
      <w:r w:rsidR="00895C96" w:rsidRPr="00895C96">
        <w:rPr>
          <w:lang w:val="fr-FR"/>
        </w:rPr>
        <w:t xml:space="preserve">ouvernement, comme il </w:t>
      </w:r>
      <w:r w:rsidR="00E93D2A">
        <w:rPr>
          <w:lang w:val="fr-FR"/>
        </w:rPr>
        <w:t>l’</w:t>
      </w:r>
      <w:r w:rsidR="00895C96" w:rsidRPr="00895C96">
        <w:rPr>
          <w:lang w:val="fr-FR"/>
        </w:rPr>
        <w:t xml:space="preserve">a été déjà indiqué, des recommandations portant sur le sort à réserver aux auteurs des violations des droits de l'homme les plus graves, les mesures à prendre pour éviter la répétition de ces actes de violence ainsi que </w:t>
      </w:r>
      <w:r w:rsidR="00E93D2A">
        <w:rPr>
          <w:lang w:val="fr-FR"/>
        </w:rPr>
        <w:t>l</w:t>
      </w:r>
      <w:r w:rsidR="00895C96" w:rsidRPr="00895C96">
        <w:rPr>
          <w:lang w:val="fr-FR"/>
        </w:rPr>
        <w:t xml:space="preserve">es initiatives à prendre pour lutter contre l'impunité et renforcer la réconciliation nationale. </w:t>
      </w:r>
    </w:p>
    <w:p w:rsidR="00895C96" w:rsidRPr="00895C96" w:rsidRDefault="00786CA5" w:rsidP="00E04030">
      <w:pPr>
        <w:pStyle w:val="SingleTxtG"/>
        <w:rPr>
          <w:lang w:val="fr-FR"/>
        </w:rPr>
      </w:pPr>
      <w:r>
        <w:rPr>
          <w:lang w:val="fr-FR"/>
        </w:rPr>
        <w:t>39.</w:t>
      </w:r>
      <w:r w:rsidR="004E072E">
        <w:rPr>
          <w:lang w:val="fr-FR"/>
        </w:rPr>
        <w:tab/>
      </w:r>
      <w:r w:rsidR="00895C96" w:rsidRPr="00895C96">
        <w:rPr>
          <w:lang w:val="fr-FR"/>
        </w:rPr>
        <w:t>Il faut noter que la CVJR n'a pas cependant le pouvoir de</w:t>
      </w:r>
      <w:r w:rsidR="00F33DC4">
        <w:rPr>
          <w:lang w:val="fr-FR"/>
        </w:rPr>
        <w:t>:</w:t>
      </w:r>
      <w:r w:rsidR="00895C96" w:rsidRPr="00895C96">
        <w:rPr>
          <w:lang w:val="fr-FR"/>
        </w:rPr>
        <w:t xml:space="preserve"> </w:t>
      </w:r>
    </w:p>
    <w:p w:rsidR="00895C96" w:rsidRPr="00895C96" w:rsidRDefault="00E93D2A" w:rsidP="004E072E">
      <w:pPr>
        <w:pStyle w:val="Bullet1G"/>
        <w:rPr>
          <w:lang w:val="fr-FR"/>
        </w:rPr>
      </w:pPr>
      <w:r>
        <w:rPr>
          <w:lang w:val="fr-FR"/>
        </w:rPr>
        <w:t>J</w:t>
      </w:r>
      <w:r w:rsidR="00895C96" w:rsidRPr="00895C96">
        <w:rPr>
          <w:lang w:val="fr-FR"/>
        </w:rPr>
        <w:t xml:space="preserve">uger qui que ce soit, car le pouvoir de juger est une prérogative institutionnelle qui appartient au pouvoir judiciaire; </w:t>
      </w:r>
    </w:p>
    <w:p w:rsidR="00895C96" w:rsidRPr="00895C96" w:rsidRDefault="00E93D2A" w:rsidP="004E072E">
      <w:pPr>
        <w:pStyle w:val="Bullet1G"/>
        <w:rPr>
          <w:lang w:val="fr-FR"/>
        </w:rPr>
      </w:pPr>
      <w:r>
        <w:rPr>
          <w:lang w:val="fr-FR"/>
        </w:rPr>
        <w:t>A</w:t>
      </w:r>
      <w:r w:rsidR="00895C96" w:rsidRPr="00895C96">
        <w:rPr>
          <w:lang w:val="fr-FR"/>
        </w:rPr>
        <w:t xml:space="preserve">mnistier qui que ce soit; car le pouvoir d'amnistie découle d'une prérogative constitutionnelle qui est dévolue à l'Assemblée Nationale. </w:t>
      </w:r>
    </w:p>
    <w:p w:rsidR="00895C96" w:rsidRPr="00895C96" w:rsidRDefault="004E072E" w:rsidP="004E072E">
      <w:pPr>
        <w:pStyle w:val="H23G"/>
        <w:rPr>
          <w:lang w:val="fr-FR"/>
        </w:rPr>
      </w:pPr>
      <w:r>
        <w:rPr>
          <w:lang w:val="fr-FR"/>
        </w:rPr>
        <w:tab/>
        <w:t>II.</w:t>
      </w:r>
      <w:r w:rsidR="00895C96" w:rsidRPr="00895C96">
        <w:rPr>
          <w:lang w:val="fr-FR"/>
        </w:rPr>
        <w:tab/>
      </w:r>
      <w:r w:rsidR="001E7B6C">
        <w:rPr>
          <w:lang w:val="fr-FR"/>
        </w:rPr>
        <w:t xml:space="preserve">État </w:t>
      </w:r>
      <w:r w:rsidR="00895C96" w:rsidRPr="00895C96">
        <w:rPr>
          <w:lang w:val="fr-FR"/>
        </w:rPr>
        <w:t xml:space="preserve">d'avancement des travaux de la Commission </w:t>
      </w:r>
    </w:p>
    <w:p w:rsidR="00895C96" w:rsidRPr="00895C96" w:rsidRDefault="00786CA5" w:rsidP="00E04030">
      <w:pPr>
        <w:pStyle w:val="SingleTxtG"/>
        <w:rPr>
          <w:lang w:val="fr-FR"/>
        </w:rPr>
      </w:pPr>
      <w:r>
        <w:rPr>
          <w:lang w:val="fr-FR"/>
        </w:rPr>
        <w:t>40.</w:t>
      </w:r>
      <w:r w:rsidR="004E072E">
        <w:rPr>
          <w:lang w:val="fr-FR"/>
        </w:rPr>
        <w:tab/>
      </w:r>
      <w:r w:rsidR="00895C96" w:rsidRPr="00895C96">
        <w:rPr>
          <w:lang w:val="fr-FR"/>
        </w:rPr>
        <w:t xml:space="preserve">Pour mener à bien sa mission, la Commission a élaboré un </w:t>
      </w:r>
      <w:r w:rsidR="002044C3">
        <w:rPr>
          <w:lang w:val="fr-FR"/>
        </w:rPr>
        <w:t>«</w:t>
      </w:r>
      <w:r w:rsidR="00895C96" w:rsidRPr="00895C96">
        <w:rPr>
          <w:lang w:val="fr-FR"/>
        </w:rPr>
        <w:t>chronogramme</w:t>
      </w:r>
      <w:r w:rsidR="002044C3">
        <w:rPr>
          <w:lang w:val="fr-FR"/>
        </w:rPr>
        <w:t>»</w:t>
      </w:r>
      <w:r w:rsidR="00895C96" w:rsidRPr="00895C96">
        <w:rPr>
          <w:lang w:val="fr-FR"/>
        </w:rPr>
        <w:t xml:space="preserve"> d'activité </w:t>
      </w:r>
      <w:r w:rsidR="002044C3">
        <w:rPr>
          <w:lang w:val="fr-FR"/>
        </w:rPr>
        <w:t>qui va</w:t>
      </w:r>
      <w:r w:rsidR="002044C3" w:rsidRPr="00895C96">
        <w:rPr>
          <w:lang w:val="fr-FR"/>
        </w:rPr>
        <w:t xml:space="preserve"> </w:t>
      </w:r>
      <w:r w:rsidR="00895C96" w:rsidRPr="00895C96">
        <w:rPr>
          <w:lang w:val="fr-FR"/>
        </w:rPr>
        <w:t xml:space="preserve">de la phase préparatoire à la phase opérationnelle de ses activités. </w:t>
      </w:r>
    </w:p>
    <w:p w:rsidR="00895C96" w:rsidRPr="00895C96" w:rsidRDefault="00786CA5" w:rsidP="00E04030">
      <w:pPr>
        <w:pStyle w:val="SingleTxtG"/>
        <w:rPr>
          <w:lang w:val="fr-FR"/>
        </w:rPr>
      </w:pPr>
      <w:r>
        <w:rPr>
          <w:lang w:val="fr-FR"/>
        </w:rPr>
        <w:t>41.</w:t>
      </w:r>
      <w:r w:rsidR="004E072E">
        <w:rPr>
          <w:lang w:val="fr-FR"/>
        </w:rPr>
        <w:tab/>
      </w:r>
      <w:r w:rsidR="00895C96" w:rsidRPr="00895C96">
        <w:rPr>
          <w:lang w:val="fr-FR"/>
        </w:rPr>
        <w:t xml:space="preserve">Longue et laborieuse, la phase préparatoire a été pratiquement interrompue par le déroulement de l'élection présidentielle </w:t>
      </w:r>
      <w:r w:rsidR="002044C3">
        <w:rPr>
          <w:lang w:val="fr-FR"/>
        </w:rPr>
        <w:t>en</w:t>
      </w:r>
      <w:r w:rsidR="002044C3" w:rsidRPr="00895C96">
        <w:rPr>
          <w:lang w:val="fr-FR"/>
        </w:rPr>
        <w:t xml:space="preserve"> </w:t>
      </w:r>
      <w:r w:rsidR="00895C96" w:rsidRPr="00895C96">
        <w:rPr>
          <w:lang w:val="fr-FR"/>
        </w:rPr>
        <w:t xml:space="preserve">mars 2010 qui a été précédée et suivie d'une vive tension. </w:t>
      </w:r>
    </w:p>
    <w:p w:rsidR="00895C96" w:rsidRPr="00895C96" w:rsidRDefault="00786CA5" w:rsidP="00E04030">
      <w:pPr>
        <w:pStyle w:val="SingleTxtG"/>
        <w:rPr>
          <w:lang w:val="fr-FR"/>
        </w:rPr>
      </w:pPr>
      <w:r>
        <w:rPr>
          <w:lang w:val="fr-FR"/>
        </w:rPr>
        <w:t>42.</w:t>
      </w:r>
      <w:r w:rsidR="004E072E">
        <w:rPr>
          <w:lang w:val="fr-FR"/>
        </w:rPr>
        <w:tab/>
      </w:r>
      <w:r w:rsidR="00895C96" w:rsidRPr="00895C96">
        <w:rPr>
          <w:lang w:val="fr-FR"/>
        </w:rPr>
        <w:t xml:space="preserve">Quant à la phase opérationnelle, elle se décompose de la façon suivante: </w:t>
      </w:r>
    </w:p>
    <w:p w:rsidR="00895C96" w:rsidRPr="00895C96" w:rsidRDefault="00895C96" w:rsidP="004E072E">
      <w:pPr>
        <w:pStyle w:val="Bullet1G"/>
        <w:rPr>
          <w:lang w:val="fr-FR"/>
        </w:rPr>
      </w:pPr>
      <w:r w:rsidRPr="00895C96">
        <w:rPr>
          <w:lang w:val="fr-FR"/>
        </w:rPr>
        <w:t xml:space="preserve">Phase des dépositions; </w:t>
      </w:r>
    </w:p>
    <w:p w:rsidR="00895C96" w:rsidRPr="00895C96" w:rsidRDefault="00895C96" w:rsidP="004E072E">
      <w:pPr>
        <w:pStyle w:val="Bullet1G"/>
        <w:rPr>
          <w:lang w:val="fr-FR"/>
        </w:rPr>
      </w:pPr>
      <w:r w:rsidRPr="00895C96">
        <w:rPr>
          <w:lang w:val="fr-FR"/>
        </w:rPr>
        <w:t xml:space="preserve">Phase des investigations; </w:t>
      </w:r>
    </w:p>
    <w:p w:rsidR="00895C96" w:rsidRPr="00895C96" w:rsidRDefault="00895C96" w:rsidP="004E072E">
      <w:pPr>
        <w:pStyle w:val="Bullet1G"/>
        <w:rPr>
          <w:lang w:val="fr-FR"/>
        </w:rPr>
      </w:pPr>
      <w:r w:rsidRPr="00895C96">
        <w:rPr>
          <w:lang w:val="fr-FR"/>
        </w:rPr>
        <w:t>Phase des audiences publiques et</w:t>
      </w:r>
      <w:r w:rsidR="00735D93">
        <w:rPr>
          <w:lang w:val="fr-FR"/>
        </w:rPr>
        <w:t xml:space="preserve"> </w:t>
      </w:r>
      <w:r w:rsidRPr="00735D93">
        <w:rPr>
          <w:i/>
          <w:lang w:val="fr-FR"/>
        </w:rPr>
        <w:t>in-camera</w:t>
      </w:r>
      <w:r w:rsidRPr="00895C96">
        <w:rPr>
          <w:lang w:val="fr-FR"/>
        </w:rPr>
        <w:t xml:space="preserve">; </w:t>
      </w:r>
    </w:p>
    <w:p w:rsidR="00895C96" w:rsidRPr="00895C96" w:rsidRDefault="00895C96" w:rsidP="004E072E">
      <w:pPr>
        <w:pStyle w:val="Bullet1G"/>
        <w:rPr>
          <w:lang w:val="fr-FR"/>
        </w:rPr>
      </w:pPr>
      <w:r w:rsidRPr="00895C96">
        <w:rPr>
          <w:lang w:val="fr-FR"/>
        </w:rPr>
        <w:t>Phase de l'étude des mesures d'apaisement et de réparation;</w:t>
      </w:r>
    </w:p>
    <w:p w:rsidR="00895C96" w:rsidRPr="00895C96" w:rsidRDefault="00895C96" w:rsidP="004E072E">
      <w:pPr>
        <w:pStyle w:val="Bullet1G"/>
        <w:rPr>
          <w:lang w:val="fr-FR"/>
        </w:rPr>
      </w:pPr>
      <w:r w:rsidRPr="00895C96">
        <w:rPr>
          <w:lang w:val="fr-FR"/>
        </w:rPr>
        <w:t>La rédaction du Rapport incluant les recommandations</w:t>
      </w:r>
      <w:r w:rsidR="001E7B6C">
        <w:rPr>
          <w:lang w:val="fr-FR"/>
        </w:rPr>
        <w:t>.</w:t>
      </w:r>
      <w:r w:rsidRPr="00895C96">
        <w:rPr>
          <w:lang w:val="fr-FR"/>
        </w:rPr>
        <w:t xml:space="preserve"> </w:t>
      </w:r>
    </w:p>
    <w:p w:rsidR="00895C96" w:rsidRPr="00895C96" w:rsidRDefault="00796452" w:rsidP="00E04030">
      <w:pPr>
        <w:pStyle w:val="SingleTxtG"/>
        <w:rPr>
          <w:lang w:val="fr-FR"/>
        </w:rPr>
      </w:pPr>
      <w:r>
        <w:rPr>
          <w:lang w:val="fr-FR"/>
        </w:rPr>
        <w:t>43.</w:t>
      </w:r>
      <w:r w:rsidR="004E072E">
        <w:rPr>
          <w:lang w:val="fr-FR"/>
        </w:rPr>
        <w:tab/>
      </w:r>
      <w:r w:rsidR="00895C96" w:rsidRPr="00895C96">
        <w:rPr>
          <w:lang w:val="fr-FR"/>
        </w:rPr>
        <w:t xml:space="preserve">Au regard de ces différentes phases opérationnelles, il faut signaler que seule la phase des dépositions qui s'est étalée sur quatre mois et demi (d'août 2010 au 17 décembre 2010) </w:t>
      </w:r>
      <w:r w:rsidR="00101797">
        <w:rPr>
          <w:lang w:val="fr-FR"/>
        </w:rPr>
        <w:t xml:space="preserve">s’est </w:t>
      </w:r>
      <w:r w:rsidR="00895C96" w:rsidRPr="00895C96">
        <w:rPr>
          <w:lang w:val="fr-FR"/>
        </w:rPr>
        <w:t xml:space="preserve">clôturée </w:t>
      </w:r>
      <w:r w:rsidR="00101797">
        <w:rPr>
          <w:lang w:val="fr-FR"/>
        </w:rPr>
        <w:t>sur</w:t>
      </w:r>
      <w:r w:rsidR="00101797" w:rsidRPr="00895C96">
        <w:rPr>
          <w:lang w:val="fr-FR"/>
        </w:rPr>
        <w:t xml:space="preserve"> </w:t>
      </w:r>
      <w:r w:rsidR="00895C96" w:rsidRPr="00895C96">
        <w:rPr>
          <w:lang w:val="fr-FR"/>
        </w:rPr>
        <w:t>un total de 18</w:t>
      </w:r>
      <w:r w:rsidR="00735D93">
        <w:rPr>
          <w:lang w:val="fr-FR"/>
        </w:rPr>
        <w:t xml:space="preserve"> </w:t>
      </w:r>
      <w:r w:rsidR="00895C96" w:rsidRPr="00895C96">
        <w:rPr>
          <w:lang w:val="fr-FR"/>
        </w:rPr>
        <w:t>571 dépositions enregistrées.</w:t>
      </w:r>
    </w:p>
    <w:p w:rsidR="00895C96" w:rsidRPr="00895C96" w:rsidRDefault="00796452" w:rsidP="00E04030">
      <w:pPr>
        <w:pStyle w:val="SingleTxtG"/>
        <w:rPr>
          <w:lang w:val="fr-FR"/>
        </w:rPr>
      </w:pPr>
      <w:r>
        <w:rPr>
          <w:lang w:val="fr-FR"/>
        </w:rPr>
        <w:t>44.</w:t>
      </w:r>
      <w:r w:rsidR="004E072E">
        <w:rPr>
          <w:lang w:val="fr-FR"/>
        </w:rPr>
        <w:tab/>
      </w:r>
      <w:r w:rsidR="00895C96" w:rsidRPr="00895C96">
        <w:rPr>
          <w:lang w:val="fr-FR"/>
        </w:rPr>
        <w:t>Elle a été consacrée à collecte</w:t>
      </w:r>
      <w:r w:rsidR="00101797">
        <w:rPr>
          <w:lang w:val="fr-FR"/>
        </w:rPr>
        <w:t>r</w:t>
      </w:r>
      <w:r w:rsidR="00895C96" w:rsidRPr="00895C96">
        <w:rPr>
          <w:lang w:val="fr-FR"/>
        </w:rPr>
        <w:t xml:space="preserve"> </w:t>
      </w:r>
      <w:r w:rsidR="00101797">
        <w:rPr>
          <w:lang w:val="fr-FR"/>
        </w:rPr>
        <w:t>l</w:t>
      </w:r>
      <w:r w:rsidR="00895C96" w:rsidRPr="00895C96">
        <w:rPr>
          <w:lang w:val="fr-FR"/>
        </w:rPr>
        <w:t xml:space="preserve">es plaintes des personnes présumées victimes des violences électorales et des atteintes aux droits de l'homme dans le cadre du mandat de la CVJR. </w:t>
      </w:r>
      <w:r w:rsidR="00895C96" w:rsidRPr="0052051B">
        <w:rPr>
          <w:lang w:val="fr-FR"/>
        </w:rPr>
        <w:t>L'</w:t>
      </w:r>
      <w:r w:rsidR="0052051B" w:rsidRPr="0052051B">
        <w:rPr>
          <w:lang w:val="fr-FR"/>
        </w:rPr>
        <w:t xml:space="preserve">exploitation </w:t>
      </w:r>
      <w:r w:rsidR="00895C96" w:rsidRPr="00895C96">
        <w:rPr>
          <w:lang w:val="fr-FR"/>
        </w:rPr>
        <w:t xml:space="preserve">des dépositions a été mise en œuvre sous la supervision de la CVJR par les Antennes régionales ouvertes dans les 8 villes ci-après: </w:t>
      </w:r>
    </w:p>
    <w:p w:rsidR="00895C96" w:rsidRPr="00895C96" w:rsidRDefault="00895C96" w:rsidP="004E072E">
      <w:pPr>
        <w:pStyle w:val="Bullet1G"/>
        <w:rPr>
          <w:lang w:val="fr-FR"/>
        </w:rPr>
      </w:pPr>
      <w:r w:rsidRPr="00895C96">
        <w:rPr>
          <w:lang w:val="fr-FR"/>
        </w:rPr>
        <w:t>Lomé (pour Lomé Commune et Golfe)</w:t>
      </w:r>
      <w:r w:rsidR="00382281">
        <w:rPr>
          <w:lang w:val="fr-FR"/>
        </w:rPr>
        <w:t>;</w:t>
      </w:r>
      <w:r w:rsidRPr="00895C96">
        <w:rPr>
          <w:lang w:val="fr-FR"/>
        </w:rPr>
        <w:t xml:space="preserve"> </w:t>
      </w:r>
    </w:p>
    <w:p w:rsidR="00895C96" w:rsidRPr="00895C96" w:rsidRDefault="00895C96" w:rsidP="004E072E">
      <w:pPr>
        <w:pStyle w:val="Bullet1G"/>
        <w:rPr>
          <w:lang w:val="fr-FR"/>
        </w:rPr>
      </w:pPr>
      <w:r w:rsidRPr="00895C96">
        <w:rPr>
          <w:lang w:val="fr-FR"/>
        </w:rPr>
        <w:t>Aného (</w:t>
      </w:r>
      <w:r w:rsidRPr="004E71DA">
        <w:rPr>
          <w:lang w:val="fr-FR"/>
        </w:rPr>
        <w:t>a couvert</w:t>
      </w:r>
      <w:r w:rsidRPr="00895C96">
        <w:rPr>
          <w:lang w:val="fr-FR"/>
        </w:rPr>
        <w:t xml:space="preserve"> les Préfectures des Lacs, du Bas Mono et de Vo)</w:t>
      </w:r>
    </w:p>
    <w:p w:rsidR="00895C96" w:rsidRPr="00895C96" w:rsidRDefault="00895C96" w:rsidP="004E072E">
      <w:pPr>
        <w:pStyle w:val="Bullet1G"/>
        <w:rPr>
          <w:lang w:val="fr-FR"/>
        </w:rPr>
      </w:pPr>
      <w:r w:rsidRPr="00895C96">
        <w:rPr>
          <w:lang w:val="fr-FR"/>
        </w:rPr>
        <w:t>Kpalimé (Plateaux Est)</w:t>
      </w:r>
      <w:r w:rsidR="00382281">
        <w:rPr>
          <w:lang w:val="fr-FR"/>
        </w:rPr>
        <w:t>;</w:t>
      </w:r>
      <w:r w:rsidRPr="00895C96">
        <w:rPr>
          <w:lang w:val="fr-FR"/>
        </w:rPr>
        <w:t xml:space="preserve"> </w:t>
      </w:r>
    </w:p>
    <w:p w:rsidR="00895C96" w:rsidRPr="00895C96" w:rsidRDefault="00895C96" w:rsidP="004E072E">
      <w:pPr>
        <w:pStyle w:val="Bullet1G"/>
        <w:rPr>
          <w:lang w:val="fr-FR"/>
        </w:rPr>
      </w:pPr>
      <w:r w:rsidRPr="00895C96">
        <w:rPr>
          <w:lang w:val="fr-FR"/>
        </w:rPr>
        <w:t>Tsévié (pour la Région Maritime)</w:t>
      </w:r>
      <w:r w:rsidR="00101797">
        <w:rPr>
          <w:lang w:val="fr-FR"/>
        </w:rPr>
        <w:t>,</w:t>
      </w:r>
      <w:r w:rsidRPr="00895C96">
        <w:rPr>
          <w:lang w:val="fr-FR"/>
        </w:rPr>
        <w:t xml:space="preserve"> Atakpamé (Plateaux Ouest)</w:t>
      </w:r>
      <w:r w:rsidR="00382281">
        <w:rPr>
          <w:lang w:val="fr-FR"/>
        </w:rPr>
        <w:t>;</w:t>
      </w:r>
      <w:r w:rsidRPr="00895C96">
        <w:rPr>
          <w:lang w:val="fr-FR"/>
        </w:rPr>
        <w:t xml:space="preserve"> </w:t>
      </w:r>
    </w:p>
    <w:p w:rsidR="00895C96" w:rsidRPr="00895C96" w:rsidRDefault="00895C96" w:rsidP="004E072E">
      <w:pPr>
        <w:pStyle w:val="Bullet1G"/>
        <w:rPr>
          <w:lang w:val="fr-FR"/>
        </w:rPr>
      </w:pPr>
      <w:r w:rsidRPr="00895C96">
        <w:rPr>
          <w:lang w:val="fr-FR"/>
        </w:rPr>
        <w:t>Sokodé (pour la Région Centrale)</w:t>
      </w:r>
      <w:r w:rsidR="00382281">
        <w:rPr>
          <w:lang w:val="fr-FR"/>
        </w:rPr>
        <w:t>;</w:t>
      </w:r>
      <w:r w:rsidRPr="00895C96">
        <w:rPr>
          <w:lang w:val="fr-FR"/>
        </w:rPr>
        <w:t xml:space="preserve"> </w:t>
      </w:r>
    </w:p>
    <w:p w:rsidR="00895C96" w:rsidRPr="00895C96" w:rsidRDefault="00895C96" w:rsidP="004E072E">
      <w:pPr>
        <w:pStyle w:val="Bullet1G"/>
        <w:rPr>
          <w:lang w:val="fr-FR"/>
        </w:rPr>
      </w:pPr>
      <w:r w:rsidRPr="00895C96">
        <w:rPr>
          <w:lang w:val="fr-FR"/>
        </w:rPr>
        <w:t>Kara (pour la Région de la Kara)</w:t>
      </w:r>
      <w:r w:rsidR="00382281">
        <w:rPr>
          <w:lang w:val="fr-FR"/>
        </w:rPr>
        <w:t>;</w:t>
      </w:r>
      <w:r w:rsidRPr="00895C96">
        <w:rPr>
          <w:lang w:val="fr-FR"/>
        </w:rPr>
        <w:t xml:space="preserve"> </w:t>
      </w:r>
    </w:p>
    <w:p w:rsidR="00895C96" w:rsidRPr="00895C96" w:rsidRDefault="00895C96" w:rsidP="004E072E">
      <w:pPr>
        <w:pStyle w:val="Bullet1G"/>
        <w:rPr>
          <w:lang w:val="fr-FR"/>
        </w:rPr>
      </w:pPr>
      <w:r w:rsidRPr="00895C96">
        <w:rPr>
          <w:lang w:val="fr-FR"/>
        </w:rPr>
        <w:t xml:space="preserve">Dapaong (pour la Région des Savanes). </w:t>
      </w:r>
    </w:p>
    <w:p w:rsidR="00895C96" w:rsidRPr="00895C96" w:rsidRDefault="00796452" w:rsidP="00E04030">
      <w:pPr>
        <w:pStyle w:val="SingleTxtG"/>
        <w:rPr>
          <w:lang w:val="fr-FR"/>
        </w:rPr>
      </w:pPr>
      <w:r>
        <w:rPr>
          <w:lang w:val="fr-FR"/>
        </w:rPr>
        <w:t>45.</w:t>
      </w:r>
      <w:r w:rsidR="004E072E">
        <w:rPr>
          <w:lang w:val="fr-FR"/>
        </w:rPr>
        <w:tab/>
      </w:r>
      <w:r w:rsidR="00895C96" w:rsidRPr="00895C96">
        <w:rPr>
          <w:lang w:val="fr-FR"/>
        </w:rPr>
        <w:t xml:space="preserve">Le recueil des dépositions s'est opéré sur des sites fixes ou en stratégie avancée avec </w:t>
      </w:r>
      <w:r w:rsidR="003619FE">
        <w:rPr>
          <w:lang w:val="fr-FR"/>
        </w:rPr>
        <w:t>d</w:t>
      </w:r>
      <w:r w:rsidR="00895C96" w:rsidRPr="00895C96">
        <w:rPr>
          <w:lang w:val="fr-FR"/>
        </w:rPr>
        <w:t xml:space="preserve">es équipes mobiles qui ont sillonné les différents cantons et </w:t>
      </w:r>
      <w:r w:rsidR="003619FE">
        <w:rPr>
          <w:lang w:val="fr-FR"/>
        </w:rPr>
        <w:t xml:space="preserve">les </w:t>
      </w:r>
      <w:r w:rsidR="00895C96" w:rsidRPr="00895C96">
        <w:rPr>
          <w:lang w:val="fr-FR"/>
        </w:rPr>
        <w:t xml:space="preserve">préfectures du territoire national. </w:t>
      </w:r>
    </w:p>
    <w:p w:rsidR="00895C96" w:rsidRPr="00895C96" w:rsidRDefault="00796452" w:rsidP="00E04030">
      <w:pPr>
        <w:pStyle w:val="SingleTxtG"/>
        <w:rPr>
          <w:lang w:val="fr-FR"/>
        </w:rPr>
      </w:pPr>
      <w:r>
        <w:rPr>
          <w:lang w:val="fr-FR"/>
        </w:rPr>
        <w:t>46.</w:t>
      </w:r>
      <w:r w:rsidR="004E072E">
        <w:rPr>
          <w:lang w:val="fr-FR"/>
        </w:rPr>
        <w:tab/>
      </w:r>
      <w:r w:rsidR="00895C96" w:rsidRPr="00895C96">
        <w:rPr>
          <w:lang w:val="fr-FR"/>
        </w:rPr>
        <w:t xml:space="preserve">Après cette phase de collecte des dépositions, la CVJR est rentrée dans la phase du traitement des témoignages recueillis qui exige une certaine rigueur et minutie. Ce traitement a commencé par </w:t>
      </w:r>
      <w:r w:rsidR="00960C2A">
        <w:rPr>
          <w:lang w:val="fr-FR"/>
        </w:rPr>
        <w:t>un</w:t>
      </w:r>
      <w:r w:rsidR="00960C2A" w:rsidRPr="00895C96">
        <w:rPr>
          <w:lang w:val="fr-FR"/>
        </w:rPr>
        <w:t xml:space="preserve"> </w:t>
      </w:r>
      <w:r w:rsidR="00895C96" w:rsidRPr="00895C96">
        <w:rPr>
          <w:lang w:val="fr-FR"/>
        </w:rPr>
        <w:t>dépouillement qui permettra de sélectionner les dossiers devant faire objet d'investigations, d</w:t>
      </w:r>
      <w:r w:rsidR="00960C2A">
        <w:rPr>
          <w:lang w:val="fr-FR"/>
        </w:rPr>
        <w:t>’</w:t>
      </w:r>
      <w:r w:rsidR="00895C96" w:rsidRPr="00895C96">
        <w:rPr>
          <w:lang w:val="fr-FR"/>
        </w:rPr>
        <w:t>audiences et de recommandations susceptibles d'indiquer les voies et moyens pour réparer les torts, apaiser les cœurs et favoriser la Réconciliation nationale.</w:t>
      </w:r>
    </w:p>
    <w:p w:rsidR="00895C96" w:rsidRPr="00895C96" w:rsidRDefault="00796452" w:rsidP="00E04030">
      <w:pPr>
        <w:pStyle w:val="SingleTxtG"/>
        <w:rPr>
          <w:lang w:val="fr-FR"/>
        </w:rPr>
      </w:pPr>
      <w:r>
        <w:rPr>
          <w:lang w:val="fr-FR"/>
        </w:rPr>
        <w:t>47.</w:t>
      </w:r>
      <w:r w:rsidR="004E072E">
        <w:rPr>
          <w:lang w:val="fr-FR"/>
        </w:rPr>
        <w:tab/>
      </w:r>
      <w:r w:rsidR="00895C96" w:rsidRPr="00895C96">
        <w:rPr>
          <w:lang w:val="fr-FR"/>
        </w:rPr>
        <w:t>C'est donc à l'issue de ces différentes phases que les recommandations de la CVJR</w:t>
      </w:r>
      <w:r w:rsidR="000027C6">
        <w:rPr>
          <w:lang w:val="fr-FR"/>
        </w:rPr>
        <w:t>,</w:t>
      </w:r>
      <w:r w:rsidR="00895C96" w:rsidRPr="00895C96">
        <w:rPr>
          <w:lang w:val="fr-FR"/>
        </w:rPr>
        <w:t xml:space="preserve"> y compris celles concernant le sort à réserver aux auteurs de</w:t>
      </w:r>
      <w:r w:rsidR="000027C6">
        <w:rPr>
          <w:lang w:val="fr-FR"/>
        </w:rPr>
        <w:t>s</w:t>
      </w:r>
      <w:r w:rsidR="00895C96" w:rsidRPr="00895C96">
        <w:rPr>
          <w:lang w:val="fr-FR"/>
        </w:rPr>
        <w:t xml:space="preserve"> violations des droits de l'homme les plus graves, les mesures à prendre pour éviter la répétition de ces actes de violence ainsi que les initiatives à prendre pour lutter contre l'impunité et renforcer la réconciliation nationale</w:t>
      </w:r>
      <w:r w:rsidR="000027C6">
        <w:rPr>
          <w:lang w:val="fr-FR"/>
        </w:rPr>
        <w:t>,</w:t>
      </w:r>
      <w:r w:rsidR="00895C96" w:rsidRPr="00895C96">
        <w:rPr>
          <w:lang w:val="fr-FR"/>
        </w:rPr>
        <w:t xml:space="preserve"> ser</w:t>
      </w:r>
      <w:r w:rsidR="000027C6">
        <w:rPr>
          <w:lang w:val="fr-FR"/>
        </w:rPr>
        <w:t>o</w:t>
      </w:r>
      <w:r w:rsidR="00895C96" w:rsidRPr="00895C96">
        <w:rPr>
          <w:lang w:val="fr-FR"/>
        </w:rPr>
        <w:t xml:space="preserve">nt formulées. </w:t>
      </w:r>
    </w:p>
    <w:p w:rsidR="00895C96" w:rsidRPr="00895C96" w:rsidRDefault="00796452" w:rsidP="00E04030">
      <w:pPr>
        <w:pStyle w:val="SingleTxtG"/>
        <w:rPr>
          <w:lang w:val="fr-FR"/>
        </w:rPr>
      </w:pPr>
      <w:r>
        <w:rPr>
          <w:lang w:val="fr-FR"/>
        </w:rPr>
        <w:t>48.</w:t>
      </w:r>
      <w:r w:rsidR="004E072E">
        <w:rPr>
          <w:lang w:val="fr-FR"/>
        </w:rPr>
        <w:tab/>
      </w:r>
      <w:r w:rsidR="00895C96" w:rsidRPr="00895C96">
        <w:rPr>
          <w:lang w:val="fr-FR"/>
        </w:rPr>
        <w:t xml:space="preserve">Concernant les dépouillements, signalons que 30 agents recrutés ont démarré les travaux qui sont encore à leur début. </w:t>
      </w:r>
    </w:p>
    <w:p w:rsidR="00895C96" w:rsidRPr="00895C96" w:rsidRDefault="00796452" w:rsidP="00E04030">
      <w:pPr>
        <w:pStyle w:val="SingleTxtG"/>
        <w:rPr>
          <w:lang w:val="fr-FR"/>
        </w:rPr>
      </w:pPr>
      <w:r>
        <w:rPr>
          <w:lang w:val="fr-FR"/>
        </w:rPr>
        <w:t>49.</w:t>
      </w:r>
      <w:r w:rsidR="004E072E">
        <w:rPr>
          <w:lang w:val="fr-FR"/>
        </w:rPr>
        <w:tab/>
      </w:r>
      <w:r w:rsidR="00895C96" w:rsidRPr="00895C96">
        <w:rPr>
          <w:lang w:val="fr-FR"/>
        </w:rPr>
        <w:t xml:space="preserve">En définitive, la lutte contre l'impunité fait partie intégrante du mandat de la Commission Vérité, Justice et Réconciliation (CVJR). Conformément aux prérogatives qui lui sont reconnues par le décret n° 2009-046/PR du 25 février 2009 portant sa création, la Commission fera les recommandations qui lui paraissent appropriées le moment venu. </w:t>
      </w:r>
    </w:p>
    <w:p w:rsidR="00895C96" w:rsidRPr="00895C96" w:rsidRDefault="00796452" w:rsidP="00E04030">
      <w:pPr>
        <w:pStyle w:val="SingleTxtG"/>
        <w:rPr>
          <w:lang w:val="fr-FR"/>
        </w:rPr>
      </w:pPr>
      <w:r>
        <w:rPr>
          <w:lang w:val="fr-FR"/>
        </w:rPr>
        <w:t>50.</w:t>
      </w:r>
      <w:r w:rsidR="004E072E">
        <w:rPr>
          <w:lang w:val="fr-FR"/>
        </w:rPr>
        <w:tab/>
      </w:r>
      <w:r w:rsidR="00302F9D">
        <w:rPr>
          <w:lang w:val="fr-FR"/>
        </w:rPr>
        <w:t>À</w:t>
      </w:r>
      <w:r w:rsidR="00895C96" w:rsidRPr="00895C96">
        <w:rPr>
          <w:lang w:val="fr-FR"/>
        </w:rPr>
        <w:t xml:space="preserve"> l'étape actuelle des travaux de la Commission, aucune recommandation concrète basée sur les requêtes reçues ne peut être faite. II est évident que les violations des droits de l'homme et les violences perpétrées lors de l'élection présidentielle d'avril 2005 seront au cœur des recommandations de la Commission. </w:t>
      </w:r>
    </w:p>
    <w:p w:rsidR="00895C96" w:rsidRPr="00895C96" w:rsidRDefault="00796452" w:rsidP="00E04030">
      <w:pPr>
        <w:pStyle w:val="SingleTxtG"/>
        <w:rPr>
          <w:lang w:val="fr-FR"/>
        </w:rPr>
      </w:pPr>
      <w:r>
        <w:rPr>
          <w:lang w:val="fr-FR"/>
        </w:rPr>
        <w:t>51.</w:t>
      </w:r>
      <w:r w:rsidR="004E072E">
        <w:rPr>
          <w:lang w:val="fr-FR"/>
        </w:rPr>
        <w:tab/>
      </w:r>
      <w:r w:rsidR="00895C96" w:rsidRPr="00895C96">
        <w:rPr>
          <w:lang w:val="fr-FR"/>
        </w:rPr>
        <w:t>Aucune poursuite judiciaire n'est encore formulée ni recommandée.</w:t>
      </w:r>
      <w:r w:rsidR="00895C96" w:rsidRPr="00895C96">
        <w:rPr>
          <w:b/>
          <w:bCs/>
          <w:lang w:val="fr-FR"/>
        </w:rPr>
        <w:t xml:space="preserve"> </w:t>
      </w:r>
      <w:r w:rsidR="00895C96" w:rsidRPr="00895C96">
        <w:rPr>
          <w:lang w:val="fr-FR"/>
        </w:rPr>
        <w:t>Il</w:t>
      </w:r>
      <w:r w:rsidR="00895C96" w:rsidRPr="00895C96">
        <w:rPr>
          <w:b/>
          <w:bCs/>
          <w:lang w:val="fr-FR"/>
        </w:rPr>
        <w:t xml:space="preserve"> </w:t>
      </w:r>
      <w:r w:rsidR="00895C96" w:rsidRPr="00895C96">
        <w:rPr>
          <w:lang w:val="fr-FR"/>
        </w:rPr>
        <w:t xml:space="preserve">faudra attendre la conclusion des étapes des investigations et des audiences pour que la CVJR se prononce sur le sort à réserver aux auteurs des violations des droits de l'homme. </w:t>
      </w:r>
    </w:p>
    <w:p w:rsidR="00895C96" w:rsidRPr="00895C96" w:rsidRDefault="00796452" w:rsidP="00E04030">
      <w:pPr>
        <w:pStyle w:val="SingleTxtG"/>
        <w:rPr>
          <w:lang w:val="fr-FR"/>
        </w:rPr>
      </w:pPr>
      <w:r>
        <w:rPr>
          <w:lang w:val="fr-FR"/>
        </w:rPr>
        <w:t>52.</w:t>
      </w:r>
      <w:r w:rsidR="004E072E">
        <w:rPr>
          <w:lang w:val="fr-FR"/>
        </w:rPr>
        <w:tab/>
      </w:r>
      <w:r w:rsidR="00895C96" w:rsidRPr="00895C96">
        <w:rPr>
          <w:lang w:val="fr-FR"/>
        </w:rPr>
        <w:t xml:space="preserve">Les travaux de la </w:t>
      </w:r>
      <w:r w:rsidR="007D4B13">
        <w:rPr>
          <w:lang w:val="fr-FR"/>
        </w:rPr>
        <w:t>C</w:t>
      </w:r>
      <w:r w:rsidR="00895C96" w:rsidRPr="00895C96">
        <w:rPr>
          <w:lang w:val="fr-FR"/>
        </w:rPr>
        <w:t>ommission n’excluent pas les poursuites en justice. Car elle ne se substitue pas à un processus judiciaire visant à établir la responsabilité pénale individuelle.</w:t>
      </w:r>
    </w:p>
    <w:p w:rsidR="00895C96" w:rsidRPr="00895C96" w:rsidRDefault="004E072E" w:rsidP="00B425C1">
      <w:pPr>
        <w:pStyle w:val="H1G"/>
        <w:rPr>
          <w:lang w:val="fr-FR"/>
        </w:rPr>
      </w:pPr>
      <w:r>
        <w:rPr>
          <w:lang w:val="fr-FR"/>
        </w:rPr>
        <w:tab/>
      </w:r>
      <w:r>
        <w:rPr>
          <w:lang w:val="fr-FR"/>
        </w:rPr>
        <w:tab/>
      </w:r>
      <w:r w:rsidR="00302F9D">
        <w:rPr>
          <w:lang w:val="fr-FR"/>
        </w:rPr>
        <w:t>É</w:t>
      </w:r>
      <w:r w:rsidR="00895C96" w:rsidRPr="00895C96">
        <w:rPr>
          <w:lang w:val="fr-FR"/>
        </w:rPr>
        <w:t>galité entre homme</w:t>
      </w:r>
      <w:r w:rsidR="008E3C9C">
        <w:rPr>
          <w:lang w:val="fr-FR"/>
        </w:rPr>
        <w:t>s</w:t>
      </w:r>
      <w:r w:rsidR="00895C96" w:rsidRPr="00895C96">
        <w:rPr>
          <w:lang w:val="fr-FR"/>
        </w:rPr>
        <w:t xml:space="preserve"> et femmes et interdiction de la discrimination (art.</w:t>
      </w:r>
      <w:r w:rsidR="00B425C1">
        <w:rPr>
          <w:lang w:val="fr-FR"/>
        </w:rPr>
        <w:t xml:space="preserve"> </w:t>
      </w:r>
      <w:r w:rsidR="00895C96" w:rsidRPr="00895C96">
        <w:rPr>
          <w:lang w:val="fr-FR"/>
        </w:rPr>
        <w:t>2, 3 et 26)</w:t>
      </w:r>
    </w:p>
    <w:p w:rsidR="00895C96" w:rsidRPr="00895C96" w:rsidRDefault="004E072E" w:rsidP="004E072E">
      <w:pPr>
        <w:pStyle w:val="H23G"/>
        <w:rPr>
          <w:lang w:val="fr-FR"/>
        </w:rPr>
      </w:pPr>
      <w:r>
        <w:rPr>
          <w:lang w:val="fr-FR"/>
        </w:rPr>
        <w:tab/>
      </w:r>
      <w:r>
        <w:rPr>
          <w:lang w:val="fr-FR"/>
        </w:rPr>
        <w:tab/>
        <w:t>Réponse</w:t>
      </w:r>
      <w:r w:rsidR="002C235D">
        <w:rPr>
          <w:lang w:val="fr-FR"/>
        </w:rPr>
        <w:t xml:space="preserve"> au paragraphe 4</w:t>
      </w:r>
      <w:r w:rsidR="002C235D" w:rsidRPr="00B100AF">
        <w:rPr>
          <w:lang w:val="fr-FR"/>
        </w:rPr>
        <w:t xml:space="preserve"> </w:t>
      </w:r>
      <w:r w:rsidR="002C235D">
        <w:rPr>
          <w:lang w:val="fr-FR"/>
        </w:rPr>
        <w:t>de la liste de points à traiter</w:t>
      </w:r>
      <w:r>
        <w:rPr>
          <w:lang w:val="fr-FR"/>
        </w:rPr>
        <w:t xml:space="preserve"> </w:t>
      </w:r>
    </w:p>
    <w:p w:rsidR="00895C96" w:rsidRPr="00895C96" w:rsidRDefault="00796452" w:rsidP="00E04030">
      <w:pPr>
        <w:pStyle w:val="SingleTxtG"/>
        <w:rPr>
          <w:lang w:val="fr-FR"/>
        </w:rPr>
      </w:pPr>
      <w:r>
        <w:rPr>
          <w:lang w:val="fr-FR"/>
        </w:rPr>
        <w:t>53.</w:t>
      </w:r>
      <w:r w:rsidR="004E072E">
        <w:rPr>
          <w:lang w:val="fr-FR"/>
        </w:rPr>
        <w:tab/>
      </w:r>
      <w:r w:rsidR="00895C96" w:rsidRPr="00895C96">
        <w:rPr>
          <w:lang w:val="fr-FR"/>
        </w:rPr>
        <w:t>L’avant</w:t>
      </w:r>
      <w:r w:rsidR="007D4B13">
        <w:rPr>
          <w:lang w:val="fr-FR"/>
        </w:rPr>
        <w:t>-</w:t>
      </w:r>
      <w:r w:rsidR="00895C96" w:rsidRPr="00895C96">
        <w:rPr>
          <w:lang w:val="fr-FR"/>
        </w:rPr>
        <w:t>projet du code des personnes et de la famille révisé et validé en juillet 2007 a supprimé les dispositions jugées discriminatoire</w:t>
      </w:r>
      <w:r w:rsidR="008E3C9C">
        <w:rPr>
          <w:lang w:val="fr-FR"/>
        </w:rPr>
        <w:t>s</w:t>
      </w:r>
      <w:r w:rsidR="00895C96" w:rsidRPr="00895C96">
        <w:rPr>
          <w:lang w:val="fr-FR"/>
        </w:rPr>
        <w:t xml:space="preserve"> à l’égard de la femme</w:t>
      </w:r>
      <w:r w:rsidR="008E3C9C">
        <w:rPr>
          <w:lang w:val="fr-FR"/>
        </w:rPr>
        <w:t>,</w:t>
      </w:r>
      <w:r w:rsidR="00895C96" w:rsidRPr="00895C96">
        <w:rPr>
          <w:lang w:val="fr-FR"/>
        </w:rPr>
        <w:t xml:space="preserve"> notamment le titre de «chef de famille». Cet avant</w:t>
      </w:r>
      <w:r w:rsidR="007D4B13">
        <w:rPr>
          <w:lang w:val="fr-FR"/>
        </w:rPr>
        <w:t>-</w:t>
      </w:r>
      <w:r w:rsidR="00895C96" w:rsidRPr="00895C96">
        <w:rPr>
          <w:lang w:val="fr-FR"/>
        </w:rPr>
        <w:t>projet de code donne la préférence à la monogamie.</w:t>
      </w:r>
    </w:p>
    <w:p w:rsidR="00895C96" w:rsidRPr="00895C96" w:rsidRDefault="00796452" w:rsidP="00E04030">
      <w:pPr>
        <w:pStyle w:val="SingleTxtG"/>
        <w:rPr>
          <w:lang w:val="fr-FR"/>
        </w:rPr>
      </w:pPr>
      <w:r>
        <w:rPr>
          <w:lang w:val="fr-FR"/>
        </w:rPr>
        <w:t>54.</w:t>
      </w:r>
      <w:r w:rsidR="004E072E">
        <w:rPr>
          <w:lang w:val="fr-FR"/>
        </w:rPr>
        <w:tab/>
      </w:r>
      <w:r w:rsidR="00895C96" w:rsidRPr="00895C96">
        <w:rPr>
          <w:lang w:val="fr-FR"/>
        </w:rPr>
        <w:t>L’</w:t>
      </w:r>
      <w:r w:rsidR="00382281">
        <w:rPr>
          <w:lang w:val="fr-FR"/>
        </w:rPr>
        <w:t>avant-</w:t>
      </w:r>
      <w:r w:rsidR="00895C96" w:rsidRPr="00895C96">
        <w:rPr>
          <w:lang w:val="fr-FR"/>
        </w:rPr>
        <w:t xml:space="preserve"> projet de loi portant code pénal validé au cours d’un atelier organisé en janvier 2010 réprime tout</w:t>
      </w:r>
      <w:r w:rsidR="00382281">
        <w:rPr>
          <w:lang w:val="fr-FR"/>
        </w:rPr>
        <w:t xml:space="preserve"> </w:t>
      </w:r>
      <w:r w:rsidR="00895C96" w:rsidRPr="00895C96">
        <w:rPr>
          <w:lang w:val="fr-FR"/>
        </w:rPr>
        <w:t xml:space="preserve">acte ou pratique discriminatoire. </w:t>
      </w:r>
      <w:r w:rsidR="00E74657">
        <w:rPr>
          <w:lang w:val="fr-FR"/>
        </w:rPr>
        <w:t>À</w:t>
      </w:r>
      <w:r w:rsidR="00895C96" w:rsidRPr="00895C96">
        <w:rPr>
          <w:lang w:val="fr-FR"/>
        </w:rPr>
        <w:t xml:space="preserve"> cet effet, l’article 296 alinéa 2 de cet </w:t>
      </w:r>
      <w:r w:rsidR="00382281">
        <w:rPr>
          <w:lang w:val="fr-FR"/>
        </w:rPr>
        <w:t>avant-</w:t>
      </w:r>
      <w:r w:rsidR="00895C96" w:rsidRPr="00895C96">
        <w:rPr>
          <w:lang w:val="fr-FR"/>
        </w:rPr>
        <w:t xml:space="preserve"> projet de loi relatif aux discriminations déclare l’auteur passible d’une peine d’un (01)</w:t>
      </w:r>
      <w:r w:rsidR="00382281">
        <w:rPr>
          <w:lang w:val="fr-FR"/>
        </w:rPr>
        <w:t xml:space="preserve"> </w:t>
      </w:r>
      <w:r w:rsidR="00895C96" w:rsidRPr="00895C96">
        <w:rPr>
          <w:lang w:val="fr-FR"/>
        </w:rPr>
        <w:t xml:space="preserve">à trois (03) ans d’emprisonnement et d’une amende de cinq </w:t>
      </w:r>
      <w:r w:rsidR="00895C96" w:rsidRPr="0012798C">
        <w:rPr>
          <w:lang w:val="fr-FR"/>
        </w:rPr>
        <w:t>cent mille</w:t>
      </w:r>
      <w:r w:rsidR="00895C96" w:rsidRPr="00895C96">
        <w:rPr>
          <w:lang w:val="fr-FR"/>
        </w:rPr>
        <w:t xml:space="preserve"> (500 000) FCFA ou de l’une de ces deux peines.</w:t>
      </w:r>
    </w:p>
    <w:p w:rsidR="00895C96" w:rsidRPr="00895C96" w:rsidRDefault="00796452" w:rsidP="00E04030">
      <w:pPr>
        <w:pStyle w:val="SingleTxtG"/>
        <w:rPr>
          <w:lang w:val="fr-FR"/>
        </w:rPr>
      </w:pPr>
      <w:r>
        <w:rPr>
          <w:lang w:val="fr-FR"/>
        </w:rPr>
        <w:t>55.</w:t>
      </w:r>
      <w:r w:rsidR="004E072E">
        <w:rPr>
          <w:lang w:val="fr-FR"/>
        </w:rPr>
        <w:tab/>
      </w:r>
      <w:r w:rsidR="00895C96" w:rsidRPr="00895C96">
        <w:rPr>
          <w:lang w:val="fr-FR"/>
        </w:rPr>
        <w:t>Il faut y ajouter l’article 297 qui punit des mêmes peines les actes de discrimination</w:t>
      </w:r>
      <w:r w:rsidR="00393196">
        <w:rPr>
          <w:lang w:val="fr-FR"/>
        </w:rPr>
        <w:t xml:space="preserve"> </w:t>
      </w:r>
      <w:r w:rsidR="00895C96" w:rsidRPr="00895C96">
        <w:rPr>
          <w:lang w:val="fr-FR"/>
        </w:rPr>
        <w:t>commis à l’égard des femmes dans les domaines suivants</w:t>
      </w:r>
      <w:r w:rsidR="00F33DC4">
        <w:rPr>
          <w:lang w:val="fr-FR"/>
        </w:rPr>
        <w:t>:</w:t>
      </w:r>
    </w:p>
    <w:p w:rsidR="00895C96" w:rsidRPr="00895C96" w:rsidRDefault="00047BA4" w:rsidP="004E072E">
      <w:pPr>
        <w:pStyle w:val="Bullet1G"/>
        <w:rPr>
          <w:lang w:val="fr-FR"/>
        </w:rPr>
      </w:pPr>
      <w:r>
        <w:rPr>
          <w:lang w:val="fr-FR"/>
        </w:rPr>
        <w:t>L</w:t>
      </w:r>
      <w:r w:rsidR="00895C96" w:rsidRPr="00895C96">
        <w:rPr>
          <w:lang w:val="fr-FR"/>
        </w:rPr>
        <w:t>’égalité dans la vie politique et publique aux niveau national et international</w:t>
      </w:r>
      <w:r>
        <w:rPr>
          <w:lang w:val="fr-FR"/>
        </w:rPr>
        <w:t>,</w:t>
      </w:r>
      <w:r w:rsidR="00895C96" w:rsidRPr="00895C96">
        <w:rPr>
          <w:lang w:val="fr-FR"/>
        </w:rPr>
        <w:t xml:space="preserve"> dont le non</w:t>
      </w:r>
      <w:r>
        <w:rPr>
          <w:lang w:val="fr-FR"/>
        </w:rPr>
        <w:t>-</w:t>
      </w:r>
      <w:r w:rsidR="00895C96" w:rsidRPr="00895C96">
        <w:rPr>
          <w:lang w:val="fr-FR"/>
        </w:rPr>
        <w:t xml:space="preserve">respect est sanctionné par trois (03) à six (06) mois d’emprisonnement et une amende de cent </w:t>
      </w:r>
      <w:r w:rsidR="00895C96" w:rsidRPr="0012798C">
        <w:rPr>
          <w:lang w:val="fr-FR"/>
        </w:rPr>
        <w:t>mille</w:t>
      </w:r>
      <w:r w:rsidR="00895C96" w:rsidRPr="00895C96">
        <w:rPr>
          <w:lang w:val="fr-FR"/>
        </w:rPr>
        <w:t xml:space="preserve"> (100 000) à cinq </w:t>
      </w:r>
      <w:r w:rsidR="00895C96" w:rsidRPr="0012798C">
        <w:rPr>
          <w:lang w:val="fr-FR"/>
        </w:rPr>
        <w:t>cent</w:t>
      </w:r>
      <w:r w:rsidR="00895C96" w:rsidRPr="00895C96">
        <w:rPr>
          <w:lang w:val="fr-FR"/>
        </w:rPr>
        <w:t xml:space="preserve"> mille (500 000) francs CFA</w:t>
      </w:r>
      <w:r w:rsidR="00F33DC4">
        <w:rPr>
          <w:lang w:val="fr-FR"/>
        </w:rPr>
        <w:t>;</w:t>
      </w:r>
    </w:p>
    <w:p w:rsidR="00895C96" w:rsidRPr="00895C96" w:rsidRDefault="00223007" w:rsidP="004E072E">
      <w:pPr>
        <w:pStyle w:val="Bullet1G"/>
        <w:rPr>
          <w:lang w:val="fr-FR"/>
        </w:rPr>
      </w:pPr>
      <w:r>
        <w:rPr>
          <w:lang w:val="fr-FR"/>
        </w:rPr>
        <w:t>L</w:t>
      </w:r>
      <w:r w:rsidR="00895C96" w:rsidRPr="00895C96">
        <w:rPr>
          <w:lang w:val="fr-FR"/>
        </w:rPr>
        <w:t>’égalité dans les lois sur la nationalité</w:t>
      </w:r>
      <w:r>
        <w:rPr>
          <w:lang w:val="fr-FR"/>
        </w:rPr>
        <w:t>,</w:t>
      </w:r>
      <w:r w:rsidR="00895C96" w:rsidRPr="00895C96">
        <w:rPr>
          <w:lang w:val="fr-FR"/>
        </w:rPr>
        <w:t xml:space="preserve"> dont la violation est sanctionnée par une amende de cent </w:t>
      </w:r>
      <w:r w:rsidR="00895C96" w:rsidRPr="0012798C">
        <w:rPr>
          <w:lang w:val="fr-FR"/>
        </w:rPr>
        <w:t>mille</w:t>
      </w:r>
      <w:r w:rsidR="00895C96" w:rsidRPr="00895C96">
        <w:rPr>
          <w:lang w:val="fr-FR"/>
        </w:rPr>
        <w:t xml:space="preserve"> (100 000) à cinq </w:t>
      </w:r>
      <w:r w:rsidR="00895C96" w:rsidRPr="0012798C">
        <w:rPr>
          <w:lang w:val="fr-FR"/>
        </w:rPr>
        <w:t>cent</w:t>
      </w:r>
      <w:r w:rsidR="00895C96" w:rsidRPr="00895C96">
        <w:rPr>
          <w:lang w:val="fr-FR"/>
        </w:rPr>
        <w:t xml:space="preserve"> mille (500 000) francs CFA</w:t>
      </w:r>
      <w:r w:rsidR="00F33DC4">
        <w:rPr>
          <w:lang w:val="fr-FR"/>
        </w:rPr>
        <w:t>;</w:t>
      </w:r>
    </w:p>
    <w:p w:rsidR="00895C96" w:rsidRPr="00895C96" w:rsidRDefault="00223007" w:rsidP="004E072E">
      <w:pPr>
        <w:pStyle w:val="Bullet1G"/>
        <w:rPr>
          <w:lang w:val="fr-FR"/>
        </w:rPr>
      </w:pPr>
      <w:r>
        <w:rPr>
          <w:lang w:val="fr-FR"/>
        </w:rPr>
        <w:t>L</w:t>
      </w:r>
      <w:r w:rsidR="00895C96" w:rsidRPr="00895C96">
        <w:rPr>
          <w:lang w:val="fr-FR"/>
        </w:rPr>
        <w:t>’égalité dans l’éducation</w:t>
      </w:r>
      <w:r>
        <w:rPr>
          <w:lang w:val="fr-FR"/>
        </w:rPr>
        <w:t>,</w:t>
      </w:r>
      <w:r w:rsidR="00895C96" w:rsidRPr="00895C96">
        <w:rPr>
          <w:lang w:val="fr-FR"/>
        </w:rPr>
        <w:t xml:space="preserve"> dont la violation est sanctionnée par un (01) mois à trois (03) ans d’emprisonnement et une amende de cent mille (100 000) à un million (1 000 000) </w:t>
      </w:r>
      <w:r w:rsidRPr="0012798C">
        <w:rPr>
          <w:lang w:val="fr-FR"/>
        </w:rPr>
        <w:t>de</w:t>
      </w:r>
      <w:r>
        <w:rPr>
          <w:lang w:val="fr-FR"/>
        </w:rPr>
        <w:t xml:space="preserve"> </w:t>
      </w:r>
      <w:r w:rsidR="00895C96" w:rsidRPr="00895C96">
        <w:rPr>
          <w:lang w:val="fr-FR"/>
        </w:rPr>
        <w:t>FCFA</w:t>
      </w:r>
      <w:r w:rsidR="00F33DC4">
        <w:rPr>
          <w:lang w:val="fr-FR"/>
        </w:rPr>
        <w:t>;</w:t>
      </w:r>
    </w:p>
    <w:p w:rsidR="00895C96" w:rsidRPr="00895C96" w:rsidRDefault="00223007" w:rsidP="004E072E">
      <w:pPr>
        <w:pStyle w:val="Bullet1G"/>
        <w:rPr>
          <w:lang w:val="fr-FR"/>
        </w:rPr>
      </w:pPr>
      <w:r>
        <w:rPr>
          <w:lang w:val="fr-FR"/>
        </w:rPr>
        <w:t>L</w:t>
      </w:r>
      <w:r w:rsidR="00895C96" w:rsidRPr="00895C96">
        <w:rPr>
          <w:lang w:val="fr-FR"/>
        </w:rPr>
        <w:t>’égalité des droits à l’emploi et au travail</w:t>
      </w:r>
      <w:r w:rsidR="00261396">
        <w:rPr>
          <w:lang w:val="fr-FR"/>
        </w:rPr>
        <w:t>,</w:t>
      </w:r>
      <w:r w:rsidR="00895C96" w:rsidRPr="00895C96">
        <w:rPr>
          <w:lang w:val="fr-FR"/>
        </w:rPr>
        <w:t xml:space="preserve"> dont la violation est sanctionnée par un (01) à trois (03) ans d’emprisonnement et une amende de cent mille (100 000) à un million (1 000 000)</w:t>
      </w:r>
      <w:r w:rsidR="00393196">
        <w:rPr>
          <w:lang w:val="fr-FR"/>
        </w:rPr>
        <w:t xml:space="preserve"> </w:t>
      </w:r>
      <w:r w:rsidR="00261396">
        <w:rPr>
          <w:lang w:val="fr-FR"/>
        </w:rPr>
        <w:t xml:space="preserve">de </w:t>
      </w:r>
      <w:r w:rsidR="00895C96" w:rsidRPr="00895C96">
        <w:rPr>
          <w:lang w:val="fr-FR"/>
        </w:rPr>
        <w:t>FCFA</w:t>
      </w:r>
      <w:r w:rsidR="00F33DC4">
        <w:rPr>
          <w:lang w:val="fr-FR"/>
        </w:rPr>
        <w:t>;</w:t>
      </w:r>
    </w:p>
    <w:p w:rsidR="00895C96" w:rsidRPr="00895C96" w:rsidRDefault="00223007" w:rsidP="004E072E">
      <w:pPr>
        <w:pStyle w:val="Bullet1G"/>
        <w:rPr>
          <w:lang w:val="fr-FR"/>
        </w:rPr>
      </w:pPr>
      <w:r>
        <w:rPr>
          <w:lang w:val="fr-FR"/>
        </w:rPr>
        <w:t>L</w:t>
      </w:r>
      <w:r w:rsidR="00895C96" w:rsidRPr="00895C96">
        <w:rPr>
          <w:lang w:val="fr-FR"/>
        </w:rPr>
        <w:t>’égalité dans les affaires légales et civiles (amende de cent mille à cinq cent mille</w:t>
      </w:r>
      <w:r w:rsidR="00261396">
        <w:rPr>
          <w:lang w:val="fr-FR"/>
        </w:rPr>
        <w:t xml:space="preserve"> FCFA</w:t>
      </w:r>
      <w:r w:rsidR="00895C96" w:rsidRPr="00895C96">
        <w:rPr>
          <w:lang w:val="fr-FR"/>
        </w:rPr>
        <w:t>) (100 000 à</w:t>
      </w:r>
      <w:r w:rsidR="00777BD5">
        <w:rPr>
          <w:lang w:val="fr-FR"/>
        </w:rPr>
        <w:t xml:space="preserve"> </w:t>
      </w:r>
      <w:r w:rsidR="00895C96" w:rsidRPr="00895C96">
        <w:rPr>
          <w:lang w:val="fr-FR"/>
        </w:rPr>
        <w:t>500 000)</w:t>
      </w:r>
      <w:r w:rsidR="00F33DC4">
        <w:rPr>
          <w:lang w:val="fr-FR"/>
        </w:rPr>
        <w:t>;</w:t>
      </w:r>
    </w:p>
    <w:p w:rsidR="00895C96" w:rsidRPr="00895C96" w:rsidRDefault="00223007" w:rsidP="004E072E">
      <w:pPr>
        <w:pStyle w:val="Bullet1G"/>
        <w:rPr>
          <w:lang w:val="fr-FR"/>
        </w:rPr>
      </w:pPr>
      <w:r>
        <w:rPr>
          <w:lang w:val="fr-FR"/>
        </w:rPr>
        <w:t>L</w:t>
      </w:r>
      <w:r w:rsidR="00895C96" w:rsidRPr="00895C96">
        <w:rPr>
          <w:lang w:val="fr-FR"/>
        </w:rPr>
        <w:t>’égalité de droits dans la famille (amende de cent mille à cinq cent mille</w:t>
      </w:r>
      <w:r w:rsidR="00261396">
        <w:rPr>
          <w:lang w:val="fr-FR"/>
        </w:rPr>
        <w:t xml:space="preserve"> FCFA</w:t>
      </w:r>
      <w:r w:rsidR="00895C96" w:rsidRPr="00895C96">
        <w:rPr>
          <w:lang w:val="fr-FR"/>
        </w:rPr>
        <w:t>)</w:t>
      </w:r>
      <w:r w:rsidR="00F33DC4">
        <w:rPr>
          <w:lang w:val="fr-FR"/>
        </w:rPr>
        <w:t>;</w:t>
      </w:r>
    </w:p>
    <w:p w:rsidR="00895C96" w:rsidRPr="00895C96" w:rsidRDefault="00223007" w:rsidP="004E072E">
      <w:pPr>
        <w:pStyle w:val="Bullet1G"/>
        <w:rPr>
          <w:lang w:val="fr-FR"/>
        </w:rPr>
      </w:pPr>
      <w:r>
        <w:rPr>
          <w:lang w:val="fr-FR"/>
        </w:rPr>
        <w:t>L</w:t>
      </w:r>
      <w:r w:rsidR="00895C96" w:rsidRPr="00895C96">
        <w:rPr>
          <w:lang w:val="fr-FR"/>
        </w:rPr>
        <w:t>’égalité de droit</w:t>
      </w:r>
      <w:r w:rsidR="00C53CD3">
        <w:rPr>
          <w:lang w:val="fr-FR"/>
        </w:rPr>
        <w:t>s</w:t>
      </w:r>
      <w:r w:rsidR="00895C96" w:rsidRPr="00895C96">
        <w:rPr>
          <w:lang w:val="fr-FR"/>
        </w:rPr>
        <w:t xml:space="preserve"> et d’accès au crédit et à la sécurité sociale</w:t>
      </w:r>
      <w:r w:rsidR="00C53CD3">
        <w:rPr>
          <w:lang w:val="fr-FR"/>
        </w:rPr>
        <w:t>,</w:t>
      </w:r>
      <w:r w:rsidR="00895C96" w:rsidRPr="00895C96">
        <w:rPr>
          <w:lang w:val="fr-FR"/>
        </w:rPr>
        <w:t xml:space="preserve"> dont la violation est sanction</w:t>
      </w:r>
      <w:r w:rsidR="00C53CD3">
        <w:rPr>
          <w:lang w:val="fr-FR"/>
        </w:rPr>
        <w:t>née</w:t>
      </w:r>
      <w:r w:rsidR="00895C96" w:rsidRPr="00895C96">
        <w:rPr>
          <w:lang w:val="fr-FR"/>
        </w:rPr>
        <w:t xml:space="preserve"> par trois (03) mois à un (01) an d’emprisonnement et une amende de cent mille (100 000) à cinq cent mille </w:t>
      </w:r>
      <w:r w:rsidR="00C53CD3" w:rsidRPr="0012798C">
        <w:rPr>
          <w:lang w:val="fr-FR"/>
        </w:rPr>
        <w:t>FCFA</w:t>
      </w:r>
      <w:r w:rsidR="00C53CD3">
        <w:rPr>
          <w:lang w:val="fr-FR"/>
        </w:rPr>
        <w:t xml:space="preserve"> </w:t>
      </w:r>
      <w:r w:rsidR="00895C96" w:rsidRPr="00895C96">
        <w:rPr>
          <w:lang w:val="fr-FR"/>
        </w:rPr>
        <w:t>(500 000)</w:t>
      </w:r>
      <w:r w:rsidR="00F33DC4">
        <w:rPr>
          <w:lang w:val="fr-FR"/>
        </w:rPr>
        <w:t>;</w:t>
      </w:r>
    </w:p>
    <w:p w:rsidR="00895C96" w:rsidRPr="00895C96" w:rsidRDefault="00223007" w:rsidP="004E072E">
      <w:pPr>
        <w:pStyle w:val="Bullet1G"/>
        <w:rPr>
          <w:lang w:val="fr-FR"/>
        </w:rPr>
      </w:pPr>
      <w:r>
        <w:rPr>
          <w:lang w:val="fr-FR"/>
        </w:rPr>
        <w:t>L</w:t>
      </w:r>
      <w:r w:rsidR="00895C96" w:rsidRPr="00895C96">
        <w:rPr>
          <w:lang w:val="fr-FR"/>
        </w:rPr>
        <w:t>’égalité de droit</w:t>
      </w:r>
      <w:r w:rsidR="00415CEC">
        <w:rPr>
          <w:lang w:val="fr-FR"/>
        </w:rPr>
        <w:t>s</w:t>
      </w:r>
      <w:r w:rsidR="00895C96" w:rsidRPr="00895C96">
        <w:rPr>
          <w:lang w:val="fr-FR"/>
        </w:rPr>
        <w:t xml:space="preserve"> de la femme rurale à l’accès au développement (3 mois à 1 an d’emprisonnement et une amende de cent mille à cinq cent mille francs CFA)</w:t>
      </w:r>
      <w:r w:rsidR="00F33DC4">
        <w:rPr>
          <w:lang w:val="fr-FR"/>
        </w:rPr>
        <w:t>;</w:t>
      </w:r>
    </w:p>
    <w:p w:rsidR="00895C96" w:rsidRPr="00895C96" w:rsidRDefault="00223007" w:rsidP="004E072E">
      <w:pPr>
        <w:pStyle w:val="Bullet1G"/>
        <w:rPr>
          <w:lang w:val="fr-FR"/>
        </w:rPr>
      </w:pPr>
      <w:r>
        <w:rPr>
          <w:lang w:val="fr-FR"/>
        </w:rPr>
        <w:t>A</w:t>
      </w:r>
      <w:r w:rsidR="00895C96" w:rsidRPr="00895C96">
        <w:rPr>
          <w:lang w:val="fr-FR"/>
        </w:rPr>
        <w:t xml:space="preserve">ux termes de l’article 88 du </w:t>
      </w:r>
      <w:r w:rsidR="001E7B6C">
        <w:rPr>
          <w:lang w:val="fr-FR"/>
        </w:rPr>
        <w:t>Code</w:t>
      </w:r>
      <w:r w:rsidR="00895C96" w:rsidRPr="00895C96">
        <w:rPr>
          <w:lang w:val="fr-FR"/>
        </w:rPr>
        <w:t xml:space="preserve"> pénal </w:t>
      </w:r>
      <w:r w:rsidR="001E7B6C">
        <w:rPr>
          <w:lang w:val="fr-FR"/>
        </w:rPr>
        <w:t>togolais</w:t>
      </w:r>
      <w:r w:rsidR="00895C96" w:rsidRPr="00895C96">
        <w:rPr>
          <w:lang w:val="fr-FR"/>
        </w:rPr>
        <w:t> </w:t>
      </w:r>
      <w:r w:rsidR="00895C96" w:rsidRPr="0012798C">
        <w:rPr>
          <w:lang w:val="fr-FR"/>
        </w:rPr>
        <w:t>«sera</w:t>
      </w:r>
      <w:r w:rsidR="00895C96" w:rsidRPr="00895C96">
        <w:rPr>
          <w:lang w:val="fr-FR"/>
        </w:rPr>
        <w:t xml:space="preserve"> puni d’un emprisonnement d’un (01) à trois (03) ans et d’une am</w:t>
      </w:r>
      <w:r w:rsidR="0090305F">
        <w:rPr>
          <w:lang w:val="fr-FR"/>
        </w:rPr>
        <w:t>e</w:t>
      </w:r>
      <w:r w:rsidR="00895C96" w:rsidRPr="00895C96">
        <w:rPr>
          <w:lang w:val="fr-FR"/>
        </w:rPr>
        <w:t xml:space="preserve">nde de 100 000 </w:t>
      </w:r>
      <w:r w:rsidR="00895C96" w:rsidRPr="0012798C">
        <w:rPr>
          <w:lang w:val="fr-FR"/>
        </w:rPr>
        <w:t>F</w:t>
      </w:r>
      <w:r w:rsidR="0012798C" w:rsidRPr="0012798C">
        <w:rPr>
          <w:lang w:val="fr-FR"/>
        </w:rPr>
        <w:t>CFA</w:t>
      </w:r>
      <w:r w:rsidR="00895C96" w:rsidRPr="00895C96">
        <w:rPr>
          <w:lang w:val="fr-FR"/>
        </w:rPr>
        <w:t xml:space="preserve"> à 500 </w:t>
      </w:r>
      <w:r w:rsidR="00895C96" w:rsidRPr="0012798C">
        <w:rPr>
          <w:lang w:val="fr-FR"/>
        </w:rPr>
        <w:t>000 F</w:t>
      </w:r>
      <w:r w:rsidR="0012798C" w:rsidRPr="0012798C">
        <w:rPr>
          <w:lang w:val="fr-FR"/>
        </w:rPr>
        <w:t>CFA</w:t>
      </w:r>
      <w:r w:rsidR="00895C96" w:rsidRPr="0012798C">
        <w:rPr>
          <w:lang w:val="fr-FR"/>
        </w:rPr>
        <w:t xml:space="preserve"> quiconque aura commis un acte impudique ou contre nature avec un individu</w:t>
      </w:r>
      <w:r w:rsidR="00895C96" w:rsidRPr="00895C96">
        <w:rPr>
          <w:lang w:val="fr-FR"/>
        </w:rPr>
        <w:t xml:space="preserve"> de son sexe</w:t>
      </w:r>
      <w:r w:rsidR="0012798C">
        <w:rPr>
          <w:lang w:val="fr-FR"/>
        </w:rPr>
        <w:t>»</w:t>
      </w:r>
      <w:r w:rsidR="00895C96" w:rsidRPr="00895C96">
        <w:rPr>
          <w:lang w:val="fr-FR"/>
        </w:rPr>
        <w:t>.</w:t>
      </w:r>
    </w:p>
    <w:p w:rsidR="00895C96" w:rsidRPr="00895C96" w:rsidRDefault="00796452" w:rsidP="00E04030">
      <w:pPr>
        <w:pStyle w:val="SingleTxtG"/>
        <w:rPr>
          <w:lang w:val="fr-FR"/>
        </w:rPr>
      </w:pPr>
      <w:r>
        <w:rPr>
          <w:lang w:val="fr-FR"/>
        </w:rPr>
        <w:t>56.</w:t>
      </w:r>
      <w:r w:rsidR="004E072E">
        <w:rPr>
          <w:lang w:val="fr-FR"/>
        </w:rPr>
        <w:tab/>
      </w:r>
      <w:r w:rsidR="00895C96" w:rsidRPr="00895C96">
        <w:rPr>
          <w:lang w:val="fr-FR"/>
        </w:rPr>
        <w:t>En outre, l’</w:t>
      </w:r>
      <w:r w:rsidR="00382281">
        <w:rPr>
          <w:lang w:val="fr-FR"/>
        </w:rPr>
        <w:t>avant-</w:t>
      </w:r>
      <w:r w:rsidR="00895C96" w:rsidRPr="00895C96">
        <w:rPr>
          <w:lang w:val="fr-FR"/>
        </w:rPr>
        <w:t xml:space="preserve">projet de loi portant révision du </w:t>
      </w:r>
      <w:r w:rsidR="001E7B6C">
        <w:rPr>
          <w:lang w:val="fr-FR"/>
        </w:rPr>
        <w:t>Code</w:t>
      </w:r>
      <w:r w:rsidR="00895C96" w:rsidRPr="00895C96">
        <w:rPr>
          <w:lang w:val="fr-FR"/>
        </w:rPr>
        <w:t xml:space="preserve"> Pénal du 13 août 1980 incorpore dans son article 296</w:t>
      </w:r>
      <w:r w:rsidR="00AA3E40">
        <w:rPr>
          <w:lang w:val="fr-FR"/>
        </w:rPr>
        <w:t>,</w:t>
      </w:r>
      <w:r w:rsidR="00895C96" w:rsidRPr="00895C96">
        <w:rPr>
          <w:lang w:val="fr-FR"/>
        </w:rPr>
        <w:t xml:space="preserve"> alinéa 1</w:t>
      </w:r>
      <w:r w:rsidR="00AA3E40">
        <w:rPr>
          <w:lang w:val="fr-FR"/>
        </w:rPr>
        <w:t>,</w:t>
      </w:r>
      <w:r w:rsidR="00895C96" w:rsidRPr="00895C96">
        <w:rPr>
          <w:lang w:val="fr-FR"/>
        </w:rPr>
        <w:t xml:space="preserve"> les dispositions de la Convention sur l’</w:t>
      </w:r>
      <w:r w:rsidR="00777BD5">
        <w:rPr>
          <w:lang w:val="fr-FR"/>
        </w:rPr>
        <w:t>é</w:t>
      </w:r>
      <w:r w:rsidR="00895C96" w:rsidRPr="00895C96">
        <w:rPr>
          <w:lang w:val="fr-FR"/>
        </w:rPr>
        <w:t xml:space="preserve">limination de toutes les formes de </w:t>
      </w:r>
      <w:r w:rsidR="00777BD5">
        <w:rPr>
          <w:lang w:val="fr-FR"/>
        </w:rPr>
        <w:t>d</w:t>
      </w:r>
      <w:r w:rsidR="00895C96" w:rsidRPr="00895C96">
        <w:rPr>
          <w:lang w:val="fr-FR"/>
        </w:rPr>
        <w:t>iscrimination à l’</w:t>
      </w:r>
      <w:r w:rsidR="00777BD5">
        <w:rPr>
          <w:lang w:val="fr-FR"/>
        </w:rPr>
        <w:t>é</w:t>
      </w:r>
      <w:r w:rsidR="00895C96" w:rsidRPr="00895C96">
        <w:rPr>
          <w:lang w:val="fr-FR"/>
        </w:rPr>
        <w:t xml:space="preserve">gard des </w:t>
      </w:r>
      <w:r w:rsidR="00777BD5">
        <w:rPr>
          <w:lang w:val="fr-FR"/>
        </w:rPr>
        <w:t>f</w:t>
      </w:r>
      <w:r w:rsidR="00895C96" w:rsidRPr="00895C96">
        <w:rPr>
          <w:lang w:val="fr-FR"/>
        </w:rPr>
        <w:t>emmes (</w:t>
      </w:r>
      <w:r w:rsidR="00895C96" w:rsidRPr="00F11137">
        <w:rPr>
          <w:lang w:val="fr-FR"/>
        </w:rPr>
        <w:t>CEDEF</w:t>
      </w:r>
      <w:r w:rsidR="00895C96" w:rsidRPr="00895C96">
        <w:rPr>
          <w:lang w:val="fr-FR"/>
        </w:rPr>
        <w:t>) relatives à la définition de la discrimination</w:t>
      </w:r>
      <w:r w:rsidR="00F33DC4">
        <w:rPr>
          <w:lang w:val="fr-FR"/>
        </w:rPr>
        <w:t>:</w:t>
      </w:r>
      <w:r w:rsidR="00895C96" w:rsidRPr="00895C96">
        <w:rPr>
          <w:lang w:val="fr-FR"/>
        </w:rPr>
        <w:t xml:space="preserve"> «constitue la discrimination à l’égard des femmes, toute distinction, exclusion ou restriction fondée sur le sexe qui a pour effet ou pour but de compromettre ou de détruire la reconnaissance, la jouissance ou l’exercice par les femmes quel que soit leur état matrimonial , sur la base de l’égalité de l’homme et de la femme, des droits de l’</w:t>
      </w:r>
      <w:r w:rsidR="00777BD5">
        <w:rPr>
          <w:lang w:val="fr-FR"/>
        </w:rPr>
        <w:t>h</w:t>
      </w:r>
      <w:r w:rsidR="00895C96" w:rsidRPr="00895C96">
        <w:rPr>
          <w:lang w:val="fr-FR"/>
        </w:rPr>
        <w:t>omme et des libertés fondamentales dans les domaines politique,</w:t>
      </w:r>
      <w:r w:rsidR="00777BD5">
        <w:rPr>
          <w:lang w:val="fr-FR"/>
        </w:rPr>
        <w:t xml:space="preserve"> </w:t>
      </w:r>
      <w:r w:rsidR="00895C96" w:rsidRPr="00895C96">
        <w:rPr>
          <w:lang w:val="fr-FR"/>
        </w:rPr>
        <w:t>économique, social, culturel et civil ou dans tout autre domaine».</w:t>
      </w:r>
    </w:p>
    <w:p w:rsidR="00895C96" w:rsidRPr="00895C96" w:rsidRDefault="004E072E" w:rsidP="003717AF">
      <w:pPr>
        <w:pStyle w:val="H1G"/>
        <w:rPr>
          <w:lang w:val="fr-FR"/>
        </w:rPr>
      </w:pPr>
      <w:r>
        <w:rPr>
          <w:lang w:val="fr-FR"/>
        </w:rPr>
        <w:tab/>
      </w:r>
      <w:r>
        <w:rPr>
          <w:lang w:val="fr-FR"/>
        </w:rPr>
        <w:tab/>
      </w:r>
      <w:r w:rsidR="00895C96" w:rsidRPr="00895C96">
        <w:rPr>
          <w:lang w:val="fr-FR"/>
        </w:rPr>
        <w:t>Violence à l’égard des femmes (art. 3 et 7)</w:t>
      </w:r>
    </w:p>
    <w:p w:rsidR="00895C96" w:rsidRPr="00895C96" w:rsidRDefault="004E072E" w:rsidP="004E072E">
      <w:pPr>
        <w:pStyle w:val="H23G"/>
        <w:rPr>
          <w:lang w:val="fr-FR"/>
        </w:rPr>
      </w:pPr>
      <w:r>
        <w:rPr>
          <w:lang w:val="fr-FR"/>
        </w:rPr>
        <w:tab/>
      </w:r>
      <w:r>
        <w:rPr>
          <w:lang w:val="fr-FR"/>
        </w:rPr>
        <w:tab/>
        <w:t xml:space="preserve">Réponse </w:t>
      </w:r>
      <w:r w:rsidR="00A46741">
        <w:rPr>
          <w:lang w:val="fr-FR"/>
        </w:rPr>
        <w:t>au paragraphe 5</w:t>
      </w:r>
      <w:r w:rsidR="00A46741" w:rsidRPr="00B100AF">
        <w:rPr>
          <w:lang w:val="fr-FR"/>
        </w:rPr>
        <w:t xml:space="preserve"> </w:t>
      </w:r>
      <w:r w:rsidR="00A46741">
        <w:rPr>
          <w:lang w:val="fr-FR"/>
        </w:rPr>
        <w:t xml:space="preserve">de la liste de points à traiter </w:t>
      </w:r>
    </w:p>
    <w:p w:rsidR="00895C96" w:rsidRPr="00895C96" w:rsidRDefault="00796452" w:rsidP="00E04030">
      <w:pPr>
        <w:pStyle w:val="SingleTxtG"/>
        <w:rPr>
          <w:lang w:val="fr-FR"/>
        </w:rPr>
      </w:pPr>
      <w:r>
        <w:rPr>
          <w:lang w:val="fr-FR"/>
        </w:rPr>
        <w:t>57.</w:t>
      </w:r>
      <w:r w:rsidR="004E072E">
        <w:rPr>
          <w:lang w:val="fr-FR"/>
        </w:rPr>
        <w:tab/>
      </w:r>
      <w:r w:rsidR="00895C96" w:rsidRPr="00895C96">
        <w:rPr>
          <w:lang w:val="fr-FR"/>
        </w:rPr>
        <w:t xml:space="preserve">Le </w:t>
      </w:r>
      <w:r w:rsidR="001E7B6C">
        <w:rPr>
          <w:lang w:val="fr-FR"/>
        </w:rPr>
        <w:t>Code</w:t>
      </w:r>
      <w:r w:rsidR="00895C96" w:rsidRPr="00895C96">
        <w:rPr>
          <w:lang w:val="fr-FR"/>
        </w:rPr>
        <w:t xml:space="preserve"> pénal togolais réprime les actes de violence. Aux termes de l’article 46 dudit </w:t>
      </w:r>
      <w:r w:rsidR="001E7B6C">
        <w:rPr>
          <w:lang w:val="fr-FR"/>
        </w:rPr>
        <w:t>Code</w:t>
      </w:r>
      <w:r w:rsidR="00895C96" w:rsidRPr="00895C96">
        <w:rPr>
          <w:lang w:val="fr-FR"/>
        </w:rPr>
        <w:t xml:space="preserve">, «Quiconque exerce volontairement des violences sur autrui sera puni de deux (02) mois à deux (02) ans d’emprisonnement si ces violences ont entraîné pour la victime une incapacité du travail personnel comprise entre dix jours et trois mois». </w:t>
      </w:r>
    </w:p>
    <w:p w:rsidR="00895C96" w:rsidRPr="00895C96" w:rsidRDefault="00796452" w:rsidP="00E04030">
      <w:pPr>
        <w:pStyle w:val="SingleTxtG"/>
        <w:rPr>
          <w:lang w:val="fr-FR"/>
        </w:rPr>
      </w:pPr>
      <w:r>
        <w:rPr>
          <w:lang w:val="fr-FR"/>
        </w:rPr>
        <w:t>58.</w:t>
      </w:r>
      <w:r w:rsidR="004E072E">
        <w:rPr>
          <w:lang w:val="fr-FR"/>
        </w:rPr>
        <w:tab/>
      </w:r>
      <w:r w:rsidR="00895C96" w:rsidRPr="00895C96">
        <w:rPr>
          <w:lang w:val="fr-FR"/>
        </w:rPr>
        <w:t>Les Greffes des tribunaux n’étant pas informatisés, il est difficile d’avoir des statistiques fiables sur les plaintes relatives aux violences faites aux femmes. Il faut signaler que le Groupe de réflexion Femme Démocratie et Développement (GF2D)</w:t>
      </w:r>
      <w:r w:rsidR="00832C6A">
        <w:rPr>
          <w:lang w:val="fr-FR"/>
        </w:rPr>
        <w:t>,</w:t>
      </w:r>
      <w:r w:rsidR="00895C96" w:rsidRPr="00895C96">
        <w:rPr>
          <w:lang w:val="fr-FR"/>
        </w:rPr>
        <w:t xml:space="preserve"> une Organisation Non Gouvernementale (ONG) de promotion et de protection des droits des femmes</w:t>
      </w:r>
      <w:r w:rsidR="00832C6A">
        <w:rPr>
          <w:lang w:val="fr-FR"/>
        </w:rPr>
        <w:t>,</w:t>
      </w:r>
      <w:r w:rsidR="00895C96" w:rsidRPr="00895C96">
        <w:rPr>
          <w:lang w:val="fr-FR"/>
        </w:rPr>
        <w:t xml:space="preserve"> a enregistré au titre de l’année 2009, 78 cas de violences à l’égard de la femme.</w:t>
      </w:r>
    </w:p>
    <w:p w:rsidR="00895C96" w:rsidRPr="00895C96" w:rsidRDefault="00796452" w:rsidP="00E04030">
      <w:pPr>
        <w:pStyle w:val="SingleTxtG"/>
        <w:rPr>
          <w:lang w:val="fr-FR"/>
        </w:rPr>
      </w:pPr>
      <w:r>
        <w:rPr>
          <w:lang w:val="fr-FR"/>
        </w:rPr>
        <w:t>59.</w:t>
      </w:r>
      <w:r w:rsidR="004E072E">
        <w:rPr>
          <w:lang w:val="fr-FR"/>
        </w:rPr>
        <w:tab/>
      </w:r>
      <w:r w:rsidR="00895C96" w:rsidRPr="00895C96">
        <w:rPr>
          <w:lang w:val="fr-FR"/>
        </w:rPr>
        <w:t>L’avant</w:t>
      </w:r>
      <w:r w:rsidR="0019529F">
        <w:rPr>
          <w:lang w:val="fr-FR"/>
        </w:rPr>
        <w:t>-</w:t>
      </w:r>
      <w:r w:rsidR="00895C96" w:rsidRPr="00895C96">
        <w:rPr>
          <w:lang w:val="fr-FR"/>
        </w:rPr>
        <w:t xml:space="preserve">projet de code pénal réprime toutes les formes de violence à l’égard de la femme. </w:t>
      </w:r>
    </w:p>
    <w:p w:rsidR="00895C96" w:rsidRPr="00895C96" w:rsidRDefault="00796452" w:rsidP="00E04030">
      <w:pPr>
        <w:pStyle w:val="SingleTxtG"/>
        <w:rPr>
          <w:lang w:val="fr-FR"/>
        </w:rPr>
      </w:pPr>
      <w:r>
        <w:rPr>
          <w:lang w:val="fr-FR"/>
        </w:rPr>
        <w:t>60.</w:t>
      </w:r>
      <w:r w:rsidR="004E072E">
        <w:rPr>
          <w:lang w:val="fr-FR"/>
        </w:rPr>
        <w:tab/>
      </w:r>
      <w:r w:rsidR="00895C96" w:rsidRPr="00895C96">
        <w:rPr>
          <w:lang w:val="fr-FR"/>
        </w:rPr>
        <w:t>Selon l’article 197 de cet avant</w:t>
      </w:r>
      <w:r w:rsidR="0019529F">
        <w:rPr>
          <w:lang w:val="fr-FR"/>
        </w:rPr>
        <w:t>-</w:t>
      </w:r>
      <w:r w:rsidR="00895C96" w:rsidRPr="00895C96">
        <w:rPr>
          <w:lang w:val="fr-FR"/>
        </w:rPr>
        <w:t xml:space="preserve">projet de code, </w:t>
      </w:r>
      <w:r w:rsidR="00895C96" w:rsidRPr="006B1F9B">
        <w:rPr>
          <w:lang w:val="fr-FR"/>
        </w:rPr>
        <w:t>«</w:t>
      </w:r>
      <w:r w:rsidR="00895C96" w:rsidRPr="00895C96">
        <w:rPr>
          <w:lang w:val="fr-FR"/>
        </w:rPr>
        <w:t>Constituent des violences à l’égard des femmes tous les actes de violence dirigés contre le sexe féminin et causant ou pouvant causer aux femmes un préjudice ou des souffrances physiques, sexuelles, psychologiques ou économiques y compris la menace de tels actes, la contrainte ou la privation arbitraire délibérées, que ce soit dans la vie publique ou dans la vie privée, en temps de paix, en situation de conflit ou de guerre.</w:t>
      </w:r>
      <w:r w:rsidR="006B1F9B">
        <w:rPr>
          <w:lang w:val="fr-FR"/>
        </w:rPr>
        <w:t>»</w:t>
      </w:r>
    </w:p>
    <w:p w:rsidR="00895C96" w:rsidRPr="00895C96" w:rsidRDefault="00796452" w:rsidP="00E04030">
      <w:pPr>
        <w:pStyle w:val="SingleTxtG"/>
        <w:rPr>
          <w:lang w:val="fr-FR"/>
        </w:rPr>
      </w:pPr>
      <w:r>
        <w:rPr>
          <w:lang w:val="fr-FR"/>
        </w:rPr>
        <w:t>61.</w:t>
      </w:r>
      <w:r w:rsidR="004E072E">
        <w:rPr>
          <w:lang w:val="fr-FR"/>
        </w:rPr>
        <w:tab/>
      </w:r>
      <w:r w:rsidR="00895C96" w:rsidRPr="00895C96">
        <w:rPr>
          <w:lang w:val="fr-FR"/>
        </w:rPr>
        <w:t>Il s’agit notamment</w:t>
      </w:r>
      <w:r w:rsidR="00F33DC4">
        <w:rPr>
          <w:lang w:val="fr-FR"/>
        </w:rPr>
        <w:t>:</w:t>
      </w:r>
    </w:p>
    <w:p w:rsidR="00895C96" w:rsidRPr="00895C96" w:rsidRDefault="0032147C" w:rsidP="004E072E">
      <w:pPr>
        <w:pStyle w:val="Bullet1G"/>
        <w:rPr>
          <w:lang w:val="fr-FR"/>
        </w:rPr>
      </w:pPr>
      <w:r>
        <w:rPr>
          <w:lang w:val="fr-FR"/>
        </w:rPr>
        <w:t>D</w:t>
      </w:r>
      <w:r w:rsidR="00895C96" w:rsidRPr="0032147C">
        <w:rPr>
          <w:lang w:val="fr-FR"/>
        </w:rPr>
        <w:t>u</w:t>
      </w:r>
      <w:r w:rsidR="00895C96" w:rsidRPr="00895C96">
        <w:rPr>
          <w:lang w:val="fr-FR"/>
        </w:rPr>
        <w:t xml:space="preserve"> harcèlement sexuel</w:t>
      </w:r>
      <w:r w:rsidR="00F33DC4">
        <w:rPr>
          <w:lang w:val="fr-FR"/>
        </w:rPr>
        <w:t>;</w:t>
      </w:r>
    </w:p>
    <w:p w:rsidR="00895C96" w:rsidRPr="00895C96" w:rsidRDefault="0032147C" w:rsidP="004E072E">
      <w:pPr>
        <w:pStyle w:val="Bullet1G"/>
        <w:rPr>
          <w:lang w:val="fr-FR"/>
        </w:rPr>
      </w:pPr>
      <w:r>
        <w:rPr>
          <w:lang w:val="fr-FR"/>
        </w:rPr>
        <w:t>D</w:t>
      </w:r>
      <w:r w:rsidR="00895C96" w:rsidRPr="00895C96">
        <w:rPr>
          <w:lang w:val="fr-FR"/>
        </w:rPr>
        <w:t>u viol commis sur une personne particulièrement vulnérable</w:t>
      </w:r>
      <w:r w:rsidR="00F33DC4">
        <w:rPr>
          <w:lang w:val="fr-FR"/>
        </w:rPr>
        <w:t>;</w:t>
      </w:r>
    </w:p>
    <w:p w:rsidR="00895C96" w:rsidRPr="00895C96" w:rsidRDefault="0032147C" w:rsidP="004E072E">
      <w:pPr>
        <w:pStyle w:val="Bullet1G"/>
        <w:rPr>
          <w:lang w:val="fr-FR"/>
        </w:rPr>
      </w:pPr>
      <w:r>
        <w:rPr>
          <w:lang w:val="fr-FR"/>
        </w:rPr>
        <w:t>D</w:t>
      </w:r>
      <w:r w:rsidR="00895C96" w:rsidRPr="00895C96">
        <w:rPr>
          <w:lang w:val="fr-FR"/>
        </w:rPr>
        <w:t>es violences à l’égard des femmes en temps de paix, en situation de conflit ou de guerre</w:t>
      </w:r>
      <w:r w:rsidR="00F33DC4">
        <w:rPr>
          <w:lang w:val="fr-FR"/>
        </w:rPr>
        <w:t>;</w:t>
      </w:r>
    </w:p>
    <w:p w:rsidR="00895C96" w:rsidRPr="00895C96" w:rsidRDefault="0032147C" w:rsidP="004E072E">
      <w:pPr>
        <w:pStyle w:val="Bullet1G"/>
        <w:rPr>
          <w:lang w:val="fr-FR"/>
        </w:rPr>
      </w:pPr>
      <w:r>
        <w:rPr>
          <w:lang w:val="fr-FR"/>
        </w:rPr>
        <w:t>D</w:t>
      </w:r>
      <w:r w:rsidR="00895C96" w:rsidRPr="00895C96">
        <w:rPr>
          <w:lang w:val="fr-FR"/>
        </w:rPr>
        <w:t>es violences à l’égard des femmes enceintes</w:t>
      </w:r>
      <w:r w:rsidR="00F33DC4">
        <w:rPr>
          <w:lang w:val="fr-FR"/>
        </w:rPr>
        <w:t>;</w:t>
      </w:r>
    </w:p>
    <w:p w:rsidR="00895C96" w:rsidRPr="00895C96" w:rsidRDefault="0032147C" w:rsidP="004E072E">
      <w:pPr>
        <w:pStyle w:val="Bullet1G"/>
        <w:rPr>
          <w:lang w:val="fr-FR"/>
        </w:rPr>
      </w:pPr>
      <w:r>
        <w:rPr>
          <w:lang w:val="fr-FR"/>
        </w:rPr>
        <w:t>D</w:t>
      </w:r>
      <w:r w:rsidR="00895C96" w:rsidRPr="00895C96">
        <w:rPr>
          <w:lang w:val="fr-FR"/>
        </w:rPr>
        <w:t>es violences liées à toutes les formes de mariage forcé</w:t>
      </w:r>
      <w:r w:rsidR="00F33DC4">
        <w:rPr>
          <w:lang w:val="fr-FR"/>
        </w:rPr>
        <w:t>;</w:t>
      </w:r>
    </w:p>
    <w:p w:rsidR="00895C96" w:rsidRPr="00895C96" w:rsidRDefault="0032147C" w:rsidP="004E072E">
      <w:pPr>
        <w:pStyle w:val="Bullet1G"/>
        <w:rPr>
          <w:lang w:val="fr-FR"/>
        </w:rPr>
      </w:pPr>
      <w:r>
        <w:rPr>
          <w:lang w:val="fr-FR"/>
        </w:rPr>
        <w:t>D</w:t>
      </w:r>
      <w:r w:rsidR="00895C96" w:rsidRPr="00895C96">
        <w:rPr>
          <w:lang w:val="fr-FR"/>
        </w:rPr>
        <w:t>es rites inhumains ou dégradants</w:t>
      </w:r>
      <w:r w:rsidR="00F33DC4">
        <w:rPr>
          <w:lang w:val="fr-FR"/>
        </w:rPr>
        <w:t>;</w:t>
      </w:r>
    </w:p>
    <w:p w:rsidR="00895C96" w:rsidRPr="00895C96" w:rsidRDefault="0032147C" w:rsidP="004E072E">
      <w:pPr>
        <w:pStyle w:val="Bullet1G"/>
        <w:rPr>
          <w:lang w:val="fr-FR"/>
        </w:rPr>
      </w:pPr>
      <w:r>
        <w:rPr>
          <w:lang w:val="fr-FR"/>
        </w:rPr>
        <w:t>D</w:t>
      </w:r>
      <w:r w:rsidR="00895C96" w:rsidRPr="00895C96">
        <w:rPr>
          <w:lang w:val="fr-FR"/>
        </w:rPr>
        <w:t>es violences économiques.</w:t>
      </w:r>
    </w:p>
    <w:p w:rsidR="00895C96" w:rsidRPr="00895C96" w:rsidRDefault="00796452" w:rsidP="00E04030">
      <w:pPr>
        <w:pStyle w:val="SingleTxtG"/>
        <w:rPr>
          <w:lang w:val="fr-FR"/>
        </w:rPr>
      </w:pPr>
      <w:r>
        <w:rPr>
          <w:lang w:val="fr-FR"/>
        </w:rPr>
        <w:t>62.</w:t>
      </w:r>
      <w:r w:rsidR="004E072E">
        <w:rPr>
          <w:lang w:val="fr-FR"/>
        </w:rPr>
        <w:tab/>
      </w:r>
      <w:r w:rsidR="00895C96" w:rsidRPr="00895C96">
        <w:rPr>
          <w:lang w:val="fr-FR"/>
        </w:rPr>
        <w:t>La loi n° 2007-005 du 10 janvier 2007 sur la santé de la reproduction en son article 11</w:t>
      </w:r>
      <w:r w:rsidR="00BC3005">
        <w:rPr>
          <w:lang w:val="fr-FR"/>
        </w:rPr>
        <w:t>,</w:t>
      </w:r>
      <w:r w:rsidR="00895C96" w:rsidRPr="00895C96">
        <w:rPr>
          <w:lang w:val="fr-FR"/>
        </w:rPr>
        <w:t xml:space="preserve"> alinéa 2</w:t>
      </w:r>
      <w:r w:rsidR="00BC3005">
        <w:rPr>
          <w:lang w:val="fr-FR"/>
        </w:rPr>
        <w:t>,</w:t>
      </w:r>
      <w:r w:rsidR="00895C96" w:rsidRPr="00895C96">
        <w:rPr>
          <w:lang w:val="fr-FR"/>
        </w:rPr>
        <w:t xml:space="preserve"> dispose qu’ «aucune femme, pour des raisons liées à la sexualité et à la reproduction, ne doit être soumise à la torture, à des contraintes et / ou à des violences telles que: le viol, les mutilations génitales féminines, les mariages forcés et /ou précoces, les grossesses précoces, les grossesses non désirées, et /ou rapprochées, l’exploitation sexuelle, les sévices</w:t>
      </w:r>
      <w:r w:rsidR="00393196">
        <w:rPr>
          <w:lang w:val="fr-FR"/>
        </w:rPr>
        <w:t xml:space="preserve"> </w:t>
      </w:r>
      <w:r w:rsidR="00895C96" w:rsidRPr="00895C96">
        <w:rPr>
          <w:lang w:val="fr-FR"/>
        </w:rPr>
        <w:t>sexuels, le harcèlement et toutes autres formes de violence».</w:t>
      </w:r>
    </w:p>
    <w:p w:rsidR="00895C96" w:rsidRPr="00895C96" w:rsidRDefault="00796452" w:rsidP="00E04030">
      <w:pPr>
        <w:pStyle w:val="SingleTxtG"/>
        <w:rPr>
          <w:lang w:val="fr-FR"/>
        </w:rPr>
      </w:pPr>
      <w:r>
        <w:rPr>
          <w:lang w:val="fr-FR"/>
        </w:rPr>
        <w:t>63.</w:t>
      </w:r>
      <w:r w:rsidR="004E072E">
        <w:rPr>
          <w:lang w:val="fr-FR"/>
        </w:rPr>
        <w:tab/>
      </w:r>
      <w:r w:rsidR="00895C96" w:rsidRPr="00895C96">
        <w:rPr>
          <w:lang w:val="fr-FR"/>
        </w:rPr>
        <w:t xml:space="preserve">La loi n° 98-016 du 17 novembre 1998 interdit toutes les formes de mutilation génitale féminine et réprime cette pratique. </w:t>
      </w:r>
    </w:p>
    <w:p w:rsidR="00895C96" w:rsidRPr="00895C96" w:rsidRDefault="004E072E" w:rsidP="00A15900">
      <w:pPr>
        <w:pStyle w:val="H1G"/>
        <w:rPr>
          <w:lang w:val="fr-FR"/>
        </w:rPr>
      </w:pPr>
      <w:r>
        <w:rPr>
          <w:lang w:val="fr-FR"/>
        </w:rPr>
        <w:tab/>
      </w:r>
      <w:r>
        <w:rPr>
          <w:lang w:val="fr-FR"/>
        </w:rPr>
        <w:tab/>
      </w:r>
      <w:r w:rsidR="00895C96" w:rsidRPr="00895C96">
        <w:rPr>
          <w:lang w:val="fr-FR"/>
        </w:rPr>
        <w:t xml:space="preserve">Droit à la vie, interdiction de la torture et des </w:t>
      </w:r>
      <w:r w:rsidR="00A15900">
        <w:rPr>
          <w:lang w:val="fr-FR"/>
        </w:rPr>
        <w:t xml:space="preserve">peines ou </w:t>
      </w:r>
      <w:r w:rsidR="00895C96" w:rsidRPr="00895C96">
        <w:rPr>
          <w:lang w:val="fr-FR"/>
        </w:rPr>
        <w:t>traitements cruels, inhumains ou dégradants et protection de l’enfant (art.</w:t>
      </w:r>
      <w:r w:rsidR="003D5642">
        <w:rPr>
          <w:lang w:val="fr-FR"/>
        </w:rPr>
        <w:t xml:space="preserve"> </w:t>
      </w:r>
      <w:r w:rsidR="00895C96" w:rsidRPr="00895C96">
        <w:rPr>
          <w:lang w:val="fr-FR"/>
        </w:rPr>
        <w:t>6, 7 et</w:t>
      </w:r>
      <w:r w:rsidR="00393196">
        <w:rPr>
          <w:lang w:val="fr-FR"/>
        </w:rPr>
        <w:t xml:space="preserve"> </w:t>
      </w:r>
      <w:r w:rsidR="00895C96" w:rsidRPr="00895C96">
        <w:rPr>
          <w:lang w:val="fr-FR"/>
        </w:rPr>
        <w:t>24)</w:t>
      </w:r>
    </w:p>
    <w:p w:rsidR="00895C96" w:rsidRPr="00895C96" w:rsidRDefault="004E072E" w:rsidP="004E072E">
      <w:pPr>
        <w:pStyle w:val="H23G"/>
        <w:rPr>
          <w:lang w:val="fr-FR"/>
        </w:rPr>
      </w:pPr>
      <w:r>
        <w:rPr>
          <w:lang w:val="fr-FR"/>
        </w:rPr>
        <w:tab/>
      </w:r>
      <w:r>
        <w:rPr>
          <w:lang w:val="fr-FR"/>
        </w:rPr>
        <w:tab/>
        <w:t xml:space="preserve">Réponse </w:t>
      </w:r>
      <w:r w:rsidR="002C235D">
        <w:rPr>
          <w:lang w:val="fr-FR"/>
        </w:rPr>
        <w:t>au paragraphe 6</w:t>
      </w:r>
      <w:r w:rsidR="002C235D" w:rsidRPr="00B100AF">
        <w:rPr>
          <w:lang w:val="fr-FR"/>
        </w:rPr>
        <w:t xml:space="preserve"> </w:t>
      </w:r>
      <w:r w:rsidR="002C235D">
        <w:rPr>
          <w:lang w:val="fr-FR"/>
        </w:rPr>
        <w:t xml:space="preserve">de la liste de points à traiter </w:t>
      </w:r>
    </w:p>
    <w:p w:rsidR="00895C96" w:rsidRPr="00895C96" w:rsidRDefault="00796452" w:rsidP="00E04030">
      <w:pPr>
        <w:pStyle w:val="SingleTxtG"/>
        <w:rPr>
          <w:lang w:val="fr-FR"/>
        </w:rPr>
      </w:pPr>
      <w:r>
        <w:rPr>
          <w:lang w:val="fr-FR"/>
        </w:rPr>
        <w:t>64.</w:t>
      </w:r>
      <w:r w:rsidR="004E072E">
        <w:rPr>
          <w:lang w:val="fr-FR"/>
        </w:rPr>
        <w:tab/>
      </w:r>
      <w:r w:rsidR="00895C96" w:rsidRPr="00AD0DD1">
        <w:rPr>
          <w:lang w:val="fr-FR"/>
        </w:rPr>
        <w:t>L’</w:t>
      </w:r>
      <w:r w:rsidR="00382281" w:rsidRPr="00AD0DD1">
        <w:rPr>
          <w:lang w:val="fr-FR"/>
        </w:rPr>
        <w:t>avant-</w:t>
      </w:r>
      <w:r w:rsidR="00895C96" w:rsidRPr="00AD0DD1">
        <w:rPr>
          <w:lang w:val="fr-FR"/>
        </w:rPr>
        <w:t xml:space="preserve">projet de loi portant amendement du </w:t>
      </w:r>
      <w:r w:rsidR="001E7B6C" w:rsidRPr="00AD0DD1">
        <w:rPr>
          <w:lang w:val="fr-FR"/>
        </w:rPr>
        <w:t>Code</w:t>
      </w:r>
      <w:r w:rsidR="00895C96" w:rsidRPr="00AD0DD1">
        <w:rPr>
          <w:lang w:val="fr-FR"/>
        </w:rPr>
        <w:t xml:space="preserve"> pénal n’a pas connu </w:t>
      </w:r>
      <w:r w:rsidR="00B93155" w:rsidRPr="00AD0DD1">
        <w:rPr>
          <w:lang w:val="fr-FR"/>
        </w:rPr>
        <w:t>d’</w:t>
      </w:r>
      <w:r w:rsidR="00895C96" w:rsidRPr="00AD0DD1">
        <w:rPr>
          <w:lang w:val="fr-FR"/>
        </w:rPr>
        <w:t>avanc</w:t>
      </w:r>
      <w:r w:rsidR="00B93155" w:rsidRPr="00AD0DD1">
        <w:rPr>
          <w:lang w:val="fr-FR"/>
        </w:rPr>
        <w:t xml:space="preserve">ée </w:t>
      </w:r>
      <w:r w:rsidR="00895C96" w:rsidRPr="00AD0DD1">
        <w:rPr>
          <w:lang w:val="fr-FR"/>
        </w:rPr>
        <w:t>significati</w:t>
      </w:r>
      <w:r w:rsidR="00B93155" w:rsidRPr="00AD0DD1">
        <w:rPr>
          <w:lang w:val="fr-FR"/>
        </w:rPr>
        <w:t>ve</w:t>
      </w:r>
      <w:r w:rsidR="00895C96" w:rsidRPr="00AD0DD1">
        <w:rPr>
          <w:lang w:val="fr-FR"/>
        </w:rPr>
        <w:t xml:space="preserve">. En effet, après </w:t>
      </w:r>
      <w:r w:rsidR="00CF3854">
        <w:rPr>
          <w:lang w:val="fr-FR"/>
        </w:rPr>
        <w:t>s</w:t>
      </w:r>
      <w:r w:rsidR="00895C96" w:rsidRPr="00AD0DD1">
        <w:rPr>
          <w:lang w:val="fr-FR"/>
        </w:rPr>
        <w:t>a validation, certains amendements</w:t>
      </w:r>
      <w:r w:rsidR="00382281" w:rsidRPr="00AD0DD1">
        <w:rPr>
          <w:lang w:val="fr-FR"/>
        </w:rPr>
        <w:t xml:space="preserve"> </w:t>
      </w:r>
      <w:r w:rsidR="00895C96" w:rsidRPr="00AD0DD1">
        <w:rPr>
          <w:lang w:val="fr-FR"/>
        </w:rPr>
        <w:t>de fond et de forme devaient être apportés au document. Ce travail</w:t>
      </w:r>
      <w:r w:rsidR="00382281" w:rsidRPr="00AD0DD1">
        <w:rPr>
          <w:lang w:val="fr-FR"/>
        </w:rPr>
        <w:t xml:space="preserve"> </w:t>
      </w:r>
      <w:r w:rsidR="00AD0DD1">
        <w:rPr>
          <w:lang w:val="fr-FR"/>
        </w:rPr>
        <w:t>avait été</w:t>
      </w:r>
      <w:r w:rsidR="00AD0DD1" w:rsidRPr="00AD0DD1">
        <w:rPr>
          <w:lang w:val="fr-FR"/>
        </w:rPr>
        <w:t xml:space="preserve"> </w:t>
      </w:r>
      <w:r w:rsidR="00895C96" w:rsidRPr="00AD0DD1">
        <w:rPr>
          <w:lang w:val="fr-FR"/>
        </w:rPr>
        <w:t>confié à l’expert commis pour la rédaction de ce texte mais celui-ci est</w:t>
      </w:r>
      <w:r w:rsidR="00382281" w:rsidRPr="00AD0DD1">
        <w:rPr>
          <w:lang w:val="fr-FR"/>
        </w:rPr>
        <w:t xml:space="preserve"> </w:t>
      </w:r>
      <w:r w:rsidR="00895C96" w:rsidRPr="00AD0DD1">
        <w:rPr>
          <w:lang w:val="fr-FR"/>
        </w:rPr>
        <w:t>décédé avant la fin de son travail bloquant ainsi l’évolution du processus. Le Gouvernement est à la recherche d’un financement pour le recrutement d’un consultant afin de finaliser la réécriture de ce code.</w:t>
      </w:r>
    </w:p>
    <w:p w:rsidR="00895C96" w:rsidRPr="00895C96" w:rsidRDefault="00796452" w:rsidP="00E04030">
      <w:pPr>
        <w:pStyle w:val="SingleTxtG"/>
        <w:rPr>
          <w:lang w:val="fr-FR"/>
        </w:rPr>
      </w:pPr>
      <w:r>
        <w:rPr>
          <w:lang w:val="fr-FR"/>
        </w:rPr>
        <w:t>65.</w:t>
      </w:r>
      <w:r w:rsidR="004E072E">
        <w:rPr>
          <w:lang w:val="fr-FR"/>
        </w:rPr>
        <w:tab/>
      </w:r>
      <w:r w:rsidR="00895C96" w:rsidRPr="00895C96">
        <w:rPr>
          <w:lang w:val="fr-FR"/>
        </w:rPr>
        <w:t xml:space="preserve">Ce projet de loi </w:t>
      </w:r>
      <w:r w:rsidR="00274ECB">
        <w:rPr>
          <w:lang w:val="fr-FR"/>
        </w:rPr>
        <w:t>vise à donner effet dans le droit interne à</w:t>
      </w:r>
      <w:r w:rsidR="00274ECB" w:rsidRPr="00895C96">
        <w:rPr>
          <w:lang w:val="fr-FR"/>
        </w:rPr>
        <w:t xml:space="preserve"> </w:t>
      </w:r>
      <w:r w:rsidR="00895C96" w:rsidRPr="00895C96">
        <w:rPr>
          <w:lang w:val="fr-FR"/>
        </w:rPr>
        <w:t xml:space="preserve">tous les accords internationaux et régionaux ratifiés par le Togo et dont l’incorporation dans les textes pénaux internes </w:t>
      </w:r>
      <w:r w:rsidR="006C61D0">
        <w:rPr>
          <w:lang w:val="fr-FR"/>
        </w:rPr>
        <w:t>est</w:t>
      </w:r>
      <w:r w:rsidR="006C61D0" w:rsidRPr="00895C96">
        <w:rPr>
          <w:lang w:val="fr-FR"/>
        </w:rPr>
        <w:t xml:space="preserve"> </w:t>
      </w:r>
      <w:r w:rsidR="00895C96" w:rsidRPr="00895C96">
        <w:rPr>
          <w:lang w:val="fr-FR"/>
        </w:rPr>
        <w:t xml:space="preserve">nécessaire pour </w:t>
      </w:r>
      <w:r w:rsidR="00274ECB">
        <w:rPr>
          <w:lang w:val="fr-FR"/>
        </w:rPr>
        <w:t xml:space="preserve">permettre </w:t>
      </w:r>
      <w:r w:rsidR="00895C96" w:rsidRPr="00895C96">
        <w:rPr>
          <w:lang w:val="fr-FR"/>
        </w:rPr>
        <w:t>leur application par le juge pour sanctionner les faits identifiés par ces accords comme constitutifs d’</w:t>
      </w:r>
      <w:r w:rsidR="006C61D0">
        <w:rPr>
          <w:lang w:val="fr-FR"/>
        </w:rPr>
        <w:t xml:space="preserve">une </w:t>
      </w:r>
      <w:r w:rsidR="00895C96" w:rsidRPr="00895C96">
        <w:rPr>
          <w:lang w:val="fr-FR"/>
        </w:rPr>
        <w:t xml:space="preserve">infraction. </w:t>
      </w:r>
    </w:p>
    <w:p w:rsidR="00895C96" w:rsidRPr="00895C96" w:rsidRDefault="00796452" w:rsidP="00E04030">
      <w:pPr>
        <w:pStyle w:val="SingleTxtG"/>
        <w:rPr>
          <w:lang w:val="fr-FR"/>
        </w:rPr>
      </w:pPr>
      <w:r>
        <w:rPr>
          <w:lang w:val="fr-FR"/>
        </w:rPr>
        <w:t>66.</w:t>
      </w:r>
      <w:r w:rsidR="004E072E">
        <w:rPr>
          <w:lang w:val="fr-FR"/>
        </w:rPr>
        <w:tab/>
      </w:r>
      <w:r w:rsidR="00895C96" w:rsidRPr="00895C96">
        <w:rPr>
          <w:lang w:val="fr-FR"/>
        </w:rPr>
        <w:t xml:space="preserve">De ce fait, sont incorporées au </w:t>
      </w:r>
      <w:r w:rsidR="001E7B6C">
        <w:rPr>
          <w:lang w:val="fr-FR"/>
        </w:rPr>
        <w:t>Code</w:t>
      </w:r>
      <w:r w:rsidR="00895C96" w:rsidRPr="00895C96">
        <w:rPr>
          <w:lang w:val="fr-FR"/>
        </w:rPr>
        <w:t xml:space="preserve"> pénal les infractions relatives au terrorisme, au racisme, à la discrimination, aux violences faites aux femmes, au crime de génocide, au crime contre l’humanité, au crime de guerre, à la torture et autres peines ou traitements cruels, inhumains ou dégradants, au crime d’apartheid, au trafic des adultes, aux infractions relatives au VIH/sida, à la prise d’otage</w:t>
      </w:r>
      <w:r w:rsidR="006C61D0">
        <w:rPr>
          <w:lang w:val="fr-FR"/>
        </w:rPr>
        <w:t xml:space="preserve"> et</w:t>
      </w:r>
      <w:r w:rsidR="00895C96" w:rsidRPr="00895C96">
        <w:rPr>
          <w:lang w:val="fr-FR"/>
        </w:rPr>
        <w:t xml:space="preserve"> au financement du terrorisme.</w:t>
      </w:r>
    </w:p>
    <w:p w:rsidR="00895C96" w:rsidRPr="00895C96" w:rsidRDefault="00796452" w:rsidP="00E04030">
      <w:pPr>
        <w:pStyle w:val="SingleTxtG"/>
        <w:rPr>
          <w:lang w:val="fr-FR"/>
        </w:rPr>
      </w:pPr>
      <w:r>
        <w:rPr>
          <w:lang w:val="fr-FR"/>
        </w:rPr>
        <w:t>67.</w:t>
      </w:r>
      <w:r w:rsidR="004E072E">
        <w:rPr>
          <w:lang w:val="fr-FR"/>
        </w:rPr>
        <w:tab/>
      </w:r>
      <w:r w:rsidR="00895C96" w:rsidRPr="00895C96">
        <w:rPr>
          <w:lang w:val="fr-FR"/>
        </w:rPr>
        <w:t xml:space="preserve">L’article 177 indique que les infractions visées à l’article 176 sont punies de cinq (5) à dix (10) ans de réclusion. </w:t>
      </w:r>
    </w:p>
    <w:p w:rsidR="00895C96" w:rsidRPr="00895C96" w:rsidRDefault="00796452" w:rsidP="00E04030">
      <w:pPr>
        <w:pStyle w:val="SingleTxtG"/>
        <w:rPr>
          <w:lang w:val="fr-FR"/>
        </w:rPr>
      </w:pPr>
      <w:r>
        <w:rPr>
          <w:lang w:val="fr-FR"/>
        </w:rPr>
        <w:t>68.</w:t>
      </w:r>
      <w:r w:rsidR="004E072E">
        <w:rPr>
          <w:lang w:val="fr-FR"/>
        </w:rPr>
        <w:tab/>
      </w:r>
      <w:r w:rsidR="00895C96" w:rsidRPr="00895C96">
        <w:rPr>
          <w:lang w:val="fr-FR"/>
        </w:rPr>
        <w:t>Il serait prétentieux d’affirmer qu’il n’y a pas au Togo d</w:t>
      </w:r>
      <w:r w:rsidR="00697DD2">
        <w:rPr>
          <w:lang w:val="fr-FR"/>
        </w:rPr>
        <w:t>’</w:t>
      </w:r>
      <w:r w:rsidR="00895C96" w:rsidRPr="00895C96">
        <w:rPr>
          <w:lang w:val="fr-FR"/>
        </w:rPr>
        <w:t>actes qualifiés de torture ou de mauvais traitements exercés par les agents de l’</w:t>
      </w:r>
      <w:r w:rsidR="0031439D">
        <w:rPr>
          <w:lang w:val="fr-FR"/>
        </w:rPr>
        <w:t>É</w:t>
      </w:r>
      <w:r w:rsidR="00895C96" w:rsidRPr="00895C96">
        <w:rPr>
          <w:lang w:val="fr-FR"/>
        </w:rPr>
        <w:t>tat. Cette situation est liée à l’imperfection de toute société humaine. Mais il est exagéré de dire qu’au Togo il y a une pratique généralisée des mauvais traitements de la part des agents de l’</w:t>
      </w:r>
      <w:r w:rsidR="001E7B6C">
        <w:rPr>
          <w:lang w:val="fr-FR"/>
        </w:rPr>
        <w:t xml:space="preserve">État </w:t>
      </w:r>
      <w:r w:rsidR="00895C96" w:rsidRPr="00895C96">
        <w:rPr>
          <w:lang w:val="fr-FR"/>
        </w:rPr>
        <w:t>qui bénéficieraient</w:t>
      </w:r>
      <w:r w:rsidR="00382281">
        <w:rPr>
          <w:lang w:val="fr-FR"/>
        </w:rPr>
        <w:t xml:space="preserve"> </w:t>
      </w:r>
      <w:r w:rsidR="00895C96" w:rsidRPr="00895C96">
        <w:rPr>
          <w:lang w:val="fr-FR"/>
        </w:rPr>
        <w:t xml:space="preserve">d’une impunité. </w:t>
      </w:r>
    </w:p>
    <w:p w:rsidR="00895C96" w:rsidRPr="00895C96" w:rsidRDefault="00796452" w:rsidP="00E04030">
      <w:pPr>
        <w:pStyle w:val="SingleTxtG"/>
        <w:rPr>
          <w:lang w:val="fr-FR"/>
        </w:rPr>
      </w:pPr>
      <w:r>
        <w:rPr>
          <w:lang w:val="fr-FR"/>
        </w:rPr>
        <w:t>69.</w:t>
      </w:r>
      <w:r w:rsidR="004E072E">
        <w:rPr>
          <w:lang w:val="fr-FR"/>
        </w:rPr>
        <w:tab/>
      </w:r>
      <w:r w:rsidR="00895C96" w:rsidRPr="00895C96">
        <w:rPr>
          <w:lang w:val="fr-FR"/>
        </w:rPr>
        <w:t xml:space="preserve">Il faut relever qu’aucune plainte </w:t>
      </w:r>
      <w:r w:rsidR="00380D21">
        <w:rPr>
          <w:lang w:val="fr-FR"/>
        </w:rPr>
        <w:t>dans</w:t>
      </w:r>
      <w:r w:rsidR="00895C96" w:rsidRPr="00895C96">
        <w:rPr>
          <w:lang w:val="fr-FR"/>
        </w:rPr>
        <w:t xml:space="preserve"> l’état actuel du </w:t>
      </w:r>
      <w:r w:rsidR="001E7B6C">
        <w:rPr>
          <w:lang w:val="fr-FR"/>
        </w:rPr>
        <w:t>Code</w:t>
      </w:r>
      <w:r w:rsidR="00895C96" w:rsidRPr="00895C96">
        <w:rPr>
          <w:lang w:val="fr-FR"/>
        </w:rPr>
        <w:t xml:space="preserve"> pénal ne peut être reçue sous la qualification de torture ou de mauvais traitements au sens de l’article 1</w:t>
      </w:r>
      <w:r w:rsidR="00895C96" w:rsidRPr="00895C96">
        <w:rPr>
          <w:vertAlign w:val="superscript"/>
          <w:lang w:val="fr-FR"/>
        </w:rPr>
        <w:t>er</w:t>
      </w:r>
      <w:r w:rsidR="00895C96" w:rsidRPr="00895C96">
        <w:rPr>
          <w:lang w:val="fr-FR"/>
        </w:rPr>
        <w:t xml:space="preserve"> de la </w:t>
      </w:r>
      <w:r w:rsidR="00380D21">
        <w:rPr>
          <w:lang w:val="fr-FR"/>
        </w:rPr>
        <w:t>C</w:t>
      </w:r>
      <w:r w:rsidR="00895C96" w:rsidRPr="00895C96">
        <w:rPr>
          <w:lang w:val="fr-FR"/>
        </w:rPr>
        <w:t xml:space="preserve">onvention contre la torture </w:t>
      </w:r>
      <w:r w:rsidR="00380D21">
        <w:rPr>
          <w:lang w:val="fr-FR"/>
        </w:rPr>
        <w:t xml:space="preserve">et autres peines ou traitements cruels, inhumains ou dégradants </w:t>
      </w:r>
      <w:r w:rsidR="00895C96" w:rsidRPr="00895C96">
        <w:rPr>
          <w:lang w:val="fr-FR"/>
        </w:rPr>
        <w:t xml:space="preserve">tant que l’avant-projet de loi portant amendement du </w:t>
      </w:r>
      <w:r w:rsidR="001E7B6C">
        <w:rPr>
          <w:lang w:val="fr-FR"/>
        </w:rPr>
        <w:t>Code</w:t>
      </w:r>
      <w:r w:rsidR="00895C96" w:rsidRPr="00895C96">
        <w:rPr>
          <w:lang w:val="fr-FR"/>
        </w:rPr>
        <w:t xml:space="preserve"> pénal n’est pas encore une loi pouvant recevoir application. </w:t>
      </w:r>
      <w:r w:rsidR="00096734">
        <w:rPr>
          <w:lang w:val="fr-FR"/>
        </w:rPr>
        <w:t>L</w:t>
      </w:r>
      <w:r w:rsidR="00895C96" w:rsidRPr="00895C96">
        <w:rPr>
          <w:lang w:val="fr-FR"/>
        </w:rPr>
        <w:t xml:space="preserve">es plaintes ne peuvent en conséquence être déposées que pour violences volontaires dans les cas où l’on peut relever les éléments constitutifs de cette infraction. Elles le peuvent aussi sous la qualification de menaces. Dans ce contexte, il serait fastidieux de vouloir dénombrer le nombre de plaintes tant elles vont des blessures reçues au cours des rixes de ménage, scolaires, professionnelles que dans les procédures de privation de liberté. </w:t>
      </w:r>
    </w:p>
    <w:p w:rsidR="00895C96" w:rsidRPr="00895C96" w:rsidRDefault="00796452" w:rsidP="00E04030">
      <w:pPr>
        <w:pStyle w:val="SingleTxtG"/>
        <w:rPr>
          <w:lang w:val="fr-FR"/>
        </w:rPr>
      </w:pPr>
      <w:r>
        <w:rPr>
          <w:lang w:val="fr-FR"/>
        </w:rPr>
        <w:t>70.</w:t>
      </w:r>
      <w:r w:rsidR="004E072E">
        <w:rPr>
          <w:lang w:val="fr-FR"/>
        </w:rPr>
        <w:tab/>
      </w:r>
      <w:r w:rsidR="00895C96" w:rsidRPr="00895C96">
        <w:rPr>
          <w:lang w:val="fr-FR"/>
        </w:rPr>
        <w:t xml:space="preserve">Il est à noter que rarement des plaintes sont déposées contre les agents </w:t>
      </w:r>
      <w:r w:rsidR="00096734">
        <w:rPr>
          <w:lang w:val="fr-FR"/>
        </w:rPr>
        <w:t xml:space="preserve">opérant dans le cadre </w:t>
      </w:r>
      <w:r w:rsidR="00895C96" w:rsidRPr="00895C96">
        <w:rPr>
          <w:lang w:val="fr-FR"/>
        </w:rPr>
        <w:t>d</w:t>
      </w:r>
      <w:r w:rsidR="00096734">
        <w:rPr>
          <w:lang w:val="fr-FR"/>
        </w:rPr>
        <w:t>’un</w:t>
      </w:r>
      <w:r w:rsidR="00895C96" w:rsidRPr="00895C96">
        <w:rPr>
          <w:lang w:val="fr-FR"/>
        </w:rPr>
        <w:t>e privation de liberté ou d</w:t>
      </w:r>
      <w:r w:rsidR="00096734">
        <w:rPr>
          <w:lang w:val="fr-FR"/>
        </w:rPr>
        <w:t>’un</w:t>
      </w:r>
      <w:r w:rsidR="00895C96" w:rsidRPr="00895C96">
        <w:rPr>
          <w:lang w:val="fr-FR"/>
        </w:rPr>
        <w:t xml:space="preserve">e procédure d’enquête. </w:t>
      </w:r>
      <w:r w:rsidR="00675968">
        <w:rPr>
          <w:lang w:val="fr-FR"/>
        </w:rPr>
        <w:t>O</w:t>
      </w:r>
      <w:r w:rsidR="00895C96" w:rsidRPr="00895C96">
        <w:rPr>
          <w:lang w:val="fr-FR"/>
        </w:rPr>
        <w:t xml:space="preserve">n peut toujours, par </w:t>
      </w:r>
      <w:r w:rsidR="00675968">
        <w:rPr>
          <w:lang w:val="fr-FR"/>
        </w:rPr>
        <w:t xml:space="preserve">la </w:t>
      </w:r>
      <w:r w:rsidR="00895C96" w:rsidRPr="00895C96">
        <w:rPr>
          <w:lang w:val="fr-FR"/>
        </w:rPr>
        <w:t>rumeur, apprendre qu’il y a eu dans tel poste de police ou</w:t>
      </w:r>
      <w:r w:rsidR="00675968">
        <w:rPr>
          <w:lang w:val="fr-FR"/>
        </w:rPr>
        <w:t xml:space="preserve"> telle</w:t>
      </w:r>
      <w:r w:rsidR="00895C96" w:rsidRPr="00895C96">
        <w:rPr>
          <w:lang w:val="fr-FR"/>
        </w:rPr>
        <w:t xml:space="preserve"> brigade de gendarmerie des faits qualifiés de violences, mais les victimes rarement confirment ces faits devant une autorité judiciaire. Il y a</w:t>
      </w:r>
      <w:r w:rsidR="00675968">
        <w:rPr>
          <w:lang w:val="fr-FR"/>
        </w:rPr>
        <w:t>,</w:t>
      </w:r>
      <w:r w:rsidR="00895C96" w:rsidRPr="00895C96">
        <w:rPr>
          <w:lang w:val="fr-FR"/>
        </w:rPr>
        <w:t xml:space="preserve"> cependant, des cas </w:t>
      </w:r>
      <w:r w:rsidR="00675968">
        <w:rPr>
          <w:lang w:val="fr-FR"/>
        </w:rPr>
        <w:t xml:space="preserve">où </w:t>
      </w:r>
      <w:r w:rsidR="00895C96" w:rsidRPr="00895C96">
        <w:rPr>
          <w:lang w:val="fr-FR"/>
        </w:rPr>
        <w:t>de</w:t>
      </w:r>
      <w:r w:rsidR="00675968">
        <w:rPr>
          <w:lang w:val="fr-FR"/>
        </w:rPr>
        <w:t>s</w:t>
      </w:r>
      <w:r w:rsidR="00895C96" w:rsidRPr="00895C96">
        <w:rPr>
          <w:lang w:val="fr-FR"/>
        </w:rPr>
        <w:t xml:space="preserve"> déclarations</w:t>
      </w:r>
      <w:r w:rsidR="00675968">
        <w:rPr>
          <w:lang w:val="fr-FR"/>
        </w:rPr>
        <w:t xml:space="preserve"> sont faites</w:t>
      </w:r>
      <w:r w:rsidR="00895C96" w:rsidRPr="00895C96">
        <w:rPr>
          <w:lang w:val="fr-FR"/>
        </w:rPr>
        <w:t xml:space="preserve">, lors des audiences publiques des tribunaux, relatives à des faits de violence ou de menace pour extorquer l’aveu. Ces déclarations visent plus à faire annuler une déposition qu’à porter plainte. En tout état de cause, l’absence de statistique rend difficile une réponse exacte en ce qui concerne ce genre de déclarations ou de plaintes. Sûrement que l’informatisation des greffes et des secrétariats des parquets pourrait rendre possibles </w:t>
      </w:r>
      <w:r w:rsidR="00675968">
        <w:rPr>
          <w:lang w:val="fr-FR"/>
        </w:rPr>
        <w:t>de telles</w:t>
      </w:r>
      <w:r w:rsidR="00675968" w:rsidRPr="00895C96">
        <w:rPr>
          <w:lang w:val="fr-FR"/>
        </w:rPr>
        <w:t xml:space="preserve"> </w:t>
      </w:r>
      <w:r w:rsidR="00895C96" w:rsidRPr="00895C96">
        <w:rPr>
          <w:lang w:val="fr-FR"/>
        </w:rPr>
        <w:t>statistiques à l’avenir.</w:t>
      </w:r>
    </w:p>
    <w:p w:rsidR="00895C96" w:rsidRPr="00895C96" w:rsidRDefault="004E072E" w:rsidP="004E072E">
      <w:pPr>
        <w:pStyle w:val="H23G"/>
        <w:rPr>
          <w:lang w:val="fr-FR"/>
        </w:rPr>
      </w:pPr>
      <w:r>
        <w:rPr>
          <w:lang w:val="fr-FR"/>
        </w:rPr>
        <w:tab/>
      </w:r>
      <w:r>
        <w:rPr>
          <w:lang w:val="fr-FR"/>
        </w:rPr>
        <w:tab/>
      </w:r>
      <w:r w:rsidR="00895C96" w:rsidRPr="00895C96">
        <w:rPr>
          <w:lang w:val="fr-FR"/>
        </w:rPr>
        <w:t xml:space="preserve">Réponse </w:t>
      </w:r>
      <w:r w:rsidR="00514B43">
        <w:rPr>
          <w:lang w:val="fr-FR"/>
        </w:rPr>
        <w:t>au paragraphe 7</w:t>
      </w:r>
      <w:r w:rsidR="00514B43" w:rsidRPr="00B100AF">
        <w:rPr>
          <w:lang w:val="fr-FR"/>
        </w:rPr>
        <w:t xml:space="preserve"> </w:t>
      </w:r>
      <w:r w:rsidR="00514B43">
        <w:rPr>
          <w:lang w:val="fr-FR"/>
        </w:rPr>
        <w:t xml:space="preserve">de la liste de points à traiter </w:t>
      </w:r>
    </w:p>
    <w:p w:rsidR="00895C96" w:rsidRPr="00895C96" w:rsidRDefault="00796452" w:rsidP="00E04030">
      <w:pPr>
        <w:pStyle w:val="SingleTxtG"/>
        <w:rPr>
          <w:lang w:val="fr-FR"/>
        </w:rPr>
      </w:pPr>
      <w:r>
        <w:rPr>
          <w:lang w:val="fr-FR"/>
        </w:rPr>
        <w:t>71.</w:t>
      </w:r>
      <w:r w:rsidR="004E072E">
        <w:rPr>
          <w:lang w:val="fr-FR"/>
        </w:rPr>
        <w:tab/>
      </w:r>
      <w:r w:rsidR="00895C96" w:rsidRPr="00895C96">
        <w:rPr>
          <w:lang w:val="fr-FR"/>
        </w:rPr>
        <w:t>Les exécutions extrajudiciaires relèvent au Togo du non</w:t>
      </w:r>
      <w:r w:rsidR="005958F0">
        <w:rPr>
          <w:lang w:val="fr-FR"/>
        </w:rPr>
        <w:t>-</w:t>
      </w:r>
      <w:r w:rsidR="00895C96" w:rsidRPr="00895C96">
        <w:rPr>
          <w:lang w:val="fr-FR"/>
        </w:rPr>
        <w:t>respect des règles d</w:t>
      </w:r>
      <w:r w:rsidR="005958F0">
        <w:rPr>
          <w:lang w:val="fr-FR"/>
        </w:rPr>
        <w:t>u</w:t>
      </w:r>
      <w:r w:rsidR="00895C96" w:rsidRPr="00895C96">
        <w:rPr>
          <w:lang w:val="fr-FR"/>
        </w:rPr>
        <w:t xml:space="preserve"> droit positif. Elles sont donc interdites. Tout auteur d’une exécution extrajudiciaire est considéré </w:t>
      </w:r>
      <w:r w:rsidR="00895C96" w:rsidRPr="00034120">
        <w:rPr>
          <w:lang w:val="fr-FR"/>
        </w:rPr>
        <w:t xml:space="preserve">comme </w:t>
      </w:r>
      <w:r w:rsidR="005958F0" w:rsidRPr="00034120">
        <w:rPr>
          <w:lang w:val="fr-FR"/>
        </w:rPr>
        <w:t xml:space="preserve">en </w:t>
      </w:r>
      <w:r w:rsidR="00895C96" w:rsidRPr="00034120">
        <w:rPr>
          <w:lang w:val="fr-FR"/>
        </w:rPr>
        <w:t>infract</w:t>
      </w:r>
      <w:r w:rsidR="005958F0" w:rsidRPr="00034120">
        <w:rPr>
          <w:lang w:val="fr-FR"/>
        </w:rPr>
        <w:t>ion</w:t>
      </w:r>
      <w:r w:rsidR="005958F0">
        <w:rPr>
          <w:lang w:val="fr-FR"/>
        </w:rPr>
        <w:t xml:space="preserve"> </w:t>
      </w:r>
      <w:r w:rsidR="00895C96" w:rsidRPr="00895C96">
        <w:rPr>
          <w:lang w:val="fr-FR"/>
        </w:rPr>
        <w:t>e</w:t>
      </w:r>
      <w:r w:rsidR="00895C96" w:rsidRPr="00034120">
        <w:rPr>
          <w:lang w:val="fr-FR"/>
        </w:rPr>
        <w:t>t passible des peines prévues pour réprimer l’acte extrajudiciaire</w:t>
      </w:r>
      <w:r w:rsidR="00895C96" w:rsidRPr="00895C96">
        <w:rPr>
          <w:lang w:val="fr-FR"/>
        </w:rPr>
        <w:t xml:space="preserve"> posé. Le Togo en abolissant la peine de mort dans son </w:t>
      </w:r>
      <w:r w:rsidR="001E7B6C">
        <w:rPr>
          <w:lang w:val="fr-FR"/>
        </w:rPr>
        <w:t>Code</w:t>
      </w:r>
      <w:r w:rsidR="00895C96" w:rsidRPr="00895C96">
        <w:rPr>
          <w:lang w:val="fr-FR"/>
        </w:rPr>
        <w:t xml:space="preserve"> pénal a voulu interdire les exécutions judiciaires. Il s’agit là d’une mesure forte pour affirmer que la vie est sacrée et que même l’</w:t>
      </w:r>
      <w:r w:rsidR="0031439D">
        <w:rPr>
          <w:lang w:val="fr-FR"/>
        </w:rPr>
        <w:t>É</w:t>
      </w:r>
      <w:r w:rsidR="00895C96" w:rsidRPr="00895C96">
        <w:rPr>
          <w:lang w:val="fr-FR"/>
        </w:rPr>
        <w:t>tat, quelle que soit la faute commise par un citoyen, n’a pas le droit de lui ôter la vie. Cette position du Togo induit l’interdiction des exécutions extrajudiciaires.</w:t>
      </w:r>
    </w:p>
    <w:p w:rsidR="00895C96" w:rsidRPr="00895C96" w:rsidRDefault="00796452" w:rsidP="00E04030">
      <w:pPr>
        <w:pStyle w:val="SingleTxtG"/>
        <w:rPr>
          <w:lang w:val="fr-FR"/>
        </w:rPr>
      </w:pPr>
      <w:r>
        <w:rPr>
          <w:lang w:val="fr-FR"/>
        </w:rPr>
        <w:t>72.</w:t>
      </w:r>
      <w:r w:rsidR="004E072E">
        <w:rPr>
          <w:lang w:val="fr-FR"/>
        </w:rPr>
        <w:tab/>
      </w:r>
      <w:r w:rsidR="00895C96" w:rsidRPr="00895C96">
        <w:rPr>
          <w:lang w:val="fr-FR"/>
        </w:rPr>
        <w:t xml:space="preserve">En ce qui concerne l’interdiction de la torture et autres peines ou traitements cruels, inhumains ou dégradants, la première disposition </w:t>
      </w:r>
      <w:r w:rsidR="009B21A9">
        <w:rPr>
          <w:lang w:val="fr-FR"/>
        </w:rPr>
        <w:t xml:space="preserve">prise </w:t>
      </w:r>
      <w:r w:rsidR="00895C96" w:rsidRPr="00895C96">
        <w:rPr>
          <w:lang w:val="fr-FR"/>
        </w:rPr>
        <w:t>est l’</w:t>
      </w:r>
      <w:r w:rsidR="00382281">
        <w:rPr>
          <w:lang w:val="fr-FR"/>
        </w:rPr>
        <w:t>avant-</w:t>
      </w:r>
      <w:r w:rsidR="00895C96" w:rsidRPr="00895C96">
        <w:rPr>
          <w:lang w:val="fr-FR"/>
        </w:rPr>
        <w:t xml:space="preserve">projet de loi portant amendement du </w:t>
      </w:r>
      <w:r w:rsidR="001E7B6C">
        <w:rPr>
          <w:lang w:val="fr-FR"/>
        </w:rPr>
        <w:t>Code</w:t>
      </w:r>
      <w:r w:rsidR="00895C96" w:rsidRPr="00895C96">
        <w:rPr>
          <w:lang w:val="fr-FR"/>
        </w:rPr>
        <w:t xml:space="preserve"> pénal. La deuxième est la ratification en 2010 du </w:t>
      </w:r>
      <w:r w:rsidR="009B21A9">
        <w:rPr>
          <w:lang w:val="fr-FR"/>
        </w:rPr>
        <w:t>P</w:t>
      </w:r>
      <w:r w:rsidR="00895C96" w:rsidRPr="00895C96">
        <w:rPr>
          <w:lang w:val="fr-FR"/>
        </w:rPr>
        <w:t xml:space="preserve">rotocole facultatif </w:t>
      </w:r>
      <w:r w:rsidR="009B21A9">
        <w:rPr>
          <w:lang w:val="fr-FR"/>
        </w:rPr>
        <w:t xml:space="preserve">se rapportant </w:t>
      </w:r>
      <w:r w:rsidR="00895C96" w:rsidRPr="00895C96">
        <w:rPr>
          <w:lang w:val="fr-FR"/>
        </w:rPr>
        <w:t xml:space="preserve">à la </w:t>
      </w:r>
      <w:r w:rsidR="009B21A9">
        <w:rPr>
          <w:lang w:val="fr-FR"/>
        </w:rPr>
        <w:t>C</w:t>
      </w:r>
      <w:r w:rsidR="00895C96" w:rsidRPr="00895C96">
        <w:rPr>
          <w:lang w:val="fr-FR"/>
        </w:rPr>
        <w:t xml:space="preserve">onvention contre la torture et autres peines ou traitements cruels, inhumains ou dégradants. Cette ratification </w:t>
      </w:r>
      <w:r w:rsidR="009B21A9">
        <w:rPr>
          <w:lang w:val="fr-FR"/>
        </w:rPr>
        <w:t xml:space="preserve">a été </w:t>
      </w:r>
      <w:r w:rsidR="00895C96" w:rsidRPr="00895C96">
        <w:rPr>
          <w:lang w:val="fr-FR"/>
        </w:rPr>
        <w:t xml:space="preserve">suivie </w:t>
      </w:r>
      <w:r w:rsidR="009B21A9">
        <w:rPr>
          <w:lang w:val="fr-FR"/>
        </w:rPr>
        <w:t>par</w:t>
      </w:r>
      <w:r w:rsidR="009B21A9" w:rsidRPr="00895C96">
        <w:rPr>
          <w:lang w:val="fr-FR"/>
        </w:rPr>
        <w:t xml:space="preserve"> </w:t>
      </w:r>
      <w:r w:rsidR="00895C96" w:rsidRPr="00895C96">
        <w:rPr>
          <w:lang w:val="fr-FR"/>
        </w:rPr>
        <w:t xml:space="preserve">la rédaction d’un </w:t>
      </w:r>
      <w:r w:rsidR="00382281">
        <w:rPr>
          <w:lang w:val="fr-FR"/>
        </w:rPr>
        <w:t>avant-</w:t>
      </w:r>
      <w:r w:rsidR="00895C96" w:rsidRPr="00895C96">
        <w:rPr>
          <w:lang w:val="fr-FR"/>
        </w:rPr>
        <w:t xml:space="preserve">projet de loi créant l’Observatoire National des lieux de Privation de Liberté (ONPL). </w:t>
      </w:r>
      <w:r w:rsidR="00C25AC8">
        <w:rPr>
          <w:lang w:val="fr-FR"/>
        </w:rPr>
        <w:t>D</w:t>
      </w:r>
      <w:r w:rsidR="00895C96" w:rsidRPr="00895C96">
        <w:rPr>
          <w:lang w:val="fr-FR"/>
        </w:rPr>
        <w:t>es dispositions sont en cours pour valid</w:t>
      </w:r>
      <w:r w:rsidR="00C25AC8">
        <w:rPr>
          <w:lang w:val="fr-FR"/>
        </w:rPr>
        <w:t xml:space="preserve">er </w:t>
      </w:r>
      <w:r w:rsidR="00895C96" w:rsidRPr="00895C96">
        <w:rPr>
          <w:lang w:val="fr-FR"/>
        </w:rPr>
        <w:t xml:space="preserve">cet </w:t>
      </w:r>
      <w:r w:rsidR="00382281">
        <w:rPr>
          <w:lang w:val="fr-FR"/>
        </w:rPr>
        <w:t>avant-</w:t>
      </w:r>
      <w:r w:rsidR="00895C96" w:rsidRPr="00895C96">
        <w:rPr>
          <w:lang w:val="fr-FR"/>
        </w:rPr>
        <w:t>projet de loi rédigé avec la participation des institutions et des organisations de défense des droits de l’homme telle</w:t>
      </w:r>
      <w:r w:rsidR="00B908BC">
        <w:rPr>
          <w:lang w:val="fr-FR"/>
        </w:rPr>
        <w:t>s</w:t>
      </w:r>
      <w:r w:rsidR="00895C96" w:rsidRPr="00895C96">
        <w:rPr>
          <w:lang w:val="fr-FR"/>
        </w:rPr>
        <w:t xml:space="preserve"> que la CNDH, l’Action des Chrétiens pour l’Abolition de la Torture (ACAT-TOGO) </w:t>
      </w:r>
      <w:r w:rsidR="00B908BC">
        <w:rPr>
          <w:lang w:val="fr-FR"/>
        </w:rPr>
        <w:t>et</w:t>
      </w:r>
      <w:r w:rsidR="00B908BC" w:rsidRPr="00895C96">
        <w:rPr>
          <w:lang w:val="fr-FR"/>
        </w:rPr>
        <w:t xml:space="preserve"> </w:t>
      </w:r>
      <w:r w:rsidR="00895C96" w:rsidRPr="00895C96">
        <w:rPr>
          <w:lang w:val="fr-FR"/>
        </w:rPr>
        <w:t>le soutien du Haut</w:t>
      </w:r>
      <w:r w:rsidR="0031439D">
        <w:rPr>
          <w:lang w:val="fr-FR"/>
        </w:rPr>
        <w:t>-</w:t>
      </w:r>
      <w:r w:rsidR="00895C96" w:rsidRPr="00895C96">
        <w:rPr>
          <w:lang w:val="fr-FR"/>
        </w:rPr>
        <w:t xml:space="preserve">Commissariat aux </w:t>
      </w:r>
      <w:r w:rsidR="0031439D">
        <w:rPr>
          <w:lang w:val="fr-FR"/>
        </w:rPr>
        <w:t>d</w:t>
      </w:r>
      <w:r w:rsidR="00895C96" w:rsidRPr="00895C96">
        <w:rPr>
          <w:lang w:val="fr-FR"/>
        </w:rPr>
        <w:t>roits de l’</w:t>
      </w:r>
      <w:r w:rsidR="0031439D">
        <w:rPr>
          <w:lang w:val="fr-FR"/>
        </w:rPr>
        <w:t>h</w:t>
      </w:r>
      <w:r w:rsidR="00895C96" w:rsidRPr="00895C96">
        <w:rPr>
          <w:lang w:val="fr-FR"/>
        </w:rPr>
        <w:t>omme</w:t>
      </w:r>
      <w:r w:rsidR="00382281">
        <w:rPr>
          <w:lang w:val="fr-FR"/>
        </w:rPr>
        <w:t xml:space="preserve"> </w:t>
      </w:r>
      <w:r w:rsidR="00274ECB" w:rsidRPr="00274ECB">
        <w:rPr>
          <w:lang w:val="fr-FR"/>
        </w:rPr>
        <w:t>b</w:t>
      </w:r>
      <w:r w:rsidR="00895C96" w:rsidRPr="00274ECB">
        <w:rPr>
          <w:lang w:val="fr-FR"/>
        </w:rPr>
        <w:t>ureau</w:t>
      </w:r>
      <w:r w:rsidR="00895C96" w:rsidRPr="00895C96">
        <w:rPr>
          <w:lang w:val="fr-FR"/>
        </w:rPr>
        <w:t xml:space="preserve"> du Togo.</w:t>
      </w:r>
    </w:p>
    <w:p w:rsidR="00895C96" w:rsidRPr="00895C96" w:rsidRDefault="00796452" w:rsidP="00E04030">
      <w:pPr>
        <w:pStyle w:val="SingleTxtG"/>
        <w:rPr>
          <w:lang w:val="fr-FR"/>
        </w:rPr>
      </w:pPr>
      <w:r>
        <w:rPr>
          <w:lang w:val="fr-FR"/>
        </w:rPr>
        <w:t>73.</w:t>
      </w:r>
      <w:r w:rsidR="004E072E">
        <w:rPr>
          <w:lang w:val="fr-FR"/>
        </w:rPr>
        <w:tab/>
      </w:r>
      <w:r w:rsidR="00895C96" w:rsidRPr="00895C96">
        <w:rPr>
          <w:lang w:val="fr-FR"/>
        </w:rPr>
        <w:t xml:space="preserve">La conséquence logique de la prise en compte dans le </w:t>
      </w:r>
      <w:r w:rsidR="001E7B6C">
        <w:rPr>
          <w:lang w:val="fr-FR"/>
        </w:rPr>
        <w:t>Code</w:t>
      </w:r>
      <w:r w:rsidR="00895C96" w:rsidRPr="00895C96">
        <w:rPr>
          <w:lang w:val="fr-FR"/>
        </w:rPr>
        <w:t xml:space="preserve"> pénal des notions de torture et de mauvais traitements et de la création de l’observatoire reste la possibilité de poursuivre les auteurs des faits qualifiés de torture ou de mauvais traitements.</w:t>
      </w:r>
    </w:p>
    <w:p w:rsidR="00895C96" w:rsidRPr="00895C96" w:rsidRDefault="004E072E" w:rsidP="004E072E">
      <w:pPr>
        <w:pStyle w:val="H23G"/>
        <w:rPr>
          <w:lang w:val="fr-FR"/>
        </w:rPr>
      </w:pPr>
      <w:r>
        <w:rPr>
          <w:lang w:val="fr-FR"/>
        </w:rPr>
        <w:tab/>
      </w:r>
      <w:r>
        <w:rPr>
          <w:lang w:val="fr-FR"/>
        </w:rPr>
        <w:tab/>
      </w:r>
      <w:r w:rsidR="00895C96" w:rsidRPr="00D0772B">
        <w:rPr>
          <w:lang w:val="fr-FR"/>
        </w:rPr>
        <w:t>Engagement 2.1</w:t>
      </w:r>
      <w:r w:rsidR="00F33DC4" w:rsidRPr="00D0772B">
        <w:rPr>
          <w:lang w:val="fr-FR"/>
        </w:rPr>
        <w:t>:</w:t>
      </w:r>
      <w:r w:rsidR="00895C96" w:rsidRPr="00895C96">
        <w:rPr>
          <w:lang w:val="fr-FR"/>
        </w:rPr>
        <w:t xml:space="preserve"> </w:t>
      </w:r>
    </w:p>
    <w:p w:rsidR="00895C96" w:rsidRPr="00895C96" w:rsidRDefault="004E072E" w:rsidP="004E072E">
      <w:pPr>
        <w:pStyle w:val="H4G"/>
        <w:rPr>
          <w:lang w:val="fr-FR"/>
        </w:rPr>
      </w:pPr>
      <w:r>
        <w:rPr>
          <w:lang w:val="fr-FR"/>
        </w:rPr>
        <w:tab/>
      </w:r>
      <w:r>
        <w:rPr>
          <w:lang w:val="fr-FR"/>
        </w:rPr>
        <w:tab/>
      </w:r>
      <w:r w:rsidR="00895C96" w:rsidRPr="00895C96">
        <w:rPr>
          <w:lang w:val="fr-FR"/>
        </w:rPr>
        <w:t xml:space="preserve">Garantir à tout moment l’absence d’exécutions </w:t>
      </w:r>
    </w:p>
    <w:p w:rsidR="00895C96" w:rsidRPr="00895C96" w:rsidRDefault="004E072E" w:rsidP="004E072E">
      <w:pPr>
        <w:pStyle w:val="H4G"/>
        <w:rPr>
          <w:lang w:val="fr-FR"/>
        </w:rPr>
      </w:pPr>
      <w:r>
        <w:rPr>
          <w:lang w:val="fr-FR"/>
        </w:rPr>
        <w:tab/>
      </w:r>
      <w:r>
        <w:rPr>
          <w:lang w:val="fr-FR"/>
        </w:rPr>
        <w:tab/>
      </w:r>
      <w:r w:rsidR="00895C96" w:rsidRPr="00895C96">
        <w:rPr>
          <w:lang w:val="fr-FR"/>
        </w:rPr>
        <w:t xml:space="preserve">extrajudiciaires, de torture et d'actes inhumains et </w:t>
      </w:r>
    </w:p>
    <w:p w:rsidR="00895C96" w:rsidRPr="00895C96" w:rsidRDefault="004E072E" w:rsidP="004E072E">
      <w:pPr>
        <w:pStyle w:val="H4G"/>
        <w:rPr>
          <w:lang w:val="fr-FR"/>
        </w:rPr>
      </w:pPr>
      <w:r>
        <w:rPr>
          <w:lang w:val="fr-FR"/>
        </w:rPr>
        <w:tab/>
      </w:r>
      <w:r>
        <w:rPr>
          <w:lang w:val="fr-FR"/>
        </w:rPr>
        <w:tab/>
      </w:r>
      <w:r w:rsidR="00895C96" w:rsidRPr="00895C96">
        <w:rPr>
          <w:lang w:val="fr-FR"/>
        </w:rPr>
        <w:t xml:space="preserve">dégradants sur le territoire togolais, y compris par </w:t>
      </w:r>
    </w:p>
    <w:p w:rsidR="00895C96" w:rsidRPr="00895C96" w:rsidRDefault="004E072E" w:rsidP="004E072E">
      <w:pPr>
        <w:pStyle w:val="H4G"/>
        <w:rPr>
          <w:lang w:val="fr-FR"/>
        </w:rPr>
      </w:pPr>
      <w:r>
        <w:rPr>
          <w:lang w:val="fr-FR"/>
        </w:rPr>
        <w:tab/>
      </w:r>
      <w:r>
        <w:rPr>
          <w:lang w:val="fr-FR"/>
        </w:rPr>
        <w:tab/>
      </w:r>
      <w:r w:rsidR="00895C96" w:rsidRPr="00895C96">
        <w:rPr>
          <w:lang w:val="fr-FR"/>
        </w:rPr>
        <w:t xml:space="preserve">la formation adéquate des cadres des forces de </w:t>
      </w:r>
    </w:p>
    <w:p w:rsidR="00895C96" w:rsidRPr="00895C96" w:rsidRDefault="004E072E" w:rsidP="004E072E">
      <w:pPr>
        <w:pStyle w:val="H4G"/>
        <w:rPr>
          <w:lang w:val="fr-FR"/>
        </w:rPr>
      </w:pPr>
      <w:r>
        <w:rPr>
          <w:lang w:val="fr-FR"/>
        </w:rPr>
        <w:tab/>
      </w:r>
      <w:r>
        <w:rPr>
          <w:lang w:val="fr-FR"/>
        </w:rPr>
        <w:tab/>
      </w:r>
      <w:r w:rsidR="00895C96" w:rsidRPr="00895C96">
        <w:rPr>
          <w:lang w:val="fr-FR"/>
        </w:rPr>
        <w:t xml:space="preserve">l' ordre et du système judiciaire. </w:t>
      </w:r>
    </w:p>
    <w:p w:rsidR="00895C96" w:rsidRPr="00895C96" w:rsidRDefault="00BA0740" w:rsidP="00E04030">
      <w:pPr>
        <w:pStyle w:val="SingleTxtG"/>
        <w:rPr>
          <w:lang w:val="fr-FR"/>
        </w:rPr>
      </w:pPr>
      <w:r>
        <w:rPr>
          <w:lang w:val="fr-FR"/>
        </w:rPr>
        <w:t>74.</w:t>
      </w:r>
      <w:r w:rsidR="004E072E">
        <w:rPr>
          <w:lang w:val="fr-FR"/>
        </w:rPr>
        <w:tab/>
      </w:r>
      <w:r w:rsidR="00895C96" w:rsidRPr="00895C96">
        <w:rPr>
          <w:lang w:val="fr-FR"/>
        </w:rPr>
        <w:t xml:space="preserve">En même temps qu'elle consacre le caractère sacré et inviolable de la personne humaine, la Constitution </w:t>
      </w:r>
      <w:r w:rsidR="001E7B6C">
        <w:rPr>
          <w:lang w:val="fr-FR"/>
        </w:rPr>
        <w:t>togolais</w:t>
      </w:r>
      <w:r w:rsidR="00895C96" w:rsidRPr="00895C96">
        <w:rPr>
          <w:lang w:val="fr-FR"/>
        </w:rPr>
        <w:t xml:space="preserve">e proscrit, en ses </w:t>
      </w:r>
      <w:r w:rsidR="00EF359C">
        <w:rPr>
          <w:lang w:val="fr-FR"/>
        </w:rPr>
        <w:t>a</w:t>
      </w:r>
      <w:r w:rsidR="00895C96" w:rsidRPr="00895C96">
        <w:rPr>
          <w:lang w:val="fr-FR"/>
        </w:rPr>
        <w:t>rticles 16 et 21, la torture et toutes autres formes de traitements cruels, inhumains ou dégradants et prévoit la répression de ce</w:t>
      </w:r>
      <w:r w:rsidR="005D6D2F">
        <w:rPr>
          <w:lang w:val="fr-FR"/>
        </w:rPr>
        <w:t>s</w:t>
      </w:r>
      <w:r w:rsidR="00393196">
        <w:rPr>
          <w:lang w:val="fr-FR"/>
        </w:rPr>
        <w:t xml:space="preserve"> </w:t>
      </w:r>
      <w:r w:rsidR="00895C96" w:rsidRPr="00895C96">
        <w:rPr>
          <w:lang w:val="fr-FR"/>
        </w:rPr>
        <w:t>pratique</w:t>
      </w:r>
      <w:r w:rsidR="005D6D2F">
        <w:rPr>
          <w:lang w:val="fr-FR"/>
        </w:rPr>
        <w:t>s</w:t>
      </w:r>
      <w:r w:rsidR="00895C96" w:rsidRPr="00895C96">
        <w:rPr>
          <w:lang w:val="fr-FR"/>
        </w:rPr>
        <w:t xml:space="preserve">. </w:t>
      </w:r>
    </w:p>
    <w:p w:rsidR="00895C96" w:rsidRPr="00895C96" w:rsidRDefault="00BA0740" w:rsidP="00E04030">
      <w:pPr>
        <w:pStyle w:val="SingleTxtG"/>
        <w:rPr>
          <w:lang w:val="fr-FR"/>
        </w:rPr>
      </w:pPr>
      <w:r>
        <w:rPr>
          <w:lang w:val="fr-FR"/>
        </w:rPr>
        <w:t>75.</w:t>
      </w:r>
      <w:r w:rsidR="004E072E">
        <w:rPr>
          <w:lang w:val="fr-FR"/>
        </w:rPr>
        <w:tab/>
      </w:r>
      <w:r w:rsidR="00895C96" w:rsidRPr="00895C96">
        <w:rPr>
          <w:lang w:val="fr-FR"/>
        </w:rPr>
        <w:t>Certes, la législation togolaise ne prévoit pas expressément de dispositions relatives à «la torture». Mais, sous les qualificatifs de</w:t>
      </w:r>
      <w:r w:rsidR="00382281">
        <w:rPr>
          <w:lang w:val="fr-FR"/>
        </w:rPr>
        <w:t xml:space="preserve"> </w:t>
      </w:r>
      <w:r w:rsidR="00895C96" w:rsidRPr="00895C96">
        <w:rPr>
          <w:lang w:val="fr-FR"/>
        </w:rPr>
        <w:t xml:space="preserve">«violences volontaires» ou de </w:t>
      </w:r>
      <w:r w:rsidR="00F33DC4">
        <w:rPr>
          <w:lang w:val="fr-FR"/>
        </w:rPr>
        <w:t>“</w:t>
      </w:r>
      <w:r w:rsidR="00895C96" w:rsidRPr="00895C96">
        <w:rPr>
          <w:lang w:val="fr-FR"/>
        </w:rPr>
        <w:t xml:space="preserve">voie de fait», les articles 46 et 47 du Code pénal disposent que «Quiconque exerce volontairement des violences sur autrui sera puni de deux mois </w:t>
      </w:r>
      <w:r w:rsidR="0001630A">
        <w:rPr>
          <w:lang w:val="fr-FR"/>
        </w:rPr>
        <w:t>à</w:t>
      </w:r>
      <w:r w:rsidR="00895C96" w:rsidRPr="00895C96">
        <w:rPr>
          <w:lang w:val="fr-FR"/>
        </w:rPr>
        <w:t xml:space="preserve"> deux ans d'emprisonnement si ces violences ont entraîné pour la victime une incapacité de travail personnel comprise entre dix jours et trois mois. </w:t>
      </w:r>
    </w:p>
    <w:p w:rsidR="00895C96" w:rsidRPr="00895C96" w:rsidRDefault="00BA0740" w:rsidP="00E04030">
      <w:pPr>
        <w:pStyle w:val="SingleTxtG"/>
        <w:rPr>
          <w:lang w:val="fr-FR"/>
        </w:rPr>
      </w:pPr>
      <w:r>
        <w:rPr>
          <w:lang w:val="fr-FR"/>
        </w:rPr>
        <w:t>76.</w:t>
      </w:r>
      <w:r w:rsidR="00B62D03">
        <w:rPr>
          <w:lang w:val="fr-FR"/>
        </w:rPr>
        <w:tab/>
      </w:r>
      <w:r w:rsidR="00895C96" w:rsidRPr="00895C96">
        <w:rPr>
          <w:lang w:val="fr-FR"/>
        </w:rPr>
        <w:t>La peine pourra être portée jusqu'a cinq ans d’emprisonnement</w:t>
      </w:r>
      <w:r w:rsidR="00F33DC4">
        <w:rPr>
          <w:lang w:val="fr-FR"/>
        </w:rPr>
        <w:t>:</w:t>
      </w:r>
      <w:r w:rsidR="00895C96" w:rsidRPr="00895C96">
        <w:rPr>
          <w:lang w:val="fr-FR"/>
        </w:rPr>
        <w:t xml:space="preserve"> </w:t>
      </w:r>
    </w:p>
    <w:p w:rsidR="00895C96" w:rsidRPr="00895C96" w:rsidRDefault="00B62D03" w:rsidP="00E04030">
      <w:pPr>
        <w:pStyle w:val="SingleTxtG"/>
        <w:rPr>
          <w:lang w:val="fr-FR"/>
        </w:rPr>
      </w:pPr>
      <w:r>
        <w:rPr>
          <w:lang w:val="fr-FR"/>
        </w:rPr>
        <w:tab/>
        <w:t>a)</w:t>
      </w:r>
      <w:r>
        <w:rPr>
          <w:lang w:val="fr-FR"/>
        </w:rPr>
        <w:tab/>
      </w:r>
      <w:r w:rsidR="0001630A">
        <w:rPr>
          <w:lang w:val="fr-FR"/>
        </w:rPr>
        <w:t>S</w:t>
      </w:r>
      <w:r w:rsidR="00895C96" w:rsidRPr="00895C96">
        <w:rPr>
          <w:lang w:val="fr-FR"/>
        </w:rPr>
        <w:t>i les violences exercées ont entraîné une mutilation ou une invalidité grave ou une incapacité de travail personnel excédant trois mois</w:t>
      </w:r>
      <w:r w:rsidR="00F33DC4">
        <w:rPr>
          <w:lang w:val="fr-FR"/>
        </w:rPr>
        <w:t>;</w:t>
      </w:r>
      <w:r w:rsidR="00895C96" w:rsidRPr="00895C96">
        <w:rPr>
          <w:lang w:val="fr-FR"/>
        </w:rPr>
        <w:t xml:space="preserve"> </w:t>
      </w:r>
    </w:p>
    <w:p w:rsidR="00895C96" w:rsidRPr="00895C96" w:rsidRDefault="00B62D03" w:rsidP="00E04030">
      <w:pPr>
        <w:pStyle w:val="SingleTxtG"/>
        <w:rPr>
          <w:lang w:val="fr-FR"/>
        </w:rPr>
      </w:pPr>
      <w:r>
        <w:rPr>
          <w:lang w:val="fr-FR"/>
        </w:rPr>
        <w:tab/>
        <w:t>b)</w:t>
      </w:r>
      <w:r>
        <w:rPr>
          <w:lang w:val="fr-FR"/>
        </w:rPr>
        <w:tab/>
      </w:r>
      <w:r w:rsidR="00895C96" w:rsidRPr="00895C96">
        <w:rPr>
          <w:lang w:val="fr-FR"/>
        </w:rPr>
        <w:t>Si les violences ont été exercées avec des armes ou des objets tranchants ou contondants utilis</w:t>
      </w:r>
      <w:r w:rsidR="0001630A">
        <w:rPr>
          <w:lang w:val="fr-FR"/>
        </w:rPr>
        <w:t>é</w:t>
      </w:r>
      <w:r w:rsidR="00895C96" w:rsidRPr="00895C96">
        <w:rPr>
          <w:lang w:val="fr-FR"/>
        </w:rPr>
        <w:t>s comme armes</w:t>
      </w:r>
      <w:r w:rsidR="00F33DC4">
        <w:rPr>
          <w:lang w:val="fr-FR"/>
        </w:rPr>
        <w:t>;</w:t>
      </w:r>
      <w:r w:rsidR="00895C96" w:rsidRPr="00895C96">
        <w:rPr>
          <w:lang w:val="fr-FR"/>
        </w:rPr>
        <w:t xml:space="preserve"> </w:t>
      </w:r>
    </w:p>
    <w:p w:rsidR="00895C96" w:rsidRPr="00895C96" w:rsidRDefault="00B62D03" w:rsidP="00E04030">
      <w:pPr>
        <w:pStyle w:val="SingleTxtG"/>
        <w:rPr>
          <w:lang w:val="fr-FR"/>
        </w:rPr>
      </w:pPr>
      <w:r>
        <w:rPr>
          <w:lang w:val="fr-FR"/>
        </w:rPr>
        <w:tab/>
        <w:t>c)</w:t>
      </w:r>
      <w:r>
        <w:rPr>
          <w:lang w:val="fr-FR"/>
        </w:rPr>
        <w:tab/>
      </w:r>
      <w:r w:rsidR="00895C96" w:rsidRPr="00895C96">
        <w:rPr>
          <w:lang w:val="fr-FR"/>
        </w:rPr>
        <w:t>Si les violences ont été exercées de concert par plusieurs sur une seule victime</w:t>
      </w:r>
      <w:r w:rsidR="00F33DC4">
        <w:rPr>
          <w:lang w:val="fr-FR"/>
        </w:rPr>
        <w:t>;</w:t>
      </w:r>
      <w:r w:rsidR="00895C96" w:rsidRPr="00895C96">
        <w:rPr>
          <w:lang w:val="fr-FR"/>
        </w:rPr>
        <w:t xml:space="preserve"> </w:t>
      </w:r>
    </w:p>
    <w:p w:rsidR="00895C96" w:rsidRPr="00895C96" w:rsidRDefault="00B62D03" w:rsidP="00E04030">
      <w:pPr>
        <w:pStyle w:val="SingleTxtG"/>
        <w:rPr>
          <w:lang w:val="fr-FR"/>
        </w:rPr>
      </w:pPr>
      <w:r>
        <w:rPr>
          <w:lang w:val="fr-FR"/>
        </w:rPr>
        <w:tab/>
        <w:t>d)</w:t>
      </w:r>
      <w:r>
        <w:rPr>
          <w:lang w:val="fr-FR"/>
        </w:rPr>
        <w:tab/>
      </w:r>
      <w:r w:rsidR="00895C96" w:rsidRPr="00895C96">
        <w:rPr>
          <w:lang w:val="fr-FR"/>
        </w:rPr>
        <w:t xml:space="preserve">Si les violences ont été exercées contre un enfant de moins de 15 ans ou contre un invalide ou un vieillard». </w:t>
      </w:r>
    </w:p>
    <w:p w:rsidR="00895C96" w:rsidRPr="00895C96" w:rsidRDefault="00BA0740" w:rsidP="00E04030">
      <w:pPr>
        <w:pStyle w:val="SingleTxtG"/>
        <w:rPr>
          <w:lang w:val="fr-FR"/>
        </w:rPr>
      </w:pPr>
      <w:r>
        <w:rPr>
          <w:lang w:val="fr-FR"/>
        </w:rPr>
        <w:t>77.</w:t>
      </w:r>
      <w:r w:rsidR="00B62D03">
        <w:rPr>
          <w:lang w:val="fr-FR"/>
        </w:rPr>
        <w:tab/>
      </w:r>
      <w:r w:rsidR="00895C96" w:rsidRPr="00895C96">
        <w:rPr>
          <w:lang w:val="fr-FR"/>
        </w:rPr>
        <w:t xml:space="preserve">On en déduit qu'au regard des textes, l'interdiction de la pratique de la torture est formelle. </w:t>
      </w:r>
      <w:r w:rsidR="00BE51B4">
        <w:rPr>
          <w:lang w:val="fr-FR"/>
        </w:rPr>
        <w:t>Il</w:t>
      </w:r>
      <w:r w:rsidR="00BE51B4" w:rsidRPr="00895C96">
        <w:rPr>
          <w:lang w:val="fr-FR"/>
        </w:rPr>
        <w:t xml:space="preserve"> </w:t>
      </w:r>
      <w:r w:rsidR="00895C96" w:rsidRPr="00895C96">
        <w:rPr>
          <w:lang w:val="fr-FR"/>
        </w:rPr>
        <w:t xml:space="preserve">s'agit d'un droit </w:t>
      </w:r>
      <w:r w:rsidR="00D0772B">
        <w:rPr>
          <w:lang w:val="fr-FR"/>
        </w:rPr>
        <w:t>auquel il ne saurait être dérogé</w:t>
      </w:r>
      <w:r w:rsidR="00895C96" w:rsidRPr="00895C96">
        <w:rPr>
          <w:lang w:val="fr-FR"/>
        </w:rPr>
        <w:t xml:space="preserve">, quelles que soient les circonstances. </w:t>
      </w:r>
    </w:p>
    <w:p w:rsidR="00895C96" w:rsidRPr="00895C96" w:rsidRDefault="00BA0740" w:rsidP="00E04030">
      <w:pPr>
        <w:pStyle w:val="SingleTxtG"/>
        <w:rPr>
          <w:lang w:val="fr-FR"/>
        </w:rPr>
      </w:pPr>
      <w:r>
        <w:rPr>
          <w:lang w:val="fr-FR"/>
        </w:rPr>
        <w:t>78.</w:t>
      </w:r>
      <w:r w:rsidR="00B62D03">
        <w:rPr>
          <w:lang w:val="fr-FR"/>
        </w:rPr>
        <w:tab/>
      </w:r>
      <w:r w:rsidR="00895C96" w:rsidRPr="00895C96">
        <w:rPr>
          <w:lang w:val="fr-FR"/>
        </w:rPr>
        <w:t xml:space="preserve">De même, pour faire valoir leurs droits, les citoyens qui s'estimeraient victimes de mauvais traitements disposent de voies de recours devant les instances administratives ou judiciaires et devant la CNDH. D'ailleurs, les dérapages signalés dans le passé ont toujours été sanctionnés conformément aux textes en vigueur. </w:t>
      </w:r>
    </w:p>
    <w:p w:rsidR="00895C96" w:rsidRPr="00895C96" w:rsidRDefault="00BA0740" w:rsidP="00E04030">
      <w:pPr>
        <w:pStyle w:val="SingleTxtG"/>
        <w:rPr>
          <w:lang w:val="fr-FR"/>
        </w:rPr>
      </w:pPr>
      <w:r>
        <w:rPr>
          <w:lang w:val="fr-FR"/>
        </w:rPr>
        <w:t>79.</w:t>
      </w:r>
      <w:r w:rsidR="00B62D03">
        <w:rPr>
          <w:lang w:val="fr-FR"/>
        </w:rPr>
        <w:tab/>
      </w:r>
      <w:r w:rsidR="00EF359C">
        <w:rPr>
          <w:lang w:val="fr-FR"/>
        </w:rPr>
        <w:t>À</w:t>
      </w:r>
      <w:r w:rsidR="00895C96" w:rsidRPr="00895C96">
        <w:rPr>
          <w:lang w:val="fr-FR"/>
        </w:rPr>
        <w:t xml:space="preserve"> ce jour, aucun cas avéré de torture n'est resté impuni. En tout état de cause et afin de tenir compte de cet Engagement, le Ministre de l'Intérieur, de la Sécurité et de la Décentralisation, le Ministre de la Justice et le Ministre chargé de la Promotion de la Démocratie et de l’Etat de Droit ont organisé, les 8 et 11 mai 2004, une séance de travail avec les Officiers de Police Judiciaire (OPJ). </w:t>
      </w:r>
    </w:p>
    <w:p w:rsidR="00895C96" w:rsidRPr="00895C96" w:rsidRDefault="00BA0740" w:rsidP="00E04030">
      <w:pPr>
        <w:pStyle w:val="SingleTxtG"/>
        <w:rPr>
          <w:lang w:val="fr-FR"/>
        </w:rPr>
      </w:pPr>
      <w:r>
        <w:rPr>
          <w:lang w:val="fr-FR"/>
        </w:rPr>
        <w:t>80.</w:t>
      </w:r>
      <w:r w:rsidR="00B62D03">
        <w:rPr>
          <w:lang w:val="fr-FR"/>
        </w:rPr>
        <w:tab/>
      </w:r>
      <w:r w:rsidR="00895C96" w:rsidRPr="00895C96">
        <w:rPr>
          <w:lang w:val="fr-FR"/>
        </w:rPr>
        <w:t xml:space="preserve">Au total, 241 officiers et agents de police judiciaire et magistrats ont pris part </w:t>
      </w:r>
      <w:r w:rsidR="00D44A25">
        <w:rPr>
          <w:lang w:val="fr-FR"/>
        </w:rPr>
        <w:t>à</w:t>
      </w:r>
      <w:r w:rsidR="00895C96" w:rsidRPr="00895C96">
        <w:rPr>
          <w:lang w:val="fr-FR"/>
        </w:rPr>
        <w:t xml:space="preserve"> cette dernière rencontre</w:t>
      </w:r>
      <w:r w:rsidR="00F33DC4">
        <w:rPr>
          <w:lang w:val="fr-FR"/>
        </w:rPr>
        <w:t>:</w:t>
      </w:r>
      <w:r w:rsidR="00895C96" w:rsidRPr="00895C96">
        <w:rPr>
          <w:lang w:val="fr-FR"/>
        </w:rPr>
        <w:t xml:space="preserve"> </w:t>
      </w:r>
    </w:p>
    <w:p w:rsidR="00895C96" w:rsidRPr="00895C96" w:rsidRDefault="00895C96" w:rsidP="00E04030">
      <w:pPr>
        <w:pStyle w:val="SingleTxtG"/>
        <w:rPr>
          <w:lang w:val="fr-FR"/>
        </w:rPr>
      </w:pPr>
    </w:p>
    <w:p w:rsidR="00895C96" w:rsidRPr="00895C96" w:rsidRDefault="00895C96" w:rsidP="00E04030">
      <w:pPr>
        <w:pStyle w:val="SingleTxtG"/>
        <w:rPr>
          <w:lang w:val="fr-FR"/>
        </w:rPr>
      </w:pPr>
      <w:r w:rsidRPr="00895C96">
        <w:rPr>
          <w:lang w:val="fr-FR"/>
        </w:rPr>
        <w:t>Police</w:t>
      </w:r>
      <w:r w:rsidR="000648FE">
        <w:rPr>
          <w:lang w:val="fr-FR"/>
        </w:rPr>
        <w:tab/>
      </w:r>
      <w:r w:rsidR="00382281">
        <w:rPr>
          <w:lang w:val="fr-FR"/>
        </w:rPr>
        <w:t xml:space="preserve"> </w:t>
      </w:r>
      <w:r w:rsidRPr="00895C96">
        <w:rPr>
          <w:lang w:val="fr-FR"/>
        </w:rPr>
        <w:tab/>
      </w:r>
      <w:r w:rsidRPr="00895C96">
        <w:rPr>
          <w:lang w:val="fr-FR"/>
        </w:rPr>
        <w:tab/>
      </w:r>
      <w:r w:rsidRPr="00895C96">
        <w:rPr>
          <w:lang w:val="fr-FR"/>
        </w:rPr>
        <w:tab/>
      </w:r>
      <w:r w:rsidRPr="00895C96">
        <w:rPr>
          <w:lang w:val="fr-FR"/>
        </w:rPr>
        <w:tab/>
      </w:r>
      <w:r w:rsidRPr="00895C96">
        <w:rPr>
          <w:lang w:val="fr-FR"/>
        </w:rPr>
        <w:tab/>
      </w:r>
      <w:r w:rsidRPr="00895C96">
        <w:rPr>
          <w:lang w:val="fr-FR"/>
        </w:rPr>
        <w:tab/>
        <w:t>Le Directeur Général de la Police</w:t>
      </w:r>
    </w:p>
    <w:p w:rsidR="00895C96" w:rsidRPr="00895C96" w:rsidRDefault="00895C96" w:rsidP="00E04030">
      <w:pPr>
        <w:pStyle w:val="SingleTxtG"/>
        <w:rPr>
          <w:lang w:val="fr-FR"/>
        </w:rPr>
      </w:pPr>
      <w:r w:rsidRPr="00895C96">
        <w:rPr>
          <w:lang w:val="fr-FR"/>
        </w:rPr>
        <w:t>Nationale</w:t>
      </w:r>
      <w:r w:rsidR="00F33DC4">
        <w:rPr>
          <w:lang w:val="fr-FR"/>
        </w:rPr>
        <w:t>:</w:t>
      </w:r>
      <w:r w:rsidRPr="00895C96">
        <w:rPr>
          <w:lang w:val="fr-FR"/>
        </w:rPr>
        <w:t xml:space="preserve"> </w:t>
      </w:r>
      <w:r w:rsidRPr="00895C96">
        <w:rPr>
          <w:lang w:val="fr-FR"/>
        </w:rPr>
        <w:tab/>
      </w:r>
      <w:r w:rsidRPr="00895C96">
        <w:rPr>
          <w:lang w:val="fr-FR"/>
        </w:rPr>
        <w:tab/>
      </w:r>
      <w:r w:rsidRPr="00895C96">
        <w:rPr>
          <w:lang w:val="fr-FR"/>
        </w:rPr>
        <w:tab/>
      </w:r>
      <w:r w:rsidRPr="00895C96">
        <w:rPr>
          <w:lang w:val="fr-FR"/>
        </w:rPr>
        <w:tab/>
      </w:r>
      <w:r w:rsidRPr="00895C96">
        <w:rPr>
          <w:lang w:val="fr-FR"/>
        </w:rPr>
        <w:tab/>
      </w:r>
      <w:r w:rsidR="00B62D03">
        <w:rPr>
          <w:lang w:val="fr-FR"/>
        </w:rPr>
        <w:tab/>
      </w:r>
      <w:r w:rsidRPr="00895C96">
        <w:rPr>
          <w:lang w:val="fr-FR"/>
        </w:rPr>
        <w:t xml:space="preserve">16 Commissaires de Police </w:t>
      </w:r>
    </w:p>
    <w:p w:rsidR="00895C96" w:rsidRPr="00895C96" w:rsidRDefault="00895C96" w:rsidP="00E04030">
      <w:pPr>
        <w:pStyle w:val="SingleTxtG"/>
        <w:rPr>
          <w:lang w:val="fr-FR"/>
        </w:rPr>
      </w:pPr>
      <w:r w:rsidRPr="00895C96">
        <w:rPr>
          <w:lang w:val="fr-FR"/>
        </w:rPr>
        <w:tab/>
      </w:r>
      <w:r w:rsidRPr="00895C96">
        <w:rPr>
          <w:lang w:val="fr-FR"/>
        </w:rPr>
        <w:tab/>
      </w:r>
      <w:r w:rsidRPr="00895C96">
        <w:rPr>
          <w:lang w:val="fr-FR"/>
        </w:rPr>
        <w:tab/>
      </w:r>
      <w:r w:rsidRPr="00895C96">
        <w:rPr>
          <w:lang w:val="fr-FR"/>
        </w:rPr>
        <w:tab/>
      </w:r>
      <w:r w:rsidRPr="00895C96">
        <w:rPr>
          <w:lang w:val="fr-FR"/>
        </w:rPr>
        <w:tab/>
      </w:r>
      <w:r w:rsidRPr="00895C96">
        <w:rPr>
          <w:lang w:val="fr-FR"/>
        </w:rPr>
        <w:tab/>
      </w:r>
      <w:r w:rsidRPr="00895C96">
        <w:rPr>
          <w:lang w:val="fr-FR"/>
        </w:rPr>
        <w:tab/>
        <w:t xml:space="preserve">18 Officiers de Police </w:t>
      </w:r>
    </w:p>
    <w:p w:rsidR="00895C96" w:rsidRPr="00895C96" w:rsidRDefault="00895C96" w:rsidP="00E04030">
      <w:pPr>
        <w:pStyle w:val="SingleTxtG"/>
        <w:rPr>
          <w:lang w:val="fr-FR"/>
        </w:rPr>
      </w:pPr>
      <w:r w:rsidRPr="00895C96">
        <w:rPr>
          <w:lang w:val="fr-FR"/>
        </w:rPr>
        <w:tab/>
      </w:r>
      <w:r w:rsidRPr="00895C96">
        <w:rPr>
          <w:lang w:val="fr-FR"/>
        </w:rPr>
        <w:tab/>
      </w:r>
      <w:r w:rsidRPr="00895C96">
        <w:rPr>
          <w:lang w:val="fr-FR"/>
        </w:rPr>
        <w:tab/>
      </w:r>
      <w:r w:rsidRPr="00895C96">
        <w:rPr>
          <w:lang w:val="fr-FR"/>
        </w:rPr>
        <w:tab/>
      </w:r>
      <w:r w:rsidRPr="00895C96">
        <w:rPr>
          <w:lang w:val="fr-FR"/>
        </w:rPr>
        <w:tab/>
      </w:r>
      <w:r w:rsidRPr="00895C96">
        <w:rPr>
          <w:lang w:val="fr-FR"/>
        </w:rPr>
        <w:tab/>
      </w:r>
      <w:r w:rsidRPr="00895C96">
        <w:rPr>
          <w:lang w:val="fr-FR"/>
        </w:rPr>
        <w:tab/>
        <w:t xml:space="preserve">42 Officiers de Police Adjoints </w:t>
      </w:r>
    </w:p>
    <w:p w:rsidR="00895C96" w:rsidRPr="00895C96" w:rsidRDefault="00895C96" w:rsidP="00E04030">
      <w:pPr>
        <w:pStyle w:val="SingleTxtG"/>
        <w:rPr>
          <w:lang w:val="fr-FR"/>
        </w:rPr>
      </w:pPr>
      <w:r w:rsidRPr="00895C96">
        <w:rPr>
          <w:lang w:val="fr-FR"/>
        </w:rPr>
        <w:tab/>
      </w:r>
      <w:r w:rsidRPr="00895C96">
        <w:rPr>
          <w:lang w:val="fr-FR"/>
        </w:rPr>
        <w:tab/>
      </w:r>
      <w:r w:rsidRPr="00895C96">
        <w:rPr>
          <w:lang w:val="fr-FR"/>
        </w:rPr>
        <w:tab/>
      </w:r>
      <w:r w:rsidRPr="00895C96">
        <w:rPr>
          <w:lang w:val="fr-FR"/>
        </w:rPr>
        <w:tab/>
      </w:r>
      <w:r w:rsidRPr="00895C96">
        <w:rPr>
          <w:lang w:val="fr-FR"/>
        </w:rPr>
        <w:tab/>
      </w:r>
      <w:r w:rsidRPr="00895C96">
        <w:rPr>
          <w:lang w:val="fr-FR"/>
        </w:rPr>
        <w:tab/>
      </w:r>
      <w:r w:rsidRPr="00895C96">
        <w:rPr>
          <w:lang w:val="fr-FR"/>
        </w:rPr>
        <w:tab/>
        <w:t xml:space="preserve">20 Brigadiers de Police </w:t>
      </w:r>
    </w:p>
    <w:p w:rsidR="00895C96" w:rsidRPr="00895C96" w:rsidRDefault="00895C96" w:rsidP="00E04030">
      <w:pPr>
        <w:pStyle w:val="SingleTxtG"/>
        <w:rPr>
          <w:lang w:val="fr-FR"/>
        </w:rPr>
      </w:pPr>
      <w:r w:rsidRPr="00895C96">
        <w:rPr>
          <w:lang w:val="fr-FR"/>
        </w:rPr>
        <w:tab/>
      </w:r>
      <w:r w:rsidRPr="00895C96">
        <w:rPr>
          <w:lang w:val="fr-FR"/>
        </w:rPr>
        <w:tab/>
      </w:r>
      <w:r w:rsidRPr="00895C96">
        <w:rPr>
          <w:lang w:val="fr-FR"/>
        </w:rPr>
        <w:tab/>
      </w:r>
      <w:r w:rsidRPr="00895C96">
        <w:rPr>
          <w:lang w:val="fr-FR"/>
        </w:rPr>
        <w:tab/>
      </w:r>
      <w:r w:rsidRPr="00895C96">
        <w:rPr>
          <w:lang w:val="fr-FR"/>
        </w:rPr>
        <w:tab/>
      </w:r>
      <w:r w:rsidRPr="00895C96">
        <w:rPr>
          <w:lang w:val="fr-FR"/>
        </w:rPr>
        <w:tab/>
      </w:r>
      <w:r w:rsidRPr="00895C96">
        <w:rPr>
          <w:lang w:val="fr-FR"/>
        </w:rPr>
        <w:tab/>
        <w:t xml:space="preserve">20 Sous- Brigadiers de Police </w:t>
      </w:r>
    </w:p>
    <w:p w:rsidR="00895C96" w:rsidRPr="00895C96" w:rsidRDefault="00895C96" w:rsidP="00E04030">
      <w:pPr>
        <w:pStyle w:val="SingleTxtG"/>
        <w:rPr>
          <w:lang w:val="fr-FR"/>
        </w:rPr>
      </w:pPr>
      <w:r w:rsidRPr="00895C96">
        <w:rPr>
          <w:lang w:val="fr-FR"/>
        </w:rPr>
        <w:tab/>
      </w:r>
      <w:r w:rsidRPr="00895C96">
        <w:rPr>
          <w:lang w:val="fr-FR"/>
        </w:rPr>
        <w:tab/>
      </w:r>
      <w:r w:rsidRPr="00895C96">
        <w:rPr>
          <w:lang w:val="fr-FR"/>
        </w:rPr>
        <w:tab/>
      </w:r>
      <w:r w:rsidRPr="00895C96">
        <w:rPr>
          <w:lang w:val="fr-FR"/>
        </w:rPr>
        <w:tab/>
      </w:r>
      <w:r w:rsidRPr="00895C96">
        <w:rPr>
          <w:lang w:val="fr-FR"/>
        </w:rPr>
        <w:tab/>
      </w:r>
      <w:r w:rsidRPr="00895C96">
        <w:rPr>
          <w:lang w:val="fr-FR"/>
        </w:rPr>
        <w:tab/>
      </w:r>
      <w:r w:rsidRPr="00895C96">
        <w:rPr>
          <w:lang w:val="fr-FR"/>
        </w:rPr>
        <w:tab/>
        <w:t xml:space="preserve">8 Gardiens de la Paix </w:t>
      </w:r>
    </w:p>
    <w:p w:rsidR="00895C96" w:rsidRPr="00895C96" w:rsidRDefault="00895C96" w:rsidP="00E04030">
      <w:pPr>
        <w:pStyle w:val="SingleTxtG"/>
        <w:rPr>
          <w:lang w:val="fr-FR"/>
        </w:rPr>
      </w:pPr>
      <w:r w:rsidRPr="00895C96">
        <w:rPr>
          <w:lang w:val="fr-FR"/>
        </w:rPr>
        <w:t>Gendarmerie</w:t>
      </w:r>
      <w:r w:rsidR="00F33DC4">
        <w:rPr>
          <w:lang w:val="fr-FR"/>
        </w:rPr>
        <w:t>:</w:t>
      </w:r>
      <w:r w:rsidRPr="00895C96">
        <w:rPr>
          <w:lang w:val="fr-FR"/>
        </w:rPr>
        <w:t xml:space="preserve"> </w:t>
      </w:r>
      <w:r w:rsidRPr="00895C96">
        <w:rPr>
          <w:lang w:val="fr-FR"/>
        </w:rPr>
        <w:tab/>
      </w:r>
      <w:r w:rsidRPr="00895C96">
        <w:rPr>
          <w:lang w:val="fr-FR"/>
        </w:rPr>
        <w:tab/>
      </w:r>
      <w:r w:rsidRPr="00895C96">
        <w:rPr>
          <w:lang w:val="fr-FR"/>
        </w:rPr>
        <w:tab/>
      </w:r>
      <w:r w:rsidRPr="00895C96">
        <w:rPr>
          <w:lang w:val="fr-FR"/>
        </w:rPr>
        <w:tab/>
      </w:r>
      <w:r w:rsidRPr="00895C96">
        <w:rPr>
          <w:lang w:val="fr-FR"/>
        </w:rPr>
        <w:tab/>
        <w:t xml:space="preserve">Le Commandant de la </w:t>
      </w:r>
    </w:p>
    <w:p w:rsidR="00895C96" w:rsidRPr="00895C96" w:rsidRDefault="00895C96" w:rsidP="00E04030">
      <w:pPr>
        <w:pStyle w:val="SingleTxtG"/>
        <w:rPr>
          <w:lang w:val="fr-FR"/>
        </w:rPr>
      </w:pPr>
      <w:r w:rsidRPr="00895C96">
        <w:rPr>
          <w:lang w:val="fr-FR"/>
        </w:rPr>
        <w:tab/>
      </w:r>
      <w:r w:rsidRPr="00895C96">
        <w:rPr>
          <w:lang w:val="fr-FR"/>
        </w:rPr>
        <w:tab/>
      </w:r>
      <w:r w:rsidRPr="00895C96">
        <w:rPr>
          <w:lang w:val="fr-FR"/>
        </w:rPr>
        <w:tab/>
      </w:r>
      <w:r w:rsidRPr="00895C96">
        <w:rPr>
          <w:lang w:val="fr-FR"/>
        </w:rPr>
        <w:tab/>
      </w:r>
      <w:r w:rsidRPr="00895C96">
        <w:rPr>
          <w:lang w:val="fr-FR"/>
        </w:rPr>
        <w:tab/>
      </w:r>
      <w:r w:rsidRPr="00895C96">
        <w:rPr>
          <w:lang w:val="fr-FR"/>
        </w:rPr>
        <w:tab/>
      </w:r>
      <w:r w:rsidRPr="00895C96">
        <w:rPr>
          <w:lang w:val="fr-FR"/>
        </w:rPr>
        <w:tab/>
        <w:t xml:space="preserve">Gendarmerie Nationale </w:t>
      </w:r>
    </w:p>
    <w:p w:rsidR="00895C96" w:rsidRPr="00895C96" w:rsidRDefault="00895C96" w:rsidP="00E04030">
      <w:pPr>
        <w:pStyle w:val="SingleTxtG"/>
        <w:rPr>
          <w:lang w:val="fr-FR"/>
        </w:rPr>
      </w:pPr>
      <w:r w:rsidRPr="00895C96">
        <w:rPr>
          <w:lang w:val="fr-FR"/>
        </w:rPr>
        <w:tab/>
      </w:r>
      <w:r w:rsidRPr="00895C96">
        <w:rPr>
          <w:lang w:val="fr-FR"/>
        </w:rPr>
        <w:tab/>
      </w:r>
      <w:r w:rsidRPr="00895C96">
        <w:rPr>
          <w:lang w:val="fr-FR"/>
        </w:rPr>
        <w:tab/>
      </w:r>
      <w:r w:rsidRPr="00895C96">
        <w:rPr>
          <w:lang w:val="fr-FR"/>
        </w:rPr>
        <w:tab/>
      </w:r>
      <w:r w:rsidRPr="00895C96">
        <w:rPr>
          <w:lang w:val="fr-FR"/>
        </w:rPr>
        <w:tab/>
      </w:r>
      <w:r w:rsidRPr="00895C96">
        <w:rPr>
          <w:lang w:val="fr-FR"/>
        </w:rPr>
        <w:tab/>
      </w:r>
      <w:r w:rsidRPr="00895C96">
        <w:rPr>
          <w:lang w:val="fr-FR"/>
        </w:rPr>
        <w:tab/>
        <w:t xml:space="preserve">11 Officiers </w:t>
      </w:r>
    </w:p>
    <w:p w:rsidR="00895C96" w:rsidRPr="00895C96" w:rsidRDefault="00895C96" w:rsidP="00E04030">
      <w:pPr>
        <w:pStyle w:val="SingleTxtG"/>
        <w:rPr>
          <w:lang w:val="fr-FR"/>
        </w:rPr>
      </w:pPr>
      <w:r w:rsidRPr="00895C96">
        <w:rPr>
          <w:lang w:val="fr-FR"/>
        </w:rPr>
        <w:tab/>
      </w:r>
      <w:r w:rsidRPr="00895C96">
        <w:rPr>
          <w:lang w:val="fr-FR"/>
        </w:rPr>
        <w:tab/>
      </w:r>
      <w:r w:rsidRPr="00895C96">
        <w:rPr>
          <w:lang w:val="fr-FR"/>
        </w:rPr>
        <w:tab/>
      </w:r>
      <w:r w:rsidRPr="00895C96">
        <w:rPr>
          <w:lang w:val="fr-FR"/>
        </w:rPr>
        <w:tab/>
      </w:r>
      <w:r w:rsidRPr="00895C96">
        <w:rPr>
          <w:lang w:val="fr-FR"/>
        </w:rPr>
        <w:tab/>
      </w:r>
      <w:r w:rsidRPr="00895C96">
        <w:rPr>
          <w:lang w:val="fr-FR"/>
        </w:rPr>
        <w:tab/>
      </w:r>
      <w:r w:rsidRPr="00895C96">
        <w:rPr>
          <w:lang w:val="fr-FR"/>
        </w:rPr>
        <w:tab/>
        <w:t xml:space="preserve">70 Sous-Officiers </w:t>
      </w:r>
    </w:p>
    <w:p w:rsidR="00895C96" w:rsidRPr="00895C96" w:rsidRDefault="00895C96" w:rsidP="00E04030">
      <w:pPr>
        <w:pStyle w:val="SingleTxtG"/>
        <w:rPr>
          <w:lang w:val="fr-FR"/>
        </w:rPr>
      </w:pPr>
      <w:r w:rsidRPr="00895C96">
        <w:rPr>
          <w:lang w:val="fr-FR"/>
        </w:rPr>
        <w:t>Ministère de la</w:t>
      </w:r>
      <w:r w:rsidRPr="00895C96">
        <w:rPr>
          <w:lang w:val="fr-FR"/>
        </w:rPr>
        <w:tab/>
      </w:r>
      <w:r w:rsidRPr="00895C96">
        <w:rPr>
          <w:lang w:val="fr-FR"/>
        </w:rPr>
        <w:tab/>
      </w:r>
      <w:r w:rsidRPr="00895C96">
        <w:rPr>
          <w:lang w:val="fr-FR"/>
        </w:rPr>
        <w:tab/>
      </w:r>
      <w:r w:rsidRPr="00895C96">
        <w:rPr>
          <w:lang w:val="fr-FR"/>
        </w:rPr>
        <w:tab/>
      </w:r>
      <w:r w:rsidRPr="00895C96">
        <w:rPr>
          <w:lang w:val="fr-FR"/>
        </w:rPr>
        <w:tab/>
        <w:t>Le Substitut Général</w:t>
      </w:r>
    </w:p>
    <w:p w:rsidR="00895C96" w:rsidRPr="00895C96" w:rsidRDefault="00895C96" w:rsidP="00E04030">
      <w:pPr>
        <w:pStyle w:val="SingleTxtG"/>
        <w:rPr>
          <w:lang w:val="fr-FR"/>
        </w:rPr>
      </w:pPr>
      <w:r w:rsidRPr="00895C96">
        <w:rPr>
          <w:lang w:val="fr-FR"/>
        </w:rPr>
        <w:t>Justice</w:t>
      </w:r>
      <w:r w:rsidR="00F33DC4">
        <w:rPr>
          <w:lang w:val="fr-FR"/>
        </w:rPr>
        <w:t>:</w:t>
      </w:r>
      <w:r w:rsidRPr="00895C96">
        <w:rPr>
          <w:lang w:val="fr-FR"/>
        </w:rPr>
        <w:tab/>
      </w:r>
      <w:r w:rsidRPr="00895C96">
        <w:rPr>
          <w:lang w:val="fr-FR"/>
        </w:rPr>
        <w:tab/>
      </w:r>
      <w:r w:rsidRPr="00895C96">
        <w:rPr>
          <w:lang w:val="fr-FR"/>
        </w:rPr>
        <w:tab/>
      </w:r>
      <w:r w:rsidRPr="00895C96">
        <w:rPr>
          <w:lang w:val="fr-FR"/>
        </w:rPr>
        <w:tab/>
      </w:r>
      <w:r w:rsidRPr="00895C96">
        <w:rPr>
          <w:lang w:val="fr-FR"/>
        </w:rPr>
        <w:tab/>
      </w:r>
      <w:r w:rsidRPr="00895C96">
        <w:rPr>
          <w:lang w:val="fr-FR"/>
        </w:rPr>
        <w:tab/>
        <w:t>6 Procureurs de la République</w:t>
      </w:r>
    </w:p>
    <w:p w:rsidR="00895C96" w:rsidRPr="00895C96" w:rsidRDefault="00895C96" w:rsidP="00E04030">
      <w:pPr>
        <w:pStyle w:val="SingleTxtG"/>
        <w:rPr>
          <w:lang w:val="fr-FR"/>
        </w:rPr>
      </w:pPr>
      <w:r w:rsidRPr="00895C96">
        <w:rPr>
          <w:lang w:val="fr-FR"/>
        </w:rPr>
        <w:tab/>
      </w:r>
      <w:r w:rsidRPr="00895C96">
        <w:rPr>
          <w:lang w:val="fr-FR"/>
        </w:rPr>
        <w:tab/>
      </w:r>
      <w:r w:rsidRPr="00895C96">
        <w:rPr>
          <w:lang w:val="fr-FR"/>
        </w:rPr>
        <w:tab/>
      </w:r>
      <w:r w:rsidRPr="00895C96">
        <w:rPr>
          <w:lang w:val="fr-FR"/>
        </w:rPr>
        <w:tab/>
      </w:r>
      <w:r w:rsidRPr="00895C96">
        <w:rPr>
          <w:lang w:val="fr-FR"/>
        </w:rPr>
        <w:tab/>
      </w:r>
      <w:r w:rsidRPr="00895C96">
        <w:rPr>
          <w:lang w:val="fr-FR"/>
        </w:rPr>
        <w:tab/>
      </w:r>
      <w:r w:rsidRPr="00895C96">
        <w:rPr>
          <w:lang w:val="fr-FR"/>
        </w:rPr>
        <w:tab/>
        <w:t>12 Présidents de Tribunaux</w:t>
      </w:r>
    </w:p>
    <w:p w:rsidR="00895C96" w:rsidRPr="00895C96" w:rsidRDefault="00895C96" w:rsidP="00E04030">
      <w:pPr>
        <w:pStyle w:val="SingleTxtG"/>
        <w:rPr>
          <w:lang w:val="fr-FR"/>
        </w:rPr>
      </w:pPr>
      <w:r w:rsidRPr="00895C96">
        <w:rPr>
          <w:lang w:val="fr-FR"/>
        </w:rPr>
        <w:tab/>
      </w:r>
      <w:r w:rsidRPr="00895C96">
        <w:rPr>
          <w:lang w:val="fr-FR"/>
        </w:rPr>
        <w:tab/>
      </w:r>
      <w:r w:rsidRPr="00895C96">
        <w:rPr>
          <w:lang w:val="fr-FR"/>
        </w:rPr>
        <w:tab/>
      </w:r>
      <w:r w:rsidRPr="00895C96">
        <w:rPr>
          <w:lang w:val="fr-FR"/>
        </w:rPr>
        <w:tab/>
      </w:r>
      <w:r w:rsidRPr="00895C96">
        <w:rPr>
          <w:lang w:val="fr-FR"/>
        </w:rPr>
        <w:tab/>
      </w:r>
      <w:r w:rsidRPr="00895C96">
        <w:rPr>
          <w:lang w:val="fr-FR"/>
        </w:rPr>
        <w:tab/>
      </w:r>
      <w:r w:rsidRPr="00895C96">
        <w:rPr>
          <w:lang w:val="fr-FR"/>
        </w:rPr>
        <w:tab/>
        <w:t>13 Juges d’instruction</w:t>
      </w:r>
    </w:p>
    <w:p w:rsidR="00895C96" w:rsidRPr="00895C96" w:rsidRDefault="00BA0740" w:rsidP="00E04030">
      <w:pPr>
        <w:pStyle w:val="SingleTxtG"/>
        <w:rPr>
          <w:lang w:val="fr-FR"/>
        </w:rPr>
      </w:pPr>
      <w:r>
        <w:rPr>
          <w:lang w:val="fr-FR"/>
        </w:rPr>
        <w:t>81.</w:t>
      </w:r>
      <w:r w:rsidR="00B62D03">
        <w:rPr>
          <w:lang w:val="fr-FR"/>
        </w:rPr>
        <w:tab/>
      </w:r>
      <w:r w:rsidR="00895C96" w:rsidRPr="00895C96">
        <w:rPr>
          <w:lang w:val="fr-FR"/>
        </w:rPr>
        <w:t xml:space="preserve">Au cours de ces séances de travail, les discussions ont porté sur les voies et moyens susceptibles de tendre à une amélioration des prestations de la Police Judiciaire et sur la nécessité de tout mettre en </w:t>
      </w:r>
      <w:r w:rsidR="00ED1EA3">
        <w:rPr>
          <w:lang w:val="fr-FR"/>
        </w:rPr>
        <w:t>œ</w:t>
      </w:r>
      <w:r w:rsidR="00895C96" w:rsidRPr="00895C96">
        <w:rPr>
          <w:lang w:val="fr-FR"/>
        </w:rPr>
        <w:t xml:space="preserve">uvre pour garantir l’ordre public tout en respectant scrupuleusement les dispositions légales et les libertés fondamentales. </w:t>
      </w:r>
    </w:p>
    <w:p w:rsidR="00895C96" w:rsidRPr="00895C96" w:rsidRDefault="00BA0740" w:rsidP="00E04030">
      <w:pPr>
        <w:pStyle w:val="SingleTxtG"/>
        <w:rPr>
          <w:lang w:val="fr-FR"/>
        </w:rPr>
      </w:pPr>
      <w:r>
        <w:rPr>
          <w:lang w:val="fr-FR"/>
        </w:rPr>
        <w:t>82.</w:t>
      </w:r>
      <w:r w:rsidR="00B62D03">
        <w:rPr>
          <w:lang w:val="fr-FR"/>
        </w:rPr>
        <w:tab/>
      </w:r>
      <w:r w:rsidR="002874CB">
        <w:rPr>
          <w:lang w:val="fr-FR"/>
        </w:rPr>
        <w:t>À</w:t>
      </w:r>
      <w:r w:rsidR="00895C96" w:rsidRPr="00895C96">
        <w:rPr>
          <w:lang w:val="fr-FR"/>
        </w:rPr>
        <w:t xml:space="preserve"> cet égard, </w:t>
      </w:r>
      <w:r w:rsidR="00CF3344">
        <w:rPr>
          <w:lang w:val="fr-FR"/>
        </w:rPr>
        <w:t>ont</w:t>
      </w:r>
      <w:r w:rsidR="00895C96" w:rsidRPr="00895C96">
        <w:rPr>
          <w:lang w:val="fr-FR"/>
        </w:rPr>
        <w:t xml:space="preserve"> été rappelé</w:t>
      </w:r>
      <w:r w:rsidR="00CF3344">
        <w:rPr>
          <w:lang w:val="fr-FR"/>
        </w:rPr>
        <w:t>es</w:t>
      </w:r>
      <w:r w:rsidR="00895C96" w:rsidRPr="00895C96">
        <w:rPr>
          <w:lang w:val="fr-FR"/>
        </w:rPr>
        <w:t xml:space="preserve"> les dispositions de la Déclaration </w:t>
      </w:r>
      <w:r w:rsidR="002874CB">
        <w:rPr>
          <w:lang w:val="fr-FR"/>
        </w:rPr>
        <w:t>u</w:t>
      </w:r>
      <w:r w:rsidR="00895C96" w:rsidRPr="00895C96">
        <w:rPr>
          <w:lang w:val="fr-FR"/>
        </w:rPr>
        <w:t xml:space="preserve">niverselle des </w:t>
      </w:r>
      <w:r w:rsidR="002874CB">
        <w:rPr>
          <w:lang w:val="fr-FR"/>
        </w:rPr>
        <w:t>d</w:t>
      </w:r>
      <w:r w:rsidR="00895C96" w:rsidRPr="00895C96">
        <w:rPr>
          <w:lang w:val="fr-FR"/>
        </w:rPr>
        <w:t>roits de l'</w:t>
      </w:r>
      <w:r w:rsidR="002874CB">
        <w:rPr>
          <w:lang w:val="fr-FR"/>
        </w:rPr>
        <w:t>h</w:t>
      </w:r>
      <w:r w:rsidR="00895C96" w:rsidRPr="00895C96">
        <w:rPr>
          <w:lang w:val="fr-FR"/>
        </w:rPr>
        <w:t xml:space="preserve">omme et de la Constitution </w:t>
      </w:r>
      <w:r w:rsidR="001E7B6C">
        <w:rPr>
          <w:lang w:val="fr-FR"/>
        </w:rPr>
        <w:t>togolais</w:t>
      </w:r>
      <w:r w:rsidR="00895C96" w:rsidRPr="00895C96">
        <w:rPr>
          <w:lang w:val="fr-FR"/>
        </w:rPr>
        <w:t xml:space="preserve">e, qui imposent le respect de la dignité humaine en toutes circonstances. </w:t>
      </w:r>
    </w:p>
    <w:p w:rsidR="00895C96" w:rsidRPr="00895C96" w:rsidRDefault="00BA0740" w:rsidP="00E04030">
      <w:pPr>
        <w:pStyle w:val="SingleTxtG"/>
        <w:rPr>
          <w:lang w:val="fr-FR"/>
        </w:rPr>
      </w:pPr>
      <w:r>
        <w:rPr>
          <w:lang w:val="fr-FR"/>
        </w:rPr>
        <w:t>83.</w:t>
      </w:r>
      <w:r w:rsidR="00B62D03">
        <w:rPr>
          <w:lang w:val="fr-FR"/>
        </w:rPr>
        <w:tab/>
      </w:r>
      <w:r w:rsidR="00895C96" w:rsidRPr="00895C96">
        <w:rPr>
          <w:lang w:val="fr-FR"/>
        </w:rPr>
        <w:t xml:space="preserve">Outre l'évocation des énormes difficultés rencontrées dans </w:t>
      </w:r>
      <w:r w:rsidR="00CF3344">
        <w:rPr>
          <w:lang w:val="fr-FR"/>
        </w:rPr>
        <w:t>l</w:t>
      </w:r>
      <w:r w:rsidR="00895C96" w:rsidRPr="00895C96">
        <w:rPr>
          <w:lang w:val="fr-FR"/>
        </w:rPr>
        <w:t>'exercice de l’action publique et de l’instruction, l’accent a été mis sur les efforts à entreprendre en vue de l'instauration d'une coopération harmonieuse entre les Officiers de Police Judiciaire et les Procureurs de la République, sur l'amélioration des conditions de détention et sur</w:t>
      </w:r>
      <w:r w:rsidR="00382281">
        <w:rPr>
          <w:lang w:val="fr-FR"/>
        </w:rPr>
        <w:t xml:space="preserve"> </w:t>
      </w:r>
      <w:r w:rsidR="00895C96" w:rsidRPr="00895C96">
        <w:rPr>
          <w:lang w:val="fr-FR"/>
        </w:rPr>
        <w:t xml:space="preserve">l’importance de promouvoir un respect plus rigoureux de la procédure pénale, en particulier en ce qui concerne le délai de garde à vue. </w:t>
      </w:r>
    </w:p>
    <w:p w:rsidR="00895C96" w:rsidRPr="00895C96" w:rsidRDefault="00BA0740" w:rsidP="00E04030">
      <w:pPr>
        <w:pStyle w:val="SingleTxtG"/>
        <w:rPr>
          <w:lang w:val="fr-FR"/>
        </w:rPr>
      </w:pPr>
      <w:r>
        <w:rPr>
          <w:lang w:val="fr-FR"/>
        </w:rPr>
        <w:t>84.</w:t>
      </w:r>
      <w:r w:rsidR="00B62D03">
        <w:rPr>
          <w:lang w:val="fr-FR"/>
        </w:rPr>
        <w:tab/>
      </w:r>
      <w:r w:rsidR="007B12DC">
        <w:rPr>
          <w:lang w:val="fr-FR"/>
        </w:rPr>
        <w:t>A</w:t>
      </w:r>
      <w:r w:rsidR="00895C96" w:rsidRPr="00895C96">
        <w:rPr>
          <w:lang w:val="fr-FR"/>
        </w:rPr>
        <w:t>insi, l'utilité des commissions rogatoires</w:t>
      </w:r>
      <w:r w:rsidR="007B12DC" w:rsidRPr="007B12DC">
        <w:rPr>
          <w:lang w:val="fr-FR"/>
        </w:rPr>
        <w:t xml:space="preserve"> </w:t>
      </w:r>
      <w:r w:rsidR="007B12DC">
        <w:rPr>
          <w:lang w:val="fr-FR"/>
        </w:rPr>
        <w:t xml:space="preserve">a </w:t>
      </w:r>
      <w:r w:rsidR="007B12DC" w:rsidRPr="00895C96">
        <w:rPr>
          <w:lang w:val="fr-FR"/>
        </w:rPr>
        <w:t>été souligné</w:t>
      </w:r>
      <w:r w:rsidR="007B12DC">
        <w:rPr>
          <w:lang w:val="fr-FR"/>
        </w:rPr>
        <w:t>e</w:t>
      </w:r>
      <w:r w:rsidR="00895C96" w:rsidRPr="00895C96">
        <w:rPr>
          <w:lang w:val="fr-FR"/>
        </w:rPr>
        <w:t>, en même temps qu</w:t>
      </w:r>
      <w:r w:rsidR="007B12DC">
        <w:rPr>
          <w:lang w:val="fr-FR"/>
        </w:rPr>
        <w:t>e</w:t>
      </w:r>
      <w:r w:rsidR="00393196">
        <w:rPr>
          <w:lang w:val="fr-FR"/>
        </w:rPr>
        <w:t xml:space="preserve"> </w:t>
      </w:r>
      <w:r w:rsidR="00895C96" w:rsidRPr="00895C96">
        <w:rPr>
          <w:lang w:val="fr-FR"/>
        </w:rPr>
        <w:t>l’attachement à un certain nombre de principes fondamentaux</w:t>
      </w:r>
      <w:r w:rsidR="00D60B85">
        <w:rPr>
          <w:lang w:val="fr-FR"/>
        </w:rPr>
        <w:t>, notamment</w:t>
      </w:r>
      <w:r w:rsidR="00895C96" w:rsidRPr="00895C96">
        <w:rPr>
          <w:lang w:val="fr-FR"/>
        </w:rPr>
        <w:t xml:space="preserve"> le principe de présomption d'innocence et celui de la subordination de la police judiciaire au parquet. </w:t>
      </w:r>
    </w:p>
    <w:p w:rsidR="00895C96" w:rsidRPr="00895C96" w:rsidRDefault="00BA0740" w:rsidP="00E04030">
      <w:pPr>
        <w:pStyle w:val="SingleTxtG"/>
        <w:rPr>
          <w:lang w:val="fr-FR"/>
        </w:rPr>
      </w:pPr>
      <w:r>
        <w:rPr>
          <w:lang w:val="fr-FR"/>
        </w:rPr>
        <w:t>85.</w:t>
      </w:r>
      <w:r w:rsidR="00B62D03">
        <w:rPr>
          <w:lang w:val="fr-FR"/>
        </w:rPr>
        <w:tab/>
      </w:r>
      <w:r w:rsidR="00895C96" w:rsidRPr="00895C96">
        <w:rPr>
          <w:lang w:val="fr-FR"/>
        </w:rPr>
        <w:t xml:space="preserve">Par ailleurs, afin de renforcer la protection du prévenu placé en garde à vue, il est désormais envisagé d’activer les dispositions de l’article 16 de notre Constitution en permettant à celui-ci de bénéficier de la présence de son avocat dès la phase de l’enquête préliminaire. Il est vrai que cette pratique </w:t>
      </w:r>
      <w:r w:rsidR="00F568A5">
        <w:rPr>
          <w:lang w:val="fr-FR"/>
        </w:rPr>
        <w:t>est</w:t>
      </w:r>
      <w:r w:rsidR="00F568A5" w:rsidRPr="00895C96">
        <w:rPr>
          <w:lang w:val="fr-FR"/>
        </w:rPr>
        <w:t xml:space="preserve"> </w:t>
      </w:r>
      <w:r w:rsidR="00895C96" w:rsidRPr="00895C96">
        <w:rPr>
          <w:lang w:val="fr-FR"/>
        </w:rPr>
        <w:t>déjà observée</w:t>
      </w:r>
      <w:r w:rsidR="00BE4B99">
        <w:rPr>
          <w:lang w:val="fr-FR"/>
        </w:rPr>
        <w:t>,</w:t>
      </w:r>
      <w:r w:rsidR="00895C96" w:rsidRPr="00895C96">
        <w:rPr>
          <w:lang w:val="fr-FR"/>
        </w:rPr>
        <w:t xml:space="preserve"> mais il import</w:t>
      </w:r>
      <w:r w:rsidR="00BE4B99">
        <w:rPr>
          <w:lang w:val="fr-FR"/>
        </w:rPr>
        <w:t>e</w:t>
      </w:r>
      <w:r w:rsidR="00895C96" w:rsidRPr="00895C96">
        <w:rPr>
          <w:lang w:val="fr-FR"/>
        </w:rPr>
        <w:t xml:space="preserve"> de</w:t>
      </w:r>
      <w:r w:rsidR="00382281">
        <w:rPr>
          <w:lang w:val="fr-FR"/>
        </w:rPr>
        <w:t xml:space="preserve"> </w:t>
      </w:r>
      <w:r w:rsidR="00895C96" w:rsidRPr="00895C96">
        <w:rPr>
          <w:lang w:val="fr-FR"/>
        </w:rPr>
        <w:t xml:space="preserve">la formaliser, en prenant des dispositions transitoires, et d'en préciser les modalités, en attendant la parution d'un décret d'application. </w:t>
      </w:r>
    </w:p>
    <w:p w:rsidR="00895C96" w:rsidRPr="00895C96" w:rsidRDefault="00BA0740" w:rsidP="00E04030">
      <w:pPr>
        <w:pStyle w:val="SingleTxtG"/>
        <w:rPr>
          <w:lang w:val="fr-FR"/>
        </w:rPr>
      </w:pPr>
      <w:r>
        <w:rPr>
          <w:lang w:val="fr-FR"/>
        </w:rPr>
        <w:t>86.</w:t>
      </w:r>
      <w:r w:rsidR="00B62D03">
        <w:rPr>
          <w:lang w:val="fr-FR"/>
        </w:rPr>
        <w:tab/>
      </w:r>
      <w:r w:rsidR="00895C96" w:rsidRPr="00895C96">
        <w:rPr>
          <w:lang w:val="fr-FR"/>
        </w:rPr>
        <w:t xml:space="preserve">Le Ministre de l'Intérieur a saisi ces occasions pour porter à l'attention des policiers et gendarmes la teneur des trois (3) circulaires qu'il entend prendre incessamment afin de rappeler les règles en vigueur. </w:t>
      </w:r>
    </w:p>
    <w:p w:rsidR="00895C96" w:rsidRPr="00895C96" w:rsidRDefault="00BA0740" w:rsidP="00E04030">
      <w:pPr>
        <w:pStyle w:val="SingleTxtG"/>
        <w:rPr>
          <w:lang w:val="fr-FR"/>
        </w:rPr>
      </w:pPr>
      <w:r>
        <w:rPr>
          <w:lang w:val="fr-FR"/>
        </w:rPr>
        <w:t>87.</w:t>
      </w:r>
      <w:r w:rsidR="00B62D03">
        <w:rPr>
          <w:lang w:val="fr-FR"/>
        </w:rPr>
        <w:tab/>
      </w:r>
      <w:r w:rsidR="00895C96" w:rsidRPr="00895C96">
        <w:rPr>
          <w:lang w:val="fr-FR"/>
        </w:rPr>
        <w:t>Ainsi, les circulaires suivantes ont été signées le 17 Mai 2004 par le Ministre de l’Intérieur, de la Sécurité et de la Décentralisation</w:t>
      </w:r>
      <w:r w:rsidR="00F33DC4">
        <w:rPr>
          <w:lang w:val="fr-FR"/>
        </w:rPr>
        <w:t>:</w:t>
      </w:r>
      <w:r w:rsidR="00895C96" w:rsidRPr="00895C96">
        <w:rPr>
          <w:lang w:val="fr-FR"/>
        </w:rPr>
        <w:t xml:space="preserve"> </w:t>
      </w:r>
    </w:p>
    <w:p w:rsidR="00895C96" w:rsidRPr="00895C96" w:rsidRDefault="00895C96" w:rsidP="00B62D03">
      <w:pPr>
        <w:pStyle w:val="Bullet1G"/>
        <w:rPr>
          <w:lang w:val="fr-FR"/>
        </w:rPr>
      </w:pPr>
      <w:r w:rsidRPr="00895C96">
        <w:rPr>
          <w:lang w:val="fr-FR"/>
        </w:rPr>
        <w:t xml:space="preserve">Circulaire </w:t>
      </w:r>
      <w:r w:rsidR="009D3D58">
        <w:rPr>
          <w:lang w:val="fr-FR"/>
        </w:rPr>
        <w:t>n</w:t>
      </w:r>
      <w:r w:rsidRPr="00895C96">
        <w:rPr>
          <w:lang w:val="fr-FR"/>
        </w:rPr>
        <w:t>° 0220/MISD-CAB portant rappel des principes généraux de l'activité de maintien de l'ordre, à l'attention du Commandant de la Gendarmerie nationale, du Directeur Général de la Police nationale et des responsables des unités chargées du maintien de l'ordre</w:t>
      </w:r>
      <w:r w:rsidR="00F33DC4">
        <w:rPr>
          <w:lang w:val="fr-FR"/>
        </w:rPr>
        <w:t>;</w:t>
      </w:r>
      <w:r w:rsidRPr="00895C96">
        <w:rPr>
          <w:lang w:val="fr-FR"/>
        </w:rPr>
        <w:t xml:space="preserve"> </w:t>
      </w:r>
    </w:p>
    <w:p w:rsidR="00895C96" w:rsidRPr="00895C96" w:rsidRDefault="00895C96" w:rsidP="00B62D03">
      <w:pPr>
        <w:pStyle w:val="Bullet1G"/>
        <w:rPr>
          <w:lang w:val="fr-FR"/>
        </w:rPr>
      </w:pPr>
      <w:r w:rsidRPr="00895C96">
        <w:rPr>
          <w:lang w:val="fr-FR"/>
        </w:rPr>
        <w:t xml:space="preserve">Circulaire </w:t>
      </w:r>
      <w:r w:rsidR="009D3D58">
        <w:rPr>
          <w:lang w:val="fr-FR"/>
        </w:rPr>
        <w:t>n</w:t>
      </w:r>
      <w:r w:rsidRPr="00895C96">
        <w:rPr>
          <w:lang w:val="fr-FR"/>
        </w:rPr>
        <w:t xml:space="preserve">° 0221/MISD-CAB portant rappel des conditions de placement en garde à vue, à l’attention du Commandant de la Gendarmerie nationale et du Directeur Général de la Police nationale; </w:t>
      </w:r>
    </w:p>
    <w:p w:rsidR="00895C96" w:rsidRPr="00895C96" w:rsidRDefault="00895C96" w:rsidP="00B62D03">
      <w:pPr>
        <w:pStyle w:val="Bullet1G"/>
        <w:rPr>
          <w:lang w:val="fr-FR"/>
        </w:rPr>
      </w:pPr>
      <w:r w:rsidRPr="00895C96">
        <w:rPr>
          <w:lang w:val="fr-FR"/>
        </w:rPr>
        <w:t xml:space="preserve">Circulaire </w:t>
      </w:r>
      <w:r w:rsidR="009D3D58">
        <w:rPr>
          <w:lang w:val="fr-FR"/>
        </w:rPr>
        <w:t>n</w:t>
      </w:r>
      <w:r w:rsidRPr="00895C96">
        <w:rPr>
          <w:lang w:val="fr-FR"/>
        </w:rPr>
        <w:t>° 0222/MISD-CAB définissant les conditions d'assistance des prévenus par leur conseil à la phase de l'enquête préliminaire, à l’attention du Commandant de la Gendarmerie nationale et du Directeur Général de la Police nationale</w:t>
      </w:r>
      <w:r w:rsidR="009E5809">
        <w:rPr>
          <w:lang w:val="fr-FR"/>
        </w:rPr>
        <w:t>.</w:t>
      </w:r>
      <w:r w:rsidRPr="00895C96">
        <w:rPr>
          <w:lang w:val="fr-FR"/>
        </w:rPr>
        <w:t xml:space="preserve"> </w:t>
      </w:r>
    </w:p>
    <w:p w:rsidR="00895C96" w:rsidRPr="00895C96" w:rsidRDefault="00BA0740" w:rsidP="00E04030">
      <w:pPr>
        <w:pStyle w:val="SingleTxtG"/>
        <w:rPr>
          <w:lang w:val="fr-FR"/>
        </w:rPr>
      </w:pPr>
      <w:r>
        <w:rPr>
          <w:lang w:val="fr-FR"/>
        </w:rPr>
        <w:t>88.</w:t>
      </w:r>
      <w:r w:rsidR="00B62D03">
        <w:rPr>
          <w:lang w:val="fr-FR"/>
        </w:rPr>
        <w:tab/>
      </w:r>
      <w:r w:rsidR="00895C96" w:rsidRPr="00895C96">
        <w:rPr>
          <w:lang w:val="fr-FR"/>
        </w:rPr>
        <w:t xml:space="preserve">Le Gouvernement a poursuivi son programme d'information et de sensibilisation en direction des magistrats, des avocats, des officiers de Police judiciaire et des organisations de défense des droits de l'homme. </w:t>
      </w:r>
    </w:p>
    <w:p w:rsidR="00895C96" w:rsidRPr="00895C96" w:rsidRDefault="00BA0740" w:rsidP="00E04030">
      <w:pPr>
        <w:pStyle w:val="SingleTxtG"/>
        <w:rPr>
          <w:lang w:val="fr-FR"/>
        </w:rPr>
      </w:pPr>
      <w:r>
        <w:rPr>
          <w:lang w:val="fr-FR"/>
        </w:rPr>
        <w:t>89.</w:t>
      </w:r>
      <w:r w:rsidR="00B62D03">
        <w:rPr>
          <w:lang w:val="fr-FR"/>
        </w:rPr>
        <w:tab/>
      </w:r>
      <w:r w:rsidR="00895C96" w:rsidRPr="00895C96">
        <w:rPr>
          <w:lang w:val="fr-FR"/>
        </w:rPr>
        <w:t xml:space="preserve">L'exécution d'un tel programme nécessite la mobilisation de ressources humaines et financières conséquentes pour lesquelles le Gouvernement a sollicité l'Union </w:t>
      </w:r>
      <w:r w:rsidR="009D3D58">
        <w:rPr>
          <w:lang w:val="fr-FR"/>
        </w:rPr>
        <w:t>e</w:t>
      </w:r>
      <w:r w:rsidR="00895C96" w:rsidRPr="00895C96">
        <w:rPr>
          <w:lang w:val="fr-FR"/>
        </w:rPr>
        <w:t xml:space="preserve">uropéenne et les autres partenaires </w:t>
      </w:r>
      <w:r w:rsidR="0061466F">
        <w:rPr>
          <w:lang w:val="fr-FR"/>
        </w:rPr>
        <w:t>d</w:t>
      </w:r>
      <w:r w:rsidR="00895C96" w:rsidRPr="00895C96">
        <w:rPr>
          <w:lang w:val="fr-FR"/>
        </w:rPr>
        <w:t xml:space="preserve">u développement. </w:t>
      </w:r>
    </w:p>
    <w:p w:rsidR="00895C96" w:rsidRPr="00895C96" w:rsidRDefault="00B62D03" w:rsidP="00B62D03">
      <w:pPr>
        <w:pStyle w:val="H23G"/>
        <w:rPr>
          <w:lang w:val="fr-FR"/>
        </w:rPr>
      </w:pPr>
      <w:r>
        <w:rPr>
          <w:lang w:val="fr-FR"/>
        </w:rPr>
        <w:tab/>
      </w:r>
      <w:r>
        <w:rPr>
          <w:lang w:val="fr-FR"/>
        </w:rPr>
        <w:tab/>
      </w:r>
      <w:r w:rsidR="00895C96" w:rsidRPr="009D593F">
        <w:rPr>
          <w:lang w:val="fr-FR"/>
        </w:rPr>
        <w:t>Engagement 2.4</w:t>
      </w:r>
      <w:r w:rsidR="00F33DC4" w:rsidRPr="009D593F">
        <w:rPr>
          <w:lang w:val="fr-FR"/>
        </w:rPr>
        <w:t>:</w:t>
      </w:r>
      <w:r w:rsidR="00895C96" w:rsidRPr="00895C96">
        <w:rPr>
          <w:lang w:val="fr-FR"/>
        </w:rPr>
        <w:t xml:space="preserve"> </w:t>
      </w:r>
    </w:p>
    <w:p w:rsidR="00895C96" w:rsidRPr="00895C96" w:rsidRDefault="00B62D03" w:rsidP="00E04030">
      <w:pPr>
        <w:pStyle w:val="SingleTxtG"/>
        <w:rPr>
          <w:i/>
          <w:iCs/>
          <w:lang w:val="fr-FR"/>
        </w:rPr>
      </w:pPr>
      <w:r>
        <w:rPr>
          <w:i/>
          <w:iCs/>
          <w:lang w:val="fr-FR"/>
        </w:rPr>
        <w:tab/>
      </w:r>
      <w:r w:rsidR="00895C96" w:rsidRPr="00895C96">
        <w:rPr>
          <w:i/>
          <w:iCs/>
          <w:lang w:val="fr-FR"/>
        </w:rPr>
        <w:t>Permettre l'accès libre aux détenus par des avocats et par des ONG humanitaires et de</w:t>
      </w:r>
      <w:r w:rsidR="0061466F">
        <w:rPr>
          <w:i/>
          <w:iCs/>
          <w:lang w:val="fr-FR"/>
        </w:rPr>
        <w:t>s</w:t>
      </w:r>
      <w:r w:rsidR="00895C96" w:rsidRPr="00895C96">
        <w:rPr>
          <w:i/>
          <w:iCs/>
          <w:lang w:val="fr-FR"/>
        </w:rPr>
        <w:t xml:space="preserve"> droits de l’homme, accompagnés d'un médecin de leur choix, à tous les lieux de détention (prisons, stations de</w:t>
      </w:r>
      <w:r w:rsidR="007577D6">
        <w:rPr>
          <w:i/>
          <w:iCs/>
          <w:lang w:val="fr-FR"/>
        </w:rPr>
        <w:t xml:space="preserve"> </w:t>
      </w:r>
      <w:r w:rsidR="00895C96" w:rsidRPr="00895C96">
        <w:rPr>
          <w:i/>
          <w:iCs/>
          <w:lang w:val="fr-FR"/>
        </w:rPr>
        <w:t xml:space="preserve">gendarmerie, </w:t>
      </w:r>
      <w:r w:rsidR="0061466F">
        <w:rPr>
          <w:i/>
          <w:iCs/>
          <w:lang w:val="fr-FR"/>
        </w:rPr>
        <w:t xml:space="preserve">de </w:t>
      </w:r>
      <w:r w:rsidR="00895C96" w:rsidRPr="00895C96">
        <w:rPr>
          <w:i/>
          <w:iCs/>
          <w:lang w:val="fr-FR"/>
        </w:rPr>
        <w:t>police</w:t>
      </w:r>
      <w:r w:rsidR="0061466F">
        <w:rPr>
          <w:i/>
          <w:iCs/>
          <w:lang w:val="fr-FR"/>
        </w:rPr>
        <w:t>,</w:t>
      </w:r>
      <w:r w:rsidR="00895C96" w:rsidRPr="00895C96">
        <w:rPr>
          <w:i/>
          <w:iCs/>
          <w:lang w:val="fr-FR"/>
        </w:rPr>
        <w:t xml:space="preserve"> etc.), leur permettant de vérifier I'absence de torture et d'autres traitements inhumains, avant la fin des consultations. </w:t>
      </w:r>
    </w:p>
    <w:p w:rsidR="00895C96" w:rsidRPr="00895C96" w:rsidRDefault="00BA0740" w:rsidP="00E04030">
      <w:pPr>
        <w:pStyle w:val="SingleTxtG"/>
        <w:rPr>
          <w:lang w:val="fr-FR"/>
        </w:rPr>
      </w:pPr>
      <w:r>
        <w:rPr>
          <w:lang w:val="fr-FR"/>
        </w:rPr>
        <w:t>90.</w:t>
      </w:r>
      <w:r w:rsidR="00B62D03">
        <w:rPr>
          <w:lang w:val="fr-FR"/>
        </w:rPr>
        <w:tab/>
      </w:r>
      <w:r w:rsidR="00895C96" w:rsidRPr="00895C96">
        <w:rPr>
          <w:lang w:val="fr-FR"/>
        </w:rPr>
        <w:t xml:space="preserve">Le dispositif actuel permet aux organisations internationales, aux familles, aux ONG et </w:t>
      </w:r>
      <w:r w:rsidR="002A6A42">
        <w:rPr>
          <w:lang w:val="fr-FR"/>
        </w:rPr>
        <w:t>à</w:t>
      </w:r>
      <w:r w:rsidR="00895C96" w:rsidRPr="00895C96">
        <w:rPr>
          <w:lang w:val="fr-FR"/>
        </w:rPr>
        <w:t xml:space="preserve"> la communauté diplomatique de visiter les prisons. Ainsi, l’Association Catholique contre la Torture (ACAT), la FIDH, le CICR, Prisonniers sans Frontière et les chancelleries présentes au Togo ont régulièrement effectué des missions et des études dans les prisons togolaises. Leurs différents rapports ont, du reste, permis au Togo d'envisager, avec l'appui des partenaires </w:t>
      </w:r>
      <w:r w:rsidR="00F568A5" w:rsidRPr="00F568A5">
        <w:rPr>
          <w:lang w:val="fr-FR"/>
        </w:rPr>
        <w:t xml:space="preserve">au </w:t>
      </w:r>
      <w:r w:rsidR="00895C96" w:rsidRPr="00895C96">
        <w:rPr>
          <w:lang w:val="fr-FR"/>
        </w:rPr>
        <w:t xml:space="preserve">développement, des solutions aux problèmes soulevés. </w:t>
      </w:r>
    </w:p>
    <w:p w:rsidR="00895C96" w:rsidRPr="00895C96" w:rsidRDefault="00BA0740" w:rsidP="00E04030">
      <w:pPr>
        <w:pStyle w:val="SingleTxtG"/>
        <w:rPr>
          <w:lang w:val="fr-FR"/>
        </w:rPr>
      </w:pPr>
      <w:r>
        <w:rPr>
          <w:lang w:val="fr-FR"/>
        </w:rPr>
        <w:t>91.</w:t>
      </w:r>
      <w:r w:rsidR="00B62D03">
        <w:rPr>
          <w:lang w:val="fr-FR"/>
        </w:rPr>
        <w:tab/>
      </w:r>
      <w:r w:rsidR="00895C96" w:rsidRPr="00895C96">
        <w:rPr>
          <w:lang w:val="fr-FR"/>
        </w:rPr>
        <w:t>Dans le but de créer un cadre de réflexion sur la gestion de la population carcérale un séminaire a été organisé à Sokodé les 23, 24</w:t>
      </w:r>
      <w:r w:rsidR="00155DE6">
        <w:rPr>
          <w:lang w:val="fr-FR"/>
        </w:rPr>
        <w:t xml:space="preserve"> et</w:t>
      </w:r>
      <w:r w:rsidR="00895C96" w:rsidRPr="00895C96">
        <w:rPr>
          <w:lang w:val="fr-FR"/>
        </w:rPr>
        <w:t xml:space="preserve"> 25 Avril 2004, à l'</w:t>
      </w:r>
      <w:r w:rsidR="00155DE6">
        <w:rPr>
          <w:lang w:val="fr-FR"/>
        </w:rPr>
        <w:t>in</w:t>
      </w:r>
      <w:r w:rsidR="00895C96" w:rsidRPr="00895C96">
        <w:rPr>
          <w:lang w:val="fr-FR"/>
        </w:rPr>
        <w:t>tention des Procureurs de la République, des régisseurs de toutes les prisons du Togo, des agents de sécurité des prisons, des assistants sociaux, des représentants de l'ONG «Prisonniers sans Frontière» et des ONG et associations togolaises concernées par les problèmes liés à la vie en milieu carcéral.</w:t>
      </w:r>
    </w:p>
    <w:p w:rsidR="00895C96" w:rsidRPr="00895C96" w:rsidRDefault="004727AC" w:rsidP="00E04030">
      <w:pPr>
        <w:pStyle w:val="SingleTxtG"/>
        <w:rPr>
          <w:lang w:val="fr-FR"/>
        </w:rPr>
      </w:pPr>
      <w:r>
        <w:rPr>
          <w:lang w:val="fr-FR"/>
        </w:rPr>
        <w:t>92.</w:t>
      </w:r>
      <w:r w:rsidR="00B62D03">
        <w:rPr>
          <w:lang w:val="fr-FR"/>
        </w:rPr>
        <w:tab/>
      </w:r>
      <w:r w:rsidR="00895C96" w:rsidRPr="00895C96">
        <w:rPr>
          <w:lang w:val="fr-FR"/>
        </w:rPr>
        <w:t>Ce séminaire avait pour objectif</w:t>
      </w:r>
      <w:r w:rsidR="00F33DC4">
        <w:rPr>
          <w:lang w:val="fr-FR"/>
        </w:rPr>
        <w:t>:</w:t>
      </w:r>
      <w:r w:rsidR="00895C96" w:rsidRPr="00895C96">
        <w:rPr>
          <w:lang w:val="fr-FR"/>
        </w:rPr>
        <w:t xml:space="preserve"> </w:t>
      </w:r>
    </w:p>
    <w:p w:rsidR="00895C96" w:rsidRPr="00895C96" w:rsidRDefault="00126DE6" w:rsidP="00B62D03">
      <w:pPr>
        <w:pStyle w:val="Bullet1G"/>
        <w:rPr>
          <w:lang w:val="fr-FR"/>
        </w:rPr>
      </w:pPr>
      <w:r>
        <w:rPr>
          <w:lang w:val="fr-FR"/>
        </w:rPr>
        <w:t>D</w:t>
      </w:r>
      <w:r w:rsidR="00895C96" w:rsidRPr="00895C96">
        <w:rPr>
          <w:lang w:val="fr-FR"/>
        </w:rPr>
        <w:t xml:space="preserve">e sensibiliser les participants </w:t>
      </w:r>
      <w:r w:rsidR="00855403">
        <w:rPr>
          <w:lang w:val="fr-FR"/>
        </w:rPr>
        <w:t>à</w:t>
      </w:r>
      <w:r w:rsidR="00855403" w:rsidRPr="00895C96">
        <w:rPr>
          <w:lang w:val="fr-FR"/>
        </w:rPr>
        <w:t xml:space="preserve"> </w:t>
      </w:r>
      <w:r w:rsidR="00895C96" w:rsidRPr="00895C96">
        <w:rPr>
          <w:lang w:val="fr-FR"/>
        </w:rPr>
        <w:t>l'attitude à avoir vis-à-vis des prisonniers</w:t>
      </w:r>
      <w:r w:rsidR="00F33DC4">
        <w:rPr>
          <w:lang w:val="fr-FR"/>
        </w:rPr>
        <w:t>;</w:t>
      </w:r>
      <w:r w:rsidR="00895C96" w:rsidRPr="00895C96">
        <w:rPr>
          <w:lang w:val="fr-FR"/>
        </w:rPr>
        <w:t xml:space="preserve"> </w:t>
      </w:r>
    </w:p>
    <w:p w:rsidR="00895C96" w:rsidRPr="00895C96" w:rsidRDefault="00126DE6" w:rsidP="00B62D03">
      <w:pPr>
        <w:pStyle w:val="Bullet1G"/>
        <w:rPr>
          <w:lang w:val="fr-FR"/>
        </w:rPr>
      </w:pPr>
      <w:r>
        <w:rPr>
          <w:lang w:val="fr-FR"/>
        </w:rPr>
        <w:t>D</w:t>
      </w:r>
      <w:r w:rsidR="00895C96" w:rsidRPr="00895C96">
        <w:rPr>
          <w:lang w:val="fr-FR"/>
        </w:rPr>
        <w:t>'établir un partenariat responsable entre l'administration pénitentiaire et les intervenants externes</w:t>
      </w:r>
      <w:r w:rsidR="00F33DC4">
        <w:rPr>
          <w:lang w:val="fr-FR"/>
        </w:rPr>
        <w:t>;</w:t>
      </w:r>
      <w:r w:rsidR="00895C96" w:rsidRPr="00895C96">
        <w:rPr>
          <w:lang w:val="fr-FR"/>
        </w:rPr>
        <w:t xml:space="preserve"> </w:t>
      </w:r>
    </w:p>
    <w:p w:rsidR="00895C96" w:rsidRPr="00895C96" w:rsidRDefault="00126DE6" w:rsidP="00B62D03">
      <w:pPr>
        <w:pStyle w:val="Bullet1G"/>
        <w:rPr>
          <w:lang w:val="fr-FR"/>
        </w:rPr>
      </w:pPr>
      <w:r>
        <w:rPr>
          <w:lang w:val="fr-FR"/>
        </w:rPr>
        <w:t>D</w:t>
      </w:r>
      <w:r w:rsidR="00895C96" w:rsidRPr="00895C96">
        <w:rPr>
          <w:lang w:val="fr-FR"/>
        </w:rPr>
        <w:t xml:space="preserve">e définir clairement les conditions de visite dans les prisons </w:t>
      </w:r>
      <w:r w:rsidR="00855403">
        <w:rPr>
          <w:lang w:val="fr-FR"/>
        </w:rPr>
        <w:t>d</w:t>
      </w:r>
      <w:r w:rsidR="00895C96" w:rsidRPr="00895C96">
        <w:rPr>
          <w:lang w:val="fr-FR"/>
        </w:rPr>
        <w:t xml:space="preserve">es associations et ONG et </w:t>
      </w:r>
      <w:r w:rsidR="00855403">
        <w:rPr>
          <w:lang w:val="fr-FR"/>
        </w:rPr>
        <w:t>d</w:t>
      </w:r>
      <w:r w:rsidR="00895C96" w:rsidRPr="00895C96">
        <w:rPr>
          <w:lang w:val="fr-FR"/>
        </w:rPr>
        <w:t>es familles, amis et conseils des détenus</w:t>
      </w:r>
      <w:r w:rsidR="00F33DC4">
        <w:rPr>
          <w:lang w:val="fr-FR"/>
        </w:rPr>
        <w:t>;</w:t>
      </w:r>
      <w:r w:rsidR="00895C96" w:rsidRPr="00895C96">
        <w:rPr>
          <w:lang w:val="fr-FR"/>
        </w:rPr>
        <w:t xml:space="preserve"> </w:t>
      </w:r>
    </w:p>
    <w:p w:rsidR="00895C96" w:rsidRPr="00895C96" w:rsidRDefault="00126DE6" w:rsidP="00B62D03">
      <w:pPr>
        <w:pStyle w:val="Bullet1G"/>
        <w:rPr>
          <w:lang w:val="fr-FR"/>
        </w:rPr>
      </w:pPr>
      <w:r>
        <w:rPr>
          <w:lang w:val="fr-FR"/>
        </w:rPr>
        <w:t>D</w:t>
      </w:r>
      <w:r w:rsidR="00895C96" w:rsidRPr="00895C96">
        <w:rPr>
          <w:lang w:val="fr-FR"/>
        </w:rPr>
        <w:t xml:space="preserve">e réfléchir aux solutions à envisager pour ce qui est de la situation des mineurs en détention </w:t>
      </w:r>
      <w:r w:rsidR="00F568A5">
        <w:rPr>
          <w:lang w:val="fr-FR"/>
        </w:rPr>
        <w:t xml:space="preserve">à l’extérieur </w:t>
      </w:r>
      <w:r w:rsidR="00895C96" w:rsidRPr="00895C96">
        <w:rPr>
          <w:lang w:val="fr-FR"/>
        </w:rPr>
        <w:t xml:space="preserve">de Lomé. </w:t>
      </w:r>
    </w:p>
    <w:p w:rsidR="00895C96" w:rsidRPr="00895C96" w:rsidRDefault="004727AC" w:rsidP="00E04030">
      <w:pPr>
        <w:pStyle w:val="SingleTxtG"/>
        <w:rPr>
          <w:lang w:val="fr-FR"/>
        </w:rPr>
      </w:pPr>
      <w:r>
        <w:rPr>
          <w:lang w:val="fr-FR"/>
        </w:rPr>
        <w:t>93.</w:t>
      </w:r>
      <w:r w:rsidR="00B62D03">
        <w:rPr>
          <w:lang w:val="fr-FR"/>
        </w:rPr>
        <w:tab/>
      </w:r>
      <w:r w:rsidR="00895C96" w:rsidRPr="00895C96">
        <w:rPr>
          <w:lang w:val="fr-FR"/>
        </w:rPr>
        <w:t>Par ailleurs, une circulaire du Ministre de l’Intérieur, de la Sécurité et de la Décentralisation permet aux avocats d'assister les prévenus, dès la phase de</w:t>
      </w:r>
      <w:r w:rsidR="00382281">
        <w:rPr>
          <w:lang w:val="fr-FR"/>
        </w:rPr>
        <w:t xml:space="preserve"> </w:t>
      </w:r>
      <w:r w:rsidR="00895C96" w:rsidRPr="00895C96">
        <w:rPr>
          <w:lang w:val="fr-FR"/>
        </w:rPr>
        <w:t>l’enquête préliminaire dans les unités de police judiciaire, afin de s'assurer de leur intégrité physique et morale pendant le temps de leur garde à</w:t>
      </w:r>
      <w:r w:rsidR="00382281">
        <w:rPr>
          <w:lang w:val="fr-FR"/>
        </w:rPr>
        <w:t xml:space="preserve"> </w:t>
      </w:r>
      <w:r w:rsidR="00895C96" w:rsidRPr="00895C96">
        <w:rPr>
          <w:lang w:val="fr-FR"/>
        </w:rPr>
        <w:t xml:space="preserve">vue. </w:t>
      </w:r>
    </w:p>
    <w:p w:rsidR="00895C96" w:rsidRPr="00895C96" w:rsidRDefault="00B62D03" w:rsidP="00B62D03">
      <w:pPr>
        <w:pStyle w:val="H23G"/>
        <w:rPr>
          <w:lang w:val="fr-FR"/>
        </w:rPr>
      </w:pPr>
      <w:r>
        <w:rPr>
          <w:lang w:val="fr-FR"/>
        </w:rPr>
        <w:tab/>
      </w:r>
      <w:r>
        <w:rPr>
          <w:lang w:val="fr-FR"/>
        </w:rPr>
        <w:tab/>
      </w:r>
      <w:r w:rsidR="00895C96" w:rsidRPr="009D593F">
        <w:rPr>
          <w:lang w:val="fr-FR"/>
        </w:rPr>
        <w:t>Engagement</w:t>
      </w:r>
      <w:r w:rsidR="00895C96" w:rsidRPr="00895C96">
        <w:rPr>
          <w:lang w:val="fr-FR"/>
        </w:rPr>
        <w:t xml:space="preserve"> 2.6</w:t>
      </w:r>
      <w:r w:rsidR="00F33DC4">
        <w:rPr>
          <w:lang w:val="fr-FR"/>
        </w:rPr>
        <w:t>:</w:t>
      </w:r>
      <w:r w:rsidR="00895C96" w:rsidRPr="00895C96">
        <w:rPr>
          <w:lang w:val="fr-FR"/>
        </w:rPr>
        <w:t xml:space="preserve"> </w:t>
      </w:r>
    </w:p>
    <w:p w:rsidR="00895C96" w:rsidRPr="00895C96" w:rsidRDefault="00B62D03" w:rsidP="00E04030">
      <w:pPr>
        <w:pStyle w:val="SingleTxtG"/>
        <w:rPr>
          <w:i/>
          <w:iCs/>
          <w:lang w:val="fr-FR"/>
        </w:rPr>
      </w:pPr>
      <w:r>
        <w:rPr>
          <w:i/>
          <w:iCs/>
          <w:lang w:val="fr-FR"/>
        </w:rPr>
        <w:tab/>
      </w:r>
      <w:r w:rsidR="00895C96" w:rsidRPr="00895C96">
        <w:rPr>
          <w:i/>
          <w:iCs/>
          <w:lang w:val="fr-FR"/>
        </w:rPr>
        <w:t>Faire poursuivre, par des mesures juridiques ou disciplinaires, les auteurs avérés des exécutions extrajudiciaires, des actes de torture et de traitements dégradants et inhumains. Cet</w:t>
      </w:r>
      <w:r w:rsidR="00382281">
        <w:rPr>
          <w:i/>
          <w:iCs/>
          <w:lang w:val="fr-FR"/>
        </w:rPr>
        <w:t xml:space="preserve"> </w:t>
      </w:r>
      <w:r w:rsidR="00895C96" w:rsidRPr="00895C96">
        <w:rPr>
          <w:i/>
          <w:iCs/>
          <w:lang w:val="fr-FR"/>
        </w:rPr>
        <w:t xml:space="preserve">engagement devrait aussi comprendre l'amendement des textes législatifs et législatifs réglementaires respectifs là où cela est nécessaire. </w:t>
      </w:r>
    </w:p>
    <w:p w:rsidR="00895C96" w:rsidRPr="00895C96" w:rsidRDefault="004727AC" w:rsidP="00E04030">
      <w:pPr>
        <w:pStyle w:val="SingleTxtG"/>
        <w:rPr>
          <w:lang w:val="fr-FR"/>
        </w:rPr>
      </w:pPr>
      <w:r>
        <w:rPr>
          <w:lang w:val="fr-FR"/>
        </w:rPr>
        <w:t>94.</w:t>
      </w:r>
      <w:r w:rsidR="00B62D03">
        <w:rPr>
          <w:lang w:val="fr-FR"/>
        </w:rPr>
        <w:tab/>
      </w:r>
      <w:r w:rsidR="00895C96" w:rsidRPr="00895C96">
        <w:rPr>
          <w:lang w:val="fr-FR"/>
        </w:rPr>
        <w:t xml:space="preserve">Le Togo est un </w:t>
      </w:r>
      <w:r w:rsidR="001E7B6C">
        <w:rPr>
          <w:lang w:val="fr-FR"/>
        </w:rPr>
        <w:t xml:space="preserve">État </w:t>
      </w:r>
      <w:r w:rsidR="00895C96" w:rsidRPr="00895C96">
        <w:rPr>
          <w:lang w:val="fr-FR"/>
        </w:rPr>
        <w:t xml:space="preserve">de droit dans lequel la dignité humaine est garantie par la Constitution. Sous différentes formes, des sanctions sont prévues par le législateur dans </w:t>
      </w:r>
      <w:r w:rsidR="002415AF">
        <w:rPr>
          <w:lang w:val="fr-FR"/>
        </w:rPr>
        <w:t>l</w:t>
      </w:r>
      <w:r w:rsidR="00895C96" w:rsidRPr="00895C96">
        <w:rPr>
          <w:lang w:val="fr-FR"/>
        </w:rPr>
        <w:t xml:space="preserve">es textes de droit commun </w:t>
      </w:r>
      <w:r w:rsidR="002415AF">
        <w:rPr>
          <w:lang w:val="fr-FR"/>
        </w:rPr>
        <w:t>mais</w:t>
      </w:r>
      <w:r w:rsidR="002415AF" w:rsidRPr="00895C96">
        <w:rPr>
          <w:lang w:val="fr-FR"/>
        </w:rPr>
        <w:t xml:space="preserve"> </w:t>
      </w:r>
      <w:r w:rsidR="00895C96" w:rsidRPr="00895C96">
        <w:rPr>
          <w:lang w:val="fr-FR"/>
        </w:rPr>
        <w:t xml:space="preserve">aussi dans les lois spéciales </w:t>
      </w:r>
      <w:r w:rsidR="00895C96" w:rsidRPr="0040642E">
        <w:rPr>
          <w:lang w:val="fr-FR"/>
        </w:rPr>
        <w:t>relative</w:t>
      </w:r>
      <w:r w:rsidR="0040642E" w:rsidRPr="0040642E">
        <w:rPr>
          <w:lang w:val="fr-FR"/>
        </w:rPr>
        <w:t>s</w:t>
      </w:r>
      <w:r w:rsidR="00895C96" w:rsidRPr="00895C96">
        <w:rPr>
          <w:lang w:val="fr-FR"/>
        </w:rPr>
        <w:t xml:space="preserve"> aux différents corps professionnels censés protéger les droits de l'homme. Le Gouvernement </w:t>
      </w:r>
      <w:r w:rsidR="001E7B6C">
        <w:rPr>
          <w:lang w:val="fr-FR"/>
        </w:rPr>
        <w:t>togolais</w:t>
      </w:r>
      <w:r w:rsidR="00895C96" w:rsidRPr="00895C96">
        <w:rPr>
          <w:lang w:val="fr-FR"/>
        </w:rPr>
        <w:t>, a</w:t>
      </w:r>
      <w:r w:rsidR="0040642E">
        <w:rPr>
          <w:lang w:val="fr-FR"/>
        </w:rPr>
        <w:t>u</w:t>
      </w:r>
      <w:r w:rsidR="00895C96" w:rsidRPr="00895C96">
        <w:rPr>
          <w:lang w:val="fr-FR"/>
        </w:rPr>
        <w:t xml:space="preserve"> </w:t>
      </w:r>
      <w:r w:rsidR="00895C96" w:rsidRPr="0040642E">
        <w:rPr>
          <w:lang w:val="fr-FR"/>
        </w:rPr>
        <w:t>travers</w:t>
      </w:r>
      <w:r w:rsidR="00895C96" w:rsidRPr="00895C96">
        <w:rPr>
          <w:lang w:val="fr-FR"/>
        </w:rPr>
        <w:t xml:space="preserve"> </w:t>
      </w:r>
      <w:r w:rsidR="0040642E">
        <w:rPr>
          <w:lang w:val="fr-FR"/>
        </w:rPr>
        <w:t>d</w:t>
      </w:r>
      <w:r w:rsidR="00895C96" w:rsidRPr="00895C96">
        <w:rPr>
          <w:lang w:val="fr-FR"/>
        </w:rPr>
        <w:t xml:space="preserve">es Institutions Républicaines garantes des libertés individuelles et des droits de </w:t>
      </w:r>
      <w:r w:rsidR="002415AF">
        <w:rPr>
          <w:lang w:val="fr-FR"/>
        </w:rPr>
        <w:t>l</w:t>
      </w:r>
      <w:r w:rsidR="00895C96" w:rsidRPr="00895C96">
        <w:rPr>
          <w:lang w:val="fr-FR"/>
        </w:rPr>
        <w:t xml:space="preserve">'homme, a régulièrement démontré sa détermination et sa volonté de sanctionner les éventuelles atteintes à la dignité humaine que peuvent commettre les forces de l’ordre dans l’exercice de leurs fonctions. </w:t>
      </w:r>
    </w:p>
    <w:p w:rsidR="00895C96" w:rsidRPr="00895C96" w:rsidRDefault="004727AC" w:rsidP="00E04030">
      <w:pPr>
        <w:pStyle w:val="SingleTxtG"/>
        <w:rPr>
          <w:lang w:val="fr-FR"/>
        </w:rPr>
      </w:pPr>
      <w:r>
        <w:rPr>
          <w:lang w:val="fr-FR"/>
        </w:rPr>
        <w:t>95.</w:t>
      </w:r>
      <w:r w:rsidR="00B62D03">
        <w:rPr>
          <w:lang w:val="fr-FR"/>
        </w:rPr>
        <w:tab/>
      </w:r>
      <w:r w:rsidR="00895C96" w:rsidRPr="00895C96">
        <w:rPr>
          <w:lang w:val="fr-FR"/>
        </w:rPr>
        <w:t xml:space="preserve">Différentes sanctions sont prévues par </w:t>
      </w:r>
      <w:r w:rsidR="00FC5EBE">
        <w:rPr>
          <w:lang w:val="fr-FR"/>
        </w:rPr>
        <w:t>l</w:t>
      </w:r>
      <w:r w:rsidR="00895C96" w:rsidRPr="00895C96">
        <w:rPr>
          <w:lang w:val="fr-FR"/>
        </w:rPr>
        <w:t xml:space="preserve">es textes, tels que la loi n° 81-5 du 30 mars 1981 portant Code de justice militaire, la loi n° 91-14 du 16 août 1991 portant statut spécial des personnels de la Police de la République Togolaise et le règlement de discipline générale. </w:t>
      </w:r>
    </w:p>
    <w:p w:rsidR="00895C96" w:rsidRPr="00895C96" w:rsidRDefault="004727AC" w:rsidP="00E04030">
      <w:pPr>
        <w:pStyle w:val="SingleTxtG"/>
        <w:rPr>
          <w:lang w:val="fr-FR"/>
        </w:rPr>
      </w:pPr>
      <w:r>
        <w:rPr>
          <w:lang w:val="fr-FR"/>
        </w:rPr>
        <w:t>96.</w:t>
      </w:r>
      <w:r w:rsidR="00B62D03">
        <w:rPr>
          <w:lang w:val="fr-FR"/>
        </w:rPr>
        <w:tab/>
      </w:r>
      <w:r w:rsidR="00895C96" w:rsidRPr="00895C96">
        <w:rPr>
          <w:lang w:val="fr-FR"/>
        </w:rPr>
        <w:t xml:space="preserve">Ces sanctions peuvent être disciplinaires ou pécuniaires. Celles-ci sont sans préjudice des sanctions pénales qui peuvent être prononcées par </w:t>
      </w:r>
      <w:r w:rsidR="0000340A">
        <w:rPr>
          <w:lang w:val="fr-FR"/>
        </w:rPr>
        <w:t>l</w:t>
      </w:r>
      <w:r w:rsidR="00895C96" w:rsidRPr="00895C96">
        <w:rPr>
          <w:lang w:val="fr-FR"/>
        </w:rPr>
        <w:t>es juridictions saisies des cas de tortures ou de traitements inhumains à l’encontre des auteurs de ces actes. La torture, comme les traitements inhumains, est retenue dans ces différents textes sous diverses appellations. En ce qui concerne le Code pénal, les articles 46, 47, 48</w:t>
      </w:r>
      <w:r w:rsidR="0000340A">
        <w:rPr>
          <w:lang w:val="fr-FR"/>
        </w:rPr>
        <w:t xml:space="preserve"> et</w:t>
      </w:r>
      <w:r w:rsidR="00895C96" w:rsidRPr="00895C96">
        <w:rPr>
          <w:lang w:val="fr-FR"/>
        </w:rPr>
        <w:t xml:space="preserve"> 49 sont souvent appliqu</w:t>
      </w:r>
      <w:r w:rsidR="0000340A">
        <w:rPr>
          <w:lang w:val="fr-FR"/>
        </w:rPr>
        <w:t>é</w:t>
      </w:r>
      <w:r w:rsidR="00895C96" w:rsidRPr="00895C96">
        <w:rPr>
          <w:lang w:val="fr-FR"/>
        </w:rPr>
        <w:t>s aux auteurs de traitements inhumains et de torture physique, tandis que les articles 50 et 59 sont appliqu</w:t>
      </w:r>
      <w:r w:rsidR="00871F52">
        <w:rPr>
          <w:lang w:val="fr-FR"/>
        </w:rPr>
        <w:t>é</w:t>
      </w:r>
      <w:r w:rsidR="00895C96" w:rsidRPr="00895C96">
        <w:rPr>
          <w:lang w:val="fr-FR"/>
        </w:rPr>
        <w:t xml:space="preserve">s </w:t>
      </w:r>
      <w:r w:rsidR="0000340A">
        <w:rPr>
          <w:lang w:val="fr-FR"/>
        </w:rPr>
        <w:t>aux</w:t>
      </w:r>
      <w:r w:rsidR="00895C96" w:rsidRPr="00895C96">
        <w:rPr>
          <w:lang w:val="fr-FR"/>
        </w:rPr>
        <w:t xml:space="preserve"> cas de torture morale. </w:t>
      </w:r>
    </w:p>
    <w:p w:rsidR="00895C96" w:rsidRPr="00895C96" w:rsidRDefault="004727AC" w:rsidP="00E04030">
      <w:pPr>
        <w:pStyle w:val="SingleTxtG"/>
        <w:rPr>
          <w:lang w:val="fr-FR"/>
        </w:rPr>
      </w:pPr>
      <w:r>
        <w:rPr>
          <w:lang w:val="fr-FR"/>
        </w:rPr>
        <w:t>97.</w:t>
      </w:r>
      <w:r w:rsidR="00B62D03">
        <w:rPr>
          <w:lang w:val="fr-FR"/>
        </w:rPr>
        <w:tab/>
      </w:r>
      <w:r w:rsidR="00895C96" w:rsidRPr="00895C96">
        <w:rPr>
          <w:lang w:val="fr-FR"/>
        </w:rPr>
        <w:t xml:space="preserve">Le législateur a également prévu que la Police judiciaire soit sous la direction du </w:t>
      </w:r>
      <w:r w:rsidR="00895C96" w:rsidRPr="004B6F1A">
        <w:rPr>
          <w:lang w:val="fr-FR"/>
        </w:rPr>
        <w:t>Procureur</w:t>
      </w:r>
      <w:r w:rsidR="00895C96" w:rsidRPr="00895C96">
        <w:rPr>
          <w:lang w:val="fr-FR"/>
        </w:rPr>
        <w:t xml:space="preserve"> de la République, sous la surveillance du </w:t>
      </w:r>
      <w:r w:rsidR="00895C96" w:rsidRPr="004B6F1A">
        <w:rPr>
          <w:lang w:val="fr-FR"/>
        </w:rPr>
        <w:t>Procureur Général</w:t>
      </w:r>
      <w:r w:rsidR="00895C96" w:rsidRPr="00895C96">
        <w:rPr>
          <w:lang w:val="fr-FR"/>
        </w:rPr>
        <w:t xml:space="preserve"> et sous le contrôle de la Chambre d’accusation. </w:t>
      </w:r>
      <w:r w:rsidR="00674F01">
        <w:rPr>
          <w:lang w:val="fr-FR"/>
        </w:rPr>
        <w:t>À</w:t>
      </w:r>
      <w:r w:rsidR="00895C96" w:rsidRPr="00895C96">
        <w:rPr>
          <w:lang w:val="fr-FR"/>
        </w:rPr>
        <w:t xml:space="preserve"> chaque niveau de ces structures juridictionnelles, des sanctions disciplinaires ou judiciaires peuvent être prononcées contre tout agent des forces publi</w:t>
      </w:r>
      <w:r w:rsidR="00674F01">
        <w:rPr>
          <w:lang w:val="fr-FR"/>
        </w:rPr>
        <w:t>que</w:t>
      </w:r>
      <w:r w:rsidR="00895C96" w:rsidRPr="00895C96">
        <w:rPr>
          <w:lang w:val="fr-FR"/>
        </w:rPr>
        <w:t xml:space="preserve">s auteur d'actes inhumains sur un prévenu. II en </w:t>
      </w:r>
      <w:r w:rsidR="00674F01">
        <w:rPr>
          <w:lang w:val="fr-FR"/>
        </w:rPr>
        <w:t>vaut de même</w:t>
      </w:r>
      <w:r w:rsidR="00895C96" w:rsidRPr="00895C96">
        <w:rPr>
          <w:lang w:val="fr-FR"/>
        </w:rPr>
        <w:t xml:space="preserve"> pour tout militaire qui se rendrait coupable d'actes de torture et de traitements inhumains. En effet, la loi n° 81-5 du 30 mars 1981 portant Code de justice militaire prévoit et punit ces cas de violation. </w:t>
      </w:r>
    </w:p>
    <w:p w:rsidR="004727AC" w:rsidRDefault="004727AC" w:rsidP="00E04030">
      <w:pPr>
        <w:pStyle w:val="SingleTxtG"/>
        <w:rPr>
          <w:lang w:val="fr-FR"/>
        </w:rPr>
      </w:pPr>
      <w:r>
        <w:rPr>
          <w:lang w:val="fr-FR"/>
        </w:rPr>
        <w:t>98.</w:t>
      </w:r>
      <w:r w:rsidR="00B62D03">
        <w:rPr>
          <w:lang w:val="fr-FR"/>
        </w:rPr>
        <w:tab/>
      </w:r>
      <w:r w:rsidR="00D00970">
        <w:rPr>
          <w:lang w:val="fr-FR"/>
        </w:rPr>
        <w:t>À</w:t>
      </w:r>
      <w:r w:rsidR="00895C96" w:rsidRPr="00895C96">
        <w:rPr>
          <w:lang w:val="fr-FR"/>
        </w:rPr>
        <w:t xml:space="preserve"> titre d'illustration, les exemples ci-après de sanctions contre les auteurs de tortures et traitements inhumains peuvent être cités. En application des règlements et de la loi pénale en matière de protection des droits de l'homme, des sanctions ont été régulièrement prononcées contre les auteurs d'actes de torture, de violence, etc.</w:t>
      </w:r>
      <w:r w:rsidR="006B1E8C">
        <w:rPr>
          <w:lang w:val="fr-FR"/>
        </w:rPr>
        <w:t>.</w:t>
      </w:r>
      <w:r w:rsidR="00895C96" w:rsidRPr="00895C96">
        <w:rPr>
          <w:lang w:val="fr-FR"/>
        </w:rPr>
        <w:t xml:space="preserve"> </w:t>
      </w:r>
      <w:r w:rsidR="006A46BB">
        <w:rPr>
          <w:lang w:val="fr-FR"/>
        </w:rPr>
        <w:t>D</w:t>
      </w:r>
      <w:r w:rsidR="00895C96" w:rsidRPr="00895C96">
        <w:rPr>
          <w:lang w:val="fr-FR"/>
        </w:rPr>
        <w:t>es sanctions allant jusqu'a l'exclusion temporaire ou définitive sont prononcées dans les rares cas de violations constat</w:t>
      </w:r>
      <w:r w:rsidR="006A46BB">
        <w:rPr>
          <w:lang w:val="fr-FR"/>
        </w:rPr>
        <w:t>é</w:t>
      </w:r>
      <w:r w:rsidR="00895C96" w:rsidRPr="00895C96">
        <w:rPr>
          <w:lang w:val="fr-FR"/>
        </w:rPr>
        <w:t>es.</w:t>
      </w:r>
    </w:p>
    <w:p w:rsidR="00895C96" w:rsidRPr="00895C96" w:rsidRDefault="004727AC" w:rsidP="00E04030">
      <w:pPr>
        <w:pStyle w:val="SingleTxtG"/>
        <w:rPr>
          <w:lang w:val="fr-FR"/>
        </w:rPr>
      </w:pPr>
      <w:r>
        <w:rPr>
          <w:lang w:val="fr-FR"/>
        </w:rPr>
        <w:t>99.</w:t>
      </w:r>
      <w:r>
        <w:rPr>
          <w:lang w:val="fr-FR"/>
        </w:rPr>
        <w:tab/>
      </w:r>
      <w:r w:rsidR="00895C96" w:rsidRPr="00895C96">
        <w:rPr>
          <w:lang w:val="fr-FR"/>
        </w:rPr>
        <w:t xml:space="preserve"> </w:t>
      </w:r>
      <w:r w:rsidR="006A46BB" w:rsidRPr="006A46BB">
        <w:rPr>
          <w:lang w:val="fr-FR"/>
        </w:rPr>
        <w:t>O</w:t>
      </w:r>
      <w:r w:rsidR="00895C96" w:rsidRPr="006A46BB">
        <w:rPr>
          <w:lang w:val="fr-FR"/>
        </w:rPr>
        <w:t>n</w:t>
      </w:r>
      <w:r w:rsidR="00895C96" w:rsidRPr="00895C96">
        <w:rPr>
          <w:lang w:val="fr-FR"/>
        </w:rPr>
        <w:t xml:space="preserve"> peut citer à ce titre</w:t>
      </w:r>
      <w:r w:rsidR="00F33DC4">
        <w:rPr>
          <w:lang w:val="fr-FR"/>
        </w:rPr>
        <w:t>:</w:t>
      </w:r>
      <w:r w:rsidR="00895C96" w:rsidRPr="00895C96">
        <w:rPr>
          <w:lang w:val="fr-FR"/>
        </w:rPr>
        <w:t xml:space="preserve"> </w:t>
      </w:r>
    </w:p>
    <w:p w:rsidR="00895C96" w:rsidRPr="00895C96" w:rsidRDefault="00895C96" w:rsidP="00B62D03">
      <w:pPr>
        <w:pStyle w:val="Bullet1G"/>
        <w:rPr>
          <w:lang w:val="fr-FR"/>
        </w:rPr>
      </w:pPr>
      <w:r w:rsidRPr="00895C96">
        <w:rPr>
          <w:lang w:val="fr-FR"/>
        </w:rPr>
        <w:t>Maréchal de Logis-Chef A ... Commandant de brigade Afagnan</w:t>
      </w:r>
      <w:r w:rsidR="00F33DC4">
        <w:rPr>
          <w:lang w:val="fr-FR"/>
        </w:rPr>
        <w:t>:</w:t>
      </w:r>
      <w:r w:rsidRPr="00895C96">
        <w:rPr>
          <w:lang w:val="fr-FR"/>
        </w:rPr>
        <w:t xml:space="preserve"> soixante (60) jours d'arrêts de rigueur et six (6) mois d'exclusion pour avoir fait exercer des sévices corporels sur un détenu </w:t>
      </w:r>
      <w:r w:rsidR="00656A11">
        <w:rPr>
          <w:lang w:val="fr-FR"/>
        </w:rPr>
        <w:t>à</w:t>
      </w:r>
      <w:r w:rsidRPr="00895C96">
        <w:rPr>
          <w:lang w:val="fr-FR"/>
        </w:rPr>
        <w:t xml:space="preserve"> la Brigade d' Afagnan</w:t>
      </w:r>
      <w:r w:rsidR="00F33DC4">
        <w:rPr>
          <w:lang w:val="fr-FR"/>
        </w:rPr>
        <w:t>;</w:t>
      </w:r>
      <w:r w:rsidRPr="00895C96">
        <w:rPr>
          <w:lang w:val="fr-FR"/>
        </w:rPr>
        <w:t xml:space="preserve"> </w:t>
      </w:r>
    </w:p>
    <w:p w:rsidR="00895C96" w:rsidRPr="00895C96" w:rsidRDefault="00895C96" w:rsidP="00B62D03">
      <w:pPr>
        <w:pStyle w:val="Bullet1G"/>
        <w:rPr>
          <w:lang w:val="fr-FR"/>
        </w:rPr>
      </w:pPr>
      <w:r w:rsidRPr="00895C96">
        <w:rPr>
          <w:lang w:val="fr-FR"/>
        </w:rPr>
        <w:t>Maréchal des Logis-Chef V... Commandant de brigade Kara</w:t>
      </w:r>
      <w:r w:rsidR="00F33DC4">
        <w:rPr>
          <w:lang w:val="fr-FR"/>
        </w:rPr>
        <w:t>:</w:t>
      </w:r>
      <w:r w:rsidRPr="00895C96">
        <w:rPr>
          <w:lang w:val="fr-FR"/>
        </w:rPr>
        <w:t xml:space="preserve"> soixante (60) jours d'arrêts de rigueur et six (6) mois d'exclusion pour sévices et refus de soins médicaux aux détenus </w:t>
      </w:r>
      <w:r w:rsidR="005202F6">
        <w:rPr>
          <w:lang w:val="fr-FR"/>
        </w:rPr>
        <w:t>à</w:t>
      </w:r>
      <w:r w:rsidRPr="00895C96">
        <w:rPr>
          <w:lang w:val="fr-FR"/>
        </w:rPr>
        <w:t xml:space="preserve"> la brigade de recherche de Kara</w:t>
      </w:r>
      <w:r w:rsidR="00F33DC4">
        <w:rPr>
          <w:lang w:val="fr-FR"/>
        </w:rPr>
        <w:t>;</w:t>
      </w:r>
    </w:p>
    <w:p w:rsidR="00895C96" w:rsidRPr="00895C96" w:rsidRDefault="00895C96" w:rsidP="00B62D03">
      <w:pPr>
        <w:pStyle w:val="Bullet1G"/>
        <w:rPr>
          <w:lang w:val="fr-FR"/>
        </w:rPr>
      </w:pPr>
      <w:r w:rsidRPr="00895C96">
        <w:rPr>
          <w:lang w:val="fr-FR"/>
        </w:rPr>
        <w:t>Gendarme Adjoint AD ..., brigade territoriale de Kara</w:t>
      </w:r>
      <w:r w:rsidR="00F33DC4">
        <w:rPr>
          <w:lang w:val="fr-FR"/>
        </w:rPr>
        <w:t>;</w:t>
      </w:r>
    </w:p>
    <w:p w:rsidR="00895C96" w:rsidRPr="00895C96" w:rsidRDefault="00895C96" w:rsidP="00B62D03">
      <w:pPr>
        <w:pStyle w:val="Bullet1G"/>
        <w:rPr>
          <w:lang w:val="fr-FR"/>
        </w:rPr>
      </w:pPr>
      <w:r w:rsidRPr="00895C96">
        <w:rPr>
          <w:lang w:val="fr-FR"/>
        </w:rPr>
        <w:t xml:space="preserve">Gendarme Adjoint G ..., brigade territoriale de Kara: tous les deux pour un mauvais traitement sur un prévenu </w:t>
      </w:r>
      <w:r w:rsidR="005202F6">
        <w:rPr>
          <w:lang w:val="fr-FR"/>
        </w:rPr>
        <w:t xml:space="preserve">à </w:t>
      </w:r>
      <w:r w:rsidRPr="00895C96">
        <w:rPr>
          <w:lang w:val="fr-FR"/>
        </w:rPr>
        <w:t xml:space="preserve"> Kara</w:t>
      </w:r>
      <w:r w:rsidR="00F33DC4">
        <w:rPr>
          <w:lang w:val="fr-FR"/>
        </w:rPr>
        <w:t>;</w:t>
      </w:r>
    </w:p>
    <w:p w:rsidR="00895C96" w:rsidRPr="00895C96" w:rsidRDefault="00895C96" w:rsidP="00B62D03">
      <w:pPr>
        <w:pStyle w:val="Bullet1G"/>
        <w:rPr>
          <w:lang w:val="fr-FR"/>
        </w:rPr>
      </w:pPr>
      <w:r w:rsidRPr="00895C96">
        <w:rPr>
          <w:lang w:val="fr-FR"/>
        </w:rPr>
        <w:t>Gendarme Adjoint H …, escadron KILO d’Anèho</w:t>
      </w:r>
      <w:r w:rsidR="00F33DC4">
        <w:rPr>
          <w:lang w:val="fr-FR"/>
        </w:rPr>
        <w:t>:</w:t>
      </w:r>
      <w:r w:rsidRPr="00895C96">
        <w:rPr>
          <w:lang w:val="fr-FR"/>
        </w:rPr>
        <w:t xml:space="preserve"> pour homicide involontaire. P…, soixante (60) jours d’arrêts de rigueur avec imputation sur solde pour mauvais traitement d'un détenu </w:t>
      </w:r>
      <w:r w:rsidR="005202F6">
        <w:rPr>
          <w:lang w:val="fr-FR"/>
        </w:rPr>
        <w:t>à</w:t>
      </w:r>
      <w:r w:rsidRPr="00895C96">
        <w:rPr>
          <w:lang w:val="fr-FR"/>
        </w:rPr>
        <w:t xml:space="preserve"> la brigade de Dapaong. </w:t>
      </w:r>
    </w:p>
    <w:p w:rsidR="00895C96" w:rsidRPr="00895C96" w:rsidRDefault="004727AC" w:rsidP="00E04030">
      <w:pPr>
        <w:pStyle w:val="SingleTxtG"/>
        <w:rPr>
          <w:lang w:val="fr-FR"/>
        </w:rPr>
      </w:pPr>
      <w:r>
        <w:rPr>
          <w:lang w:val="fr-FR"/>
        </w:rPr>
        <w:t>100.</w:t>
      </w:r>
      <w:r w:rsidR="00B62D03">
        <w:rPr>
          <w:lang w:val="fr-FR"/>
        </w:rPr>
        <w:tab/>
      </w:r>
      <w:r w:rsidR="00895C96" w:rsidRPr="00895C96">
        <w:rPr>
          <w:lang w:val="fr-FR"/>
        </w:rPr>
        <w:t>Le Gouvernement a adopté le statut des Forces Armées Togolaise</w:t>
      </w:r>
      <w:r w:rsidR="00656A11">
        <w:rPr>
          <w:lang w:val="fr-FR"/>
        </w:rPr>
        <w:t>s</w:t>
      </w:r>
      <w:r w:rsidR="00895C96" w:rsidRPr="00895C96">
        <w:rPr>
          <w:lang w:val="fr-FR"/>
        </w:rPr>
        <w:t xml:space="preserve"> (FAT) et mis en place un Conseil Supérieur de la Fonction Militaire, form</w:t>
      </w:r>
      <w:r w:rsidR="0061787D">
        <w:rPr>
          <w:lang w:val="fr-FR"/>
        </w:rPr>
        <w:t>é</w:t>
      </w:r>
      <w:r w:rsidR="00895C96" w:rsidRPr="00895C96">
        <w:rPr>
          <w:lang w:val="fr-FR"/>
        </w:rPr>
        <w:t xml:space="preserve"> et sensibilis</w:t>
      </w:r>
      <w:r w:rsidR="0061787D">
        <w:rPr>
          <w:lang w:val="fr-FR"/>
        </w:rPr>
        <w:t>é</w:t>
      </w:r>
      <w:r w:rsidR="00895C96" w:rsidRPr="00895C96">
        <w:rPr>
          <w:lang w:val="fr-FR"/>
        </w:rPr>
        <w:t xml:space="preserve"> les FAT à la démocratie, au respect des droits de l’homme et au rôle des forces armées dans un </w:t>
      </w:r>
      <w:r w:rsidR="001E7B6C">
        <w:rPr>
          <w:lang w:val="fr-FR"/>
        </w:rPr>
        <w:t xml:space="preserve">État </w:t>
      </w:r>
      <w:r w:rsidR="00895C96" w:rsidRPr="00895C96">
        <w:rPr>
          <w:lang w:val="fr-FR"/>
        </w:rPr>
        <w:t>de droit en vue d’une armée républicaine au service de la nation.</w:t>
      </w:r>
    </w:p>
    <w:p w:rsidR="00895C96" w:rsidRPr="00895C96" w:rsidRDefault="00AA4F58" w:rsidP="00E04030">
      <w:pPr>
        <w:pStyle w:val="SingleTxtG"/>
        <w:rPr>
          <w:lang w:val="fr-FR"/>
        </w:rPr>
      </w:pPr>
      <w:r>
        <w:rPr>
          <w:lang w:val="fr-FR"/>
        </w:rPr>
        <w:t>101.</w:t>
      </w:r>
      <w:r w:rsidR="00B62D03">
        <w:rPr>
          <w:lang w:val="fr-FR"/>
        </w:rPr>
        <w:tab/>
      </w:r>
      <w:r w:rsidR="00895C96" w:rsidRPr="00895C96">
        <w:rPr>
          <w:lang w:val="fr-FR"/>
        </w:rPr>
        <w:t xml:space="preserve">En outre, il élaborera un programme de renforcement des capacités en vue d'une meilleure application des textes régissant l’activité des forces de l’ordre. </w:t>
      </w:r>
      <w:r w:rsidR="005202F6">
        <w:rPr>
          <w:lang w:val="fr-FR"/>
        </w:rPr>
        <w:t>À</w:t>
      </w:r>
      <w:r w:rsidR="00895C96" w:rsidRPr="00895C96">
        <w:rPr>
          <w:lang w:val="fr-FR"/>
        </w:rPr>
        <w:t xml:space="preserve"> ce titre, le Gouvernement sollicitera l'appui financier de l'Union </w:t>
      </w:r>
      <w:r w:rsidR="00382281">
        <w:rPr>
          <w:lang w:val="fr-FR"/>
        </w:rPr>
        <w:t>européenne</w:t>
      </w:r>
      <w:r w:rsidR="00895C96" w:rsidRPr="00895C96">
        <w:rPr>
          <w:lang w:val="fr-FR"/>
        </w:rPr>
        <w:t xml:space="preserve"> et de ses autres partenaires </w:t>
      </w:r>
      <w:r w:rsidR="00895C96" w:rsidRPr="00A311AB">
        <w:rPr>
          <w:lang w:val="fr-FR"/>
        </w:rPr>
        <w:t>au</w:t>
      </w:r>
      <w:r w:rsidR="00895C96" w:rsidRPr="00895C96">
        <w:rPr>
          <w:lang w:val="fr-FR"/>
        </w:rPr>
        <w:t xml:space="preserve"> développement. </w:t>
      </w:r>
    </w:p>
    <w:p w:rsidR="00895C96" w:rsidRPr="00895C96" w:rsidRDefault="00B62D03" w:rsidP="00B62D03">
      <w:pPr>
        <w:pStyle w:val="H23G"/>
        <w:rPr>
          <w:lang w:val="fr-FR"/>
        </w:rPr>
      </w:pPr>
      <w:r>
        <w:rPr>
          <w:lang w:val="fr-FR"/>
        </w:rPr>
        <w:tab/>
      </w:r>
      <w:r>
        <w:rPr>
          <w:lang w:val="fr-FR"/>
        </w:rPr>
        <w:tab/>
      </w:r>
      <w:r w:rsidR="00895C96" w:rsidRPr="00895C96">
        <w:rPr>
          <w:lang w:val="fr-FR"/>
        </w:rPr>
        <w:t>Réponse</w:t>
      </w:r>
      <w:r w:rsidR="00382281">
        <w:rPr>
          <w:lang w:val="fr-FR"/>
        </w:rPr>
        <w:t xml:space="preserve"> </w:t>
      </w:r>
      <w:r w:rsidR="00A4197C">
        <w:rPr>
          <w:lang w:val="fr-FR"/>
        </w:rPr>
        <w:t>au paragraphe 8</w:t>
      </w:r>
      <w:r w:rsidR="00A4197C" w:rsidRPr="00B100AF">
        <w:rPr>
          <w:lang w:val="fr-FR"/>
        </w:rPr>
        <w:t xml:space="preserve"> </w:t>
      </w:r>
      <w:r w:rsidR="00A4197C">
        <w:rPr>
          <w:lang w:val="fr-FR"/>
        </w:rPr>
        <w:t xml:space="preserve">de la liste de points à traiter </w:t>
      </w:r>
    </w:p>
    <w:p w:rsidR="00895C96" w:rsidRPr="00895C96" w:rsidRDefault="00AA4F58" w:rsidP="00E04030">
      <w:pPr>
        <w:pStyle w:val="SingleTxtG"/>
        <w:rPr>
          <w:lang w:val="fr-FR"/>
        </w:rPr>
      </w:pPr>
      <w:r>
        <w:rPr>
          <w:lang w:val="fr-FR"/>
        </w:rPr>
        <w:t>102.</w:t>
      </w:r>
      <w:r w:rsidR="00B62D03">
        <w:rPr>
          <w:lang w:val="fr-FR"/>
        </w:rPr>
        <w:tab/>
      </w:r>
      <w:r w:rsidR="00895C96" w:rsidRPr="00895C96">
        <w:rPr>
          <w:lang w:val="fr-FR"/>
        </w:rPr>
        <w:t>Depuis la prise en main de cette brigade en 2008 par une nouvelle équipe, la situation s’est amélioré</w:t>
      </w:r>
      <w:r w:rsidR="0061787D">
        <w:rPr>
          <w:lang w:val="fr-FR"/>
        </w:rPr>
        <w:t>e</w:t>
      </w:r>
      <w:r w:rsidR="00895C96" w:rsidRPr="00895C96">
        <w:rPr>
          <w:lang w:val="fr-FR"/>
        </w:rPr>
        <w:t xml:space="preserve"> eu égard au châtiment corporel. </w:t>
      </w:r>
    </w:p>
    <w:p w:rsidR="00895C96" w:rsidRPr="00895C96" w:rsidRDefault="00AA4F58" w:rsidP="00E04030">
      <w:pPr>
        <w:pStyle w:val="SingleTxtG"/>
        <w:rPr>
          <w:lang w:val="fr-FR"/>
        </w:rPr>
      </w:pPr>
      <w:r>
        <w:rPr>
          <w:lang w:val="fr-FR"/>
        </w:rPr>
        <w:t>103.</w:t>
      </w:r>
      <w:r w:rsidR="00B62D03">
        <w:rPr>
          <w:lang w:val="fr-FR"/>
        </w:rPr>
        <w:tab/>
      </w:r>
      <w:r w:rsidR="00895C96" w:rsidRPr="00895C96">
        <w:rPr>
          <w:lang w:val="fr-FR"/>
        </w:rPr>
        <w:t xml:space="preserve">Il n’existe pas de prison spécialisée pour mineurs mais des aménagements pour mineurs y sont prévus. Le </w:t>
      </w:r>
      <w:r w:rsidR="001E7B6C">
        <w:rPr>
          <w:lang w:val="fr-FR"/>
        </w:rPr>
        <w:t>Code</w:t>
      </w:r>
      <w:r w:rsidR="00895C96" w:rsidRPr="00895C96">
        <w:rPr>
          <w:lang w:val="fr-FR"/>
        </w:rPr>
        <w:t xml:space="preserve"> de l’enfant du 6 juillet 2007 prévoit la création de quartier</w:t>
      </w:r>
      <w:r w:rsidR="0061787D">
        <w:rPr>
          <w:lang w:val="fr-FR"/>
        </w:rPr>
        <w:t>s</w:t>
      </w:r>
      <w:r w:rsidR="00895C96" w:rsidRPr="00895C96">
        <w:rPr>
          <w:lang w:val="fr-FR"/>
        </w:rPr>
        <w:t xml:space="preserve"> pour mineur</w:t>
      </w:r>
      <w:r w:rsidR="0061787D">
        <w:rPr>
          <w:lang w:val="fr-FR"/>
        </w:rPr>
        <w:t>s</w:t>
      </w:r>
      <w:r w:rsidR="00895C96" w:rsidRPr="00895C96">
        <w:rPr>
          <w:lang w:val="fr-FR"/>
        </w:rPr>
        <w:t xml:space="preserve"> dans toutes les maisons d’arrêt et de correction.</w:t>
      </w:r>
    </w:p>
    <w:p w:rsidR="00AA4F58" w:rsidRDefault="00AA4F58" w:rsidP="00E04030">
      <w:pPr>
        <w:pStyle w:val="SingleTxtG"/>
        <w:rPr>
          <w:lang w:val="fr-FR"/>
        </w:rPr>
      </w:pPr>
      <w:r>
        <w:rPr>
          <w:lang w:val="fr-FR"/>
        </w:rPr>
        <w:t>104.</w:t>
      </w:r>
      <w:r w:rsidR="00B62D03">
        <w:rPr>
          <w:lang w:val="fr-FR"/>
        </w:rPr>
        <w:tab/>
      </w:r>
      <w:r w:rsidR="00895C96" w:rsidRPr="00895C96">
        <w:rPr>
          <w:lang w:val="fr-FR"/>
        </w:rPr>
        <w:t xml:space="preserve">Sur le plan législatif, le </w:t>
      </w:r>
      <w:r w:rsidR="001E7B6C">
        <w:rPr>
          <w:lang w:val="fr-FR"/>
        </w:rPr>
        <w:t>Code</w:t>
      </w:r>
      <w:r w:rsidR="00895C96" w:rsidRPr="00895C96">
        <w:rPr>
          <w:lang w:val="fr-FR"/>
        </w:rPr>
        <w:t xml:space="preserve"> de l’enfant dans ses articles 275 à 352 prévoit les règles et procédures applicables aux enfants en conflit avec la loi en tenant compte de sa dignité, de sa valeur professionnelle et de son intérêt supérieur. Le Togo</w:t>
      </w:r>
      <w:r w:rsidR="00A635A1">
        <w:rPr>
          <w:lang w:val="fr-FR"/>
        </w:rPr>
        <w:t>,</w:t>
      </w:r>
      <w:r w:rsidR="00895C96" w:rsidRPr="00895C96">
        <w:rPr>
          <w:lang w:val="fr-FR"/>
        </w:rPr>
        <w:t xml:space="preserve"> </w:t>
      </w:r>
      <w:r w:rsidR="00A311AB" w:rsidRPr="00A311AB">
        <w:rPr>
          <w:lang w:val="fr-FR"/>
        </w:rPr>
        <w:t>au</w:t>
      </w:r>
      <w:r w:rsidR="00895C96" w:rsidRPr="00A311AB">
        <w:rPr>
          <w:lang w:val="fr-FR"/>
        </w:rPr>
        <w:t xml:space="preserve"> travers </w:t>
      </w:r>
      <w:r w:rsidR="00A311AB" w:rsidRPr="00A311AB">
        <w:rPr>
          <w:lang w:val="fr-FR"/>
        </w:rPr>
        <w:t>d</w:t>
      </w:r>
      <w:r w:rsidR="00895C96" w:rsidRPr="00A311AB">
        <w:rPr>
          <w:lang w:val="fr-FR"/>
        </w:rPr>
        <w:t>es</w:t>
      </w:r>
      <w:r w:rsidR="00895C96" w:rsidRPr="00895C96">
        <w:rPr>
          <w:lang w:val="fr-FR"/>
        </w:rPr>
        <w:t xml:space="preserve"> dispositions des articles 300 à 346 du </w:t>
      </w:r>
      <w:r w:rsidR="001E7B6C">
        <w:rPr>
          <w:lang w:val="fr-FR"/>
        </w:rPr>
        <w:t>Code</w:t>
      </w:r>
      <w:r w:rsidR="00895C96" w:rsidRPr="00895C96">
        <w:rPr>
          <w:lang w:val="fr-FR"/>
        </w:rPr>
        <w:t xml:space="preserve"> de l’enfant</w:t>
      </w:r>
      <w:r w:rsidR="00A635A1">
        <w:rPr>
          <w:lang w:val="fr-FR"/>
        </w:rPr>
        <w:t>,</w:t>
      </w:r>
      <w:r w:rsidR="00895C96" w:rsidRPr="00895C96">
        <w:rPr>
          <w:lang w:val="fr-FR"/>
        </w:rPr>
        <w:t xml:space="preserve"> a pris des mesures d’ordre législatif et institutionnel pour assurer à l’enfant en conflit avec la loi une protection particulière. Les juridictions pour enfant ne peuvent prononcer que des mesures de protection, de surveillance, d’assistance et d’éducation. Des mesures alternatives à l’emprisonnement figurent dans ce </w:t>
      </w:r>
      <w:r w:rsidR="001E7B6C">
        <w:rPr>
          <w:lang w:val="fr-FR"/>
        </w:rPr>
        <w:t>Code</w:t>
      </w:r>
      <w:r w:rsidR="00870E43">
        <w:rPr>
          <w:lang w:val="fr-FR"/>
        </w:rPr>
        <w:t>,</w:t>
      </w:r>
      <w:r w:rsidR="00895C96" w:rsidRPr="00895C96">
        <w:rPr>
          <w:lang w:val="fr-FR"/>
        </w:rPr>
        <w:t xml:space="preserve"> en particulier la médiation pénale qui constitue un mécanisme visant à éviter à l’enfant contrevenant d’être confronté au système judiciaire dans toute sa rigueur. L’un des progrès important mené</w:t>
      </w:r>
      <w:r w:rsidR="00382281">
        <w:rPr>
          <w:lang w:val="fr-FR"/>
        </w:rPr>
        <w:t xml:space="preserve"> </w:t>
      </w:r>
      <w:r w:rsidR="00895C96" w:rsidRPr="00895C96">
        <w:rPr>
          <w:lang w:val="fr-FR"/>
        </w:rPr>
        <w:t xml:space="preserve">est la conduite d’une étude sur l’état de la justice pour mineurs dans le système judiciaire au Togo, afin de mieux prendre en compte la protection de l’enfant </w:t>
      </w:r>
      <w:r w:rsidR="00870E43">
        <w:rPr>
          <w:lang w:val="fr-FR"/>
        </w:rPr>
        <w:t>grâce à</w:t>
      </w:r>
      <w:r w:rsidR="00895C96" w:rsidRPr="00895C96">
        <w:rPr>
          <w:lang w:val="fr-FR"/>
        </w:rPr>
        <w:t xml:space="preserve"> une justice des mineurs bien organisée institutionnellement.</w:t>
      </w:r>
    </w:p>
    <w:p w:rsidR="00895C96" w:rsidRPr="00895C96" w:rsidRDefault="00AA4F58" w:rsidP="00E04030">
      <w:pPr>
        <w:pStyle w:val="SingleTxtG"/>
        <w:rPr>
          <w:lang w:val="fr-FR"/>
        </w:rPr>
      </w:pPr>
      <w:r>
        <w:rPr>
          <w:lang w:val="fr-FR"/>
        </w:rPr>
        <w:t>105.</w:t>
      </w:r>
      <w:r>
        <w:rPr>
          <w:lang w:val="fr-FR"/>
        </w:rPr>
        <w:tab/>
      </w:r>
      <w:r w:rsidR="00895C96" w:rsidRPr="00895C96">
        <w:rPr>
          <w:lang w:val="fr-FR"/>
        </w:rPr>
        <w:t>Quatre axes stratégiques sont préconisés</w:t>
      </w:r>
      <w:r w:rsidR="00F33DC4">
        <w:rPr>
          <w:lang w:val="fr-FR"/>
        </w:rPr>
        <w:t>:</w:t>
      </w:r>
    </w:p>
    <w:p w:rsidR="00895C96" w:rsidRPr="00895C96" w:rsidRDefault="00AA4B4A" w:rsidP="00B62D03">
      <w:pPr>
        <w:pStyle w:val="Bullet1G"/>
        <w:rPr>
          <w:lang w:val="fr-FR"/>
        </w:rPr>
      </w:pPr>
      <w:r>
        <w:rPr>
          <w:lang w:val="fr-FR"/>
        </w:rPr>
        <w:t>A</w:t>
      </w:r>
      <w:r w:rsidR="00895C96" w:rsidRPr="00895C96">
        <w:rPr>
          <w:lang w:val="fr-FR"/>
        </w:rPr>
        <w:t xml:space="preserve">ppui à la mise en </w:t>
      </w:r>
      <w:r>
        <w:rPr>
          <w:lang w:val="fr-FR"/>
        </w:rPr>
        <w:t>place</w:t>
      </w:r>
      <w:r w:rsidRPr="00895C96">
        <w:rPr>
          <w:lang w:val="fr-FR"/>
        </w:rPr>
        <w:t xml:space="preserve"> </w:t>
      </w:r>
      <w:r w:rsidR="00895C96" w:rsidRPr="00895C96">
        <w:rPr>
          <w:lang w:val="fr-FR"/>
        </w:rPr>
        <w:t>des tribunaux pour enfants pour permettre le fonctionnement effectif des tribunaux pour enfants sur l’ensemble du territoire national</w:t>
      </w:r>
      <w:r w:rsidR="00F33DC4">
        <w:rPr>
          <w:lang w:val="fr-FR"/>
        </w:rPr>
        <w:t>;</w:t>
      </w:r>
    </w:p>
    <w:p w:rsidR="00895C96" w:rsidRPr="00895C96" w:rsidRDefault="00AA4B4A" w:rsidP="00B62D03">
      <w:pPr>
        <w:pStyle w:val="Bullet1G"/>
        <w:rPr>
          <w:lang w:val="fr-FR"/>
        </w:rPr>
      </w:pPr>
      <w:r>
        <w:rPr>
          <w:lang w:val="fr-FR"/>
        </w:rPr>
        <w:t>A</w:t>
      </w:r>
      <w:r w:rsidR="00895C96" w:rsidRPr="00895C96">
        <w:rPr>
          <w:lang w:val="fr-FR"/>
        </w:rPr>
        <w:t>ppui aux unités d’enquête en matière de justice juvénile devant permettre de disposer sur l’ensemble du territoire d</w:t>
      </w:r>
      <w:r>
        <w:rPr>
          <w:lang w:val="fr-FR"/>
        </w:rPr>
        <w:t>’</w:t>
      </w:r>
      <w:r w:rsidR="00895C96" w:rsidRPr="00895C96">
        <w:rPr>
          <w:lang w:val="fr-FR"/>
        </w:rPr>
        <w:t>unités d’enquête spécialisée</w:t>
      </w:r>
      <w:r>
        <w:rPr>
          <w:lang w:val="fr-FR"/>
        </w:rPr>
        <w:t>s</w:t>
      </w:r>
      <w:r w:rsidR="00895C96" w:rsidRPr="00895C96">
        <w:rPr>
          <w:lang w:val="fr-FR"/>
        </w:rPr>
        <w:t xml:space="preserve"> dans les techniques d’investigation des cas concernant ou impliquant des enfants</w:t>
      </w:r>
      <w:r w:rsidR="00F33DC4">
        <w:rPr>
          <w:lang w:val="fr-FR"/>
        </w:rPr>
        <w:t>;</w:t>
      </w:r>
    </w:p>
    <w:p w:rsidR="00895C96" w:rsidRPr="00895C96" w:rsidRDefault="00AA4B4A" w:rsidP="00B62D03">
      <w:pPr>
        <w:pStyle w:val="Bullet1G"/>
        <w:rPr>
          <w:lang w:val="fr-FR"/>
        </w:rPr>
      </w:pPr>
      <w:r>
        <w:rPr>
          <w:lang w:val="fr-FR"/>
        </w:rPr>
        <w:t>A</w:t>
      </w:r>
      <w:r w:rsidR="00895C96" w:rsidRPr="00895C96">
        <w:rPr>
          <w:lang w:val="fr-FR"/>
        </w:rPr>
        <w:t>ppui au fonctionnement des centres d’accueil public</w:t>
      </w:r>
      <w:r>
        <w:rPr>
          <w:lang w:val="fr-FR"/>
        </w:rPr>
        <w:t>s</w:t>
      </w:r>
      <w:r w:rsidR="00F33DC4">
        <w:rPr>
          <w:lang w:val="fr-FR"/>
        </w:rPr>
        <w:t>;</w:t>
      </w:r>
    </w:p>
    <w:p w:rsidR="00895C96" w:rsidRPr="00895C96" w:rsidRDefault="00AA4B4A" w:rsidP="00B62D03">
      <w:pPr>
        <w:pStyle w:val="Bullet1G"/>
        <w:rPr>
          <w:lang w:val="fr-FR"/>
        </w:rPr>
      </w:pPr>
      <w:r>
        <w:rPr>
          <w:lang w:val="fr-FR"/>
        </w:rPr>
        <w:t>M</w:t>
      </w:r>
      <w:r w:rsidR="00895C96" w:rsidRPr="00895C96">
        <w:rPr>
          <w:lang w:val="fr-FR"/>
        </w:rPr>
        <w:t xml:space="preserve">ise en place d’un système légal </w:t>
      </w:r>
      <w:r w:rsidR="005A499E">
        <w:rPr>
          <w:lang w:val="fr-FR"/>
        </w:rPr>
        <w:t xml:space="preserve">permettant un </w:t>
      </w:r>
      <w:r w:rsidR="005A499E" w:rsidRPr="00895C96">
        <w:rPr>
          <w:lang w:val="fr-FR"/>
        </w:rPr>
        <w:t xml:space="preserve">fonctionnement </w:t>
      </w:r>
      <w:r w:rsidR="00895C96" w:rsidRPr="00895C96">
        <w:rPr>
          <w:lang w:val="fr-FR"/>
        </w:rPr>
        <w:t xml:space="preserve">cohérent entre les acteurs de la justice pour </w:t>
      </w:r>
      <w:r w:rsidR="00895C96" w:rsidRPr="00A311AB">
        <w:rPr>
          <w:lang w:val="fr-FR"/>
        </w:rPr>
        <w:t>mineurs</w:t>
      </w:r>
      <w:r w:rsidR="003504E9" w:rsidRPr="00A311AB">
        <w:rPr>
          <w:lang w:val="fr-FR"/>
        </w:rPr>
        <w:t xml:space="preserve"> et</w:t>
      </w:r>
      <w:r w:rsidR="00895C96" w:rsidRPr="00A311AB">
        <w:rPr>
          <w:lang w:val="fr-FR"/>
        </w:rPr>
        <w:t xml:space="preserve"> </w:t>
      </w:r>
      <w:r w:rsidR="00A311AB" w:rsidRPr="00A311AB">
        <w:rPr>
          <w:lang w:val="fr-FR"/>
        </w:rPr>
        <w:t xml:space="preserve">de poser </w:t>
      </w:r>
      <w:r w:rsidR="00895C96" w:rsidRPr="00A311AB">
        <w:rPr>
          <w:lang w:val="fr-FR"/>
        </w:rPr>
        <w:t xml:space="preserve">un cadre légal </w:t>
      </w:r>
      <w:r w:rsidR="00A311AB" w:rsidRPr="00A311AB">
        <w:rPr>
          <w:lang w:val="fr-FR"/>
        </w:rPr>
        <w:t xml:space="preserve">aux </w:t>
      </w:r>
      <w:r w:rsidR="00895C96" w:rsidRPr="00A311AB">
        <w:rPr>
          <w:lang w:val="fr-FR"/>
        </w:rPr>
        <w:t>relation</w:t>
      </w:r>
      <w:r w:rsidR="00A311AB" w:rsidRPr="00A311AB">
        <w:rPr>
          <w:lang w:val="fr-FR"/>
        </w:rPr>
        <w:t>s</w:t>
      </w:r>
      <w:r w:rsidR="00895C96" w:rsidRPr="00895C96">
        <w:rPr>
          <w:lang w:val="fr-FR"/>
        </w:rPr>
        <w:t xml:space="preserve"> entre les divers acteurs</w:t>
      </w:r>
      <w:r w:rsidR="00F33DC4">
        <w:rPr>
          <w:lang w:val="fr-FR"/>
        </w:rPr>
        <w:t>:</w:t>
      </w:r>
      <w:r w:rsidR="00895C96" w:rsidRPr="00895C96">
        <w:rPr>
          <w:lang w:val="fr-FR"/>
        </w:rPr>
        <w:t xml:space="preserve"> le tribunal pour enfants, la brigade pour mineurs, la direction générale de la protection de l’enfance et les centres publics ou privés d’accueil</w:t>
      </w:r>
      <w:r w:rsidR="008C1EDD">
        <w:rPr>
          <w:lang w:val="fr-FR"/>
        </w:rPr>
        <w:t>.</w:t>
      </w:r>
    </w:p>
    <w:p w:rsidR="00895C96" w:rsidRPr="00895C96" w:rsidRDefault="00AA4F58" w:rsidP="00E04030">
      <w:pPr>
        <w:pStyle w:val="SingleTxtG"/>
        <w:rPr>
          <w:lang w:val="fr-FR"/>
        </w:rPr>
      </w:pPr>
      <w:r>
        <w:rPr>
          <w:lang w:val="fr-FR"/>
        </w:rPr>
        <w:t>106.</w:t>
      </w:r>
      <w:r w:rsidR="00B62D03">
        <w:rPr>
          <w:lang w:val="fr-FR"/>
        </w:rPr>
        <w:tab/>
      </w:r>
      <w:r w:rsidR="00895C96" w:rsidRPr="00895C96">
        <w:rPr>
          <w:lang w:val="fr-FR"/>
        </w:rPr>
        <w:t>La jeunesse et l’enfance sont prises en compte dans deux juridictions spécialisées</w:t>
      </w:r>
      <w:r w:rsidR="00F33DC4">
        <w:rPr>
          <w:lang w:val="fr-FR"/>
        </w:rPr>
        <w:t>:</w:t>
      </w:r>
    </w:p>
    <w:p w:rsidR="00895C96" w:rsidRPr="00895C96" w:rsidRDefault="00275DE0" w:rsidP="00B62D03">
      <w:pPr>
        <w:pStyle w:val="Bullet1G"/>
        <w:rPr>
          <w:lang w:val="fr-FR"/>
        </w:rPr>
      </w:pPr>
      <w:r>
        <w:rPr>
          <w:lang w:val="fr-FR"/>
        </w:rPr>
        <w:t>L</w:t>
      </w:r>
      <w:r w:rsidR="00895C96" w:rsidRPr="00895C96">
        <w:rPr>
          <w:lang w:val="fr-FR"/>
        </w:rPr>
        <w:t xml:space="preserve">e juge des mineurs dont la désignation est prévue par l’article 458 du </w:t>
      </w:r>
      <w:r w:rsidR="001E7B6C">
        <w:rPr>
          <w:lang w:val="fr-FR"/>
        </w:rPr>
        <w:t>Code</w:t>
      </w:r>
      <w:r w:rsidR="00895C96" w:rsidRPr="00895C96">
        <w:rPr>
          <w:lang w:val="fr-FR"/>
        </w:rPr>
        <w:t xml:space="preserve"> de procédure pénale n’existe pas encore </w:t>
      </w:r>
      <w:r>
        <w:rPr>
          <w:lang w:val="fr-FR"/>
        </w:rPr>
        <w:t>dans</w:t>
      </w:r>
      <w:r w:rsidR="00895C96" w:rsidRPr="00895C96">
        <w:rPr>
          <w:lang w:val="fr-FR"/>
        </w:rPr>
        <w:t xml:space="preserve"> tous les tribunaux du pays</w:t>
      </w:r>
      <w:r w:rsidR="00F33DC4">
        <w:rPr>
          <w:lang w:val="fr-FR"/>
        </w:rPr>
        <w:t>;</w:t>
      </w:r>
    </w:p>
    <w:p w:rsidR="00895C96" w:rsidRPr="00895C96" w:rsidRDefault="00A615BB" w:rsidP="00B62D03">
      <w:pPr>
        <w:pStyle w:val="Bullet1G"/>
        <w:rPr>
          <w:lang w:val="fr-FR"/>
        </w:rPr>
      </w:pPr>
      <w:r>
        <w:rPr>
          <w:lang w:val="fr-FR"/>
        </w:rPr>
        <w:t>L</w:t>
      </w:r>
      <w:r w:rsidR="00895C96" w:rsidRPr="00895C96">
        <w:rPr>
          <w:lang w:val="fr-FR"/>
        </w:rPr>
        <w:t>e tribunal pour enfant</w:t>
      </w:r>
      <w:r>
        <w:rPr>
          <w:lang w:val="fr-FR"/>
        </w:rPr>
        <w:t>s</w:t>
      </w:r>
      <w:r w:rsidR="00895C96" w:rsidRPr="00895C96">
        <w:rPr>
          <w:lang w:val="fr-FR"/>
        </w:rPr>
        <w:t>, composé du juge des mineurs, d’un président et de deux a</w:t>
      </w:r>
      <w:r>
        <w:rPr>
          <w:lang w:val="fr-FR"/>
        </w:rPr>
        <w:t>ss</w:t>
      </w:r>
      <w:r w:rsidR="00895C96" w:rsidRPr="00895C96">
        <w:rPr>
          <w:lang w:val="fr-FR"/>
        </w:rPr>
        <w:t>esseurs</w:t>
      </w:r>
      <w:r>
        <w:rPr>
          <w:lang w:val="fr-FR"/>
        </w:rPr>
        <w:t>,</w:t>
      </w:r>
      <w:r w:rsidR="00895C96" w:rsidRPr="00895C96">
        <w:rPr>
          <w:lang w:val="fr-FR"/>
        </w:rPr>
        <w:t xml:space="preserve"> n’existe qu’à Lomé. En l’absence d’une cour d’assises des mineurs, c’est le tribunal pour enfants qui juge les crimes commis par les enfants.</w:t>
      </w:r>
    </w:p>
    <w:p w:rsidR="00895C96" w:rsidRPr="00895C96" w:rsidRDefault="00AA4F58" w:rsidP="00E04030">
      <w:pPr>
        <w:pStyle w:val="SingleTxtG"/>
        <w:rPr>
          <w:lang w:val="fr-FR"/>
        </w:rPr>
      </w:pPr>
      <w:r>
        <w:rPr>
          <w:lang w:val="fr-FR"/>
        </w:rPr>
        <w:t>107.</w:t>
      </w:r>
      <w:r w:rsidR="00B62D03">
        <w:rPr>
          <w:lang w:val="fr-FR"/>
        </w:rPr>
        <w:tab/>
      </w:r>
      <w:r w:rsidR="00895C96" w:rsidRPr="00895C96">
        <w:rPr>
          <w:lang w:val="fr-FR"/>
        </w:rPr>
        <w:t xml:space="preserve">Dans le cadre de la mise en œuvre du programme national de modernisation de la justice, le programme d’appui à la justice et aux droits de l’homme financé par l’Union </w:t>
      </w:r>
      <w:r w:rsidR="00382281">
        <w:rPr>
          <w:lang w:val="fr-FR"/>
        </w:rPr>
        <w:t xml:space="preserve">européenne </w:t>
      </w:r>
      <w:r w:rsidR="00895C96" w:rsidRPr="00895C96">
        <w:rPr>
          <w:lang w:val="fr-FR"/>
        </w:rPr>
        <w:t xml:space="preserve">a commis deux experts qui ont rédigé un </w:t>
      </w:r>
      <w:r w:rsidR="00382281">
        <w:rPr>
          <w:lang w:val="fr-FR"/>
        </w:rPr>
        <w:t>avant-</w:t>
      </w:r>
      <w:r w:rsidR="00895C96" w:rsidRPr="00895C96">
        <w:rPr>
          <w:lang w:val="fr-FR"/>
        </w:rPr>
        <w:t>projet de loi portant organisation et fonctionnement des centres de réinsertion des mineurs appelés foyers pour mineurs. Ce texte sera validé au cours d’un atelier qui sera organisé dans les prochains mois.</w:t>
      </w:r>
    </w:p>
    <w:p w:rsidR="00895C96" w:rsidRPr="00895C96" w:rsidRDefault="00AA4F58" w:rsidP="00E04030">
      <w:pPr>
        <w:pStyle w:val="SingleTxtG"/>
        <w:rPr>
          <w:lang w:val="fr-FR"/>
        </w:rPr>
      </w:pPr>
      <w:r>
        <w:rPr>
          <w:lang w:val="fr-FR"/>
        </w:rPr>
        <w:t>108.</w:t>
      </w:r>
      <w:r w:rsidR="00B62D03">
        <w:rPr>
          <w:lang w:val="fr-FR"/>
        </w:rPr>
        <w:tab/>
      </w:r>
      <w:r w:rsidR="00895C96" w:rsidRPr="00895C96">
        <w:rPr>
          <w:lang w:val="fr-FR"/>
        </w:rPr>
        <w:t xml:space="preserve">Cet </w:t>
      </w:r>
      <w:r w:rsidR="00382281">
        <w:rPr>
          <w:lang w:val="fr-FR"/>
        </w:rPr>
        <w:t>avant-</w:t>
      </w:r>
      <w:r w:rsidR="00895C96" w:rsidRPr="00895C96">
        <w:rPr>
          <w:lang w:val="fr-FR"/>
        </w:rPr>
        <w:t>projet place la gestion des foyers pour mineurs sous une direction autonome</w:t>
      </w:r>
      <w:r w:rsidR="00977AD9">
        <w:rPr>
          <w:lang w:val="fr-FR"/>
        </w:rPr>
        <w:t>,</w:t>
      </w:r>
      <w:r w:rsidR="00895C96" w:rsidRPr="00895C96">
        <w:rPr>
          <w:lang w:val="fr-FR"/>
        </w:rPr>
        <w:t xml:space="preserve"> contrairement au passé où la brigade relevait de la direction de l’administration pénitentiaire et de la réinsertion. L’équipe dirigeante et le personnel de composition pluridisciplinaire devront avoir une connaissance du droit des enfants et manifester un intérêt certain pour les enfants. Une formation spécifique devra être donnée aux agents chargés des enquêtes mettant en jeu les enfants.</w:t>
      </w:r>
    </w:p>
    <w:p w:rsidR="00895C96" w:rsidRPr="00895C96" w:rsidRDefault="00B62D03" w:rsidP="00A15900">
      <w:pPr>
        <w:pStyle w:val="H1G"/>
        <w:rPr>
          <w:lang w:val="fr-FR"/>
        </w:rPr>
      </w:pPr>
      <w:r>
        <w:rPr>
          <w:lang w:val="fr-FR"/>
        </w:rPr>
        <w:tab/>
      </w:r>
      <w:r>
        <w:rPr>
          <w:lang w:val="fr-FR"/>
        </w:rPr>
        <w:tab/>
      </w:r>
      <w:r w:rsidR="00895C96" w:rsidRPr="00895C96">
        <w:rPr>
          <w:lang w:val="fr-FR"/>
        </w:rPr>
        <w:t xml:space="preserve">Interdiction de l'esclavage et du travail forcé (art. 8) </w:t>
      </w:r>
    </w:p>
    <w:p w:rsidR="00895C96" w:rsidRPr="00895C96" w:rsidRDefault="00B62D03" w:rsidP="00B62D03">
      <w:pPr>
        <w:pStyle w:val="H23G"/>
        <w:rPr>
          <w:lang w:val="fr-FR"/>
        </w:rPr>
      </w:pPr>
      <w:r>
        <w:rPr>
          <w:lang w:val="fr-FR"/>
        </w:rPr>
        <w:tab/>
      </w:r>
      <w:r>
        <w:rPr>
          <w:lang w:val="fr-FR"/>
        </w:rPr>
        <w:tab/>
      </w:r>
      <w:r w:rsidR="00895C96" w:rsidRPr="00895C96">
        <w:rPr>
          <w:lang w:val="fr-FR"/>
        </w:rPr>
        <w:t>Réponse</w:t>
      </w:r>
      <w:r w:rsidR="00A4197C">
        <w:rPr>
          <w:lang w:val="fr-FR"/>
        </w:rPr>
        <w:t xml:space="preserve"> au paragraphe 9</w:t>
      </w:r>
      <w:r w:rsidR="00A4197C" w:rsidRPr="00B100AF">
        <w:rPr>
          <w:lang w:val="fr-FR"/>
        </w:rPr>
        <w:t xml:space="preserve"> </w:t>
      </w:r>
      <w:r w:rsidR="00A4197C">
        <w:rPr>
          <w:lang w:val="fr-FR"/>
        </w:rPr>
        <w:t>de la liste de points à traiter</w:t>
      </w:r>
      <w:r w:rsidR="00382281">
        <w:rPr>
          <w:lang w:val="fr-FR"/>
        </w:rPr>
        <w:t xml:space="preserve"> </w:t>
      </w:r>
    </w:p>
    <w:p w:rsidR="00895C96" w:rsidRPr="00895C96" w:rsidRDefault="00AA4F58" w:rsidP="00E04030">
      <w:pPr>
        <w:pStyle w:val="SingleTxtG"/>
        <w:rPr>
          <w:lang w:val="fr-FR"/>
        </w:rPr>
      </w:pPr>
      <w:r>
        <w:rPr>
          <w:lang w:val="fr-FR"/>
        </w:rPr>
        <w:t>109.</w:t>
      </w:r>
      <w:r w:rsidR="00B62D03">
        <w:rPr>
          <w:lang w:val="fr-FR"/>
        </w:rPr>
        <w:tab/>
      </w:r>
      <w:r w:rsidR="00895C96" w:rsidRPr="00895C96">
        <w:rPr>
          <w:lang w:val="fr-FR"/>
        </w:rPr>
        <w:t>Selon les études réalisées au</w:t>
      </w:r>
      <w:r w:rsidR="005202F6">
        <w:rPr>
          <w:lang w:val="fr-FR"/>
        </w:rPr>
        <w:t>x</w:t>
      </w:r>
      <w:r w:rsidR="00895C96" w:rsidRPr="00895C96">
        <w:rPr>
          <w:lang w:val="fr-FR"/>
        </w:rPr>
        <w:t xml:space="preserve"> niveau</w:t>
      </w:r>
      <w:r w:rsidR="005202F6">
        <w:rPr>
          <w:lang w:val="fr-FR"/>
        </w:rPr>
        <w:t>x</w:t>
      </w:r>
      <w:r w:rsidR="00895C96" w:rsidRPr="00895C96">
        <w:rPr>
          <w:lang w:val="fr-FR"/>
        </w:rPr>
        <w:t xml:space="preserve"> national et régional, le Togo est une plaque tournante de la traite des enfants. Il</w:t>
      </w:r>
      <w:r w:rsidR="00382281">
        <w:rPr>
          <w:lang w:val="fr-FR"/>
        </w:rPr>
        <w:t xml:space="preserve"> </w:t>
      </w:r>
      <w:r w:rsidR="00895C96" w:rsidRPr="00895C96">
        <w:rPr>
          <w:lang w:val="fr-FR"/>
        </w:rPr>
        <w:t>est à la fois un pays d'origine, de transit et de destination.</w:t>
      </w:r>
    </w:p>
    <w:p w:rsidR="00895C96" w:rsidRPr="00895C96" w:rsidRDefault="00AA4F58" w:rsidP="00E04030">
      <w:pPr>
        <w:pStyle w:val="SingleTxtG"/>
        <w:rPr>
          <w:lang w:val="fr-FR"/>
        </w:rPr>
      </w:pPr>
      <w:r>
        <w:rPr>
          <w:lang w:val="fr-FR"/>
        </w:rPr>
        <w:t>110.</w:t>
      </w:r>
      <w:r w:rsidR="00B62D03">
        <w:rPr>
          <w:lang w:val="fr-FR"/>
        </w:rPr>
        <w:tab/>
      </w:r>
      <w:r w:rsidR="00895C96" w:rsidRPr="00895C96">
        <w:rPr>
          <w:lang w:val="fr-FR"/>
        </w:rPr>
        <w:t xml:space="preserve">Face à ce fléau, le Gouvernement </w:t>
      </w:r>
      <w:r w:rsidR="001E7B6C">
        <w:rPr>
          <w:lang w:val="fr-FR"/>
        </w:rPr>
        <w:t>togolais</w:t>
      </w:r>
      <w:r w:rsidR="00895C96" w:rsidRPr="00895C96">
        <w:rPr>
          <w:lang w:val="fr-FR"/>
        </w:rPr>
        <w:t xml:space="preserve"> a pris des mesures énergiques </w:t>
      </w:r>
      <w:r w:rsidR="002B3FFD" w:rsidRPr="00B90309">
        <w:rPr>
          <w:lang w:val="fr-FR"/>
        </w:rPr>
        <w:t>par le biais de</w:t>
      </w:r>
      <w:r w:rsidR="00895C96" w:rsidRPr="00B90309">
        <w:rPr>
          <w:lang w:val="fr-FR"/>
        </w:rPr>
        <w:t xml:space="preserve"> la législation, </w:t>
      </w:r>
      <w:r w:rsidR="00B90309" w:rsidRPr="00B90309">
        <w:rPr>
          <w:lang w:val="fr-FR"/>
        </w:rPr>
        <w:t>au travers</w:t>
      </w:r>
      <w:r w:rsidR="00895C96" w:rsidRPr="00B90309">
        <w:rPr>
          <w:lang w:val="fr-FR"/>
        </w:rPr>
        <w:t xml:space="preserve"> différents programmes et </w:t>
      </w:r>
      <w:r w:rsidR="00B90309" w:rsidRPr="00B90309">
        <w:rPr>
          <w:lang w:val="fr-FR"/>
        </w:rPr>
        <w:t>par</w:t>
      </w:r>
      <w:r w:rsidR="002B3FFD" w:rsidRPr="00B90309">
        <w:rPr>
          <w:lang w:val="fr-FR"/>
        </w:rPr>
        <w:t xml:space="preserve"> </w:t>
      </w:r>
      <w:r w:rsidR="00895C96" w:rsidRPr="00B90309">
        <w:rPr>
          <w:lang w:val="fr-FR"/>
        </w:rPr>
        <w:t>la poursuite des auteurs.</w:t>
      </w:r>
      <w:r w:rsidR="00895C96" w:rsidRPr="00895C96">
        <w:rPr>
          <w:lang w:val="fr-FR"/>
        </w:rPr>
        <w:t xml:space="preserve"> </w:t>
      </w:r>
    </w:p>
    <w:p w:rsidR="00895C96" w:rsidRPr="00895C96" w:rsidRDefault="00B62D03" w:rsidP="00B62D03">
      <w:pPr>
        <w:pStyle w:val="H23G"/>
        <w:rPr>
          <w:lang w:val="fr-FR"/>
        </w:rPr>
      </w:pPr>
      <w:r>
        <w:rPr>
          <w:lang w:val="fr-FR"/>
        </w:rPr>
        <w:tab/>
      </w:r>
      <w:r>
        <w:rPr>
          <w:lang w:val="fr-FR"/>
        </w:rPr>
        <w:tab/>
      </w:r>
      <w:r w:rsidR="00895C96" w:rsidRPr="00895C96">
        <w:rPr>
          <w:lang w:val="fr-FR"/>
        </w:rPr>
        <w:t xml:space="preserve">Les mesures prises pour lutter contre la traite et le trafic des femmes et des enfants et assurer la prise en charge des victimes </w:t>
      </w:r>
    </w:p>
    <w:p w:rsidR="00895C96" w:rsidRPr="00895C96" w:rsidRDefault="00AA4F58" w:rsidP="00E04030">
      <w:pPr>
        <w:pStyle w:val="SingleTxtG"/>
        <w:rPr>
          <w:lang w:val="fr-FR"/>
        </w:rPr>
      </w:pPr>
      <w:r>
        <w:rPr>
          <w:lang w:val="fr-FR"/>
        </w:rPr>
        <w:t>111.</w:t>
      </w:r>
      <w:r w:rsidR="00B62D03">
        <w:rPr>
          <w:lang w:val="fr-FR"/>
        </w:rPr>
        <w:tab/>
      </w:r>
      <w:r w:rsidR="00895C96" w:rsidRPr="00895C96">
        <w:rPr>
          <w:lang w:val="fr-FR"/>
        </w:rPr>
        <w:t xml:space="preserve">Dans le but de lutter contre la traite et le trafic des enfants et </w:t>
      </w:r>
      <w:r w:rsidR="00BA220D">
        <w:rPr>
          <w:lang w:val="fr-FR"/>
        </w:rPr>
        <w:t>d’</w:t>
      </w:r>
      <w:r w:rsidR="00895C96" w:rsidRPr="00895C96">
        <w:rPr>
          <w:lang w:val="fr-FR"/>
        </w:rPr>
        <w:t>assurer la prise en charge des victimes, diverses mesures ont été prises tant au niveau de l'</w:t>
      </w:r>
      <w:r w:rsidR="001E7B6C">
        <w:rPr>
          <w:lang w:val="fr-FR"/>
        </w:rPr>
        <w:t xml:space="preserve">État </w:t>
      </w:r>
      <w:r w:rsidR="00895C96" w:rsidRPr="00895C96">
        <w:rPr>
          <w:lang w:val="fr-FR"/>
        </w:rPr>
        <w:t xml:space="preserve">qu'au niveau des organisations de la société civile. </w:t>
      </w:r>
    </w:p>
    <w:p w:rsidR="00895C96" w:rsidRPr="00895C96" w:rsidRDefault="00AA4F58" w:rsidP="00AA4F58">
      <w:pPr>
        <w:pStyle w:val="SingleTxtG"/>
        <w:rPr>
          <w:lang w:val="fr-FR"/>
        </w:rPr>
      </w:pPr>
      <w:r>
        <w:rPr>
          <w:lang w:val="fr-FR"/>
        </w:rPr>
        <w:t>112.</w:t>
      </w:r>
      <w:r>
        <w:rPr>
          <w:lang w:val="fr-FR"/>
        </w:rPr>
        <w:tab/>
      </w:r>
      <w:r w:rsidR="00BA220D" w:rsidRPr="006C2180">
        <w:rPr>
          <w:lang w:val="fr-FR"/>
        </w:rPr>
        <w:t xml:space="preserve">Sur le </w:t>
      </w:r>
      <w:r w:rsidR="00895C96" w:rsidRPr="006C2180">
        <w:rPr>
          <w:lang w:val="fr-FR"/>
        </w:rPr>
        <w:t xml:space="preserve">plan législatif, le Chapitre IV du </w:t>
      </w:r>
      <w:r w:rsidR="001E7B6C" w:rsidRPr="006C2180">
        <w:rPr>
          <w:lang w:val="fr-FR"/>
        </w:rPr>
        <w:t>Code</w:t>
      </w:r>
      <w:r w:rsidR="00895C96" w:rsidRPr="006C2180">
        <w:rPr>
          <w:lang w:val="fr-FR"/>
        </w:rPr>
        <w:t xml:space="preserve"> de l'enfant protège l'enfant contre la traite, la vente et la mendicité </w:t>
      </w:r>
      <w:r w:rsidR="006C2180">
        <w:rPr>
          <w:lang w:val="fr-FR"/>
        </w:rPr>
        <w:t>qu’il définit dans</w:t>
      </w:r>
      <w:r w:rsidR="00BA220D" w:rsidRPr="006C2180">
        <w:rPr>
          <w:lang w:val="fr-FR"/>
        </w:rPr>
        <w:t xml:space="preserve"> </w:t>
      </w:r>
      <w:r w:rsidR="00895C96" w:rsidRPr="006C2180">
        <w:rPr>
          <w:lang w:val="fr-FR"/>
        </w:rPr>
        <w:t>ses articles 410 à 423</w:t>
      </w:r>
      <w:r w:rsidR="006C2180">
        <w:rPr>
          <w:lang w:val="fr-FR"/>
        </w:rPr>
        <w:t>. Ces mêmes articles</w:t>
      </w:r>
      <w:r w:rsidR="00393196">
        <w:rPr>
          <w:lang w:val="fr-FR"/>
        </w:rPr>
        <w:t xml:space="preserve"> </w:t>
      </w:r>
      <w:r w:rsidR="00895C96" w:rsidRPr="006C2180">
        <w:rPr>
          <w:lang w:val="fr-FR"/>
        </w:rPr>
        <w:t>énoncent les peines et amendes encourues par les contrevenants.</w:t>
      </w:r>
      <w:r w:rsidR="00895C96" w:rsidRPr="00895C96">
        <w:rPr>
          <w:lang w:val="fr-FR"/>
        </w:rPr>
        <w:t xml:space="preserve"> </w:t>
      </w:r>
    </w:p>
    <w:p w:rsidR="00895C96" w:rsidRPr="00895C96" w:rsidRDefault="00172848" w:rsidP="00E04030">
      <w:pPr>
        <w:pStyle w:val="SingleTxtG"/>
        <w:rPr>
          <w:lang w:val="fr-FR"/>
        </w:rPr>
      </w:pPr>
      <w:r>
        <w:rPr>
          <w:lang w:val="fr-FR"/>
        </w:rPr>
        <w:t>113.</w:t>
      </w:r>
      <w:r w:rsidR="00B62D03">
        <w:rPr>
          <w:lang w:val="fr-FR"/>
        </w:rPr>
        <w:tab/>
      </w:r>
      <w:r w:rsidR="00895C96" w:rsidRPr="00895C96">
        <w:rPr>
          <w:lang w:val="fr-FR"/>
        </w:rPr>
        <w:t>Il convient de signaler qu</w:t>
      </w:r>
      <w:r w:rsidR="00D537D3">
        <w:rPr>
          <w:lang w:val="fr-FR"/>
        </w:rPr>
        <w:t>’il existe,</w:t>
      </w:r>
      <w:r w:rsidR="00895C96" w:rsidRPr="00895C96">
        <w:rPr>
          <w:lang w:val="fr-FR"/>
        </w:rPr>
        <w:t xml:space="preserve"> outre ce texte, </w:t>
      </w:r>
      <w:r w:rsidR="00D537D3">
        <w:rPr>
          <w:lang w:val="fr-FR"/>
        </w:rPr>
        <w:t xml:space="preserve">une loi </w:t>
      </w:r>
      <w:r w:rsidR="00895C96" w:rsidRPr="00895C96">
        <w:rPr>
          <w:lang w:val="fr-FR"/>
        </w:rPr>
        <w:t>depuis 2005</w:t>
      </w:r>
      <w:r w:rsidR="00D537D3">
        <w:rPr>
          <w:lang w:val="fr-FR"/>
        </w:rPr>
        <w:t xml:space="preserve">. Il s’agit de </w:t>
      </w:r>
      <w:r w:rsidR="00895C96" w:rsidRPr="00895C96">
        <w:rPr>
          <w:lang w:val="fr-FR"/>
        </w:rPr>
        <w:t>la loi</w:t>
      </w:r>
      <w:r w:rsidR="00393196">
        <w:rPr>
          <w:lang w:val="fr-FR"/>
        </w:rPr>
        <w:t xml:space="preserve"> </w:t>
      </w:r>
      <w:r w:rsidR="00895C96" w:rsidRPr="00895C96">
        <w:rPr>
          <w:lang w:val="fr-FR"/>
        </w:rPr>
        <w:t>n° 2005- 009 du</w:t>
      </w:r>
      <w:r w:rsidR="00382281">
        <w:rPr>
          <w:lang w:val="fr-FR"/>
        </w:rPr>
        <w:t xml:space="preserve"> </w:t>
      </w:r>
      <w:r w:rsidR="00895C96" w:rsidRPr="00895C96">
        <w:rPr>
          <w:lang w:val="fr-FR"/>
        </w:rPr>
        <w:t xml:space="preserve">3 août 2005 relative au trafic d'enfants au Togo. </w:t>
      </w:r>
    </w:p>
    <w:p w:rsidR="00895C96" w:rsidRPr="00895C96" w:rsidRDefault="00172848" w:rsidP="00E04030">
      <w:pPr>
        <w:pStyle w:val="SingleTxtG"/>
        <w:rPr>
          <w:lang w:val="fr-FR"/>
        </w:rPr>
      </w:pPr>
      <w:r>
        <w:rPr>
          <w:lang w:val="fr-FR"/>
        </w:rPr>
        <w:t>114.</w:t>
      </w:r>
      <w:r w:rsidR="00B62D03">
        <w:rPr>
          <w:lang w:val="fr-FR"/>
        </w:rPr>
        <w:tab/>
      </w:r>
      <w:r w:rsidR="00895C96" w:rsidRPr="00895C96">
        <w:rPr>
          <w:lang w:val="fr-FR"/>
        </w:rPr>
        <w:t>On note également la signature de deux accords multilatéraux de coopération régionale de lutte contre la traite</w:t>
      </w:r>
      <w:r w:rsidR="00F93467">
        <w:rPr>
          <w:lang w:val="fr-FR"/>
        </w:rPr>
        <w:t xml:space="preserve">, l’un </w:t>
      </w:r>
      <w:r w:rsidR="00895C96" w:rsidRPr="00895C96">
        <w:rPr>
          <w:lang w:val="fr-FR"/>
        </w:rPr>
        <w:t xml:space="preserve">relatif à la traite des enfants en Afrique de l'Ouest (2005) et </w:t>
      </w:r>
      <w:r w:rsidR="00304FA1">
        <w:rPr>
          <w:lang w:val="fr-FR"/>
        </w:rPr>
        <w:t>l’autre</w:t>
      </w:r>
      <w:r w:rsidR="00895C96" w:rsidRPr="00895C96">
        <w:rPr>
          <w:lang w:val="fr-FR"/>
        </w:rPr>
        <w:t xml:space="preserve"> à la traite des personnes</w:t>
      </w:r>
      <w:r w:rsidR="00304FA1">
        <w:rPr>
          <w:lang w:val="fr-FR"/>
        </w:rPr>
        <w:t>,</w:t>
      </w:r>
      <w:r w:rsidR="00895C96" w:rsidRPr="00895C96">
        <w:rPr>
          <w:lang w:val="fr-FR"/>
        </w:rPr>
        <w:t xml:space="preserve"> en particulier des femmes et des enfants en Afrique de l'Ouest et du Centre (2006). Ainsi, les enfants togolais victimes de traite interceptés dans les autres pays sont mis en relation avec les autorités togolaises qui saisissent les ONG au Togo pour le processus</w:t>
      </w:r>
      <w:r w:rsidR="00382281">
        <w:rPr>
          <w:lang w:val="fr-FR"/>
        </w:rPr>
        <w:t xml:space="preserve"> </w:t>
      </w:r>
      <w:r w:rsidR="00895C96" w:rsidRPr="00895C96">
        <w:rPr>
          <w:lang w:val="fr-FR"/>
        </w:rPr>
        <w:t xml:space="preserve">de leur réinsertion et la fourniture des services nécessaires pour assurer leur réinsertion sociale. De même, les enfants trafiqués </w:t>
      </w:r>
      <w:r w:rsidR="00304FA1">
        <w:rPr>
          <w:lang w:val="fr-FR"/>
        </w:rPr>
        <w:t xml:space="preserve">en provenance </w:t>
      </w:r>
      <w:r w:rsidR="00895C96" w:rsidRPr="00895C96">
        <w:rPr>
          <w:lang w:val="fr-FR"/>
        </w:rPr>
        <w:t>d'autres pays sont récupérés par les autorités togolaises</w:t>
      </w:r>
      <w:r w:rsidR="00304FA1">
        <w:rPr>
          <w:lang w:val="fr-FR"/>
        </w:rPr>
        <w:t>,</w:t>
      </w:r>
      <w:r w:rsidR="00895C96" w:rsidRPr="00895C96">
        <w:rPr>
          <w:lang w:val="fr-FR"/>
        </w:rPr>
        <w:t xml:space="preserve"> qui organisent, avec l'appui des ONG, leur rapatriement vers leur pays de provenance. </w:t>
      </w:r>
    </w:p>
    <w:p w:rsidR="00895C96" w:rsidRPr="00895C96" w:rsidRDefault="00172848" w:rsidP="00E04030">
      <w:pPr>
        <w:pStyle w:val="SingleTxtG"/>
        <w:rPr>
          <w:lang w:val="fr-FR"/>
        </w:rPr>
      </w:pPr>
      <w:r>
        <w:rPr>
          <w:lang w:val="fr-FR"/>
        </w:rPr>
        <w:t>115.</w:t>
      </w:r>
      <w:r w:rsidR="00B62D03">
        <w:rPr>
          <w:lang w:val="fr-FR"/>
        </w:rPr>
        <w:tab/>
      </w:r>
      <w:r w:rsidR="00895C96" w:rsidRPr="00F14B9F">
        <w:rPr>
          <w:lang w:val="fr-FR"/>
        </w:rPr>
        <w:t xml:space="preserve">Par ailleurs, </w:t>
      </w:r>
      <w:r w:rsidR="00F14B9F" w:rsidRPr="00F14B9F">
        <w:rPr>
          <w:lang w:val="fr-FR"/>
        </w:rPr>
        <w:t xml:space="preserve">en mai 2009, </w:t>
      </w:r>
      <w:r w:rsidR="00895C96" w:rsidRPr="00F14B9F">
        <w:rPr>
          <w:lang w:val="fr-FR"/>
        </w:rPr>
        <w:t xml:space="preserve">le </w:t>
      </w:r>
      <w:r w:rsidR="001E7B6C" w:rsidRPr="00F14B9F">
        <w:rPr>
          <w:lang w:val="fr-FR"/>
        </w:rPr>
        <w:t xml:space="preserve">Gouvernement </w:t>
      </w:r>
      <w:r w:rsidR="00895C96" w:rsidRPr="00F14B9F">
        <w:rPr>
          <w:lang w:val="fr-FR"/>
        </w:rPr>
        <w:t xml:space="preserve">a ratifié le </w:t>
      </w:r>
      <w:r w:rsidR="00F14B9F" w:rsidRPr="00F14B9F">
        <w:rPr>
          <w:lang w:val="fr-FR"/>
        </w:rPr>
        <w:t>P</w:t>
      </w:r>
      <w:r w:rsidR="00895C96" w:rsidRPr="00F14B9F">
        <w:rPr>
          <w:lang w:val="fr-FR"/>
        </w:rPr>
        <w:t xml:space="preserve">rotocole additionnel à la </w:t>
      </w:r>
      <w:r w:rsidR="00F14B9F" w:rsidRPr="00F14B9F">
        <w:rPr>
          <w:lang w:val="fr-FR"/>
        </w:rPr>
        <w:t>C</w:t>
      </w:r>
      <w:r w:rsidR="00895C96" w:rsidRPr="00F14B9F">
        <w:rPr>
          <w:lang w:val="fr-FR"/>
        </w:rPr>
        <w:t xml:space="preserve">onvention des Nations Unies </w:t>
      </w:r>
      <w:r w:rsidR="00F14B9F" w:rsidRPr="00F14B9F">
        <w:rPr>
          <w:lang w:val="fr-FR"/>
        </w:rPr>
        <w:t xml:space="preserve">contre la criminalité transnationale organisée, </w:t>
      </w:r>
      <w:r w:rsidR="00895C96" w:rsidRPr="00F14B9F">
        <w:rPr>
          <w:lang w:val="fr-FR"/>
        </w:rPr>
        <w:t xml:space="preserve">visant à </w:t>
      </w:r>
      <w:r w:rsidR="00F14B9F" w:rsidRPr="00F14B9F">
        <w:rPr>
          <w:lang w:val="fr-FR"/>
        </w:rPr>
        <w:t xml:space="preserve">prévenir, </w:t>
      </w:r>
      <w:r w:rsidR="00895C96" w:rsidRPr="00F14B9F">
        <w:rPr>
          <w:lang w:val="fr-FR"/>
        </w:rPr>
        <w:t>réprimer</w:t>
      </w:r>
      <w:r w:rsidR="00F14B9F" w:rsidRPr="00F14B9F">
        <w:rPr>
          <w:lang w:val="fr-FR"/>
        </w:rPr>
        <w:t xml:space="preserve"> et punir</w:t>
      </w:r>
      <w:r w:rsidR="00895C96" w:rsidRPr="00F14B9F">
        <w:rPr>
          <w:lang w:val="fr-FR"/>
        </w:rPr>
        <w:t xml:space="preserve"> la traite des personnes</w:t>
      </w:r>
      <w:r w:rsidR="00F14B9F" w:rsidRPr="00F14B9F">
        <w:rPr>
          <w:lang w:val="fr-FR"/>
        </w:rPr>
        <w:t>,</w:t>
      </w:r>
      <w:r w:rsidR="00895C96" w:rsidRPr="00F14B9F">
        <w:rPr>
          <w:lang w:val="fr-FR"/>
        </w:rPr>
        <w:t xml:space="preserve"> en particulier des femmes et des enfants (Protocole de Palerme).</w:t>
      </w:r>
      <w:r w:rsidR="00895C96" w:rsidRPr="00895C96">
        <w:rPr>
          <w:lang w:val="fr-FR"/>
        </w:rPr>
        <w:t xml:space="preserve"> </w:t>
      </w:r>
    </w:p>
    <w:p w:rsidR="00895C96" w:rsidRPr="00895C96" w:rsidRDefault="00172848" w:rsidP="00E04030">
      <w:pPr>
        <w:pStyle w:val="SingleTxtG"/>
        <w:rPr>
          <w:lang w:val="fr-FR"/>
        </w:rPr>
      </w:pPr>
      <w:r>
        <w:rPr>
          <w:lang w:val="fr-FR"/>
        </w:rPr>
        <w:t>116.</w:t>
      </w:r>
      <w:r w:rsidR="00B62D03">
        <w:rPr>
          <w:lang w:val="fr-FR"/>
        </w:rPr>
        <w:tab/>
      </w:r>
      <w:r w:rsidR="00895C96" w:rsidRPr="00895C96">
        <w:rPr>
          <w:lang w:val="fr-FR"/>
        </w:rPr>
        <w:t>Au plan institutionnel, on note la mise en place de structures gouvernementales et d</w:t>
      </w:r>
      <w:r w:rsidR="006023E4">
        <w:rPr>
          <w:lang w:val="fr-FR"/>
        </w:rPr>
        <w:t>’</w:t>
      </w:r>
      <w:r w:rsidR="00895C96" w:rsidRPr="00895C96">
        <w:rPr>
          <w:lang w:val="fr-FR"/>
        </w:rPr>
        <w:t xml:space="preserve">organisations de la société civile. </w:t>
      </w:r>
    </w:p>
    <w:p w:rsidR="00895C96" w:rsidRPr="00895C96" w:rsidRDefault="00172848" w:rsidP="00E04030">
      <w:pPr>
        <w:pStyle w:val="SingleTxtG"/>
        <w:rPr>
          <w:lang w:val="fr-FR"/>
        </w:rPr>
      </w:pPr>
      <w:r>
        <w:rPr>
          <w:lang w:val="fr-FR"/>
        </w:rPr>
        <w:t>117.</w:t>
      </w:r>
      <w:r w:rsidR="00B62D03">
        <w:rPr>
          <w:lang w:val="fr-FR"/>
        </w:rPr>
        <w:tab/>
      </w:r>
      <w:r w:rsidR="00895C96" w:rsidRPr="00895C96">
        <w:rPr>
          <w:lang w:val="fr-FR"/>
        </w:rPr>
        <w:t xml:space="preserve">Il s'agit notamment: </w:t>
      </w:r>
    </w:p>
    <w:p w:rsidR="00895C96" w:rsidRPr="00895C96" w:rsidRDefault="00FC32CD" w:rsidP="00B62D03">
      <w:pPr>
        <w:pStyle w:val="Bullet1G"/>
        <w:rPr>
          <w:lang w:val="fr-FR"/>
        </w:rPr>
      </w:pPr>
      <w:r>
        <w:rPr>
          <w:lang w:val="fr-FR"/>
        </w:rPr>
        <w:t>D</w:t>
      </w:r>
      <w:r w:rsidR="00895C96" w:rsidRPr="00895C96">
        <w:rPr>
          <w:lang w:val="fr-FR"/>
        </w:rPr>
        <w:t xml:space="preserve">e la Commission Nationale d'Accueil et de Réinsertion Sociale des Enfants Victimes du Trafic (CNARSEVT) créée par </w:t>
      </w:r>
      <w:r>
        <w:rPr>
          <w:lang w:val="fr-FR"/>
        </w:rPr>
        <w:t>l’</w:t>
      </w:r>
      <w:r w:rsidR="00895C96" w:rsidRPr="00895C96">
        <w:rPr>
          <w:lang w:val="fr-FR"/>
        </w:rPr>
        <w:t xml:space="preserve">arrêté interministériel </w:t>
      </w:r>
      <w:r>
        <w:rPr>
          <w:lang w:val="fr-FR"/>
        </w:rPr>
        <w:t>n</w:t>
      </w:r>
      <w:r w:rsidR="00895C96" w:rsidRPr="00895C96">
        <w:rPr>
          <w:lang w:val="fr-FR"/>
        </w:rPr>
        <w:t>°</w:t>
      </w:r>
      <w:r>
        <w:rPr>
          <w:lang w:val="fr-FR"/>
        </w:rPr>
        <w:t xml:space="preserve"> </w:t>
      </w:r>
      <w:r w:rsidR="00895C96" w:rsidRPr="00895C96">
        <w:rPr>
          <w:lang w:val="fr-FR"/>
        </w:rPr>
        <w:t>446/MFPTE/MISIMASPFPEIMJPDED/MSP du 25 avril 2002. Elle comprend six (06) ministères, une (01) organisation de la société civile, deux (02) organismes internationaux et deux (02) représentations diplomatiques. Elle est représentée au</w:t>
      </w:r>
      <w:r>
        <w:rPr>
          <w:lang w:val="fr-FR"/>
        </w:rPr>
        <w:t>x</w:t>
      </w:r>
      <w:r w:rsidR="00895C96" w:rsidRPr="00895C96">
        <w:rPr>
          <w:lang w:val="fr-FR"/>
        </w:rPr>
        <w:t xml:space="preserve"> niveau</w:t>
      </w:r>
      <w:r>
        <w:rPr>
          <w:lang w:val="fr-FR"/>
        </w:rPr>
        <w:t>x</w:t>
      </w:r>
      <w:r w:rsidR="00895C96" w:rsidRPr="00895C96">
        <w:rPr>
          <w:lang w:val="fr-FR"/>
        </w:rPr>
        <w:t xml:space="preserve"> régional et préfectoral et assisté</w:t>
      </w:r>
      <w:r>
        <w:rPr>
          <w:lang w:val="fr-FR"/>
        </w:rPr>
        <w:t>e</w:t>
      </w:r>
      <w:r w:rsidR="00895C96" w:rsidRPr="00895C96">
        <w:rPr>
          <w:lang w:val="fr-FR"/>
        </w:rPr>
        <w:t xml:space="preserve"> au niveau local par les commissions de</w:t>
      </w:r>
      <w:r w:rsidR="00382281">
        <w:rPr>
          <w:lang w:val="fr-FR"/>
        </w:rPr>
        <w:t xml:space="preserve"> </w:t>
      </w:r>
      <w:r w:rsidR="00895C96" w:rsidRPr="00895C96">
        <w:rPr>
          <w:lang w:val="fr-FR"/>
        </w:rPr>
        <w:t>protection;</w:t>
      </w:r>
    </w:p>
    <w:p w:rsidR="00895C96" w:rsidRPr="00895C96" w:rsidRDefault="00FC32CD" w:rsidP="00B62D03">
      <w:pPr>
        <w:pStyle w:val="Bullet1G"/>
        <w:rPr>
          <w:lang w:val="fr-FR"/>
        </w:rPr>
      </w:pPr>
      <w:r>
        <w:rPr>
          <w:lang w:val="fr-FR"/>
        </w:rPr>
        <w:t>D</w:t>
      </w:r>
      <w:r w:rsidR="00895C96" w:rsidRPr="00895C96">
        <w:rPr>
          <w:lang w:val="fr-FR"/>
        </w:rPr>
        <w:t>u Comité National d'Adoption d'Enfants au Togo (CNAET) qui régit le domaine de l'adoption des enfants afin d'éviter la perversion vers la traite o</w:t>
      </w:r>
      <w:r>
        <w:rPr>
          <w:lang w:val="fr-FR"/>
        </w:rPr>
        <w:t>u</w:t>
      </w:r>
      <w:r w:rsidR="00895C96" w:rsidRPr="00895C96">
        <w:rPr>
          <w:lang w:val="fr-FR"/>
        </w:rPr>
        <w:t xml:space="preserve"> la vente; </w:t>
      </w:r>
    </w:p>
    <w:p w:rsidR="00895C96" w:rsidRPr="00895C96" w:rsidRDefault="00FC32CD" w:rsidP="00B62D03">
      <w:pPr>
        <w:pStyle w:val="Bullet1G"/>
        <w:rPr>
          <w:lang w:val="fr-FR"/>
        </w:rPr>
      </w:pPr>
      <w:r>
        <w:rPr>
          <w:lang w:val="fr-FR"/>
        </w:rPr>
        <w:t>D</w:t>
      </w:r>
      <w:r w:rsidR="00895C96" w:rsidRPr="00895C96">
        <w:rPr>
          <w:lang w:val="fr-FR"/>
        </w:rPr>
        <w:t>u Comité Directeur National de lutte contre le travail des enfants (CDN)</w:t>
      </w:r>
      <w:r w:rsidR="00990228">
        <w:rPr>
          <w:lang w:val="fr-FR"/>
        </w:rPr>
        <w:t>, créé</w:t>
      </w:r>
      <w:r w:rsidR="00895C96" w:rsidRPr="00895C96">
        <w:rPr>
          <w:lang w:val="fr-FR"/>
        </w:rPr>
        <w:t xml:space="preserve"> en 2008 afin de lutter plus efficacement contre les pires formes de travail des enfants</w:t>
      </w:r>
      <w:r w:rsidR="00F33DC4">
        <w:rPr>
          <w:lang w:val="fr-FR"/>
        </w:rPr>
        <w:t>;</w:t>
      </w:r>
      <w:r w:rsidR="00895C96" w:rsidRPr="00895C96">
        <w:rPr>
          <w:lang w:val="fr-FR"/>
        </w:rPr>
        <w:t xml:space="preserve"> </w:t>
      </w:r>
    </w:p>
    <w:p w:rsidR="00895C96" w:rsidRPr="00895C96" w:rsidRDefault="00FC32CD" w:rsidP="00B62D03">
      <w:pPr>
        <w:pStyle w:val="Bullet1G"/>
        <w:rPr>
          <w:lang w:val="fr-FR"/>
        </w:rPr>
      </w:pPr>
      <w:r>
        <w:rPr>
          <w:lang w:val="fr-FR"/>
        </w:rPr>
        <w:t>D</w:t>
      </w:r>
      <w:r w:rsidR="00895C96" w:rsidRPr="00895C96">
        <w:rPr>
          <w:lang w:val="fr-FR"/>
        </w:rPr>
        <w:t xml:space="preserve">e l'installation </w:t>
      </w:r>
      <w:r w:rsidR="00895C96" w:rsidRPr="009D593F">
        <w:rPr>
          <w:lang w:val="fr-FR"/>
        </w:rPr>
        <w:t>de la ligne verte</w:t>
      </w:r>
      <w:r w:rsidR="00382281">
        <w:rPr>
          <w:lang w:val="fr-FR"/>
        </w:rPr>
        <w:t xml:space="preserve"> </w:t>
      </w:r>
      <w:r w:rsidR="00895C96" w:rsidRPr="00895C96">
        <w:rPr>
          <w:lang w:val="fr-FR"/>
        </w:rPr>
        <w:t xml:space="preserve">pour la protection de l'enfant au Togo en janvier 2009 qui vient renforcer le mécanisme de détection des enfants victimes de traite. Cette ligne verte est joignable depuis tous les opérateurs téléphoniques; </w:t>
      </w:r>
    </w:p>
    <w:p w:rsidR="00895C96" w:rsidRPr="00895C96" w:rsidRDefault="00FC32CD" w:rsidP="00B62D03">
      <w:pPr>
        <w:pStyle w:val="Bullet1G"/>
        <w:rPr>
          <w:lang w:val="fr-FR"/>
        </w:rPr>
      </w:pPr>
      <w:r>
        <w:rPr>
          <w:lang w:val="fr-FR"/>
        </w:rPr>
        <w:t>D</w:t>
      </w:r>
      <w:r w:rsidR="00895C96" w:rsidRPr="00895C96">
        <w:rPr>
          <w:lang w:val="fr-FR"/>
        </w:rPr>
        <w:t>e l'Observatoire Syndical de Lutte contre le Travail des Enfants. Mis en place par l'intersyndicale des travailleurs du Togo, il s'est assigné pour tâche</w:t>
      </w:r>
      <w:r w:rsidR="00D05118">
        <w:rPr>
          <w:lang w:val="fr-FR"/>
        </w:rPr>
        <w:t>,</w:t>
      </w:r>
      <w:r w:rsidR="00895C96" w:rsidRPr="00895C96">
        <w:rPr>
          <w:lang w:val="fr-FR"/>
        </w:rPr>
        <w:t xml:space="preserve"> entre autre</w:t>
      </w:r>
      <w:r w:rsidR="00D05118">
        <w:rPr>
          <w:lang w:val="fr-FR"/>
        </w:rPr>
        <w:t>s,</w:t>
      </w:r>
      <w:r w:rsidR="00895C96" w:rsidRPr="00895C96">
        <w:rPr>
          <w:lang w:val="fr-FR"/>
        </w:rPr>
        <w:t xml:space="preserve"> l'éradication du travail des enfants; </w:t>
      </w:r>
    </w:p>
    <w:p w:rsidR="00895C96" w:rsidRPr="00895C96" w:rsidRDefault="00FC32CD" w:rsidP="00B62D03">
      <w:pPr>
        <w:pStyle w:val="Bullet1G"/>
        <w:rPr>
          <w:lang w:val="fr-FR"/>
        </w:rPr>
      </w:pPr>
      <w:r>
        <w:rPr>
          <w:lang w:val="fr-FR"/>
        </w:rPr>
        <w:t>D</w:t>
      </w:r>
      <w:r w:rsidR="00895C96" w:rsidRPr="00895C96">
        <w:rPr>
          <w:lang w:val="fr-FR"/>
        </w:rPr>
        <w:t>u Réseau de Lutte contre la Traite des enfants au Togo (RELUTET) qui s'est donné comme mission de mettre en synergie les efforts de ses membres en vue de promouvoir</w:t>
      </w:r>
      <w:r w:rsidR="00382281">
        <w:rPr>
          <w:lang w:val="fr-FR"/>
        </w:rPr>
        <w:t xml:space="preserve"> </w:t>
      </w:r>
      <w:r w:rsidR="00895C96" w:rsidRPr="00895C96">
        <w:rPr>
          <w:lang w:val="fr-FR"/>
        </w:rPr>
        <w:t xml:space="preserve">l’épanouissement des enfants et de lutter efficacement contre la traite. Il a mis en place un programme d'appui aux victimes et aux enfants vulnérables; </w:t>
      </w:r>
    </w:p>
    <w:p w:rsidR="00895C96" w:rsidRPr="00895C96" w:rsidRDefault="00FC32CD" w:rsidP="00B62D03">
      <w:pPr>
        <w:pStyle w:val="Bullet1G"/>
        <w:rPr>
          <w:lang w:val="fr-FR"/>
        </w:rPr>
      </w:pPr>
      <w:r>
        <w:rPr>
          <w:lang w:val="fr-FR"/>
        </w:rPr>
        <w:t>D</w:t>
      </w:r>
      <w:r w:rsidR="00895C96" w:rsidRPr="00895C96">
        <w:rPr>
          <w:lang w:val="fr-FR"/>
        </w:rPr>
        <w:t>e la vulgarisation nationale de la loi n° 009 du</w:t>
      </w:r>
      <w:r w:rsidR="00382281">
        <w:rPr>
          <w:lang w:val="fr-FR"/>
        </w:rPr>
        <w:t xml:space="preserve"> </w:t>
      </w:r>
      <w:r w:rsidR="00895C96" w:rsidRPr="00895C96">
        <w:rPr>
          <w:lang w:val="fr-FR"/>
        </w:rPr>
        <w:t xml:space="preserve">3 août 2005 relative au trafic d'enfants au Togo dès son adoption et </w:t>
      </w:r>
      <w:r w:rsidR="00D05118">
        <w:rPr>
          <w:lang w:val="fr-FR"/>
        </w:rPr>
        <w:t xml:space="preserve">de </w:t>
      </w:r>
      <w:r w:rsidR="00895C96" w:rsidRPr="00895C96">
        <w:rPr>
          <w:lang w:val="fr-FR"/>
        </w:rPr>
        <w:t xml:space="preserve">sa traduction en quatre (04) langues locales; </w:t>
      </w:r>
    </w:p>
    <w:p w:rsidR="00895C96" w:rsidRPr="00895C96" w:rsidRDefault="00FC32CD" w:rsidP="00B62D03">
      <w:pPr>
        <w:pStyle w:val="Bullet1G"/>
        <w:rPr>
          <w:lang w:val="fr-FR"/>
        </w:rPr>
      </w:pPr>
      <w:r>
        <w:rPr>
          <w:lang w:val="fr-FR"/>
        </w:rPr>
        <w:t>D</w:t>
      </w:r>
      <w:r w:rsidR="00895C96" w:rsidRPr="00895C96">
        <w:rPr>
          <w:lang w:val="fr-FR"/>
        </w:rPr>
        <w:t xml:space="preserve">'un système de collecte de données sur les enfants victimes de traite mis en place au niveau de la Commission Nationale d'Accueil et de Réinsertion des Enfants Victimes de Traite (CNARSEVT). </w:t>
      </w:r>
    </w:p>
    <w:p w:rsidR="00895C96" w:rsidRPr="00895C96" w:rsidRDefault="00172848" w:rsidP="00E04030">
      <w:pPr>
        <w:pStyle w:val="SingleTxtG"/>
        <w:rPr>
          <w:lang w:val="fr-FR"/>
        </w:rPr>
      </w:pPr>
      <w:r>
        <w:rPr>
          <w:lang w:val="fr-FR"/>
        </w:rPr>
        <w:t>118.</w:t>
      </w:r>
      <w:r w:rsidR="00B62D03">
        <w:rPr>
          <w:lang w:val="fr-FR"/>
        </w:rPr>
        <w:tab/>
      </w:r>
      <w:r w:rsidR="00895C96" w:rsidRPr="00895C96">
        <w:rPr>
          <w:lang w:val="fr-FR"/>
        </w:rPr>
        <w:t xml:space="preserve">Des programmes multisectoriels de renforcement des capacités des différents acteurs </w:t>
      </w:r>
      <w:r w:rsidR="00864C73" w:rsidRPr="00864C73">
        <w:rPr>
          <w:lang w:val="fr-FR"/>
        </w:rPr>
        <w:t>de</w:t>
      </w:r>
      <w:r w:rsidR="00D05118" w:rsidRPr="00864C73">
        <w:rPr>
          <w:lang w:val="fr-FR"/>
        </w:rPr>
        <w:t xml:space="preserve"> </w:t>
      </w:r>
      <w:r w:rsidR="00895C96" w:rsidRPr="00864C73">
        <w:rPr>
          <w:lang w:val="fr-FR"/>
        </w:rPr>
        <w:t xml:space="preserve">la lutte contre la traite des enfants et </w:t>
      </w:r>
      <w:r w:rsidR="00D05118" w:rsidRPr="00864C73">
        <w:rPr>
          <w:lang w:val="fr-FR"/>
        </w:rPr>
        <w:t>l</w:t>
      </w:r>
      <w:r w:rsidR="00895C96" w:rsidRPr="00864C73">
        <w:rPr>
          <w:lang w:val="fr-FR"/>
        </w:rPr>
        <w:t>'appui</w:t>
      </w:r>
      <w:r w:rsidR="00895C96" w:rsidRPr="00895C96">
        <w:rPr>
          <w:lang w:val="fr-FR"/>
        </w:rPr>
        <w:t xml:space="preserve"> aux enfants vulnérables ont été conçus et mis en œuvre grâce à l'appui technique et financier de certains partenaires</w:t>
      </w:r>
      <w:r w:rsidR="00D05118">
        <w:rPr>
          <w:lang w:val="fr-FR"/>
        </w:rPr>
        <w:t>,</w:t>
      </w:r>
      <w:r w:rsidR="00382281">
        <w:rPr>
          <w:lang w:val="fr-FR"/>
        </w:rPr>
        <w:t xml:space="preserve"> </w:t>
      </w:r>
      <w:r w:rsidR="00895C96" w:rsidRPr="00895C96">
        <w:rPr>
          <w:lang w:val="fr-FR"/>
        </w:rPr>
        <w:t xml:space="preserve">notamment </w:t>
      </w:r>
      <w:r w:rsidR="00D05118">
        <w:rPr>
          <w:lang w:val="fr-FR"/>
        </w:rPr>
        <w:t>l’</w:t>
      </w:r>
      <w:r w:rsidR="00895C96" w:rsidRPr="00895C96">
        <w:rPr>
          <w:lang w:val="fr-FR"/>
        </w:rPr>
        <w:t xml:space="preserve">UNICEF, </w:t>
      </w:r>
      <w:r w:rsidR="00D05118">
        <w:rPr>
          <w:lang w:val="fr-FR"/>
        </w:rPr>
        <w:t xml:space="preserve">le </w:t>
      </w:r>
      <w:r w:rsidR="00895C96" w:rsidRPr="00895C96">
        <w:rPr>
          <w:lang w:val="fr-FR"/>
        </w:rPr>
        <w:t xml:space="preserve">Plan Togo, </w:t>
      </w:r>
      <w:r w:rsidR="00D05118">
        <w:rPr>
          <w:lang w:val="fr-FR"/>
        </w:rPr>
        <w:t xml:space="preserve">le </w:t>
      </w:r>
      <w:r w:rsidR="00895C96" w:rsidRPr="00895C96">
        <w:rPr>
          <w:lang w:val="fr-FR"/>
        </w:rPr>
        <w:t xml:space="preserve">Bureau </w:t>
      </w:r>
      <w:r w:rsidR="00D05118">
        <w:rPr>
          <w:lang w:val="fr-FR"/>
        </w:rPr>
        <w:t>i</w:t>
      </w:r>
      <w:r w:rsidR="00895C96" w:rsidRPr="00895C96">
        <w:rPr>
          <w:lang w:val="fr-FR"/>
        </w:rPr>
        <w:t xml:space="preserve">nternational du Travail (BIT), Save the Children, Care, </w:t>
      </w:r>
      <w:r w:rsidR="00D05118">
        <w:rPr>
          <w:lang w:val="fr-FR"/>
        </w:rPr>
        <w:t>l’a</w:t>
      </w:r>
      <w:r w:rsidR="00895C96" w:rsidRPr="00895C96">
        <w:rPr>
          <w:lang w:val="fr-FR"/>
        </w:rPr>
        <w:t xml:space="preserve">mbassade de </w:t>
      </w:r>
      <w:r w:rsidR="00D05118">
        <w:rPr>
          <w:lang w:val="fr-FR"/>
        </w:rPr>
        <w:t>France et</w:t>
      </w:r>
      <w:r w:rsidR="00895C96" w:rsidRPr="00895C96">
        <w:rPr>
          <w:lang w:val="fr-FR"/>
        </w:rPr>
        <w:t xml:space="preserve"> </w:t>
      </w:r>
      <w:r w:rsidR="00D05118">
        <w:rPr>
          <w:lang w:val="fr-FR"/>
        </w:rPr>
        <w:t>l’a</w:t>
      </w:r>
      <w:r w:rsidR="00895C96" w:rsidRPr="00895C96">
        <w:rPr>
          <w:lang w:val="fr-FR"/>
        </w:rPr>
        <w:t xml:space="preserve">mbassade des </w:t>
      </w:r>
      <w:r w:rsidR="00D05118">
        <w:rPr>
          <w:lang w:val="fr-FR"/>
        </w:rPr>
        <w:t>É</w:t>
      </w:r>
      <w:r w:rsidR="00895C96" w:rsidRPr="00895C96">
        <w:rPr>
          <w:lang w:val="fr-FR"/>
        </w:rPr>
        <w:t xml:space="preserve">tats-Unis. </w:t>
      </w:r>
    </w:p>
    <w:p w:rsidR="00895C96" w:rsidRPr="00895C96" w:rsidRDefault="00172848" w:rsidP="00E04030">
      <w:pPr>
        <w:pStyle w:val="SingleTxtG"/>
        <w:rPr>
          <w:lang w:val="fr-FR"/>
        </w:rPr>
      </w:pPr>
      <w:r>
        <w:rPr>
          <w:lang w:val="fr-FR"/>
        </w:rPr>
        <w:t>119.</w:t>
      </w:r>
      <w:r w:rsidR="00B62D03">
        <w:rPr>
          <w:lang w:val="fr-FR"/>
        </w:rPr>
        <w:tab/>
      </w:r>
      <w:r w:rsidR="00895C96" w:rsidRPr="00895C96">
        <w:rPr>
          <w:lang w:val="fr-FR"/>
        </w:rPr>
        <w:t xml:space="preserve">Ainsi, des magistrats, des Officiers de Police judiciaire, des travailleurs sociaux, des journalistes, des enseignants, des douaniers, des agents des eaux et forêts, des femmes </w:t>
      </w:r>
      <w:r w:rsidR="00895C96" w:rsidRPr="009D593F">
        <w:rPr>
          <w:lang w:val="fr-FR"/>
        </w:rPr>
        <w:t>parajuristes</w:t>
      </w:r>
      <w:r w:rsidR="00895C96" w:rsidRPr="00895C96">
        <w:rPr>
          <w:lang w:val="fr-FR"/>
        </w:rPr>
        <w:t>, des forces de sécurité et de l'ordre, des organisations syndicales, des enfants et des</w:t>
      </w:r>
      <w:r w:rsidR="00382281">
        <w:rPr>
          <w:lang w:val="fr-FR"/>
        </w:rPr>
        <w:t xml:space="preserve"> </w:t>
      </w:r>
      <w:r w:rsidR="00895C96" w:rsidRPr="00895C96">
        <w:rPr>
          <w:lang w:val="fr-FR"/>
        </w:rPr>
        <w:t xml:space="preserve">commissions spécialisées dans la protection de l’enfant ont été formés </w:t>
      </w:r>
      <w:r w:rsidR="00D05118">
        <w:rPr>
          <w:lang w:val="fr-FR"/>
        </w:rPr>
        <w:t>aux</w:t>
      </w:r>
      <w:r w:rsidR="00895C96" w:rsidRPr="00895C96">
        <w:rPr>
          <w:lang w:val="fr-FR"/>
        </w:rPr>
        <w:t xml:space="preserve"> différents thèmes liés à la traite des enfants. </w:t>
      </w:r>
    </w:p>
    <w:p w:rsidR="00895C96" w:rsidRPr="00895C96" w:rsidRDefault="00172848" w:rsidP="00E04030">
      <w:pPr>
        <w:pStyle w:val="SingleTxtG"/>
        <w:rPr>
          <w:lang w:val="fr-FR"/>
        </w:rPr>
      </w:pPr>
      <w:r>
        <w:rPr>
          <w:lang w:val="fr-FR"/>
        </w:rPr>
        <w:t>120.</w:t>
      </w:r>
      <w:r w:rsidR="00B62D03">
        <w:rPr>
          <w:lang w:val="fr-FR"/>
        </w:rPr>
        <w:tab/>
      </w:r>
      <w:r w:rsidR="00895C96" w:rsidRPr="00895C96">
        <w:rPr>
          <w:lang w:val="fr-FR"/>
        </w:rPr>
        <w:t>Un projet de lutte contre le travail des enfants par l'éducation d'une valeur de cinq milliards</w:t>
      </w:r>
      <w:r w:rsidR="00382281">
        <w:rPr>
          <w:lang w:val="fr-FR"/>
        </w:rPr>
        <w:t xml:space="preserve"> </w:t>
      </w:r>
      <w:r w:rsidR="00895C96" w:rsidRPr="00895C96">
        <w:rPr>
          <w:lang w:val="fr-FR"/>
        </w:rPr>
        <w:t xml:space="preserve">(5 000 000 000) de dollars </w:t>
      </w:r>
      <w:r w:rsidR="005D1327">
        <w:rPr>
          <w:lang w:val="fr-FR"/>
        </w:rPr>
        <w:t>des Etats-Unis,</w:t>
      </w:r>
      <w:r w:rsidR="005D1327" w:rsidRPr="00895C96">
        <w:rPr>
          <w:lang w:val="fr-FR"/>
        </w:rPr>
        <w:t xml:space="preserve"> </w:t>
      </w:r>
      <w:r w:rsidR="00895C96" w:rsidRPr="00895C96">
        <w:rPr>
          <w:lang w:val="fr-FR"/>
        </w:rPr>
        <w:t xml:space="preserve">financé par le </w:t>
      </w:r>
      <w:r w:rsidR="005D1327">
        <w:rPr>
          <w:lang w:val="fr-FR"/>
        </w:rPr>
        <w:t>D</w:t>
      </w:r>
      <w:r w:rsidR="00895C96" w:rsidRPr="00895C96">
        <w:rPr>
          <w:lang w:val="fr-FR"/>
        </w:rPr>
        <w:t>épartement américain du travail</w:t>
      </w:r>
      <w:r w:rsidR="005D1327">
        <w:rPr>
          <w:lang w:val="fr-FR"/>
        </w:rPr>
        <w:t>,</w:t>
      </w:r>
      <w:r w:rsidR="00895C96" w:rsidRPr="00895C96">
        <w:rPr>
          <w:lang w:val="fr-FR"/>
        </w:rPr>
        <w:t xml:space="preserve"> est en cours d'exécution. </w:t>
      </w:r>
    </w:p>
    <w:p w:rsidR="00895C96" w:rsidRPr="00895C96" w:rsidRDefault="00B62D03" w:rsidP="00B62D03">
      <w:pPr>
        <w:pStyle w:val="H23G"/>
        <w:rPr>
          <w:lang w:val="fr-FR"/>
        </w:rPr>
      </w:pPr>
      <w:r>
        <w:rPr>
          <w:lang w:val="fr-FR"/>
        </w:rPr>
        <w:tab/>
      </w:r>
      <w:r>
        <w:rPr>
          <w:lang w:val="fr-FR"/>
        </w:rPr>
        <w:tab/>
      </w:r>
      <w:r w:rsidR="00895C96" w:rsidRPr="00895C96">
        <w:rPr>
          <w:lang w:val="fr-FR"/>
        </w:rPr>
        <w:t xml:space="preserve">Les renseignements sur les enquêtes, les poursuites et les condamnations prononcées par les tribunaux contre les auteurs de ces actes </w:t>
      </w:r>
    </w:p>
    <w:p w:rsidR="00895C96" w:rsidRPr="00895C96" w:rsidRDefault="00172848" w:rsidP="00E04030">
      <w:pPr>
        <w:pStyle w:val="SingleTxtG"/>
        <w:rPr>
          <w:lang w:val="fr-FR"/>
        </w:rPr>
      </w:pPr>
      <w:r>
        <w:rPr>
          <w:lang w:val="fr-FR"/>
        </w:rPr>
        <w:t>121.</w:t>
      </w:r>
      <w:r w:rsidR="00B62D03">
        <w:rPr>
          <w:lang w:val="fr-FR"/>
        </w:rPr>
        <w:tab/>
      </w:r>
      <w:r w:rsidR="00895C96" w:rsidRPr="00895C96">
        <w:rPr>
          <w:lang w:val="fr-FR"/>
        </w:rPr>
        <w:t>En matière d'enquêtes</w:t>
      </w:r>
      <w:r w:rsidR="002C40FD">
        <w:rPr>
          <w:lang w:val="fr-FR"/>
        </w:rPr>
        <w:t>,</w:t>
      </w:r>
      <w:r w:rsidR="00895C96" w:rsidRPr="00895C96">
        <w:rPr>
          <w:lang w:val="fr-FR"/>
        </w:rPr>
        <w:t xml:space="preserve"> de poursuites et de répression des auteurs de traite</w:t>
      </w:r>
      <w:r w:rsidR="002C40FD">
        <w:rPr>
          <w:lang w:val="fr-FR"/>
        </w:rPr>
        <w:t>,</w:t>
      </w:r>
      <w:r w:rsidR="00895C96" w:rsidRPr="00895C96">
        <w:rPr>
          <w:lang w:val="fr-FR"/>
        </w:rPr>
        <w:t xml:space="preserve"> il y a lieu de signaler </w:t>
      </w:r>
      <w:r w:rsidR="002C40FD">
        <w:rPr>
          <w:lang w:val="fr-FR"/>
        </w:rPr>
        <w:t>les faits suivants</w:t>
      </w:r>
      <w:r w:rsidR="00895C96" w:rsidRPr="00895C96">
        <w:rPr>
          <w:lang w:val="fr-FR"/>
        </w:rPr>
        <w:t xml:space="preserve">: </w:t>
      </w:r>
    </w:p>
    <w:p w:rsidR="00895C96" w:rsidRPr="00895C96" w:rsidRDefault="002C40FD" w:rsidP="00B62D03">
      <w:pPr>
        <w:pStyle w:val="Bullet1G"/>
        <w:rPr>
          <w:lang w:val="fr-FR"/>
        </w:rPr>
      </w:pPr>
      <w:r>
        <w:rPr>
          <w:lang w:val="fr-FR"/>
        </w:rPr>
        <w:t>A</w:t>
      </w:r>
      <w:r w:rsidR="00895C96" w:rsidRPr="00895C96">
        <w:rPr>
          <w:lang w:val="fr-FR"/>
        </w:rPr>
        <w:t>u cours de l'année 2008, 221 cas de délit ont été signalés, 201 cas ont fait l'objet de poursuites et 99 cas au total ont fait l'objet d</w:t>
      </w:r>
      <w:r>
        <w:rPr>
          <w:lang w:val="fr-FR"/>
        </w:rPr>
        <w:t>’un</w:t>
      </w:r>
      <w:r w:rsidR="00895C96" w:rsidRPr="00895C96">
        <w:rPr>
          <w:lang w:val="fr-FR"/>
        </w:rPr>
        <w:t xml:space="preserve">e condamnation; </w:t>
      </w:r>
    </w:p>
    <w:p w:rsidR="00895C96" w:rsidRPr="00895C96" w:rsidRDefault="002C40FD" w:rsidP="00B62D03">
      <w:pPr>
        <w:pStyle w:val="Bullet1G"/>
        <w:rPr>
          <w:lang w:val="fr-FR"/>
        </w:rPr>
      </w:pPr>
      <w:r>
        <w:rPr>
          <w:lang w:val="fr-FR"/>
        </w:rPr>
        <w:t>E</w:t>
      </w:r>
      <w:r w:rsidR="00895C96" w:rsidRPr="00895C96">
        <w:rPr>
          <w:lang w:val="fr-FR"/>
        </w:rPr>
        <w:t>n 2009, 91 cas ont été signalés, 51 ont fait l'objet d'</w:t>
      </w:r>
      <w:r>
        <w:rPr>
          <w:lang w:val="fr-FR"/>
        </w:rPr>
        <w:t xml:space="preserve">une </w:t>
      </w:r>
      <w:r w:rsidR="00895C96" w:rsidRPr="00895C96">
        <w:rPr>
          <w:lang w:val="fr-FR"/>
        </w:rPr>
        <w:t>enquête, 46 ont fait l'objet de poursuite</w:t>
      </w:r>
      <w:r>
        <w:rPr>
          <w:lang w:val="fr-FR"/>
        </w:rPr>
        <w:t>s</w:t>
      </w:r>
      <w:r w:rsidR="00895C96" w:rsidRPr="00895C96">
        <w:rPr>
          <w:lang w:val="fr-FR"/>
        </w:rPr>
        <w:t xml:space="preserve"> et 31 ont fait l'objet d</w:t>
      </w:r>
      <w:r>
        <w:rPr>
          <w:lang w:val="fr-FR"/>
        </w:rPr>
        <w:t>’un</w:t>
      </w:r>
      <w:r w:rsidR="00895C96" w:rsidRPr="00895C96">
        <w:rPr>
          <w:lang w:val="fr-FR"/>
        </w:rPr>
        <w:t xml:space="preserve">e condamnation. </w:t>
      </w:r>
    </w:p>
    <w:p w:rsidR="00895C96" w:rsidRPr="00895C96" w:rsidRDefault="00172848" w:rsidP="00E04030">
      <w:pPr>
        <w:pStyle w:val="SingleTxtG"/>
        <w:rPr>
          <w:lang w:val="fr-FR"/>
        </w:rPr>
      </w:pPr>
      <w:r>
        <w:rPr>
          <w:lang w:val="fr-FR"/>
        </w:rPr>
        <w:t>122.</w:t>
      </w:r>
      <w:r w:rsidR="00B62D03">
        <w:rPr>
          <w:lang w:val="fr-FR"/>
        </w:rPr>
        <w:tab/>
      </w:r>
      <w:r w:rsidR="00895C96" w:rsidRPr="00895C96">
        <w:rPr>
          <w:lang w:val="fr-FR"/>
        </w:rPr>
        <w:t xml:space="preserve">Conscient de l'évolution du phénomène dont la cause principale est la pauvreté, le </w:t>
      </w:r>
      <w:r w:rsidR="001E7B6C">
        <w:rPr>
          <w:lang w:val="fr-FR"/>
        </w:rPr>
        <w:t xml:space="preserve">Gouvernement </w:t>
      </w:r>
      <w:r w:rsidR="00895C96" w:rsidRPr="00895C96">
        <w:rPr>
          <w:lang w:val="fr-FR"/>
        </w:rPr>
        <w:t>entend mettre en place une politique nationale de protection sociale et surtout un projet pilote de cash transfert en faveur des couches vulnérables</w:t>
      </w:r>
      <w:r w:rsidR="00F24F00">
        <w:rPr>
          <w:lang w:val="fr-FR"/>
        </w:rPr>
        <w:t xml:space="preserve">, notamment </w:t>
      </w:r>
      <w:r w:rsidR="00684FEA">
        <w:rPr>
          <w:lang w:val="fr-FR"/>
        </w:rPr>
        <w:t>d</w:t>
      </w:r>
      <w:r w:rsidR="00895C96" w:rsidRPr="00895C96">
        <w:rPr>
          <w:lang w:val="fr-FR"/>
        </w:rPr>
        <w:t>es femmes.</w:t>
      </w:r>
    </w:p>
    <w:p w:rsidR="00895C96" w:rsidRPr="00895C96" w:rsidRDefault="00B62D03" w:rsidP="00AB3057">
      <w:pPr>
        <w:pStyle w:val="H1G"/>
        <w:rPr>
          <w:lang w:val="fr-FR"/>
        </w:rPr>
      </w:pPr>
      <w:r>
        <w:rPr>
          <w:lang w:val="fr-FR"/>
        </w:rPr>
        <w:tab/>
      </w:r>
      <w:r>
        <w:rPr>
          <w:lang w:val="fr-FR"/>
        </w:rPr>
        <w:tab/>
      </w:r>
      <w:r w:rsidR="00895C96" w:rsidRPr="00895C96">
        <w:rPr>
          <w:lang w:val="fr-FR"/>
        </w:rPr>
        <w:t xml:space="preserve">Droit </w:t>
      </w:r>
      <w:r w:rsidR="00AB3057">
        <w:rPr>
          <w:lang w:val="fr-FR"/>
        </w:rPr>
        <w:t xml:space="preserve">des individus </w:t>
      </w:r>
      <w:r w:rsidR="00895C96" w:rsidRPr="00895C96">
        <w:rPr>
          <w:lang w:val="fr-FR"/>
        </w:rPr>
        <w:t>à la liberté et à la sécurité de l</w:t>
      </w:r>
      <w:r w:rsidR="00AB3057">
        <w:rPr>
          <w:lang w:val="fr-FR"/>
        </w:rPr>
        <w:t xml:space="preserve">eur </w:t>
      </w:r>
      <w:r w:rsidR="00895C96" w:rsidRPr="00895C96">
        <w:rPr>
          <w:lang w:val="fr-FR"/>
        </w:rPr>
        <w:t>personne et prison pour dettes (art.</w:t>
      </w:r>
      <w:r w:rsidR="001B0F62">
        <w:rPr>
          <w:lang w:val="fr-FR"/>
        </w:rPr>
        <w:t xml:space="preserve"> </w:t>
      </w:r>
      <w:r w:rsidR="00895C96" w:rsidRPr="00895C96">
        <w:rPr>
          <w:lang w:val="fr-FR"/>
        </w:rPr>
        <w:t>9 et 11)</w:t>
      </w:r>
    </w:p>
    <w:p w:rsidR="00895C96" w:rsidRPr="00895C96" w:rsidRDefault="00B62D03" w:rsidP="00B62D03">
      <w:pPr>
        <w:pStyle w:val="H23G"/>
        <w:rPr>
          <w:lang w:val="fr-FR"/>
        </w:rPr>
      </w:pPr>
      <w:r>
        <w:rPr>
          <w:lang w:val="fr-FR"/>
        </w:rPr>
        <w:tab/>
      </w:r>
      <w:r>
        <w:rPr>
          <w:lang w:val="fr-FR"/>
        </w:rPr>
        <w:tab/>
      </w:r>
      <w:r w:rsidR="00895C96" w:rsidRPr="00895C96">
        <w:rPr>
          <w:lang w:val="fr-FR"/>
        </w:rPr>
        <w:t xml:space="preserve">Réponse </w:t>
      </w:r>
      <w:r w:rsidR="00A4197C">
        <w:rPr>
          <w:lang w:val="fr-FR"/>
        </w:rPr>
        <w:t xml:space="preserve">au paragraphe </w:t>
      </w:r>
      <w:r w:rsidR="00A4197C" w:rsidRPr="00B100AF">
        <w:rPr>
          <w:lang w:val="fr-FR"/>
        </w:rPr>
        <w:t>1</w:t>
      </w:r>
      <w:r w:rsidR="00A4197C">
        <w:rPr>
          <w:lang w:val="fr-FR"/>
        </w:rPr>
        <w:t>0</w:t>
      </w:r>
      <w:r w:rsidR="00A4197C" w:rsidRPr="00B100AF">
        <w:rPr>
          <w:lang w:val="fr-FR"/>
        </w:rPr>
        <w:t xml:space="preserve"> </w:t>
      </w:r>
      <w:r w:rsidR="00A4197C">
        <w:rPr>
          <w:lang w:val="fr-FR"/>
        </w:rPr>
        <w:t xml:space="preserve">de la liste de points à traiter </w:t>
      </w:r>
    </w:p>
    <w:p w:rsidR="00895C96" w:rsidRPr="00895C96" w:rsidRDefault="00172848" w:rsidP="00E04030">
      <w:pPr>
        <w:pStyle w:val="SingleTxtG"/>
        <w:rPr>
          <w:i/>
          <w:iCs/>
          <w:lang w:val="fr-FR"/>
        </w:rPr>
      </w:pPr>
      <w:r>
        <w:rPr>
          <w:lang w:val="fr-FR"/>
        </w:rPr>
        <w:t>123.</w:t>
      </w:r>
      <w:r w:rsidR="00B62D03">
        <w:rPr>
          <w:lang w:val="fr-FR"/>
        </w:rPr>
        <w:tab/>
      </w:r>
      <w:r w:rsidR="00895C96" w:rsidRPr="00895C96">
        <w:rPr>
          <w:lang w:val="fr-FR"/>
        </w:rPr>
        <w:t xml:space="preserve">Depuis la dernière élection présidentielle </w:t>
      </w:r>
      <w:r w:rsidR="00375DC3">
        <w:rPr>
          <w:lang w:val="fr-FR"/>
        </w:rPr>
        <w:t>en</w:t>
      </w:r>
      <w:r w:rsidR="00375DC3" w:rsidRPr="00895C96">
        <w:rPr>
          <w:lang w:val="fr-FR"/>
        </w:rPr>
        <w:t xml:space="preserve"> </w:t>
      </w:r>
      <w:r w:rsidR="00895C96" w:rsidRPr="00895C96">
        <w:rPr>
          <w:lang w:val="fr-FR"/>
        </w:rPr>
        <w:t xml:space="preserve">2010, les partisans de l’opposition manifestent dans les rues de Lomé sans être inquiétés. Ils bénéficient d’un encadrement des forces de l’ordre et de sécurité. Tant qu’aucun acte répréhensible n’est </w:t>
      </w:r>
      <w:r w:rsidR="00895C96" w:rsidRPr="009D593F">
        <w:rPr>
          <w:lang w:val="fr-FR"/>
        </w:rPr>
        <w:t>posé</w:t>
      </w:r>
      <w:r w:rsidR="00895C96" w:rsidRPr="00895C96">
        <w:rPr>
          <w:lang w:val="fr-FR"/>
        </w:rPr>
        <w:t xml:space="preserve"> aucune interpellation n’intervient. Les rares fois </w:t>
      </w:r>
      <w:r w:rsidR="005959C7">
        <w:rPr>
          <w:lang w:val="fr-FR"/>
        </w:rPr>
        <w:t>où</w:t>
      </w:r>
      <w:r w:rsidR="005959C7" w:rsidRPr="00895C96">
        <w:rPr>
          <w:lang w:val="fr-FR"/>
        </w:rPr>
        <w:t xml:space="preserve"> </w:t>
      </w:r>
      <w:r w:rsidR="00895C96" w:rsidRPr="00895C96">
        <w:rPr>
          <w:lang w:val="fr-FR"/>
        </w:rPr>
        <w:t>les militants de l’opposition ont été interpellés, ils ont toujours été libérés sur ordre du chef d</w:t>
      </w:r>
      <w:r w:rsidR="005959C7">
        <w:rPr>
          <w:lang w:val="fr-FR"/>
        </w:rPr>
        <w:t>u</w:t>
      </w:r>
      <w:r w:rsidR="00895C96" w:rsidRPr="00895C96">
        <w:rPr>
          <w:lang w:val="fr-FR"/>
        </w:rPr>
        <w:t xml:space="preserve"> parquet pour préserver l’esprit de cohésion et d’unité qui se met en place. Cette attitude démontre à suffisance que les autorités judiciaires disposent d’une</w:t>
      </w:r>
      <w:r w:rsidR="00895C96" w:rsidRPr="00895C96">
        <w:rPr>
          <w:i/>
          <w:iCs/>
          <w:lang w:val="fr-FR"/>
        </w:rPr>
        <w:t xml:space="preserve"> </w:t>
      </w:r>
      <w:r w:rsidR="00895C96" w:rsidRPr="00895C96">
        <w:rPr>
          <w:lang w:val="fr-FR"/>
        </w:rPr>
        <w:t>indépendance suffisante pour agir dans le respect de la loi sans interférence politique.</w:t>
      </w:r>
    </w:p>
    <w:p w:rsidR="00895C96" w:rsidRPr="00895C96" w:rsidRDefault="00172848" w:rsidP="00E04030">
      <w:pPr>
        <w:pStyle w:val="SingleTxtG"/>
        <w:rPr>
          <w:lang w:val="fr-FR"/>
        </w:rPr>
      </w:pPr>
      <w:r>
        <w:rPr>
          <w:lang w:val="fr-FR"/>
        </w:rPr>
        <w:t>124.</w:t>
      </w:r>
      <w:r w:rsidR="00B62D03">
        <w:rPr>
          <w:lang w:val="fr-FR"/>
        </w:rPr>
        <w:tab/>
      </w:r>
      <w:r w:rsidR="00895C96" w:rsidRPr="00895C96">
        <w:rPr>
          <w:lang w:val="fr-FR"/>
        </w:rPr>
        <w:t>Il faut retenir que la procédure en droit togolais est précise en ce qui concerne la délivrance des mandats. Le plus souvent, les officiers et agents de police judiciaire sont détenteurs d’une plainte transmise par le ministère public, lequel instruit les agents sur les actes à poser</w:t>
      </w:r>
      <w:r w:rsidR="005959C7">
        <w:rPr>
          <w:lang w:val="fr-FR"/>
        </w:rPr>
        <w:t>. C</w:t>
      </w:r>
      <w:r w:rsidR="00895C96" w:rsidRPr="00895C96">
        <w:rPr>
          <w:lang w:val="fr-FR"/>
        </w:rPr>
        <w:t xml:space="preserve">ela se fait par le système </w:t>
      </w:r>
      <w:r w:rsidR="00895C96" w:rsidRPr="00BE1513">
        <w:rPr>
          <w:lang w:val="fr-FR"/>
        </w:rPr>
        <w:t xml:space="preserve">de </w:t>
      </w:r>
      <w:r w:rsidR="0072782F" w:rsidRPr="00BE1513">
        <w:rPr>
          <w:lang w:val="fr-FR"/>
        </w:rPr>
        <w:t>«</w:t>
      </w:r>
      <w:r w:rsidR="00895C96" w:rsidRPr="00BE1513">
        <w:rPr>
          <w:lang w:val="fr-FR"/>
        </w:rPr>
        <w:t>soit-transmis</w:t>
      </w:r>
      <w:r w:rsidR="0072782F" w:rsidRPr="00BE1513">
        <w:rPr>
          <w:lang w:val="fr-FR"/>
        </w:rPr>
        <w:t>»</w:t>
      </w:r>
      <w:r w:rsidR="00895C96" w:rsidRPr="00895C96">
        <w:rPr>
          <w:lang w:val="fr-FR"/>
        </w:rPr>
        <w:t xml:space="preserve"> qui est un moyen de confier une mission aux agents</w:t>
      </w:r>
      <w:r w:rsidR="00EB2D61">
        <w:rPr>
          <w:lang w:val="fr-FR"/>
        </w:rPr>
        <w:t>-</w:t>
      </w:r>
      <w:r w:rsidR="00895C96" w:rsidRPr="00895C96">
        <w:rPr>
          <w:lang w:val="fr-FR"/>
        </w:rPr>
        <w:t>enquêteurs. Pour le commun d</w:t>
      </w:r>
      <w:r w:rsidR="00B36865">
        <w:rPr>
          <w:lang w:val="fr-FR"/>
        </w:rPr>
        <w:t>es</w:t>
      </w:r>
      <w:r w:rsidR="00895C96" w:rsidRPr="00895C96">
        <w:rPr>
          <w:lang w:val="fr-FR"/>
        </w:rPr>
        <w:t xml:space="preserve"> mortel</w:t>
      </w:r>
      <w:r w:rsidR="00B36865">
        <w:rPr>
          <w:lang w:val="fr-FR"/>
        </w:rPr>
        <w:t>s</w:t>
      </w:r>
      <w:r w:rsidR="00895C96" w:rsidRPr="00895C96">
        <w:rPr>
          <w:lang w:val="fr-FR"/>
        </w:rPr>
        <w:t>, cette procédure est différente du mandat. Or, la réquisition du ministère public à des fins d’enquête est aussi un</w:t>
      </w:r>
      <w:r w:rsidR="00382281">
        <w:rPr>
          <w:lang w:val="fr-FR"/>
        </w:rPr>
        <w:t xml:space="preserve"> </w:t>
      </w:r>
      <w:r w:rsidR="00895C96" w:rsidRPr="00895C96">
        <w:rPr>
          <w:lang w:val="fr-FR"/>
        </w:rPr>
        <w:t>mandat donné aux agents</w:t>
      </w:r>
      <w:r w:rsidR="00B36865">
        <w:rPr>
          <w:lang w:val="fr-FR"/>
        </w:rPr>
        <w:t>-</w:t>
      </w:r>
      <w:r w:rsidR="00895C96" w:rsidRPr="00895C96">
        <w:rPr>
          <w:lang w:val="fr-FR"/>
        </w:rPr>
        <w:t>enquêteurs.</w:t>
      </w:r>
    </w:p>
    <w:p w:rsidR="00895C96" w:rsidRPr="00895C96" w:rsidRDefault="00172848" w:rsidP="00E04030">
      <w:pPr>
        <w:pStyle w:val="SingleTxtG"/>
        <w:rPr>
          <w:lang w:val="fr-FR"/>
        </w:rPr>
      </w:pPr>
      <w:r>
        <w:rPr>
          <w:lang w:val="fr-FR"/>
        </w:rPr>
        <w:t>125.</w:t>
      </w:r>
      <w:r w:rsidR="00B62D03">
        <w:rPr>
          <w:lang w:val="fr-FR"/>
        </w:rPr>
        <w:tab/>
      </w:r>
      <w:r w:rsidR="00895C96" w:rsidRPr="00895C96">
        <w:rPr>
          <w:lang w:val="fr-FR"/>
        </w:rPr>
        <w:t>Les différents mandats (mandat de comparution, mandat d’amener et mandat d’arrêt) sont du ressort du juge d’instruction</w:t>
      </w:r>
      <w:r w:rsidR="0071318A">
        <w:rPr>
          <w:lang w:val="fr-FR"/>
        </w:rPr>
        <w:t xml:space="preserve">. Ainsi, chaque </w:t>
      </w:r>
      <w:r w:rsidR="00895C96" w:rsidRPr="00895C96">
        <w:rPr>
          <w:lang w:val="fr-FR"/>
        </w:rPr>
        <w:t xml:space="preserve">fois que les officiers et agents de police judiciaire ont exécuté les instructions du juge d’instruction, ils l’ont toujours fait en vertu et muni d’un mandat. Seule donc la réquisition du directeur des enquêtes qui est le procureur se fait suite à un </w:t>
      </w:r>
      <w:r w:rsidR="00EB2D61">
        <w:rPr>
          <w:lang w:val="fr-FR"/>
        </w:rPr>
        <w:t>«</w:t>
      </w:r>
      <w:r w:rsidR="00895C96" w:rsidRPr="00895C96">
        <w:rPr>
          <w:lang w:val="fr-FR"/>
        </w:rPr>
        <w:t>soit</w:t>
      </w:r>
      <w:r w:rsidR="00EB2D61">
        <w:rPr>
          <w:lang w:val="fr-FR"/>
        </w:rPr>
        <w:t>-</w:t>
      </w:r>
      <w:r w:rsidR="00895C96" w:rsidRPr="00895C96">
        <w:rPr>
          <w:lang w:val="fr-FR"/>
        </w:rPr>
        <w:t>transmis</w:t>
      </w:r>
      <w:r w:rsidR="00EB2D61">
        <w:rPr>
          <w:lang w:val="fr-FR"/>
        </w:rPr>
        <w:t>»</w:t>
      </w:r>
      <w:r w:rsidR="00895C96" w:rsidRPr="00895C96">
        <w:rPr>
          <w:lang w:val="fr-FR"/>
        </w:rPr>
        <w:t>.</w:t>
      </w:r>
    </w:p>
    <w:p w:rsidR="00895C96" w:rsidRPr="00895C96" w:rsidRDefault="00B62D03" w:rsidP="00B62D03">
      <w:pPr>
        <w:pStyle w:val="H23G"/>
        <w:rPr>
          <w:lang w:val="fr-FR"/>
        </w:rPr>
      </w:pPr>
      <w:r>
        <w:rPr>
          <w:lang w:val="fr-FR"/>
        </w:rPr>
        <w:tab/>
      </w:r>
      <w:r>
        <w:rPr>
          <w:lang w:val="fr-FR"/>
        </w:rPr>
        <w:tab/>
      </w:r>
      <w:r w:rsidR="00895C96" w:rsidRPr="00895C96">
        <w:rPr>
          <w:lang w:val="fr-FR"/>
        </w:rPr>
        <w:t xml:space="preserve">Réponse </w:t>
      </w:r>
      <w:r w:rsidR="00A4197C">
        <w:rPr>
          <w:lang w:val="fr-FR"/>
        </w:rPr>
        <w:t xml:space="preserve">au paragraphe </w:t>
      </w:r>
      <w:r w:rsidR="00A4197C" w:rsidRPr="00B100AF">
        <w:rPr>
          <w:lang w:val="fr-FR"/>
        </w:rPr>
        <w:t>1</w:t>
      </w:r>
      <w:r w:rsidR="00A4197C">
        <w:rPr>
          <w:lang w:val="fr-FR"/>
        </w:rPr>
        <w:t>1</w:t>
      </w:r>
      <w:r w:rsidR="00A4197C" w:rsidRPr="00B100AF">
        <w:rPr>
          <w:lang w:val="fr-FR"/>
        </w:rPr>
        <w:t xml:space="preserve"> </w:t>
      </w:r>
      <w:r w:rsidR="00A4197C">
        <w:rPr>
          <w:lang w:val="fr-FR"/>
        </w:rPr>
        <w:t>de la liste de points à traiter</w:t>
      </w:r>
    </w:p>
    <w:p w:rsidR="00895C96" w:rsidRPr="00895C96" w:rsidRDefault="00172848" w:rsidP="00E04030">
      <w:pPr>
        <w:pStyle w:val="SingleTxtG"/>
        <w:rPr>
          <w:lang w:val="fr-FR"/>
        </w:rPr>
      </w:pPr>
      <w:r>
        <w:rPr>
          <w:lang w:val="fr-FR"/>
        </w:rPr>
        <w:t>126.</w:t>
      </w:r>
      <w:r w:rsidR="00B62D03">
        <w:rPr>
          <w:lang w:val="fr-FR"/>
        </w:rPr>
        <w:tab/>
      </w:r>
      <w:r w:rsidR="00895C96" w:rsidRPr="00895C96">
        <w:rPr>
          <w:lang w:val="fr-FR"/>
        </w:rPr>
        <w:t xml:space="preserve">Le </w:t>
      </w:r>
      <w:r w:rsidR="001E7B6C">
        <w:rPr>
          <w:lang w:val="fr-FR"/>
        </w:rPr>
        <w:t>Code</w:t>
      </w:r>
      <w:r w:rsidR="00895C96" w:rsidRPr="00895C96">
        <w:rPr>
          <w:lang w:val="fr-FR"/>
        </w:rPr>
        <w:t xml:space="preserve"> de procédure pénale actuellement en vigueur au Togo ne prévoit ni la procédure de saisine ni l’autorité judiciaire chargée</w:t>
      </w:r>
      <w:r w:rsidR="00382281">
        <w:rPr>
          <w:lang w:val="fr-FR"/>
        </w:rPr>
        <w:t xml:space="preserve"> </w:t>
      </w:r>
      <w:r w:rsidR="00895C96" w:rsidRPr="00895C96">
        <w:rPr>
          <w:lang w:val="fr-FR"/>
        </w:rPr>
        <w:t xml:space="preserve">de statuer sur les demandes de libération en cas d’illégalité de la détention bien que la </w:t>
      </w:r>
      <w:r w:rsidR="001E7B6C">
        <w:rPr>
          <w:lang w:val="fr-FR"/>
        </w:rPr>
        <w:t>Constitution</w:t>
      </w:r>
      <w:r w:rsidR="00895C96" w:rsidRPr="00895C96">
        <w:rPr>
          <w:lang w:val="fr-FR"/>
        </w:rPr>
        <w:t xml:space="preserve"> fixe le principe. Dans l’esprit du texte de la </w:t>
      </w:r>
      <w:r w:rsidR="001E7B6C">
        <w:rPr>
          <w:lang w:val="fr-FR"/>
        </w:rPr>
        <w:t>Constitution</w:t>
      </w:r>
      <w:r w:rsidR="00895C96" w:rsidRPr="00895C96">
        <w:rPr>
          <w:lang w:val="fr-FR"/>
        </w:rPr>
        <w:t>, c’est bien le juge du siège qui peut être saisi.</w:t>
      </w:r>
    </w:p>
    <w:p w:rsidR="00895C96" w:rsidRPr="00895C96" w:rsidRDefault="00172848" w:rsidP="00E04030">
      <w:pPr>
        <w:pStyle w:val="SingleTxtG"/>
        <w:rPr>
          <w:b/>
          <w:bCs/>
          <w:lang w:val="fr-FR"/>
        </w:rPr>
      </w:pPr>
      <w:r>
        <w:rPr>
          <w:lang w:val="fr-FR"/>
        </w:rPr>
        <w:t>127.</w:t>
      </w:r>
      <w:r w:rsidR="00B62D03">
        <w:rPr>
          <w:lang w:val="fr-FR"/>
        </w:rPr>
        <w:tab/>
      </w:r>
      <w:r w:rsidR="00895C96" w:rsidRPr="00895C96">
        <w:rPr>
          <w:lang w:val="fr-FR"/>
        </w:rPr>
        <w:t xml:space="preserve">Dans la pratique, en l’absence de la procédure de saisine, il n’y a pas eu encore de cas. La procédure est prévue </w:t>
      </w:r>
      <w:r w:rsidR="00895C96" w:rsidRPr="00BE1513">
        <w:rPr>
          <w:lang w:val="fr-FR"/>
        </w:rPr>
        <w:t>au TITRE X</w:t>
      </w:r>
      <w:r w:rsidR="00BE1513">
        <w:rPr>
          <w:lang w:val="fr-FR"/>
        </w:rPr>
        <w:t xml:space="preserve">, </w:t>
      </w:r>
      <w:r w:rsidR="00895C96" w:rsidRPr="00BE1513">
        <w:rPr>
          <w:lang w:val="fr-FR"/>
        </w:rPr>
        <w:t>articles 455 à 461</w:t>
      </w:r>
      <w:r w:rsidR="00BE1513">
        <w:rPr>
          <w:lang w:val="fr-FR"/>
        </w:rPr>
        <w:t>,</w:t>
      </w:r>
      <w:r w:rsidR="00895C96" w:rsidRPr="00895C96">
        <w:rPr>
          <w:lang w:val="fr-FR"/>
        </w:rPr>
        <w:t xml:space="preserve"> de l’</w:t>
      </w:r>
      <w:r w:rsidR="00382281">
        <w:rPr>
          <w:lang w:val="fr-FR"/>
        </w:rPr>
        <w:t>avant-</w:t>
      </w:r>
      <w:r w:rsidR="00895C96" w:rsidRPr="00895C96">
        <w:rPr>
          <w:lang w:val="fr-FR"/>
        </w:rPr>
        <w:t xml:space="preserve">projet de loi portant réécriture du </w:t>
      </w:r>
      <w:r w:rsidR="001E7B6C">
        <w:rPr>
          <w:lang w:val="fr-FR"/>
        </w:rPr>
        <w:t>Code</w:t>
      </w:r>
      <w:r w:rsidR="00895C96" w:rsidRPr="00895C96">
        <w:rPr>
          <w:lang w:val="fr-FR"/>
        </w:rPr>
        <w:t xml:space="preserve"> de procédure pénale relatif</w:t>
      </w:r>
      <w:r w:rsidR="00863EE8">
        <w:rPr>
          <w:lang w:val="fr-FR"/>
        </w:rPr>
        <w:t>s</w:t>
      </w:r>
      <w:r w:rsidR="00895C96" w:rsidRPr="00895C96">
        <w:rPr>
          <w:lang w:val="fr-FR"/>
        </w:rPr>
        <w:t xml:space="preserve"> au juge des libertés et de la détention. Il y est aussi indiqué que c’est le président du tribunal ou un juge désigné par lui qui connaît de la procédure de libération immédiate</w:t>
      </w:r>
      <w:r w:rsidR="00863EE8">
        <w:rPr>
          <w:lang w:val="fr-FR"/>
        </w:rPr>
        <w:t>,</w:t>
      </w:r>
      <w:r w:rsidR="00895C96" w:rsidRPr="00895C96">
        <w:rPr>
          <w:lang w:val="fr-FR"/>
        </w:rPr>
        <w:t xml:space="preserve"> dénommée procédure d’</w:t>
      </w:r>
      <w:r w:rsidR="00895C96" w:rsidRPr="00863EE8">
        <w:rPr>
          <w:i/>
          <w:lang w:val="fr-FR"/>
        </w:rPr>
        <w:t>habeas corpus</w:t>
      </w:r>
      <w:r w:rsidR="00895C96" w:rsidRPr="00895C96">
        <w:rPr>
          <w:b/>
          <w:bCs/>
          <w:lang w:val="fr-FR"/>
        </w:rPr>
        <w:t>.</w:t>
      </w:r>
    </w:p>
    <w:p w:rsidR="00895C96" w:rsidRPr="00895C96" w:rsidRDefault="00B62D03" w:rsidP="00B62D03">
      <w:pPr>
        <w:pStyle w:val="H23G"/>
        <w:rPr>
          <w:lang w:val="fr-FR"/>
        </w:rPr>
      </w:pPr>
      <w:r>
        <w:rPr>
          <w:lang w:val="fr-FR"/>
        </w:rPr>
        <w:tab/>
      </w:r>
      <w:r>
        <w:rPr>
          <w:lang w:val="fr-FR"/>
        </w:rPr>
        <w:tab/>
      </w:r>
      <w:r w:rsidR="00895C96" w:rsidRPr="00895C96">
        <w:rPr>
          <w:lang w:val="fr-FR"/>
        </w:rPr>
        <w:t xml:space="preserve">Réponse </w:t>
      </w:r>
      <w:r w:rsidR="0004064E">
        <w:rPr>
          <w:lang w:val="fr-FR"/>
        </w:rPr>
        <w:t>au paragraphe 12</w:t>
      </w:r>
      <w:r w:rsidR="0004064E" w:rsidRPr="00B100AF">
        <w:rPr>
          <w:lang w:val="fr-FR"/>
        </w:rPr>
        <w:t xml:space="preserve"> </w:t>
      </w:r>
      <w:r w:rsidR="0004064E">
        <w:rPr>
          <w:lang w:val="fr-FR"/>
        </w:rPr>
        <w:t xml:space="preserve">de la liste de points à traiter </w:t>
      </w:r>
    </w:p>
    <w:p w:rsidR="00895C96" w:rsidRPr="00895C96" w:rsidRDefault="00172848" w:rsidP="00E04030">
      <w:pPr>
        <w:pStyle w:val="SingleTxtG"/>
        <w:rPr>
          <w:lang w:val="fr-FR"/>
        </w:rPr>
      </w:pPr>
      <w:r>
        <w:rPr>
          <w:lang w:val="fr-FR"/>
        </w:rPr>
        <w:t>128.</w:t>
      </w:r>
      <w:r w:rsidR="00B62D03">
        <w:rPr>
          <w:lang w:val="fr-FR"/>
        </w:rPr>
        <w:tab/>
      </w:r>
      <w:r w:rsidR="00895C96" w:rsidRPr="00895C96">
        <w:rPr>
          <w:lang w:val="fr-FR"/>
        </w:rPr>
        <w:t>Pour remédier à ces situations, le Togo a entrepris, avec l’aide de la France, des formations à l’</w:t>
      </w:r>
      <w:r w:rsidR="00A75178">
        <w:rPr>
          <w:lang w:val="fr-FR"/>
        </w:rPr>
        <w:t>in</w:t>
      </w:r>
      <w:r w:rsidR="00895C96" w:rsidRPr="00895C96">
        <w:rPr>
          <w:lang w:val="fr-FR"/>
        </w:rPr>
        <w:t>tention aussi bien des magistrats que des officiers et agents de la police judiciaire. Bien plus, l’</w:t>
      </w:r>
      <w:r w:rsidR="00382281">
        <w:rPr>
          <w:lang w:val="fr-FR"/>
        </w:rPr>
        <w:t>avant-</w:t>
      </w:r>
      <w:r w:rsidR="00895C96" w:rsidRPr="00895C96">
        <w:rPr>
          <w:lang w:val="fr-FR"/>
        </w:rPr>
        <w:t xml:space="preserve">projet de loi portant amendement du </w:t>
      </w:r>
      <w:r w:rsidR="001E7B6C">
        <w:rPr>
          <w:lang w:val="fr-FR"/>
        </w:rPr>
        <w:t>Code</w:t>
      </w:r>
      <w:r w:rsidR="00895C96" w:rsidRPr="00895C96">
        <w:rPr>
          <w:lang w:val="fr-FR"/>
        </w:rPr>
        <w:t xml:space="preserve"> pénal a listé à son article 333 les conventions dont la violation peut donner lieu</w:t>
      </w:r>
      <w:r w:rsidR="00A75178">
        <w:rPr>
          <w:lang w:val="fr-FR"/>
        </w:rPr>
        <w:t xml:space="preserve"> au</w:t>
      </w:r>
      <w:r w:rsidR="00895C96" w:rsidRPr="00895C96">
        <w:rPr>
          <w:lang w:val="fr-FR"/>
        </w:rPr>
        <w:t xml:space="preserve"> délit d’abus de confiance. L’article 334 précise les objets et valeurs </w:t>
      </w:r>
      <w:r w:rsidR="00895C96" w:rsidRPr="006C1E1A">
        <w:rPr>
          <w:lang w:val="fr-FR"/>
        </w:rPr>
        <w:t>dont la remise</w:t>
      </w:r>
      <w:r w:rsidR="00895C96" w:rsidRPr="00895C96">
        <w:rPr>
          <w:lang w:val="fr-FR"/>
        </w:rPr>
        <w:t xml:space="preserve"> par la victime peut caractériser l’infraction.</w:t>
      </w:r>
    </w:p>
    <w:p w:rsidR="00895C96" w:rsidRPr="00895C96" w:rsidRDefault="00172848" w:rsidP="00E04030">
      <w:pPr>
        <w:pStyle w:val="SingleTxtG"/>
        <w:rPr>
          <w:lang w:val="fr-FR"/>
        </w:rPr>
      </w:pPr>
      <w:r>
        <w:rPr>
          <w:lang w:val="fr-FR"/>
        </w:rPr>
        <w:t>129.</w:t>
      </w:r>
      <w:r w:rsidR="00B62D03">
        <w:rPr>
          <w:lang w:val="fr-FR"/>
        </w:rPr>
        <w:tab/>
      </w:r>
      <w:r w:rsidR="00895C96" w:rsidRPr="00895C96">
        <w:rPr>
          <w:lang w:val="fr-FR"/>
        </w:rPr>
        <w:t xml:space="preserve">Pour ce qui est de l’escroquerie, les articles 343 à 347 définissent ce que l’on doit entendre par manœuvres frauduleuses, les choses susceptibles d’être remises ou délivrées ainsi que les sanctions dont sont passibles les auteurs. </w:t>
      </w:r>
    </w:p>
    <w:p w:rsidR="00895C96" w:rsidRPr="00895C96" w:rsidRDefault="00172848" w:rsidP="00E04030">
      <w:pPr>
        <w:pStyle w:val="SingleTxtG"/>
        <w:rPr>
          <w:lang w:val="fr-FR"/>
        </w:rPr>
      </w:pPr>
      <w:r>
        <w:rPr>
          <w:lang w:val="fr-FR"/>
        </w:rPr>
        <w:t>130.</w:t>
      </w:r>
      <w:r w:rsidR="00B62D03">
        <w:rPr>
          <w:lang w:val="fr-FR"/>
        </w:rPr>
        <w:tab/>
      </w:r>
      <w:r w:rsidR="00895C96" w:rsidRPr="00895C96">
        <w:rPr>
          <w:lang w:val="fr-FR"/>
        </w:rPr>
        <w:t>Ces énumérations limitatives permettront de distinguer les dettes civiles et commerciales des délits d’abus de confiance et d’escroquerie.</w:t>
      </w:r>
    </w:p>
    <w:p w:rsidR="00895C96" w:rsidRPr="00895C96" w:rsidRDefault="00B62D03" w:rsidP="007467DA">
      <w:pPr>
        <w:pStyle w:val="H1G"/>
        <w:rPr>
          <w:lang w:val="fr-FR"/>
        </w:rPr>
      </w:pPr>
      <w:r>
        <w:rPr>
          <w:lang w:val="fr-FR"/>
        </w:rPr>
        <w:tab/>
      </w:r>
      <w:r>
        <w:rPr>
          <w:lang w:val="fr-FR"/>
        </w:rPr>
        <w:tab/>
      </w:r>
      <w:r w:rsidR="00895C96" w:rsidRPr="00895C96">
        <w:rPr>
          <w:lang w:val="fr-FR"/>
        </w:rPr>
        <w:t>Traitement des détenus (art</w:t>
      </w:r>
      <w:r w:rsidR="00C77CD5">
        <w:rPr>
          <w:lang w:val="fr-FR"/>
        </w:rPr>
        <w:t>.</w:t>
      </w:r>
      <w:r w:rsidR="00895C96" w:rsidRPr="00895C96">
        <w:rPr>
          <w:lang w:val="fr-FR"/>
        </w:rPr>
        <w:t xml:space="preserve"> 10)</w:t>
      </w:r>
    </w:p>
    <w:p w:rsidR="00895C96" w:rsidRPr="00895C96" w:rsidRDefault="00B62D03" w:rsidP="00B62D03">
      <w:pPr>
        <w:pStyle w:val="H23G"/>
        <w:rPr>
          <w:lang w:val="fr-FR"/>
        </w:rPr>
      </w:pPr>
      <w:r>
        <w:rPr>
          <w:lang w:val="fr-FR"/>
        </w:rPr>
        <w:tab/>
      </w:r>
      <w:r>
        <w:rPr>
          <w:lang w:val="fr-FR"/>
        </w:rPr>
        <w:tab/>
      </w:r>
      <w:r w:rsidR="00895C96" w:rsidRPr="00895C96">
        <w:rPr>
          <w:lang w:val="fr-FR"/>
        </w:rPr>
        <w:t>Réponse</w:t>
      </w:r>
      <w:r w:rsidR="00382281">
        <w:rPr>
          <w:lang w:val="fr-FR"/>
        </w:rPr>
        <w:t xml:space="preserve"> </w:t>
      </w:r>
      <w:r w:rsidR="0004064E">
        <w:rPr>
          <w:lang w:val="fr-FR"/>
        </w:rPr>
        <w:t>au paragraphe 13</w:t>
      </w:r>
      <w:r w:rsidR="0004064E" w:rsidRPr="00B100AF">
        <w:rPr>
          <w:lang w:val="fr-FR"/>
        </w:rPr>
        <w:t xml:space="preserve"> </w:t>
      </w:r>
      <w:r w:rsidR="0004064E">
        <w:rPr>
          <w:lang w:val="fr-FR"/>
        </w:rPr>
        <w:t xml:space="preserve">de la liste de points à traiter </w:t>
      </w:r>
    </w:p>
    <w:p w:rsidR="00895C96" w:rsidRPr="00895C96" w:rsidRDefault="00172848" w:rsidP="00E04030">
      <w:pPr>
        <w:pStyle w:val="SingleTxtG"/>
        <w:rPr>
          <w:lang w:val="fr-FR"/>
        </w:rPr>
      </w:pPr>
      <w:r>
        <w:rPr>
          <w:lang w:val="fr-FR"/>
        </w:rPr>
        <w:t>131.</w:t>
      </w:r>
      <w:r w:rsidR="00B62D03">
        <w:rPr>
          <w:lang w:val="fr-FR"/>
        </w:rPr>
        <w:tab/>
      </w:r>
      <w:r w:rsidR="00895C96" w:rsidRPr="00895C96">
        <w:rPr>
          <w:lang w:val="fr-FR"/>
        </w:rPr>
        <w:t xml:space="preserve">Pour prendre en compte la recommandation du </w:t>
      </w:r>
      <w:r w:rsidR="002A7052">
        <w:rPr>
          <w:lang w:val="fr-FR"/>
        </w:rPr>
        <w:t>C</w:t>
      </w:r>
      <w:r w:rsidR="00895C96" w:rsidRPr="00895C96">
        <w:rPr>
          <w:lang w:val="fr-FR"/>
        </w:rPr>
        <w:t>omité visant à r</w:t>
      </w:r>
      <w:r w:rsidR="002A7052">
        <w:rPr>
          <w:lang w:val="fr-FR"/>
        </w:rPr>
        <w:t>é</w:t>
      </w:r>
      <w:r w:rsidR="00895C96" w:rsidRPr="00895C96">
        <w:rPr>
          <w:lang w:val="fr-FR"/>
        </w:rPr>
        <w:t xml:space="preserve">former les dispositions du </w:t>
      </w:r>
      <w:r w:rsidR="001E7B6C">
        <w:rPr>
          <w:lang w:val="fr-FR"/>
        </w:rPr>
        <w:t>Code</w:t>
      </w:r>
      <w:r w:rsidR="00895C96" w:rsidRPr="00895C96">
        <w:rPr>
          <w:lang w:val="fr-FR"/>
        </w:rPr>
        <w:t xml:space="preserve"> de procédure pénale en matière de garde à vue de façon à </w:t>
      </w:r>
      <w:r w:rsidR="002A7052">
        <w:rPr>
          <w:lang w:val="fr-FR"/>
        </w:rPr>
        <w:t xml:space="preserve">prévenir de manière </w:t>
      </w:r>
      <w:r w:rsidR="00895C96" w:rsidRPr="00895C96">
        <w:rPr>
          <w:lang w:val="fr-FR"/>
        </w:rPr>
        <w:t xml:space="preserve">efficace </w:t>
      </w:r>
      <w:r w:rsidR="002A7052">
        <w:rPr>
          <w:lang w:val="fr-FR"/>
        </w:rPr>
        <w:t>l</w:t>
      </w:r>
      <w:r w:rsidR="00895C96" w:rsidRPr="00895C96">
        <w:rPr>
          <w:lang w:val="fr-FR"/>
        </w:rPr>
        <w:t xml:space="preserve">es atteintes à l’intégrité physique et mentale des personnes gardées à vue et </w:t>
      </w:r>
      <w:r w:rsidR="00895C96" w:rsidRPr="003C7555">
        <w:rPr>
          <w:lang w:val="fr-FR"/>
        </w:rPr>
        <w:t>à</w:t>
      </w:r>
      <w:r w:rsidR="00895C96" w:rsidRPr="00895C96">
        <w:rPr>
          <w:lang w:val="fr-FR"/>
        </w:rPr>
        <w:t xml:space="preserve"> protéger les droits de la défense, le </w:t>
      </w:r>
      <w:r w:rsidR="001E7B6C">
        <w:rPr>
          <w:lang w:val="fr-FR"/>
        </w:rPr>
        <w:t xml:space="preserve">Gouvernement </w:t>
      </w:r>
      <w:r w:rsidR="00895C96" w:rsidRPr="00895C96">
        <w:rPr>
          <w:lang w:val="fr-FR"/>
        </w:rPr>
        <w:t xml:space="preserve">a entrepris la réforme du </w:t>
      </w:r>
      <w:r w:rsidR="001E7B6C">
        <w:rPr>
          <w:lang w:val="fr-FR"/>
        </w:rPr>
        <w:t>Code</w:t>
      </w:r>
      <w:r w:rsidR="00895C96" w:rsidRPr="00895C96">
        <w:rPr>
          <w:lang w:val="fr-FR"/>
        </w:rPr>
        <w:t xml:space="preserve"> de procédure pénale. Cette réforme du </w:t>
      </w:r>
      <w:r w:rsidR="001E7B6C">
        <w:rPr>
          <w:lang w:val="fr-FR"/>
        </w:rPr>
        <w:t>Code</w:t>
      </w:r>
      <w:r w:rsidR="00895C96" w:rsidRPr="00895C96">
        <w:rPr>
          <w:lang w:val="fr-FR"/>
        </w:rPr>
        <w:t xml:space="preserve"> de procédure pénale </w:t>
      </w:r>
      <w:r w:rsidR="002A7052">
        <w:rPr>
          <w:lang w:val="fr-FR"/>
        </w:rPr>
        <w:t xml:space="preserve">qui est </w:t>
      </w:r>
      <w:r w:rsidR="00895C96" w:rsidRPr="00895C96">
        <w:rPr>
          <w:lang w:val="fr-FR"/>
        </w:rPr>
        <w:t>en cours</w:t>
      </w:r>
      <w:r w:rsidR="00382281">
        <w:rPr>
          <w:lang w:val="fr-FR"/>
        </w:rPr>
        <w:t xml:space="preserve"> </w:t>
      </w:r>
      <w:r w:rsidR="00895C96" w:rsidRPr="00895C96">
        <w:rPr>
          <w:lang w:val="fr-FR"/>
        </w:rPr>
        <w:t xml:space="preserve">permettra de définir la procédure d’assistance à l’inculpé par un conseil </w:t>
      </w:r>
      <w:r w:rsidR="00895C96" w:rsidRPr="00573871">
        <w:rPr>
          <w:lang w:val="fr-FR"/>
        </w:rPr>
        <w:t>depuis l’enquête préliminaire</w:t>
      </w:r>
      <w:r w:rsidR="00895C96" w:rsidRPr="00895C96">
        <w:rPr>
          <w:lang w:val="fr-FR"/>
        </w:rPr>
        <w:t>.</w:t>
      </w:r>
    </w:p>
    <w:p w:rsidR="00895C96" w:rsidRPr="00895C96" w:rsidRDefault="00172848" w:rsidP="00E04030">
      <w:pPr>
        <w:pStyle w:val="SingleTxtG"/>
        <w:rPr>
          <w:lang w:val="fr-FR"/>
        </w:rPr>
      </w:pPr>
      <w:r>
        <w:rPr>
          <w:lang w:val="fr-FR"/>
        </w:rPr>
        <w:t>132.</w:t>
      </w:r>
      <w:r w:rsidR="00B62D03">
        <w:rPr>
          <w:lang w:val="fr-FR"/>
        </w:rPr>
        <w:tab/>
      </w:r>
      <w:r w:rsidR="00895C96" w:rsidRPr="00895C96">
        <w:rPr>
          <w:lang w:val="fr-FR"/>
        </w:rPr>
        <w:t>Il y est prévu l’obligation des agents</w:t>
      </w:r>
      <w:r w:rsidR="00F63234">
        <w:rPr>
          <w:lang w:val="fr-FR"/>
        </w:rPr>
        <w:t>-</w:t>
      </w:r>
      <w:r w:rsidR="00895C96" w:rsidRPr="00895C96">
        <w:rPr>
          <w:lang w:val="fr-FR"/>
        </w:rPr>
        <w:t xml:space="preserve">enquêteurs de faire connaître à la personne </w:t>
      </w:r>
      <w:r w:rsidR="00895C96" w:rsidRPr="00F97C71">
        <w:rPr>
          <w:lang w:val="fr-FR"/>
        </w:rPr>
        <w:t>interpellée</w:t>
      </w:r>
      <w:r w:rsidR="00895C96" w:rsidRPr="00895C96">
        <w:rPr>
          <w:lang w:val="fr-FR"/>
        </w:rPr>
        <w:t xml:space="preserve"> ses droits</w:t>
      </w:r>
      <w:r w:rsidR="00F63234">
        <w:rPr>
          <w:lang w:val="fr-FR"/>
        </w:rPr>
        <w:t>,</w:t>
      </w:r>
      <w:r w:rsidR="00895C96" w:rsidRPr="00895C96">
        <w:rPr>
          <w:lang w:val="fr-FR"/>
        </w:rPr>
        <w:t xml:space="preserve"> notamment celui d’appeler son avocat et de ne faire aucune déclaration qui pourra</w:t>
      </w:r>
      <w:r w:rsidR="00F63234">
        <w:rPr>
          <w:lang w:val="fr-FR"/>
        </w:rPr>
        <w:t>it</w:t>
      </w:r>
      <w:r w:rsidR="00895C96" w:rsidRPr="00895C96">
        <w:rPr>
          <w:lang w:val="fr-FR"/>
        </w:rPr>
        <w:t xml:space="preserve"> être retenue contre elle. Les officiers et agents de la police judiciaire devront </w:t>
      </w:r>
      <w:r w:rsidR="00895C96" w:rsidRPr="005B1A5F">
        <w:rPr>
          <w:lang w:val="fr-FR"/>
        </w:rPr>
        <w:t>notifier à l</w:t>
      </w:r>
      <w:r w:rsidR="005B1A5F">
        <w:rPr>
          <w:lang w:val="fr-FR"/>
        </w:rPr>
        <w:t xml:space="preserve">a personne </w:t>
      </w:r>
      <w:r w:rsidR="00895C96" w:rsidRPr="005B1A5F">
        <w:rPr>
          <w:lang w:val="fr-FR"/>
        </w:rPr>
        <w:t>inculpé</w:t>
      </w:r>
      <w:r w:rsidR="005B1A5F">
        <w:rPr>
          <w:lang w:val="fr-FR"/>
        </w:rPr>
        <w:t>e</w:t>
      </w:r>
      <w:r w:rsidR="00895C96" w:rsidRPr="005B1A5F">
        <w:rPr>
          <w:lang w:val="fr-FR"/>
        </w:rPr>
        <w:t xml:space="preserve"> les charges </w:t>
      </w:r>
      <w:r w:rsidR="005B1A5F">
        <w:rPr>
          <w:lang w:val="fr-FR"/>
        </w:rPr>
        <w:t>retenues contre elle</w:t>
      </w:r>
      <w:r w:rsidR="00895C96" w:rsidRPr="005B1A5F">
        <w:rPr>
          <w:lang w:val="fr-FR"/>
        </w:rPr>
        <w:t xml:space="preserve">. </w:t>
      </w:r>
      <w:r w:rsidR="005B1A5F">
        <w:rPr>
          <w:lang w:val="fr-FR"/>
        </w:rPr>
        <w:t>La réforme</w:t>
      </w:r>
      <w:r w:rsidR="005B1A5F" w:rsidRPr="005B1A5F">
        <w:rPr>
          <w:lang w:val="fr-FR"/>
        </w:rPr>
        <w:t xml:space="preserve"> </w:t>
      </w:r>
      <w:r w:rsidR="005B1A5F">
        <w:rPr>
          <w:lang w:val="fr-FR"/>
        </w:rPr>
        <w:t xml:space="preserve">prévoit d’insérer </w:t>
      </w:r>
      <w:r w:rsidR="00895C96" w:rsidRPr="005B1A5F">
        <w:rPr>
          <w:lang w:val="fr-FR"/>
        </w:rPr>
        <w:t>aussi des dispositions sur les conditions de validé</w:t>
      </w:r>
      <w:r w:rsidR="00895C96" w:rsidRPr="00895C96">
        <w:rPr>
          <w:lang w:val="fr-FR"/>
        </w:rPr>
        <w:t xml:space="preserve"> d’une procédure pénale notamment les procès</w:t>
      </w:r>
      <w:r w:rsidR="00AF403B">
        <w:rPr>
          <w:lang w:val="fr-FR"/>
        </w:rPr>
        <w:t>-</w:t>
      </w:r>
      <w:r w:rsidR="00895C96" w:rsidRPr="00895C96">
        <w:rPr>
          <w:lang w:val="fr-FR"/>
        </w:rPr>
        <w:t>verbaux d</w:t>
      </w:r>
      <w:r w:rsidR="00AF403B">
        <w:rPr>
          <w:lang w:val="fr-FR"/>
        </w:rPr>
        <w:t>e l</w:t>
      </w:r>
      <w:r w:rsidR="00895C96" w:rsidRPr="00895C96">
        <w:rPr>
          <w:lang w:val="fr-FR"/>
        </w:rPr>
        <w:t xml:space="preserve">’enquête préliminaire. Il s’agit notamment des cas de nullité des procédures. </w:t>
      </w:r>
    </w:p>
    <w:p w:rsidR="00895C96" w:rsidRPr="00895C96" w:rsidRDefault="00172848" w:rsidP="00E04030">
      <w:pPr>
        <w:pStyle w:val="SingleTxtG"/>
        <w:rPr>
          <w:lang w:val="fr-FR"/>
        </w:rPr>
      </w:pPr>
      <w:r>
        <w:rPr>
          <w:lang w:val="fr-FR"/>
        </w:rPr>
        <w:t>133.</w:t>
      </w:r>
      <w:r w:rsidR="00B62D03">
        <w:rPr>
          <w:lang w:val="fr-FR"/>
        </w:rPr>
        <w:tab/>
      </w:r>
      <w:r w:rsidR="00895C96" w:rsidRPr="00895C96">
        <w:rPr>
          <w:lang w:val="fr-FR"/>
        </w:rPr>
        <w:t>L’</w:t>
      </w:r>
      <w:r w:rsidR="00382281">
        <w:rPr>
          <w:lang w:val="fr-FR"/>
        </w:rPr>
        <w:t>avant-</w:t>
      </w:r>
      <w:r w:rsidR="00895C96" w:rsidRPr="00895C96">
        <w:rPr>
          <w:lang w:val="fr-FR"/>
        </w:rPr>
        <w:t xml:space="preserve">projet de loi portant réécriture du </w:t>
      </w:r>
      <w:r w:rsidR="001E7B6C">
        <w:rPr>
          <w:lang w:val="fr-FR"/>
        </w:rPr>
        <w:t>Code</w:t>
      </w:r>
      <w:r w:rsidR="00895C96" w:rsidRPr="00895C96">
        <w:rPr>
          <w:lang w:val="fr-FR"/>
        </w:rPr>
        <w:t xml:space="preserve"> de procédure pénale prévoit également la nullité de tout aveu extorqué par la force ou sous</w:t>
      </w:r>
      <w:r w:rsidR="00B9317F">
        <w:rPr>
          <w:lang w:val="fr-FR"/>
        </w:rPr>
        <w:t xml:space="preserve"> la</w:t>
      </w:r>
      <w:r w:rsidR="00895C96" w:rsidRPr="00895C96">
        <w:rPr>
          <w:lang w:val="fr-FR"/>
        </w:rPr>
        <w:t xml:space="preserve"> menace et partant de la procédure</w:t>
      </w:r>
      <w:r w:rsidR="00B9317F">
        <w:rPr>
          <w:lang w:val="fr-FR"/>
        </w:rPr>
        <w:t>. L</w:t>
      </w:r>
      <w:r w:rsidR="00895C96" w:rsidRPr="00895C96">
        <w:rPr>
          <w:lang w:val="fr-FR"/>
        </w:rPr>
        <w:t xml:space="preserve">’obligation de notification des charges dès l’interpellation, l’information de la personne interpellée sur ses droits et la mise en œuvre du principe de l’assistance de l’avocat dès l’enquête préliminaire conformément aux dispositions de l’article 16 de la </w:t>
      </w:r>
      <w:r w:rsidR="001E7B6C">
        <w:rPr>
          <w:lang w:val="fr-FR"/>
        </w:rPr>
        <w:t>Constitution</w:t>
      </w:r>
      <w:r w:rsidR="00895C96" w:rsidRPr="00895C96">
        <w:rPr>
          <w:lang w:val="fr-FR"/>
        </w:rPr>
        <w:t xml:space="preserve"> sont autant de garanties pour parvenir </w:t>
      </w:r>
      <w:r w:rsidR="00B9317F">
        <w:rPr>
          <w:lang w:val="fr-FR"/>
        </w:rPr>
        <w:t xml:space="preserve">à lutter </w:t>
      </w:r>
      <w:r w:rsidR="00895C96" w:rsidRPr="00895C96">
        <w:rPr>
          <w:lang w:val="fr-FR"/>
        </w:rPr>
        <w:t xml:space="preserve">efficacement </w:t>
      </w:r>
      <w:r w:rsidR="00B9317F">
        <w:rPr>
          <w:lang w:val="fr-FR"/>
        </w:rPr>
        <w:t xml:space="preserve">contre </w:t>
      </w:r>
      <w:r w:rsidR="00895C96" w:rsidRPr="00895C96">
        <w:rPr>
          <w:lang w:val="fr-FR"/>
        </w:rPr>
        <w:t xml:space="preserve">les atteintes à l’intégrité physique et mentale. </w:t>
      </w:r>
    </w:p>
    <w:p w:rsidR="00895C96" w:rsidRPr="00895C96" w:rsidRDefault="00172848" w:rsidP="00E04030">
      <w:pPr>
        <w:pStyle w:val="SingleTxtG"/>
        <w:rPr>
          <w:lang w:val="fr-FR"/>
        </w:rPr>
      </w:pPr>
      <w:r>
        <w:rPr>
          <w:lang w:val="fr-FR"/>
        </w:rPr>
        <w:t>134.</w:t>
      </w:r>
      <w:r w:rsidR="00B62D03">
        <w:rPr>
          <w:lang w:val="fr-FR"/>
        </w:rPr>
        <w:tab/>
      </w:r>
      <w:r w:rsidR="00895C96" w:rsidRPr="00895C96">
        <w:rPr>
          <w:lang w:val="fr-FR"/>
        </w:rPr>
        <w:t>En attendant</w:t>
      </w:r>
      <w:r w:rsidR="00382281">
        <w:rPr>
          <w:lang w:val="fr-FR"/>
        </w:rPr>
        <w:t xml:space="preserve"> </w:t>
      </w:r>
      <w:r w:rsidR="00895C96" w:rsidRPr="00895C96">
        <w:rPr>
          <w:lang w:val="fr-FR"/>
        </w:rPr>
        <w:t>l’adoption de ce nouveau code de procédure pénale, la circulaire n° 0222/MISD-CAB du Ministre de l’intérieur instruit les officiers et agents de police judiciaire d’accepter la présence de l’avocat dès la 24</w:t>
      </w:r>
      <w:r w:rsidR="00895C96" w:rsidRPr="00B9317F">
        <w:rPr>
          <w:vertAlign w:val="superscript"/>
          <w:lang w:val="fr-FR"/>
        </w:rPr>
        <w:t>è</w:t>
      </w:r>
      <w:r w:rsidR="00B9317F" w:rsidRPr="00B9317F">
        <w:rPr>
          <w:vertAlign w:val="superscript"/>
          <w:lang w:val="fr-FR"/>
        </w:rPr>
        <w:t>me</w:t>
      </w:r>
      <w:r w:rsidR="00B9317F">
        <w:rPr>
          <w:lang w:val="fr-FR"/>
        </w:rPr>
        <w:t xml:space="preserve"> </w:t>
      </w:r>
      <w:r w:rsidR="00895C96" w:rsidRPr="00895C96">
        <w:rPr>
          <w:lang w:val="fr-FR"/>
        </w:rPr>
        <w:t xml:space="preserve">heure de l’interpellation. </w:t>
      </w:r>
    </w:p>
    <w:p w:rsidR="00895C96" w:rsidRPr="00895C96" w:rsidRDefault="00B62D03" w:rsidP="00B62D03">
      <w:pPr>
        <w:pStyle w:val="H23G"/>
        <w:rPr>
          <w:lang w:val="fr-FR"/>
        </w:rPr>
      </w:pPr>
      <w:r>
        <w:rPr>
          <w:lang w:val="fr-FR"/>
        </w:rPr>
        <w:tab/>
      </w:r>
      <w:r>
        <w:rPr>
          <w:lang w:val="fr-FR"/>
        </w:rPr>
        <w:tab/>
      </w:r>
      <w:r w:rsidR="00895C96" w:rsidRPr="00895C96">
        <w:rPr>
          <w:lang w:val="fr-FR"/>
        </w:rPr>
        <w:t xml:space="preserve">Réponse </w:t>
      </w:r>
      <w:r w:rsidR="00A4197C">
        <w:rPr>
          <w:lang w:val="fr-FR"/>
        </w:rPr>
        <w:t xml:space="preserve">au paragraphe </w:t>
      </w:r>
      <w:r w:rsidR="00A4197C" w:rsidRPr="00B100AF">
        <w:rPr>
          <w:lang w:val="fr-FR"/>
        </w:rPr>
        <w:t>1</w:t>
      </w:r>
      <w:r w:rsidR="00A4197C">
        <w:rPr>
          <w:lang w:val="fr-FR"/>
        </w:rPr>
        <w:t>4</w:t>
      </w:r>
      <w:r w:rsidR="00A4197C" w:rsidRPr="00B100AF">
        <w:rPr>
          <w:lang w:val="fr-FR"/>
        </w:rPr>
        <w:t xml:space="preserve"> </w:t>
      </w:r>
      <w:r w:rsidR="00A4197C">
        <w:rPr>
          <w:lang w:val="fr-FR"/>
        </w:rPr>
        <w:t xml:space="preserve">de la liste de points à traiter </w:t>
      </w:r>
    </w:p>
    <w:p w:rsidR="00895C96" w:rsidRPr="00895C96" w:rsidRDefault="00172848" w:rsidP="00E04030">
      <w:pPr>
        <w:pStyle w:val="SingleTxtG"/>
        <w:rPr>
          <w:lang w:val="fr-FR"/>
        </w:rPr>
      </w:pPr>
      <w:r>
        <w:rPr>
          <w:lang w:val="fr-FR"/>
        </w:rPr>
        <w:t>135.</w:t>
      </w:r>
      <w:r w:rsidR="00B62D03">
        <w:rPr>
          <w:lang w:val="fr-FR"/>
        </w:rPr>
        <w:tab/>
      </w:r>
      <w:r w:rsidR="00895C96" w:rsidRPr="00895C96">
        <w:rPr>
          <w:lang w:val="fr-FR"/>
        </w:rPr>
        <w:t>S’agissant des progrès accomplis dans le</w:t>
      </w:r>
      <w:r w:rsidR="00382281">
        <w:rPr>
          <w:lang w:val="fr-FR"/>
        </w:rPr>
        <w:t xml:space="preserve"> </w:t>
      </w:r>
      <w:r w:rsidR="00895C96" w:rsidRPr="00895C96">
        <w:rPr>
          <w:lang w:val="fr-FR"/>
        </w:rPr>
        <w:t>programme d’appui d’urgence au secteur pénitentiaire, il faut préciser qu’il a</w:t>
      </w:r>
      <w:r w:rsidR="00F27EFA">
        <w:rPr>
          <w:lang w:val="fr-FR"/>
        </w:rPr>
        <w:t>vait</w:t>
      </w:r>
      <w:r w:rsidR="00895C96" w:rsidRPr="00895C96">
        <w:rPr>
          <w:lang w:val="fr-FR"/>
        </w:rPr>
        <w:t xml:space="preserve"> pour objectif l’amélioration des conditions de détention dans les centres de détention du Togo. </w:t>
      </w:r>
      <w:r w:rsidR="00F27EFA">
        <w:rPr>
          <w:lang w:val="fr-FR"/>
        </w:rPr>
        <w:t>Ce programme</w:t>
      </w:r>
      <w:r w:rsidR="00F27EFA" w:rsidRPr="00895C96">
        <w:rPr>
          <w:lang w:val="fr-FR"/>
        </w:rPr>
        <w:t xml:space="preserve"> </w:t>
      </w:r>
      <w:r w:rsidR="00895C96" w:rsidRPr="00895C96">
        <w:rPr>
          <w:lang w:val="fr-FR"/>
        </w:rPr>
        <w:t xml:space="preserve">a permis la réfection de toutes les prisons du pays, l’extension de la prison de Lomé et l’approvisionnement des infirmeries en produits pharmaceutiques. </w:t>
      </w:r>
    </w:p>
    <w:p w:rsidR="00895C96" w:rsidRPr="00895C96" w:rsidRDefault="00172848" w:rsidP="00E04030">
      <w:pPr>
        <w:pStyle w:val="SingleTxtG"/>
        <w:rPr>
          <w:lang w:val="fr-FR"/>
        </w:rPr>
      </w:pPr>
      <w:r>
        <w:rPr>
          <w:lang w:val="fr-FR"/>
        </w:rPr>
        <w:t>136.</w:t>
      </w:r>
      <w:r w:rsidR="00B62D03">
        <w:rPr>
          <w:lang w:val="fr-FR"/>
        </w:rPr>
        <w:tab/>
      </w:r>
      <w:r w:rsidR="00895C96" w:rsidRPr="00895C96">
        <w:rPr>
          <w:lang w:val="fr-FR"/>
        </w:rPr>
        <w:t>Durant ces deux dernières années, les ressources mises à la disposition de l’administration pénitentiaire et de la réinsertion, sans être suffisantes, ont du moins connu</w:t>
      </w:r>
      <w:r w:rsidR="00393196">
        <w:rPr>
          <w:lang w:val="fr-FR"/>
        </w:rPr>
        <w:t xml:space="preserve"> </w:t>
      </w:r>
      <w:r w:rsidR="00895C96" w:rsidRPr="00895C96">
        <w:rPr>
          <w:lang w:val="fr-FR"/>
        </w:rPr>
        <w:t>une légère augmentation</w:t>
      </w:r>
      <w:r w:rsidR="00CC6BEE">
        <w:rPr>
          <w:lang w:val="fr-FR"/>
        </w:rPr>
        <w:t>,</w:t>
      </w:r>
      <w:r w:rsidR="00895C96" w:rsidRPr="00895C96">
        <w:rPr>
          <w:lang w:val="fr-FR"/>
        </w:rPr>
        <w:t xml:space="preserve"> notamment en </w:t>
      </w:r>
      <w:r w:rsidR="00CC6BEE">
        <w:rPr>
          <w:lang w:val="fr-FR"/>
        </w:rPr>
        <w:t xml:space="preserve">ce qui concerne la </w:t>
      </w:r>
      <w:r w:rsidR="00895C96" w:rsidRPr="00895C96">
        <w:rPr>
          <w:lang w:val="fr-FR"/>
        </w:rPr>
        <w:t xml:space="preserve">restauration </w:t>
      </w:r>
      <w:r w:rsidR="00CC6BEE">
        <w:rPr>
          <w:lang w:val="fr-FR"/>
        </w:rPr>
        <w:t xml:space="preserve">et la santé </w:t>
      </w:r>
      <w:r w:rsidR="00895C96" w:rsidRPr="00895C96">
        <w:rPr>
          <w:lang w:val="fr-FR"/>
        </w:rPr>
        <w:t xml:space="preserve">des détenus, </w:t>
      </w:r>
      <w:r w:rsidR="00CC6BEE">
        <w:rPr>
          <w:lang w:val="fr-FR"/>
        </w:rPr>
        <w:t>les</w:t>
      </w:r>
      <w:r w:rsidR="00895C96" w:rsidRPr="00895C96">
        <w:rPr>
          <w:lang w:val="fr-FR"/>
        </w:rPr>
        <w:t xml:space="preserve"> infrastructures et </w:t>
      </w:r>
      <w:r w:rsidR="00CC6BEE">
        <w:rPr>
          <w:lang w:val="fr-FR"/>
        </w:rPr>
        <w:t>le</w:t>
      </w:r>
      <w:r w:rsidR="00895C96" w:rsidRPr="00895C96">
        <w:rPr>
          <w:lang w:val="fr-FR"/>
        </w:rPr>
        <w:t xml:space="preserve"> personnel d'encadrement. </w:t>
      </w:r>
    </w:p>
    <w:p w:rsidR="00895C96" w:rsidRPr="00895C96" w:rsidRDefault="00172848" w:rsidP="00E04030">
      <w:pPr>
        <w:pStyle w:val="SingleTxtG"/>
        <w:rPr>
          <w:lang w:val="fr-FR"/>
        </w:rPr>
      </w:pPr>
      <w:r>
        <w:rPr>
          <w:lang w:val="fr-FR"/>
        </w:rPr>
        <w:t>137.</w:t>
      </w:r>
      <w:r w:rsidR="00B62D03">
        <w:rPr>
          <w:lang w:val="fr-FR"/>
        </w:rPr>
        <w:tab/>
      </w:r>
      <w:r w:rsidR="00895C96" w:rsidRPr="00895C96">
        <w:rPr>
          <w:lang w:val="fr-FR"/>
        </w:rPr>
        <w:t>Sur le plan de l'alimentation, le budget a été revu à la hausse. La dotation est passée de 25</w:t>
      </w:r>
      <w:r w:rsidR="00E336D7">
        <w:rPr>
          <w:lang w:val="fr-FR"/>
        </w:rPr>
        <w:t xml:space="preserve"> </w:t>
      </w:r>
      <w:r w:rsidR="00895C96" w:rsidRPr="00895C96">
        <w:rPr>
          <w:lang w:val="fr-FR"/>
        </w:rPr>
        <w:t>000</w:t>
      </w:r>
      <w:r w:rsidR="00E336D7">
        <w:rPr>
          <w:lang w:val="fr-FR"/>
        </w:rPr>
        <w:t xml:space="preserve"> </w:t>
      </w:r>
      <w:r w:rsidR="00895C96" w:rsidRPr="00895C96">
        <w:rPr>
          <w:lang w:val="fr-FR"/>
        </w:rPr>
        <w:t>000 FCFA par mois en 2009 à 27</w:t>
      </w:r>
      <w:r w:rsidR="00E336D7">
        <w:rPr>
          <w:lang w:val="fr-FR"/>
        </w:rPr>
        <w:t xml:space="preserve"> </w:t>
      </w:r>
      <w:r w:rsidR="00895C96" w:rsidRPr="00895C96">
        <w:rPr>
          <w:lang w:val="fr-FR"/>
        </w:rPr>
        <w:t>500</w:t>
      </w:r>
      <w:r w:rsidR="00E336D7">
        <w:rPr>
          <w:lang w:val="fr-FR"/>
        </w:rPr>
        <w:t xml:space="preserve"> </w:t>
      </w:r>
      <w:r w:rsidR="00895C96" w:rsidRPr="00895C96">
        <w:rPr>
          <w:lang w:val="fr-FR"/>
        </w:rPr>
        <w:t xml:space="preserve">000 FCFA en 2010. </w:t>
      </w:r>
      <w:r w:rsidR="007E4A8A">
        <w:rPr>
          <w:lang w:val="fr-FR"/>
        </w:rPr>
        <w:t>À</w:t>
      </w:r>
      <w:r w:rsidR="00895C96" w:rsidRPr="00895C96">
        <w:rPr>
          <w:lang w:val="fr-FR"/>
        </w:rPr>
        <w:t xml:space="preserve"> ce jour</w:t>
      </w:r>
      <w:r w:rsidR="007E4A8A">
        <w:rPr>
          <w:lang w:val="fr-FR"/>
        </w:rPr>
        <w:t>,</w:t>
      </w:r>
      <w:r w:rsidR="00895C96" w:rsidRPr="00895C96">
        <w:rPr>
          <w:lang w:val="fr-FR"/>
        </w:rPr>
        <w:t xml:space="preserve"> l'effectif des détenus étant de 4</w:t>
      </w:r>
      <w:r w:rsidR="007E4A8A">
        <w:rPr>
          <w:lang w:val="fr-FR"/>
        </w:rPr>
        <w:t xml:space="preserve"> </w:t>
      </w:r>
      <w:r w:rsidR="00895C96" w:rsidRPr="00895C96">
        <w:rPr>
          <w:lang w:val="fr-FR"/>
        </w:rPr>
        <w:t>219</w:t>
      </w:r>
      <w:r w:rsidR="007E4A8A">
        <w:rPr>
          <w:lang w:val="fr-FR"/>
        </w:rPr>
        <w:t xml:space="preserve"> personnes</w:t>
      </w:r>
      <w:r w:rsidR="00895C96" w:rsidRPr="00895C96">
        <w:rPr>
          <w:lang w:val="fr-FR"/>
        </w:rPr>
        <w:t>, un détenu a droit actuellement à 217 francs par jour pour son alimentation. Le Gouvernement est</w:t>
      </w:r>
      <w:r w:rsidR="00382281">
        <w:rPr>
          <w:lang w:val="fr-FR"/>
        </w:rPr>
        <w:t xml:space="preserve"> </w:t>
      </w:r>
      <w:r w:rsidR="00895C96" w:rsidRPr="00895C96">
        <w:rPr>
          <w:lang w:val="fr-FR"/>
        </w:rPr>
        <w:t>conscient</w:t>
      </w:r>
      <w:r w:rsidR="007E4A8A">
        <w:rPr>
          <w:lang w:val="fr-FR"/>
        </w:rPr>
        <w:t xml:space="preserve"> du fait</w:t>
      </w:r>
      <w:r w:rsidR="00895C96" w:rsidRPr="00895C96">
        <w:rPr>
          <w:lang w:val="fr-FR"/>
        </w:rPr>
        <w:t xml:space="preserve"> que cette dotation est insuffisante et qu'il va falloir continuer </w:t>
      </w:r>
      <w:r w:rsidR="007E4A8A">
        <w:rPr>
          <w:lang w:val="fr-FR"/>
        </w:rPr>
        <w:t>d</w:t>
      </w:r>
      <w:r w:rsidR="00895C96" w:rsidRPr="00895C96">
        <w:rPr>
          <w:lang w:val="fr-FR"/>
        </w:rPr>
        <w:t>e plaider pour son augmentation afin d’améliorer en quantité et en qualité les repas et si possible</w:t>
      </w:r>
      <w:r w:rsidR="007E4A8A">
        <w:rPr>
          <w:lang w:val="fr-FR"/>
        </w:rPr>
        <w:t xml:space="preserve"> de</w:t>
      </w:r>
      <w:r w:rsidR="00895C96" w:rsidRPr="00895C96">
        <w:rPr>
          <w:lang w:val="fr-FR"/>
        </w:rPr>
        <w:t xml:space="preserve"> servir deux repas par jour au lieu d’un. </w:t>
      </w:r>
    </w:p>
    <w:p w:rsidR="00895C96" w:rsidRPr="00895C96" w:rsidRDefault="00172848" w:rsidP="00E04030">
      <w:pPr>
        <w:pStyle w:val="SingleTxtG"/>
        <w:rPr>
          <w:lang w:val="fr-FR"/>
        </w:rPr>
      </w:pPr>
      <w:r>
        <w:rPr>
          <w:lang w:val="fr-FR"/>
        </w:rPr>
        <w:t>138.</w:t>
      </w:r>
      <w:r w:rsidR="00B62D03">
        <w:rPr>
          <w:lang w:val="fr-FR"/>
        </w:rPr>
        <w:tab/>
      </w:r>
      <w:r w:rsidR="00895C96" w:rsidRPr="00895C96">
        <w:rPr>
          <w:lang w:val="fr-FR"/>
        </w:rPr>
        <w:t>Sur le plan de la santé, des efforts ont été faits par l'</w:t>
      </w:r>
      <w:r w:rsidR="001E7B6C">
        <w:rPr>
          <w:lang w:val="fr-FR"/>
        </w:rPr>
        <w:t xml:space="preserve">État </w:t>
      </w:r>
      <w:r w:rsidR="00895C96" w:rsidRPr="00895C96">
        <w:rPr>
          <w:lang w:val="fr-FR"/>
        </w:rPr>
        <w:t xml:space="preserve">pour porter le budget </w:t>
      </w:r>
      <w:r w:rsidR="00E336D7">
        <w:rPr>
          <w:lang w:val="fr-FR"/>
        </w:rPr>
        <w:t>à</w:t>
      </w:r>
      <w:r w:rsidR="00895C96" w:rsidRPr="00895C96">
        <w:rPr>
          <w:lang w:val="fr-FR"/>
        </w:rPr>
        <w:t xml:space="preserve"> 16</w:t>
      </w:r>
      <w:r w:rsidR="00E336D7">
        <w:rPr>
          <w:lang w:val="fr-FR"/>
        </w:rPr>
        <w:t xml:space="preserve"> </w:t>
      </w:r>
      <w:r w:rsidR="00895C96" w:rsidRPr="00895C96">
        <w:rPr>
          <w:lang w:val="fr-FR"/>
        </w:rPr>
        <w:t>000</w:t>
      </w:r>
      <w:r w:rsidR="00E336D7">
        <w:rPr>
          <w:lang w:val="fr-FR"/>
        </w:rPr>
        <w:t xml:space="preserve"> </w:t>
      </w:r>
      <w:r w:rsidR="00895C96" w:rsidRPr="00895C96">
        <w:rPr>
          <w:lang w:val="fr-FR"/>
        </w:rPr>
        <w:t>000 FCFA en 2010 contre 8</w:t>
      </w:r>
      <w:r w:rsidR="00E336D7">
        <w:rPr>
          <w:lang w:val="fr-FR"/>
        </w:rPr>
        <w:t xml:space="preserve"> </w:t>
      </w:r>
      <w:r w:rsidR="00895C96" w:rsidRPr="00895C96">
        <w:rPr>
          <w:lang w:val="fr-FR"/>
        </w:rPr>
        <w:t>000</w:t>
      </w:r>
      <w:r w:rsidR="00E336D7">
        <w:rPr>
          <w:lang w:val="fr-FR"/>
        </w:rPr>
        <w:t xml:space="preserve"> </w:t>
      </w:r>
      <w:r w:rsidR="00895C96" w:rsidRPr="00895C96">
        <w:rPr>
          <w:lang w:val="fr-FR"/>
        </w:rPr>
        <w:t xml:space="preserve">000 CFA en 2009. Ce budget permet d'acquérir quelques médicaments pour les soins des détenus malades. Ici aussi, nous savons que des efforts restent à faire pour doter l'administration pénitentiaire de moyens supplémentaires afin de lui permettre de procéder aux examens médicaux des nouveaux détenus avant leur répartition dans les cellules. </w:t>
      </w:r>
    </w:p>
    <w:p w:rsidR="00895C96" w:rsidRPr="00895C96" w:rsidRDefault="00172848" w:rsidP="00E04030">
      <w:pPr>
        <w:pStyle w:val="SingleTxtG"/>
        <w:rPr>
          <w:lang w:val="fr-FR"/>
        </w:rPr>
      </w:pPr>
      <w:r>
        <w:rPr>
          <w:lang w:val="fr-FR"/>
        </w:rPr>
        <w:t>139.</w:t>
      </w:r>
      <w:r w:rsidR="00B62D03">
        <w:rPr>
          <w:lang w:val="fr-FR"/>
        </w:rPr>
        <w:tab/>
      </w:r>
      <w:r w:rsidR="00895C96" w:rsidRPr="00895C96">
        <w:rPr>
          <w:lang w:val="fr-FR"/>
        </w:rPr>
        <w:t>En ce qui concerne les infrastructures carcérales, les travaux de construction de la prison civile de Kpalimé vont commencer bientôt</w:t>
      </w:r>
      <w:r w:rsidR="007E4A8A">
        <w:rPr>
          <w:lang w:val="fr-FR"/>
        </w:rPr>
        <w:t>,</w:t>
      </w:r>
      <w:r w:rsidR="00895C96" w:rsidRPr="00895C96">
        <w:rPr>
          <w:lang w:val="fr-FR"/>
        </w:rPr>
        <w:t xml:space="preserve"> ce qui permettra de désengorger la prison civile de Lomé.</w:t>
      </w:r>
      <w:r w:rsidR="007E4A8A">
        <w:rPr>
          <w:lang w:val="fr-FR"/>
        </w:rPr>
        <w:t xml:space="preserve"> Le</w:t>
      </w:r>
      <w:r w:rsidR="00393196">
        <w:rPr>
          <w:lang w:val="fr-FR"/>
        </w:rPr>
        <w:t xml:space="preserve"> </w:t>
      </w:r>
      <w:r w:rsidR="007E4A8A">
        <w:rPr>
          <w:lang w:val="fr-FR"/>
        </w:rPr>
        <w:t>traitement d</w:t>
      </w:r>
      <w:r w:rsidR="00895C96" w:rsidRPr="00895C96">
        <w:rPr>
          <w:lang w:val="fr-FR"/>
        </w:rPr>
        <w:t xml:space="preserve">es dossiers des détenus du ressort de cette prison </w:t>
      </w:r>
      <w:r w:rsidR="007E4A8A">
        <w:rPr>
          <w:lang w:val="fr-FR"/>
        </w:rPr>
        <w:t xml:space="preserve">s’en trouvera </w:t>
      </w:r>
      <w:r w:rsidR="00895C96" w:rsidRPr="00895C96">
        <w:rPr>
          <w:lang w:val="fr-FR"/>
        </w:rPr>
        <w:t>accélér</w:t>
      </w:r>
      <w:r w:rsidR="007E4A8A">
        <w:rPr>
          <w:lang w:val="fr-FR"/>
        </w:rPr>
        <w:t>é</w:t>
      </w:r>
      <w:r w:rsidR="00895C96" w:rsidRPr="00895C96">
        <w:rPr>
          <w:lang w:val="fr-FR"/>
        </w:rPr>
        <w:t>. Un projet de construction d'une maison d'exécution de</w:t>
      </w:r>
      <w:r w:rsidR="007E4A8A">
        <w:rPr>
          <w:lang w:val="fr-FR"/>
        </w:rPr>
        <w:t>s</w:t>
      </w:r>
      <w:r w:rsidR="00895C96" w:rsidRPr="00895C96">
        <w:rPr>
          <w:lang w:val="fr-FR"/>
        </w:rPr>
        <w:t xml:space="preserve"> peines sera examiné </w:t>
      </w:r>
      <w:r w:rsidR="007E4A8A">
        <w:rPr>
          <w:lang w:val="fr-FR"/>
        </w:rPr>
        <w:t>dans le</w:t>
      </w:r>
      <w:r w:rsidR="007E4A8A" w:rsidRPr="00895C96">
        <w:rPr>
          <w:lang w:val="fr-FR"/>
        </w:rPr>
        <w:t xml:space="preserve"> </w:t>
      </w:r>
      <w:r w:rsidR="00895C96" w:rsidRPr="00895C96">
        <w:rPr>
          <w:lang w:val="fr-FR"/>
        </w:rPr>
        <w:t>cour</w:t>
      </w:r>
      <w:r w:rsidR="007E4A8A">
        <w:rPr>
          <w:lang w:val="fr-FR"/>
        </w:rPr>
        <w:t>ant</w:t>
      </w:r>
      <w:r w:rsidR="00895C96" w:rsidRPr="00895C96">
        <w:rPr>
          <w:lang w:val="fr-FR"/>
        </w:rPr>
        <w:t xml:space="preserve"> de cette année. Il s’agi</w:t>
      </w:r>
      <w:r w:rsidR="00B02BF0">
        <w:rPr>
          <w:lang w:val="fr-FR"/>
        </w:rPr>
        <w:t>t</w:t>
      </w:r>
      <w:r w:rsidR="00895C96" w:rsidRPr="00895C96">
        <w:rPr>
          <w:lang w:val="fr-FR"/>
        </w:rPr>
        <w:t xml:space="preserve"> de construire une prison dans laquelle ne seront transférés que des</w:t>
      </w:r>
      <w:r w:rsidR="00B02BF0">
        <w:rPr>
          <w:lang w:val="fr-FR"/>
        </w:rPr>
        <w:t xml:space="preserve"> personnes</w:t>
      </w:r>
      <w:r w:rsidR="00895C96" w:rsidRPr="00895C96">
        <w:rPr>
          <w:lang w:val="fr-FR"/>
        </w:rPr>
        <w:t xml:space="preserve"> condamné</w:t>
      </w:r>
      <w:r w:rsidR="00B02BF0">
        <w:rPr>
          <w:lang w:val="fr-FR"/>
        </w:rPr>
        <w:t>e</w:t>
      </w:r>
      <w:r w:rsidR="00895C96" w:rsidRPr="00895C96">
        <w:rPr>
          <w:lang w:val="fr-FR"/>
        </w:rPr>
        <w:t>s à de longues peines. Cette initiative vise à séparer les grands délinquants des délinquants primaires afin d'éviter les conséquences néfastes de la promiscuité. Le terrain devant recevoir cette infrastructure est déjà disponible et le Gouvernement est en train de chercher</w:t>
      </w:r>
      <w:r w:rsidR="00382281">
        <w:rPr>
          <w:lang w:val="fr-FR"/>
        </w:rPr>
        <w:t xml:space="preserve"> </w:t>
      </w:r>
      <w:r w:rsidR="00895C96" w:rsidRPr="00895C96">
        <w:rPr>
          <w:lang w:val="fr-FR"/>
        </w:rPr>
        <w:t xml:space="preserve">les financements nécessaires </w:t>
      </w:r>
      <w:r w:rsidR="001F4DF4">
        <w:rPr>
          <w:lang w:val="fr-FR"/>
        </w:rPr>
        <w:t>à</w:t>
      </w:r>
      <w:r w:rsidR="001F4DF4" w:rsidRPr="00895C96">
        <w:rPr>
          <w:lang w:val="fr-FR"/>
        </w:rPr>
        <w:t xml:space="preserve"> </w:t>
      </w:r>
      <w:r w:rsidR="00895C96" w:rsidRPr="00895C96">
        <w:rPr>
          <w:lang w:val="fr-FR"/>
        </w:rPr>
        <w:t xml:space="preserve">sa réalisation. </w:t>
      </w:r>
    </w:p>
    <w:p w:rsidR="00895C96" w:rsidRPr="00895C96" w:rsidRDefault="00172848" w:rsidP="00E04030">
      <w:pPr>
        <w:pStyle w:val="SingleTxtG"/>
        <w:rPr>
          <w:lang w:val="fr-FR"/>
        </w:rPr>
      </w:pPr>
      <w:r>
        <w:rPr>
          <w:lang w:val="fr-FR"/>
        </w:rPr>
        <w:t>140.</w:t>
      </w:r>
      <w:r w:rsidR="00B62D03">
        <w:rPr>
          <w:lang w:val="fr-FR"/>
        </w:rPr>
        <w:tab/>
      </w:r>
      <w:r w:rsidR="00895C96" w:rsidRPr="00895C96">
        <w:rPr>
          <w:lang w:val="fr-FR"/>
        </w:rPr>
        <w:t>Pour décongestionner les prisons, plusieurs mesures de clémence ont été prises aussi bien par le Ministre de la justice que par le chef de l’</w:t>
      </w:r>
      <w:r w:rsidR="001E7B6C">
        <w:rPr>
          <w:lang w:val="fr-FR"/>
        </w:rPr>
        <w:t xml:space="preserve">État </w:t>
      </w:r>
      <w:r w:rsidR="005B6051">
        <w:rPr>
          <w:lang w:val="fr-FR"/>
        </w:rPr>
        <w:t>grâce aux</w:t>
      </w:r>
      <w:r w:rsidR="00895C96" w:rsidRPr="00895C96">
        <w:rPr>
          <w:lang w:val="fr-FR"/>
        </w:rPr>
        <w:t xml:space="preserve"> libérations conditionnelles et </w:t>
      </w:r>
      <w:r w:rsidR="005B6051">
        <w:rPr>
          <w:lang w:val="fr-FR"/>
        </w:rPr>
        <w:t>aux</w:t>
      </w:r>
      <w:r w:rsidR="005B6051" w:rsidRPr="00895C96">
        <w:rPr>
          <w:lang w:val="fr-FR"/>
        </w:rPr>
        <w:t xml:space="preserve"> </w:t>
      </w:r>
      <w:r w:rsidR="00895C96" w:rsidRPr="00895C96">
        <w:rPr>
          <w:lang w:val="fr-FR"/>
        </w:rPr>
        <w:t xml:space="preserve">remises de </w:t>
      </w:r>
      <w:r w:rsidR="00895C96" w:rsidRPr="00F97C71">
        <w:rPr>
          <w:lang w:val="fr-FR"/>
        </w:rPr>
        <w:t>peine p</w:t>
      </w:r>
      <w:r w:rsidR="00895C96" w:rsidRPr="00895C96">
        <w:rPr>
          <w:lang w:val="fr-FR"/>
        </w:rPr>
        <w:t xml:space="preserve">ar la voie de la grâce présidentielle. </w:t>
      </w:r>
      <w:r w:rsidR="00261F32">
        <w:rPr>
          <w:lang w:val="fr-FR"/>
        </w:rPr>
        <w:t xml:space="preserve">Entre </w:t>
      </w:r>
      <w:r w:rsidR="00895C96" w:rsidRPr="00895C96">
        <w:rPr>
          <w:lang w:val="fr-FR"/>
        </w:rPr>
        <w:t xml:space="preserve">2008 </w:t>
      </w:r>
      <w:r w:rsidR="00261F32">
        <w:rPr>
          <w:lang w:val="fr-FR"/>
        </w:rPr>
        <w:t>et</w:t>
      </w:r>
      <w:r w:rsidR="00393196">
        <w:rPr>
          <w:lang w:val="fr-FR"/>
        </w:rPr>
        <w:t xml:space="preserve"> </w:t>
      </w:r>
      <w:r w:rsidR="00895C96" w:rsidRPr="00895C96">
        <w:rPr>
          <w:lang w:val="fr-FR"/>
        </w:rPr>
        <w:t>2010</w:t>
      </w:r>
      <w:r w:rsidR="00261F32">
        <w:rPr>
          <w:lang w:val="fr-FR"/>
        </w:rPr>
        <w:t>,</w:t>
      </w:r>
      <w:r w:rsidR="00895C96" w:rsidRPr="00895C96">
        <w:rPr>
          <w:lang w:val="fr-FR"/>
        </w:rPr>
        <w:t xml:space="preserve"> près de 353 condamnés ont bénéficié d’une libération conditionnelle et 226</w:t>
      </w:r>
      <w:r w:rsidR="00BC575E">
        <w:rPr>
          <w:lang w:val="fr-FR"/>
        </w:rPr>
        <w:t>,</w:t>
      </w:r>
      <w:r w:rsidR="00895C96" w:rsidRPr="00895C96">
        <w:rPr>
          <w:lang w:val="fr-FR"/>
        </w:rPr>
        <w:t xml:space="preserve"> au mois de janvier 2011</w:t>
      </w:r>
      <w:r w:rsidR="00BC575E">
        <w:rPr>
          <w:lang w:val="fr-FR"/>
        </w:rPr>
        <w:t>,</w:t>
      </w:r>
      <w:r w:rsidR="00895C96" w:rsidRPr="00895C96">
        <w:rPr>
          <w:lang w:val="fr-FR"/>
        </w:rPr>
        <w:t xml:space="preserve"> ont bénéficié d</w:t>
      </w:r>
      <w:r w:rsidR="00BC575E">
        <w:rPr>
          <w:lang w:val="fr-FR"/>
        </w:rPr>
        <w:t>’un</w:t>
      </w:r>
      <w:r w:rsidR="00895C96" w:rsidRPr="00895C96">
        <w:rPr>
          <w:lang w:val="fr-FR"/>
        </w:rPr>
        <w:t>e grâce.</w:t>
      </w:r>
    </w:p>
    <w:p w:rsidR="00895C96" w:rsidRPr="00895C96" w:rsidRDefault="00172848" w:rsidP="00E04030">
      <w:pPr>
        <w:pStyle w:val="SingleTxtG"/>
        <w:rPr>
          <w:lang w:val="fr-FR"/>
        </w:rPr>
      </w:pPr>
      <w:r>
        <w:rPr>
          <w:lang w:val="fr-FR"/>
        </w:rPr>
        <w:t>141.</w:t>
      </w:r>
      <w:r w:rsidR="00B62D03">
        <w:rPr>
          <w:lang w:val="fr-FR"/>
        </w:rPr>
        <w:tab/>
      </w:r>
      <w:r w:rsidR="00895C96" w:rsidRPr="00895C96">
        <w:rPr>
          <w:lang w:val="fr-FR"/>
        </w:rPr>
        <w:t>Le Gouvernement a augmenté le budget</w:t>
      </w:r>
      <w:r w:rsidR="00382281">
        <w:rPr>
          <w:lang w:val="fr-FR"/>
        </w:rPr>
        <w:t xml:space="preserve"> </w:t>
      </w:r>
      <w:r w:rsidR="00895C96" w:rsidRPr="00895C96">
        <w:rPr>
          <w:lang w:val="fr-FR"/>
        </w:rPr>
        <w:t>des dépenses de fonctionnement des prisons en</w:t>
      </w:r>
      <w:r w:rsidR="00382281">
        <w:rPr>
          <w:lang w:val="fr-FR"/>
        </w:rPr>
        <w:t xml:space="preserve"> </w:t>
      </w:r>
      <w:r w:rsidR="00895C96" w:rsidRPr="00895C96">
        <w:rPr>
          <w:lang w:val="fr-FR"/>
        </w:rPr>
        <w:t>2010</w:t>
      </w:r>
      <w:r w:rsidR="00204F45">
        <w:rPr>
          <w:lang w:val="fr-FR"/>
        </w:rPr>
        <w:t>,</w:t>
      </w:r>
      <w:r w:rsidR="00895C96" w:rsidRPr="00895C96">
        <w:rPr>
          <w:lang w:val="fr-FR"/>
        </w:rPr>
        <w:t xml:space="preserve"> passant</w:t>
      </w:r>
      <w:r w:rsidR="00382281">
        <w:rPr>
          <w:lang w:val="fr-FR"/>
        </w:rPr>
        <w:t xml:space="preserve"> </w:t>
      </w:r>
      <w:r w:rsidR="00895C96" w:rsidRPr="00895C96">
        <w:rPr>
          <w:lang w:val="fr-FR"/>
        </w:rPr>
        <w:t>de 24 220 000 FCFA en 2006 à 267 603 000 FCFA</w:t>
      </w:r>
    </w:p>
    <w:p w:rsidR="00895C96" w:rsidRPr="00895C96" w:rsidRDefault="00172848" w:rsidP="00E04030">
      <w:pPr>
        <w:pStyle w:val="SingleTxtG"/>
        <w:rPr>
          <w:lang w:val="fr-FR"/>
        </w:rPr>
      </w:pPr>
      <w:r>
        <w:rPr>
          <w:lang w:val="fr-FR"/>
        </w:rPr>
        <w:t>142.</w:t>
      </w:r>
      <w:r w:rsidR="00B62D03">
        <w:rPr>
          <w:lang w:val="fr-FR"/>
        </w:rPr>
        <w:tab/>
      </w:r>
      <w:r w:rsidR="00895C96" w:rsidRPr="00895C96">
        <w:rPr>
          <w:lang w:val="fr-FR"/>
        </w:rPr>
        <w:t xml:space="preserve">Afin de prévenir la récidive, </w:t>
      </w:r>
      <w:r w:rsidR="00573871">
        <w:rPr>
          <w:lang w:val="fr-FR"/>
        </w:rPr>
        <w:t xml:space="preserve">une mission de réinsertion a été confiée à </w:t>
      </w:r>
      <w:r w:rsidR="00895C96" w:rsidRPr="00895C96">
        <w:rPr>
          <w:lang w:val="fr-FR"/>
        </w:rPr>
        <w:t xml:space="preserve">l’administration pénitentiaire. </w:t>
      </w:r>
      <w:r w:rsidR="00E336D7">
        <w:rPr>
          <w:lang w:val="fr-FR"/>
        </w:rPr>
        <w:t>À</w:t>
      </w:r>
      <w:r w:rsidR="00895C96" w:rsidRPr="00895C96">
        <w:rPr>
          <w:lang w:val="fr-FR"/>
        </w:rPr>
        <w:t xml:space="preserve"> cet effet, et grâce à l’appui de certaines ONG</w:t>
      </w:r>
      <w:r w:rsidR="00366E1A">
        <w:rPr>
          <w:lang w:val="fr-FR"/>
        </w:rPr>
        <w:t>,</w:t>
      </w:r>
      <w:r w:rsidR="00895C96" w:rsidRPr="00895C96">
        <w:rPr>
          <w:lang w:val="fr-FR"/>
        </w:rPr>
        <w:t xml:space="preserve"> notamment Prisonniers sans Frontières, Fraternité des Prisons, Union Chrétienne des Jeunes Gens, Chap International et Village Renaissance, des ateliers de formation sont créés dans la plupart des prisons, et dans </w:t>
      </w:r>
      <w:r w:rsidR="00366E1A">
        <w:rPr>
          <w:lang w:val="fr-FR"/>
        </w:rPr>
        <w:t>l</w:t>
      </w:r>
      <w:r w:rsidR="00895C96" w:rsidRPr="00895C96">
        <w:rPr>
          <w:lang w:val="fr-FR"/>
        </w:rPr>
        <w:t xml:space="preserve">es centres de réinsertion en dehors des prisons. </w:t>
      </w:r>
    </w:p>
    <w:p w:rsidR="00895C96" w:rsidRPr="00895C96" w:rsidRDefault="00172848" w:rsidP="00E04030">
      <w:pPr>
        <w:pStyle w:val="SingleTxtG"/>
        <w:rPr>
          <w:lang w:val="fr-FR"/>
        </w:rPr>
      </w:pPr>
      <w:r>
        <w:rPr>
          <w:lang w:val="fr-FR"/>
        </w:rPr>
        <w:t>143.</w:t>
      </w:r>
      <w:r w:rsidR="00B62D03">
        <w:rPr>
          <w:lang w:val="fr-FR"/>
        </w:rPr>
        <w:tab/>
      </w:r>
      <w:r w:rsidR="00366E1A">
        <w:rPr>
          <w:lang w:val="fr-FR"/>
        </w:rPr>
        <w:t>C</w:t>
      </w:r>
      <w:r w:rsidR="00895C96" w:rsidRPr="00895C96">
        <w:rPr>
          <w:lang w:val="fr-FR"/>
        </w:rPr>
        <w:t xml:space="preserve">ette année, plus de 65 détenus ont </w:t>
      </w:r>
      <w:r w:rsidR="00366E1A">
        <w:rPr>
          <w:lang w:val="fr-FR"/>
        </w:rPr>
        <w:t xml:space="preserve">été </w:t>
      </w:r>
      <w:r w:rsidR="00895C96" w:rsidRPr="00895C96">
        <w:rPr>
          <w:lang w:val="fr-FR"/>
        </w:rPr>
        <w:t>confiés à Chap international et près de 48 seront envoyés au «Village</w:t>
      </w:r>
      <w:r w:rsidR="00382281">
        <w:rPr>
          <w:lang w:val="fr-FR"/>
        </w:rPr>
        <w:t xml:space="preserve"> </w:t>
      </w:r>
      <w:r w:rsidR="00895C96" w:rsidRPr="00895C96">
        <w:rPr>
          <w:lang w:val="fr-FR"/>
        </w:rPr>
        <w:t xml:space="preserve">Renaissance» dans le cadre d’un projet financé par l’Union </w:t>
      </w:r>
      <w:r w:rsidR="00382281">
        <w:rPr>
          <w:lang w:val="fr-FR"/>
        </w:rPr>
        <w:t>européenne</w:t>
      </w:r>
      <w:r w:rsidR="00895C96" w:rsidRPr="00895C96">
        <w:rPr>
          <w:lang w:val="fr-FR"/>
        </w:rPr>
        <w:t>.</w:t>
      </w:r>
    </w:p>
    <w:p w:rsidR="00895C96" w:rsidRPr="00895C96" w:rsidRDefault="00172848" w:rsidP="00E04030">
      <w:pPr>
        <w:pStyle w:val="SingleTxtG"/>
        <w:rPr>
          <w:lang w:val="fr-FR"/>
        </w:rPr>
      </w:pPr>
      <w:r>
        <w:rPr>
          <w:lang w:val="fr-FR"/>
        </w:rPr>
        <w:t>144.</w:t>
      </w:r>
      <w:r w:rsidR="00B62D03">
        <w:rPr>
          <w:lang w:val="fr-FR"/>
        </w:rPr>
        <w:tab/>
      </w:r>
      <w:r w:rsidR="00895C96" w:rsidRPr="00895C96">
        <w:rPr>
          <w:lang w:val="fr-FR"/>
        </w:rPr>
        <w:t>Pour ce qui est des prévenus et des condamnés, le défaut d’infrastructure oblige l’administration à le</w:t>
      </w:r>
      <w:r w:rsidR="00CC5C9E">
        <w:rPr>
          <w:lang w:val="fr-FR"/>
        </w:rPr>
        <w:t>ur</w:t>
      </w:r>
      <w:r w:rsidR="00895C96" w:rsidRPr="00895C96">
        <w:rPr>
          <w:lang w:val="fr-FR"/>
        </w:rPr>
        <w:t xml:space="preserve"> faire partager la même cour. </w:t>
      </w:r>
    </w:p>
    <w:p w:rsidR="00895C96" w:rsidRPr="00895C96" w:rsidRDefault="00172848" w:rsidP="00E04030">
      <w:pPr>
        <w:pStyle w:val="SingleTxtG"/>
        <w:rPr>
          <w:lang w:val="fr-FR"/>
        </w:rPr>
      </w:pPr>
      <w:r>
        <w:rPr>
          <w:lang w:val="fr-FR"/>
        </w:rPr>
        <w:t>145.</w:t>
      </w:r>
      <w:r w:rsidR="00B62D03">
        <w:rPr>
          <w:lang w:val="fr-FR"/>
        </w:rPr>
        <w:tab/>
      </w:r>
      <w:r w:rsidR="00895C96" w:rsidRPr="00895C96">
        <w:rPr>
          <w:lang w:val="fr-FR"/>
        </w:rPr>
        <w:t xml:space="preserve">La seule séparation concerne les cellules où les condamnés sont séparés des prévenus. La séparation </w:t>
      </w:r>
      <w:r w:rsidR="005C0D22">
        <w:rPr>
          <w:lang w:val="fr-FR"/>
        </w:rPr>
        <w:t>entre l</w:t>
      </w:r>
      <w:r w:rsidR="00895C96" w:rsidRPr="00895C96">
        <w:rPr>
          <w:lang w:val="fr-FR"/>
        </w:rPr>
        <w:t>es prévenus</w:t>
      </w:r>
      <w:r w:rsidR="005C0D22">
        <w:rPr>
          <w:lang w:val="fr-FR"/>
        </w:rPr>
        <w:t xml:space="preserve"> et</w:t>
      </w:r>
      <w:r w:rsidR="00382281">
        <w:rPr>
          <w:lang w:val="fr-FR"/>
        </w:rPr>
        <w:t xml:space="preserve"> </w:t>
      </w:r>
      <w:r w:rsidR="005C0D22">
        <w:rPr>
          <w:lang w:val="fr-FR"/>
        </w:rPr>
        <w:t>l</w:t>
      </w:r>
      <w:r w:rsidR="00895C96" w:rsidRPr="00895C96">
        <w:rPr>
          <w:lang w:val="fr-FR"/>
        </w:rPr>
        <w:t>es personnes condamnées ne pourra être effective qu’a</w:t>
      </w:r>
      <w:r w:rsidR="000B7431">
        <w:rPr>
          <w:lang w:val="fr-FR"/>
        </w:rPr>
        <w:t xml:space="preserve">près </w:t>
      </w:r>
      <w:r w:rsidR="00895C96" w:rsidRPr="00895C96">
        <w:rPr>
          <w:lang w:val="fr-FR"/>
        </w:rPr>
        <w:t>la construction d’une véritable maison d’exécution de</w:t>
      </w:r>
      <w:r w:rsidR="000B7431">
        <w:rPr>
          <w:lang w:val="fr-FR"/>
        </w:rPr>
        <w:t>s</w:t>
      </w:r>
      <w:r w:rsidR="00895C96" w:rsidRPr="00895C96">
        <w:rPr>
          <w:lang w:val="fr-FR"/>
        </w:rPr>
        <w:t xml:space="preserve"> peines. </w:t>
      </w:r>
    </w:p>
    <w:p w:rsidR="00895C96" w:rsidRPr="00895C96" w:rsidRDefault="00172848" w:rsidP="00E04030">
      <w:pPr>
        <w:pStyle w:val="SingleTxtG"/>
        <w:rPr>
          <w:lang w:val="fr-FR"/>
        </w:rPr>
      </w:pPr>
      <w:r>
        <w:rPr>
          <w:lang w:val="fr-FR"/>
        </w:rPr>
        <w:t>146.</w:t>
      </w:r>
      <w:r w:rsidR="00B62D03">
        <w:rPr>
          <w:lang w:val="fr-FR"/>
        </w:rPr>
        <w:tab/>
      </w:r>
      <w:r w:rsidR="00895C96" w:rsidRPr="00895C96">
        <w:rPr>
          <w:lang w:val="fr-FR"/>
        </w:rPr>
        <w:t xml:space="preserve">Aujourd’hui, en dehors du Comité </w:t>
      </w:r>
      <w:r w:rsidR="00492D13">
        <w:rPr>
          <w:lang w:val="fr-FR"/>
        </w:rPr>
        <w:t>i</w:t>
      </w:r>
      <w:r w:rsidR="00895C96" w:rsidRPr="00895C96">
        <w:rPr>
          <w:lang w:val="fr-FR"/>
        </w:rPr>
        <w:t>nternational de la Croix</w:t>
      </w:r>
      <w:r w:rsidR="00492D13">
        <w:rPr>
          <w:lang w:val="fr-FR"/>
        </w:rPr>
        <w:t>-</w:t>
      </w:r>
      <w:r w:rsidR="00895C96" w:rsidRPr="00895C96">
        <w:rPr>
          <w:lang w:val="fr-FR"/>
        </w:rPr>
        <w:t xml:space="preserve">Rouge (CICR), de la Ligue </w:t>
      </w:r>
      <w:r w:rsidR="001E7B6C">
        <w:rPr>
          <w:lang w:val="fr-FR"/>
        </w:rPr>
        <w:t>togolais</w:t>
      </w:r>
      <w:r w:rsidR="00895C96" w:rsidRPr="00895C96">
        <w:rPr>
          <w:lang w:val="fr-FR"/>
        </w:rPr>
        <w:t>e des Droits de l’Homme,</w:t>
      </w:r>
      <w:r w:rsidR="00AA2441">
        <w:rPr>
          <w:lang w:val="fr-FR"/>
        </w:rPr>
        <w:t xml:space="preserve"> de</w:t>
      </w:r>
      <w:r w:rsidR="00895C96" w:rsidRPr="00895C96">
        <w:rPr>
          <w:lang w:val="fr-FR"/>
        </w:rPr>
        <w:t xml:space="preserve"> la Commission Nationale des Droits de l’Homme et </w:t>
      </w:r>
      <w:r w:rsidR="00AA2441">
        <w:rPr>
          <w:lang w:val="fr-FR"/>
        </w:rPr>
        <w:t>du</w:t>
      </w:r>
      <w:r w:rsidR="00AA2441" w:rsidRPr="00895C96">
        <w:rPr>
          <w:lang w:val="fr-FR"/>
        </w:rPr>
        <w:t xml:space="preserve"> </w:t>
      </w:r>
      <w:r w:rsidR="00895C96" w:rsidRPr="00895C96">
        <w:rPr>
          <w:lang w:val="fr-FR"/>
        </w:rPr>
        <w:t>Haut</w:t>
      </w:r>
      <w:r w:rsidR="00E336D7">
        <w:rPr>
          <w:lang w:val="fr-FR"/>
        </w:rPr>
        <w:t>-</w:t>
      </w:r>
      <w:r w:rsidR="00895C96" w:rsidRPr="00895C96">
        <w:rPr>
          <w:lang w:val="fr-FR"/>
        </w:rPr>
        <w:t xml:space="preserve">Commissariat des Nations Unies aux </w:t>
      </w:r>
      <w:r w:rsidR="00E336D7">
        <w:rPr>
          <w:lang w:val="fr-FR"/>
        </w:rPr>
        <w:t>d</w:t>
      </w:r>
      <w:r w:rsidR="00895C96" w:rsidRPr="00895C96">
        <w:rPr>
          <w:lang w:val="fr-FR"/>
        </w:rPr>
        <w:t>roits de l’</w:t>
      </w:r>
      <w:r w:rsidR="00E336D7">
        <w:rPr>
          <w:lang w:val="fr-FR"/>
        </w:rPr>
        <w:t>h</w:t>
      </w:r>
      <w:r w:rsidR="00895C96" w:rsidRPr="00895C96">
        <w:rPr>
          <w:lang w:val="fr-FR"/>
        </w:rPr>
        <w:t xml:space="preserve">omme </w:t>
      </w:r>
      <w:r w:rsidR="00895C96" w:rsidRPr="001E5B1D">
        <w:rPr>
          <w:lang w:val="fr-FR"/>
        </w:rPr>
        <w:t>bureau</w:t>
      </w:r>
      <w:r w:rsidR="00895C96" w:rsidRPr="00895C96">
        <w:rPr>
          <w:lang w:val="fr-FR"/>
        </w:rPr>
        <w:t xml:space="preserve"> du Togo</w:t>
      </w:r>
      <w:r w:rsidR="00AA230C">
        <w:rPr>
          <w:lang w:val="fr-FR"/>
        </w:rPr>
        <w:t>,</w:t>
      </w:r>
      <w:r w:rsidR="00895C96" w:rsidRPr="00895C96">
        <w:rPr>
          <w:lang w:val="fr-FR"/>
        </w:rPr>
        <w:t xml:space="preserve"> au moins 21 ONG et associations visitent à leur guise les différents centres de détention du Togo.</w:t>
      </w:r>
      <w:r w:rsidR="00382281">
        <w:rPr>
          <w:lang w:val="fr-FR"/>
        </w:rPr>
        <w:t xml:space="preserve"> </w:t>
      </w:r>
    </w:p>
    <w:p w:rsidR="00895C96" w:rsidRPr="00895C96" w:rsidRDefault="00172848" w:rsidP="00E04030">
      <w:pPr>
        <w:pStyle w:val="SingleTxtG"/>
        <w:rPr>
          <w:lang w:val="fr-FR"/>
        </w:rPr>
      </w:pPr>
      <w:r>
        <w:rPr>
          <w:lang w:val="fr-FR"/>
        </w:rPr>
        <w:t>147.</w:t>
      </w:r>
      <w:r w:rsidR="00B62D03">
        <w:rPr>
          <w:lang w:val="fr-FR"/>
        </w:rPr>
        <w:tab/>
      </w:r>
      <w:r w:rsidR="00895C96" w:rsidRPr="00895C96">
        <w:rPr>
          <w:lang w:val="fr-FR"/>
        </w:rPr>
        <w:t>Pour avoir accès aux centres de détention, il faut remplir une seule condition</w:t>
      </w:r>
      <w:r w:rsidR="00F33DC4">
        <w:rPr>
          <w:lang w:val="fr-FR"/>
        </w:rPr>
        <w:t>:</w:t>
      </w:r>
      <w:r w:rsidR="00895C96" w:rsidRPr="00895C96">
        <w:rPr>
          <w:lang w:val="fr-FR"/>
        </w:rPr>
        <w:t xml:space="preserve"> avoir une existence légale. Quant à la procédure, elle est simple. L’association introduit une demande au</w:t>
      </w:r>
      <w:r w:rsidR="00AA230C">
        <w:rPr>
          <w:lang w:val="fr-FR"/>
        </w:rPr>
        <w:t>près du</w:t>
      </w:r>
      <w:r w:rsidR="00895C96" w:rsidRPr="00895C96">
        <w:rPr>
          <w:lang w:val="fr-FR"/>
        </w:rPr>
        <w:t xml:space="preserve"> directeur de l’administration pénitentiaire et de la réinsertion avec le nom des membres qui désirent se rendre dans le centre. Une autorisation est donnée pour une durée d</w:t>
      </w:r>
      <w:r w:rsidR="00AA230C">
        <w:rPr>
          <w:lang w:val="fr-FR"/>
        </w:rPr>
        <w:t>’</w:t>
      </w:r>
      <w:r w:rsidR="00895C96" w:rsidRPr="00895C96">
        <w:rPr>
          <w:lang w:val="fr-FR"/>
        </w:rPr>
        <w:t xml:space="preserve">un (1) an. </w:t>
      </w:r>
      <w:r w:rsidR="00895C96" w:rsidRPr="001E5B1D">
        <w:rPr>
          <w:lang w:val="fr-FR"/>
        </w:rPr>
        <w:t>Après le rapport annuel sur les activités</w:t>
      </w:r>
      <w:r w:rsidR="00895C96" w:rsidRPr="00895C96">
        <w:rPr>
          <w:lang w:val="fr-FR"/>
        </w:rPr>
        <w:t>, une autre demande peut être faite pour solliciter l’agrément.</w:t>
      </w:r>
    </w:p>
    <w:p w:rsidR="00895C96" w:rsidRPr="00895C96" w:rsidRDefault="00172848" w:rsidP="00E04030">
      <w:pPr>
        <w:pStyle w:val="SingleTxtG"/>
        <w:rPr>
          <w:lang w:val="fr-FR"/>
        </w:rPr>
      </w:pPr>
      <w:r>
        <w:rPr>
          <w:lang w:val="fr-FR"/>
        </w:rPr>
        <w:t>148.</w:t>
      </w:r>
      <w:r w:rsidR="00B62D03">
        <w:rPr>
          <w:lang w:val="fr-FR"/>
        </w:rPr>
        <w:tab/>
      </w:r>
      <w:r w:rsidR="00895C96" w:rsidRPr="00895C96">
        <w:rPr>
          <w:lang w:val="fr-FR"/>
        </w:rPr>
        <w:t xml:space="preserve">Enfin, pour permettre à tous les citoyens de visiter les centres de détention et apporter leurs propositions pour l’amélioration des conditions de détention, la direction de l’administration pénitentiaire et de la réinsertion a institué une semaine </w:t>
      </w:r>
      <w:r w:rsidR="00D74738">
        <w:rPr>
          <w:lang w:val="fr-FR"/>
        </w:rPr>
        <w:t>«</w:t>
      </w:r>
      <w:r w:rsidR="00895C96" w:rsidRPr="00895C96">
        <w:rPr>
          <w:lang w:val="fr-FR"/>
        </w:rPr>
        <w:t>porte ouverte sur les prisons</w:t>
      </w:r>
      <w:r w:rsidR="00D74738" w:rsidRPr="004266AC">
        <w:rPr>
          <w:lang w:val="fr-FR"/>
        </w:rPr>
        <w:t>» qui se tient</w:t>
      </w:r>
      <w:r w:rsidR="00895C96" w:rsidRPr="00895C96">
        <w:rPr>
          <w:lang w:val="fr-FR"/>
        </w:rPr>
        <w:t xml:space="preserve"> dans le </w:t>
      </w:r>
      <w:r w:rsidR="00D74738">
        <w:rPr>
          <w:lang w:val="fr-FR"/>
        </w:rPr>
        <w:t xml:space="preserve">courant du </w:t>
      </w:r>
      <w:r w:rsidR="00895C96" w:rsidRPr="00895C96">
        <w:rPr>
          <w:lang w:val="fr-FR"/>
        </w:rPr>
        <w:t>mois de janvier.</w:t>
      </w:r>
    </w:p>
    <w:p w:rsidR="00895C96" w:rsidRPr="00895C96" w:rsidRDefault="00172848" w:rsidP="00E04030">
      <w:pPr>
        <w:pStyle w:val="SingleTxtG"/>
        <w:rPr>
          <w:lang w:val="fr-FR"/>
        </w:rPr>
      </w:pPr>
      <w:r>
        <w:rPr>
          <w:lang w:val="fr-FR"/>
        </w:rPr>
        <w:t>149.</w:t>
      </w:r>
      <w:r w:rsidR="00B62D03">
        <w:rPr>
          <w:lang w:val="fr-FR"/>
        </w:rPr>
        <w:tab/>
      </w:r>
      <w:r w:rsidR="00895C96" w:rsidRPr="00895C96">
        <w:rPr>
          <w:lang w:val="fr-FR"/>
        </w:rPr>
        <w:t xml:space="preserve">La première </w:t>
      </w:r>
      <w:r w:rsidR="00895C96" w:rsidRPr="004266AC">
        <w:rPr>
          <w:lang w:val="fr-FR"/>
        </w:rPr>
        <w:t>édition</w:t>
      </w:r>
      <w:r w:rsidR="00895C96" w:rsidRPr="00895C96">
        <w:rPr>
          <w:lang w:val="fr-FR"/>
        </w:rPr>
        <w:t xml:space="preserve"> a eu lieu du 18 au 22 janvier 2011 à la prison civile de Lomé.</w:t>
      </w:r>
    </w:p>
    <w:p w:rsidR="00895C96" w:rsidRPr="00895C96" w:rsidRDefault="00B62D03" w:rsidP="00B62D03">
      <w:pPr>
        <w:pStyle w:val="H23G"/>
        <w:rPr>
          <w:lang w:val="fr-FR"/>
        </w:rPr>
      </w:pPr>
      <w:r>
        <w:rPr>
          <w:lang w:val="fr-FR"/>
        </w:rPr>
        <w:tab/>
      </w:r>
      <w:r>
        <w:rPr>
          <w:lang w:val="fr-FR"/>
        </w:rPr>
        <w:tab/>
      </w:r>
      <w:r w:rsidR="00895C96" w:rsidRPr="00895C96">
        <w:rPr>
          <w:lang w:val="fr-FR"/>
        </w:rPr>
        <w:t xml:space="preserve">Réponse </w:t>
      </w:r>
      <w:r w:rsidR="00A4197C">
        <w:rPr>
          <w:lang w:val="fr-FR"/>
        </w:rPr>
        <w:t xml:space="preserve">au paragraphe </w:t>
      </w:r>
      <w:r w:rsidR="00A4197C" w:rsidRPr="00B100AF">
        <w:rPr>
          <w:lang w:val="fr-FR"/>
        </w:rPr>
        <w:t>1</w:t>
      </w:r>
      <w:r w:rsidR="00A4197C">
        <w:rPr>
          <w:lang w:val="fr-FR"/>
        </w:rPr>
        <w:t>5</w:t>
      </w:r>
      <w:r w:rsidR="00A4197C" w:rsidRPr="00B100AF">
        <w:rPr>
          <w:lang w:val="fr-FR"/>
        </w:rPr>
        <w:t xml:space="preserve"> </w:t>
      </w:r>
      <w:r w:rsidR="00A4197C">
        <w:rPr>
          <w:lang w:val="fr-FR"/>
        </w:rPr>
        <w:t xml:space="preserve">de la liste de points à traiter </w:t>
      </w:r>
    </w:p>
    <w:p w:rsidR="00895C96" w:rsidRPr="00895C96" w:rsidRDefault="00172848" w:rsidP="00E04030">
      <w:pPr>
        <w:pStyle w:val="SingleTxtG"/>
        <w:rPr>
          <w:lang w:val="fr-FR"/>
        </w:rPr>
      </w:pPr>
      <w:r>
        <w:rPr>
          <w:lang w:val="fr-FR"/>
        </w:rPr>
        <w:t>150.</w:t>
      </w:r>
      <w:r w:rsidR="00B62D03">
        <w:rPr>
          <w:lang w:val="fr-FR"/>
        </w:rPr>
        <w:tab/>
      </w:r>
      <w:r w:rsidR="00895C96" w:rsidRPr="00895C96">
        <w:rPr>
          <w:lang w:val="fr-FR"/>
        </w:rPr>
        <w:t>L’inexistence de données statistiques ne permet pas de fournir de renseignement sur le nombre exact de</w:t>
      </w:r>
      <w:r w:rsidR="00A24D33">
        <w:rPr>
          <w:lang w:val="fr-FR"/>
        </w:rPr>
        <w:t>s</w:t>
      </w:r>
      <w:r w:rsidR="00895C96" w:rsidRPr="00895C96">
        <w:rPr>
          <w:lang w:val="fr-FR"/>
        </w:rPr>
        <w:t xml:space="preserve"> décès survenus en garde à vue ou en prison. Néanmoins pour l’année 2010</w:t>
      </w:r>
      <w:r w:rsidR="00A24D33">
        <w:rPr>
          <w:lang w:val="fr-FR"/>
        </w:rPr>
        <w:t>,</w:t>
      </w:r>
      <w:r w:rsidR="00895C96" w:rsidRPr="00895C96">
        <w:rPr>
          <w:lang w:val="fr-FR"/>
        </w:rPr>
        <w:t xml:space="preserve"> on a enregistré </w:t>
      </w:r>
      <w:r w:rsidR="004266AC">
        <w:rPr>
          <w:lang w:val="fr-FR"/>
        </w:rPr>
        <w:t>sur</w:t>
      </w:r>
      <w:r w:rsidR="00A24D33">
        <w:rPr>
          <w:lang w:val="fr-FR"/>
        </w:rPr>
        <w:t xml:space="preserve"> l’ensemble d</w:t>
      </w:r>
      <w:r w:rsidR="00895C96" w:rsidRPr="00895C96">
        <w:rPr>
          <w:lang w:val="fr-FR"/>
        </w:rPr>
        <w:t>es prisons</w:t>
      </w:r>
      <w:r w:rsidR="00382281">
        <w:rPr>
          <w:lang w:val="fr-FR"/>
        </w:rPr>
        <w:t xml:space="preserve"> </w:t>
      </w:r>
      <w:r w:rsidR="00895C96" w:rsidRPr="00895C96">
        <w:rPr>
          <w:lang w:val="fr-FR"/>
        </w:rPr>
        <w:t xml:space="preserve">du Togo 33 décès </w:t>
      </w:r>
      <w:r w:rsidR="00A24D33">
        <w:rPr>
          <w:lang w:val="fr-FR"/>
        </w:rPr>
        <w:t>pour</w:t>
      </w:r>
      <w:r w:rsidR="00A24D33" w:rsidRPr="00895C96">
        <w:rPr>
          <w:lang w:val="fr-FR"/>
        </w:rPr>
        <w:t xml:space="preserve"> </w:t>
      </w:r>
      <w:r w:rsidR="00895C96" w:rsidRPr="00895C96">
        <w:rPr>
          <w:lang w:val="fr-FR"/>
        </w:rPr>
        <w:t>4</w:t>
      </w:r>
      <w:r w:rsidR="00A24D33">
        <w:rPr>
          <w:lang w:val="fr-FR"/>
        </w:rPr>
        <w:t xml:space="preserve"> </w:t>
      </w:r>
      <w:r w:rsidR="00895C96" w:rsidRPr="00895C96">
        <w:rPr>
          <w:lang w:val="fr-FR"/>
        </w:rPr>
        <w:t xml:space="preserve">219 détenus. Aucune enquête n’a été ouverte, les familles ayant choisi d’inhumer les corps dès qu’elles ont été informées du décès. </w:t>
      </w:r>
    </w:p>
    <w:p w:rsidR="00895C96" w:rsidRPr="00895C96" w:rsidRDefault="00172848" w:rsidP="00E04030">
      <w:pPr>
        <w:pStyle w:val="SingleTxtG"/>
        <w:rPr>
          <w:lang w:val="fr-FR"/>
        </w:rPr>
      </w:pPr>
      <w:r>
        <w:rPr>
          <w:lang w:val="fr-FR"/>
        </w:rPr>
        <w:t>151.</w:t>
      </w:r>
      <w:r w:rsidR="00B62D03">
        <w:rPr>
          <w:lang w:val="fr-FR"/>
        </w:rPr>
        <w:tab/>
      </w:r>
      <w:r w:rsidR="00E336D7">
        <w:rPr>
          <w:lang w:val="fr-FR"/>
        </w:rPr>
        <w:t>À</w:t>
      </w:r>
      <w:r w:rsidR="00382281">
        <w:rPr>
          <w:lang w:val="fr-FR"/>
        </w:rPr>
        <w:t xml:space="preserve"> </w:t>
      </w:r>
      <w:r w:rsidR="00895C96" w:rsidRPr="00895C96">
        <w:rPr>
          <w:lang w:val="fr-FR"/>
        </w:rPr>
        <w:t>la brigade de la gendarmerie de Sokodé</w:t>
      </w:r>
      <w:r w:rsidR="00F03E1F">
        <w:rPr>
          <w:lang w:val="fr-FR"/>
        </w:rPr>
        <w:t>,</w:t>
      </w:r>
      <w:r w:rsidR="00895C96" w:rsidRPr="00895C96">
        <w:rPr>
          <w:lang w:val="fr-FR"/>
        </w:rPr>
        <w:t xml:space="preserve"> un seul décès en garde à vue a été enregistré au cours de l’année 2010.</w:t>
      </w:r>
    </w:p>
    <w:p w:rsidR="00895C96" w:rsidRPr="00895C96" w:rsidRDefault="00172848" w:rsidP="00E04030">
      <w:pPr>
        <w:pStyle w:val="SingleTxtG"/>
        <w:rPr>
          <w:lang w:val="fr-FR"/>
        </w:rPr>
      </w:pPr>
      <w:r>
        <w:rPr>
          <w:lang w:val="fr-FR"/>
        </w:rPr>
        <w:t>152.</w:t>
      </w:r>
      <w:r w:rsidR="00B62D03">
        <w:rPr>
          <w:lang w:val="fr-FR"/>
        </w:rPr>
        <w:tab/>
      </w:r>
      <w:r w:rsidR="00895C96" w:rsidRPr="00895C96">
        <w:rPr>
          <w:lang w:val="fr-FR"/>
        </w:rPr>
        <w:t>L’expert médico-légal a conclu sous réserve d’une éventuelle autopsie à laquelle la famille n’a pas souscrit qu’il s’agissait d’une mort naturelle.</w:t>
      </w:r>
    </w:p>
    <w:p w:rsidR="00895C96" w:rsidRPr="00895C96" w:rsidRDefault="00B62D03" w:rsidP="007467DA">
      <w:pPr>
        <w:pStyle w:val="H1G"/>
        <w:rPr>
          <w:lang w:val="fr-FR"/>
        </w:rPr>
      </w:pPr>
      <w:r>
        <w:rPr>
          <w:lang w:val="fr-FR"/>
        </w:rPr>
        <w:tab/>
      </w:r>
      <w:r>
        <w:rPr>
          <w:lang w:val="fr-FR"/>
        </w:rPr>
        <w:tab/>
      </w:r>
      <w:r w:rsidR="00895C96" w:rsidRPr="00895C96">
        <w:rPr>
          <w:lang w:val="fr-FR"/>
        </w:rPr>
        <w:t>Droit de circuler librement (art</w:t>
      </w:r>
      <w:r w:rsidR="00F03E1F">
        <w:rPr>
          <w:lang w:val="fr-FR"/>
        </w:rPr>
        <w:t xml:space="preserve">. </w:t>
      </w:r>
      <w:r w:rsidR="00895C96" w:rsidRPr="00895C96">
        <w:rPr>
          <w:lang w:val="fr-FR"/>
        </w:rPr>
        <w:t>12)</w:t>
      </w:r>
    </w:p>
    <w:p w:rsidR="00895C96" w:rsidRPr="00895C96" w:rsidRDefault="00B62D03" w:rsidP="00B62D03">
      <w:pPr>
        <w:pStyle w:val="H23G"/>
        <w:rPr>
          <w:lang w:val="fr-FR"/>
        </w:rPr>
      </w:pPr>
      <w:r>
        <w:rPr>
          <w:lang w:val="fr-FR"/>
        </w:rPr>
        <w:tab/>
      </w:r>
      <w:r>
        <w:rPr>
          <w:lang w:val="fr-FR"/>
        </w:rPr>
        <w:tab/>
      </w:r>
      <w:r w:rsidR="00895C96" w:rsidRPr="00895C96">
        <w:rPr>
          <w:lang w:val="fr-FR"/>
        </w:rPr>
        <w:t xml:space="preserve">Réponse </w:t>
      </w:r>
      <w:r w:rsidR="00A4197C">
        <w:rPr>
          <w:lang w:val="fr-FR"/>
        </w:rPr>
        <w:t xml:space="preserve">au paragraphe </w:t>
      </w:r>
      <w:r w:rsidR="00A4197C" w:rsidRPr="00B100AF">
        <w:rPr>
          <w:lang w:val="fr-FR"/>
        </w:rPr>
        <w:t>1</w:t>
      </w:r>
      <w:r w:rsidR="00A4197C">
        <w:rPr>
          <w:lang w:val="fr-FR"/>
        </w:rPr>
        <w:t>6</w:t>
      </w:r>
      <w:r w:rsidR="00A4197C" w:rsidRPr="00B100AF">
        <w:rPr>
          <w:lang w:val="fr-FR"/>
        </w:rPr>
        <w:t xml:space="preserve"> </w:t>
      </w:r>
      <w:r w:rsidR="00A4197C">
        <w:rPr>
          <w:lang w:val="fr-FR"/>
        </w:rPr>
        <w:t xml:space="preserve">de la liste de points à traiter </w:t>
      </w:r>
    </w:p>
    <w:p w:rsidR="00895C96" w:rsidRPr="00895C96" w:rsidRDefault="00172848" w:rsidP="00E04030">
      <w:pPr>
        <w:pStyle w:val="SingleTxtG"/>
        <w:rPr>
          <w:b/>
          <w:bCs/>
          <w:lang w:val="fr-FR"/>
        </w:rPr>
      </w:pPr>
      <w:r>
        <w:rPr>
          <w:lang w:val="fr-FR"/>
        </w:rPr>
        <w:t>153.</w:t>
      </w:r>
      <w:r w:rsidR="00B62D03">
        <w:rPr>
          <w:lang w:val="fr-FR"/>
        </w:rPr>
        <w:tab/>
      </w:r>
      <w:r w:rsidR="00895C96" w:rsidRPr="00895C96">
        <w:rPr>
          <w:lang w:val="fr-FR"/>
        </w:rPr>
        <w:t>La liberté de circulation sur toute l’étendue du territoire national est garantie par la Constitution du 14 octobre 1992 en son article 22 qui dispose</w:t>
      </w:r>
      <w:r w:rsidR="00F33DC4">
        <w:rPr>
          <w:lang w:val="fr-FR"/>
        </w:rPr>
        <w:t>:</w:t>
      </w:r>
      <w:r w:rsidR="00895C96" w:rsidRPr="00895C96">
        <w:rPr>
          <w:lang w:val="fr-FR"/>
        </w:rPr>
        <w:t xml:space="preserve"> «tout citoyen togolais a le droit de circuler librement et de s’établir sur le territoire national en tout point de son choix dans les conditions définies par la loi ou la coutume locale. </w:t>
      </w:r>
    </w:p>
    <w:p w:rsidR="00895C96" w:rsidRPr="00895C96" w:rsidRDefault="00172848" w:rsidP="00E04030">
      <w:pPr>
        <w:pStyle w:val="SingleTxtG"/>
        <w:rPr>
          <w:lang w:val="fr-FR"/>
        </w:rPr>
      </w:pPr>
      <w:r>
        <w:rPr>
          <w:lang w:val="fr-FR"/>
        </w:rPr>
        <w:t>154.</w:t>
      </w:r>
      <w:r w:rsidR="00B62D03">
        <w:rPr>
          <w:lang w:val="fr-FR"/>
        </w:rPr>
        <w:tab/>
      </w:r>
      <w:r w:rsidR="00895C96" w:rsidRPr="00895C96">
        <w:rPr>
          <w:lang w:val="fr-FR"/>
        </w:rPr>
        <w:t>Aucun togolais ne peut être privé du droit d’entrée au Togo ou d’en sortir.</w:t>
      </w:r>
      <w:r w:rsidR="00382281">
        <w:rPr>
          <w:lang w:val="fr-FR"/>
        </w:rPr>
        <w:t xml:space="preserve"> </w:t>
      </w:r>
      <w:r w:rsidR="00895C96" w:rsidRPr="00895C96">
        <w:rPr>
          <w:lang w:val="fr-FR"/>
        </w:rPr>
        <w:t>Tout étranger en situation régulière sur le territoire togolais et qui se conforme aux lois en vigueur a la liberté d’y circuler, d’y choisir sa résidence et le droit de le quitter librement».</w:t>
      </w:r>
    </w:p>
    <w:p w:rsidR="00895C96" w:rsidRPr="00895C96" w:rsidRDefault="00B62D03" w:rsidP="00B62D03">
      <w:pPr>
        <w:pStyle w:val="H23G"/>
        <w:rPr>
          <w:lang w:val="fr-FR"/>
        </w:rPr>
      </w:pPr>
      <w:r>
        <w:rPr>
          <w:lang w:val="fr-FR"/>
        </w:rPr>
        <w:tab/>
      </w:r>
      <w:r>
        <w:rPr>
          <w:lang w:val="fr-FR"/>
        </w:rPr>
        <w:tab/>
      </w:r>
      <w:r w:rsidR="00895C96" w:rsidRPr="00895C96">
        <w:rPr>
          <w:lang w:val="fr-FR"/>
        </w:rPr>
        <w:t xml:space="preserve">Réponse </w:t>
      </w:r>
      <w:r w:rsidR="00A4197C">
        <w:rPr>
          <w:lang w:val="fr-FR"/>
        </w:rPr>
        <w:t xml:space="preserve">au paragraphe </w:t>
      </w:r>
      <w:r w:rsidR="00A4197C" w:rsidRPr="00B100AF">
        <w:rPr>
          <w:lang w:val="fr-FR"/>
        </w:rPr>
        <w:t>1</w:t>
      </w:r>
      <w:r w:rsidR="00A4197C">
        <w:rPr>
          <w:lang w:val="fr-FR"/>
        </w:rPr>
        <w:t>7</w:t>
      </w:r>
      <w:r w:rsidR="00A4197C" w:rsidRPr="00B100AF">
        <w:rPr>
          <w:lang w:val="fr-FR"/>
        </w:rPr>
        <w:t xml:space="preserve"> </w:t>
      </w:r>
      <w:r w:rsidR="00A4197C">
        <w:rPr>
          <w:lang w:val="fr-FR"/>
        </w:rPr>
        <w:t xml:space="preserve">de la liste de points à traiter </w:t>
      </w:r>
    </w:p>
    <w:p w:rsidR="00895C96" w:rsidRPr="00895C96" w:rsidRDefault="00CE3E1A" w:rsidP="00CE3E1A">
      <w:pPr>
        <w:pStyle w:val="H23G"/>
        <w:rPr>
          <w:lang w:val="fr-FR"/>
        </w:rPr>
      </w:pPr>
      <w:r>
        <w:rPr>
          <w:lang w:val="fr-FR"/>
        </w:rPr>
        <w:tab/>
      </w:r>
      <w:r w:rsidR="00895C96" w:rsidRPr="00895C96">
        <w:rPr>
          <w:lang w:val="fr-FR"/>
        </w:rPr>
        <w:t>I</w:t>
      </w:r>
      <w:r>
        <w:rPr>
          <w:lang w:val="fr-FR"/>
        </w:rPr>
        <w:t>.</w:t>
      </w:r>
      <w:r>
        <w:rPr>
          <w:lang w:val="fr-FR"/>
        </w:rPr>
        <w:tab/>
      </w:r>
      <w:r w:rsidR="00895C96" w:rsidRPr="00895C96">
        <w:rPr>
          <w:lang w:val="fr-FR"/>
        </w:rPr>
        <w:t>Quelques causes du phénomène de déplacement des populations</w:t>
      </w:r>
    </w:p>
    <w:p w:rsidR="00895C96" w:rsidRPr="00895C96" w:rsidRDefault="00172848" w:rsidP="00E04030">
      <w:pPr>
        <w:pStyle w:val="SingleTxtG"/>
        <w:rPr>
          <w:lang w:val="fr-FR"/>
        </w:rPr>
      </w:pPr>
      <w:r>
        <w:rPr>
          <w:lang w:val="fr-FR"/>
        </w:rPr>
        <w:t>155.</w:t>
      </w:r>
      <w:r w:rsidR="00CE3E1A">
        <w:rPr>
          <w:lang w:val="fr-FR"/>
        </w:rPr>
        <w:tab/>
      </w:r>
      <w:r w:rsidR="00895C96" w:rsidRPr="00895C96">
        <w:rPr>
          <w:lang w:val="fr-FR"/>
        </w:rPr>
        <w:t xml:space="preserve">En avril 2005, après la proclamation des résultats des élections présidentielles, des contestations </w:t>
      </w:r>
      <w:r w:rsidR="00895C96" w:rsidRPr="00895C96">
        <w:rPr>
          <w:b/>
          <w:bCs/>
          <w:i/>
          <w:iCs/>
          <w:lang w:val="fr-FR"/>
        </w:rPr>
        <w:t>à Lomé, Aného, Atakpamé, Danyi, Tohoun, Kpalimé, Sokodé et Mango</w:t>
      </w:r>
      <w:r w:rsidR="00895C96" w:rsidRPr="00895C96">
        <w:rPr>
          <w:lang w:val="fr-FR"/>
        </w:rPr>
        <w:t xml:space="preserve"> ont amené les forces de l'ordre</w:t>
      </w:r>
      <w:r w:rsidR="004A04FB">
        <w:rPr>
          <w:lang w:val="fr-FR"/>
        </w:rPr>
        <w:t>,</w:t>
      </w:r>
      <w:r w:rsidR="00895C96" w:rsidRPr="00895C96">
        <w:rPr>
          <w:lang w:val="fr-FR"/>
        </w:rPr>
        <w:t xml:space="preserve"> précisément à Lomé et </w:t>
      </w:r>
      <w:r w:rsidR="004A04FB">
        <w:rPr>
          <w:lang w:val="fr-FR"/>
        </w:rPr>
        <w:t xml:space="preserve">dans </w:t>
      </w:r>
      <w:r w:rsidR="00895C96" w:rsidRPr="00895C96">
        <w:rPr>
          <w:lang w:val="fr-FR"/>
        </w:rPr>
        <w:t>ses environs</w:t>
      </w:r>
      <w:r w:rsidR="004A04FB">
        <w:rPr>
          <w:lang w:val="fr-FR"/>
        </w:rPr>
        <w:t>,</w:t>
      </w:r>
      <w:r w:rsidR="00895C96" w:rsidRPr="00895C96">
        <w:rPr>
          <w:lang w:val="fr-FR"/>
        </w:rPr>
        <w:t xml:space="preserve"> à intervenir afin de rétablir l'ordre. Cette deuxième période de troubles de grande ampleur a entraîné une deuxième phase de déplacements massifs des populations tant à l'intérieur qu'à l'extérieur du Togo notamment au Bénin et au Ghana. </w:t>
      </w:r>
    </w:p>
    <w:p w:rsidR="00895C96" w:rsidRPr="00895C96" w:rsidRDefault="00CE3E1A" w:rsidP="00CE3E1A">
      <w:pPr>
        <w:pStyle w:val="H23G"/>
        <w:rPr>
          <w:lang w:val="fr-FR"/>
        </w:rPr>
      </w:pPr>
      <w:r>
        <w:rPr>
          <w:lang w:val="fr-FR"/>
        </w:rPr>
        <w:tab/>
      </w:r>
      <w:r w:rsidR="00895C96" w:rsidRPr="00895C96">
        <w:rPr>
          <w:lang w:val="fr-FR"/>
        </w:rPr>
        <w:t>Il</w:t>
      </w:r>
      <w:r>
        <w:rPr>
          <w:lang w:val="fr-FR"/>
        </w:rPr>
        <w:t>.</w:t>
      </w:r>
      <w:r>
        <w:rPr>
          <w:lang w:val="fr-FR"/>
        </w:rPr>
        <w:tab/>
      </w:r>
      <w:r w:rsidR="00895C96" w:rsidRPr="00895C96">
        <w:rPr>
          <w:lang w:val="fr-FR"/>
        </w:rPr>
        <w:t xml:space="preserve">Statistiques actuelles </w:t>
      </w:r>
      <w:r w:rsidR="004A04FB">
        <w:rPr>
          <w:lang w:val="fr-FR"/>
        </w:rPr>
        <w:t>relatives aux</w:t>
      </w:r>
      <w:r w:rsidR="004A04FB" w:rsidRPr="00895C96">
        <w:rPr>
          <w:lang w:val="fr-FR"/>
        </w:rPr>
        <w:t xml:space="preserve"> </w:t>
      </w:r>
      <w:r w:rsidR="00895C96" w:rsidRPr="00895C96">
        <w:rPr>
          <w:lang w:val="fr-FR"/>
        </w:rPr>
        <w:t xml:space="preserve">réfugiés </w:t>
      </w:r>
    </w:p>
    <w:p w:rsidR="00895C96" w:rsidRPr="001E5B1D" w:rsidRDefault="00CE3E1A" w:rsidP="00CE3E1A">
      <w:pPr>
        <w:pStyle w:val="H23G"/>
        <w:rPr>
          <w:lang w:val="fr-FR"/>
        </w:rPr>
      </w:pPr>
      <w:r>
        <w:rPr>
          <w:lang w:val="fr-FR"/>
        </w:rPr>
        <w:tab/>
      </w:r>
      <w:r>
        <w:rPr>
          <w:lang w:val="fr-FR"/>
        </w:rPr>
        <w:tab/>
      </w:r>
      <w:r w:rsidR="00895C96" w:rsidRPr="001E5B1D">
        <w:rPr>
          <w:lang w:val="fr-FR"/>
        </w:rPr>
        <w:t>1</w:t>
      </w:r>
      <w:r w:rsidRPr="001E5B1D">
        <w:rPr>
          <w:lang w:val="fr-FR"/>
        </w:rPr>
        <w:t>.</w:t>
      </w:r>
      <w:r w:rsidRPr="001E5B1D">
        <w:rPr>
          <w:lang w:val="fr-FR"/>
        </w:rPr>
        <w:tab/>
      </w:r>
      <w:r w:rsidR="00895C96" w:rsidRPr="001E5B1D">
        <w:rPr>
          <w:lang w:val="fr-FR"/>
        </w:rPr>
        <w:t xml:space="preserve"> Statistiques </w:t>
      </w:r>
      <w:r w:rsidR="00052E9B" w:rsidRPr="001E5B1D">
        <w:rPr>
          <w:lang w:val="fr-FR"/>
        </w:rPr>
        <w:t xml:space="preserve">relatives aux </w:t>
      </w:r>
      <w:r w:rsidR="00895C96" w:rsidRPr="001E5B1D">
        <w:rPr>
          <w:lang w:val="fr-FR"/>
        </w:rPr>
        <w:t xml:space="preserve">réfugiés togolais actuellement à l'étranger </w:t>
      </w:r>
    </w:p>
    <w:p w:rsidR="00172848" w:rsidRDefault="00172848" w:rsidP="00E04030">
      <w:pPr>
        <w:pStyle w:val="SingleTxtG"/>
        <w:rPr>
          <w:lang w:val="fr-FR"/>
        </w:rPr>
      </w:pPr>
      <w:r w:rsidRPr="001E5B1D">
        <w:rPr>
          <w:lang w:val="fr-FR"/>
        </w:rPr>
        <w:t>156.</w:t>
      </w:r>
      <w:r w:rsidR="001E5B1D" w:rsidRPr="001E5B1D">
        <w:rPr>
          <w:lang w:val="fr-FR"/>
        </w:rPr>
        <w:tab/>
        <w:t>Les réfugiés togolais se répartissent comme suit à l’étranger :</w:t>
      </w:r>
      <w:r w:rsidR="001E5B1D">
        <w:rPr>
          <w:lang w:val="fr-FR"/>
        </w:rPr>
        <w:t xml:space="preserve"> </w:t>
      </w:r>
    </w:p>
    <w:p w:rsidR="00895C96" w:rsidRPr="00895C96" w:rsidRDefault="00895C96" w:rsidP="00E04030">
      <w:pPr>
        <w:pStyle w:val="SingleTxtG"/>
        <w:rPr>
          <w:lang w:val="fr-FR"/>
        </w:rPr>
      </w:pPr>
      <w:r w:rsidRPr="00895C96">
        <w:rPr>
          <w:lang w:val="fr-FR"/>
        </w:rPr>
        <w:t>Au Bénin…………………………………………environ 5</w:t>
      </w:r>
      <w:r w:rsidR="00E336D7">
        <w:rPr>
          <w:lang w:val="fr-FR"/>
        </w:rPr>
        <w:t xml:space="preserve"> </w:t>
      </w:r>
      <w:r w:rsidRPr="00895C96">
        <w:rPr>
          <w:lang w:val="fr-FR"/>
        </w:rPr>
        <w:t xml:space="preserve">000 personnes </w:t>
      </w:r>
    </w:p>
    <w:p w:rsidR="00895C96" w:rsidRPr="00895C96" w:rsidRDefault="00382281" w:rsidP="00E04030">
      <w:pPr>
        <w:pStyle w:val="SingleTxtG"/>
        <w:rPr>
          <w:lang w:val="fr-FR"/>
        </w:rPr>
      </w:pPr>
      <w:r>
        <w:rPr>
          <w:lang w:val="fr-FR"/>
        </w:rPr>
        <w:t xml:space="preserve">                                            </w:t>
      </w:r>
      <w:r w:rsidR="00052E9B">
        <w:rPr>
          <w:lang w:val="fr-FR"/>
        </w:rPr>
        <w:tab/>
      </w:r>
      <w:r w:rsidR="00052E9B">
        <w:rPr>
          <w:lang w:val="fr-FR"/>
        </w:rPr>
        <w:tab/>
      </w:r>
      <w:r w:rsidR="00052E9B">
        <w:rPr>
          <w:lang w:val="fr-FR"/>
        </w:rPr>
        <w:tab/>
      </w:r>
      <w:r w:rsidR="00052E9B">
        <w:rPr>
          <w:lang w:val="fr-FR"/>
        </w:rPr>
        <w:tab/>
      </w:r>
      <w:r w:rsidR="00052E9B">
        <w:rPr>
          <w:lang w:val="fr-FR"/>
        </w:rPr>
        <w:tab/>
      </w:r>
      <w:r w:rsidR="00895C96" w:rsidRPr="00895C96">
        <w:rPr>
          <w:lang w:val="fr-FR"/>
        </w:rPr>
        <w:t xml:space="preserve">(Source HCR) </w:t>
      </w:r>
    </w:p>
    <w:p w:rsidR="00895C96" w:rsidRPr="00895C96" w:rsidRDefault="00895C96" w:rsidP="00E04030">
      <w:pPr>
        <w:pStyle w:val="SingleTxtG"/>
        <w:rPr>
          <w:lang w:val="fr-FR"/>
        </w:rPr>
      </w:pPr>
      <w:r w:rsidRPr="00895C96">
        <w:rPr>
          <w:lang w:val="fr-FR"/>
        </w:rPr>
        <w:t>Au Ghana………………………………………environ 2</w:t>
      </w:r>
      <w:r w:rsidR="00E336D7">
        <w:rPr>
          <w:lang w:val="fr-FR"/>
        </w:rPr>
        <w:t xml:space="preserve"> </w:t>
      </w:r>
      <w:r w:rsidRPr="00895C96">
        <w:rPr>
          <w:lang w:val="fr-FR"/>
        </w:rPr>
        <w:t xml:space="preserve">000 personnes </w:t>
      </w:r>
    </w:p>
    <w:p w:rsidR="00895C96" w:rsidRPr="00895C96" w:rsidRDefault="00382281" w:rsidP="00E04030">
      <w:pPr>
        <w:pStyle w:val="SingleTxtG"/>
        <w:rPr>
          <w:lang w:val="fr-FR"/>
        </w:rPr>
      </w:pPr>
      <w:r>
        <w:rPr>
          <w:lang w:val="fr-FR"/>
        </w:rPr>
        <w:t xml:space="preserve">                                            </w:t>
      </w:r>
      <w:r w:rsidR="00895C96" w:rsidRPr="00895C96">
        <w:rPr>
          <w:lang w:val="fr-FR"/>
        </w:rPr>
        <w:t xml:space="preserve"> </w:t>
      </w:r>
      <w:r w:rsidR="00052E9B">
        <w:rPr>
          <w:lang w:val="fr-FR"/>
        </w:rPr>
        <w:tab/>
      </w:r>
      <w:r w:rsidR="00052E9B">
        <w:rPr>
          <w:lang w:val="fr-FR"/>
        </w:rPr>
        <w:tab/>
      </w:r>
      <w:r w:rsidR="00052E9B">
        <w:rPr>
          <w:lang w:val="fr-FR"/>
        </w:rPr>
        <w:tab/>
      </w:r>
      <w:r w:rsidR="00052E9B">
        <w:rPr>
          <w:lang w:val="fr-FR"/>
        </w:rPr>
        <w:tab/>
      </w:r>
      <w:r w:rsidR="00052E9B">
        <w:rPr>
          <w:lang w:val="fr-FR"/>
        </w:rPr>
        <w:tab/>
      </w:r>
      <w:r w:rsidR="00895C96" w:rsidRPr="00895C96">
        <w:rPr>
          <w:lang w:val="fr-FR"/>
        </w:rPr>
        <w:t xml:space="preserve">(Source HCR) </w:t>
      </w:r>
    </w:p>
    <w:p w:rsidR="00895C96" w:rsidRPr="00895C96" w:rsidRDefault="00895C96" w:rsidP="00E04030">
      <w:pPr>
        <w:pStyle w:val="SingleTxtG"/>
        <w:rPr>
          <w:lang w:val="fr-FR"/>
        </w:rPr>
      </w:pPr>
      <w:r w:rsidRPr="00895C96">
        <w:rPr>
          <w:lang w:val="fr-FR"/>
        </w:rPr>
        <w:t>En Europe et ailleurs …………………...............environ 10</w:t>
      </w:r>
      <w:r w:rsidR="00E336D7">
        <w:rPr>
          <w:lang w:val="fr-FR"/>
        </w:rPr>
        <w:t xml:space="preserve"> </w:t>
      </w:r>
      <w:r w:rsidRPr="00895C96">
        <w:rPr>
          <w:lang w:val="fr-FR"/>
        </w:rPr>
        <w:t xml:space="preserve">000 personnes </w:t>
      </w:r>
    </w:p>
    <w:p w:rsidR="00895C96" w:rsidRPr="00895C96" w:rsidRDefault="00382281" w:rsidP="00E04030">
      <w:pPr>
        <w:pStyle w:val="SingleTxtG"/>
        <w:rPr>
          <w:lang w:val="fr-FR"/>
        </w:rPr>
      </w:pPr>
      <w:r>
        <w:rPr>
          <w:lang w:val="fr-FR"/>
        </w:rPr>
        <w:t xml:space="preserve">                                           </w:t>
      </w:r>
      <w:r w:rsidR="00052E9B">
        <w:rPr>
          <w:lang w:val="fr-FR"/>
        </w:rPr>
        <w:tab/>
      </w:r>
      <w:r w:rsidR="00052E9B">
        <w:rPr>
          <w:lang w:val="fr-FR"/>
        </w:rPr>
        <w:tab/>
      </w:r>
      <w:r w:rsidR="00052E9B">
        <w:rPr>
          <w:lang w:val="fr-FR"/>
        </w:rPr>
        <w:tab/>
      </w:r>
      <w:r w:rsidR="00052E9B">
        <w:rPr>
          <w:lang w:val="fr-FR"/>
        </w:rPr>
        <w:tab/>
      </w:r>
      <w:r w:rsidR="00052E9B">
        <w:rPr>
          <w:lang w:val="fr-FR"/>
        </w:rPr>
        <w:tab/>
      </w:r>
      <w:r>
        <w:rPr>
          <w:lang w:val="fr-FR"/>
        </w:rPr>
        <w:t xml:space="preserve">  </w:t>
      </w:r>
      <w:r w:rsidR="00895C96" w:rsidRPr="00895C96">
        <w:rPr>
          <w:lang w:val="fr-FR"/>
        </w:rPr>
        <w:t xml:space="preserve">(Une estimation) </w:t>
      </w:r>
    </w:p>
    <w:p w:rsidR="00895C96" w:rsidRPr="00895C96" w:rsidRDefault="00895C96" w:rsidP="00E04030">
      <w:pPr>
        <w:pStyle w:val="SingleTxtG"/>
        <w:rPr>
          <w:lang w:val="fr-FR"/>
        </w:rPr>
      </w:pPr>
      <w:r w:rsidRPr="00895C96">
        <w:rPr>
          <w:lang w:val="fr-FR"/>
        </w:rPr>
        <w:t>Total…...........................................................................environ 17</w:t>
      </w:r>
      <w:r w:rsidR="00E336D7">
        <w:rPr>
          <w:lang w:val="fr-FR"/>
        </w:rPr>
        <w:t xml:space="preserve"> </w:t>
      </w:r>
      <w:r w:rsidRPr="00895C96">
        <w:rPr>
          <w:lang w:val="fr-FR"/>
        </w:rPr>
        <w:t>000 personnes</w:t>
      </w:r>
    </w:p>
    <w:p w:rsidR="00895C96" w:rsidRPr="00895C96" w:rsidRDefault="00CE3E1A" w:rsidP="00CE3E1A">
      <w:pPr>
        <w:pStyle w:val="H23G"/>
        <w:rPr>
          <w:lang w:val="fr-FR"/>
        </w:rPr>
      </w:pPr>
      <w:r>
        <w:rPr>
          <w:lang w:val="fr-FR"/>
        </w:rPr>
        <w:tab/>
      </w:r>
      <w:r>
        <w:rPr>
          <w:lang w:val="fr-FR"/>
        </w:rPr>
        <w:tab/>
      </w:r>
      <w:r w:rsidR="00895C96" w:rsidRPr="00895C96">
        <w:rPr>
          <w:lang w:val="fr-FR"/>
        </w:rPr>
        <w:t>2</w:t>
      </w:r>
      <w:r>
        <w:rPr>
          <w:lang w:val="fr-FR"/>
        </w:rPr>
        <w:t>.</w:t>
      </w:r>
      <w:r>
        <w:rPr>
          <w:lang w:val="fr-FR"/>
        </w:rPr>
        <w:tab/>
      </w:r>
      <w:r w:rsidR="00895C96" w:rsidRPr="00895C96">
        <w:rPr>
          <w:lang w:val="fr-FR"/>
        </w:rPr>
        <w:t xml:space="preserve">Statistiques partielles actuelles </w:t>
      </w:r>
      <w:r w:rsidR="00052E9B">
        <w:rPr>
          <w:lang w:val="fr-FR"/>
        </w:rPr>
        <w:t>relatives aux</w:t>
      </w:r>
      <w:r w:rsidR="00052E9B" w:rsidRPr="00895C96">
        <w:rPr>
          <w:lang w:val="fr-FR"/>
        </w:rPr>
        <w:t xml:space="preserve"> </w:t>
      </w:r>
      <w:r w:rsidR="00895C96" w:rsidRPr="00895C96">
        <w:rPr>
          <w:lang w:val="fr-FR"/>
        </w:rPr>
        <w:t>personnes déplacées au Togo</w:t>
      </w:r>
    </w:p>
    <w:p w:rsidR="00895C96" w:rsidRPr="00895C96" w:rsidRDefault="00172848" w:rsidP="00E04030">
      <w:pPr>
        <w:pStyle w:val="SingleTxtG"/>
        <w:rPr>
          <w:lang w:val="fr-FR"/>
        </w:rPr>
      </w:pPr>
      <w:r>
        <w:rPr>
          <w:lang w:val="fr-FR"/>
        </w:rPr>
        <w:t>157.</w:t>
      </w:r>
      <w:r w:rsidR="00CE3E1A">
        <w:rPr>
          <w:lang w:val="fr-FR"/>
        </w:rPr>
        <w:tab/>
      </w:r>
      <w:r w:rsidR="00EE742F">
        <w:rPr>
          <w:lang w:val="fr-FR"/>
        </w:rPr>
        <w:t xml:space="preserve">Un </w:t>
      </w:r>
      <w:r w:rsidR="00EE742F" w:rsidRPr="00895C96">
        <w:rPr>
          <w:lang w:val="fr-FR"/>
        </w:rPr>
        <w:t>peu plus de 3</w:t>
      </w:r>
      <w:r w:rsidR="00EE742F">
        <w:rPr>
          <w:lang w:val="fr-FR"/>
        </w:rPr>
        <w:t xml:space="preserve"> </w:t>
      </w:r>
      <w:r w:rsidR="00EE742F" w:rsidRPr="00895C96">
        <w:rPr>
          <w:lang w:val="fr-FR"/>
        </w:rPr>
        <w:t>000 personnes</w:t>
      </w:r>
      <w:r w:rsidR="00EE742F">
        <w:rPr>
          <w:lang w:val="fr-FR"/>
        </w:rPr>
        <w:t xml:space="preserve"> ont été </w:t>
      </w:r>
      <w:r w:rsidR="00895C96" w:rsidRPr="00895C96">
        <w:rPr>
          <w:lang w:val="fr-FR"/>
        </w:rPr>
        <w:t xml:space="preserve">déplacées </w:t>
      </w:r>
      <w:r w:rsidR="00EE742F">
        <w:rPr>
          <w:lang w:val="fr-FR"/>
        </w:rPr>
        <w:t xml:space="preserve">à la </w:t>
      </w:r>
      <w:r w:rsidR="00895C96" w:rsidRPr="00895C96">
        <w:rPr>
          <w:lang w:val="fr-FR"/>
        </w:rPr>
        <w:t xml:space="preserve">suite </w:t>
      </w:r>
      <w:r w:rsidR="00EE742F">
        <w:rPr>
          <w:lang w:val="fr-FR"/>
        </w:rPr>
        <w:t>des</w:t>
      </w:r>
      <w:r w:rsidR="00EE742F" w:rsidRPr="00895C96">
        <w:rPr>
          <w:lang w:val="fr-FR"/>
        </w:rPr>
        <w:t xml:space="preserve"> </w:t>
      </w:r>
      <w:r w:rsidR="00895C96" w:rsidRPr="00895C96">
        <w:rPr>
          <w:lang w:val="fr-FR"/>
        </w:rPr>
        <w:t xml:space="preserve">violences politiques </w:t>
      </w:r>
      <w:r w:rsidR="00EE742F">
        <w:rPr>
          <w:lang w:val="fr-FR"/>
        </w:rPr>
        <w:t>survenues en</w:t>
      </w:r>
      <w:r w:rsidR="00393196">
        <w:rPr>
          <w:lang w:val="fr-FR"/>
        </w:rPr>
        <w:t xml:space="preserve"> </w:t>
      </w:r>
      <w:r w:rsidR="00895C96" w:rsidRPr="00895C96">
        <w:rPr>
          <w:lang w:val="fr-FR"/>
        </w:rPr>
        <w:t xml:space="preserve">2005. </w:t>
      </w:r>
    </w:p>
    <w:p w:rsidR="00895C96" w:rsidRPr="00895C96" w:rsidRDefault="00172848" w:rsidP="00E04030">
      <w:pPr>
        <w:pStyle w:val="SingleTxtG"/>
        <w:rPr>
          <w:lang w:val="fr-FR"/>
        </w:rPr>
      </w:pPr>
      <w:r>
        <w:rPr>
          <w:lang w:val="fr-FR"/>
        </w:rPr>
        <w:t>158.</w:t>
      </w:r>
      <w:r w:rsidR="00CE3E1A">
        <w:rPr>
          <w:lang w:val="fr-FR"/>
        </w:rPr>
        <w:tab/>
      </w:r>
      <w:r w:rsidR="00895C96" w:rsidRPr="00895C96">
        <w:rPr>
          <w:lang w:val="fr-FR"/>
        </w:rPr>
        <w:t>Le nombre total de</w:t>
      </w:r>
      <w:r w:rsidR="00C35D92">
        <w:rPr>
          <w:lang w:val="fr-FR"/>
        </w:rPr>
        <w:t>s</w:t>
      </w:r>
      <w:r w:rsidR="00895C96" w:rsidRPr="00895C96">
        <w:rPr>
          <w:lang w:val="fr-FR"/>
        </w:rPr>
        <w:t xml:space="preserve"> personnes déplacées peut être estimé à 67</w:t>
      </w:r>
      <w:r w:rsidR="00E336D7">
        <w:rPr>
          <w:lang w:val="fr-FR"/>
        </w:rPr>
        <w:t xml:space="preserve"> </w:t>
      </w:r>
      <w:r w:rsidR="00895C96" w:rsidRPr="00895C96">
        <w:rPr>
          <w:lang w:val="fr-FR"/>
        </w:rPr>
        <w:t xml:space="preserve">443 </w:t>
      </w:r>
      <w:r w:rsidR="00895C96" w:rsidRPr="00895C96">
        <w:rPr>
          <w:lang w:val="fr-FR"/>
        </w:rPr>
        <w:br/>
        <w:t>personnes. (Région Kara: 21</w:t>
      </w:r>
      <w:r w:rsidR="00E336D7">
        <w:rPr>
          <w:lang w:val="fr-FR"/>
        </w:rPr>
        <w:t xml:space="preserve"> </w:t>
      </w:r>
      <w:r w:rsidR="00895C96" w:rsidRPr="00895C96">
        <w:rPr>
          <w:lang w:val="fr-FR"/>
        </w:rPr>
        <w:t>703</w:t>
      </w:r>
      <w:r w:rsidR="00F33DC4">
        <w:rPr>
          <w:lang w:val="fr-FR"/>
        </w:rPr>
        <w:t>;</w:t>
      </w:r>
      <w:r w:rsidR="00895C96" w:rsidRPr="00895C96">
        <w:rPr>
          <w:lang w:val="fr-FR"/>
        </w:rPr>
        <w:t xml:space="preserve"> Région Centrale: 37</w:t>
      </w:r>
      <w:r w:rsidR="00E336D7">
        <w:rPr>
          <w:lang w:val="fr-FR"/>
        </w:rPr>
        <w:t xml:space="preserve"> </w:t>
      </w:r>
      <w:r w:rsidR="00895C96" w:rsidRPr="00895C96">
        <w:rPr>
          <w:lang w:val="fr-FR"/>
        </w:rPr>
        <w:t>802</w:t>
      </w:r>
      <w:r w:rsidR="00F33DC4">
        <w:rPr>
          <w:lang w:val="fr-FR"/>
        </w:rPr>
        <w:t>;</w:t>
      </w:r>
      <w:r w:rsidR="00895C96" w:rsidRPr="00895C96">
        <w:rPr>
          <w:lang w:val="fr-FR"/>
        </w:rPr>
        <w:t xml:space="preserve"> Région des </w:t>
      </w:r>
      <w:r w:rsidR="00895C96" w:rsidRPr="00895C96">
        <w:rPr>
          <w:lang w:val="fr-FR"/>
        </w:rPr>
        <w:br/>
        <w:t>Plateaux: 4</w:t>
      </w:r>
      <w:r w:rsidR="00E336D7">
        <w:rPr>
          <w:lang w:val="fr-FR"/>
        </w:rPr>
        <w:t xml:space="preserve"> </w:t>
      </w:r>
      <w:r w:rsidR="00895C96" w:rsidRPr="00895C96">
        <w:rPr>
          <w:lang w:val="fr-FR"/>
        </w:rPr>
        <w:t xml:space="preserve">938). Reste à recenser les </w:t>
      </w:r>
      <w:r w:rsidR="00C35D92">
        <w:rPr>
          <w:lang w:val="fr-FR"/>
        </w:rPr>
        <w:t xml:space="preserve">individus </w:t>
      </w:r>
      <w:r w:rsidR="00895C96" w:rsidRPr="00895C96">
        <w:rPr>
          <w:lang w:val="fr-FR"/>
        </w:rPr>
        <w:t xml:space="preserve">déplacés des régions des Savanes </w:t>
      </w:r>
      <w:r w:rsidR="00895C96" w:rsidRPr="00895C96">
        <w:rPr>
          <w:lang w:val="fr-FR"/>
        </w:rPr>
        <w:br/>
        <w:t>et</w:t>
      </w:r>
      <w:r w:rsidR="00382281">
        <w:rPr>
          <w:lang w:val="fr-FR"/>
        </w:rPr>
        <w:t xml:space="preserve"> </w:t>
      </w:r>
      <w:r w:rsidR="00895C96" w:rsidRPr="00895C96">
        <w:rPr>
          <w:lang w:val="fr-FR"/>
        </w:rPr>
        <w:t xml:space="preserve">Maritime. </w:t>
      </w:r>
    </w:p>
    <w:p w:rsidR="00895C96" w:rsidRPr="00895C96" w:rsidRDefault="00CE3E1A" w:rsidP="00CE3E1A">
      <w:pPr>
        <w:pStyle w:val="H23G"/>
        <w:rPr>
          <w:lang w:val="fr-FR"/>
        </w:rPr>
      </w:pPr>
      <w:r>
        <w:rPr>
          <w:lang w:val="fr-FR"/>
        </w:rPr>
        <w:tab/>
      </w:r>
      <w:r>
        <w:rPr>
          <w:lang w:val="fr-FR"/>
        </w:rPr>
        <w:tab/>
        <w:t>3.</w:t>
      </w:r>
      <w:r>
        <w:rPr>
          <w:lang w:val="fr-FR"/>
        </w:rPr>
        <w:tab/>
      </w:r>
      <w:r w:rsidR="00895C96" w:rsidRPr="00895C96">
        <w:rPr>
          <w:lang w:val="fr-FR"/>
        </w:rPr>
        <w:t xml:space="preserve">Statistiques </w:t>
      </w:r>
      <w:r w:rsidR="00D12418">
        <w:rPr>
          <w:lang w:val="fr-FR"/>
        </w:rPr>
        <w:t>relatives aux</w:t>
      </w:r>
      <w:r w:rsidR="00D12418" w:rsidRPr="00895C96">
        <w:rPr>
          <w:lang w:val="fr-FR"/>
        </w:rPr>
        <w:t xml:space="preserve"> </w:t>
      </w:r>
      <w:r w:rsidR="00895C96" w:rsidRPr="00895C96">
        <w:rPr>
          <w:lang w:val="fr-FR"/>
        </w:rPr>
        <w:t xml:space="preserve">rapatriés togolais </w:t>
      </w:r>
    </w:p>
    <w:p w:rsidR="00895C96" w:rsidRPr="00895C96" w:rsidRDefault="00172848" w:rsidP="00E04030">
      <w:pPr>
        <w:pStyle w:val="SingleTxtG"/>
        <w:rPr>
          <w:lang w:val="fr-FR"/>
        </w:rPr>
      </w:pPr>
      <w:r>
        <w:rPr>
          <w:lang w:val="fr-FR"/>
        </w:rPr>
        <w:t>159.</w:t>
      </w:r>
      <w:r w:rsidR="00CE3E1A">
        <w:rPr>
          <w:lang w:val="fr-FR"/>
        </w:rPr>
        <w:tab/>
      </w:r>
      <w:r w:rsidR="00895C96" w:rsidRPr="00895C96">
        <w:rPr>
          <w:lang w:val="fr-FR"/>
        </w:rPr>
        <w:t>Environ 40</w:t>
      </w:r>
      <w:r w:rsidR="00041FB5">
        <w:rPr>
          <w:lang w:val="fr-FR"/>
        </w:rPr>
        <w:t xml:space="preserve"> </w:t>
      </w:r>
      <w:r w:rsidR="00895C96" w:rsidRPr="00895C96">
        <w:rPr>
          <w:lang w:val="fr-FR"/>
        </w:rPr>
        <w:t xml:space="preserve">000 réfugiés togolais au Bénin et au Ghana en 2005 ont regagné </w:t>
      </w:r>
      <w:r w:rsidR="00895C96" w:rsidRPr="00895C96">
        <w:rPr>
          <w:lang w:val="fr-FR"/>
        </w:rPr>
        <w:br/>
        <w:t xml:space="preserve">le bercail. </w:t>
      </w:r>
    </w:p>
    <w:p w:rsidR="00895C96" w:rsidRPr="00895C96" w:rsidRDefault="00172848" w:rsidP="00E04030">
      <w:pPr>
        <w:pStyle w:val="SingleTxtG"/>
        <w:rPr>
          <w:lang w:val="fr-FR"/>
        </w:rPr>
      </w:pPr>
      <w:r>
        <w:rPr>
          <w:lang w:val="fr-FR"/>
        </w:rPr>
        <w:t>160.</w:t>
      </w:r>
      <w:r w:rsidR="00CE3E1A">
        <w:rPr>
          <w:lang w:val="fr-FR"/>
        </w:rPr>
        <w:tab/>
      </w:r>
      <w:r w:rsidR="00895C96" w:rsidRPr="00895C96">
        <w:rPr>
          <w:lang w:val="fr-FR"/>
        </w:rPr>
        <w:t xml:space="preserve">Ce retour au pays s'est effectué de trois manières: </w:t>
      </w:r>
    </w:p>
    <w:p w:rsidR="00895C96" w:rsidRPr="00895C96" w:rsidRDefault="00CE3E1A" w:rsidP="00CE3E1A">
      <w:pPr>
        <w:pStyle w:val="SingleTxtG"/>
        <w:rPr>
          <w:lang w:val="fr-FR"/>
        </w:rPr>
      </w:pPr>
      <w:r>
        <w:rPr>
          <w:lang w:val="fr-FR"/>
        </w:rPr>
        <w:tab/>
      </w:r>
      <w:r w:rsidR="00895C96" w:rsidRPr="00895C96">
        <w:rPr>
          <w:lang w:val="fr-FR"/>
        </w:rPr>
        <w:t>l</w:t>
      </w:r>
      <w:r>
        <w:rPr>
          <w:lang w:val="fr-FR"/>
        </w:rPr>
        <w:t>.</w:t>
      </w:r>
      <w:r>
        <w:rPr>
          <w:lang w:val="fr-FR"/>
        </w:rPr>
        <w:tab/>
      </w:r>
      <w:r w:rsidR="007E1FAE">
        <w:rPr>
          <w:lang w:val="fr-FR"/>
        </w:rPr>
        <w:t>S</w:t>
      </w:r>
      <w:r w:rsidR="00895C96" w:rsidRPr="00895C96">
        <w:rPr>
          <w:lang w:val="fr-FR"/>
        </w:rPr>
        <w:t>pontanément</w:t>
      </w:r>
      <w:r w:rsidR="007E1FAE">
        <w:rPr>
          <w:lang w:val="fr-FR"/>
        </w:rPr>
        <w:t xml:space="preserve"> du fait des </w:t>
      </w:r>
      <w:r w:rsidR="00895C96" w:rsidRPr="00895C96">
        <w:rPr>
          <w:lang w:val="fr-FR"/>
        </w:rPr>
        <w:t xml:space="preserve">mesures d'apaisement initiées par le </w:t>
      </w:r>
      <w:r w:rsidR="009444AC">
        <w:rPr>
          <w:lang w:val="fr-FR"/>
        </w:rPr>
        <w:t>c</w:t>
      </w:r>
      <w:r w:rsidR="00895C96" w:rsidRPr="00895C96">
        <w:rPr>
          <w:lang w:val="fr-FR"/>
        </w:rPr>
        <w:t>hef de l'</w:t>
      </w:r>
      <w:r w:rsidR="001E7B6C">
        <w:rPr>
          <w:lang w:val="fr-FR"/>
        </w:rPr>
        <w:t>État</w:t>
      </w:r>
      <w:r w:rsidR="00F33DC4">
        <w:rPr>
          <w:lang w:val="fr-FR"/>
        </w:rPr>
        <w:t>;</w:t>
      </w:r>
      <w:r w:rsidR="00895C96" w:rsidRPr="00895C96">
        <w:rPr>
          <w:lang w:val="fr-FR"/>
        </w:rPr>
        <w:t xml:space="preserve"> </w:t>
      </w:r>
    </w:p>
    <w:p w:rsidR="00895C96" w:rsidRPr="00895C96" w:rsidRDefault="00CE3E1A" w:rsidP="00CE3E1A">
      <w:pPr>
        <w:pStyle w:val="SingleTxtG"/>
        <w:rPr>
          <w:lang w:val="fr-FR"/>
        </w:rPr>
      </w:pPr>
      <w:r>
        <w:rPr>
          <w:lang w:val="fr-FR"/>
        </w:rPr>
        <w:tab/>
      </w:r>
      <w:r w:rsidR="00895C96" w:rsidRPr="00895C96">
        <w:rPr>
          <w:lang w:val="fr-FR"/>
        </w:rPr>
        <w:t>2</w:t>
      </w:r>
      <w:r>
        <w:rPr>
          <w:lang w:val="fr-FR"/>
        </w:rPr>
        <w:t>.</w:t>
      </w:r>
      <w:r>
        <w:rPr>
          <w:lang w:val="fr-FR"/>
        </w:rPr>
        <w:tab/>
      </w:r>
      <w:r w:rsidR="007E1FAE">
        <w:rPr>
          <w:lang w:val="fr-FR"/>
        </w:rPr>
        <w:t>R</w:t>
      </w:r>
      <w:r w:rsidR="00895C96" w:rsidRPr="00895C96">
        <w:rPr>
          <w:lang w:val="fr-FR"/>
        </w:rPr>
        <w:t xml:space="preserve">apatriement effectué par le </w:t>
      </w:r>
      <w:r w:rsidR="00895C96" w:rsidRPr="007E1FAE">
        <w:rPr>
          <w:lang w:val="fr-FR"/>
        </w:rPr>
        <w:t>Haut</w:t>
      </w:r>
      <w:r w:rsidR="007E1FAE" w:rsidRPr="007E1FAE">
        <w:rPr>
          <w:lang w:val="fr-FR"/>
        </w:rPr>
        <w:t>-</w:t>
      </w:r>
      <w:r w:rsidR="00895C96" w:rsidRPr="007E1FAE">
        <w:rPr>
          <w:lang w:val="fr-FR"/>
        </w:rPr>
        <w:t>Commissariat</w:t>
      </w:r>
      <w:r w:rsidR="00895C96" w:rsidRPr="00895C96">
        <w:rPr>
          <w:lang w:val="fr-FR"/>
        </w:rPr>
        <w:t xml:space="preserve"> aux </w:t>
      </w:r>
      <w:r w:rsidR="007E1FAE">
        <w:rPr>
          <w:lang w:val="fr-FR"/>
        </w:rPr>
        <w:t>r</w:t>
      </w:r>
      <w:r w:rsidR="00895C96" w:rsidRPr="00895C96">
        <w:rPr>
          <w:lang w:val="fr-FR"/>
        </w:rPr>
        <w:t>apatriés et à l'</w:t>
      </w:r>
      <w:r w:rsidR="007E1FAE">
        <w:rPr>
          <w:lang w:val="fr-FR"/>
        </w:rPr>
        <w:t>a</w:t>
      </w:r>
      <w:r w:rsidR="00895C96" w:rsidRPr="00895C96">
        <w:rPr>
          <w:lang w:val="fr-FR"/>
        </w:rPr>
        <w:t xml:space="preserve">ction </w:t>
      </w:r>
      <w:r w:rsidR="007E1FAE">
        <w:rPr>
          <w:lang w:val="fr-FR"/>
        </w:rPr>
        <w:t>h</w:t>
      </w:r>
      <w:r w:rsidR="00895C96" w:rsidRPr="00895C96">
        <w:rPr>
          <w:lang w:val="fr-FR"/>
        </w:rPr>
        <w:t xml:space="preserve">umanitaire (HCRAH) seul; </w:t>
      </w:r>
    </w:p>
    <w:p w:rsidR="00895C96" w:rsidRPr="00895C96" w:rsidRDefault="00CE3E1A" w:rsidP="00CE3E1A">
      <w:pPr>
        <w:pStyle w:val="SingleTxtG"/>
        <w:rPr>
          <w:lang w:val="fr-FR"/>
        </w:rPr>
      </w:pPr>
      <w:r>
        <w:rPr>
          <w:lang w:val="fr-FR"/>
        </w:rPr>
        <w:tab/>
      </w:r>
      <w:r w:rsidR="00895C96" w:rsidRPr="00895C96">
        <w:rPr>
          <w:lang w:val="fr-FR"/>
        </w:rPr>
        <w:t>3</w:t>
      </w:r>
      <w:r>
        <w:rPr>
          <w:lang w:val="fr-FR"/>
        </w:rPr>
        <w:t>.</w:t>
      </w:r>
      <w:r>
        <w:rPr>
          <w:lang w:val="fr-FR"/>
        </w:rPr>
        <w:tab/>
      </w:r>
      <w:r w:rsidR="007E1FAE">
        <w:rPr>
          <w:lang w:val="fr-FR"/>
        </w:rPr>
        <w:t>R</w:t>
      </w:r>
      <w:r w:rsidR="00895C96" w:rsidRPr="00895C96">
        <w:rPr>
          <w:lang w:val="fr-FR"/>
        </w:rPr>
        <w:t>apatriement organisé par le Togo, le Haut</w:t>
      </w:r>
      <w:r w:rsidR="007E1FAE">
        <w:rPr>
          <w:lang w:val="fr-FR"/>
        </w:rPr>
        <w:t>-</w:t>
      </w:r>
      <w:r w:rsidR="00895C96" w:rsidRPr="00895C96">
        <w:rPr>
          <w:lang w:val="fr-FR"/>
        </w:rPr>
        <w:t xml:space="preserve">Commissariat </w:t>
      </w:r>
      <w:r w:rsidR="003C7555">
        <w:rPr>
          <w:lang w:val="fr-FR"/>
        </w:rPr>
        <w:t>pour les</w:t>
      </w:r>
      <w:r w:rsidR="003C7555" w:rsidRPr="00895C96">
        <w:rPr>
          <w:lang w:val="fr-FR"/>
        </w:rPr>
        <w:t xml:space="preserve"> </w:t>
      </w:r>
      <w:r w:rsidR="007E1FAE">
        <w:rPr>
          <w:lang w:val="fr-FR"/>
        </w:rPr>
        <w:t>r</w:t>
      </w:r>
      <w:r w:rsidR="00895C96" w:rsidRPr="00895C96">
        <w:rPr>
          <w:lang w:val="fr-FR"/>
        </w:rPr>
        <w:t xml:space="preserve">éfugiés (HCR) et les deux pays d'accueil des réfugiés (le Bénin et le Ghana) après la signature des </w:t>
      </w:r>
      <w:r w:rsidR="007E1FAE">
        <w:rPr>
          <w:lang w:val="fr-FR"/>
        </w:rPr>
        <w:t>A</w:t>
      </w:r>
      <w:r w:rsidR="00895C96" w:rsidRPr="00895C96">
        <w:rPr>
          <w:lang w:val="fr-FR"/>
        </w:rPr>
        <w:t>ccords tripartites, les</w:t>
      </w:r>
      <w:r w:rsidR="00382281">
        <w:rPr>
          <w:lang w:val="fr-FR"/>
        </w:rPr>
        <w:t xml:space="preserve"> </w:t>
      </w:r>
      <w:r w:rsidR="00895C96" w:rsidRPr="00895C96">
        <w:rPr>
          <w:lang w:val="fr-FR"/>
        </w:rPr>
        <w:t xml:space="preserve">3 et 11 avril 2007. Ces </w:t>
      </w:r>
      <w:r w:rsidR="00895C96" w:rsidRPr="00F5246E">
        <w:rPr>
          <w:lang w:val="fr-FR"/>
        </w:rPr>
        <w:t>accords</w:t>
      </w:r>
      <w:r w:rsidR="0089570C">
        <w:rPr>
          <w:lang w:val="fr-FR"/>
        </w:rPr>
        <w:t>,</w:t>
      </w:r>
      <w:r w:rsidR="00895C96" w:rsidRPr="00895C96">
        <w:rPr>
          <w:lang w:val="fr-FR"/>
        </w:rPr>
        <w:t xml:space="preserve"> signés en avril 2007, créent le cadre juridique dans lequel se déroule actuellement le rapatriement des réfugiés togolais. </w:t>
      </w:r>
    </w:p>
    <w:p w:rsidR="00895C96" w:rsidRPr="00895C96" w:rsidRDefault="00172848" w:rsidP="00E04030">
      <w:pPr>
        <w:pStyle w:val="SingleTxtG"/>
        <w:rPr>
          <w:lang w:val="fr-FR"/>
        </w:rPr>
      </w:pPr>
      <w:r>
        <w:rPr>
          <w:lang w:val="fr-FR"/>
        </w:rPr>
        <w:t>161.</w:t>
      </w:r>
      <w:r w:rsidR="00CE3E1A">
        <w:rPr>
          <w:lang w:val="fr-FR"/>
        </w:rPr>
        <w:tab/>
      </w:r>
      <w:r w:rsidR="00895C96" w:rsidRPr="00895C96">
        <w:rPr>
          <w:lang w:val="fr-FR"/>
        </w:rPr>
        <w:t>Il faut rappeler qu'en juin 2005 le HCR avait recensé 26</w:t>
      </w:r>
      <w:r w:rsidR="0089570C">
        <w:rPr>
          <w:lang w:val="fr-FR"/>
        </w:rPr>
        <w:t xml:space="preserve"> </w:t>
      </w:r>
      <w:r w:rsidR="00895C96" w:rsidRPr="00895C96">
        <w:rPr>
          <w:lang w:val="fr-FR"/>
        </w:rPr>
        <w:t>500 et 23</w:t>
      </w:r>
      <w:r w:rsidR="0089570C">
        <w:rPr>
          <w:lang w:val="fr-FR"/>
        </w:rPr>
        <w:t xml:space="preserve"> </w:t>
      </w:r>
      <w:r w:rsidR="00895C96" w:rsidRPr="00895C96">
        <w:rPr>
          <w:lang w:val="fr-FR"/>
        </w:rPr>
        <w:t>826 réfugiés togolais, respectivement au Bénin et au Ghana.</w:t>
      </w:r>
    </w:p>
    <w:p w:rsidR="00895C96" w:rsidRPr="00895C96" w:rsidRDefault="00CE3E1A" w:rsidP="00CE3E1A">
      <w:pPr>
        <w:pStyle w:val="H23G"/>
        <w:rPr>
          <w:lang w:val="fr-FR"/>
        </w:rPr>
      </w:pPr>
      <w:r>
        <w:rPr>
          <w:lang w:val="fr-FR"/>
        </w:rPr>
        <w:tab/>
      </w:r>
      <w:r w:rsidR="00895C96" w:rsidRPr="00895C96">
        <w:rPr>
          <w:lang w:val="fr-FR"/>
        </w:rPr>
        <w:t>III</w:t>
      </w:r>
      <w:r>
        <w:rPr>
          <w:lang w:val="fr-FR"/>
        </w:rPr>
        <w:t>.</w:t>
      </w:r>
      <w:r>
        <w:rPr>
          <w:lang w:val="fr-FR"/>
        </w:rPr>
        <w:tab/>
      </w:r>
      <w:r w:rsidR="00895C96" w:rsidRPr="00895C96">
        <w:rPr>
          <w:lang w:val="fr-FR"/>
        </w:rPr>
        <w:t>Résumé des actions menées pour favoriser le retour des réfugiés togolais</w:t>
      </w:r>
    </w:p>
    <w:p w:rsidR="00895C96" w:rsidRPr="00895C96" w:rsidRDefault="00172848" w:rsidP="00E04030">
      <w:pPr>
        <w:pStyle w:val="SingleTxtG"/>
        <w:rPr>
          <w:lang w:val="fr-FR"/>
        </w:rPr>
      </w:pPr>
      <w:r>
        <w:rPr>
          <w:lang w:val="fr-FR"/>
        </w:rPr>
        <w:t>162.</w:t>
      </w:r>
      <w:r w:rsidR="00CE3E1A">
        <w:rPr>
          <w:lang w:val="fr-FR"/>
        </w:rPr>
        <w:tab/>
      </w:r>
      <w:r w:rsidR="00895C96" w:rsidRPr="00895C96">
        <w:rPr>
          <w:lang w:val="fr-FR"/>
        </w:rPr>
        <w:t>La création du Haut</w:t>
      </w:r>
      <w:r w:rsidR="00A777CF">
        <w:rPr>
          <w:lang w:val="fr-FR"/>
        </w:rPr>
        <w:t>-</w:t>
      </w:r>
      <w:r w:rsidR="00895C96" w:rsidRPr="00895C96">
        <w:rPr>
          <w:lang w:val="fr-FR"/>
        </w:rPr>
        <w:t xml:space="preserve">Commissariat aux </w:t>
      </w:r>
      <w:r w:rsidR="00A777CF">
        <w:rPr>
          <w:lang w:val="fr-FR"/>
        </w:rPr>
        <w:t>r</w:t>
      </w:r>
      <w:r w:rsidR="00895C96" w:rsidRPr="00895C96">
        <w:rPr>
          <w:lang w:val="fr-FR"/>
        </w:rPr>
        <w:t>apatriés et à l'</w:t>
      </w:r>
      <w:r w:rsidR="00A777CF">
        <w:rPr>
          <w:lang w:val="fr-FR"/>
        </w:rPr>
        <w:t>a</w:t>
      </w:r>
      <w:r w:rsidR="00895C96" w:rsidRPr="00895C96">
        <w:rPr>
          <w:lang w:val="fr-FR"/>
        </w:rPr>
        <w:t xml:space="preserve">ction </w:t>
      </w:r>
      <w:r w:rsidR="00A777CF">
        <w:rPr>
          <w:lang w:val="fr-FR"/>
        </w:rPr>
        <w:t>h</w:t>
      </w:r>
      <w:r w:rsidR="00895C96" w:rsidRPr="00895C96">
        <w:rPr>
          <w:lang w:val="fr-FR"/>
        </w:rPr>
        <w:t>umanitaire (HCRAH),</w:t>
      </w:r>
      <w:r w:rsidR="00382281">
        <w:rPr>
          <w:lang w:val="fr-FR"/>
        </w:rPr>
        <w:t xml:space="preserve"> </w:t>
      </w:r>
      <w:r w:rsidR="00895C96" w:rsidRPr="00895C96">
        <w:rPr>
          <w:lang w:val="fr-FR"/>
        </w:rPr>
        <w:t xml:space="preserve">quelques mois seulement après les violences qui ont émaillé l'élection présidentielle </w:t>
      </w:r>
      <w:r w:rsidR="00234A98">
        <w:rPr>
          <w:lang w:val="fr-FR"/>
        </w:rPr>
        <w:t>en</w:t>
      </w:r>
      <w:r w:rsidR="00393196">
        <w:rPr>
          <w:lang w:val="fr-FR"/>
        </w:rPr>
        <w:t xml:space="preserve"> </w:t>
      </w:r>
      <w:r w:rsidR="00895C96" w:rsidRPr="00895C96">
        <w:rPr>
          <w:lang w:val="fr-FR"/>
        </w:rPr>
        <w:t>2005</w:t>
      </w:r>
      <w:r w:rsidR="00234A98">
        <w:rPr>
          <w:lang w:val="fr-FR"/>
        </w:rPr>
        <w:t>,</w:t>
      </w:r>
      <w:r w:rsidR="00382281">
        <w:rPr>
          <w:lang w:val="fr-FR"/>
        </w:rPr>
        <w:t xml:space="preserve"> </w:t>
      </w:r>
      <w:r w:rsidR="00895C96" w:rsidRPr="00895C96">
        <w:rPr>
          <w:lang w:val="fr-FR"/>
        </w:rPr>
        <w:t>est un signe d'apaisement et une volonté de pacification du pays</w:t>
      </w:r>
      <w:r w:rsidR="009444AC">
        <w:rPr>
          <w:lang w:val="fr-FR"/>
        </w:rPr>
        <w:t>.</w:t>
      </w:r>
      <w:r w:rsidR="00895C96" w:rsidRPr="00895C96">
        <w:rPr>
          <w:lang w:val="fr-FR"/>
        </w:rPr>
        <w:t xml:space="preserve"> </w:t>
      </w:r>
    </w:p>
    <w:p w:rsidR="00895C96" w:rsidRPr="00895C96" w:rsidRDefault="00172848" w:rsidP="009444AC">
      <w:pPr>
        <w:pStyle w:val="SingleTxtG"/>
        <w:rPr>
          <w:lang w:val="fr-FR"/>
        </w:rPr>
      </w:pPr>
      <w:r>
        <w:rPr>
          <w:lang w:val="fr-FR"/>
        </w:rPr>
        <w:t>163.</w:t>
      </w:r>
      <w:r>
        <w:rPr>
          <w:lang w:val="fr-FR"/>
        </w:rPr>
        <w:tab/>
      </w:r>
      <w:r w:rsidR="00895C96" w:rsidRPr="00895C96">
        <w:rPr>
          <w:lang w:val="fr-FR"/>
        </w:rPr>
        <w:t xml:space="preserve">Le 10 mars 2006, sur instruction du </w:t>
      </w:r>
      <w:r w:rsidR="00382281">
        <w:rPr>
          <w:lang w:val="fr-FR"/>
        </w:rPr>
        <w:t>chef</w:t>
      </w:r>
      <w:r w:rsidR="00895C96" w:rsidRPr="00895C96">
        <w:rPr>
          <w:lang w:val="fr-FR"/>
        </w:rPr>
        <w:t xml:space="preserve"> de l'</w:t>
      </w:r>
      <w:r w:rsidR="00234A98">
        <w:rPr>
          <w:lang w:val="fr-FR"/>
        </w:rPr>
        <w:t>É</w:t>
      </w:r>
      <w:r w:rsidR="00895C96" w:rsidRPr="00895C96">
        <w:rPr>
          <w:lang w:val="fr-FR"/>
        </w:rPr>
        <w:t xml:space="preserve">tat, le Premier Ministre d’alors a signé la lettre circulaire instruisant les Forces de l'Ordre, les Magistrats du Parquet et les officiers de police judiciaire d'abandonner instamment toutes poursuites diligentées ou à diligenter à l'encontre des présumés auteurs d'infractions ou de délits étroitement liés à l'élection et à la période sus visée, à l'exclusion des présumés auteurs de crimes de sang. </w:t>
      </w:r>
    </w:p>
    <w:p w:rsidR="00895C96" w:rsidRPr="00895C96" w:rsidRDefault="00746A26" w:rsidP="009444AC">
      <w:pPr>
        <w:pStyle w:val="SingleTxtG"/>
        <w:rPr>
          <w:lang w:val="fr-FR"/>
        </w:rPr>
      </w:pPr>
      <w:r>
        <w:rPr>
          <w:lang w:val="fr-FR"/>
        </w:rPr>
        <w:t>164.</w:t>
      </w:r>
      <w:r>
        <w:rPr>
          <w:lang w:val="fr-FR"/>
        </w:rPr>
        <w:tab/>
      </w:r>
      <w:r w:rsidR="00895C96" w:rsidRPr="00895C96">
        <w:rPr>
          <w:lang w:val="fr-FR"/>
        </w:rPr>
        <w:t>Conformément au plan d'action gouvernemental pour le retour des réfugiés, neuf (09) Comités d'accueil, de suivi et d'assistance à la réinsertion des rapatriés, chargés de réconcilier les populations</w:t>
      </w:r>
      <w:r w:rsidR="001D3BA2">
        <w:rPr>
          <w:lang w:val="fr-FR"/>
        </w:rPr>
        <w:t>,</w:t>
      </w:r>
      <w:r w:rsidR="00895C96" w:rsidRPr="00895C96">
        <w:rPr>
          <w:lang w:val="fr-FR"/>
        </w:rPr>
        <w:t xml:space="preserve"> sont installées dans les localités qui ont connu des déplacements de populations</w:t>
      </w:r>
      <w:r w:rsidR="00F33DC4">
        <w:rPr>
          <w:lang w:val="fr-FR"/>
        </w:rPr>
        <w:t>:</w:t>
      </w:r>
      <w:r w:rsidR="00895C96" w:rsidRPr="00895C96">
        <w:rPr>
          <w:lang w:val="fr-FR"/>
        </w:rPr>
        <w:t xml:space="preserve"> </w:t>
      </w:r>
      <w:r w:rsidR="00895C96" w:rsidRPr="00895C96">
        <w:rPr>
          <w:b/>
          <w:bCs/>
          <w:lang w:val="fr-FR"/>
        </w:rPr>
        <w:t>Préfecture de Golfe, Lomé-Commune, Aného, Atakpamé, Kpalimé, Tohoun, Danyi, Sokodé et Mango</w:t>
      </w:r>
      <w:r w:rsidR="00895C96" w:rsidRPr="00895C96">
        <w:rPr>
          <w:lang w:val="fr-FR"/>
        </w:rPr>
        <w:t xml:space="preserve">. </w:t>
      </w:r>
    </w:p>
    <w:p w:rsidR="00895C96" w:rsidRPr="00895C96" w:rsidRDefault="00746A26" w:rsidP="009444AC">
      <w:pPr>
        <w:pStyle w:val="SingleTxtG"/>
        <w:rPr>
          <w:lang w:val="fr-FR"/>
        </w:rPr>
      </w:pPr>
      <w:r>
        <w:rPr>
          <w:lang w:val="fr-FR"/>
        </w:rPr>
        <w:t>165.</w:t>
      </w:r>
      <w:r>
        <w:rPr>
          <w:lang w:val="fr-FR"/>
        </w:rPr>
        <w:tab/>
      </w:r>
      <w:r w:rsidR="00895C96" w:rsidRPr="00895C96">
        <w:rPr>
          <w:lang w:val="fr-FR"/>
        </w:rPr>
        <w:t xml:space="preserve">En appui à la politique de réinsertion des rapatriés, le Gouvernement a obtenu de l'Union </w:t>
      </w:r>
      <w:r w:rsidR="00382281">
        <w:rPr>
          <w:lang w:val="fr-FR"/>
        </w:rPr>
        <w:t>européenne</w:t>
      </w:r>
      <w:r w:rsidR="00895C96" w:rsidRPr="00895C96">
        <w:rPr>
          <w:lang w:val="fr-FR"/>
        </w:rPr>
        <w:t xml:space="preserve"> une somme de six </w:t>
      </w:r>
      <w:r w:rsidR="00895C96" w:rsidRPr="00F5246E">
        <w:rPr>
          <w:lang w:val="fr-FR"/>
        </w:rPr>
        <w:t>cent</w:t>
      </w:r>
      <w:r w:rsidR="00F5246E" w:rsidRPr="00F5246E">
        <w:rPr>
          <w:lang w:val="fr-FR"/>
        </w:rPr>
        <w:t>s</w:t>
      </w:r>
      <w:r w:rsidR="00895C96" w:rsidRPr="00895C96">
        <w:rPr>
          <w:lang w:val="fr-FR"/>
        </w:rPr>
        <w:t xml:space="preserve"> millions (600</w:t>
      </w:r>
      <w:r w:rsidR="00382281">
        <w:rPr>
          <w:lang w:val="fr-FR"/>
        </w:rPr>
        <w:t xml:space="preserve"> 0</w:t>
      </w:r>
      <w:r w:rsidR="00895C96" w:rsidRPr="00895C96">
        <w:rPr>
          <w:lang w:val="fr-FR"/>
        </w:rPr>
        <w:t>00</w:t>
      </w:r>
      <w:r w:rsidR="00382281">
        <w:rPr>
          <w:lang w:val="fr-FR"/>
        </w:rPr>
        <w:t xml:space="preserve"> 0</w:t>
      </w:r>
      <w:r w:rsidR="00895C96" w:rsidRPr="00895C96">
        <w:rPr>
          <w:lang w:val="fr-FR"/>
        </w:rPr>
        <w:t xml:space="preserve">00) </w:t>
      </w:r>
      <w:r w:rsidR="00392818">
        <w:rPr>
          <w:lang w:val="fr-FR"/>
        </w:rPr>
        <w:t xml:space="preserve">de </w:t>
      </w:r>
      <w:r w:rsidR="00895C96" w:rsidRPr="00895C96">
        <w:rPr>
          <w:lang w:val="fr-FR"/>
        </w:rPr>
        <w:t xml:space="preserve">FCFA destinée à la réalisation des infrastructures sociocollectives dans toutes les régions du pays. Il s'agit de la construction des bâtiments scolaires à </w:t>
      </w:r>
      <w:r w:rsidR="00895C96" w:rsidRPr="00895C96">
        <w:rPr>
          <w:b/>
          <w:bCs/>
          <w:lang w:val="fr-FR"/>
        </w:rPr>
        <w:t>Vo, Mango, Wawa, Kpalimé et Aného</w:t>
      </w:r>
      <w:r w:rsidR="00895C96" w:rsidRPr="00895C96">
        <w:rPr>
          <w:lang w:val="fr-FR"/>
        </w:rPr>
        <w:t xml:space="preserve">, des centres communautaires </w:t>
      </w:r>
      <w:r w:rsidR="00392818">
        <w:rPr>
          <w:lang w:val="fr-FR"/>
        </w:rPr>
        <w:t>à</w:t>
      </w:r>
      <w:r w:rsidR="00392818">
        <w:rPr>
          <w:b/>
          <w:bCs/>
          <w:lang w:val="fr-FR"/>
        </w:rPr>
        <w:t xml:space="preserve"> </w:t>
      </w:r>
      <w:r w:rsidR="00895C96" w:rsidRPr="00895C96">
        <w:rPr>
          <w:b/>
          <w:bCs/>
          <w:lang w:val="fr-FR"/>
        </w:rPr>
        <w:t>Adéwui, Akodéssewa, Danyi et Tohoun</w:t>
      </w:r>
      <w:r w:rsidR="00895C96" w:rsidRPr="00895C96">
        <w:rPr>
          <w:lang w:val="fr-FR"/>
        </w:rPr>
        <w:t xml:space="preserve">, </w:t>
      </w:r>
      <w:r w:rsidR="00392818">
        <w:rPr>
          <w:lang w:val="fr-FR"/>
        </w:rPr>
        <w:t>d’</w:t>
      </w:r>
      <w:r w:rsidR="00895C96" w:rsidRPr="00895C96">
        <w:rPr>
          <w:lang w:val="fr-FR"/>
        </w:rPr>
        <w:t xml:space="preserve">un foyer d'accueil des enfants victimes de trafic à </w:t>
      </w:r>
      <w:r w:rsidR="00895C96" w:rsidRPr="00895C96">
        <w:rPr>
          <w:b/>
          <w:bCs/>
          <w:lang w:val="fr-FR"/>
        </w:rPr>
        <w:t>Baguida</w:t>
      </w:r>
      <w:r w:rsidR="00895C96" w:rsidRPr="00895C96">
        <w:rPr>
          <w:lang w:val="fr-FR"/>
        </w:rPr>
        <w:t xml:space="preserve"> et </w:t>
      </w:r>
      <w:r w:rsidR="00392818">
        <w:rPr>
          <w:lang w:val="fr-FR"/>
        </w:rPr>
        <w:t xml:space="preserve">de </w:t>
      </w:r>
      <w:r w:rsidR="00895C96" w:rsidRPr="00895C96">
        <w:rPr>
          <w:lang w:val="fr-FR"/>
        </w:rPr>
        <w:t xml:space="preserve">trois centres de santé à </w:t>
      </w:r>
      <w:r w:rsidR="00895C96" w:rsidRPr="00895C96">
        <w:rPr>
          <w:b/>
          <w:bCs/>
          <w:lang w:val="fr-FR"/>
        </w:rPr>
        <w:t>Boco, à Sokodé et à Klikamé.</w:t>
      </w:r>
      <w:r w:rsidR="00895C96" w:rsidRPr="00895C96">
        <w:rPr>
          <w:lang w:val="fr-FR"/>
        </w:rPr>
        <w:t xml:space="preserve"> </w:t>
      </w:r>
    </w:p>
    <w:p w:rsidR="00895C96" w:rsidRPr="00895C96" w:rsidRDefault="00746A26" w:rsidP="00E04030">
      <w:pPr>
        <w:pStyle w:val="SingleTxtG"/>
        <w:rPr>
          <w:lang w:val="fr-FR"/>
        </w:rPr>
      </w:pPr>
      <w:r>
        <w:rPr>
          <w:lang w:val="fr-FR"/>
        </w:rPr>
        <w:t>166.</w:t>
      </w:r>
      <w:r w:rsidR="00CE3E1A">
        <w:rPr>
          <w:lang w:val="fr-FR"/>
        </w:rPr>
        <w:tab/>
      </w:r>
      <w:r w:rsidR="00895C96" w:rsidRPr="00895C96">
        <w:rPr>
          <w:lang w:val="fr-FR"/>
        </w:rPr>
        <w:t xml:space="preserve">Ces ouvrages sont des symboles autour desquels les populations pourront se </w:t>
      </w:r>
      <w:r w:rsidR="00895C96" w:rsidRPr="00895C96">
        <w:rPr>
          <w:lang w:val="fr-FR"/>
        </w:rPr>
        <w:br/>
        <w:t xml:space="preserve">réconcilier. </w:t>
      </w:r>
    </w:p>
    <w:p w:rsidR="00895C96" w:rsidRPr="00895C96" w:rsidRDefault="00CE3E1A" w:rsidP="00CE3E1A">
      <w:pPr>
        <w:pStyle w:val="H23G"/>
        <w:rPr>
          <w:lang w:val="fr-FR"/>
        </w:rPr>
      </w:pPr>
      <w:r>
        <w:rPr>
          <w:lang w:val="fr-FR"/>
        </w:rPr>
        <w:tab/>
      </w:r>
      <w:r w:rsidR="00895C96" w:rsidRPr="00895C96">
        <w:rPr>
          <w:lang w:val="fr-FR"/>
        </w:rPr>
        <w:t>IV</w:t>
      </w:r>
      <w:r>
        <w:rPr>
          <w:lang w:val="fr-FR"/>
        </w:rPr>
        <w:t>.</w:t>
      </w:r>
      <w:r>
        <w:rPr>
          <w:lang w:val="fr-FR"/>
        </w:rPr>
        <w:tab/>
      </w:r>
      <w:r w:rsidR="00895C96" w:rsidRPr="00895C96">
        <w:rPr>
          <w:lang w:val="fr-FR"/>
        </w:rPr>
        <w:t>Activités d'accueil et de réinsertion des réfugi</w:t>
      </w:r>
      <w:r w:rsidR="00FC00D9">
        <w:rPr>
          <w:lang w:val="fr-FR"/>
        </w:rPr>
        <w:t>é</w:t>
      </w:r>
      <w:r w:rsidR="00895C96" w:rsidRPr="00895C96">
        <w:rPr>
          <w:lang w:val="fr-FR"/>
        </w:rPr>
        <w:t xml:space="preserve">s </w:t>
      </w:r>
    </w:p>
    <w:p w:rsidR="00895C96" w:rsidRPr="003B3E36" w:rsidRDefault="00746A26" w:rsidP="00E04030">
      <w:pPr>
        <w:pStyle w:val="SingleTxtG"/>
        <w:rPr>
          <w:lang w:val="fr-FR"/>
        </w:rPr>
      </w:pPr>
      <w:r>
        <w:rPr>
          <w:lang w:val="fr-FR"/>
        </w:rPr>
        <w:t>167.</w:t>
      </w:r>
      <w:r w:rsidR="00CE3E1A">
        <w:rPr>
          <w:lang w:val="fr-FR"/>
        </w:rPr>
        <w:tab/>
      </w:r>
      <w:r w:rsidR="00895C96" w:rsidRPr="003B3E36">
        <w:rPr>
          <w:lang w:val="fr-FR"/>
        </w:rPr>
        <w:t xml:space="preserve">Après leur rapatriement les compatriotes doivent être accompagnés pendant </w:t>
      </w:r>
      <w:r w:rsidR="00895C96" w:rsidRPr="003B3E36">
        <w:rPr>
          <w:lang w:val="fr-FR"/>
        </w:rPr>
        <w:br/>
        <w:t xml:space="preserve">au moins un an afin qu'ils puissent se stabiliser: </w:t>
      </w:r>
    </w:p>
    <w:p w:rsidR="00895C96" w:rsidRPr="00895C96" w:rsidRDefault="003B3E36" w:rsidP="00CE3E1A">
      <w:pPr>
        <w:pStyle w:val="Bullet1G"/>
        <w:rPr>
          <w:lang w:val="fr-FR"/>
        </w:rPr>
      </w:pPr>
      <w:r>
        <w:rPr>
          <w:lang w:val="fr-FR"/>
        </w:rPr>
        <w:t>L</w:t>
      </w:r>
      <w:r w:rsidR="00895C96" w:rsidRPr="003B3E36">
        <w:rPr>
          <w:lang w:val="fr-FR"/>
        </w:rPr>
        <w:t>es malades ont</w:t>
      </w:r>
      <w:r w:rsidR="00895C96" w:rsidRPr="00895C96">
        <w:rPr>
          <w:lang w:val="fr-FR"/>
        </w:rPr>
        <w:t xml:space="preserve"> bénéficié</w:t>
      </w:r>
      <w:r>
        <w:rPr>
          <w:lang w:val="fr-FR"/>
        </w:rPr>
        <w:t>,</w:t>
      </w:r>
      <w:r w:rsidR="00895C96" w:rsidRPr="00895C96">
        <w:rPr>
          <w:lang w:val="fr-FR"/>
        </w:rPr>
        <w:t xml:space="preserve"> selon les cas, des frais médicaux; </w:t>
      </w:r>
    </w:p>
    <w:p w:rsidR="00895C96" w:rsidRPr="00895C96" w:rsidRDefault="003B3E36" w:rsidP="00CE3E1A">
      <w:pPr>
        <w:pStyle w:val="Bullet1G"/>
        <w:rPr>
          <w:lang w:val="fr-FR"/>
        </w:rPr>
      </w:pPr>
      <w:r>
        <w:rPr>
          <w:lang w:val="fr-FR"/>
        </w:rPr>
        <w:t>D</w:t>
      </w:r>
      <w:r w:rsidR="00895C96" w:rsidRPr="00895C96">
        <w:rPr>
          <w:lang w:val="fr-FR"/>
        </w:rPr>
        <w:t xml:space="preserve">es appuis sont accordés à ceux qui ont contracté ou accumulé des dettes de loyer pendant l'exil, surtout </w:t>
      </w:r>
      <w:r>
        <w:rPr>
          <w:lang w:val="fr-FR"/>
        </w:rPr>
        <w:t>l</w:t>
      </w:r>
      <w:r w:rsidR="00895C96" w:rsidRPr="00895C96">
        <w:rPr>
          <w:lang w:val="fr-FR"/>
        </w:rPr>
        <w:t>es personnes vulnérables (femmes enceintes ou accompagnées de beaucoup d'enfants, veuves, vieillards)</w:t>
      </w:r>
      <w:r w:rsidR="00F33DC4">
        <w:rPr>
          <w:lang w:val="fr-FR"/>
        </w:rPr>
        <w:t>;</w:t>
      </w:r>
      <w:r w:rsidR="00895C96" w:rsidRPr="00895C96">
        <w:rPr>
          <w:lang w:val="fr-FR"/>
        </w:rPr>
        <w:t xml:space="preserve"> </w:t>
      </w:r>
    </w:p>
    <w:p w:rsidR="00895C96" w:rsidRPr="00895C96" w:rsidRDefault="003B3E36" w:rsidP="00CE3E1A">
      <w:pPr>
        <w:pStyle w:val="Bullet1G"/>
        <w:rPr>
          <w:lang w:val="fr-FR"/>
        </w:rPr>
      </w:pPr>
      <w:r>
        <w:rPr>
          <w:lang w:val="fr-FR"/>
        </w:rPr>
        <w:t>D</w:t>
      </w:r>
      <w:r w:rsidR="00895C96" w:rsidRPr="00895C96">
        <w:rPr>
          <w:lang w:val="fr-FR"/>
        </w:rPr>
        <w:t xml:space="preserve">es aides en vivres </w:t>
      </w:r>
      <w:r>
        <w:rPr>
          <w:lang w:val="fr-FR"/>
        </w:rPr>
        <w:t>ou</w:t>
      </w:r>
      <w:r w:rsidRPr="00895C96">
        <w:rPr>
          <w:lang w:val="fr-FR"/>
        </w:rPr>
        <w:t xml:space="preserve"> </w:t>
      </w:r>
      <w:r w:rsidR="00895C96" w:rsidRPr="00895C96">
        <w:rPr>
          <w:lang w:val="fr-FR"/>
        </w:rPr>
        <w:t xml:space="preserve">non ont été accordées aux rapatriés afin de les accompagner; </w:t>
      </w:r>
    </w:p>
    <w:p w:rsidR="00895C96" w:rsidRPr="00895C96" w:rsidRDefault="003B3E36" w:rsidP="00CE3E1A">
      <w:pPr>
        <w:pStyle w:val="Bullet1G"/>
        <w:rPr>
          <w:lang w:val="fr-FR"/>
        </w:rPr>
      </w:pPr>
      <w:r>
        <w:rPr>
          <w:lang w:val="fr-FR"/>
        </w:rPr>
        <w:t>L</w:t>
      </w:r>
      <w:r w:rsidR="00895C96" w:rsidRPr="00895C96">
        <w:rPr>
          <w:lang w:val="fr-FR"/>
        </w:rPr>
        <w:t xml:space="preserve">es rapatriés ont bénéficié également de la réhabilitation de leur maison </w:t>
      </w:r>
      <w:r w:rsidR="00895C96" w:rsidRPr="00895C96">
        <w:rPr>
          <w:lang w:val="fr-FR"/>
        </w:rPr>
        <w:br/>
        <w:t>(selon les cas)</w:t>
      </w:r>
      <w:r w:rsidR="00F33DC4">
        <w:rPr>
          <w:lang w:val="fr-FR"/>
        </w:rPr>
        <w:t>;</w:t>
      </w:r>
      <w:r w:rsidR="00895C96" w:rsidRPr="00895C96">
        <w:rPr>
          <w:lang w:val="fr-FR"/>
        </w:rPr>
        <w:t xml:space="preserve"> </w:t>
      </w:r>
    </w:p>
    <w:p w:rsidR="00895C96" w:rsidRPr="00895C96" w:rsidRDefault="003B3E36" w:rsidP="00CE3E1A">
      <w:pPr>
        <w:pStyle w:val="Bullet1G"/>
        <w:rPr>
          <w:lang w:val="fr-FR"/>
        </w:rPr>
      </w:pPr>
      <w:r>
        <w:rPr>
          <w:lang w:val="fr-FR"/>
        </w:rPr>
        <w:t>D</w:t>
      </w:r>
      <w:r w:rsidR="00895C96" w:rsidRPr="00895C96">
        <w:rPr>
          <w:lang w:val="fr-FR"/>
        </w:rPr>
        <w:t xml:space="preserve">es groupements agropastoraux de rapatriés ont été financés afin de leur permettre de se prendre en charge; </w:t>
      </w:r>
    </w:p>
    <w:p w:rsidR="00895C96" w:rsidRPr="00895C96" w:rsidRDefault="003B3E36" w:rsidP="00CE3E1A">
      <w:pPr>
        <w:pStyle w:val="Bullet1G"/>
        <w:rPr>
          <w:lang w:val="fr-FR"/>
        </w:rPr>
      </w:pPr>
      <w:r>
        <w:rPr>
          <w:lang w:val="fr-FR"/>
        </w:rPr>
        <w:t>P</w:t>
      </w:r>
      <w:r w:rsidR="00895C96" w:rsidRPr="00895C96">
        <w:rPr>
          <w:lang w:val="fr-FR"/>
        </w:rPr>
        <w:t xml:space="preserve">aiement des frais scolaires aux élèves et aux étudiants rapatriés du Bénin; </w:t>
      </w:r>
    </w:p>
    <w:p w:rsidR="00895C96" w:rsidRPr="00895C96" w:rsidRDefault="003B3E36" w:rsidP="00CE3E1A">
      <w:pPr>
        <w:pStyle w:val="Bullet1G"/>
        <w:rPr>
          <w:lang w:val="fr-FR"/>
        </w:rPr>
      </w:pPr>
      <w:r>
        <w:rPr>
          <w:lang w:val="fr-FR"/>
        </w:rPr>
        <w:t>A</w:t>
      </w:r>
      <w:r w:rsidR="00895C96" w:rsidRPr="00895C96">
        <w:rPr>
          <w:lang w:val="fr-FR"/>
        </w:rPr>
        <w:t>ttribution des attestations de rapatriement à chaque rapatrié avec sa photo pour sa</w:t>
      </w:r>
      <w:r w:rsidR="00382281">
        <w:rPr>
          <w:lang w:val="fr-FR"/>
        </w:rPr>
        <w:t xml:space="preserve"> </w:t>
      </w:r>
      <w:r w:rsidR="00895C96" w:rsidRPr="00895C96">
        <w:rPr>
          <w:lang w:val="fr-FR"/>
        </w:rPr>
        <w:t xml:space="preserve">protection sur toute l'étendue du territoire national; </w:t>
      </w:r>
    </w:p>
    <w:p w:rsidR="00895C96" w:rsidRPr="00895C96" w:rsidRDefault="003B3E36" w:rsidP="00CE3E1A">
      <w:pPr>
        <w:pStyle w:val="Bullet1G"/>
        <w:rPr>
          <w:lang w:val="fr-FR"/>
        </w:rPr>
      </w:pPr>
      <w:r>
        <w:rPr>
          <w:lang w:val="fr-FR"/>
        </w:rPr>
        <w:t>T</w:t>
      </w:r>
      <w:r w:rsidR="00895C96" w:rsidRPr="00895C96">
        <w:rPr>
          <w:lang w:val="fr-FR"/>
        </w:rPr>
        <w:t>out rapatrié est réinséré dans son activité d'avant l'exil;</w:t>
      </w:r>
    </w:p>
    <w:p w:rsidR="00895C96" w:rsidRPr="00895C96" w:rsidRDefault="003B3E36" w:rsidP="00CE3E1A">
      <w:pPr>
        <w:pStyle w:val="Bullet1G"/>
        <w:rPr>
          <w:lang w:val="fr-FR"/>
        </w:rPr>
      </w:pPr>
      <w:r>
        <w:rPr>
          <w:lang w:val="fr-FR"/>
        </w:rPr>
        <w:t>L</w:t>
      </w:r>
      <w:r w:rsidR="00895C96" w:rsidRPr="00895C96">
        <w:rPr>
          <w:lang w:val="fr-FR"/>
        </w:rPr>
        <w:t>a mise en place de la Commission Vérité Justice Réconciliation qui est</w:t>
      </w:r>
      <w:r w:rsidR="00382281">
        <w:rPr>
          <w:lang w:val="fr-FR"/>
        </w:rPr>
        <w:t xml:space="preserve"> </w:t>
      </w:r>
      <w:r w:rsidR="00895C96" w:rsidRPr="00895C96">
        <w:rPr>
          <w:lang w:val="fr-FR"/>
        </w:rPr>
        <w:t xml:space="preserve">à pied d'œuvre; </w:t>
      </w:r>
    </w:p>
    <w:p w:rsidR="00895C96" w:rsidRPr="00895C96" w:rsidRDefault="00895C96" w:rsidP="00CE3E1A">
      <w:pPr>
        <w:pStyle w:val="Bullet1G"/>
        <w:rPr>
          <w:lang w:val="fr-FR"/>
        </w:rPr>
      </w:pPr>
      <w:r w:rsidRPr="00895C96">
        <w:rPr>
          <w:lang w:val="fr-FR"/>
        </w:rPr>
        <w:t xml:space="preserve">Le Togo a participé à l'élaboration et à l'adoption de la Convention de l'Union Africaine sur les Réfugiés, les Rapatriés et les Personnes Déplacées en Afrique à Kampala le </w:t>
      </w:r>
      <w:r w:rsidRPr="00895C96">
        <w:rPr>
          <w:b/>
          <w:bCs/>
          <w:lang w:val="fr-FR"/>
        </w:rPr>
        <w:t xml:space="preserve">23 octobre 2009. Quelques mois après, le Togo a signé cette </w:t>
      </w:r>
      <w:r w:rsidR="0050794C">
        <w:rPr>
          <w:b/>
          <w:bCs/>
          <w:lang w:val="fr-FR"/>
        </w:rPr>
        <w:t>C</w:t>
      </w:r>
      <w:r w:rsidRPr="00895C96">
        <w:rPr>
          <w:b/>
          <w:bCs/>
          <w:lang w:val="fr-FR"/>
        </w:rPr>
        <w:t>onvention</w:t>
      </w:r>
      <w:r w:rsidRPr="00895C96">
        <w:rPr>
          <w:lang w:val="fr-FR"/>
        </w:rPr>
        <w:t>.</w:t>
      </w:r>
    </w:p>
    <w:p w:rsidR="00895C96" w:rsidRPr="00895C96" w:rsidRDefault="00CE3E1A" w:rsidP="006A5FF0">
      <w:pPr>
        <w:pStyle w:val="H1G"/>
        <w:rPr>
          <w:lang w:val="fr-FR"/>
        </w:rPr>
      </w:pPr>
      <w:r>
        <w:rPr>
          <w:lang w:val="fr-FR"/>
        </w:rPr>
        <w:tab/>
      </w:r>
      <w:r>
        <w:rPr>
          <w:lang w:val="fr-FR"/>
        </w:rPr>
        <w:tab/>
      </w:r>
      <w:r w:rsidR="00895C96" w:rsidRPr="00895C96">
        <w:rPr>
          <w:lang w:val="fr-FR"/>
        </w:rPr>
        <w:t>Droit à un procès équitable et à l’égalité devant la loi (art. 14 et 26)</w:t>
      </w:r>
    </w:p>
    <w:p w:rsidR="00895C96" w:rsidRPr="00895C96" w:rsidRDefault="00CE3E1A" w:rsidP="00CE3E1A">
      <w:pPr>
        <w:pStyle w:val="H23G"/>
        <w:rPr>
          <w:lang w:val="fr-FR"/>
        </w:rPr>
      </w:pPr>
      <w:r>
        <w:rPr>
          <w:lang w:val="fr-FR"/>
        </w:rPr>
        <w:tab/>
      </w:r>
      <w:r>
        <w:rPr>
          <w:lang w:val="fr-FR"/>
        </w:rPr>
        <w:tab/>
      </w:r>
      <w:r w:rsidR="00895C96" w:rsidRPr="00895C96">
        <w:rPr>
          <w:lang w:val="fr-FR"/>
        </w:rPr>
        <w:t xml:space="preserve">Réponse </w:t>
      </w:r>
      <w:r w:rsidR="00B44D3B">
        <w:rPr>
          <w:lang w:val="fr-FR"/>
        </w:rPr>
        <w:t xml:space="preserve">au paragraphe </w:t>
      </w:r>
      <w:r w:rsidR="00B44D3B" w:rsidRPr="00B100AF">
        <w:rPr>
          <w:lang w:val="fr-FR"/>
        </w:rPr>
        <w:t>1</w:t>
      </w:r>
      <w:r w:rsidR="00B44D3B">
        <w:rPr>
          <w:lang w:val="fr-FR"/>
        </w:rPr>
        <w:t>8</w:t>
      </w:r>
      <w:r w:rsidR="00B44D3B" w:rsidRPr="00B100AF">
        <w:rPr>
          <w:lang w:val="fr-FR"/>
        </w:rPr>
        <w:t xml:space="preserve"> </w:t>
      </w:r>
      <w:r w:rsidR="00B44D3B">
        <w:rPr>
          <w:lang w:val="fr-FR"/>
        </w:rPr>
        <w:t xml:space="preserve">de la liste de points à traiter </w:t>
      </w:r>
    </w:p>
    <w:p w:rsidR="00895C96" w:rsidRPr="00895C96" w:rsidRDefault="00746A26" w:rsidP="00E04030">
      <w:pPr>
        <w:pStyle w:val="SingleTxtG"/>
        <w:rPr>
          <w:lang w:val="fr-FR"/>
        </w:rPr>
      </w:pPr>
      <w:r>
        <w:rPr>
          <w:lang w:val="fr-FR"/>
        </w:rPr>
        <w:t>168.</w:t>
      </w:r>
      <w:r w:rsidR="00CE3E1A">
        <w:rPr>
          <w:lang w:val="fr-FR"/>
        </w:rPr>
        <w:tab/>
      </w:r>
      <w:r w:rsidR="00895C96" w:rsidRPr="00895C96">
        <w:rPr>
          <w:lang w:val="fr-FR"/>
        </w:rPr>
        <w:t xml:space="preserve">Pour améliorer le fonctionnement des institutions judiciaires, le </w:t>
      </w:r>
      <w:r w:rsidR="001E7B6C">
        <w:rPr>
          <w:lang w:val="fr-FR"/>
        </w:rPr>
        <w:t xml:space="preserve">Gouvernement </w:t>
      </w:r>
      <w:r w:rsidR="00895C96" w:rsidRPr="00895C96">
        <w:rPr>
          <w:lang w:val="fr-FR"/>
        </w:rPr>
        <w:t xml:space="preserve">a entrepris un vaste programme de modernisation de son système judiciaire. </w:t>
      </w:r>
      <w:r w:rsidR="0050794C">
        <w:rPr>
          <w:lang w:val="fr-FR"/>
        </w:rPr>
        <w:t>C</w:t>
      </w:r>
      <w:r w:rsidR="00895C96" w:rsidRPr="00895C96">
        <w:rPr>
          <w:lang w:val="fr-FR"/>
        </w:rPr>
        <w:t xml:space="preserve">e programme </w:t>
      </w:r>
      <w:r w:rsidR="0050794C">
        <w:rPr>
          <w:lang w:val="fr-FR"/>
        </w:rPr>
        <w:t xml:space="preserve">a </w:t>
      </w:r>
      <w:r w:rsidR="00895C96" w:rsidRPr="00895C96">
        <w:rPr>
          <w:lang w:val="fr-FR"/>
        </w:rPr>
        <w:t xml:space="preserve">institué </w:t>
      </w:r>
      <w:r w:rsidR="00A96CFD">
        <w:rPr>
          <w:lang w:val="fr-FR"/>
        </w:rPr>
        <w:t>le</w:t>
      </w:r>
      <w:r w:rsidR="00A96CFD" w:rsidRPr="00895C96">
        <w:rPr>
          <w:lang w:val="fr-FR"/>
        </w:rPr>
        <w:t xml:space="preserve"> </w:t>
      </w:r>
      <w:r w:rsidR="00895C96" w:rsidRPr="00895C96">
        <w:rPr>
          <w:lang w:val="fr-FR"/>
        </w:rPr>
        <w:t xml:space="preserve">recrutement annuel d’au moins vingt (20) magistrats depuis 2007 et </w:t>
      </w:r>
      <w:r w:rsidR="00A96CFD">
        <w:rPr>
          <w:lang w:val="fr-FR"/>
        </w:rPr>
        <w:t>qui se poursuivra</w:t>
      </w:r>
      <w:r w:rsidR="00A96CFD" w:rsidRPr="00895C96">
        <w:rPr>
          <w:lang w:val="fr-FR"/>
        </w:rPr>
        <w:t xml:space="preserve"> </w:t>
      </w:r>
      <w:r w:rsidR="00895C96" w:rsidRPr="00895C96">
        <w:rPr>
          <w:lang w:val="fr-FR"/>
        </w:rPr>
        <w:t>jusqu’en 2011. Ce recrutement de magistrat</w:t>
      </w:r>
      <w:r w:rsidR="00A96CFD">
        <w:rPr>
          <w:lang w:val="fr-FR"/>
        </w:rPr>
        <w:t>s</w:t>
      </w:r>
      <w:r w:rsidR="00895C96" w:rsidRPr="00895C96">
        <w:rPr>
          <w:lang w:val="fr-FR"/>
        </w:rPr>
        <w:t xml:space="preserve"> est couplé avec celui de greffiers. </w:t>
      </w:r>
      <w:r>
        <w:rPr>
          <w:lang w:val="fr-FR"/>
        </w:rPr>
        <w:t>169.</w:t>
      </w:r>
      <w:r>
        <w:rPr>
          <w:lang w:val="fr-FR"/>
        </w:rPr>
        <w:tab/>
      </w:r>
      <w:r w:rsidR="00A96CFD">
        <w:rPr>
          <w:lang w:val="fr-FR"/>
        </w:rPr>
        <w:t>À</w:t>
      </w:r>
      <w:r w:rsidR="00895C96" w:rsidRPr="00895C96">
        <w:rPr>
          <w:lang w:val="fr-FR"/>
        </w:rPr>
        <w:t xml:space="preserve"> cet effet, un Centre de Formation des Professions de Justice </w:t>
      </w:r>
      <w:r w:rsidR="00A96CFD">
        <w:rPr>
          <w:lang w:val="fr-FR"/>
        </w:rPr>
        <w:t>a été</w:t>
      </w:r>
      <w:r w:rsidR="00A96CFD" w:rsidRPr="00895C96">
        <w:rPr>
          <w:lang w:val="fr-FR"/>
        </w:rPr>
        <w:t xml:space="preserve"> </w:t>
      </w:r>
      <w:r w:rsidR="00895C96" w:rsidRPr="00895C96">
        <w:rPr>
          <w:lang w:val="fr-FR"/>
        </w:rPr>
        <w:t xml:space="preserve">créé pour la formation des magistrats et </w:t>
      </w:r>
      <w:r w:rsidR="00360FBD">
        <w:rPr>
          <w:lang w:val="fr-FR"/>
        </w:rPr>
        <w:t>d</w:t>
      </w:r>
      <w:r w:rsidR="00895C96" w:rsidRPr="00895C96">
        <w:rPr>
          <w:lang w:val="fr-FR"/>
        </w:rPr>
        <w:t>es auxiliaires de justice</w:t>
      </w:r>
      <w:r w:rsidR="00360FBD">
        <w:rPr>
          <w:lang w:val="fr-FR"/>
        </w:rPr>
        <w:t>.</w:t>
      </w:r>
    </w:p>
    <w:p w:rsidR="00895C96" w:rsidRPr="00895C96" w:rsidRDefault="00746A26" w:rsidP="00E04030">
      <w:pPr>
        <w:pStyle w:val="SingleTxtG"/>
        <w:rPr>
          <w:lang w:val="fr-FR"/>
        </w:rPr>
      </w:pPr>
      <w:r>
        <w:rPr>
          <w:lang w:val="fr-FR"/>
        </w:rPr>
        <w:t>170.</w:t>
      </w:r>
      <w:r w:rsidR="00CE3E1A">
        <w:rPr>
          <w:lang w:val="fr-FR"/>
        </w:rPr>
        <w:tab/>
      </w:r>
      <w:r w:rsidR="00895C96" w:rsidRPr="00895C96">
        <w:rPr>
          <w:lang w:val="fr-FR"/>
        </w:rPr>
        <w:t xml:space="preserve">«La présomption de culpabilité» est une déduction </w:t>
      </w:r>
      <w:r w:rsidR="00416774">
        <w:rPr>
          <w:lang w:val="fr-FR"/>
        </w:rPr>
        <w:t>à partir</w:t>
      </w:r>
      <w:r w:rsidR="00416774" w:rsidRPr="00895C96">
        <w:rPr>
          <w:lang w:val="fr-FR"/>
        </w:rPr>
        <w:t xml:space="preserve"> </w:t>
      </w:r>
      <w:r w:rsidR="00895C96" w:rsidRPr="00895C96">
        <w:rPr>
          <w:lang w:val="fr-FR"/>
        </w:rPr>
        <w:t xml:space="preserve">de l’application de la détention qui, au lieu d’être une exception en raison du fait que la personne poursuivie est présumée innocente, devient la règle comme si le fait d’être visé par une plainte induit déjà et toujours la culpabilité. Bien plus, cela résulte de l’enquête à la barre qui au lieu de prouver que le prévenu est bien l’auteur tend à dire qu’il n’a pas pu prouver qu’il n’est pas l’auteur des faits </w:t>
      </w:r>
      <w:r w:rsidR="00416774">
        <w:rPr>
          <w:lang w:val="fr-FR"/>
        </w:rPr>
        <w:t xml:space="preserve">qui </w:t>
      </w:r>
      <w:r w:rsidR="00895C96" w:rsidRPr="00895C96">
        <w:rPr>
          <w:lang w:val="fr-FR"/>
        </w:rPr>
        <w:t xml:space="preserve">lui </w:t>
      </w:r>
      <w:r w:rsidR="00416774">
        <w:rPr>
          <w:lang w:val="fr-FR"/>
        </w:rPr>
        <w:t>sont</w:t>
      </w:r>
      <w:r w:rsidR="00393196">
        <w:rPr>
          <w:lang w:val="fr-FR"/>
        </w:rPr>
        <w:t xml:space="preserve"> </w:t>
      </w:r>
      <w:r w:rsidR="00895C96" w:rsidRPr="00895C96">
        <w:rPr>
          <w:lang w:val="fr-FR"/>
        </w:rPr>
        <w:t>reprochés. C’est le résultat d’une analyse du déroulement de la plupart des procès et non un principe posé par un quelconque texte d</w:t>
      </w:r>
      <w:r w:rsidR="005E1ADA">
        <w:rPr>
          <w:lang w:val="fr-FR"/>
        </w:rPr>
        <w:t>e</w:t>
      </w:r>
      <w:r w:rsidR="00895C96" w:rsidRPr="00895C96">
        <w:rPr>
          <w:lang w:val="fr-FR"/>
        </w:rPr>
        <w:t xml:space="preserve"> droit positif. C’est en quelque sorte le renversement de la charge de la preuve en matière pénale</w:t>
      </w:r>
      <w:r w:rsidR="00F33DC4">
        <w:rPr>
          <w:lang w:val="fr-FR"/>
        </w:rPr>
        <w:t>;</w:t>
      </w:r>
      <w:r w:rsidR="00895C96" w:rsidRPr="00895C96">
        <w:rPr>
          <w:lang w:val="fr-FR"/>
        </w:rPr>
        <w:t xml:space="preserve"> ce qui n’est pas juste puisqu’il appartient à </w:t>
      </w:r>
      <w:r w:rsidR="00895C96" w:rsidRPr="00F5246E">
        <w:rPr>
          <w:lang w:val="fr-FR"/>
        </w:rPr>
        <w:t>l’accusateur</w:t>
      </w:r>
      <w:r w:rsidR="00895C96" w:rsidRPr="00895C96">
        <w:rPr>
          <w:lang w:val="fr-FR"/>
        </w:rPr>
        <w:t xml:space="preserve"> de prouver que c’est bien l’accusé ou le prévenu qui a commis l’acte et non le contraire.</w:t>
      </w:r>
    </w:p>
    <w:p w:rsidR="00895C96" w:rsidRPr="00895C96" w:rsidRDefault="00CE3E1A" w:rsidP="00CE3E1A">
      <w:pPr>
        <w:pStyle w:val="H23G"/>
        <w:rPr>
          <w:lang w:val="fr-FR"/>
        </w:rPr>
      </w:pPr>
      <w:r>
        <w:rPr>
          <w:lang w:val="fr-FR"/>
        </w:rPr>
        <w:tab/>
      </w:r>
      <w:r>
        <w:rPr>
          <w:lang w:val="fr-FR"/>
        </w:rPr>
        <w:tab/>
      </w:r>
      <w:r w:rsidR="00895C96" w:rsidRPr="00895C96">
        <w:rPr>
          <w:lang w:val="fr-FR"/>
        </w:rPr>
        <w:t xml:space="preserve">Réponse </w:t>
      </w:r>
      <w:r w:rsidR="00256274">
        <w:rPr>
          <w:lang w:val="fr-FR"/>
        </w:rPr>
        <w:t xml:space="preserve">au paragraphe </w:t>
      </w:r>
      <w:r w:rsidR="00256274" w:rsidRPr="00B100AF">
        <w:rPr>
          <w:lang w:val="fr-FR"/>
        </w:rPr>
        <w:t>1</w:t>
      </w:r>
      <w:r w:rsidR="00256274">
        <w:rPr>
          <w:lang w:val="fr-FR"/>
        </w:rPr>
        <w:t>9</w:t>
      </w:r>
      <w:r w:rsidR="00256274" w:rsidRPr="00B100AF">
        <w:rPr>
          <w:lang w:val="fr-FR"/>
        </w:rPr>
        <w:t xml:space="preserve"> </w:t>
      </w:r>
      <w:r w:rsidR="00256274">
        <w:rPr>
          <w:lang w:val="fr-FR"/>
        </w:rPr>
        <w:t xml:space="preserve">de la liste de points à traiter </w:t>
      </w:r>
    </w:p>
    <w:p w:rsidR="00895C96" w:rsidRPr="00895C96" w:rsidRDefault="00746A26" w:rsidP="00E04030">
      <w:pPr>
        <w:pStyle w:val="SingleTxtG"/>
        <w:rPr>
          <w:lang w:val="fr-FR"/>
        </w:rPr>
      </w:pPr>
      <w:r>
        <w:rPr>
          <w:lang w:val="fr-FR"/>
        </w:rPr>
        <w:t>171.</w:t>
      </w:r>
      <w:r w:rsidR="00CE3E1A">
        <w:rPr>
          <w:lang w:val="fr-FR"/>
        </w:rPr>
        <w:tab/>
      </w:r>
      <w:r w:rsidR="00895C96" w:rsidRPr="00895C96">
        <w:rPr>
          <w:lang w:val="fr-FR"/>
        </w:rPr>
        <w:t>Dans la législation, notamment dans l’ordonnance de 1978 portant organisation</w:t>
      </w:r>
      <w:r w:rsidR="00382281">
        <w:rPr>
          <w:lang w:val="fr-FR"/>
        </w:rPr>
        <w:t xml:space="preserve"> </w:t>
      </w:r>
      <w:r w:rsidR="00895C96" w:rsidRPr="00895C96">
        <w:rPr>
          <w:lang w:val="fr-FR"/>
        </w:rPr>
        <w:t>judiciaire, cette aide est prévue. Mais dans la pratique</w:t>
      </w:r>
      <w:r w:rsidR="005E1ADA">
        <w:rPr>
          <w:lang w:val="fr-FR"/>
        </w:rPr>
        <w:t>,</w:t>
      </w:r>
      <w:r w:rsidR="00895C96" w:rsidRPr="00895C96">
        <w:rPr>
          <w:lang w:val="fr-FR"/>
        </w:rPr>
        <w:t xml:space="preserve"> aucun fonds n’est mis en place pour y faire face. Cependant, les accusés indigents se voient obligatoirement attribuer d’office un avocat pour leur défense. Les prestations de l’avocat sont </w:t>
      </w:r>
      <w:r w:rsidR="005E1ADA">
        <w:rPr>
          <w:lang w:val="fr-FR"/>
        </w:rPr>
        <w:t xml:space="preserve">incluses dans </w:t>
      </w:r>
      <w:r w:rsidR="00895C96" w:rsidRPr="00895C96">
        <w:rPr>
          <w:lang w:val="fr-FR"/>
        </w:rPr>
        <w:t xml:space="preserve">les frais de justice criminelle. </w:t>
      </w:r>
    </w:p>
    <w:p w:rsidR="00895C96" w:rsidRPr="00895C96" w:rsidRDefault="00746A26" w:rsidP="00E04030">
      <w:pPr>
        <w:pStyle w:val="SingleTxtG"/>
        <w:rPr>
          <w:lang w:val="fr-FR"/>
        </w:rPr>
      </w:pPr>
      <w:r>
        <w:rPr>
          <w:lang w:val="fr-FR"/>
        </w:rPr>
        <w:t>172.</w:t>
      </w:r>
      <w:r w:rsidR="00CE3E1A">
        <w:rPr>
          <w:lang w:val="fr-FR"/>
        </w:rPr>
        <w:tab/>
      </w:r>
      <w:r w:rsidR="00FA22B2">
        <w:rPr>
          <w:lang w:val="fr-FR"/>
        </w:rPr>
        <w:t>L’</w:t>
      </w:r>
      <w:r w:rsidR="00382281">
        <w:rPr>
          <w:lang w:val="fr-FR"/>
        </w:rPr>
        <w:t>avant-</w:t>
      </w:r>
      <w:r w:rsidR="00895C96" w:rsidRPr="00895C96">
        <w:rPr>
          <w:lang w:val="fr-FR"/>
        </w:rPr>
        <w:t xml:space="preserve">projet de loi portant aide juridictionnelle est </w:t>
      </w:r>
      <w:r w:rsidR="00FA22B2">
        <w:rPr>
          <w:lang w:val="fr-FR"/>
        </w:rPr>
        <w:t xml:space="preserve">aujourd’hui </w:t>
      </w:r>
      <w:r w:rsidR="00895C96" w:rsidRPr="00895C96">
        <w:rPr>
          <w:lang w:val="fr-FR"/>
        </w:rPr>
        <w:t xml:space="preserve">validé et sera soumis au </w:t>
      </w:r>
      <w:r w:rsidR="00FA22B2">
        <w:rPr>
          <w:lang w:val="fr-FR"/>
        </w:rPr>
        <w:t>G</w:t>
      </w:r>
      <w:r w:rsidR="00895C96" w:rsidRPr="00895C96">
        <w:rPr>
          <w:lang w:val="fr-FR"/>
        </w:rPr>
        <w:t>ouvernement. Ce texte fixe les critères et la procédure d’attribution de cette aide.</w:t>
      </w:r>
    </w:p>
    <w:p w:rsidR="00895C96" w:rsidRPr="00895C96" w:rsidRDefault="00CE3E1A" w:rsidP="00CE3E1A">
      <w:pPr>
        <w:pStyle w:val="H23G"/>
        <w:rPr>
          <w:lang w:val="fr-FR"/>
        </w:rPr>
      </w:pPr>
      <w:r>
        <w:rPr>
          <w:lang w:val="fr-FR"/>
        </w:rPr>
        <w:tab/>
      </w:r>
      <w:r>
        <w:rPr>
          <w:lang w:val="fr-FR"/>
        </w:rPr>
        <w:tab/>
      </w:r>
      <w:r w:rsidR="00895C96" w:rsidRPr="00895C96">
        <w:rPr>
          <w:lang w:val="fr-FR"/>
        </w:rPr>
        <w:t>Réponse</w:t>
      </w:r>
      <w:r w:rsidR="00382281">
        <w:rPr>
          <w:lang w:val="fr-FR"/>
        </w:rPr>
        <w:t xml:space="preserve"> </w:t>
      </w:r>
      <w:r w:rsidR="00256274">
        <w:rPr>
          <w:lang w:val="fr-FR"/>
        </w:rPr>
        <w:t>au paragraphe 20</w:t>
      </w:r>
      <w:r w:rsidR="00256274" w:rsidRPr="00B100AF">
        <w:rPr>
          <w:lang w:val="fr-FR"/>
        </w:rPr>
        <w:t xml:space="preserve"> </w:t>
      </w:r>
      <w:r w:rsidR="00256274">
        <w:rPr>
          <w:lang w:val="fr-FR"/>
        </w:rPr>
        <w:t xml:space="preserve">de la liste de points à traiter </w:t>
      </w:r>
    </w:p>
    <w:p w:rsidR="00895C96" w:rsidRPr="00895C96" w:rsidRDefault="00746A26" w:rsidP="00E04030">
      <w:pPr>
        <w:pStyle w:val="SingleTxtG"/>
        <w:rPr>
          <w:lang w:val="fr-FR"/>
        </w:rPr>
      </w:pPr>
      <w:r>
        <w:rPr>
          <w:lang w:val="fr-FR"/>
        </w:rPr>
        <w:t>173.</w:t>
      </w:r>
      <w:r w:rsidR="00CE3E1A">
        <w:rPr>
          <w:lang w:val="fr-FR"/>
        </w:rPr>
        <w:tab/>
      </w:r>
      <w:r w:rsidR="002E60E8">
        <w:rPr>
          <w:lang w:val="fr-FR"/>
        </w:rPr>
        <w:t>Une</w:t>
      </w:r>
      <w:r w:rsidR="002E60E8" w:rsidRPr="00895C96">
        <w:rPr>
          <w:lang w:val="fr-FR"/>
        </w:rPr>
        <w:t xml:space="preserve"> </w:t>
      </w:r>
      <w:r w:rsidR="00895C96" w:rsidRPr="00895C96">
        <w:rPr>
          <w:lang w:val="fr-FR"/>
        </w:rPr>
        <w:t xml:space="preserve">réflexion est en cours </w:t>
      </w:r>
      <w:r w:rsidR="002E60E8">
        <w:rPr>
          <w:lang w:val="fr-FR"/>
        </w:rPr>
        <w:t>sur</w:t>
      </w:r>
      <w:r w:rsidR="00895C96" w:rsidRPr="00895C96">
        <w:rPr>
          <w:lang w:val="fr-FR"/>
        </w:rPr>
        <w:t xml:space="preserve"> l’élaboration d’un projet de loi relatif à la réparation d</w:t>
      </w:r>
      <w:r w:rsidR="002E60E8">
        <w:rPr>
          <w:lang w:val="fr-FR"/>
        </w:rPr>
        <w:t>e l</w:t>
      </w:r>
      <w:r w:rsidR="00895C96" w:rsidRPr="00895C96">
        <w:rPr>
          <w:lang w:val="fr-FR"/>
        </w:rPr>
        <w:t>’erreur de justice en vue de donner effet aux dispositions de l’article 19 de la Constitution.</w:t>
      </w:r>
    </w:p>
    <w:p w:rsidR="00895C96" w:rsidRPr="00895C96" w:rsidRDefault="00CE3E1A" w:rsidP="00CD6241">
      <w:pPr>
        <w:pStyle w:val="H1G"/>
        <w:rPr>
          <w:lang w:val="fr-FR"/>
        </w:rPr>
      </w:pPr>
      <w:r>
        <w:rPr>
          <w:lang w:val="fr-FR"/>
        </w:rPr>
        <w:tab/>
      </w:r>
      <w:r>
        <w:rPr>
          <w:lang w:val="fr-FR"/>
        </w:rPr>
        <w:tab/>
      </w:r>
      <w:r w:rsidR="00CD6241">
        <w:rPr>
          <w:lang w:val="fr-FR"/>
        </w:rPr>
        <w:t>Droit à la l</w:t>
      </w:r>
      <w:r w:rsidR="00895C96" w:rsidRPr="00895C96">
        <w:rPr>
          <w:lang w:val="fr-FR"/>
        </w:rPr>
        <w:t>iberté de religion</w:t>
      </w:r>
      <w:r w:rsidR="00CD6241">
        <w:rPr>
          <w:lang w:val="fr-FR"/>
        </w:rPr>
        <w:t xml:space="preserve"> et</w:t>
      </w:r>
      <w:r w:rsidR="00895C96" w:rsidRPr="00895C96">
        <w:rPr>
          <w:lang w:val="fr-FR"/>
        </w:rPr>
        <w:t xml:space="preserve"> d’expression</w:t>
      </w:r>
      <w:r w:rsidR="00CD6241">
        <w:rPr>
          <w:lang w:val="fr-FR"/>
        </w:rPr>
        <w:t>,</w:t>
      </w:r>
      <w:r w:rsidR="000E0CCE">
        <w:rPr>
          <w:lang w:val="fr-FR"/>
        </w:rPr>
        <w:t xml:space="preserve"> </w:t>
      </w:r>
      <w:r w:rsidR="00895C96" w:rsidRPr="00895C96">
        <w:rPr>
          <w:lang w:val="fr-FR"/>
        </w:rPr>
        <w:t xml:space="preserve">droit de réunion pacifique </w:t>
      </w:r>
      <w:r w:rsidR="00CD6241">
        <w:rPr>
          <w:lang w:val="fr-FR"/>
        </w:rPr>
        <w:t>et</w:t>
      </w:r>
      <w:r w:rsidR="00CD6241" w:rsidRPr="00895C96">
        <w:rPr>
          <w:lang w:val="fr-FR"/>
        </w:rPr>
        <w:t xml:space="preserve"> </w:t>
      </w:r>
      <w:r w:rsidR="00CD6241">
        <w:rPr>
          <w:lang w:val="fr-FR"/>
        </w:rPr>
        <w:t xml:space="preserve">liberté </w:t>
      </w:r>
      <w:r w:rsidR="00CD6241" w:rsidRPr="00895C96">
        <w:rPr>
          <w:lang w:val="fr-FR"/>
        </w:rPr>
        <w:t xml:space="preserve">d’association </w:t>
      </w:r>
      <w:r w:rsidR="00895C96" w:rsidRPr="00895C96">
        <w:rPr>
          <w:lang w:val="fr-FR"/>
        </w:rPr>
        <w:t>(art.</w:t>
      </w:r>
      <w:r w:rsidR="00A80E17">
        <w:rPr>
          <w:lang w:val="fr-FR"/>
        </w:rPr>
        <w:t xml:space="preserve"> </w:t>
      </w:r>
      <w:r w:rsidR="00895C96" w:rsidRPr="00895C96">
        <w:rPr>
          <w:lang w:val="fr-FR"/>
        </w:rPr>
        <w:t>18, 19, 21 et 22)</w:t>
      </w:r>
    </w:p>
    <w:p w:rsidR="00895C96" w:rsidRPr="00895C96" w:rsidRDefault="00CE3E1A" w:rsidP="00CE3E1A">
      <w:pPr>
        <w:pStyle w:val="H23G"/>
        <w:rPr>
          <w:lang w:val="fr-FR"/>
        </w:rPr>
      </w:pPr>
      <w:r>
        <w:rPr>
          <w:lang w:val="fr-FR"/>
        </w:rPr>
        <w:tab/>
      </w:r>
      <w:r>
        <w:rPr>
          <w:lang w:val="fr-FR"/>
        </w:rPr>
        <w:tab/>
      </w:r>
      <w:r w:rsidR="00895C96" w:rsidRPr="00895C96">
        <w:rPr>
          <w:lang w:val="fr-FR"/>
        </w:rPr>
        <w:t>Réponse</w:t>
      </w:r>
      <w:r w:rsidR="00AA0D76">
        <w:rPr>
          <w:lang w:val="fr-FR"/>
        </w:rPr>
        <w:t xml:space="preserve"> au paragraphe 2</w:t>
      </w:r>
      <w:r w:rsidR="00AA0D76" w:rsidRPr="00B100AF">
        <w:rPr>
          <w:lang w:val="fr-FR"/>
        </w:rPr>
        <w:t xml:space="preserve">1 </w:t>
      </w:r>
      <w:r w:rsidR="00AA0D76">
        <w:rPr>
          <w:lang w:val="fr-FR"/>
        </w:rPr>
        <w:t>de la liste de points à traiter</w:t>
      </w:r>
      <w:r w:rsidR="00382281">
        <w:rPr>
          <w:lang w:val="fr-FR"/>
        </w:rPr>
        <w:t xml:space="preserve"> </w:t>
      </w:r>
    </w:p>
    <w:p w:rsidR="00895C96" w:rsidRPr="00895C96" w:rsidRDefault="00CE3E1A" w:rsidP="00CE3E1A">
      <w:pPr>
        <w:pStyle w:val="H23G"/>
        <w:rPr>
          <w:lang w:val="fr-FR"/>
        </w:rPr>
      </w:pPr>
      <w:r>
        <w:rPr>
          <w:lang w:val="fr-FR"/>
        </w:rPr>
        <w:tab/>
      </w:r>
      <w:r>
        <w:rPr>
          <w:lang w:val="fr-FR"/>
        </w:rPr>
        <w:tab/>
      </w:r>
      <w:r w:rsidR="00895C96" w:rsidRPr="00895C96">
        <w:rPr>
          <w:lang w:val="fr-FR"/>
        </w:rPr>
        <w:t>Liberté de conscience et de religion</w:t>
      </w:r>
    </w:p>
    <w:p w:rsidR="00895C96" w:rsidRPr="00895C96" w:rsidRDefault="00746A26" w:rsidP="00E04030">
      <w:pPr>
        <w:pStyle w:val="SingleTxtG"/>
        <w:rPr>
          <w:lang w:val="fr-FR"/>
        </w:rPr>
      </w:pPr>
      <w:r>
        <w:rPr>
          <w:lang w:val="fr-FR"/>
        </w:rPr>
        <w:t>174.</w:t>
      </w:r>
      <w:r w:rsidR="00CE3E1A">
        <w:rPr>
          <w:lang w:val="fr-FR"/>
        </w:rPr>
        <w:tab/>
      </w:r>
      <w:r w:rsidR="00895C96" w:rsidRPr="00895C96">
        <w:rPr>
          <w:lang w:val="fr-FR"/>
        </w:rPr>
        <w:t xml:space="preserve">La liberté de pensée, de conscience et de religion est consacrée par la Constitution togolaise </w:t>
      </w:r>
      <w:r w:rsidR="009F55C1">
        <w:rPr>
          <w:lang w:val="fr-FR"/>
        </w:rPr>
        <w:t>dans</w:t>
      </w:r>
      <w:r w:rsidR="009F55C1" w:rsidRPr="00895C96">
        <w:rPr>
          <w:lang w:val="fr-FR"/>
        </w:rPr>
        <w:t xml:space="preserve"> </w:t>
      </w:r>
      <w:r w:rsidR="00895C96" w:rsidRPr="00895C96">
        <w:rPr>
          <w:lang w:val="fr-FR"/>
        </w:rPr>
        <w:t>son article 25. Aujourd’hui, toutes les religions s’exercent librement. L’article 25 de la Constitution qui garantit la liberté de religion dispose</w:t>
      </w:r>
      <w:r w:rsidR="00F33DC4">
        <w:rPr>
          <w:lang w:val="fr-FR"/>
        </w:rPr>
        <w:t>:</w:t>
      </w:r>
      <w:r w:rsidR="00895C96" w:rsidRPr="00895C96">
        <w:rPr>
          <w:lang w:val="fr-FR"/>
        </w:rPr>
        <w:t xml:space="preserve"> «Toute personne </w:t>
      </w:r>
      <w:r w:rsidR="009F2D2E">
        <w:rPr>
          <w:lang w:val="fr-FR"/>
        </w:rPr>
        <w:t xml:space="preserve">a </w:t>
      </w:r>
      <w:r w:rsidR="00895C96" w:rsidRPr="00895C96">
        <w:rPr>
          <w:lang w:val="fr-FR"/>
        </w:rPr>
        <w:t xml:space="preserve"> droit à la liberté de pensée, de conscience, de religion, de culte, d’opinion et d’expression. L’exercice de ces droits et libertés se fait dans le respect des normes établies par la loi et les règlements. L’organisation et la pratique des croyances religieuses s’e</w:t>
      </w:r>
      <w:r w:rsidR="00BD25A9">
        <w:rPr>
          <w:lang w:val="fr-FR"/>
        </w:rPr>
        <w:t xml:space="preserve">ffectuent </w:t>
      </w:r>
      <w:r w:rsidR="00895C96" w:rsidRPr="00895C96">
        <w:rPr>
          <w:lang w:val="fr-FR"/>
        </w:rPr>
        <w:t>librement dans le respect de la loi. Il en est de même des ordres philosophiques. L’exercice du culte et l’expression des croyances se font dans le respect et la laïcité de l’Etat. Les confessions religieuses ont le droit de s’organiser et d’exercer librement leurs activités dans le respect de la loi».</w:t>
      </w:r>
    </w:p>
    <w:p w:rsidR="00895C96" w:rsidRPr="00895C96" w:rsidRDefault="00746A26" w:rsidP="00E04030">
      <w:pPr>
        <w:pStyle w:val="SingleTxtG"/>
        <w:rPr>
          <w:lang w:val="fr-FR"/>
        </w:rPr>
      </w:pPr>
      <w:r>
        <w:rPr>
          <w:lang w:val="fr-FR"/>
        </w:rPr>
        <w:t>175.</w:t>
      </w:r>
      <w:r w:rsidR="00CE3E1A">
        <w:rPr>
          <w:lang w:val="fr-FR"/>
        </w:rPr>
        <w:tab/>
      </w:r>
      <w:r w:rsidR="00895C96" w:rsidRPr="00895C96">
        <w:rPr>
          <w:lang w:val="fr-FR"/>
        </w:rPr>
        <w:t>De 2006 à 2011</w:t>
      </w:r>
      <w:r w:rsidR="00382281">
        <w:rPr>
          <w:lang w:val="fr-FR"/>
        </w:rPr>
        <w:t xml:space="preserve"> </w:t>
      </w:r>
      <w:r w:rsidR="00895C96" w:rsidRPr="00895C96">
        <w:rPr>
          <w:lang w:val="fr-FR"/>
        </w:rPr>
        <w:t xml:space="preserve">plus de 512 organisations à caractère religieux ont été enregistrées et 291 ont leur récépissé. </w:t>
      </w:r>
    </w:p>
    <w:p w:rsidR="00895C96" w:rsidRPr="00895C96" w:rsidRDefault="00746A26" w:rsidP="00E04030">
      <w:pPr>
        <w:pStyle w:val="SingleTxtG"/>
        <w:rPr>
          <w:lang w:val="fr-FR"/>
        </w:rPr>
      </w:pPr>
      <w:r>
        <w:rPr>
          <w:lang w:val="fr-FR"/>
        </w:rPr>
        <w:t>176.</w:t>
      </w:r>
      <w:r w:rsidR="00CE3E1A">
        <w:rPr>
          <w:lang w:val="fr-FR"/>
        </w:rPr>
        <w:tab/>
      </w:r>
      <w:r w:rsidR="00895C96" w:rsidRPr="00895C96">
        <w:rPr>
          <w:lang w:val="fr-FR"/>
        </w:rPr>
        <w:t xml:space="preserve">Une Direction du Culte </w:t>
      </w:r>
      <w:r w:rsidR="00366281">
        <w:rPr>
          <w:lang w:val="fr-FR"/>
        </w:rPr>
        <w:t xml:space="preserve">a été créée </w:t>
      </w:r>
      <w:r w:rsidR="00895C96" w:rsidRPr="00895C96">
        <w:rPr>
          <w:lang w:val="fr-FR"/>
        </w:rPr>
        <w:t>au</w:t>
      </w:r>
      <w:r w:rsidR="00366281">
        <w:rPr>
          <w:lang w:val="fr-FR"/>
        </w:rPr>
        <w:t>près du</w:t>
      </w:r>
      <w:r w:rsidR="00895C96" w:rsidRPr="00895C96">
        <w:rPr>
          <w:lang w:val="fr-FR"/>
        </w:rPr>
        <w:t xml:space="preserve"> Ministère en charge de l’administration du territoire. Toutes les demandes de récépissé sont traitées </w:t>
      </w:r>
      <w:r w:rsidR="00FF0012">
        <w:rPr>
          <w:lang w:val="fr-FR"/>
        </w:rPr>
        <w:t>par</w:t>
      </w:r>
      <w:r w:rsidR="00FF0012" w:rsidRPr="00895C96">
        <w:rPr>
          <w:lang w:val="fr-FR"/>
        </w:rPr>
        <w:t xml:space="preserve"> </w:t>
      </w:r>
      <w:r w:rsidR="00895C96" w:rsidRPr="00895C96">
        <w:rPr>
          <w:lang w:val="fr-FR"/>
        </w:rPr>
        <w:t>cette direction. Concrètement</w:t>
      </w:r>
      <w:r w:rsidR="00FF0012">
        <w:rPr>
          <w:lang w:val="fr-FR"/>
        </w:rPr>
        <w:t>,</w:t>
      </w:r>
      <w:r w:rsidR="00895C96" w:rsidRPr="00895C96">
        <w:rPr>
          <w:lang w:val="fr-FR"/>
        </w:rPr>
        <w:t xml:space="preserve"> les dossiers de demande de récépissé sont enregistrés au Ministère de la Sécurité (Direction des Renseignements Généraux) afin </w:t>
      </w:r>
      <w:r w:rsidR="00FF0012">
        <w:rPr>
          <w:lang w:val="fr-FR"/>
        </w:rPr>
        <w:t>qu’il puisse être</w:t>
      </w:r>
      <w:r w:rsidR="00FF0012" w:rsidRPr="00895C96">
        <w:rPr>
          <w:lang w:val="fr-FR"/>
        </w:rPr>
        <w:t xml:space="preserve"> </w:t>
      </w:r>
      <w:r w:rsidR="00895C96" w:rsidRPr="00895C96">
        <w:rPr>
          <w:lang w:val="fr-FR"/>
        </w:rPr>
        <w:t>procéd</w:t>
      </w:r>
      <w:r w:rsidR="00FF0012">
        <w:rPr>
          <w:lang w:val="fr-FR"/>
        </w:rPr>
        <w:t>é</w:t>
      </w:r>
      <w:r w:rsidR="00895C96" w:rsidRPr="00895C96">
        <w:rPr>
          <w:lang w:val="fr-FR"/>
        </w:rPr>
        <w:t xml:space="preserve"> à une enquête </w:t>
      </w:r>
      <w:r w:rsidR="00FF0012">
        <w:rPr>
          <w:lang w:val="fr-FR"/>
        </w:rPr>
        <w:t>sur la</w:t>
      </w:r>
      <w:r w:rsidR="00FF0012" w:rsidRPr="00895C96">
        <w:rPr>
          <w:lang w:val="fr-FR"/>
        </w:rPr>
        <w:t xml:space="preserve"> </w:t>
      </w:r>
      <w:r w:rsidR="00895C96" w:rsidRPr="00895C96">
        <w:rPr>
          <w:lang w:val="fr-FR"/>
        </w:rPr>
        <w:t>moralité des auteurs de l’association</w:t>
      </w:r>
      <w:r w:rsidR="00382281">
        <w:rPr>
          <w:lang w:val="fr-FR"/>
        </w:rPr>
        <w:t xml:space="preserve"> </w:t>
      </w:r>
      <w:r w:rsidR="00895C96" w:rsidRPr="00895C96">
        <w:rPr>
          <w:lang w:val="fr-FR"/>
        </w:rPr>
        <w:t xml:space="preserve">religieuse. </w:t>
      </w:r>
    </w:p>
    <w:p w:rsidR="00895C96" w:rsidRPr="00895C96" w:rsidRDefault="00746A26" w:rsidP="00E04030">
      <w:pPr>
        <w:pStyle w:val="SingleTxtG"/>
        <w:rPr>
          <w:b/>
          <w:bCs/>
          <w:lang w:val="fr-FR"/>
        </w:rPr>
      </w:pPr>
      <w:r>
        <w:rPr>
          <w:lang w:val="fr-FR"/>
        </w:rPr>
        <w:t>177.</w:t>
      </w:r>
      <w:r w:rsidR="00CE3E1A">
        <w:rPr>
          <w:lang w:val="fr-FR"/>
        </w:rPr>
        <w:tab/>
      </w:r>
      <w:r w:rsidR="00895C96" w:rsidRPr="00895C96">
        <w:rPr>
          <w:lang w:val="fr-FR"/>
        </w:rPr>
        <w:t>Dans le rapport</w:t>
      </w:r>
      <w:r w:rsidR="00B93CD2">
        <w:rPr>
          <w:lang w:val="fr-FR"/>
        </w:rPr>
        <w:t>,</w:t>
      </w:r>
      <w:r w:rsidR="00895C96" w:rsidRPr="00895C96">
        <w:rPr>
          <w:lang w:val="fr-FR"/>
        </w:rPr>
        <w:t xml:space="preserve"> la Direction des Renseignements Généraux (D.R.G) précise la moralité des membres fondateurs et le siège de l’association. La précision du siège est importante pour éviter aux voisins de l’association religieuse d’être victimes des tapages nocturnes. C’est la nature du rapport d’enquête de moralité qui permet à l’autorité</w:t>
      </w:r>
      <w:r w:rsidR="00382281">
        <w:rPr>
          <w:lang w:val="fr-FR"/>
        </w:rPr>
        <w:t xml:space="preserve"> </w:t>
      </w:r>
      <w:r w:rsidR="00895C96" w:rsidRPr="00895C96">
        <w:rPr>
          <w:lang w:val="fr-FR"/>
        </w:rPr>
        <w:t>compétente de</w:t>
      </w:r>
      <w:r w:rsidR="00382281">
        <w:rPr>
          <w:lang w:val="fr-FR"/>
        </w:rPr>
        <w:t xml:space="preserve"> </w:t>
      </w:r>
      <w:r w:rsidR="00895C96" w:rsidRPr="00895C96">
        <w:rPr>
          <w:lang w:val="fr-FR"/>
        </w:rPr>
        <w:t>délivrer le récépissé. Si la moralité des</w:t>
      </w:r>
      <w:r w:rsidR="00382281">
        <w:rPr>
          <w:lang w:val="fr-FR"/>
        </w:rPr>
        <w:t xml:space="preserve"> </w:t>
      </w:r>
      <w:r w:rsidR="00895C96" w:rsidRPr="00895C96">
        <w:rPr>
          <w:lang w:val="fr-FR"/>
        </w:rPr>
        <w:t>premiers responsables et le lieu de culte</w:t>
      </w:r>
      <w:r w:rsidR="00382281">
        <w:rPr>
          <w:lang w:val="fr-FR"/>
        </w:rPr>
        <w:t xml:space="preserve"> </w:t>
      </w:r>
      <w:r w:rsidR="00895C96" w:rsidRPr="00895C96">
        <w:rPr>
          <w:lang w:val="fr-FR"/>
        </w:rPr>
        <w:t>répondent aux exigences requises</w:t>
      </w:r>
      <w:r w:rsidR="003F7E02">
        <w:rPr>
          <w:lang w:val="fr-FR"/>
        </w:rPr>
        <w:t>,</w:t>
      </w:r>
      <w:r w:rsidR="00895C96" w:rsidRPr="00895C96">
        <w:rPr>
          <w:lang w:val="fr-FR"/>
        </w:rPr>
        <w:t xml:space="preserve"> alors le Ministre chargé de l’administration territoriale</w:t>
      </w:r>
      <w:r w:rsidR="00382281">
        <w:rPr>
          <w:lang w:val="fr-FR"/>
        </w:rPr>
        <w:t xml:space="preserve"> </w:t>
      </w:r>
      <w:r w:rsidR="00895C96" w:rsidRPr="00895C96">
        <w:rPr>
          <w:lang w:val="fr-FR"/>
        </w:rPr>
        <w:t>délivre le récépissé à l’association. Par contre</w:t>
      </w:r>
      <w:r w:rsidR="003F7E02">
        <w:rPr>
          <w:lang w:val="fr-FR"/>
        </w:rPr>
        <w:t>,</w:t>
      </w:r>
      <w:r w:rsidR="00895C96" w:rsidRPr="00895C96">
        <w:rPr>
          <w:lang w:val="fr-FR"/>
        </w:rPr>
        <w:t xml:space="preserve"> le dossier est rejeté dans le cas contraire.</w:t>
      </w:r>
      <w:r w:rsidR="00895C96" w:rsidRPr="00895C96">
        <w:rPr>
          <w:b/>
          <w:bCs/>
          <w:lang w:val="fr-FR"/>
        </w:rPr>
        <w:t xml:space="preserve"> </w:t>
      </w:r>
    </w:p>
    <w:p w:rsidR="00895C96" w:rsidRPr="00895C96" w:rsidRDefault="00746A26" w:rsidP="00E04030">
      <w:pPr>
        <w:pStyle w:val="SingleTxtG"/>
        <w:rPr>
          <w:lang w:val="fr-FR"/>
        </w:rPr>
      </w:pPr>
      <w:r>
        <w:rPr>
          <w:lang w:val="fr-FR"/>
        </w:rPr>
        <w:t>178.</w:t>
      </w:r>
      <w:r w:rsidR="00CE3E1A">
        <w:rPr>
          <w:lang w:val="fr-FR"/>
        </w:rPr>
        <w:tab/>
      </w:r>
      <w:r w:rsidR="00895C96" w:rsidRPr="00895C96">
        <w:rPr>
          <w:lang w:val="fr-FR"/>
        </w:rPr>
        <w:t xml:space="preserve">En somme, la direction des cultes traite des dossiers des associations à caractère religieux. </w:t>
      </w:r>
      <w:r w:rsidR="003F7E02">
        <w:rPr>
          <w:lang w:val="fr-FR"/>
        </w:rPr>
        <w:t>À</w:t>
      </w:r>
      <w:r w:rsidR="00895C96" w:rsidRPr="00895C96">
        <w:rPr>
          <w:lang w:val="fr-FR"/>
        </w:rPr>
        <w:t xml:space="preserve"> ce niveau, le récipissé est délivré après une enquête de moralité.</w:t>
      </w:r>
    </w:p>
    <w:p w:rsidR="00895C96" w:rsidRPr="00895C96" w:rsidRDefault="00CE3E1A" w:rsidP="00CE3E1A">
      <w:pPr>
        <w:pStyle w:val="H23G"/>
        <w:rPr>
          <w:lang w:val="fr-FR"/>
        </w:rPr>
      </w:pPr>
      <w:r>
        <w:rPr>
          <w:lang w:val="fr-FR"/>
        </w:rPr>
        <w:tab/>
      </w:r>
      <w:r>
        <w:rPr>
          <w:lang w:val="fr-FR"/>
        </w:rPr>
        <w:tab/>
      </w:r>
      <w:r w:rsidR="00895C96" w:rsidRPr="00895C96">
        <w:rPr>
          <w:lang w:val="fr-FR"/>
        </w:rPr>
        <w:t>Réponse</w:t>
      </w:r>
      <w:r w:rsidR="00382281">
        <w:rPr>
          <w:lang w:val="fr-FR"/>
        </w:rPr>
        <w:t xml:space="preserve"> </w:t>
      </w:r>
      <w:r w:rsidR="00C54696">
        <w:rPr>
          <w:lang w:val="fr-FR"/>
        </w:rPr>
        <w:t>au paragraphe 22</w:t>
      </w:r>
      <w:r w:rsidR="00C54696" w:rsidRPr="00B100AF">
        <w:rPr>
          <w:lang w:val="fr-FR"/>
        </w:rPr>
        <w:t xml:space="preserve"> </w:t>
      </w:r>
      <w:r w:rsidR="00C54696">
        <w:rPr>
          <w:lang w:val="fr-FR"/>
        </w:rPr>
        <w:t xml:space="preserve">de la liste de points à traiter </w:t>
      </w:r>
    </w:p>
    <w:p w:rsidR="00895C96" w:rsidRPr="00895C96" w:rsidRDefault="00CE3E1A" w:rsidP="00CE3E1A">
      <w:pPr>
        <w:pStyle w:val="H23G"/>
        <w:rPr>
          <w:lang w:val="fr-FR"/>
        </w:rPr>
      </w:pPr>
      <w:r>
        <w:rPr>
          <w:lang w:val="fr-FR"/>
        </w:rPr>
        <w:tab/>
      </w:r>
      <w:r>
        <w:rPr>
          <w:lang w:val="fr-FR"/>
        </w:rPr>
        <w:tab/>
      </w:r>
      <w:r w:rsidR="00895C96" w:rsidRPr="00895C96">
        <w:rPr>
          <w:lang w:val="fr-FR"/>
        </w:rPr>
        <w:t>Le droit de réunion</w:t>
      </w:r>
    </w:p>
    <w:p w:rsidR="00895C96" w:rsidRPr="00895C96" w:rsidRDefault="00746A26" w:rsidP="00E04030">
      <w:pPr>
        <w:pStyle w:val="SingleTxtG"/>
        <w:rPr>
          <w:lang w:val="fr-FR"/>
        </w:rPr>
      </w:pPr>
      <w:r>
        <w:rPr>
          <w:lang w:val="fr-FR"/>
        </w:rPr>
        <w:t>179.</w:t>
      </w:r>
      <w:r w:rsidR="00CE3E1A">
        <w:rPr>
          <w:lang w:val="fr-FR"/>
        </w:rPr>
        <w:tab/>
      </w:r>
      <w:r w:rsidR="00895C96" w:rsidRPr="00895C96">
        <w:rPr>
          <w:lang w:val="fr-FR"/>
        </w:rPr>
        <w:t>Selon l’article 30 de la Constitution togolaise du 14 octobre 1992, «l’</w:t>
      </w:r>
      <w:r w:rsidR="001E7B6C">
        <w:rPr>
          <w:lang w:val="fr-FR"/>
        </w:rPr>
        <w:t xml:space="preserve">État </w:t>
      </w:r>
      <w:r w:rsidR="00895C96" w:rsidRPr="00895C96">
        <w:rPr>
          <w:lang w:val="fr-FR"/>
        </w:rPr>
        <w:t>reconnaît et garantit dans les conditions fixées par la loi, l’exercice des libertés d’association,</w:t>
      </w:r>
      <w:r w:rsidR="00382281">
        <w:rPr>
          <w:lang w:val="fr-FR"/>
        </w:rPr>
        <w:t xml:space="preserve"> </w:t>
      </w:r>
      <w:r w:rsidR="00895C96" w:rsidRPr="00895C96">
        <w:rPr>
          <w:lang w:val="fr-FR"/>
        </w:rPr>
        <w:t>de réunion et de manifestation pacifique et sans instruments de violence</w:t>
      </w:r>
      <w:r w:rsidR="003F7E02">
        <w:rPr>
          <w:lang w:val="fr-FR"/>
        </w:rPr>
        <w:t>.</w:t>
      </w:r>
      <w:r w:rsidR="00895C96" w:rsidRPr="00895C96">
        <w:rPr>
          <w:lang w:val="fr-FR"/>
        </w:rPr>
        <w:t>»</w:t>
      </w:r>
    </w:p>
    <w:p w:rsidR="00895C96" w:rsidRPr="00895C96" w:rsidRDefault="00746A26" w:rsidP="00E04030">
      <w:pPr>
        <w:pStyle w:val="SingleTxtG"/>
        <w:rPr>
          <w:lang w:val="fr-FR"/>
        </w:rPr>
      </w:pPr>
      <w:r>
        <w:rPr>
          <w:lang w:val="fr-FR"/>
        </w:rPr>
        <w:t>180.</w:t>
      </w:r>
      <w:r w:rsidR="00CE3E1A">
        <w:rPr>
          <w:lang w:val="fr-FR"/>
        </w:rPr>
        <w:tab/>
      </w:r>
      <w:r w:rsidR="00895C96" w:rsidRPr="00895C96">
        <w:rPr>
          <w:lang w:val="fr-FR"/>
        </w:rPr>
        <w:t>Cependant, l’article 14 de la Constitution prévoit que des restrictions peuvent être apportées aux libertés pour la protection de la sécurité nationale et de l’ordre public.</w:t>
      </w:r>
    </w:p>
    <w:p w:rsidR="00895C96" w:rsidRPr="00895C96" w:rsidRDefault="00746A26" w:rsidP="00E04030">
      <w:pPr>
        <w:pStyle w:val="SingleTxtG"/>
        <w:rPr>
          <w:lang w:val="fr-FR"/>
        </w:rPr>
      </w:pPr>
      <w:r>
        <w:rPr>
          <w:lang w:val="fr-FR"/>
        </w:rPr>
        <w:t>181.</w:t>
      </w:r>
      <w:r w:rsidR="00CE3E1A">
        <w:rPr>
          <w:lang w:val="fr-FR"/>
        </w:rPr>
        <w:tab/>
      </w:r>
      <w:r w:rsidR="00895C96" w:rsidRPr="00895C96">
        <w:rPr>
          <w:lang w:val="fr-FR"/>
        </w:rPr>
        <w:t>L’article 49 de la Constitution précise également que les forces de sécurité et de police sous l’autorité du Gouvernement ont pour mission de garantir la sécurité des citoyens et de leurs biens</w:t>
      </w:r>
      <w:r w:rsidR="004C5308">
        <w:rPr>
          <w:lang w:val="fr-FR"/>
        </w:rPr>
        <w:t>.</w:t>
      </w:r>
    </w:p>
    <w:p w:rsidR="00895C96" w:rsidRPr="00895C96" w:rsidRDefault="00746A26" w:rsidP="00E04030">
      <w:pPr>
        <w:pStyle w:val="SingleTxtG"/>
        <w:rPr>
          <w:lang w:val="fr-FR"/>
        </w:rPr>
      </w:pPr>
      <w:r>
        <w:rPr>
          <w:lang w:val="fr-FR"/>
        </w:rPr>
        <w:t>182.</w:t>
      </w:r>
      <w:r w:rsidR="00CE3E1A">
        <w:rPr>
          <w:lang w:val="fr-FR"/>
        </w:rPr>
        <w:tab/>
      </w:r>
      <w:r w:rsidR="00895C96" w:rsidRPr="00895C96">
        <w:rPr>
          <w:lang w:val="fr-FR"/>
        </w:rPr>
        <w:t xml:space="preserve">Le Gouvernement </w:t>
      </w:r>
      <w:r w:rsidR="00060DD4">
        <w:rPr>
          <w:lang w:val="fr-FR"/>
        </w:rPr>
        <w:t>qui a</w:t>
      </w:r>
      <w:r w:rsidR="00895C96" w:rsidRPr="00895C96">
        <w:rPr>
          <w:lang w:val="fr-FR"/>
        </w:rPr>
        <w:t xml:space="preserve"> constamment à l’esprit les impératifs de l’ordre et de la tranquillité publics</w:t>
      </w:r>
      <w:r w:rsidR="00060DD4">
        <w:rPr>
          <w:lang w:val="fr-FR"/>
        </w:rPr>
        <w:t>,</w:t>
      </w:r>
      <w:r w:rsidR="00895C96" w:rsidRPr="00895C96">
        <w:rPr>
          <w:lang w:val="fr-FR"/>
        </w:rPr>
        <w:t xml:space="preserve"> pour assurer la protection des citoyens et de leurs</w:t>
      </w:r>
      <w:r w:rsidR="00382281">
        <w:rPr>
          <w:lang w:val="fr-FR"/>
        </w:rPr>
        <w:t xml:space="preserve"> </w:t>
      </w:r>
      <w:r w:rsidR="00895C96" w:rsidRPr="00895C96">
        <w:rPr>
          <w:lang w:val="fr-FR"/>
        </w:rPr>
        <w:t>biens</w:t>
      </w:r>
      <w:r w:rsidR="004C5308">
        <w:rPr>
          <w:lang w:val="fr-FR"/>
        </w:rPr>
        <w:t>,</w:t>
      </w:r>
      <w:r w:rsidR="00895C96" w:rsidRPr="00895C96">
        <w:rPr>
          <w:lang w:val="fr-FR"/>
        </w:rPr>
        <w:t xml:space="preserve"> comme le prévoit l’article 17 de la Déclaration sur les défenseurs des droits de l’homme adoptée par l’Assemblée </w:t>
      </w:r>
      <w:r w:rsidR="004C5308">
        <w:rPr>
          <w:lang w:val="fr-FR"/>
        </w:rPr>
        <w:t>g</w:t>
      </w:r>
      <w:r w:rsidR="00895C96" w:rsidRPr="00895C96">
        <w:rPr>
          <w:lang w:val="fr-FR"/>
        </w:rPr>
        <w:t>énérale des Nations Unies, le 9 décembre 1998</w:t>
      </w:r>
      <w:r w:rsidR="009D367F">
        <w:rPr>
          <w:lang w:val="fr-FR"/>
        </w:rPr>
        <w:t>,</w:t>
      </w:r>
      <w:r w:rsidR="00F33DC4">
        <w:rPr>
          <w:lang w:val="fr-FR"/>
        </w:rPr>
        <w:t>:</w:t>
      </w:r>
      <w:r w:rsidR="00895C96" w:rsidRPr="00895C96">
        <w:rPr>
          <w:lang w:val="fr-FR"/>
        </w:rPr>
        <w:t xml:space="preserve"> «dans l’exercice des droits et libertés visés dans la présente Déclaration, chacun, agissant individuellement ou en association avec d’autres, n’est soumis qu’aux limitations fixées conformément aux obligations internationales existantes et établies par la loi exclusivement en vue d’assurer la reconnaissance et le respect des droits et libertés d’autrui et afin de satisfaire aux exigences de la morale, de l’ordre public et du bien–être général dans une société démocratique».</w:t>
      </w:r>
    </w:p>
    <w:p w:rsidR="00895C96" w:rsidRPr="00895C96" w:rsidRDefault="00746A26" w:rsidP="00E04030">
      <w:pPr>
        <w:pStyle w:val="SingleTxtG"/>
        <w:rPr>
          <w:lang w:val="fr-FR"/>
        </w:rPr>
      </w:pPr>
      <w:r>
        <w:rPr>
          <w:lang w:val="fr-FR"/>
        </w:rPr>
        <w:t>183.</w:t>
      </w:r>
      <w:r w:rsidR="00CE3E1A">
        <w:rPr>
          <w:lang w:val="fr-FR"/>
        </w:rPr>
        <w:tab/>
      </w:r>
      <w:r w:rsidR="00895C96" w:rsidRPr="00895C96">
        <w:rPr>
          <w:lang w:val="fr-FR"/>
        </w:rPr>
        <w:t>Les restrictions apportées par le Gouvernement togolais à l’exercice de la liberté de réunion et de manifestation répondent au souci des autorités d’assurer la protection des biens et des personnes, des droits et des libertés d’autrui et de préserver l’ordre public</w:t>
      </w:r>
      <w:r w:rsidR="00AC4C74">
        <w:rPr>
          <w:lang w:val="fr-FR"/>
        </w:rPr>
        <w:t>,</w:t>
      </w:r>
      <w:r w:rsidR="00895C96" w:rsidRPr="00895C96">
        <w:rPr>
          <w:lang w:val="fr-FR"/>
        </w:rPr>
        <w:t xml:space="preserve"> et sont en parfaites adéquation avec les dispositions de l’article 21 du </w:t>
      </w:r>
      <w:r w:rsidR="00A80E17" w:rsidRPr="00AC4C74">
        <w:rPr>
          <w:lang w:val="fr-FR"/>
        </w:rPr>
        <w:t>P</w:t>
      </w:r>
      <w:r w:rsidR="00895C96" w:rsidRPr="00AC4C74">
        <w:rPr>
          <w:lang w:val="fr-FR"/>
        </w:rPr>
        <w:t>acte</w:t>
      </w:r>
      <w:r w:rsidR="00AC4C74">
        <w:rPr>
          <w:lang w:val="fr-FR"/>
        </w:rPr>
        <w:t xml:space="preserve"> international relatif aux droits civils et politiques</w:t>
      </w:r>
      <w:r w:rsidR="00895C96" w:rsidRPr="00895C96">
        <w:rPr>
          <w:lang w:val="fr-FR"/>
        </w:rPr>
        <w:t>.</w:t>
      </w:r>
    </w:p>
    <w:p w:rsidR="00895C96" w:rsidRPr="00895C96" w:rsidRDefault="00CE3E1A" w:rsidP="00E04030">
      <w:pPr>
        <w:pStyle w:val="SingleTxtG"/>
        <w:rPr>
          <w:b/>
          <w:bCs/>
          <w:lang w:val="fr-FR"/>
        </w:rPr>
      </w:pPr>
      <w:r>
        <w:rPr>
          <w:b/>
          <w:bCs/>
          <w:lang w:val="fr-FR"/>
        </w:rPr>
        <w:tab/>
      </w:r>
      <w:r w:rsidR="00895C96" w:rsidRPr="00895C96">
        <w:rPr>
          <w:b/>
          <w:bCs/>
          <w:lang w:val="fr-FR"/>
        </w:rPr>
        <w:t>Liberté d’expression</w:t>
      </w:r>
    </w:p>
    <w:p w:rsidR="00895C96" w:rsidRPr="00895C96" w:rsidRDefault="00746A26" w:rsidP="00746A26">
      <w:pPr>
        <w:pStyle w:val="SingleTxtG"/>
        <w:rPr>
          <w:lang w:val="fr-FR"/>
        </w:rPr>
      </w:pPr>
      <w:r>
        <w:rPr>
          <w:lang w:val="fr-FR"/>
        </w:rPr>
        <w:t>184.</w:t>
      </w:r>
      <w:r>
        <w:rPr>
          <w:lang w:val="fr-FR"/>
        </w:rPr>
        <w:tab/>
      </w:r>
      <w:r w:rsidR="00895C96" w:rsidRPr="00895C96">
        <w:rPr>
          <w:lang w:val="fr-FR"/>
        </w:rPr>
        <w:t xml:space="preserve">La liberté d’expression est garantie et protégée par l’article 26 de la Constitution. Mais c’est la loi n° 98-004/PR du 11 février 1998 portant </w:t>
      </w:r>
      <w:r w:rsidR="001E7B6C">
        <w:rPr>
          <w:lang w:val="fr-FR"/>
        </w:rPr>
        <w:t>Code</w:t>
      </w:r>
      <w:r w:rsidR="00895C96" w:rsidRPr="00895C96">
        <w:rPr>
          <w:lang w:val="fr-FR"/>
        </w:rPr>
        <w:t xml:space="preserve"> de la presse et de la communication modifiée et complétée par les lois n° 2000/006/PR du 23 février 2000, n° 2002-26 du 25 septembre 2002 et n° 2004-015 du 27 août 2004 qui constitue le cadre légal de l’exercice de la liberté de presse.</w:t>
      </w:r>
    </w:p>
    <w:p w:rsidR="00895C96" w:rsidRPr="00895C96" w:rsidRDefault="00746A26" w:rsidP="00E04030">
      <w:pPr>
        <w:pStyle w:val="SingleTxtG"/>
        <w:rPr>
          <w:lang w:val="fr-FR"/>
        </w:rPr>
      </w:pPr>
      <w:r>
        <w:rPr>
          <w:lang w:val="fr-FR"/>
        </w:rPr>
        <w:t>185.</w:t>
      </w:r>
      <w:r w:rsidR="00CE3E1A">
        <w:rPr>
          <w:lang w:val="fr-FR"/>
        </w:rPr>
        <w:tab/>
      </w:r>
      <w:r w:rsidR="00895C96" w:rsidRPr="00895C96">
        <w:rPr>
          <w:lang w:val="fr-FR"/>
        </w:rPr>
        <w:t>Ces dernières modifications dépénalisent complètement les délits de presse. Toutefois, puisque la liberté de presse ne saurait signifier anarchie et désordre nulle part dans le monde, l’organe de régulation</w:t>
      </w:r>
      <w:r w:rsidR="004A5AD1">
        <w:rPr>
          <w:lang w:val="fr-FR"/>
        </w:rPr>
        <w:t>,</w:t>
      </w:r>
      <w:r w:rsidR="00895C96" w:rsidRPr="00895C96">
        <w:rPr>
          <w:lang w:val="fr-FR"/>
        </w:rPr>
        <w:t xml:space="preserve"> en l’occurrence la Haute Autorité de l’Audiovisuel et de la Communication (HAAC)</w:t>
      </w:r>
      <w:r w:rsidR="004A5AD1">
        <w:rPr>
          <w:lang w:val="fr-FR"/>
        </w:rPr>
        <w:t>,</w:t>
      </w:r>
      <w:r w:rsidR="00895C96" w:rsidRPr="00895C96">
        <w:rPr>
          <w:lang w:val="fr-FR"/>
        </w:rPr>
        <w:t xml:space="preserve"> dans le cadre du suivi des programmes radiotélévisés, a pu relever plusieurs irrégularités et débordements et </w:t>
      </w:r>
      <w:r w:rsidR="0042196D">
        <w:rPr>
          <w:lang w:val="fr-FR"/>
        </w:rPr>
        <w:t xml:space="preserve">a </w:t>
      </w:r>
      <w:r w:rsidR="00895C96" w:rsidRPr="00895C96">
        <w:rPr>
          <w:lang w:val="fr-FR"/>
        </w:rPr>
        <w:t>pris des mesures disciplinaires.</w:t>
      </w:r>
    </w:p>
    <w:p w:rsidR="00895C96" w:rsidRPr="00895C96" w:rsidRDefault="00746A26" w:rsidP="00E04030">
      <w:pPr>
        <w:pStyle w:val="SingleTxtG"/>
        <w:rPr>
          <w:lang w:val="fr-FR"/>
        </w:rPr>
      </w:pPr>
      <w:r>
        <w:rPr>
          <w:lang w:val="fr-FR"/>
        </w:rPr>
        <w:t>186.</w:t>
      </w:r>
      <w:r w:rsidR="00CE3E1A">
        <w:rPr>
          <w:lang w:val="fr-FR"/>
        </w:rPr>
        <w:tab/>
      </w:r>
      <w:r w:rsidR="00125D12">
        <w:rPr>
          <w:lang w:val="fr-FR"/>
        </w:rPr>
        <w:t>À la</w:t>
      </w:r>
      <w:r w:rsidR="00125D12" w:rsidRPr="00895C96">
        <w:rPr>
          <w:lang w:val="fr-FR"/>
        </w:rPr>
        <w:t xml:space="preserve"> </w:t>
      </w:r>
      <w:r w:rsidR="00895C96" w:rsidRPr="00895C96">
        <w:rPr>
          <w:lang w:val="fr-FR"/>
        </w:rPr>
        <w:t>fin d</w:t>
      </w:r>
      <w:r w:rsidR="00125D12">
        <w:rPr>
          <w:lang w:val="fr-FR"/>
        </w:rPr>
        <w:t>e l</w:t>
      </w:r>
      <w:r w:rsidR="00895C96" w:rsidRPr="00895C96">
        <w:rPr>
          <w:lang w:val="fr-FR"/>
        </w:rPr>
        <w:t>’année 2008, on dénombre environ 11 stations de télévision, 70 chaînes de radio et près de 200 publications dont certaines paraissent, disparaissent et réapparaissent en raison des difficultés financières qu’elles connaissent.</w:t>
      </w:r>
    </w:p>
    <w:p w:rsidR="00895C96" w:rsidRPr="00895C96" w:rsidRDefault="00746A26" w:rsidP="00E04030">
      <w:pPr>
        <w:pStyle w:val="SingleTxtG"/>
        <w:rPr>
          <w:lang w:val="fr-FR"/>
        </w:rPr>
      </w:pPr>
      <w:r>
        <w:rPr>
          <w:lang w:val="fr-FR"/>
        </w:rPr>
        <w:t>187.</w:t>
      </w:r>
      <w:r w:rsidR="00CE3E1A">
        <w:rPr>
          <w:lang w:val="fr-FR"/>
        </w:rPr>
        <w:tab/>
      </w:r>
      <w:r w:rsidR="00895C96" w:rsidRPr="00895C96">
        <w:rPr>
          <w:lang w:val="fr-FR"/>
        </w:rPr>
        <w:t xml:space="preserve">Une place importante est réservée à la presse par le </w:t>
      </w:r>
      <w:r w:rsidR="003F3562">
        <w:rPr>
          <w:lang w:val="fr-FR"/>
        </w:rPr>
        <w:t>G</w:t>
      </w:r>
      <w:r w:rsidR="00895C96" w:rsidRPr="00895C96">
        <w:rPr>
          <w:lang w:val="fr-FR"/>
        </w:rPr>
        <w:t>ouvernement, qui se trouve être le 4</w:t>
      </w:r>
      <w:r w:rsidR="00895C96" w:rsidRPr="003F3562">
        <w:rPr>
          <w:vertAlign w:val="superscript"/>
          <w:lang w:val="fr-FR"/>
        </w:rPr>
        <w:t>è</w:t>
      </w:r>
      <w:r w:rsidR="003F3562" w:rsidRPr="003F3562">
        <w:rPr>
          <w:vertAlign w:val="superscript"/>
          <w:lang w:val="fr-FR"/>
        </w:rPr>
        <w:t>me</w:t>
      </w:r>
      <w:r w:rsidR="003F3562">
        <w:rPr>
          <w:lang w:val="fr-FR"/>
        </w:rPr>
        <w:t xml:space="preserve"> </w:t>
      </w:r>
      <w:r w:rsidR="00895C96" w:rsidRPr="00895C96">
        <w:rPr>
          <w:lang w:val="fr-FR"/>
        </w:rPr>
        <w:t>pouvoir. C’est pourquoi</w:t>
      </w:r>
      <w:r w:rsidR="003F3562">
        <w:rPr>
          <w:lang w:val="fr-FR"/>
        </w:rPr>
        <w:t>,</w:t>
      </w:r>
      <w:r w:rsidR="00895C96" w:rsidRPr="00895C96">
        <w:rPr>
          <w:lang w:val="fr-FR"/>
        </w:rPr>
        <w:t xml:space="preserve"> il a été décidé de porter l’aide à la presse privée de 75 millions à 350 millions de FCFA pour mieux la parfaire</w:t>
      </w:r>
      <w:r w:rsidR="00235FAE">
        <w:rPr>
          <w:lang w:val="fr-FR"/>
        </w:rPr>
        <w:t xml:space="preserve"> dans le</w:t>
      </w:r>
      <w:r w:rsidR="00895C96" w:rsidRPr="00895C96">
        <w:rPr>
          <w:lang w:val="fr-FR"/>
        </w:rPr>
        <w:t xml:space="preserve"> courant</w:t>
      </w:r>
      <w:r w:rsidR="00235FAE">
        <w:rPr>
          <w:lang w:val="fr-FR"/>
        </w:rPr>
        <w:t xml:space="preserve"> de l’année </w:t>
      </w:r>
      <w:r w:rsidR="00382281">
        <w:rPr>
          <w:lang w:val="fr-FR"/>
        </w:rPr>
        <w:t xml:space="preserve"> </w:t>
      </w:r>
      <w:r w:rsidR="00895C96" w:rsidRPr="00895C96">
        <w:rPr>
          <w:lang w:val="fr-FR"/>
        </w:rPr>
        <w:t>2009.</w:t>
      </w:r>
    </w:p>
    <w:p w:rsidR="00895C96" w:rsidRPr="00895C96" w:rsidRDefault="00746A26" w:rsidP="00E04030">
      <w:pPr>
        <w:pStyle w:val="SingleTxtG"/>
        <w:rPr>
          <w:lang w:val="fr-FR"/>
        </w:rPr>
      </w:pPr>
      <w:r>
        <w:rPr>
          <w:lang w:val="fr-FR"/>
        </w:rPr>
        <w:t>188.</w:t>
      </w:r>
      <w:r w:rsidR="00CE3E1A">
        <w:rPr>
          <w:lang w:val="fr-FR"/>
        </w:rPr>
        <w:tab/>
      </w:r>
      <w:r w:rsidR="00895C96" w:rsidRPr="00895C96">
        <w:rPr>
          <w:lang w:val="fr-FR"/>
        </w:rPr>
        <w:t>Ce fonds a permis d’entreprendre des activités de renforcement de</w:t>
      </w:r>
      <w:r w:rsidR="00235FAE">
        <w:rPr>
          <w:lang w:val="fr-FR"/>
        </w:rPr>
        <w:t>s</w:t>
      </w:r>
      <w:r w:rsidR="00895C96" w:rsidRPr="00895C96">
        <w:rPr>
          <w:lang w:val="fr-FR"/>
        </w:rPr>
        <w:t xml:space="preserve"> capacités</w:t>
      </w:r>
      <w:r w:rsidR="00235FAE">
        <w:rPr>
          <w:lang w:val="fr-FR"/>
        </w:rPr>
        <w:t>,</w:t>
      </w:r>
      <w:r w:rsidR="00895C96" w:rsidRPr="00895C96">
        <w:rPr>
          <w:lang w:val="fr-FR"/>
        </w:rPr>
        <w:t xml:space="preserve"> notamment la formation à la déontologie journalistique.</w:t>
      </w:r>
    </w:p>
    <w:p w:rsidR="00895C96" w:rsidRPr="00895C96" w:rsidRDefault="00CE3E1A" w:rsidP="00CE3E1A">
      <w:pPr>
        <w:pStyle w:val="H23G"/>
        <w:rPr>
          <w:lang w:val="fr-FR"/>
        </w:rPr>
      </w:pPr>
      <w:r>
        <w:rPr>
          <w:lang w:val="fr-FR"/>
        </w:rPr>
        <w:tab/>
      </w:r>
      <w:r>
        <w:rPr>
          <w:lang w:val="fr-FR"/>
        </w:rPr>
        <w:tab/>
      </w:r>
      <w:r w:rsidR="00895C96" w:rsidRPr="00895C96">
        <w:rPr>
          <w:lang w:val="fr-FR"/>
        </w:rPr>
        <w:t>Réponse</w:t>
      </w:r>
      <w:r w:rsidR="00382281">
        <w:rPr>
          <w:lang w:val="fr-FR"/>
        </w:rPr>
        <w:t xml:space="preserve"> </w:t>
      </w:r>
      <w:r w:rsidR="004C660B">
        <w:rPr>
          <w:lang w:val="fr-FR"/>
        </w:rPr>
        <w:t>au paragraphe 23</w:t>
      </w:r>
      <w:r w:rsidR="004C660B" w:rsidRPr="00B100AF">
        <w:rPr>
          <w:lang w:val="fr-FR"/>
        </w:rPr>
        <w:t xml:space="preserve"> </w:t>
      </w:r>
      <w:r w:rsidR="004C660B">
        <w:rPr>
          <w:lang w:val="fr-FR"/>
        </w:rPr>
        <w:t xml:space="preserve">de la liste de points à traiter </w:t>
      </w:r>
    </w:p>
    <w:p w:rsidR="00895C96" w:rsidRPr="00895C96" w:rsidRDefault="00746A26" w:rsidP="00E04030">
      <w:pPr>
        <w:pStyle w:val="SingleTxtG"/>
        <w:rPr>
          <w:lang w:val="fr-FR"/>
        </w:rPr>
      </w:pPr>
      <w:r>
        <w:rPr>
          <w:lang w:val="fr-FR"/>
        </w:rPr>
        <w:t>189.</w:t>
      </w:r>
      <w:r w:rsidR="00CE3E1A">
        <w:rPr>
          <w:lang w:val="fr-FR"/>
        </w:rPr>
        <w:tab/>
      </w:r>
      <w:r w:rsidR="00895C96" w:rsidRPr="00895C96">
        <w:rPr>
          <w:lang w:val="fr-FR"/>
        </w:rPr>
        <w:t>La garantie de l’indépendance de la HAAC fait partie des 22 engagements</w:t>
      </w:r>
      <w:r w:rsidR="00235FAE">
        <w:rPr>
          <w:lang w:val="fr-FR"/>
        </w:rPr>
        <w:t>,</w:t>
      </w:r>
      <w:r w:rsidR="00895C96" w:rsidRPr="00895C96">
        <w:rPr>
          <w:lang w:val="fr-FR"/>
        </w:rPr>
        <w:t xml:space="preserve"> notamment </w:t>
      </w:r>
      <w:r w:rsidR="00235FAE">
        <w:rPr>
          <w:lang w:val="fr-FR"/>
        </w:rPr>
        <w:t>du</w:t>
      </w:r>
      <w:r w:rsidR="00895C96" w:rsidRPr="00895C96">
        <w:rPr>
          <w:lang w:val="fr-FR"/>
        </w:rPr>
        <w:t xml:space="preserve"> point</w:t>
      </w:r>
      <w:r w:rsidR="00382281">
        <w:rPr>
          <w:lang w:val="fr-FR"/>
        </w:rPr>
        <w:t xml:space="preserve"> </w:t>
      </w:r>
      <w:r w:rsidR="00895C96" w:rsidRPr="00895C96">
        <w:rPr>
          <w:lang w:val="fr-FR"/>
        </w:rPr>
        <w:t xml:space="preserve">3.6 signé par le Gouvernement togolais le 14 avril 2004 à Bruxelles à l’issue des consultations </w:t>
      </w:r>
      <w:r w:rsidR="00235FAE">
        <w:rPr>
          <w:lang w:val="fr-FR"/>
        </w:rPr>
        <w:t xml:space="preserve">qui se sont tenues </w:t>
      </w:r>
      <w:r w:rsidR="00895C96" w:rsidRPr="00895C96">
        <w:rPr>
          <w:lang w:val="fr-FR"/>
        </w:rPr>
        <w:t xml:space="preserve">entre l’Union </w:t>
      </w:r>
      <w:r w:rsidR="00382281">
        <w:rPr>
          <w:lang w:val="fr-FR"/>
        </w:rPr>
        <w:t>européenne</w:t>
      </w:r>
      <w:r w:rsidR="00895C96" w:rsidRPr="00895C96">
        <w:rPr>
          <w:lang w:val="fr-FR"/>
        </w:rPr>
        <w:t xml:space="preserve"> et la partie </w:t>
      </w:r>
      <w:r w:rsidR="00895C96" w:rsidRPr="00F5246E">
        <w:rPr>
          <w:lang w:val="fr-FR"/>
        </w:rPr>
        <w:t>Afrique</w:t>
      </w:r>
      <w:r w:rsidR="00F5246E" w:rsidRPr="00F5246E">
        <w:rPr>
          <w:lang w:val="fr-FR"/>
        </w:rPr>
        <w:t>-</w:t>
      </w:r>
      <w:r w:rsidR="00895C96" w:rsidRPr="00F5246E">
        <w:rPr>
          <w:lang w:val="fr-FR"/>
        </w:rPr>
        <w:t xml:space="preserve"> Caraïbes</w:t>
      </w:r>
      <w:r w:rsidR="00F5246E" w:rsidRPr="00F5246E">
        <w:rPr>
          <w:lang w:val="fr-FR"/>
        </w:rPr>
        <w:t>-</w:t>
      </w:r>
      <w:r w:rsidR="00895C96" w:rsidRPr="00F5246E">
        <w:rPr>
          <w:lang w:val="fr-FR"/>
        </w:rPr>
        <w:t xml:space="preserve"> Pacifique (ACP)</w:t>
      </w:r>
      <w:r w:rsidR="00895C96" w:rsidRPr="00895C96">
        <w:rPr>
          <w:lang w:val="fr-FR"/>
        </w:rPr>
        <w:t xml:space="preserve"> sur la République </w:t>
      </w:r>
      <w:r w:rsidR="001E7B6C">
        <w:rPr>
          <w:lang w:val="fr-FR"/>
        </w:rPr>
        <w:t>togolais</w:t>
      </w:r>
      <w:r w:rsidR="00895C96" w:rsidRPr="00895C96">
        <w:rPr>
          <w:lang w:val="fr-FR"/>
        </w:rPr>
        <w:t>e au titre de l’article 96 de l’</w:t>
      </w:r>
      <w:r w:rsidR="00235FAE">
        <w:rPr>
          <w:lang w:val="fr-FR"/>
        </w:rPr>
        <w:t>A</w:t>
      </w:r>
      <w:r w:rsidR="00895C96" w:rsidRPr="00895C96">
        <w:rPr>
          <w:lang w:val="fr-FR"/>
        </w:rPr>
        <w:t>ccord de Cotonou.</w:t>
      </w:r>
    </w:p>
    <w:p w:rsidR="00895C96" w:rsidRPr="00895C96" w:rsidRDefault="00746A26" w:rsidP="00E04030">
      <w:pPr>
        <w:pStyle w:val="SingleTxtG"/>
        <w:rPr>
          <w:lang w:val="fr-FR"/>
        </w:rPr>
      </w:pPr>
      <w:r>
        <w:rPr>
          <w:lang w:val="fr-FR"/>
        </w:rPr>
        <w:t>190.</w:t>
      </w:r>
      <w:r w:rsidR="00CE3E1A">
        <w:rPr>
          <w:lang w:val="fr-FR"/>
        </w:rPr>
        <w:tab/>
      </w:r>
      <w:r w:rsidR="00895C96" w:rsidRPr="00895C96">
        <w:rPr>
          <w:lang w:val="fr-FR"/>
        </w:rPr>
        <w:t>Dans le cadre de l’exécution de cet engagement</w:t>
      </w:r>
      <w:r w:rsidR="00DF5C12">
        <w:rPr>
          <w:lang w:val="fr-FR"/>
        </w:rPr>
        <w:t xml:space="preserve"> de</w:t>
      </w:r>
      <w:r w:rsidR="00F33DC4">
        <w:rPr>
          <w:lang w:val="fr-FR"/>
        </w:rPr>
        <w:t>:</w:t>
      </w:r>
      <w:r w:rsidR="00895C96" w:rsidRPr="00895C96">
        <w:rPr>
          <w:lang w:val="fr-FR"/>
        </w:rPr>
        <w:t> «revoir, dans un délai de 6 mois</w:t>
      </w:r>
      <w:r w:rsidR="00DF5C12">
        <w:rPr>
          <w:lang w:val="fr-FR"/>
        </w:rPr>
        <w:t>,</w:t>
      </w:r>
      <w:r w:rsidR="00895C96" w:rsidRPr="00895C96">
        <w:rPr>
          <w:lang w:val="fr-FR"/>
        </w:rPr>
        <w:t xml:space="preserve"> le mandat et le statut de la Haute Autorité de l’Audiovisuel et de la Communication en vue de garantir son indépendance effective par rapport aux autorités administratives et toutes les forces politiques», la loi organique n° 2004-021 du 15 Décembre 2004 relative à la Haute Autorité de l’Audiovisuel et de la Communication a été adoptée.</w:t>
      </w:r>
    </w:p>
    <w:p w:rsidR="00895C96" w:rsidRPr="00895C96" w:rsidRDefault="00746A26" w:rsidP="00E04030">
      <w:pPr>
        <w:pStyle w:val="SingleTxtG"/>
        <w:rPr>
          <w:lang w:val="fr-FR"/>
        </w:rPr>
      </w:pPr>
      <w:r>
        <w:rPr>
          <w:lang w:val="fr-FR"/>
        </w:rPr>
        <w:t>191.</w:t>
      </w:r>
      <w:r w:rsidR="00CE3E1A">
        <w:rPr>
          <w:lang w:val="fr-FR"/>
        </w:rPr>
        <w:tab/>
      </w:r>
      <w:r w:rsidR="00895C96" w:rsidRPr="00895C96">
        <w:rPr>
          <w:lang w:val="fr-FR"/>
        </w:rPr>
        <w:t>Aux termes de l’article 1</w:t>
      </w:r>
      <w:r w:rsidR="00895C96" w:rsidRPr="00895C96">
        <w:rPr>
          <w:vertAlign w:val="superscript"/>
          <w:lang w:val="fr-FR"/>
        </w:rPr>
        <w:t>er</w:t>
      </w:r>
      <w:r w:rsidR="00895C96" w:rsidRPr="00895C96">
        <w:rPr>
          <w:lang w:val="fr-FR"/>
        </w:rPr>
        <w:t xml:space="preserve"> de ladite loi, la Haute Autorité de l’Audiovisuel et de la Communication est une institution indépendante vis-à-vis des autorités administratives</w:t>
      </w:r>
      <w:r w:rsidR="00F35069">
        <w:rPr>
          <w:lang w:val="fr-FR"/>
        </w:rPr>
        <w:t>,</w:t>
      </w:r>
      <w:r w:rsidR="00895C96" w:rsidRPr="00895C96">
        <w:rPr>
          <w:lang w:val="fr-FR"/>
        </w:rPr>
        <w:t xml:space="preserve"> de tout pouvoir politique, de tout parti politique</w:t>
      </w:r>
      <w:r w:rsidR="00F35069">
        <w:rPr>
          <w:lang w:val="fr-FR"/>
        </w:rPr>
        <w:t>,</w:t>
      </w:r>
      <w:r w:rsidR="00895C96" w:rsidRPr="00895C96">
        <w:rPr>
          <w:lang w:val="fr-FR"/>
        </w:rPr>
        <w:t xml:space="preserve"> de toute association et de tout groupe de pression.</w:t>
      </w:r>
    </w:p>
    <w:p w:rsidR="00895C96" w:rsidRPr="00895C96" w:rsidRDefault="00746A26" w:rsidP="00E04030">
      <w:pPr>
        <w:pStyle w:val="SingleTxtG"/>
        <w:rPr>
          <w:lang w:val="fr-FR"/>
        </w:rPr>
      </w:pPr>
      <w:r>
        <w:rPr>
          <w:lang w:val="fr-FR"/>
        </w:rPr>
        <w:t>192.</w:t>
      </w:r>
      <w:r w:rsidR="00CE3E1A">
        <w:rPr>
          <w:lang w:val="fr-FR"/>
        </w:rPr>
        <w:tab/>
      </w:r>
      <w:r w:rsidR="00895C96" w:rsidRPr="00895C96">
        <w:rPr>
          <w:lang w:val="fr-FR"/>
        </w:rPr>
        <w:t>En vue de garantir la</w:t>
      </w:r>
      <w:r w:rsidR="00382281">
        <w:rPr>
          <w:lang w:val="fr-FR"/>
        </w:rPr>
        <w:t xml:space="preserve"> </w:t>
      </w:r>
      <w:r w:rsidR="00895C96" w:rsidRPr="00895C96">
        <w:rPr>
          <w:lang w:val="fr-FR"/>
        </w:rPr>
        <w:t xml:space="preserve">transparence </w:t>
      </w:r>
      <w:r w:rsidR="00F5246E">
        <w:rPr>
          <w:lang w:val="fr-FR"/>
        </w:rPr>
        <w:t>au niveau du</w:t>
      </w:r>
      <w:r w:rsidR="00895C96" w:rsidRPr="00895C96">
        <w:rPr>
          <w:lang w:val="fr-FR"/>
        </w:rPr>
        <w:t xml:space="preserve"> fonctionnement de cette dernière, un appel à candidature a été lancé le 9 août 2005 pour la recomposition de ses membres. Ils ont pris officiellement </w:t>
      </w:r>
      <w:r w:rsidR="00F35069">
        <w:rPr>
          <w:lang w:val="fr-FR"/>
        </w:rPr>
        <w:t xml:space="preserve">leurs </w:t>
      </w:r>
      <w:r w:rsidR="00895C96" w:rsidRPr="00895C96">
        <w:rPr>
          <w:lang w:val="fr-FR"/>
        </w:rPr>
        <w:t>fonction</w:t>
      </w:r>
      <w:r w:rsidR="00F35069">
        <w:rPr>
          <w:lang w:val="fr-FR"/>
        </w:rPr>
        <w:t>s</w:t>
      </w:r>
      <w:r w:rsidR="00895C96" w:rsidRPr="00895C96">
        <w:rPr>
          <w:lang w:val="fr-FR"/>
        </w:rPr>
        <w:t xml:space="preserve"> le 17 octobre 2005. </w:t>
      </w:r>
    </w:p>
    <w:p w:rsidR="00895C96" w:rsidRPr="00895C96" w:rsidRDefault="00746A26" w:rsidP="00E04030">
      <w:pPr>
        <w:pStyle w:val="SingleTxtG"/>
        <w:rPr>
          <w:lang w:val="fr-FR"/>
        </w:rPr>
      </w:pPr>
      <w:r>
        <w:rPr>
          <w:lang w:val="fr-FR"/>
        </w:rPr>
        <w:t>193.</w:t>
      </w:r>
      <w:r w:rsidR="00CE3E1A">
        <w:rPr>
          <w:lang w:val="fr-FR"/>
        </w:rPr>
        <w:tab/>
      </w:r>
      <w:r w:rsidR="00895C96" w:rsidRPr="00895C96">
        <w:rPr>
          <w:lang w:val="fr-FR"/>
        </w:rPr>
        <w:t xml:space="preserve">La Haute Autorité de l’Audiovisuel et de la Communication (HAAC) a pour mission non seulement de garantir et d’assurer la liberté et la protection de la presse et </w:t>
      </w:r>
      <w:r w:rsidR="00E54311">
        <w:rPr>
          <w:lang w:val="fr-FR"/>
        </w:rPr>
        <w:t>d</w:t>
      </w:r>
      <w:r w:rsidR="00895C96" w:rsidRPr="00895C96">
        <w:rPr>
          <w:lang w:val="fr-FR"/>
        </w:rPr>
        <w:t xml:space="preserve">es autres moyens de communication de masse dans le respect de la dignité de la personne humaine, de la sauvegarde de la paix, de l’ordre public, de l’unité nationale, des impératifs de la défense nationale, de la déontologie en matière d’information et de communication, mais aussi d’encourager le professionnalisme et d’appeler les journalistes à plus de responsabilité. </w:t>
      </w:r>
    </w:p>
    <w:p w:rsidR="00895C96" w:rsidRPr="00895C96" w:rsidRDefault="00746A26" w:rsidP="00E04030">
      <w:pPr>
        <w:pStyle w:val="SingleTxtG"/>
        <w:rPr>
          <w:lang w:val="fr-FR"/>
        </w:rPr>
      </w:pPr>
      <w:r>
        <w:rPr>
          <w:lang w:val="fr-FR"/>
        </w:rPr>
        <w:t>194.</w:t>
      </w:r>
      <w:r w:rsidR="00CE3E1A">
        <w:rPr>
          <w:lang w:val="fr-FR"/>
        </w:rPr>
        <w:tab/>
      </w:r>
      <w:r w:rsidR="00216624">
        <w:rPr>
          <w:lang w:val="fr-FR"/>
        </w:rPr>
        <w:t>À</w:t>
      </w:r>
      <w:r w:rsidR="00895C96" w:rsidRPr="00895C96">
        <w:rPr>
          <w:lang w:val="fr-FR"/>
        </w:rPr>
        <w:t xml:space="preserve"> cet effet, la HAAC a mis en place huit (08) comités techniques</w:t>
      </w:r>
      <w:r w:rsidR="00216624">
        <w:rPr>
          <w:lang w:val="fr-FR"/>
        </w:rPr>
        <w:t>,</w:t>
      </w:r>
      <w:r w:rsidR="00895C96" w:rsidRPr="00895C96">
        <w:rPr>
          <w:lang w:val="fr-FR"/>
        </w:rPr>
        <w:t xml:space="preserve"> qui constituent un cadre spécifique de discussion des problèmes inhérents à chaque organe de presse.</w:t>
      </w:r>
    </w:p>
    <w:p w:rsidR="00895C96" w:rsidRPr="00895C96" w:rsidRDefault="00CE3E1A" w:rsidP="00CE3E1A">
      <w:pPr>
        <w:pStyle w:val="H23G"/>
        <w:rPr>
          <w:lang w:val="fr-FR"/>
        </w:rPr>
      </w:pPr>
      <w:r>
        <w:rPr>
          <w:lang w:val="fr-FR"/>
        </w:rPr>
        <w:tab/>
      </w:r>
      <w:r>
        <w:rPr>
          <w:lang w:val="fr-FR"/>
        </w:rPr>
        <w:tab/>
      </w:r>
      <w:r w:rsidR="00895C96" w:rsidRPr="00895C96">
        <w:rPr>
          <w:lang w:val="fr-FR"/>
        </w:rPr>
        <w:t>Réponse</w:t>
      </w:r>
      <w:r w:rsidR="00382281">
        <w:rPr>
          <w:lang w:val="fr-FR"/>
        </w:rPr>
        <w:t xml:space="preserve"> </w:t>
      </w:r>
      <w:r w:rsidR="008A7035">
        <w:rPr>
          <w:lang w:val="fr-FR"/>
        </w:rPr>
        <w:t>au paragraphe 24</w:t>
      </w:r>
      <w:r w:rsidR="008A7035" w:rsidRPr="00B100AF">
        <w:rPr>
          <w:lang w:val="fr-FR"/>
        </w:rPr>
        <w:t xml:space="preserve"> </w:t>
      </w:r>
      <w:r w:rsidR="008A7035">
        <w:rPr>
          <w:lang w:val="fr-FR"/>
        </w:rPr>
        <w:t xml:space="preserve">de la liste de points à traiter </w:t>
      </w:r>
    </w:p>
    <w:p w:rsidR="00895C96" w:rsidRPr="00895C96" w:rsidRDefault="00746A26" w:rsidP="00E04030">
      <w:pPr>
        <w:pStyle w:val="SingleTxtG"/>
        <w:rPr>
          <w:lang w:val="fr-FR"/>
        </w:rPr>
      </w:pPr>
      <w:r>
        <w:rPr>
          <w:lang w:val="fr-FR"/>
        </w:rPr>
        <w:t>195.</w:t>
      </w:r>
      <w:r w:rsidR="00CE3E1A">
        <w:rPr>
          <w:lang w:val="fr-FR"/>
        </w:rPr>
        <w:tab/>
      </w:r>
      <w:r w:rsidR="00895C96" w:rsidRPr="00895C96">
        <w:rPr>
          <w:lang w:val="fr-FR"/>
        </w:rPr>
        <w:t>La liberté de réunion est soumise à une déclaration préalable à l’autorité publique compétente. Cette déclaration permet à l’autorité publique de prendre les mesures nécessaires pour assurer la sécurité des personnes et des biens au cours de la manifestation. Lorsque la réunion malgré son caractère pacifique</w:t>
      </w:r>
      <w:r w:rsidR="00216624">
        <w:rPr>
          <w:lang w:val="fr-FR"/>
        </w:rPr>
        <w:t>,</w:t>
      </w:r>
      <w:r w:rsidR="00895C96" w:rsidRPr="00895C96">
        <w:rPr>
          <w:lang w:val="fr-FR"/>
        </w:rPr>
        <w:t xml:space="preserve"> présente un risque réel et prévisible d’action violente</w:t>
      </w:r>
      <w:r w:rsidR="00CF2B2B">
        <w:rPr>
          <w:lang w:val="fr-FR"/>
        </w:rPr>
        <w:t xml:space="preserve"> ou</w:t>
      </w:r>
      <w:r w:rsidR="00895C96" w:rsidRPr="00895C96">
        <w:rPr>
          <w:lang w:val="fr-FR"/>
        </w:rPr>
        <w:t xml:space="preserve"> d’incitation à la violence, l’autorité publique peut l’interdire.</w:t>
      </w:r>
    </w:p>
    <w:p w:rsidR="00895C96" w:rsidRPr="00895C96" w:rsidRDefault="00746A26" w:rsidP="00E04030">
      <w:pPr>
        <w:pStyle w:val="SingleTxtG"/>
        <w:rPr>
          <w:lang w:val="fr-FR"/>
        </w:rPr>
      </w:pPr>
      <w:r>
        <w:rPr>
          <w:lang w:val="fr-FR"/>
        </w:rPr>
        <w:t>196.</w:t>
      </w:r>
      <w:r w:rsidR="00CE3E1A">
        <w:rPr>
          <w:lang w:val="fr-FR"/>
        </w:rPr>
        <w:tab/>
      </w:r>
      <w:r w:rsidR="00895C96" w:rsidRPr="00895C96">
        <w:rPr>
          <w:lang w:val="fr-FR"/>
        </w:rPr>
        <w:t>L’interdiction des réunions et manifestations électorales sur la voie publique est fondée sur la nécessité de garantir à tous les citoyens le droit à la liberté d’aller et venir.</w:t>
      </w:r>
    </w:p>
    <w:p w:rsidR="00895C96" w:rsidRPr="00895C96" w:rsidRDefault="00746A26" w:rsidP="00E04030">
      <w:pPr>
        <w:pStyle w:val="SingleTxtG"/>
        <w:rPr>
          <w:b/>
          <w:bCs/>
          <w:lang w:val="fr-FR"/>
        </w:rPr>
      </w:pPr>
      <w:r>
        <w:rPr>
          <w:lang w:val="fr-FR"/>
        </w:rPr>
        <w:t>197.</w:t>
      </w:r>
      <w:r w:rsidR="00CE3E1A">
        <w:rPr>
          <w:lang w:val="fr-FR"/>
        </w:rPr>
        <w:tab/>
      </w:r>
      <w:r w:rsidR="00895C96" w:rsidRPr="00895C96">
        <w:rPr>
          <w:lang w:val="fr-FR"/>
        </w:rPr>
        <w:t>L’interdiction des réunions et manifestations électorales entre 22 h et 6h répond au souci des autorités de garantir la tranquillité publique</w:t>
      </w:r>
      <w:r w:rsidR="00895C96" w:rsidRPr="00895C96">
        <w:rPr>
          <w:b/>
          <w:bCs/>
          <w:lang w:val="fr-FR"/>
        </w:rPr>
        <w:t>.</w:t>
      </w:r>
    </w:p>
    <w:p w:rsidR="00895C96" w:rsidRPr="00895C96" w:rsidRDefault="00CE3E1A" w:rsidP="00CE3E1A">
      <w:pPr>
        <w:pStyle w:val="H23G"/>
        <w:rPr>
          <w:lang w:val="fr-FR"/>
        </w:rPr>
      </w:pPr>
      <w:r>
        <w:rPr>
          <w:lang w:val="fr-FR"/>
        </w:rPr>
        <w:tab/>
      </w:r>
      <w:r>
        <w:rPr>
          <w:lang w:val="fr-FR"/>
        </w:rPr>
        <w:tab/>
      </w:r>
      <w:r w:rsidR="00895C96" w:rsidRPr="00895C96">
        <w:rPr>
          <w:lang w:val="fr-FR"/>
        </w:rPr>
        <w:t>Réponse</w:t>
      </w:r>
      <w:r w:rsidR="00382281">
        <w:rPr>
          <w:lang w:val="fr-FR"/>
        </w:rPr>
        <w:t xml:space="preserve"> </w:t>
      </w:r>
      <w:r w:rsidR="00EA21CB">
        <w:rPr>
          <w:lang w:val="fr-FR"/>
        </w:rPr>
        <w:t>au paragraphe 25</w:t>
      </w:r>
      <w:r w:rsidR="00EA21CB" w:rsidRPr="00B100AF">
        <w:rPr>
          <w:lang w:val="fr-FR"/>
        </w:rPr>
        <w:t xml:space="preserve"> </w:t>
      </w:r>
      <w:r w:rsidR="00EA21CB">
        <w:rPr>
          <w:lang w:val="fr-FR"/>
        </w:rPr>
        <w:t xml:space="preserve">de la liste de points à traiter </w:t>
      </w:r>
    </w:p>
    <w:p w:rsidR="00895C96" w:rsidRPr="00895C96" w:rsidRDefault="00CE3E1A" w:rsidP="00CE3E1A">
      <w:pPr>
        <w:pStyle w:val="H23G"/>
        <w:rPr>
          <w:lang w:val="fr-FR"/>
        </w:rPr>
      </w:pPr>
      <w:r>
        <w:rPr>
          <w:lang w:val="fr-FR"/>
        </w:rPr>
        <w:tab/>
      </w:r>
      <w:r>
        <w:rPr>
          <w:lang w:val="fr-FR"/>
        </w:rPr>
        <w:tab/>
      </w:r>
      <w:r w:rsidR="00895C96" w:rsidRPr="00895C96">
        <w:rPr>
          <w:lang w:val="fr-FR"/>
        </w:rPr>
        <w:t>La liberté d’association</w:t>
      </w:r>
    </w:p>
    <w:p w:rsidR="00895C96" w:rsidRPr="00895C96" w:rsidRDefault="00746A26" w:rsidP="00E04030">
      <w:pPr>
        <w:pStyle w:val="SingleTxtG"/>
        <w:rPr>
          <w:lang w:val="fr-FR"/>
        </w:rPr>
      </w:pPr>
      <w:r>
        <w:rPr>
          <w:lang w:val="fr-FR"/>
        </w:rPr>
        <w:t>198.</w:t>
      </w:r>
      <w:r w:rsidR="00CE3E1A">
        <w:rPr>
          <w:lang w:val="fr-FR"/>
        </w:rPr>
        <w:tab/>
      </w:r>
      <w:r w:rsidR="00895C96" w:rsidRPr="00895C96">
        <w:rPr>
          <w:lang w:val="fr-FR"/>
        </w:rPr>
        <w:t xml:space="preserve">Depuis la réorganisation en décembre 2008 des services compétents au sein du ministère de l’administration territoriale, de la décentralisation et des collectivités locales, </w:t>
      </w:r>
      <w:r w:rsidR="00CF2B2B">
        <w:rPr>
          <w:lang w:val="fr-FR"/>
        </w:rPr>
        <w:t>avec</w:t>
      </w:r>
      <w:r w:rsidR="00CF2B2B" w:rsidRPr="00895C96">
        <w:rPr>
          <w:lang w:val="fr-FR"/>
        </w:rPr>
        <w:t xml:space="preserve"> </w:t>
      </w:r>
      <w:r w:rsidR="00895C96" w:rsidRPr="00895C96">
        <w:rPr>
          <w:lang w:val="fr-FR"/>
        </w:rPr>
        <w:t xml:space="preserve">la création de la direction des affaires politiques et des organisations de la société civile, la procédure de déclaration des associations et </w:t>
      </w:r>
      <w:r w:rsidR="00CF2B2B">
        <w:rPr>
          <w:lang w:val="fr-FR"/>
        </w:rPr>
        <w:t xml:space="preserve">des </w:t>
      </w:r>
      <w:r w:rsidR="00895C96" w:rsidRPr="00895C96">
        <w:rPr>
          <w:lang w:val="fr-FR"/>
        </w:rPr>
        <w:t>ONG a été simplifiée puisque les enquêtes de moralité ne sont plus systématique</w:t>
      </w:r>
      <w:r w:rsidR="00CF2B2B">
        <w:rPr>
          <w:lang w:val="fr-FR"/>
        </w:rPr>
        <w:t>ment effectuées</w:t>
      </w:r>
      <w:r w:rsidR="00895C96" w:rsidRPr="00895C96">
        <w:rPr>
          <w:lang w:val="fr-FR"/>
        </w:rPr>
        <w:t xml:space="preserve"> pour toutes les associations. </w:t>
      </w:r>
    </w:p>
    <w:p w:rsidR="00895C96" w:rsidRPr="00895C96" w:rsidRDefault="00CE3E1A" w:rsidP="00B100AF">
      <w:pPr>
        <w:pStyle w:val="H1G"/>
        <w:rPr>
          <w:lang w:val="fr-FR"/>
        </w:rPr>
      </w:pPr>
      <w:r>
        <w:rPr>
          <w:lang w:val="fr-FR"/>
        </w:rPr>
        <w:tab/>
      </w:r>
      <w:r>
        <w:rPr>
          <w:lang w:val="fr-FR"/>
        </w:rPr>
        <w:tab/>
      </w:r>
      <w:r w:rsidR="00895C96" w:rsidRPr="00895C96">
        <w:rPr>
          <w:lang w:val="fr-FR"/>
        </w:rPr>
        <w:t>Droits des personnes appartenant à des minorités (art.27)</w:t>
      </w:r>
    </w:p>
    <w:p w:rsidR="00895C96" w:rsidRPr="00895C96" w:rsidRDefault="00CE3E1A" w:rsidP="00CE3E1A">
      <w:pPr>
        <w:pStyle w:val="H23G"/>
        <w:rPr>
          <w:lang w:val="fr-FR"/>
        </w:rPr>
      </w:pPr>
      <w:r>
        <w:rPr>
          <w:lang w:val="fr-FR"/>
        </w:rPr>
        <w:tab/>
      </w:r>
      <w:r>
        <w:rPr>
          <w:lang w:val="fr-FR"/>
        </w:rPr>
        <w:tab/>
      </w:r>
      <w:r w:rsidR="00895C96" w:rsidRPr="00895C96">
        <w:rPr>
          <w:lang w:val="fr-FR"/>
        </w:rPr>
        <w:t xml:space="preserve">Réponse </w:t>
      </w:r>
      <w:r w:rsidR="00EA21CB">
        <w:rPr>
          <w:lang w:val="fr-FR"/>
        </w:rPr>
        <w:t>au paragraphe 26</w:t>
      </w:r>
      <w:r w:rsidR="00EA21CB" w:rsidRPr="00B100AF">
        <w:rPr>
          <w:lang w:val="fr-FR"/>
        </w:rPr>
        <w:t xml:space="preserve"> </w:t>
      </w:r>
      <w:r w:rsidR="00EA21CB">
        <w:rPr>
          <w:lang w:val="fr-FR"/>
        </w:rPr>
        <w:t xml:space="preserve">de la liste de points à traiter </w:t>
      </w:r>
    </w:p>
    <w:p w:rsidR="00895C96" w:rsidRPr="00895C96" w:rsidRDefault="00746A26" w:rsidP="00E04030">
      <w:pPr>
        <w:pStyle w:val="SingleTxtG"/>
        <w:rPr>
          <w:b/>
          <w:bCs/>
          <w:lang w:val="fr-FR"/>
        </w:rPr>
      </w:pPr>
      <w:r>
        <w:rPr>
          <w:lang w:val="fr-FR"/>
        </w:rPr>
        <w:t>199.</w:t>
      </w:r>
      <w:r w:rsidR="00CE3E1A">
        <w:rPr>
          <w:lang w:val="fr-FR"/>
        </w:rPr>
        <w:tab/>
      </w:r>
      <w:r w:rsidR="00895C96" w:rsidRPr="00895C96">
        <w:rPr>
          <w:lang w:val="fr-FR"/>
        </w:rPr>
        <w:t>L’</w:t>
      </w:r>
      <w:r w:rsidR="001E7B6C">
        <w:rPr>
          <w:lang w:val="fr-FR"/>
        </w:rPr>
        <w:t xml:space="preserve">État </w:t>
      </w:r>
      <w:r w:rsidR="00895C96" w:rsidRPr="00895C96">
        <w:rPr>
          <w:lang w:val="fr-FR"/>
        </w:rPr>
        <w:t>togolais affirme sa volonté de</w:t>
      </w:r>
      <w:r w:rsidR="00F33DC4">
        <w:rPr>
          <w:lang w:val="fr-FR"/>
        </w:rPr>
        <w:t>:</w:t>
      </w:r>
    </w:p>
    <w:p w:rsidR="00895C96" w:rsidRPr="00895C96" w:rsidRDefault="00C3558E" w:rsidP="00CE3E1A">
      <w:pPr>
        <w:pStyle w:val="Bullet1G"/>
        <w:rPr>
          <w:lang w:val="fr-FR"/>
        </w:rPr>
      </w:pPr>
      <w:r>
        <w:rPr>
          <w:lang w:val="fr-FR"/>
        </w:rPr>
        <w:t>P</w:t>
      </w:r>
      <w:r w:rsidR="00895C96" w:rsidRPr="00895C96">
        <w:rPr>
          <w:lang w:val="fr-FR"/>
        </w:rPr>
        <w:t>romouvoir un développement qui prend ses racines dans la diversité des expressions culturelles togolaises</w:t>
      </w:r>
      <w:r w:rsidR="00F33DC4">
        <w:rPr>
          <w:lang w:val="fr-FR"/>
        </w:rPr>
        <w:t>;</w:t>
      </w:r>
    </w:p>
    <w:p w:rsidR="00895C96" w:rsidRPr="00895C96" w:rsidRDefault="00C3558E" w:rsidP="00CE3E1A">
      <w:pPr>
        <w:pStyle w:val="Bullet1G"/>
        <w:rPr>
          <w:lang w:val="fr-FR"/>
        </w:rPr>
      </w:pPr>
      <w:r>
        <w:rPr>
          <w:lang w:val="fr-FR"/>
        </w:rPr>
        <w:t>S</w:t>
      </w:r>
      <w:r w:rsidR="00895C96" w:rsidRPr="00895C96">
        <w:rPr>
          <w:lang w:val="fr-FR"/>
        </w:rPr>
        <w:t>auvegarder et promouvoir cette diversité culturelle afin de contribuer à une culture de la paix et de la tolérance</w:t>
      </w:r>
      <w:r w:rsidR="00F33DC4">
        <w:rPr>
          <w:lang w:val="fr-FR"/>
        </w:rPr>
        <w:t>;</w:t>
      </w:r>
    </w:p>
    <w:p w:rsidR="00895C96" w:rsidRPr="00895C96" w:rsidRDefault="00C3558E" w:rsidP="00CE3E1A">
      <w:pPr>
        <w:pStyle w:val="Bullet1G"/>
        <w:rPr>
          <w:lang w:val="fr-FR"/>
        </w:rPr>
      </w:pPr>
      <w:r>
        <w:rPr>
          <w:lang w:val="fr-FR"/>
        </w:rPr>
        <w:t>C</w:t>
      </w:r>
      <w:r w:rsidR="00895C96" w:rsidRPr="00895C96">
        <w:rPr>
          <w:lang w:val="fr-FR"/>
        </w:rPr>
        <w:t>ontribuer à une coopération culturelle fondée sur des principes d’égalité et de partage pour un enrichissement mutuel</w:t>
      </w:r>
      <w:r w:rsidR="00F33DC4">
        <w:rPr>
          <w:lang w:val="fr-FR"/>
        </w:rPr>
        <w:t>;</w:t>
      </w:r>
    </w:p>
    <w:p w:rsidR="00895C96" w:rsidRPr="00895C96" w:rsidRDefault="00C3558E" w:rsidP="00CE3E1A">
      <w:pPr>
        <w:pStyle w:val="Bullet1G"/>
        <w:rPr>
          <w:lang w:val="fr-FR"/>
        </w:rPr>
      </w:pPr>
      <w:r>
        <w:rPr>
          <w:lang w:val="fr-FR"/>
        </w:rPr>
        <w:t>E</w:t>
      </w:r>
      <w:r w:rsidR="00895C96" w:rsidRPr="00895C96">
        <w:rPr>
          <w:lang w:val="fr-FR"/>
        </w:rPr>
        <w:t>ncourager la participation des populations à la vie culturelle afin de contribuer à la paix et à la cohésion sociale</w:t>
      </w:r>
      <w:r w:rsidR="00F33DC4">
        <w:rPr>
          <w:lang w:val="fr-FR"/>
        </w:rPr>
        <w:t>;</w:t>
      </w:r>
    </w:p>
    <w:p w:rsidR="00895C96" w:rsidRPr="00895C96" w:rsidRDefault="00C3558E" w:rsidP="00CE3E1A">
      <w:pPr>
        <w:pStyle w:val="Bullet1G"/>
        <w:rPr>
          <w:lang w:val="fr-FR"/>
        </w:rPr>
      </w:pPr>
      <w:r>
        <w:rPr>
          <w:lang w:val="fr-FR"/>
        </w:rPr>
        <w:t>P</w:t>
      </w:r>
      <w:r w:rsidR="00895C96" w:rsidRPr="00895C96">
        <w:rPr>
          <w:lang w:val="fr-FR"/>
        </w:rPr>
        <w:t>romouvoir une culture d</w:t>
      </w:r>
      <w:r>
        <w:rPr>
          <w:lang w:val="fr-FR"/>
        </w:rPr>
        <w:t>u</w:t>
      </w:r>
      <w:r w:rsidR="00895C96" w:rsidRPr="00895C96">
        <w:rPr>
          <w:lang w:val="fr-FR"/>
        </w:rPr>
        <w:t xml:space="preserve"> respect</w:t>
      </w:r>
      <w:r>
        <w:rPr>
          <w:lang w:val="fr-FR"/>
        </w:rPr>
        <w:t xml:space="preserve"> et</w:t>
      </w:r>
      <w:r w:rsidR="00895C96" w:rsidRPr="00895C96">
        <w:rPr>
          <w:lang w:val="fr-FR"/>
        </w:rPr>
        <w:t xml:space="preserve"> d</w:t>
      </w:r>
      <w:r>
        <w:rPr>
          <w:lang w:val="fr-FR"/>
        </w:rPr>
        <w:t>e l</w:t>
      </w:r>
      <w:r w:rsidR="00895C96" w:rsidRPr="00895C96">
        <w:rPr>
          <w:lang w:val="fr-FR"/>
        </w:rPr>
        <w:t>’inclusion culturelle qui tienne compte de la différence identitaire</w:t>
      </w:r>
      <w:r w:rsidR="00F3075B">
        <w:rPr>
          <w:lang w:val="fr-FR"/>
        </w:rPr>
        <w:t>,</w:t>
      </w:r>
      <w:r w:rsidR="00895C96" w:rsidRPr="00895C96">
        <w:rPr>
          <w:lang w:val="fr-FR"/>
        </w:rPr>
        <w:t xml:space="preserve"> des droits humains et des libertés démocratiques</w:t>
      </w:r>
      <w:r w:rsidR="00F33DC4">
        <w:rPr>
          <w:lang w:val="fr-FR"/>
        </w:rPr>
        <w:t>;</w:t>
      </w:r>
    </w:p>
    <w:p w:rsidR="00895C96" w:rsidRPr="00895C96" w:rsidRDefault="00C3558E" w:rsidP="00CE3E1A">
      <w:pPr>
        <w:pStyle w:val="Bullet1G"/>
        <w:rPr>
          <w:lang w:val="fr-FR"/>
        </w:rPr>
      </w:pPr>
      <w:r>
        <w:rPr>
          <w:lang w:val="fr-FR"/>
        </w:rPr>
        <w:t>P</w:t>
      </w:r>
      <w:r w:rsidR="00895C96" w:rsidRPr="00895C96">
        <w:rPr>
          <w:lang w:val="fr-FR"/>
        </w:rPr>
        <w:t>romouvoir le dialogue interculturel et inter religieux.</w:t>
      </w:r>
    </w:p>
    <w:p w:rsidR="00895C96" w:rsidRPr="00895C96" w:rsidRDefault="00746A26" w:rsidP="00E04030">
      <w:pPr>
        <w:pStyle w:val="SingleTxtG"/>
        <w:rPr>
          <w:lang w:val="fr-FR"/>
        </w:rPr>
      </w:pPr>
      <w:r>
        <w:rPr>
          <w:lang w:val="fr-FR"/>
        </w:rPr>
        <w:t>200.</w:t>
      </w:r>
      <w:r w:rsidR="00CE3E1A">
        <w:rPr>
          <w:lang w:val="fr-FR"/>
        </w:rPr>
        <w:tab/>
      </w:r>
      <w:r w:rsidR="00895C96" w:rsidRPr="00895C96">
        <w:rPr>
          <w:lang w:val="fr-FR"/>
        </w:rPr>
        <w:t>Il existe au Togo une politique d</w:t>
      </w:r>
      <w:r w:rsidR="00F3075B">
        <w:rPr>
          <w:lang w:val="fr-FR"/>
        </w:rPr>
        <w:t>u</w:t>
      </w:r>
      <w:r w:rsidR="00895C96" w:rsidRPr="00895C96">
        <w:rPr>
          <w:lang w:val="fr-FR"/>
        </w:rPr>
        <w:t xml:space="preserve"> nivellement des cultures fondée sur les droits culturels. Les droits culturels désignent les droits, les libertés et les responsabilités </w:t>
      </w:r>
      <w:r w:rsidR="00F5246E">
        <w:rPr>
          <w:lang w:val="fr-FR"/>
        </w:rPr>
        <w:t>d’</w:t>
      </w:r>
      <w:r w:rsidR="00895C96" w:rsidRPr="00895C96">
        <w:rPr>
          <w:lang w:val="fr-FR"/>
        </w:rPr>
        <w:t>une personne seule ou en groupe de choisir et d’exprimer son identité.</w:t>
      </w:r>
    </w:p>
    <w:p w:rsidR="00895C96" w:rsidRPr="0001177B" w:rsidRDefault="00CE3E1A" w:rsidP="00CE3E1A">
      <w:pPr>
        <w:pStyle w:val="H23G"/>
        <w:rPr>
          <w:b w:val="0"/>
          <w:lang w:val="fr-FR"/>
        </w:rPr>
      </w:pPr>
      <w:r w:rsidRPr="0001177B">
        <w:rPr>
          <w:b w:val="0"/>
          <w:lang w:val="fr-FR"/>
        </w:rPr>
        <w:tab/>
      </w:r>
      <w:r w:rsidRPr="0001177B">
        <w:rPr>
          <w:b w:val="0"/>
          <w:lang w:val="fr-FR"/>
        </w:rPr>
        <w:tab/>
      </w:r>
      <w:r w:rsidR="00746A26" w:rsidRPr="0001177B">
        <w:rPr>
          <w:b w:val="0"/>
          <w:lang w:val="fr-FR"/>
        </w:rPr>
        <w:t>201.</w:t>
      </w:r>
      <w:r w:rsidR="00746A26" w:rsidRPr="0001177B">
        <w:rPr>
          <w:b w:val="0"/>
          <w:lang w:val="fr-FR"/>
        </w:rPr>
        <w:tab/>
      </w:r>
      <w:r w:rsidR="00895C96" w:rsidRPr="0001177B">
        <w:rPr>
          <w:b w:val="0"/>
          <w:lang w:val="fr-FR"/>
        </w:rPr>
        <w:t>Les droits reconnus comme droits culturels sont</w:t>
      </w:r>
      <w:r w:rsidR="00F33DC4" w:rsidRPr="0001177B">
        <w:rPr>
          <w:b w:val="0"/>
          <w:lang w:val="fr-FR"/>
        </w:rPr>
        <w:t>:</w:t>
      </w:r>
    </w:p>
    <w:p w:rsidR="00895C96" w:rsidRPr="00895C96" w:rsidRDefault="00CE3E1A" w:rsidP="00E04030">
      <w:pPr>
        <w:pStyle w:val="SingleTxtG"/>
        <w:rPr>
          <w:lang w:val="fr-FR"/>
        </w:rPr>
      </w:pPr>
      <w:r>
        <w:rPr>
          <w:lang w:val="fr-FR"/>
        </w:rPr>
        <w:tab/>
      </w:r>
      <w:r w:rsidR="00A80E17">
        <w:rPr>
          <w:lang w:val="fr-FR"/>
        </w:rPr>
        <w:t xml:space="preserve">- </w:t>
      </w:r>
      <w:r w:rsidR="00895C96" w:rsidRPr="00895C96">
        <w:rPr>
          <w:lang w:val="fr-FR"/>
        </w:rPr>
        <w:t>Le droit de participer à la vie culturelle de la communauté et</w:t>
      </w:r>
      <w:r w:rsidR="00382281">
        <w:rPr>
          <w:lang w:val="fr-FR"/>
        </w:rPr>
        <w:t xml:space="preserve"> </w:t>
      </w:r>
      <w:r w:rsidR="00895C96" w:rsidRPr="00895C96">
        <w:rPr>
          <w:lang w:val="fr-FR"/>
        </w:rPr>
        <w:t>la protection des droits d’auteur</w:t>
      </w:r>
      <w:r w:rsidR="00DB4BC2">
        <w:rPr>
          <w:lang w:val="fr-FR"/>
        </w:rPr>
        <w:t>;</w:t>
      </w:r>
    </w:p>
    <w:p w:rsidR="00895C96" w:rsidRPr="00895C96" w:rsidRDefault="00CE3E1A" w:rsidP="00E04030">
      <w:pPr>
        <w:pStyle w:val="SingleTxtG"/>
        <w:rPr>
          <w:lang w:val="fr-FR"/>
        </w:rPr>
      </w:pPr>
      <w:r>
        <w:rPr>
          <w:lang w:val="fr-FR"/>
        </w:rPr>
        <w:tab/>
      </w:r>
      <w:r w:rsidR="00A80E17">
        <w:rPr>
          <w:lang w:val="fr-FR"/>
        </w:rPr>
        <w:t xml:space="preserve">- </w:t>
      </w:r>
      <w:r w:rsidR="00895C96" w:rsidRPr="00895C96">
        <w:rPr>
          <w:lang w:val="fr-FR"/>
        </w:rPr>
        <w:t>Le droit à l’éducation et aux savoirs</w:t>
      </w:r>
      <w:r w:rsidR="00DB4BC2">
        <w:rPr>
          <w:lang w:val="fr-FR"/>
        </w:rPr>
        <w:t>;</w:t>
      </w:r>
    </w:p>
    <w:p w:rsidR="00895C96" w:rsidRPr="00895C96" w:rsidRDefault="00CE3E1A" w:rsidP="00E04030">
      <w:pPr>
        <w:pStyle w:val="SingleTxtG"/>
        <w:rPr>
          <w:lang w:val="fr-FR"/>
        </w:rPr>
      </w:pPr>
      <w:r>
        <w:rPr>
          <w:lang w:val="fr-FR"/>
        </w:rPr>
        <w:tab/>
      </w:r>
      <w:r w:rsidR="00A80E17">
        <w:rPr>
          <w:lang w:val="fr-FR"/>
        </w:rPr>
        <w:t xml:space="preserve">- </w:t>
      </w:r>
      <w:r w:rsidR="00895C96" w:rsidRPr="00895C96">
        <w:rPr>
          <w:lang w:val="fr-FR"/>
        </w:rPr>
        <w:t>Le droit aux libertés linguistiques et religieuses.</w:t>
      </w:r>
    </w:p>
    <w:p w:rsidR="00895C96" w:rsidRPr="0001177B" w:rsidRDefault="00CE3E1A" w:rsidP="00CE3E1A">
      <w:pPr>
        <w:pStyle w:val="H23G"/>
        <w:rPr>
          <w:b w:val="0"/>
          <w:lang w:val="fr-FR"/>
        </w:rPr>
      </w:pPr>
      <w:r w:rsidRPr="0001177B">
        <w:rPr>
          <w:b w:val="0"/>
          <w:lang w:val="fr-FR"/>
        </w:rPr>
        <w:tab/>
      </w:r>
      <w:r w:rsidRPr="0001177B">
        <w:rPr>
          <w:b w:val="0"/>
          <w:lang w:val="fr-FR"/>
        </w:rPr>
        <w:tab/>
      </w:r>
      <w:r w:rsidR="0054209A" w:rsidRPr="0001177B">
        <w:rPr>
          <w:b w:val="0"/>
          <w:lang w:val="fr-FR"/>
        </w:rPr>
        <w:t>202.</w:t>
      </w:r>
      <w:r w:rsidR="0054209A" w:rsidRPr="0001177B">
        <w:rPr>
          <w:b w:val="0"/>
          <w:lang w:val="fr-FR"/>
        </w:rPr>
        <w:tab/>
      </w:r>
      <w:r w:rsidR="0001177B" w:rsidRPr="0001177B">
        <w:rPr>
          <w:b w:val="0"/>
          <w:lang w:val="fr-FR"/>
        </w:rPr>
        <w:t xml:space="preserve">On </w:t>
      </w:r>
      <w:r w:rsidR="0001177B">
        <w:rPr>
          <w:b w:val="0"/>
          <w:lang w:val="fr-FR"/>
        </w:rPr>
        <w:t xml:space="preserve">peut </w:t>
      </w:r>
      <w:r w:rsidR="0001177B" w:rsidRPr="0001177B">
        <w:rPr>
          <w:b w:val="0"/>
          <w:lang w:val="fr-FR"/>
        </w:rPr>
        <w:t xml:space="preserve">citer les </w:t>
      </w:r>
      <w:r w:rsidR="00895C96" w:rsidRPr="0001177B">
        <w:rPr>
          <w:b w:val="0"/>
          <w:lang w:val="fr-FR"/>
        </w:rPr>
        <w:t>exemples</w:t>
      </w:r>
      <w:r w:rsidR="0001177B" w:rsidRPr="0001177B">
        <w:rPr>
          <w:b w:val="0"/>
          <w:lang w:val="fr-FR"/>
        </w:rPr>
        <w:t xml:space="preserve"> suivants</w:t>
      </w:r>
      <w:r w:rsidR="00F33DC4" w:rsidRPr="0001177B">
        <w:rPr>
          <w:b w:val="0"/>
          <w:lang w:val="fr-FR"/>
        </w:rPr>
        <w:t>:</w:t>
      </w:r>
    </w:p>
    <w:p w:rsidR="00895C96" w:rsidRPr="00895C96" w:rsidRDefault="00412012" w:rsidP="00CE3E1A">
      <w:pPr>
        <w:pStyle w:val="Bullet1G"/>
        <w:rPr>
          <w:lang w:val="fr-FR"/>
        </w:rPr>
      </w:pPr>
      <w:r>
        <w:rPr>
          <w:lang w:val="fr-FR"/>
        </w:rPr>
        <w:t>A</w:t>
      </w:r>
      <w:r w:rsidR="00895C96" w:rsidRPr="00895C96">
        <w:rPr>
          <w:lang w:val="fr-FR"/>
        </w:rPr>
        <w:t>ccès pour tous aux séminaires culturels, aux fêtes traditionnelles et aux rites initiatiques</w:t>
      </w:r>
      <w:r w:rsidR="00DB4BC2">
        <w:rPr>
          <w:lang w:val="fr-FR"/>
        </w:rPr>
        <w:t>;</w:t>
      </w:r>
    </w:p>
    <w:p w:rsidR="00895C96" w:rsidRPr="00895C96" w:rsidRDefault="00412012" w:rsidP="00CE3E1A">
      <w:pPr>
        <w:pStyle w:val="Bullet1G"/>
        <w:rPr>
          <w:lang w:val="fr-FR"/>
        </w:rPr>
      </w:pPr>
      <w:r>
        <w:rPr>
          <w:lang w:val="fr-FR"/>
        </w:rPr>
        <w:t>A</w:t>
      </w:r>
      <w:r w:rsidR="00895C96" w:rsidRPr="00895C96">
        <w:rPr>
          <w:lang w:val="fr-FR"/>
        </w:rPr>
        <w:t>ccès pour tous au patrimoine culturel</w:t>
      </w:r>
      <w:r w:rsidR="00DB4BC2">
        <w:rPr>
          <w:lang w:val="fr-FR"/>
        </w:rPr>
        <w:t>;</w:t>
      </w:r>
    </w:p>
    <w:p w:rsidR="00895C96" w:rsidRPr="00895C96" w:rsidRDefault="00412012" w:rsidP="00CE3E1A">
      <w:pPr>
        <w:pStyle w:val="Bullet1G"/>
        <w:rPr>
          <w:lang w:val="fr-FR"/>
        </w:rPr>
      </w:pPr>
      <w:r>
        <w:rPr>
          <w:lang w:val="fr-FR"/>
        </w:rPr>
        <w:t>P</w:t>
      </w:r>
      <w:r w:rsidR="00895C96" w:rsidRPr="00895C96">
        <w:rPr>
          <w:lang w:val="fr-FR"/>
        </w:rPr>
        <w:t>ratique de la liberté de croyance et de religion</w:t>
      </w:r>
      <w:r w:rsidR="00DB4BC2">
        <w:rPr>
          <w:lang w:val="fr-FR"/>
        </w:rPr>
        <w:t>;</w:t>
      </w:r>
    </w:p>
    <w:p w:rsidR="00895C96" w:rsidRPr="00895C96" w:rsidRDefault="00412012" w:rsidP="00CE3E1A">
      <w:pPr>
        <w:pStyle w:val="Bullet1G"/>
        <w:rPr>
          <w:lang w:val="fr-FR"/>
        </w:rPr>
      </w:pPr>
      <w:r>
        <w:rPr>
          <w:lang w:val="fr-FR"/>
        </w:rPr>
        <w:t>M</w:t>
      </w:r>
      <w:r w:rsidR="00895C96" w:rsidRPr="00895C96">
        <w:rPr>
          <w:lang w:val="fr-FR"/>
        </w:rPr>
        <w:t>êmes conditions démocratiques d’accès à l’éducation.</w:t>
      </w:r>
    </w:p>
    <w:p w:rsidR="00895C96" w:rsidRPr="00895C96" w:rsidRDefault="00CE3E1A" w:rsidP="00B100AF">
      <w:pPr>
        <w:pStyle w:val="H1G"/>
        <w:rPr>
          <w:lang w:val="fr-FR"/>
        </w:rPr>
      </w:pPr>
      <w:r>
        <w:rPr>
          <w:lang w:val="fr-FR"/>
        </w:rPr>
        <w:tab/>
      </w:r>
      <w:r>
        <w:rPr>
          <w:lang w:val="fr-FR"/>
        </w:rPr>
        <w:tab/>
      </w:r>
      <w:r w:rsidR="00895C96" w:rsidRPr="00895C96">
        <w:rPr>
          <w:lang w:val="fr-FR"/>
        </w:rPr>
        <w:t>Diffusion du Pacte (art.</w:t>
      </w:r>
      <w:r w:rsidR="00412012">
        <w:rPr>
          <w:lang w:val="fr-FR"/>
        </w:rPr>
        <w:t xml:space="preserve"> </w:t>
      </w:r>
      <w:r w:rsidR="00895C96" w:rsidRPr="00895C96">
        <w:rPr>
          <w:lang w:val="fr-FR"/>
        </w:rPr>
        <w:t>2)</w:t>
      </w:r>
    </w:p>
    <w:p w:rsidR="00895C96" w:rsidRPr="00895C96" w:rsidRDefault="00CE3E1A" w:rsidP="00CE3E1A">
      <w:pPr>
        <w:pStyle w:val="H23G"/>
        <w:rPr>
          <w:lang w:val="fr-FR"/>
        </w:rPr>
      </w:pPr>
      <w:r>
        <w:rPr>
          <w:lang w:val="fr-FR"/>
        </w:rPr>
        <w:tab/>
      </w:r>
      <w:r>
        <w:rPr>
          <w:lang w:val="fr-FR"/>
        </w:rPr>
        <w:tab/>
        <w:t>Réponse</w:t>
      </w:r>
      <w:r w:rsidR="00393196">
        <w:rPr>
          <w:lang w:val="fr-FR"/>
        </w:rPr>
        <w:t xml:space="preserve"> </w:t>
      </w:r>
      <w:r w:rsidR="00F55CD1">
        <w:rPr>
          <w:lang w:val="fr-FR"/>
        </w:rPr>
        <w:t>au paragraphe 27</w:t>
      </w:r>
      <w:r w:rsidR="00F55CD1" w:rsidRPr="00B100AF">
        <w:rPr>
          <w:lang w:val="fr-FR"/>
        </w:rPr>
        <w:t xml:space="preserve"> </w:t>
      </w:r>
      <w:r w:rsidR="00F55CD1">
        <w:rPr>
          <w:lang w:val="fr-FR"/>
        </w:rPr>
        <w:t xml:space="preserve">de la liste de points à traiter </w:t>
      </w:r>
    </w:p>
    <w:p w:rsidR="00895C96" w:rsidRPr="00895C96" w:rsidRDefault="0054209A" w:rsidP="00E04030">
      <w:pPr>
        <w:pStyle w:val="SingleTxtG"/>
        <w:rPr>
          <w:lang w:val="fr-FR"/>
        </w:rPr>
      </w:pPr>
      <w:r>
        <w:rPr>
          <w:lang w:val="fr-FR"/>
        </w:rPr>
        <w:t>203.</w:t>
      </w:r>
      <w:r w:rsidR="00CE3E1A">
        <w:rPr>
          <w:lang w:val="fr-FR"/>
        </w:rPr>
        <w:tab/>
      </w:r>
      <w:r w:rsidR="00895C96" w:rsidRPr="00895C96">
        <w:rPr>
          <w:lang w:val="fr-FR"/>
        </w:rPr>
        <w:t>Des organisations de la société civile œuvrant pour la promotion et la protection des droits de l’</w:t>
      </w:r>
      <w:r w:rsidR="0090289B">
        <w:rPr>
          <w:lang w:val="fr-FR"/>
        </w:rPr>
        <w:t>h</w:t>
      </w:r>
      <w:r w:rsidR="00895C96" w:rsidRPr="00895C96">
        <w:rPr>
          <w:lang w:val="fr-FR"/>
        </w:rPr>
        <w:t>omme ainsi que</w:t>
      </w:r>
      <w:r w:rsidR="00382281">
        <w:rPr>
          <w:lang w:val="fr-FR"/>
        </w:rPr>
        <w:t xml:space="preserve"> </w:t>
      </w:r>
      <w:r w:rsidR="00895C96" w:rsidRPr="00895C96">
        <w:rPr>
          <w:lang w:val="fr-FR"/>
        </w:rPr>
        <w:t>la Commission Nationale des Droits de l’Homme ont</w:t>
      </w:r>
      <w:r w:rsidR="00382281">
        <w:rPr>
          <w:lang w:val="fr-FR"/>
        </w:rPr>
        <w:t xml:space="preserve"> </w:t>
      </w:r>
      <w:r w:rsidR="00895C96" w:rsidRPr="00895C96">
        <w:rPr>
          <w:lang w:val="fr-FR"/>
        </w:rPr>
        <w:t xml:space="preserve">pris part à l’élaboration du </w:t>
      </w:r>
      <w:r w:rsidR="00ED0201">
        <w:rPr>
          <w:lang w:val="fr-FR"/>
        </w:rPr>
        <w:t>quatrième</w:t>
      </w:r>
      <w:r w:rsidR="0090289B">
        <w:rPr>
          <w:lang w:val="fr-FR"/>
        </w:rPr>
        <w:t xml:space="preserve"> </w:t>
      </w:r>
      <w:r w:rsidR="00895C96" w:rsidRPr="00895C96">
        <w:rPr>
          <w:lang w:val="fr-FR"/>
        </w:rPr>
        <w:t>rapport périodique du Gouvernement togolais sur la mise en œuvre d</w:t>
      </w:r>
      <w:r w:rsidR="0090289B">
        <w:rPr>
          <w:lang w:val="fr-FR"/>
        </w:rPr>
        <w:t>u</w:t>
      </w:r>
      <w:r w:rsidR="00895C96" w:rsidRPr="00895C96">
        <w:rPr>
          <w:lang w:val="fr-FR"/>
        </w:rPr>
        <w:t xml:space="preserve"> </w:t>
      </w:r>
      <w:r w:rsidR="00D46FB6">
        <w:rPr>
          <w:lang w:val="fr-FR"/>
        </w:rPr>
        <w:t>Pacte</w:t>
      </w:r>
      <w:r w:rsidR="00895C96" w:rsidRPr="00895C96">
        <w:rPr>
          <w:lang w:val="fr-FR"/>
        </w:rPr>
        <w:t xml:space="preserve">. </w:t>
      </w:r>
      <w:r w:rsidR="0090289B">
        <w:rPr>
          <w:lang w:val="fr-FR"/>
        </w:rPr>
        <w:t>À</w:t>
      </w:r>
      <w:r w:rsidR="00895C96" w:rsidRPr="00895C96">
        <w:rPr>
          <w:lang w:val="fr-FR"/>
        </w:rPr>
        <w:t xml:space="preserve"> l’issue de la présentation du </w:t>
      </w:r>
      <w:r w:rsidR="00ED0201">
        <w:rPr>
          <w:lang w:val="fr-FR"/>
        </w:rPr>
        <w:t>quatrième</w:t>
      </w:r>
      <w:r w:rsidR="0090289B">
        <w:rPr>
          <w:lang w:val="fr-FR"/>
        </w:rPr>
        <w:t xml:space="preserve"> </w:t>
      </w:r>
      <w:r w:rsidR="00895C96" w:rsidRPr="00895C96">
        <w:rPr>
          <w:lang w:val="fr-FR"/>
        </w:rPr>
        <w:t>rapport, le Gouvernement organisera un atelier de</w:t>
      </w:r>
      <w:r w:rsidR="00382281">
        <w:rPr>
          <w:lang w:val="fr-FR"/>
        </w:rPr>
        <w:t xml:space="preserve"> </w:t>
      </w:r>
      <w:r w:rsidR="00895C96" w:rsidRPr="00895C96">
        <w:rPr>
          <w:lang w:val="fr-FR"/>
        </w:rPr>
        <w:t>restitution des recommandations et observations formulées par le Comité pour un suivi efficace de la mise en œuvre desdites recommandations et observations.</w:t>
      </w:r>
    </w:p>
    <w:p w:rsidR="00895C96" w:rsidRDefault="0054209A" w:rsidP="00E04030">
      <w:pPr>
        <w:pStyle w:val="SingleTxtG"/>
        <w:rPr>
          <w:lang w:val="fr-FR"/>
        </w:rPr>
      </w:pPr>
      <w:r>
        <w:rPr>
          <w:lang w:val="fr-FR"/>
        </w:rPr>
        <w:t>204.</w:t>
      </w:r>
      <w:r w:rsidR="00CE3E1A">
        <w:rPr>
          <w:lang w:val="fr-FR"/>
        </w:rPr>
        <w:tab/>
      </w:r>
      <w:r w:rsidR="00895C96" w:rsidRPr="00895C96">
        <w:rPr>
          <w:lang w:val="fr-FR"/>
        </w:rPr>
        <w:t xml:space="preserve">Les journées </w:t>
      </w:r>
      <w:r w:rsidR="0090289B">
        <w:rPr>
          <w:lang w:val="fr-FR"/>
        </w:rPr>
        <w:t>«</w:t>
      </w:r>
      <w:r w:rsidR="00895C96" w:rsidRPr="00895C96">
        <w:rPr>
          <w:lang w:val="fr-FR"/>
        </w:rPr>
        <w:t>porte ouverte sur les Droits de l’Homme</w:t>
      </w:r>
      <w:r w:rsidR="0090289B">
        <w:rPr>
          <w:lang w:val="fr-FR"/>
        </w:rPr>
        <w:t>»</w:t>
      </w:r>
      <w:r w:rsidR="00895C96" w:rsidRPr="00895C96">
        <w:rPr>
          <w:lang w:val="fr-FR"/>
        </w:rPr>
        <w:t xml:space="preserve"> que le Ministère des Droits de l’Homme</w:t>
      </w:r>
      <w:r w:rsidR="0090289B">
        <w:rPr>
          <w:lang w:val="fr-FR"/>
        </w:rPr>
        <w:t>,</w:t>
      </w:r>
      <w:r w:rsidR="00895C96" w:rsidRPr="00895C96">
        <w:rPr>
          <w:lang w:val="fr-FR"/>
        </w:rPr>
        <w:t xml:space="preserve"> de la Consolidation</w:t>
      </w:r>
      <w:r w:rsidR="0090289B">
        <w:rPr>
          <w:lang w:val="fr-FR"/>
        </w:rPr>
        <w:t>,</w:t>
      </w:r>
      <w:r w:rsidR="00895C96" w:rsidRPr="00895C96">
        <w:rPr>
          <w:lang w:val="fr-FR"/>
        </w:rPr>
        <w:t xml:space="preserve"> de la Démocratie et de la Formation Civique organisera dans les prochains mois constitueront un tremplin pour diffuser </w:t>
      </w:r>
      <w:r w:rsidR="0090289B">
        <w:rPr>
          <w:lang w:val="fr-FR"/>
        </w:rPr>
        <w:t>d</w:t>
      </w:r>
      <w:r w:rsidR="00895C96" w:rsidRPr="00895C96">
        <w:rPr>
          <w:lang w:val="fr-FR"/>
        </w:rPr>
        <w:t xml:space="preserve">es informations au sujet du </w:t>
      </w:r>
      <w:r w:rsidR="00D46FB6">
        <w:rPr>
          <w:lang w:val="fr-FR"/>
        </w:rPr>
        <w:t>Pacte</w:t>
      </w:r>
      <w:r w:rsidR="0090289B">
        <w:rPr>
          <w:lang w:val="fr-FR"/>
        </w:rPr>
        <w:t xml:space="preserve"> international relatif aux droits civils et politiques</w:t>
      </w:r>
      <w:r w:rsidR="00895C96" w:rsidRPr="00895C96">
        <w:rPr>
          <w:lang w:val="fr-FR"/>
        </w:rPr>
        <w:t xml:space="preserve">, du quatrième rapport périodique du pays ainsi que les recommandations formulées par le </w:t>
      </w:r>
      <w:r w:rsidR="0090289B">
        <w:rPr>
          <w:lang w:val="fr-FR"/>
        </w:rPr>
        <w:t>C</w:t>
      </w:r>
      <w:r w:rsidR="00895C96" w:rsidRPr="00895C96">
        <w:rPr>
          <w:lang w:val="fr-FR"/>
        </w:rPr>
        <w:t>omité.</w:t>
      </w:r>
    </w:p>
    <w:p w:rsidR="00D0342E" w:rsidRDefault="00D0342E" w:rsidP="00E04030">
      <w:pPr>
        <w:pStyle w:val="SingleTxtG"/>
        <w:rPr>
          <w:lang w:val="fr-FR"/>
        </w:rPr>
      </w:pPr>
    </w:p>
    <w:p w:rsidR="00D0342E" w:rsidRDefault="00D0342E" w:rsidP="00CE3E1A">
      <w:pPr>
        <w:pStyle w:val="SingleTxtG"/>
        <w:spacing w:before="240" w:after="0"/>
        <w:jc w:val="center"/>
        <w:rPr>
          <w:u w:val="single"/>
          <w:lang w:val="fr-FR"/>
        </w:rPr>
      </w:pPr>
    </w:p>
    <w:p w:rsidR="00CE3E1A" w:rsidRPr="00D0342E" w:rsidRDefault="00CE3E1A" w:rsidP="00CE3E1A">
      <w:pPr>
        <w:pStyle w:val="SingleTxtG"/>
        <w:spacing w:before="240" w:after="0"/>
        <w:jc w:val="center"/>
        <w:rPr>
          <w:sz w:val="24"/>
          <w:szCs w:val="24"/>
          <w:u w:val="single"/>
          <w:lang w:val="fr-FR"/>
        </w:rPr>
      </w:pPr>
      <w:r w:rsidRPr="00D0342E">
        <w:rPr>
          <w:sz w:val="24"/>
          <w:szCs w:val="24"/>
          <w:u w:val="single"/>
          <w:lang w:val="fr-FR"/>
        </w:rPr>
        <w:tab/>
      </w:r>
      <w:r w:rsidRPr="00D0342E">
        <w:rPr>
          <w:sz w:val="24"/>
          <w:szCs w:val="24"/>
          <w:u w:val="single"/>
          <w:lang w:val="fr-FR"/>
        </w:rPr>
        <w:tab/>
      </w:r>
      <w:r w:rsidRPr="00D0342E">
        <w:rPr>
          <w:sz w:val="24"/>
          <w:szCs w:val="24"/>
          <w:u w:val="single"/>
          <w:lang w:val="fr-FR"/>
        </w:rPr>
        <w:tab/>
      </w:r>
    </w:p>
    <w:sectPr w:rsidR="00CE3E1A" w:rsidRPr="00D0342E" w:rsidSect="00895C96">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F79" w:rsidRDefault="000F3F79"/>
  </w:endnote>
  <w:endnote w:type="continuationSeparator" w:id="0">
    <w:p w:rsidR="000F3F79" w:rsidRDefault="000F3F79"/>
  </w:endnote>
  <w:endnote w:type="continuationNotice" w:id="1">
    <w:p w:rsidR="000F3F79" w:rsidRDefault="000F3F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08" w:rsidRPr="00895C96" w:rsidRDefault="00D16F08" w:rsidP="00895C96">
    <w:pPr>
      <w:pStyle w:val="Footer"/>
      <w:tabs>
        <w:tab w:val="right" w:pos="9638"/>
      </w:tabs>
    </w:pPr>
    <w:r w:rsidRPr="00895C96">
      <w:rPr>
        <w:b/>
        <w:sz w:val="18"/>
      </w:rPr>
      <w:fldChar w:fldCharType="begin"/>
    </w:r>
    <w:r w:rsidRPr="00895C96">
      <w:rPr>
        <w:b/>
        <w:sz w:val="18"/>
      </w:rPr>
      <w:instrText xml:space="preserve"> PAGE  \* MERGEFORMAT </w:instrText>
    </w:r>
    <w:r w:rsidRPr="00895C96">
      <w:rPr>
        <w:b/>
        <w:sz w:val="18"/>
      </w:rPr>
      <w:fldChar w:fldCharType="separate"/>
    </w:r>
    <w:r w:rsidR="00C77D2E">
      <w:rPr>
        <w:b/>
        <w:noProof/>
        <w:sz w:val="18"/>
      </w:rPr>
      <w:t>28</w:t>
    </w:r>
    <w:r w:rsidRPr="00895C9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08" w:rsidRPr="00895C96" w:rsidRDefault="00D16F08" w:rsidP="00895C96">
    <w:pPr>
      <w:pStyle w:val="Footer"/>
      <w:tabs>
        <w:tab w:val="right" w:pos="9638"/>
      </w:tabs>
      <w:rPr>
        <w:b/>
        <w:sz w:val="18"/>
      </w:rPr>
    </w:pPr>
    <w:r>
      <w:tab/>
    </w:r>
    <w:r w:rsidRPr="00895C96">
      <w:rPr>
        <w:b/>
        <w:sz w:val="18"/>
      </w:rPr>
      <w:fldChar w:fldCharType="begin"/>
    </w:r>
    <w:r w:rsidRPr="00895C96">
      <w:rPr>
        <w:b/>
        <w:sz w:val="18"/>
      </w:rPr>
      <w:instrText xml:space="preserve"> PAGE  \* MERGEFORMAT </w:instrText>
    </w:r>
    <w:r w:rsidRPr="00895C96">
      <w:rPr>
        <w:b/>
        <w:sz w:val="18"/>
      </w:rPr>
      <w:fldChar w:fldCharType="separate"/>
    </w:r>
    <w:r w:rsidR="00C77D2E">
      <w:rPr>
        <w:b/>
        <w:noProof/>
        <w:sz w:val="18"/>
      </w:rPr>
      <w:t>29</w:t>
    </w:r>
    <w:r w:rsidRPr="00895C9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08" w:rsidRPr="00895C96" w:rsidRDefault="00D16F08">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
          <v:imagedata r:id="rId1" o:title="recycle_French"/>
        </v:shape>
      </w:pict>
    </w:r>
    <w:r>
      <w:rPr>
        <w:sz w:val="20"/>
      </w:rPr>
      <w:t>GE.11-</w:t>
    </w:r>
    <w:r w:rsidR="00C77D2E">
      <w:rPr>
        <w:sz w:val="20"/>
      </w:rPr>
      <w:t>41507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F79" w:rsidRPr="00D27D5E" w:rsidRDefault="000F3F79" w:rsidP="00D27D5E">
      <w:pPr>
        <w:tabs>
          <w:tab w:val="right" w:pos="2155"/>
        </w:tabs>
        <w:spacing w:after="80"/>
        <w:ind w:left="680"/>
        <w:rPr>
          <w:u w:val="single"/>
        </w:rPr>
      </w:pPr>
      <w:r>
        <w:rPr>
          <w:u w:val="single"/>
        </w:rPr>
        <w:tab/>
      </w:r>
    </w:p>
  </w:footnote>
  <w:footnote w:type="continuationSeparator" w:id="0">
    <w:p w:rsidR="000F3F79" w:rsidRPr="00091505" w:rsidRDefault="000F3F79" w:rsidP="00091505">
      <w:pPr>
        <w:tabs>
          <w:tab w:val="right" w:pos="2155"/>
        </w:tabs>
        <w:spacing w:after="80"/>
        <w:ind w:left="680"/>
        <w:rPr>
          <w:u w:val="single"/>
        </w:rPr>
      </w:pPr>
      <w:r w:rsidRPr="00091505">
        <w:rPr>
          <w:u w:val="single"/>
        </w:rPr>
        <w:tab/>
      </w:r>
    </w:p>
  </w:footnote>
  <w:footnote w:type="continuationNotice" w:id="1">
    <w:p w:rsidR="000F3F79" w:rsidRDefault="000F3F79"/>
  </w:footnote>
  <w:footnote w:id="2">
    <w:p w:rsidR="00907745" w:rsidRDefault="00907745" w:rsidP="00907745">
      <w:pPr>
        <w:pStyle w:val="FootnoteText"/>
        <w:ind w:left="0" w:right="1138" w:firstLine="0"/>
      </w:pPr>
      <w:r w:rsidRPr="00907745">
        <w:rPr>
          <w:rStyle w:val="FootnoteReference"/>
        </w:rPr>
        <w:sym w:font="Symbol" w:char="F02A"/>
      </w:r>
      <w:r>
        <w:t xml:space="preserve"> Conformément aux informations communiquées aux États parties concernant le traitement de leurs rapports, le présent document n’a pas été dûment revu par les services d’édition avant d’être envoyé aux services de traduction de l’Organisation des Nations Unies.</w:t>
      </w:r>
    </w:p>
    <w:p w:rsidR="00907745" w:rsidRDefault="0090774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08" w:rsidRPr="00A83D26" w:rsidRDefault="00D16F08">
    <w:pPr>
      <w:pStyle w:val="Header"/>
      <w:rPr>
        <w:lang w:val="en-US"/>
      </w:rPr>
    </w:pPr>
    <w:r w:rsidRPr="00A83D26">
      <w:rPr>
        <w:lang w:val="en-US"/>
      </w:rPr>
      <w:t>CCPR/C/TGO/Q/4/Add.1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08" w:rsidRPr="00A83D26" w:rsidRDefault="00D16F08" w:rsidP="00895C96">
    <w:pPr>
      <w:pStyle w:val="Header"/>
      <w:jc w:val="right"/>
      <w:rPr>
        <w:lang w:val="en-US"/>
      </w:rPr>
    </w:pPr>
    <w:r w:rsidRPr="00A83D26">
      <w:rPr>
        <w:lang w:val="en-US"/>
      </w:rPr>
      <w:t>CCPR/C/TGO/Q/4/Add.1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14605E8C"/>
    <w:multiLevelType w:val="hybridMultilevel"/>
    <w:tmpl w:val="B2E4812A"/>
    <w:lvl w:ilvl="0" w:tplc="040C0001">
      <w:start w:val="1"/>
      <w:numFmt w:val="bullet"/>
      <w:lvlText w:val=""/>
      <w:lvlJc w:val="left"/>
      <w:pPr>
        <w:tabs>
          <w:tab w:val="num" w:pos="1080"/>
        </w:tabs>
        <w:ind w:left="1080" w:hanging="360"/>
      </w:pPr>
      <w:rPr>
        <w:rFonts w:ascii="Symbol" w:hAnsi="Symbol"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3">
    <w:nsid w:val="15190366"/>
    <w:multiLevelType w:val="hybridMultilevel"/>
    <w:tmpl w:val="09F438D2"/>
    <w:lvl w:ilvl="0" w:tplc="040C0001">
      <w:start w:val="1"/>
      <w:numFmt w:val="bullet"/>
      <w:lvlText w:val=""/>
      <w:lvlJc w:val="left"/>
      <w:pPr>
        <w:tabs>
          <w:tab w:val="num" w:pos="1080"/>
        </w:tabs>
        <w:ind w:left="1080" w:hanging="360"/>
      </w:pPr>
      <w:rPr>
        <w:rFonts w:ascii="Symbol" w:hAnsi="Symbol"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4">
    <w:nsid w:val="204B1299"/>
    <w:multiLevelType w:val="hybridMultilevel"/>
    <w:tmpl w:val="713ED2D6"/>
    <w:lvl w:ilvl="0" w:tplc="040C0001">
      <w:start w:val="1"/>
      <w:numFmt w:val="bullet"/>
      <w:lvlText w:val=""/>
      <w:lvlJc w:val="left"/>
      <w:pPr>
        <w:tabs>
          <w:tab w:val="num" w:pos="1080"/>
        </w:tabs>
        <w:ind w:left="1080" w:hanging="360"/>
      </w:pPr>
      <w:rPr>
        <w:rFonts w:ascii="Symbol" w:hAnsi="Symbol"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5">
    <w:nsid w:val="206C76CE"/>
    <w:multiLevelType w:val="hybridMultilevel"/>
    <w:tmpl w:val="9C7E2B9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21C70AA4"/>
    <w:multiLevelType w:val="hybridMultilevel"/>
    <w:tmpl w:val="AABA240C"/>
    <w:lvl w:ilvl="0" w:tplc="040C0001">
      <w:start w:val="1"/>
      <w:numFmt w:val="bullet"/>
      <w:lvlText w:val=""/>
      <w:lvlJc w:val="left"/>
      <w:pPr>
        <w:tabs>
          <w:tab w:val="num" w:pos="1080"/>
        </w:tabs>
        <w:ind w:left="1080" w:hanging="360"/>
      </w:pPr>
      <w:rPr>
        <w:rFonts w:ascii="Symbol" w:hAnsi="Symbol"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7">
    <w:nsid w:val="252C516F"/>
    <w:multiLevelType w:val="hybridMultilevel"/>
    <w:tmpl w:val="C06473B2"/>
    <w:lvl w:ilvl="0" w:tplc="BFB4D68A">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2DDB72CE"/>
    <w:multiLevelType w:val="hybridMultilevel"/>
    <w:tmpl w:val="026423C0"/>
    <w:lvl w:ilvl="0" w:tplc="D00CDCCA">
      <w:start w:val="1"/>
      <w:numFmt w:val="decimal"/>
      <w:lvlText w:val="%1."/>
      <w:lvlJc w:val="left"/>
      <w:pPr>
        <w:ind w:left="786" w:hanging="360"/>
      </w:pPr>
      <w:rPr>
        <w:rFonts w:cs="Times New Roman" w:hint="default"/>
        <w:b w:val="0"/>
        <w:bCs w:val="0"/>
        <w:i w:val="0"/>
        <w:iCs w:val="0"/>
        <w:color w:val="000000"/>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9">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nsid w:val="4BC468CF"/>
    <w:multiLevelType w:val="hybridMultilevel"/>
    <w:tmpl w:val="22DCDB48"/>
    <w:lvl w:ilvl="0" w:tplc="BFB4D68A">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51503AE9"/>
    <w:multiLevelType w:val="hybridMultilevel"/>
    <w:tmpl w:val="C096B9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64705921"/>
    <w:multiLevelType w:val="hybridMultilevel"/>
    <w:tmpl w:val="2BA266F6"/>
    <w:lvl w:ilvl="0" w:tplc="BFB4D68A">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66E40486"/>
    <w:multiLevelType w:val="hybridMultilevel"/>
    <w:tmpl w:val="833AAA2E"/>
    <w:lvl w:ilvl="0" w:tplc="040C0001">
      <w:start w:val="1"/>
      <w:numFmt w:val="bullet"/>
      <w:lvlText w:val=""/>
      <w:lvlJc w:val="left"/>
      <w:pPr>
        <w:tabs>
          <w:tab w:val="num" w:pos="1080"/>
        </w:tabs>
        <w:ind w:left="1080" w:hanging="360"/>
      </w:pPr>
      <w:rPr>
        <w:rFonts w:ascii="Symbol" w:hAnsi="Symbol"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9"/>
  </w:num>
  <w:num w:numId="3">
    <w:abstractNumId w:val="1"/>
  </w:num>
  <w:num w:numId="4">
    <w:abstractNumId w:val="0"/>
  </w:num>
  <w:num w:numId="5">
    <w:abstractNumId w:val="7"/>
  </w:num>
  <w:num w:numId="6">
    <w:abstractNumId w:val="12"/>
  </w:num>
  <w:num w:numId="7">
    <w:abstractNumId w:val="11"/>
  </w:num>
  <w:num w:numId="8">
    <w:abstractNumId w:val="10"/>
  </w:num>
  <w:num w:numId="9">
    <w:abstractNumId w:val="5"/>
  </w:num>
  <w:num w:numId="10">
    <w:abstractNumId w:val="6"/>
  </w:num>
  <w:num w:numId="11">
    <w:abstractNumId w:val="2"/>
  </w:num>
  <w:num w:numId="12">
    <w:abstractNumId w:val="13"/>
  </w:num>
  <w:num w:numId="13">
    <w:abstractNumId w:val="3"/>
  </w:num>
  <w:num w:numId="14">
    <w:abstractNumId w:val="4"/>
  </w:num>
  <w:num w:numId="1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isplayBackgroundShape/>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5C96"/>
    <w:rsid w:val="000027C6"/>
    <w:rsid w:val="0000340A"/>
    <w:rsid w:val="0001177B"/>
    <w:rsid w:val="0001630A"/>
    <w:rsid w:val="00016AC5"/>
    <w:rsid w:val="00024B3B"/>
    <w:rsid w:val="00034120"/>
    <w:rsid w:val="0004064E"/>
    <w:rsid w:val="00041612"/>
    <w:rsid w:val="00041FB5"/>
    <w:rsid w:val="00046407"/>
    <w:rsid w:val="00047BA4"/>
    <w:rsid w:val="00052E9B"/>
    <w:rsid w:val="0005452E"/>
    <w:rsid w:val="00060DD4"/>
    <w:rsid w:val="000648FE"/>
    <w:rsid w:val="0008197A"/>
    <w:rsid w:val="00085EE8"/>
    <w:rsid w:val="00086FE7"/>
    <w:rsid w:val="00091505"/>
    <w:rsid w:val="00096734"/>
    <w:rsid w:val="000A147A"/>
    <w:rsid w:val="000B7431"/>
    <w:rsid w:val="000D1A87"/>
    <w:rsid w:val="000E0CCE"/>
    <w:rsid w:val="000E767F"/>
    <w:rsid w:val="000F0FFC"/>
    <w:rsid w:val="000F3F79"/>
    <w:rsid w:val="000F41F2"/>
    <w:rsid w:val="00101797"/>
    <w:rsid w:val="001072E4"/>
    <w:rsid w:val="00125D12"/>
    <w:rsid w:val="00126DE6"/>
    <w:rsid w:val="0012798C"/>
    <w:rsid w:val="00150905"/>
    <w:rsid w:val="00155DE6"/>
    <w:rsid w:val="00157CB7"/>
    <w:rsid w:val="00160540"/>
    <w:rsid w:val="00172848"/>
    <w:rsid w:val="00172B7D"/>
    <w:rsid w:val="00177C87"/>
    <w:rsid w:val="00192EEB"/>
    <w:rsid w:val="0019529F"/>
    <w:rsid w:val="001A20FB"/>
    <w:rsid w:val="001B0F62"/>
    <w:rsid w:val="001B102E"/>
    <w:rsid w:val="001C3080"/>
    <w:rsid w:val="001D3BA2"/>
    <w:rsid w:val="001D7E57"/>
    <w:rsid w:val="001D7F8A"/>
    <w:rsid w:val="001E3FEB"/>
    <w:rsid w:val="001E4A02"/>
    <w:rsid w:val="001E5B1D"/>
    <w:rsid w:val="001E6F6A"/>
    <w:rsid w:val="001E7B6C"/>
    <w:rsid w:val="001F25C4"/>
    <w:rsid w:val="001F4DF4"/>
    <w:rsid w:val="001F686C"/>
    <w:rsid w:val="00202C4B"/>
    <w:rsid w:val="00203B82"/>
    <w:rsid w:val="002044C3"/>
    <w:rsid w:val="00204F45"/>
    <w:rsid w:val="00216624"/>
    <w:rsid w:val="00222391"/>
    <w:rsid w:val="00223007"/>
    <w:rsid w:val="00225A8C"/>
    <w:rsid w:val="00231C31"/>
    <w:rsid w:val="00234A98"/>
    <w:rsid w:val="00235FAE"/>
    <w:rsid w:val="002415AF"/>
    <w:rsid w:val="00256274"/>
    <w:rsid w:val="00261396"/>
    <w:rsid w:val="00261F32"/>
    <w:rsid w:val="002659F1"/>
    <w:rsid w:val="00274ECB"/>
    <w:rsid w:val="00275484"/>
    <w:rsid w:val="00275DE0"/>
    <w:rsid w:val="002851F8"/>
    <w:rsid w:val="002874CB"/>
    <w:rsid w:val="00287E79"/>
    <w:rsid w:val="002928F9"/>
    <w:rsid w:val="0029466E"/>
    <w:rsid w:val="00296226"/>
    <w:rsid w:val="002A5D07"/>
    <w:rsid w:val="002A6A42"/>
    <w:rsid w:val="002A7052"/>
    <w:rsid w:val="002B0880"/>
    <w:rsid w:val="002B2975"/>
    <w:rsid w:val="002B3FFD"/>
    <w:rsid w:val="002C235D"/>
    <w:rsid w:val="002C40FD"/>
    <w:rsid w:val="002D11A7"/>
    <w:rsid w:val="002D4A2F"/>
    <w:rsid w:val="002E0222"/>
    <w:rsid w:val="002E1A7F"/>
    <w:rsid w:val="002E52DF"/>
    <w:rsid w:val="002E60E8"/>
    <w:rsid w:val="002F147A"/>
    <w:rsid w:val="003016B7"/>
    <w:rsid w:val="00302F9D"/>
    <w:rsid w:val="00304FA1"/>
    <w:rsid w:val="0031439D"/>
    <w:rsid w:val="0032147C"/>
    <w:rsid w:val="00333BA3"/>
    <w:rsid w:val="00335DDF"/>
    <w:rsid w:val="0034389C"/>
    <w:rsid w:val="003504E9"/>
    <w:rsid w:val="003515AA"/>
    <w:rsid w:val="00354C8B"/>
    <w:rsid w:val="003559E5"/>
    <w:rsid w:val="00360FBD"/>
    <w:rsid w:val="003619FE"/>
    <w:rsid w:val="00366281"/>
    <w:rsid w:val="00366E1A"/>
    <w:rsid w:val="00366F5B"/>
    <w:rsid w:val="003717AF"/>
    <w:rsid w:val="00374106"/>
    <w:rsid w:val="00375DC3"/>
    <w:rsid w:val="00380D21"/>
    <w:rsid w:val="00382281"/>
    <w:rsid w:val="00385A96"/>
    <w:rsid w:val="00392818"/>
    <w:rsid w:val="00393196"/>
    <w:rsid w:val="003976D5"/>
    <w:rsid w:val="003B3E36"/>
    <w:rsid w:val="003C3E7F"/>
    <w:rsid w:val="003C7555"/>
    <w:rsid w:val="003D5642"/>
    <w:rsid w:val="003D6C68"/>
    <w:rsid w:val="003F3562"/>
    <w:rsid w:val="003F508E"/>
    <w:rsid w:val="003F7E02"/>
    <w:rsid w:val="0040642E"/>
    <w:rsid w:val="00412012"/>
    <w:rsid w:val="00413931"/>
    <w:rsid w:val="004159D0"/>
    <w:rsid w:val="00415CEC"/>
    <w:rsid w:val="00416774"/>
    <w:rsid w:val="00420AA0"/>
    <w:rsid w:val="0042196D"/>
    <w:rsid w:val="004266AC"/>
    <w:rsid w:val="0045703F"/>
    <w:rsid w:val="004611A6"/>
    <w:rsid w:val="00464EEE"/>
    <w:rsid w:val="004724C7"/>
    <w:rsid w:val="004727AC"/>
    <w:rsid w:val="00491F03"/>
    <w:rsid w:val="00492D13"/>
    <w:rsid w:val="004A04FB"/>
    <w:rsid w:val="004A5AD1"/>
    <w:rsid w:val="004A6B17"/>
    <w:rsid w:val="004B3734"/>
    <w:rsid w:val="004B3E4B"/>
    <w:rsid w:val="004B6F1A"/>
    <w:rsid w:val="004C1F3E"/>
    <w:rsid w:val="004C5308"/>
    <w:rsid w:val="004C660B"/>
    <w:rsid w:val="004C735B"/>
    <w:rsid w:val="004E072E"/>
    <w:rsid w:val="004E71DA"/>
    <w:rsid w:val="005021E5"/>
    <w:rsid w:val="00502BB0"/>
    <w:rsid w:val="0050794C"/>
    <w:rsid w:val="00514B43"/>
    <w:rsid w:val="00515242"/>
    <w:rsid w:val="005202F6"/>
    <w:rsid w:val="0052051B"/>
    <w:rsid w:val="005217F0"/>
    <w:rsid w:val="005330E7"/>
    <w:rsid w:val="0054209A"/>
    <w:rsid w:val="00543D5E"/>
    <w:rsid w:val="00571F41"/>
    <w:rsid w:val="00573871"/>
    <w:rsid w:val="00583A01"/>
    <w:rsid w:val="00595477"/>
    <w:rsid w:val="005958F0"/>
    <w:rsid w:val="005959C7"/>
    <w:rsid w:val="005A499E"/>
    <w:rsid w:val="005A723F"/>
    <w:rsid w:val="005B1A5F"/>
    <w:rsid w:val="005B6051"/>
    <w:rsid w:val="005C0D22"/>
    <w:rsid w:val="005C3EBC"/>
    <w:rsid w:val="005C7605"/>
    <w:rsid w:val="005D1327"/>
    <w:rsid w:val="005D2295"/>
    <w:rsid w:val="005D6D2F"/>
    <w:rsid w:val="005E1ADA"/>
    <w:rsid w:val="005E5D1F"/>
    <w:rsid w:val="005F224D"/>
    <w:rsid w:val="006023E4"/>
    <w:rsid w:val="00603616"/>
    <w:rsid w:val="00610A7E"/>
    <w:rsid w:val="00611D43"/>
    <w:rsid w:val="00612D48"/>
    <w:rsid w:val="0061466F"/>
    <w:rsid w:val="00616B45"/>
    <w:rsid w:val="0061787D"/>
    <w:rsid w:val="00630D9B"/>
    <w:rsid w:val="00631953"/>
    <w:rsid w:val="00633BC7"/>
    <w:rsid w:val="006439EC"/>
    <w:rsid w:val="00656A11"/>
    <w:rsid w:val="00656E8B"/>
    <w:rsid w:val="00667D6F"/>
    <w:rsid w:val="00674F01"/>
    <w:rsid w:val="00675968"/>
    <w:rsid w:val="00684FEA"/>
    <w:rsid w:val="00697DD2"/>
    <w:rsid w:val="006A46BB"/>
    <w:rsid w:val="006A56C2"/>
    <w:rsid w:val="006A5FF0"/>
    <w:rsid w:val="006B1E8C"/>
    <w:rsid w:val="006B1F9B"/>
    <w:rsid w:val="006B4590"/>
    <w:rsid w:val="006C1E1A"/>
    <w:rsid w:val="006C2180"/>
    <w:rsid w:val="006C340C"/>
    <w:rsid w:val="006C61D0"/>
    <w:rsid w:val="0070347C"/>
    <w:rsid w:val="0071318A"/>
    <w:rsid w:val="0071451B"/>
    <w:rsid w:val="00716CEB"/>
    <w:rsid w:val="007176C1"/>
    <w:rsid w:val="00721DF4"/>
    <w:rsid w:val="00725DC9"/>
    <w:rsid w:val="0072782F"/>
    <w:rsid w:val="007351BA"/>
    <w:rsid w:val="00735D93"/>
    <w:rsid w:val="00737DEE"/>
    <w:rsid w:val="007467DA"/>
    <w:rsid w:val="00746A26"/>
    <w:rsid w:val="007503CC"/>
    <w:rsid w:val="007577D6"/>
    <w:rsid w:val="00775D99"/>
    <w:rsid w:val="00777BD5"/>
    <w:rsid w:val="0078658A"/>
    <w:rsid w:val="00786CA5"/>
    <w:rsid w:val="00792243"/>
    <w:rsid w:val="00796452"/>
    <w:rsid w:val="00796940"/>
    <w:rsid w:val="00797E0D"/>
    <w:rsid w:val="007A00F9"/>
    <w:rsid w:val="007A3FFA"/>
    <w:rsid w:val="007A79F8"/>
    <w:rsid w:val="007B12DC"/>
    <w:rsid w:val="007C6CF6"/>
    <w:rsid w:val="007C7846"/>
    <w:rsid w:val="007D45D7"/>
    <w:rsid w:val="007D4B13"/>
    <w:rsid w:val="007D7AF5"/>
    <w:rsid w:val="007E0432"/>
    <w:rsid w:val="007E1FAE"/>
    <w:rsid w:val="007E4A8A"/>
    <w:rsid w:val="007F45E9"/>
    <w:rsid w:val="007F55CB"/>
    <w:rsid w:val="00813AB7"/>
    <w:rsid w:val="00814030"/>
    <w:rsid w:val="008149E4"/>
    <w:rsid w:val="00832C6A"/>
    <w:rsid w:val="0083553E"/>
    <w:rsid w:val="00844750"/>
    <w:rsid w:val="00855403"/>
    <w:rsid w:val="00863EE8"/>
    <w:rsid w:val="00864C73"/>
    <w:rsid w:val="00870E43"/>
    <w:rsid w:val="00871F52"/>
    <w:rsid w:val="00873B3C"/>
    <w:rsid w:val="00877948"/>
    <w:rsid w:val="00880634"/>
    <w:rsid w:val="00882513"/>
    <w:rsid w:val="008871A9"/>
    <w:rsid w:val="00892241"/>
    <w:rsid w:val="0089570C"/>
    <w:rsid w:val="00895C96"/>
    <w:rsid w:val="008A39ED"/>
    <w:rsid w:val="008A7035"/>
    <w:rsid w:val="008B44C4"/>
    <w:rsid w:val="008C1EDD"/>
    <w:rsid w:val="008E3C9C"/>
    <w:rsid w:val="008E7FAE"/>
    <w:rsid w:val="008F53ED"/>
    <w:rsid w:val="0090289B"/>
    <w:rsid w:val="0090305F"/>
    <w:rsid w:val="00907745"/>
    <w:rsid w:val="00911BF7"/>
    <w:rsid w:val="00921442"/>
    <w:rsid w:val="009225C6"/>
    <w:rsid w:val="0093328A"/>
    <w:rsid w:val="00941AF3"/>
    <w:rsid w:val="00943FFD"/>
    <w:rsid w:val="009444AC"/>
    <w:rsid w:val="00960C2A"/>
    <w:rsid w:val="009620B4"/>
    <w:rsid w:val="00977AD9"/>
    <w:rsid w:val="00977EC8"/>
    <w:rsid w:val="00990228"/>
    <w:rsid w:val="00993DE6"/>
    <w:rsid w:val="009A3A4D"/>
    <w:rsid w:val="009B21A9"/>
    <w:rsid w:val="009C53C0"/>
    <w:rsid w:val="009D2FA2"/>
    <w:rsid w:val="009D367F"/>
    <w:rsid w:val="009D3A8C"/>
    <w:rsid w:val="009D3D58"/>
    <w:rsid w:val="009D45BD"/>
    <w:rsid w:val="009D593F"/>
    <w:rsid w:val="009E5809"/>
    <w:rsid w:val="009E7956"/>
    <w:rsid w:val="009F22F2"/>
    <w:rsid w:val="009F2D2E"/>
    <w:rsid w:val="009F55C1"/>
    <w:rsid w:val="00A023F6"/>
    <w:rsid w:val="00A05098"/>
    <w:rsid w:val="00A13AF0"/>
    <w:rsid w:val="00A15900"/>
    <w:rsid w:val="00A228B4"/>
    <w:rsid w:val="00A2492E"/>
    <w:rsid w:val="00A24D33"/>
    <w:rsid w:val="00A311AB"/>
    <w:rsid w:val="00A4197C"/>
    <w:rsid w:val="00A46741"/>
    <w:rsid w:val="00A47982"/>
    <w:rsid w:val="00A6008B"/>
    <w:rsid w:val="00A615BB"/>
    <w:rsid w:val="00A635A1"/>
    <w:rsid w:val="00A720C2"/>
    <w:rsid w:val="00A75178"/>
    <w:rsid w:val="00A777CF"/>
    <w:rsid w:val="00A80E17"/>
    <w:rsid w:val="00A83D26"/>
    <w:rsid w:val="00A83FB3"/>
    <w:rsid w:val="00A90EA7"/>
    <w:rsid w:val="00A9106C"/>
    <w:rsid w:val="00A923C5"/>
    <w:rsid w:val="00A96CFD"/>
    <w:rsid w:val="00A97711"/>
    <w:rsid w:val="00AA0D76"/>
    <w:rsid w:val="00AA230C"/>
    <w:rsid w:val="00AA2441"/>
    <w:rsid w:val="00AA3390"/>
    <w:rsid w:val="00AA3E40"/>
    <w:rsid w:val="00AA4B4A"/>
    <w:rsid w:val="00AA4F58"/>
    <w:rsid w:val="00AB3057"/>
    <w:rsid w:val="00AB51C8"/>
    <w:rsid w:val="00AC4C74"/>
    <w:rsid w:val="00AC67A1"/>
    <w:rsid w:val="00AC7977"/>
    <w:rsid w:val="00AD0DD1"/>
    <w:rsid w:val="00AD11D3"/>
    <w:rsid w:val="00AD64EE"/>
    <w:rsid w:val="00AE352C"/>
    <w:rsid w:val="00AF1CE8"/>
    <w:rsid w:val="00AF403B"/>
    <w:rsid w:val="00B015EF"/>
    <w:rsid w:val="00B02BF0"/>
    <w:rsid w:val="00B05474"/>
    <w:rsid w:val="00B077BA"/>
    <w:rsid w:val="00B100AF"/>
    <w:rsid w:val="00B121F8"/>
    <w:rsid w:val="00B2633F"/>
    <w:rsid w:val="00B27636"/>
    <w:rsid w:val="00B32E2D"/>
    <w:rsid w:val="00B36865"/>
    <w:rsid w:val="00B425C1"/>
    <w:rsid w:val="00B44D3B"/>
    <w:rsid w:val="00B47BC3"/>
    <w:rsid w:val="00B50EE4"/>
    <w:rsid w:val="00B61990"/>
    <w:rsid w:val="00B62D03"/>
    <w:rsid w:val="00B63E87"/>
    <w:rsid w:val="00B90309"/>
    <w:rsid w:val="00B908BC"/>
    <w:rsid w:val="00B93051"/>
    <w:rsid w:val="00B93155"/>
    <w:rsid w:val="00B9317F"/>
    <w:rsid w:val="00B93CD2"/>
    <w:rsid w:val="00B97C18"/>
    <w:rsid w:val="00BA0740"/>
    <w:rsid w:val="00BA0A3F"/>
    <w:rsid w:val="00BA220D"/>
    <w:rsid w:val="00BC3005"/>
    <w:rsid w:val="00BC575E"/>
    <w:rsid w:val="00BD0563"/>
    <w:rsid w:val="00BD25A9"/>
    <w:rsid w:val="00BE1513"/>
    <w:rsid w:val="00BE2E9B"/>
    <w:rsid w:val="00BE4B99"/>
    <w:rsid w:val="00BE51B4"/>
    <w:rsid w:val="00BF0556"/>
    <w:rsid w:val="00BF2E35"/>
    <w:rsid w:val="00C23DB8"/>
    <w:rsid w:val="00C24772"/>
    <w:rsid w:val="00C25AC8"/>
    <w:rsid w:val="00C261F8"/>
    <w:rsid w:val="00C33100"/>
    <w:rsid w:val="00C3558E"/>
    <w:rsid w:val="00C35D92"/>
    <w:rsid w:val="00C4083C"/>
    <w:rsid w:val="00C42224"/>
    <w:rsid w:val="00C53CD3"/>
    <w:rsid w:val="00C54696"/>
    <w:rsid w:val="00C77CD5"/>
    <w:rsid w:val="00C77D2E"/>
    <w:rsid w:val="00CA363B"/>
    <w:rsid w:val="00CA54D6"/>
    <w:rsid w:val="00CA6A02"/>
    <w:rsid w:val="00CB3D1D"/>
    <w:rsid w:val="00CB5A09"/>
    <w:rsid w:val="00CB72A7"/>
    <w:rsid w:val="00CC2411"/>
    <w:rsid w:val="00CC5C9E"/>
    <w:rsid w:val="00CC6BEE"/>
    <w:rsid w:val="00CC76D6"/>
    <w:rsid w:val="00CD1A71"/>
    <w:rsid w:val="00CD1FBB"/>
    <w:rsid w:val="00CD6241"/>
    <w:rsid w:val="00CE3E1A"/>
    <w:rsid w:val="00CF0E86"/>
    <w:rsid w:val="00CF2B2B"/>
    <w:rsid w:val="00CF3344"/>
    <w:rsid w:val="00CF3854"/>
    <w:rsid w:val="00CF5128"/>
    <w:rsid w:val="00D00970"/>
    <w:rsid w:val="00D016B5"/>
    <w:rsid w:val="00D0342E"/>
    <w:rsid w:val="00D034F1"/>
    <w:rsid w:val="00D05118"/>
    <w:rsid w:val="00D0772B"/>
    <w:rsid w:val="00D12418"/>
    <w:rsid w:val="00D16F08"/>
    <w:rsid w:val="00D217F6"/>
    <w:rsid w:val="00D27D5E"/>
    <w:rsid w:val="00D35B2D"/>
    <w:rsid w:val="00D44A25"/>
    <w:rsid w:val="00D46FB6"/>
    <w:rsid w:val="00D52BB1"/>
    <w:rsid w:val="00D537D3"/>
    <w:rsid w:val="00D54E92"/>
    <w:rsid w:val="00D60B85"/>
    <w:rsid w:val="00D63724"/>
    <w:rsid w:val="00D72DD9"/>
    <w:rsid w:val="00D74738"/>
    <w:rsid w:val="00D77888"/>
    <w:rsid w:val="00DA0914"/>
    <w:rsid w:val="00DA5003"/>
    <w:rsid w:val="00DB4BC2"/>
    <w:rsid w:val="00DD28DE"/>
    <w:rsid w:val="00DE18D6"/>
    <w:rsid w:val="00DE6D90"/>
    <w:rsid w:val="00DF002F"/>
    <w:rsid w:val="00DF275E"/>
    <w:rsid w:val="00DF3BF1"/>
    <w:rsid w:val="00DF5C12"/>
    <w:rsid w:val="00E0244D"/>
    <w:rsid w:val="00E04030"/>
    <w:rsid w:val="00E10845"/>
    <w:rsid w:val="00E12F13"/>
    <w:rsid w:val="00E13CA0"/>
    <w:rsid w:val="00E144C5"/>
    <w:rsid w:val="00E336D7"/>
    <w:rsid w:val="00E33897"/>
    <w:rsid w:val="00E34DC8"/>
    <w:rsid w:val="00E368FF"/>
    <w:rsid w:val="00E52785"/>
    <w:rsid w:val="00E54311"/>
    <w:rsid w:val="00E74657"/>
    <w:rsid w:val="00E8058A"/>
    <w:rsid w:val="00E81E94"/>
    <w:rsid w:val="00E82607"/>
    <w:rsid w:val="00E928CF"/>
    <w:rsid w:val="00E93D2A"/>
    <w:rsid w:val="00E957FB"/>
    <w:rsid w:val="00EA0108"/>
    <w:rsid w:val="00EA04B0"/>
    <w:rsid w:val="00EA21CB"/>
    <w:rsid w:val="00EA6694"/>
    <w:rsid w:val="00EB1820"/>
    <w:rsid w:val="00EB2D61"/>
    <w:rsid w:val="00EC226D"/>
    <w:rsid w:val="00EC57F7"/>
    <w:rsid w:val="00EC580F"/>
    <w:rsid w:val="00ED0201"/>
    <w:rsid w:val="00ED1EA3"/>
    <w:rsid w:val="00EE5ECA"/>
    <w:rsid w:val="00EE742F"/>
    <w:rsid w:val="00EF1376"/>
    <w:rsid w:val="00EF359C"/>
    <w:rsid w:val="00F03E1F"/>
    <w:rsid w:val="00F11137"/>
    <w:rsid w:val="00F14B9F"/>
    <w:rsid w:val="00F1696D"/>
    <w:rsid w:val="00F24F00"/>
    <w:rsid w:val="00F27EFA"/>
    <w:rsid w:val="00F3075B"/>
    <w:rsid w:val="00F33865"/>
    <w:rsid w:val="00F33DC4"/>
    <w:rsid w:val="00F35069"/>
    <w:rsid w:val="00F35F82"/>
    <w:rsid w:val="00F5246E"/>
    <w:rsid w:val="00F55CD1"/>
    <w:rsid w:val="00F568A5"/>
    <w:rsid w:val="00F63234"/>
    <w:rsid w:val="00F93467"/>
    <w:rsid w:val="00F95907"/>
    <w:rsid w:val="00F97C71"/>
    <w:rsid w:val="00FA0013"/>
    <w:rsid w:val="00FA0D74"/>
    <w:rsid w:val="00FA22B2"/>
    <w:rsid w:val="00FA41E0"/>
    <w:rsid w:val="00FA5A79"/>
    <w:rsid w:val="00FB0BFE"/>
    <w:rsid w:val="00FB4C51"/>
    <w:rsid w:val="00FC00D9"/>
    <w:rsid w:val="00FC2B74"/>
    <w:rsid w:val="00FC32CD"/>
    <w:rsid w:val="00FC5EBE"/>
    <w:rsid w:val="00FF0012"/>
    <w:rsid w:val="00FF05BE"/>
    <w:rsid w:val="00FF1444"/>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eastAsia="en-US"/>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ftref,Footnotes refss"/>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rPr>
      <w:rFonts w:ascii="Times New Roman" w:hAnsi="Times New Roman"/>
      <w:sz w:val="18"/>
      <w:vertAlign w:val="superscript"/>
      <w:lang w:val="fr-CH"/>
    </w:rPr>
  </w:style>
  <w:style w:type="paragraph" w:styleId="Header">
    <w:name w:val="header"/>
    <w:aliases w:val="6_G"/>
    <w:basedOn w:val="Normal"/>
    <w:next w:val="Normal"/>
    <w:link w:val="HeaderChar"/>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link w:val="FooterChar"/>
    <w:rsid w:val="008F53ED"/>
    <w:pPr>
      <w:spacing w:line="240" w:lineRule="auto"/>
    </w:pPr>
    <w:rPr>
      <w:sz w:val="16"/>
    </w:rPr>
  </w:style>
  <w:style w:type="character" w:styleId="Hyperlink">
    <w:name w:val="Hyperlink"/>
    <w:semiHidden/>
    <w:rsid w:val="00366F5B"/>
    <w:rPr>
      <w:color w:val="auto"/>
      <w:u w:val="none"/>
    </w:rPr>
  </w:style>
  <w:style w:type="character" w:styleId="FollowedHyperlink">
    <w:name w:val="FollowedHyperlink"/>
    <w:semiHidden/>
    <w:rsid w:val="00366F5B"/>
    <w:rPr>
      <w:color w:val="auto"/>
      <w:u w:val="none"/>
    </w:rPr>
  </w:style>
  <w:style w:type="paragraph" w:customStyle="1" w:styleId="Style">
    <w:name w:val="Style"/>
    <w:rsid w:val="00895C96"/>
    <w:pPr>
      <w:widowControl w:val="0"/>
      <w:autoSpaceDE w:val="0"/>
      <w:autoSpaceDN w:val="0"/>
      <w:adjustRightInd w:val="0"/>
    </w:pPr>
    <w:rPr>
      <w:rFonts w:ascii="Calibri" w:hAnsi="Calibri" w:cs="Calibri"/>
      <w:sz w:val="24"/>
      <w:szCs w:val="24"/>
      <w:lang w:val="fr-FR" w:eastAsia="fr-FR"/>
    </w:rPr>
  </w:style>
  <w:style w:type="table" w:styleId="TableGrid">
    <w:name w:val="Table Grid"/>
    <w:basedOn w:val="TableNormal"/>
    <w:semiHidden/>
    <w:rsid w:val="00024B3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HeaderChar">
    <w:name w:val="Header Char"/>
    <w:aliases w:val="6_G Char"/>
    <w:link w:val="Header"/>
    <w:semiHidden/>
    <w:locked/>
    <w:rsid w:val="00895C96"/>
    <w:rPr>
      <w:b/>
      <w:sz w:val="18"/>
      <w:lang w:val="fr-CH" w:eastAsia="en-US" w:bidi="ar-SA"/>
    </w:rPr>
  </w:style>
  <w:style w:type="character" w:customStyle="1" w:styleId="FooterChar">
    <w:name w:val="Footer Char"/>
    <w:aliases w:val="3_G Char"/>
    <w:link w:val="Footer"/>
    <w:semiHidden/>
    <w:locked/>
    <w:rsid w:val="00895C96"/>
    <w:rPr>
      <w:sz w:val="16"/>
      <w:lang w:val="fr-CH" w:eastAsia="en-US" w:bidi="ar-SA"/>
    </w:rPr>
  </w:style>
  <w:style w:type="paragraph" w:styleId="ListParagraph">
    <w:name w:val="List Paragraph"/>
    <w:basedOn w:val="Normal"/>
    <w:qFormat/>
    <w:rsid w:val="00895C96"/>
    <w:pPr>
      <w:suppressAutoHyphens w:val="0"/>
      <w:spacing w:line="240" w:lineRule="auto"/>
      <w:ind w:left="708"/>
    </w:pPr>
    <w:rPr>
      <w:rFonts w:ascii="Calibri" w:hAnsi="Calibri" w:cs="Calibri"/>
      <w:sz w:val="24"/>
      <w:szCs w:val="24"/>
      <w:lang w:val="fr-FR" w:eastAsia="fr-FR"/>
    </w:rPr>
  </w:style>
  <w:style w:type="paragraph" w:styleId="PlainText">
    <w:name w:val="Plain Text"/>
    <w:basedOn w:val="Normal"/>
    <w:link w:val="PlainTextChar"/>
    <w:rsid w:val="00895C96"/>
    <w:pPr>
      <w:suppressAutoHyphens w:val="0"/>
      <w:spacing w:line="240" w:lineRule="auto"/>
    </w:pPr>
    <w:rPr>
      <w:rFonts w:ascii="Consolas" w:hAnsi="Consolas" w:cs="Consolas"/>
      <w:sz w:val="21"/>
      <w:szCs w:val="21"/>
      <w:lang w:val="fr-FR"/>
    </w:rPr>
  </w:style>
  <w:style w:type="character" w:customStyle="1" w:styleId="PlainTextChar">
    <w:name w:val="Plain Text Char"/>
    <w:link w:val="PlainText"/>
    <w:locked/>
    <w:rsid w:val="00895C96"/>
    <w:rPr>
      <w:rFonts w:ascii="Consolas" w:hAnsi="Consolas" w:cs="Consolas"/>
      <w:sz w:val="21"/>
      <w:szCs w:val="21"/>
      <w:lang w:val="fr-FR" w:eastAsia="en-US" w:bidi="ar-SA"/>
    </w:rPr>
  </w:style>
  <w:style w:type="character" w:customStyle="1" w:styleId="SingleTxtGChar">
    <w:name w:val="_ Single Txt_G Char"/>
    <w:link w:val="SingleTxtG"/>
    <w:rsid w:val="00895C96"/>
    <w:rPr>
      <w:lang w:val="fr-CH" w:eastAsia="en-US" w:bidi="ar-SA"/>
    </w:rPr>
  </w:style>
  <w:style w:type="character" w:customStyle="1" w:styleId="HChGChar">
    <w:name w:val="_ H _Ch_G Char"/>
    <w:link w:val="HChG"/>
    <w:rsid w:val="00B2633F"/>
    <w:rPr>
      <w:b/>
      <w:sz w:val="28"/>
      <w:lang w:val="fr-CH" w:eastAsia="en-US" w:bidi="ar-SA"/>
    </w:rPr>
  </w:style>
  <w:style w:type="paragraph" w:styleId="BalloonText">
    <w:name w:val="Balloon Text"/>
    <w:basedOn w:val="Normal"/>
    <w:semiHidden/>
    <w:rsid w:val="00A83D26"/>
    <w:rPr>
      <w:rFonts w:ascii="Tahoma" w:hAnsi="Tahoma" w:cs="Tahoma"/>
      <w:sz w:val="16"/>
      <w:szCs w:val="16"/>
    </w:rPr>
  </w:style>
  <w:style w:type="character" w:styleId="CommentReference">
    <w:name w:val="annotation reference"/>
    <w:semiHidden/>
    <w:rsid w:val="001E6F6A"/>
    <w:rPr>
      <w:sz w:val="16"/>
      <w:szCs w:val="16"/>
    </w:rPr>
  </w:style>
  <w:style w:type="paragraph" w:styleId="CommentText">
    <w:name w:val="annotation text"/>
    <w:basedOn w:val="Normal"/>
    <w:semiHidden/>
    <w:rsid w:val="001E6F6A"/>
  </w:style>
  <w:style w:type="paragraph" w:styleId="CommentSubject">
    <w:name w:val="annotation subject"/>
    <w:basedOn w:val="CommentText"/>
    <w:next w:val="CommentText"/>
    <w:semiHidden/>
    <w:rsid w:val="001E6F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8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13117</Words>
  <Characters>74769</Characters>
  <Application>Microsoft Office Word</Application>
  <DocSecurity>4</DocSecurity>
  <Lines>623</Lines>
  <Paragraphs>175</Paragraphs>
  <ScaleCrop>false</ScaleCrop>
  <HeadingPairs>
    <vt:vector size="2" baseType="variant">
      <vt:variant>
        <vt:lpstr>Title</vt:lpstr>
      </vt:variant>
      <vt:variant>
        <vt:i4>1</vt:i4>
      </vt:variant>
    </vt:vector>
  </HeadingPairs>
  <TitlesOfParts>
    <vt:vector size="1" baseType="lpstr">
      <vt:lpstr>Nations Unies</vt:lpstr>
    </vt:vector>
  </TitlesOfParts>
  <Company>CSD</Company>
  <LinksUpToDate>false</LinksUpToDate>
  <CharactersWithSpaces>87711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OHCHR</dc:creator>
  <cp:keywords/>
  <dc:description/>
  <cp:lastModifiedBy>DCM</cp:lastModifiedBy>
  <cp:revision>2</cp:revision>
  <cp:lastPrinted>2009-10-07T16:31:00Z</cp:lastPrinted>
  <dcterms:created xsi:type="dcterms:W3CDTF">2011-03-10T07:14:00Z</dcterms:created>
  <dcterms:modified xsi:type="dcterms:W3CDTF">2011-03-10T07:14:00Z</dcterms:modified>
</cp:coreProperties>
</file>