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3561"/>
        <w:gridCol w:w="1889"/>
        <w:gridCol w:w="2930"/>
      </w:tblGrid>
      <w:tr w:rsidR="003127F9" w:rsidTr="003127F9">
        <w:trPr>
          <w:trHeight w:val="851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F9" w:rsidRPr="003127F9" w:rsidRDefault="003127F9" w:rsidP="00AB013A">
            <w:pPr>
              <w:suppressAutoHyphens w:val="0"/>
              <w:spacing w:after="80" w:line="300" w:lineRule="exact"/>
              <w:rPr>
                <w:sz w:val="28"/>
                <w:szCs w:val="28"/>
                <w:lang w:val="ru-RU"/>
              </w:rPr>
            </w:pPr>
            <w:r w:rsidRPr="00AB013A">
              <w:rPr>
                <w:spacing w:val="4"/>
                <w:w w:val="103"/>
                <w:kern w:val="14"/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F9" w:rsidRPr="00942BE3" w:rsidRDefault="003127F9" w:rsidP="00933D7D">
            <w:pPr>
              <w:jc w:val="right"/>
            </w:pPr>
            <w:r w:rsidRPr="00AB013A">
              <w:rPr>
                <w:spacing w:val="4"/>
                <w:w w:val="103"/>
                <w:kern w:val="14"/>
                <w:sz w:val="40"/>
                <w:szCs w:val="40"/>
                <w:lang w:val="ru-RU"/>
              </w:rPr>
              <w:t>CRC</w:t>
            </w:r>
            <w:r w:rsidRPr="00AB013A">
              <w:rPr>
                <w:spacing w:val="4"/>
                <w:w w:val="103"/>
                <w:kern w:val="14"/>
                <w:lang w:val="ru-RU"/>
              </w:rPr>
              <w:t>/C/OPAC/IND/CO/1</w:t>
            </w:r>
          </w:p>
        </w:tc>
      </w:tr>
      <w:tr w:rsidR="003107FA" w:rsidRPr="00614B83" w:rsidTr="0005502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74E3C" w:rsidP="00942BE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27F9" w:rsidRPr="003127F9" w:rsidRDefault="003127F9" w:rsidP="00614B83">
            <w:pPr>
              <w:spacing w:before="120" w:line="420" w:lineRule="exact"/>
              <w:rPr>
                <w:b/>
                <w:sz w:val="40"/>
                <w:szCs w:val="40"/>
                <w:lang w:val="ru-RU"/>
              </w:rPr>
            </w:pPr>
            <w:r w:rsidRPr="00614B83">
              <w:rPr>
                <w:b/>
                <w:spacing w:val="-4"/>
                <w:kern w:val="14"/>
                <w:sz w:val="40"/>
                <w:szCs w:val="40"/>
                <w:lang w:val="ru-RU"/>
              </w:rPr>
              <w:t>К</w:t>
            </w:r>
            <w:r w:rsidR="00614B83">
              <w:rPr>
                <w:b/>
                <w:spacing w:val="-4"/>
                <w:kern w:val="14"/>
                <w:sz w:val="40"/>
                <w:szCs w:val="40"/>
                <w:lang w:val="ru-RU"/>
              </w:rPr>
              <w:t>онвенция</w:t>
            </w:r>
            <w:r w:rsidR="00614B83">
              <w:rPr>
                <w:b/>
                <w:spacing w:val="-4"/>
                <w:kern w:val="14"/>
                <w:sz w:val="40"/>
                <w:szCs w:val="40"/>
                <w:lang w:val="ru-RU"/>
              </w:rPr>
              <w:br/>
            </w:r>
            <w:r w:rsidRPr="00614B83">
              <w:rPr>
                <w:b/>
                <w:spacing w:val="-4"/>
                <w:kern w:val="14"/>
                <w:sz w:val="40"/>
                <w:szCs w:val="40"/>
                <w:lang w:val="ru-RU"/>
              </w:rPr>
              <w:t>о правах ребенка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14B83" w:rsidRDefault="00055024" w:rsidP="00055024">
            <w:pPr>
              <w:spacing w:before="240" w:line="240" w:lineRule="exact"/>
              <w:rPr>
                <w:lang w:val="ru-RU"/>
              </w:rPr>
            </w:pPr>
            <w:r>
              <w:t>Distr</w:t>
            </w:r>
            <w:r w:rsidRPr="00614B83">
              <w:rPr>
                <w:lang w:val="ru-RU"/>
              </w:rPr>
              <w:t xml:space="preserve">.: </w:t>
            </w:r>
            <w:r>
              <w:t>General</w:t>
            </w:r>
          </w:p>
          <w:p w:rsidR="00055024" w:rsidRPr="00614B83" w:rsidRDefault="000C3206" w:rsidP="00055024">
            <w:pPr>
              <w:spacing w:line="240" w:lineRule="exact"/>
              <w:rPr>
                <w:lang w:val="ru-RU"/>
              </w:rPr>
            </w:pPr>
            <w:r w:rsidRPr="00614B83">
              <w:rPr>
                <w:lang w:val="ru-RU"/>
              </w:rPr>
              <w:t>7</w:t>
            </w:r>
            <w:r w:rsidR="00055024" w:rsidRPr="00614B83">
              <w:rPr>
                <w:lang w:val="ru-RU"/>
              </w:rPr>
              <w:t xml:space="preserve"> </w:t>
            </w:r>
            <w:r w:rsidR="00055024">
              <w:t>Ju</w:t>
            </w:r>
            <w:r w:rsidR="00485A7F">
              <w:t>ly</w:t>
            </w:r>
            <w:r w:rsidR="00055024" w:rsidRPr="00614B83">
              <w:rPr>
                <w:lang w:val="ru-RU"/>
              </w:rPr>
              <w:t xml:space="preserve"> 2014</w:t>
            </w:r>
          </w:p>
          <w:p w:rsidR="00055024" w:rsidRPr="00614B83" w:rsidRDefault="003127F9" w:rsidP="00055024">
            <w:pPr>
              <w:spacing w:line="240" w:lineRule="exact"/>
              <w:rPr>
                <w:lang w:val="ru-RU"/>
              </w:rPr>
            </w:pPr>
            <w:r>
              <w:rPr>
                <w:lang w:val="en-US"/>
              </w:rPr>
              <w:t>Russian</w:t>
            </w:r>
          </w:p>
          <w:p w:rsidR="000748AA" w:rsidRPr="00614B83" w:rsidRDefault="00055024" w:rsidP="00A30812">
            <w:pPr>
              <w:spacing w:line="240" w:lineRule="exact"/>
              <w:rPr>
                <w:lang w:val="ru-RU"/>
              </w:rPr>
            </w:pPr>
            <w:r>
              <w:t>Original</w:t>
            </w:r>
            <w:r w:rsidRPr="00614B83">
              <w:rPr>
                <w:lang w:val="ru-RU"/>
              </w:rPr>
              <w:t xml:space="preserve">: </w:t>
            </w:r>
            <w:r>
              <w:t>English</w:t>
            </w:r>
          </w:p>
          <w:p w:rsidR="000748AA" w:rsidRPr="00614B83" w:rsidRDefault="000748AA" w:rsidP="00055024">
            <w:pPr>
              <w:spacing w:line="240" w:lineRule="exact"/>
              <w:rPr>
                <w:lang w:val="ru-RU"/>
              </w:rPr>
            </w:pPr>
          </w:p>
        </w:tc>
      </w:tr>
    </w:tbl>
    <w:p w:rsidR="003127F9" w:rsidRPr="00AB013A" w:rsidRDefault="003127F9" w:rsidP="00AB013A">
      <w:pPr>
        <w:suppressAutoHyphens w:val="0"/>
        <w:spacing w:before="120"/>
        <w:rPr>
          <w:b/>
          <w:spacing w:val="4"/>
          <w:w w:val="103"/>
          <w:kern w:val="14"/>
          <w:sz w:val="24"/>
          <w:szCs w:val="24"/>
          <w:lang w:val="ru-RU"/>
        </w:rPr>
      </w:pPr>
      <w:r w:rsidRPr="00AB013A">
        <w:rPr>
          <w:b/>
          <w:spacing w:val="4"/>
          <w:w w:val="103"/>
          <w:kern w:val="14"/>
          <w:sz w:val="24"/>
          <w:szCs w:val="24"/>
          <w:lang w:val="ru-RU"/>
        </w:rPr>
        <w:t>Комитет по правам ребенка</w:t>
      </w:r>
    </w:p>
    <w:p w:rsidR="00055024" w:rsidRPr="00AB013A" w:rsidRDefault="003127F9" w:rsidP="00CB55D3">
      <w:pPr>
        <w:pStyle w:val="HChGR"/>
        <w:rPr>
          <w:rFonts w:eastAsia="SimSun"/>
        </w:rPr>
      </w:pPr>
      <w:r>
        <w:tab/>
      </w:r>
      <w:r>
        <w:tab/>
      </w:r>
      <w:r w:rsidRPr="00AB013A">
        <w:rPr>
          <w:rFonts w:eastAsia="SimSun"/>
        </w:rPr>
        <w:t>Заключительные замечания по докладу</w:t>
      </w:r>
      <w:r w:rsidR="00CE1686">
        <w:rPr>
          <w:rFonts w:eastAsia="SimSun"/>
        </w:rPr>
        <w:t xml:space="preserve"> Индии, представленному </w:t>
      </w:r>
      <w:r w:rsidRPr="00AB013A">
        <w:rPr>
          <w:rFonts w:eastAsia="SimSun"/>
        </w:rPr>
        <w:t>в со</w:t>
      </w:r>
      <w:r w:rsidR="00CE1686">
        <w:rPr>
          <w:rFonts w:eastAsia="SimSun"/>
        </w:rPr>
        <w:t xml:space="preserve">ответствии </w:t>
      </w:r>
      <w:r w:rsidR="00AB013A">
        <w:rPr>
          <w:rFonts w:eastAsia="SimSun"/>
        </w:rPr>
        <w:t>с пунктом </w:t>
      </w:r>
      <w:r w:rsidRPr="00AB013A">
        <w:rPr>
          <w:rFonts w:eastAsia="SimSun"/>
        </w:rPr>
        <w:t>1 статьи 8 Факуль</w:t>
      </w:r>
      <w:r w:rsidR="00CE1686">
        <w:rPr>
          <w:rFonts w:eastAsia="SimSun"/>
        </w:rPr>
        <w:t xml:space="preserve">тативного протокола </w:t>
      </w:r>
      <w:r w:rsidR="00AB013A">
        <w:rPr>
          <w:rFonts w:eastAsia="SimSun"/>
        </w:rPr>
        <w:t xml:space="preserve">к Конвенции </w:t>
      </w:r>
      <w:r w:rsidRPr="00AB013A">
        <w:rPr>
          <w:rFonts w:eastAsia="SimSun"/>
        </w:rPr>
        <w:t>о правах реб</w:t>
      </w:r>
      <w:r w:rsidR="00AB013A">
        <w:rPr>
          <w:rFonts w:eastAsia="SimSun"/>
        </w:rPr>
        <w:t xml:space="preserve">енка, касающегося участия детей </w:t>
      </w:r>
      <w:r w:rsidRPr="00AB013A">
        <w:rPr>
          <w:rFonts w:eastAsia="SimSun"/>
        </w:rPr>
        <w:t>в вооруженных конфликтах</w:t>
      </w:r>
      <w:r w:rsidR="00903A08" w:rsidRPr="00CB55D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127F9" w:rsidRPr="00CE1686" w:rsidRDefault="003127F9" w:rsidP="00CE1686">
      <w:pPr>
        <w:pStyle w:val="SingleTxtGR"/>
      </w:pPr>
      <w:r w:rsidRPr="00CE1686">
        <w:t>1</w:t>
      </w:r>
      <w:r w:rsidR="00337E07">
        <w:t>.</w:t>
      </w:r>
      <w:r w:rsidRPr="00CE1686">
        <w:tab/>
      </w:r>
      <w:r w:rsidRPr="00337E07">
        <w:rPr>
          <w:spacing w:val="0"/>
        </w:rPr>
        <w:t>Комитет рассмотрел первоначальный доклад Индии (CRC/C/OPAC/IND/1)</w:t>
      </w:r>
      <w:r w:rsidRPr="00CE1686">
        <w:t xml:space="preserve"> на своих 1885-м и 1886-м заседаниях (см. CRC/C/SR.1885 и 1886), состоявши</w:t>
      </w:r>
      <w:r w:rsidRPr="00CE1686">
        <w:t>х</w:t>
      </w:r>
      <w:r w:rsidRPr="00CE1686">
        <w:t>ся 2 и 3 июня 2014 года, и на своем 1901-м заседании 13 июня 2014 года принял следующие заключительные замеч</w:t>
      </w:r>
      <w:r w:rsidRPr="00CE1686">
        <w:t>а</w:t>
      </w:r>
      <w:r w:rsidRPr="00CE1686">
        <w:t>ния.</w:t>
      </w:r>
    </w:p>
    <w:p w:rsidR="003127F9" w:rsidRPr="00337E07" w:rsidRDefault="00933D7D" w:rsidP="00337E07">
      <w:pPr>
        <w:pStyle w:val="HChGR"/>
        <w:rPr>
          <w:rFonts w:eastAsia="SimSun"/>
        </w:rPr>
      </w:pPr>
      <w:r w:rsidRPr="00337E07">
        <w:rPr>
          <w:rFonts w:eastAsia="SimSun"/>
        </w:rPr>
        <w:tab/>
      </w:r>
      <w:smartTag w:uri="urn:schemas-microsoft-com:office:smarttags" w:element="place">
        <w:r w:rsidRPr="00337E07">
          <w:rPr>
            <w:rFonts w:eastAsia="SimSun"/>
          </w:rPr>
          <w:t>I.</w:t>
        </w:r>
      </w:smartTag>
      <w:r w:rsidRPr="00337E07">
        <w:rPr>
          <w:rFonts w:eastAsia="SimSun"/>
        </w:rPr>
        <w:tab/>
      </w:r>
      <w:r w:rsidR="003127F9" w:rsidRPr="00337E07">
        <w:rPr>
          <w:rFonts w:eastAsia="SimSun"/>
        </w:rPr>
        <w:t>Введение</w:t>
      </w:r>
    </w:p>
    <w:p w:rsidR="003127F9" w:rsidRPr="003127F9" w:rsidRDefault="003127F9" w:rsidP="00CE1686">
      <w:pPr>
        <w:pStyle w:val="SingleTxtGR"/>
      </w:pPr>
      <w:r>
        <w:t>2.</w:t>
      </w:r>
      <w:r>
        <w:tab/>
        <w:t>Комитет приветствует представление государством-участником первон</w:t>
      </w:r>
      <w:r>
        <w:t>а</w:t>
      </w:r>
      <w:r>
        <w:t xml:space="preserve">чального доклада и </w:t>
      </w:r>
      <w:r w:rsidR="00DC2838">
        <w:t xml:space="preserve">его </w:t>
      </w:r>
      <w:r>
        <w:t xml:space="preserve">письменные ответы на перечень вопросов </w:t>
      </w:r>
      <w:r w:rsidRPr="00CE1686">
        <w:t>(CRC/C/OPAC/IND/Q/1/Add.1)</w:t>
      </w:r>
      <w:r>
        <w:t>, а также выражает признательность за констру</w:t>
      </w:r>
      <w:r>
        <w:t>к</w:t>
      </w:r>
      <w:r>
        <w:t>тивный диалог с многопрофильной делегацией государства-участника.</w:t>
      </w:r>
    </w:p>
    <w:p w:rsidR="003127F9" w:rsidRPr="003127F9" w:rsidRDefault="003127F9" w:rsidP="00CE1686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замечания следует рассматривать совместно с заключительными замеч</w:t>
      </w:r>
      <w:r>
        <w:t>а</w:t>
      </w:r>
      <w:r>
        <w:t>ниями по объединенным третьем</w:t>
      </w:r>
      <w:r w:rsidR="00DC2838">
        <w:t>у</w:t>
      </w:r>
      <w:r>
        <w:t xml:space="preserve"> и четверт</w:t>
      </w:r>
      <w:r w:rsidR="00DC2838">
        <w:t>ому</w:t>
      </w:r>
      <w:r>
        <w:t xml:space="preserve"> периодическим докладам гос</w:t>
      </w:r>
      <w:r>
        <w:t>у</w:t>
      </w:r>
      <w:r>
        <w:t xml:space="preserve">дарства-участника по Конвенции о правах ребенка </w:t>
      </w:r>
      <w:r w:rsidRPr="00CE1686">
        <w:t>(CRC/C/IND/CO/3-4)</w:t>
      </w:r>
      <w:r>
        <w:t>, а та</w:t>
      </w:r>
      <w:r>
        <w:t>к</w:t>
      </w:r>
      <w:r>
        <w:t xml:space="preserve">же </w:t>
      </w:r>
      <w:r w:rsidR="00DC2838">
        <w:t xml:space="preserve">с </w:t>
      </w:r>
      <w:r>
        <w:t>заключительными замечаниями по первоначальному докладу государства-участника по Факультативному протоколу, касающе</w:t>
      </w:r>
      <w:r w:rsidR="00DC2838">
        <w:t>муся</w:t>
      </w:r>
      <w:r>
        <w:t xml:space="preserve"> торговли детьми</w:t>
      </w:r>
      <w:r w:rsidR="00DC2838">
        <w:t>,</w:t>
      </w:r>
      <w:r>
        <w:t xml:space="preserve"> де</w:t>
      </w:r>
      <w:r>
        <w:t>т</w:t>
      </w:r>
      <w:r>
        <w:t xml:space="preserve">ской проституции и детской порнографии </w:t>
      </w:r>
      <w:r w:rsidRPr="00CE1686">
        <w:t>(CRC/C/OPSC/IND/CO/1)</w:t>
      </w:r>
      <w:r>
        <w:t>, который был принят 13 июня 2014 года.</w:t>
      </w:r>
    </w:p>
    <w:p w:rsidR="00933D7D" w:rsidRPr="00337E07" w:rsidRDefault="00933D7D" w:rsidP="00337E07">
      <w:pPr>
        <w:pStyle w:val="HChGR"/>
        <w:rPr>
          <w:rFonts w:eastAsia="SimSun"/>
        </w:rPr>
      </w:pPr>
      <w:r w:rsidRPr="002049D1">
        <w:rPr>
          <w:rFonts w:eastAsia="SimSun"/>
        </w:rPr>
        <w:tab/>
      </w:r>
      <w:r w:rsidRPr="00337E07">
        <w:rPr>
          <w:rFonts w:eastAsia="SimSun"/>
        </w:rPr>
        <w:t>II.</w:t>
      </w:r>
      <w:r w:rsidRPr="00337E07">
        <w:rPr>
          <w:rFonts w:eastAsia="SimSun"/>
        </w:rPr>
        <w:tab/>
      </w:r>
      <w:r w:rsidR="00F602B9" w:rsidRPr="00337E07">
        <w:rPr>
          <w:rFonts w:eastAsia="SimSun"/>
        </w:rPr>
        <w:t>Общие замечания</w:t>
      </w:r>
    </w:p>
    <w:p w:rsidR="00933D7D" w:rsidRPr="0032667B" w:rsidRDefault="00F602B9" w:rsidP="0032667B">
      <w:pPr>
        <w:pStyle w:val="H1GR"/>
      </w:pPr>
      <w:r w:rsidRPr="00CC3DA6">
        <w:rPr>
          <w:lang w:val="en-US" w:eastAsia="en-GB"/>
        </w:rPr>
        <w:tab/>
      </w:r>
      <w:r w:rsidRPr="0032667B">
        <w:tab/>
      </w:r>
      <w:r>
        <w:t>Позитивные</w:t>
      </w:r>
      <w:r w:rsidRPr="0032667B">
        <w:t xml:space="preserve"> </w:t>
      </w:r>
      <w:r>
        <w:t>аспекты</w:t>
      </w:r>
    </w:p>
    <w:p w:rsidR="00F602B9" w:rsidRPr="00CE1686" w:rsidRDefault="00F602B9" w:rsidP="00CE1686">
      <w:pPr>
        <w:pStyle w:val="SingleTxtGR"/>
      </w:pPr>
      <w:r>
        <w:t>4.</w:t>
      </w:r>
      <w:r>
        <w:tab/>
      </w:r>
      <w:r w:rsidRPr="00477611">
        <w:rPr>
          <w:spacing w:val="0"/>
        </w:rPr>
        <w:t>Комитет приветствует ратификацию государством-участником</w:t>
      </w:r>
      <w:r w:rsidR="00477611" w:rsidRPr="00477611">
        <w:rPr>
          <w:spacing w:val="0"/>
        </w:rPr>
        <w:t xml:space="preserve"> в мае 2011 </w:t>
      </w:r>
      <w:r w:rsidRPr="00477611">
        <w:rPr>
          <w:spacing w:val="0"/>
        </w:rPr>
        <w:t>г</w:t>
      </w:r>
      <w:r w:rsidRPr="00477611">
        <w:rPr>
          <w:spacing w:val="0"/>
        </w:rPr>
        <w:t>о</w:t>
      </w:r>
      <w:r w:rsidRPr="00477611">
        <w:rPr>
          <w:spacing w:val="0"/>
        </w:rPr>
        <w:t>да</w:t>
      </w:r>
      <w:r>
        <w:t xml:space="preserve"> Протокола </w:t>
      </w:r>
      <w:r w:rsidR="00A76548">
        <w:t xml:space="preserve">против </w:t>
      </w:r>
      <w:r>
        <w:t>незаконн</w:t>
      </w:r>
      <w:r w:rsidR="00A76548">
        <w:t>ого изготовления</w:t>
      </w:r>
      <w:r>
        <w:t xml:space="preserve"> и </w:t>
      </w:r>
      <w:r w:rsidR="00A76548">
        <w:t>оборота</w:t>
      </w:r>
      <w:r>
        <w:t xml:space="preserve"> огнестрельн</w:t>
      </w:r>
      <w:r w:rsidR="00A76548">
        <w:t>ого</w:t>
      </w:r>
      <w:r>
        <w:t xml:space="preserve"> ор</w:t>
      </w:r>
      <w:r>
        <w:t>у</w:t>
      </w:r>
      <w:r>
        <w:t>жи</w:t>
      </w:r>
      <w:r w:rsidR="00A76548">
        <w:t>я</w:t>
      </w:r>
      <w:r>
        <w:t xml:space="preserve">, его </w:t>
      </w:r>
      <w:r w:rsidR="00A76548">
        <w:t xml:space="preserve">составных частей и </w:t>
      </w:r>
      <w:r>
        <w:t>компонент</w:t>
      </w:r>
      <w:r w:rsidR="00A76548">
        <w:t>ов, а также</w:t>
      </w:r>
      <w:r>
        <w:t xml:space="preserve"> боеприпас</w:t>
      </w:r>
      <w:r w:rsidR="00A76548">
        <w:t>ов к нему</w:t>
      </w:r>
      <w:r>
        <w:t>, допо</w:t>
      </w:r>
      <w:r>
        <w:t>л</w:t>
      </w:r>
      <w:r>
        <w:t>няющего Конвенци</w:t>
      </w:r>
      <w:r w:rsidR="00A76548">
        <w:t>ю</w:t>
      </w:r>
      <w:r>
        <w:t xml:space="preserve"> Организации Объединенных Наций против транснаци</w:t>
      </w:r>
      <w:r>
        <w:t>о</w:t>
      </w:r>
      <w:r>
        <w:t>нальной организованной преступности.</w:t>
      </w:r>
    </w:p>
    <w:p w:rsidR="00F602B9" w:rsidRPr="00CE1686" w:rsidRDefault="00F602B9" w:rsidP="00CE1686">
      <w:pPr>
        <w:pStyle w:val="SingleTxtGR"/>
      </w:pPr>
      <w:r>
        <w:t>5.</w:t>
      </w:r>
      <w:r>
        <w:tab/>
        <w:t>Комитет приветствует раз</w:t>
      </w:r>
      <w:r w:rsidR="00A80987">
        <w:t>нообразные</w:t>
      </w:r>
      <w:r>
        <w:t xml:space="preserve"> позитивные меры, которые были приняты в областях, связанных с осуществлением Факультативного протокола, в частности принятие </w:t>
      </w:r>
      <w:r w:rsidR="00BE6459">
        <w:t>З</w:t>
      </w:r>
      <w:r w:rsidR="00577998">
        <w:t xml:space="preserve">акона о </w:t>
      </w:r>
      <w:r w:rsidR="00BE6459">
        <w:t>внесении изменений в систему отправления правосудия в отношении несовершеннолетних</w:t>
      </w:r>
      <w:r>
        <w:t xml:space="preserve"> (уход и защита детей) 2006 года и </w:t>
      </w:r>
      <w:r w:rsidR="00BE6459">
        <w:t>З</w:t>
      </w:r>
      <w:r>
        <w:t>акон</w:t>
      </w:r>
      <w:r w:rsidR="00BE6459">
        <w:t>а</w:t>
      </w:r>
      <w:r>
        <w:t xml:space="preserve"> </w:t>
      </w:r>
      <w:r w:rsidR="00BE6459">
        <w:t xml:space="preserve">о системе отправления правосудия в отношении несовершеннолетних штата </w:t>
      </w:r>
      <w:r>
        <w:t>Джамму и Кашмир (уход и защита детей), 2013 год</w:t>
      </w:r>
      <w:r w:rsidR="00BE6459">
        <w:t>а</w:t>
      </w:r>
      <w:r>
        <w:t>.</w:t>
      </w:r>
    </w:p>
    <w:p w:rsidR="00577998" w:rsidRPr="00337E07" w:rsidRDefault="00933D7D" w:rsidP="002049D1">
      <w:pPr>
        <w:pStyle w:val="HChGR"/>
        <w:rPr>
          <w:rFonts w:eastAsia="SimSun"/>
        </w:rPr>
      </w:pPr>
      <w:r w:rsidRPr="00337E07">
        <w:rPr>
          <w:rFonts w:eastAsia="SimSun"/>
        </w:rPr>
        <w:tab/>
        <w:t>III.</w:t>
      </w:r>
      <w:r w:rsidRPr="00337E07">
        <w:rPr>
          <w:rFonts w:eastAsia="SimSun"/>
        </w:rPr>
        <w:tab/>
      </w:r>
      <w:r w:rsidR="00577998" w:rsidRPr="00337E07">
        <w:rPr>
          <w:rFonts w:eastAsia="SimSun"/>
        </w:rPr>
        <w:t>Общие меры по осуществлению</w:t>
      </w:r>
    </w:p>
    <w:p w:rsidR="00933D7D" w:rsidRPr="00CC3DA6" w:rsidRDefault="00A30812" w:rsidP="00992F96">
      <w:pPr>
        <w:pStyle w:val="H1GR"/>
      </w:pPr>
      <w:r w:rsidRPr="00CC3DA6">
        <w:rPr>
          <w:lang w:val="en-US" w:eastAsia="en-GB"/>
        </w:rPr>
        <w:tab/>
      </w:r>
      <w:r w:rsidRPr="0032667B">
        <w:tab/>
      </w:r>
      <w:r w:rsidR="00577998">
        <w:t>Законодательство</w:t>
      </w:r>
      <w:r w:rsidR="00577998" w:rsidRPr="00CC3DA6">
        <w:t xml:space="preserve"> </w:t>
      </w:r>
    </w:p>
    <w:p w:rsidR="00577998" w:rsidRPr="00577998" w:rsidRDefault="00577998" w:rsidP="00CE1686">
      <w:pPr>
        <w:pStyle w:val="SingleTxtGR"/>
      </w:pPr>
      <w:r>
        <w:t>6.</w:t>
      </w:r>
      <w:r>
        <w:tab/>
        <w:t xml:space="preserve">Комитет обеспокоен отсутствием информации о </w:t>
      </w:r>
      <w:r w:rsidR="00E233EE">
        <w:t>правовом</w:t>
      </w:r>
      <w:r w:rsidR="003F1428">
        <w:t xml:space="preserve"> </w:t>
      </w:r>
      <w:r>
        <w:t>статусе Ф</w:t>
      </w:r>
      <w:r>
        <w:t>а</w:t>
      </w:r>
      <w:r>
        <w:t>культативного протокола в</w:t>
      </w:r>
      <w:r w:rsidR="00477611">
        <w:t xml:space="preserve"> </w:t>
      </w:r>
      <w:r>
        <w:t xml:space="preserve">системе </w:t>
      </w:r>
      <w:r w:rsidR="00621F84">
        <w:t xml:space="preserve">отправления </w:t>
      </w:r>
      <w:r w:rsidR="003F1428">
        <w:t xml:space="preserve">правосудия </w:t>
      </w:r>
      <w:r>
        <w:t>государства-участника.</w:t>
      </w:r>
    </w:p>
    <w:p w:rsidR="00577998" w:rsidRPr="00CE1686" w:rsidRDefault="00577998" w:rsidP="00CE1686">
      <w:pPr>
        <w:pStyle w:val="SingleTxtGR"/>
      </w:pPr>
      <w:r w:rsidRPr="00CE1686">
        <w:t>7.</w:t>
      </w:r>
      <w:r w:rsidRPr="00CE1686">
        <w:tab/>
      </w:r>
      <w:r w:rsidRPr="00CE1686">
        <w:rPr>
          <w:b/>
        </w:rPr>
        <w:t>Комитет рекомендует государству-участнику принять все необход</w:t>
      </w:r>
      <w:r w:rsidRPr="00CE1686">
        <w:rPr>
          <w:b/>
        </w:rPr>
        <w:t>и</w:t>
      </w:r>
      <w:r w:rsidRPr="00CE1686">
        <w:rPr>
          <w:b/>
        </w:rPr>
        <w:t>мые законодательные меры для включения положений Факультативного протокола в свои внутренние законы.</w:t>
      </w:r>
    </w:p>
    <w:p w:rsidR="00933D7D" w:rsidRPr="00577998" w:rsidRDefault="00933D7D" w:rsidP="00992F96">
      <w:pPr>
        <w:pStyle w:val="H1GR"/>
      </w:pPr>
      <w:r w:rsidRPr="00577998">
        <w:tab/>
      </w:r>
      <w:r w:rsidRPr="00577998">
        <w:tab/>
      </w:r>
      <w:r w:rsidR="001354C2">
        <w:t>Заявление</w:t>
      </w:r>
    </w:p>
    <w:p w:rsidR="00CE2385" w:rsidRPr="00CE2385" w:rsidRDefault="00CE2385" w:rsidP="00CE1686">
      <w:pPr>
        <w:pStyle w:val="SingleTxtGR"/>
      </w:pPr>
      <w:r>
        <w:t>8.</w:t>
      </w:r>
      <w:r>
        <w:tab/>
        <w:t>Комитет отмечает, что согласно заявлению</w:t>
      </w:r>
      <w:r w:rsidR="00777774">
        <w:t xml:space="preserve"> </w:t>
      </w:r>
      <w:r>
        <w:t>государств</w:t>
      </w:r>
      <w:r w:rsidR="00777774">
        <w:t>а</w:t>
      </w:r>
      <w:r>
        <w:t>-участник</w:t>
      </w:r>
      <w:r w:rsidR="00777774">
        <w:t>а</w:t>
      </w:r>
      <w:r>
        <w:t xml:space="preserve"> при р</w:t>
      </w:r>
      <w:r>
        <w:t>а</w:t>
      </w:r>
      <w:r>
        <w:t>тифи</w:t>
      </w:r>
      <w:r w:rsidR="00767F1D">
        <w:t>кации Факультативного протокола</w:t>
      </w:r>
      <w:r>
        <w:t xml:space="preserve"> </w:t>
      </w:r>
      <w:r w:rsidR="00B83889">
        <w:t>"</w:t>
      </w:r>
      <w:r>
        <w:t>минимальны</w:t>
      </w:r>
      <w:r w:rsidR="00777774">
        <w:t>й</w:t>
      </w:r>
      <w:r>
        <w:t xml:space="preserve"> возраст </w:t>
      </w:r>
      <w:r w:rsidR="00777774">
        <w:t>призыва</w:t>
      </w:r>
      <w:r>
        <w:t xml:space="preserve"> в во</w:t>
      </w:r>
      <w:r>
        <w:t>о</w:t>
      </w:r>
      <w:r>
        <w:t xml:space="preserve">руженные силы Индии новобранцев (армию, ВВС и ВМФ) </w:t>
      </w:r>
      <w:r w:rsidR="00777774">
        <w:t>составляет</w:t>
      </w:r>
      <w:r>
        <w:t xml:space="preserve"> 16 лет. После </w:t>
      </w:r>
      <w:r w:rsidR="00777774">
        <w:t>призыва</w:t>
      </w:r>
      <w:r>
        <w:t xml:space="preserve"> и обязательного периода первоначальной подготовки </w:t>
      </w:r>
      <w:r w:rsidR="00777774">
        <w:t>приведе</w:t>
      </w:r>
      <w:r w:rsidR="00777774">
        <w:t>н</w:t>
      </w:r>
      <w:r w:rsidR="00777774">
        <w:t xml:space="preserve">ный к присяге </w:t>
      </w:r>
      <w:r>
        <w:t>личный состав вооруженных сил направляется в оперативные районы только по</w:t>
      </w:r>
      <w:r w:rsidR="00477611">
        <w:t xml:space="preserve"> </w:t>
      </w:r>
      <w:r w:rsidR="00767F1D">
        <w:t>достижению</w:t>
      </w:r>
      <w:r>
        <w:t xml:space="preserve"> 18 лет</w:t>
      </w:r>
      <w:r w:rsidR="00B83889">
        <w:t>"</w:t>
      </w:r>
      <w:r>
        <w:t>.</w:t>
      </w:r>
    </w:p>
    <w:p w:rsidR="00CE2385" w:rsidRPr="00CE1686" w:rsidRDefault="00CE2385" w:rsidP="00CE1686">
      <w:pPr>
        <w:pStyle w:val="SingleTxtGR"/>
      </w:pPr>
      <w:r w:rsidRPr="00CE2385">
        <w:t>9.</w:t>
      </w:r>
      <w:r w:rsidRPr="00CE2385">
        <w:tab/>
      </w:r>
      <w:r w:rsidRPr="00CE1686">
        <w:rPr>
          <w:b/>
        </w:rPr>
        <w:t xml:space="preserve">Комитет настоятельно призывает государство-участник рассмотреть возможность снятия этого заявления и установить минимальный возраст </w:t>
      </w:r>
      <w:r w:rsidR="00BB4D4E" w:rsidRPr="00CE1686">
        <w:rPr>
          <w:b/>
        </w:rPr>
        <w:t xml:space="preserve">призыва </w:t>
      </w:r>
      <w:r w:rsidRPr="00CE1686">
        <w:rPr>
          <w:b/>
        </w:rPr>
        <w:t xml:space="preserve">в вооруженные силы </w:t>
      </w:r>
      <w:r w:rsidR="00BB4D4E" w:rsidRPr="00CE1686">
        <w:rPr>
          <w:b/>
        </w:rPr>
        <w:t xml:space="preserve">в </w:t>
      </w:r>
      <w:r w:rsidRPr="00CE1686">
        <w:rPr>
          <w:b/>
        </w:rPr>
        <w:t>18 лет.</w:t>
      </w:r>
    </w:p>
    <w:p w:rsidR="00933D7D" w:rsidRPr="00CE2385" w:rsidRDefault="00933D7D" w:rsidP="00992F96">
      <w:pPr>
        <w:pStyle w:val="H1GR"/>
      </w:pPr>
      <w:r w:rsidRPr="00CE2385">
        <w:rPr>
          <w:lang w:eastAsia="en-GB"/>
        </w:rPr>
        <w:tab/>
      </w:r>
      <w:r w:rsidRPr="00CE2385">
        <w:tab/>
      </w:r>
      <w:r w:rsidR="00CE2385">
        <w:t>Координация</w:t>
      </w:r>
    </w:p>
    <w:p w:rsidR="00CE2385" w:rsidRPr="00CE1686" w:rsidRDefault="00CE2385" w:rsidP="00CE1686">
      <w:pPr>
        <w:pStyle w:val="SingleTxtGR"/>
      </w:pPr>
      <w:r>
        <w:t>10.</w:t>
      </w:r>
      <w:r>
        <w:tab/>
        <w:t>Отмечая, что Министерство по делам женщин и детей в сотрудничестве с Министерством внутренних дел и Министерством обороны несут ответстве</w:t>
      </w:r>
      <w:r>
        <w:t>н</w:t>
      </w:r>
      <w:r>
        <w:t xml:space="preserve">ность за координацию усилий по осуществлению Факультативного протокола и создание Национальной координационной группы для </w:t>
      </w:r>
      <w:r w:rsidR="00AB3AD4">
        <w:t>согласования</w:t>
      </w:r>
      <w:r>
        <w:t xml:space="preserve"> </w:t>
      </w:r>
      <w:r w:rsidR="00895AC4">
        <w:t xml:space="preserve">усилий по </w:t>
      </w:r>
      <w:r>
        <w:t>осуществлени</w:t>
      </w:r>
      <w:r w:rsidR="00895AC4">
        <w:t>ю</w:t>
      </w:r>
      <w:r>
        <w:t xml:space="preserve"> Факультативного протокола с другими заинтересованными м</w:t>
      </w:r>
      <w:r>
        <w:t>и</w:t>
      </w:r>
      <w:r>
        <w:t xml:space="preserve">нистерствами, ведомствами, </w:t>
      </w:r>
      <w:r w:rsidR="004B7C8C">
        <w:t>правительствами штатов</w:t>
      </w:r>
      <w:r>
        <w:t>, правительственными и неправительственными организациями, Комитет выражает обеспокоенность проведением незначительного количества совещаний.</w:t>
      </w:r>
    </w:p>
    <w:p w:rsidR="00CE2385" w:rsidRPr="00CE1686" w:rsidRDefault="00CE2385" w:rsidP="00CE1686">
      <w:pPr>
        <w:pStyle w:val="SingleTxtGR"/>
      </w:pPr>
      <w:r w:rsidRPr="004B471D">
        <w:t>11.</w:t>
      </w:r>
      <w:r w:rsidRPr="004B471D">
        <w:tab/>
      </w:r>
      <w:r w:rsidRPr="00CE1686">
        <w:rPr>
          <w:b/>
        </w:rPr>
        <w:t>Комитет рекомендует государству-участнику усилить координацию деятельности между Министерством по делам женщин и детей и другими соответствующими ведомствами в целях обеспечения полного осуществл</w:t>
      </w:r>
      <w:r w:rsidRPr="00CE1686">
        <w:rPr>
          <w:b/>
        </w:rPr>
        <w:t>е</w:t>
      </w:r>
      <w:r w:rsidRPr="00CE1686">
        <w:rPr>
          <w:b/>
        </w:rPr>
        <w:t>ния Прот</w:t>
      </w:r>
      <w:r w:rsidRPr="00CE1686">
        <w:rPr>
          <w:b/>
        </w:rPr>
        <w:t>о</w:t>
      </w:r>
      <w:r w:rsidRPr="00CE1686">
        <w:rPr>
          <w:b/>
        </w:rPr>
        <w:t>кола.</w:t>
      </w:r>
      <w:r w:rsidRPr="00CE1686">
        <w:t xml:space="preserve"> </w:t>
      </w:r>
    </w:p>
    <w:p w:rsidR="00933D7D" w:rsidRPr="00CE2385" w:rsidRDefault="00933D7D" w:rsidP="00992F96">
      <w:pPr>
        <w:pStyle w:val="H1GR"/>
      </w:pPr>
      <w:r w:rsidRPr="00CE2385">
        <w:tab/>
      </w:r>
      <w:r w:rsidRPr="00CE2385">
        <w:tab/>
      </w:r>
      <w:r w:rsidR="00CE2385">
        <w:t>Распределение ресурсов</w:t>
      </w:r>
    </w:p>
    <w:p w:rsidR="00CE2385" w:rsidRPr="00CE1686" w:rsidRDefault="00CE2385" w:rsidP="00CE1686">
      <w:pPr>
        <w:pStyle w:val="SingleTxtGR"/>
      </w:pPr>
      <w:r>
        <w:t>12.</w:t>
      </w:r>
      <w:r>
        <w:tab/>
        <w:t>Комитет выражает обеспокоенность крайне незначительными бюдже</w:t>
      </w:r>
      <w:r>
        <w:t>т</w:t>
      </w:r>
      <w:r>
        <w:t>ными ассигнованиями</w:t>
      </w:r>
      <w:r w:rsidR="00F742B8">
        <w:t xml:space="preserve"> </w:t>
      </w:r>
      <w:r>
        <w:t>на цели защиты детей, как это признается государством-участником в его докладе, и отсутствием целевых бюджетных ассигнований на деятельность по осуществлению Факультативного протокола.</w:t>
      </w:r>
    </w:p>
    <w:p w:rsidR="004B471D" w:rsidRPr="00CE1686" w:rsidRDefault="004B471D" w:rsidP="00CE1686">
      <w:pPr>
        <w:pStyle w:val="SingleTxtGR"/>
      </w:pPr>
      <w:r w:rsidRPr="00CE1686">
        <w:t>13.</w:t>
      </w:r>
      <w:r w:rsidRPr="00CE1686">
        <w:tab/>
      </w:r>
      <w:r w:rsidRPr="00CE1686">
        <w:rPr>
          <w:b/>
        </w:rPr>
        <w:t xml:space="preserve">Комитет рекомендует государству-участнику обеспечить выделение достаточных и целевых ресурсов в </w:t>
      </w:r>
      <w:r w:rsidR="000B11FD">
        <w:rPr>
          <w:b/>
        </w:rPr>
        <w:t>интересах</w:t>
      </w:r>
      <w:r w:rsidRPr="00CE1686">
        <w:rPr>
          <w:b/>
        </w:rPr>
        <w:t xml:space="preserve"> эффективного осуществления</w:t>
      </w:r>
      <w:r w:rsidR="00477611">
        <w:rPr>
          <w:b/>
        </w:rPr>
        <w:t xml:space="preserve"> </w:t>
      </w:r>
      <w:r w:rsidRPr="00CE1686">
        <w:rPr>
          <w:b/>
        </w:rPr>
        <w:t>Факультативного протокола</w:t>
      </w:r>
      <w:r w:rsidR="00FB4A8D" w:rsidRPr="00CE1686">
        <w:rPr>
          <w:b/>
        </w:rPr>
        <w:t xml:space="preserve"> во всех его а</w:t>
      </w:r>
      <w:r w:rsidR="00AB0537" w:rsidRPr="00CE1686">
        <w:rPr>
          <w:b/>
        </w:rPr>
        <w:t>с</w:t>
      </w:r>
      <w:r w:rsidR="00FB4A8D" w:rsidRPr="00CE1686">
        <w:rPr>
          <w:b/>
        </w:rPr>
        <w:t>пектах</w:t>
      </w:r>
      <w:r w:rsidRPr="00CE1686">
        <w:rPr>
          <w:b/>
        </w:rPr>
        <w:t xml:space="preserve"> на национальном, реги</w:t>
      </w:r>
      <w:r w:rsidRPr="00CE1686">
        <w:rPr>
          <w:b/>
        </w:rPr>
        <w:t>о</w:t>
      </w:r>
      <w:r w:rsidRPr="00CE1686">
        <w:rPr>
          <w:b/>
        </w:rPr>
        <w:t>нальном и о</w:t>
      </w:r>
      <w:r w:rsidRPr="00CE1686">
        <w:rPr>
          <w:b/>
        </w:rPr>
        <w:t>к</w:t>
      </w:r>
      <w:r w:rsidRPr="00CE1686">
        <w:rPr>
          <w:b/>
        </w:rPr>
        <w:t>ружном уровнях.</w:t>
      </w:r>
    </w:p>
    <w:p w:rsidR="00933D7D" w:rsidRPr="004B471D" w:rsidRDefault="00933D7D" w:rsidP="00992F96">
      <w:pPr>
        <w:pStyle w:val="H1GR"/>
      </w:pPr>
      <w:r w:rsidRPr="004B471D">
        <w:tab/>
      </w:r>
      <w:r w:rsidRPr="004B471D">
        <w:tab/>
      </w:r>
      <w:r w:rsidR="004B471D">
        <w:t>Распространение информации и повышение осведомленности</w:t>
      </w:r>
    </w:p>
    <w:p w:rsidR="00933D7D" w:rsidRPr="00CE1686" w:rsidRDefault="004B471D" w:rsidP="00CE1686">
      <w:pPr>
        <w:pStyle w:val="SingleTxtGR"/>
      </w:pPr>
      <w:r>
        <w:t>14.</w:t>
      </w:r>
      <w:r>
        <w:tab/>
        <w:t xml:space="preserve">Комитет приветствует распространение информации о Факультативном протоколе среди различных учреждений, включая соответствующие </w:t>
      </w:r>
      <w:r w:rsidR="00330DE8">
        <w:t>министе</w:t>
      </w:r>
      <w:r w:rsidR="00330DE8">
        <w:t>р</w:t>
      </w:r>
      <w:r w:rsidR="00330DE8">
        <w:t xml:space="preserve">ства </w:t>
      </w:r>
      <w:r>
        <w:t>центральн</w:t>
      </w:r>
      <w:r w:rsidR="00330DE8">
        <w:t>ого</w:t>
      </w:r>
      <w:r>
        <w:t xml:space="preserve"> правительств</w:t>
      </w:r>
      <w:r w:rsidR="00330DE8">
        <w:t>а</w:t>
      </w:r>
      <w:r>
        <w:t xml:space="preserve">, правительства штатов и администрации </w:t>
      </w:r>
      <w:r w:rsidR="00A47183">
        <w:t>ф</w:t>
      </w:r>
      <w:r w:rsidR="00A47183">
        <w:t>е</w:t>
      </w:r>
      <w:r w:rsidR="00A47183">
        <w:t>деральных</w:t>
      </w:r>
      <w:r>
        <w:t xml:space="preserve"> территорий. Комитет, тем не менее, озабочен незначительной осв</w:t>
      </w:r>
      <w:r>
        <w:t>е</w:t>
      </w:r>
      <w:r>
        <w:t xml:space="preserve">домленностью широкой общественности о Факультативном протоколе, а также </w:t>
      </w:r>
      <w:r w:rsidR="00D177C3">
        <w:t>н</w:t>
      </w:r>
      <w:r w:rsidR="00D177C3">
        <w:t>е</w:t>
      </w:r>
      <w:r w:rsidR="00D177C3">
        <w:t xml:space="preserve">достаточно активными усилиями по распространению его соответствующих положений среди </w:t>
      </w:r>
      <w:r w:rsidR="00FB4A8D">
        <w:t>населения</w:t>
      </w:r>
      <w:r w:rsidR="00D177C3">
        <w:t>, детей и групп специалистов, работающих с детьми или в их интересах,</w:t>
      </w:r>
      <w:r w:rsidR="00477611">
        <w:t xml:space="preserve"> </w:t>
      </w:r>
      <w:r w:rsidR="00282AC2">
        <w:t xml:space="preserve">а также </w:t>
      </w:r>
      <w:r w:rsidR="00330DE8">
        <w:t>местных властей,</w:t>
      </w:r>
      <w:r w:rsidR="00330DE8" w:rsidRPr="00330DE8">
        <w:t xml:space="preserve"> </w:t>
      </w:r>
      <w:r w:rsidR="00330DE8">
        <w:t>особенно в районах волнений.</w:t>
      </w:r>
      <w:r w:rsidR="00933D7D" w:rsidRPr="00CE1686">
        <w:t xml:space="preserve"> </w:t>
      </w:r>
    </w:p>
    <w:p w:rsidR="004747B7" w:rsidRPr="00CE1686" w:rsidRDefault="004747B7" w:rsidP="00CE1686">
      <w:pPr>
        <w:pStyle w:val="SingleTxtGR"/>
      </w:pPr>
      <w:r w:rsidRPr="00CE1686">
        <w:t>15.</w:t>
      </w:r>
      <w:r w:rsidRPr="00CE1686">
        <w:tab/>
      </w:r>
      <w:r w:rsidRPr="00CE1686">
        <w:rPr>
          <w:b/>
        </w:rPr>
        <w:t>В свете пункта 2 статьи 6 Факультативного протокола Комитет р</w:t>
      </w:r>
      <w:r w:rsidRPr="00CE1686">
        <w:rPr>
          <w:b/>
        </w:rPr>
        <w:t>е</w:t>
      </w:r>
      <w:r w:rsidRPr="00CE1686">
        <w:rPr>
          <w:b/>
        </w:rPr>
        <w:t>комендует государству-участнику обеспечить широкое распространение информации о принципах и положениях Факультативного протокола среди широкой общественности, детей, преподавателей и соответствующих це</w:t>
      </w:r>
      <w:r w:rsidRPr="00CE1686">
        <w:rPr>
          <w:b/>
        </w:rPr>
        <w:t>н</w:t>
      </w:r>
      <w:r w:rsidRPr="00CE1686">
        <w:rPr>
          <w:b/>
        </w:rPr>
        <w:t>тральных и местных органов власти, особенно в районах волнений.</w:t>
      </w:r>
    </w:p>
    <w:p w:rsidR="00CC3DA6" w:rsidRPr="004747B7" w:rsidRDefault="00933D7D" w:rsidP="00992F96">
      <w:pPr>
        <w:pStyle w:val="H1GR"/>
      </w:pPr>
      <w:r w:rsidRPr="004747B7">
        <w:tab/>
      </w:r>
      <w:r w:rsidRPr="004747B7">
        <w:tab/>
      </w:r>
      <w:r w:rsidR="00CC3DA6" w:rsidRPr="0032667B">
        <w:t>Подготовка</w:t>
      </w:r>
    </w:p>
    <w:p w:rsidR="00CC3DA6" w:rsidRPr="00CE1686" w:rsidRDefault="00CC3DA6" w:rsidP="00CE1686">
      <w:pPr>
        <w:pStyle w:val="SingleTxtGR"/>
      </w:pPr>
      <w:r w:rsidRPr="00CE1686">
        <w:t>16.</w:t>
      </w:r>
      <w:r w:rsidRPr="00CE1686">
        <w:tab/>
        <w:t>Комитет выражает озабоченность по поводу того, что соответствующие категории специалистов, в частности военнослужащие, сотрудники полиции и органов правосудия, не получают надлежащей подготовки по положениям Ф</w:t>
      </w:r>
      <w:r w:rsidRPr="00CE1686">
        <w:t>а</w:t>
      </w:r>
      <w:r w:rsidRPr="00CE1686">
        <w:t>культативного протокола.</w:t>
      </w:r>
    </w:p>
    <w:p w:rsidR="00CC3DA6" w:rsidRPr="00CE1686" w:rsidRDefault="00CC3DA6" w:rsidP="00CE1686">
      <w:pPr>
        <w:pStyle w:val="SingleTxtGR"/>
      </w:pPr>
      <w:r w:rsidRPr="00CE1686">
        <w:t>17.</w:t>
      </w:r>
      <w:r w:rsidRPr="00CE1686">
        <w:tab/>
      </w:r>
      <w:r w:rsidRPr="00CE1686">
        <w:rPr>
          <w:b/>
        </w:rPr>
        <w:t>Комитет рекомендует государству-участнику активизировать прав</w:t>
      </w:r>
      <w:r w:rsidRPr="00CE1686">
        <w:rPr>
          <w:b/>
        </w:rPr>
        <w:t>о</w:t>
      </w:r>
      <w:r w:rsidRPr="00CE1686">
        <w:rPr>
          <w:b/>
        </w:rPr>
        <w:t>защитную подготовку для всех соответствующих профессиональных групп, ос</w:t>
      </w:r>
      <w:r w:rsidRPr="00CE1686">
        <w:rPr>
          <w:b/>
        </w:rPr>
        <w:t>о</w:t>
      </w:r>
      <w:r w:rsidRPr="00CE1686">
        <w:rPr>
          <w:b/>
        </w:rPr>
        <w:t>бенно военнослужащих, включая центральные военизированные силы, личный состав международных сил по поддержанию мира, центральных сил вооруже</w:t>
      </w:r>
      <w:r w:rsidRPr="00CE1686">
        <w:rPr>
          <w:b/>
        </w:rPr>
        <w:t>н</w:t>
      </w:r>
      <w:r w:rsidRPr="00CE1686">
        <w:rPr>
          <w:b/>
        </w:rPr>
        <w:t>ной полиции, полицейских сил штатов, включая сотрудников специальной полиции и деревенские комитеты обороны, судей, социал</w:t>
      </w:r>
      <w:r w:rsidRPr="00CE1686">
        <w:rPr>
          <w:b/>
        </w:rPr>
        <w:t>ь</w:t>
      </w:r>
      <w:r w:rsidRPr="00CE1686">
        <w:rPr>
          <w:b/>
        </w:rPr>
        <w:t>ных работников, учителей, специалистов СМИ и законодателей, и орган</w:t>
      </w:r>
      <w:r w:rsidRPr="00CE1686">
        <w:rPr>
          <w:b/>
        </w:rPr>
        <w:t>и</w:t>
      </w:r>
      <w:r w:rsidRPr="00CE1686">
        <w:rPr>
          <w:b/>
        </w:rPr>
        <w:t>зовать целевую подготовку по положениям Факультативного протокола.</w:t>
      </w:r>
      <w:r w:rsidRPr="00CE1686">
        <w:t xml:space="preserve"> </w:t>
      </w:r>
    </w:p>
    <w:p w:rsidR="00CC3DA6" w:rsidRPr="0032667B" w:rsidRDefault="00CC3DA6" w:rsidP="00992F96">
      <w:pPr>
        <w:pStyle w:val="H1GR"/>
      </w:pPr>
      <w:r w:rsidRPr="0032667B">
        <w:tab/>
      </w:r>
      <w:r w:rsidRPr="0032667B">
        <w:tab/>
        <w:t>Данные</w:t>
      </w:r>
    </w:p>
    <w:p w:rsidR="00C37056" w:rsidRPr="00C37056" w:rsidRDefault="00CC3DA6" w:rsidP="00C37056">
      <w:pPr>
        <w:pStyle w:val="SingleTxtGR"/>
      </w:pPr>
      <w:r w:rsidRPr="00C37056">
        <w:t>18.</w:t>
      </w:r>
      <w:r w:rsidRPr="00C37056">
        <w:tab/>
        <w:t>Комитет с озабоченностью отмечает отсутствие данных и стати</w:t>
      </w:r>
      <w:r w:rsidR="00767F1D">
        <w:t>сти</w:t>
      </w:r>
      <w:r w:rsidRPr="00C37056">
        <w:t>ч</w:t>
      </w:r>
      <w:r w:rsidRPr="00C37056">
        <w:t>е</w:t>
      </w:r>
      <w:r w:rsidRPr="00C37056">
        <w:t>ской информации по большинству областей, охватываемых Факультативным прот</w:t>
      </w:r>
      <w:r w:rsidRPr="00C37056">
        <w:t>о</w:t>
      </w:r>
      <w:r w:rsidRPr="00C37056">
        <w:t>колом.</w:t>
      </w:r>
    </w:p>
    <w:p w:rsidR="00CC3DA6" w:rsidRPr="00C37056" w:rsidRDefault="00CC3DA6" w:rsidP="00C37056">
      <w:pPr>
        <w:pStyle w:val="SingleTxtGR"/>
        <w:keepNext/>
      </w:pPr>
      <w:r w:rsidRPr="00C37056">
        <w:t>19.</w:t>
      </w:r>
      <w:r w:rsidRPr="00C37056">
        <w:tab/>
      </w:r>
      <w:r w:rsidRPr="00C37056">
        <w:rPr>
          <w:b/>
        </w:rPr>
        <w:t>Комитет рекомендует государству-участнику:</w:t>
      </w:r>
    </w:p>
    <w:p w:rsidR="00CC3DA6" w:rsidRPr="00C37056" w:rsidRDefault="00CC3DA6" w:rsidP="00C37056">
      <w:pPr>
        <w:pStyle w:val="SingleTxtGR"/>
        <w:ind w:firstLine="567"/>
        <w:rPr>
          <w:b/>
        </w:rPr>
      </w:pPr>
      <w:r w:rsidRPr="00C37056">
        <w:rPr>
          <w:b/>
        </w:rPr>
        <w:t xml:space="preserve">а) </w:t>
      </w:r>
      <w:r w:rsidRPr="00C37056">
        <w:rPr>
          <w:b/>
        </w:rPr>
        <w:tab/>
        <w:t>разработать и ввести в действие комплексную систему сбора и анализа данных, мониторинга и оценки последствий во всех областях, о</w:t>
      </w:r>
      <w:r w:rsidRPr="00C37056">
        <w:rPr>
          <w:b/>
        </w:rPr>
        <w:t>х</w:t>
      </w:r>
      <w:r w:rsidRPr="00C37056">
        <w:rPr>
          <w:b/>
        </w:rPr>
        <w:t>ватываемых Факультативным протоколом;</w:t>
      </w:r>
    </w:p>
    <w:p w:rsidR="00CC3DA6" w:rsidRPr="00C37056" w:rsidRDefault="00CC3DA6" w:rsidP="00C37056">
      <w:pPr>
        <w:pStyle w:val="SingleTxtGR"/>
        <w:ind w:firstLine="567"/>
        <w:rPr>
          <w:b/>
        </w:rPr>
      </w:pPr>
      <w:r w:rsidRPr="00C37056">
        <w:rPr>
          <w:b/>
        </w:rPr>
        <w:t>b)</w:t>
      </w:r>
      <w:r w:rsidRPr="00C37056">
        <w:rPr>
          <w:b/>
        </w:rPr>
        <w:tab/>
        <w:t>обеспечить представление данных в разбивке, в частности, по полу, возрасту, национальному и этническому происхождению, штату или автономному району, по проживанию в сельских и городских районах, принадлежности к коренному населению, социально-экономическому п</w:t>
      </w:r>
      <w:r w:rsidRPr="00C37056">
        <w:rPr>
          <w:b/>
        </w:rPr>
        <w:t>о</w:t>
      </w:r>
      <w:r w:rsidRPr="00C37056">
        <w:rPr>
          <w:b/>
        </w:rPr>
        <w:t>ложению, уделяя при этом особое внимание наиболее уязвимым группам детей;</w:t>
      </w:r>
    </w:p>
    <w:p w:rsidR="00CC3DA6" w:rsidRPr="00C37056" w:rsidRDefault="00CC3DA6" w:rsidP="00C37056">
      <w:pPr>
        <w:pStyle w:val="SingleTxtGR"/>
        <w:ind w:firstLine="567"/>
        <w:rPr>
          <w:b/>
        </w:rPr>
      </w:pPr>
      <w:r w:rsidRPr="00C37056">
        <w:rPr>
          <w:b/>
        </w:rPr>
        <w:t>с)</w:t>
      </w:r>
      <w:r w:rsidRPr="00C37056">
        <w:rPr>
          <w:b/>
        </w:rPr>
        <w:tab/>
        <w:t>анализировать и использовать собранные данные в качестве основы для выработки политики в области осуществления Факультати</w:t>
      </w:r>
      <w:r w:rsidRPr="00C37056">
        <w:rPr>
          <w:b/>
        </w:rPr>
        <w:t>в</w:t>
      </w:r>
      <w:r w:rsidRPr="00C37056">
        <w:rPr>
          <w:b/>
        </w:rPr>
        <w:t>ного протокола и проводить оценку достигнутых результатов в деле дост</w:t>
      </w:r>
      <w:r w:rsidRPr="00C37056">
        <w:rPr>
          <w:b/>
        </w:rPr>
        <w:t>и</w:t>
      </w:r>
      <w:r w:rsidRPr="00C37056">
        <w:rPr>
          <w:b/>
        </w:rPr>
        <w:t>жения этой цели;</w:t>
      </w:r>
    </w:p>
    <w:p w:rsidR="00CC3DA6" w:rsidRPr="00C37056" w:rsidRDefault="00CC3DA6" w:rsidP="00C37056">
      <w:pPr>
        <w:pStyle w:val="SingleTxtGR"/>
        <w:ind w:firstLine="567"/>
        <w:rPr>
          <w:b/>
        </w:rPr>
      </w:pPr>
      <w:r w:rsidRPr="00C37056">
        <w:rPr>
          <w:b/>
        </w:rPr>
        <w:t>d)</w:t>
      </w:r>
      <w:r w:rsidRPr="00C37056">
        <w:rPr>
          <w:b/>
        </w:rPr>
        <w:tab/>
        <w:t>в этой связи заручиться поддержкой соответствующих учре</w:t>
      </w:r>
      <w:r w:rsidRPr="00C37056">
        <w:rPr>
          <w:b/>
        </w:rPr>
        <w:t>ж</w:t>
      </w:r>
      <w:r w:rsidRPr="00C37056">
        <w:rPr>
          <w:b/>
        </w:rPr>
        <w:t>дений и программ</w:t>
      </w:r>
      <w:r w:rsidR="00477611">
        <w:rPr>
          <w:b/>
        </w:rPr>
        <w:t xml:space="preserve"> </w:t>
      </w:r>
      <w:r w:rsidRPr="00C37056">
        <w:rPr>
          <w:b/>
        </w:rPr>
        <w:t>Организации Объединенных Наций, включая Детский фонд Организ</w:t>
      </w:r>
      <w:r w:rsidRPr="00C37056">
        <w:rPr>
          <w:b/>
        </w:rPr>
        <w:t>а</w:t>
      </w:r>
      <w:r w:rsidRPr="00C37056">
        <w:rPr>
          <w:b/>
        </w:rPr>
        <w:t>ции Объединенных Наций (ЮНИСЕФ),</w:t>
      </w:r>
    </w:p>
    <w:p w:rsidR="00CC3DA6" w:rsidRPr="00337E07" w:rsidRDefault="00CC3DA6" w:rsidP="002049D1">
      <w:pPr>
        <w:pStyle w:val="HChGR"/>
        <w:rPr>
          <w:rFonts w:eastAsia="SimSun"/>
        </w:rPr>
      </w:pPr>
      <w:r w:rsidRPr="00337E07">
        <w:rPr>
          <w:rFonts w:eastAsia="SimSun"/>
        </w:rPr>
        <w:tab/>
        <w:t>IV.</w:t>
      </w:r>
      <w:r w:rsidRPr="00337E07">
        <w:rPr>
          <w:rFonts w:eastAsia="SimSun"/>
        </w:rPr>
        <w:tab/>
        <w:t>Предупреждение</w:t>
      </w:r>
    </w:p>
    <w:p w:rsidR="00CC3DA6" w:rsidRPr="0032667B" w:rsidRDefault="00CC3DA6" w:rsidP="00992F96">
      <w:pPr>
        <w:pStyle w:val="H1GR"/>
      </w:pPr>
      <w:r w:rsidRPr="003A5907">
        <w:rPr>
          <w:szCs w:val="24"/>
          <w:lang w:eastAsia="en-GB"/>
        </w:rPr>
        <w:tab/>
      </w:r>
      <w:r w:rsidRPr="0032667B">
        <w:tab/>
        <w:t>Процедуры проверки возраста</w:t>
      </w:r>
    </w:p>
    <w:p w:rsidR="00CC3DA6" w:rsidRPr="00C37056" w:rsidRDefault="00CC3DA6" w:rsidP="00C37056">
      <w:pPr>
        <w:pStyle w:val="SingleTxtGR"/>
      </w:pPr>
      <w:r w:rsidRPr="00C37056">
        <w:t>20.</w:t>
      </w:r>
      <w:r w:rsidRPr="00C37056">
        <w:tab/>
        <w:t>Комитет обеспокоен отсутствием эффективных механизмов проверки возраста новобранцев, поступающих на службу в вооруженные силы, полицию и другие военизированные формирования, и отмечает, что эта проблема усугу</w:t>
      </w:r>
      <w:r w:rsidRPr="00C37056">
        <w:t>б</w:t>
      </w:r>
      <w:r w:rsidRPr="00C37056">
        <w:t xml:space="preserve">ляется низкими показателями регистрации детей при рождении в государстве-участнике. В частности Комитет озабочен тем, что в отсутствии официального свидетельства о рождении </w:t>
      </w:r>
      <w:r w:rsidR="009676F7">
        <w:t>призыв</w:t>
      </w:r>
      <w:r w:rsidRPr="00C37056">
        <w:t xml:space="preserve"> в вооруженные силы, полицию и другие во</w:t>
      </w:r>
      <w:r w:rsidRPr="00C37056">
        <w:t>е</w:t>
      </w:r>
      <w:r w:rsidRPr="00C37056">
        <w:t>низированные формирования может основываться на сертификате об окончании школы, в котором указана примерная дата рождения.</w:t>
      </w:r>
    </w:p>
    <w:p w:rsidR="00CC3DA6" w:rsidRPr="00C37056" w:rsidRDefault="00CC3DA6" w:rsidP="00C37056">
      <w:pPr>
        <w:pStyle w:val="SingleTxtGR"/>
      </w:pPr>
      <w:r w:rsidRPr="00C37056">
        <w:t>21.</w:t>
      </w:r>
      <w:r w:rsidRPr="00C37056">
        <w:tab/>
      </w:r>
      <w:r w:rsidRPr="00C37056">
        <w:rPr>
          <w:b/>
        </w:rPr>
        <w:t>Комитет настоятельно призывает государство-участник обеспечить принятие последовательных и эффективных мер по проверке возраста к</w:t>
      </w:r>
      <w:r w:rsidRPr="00C37056">
        <w:rPr>
          <w:b/>
        </w:rPr>
        <w:t>а</w:t>
      </w:r>
      <w:r w:rsidRPr="00C37056">
        <w:rPr>
          <w:b/>
        </w:rPr>
        <w:t xml:space="preserve">ждого новобранца с целью недопущения </w:t>
      </w:r>
      <w:r w:rsidR="006B3116">
        <w:rPr>
          <w:b/>
        </w:rPr>
        <w:t>призыва</w:t>
      </w:r>
      <w:r w:rsidRPr="00C37056">
        <w:rPr>
          <w:b/>
        </w:rPr>
        <w:t xml:space="preserve"> в вооруженные силы д</w:t>
      </w:r>
      <w:r w:rsidRPr="00C37056">
        <w:rPr>
          <w:b/>
        </w:rPr>
        <w:t>е</w:t>
      </w:r>
      <w:r w:rsidRPr="00C37056">
        <w:rPr>
          <w:b/>
        </w:rPr>
        <w:t>тей. Кроме того государство-участник должно принять все необходимые меры для обеспечения регистрации при рождении всех детей.</w:t>
      </w:r>
      <w:r w:rsidRPr="00C37056">
        <w:t xml:space="preserve"> </w:t>
      </w:r>
    </w:p>
    <w:p w:rsidR="00CC3DA6" w:rsidRPr="0032667B" w:rsidRDefault="00CC3DA6" w:rsidP="00992F96">
      <w:pPr>
        <w:pStyle w:val="H1GR"/>
      </w:pPr>
      <w:r w:rsidRPr="0032667B">
        <w:tab/>
      </w:r>
      <w:r w:rsidRPr="0032667B">
        <w:tab/>
        <w:t>Предупреждение вербовки детей в негосударственные вооруженные группировки</w:t>
      </w:r>
    </w:p>
    <w:p w:rsidR="00CC3DA6" w:rsidRPr="00131B1F" w:rsidRDefault="00CC3DA6" w:rsidP="00131B1F">
      <w:pPr>
        <w:pStyle w:val="SingleTxtGR"/>
      </w:pPr>
      <w:r w:rsidRPr="00131B1F">
        <w:t>22.</w:t>
      </w:r>
      <w:r w:rsidRPr="00131B1F">
        <w:tab/>
        <w:t xml:space="preserve">Комитет глубоко озабочен таким явлением, как </w:t>
      </w:r>
      <w:r w:rsidR="000A23BF">
        <w:t>вербовка</w:t>
      </w:r>
      <w:r w:rsidRPr="00131B1F">
        <w:t xml:space="preserve"> детей в возрасте </w:t>
      </w:r>
      <w:r w:rsidR="00ED104A">
        <w:t>до</w:t>
      </w:r>
      <w:r w:rsidRPr="00131B1F">
        <w:t xml:space="preserve"> 18 лет в различные негосударственные вооруженные групп</w:t>
      </w:r>
      <w:r w:rsidR="00287911">
        <w:t>ировки</w:t>
      </w:r>
      <w:r w:rsidRPr="00131B1F">
        <w:t xml:space="preserve"> и их и</w:t>
      </w:r>
      <w:r w:rsidRPr="00131B1F">
        <w:t>с</w:t>
      </w:r>
      <w:r w:rsidRPr="00131B1F">
        <w:t>пользование в боевых действиях в районах волнений в северо-восточных шт</w:t>
      </w:r>
      <w:r w:rsidRPr="00131B1F">
        <w:t>а</w:t>
      </w:r>
      <w:r w:rsidRPr="00131B1F">
        <w:t>тах, где действуют маоистские вооруженные группировки, а также в Джамму и Кашмире. Комитет также озабочен практикой насильственно</w:t>
      </w:r>
      <w:r w:rsidR="00FE44EE">
        <w:t>й вербовки</w:t>
      </w:r>
      <w:r w:rsidRPr="00131B1F">
        <w:t xml:space="preserve"> детей из малообеспеченных и маргинализованных слоев населения в негосударстве</w:t>
      </w:r>
      <w:r w:rsidRPr="00131B1F">
        <w:t>н</w:t>
      </w:r>
      <w:r w:rsidRPr="00131B1F">
        <w:t>ные вооруженные группировки в районах волнений.</w:t>
      </w:r>
    </w:p>
    <w:p w:rsidR="00CC3DA6" w:rsidRPr="00131B1F" w:rsidRDefault="00CC3DA6" w:rsidP="00131B1F">
      <w:pPr>
        <w:pStyle w:val="SingleTxtGR"/>
      </w:pPr>
      <w:r w:rsidRPr="00131B1F">
        <w:t>23.</w:t>
      </w:r>
      <w:r w:rsidRPr="00131B1F">
        <w:tab/>
      </w:r>
      <w:r w:rsidRPr="00131B1F">
        <w:rPr>
          <w:b/>
        </w:rPr>
        <w:t>Комитет настоятельно призывает государство-участник</w:t>
      </w:r>
      <w:r w:rsidR="00AA585B">
        <w:rPr>
          <w:b/>
        </w:rPr>
        <w:t>а</w:t>
      </w:r>
      <w:r w:rsidRPr="00131B1F">
        <w:rPr>
          <w:b/>
        </w:rPr>
        <w:t xml:space="preserve"> оперативно пр</w:t>
      </w:r>
      <w:r w:rsidRPr="00131B1F">
        <w:rPr>
          <w:b/>
        </w:rPr>
        <w:t>и</w:t>
      </w:r>
      <w:r w:rsidRPr="00131B1F">
        <w:rPr>
          <w:b/>
        </w:rPr>
        <w:t xml:space="preserve">нять законодательство, предусматривающее запрет и криминализацию </w:t>
      </w:r>
      <w:r w:rsidR="00AA585B">
        <w:rPr>
          <w:b/>
        </w:rPr>
        <w:t>вербовки</w:t>
      </w:r>
      <w:r w:rsidRPr="00131B1F">
        <w:rPr>
          <w:b/>
        </w:rPr>
        <w:t xml:space="preserve"> детей в возрасте до 18 лет в негосударственные вооруженные групп</w:t>
      </w:r>
      <w:r w:rsidR="00FC6574">
        <w:rPr>
          <w:b/>
        </w:rPr>
        <w:t>ировки</w:t>
      </w:r>
      <w:r w:rsidRPr="00131B1F">
        <w:rPr>
          <w:b/>
        </w:rPr>
        <w:t xml:space="preserve"> и их использование в военных действиях. Комитет далее н</w:t>
      </w:r>
      <w:r w:rsidRPr="00131B1F">
        <w:rPr>
          <w:b/>
        </w:rPr>
        <w:t>а</w:t>
      </w:r>
      <w:r w:rsidRPr="00131B1F">
        <w:rPr>
          <w:b/>
        </w:rPr>
        <w:t xml:space="preserve">стоятельно призывает государство-участника принять все необходимые меры для предотвращения и </w:t>
      </w:r>
      <w:r w:rsidR="00505AC9">
        <w:rPr>
          <w:b/>
        </w:rPr>
        <w:t>ликвидации</w:t>
      </w:r>
      <w:r w:rsidRPr="00131B1F">
        <w:rPr>
          <w:b/>
        </w:rPr>
        <w:t xml:space="preserve"> коренных причин насильстве</w:t>
      </w:r>
      <w:r w:rsidRPr="00131B1F">
        <w:rPr>
          <w:b/>
        </w:rPr>
        <w:t>н</w:t>
      </w:r>
      <w:r w:rsidRPr="00131B1F">
        <w:rPr>
          <w:b/>
        </w:rPr>
        <w:t xml:space="preserve">ного набора детей из малообеспеченных и маргинализованных слоев </w:t>
      </w:r>
      <w:r w:rsidR="00CC5CA2" w:rsidRPr="00CC5CA2">
        <w:rPr>
          <w:b/>
        </w:rPr>
        <w:br/>
      </w:r>
      <w:r w:rsidRPr="00131B1F">
        <w:rPr>
          <w:b/>
        </w:rPr>
        <w:t>общества негосударственными вооруженными группировками в районах волнений. Такие м</w:t>
      </w:r>
      <w:r w:rsidRPr="00131B1F">
        <w:rPr>
          <w:b/>
        </w:rPr>
        <w:t>е</w:t>
      </w:r>
      <w:r w:rsidRPr="00131B1F">
        <w:rPr>
          <w:b/>
        </w:rPr>
        <w:t>ры должны включать проведение информационно-</w:t>
      </w:r>
      <w:r w:rsidR="00294A2E">
        <w:rPr>
          <w:b/>
        </w:rPr>
        <w:t>разъяснительных</w:t>
      </w:r>
      <w:r w:rsidRPr="00131B1F">
        <w:rPr>
          <w:b/>
        </w:rPr>
        <w:t xml:space="preserve"> программ и ликвидацию коренных причин насильс</w:t>
      </w:r>
      <w:r w:rsidRPr="00131B1F">
        <w:rPr>
          <w:b/>
        </w:rPr>
        <w:t>т</w:t>
      </w:r>
      <w:r w:rsidRPr="00131B1F">
        <w:rPr>
          <w:b/>
        </w:rPr>
        <w:t>венного набора в армию, создание благоприятных условий для учебы т</w:t>
      </w:r>
      <w:r w:rsidRPr="00131B1F">
        <w:rPr>
          <w:b/>
        </w:rPr>
        <w:t>а</w:t>
      </w:r>
      <w:r w:rsidRPr="00131B1F">
        <w:rPr>
          <w:b/>
        </w:rPr>
        <w:t>ких детей в школе и организацию системы мониторинга и отчетности для родителей и семей, с тем чтобы они могли сообщать о насильственной ве</w:t>
      </w:r>
      <w:r w:rsidRPr="00131B1F">
        <w:rPr>
          <w:b/>
        </w:rPr>
        <w:t>р</w:t>
      </w:r>
      <w:r w:rsidRPr="00131B1F">
        <w:rPr>
          <w:b/>
        </w:rPr>
        <w:t>бовке детей.</w:t>
      </w:r>
    </w:p>
    <w:p w:rsidR="00CC3DA6" w:rsidRPr="0032667B" w:rsidRDefault="004747B7" w:rsidP="00992F96">
      <w:pPr>
        <w:pStyle w:val="H1GR"/>
      </w:pPr>
      <w:r>
        <w:rPr>
          <w:szCs w:val="24"/>
        </w:rPr>
        <w:tab/>
      </w:r>
      <w:r w:rsidRPr="0032667B">
        <w:tab/>
      </w:r>
      <w:r w:rsidR="00CC3DA6" w:rsidRPr="0032667B">
        <w:t>Военные училища</w:t>
      </w:r>
    </w:p>
    <w:p w:rsidR="00CC3DA6" w:rsidRPr="00131B1F" w:rsidRDefault="00CC3DA6" w:rsidP="00131B1F">
      <w:pPr>
        <w:pStyle w:val="SingleTxtGR"/>
      </w:pPr>
      <w:r w:rsidRPr="00131B1F">
        <w:t>24.</w:t>
      </w:r>
      <w:r w:rsidRPr="00131B1F">
        <w:tab/>
        <w:t>Комитет озабочен тем, что дети в возрасте 13 лет поступают в военные колледжи и училища и что они участвуют в базовой военной подготовке с и</w:t>
      </w:r>
      <w:r w:rsidRPr="00131B1F">
        <w:t>с</w:t>
      </w:r>
      <w:r w:rsidRPr="00131B1F">
        <w:t>пользованием огнестрельного оружия. Комитет также обеспокоен отсутств</w:t>
      </w:r>
      <w:r w:rsidRPr="00131B1F">
        <w:t>и</w:t>
      </w:r>
      <w:r w:rsidRPr="00131B1F">
        <w:t>ем конкретной информации о</w:t>
      </w:r>
      <w:r w:rsidR="00B35C0A">
        <w:t>б</w:t>
      </w:r>
      <w:r w:rsidRPr="00131B1F">
        <w:t xml:space="preserve"> их военном статусе в случае мобилизации или столкновений с вооруженными оппозиционными группами или в других чре</w:t>
      </w:r>
      <w:r w:rsidRPr="00131B1F">
        <w:t>з</w:t>
      </w:r>
      <w:r w:rsidRPr="00131B1F">
        <w:t>вычайных ситуациях, о минимальном сроке службы и условиях досрочной д</w:t>
      </w:r>
      <w:r w:rsidRPr="00131B1F">
        <w:t>е</w:t>
      </w:r>
      <w:r w:rsidRPr="00131B1F">
        <w:t>мобилизации. Он также озабочен отсутствием независимых и конфиденциал</w:t>
      </w:r>
      <w:r w:rsidRPr="00131B1F">
        <w:t>ь</w:t>
      </w:r>
      <w:r w:rsidRPr="00131B1F">
        <w:t xml:space="preserve">ных механизмов представления информации в таких колледжах и школах. </w:t>
      </w:r>
    </w:p>
    <w:p w:rsidR="00CC3DA6" w:rsidRPr="00131B1F" w:rsidRDefault="00CC3DA6" w:rsidP="00131B1F">
      <w:pPr>
        <w:pStyle w:val="SingleTxtGR"/>
        <w:rPr>
          <w:b/>
        </w:rPr>
      </w:pPr>
      <w:r w:rsidRPr="00131B1F">
        <w:rPr>
          <w:b/>
        </w:rPr>
        <w:t>22.</w:t>
      </w:r>
      <w:r w:rsidRPr="00131B1F">
        <w:rPr>
          <w:b/>
        </w:rPr>
        <w:tab/>
        <w:t>Комитет рекомендует государству-участнику:</w:t>
      </w:r>
    </w:p>
    <w:p w:rsidR="00CC3DA6" w:rsidRPr="00131B1F" w:rsidRDefault="00131B1F" w:rsidP="00131B1F">
      <w:pPr>
        <w:pStyle w:val="SingleTxtGR"/>
        <w:rPr>
          <w:b/>
        </w:rPr>
      </w:pPr>
      <w:r>
        <w:rPr>
          <w:b/>
          <w:lang w:val="en-US"/>
        </w:rPr>
        <w:tab/>
      </w:r>
      <w:r w:rsidR="00CC3DA6" w:rsidRPr="00131B1F">
        <w:rPr>
          <w:b/>
        </w:rPr>
        <w:t>a)</w:t>
      </w:r>
      <w:r w:rsidR="00CC3DA6" w:rsidRPr="00131B1F">
        <w:rPr>
          <w:b/>
        </w:rPr>
        <w:tab/>
        <w:t xml:space="preserve">принять меры для запрещения военизированной подготовки, </w:t>
      </w:r>
      <w:r w:rsidR="00477611">
        <w:rPr>
          <w:b/>
        </w:rPr>
        <w:br/>
      </w:r>
      <w:r w:rsidR="00CC3DA6" w:rsidRPr="00131B1F">
        <w:rPr>
          <w:b/>
        </w:rPr>
        <w:t>в том числе с использованием огнестрельного оружия</w:t>
      </w:r>
      <w:r w:rsidR="0093140D">
        <w:rPr>
          <w:b/>
        </w:rPr>
        <w:t>,</w:t>
      </w:r>
      <w:r w:rsidR="00CC3DA6" w:rsidRPr="00131B1F">
        <w:rPr>
          <w:b/>
        </w:rPr>
        <w:t xml:space="preserve"> детей в возрасте </w:t>
      </w:r>
      <w:r w:rsidR="009F481A" w:rsidRPr="009F481A">
        <w:rPr>
          <w:b/>
        </w:rPr>
        <w:br/>
      </w:r>
      <w:r w:rsidR="00CC3DA6" w:rsidRPr="00131B1F">
        <w:rPr>
          <w:b/>
        </w:rPr>
        <w:t>до 18 лет в военных училищах. Дети, набираемые в военные учебные зав</w:t>
      </w:r>
      <w:r w:rsidR="00CC3DA6" w:rsidRPr="00131B1F">
        <w:rPr>
          <w:b/>
        </w:rPr>
        <w:t>е</w:t>
      </w:r>
      <w:r w:rsidR="00CC3DA6" w:rsidRPr="00131B1F">
        <w:rPr>
          <w:b/>
        </w:rPr>
        <w:t>дения</w:t>
      </w:r>
      <w:r w:rsidR="00363B41">
        <w:rPr>
          <w:b/>
        </w:rPr>
        <w:t>,</w:t>
      </w:r>
      <w:r w:rsidR="00CC3DA6" w:rsidRPr="00131B1F">
        <w:rPr>
          <w:b/>
        </w:rPr>
        <w:t xml:space="preserve"> должны иметь свидетельство о рождении или другой документ, п</w:t>
      </w:r>
      <w:r w:rsidR="00CC3DA6" w:rsidRPr="00131B1F">
        <w:rPr>
          <w:b/>
        </w:rPr>
        <w:t>о</w:t>
      </w:r>
      <w:r w:rsidR="00CC3DA6" w:rsidRPr="00131B1F">
        <w:rPr>
          <w:b/>
        </w:rPr>
        <w:t>зволяющий опред</w:t>
      </w:r>
      <w:r w:rsidR="00CC3DA6" w:rsidRPr="00131B1F">
        <w:rPr>
          <w:b/>
        </w:rPr>
        <w:t>е</w:t>
      </w:r>
      <w:r w:rsidR="00CC3DA6" w:rsidRPr="00131B1F">
        <w:rPr>
          <w:b/>
        </w:rPr>
        <w:t>лить их возраст;</w:t>
      </w:r>
    </w:p>
    <w:p w:rsidR="00CC3DA6" w:rsidRPr="00131B1F" w:rsidRDefault="00131B1F" w:rsidP="00131B1F">
      <w:pPr>
        <w:pStyle w:val="SingleTxtGR"/>
        <w:rPr>
          <w:b/>
        </w:rPr>
      </w:pPr>
      <w:r w:rsidRPr="00363B41">
        <w:rPr>
          <w:b/>
        </w:rPr>
        <w:tab/>
      </w:r>
      <w:r w:rsidR="00CC3DA6" w:rsidRPr="00131B1F">
        <w:rPr>
          <w:b/>
        </w:rPr>
        <w:t>b)</w:t>
      </w:r>
      <w:r w:rsidR="00CC3DA6" w:rsidRPr="00131B1F">
        <w:rPr>
          <w:b/>
        </w:rPr>
        <w:tab/>
        <w:t xml:space="preserve">организовать регулярный мониторинг военных училищ для обеспечения того, чтобы учебные программы и преподавательский состав </w:t>
      </w:r>
      <w:r w:rsidR="00363B41">
        <w:rPr>
          <w:b/>
        </w:rPr>
        <w:t>соответствовали</w:t>
      </w:r>
      <w:r w:rsidR="00CC3DA6" w:rsidRPr="00131B1F">
        <w:rPr>
          <w:b/>
        </w:rPr>
        <w:t xml:space="preserve"> Ф</w:t>
      </w:r>
      <w:r w:rsidR="00CC3DA6" w:rsidRPr="00131B1F">
        <w:rPr>
          <w:b/>
        </w:rPr>
        <w:t>а</w:t>
      </w:r>
      <w:r w:rsidR="00CC3DA6" w:rsidRPr="00131B1F">
        <w:rPr>
          <w:b/>
        </w:rPr>
        <w:t>культативн</w:t>
      </w:r>
      <w:r w:rsidR="00363B41">
        <w:rPr>
          <w:b/>
        </w:rPr>
        <w:t>ому</w:t>
      </w:r>
      <w:r w:rsidR="00CC3DA6" w:rsidRPr="00131B1F">
        <w:rPr>
          <w:b/>
        </w:rPr>
        <w:t xml:space="preserve"> протокол</w:t>
      </w:r>
      <w:r w:rsidR="00363B41">
        <w:rPr>
          <w:b/>
        </w:rPr>
        <w:t>у</w:t>
      </w:r>
      <w:r w:rsidR="00CC3DA6" w:rsidRPr="00131B1F">
        <w:rPr>
          <w:b/>
        </w:rPr>
        <w:t>;</w:t>
      </w:r>
    </w:p>
    <w:p w:rsidR="00CC3DA6" w:rsidRPr="00131B1F" w:rsidRDefault="00131B1F" w:rsidP="00131B1F">
      <w:pPr>
        <w:pStyle w:val="SingleTxtGR"/>
        <w:rPr>
          <w:b/>
        </w:rPr>
      </w:pPr>
      <w:r w:rsidRPr="00363B41">
        <w:rPr>
          <w:b/>
        </w:rPr>
        <w:tab/>
      </w:r>
      <w:r w:rsidR="00CC3DA6" w:rsidRPr="00131B1F">
        <w:rPr>
          <w:b/>
        </w:rPr>
        <w:t>с)</w:t>
      </w:r>
      <w:r w:rsidR="00CC3DA6" w:rsidRPr="00131B1F">
        <w:rPr>
          <w:b/>
        </w:rPr>
        <w:tab/>
        <w:t>обеспечивать, чтобы обучающиеся в военных училищах</w:t>
      </w:r>
      <w:r w:rsidR="00CE7585" w:rsidRPr="00CE7585">
        <w:rPr>
          <w:b/>
        </w:rPr>
        <w:t xml:space="preserve"> </w:t>
      </w:r>
      <w:r w:rsidR="00CE7585" w:rsidRPr="00131B1F">
        <w:rPr>
          <w:b/>
        </w:rPr>
        <w:t>дети</w:t>
      </w:r>
      <w:r w:rsidR="00CC3DA6" w:rsidRPr="00131B1F">
        <w:rPr>
          <w:b/>
        </w:rPr>
        <w:t xml:space="preserve"> считались гражданскими лицами до достижения 18-летнего возраста;</w:t>
      </w:r>
    </w:p>
    <w:p w:rsidR="00CC3DA6" w:rsidRPr="00131B1F" w:rsidRDefault="00131B1F" w:rsidP="00131B1F">
      <w:pPr>
        <w:pStyle w:val="SingleTxtGR"/>
        <w:rPr>
          <w:b/>
        </w:rPr>
      </w:pPr>
      <w:r w:rsidRPr="00CE7585">
        <w:rPr>
          <w:b/>
        </w:rPr>
        <w:tab/>
      </w:r>
      <w:r w:rsidR="00CC3DA6" w:rsidRPr="00131B1F">
        <w:rPr>
          <w:b/>
        </w:rPr>
        <w:t>d)</w:t>
      </w:r>
      <w:r w:rsidR="00CC3DA6" w:rsidRPr="00131B1F">
        <w:rPr>
          <w:b/>
        </w:rPr>
        <w:tab/>
      </w:r>
      <w:r w:rsidR="00CC3DA6" w:rsidRPr="00477611">
        <w:rPr>
          <w:b/>
          <w:spacing w:val="0"/>
        </w:rPr>
        <w:t>обеспечивать, чтобы по отн</w:t>
      </w:r>
      <w:r w:rsidR="00477611" w:rsidRPr="00477611">
        <w:rPr>
          <w:b/>
          <w:spacing w:val="0"/>
        </w:rPr>
        <w:t xml:space="preserve">ошению к детям в возрасте до 18 </w:t>
      </w:r>
      <w:r w:rsidR="00CC3DA6" w:rsidRPr="00477611">
        <w:rPr>
          <w:b/>
          <w:spacing w:val="0"/>
        </w:rPr>
        <w:t>лет,</w:t>
      </w:r>
      <w:r w:rsidR="00CC3DA6" w:rsidRPr="00131B1F">
        <w:rPr>
          <w:b/>
        </w:rPr>
        <w:t xml:space="preserve"> которых принимают в кадетские училища и высшие военные учебные з</w:t>
      </w:r>
      <w:r w:rsidR="00CC3DA6" w:rsidRPr="00131B1F">
        <w:rPr>
          <w:b/>
        </w:rPr>
        <w:t>а</w:t>
      </w:r>
      <w:r w:rsidR="00CC3DA6" w:rsidRPr="00131B1F">
        <w:rPr>
          <w:b/>
        </w:rPr>
        <w:t>ведения, не при</w:t>
      </w:r>
      <w:r w:rsidR="00991B2C">
        <w:rPr>
          <w:b/>
        </w:rPr>
        <w:t>менялись</w:t>
      </w:r>
      <w:r w:rsidR="00CC3DA6" w:rsidRPr="00131B1F">
        <w:rPr>
          <w:b/>
        </w:rPr>
        <w:t xml:space="preserve"> военно-дисциплинарные меры;</w:t>
      </w:r>
    </w:p>
    <w:p w:rsidR="00CC3DA6" w:rsidRPr="00131B1F" w:rsidRDefault="00131B1F" w:rsidP="00131B1F">
      <w:pPr>
        <w:pStyle w:val="SingleTxtGR"/>
        <w:rPr>
          <w:b/>
        </w:rPr>
      </w:pPr>
      <w:r w:rsidRPr="00477611">
        <w:rPr>
          <w:b/>
        </w:rPr>
        <w:tab/>
      </w:r>
      <w:r w:rsidR="00CC3DA6" w:rsidRPr="00131B1F">
        <w:rPr>
          <w:b/>
        </w:rPr>
        <w:t>е)</w:t>
      </w:r>
      <w:r w:rsidR="00CC3DA6" w:rsidRPr="00131B1F">
        <w:rPr>
          <w:b/>
        </w:rPr>
        <w:tab/>
        <w:t>создать независимые конфиденциальные и учитывающие ге</w:t>
      </w:r>
      <w:r w:rsidR="00CC3DA6" w:rsidRPr="00131B1F">
        <w:rPr>
          <w:b/>
        </w:rPr>
        <w:t>н</w:t>
      </w:r>
      <w:r w:rsidR="00CC3DA6" w:rsidRPr="00131B1F">
        <w:rPr>
          <w:b/>
        </w:rPr>
        <w:t>дерные аспекты механизмы подачи жалоб и расследования, которые были бы доступны для детей в военных колледжах и училищах в целях отслеж</w:t>
      </w:r>
      <w:r w:rsidR="00CC3DA6" w:rsidRPr="00131B1F">
        <w:rPr>
          <w:b/>
        </w:rPr>
        <w:t>и</w:t>
      </w:r>
      <w:r w:rsidR="00CC3DA6" w:rsidRPr="00131B1F">
        <w:rPr>
          <w:b/>
        </w:rPr>
        <w:t>вания благополучия детей и расследования жалоб детей в рамках таких программ.</w:t>
      </w:r>
    </w:p>
    <w:p w:rsidR="00CC3DA6" w:rsidRPr="0032667B" w:rsidRDefault="00CC3DA6" w:rsidP="00992F96">
      <w:pPr>
        <w:pStyle w:val="H1GR"/>
      </w:pPr>
      <w:r w:rsidRPr="000362BA">
        <w:rPr>
          <w:szCs w:val="24"/>
        </w:rPr>
        <w:tab/>
      </w:r>
      <w:r w:rsidRPr="0032667B">
        <w:tab/>
        <w:t>Права человека и воспитание в духе мира</w:t>
      </w:r>
    </w:p>
    <w:p w:rsidR="00CC3DA6" w:rsidRPr="00131B1F" w:rsidRDefault="00CC3DA6" w:rsidP="00131B1F">
      <w:pPr>
        <w:pStyle w:val="SingleTxtGR"/>
      </w:pPr>
      <w:r w:rsidRPr="00131B1F">
        <w:t>26.</w:t>
      </w:r>
      <w:r w:rsidRPr="00131B1F">
        <w:tab/>
        <w:t>Приветствуя меры Центрального совета среднего образования по введ</w:t>
      </w:r>
      <w:r w:rsidRPr="00131B1F">
        <w:t>е</w:t>
      </w:r>
      <w:r w:rsidRPr="00131B1F">
        <w:t>нию курса прав человека в военных училищах, Комитет выражает сожаление в связи с отсутствием программ систематической работы по включению вопросов прав человека и воспитания в духе мира в учебные планы училищ.</w:t>
      </w:r>
    </w:p>
    <w:p w:rsidR="00CC3DA6" w:rsidRPr="00131B1F" w:rsidRDefault="00CC3DA6" w:rsidP="00131B1F">
      <w:pPr>
        <w:pStyle w:val="SingleTxtGR"/>
      </w:pPr>
      <w:r w:rsidRPr="00131B1F">
        <w:t>27.</w:t>
      </w:r>
      <w:r w:rsidRPr="00131B1F">
        <w:tab/>
      </w:r>
      <w:r w:rsidRPr="00131B1F">
        <w:rPr>
          <w:b/>
        </w:rPr>
        <w:t>Ссылаясь на свое замечание общего порядка № 1 (2001) о целях обр</w:t>
      </w:r>
      <w:r w:rsidRPr="00131B1F">
        <w:rPr>
          <w:b/>
        </w:rPr>
        <w:t>а</w:t>
      </w:r>
      <w:r w:rsidRPr="00131B1F">
        <w:rPr>
          <w:b/>
        </w:rPr>
        <w:t>зования, Комитет рекомендует государству-участнику принять действе</w:t>
      </w:r>
      <w:r w:rsidRPr="00131B1F">
        <w:rPr>
          <w:b/>
        </w:rPr>
        <w:t>н</w:t>
      </w:r>
      <w:r w:rsidRPr="00131B1F">
        <w:rPr>
          <w:b/>
        </w:rPr>
        <w:t>ные меры для включения воспитания в духе мира в учебные планы и п</w:t>
      </w:r>
      <w:r w:rsidRPr="00131B1F">
        <w:rPr>
          <w:b/>
        </w:rPr>
        <w:t>о</w:t>
      </w:r>
      <w:r w:rsidRPr="00131B1F">
        <w:rPr>
          <w:b/>
        </w:rPr>
        <w:t>ощрять культуру мира и терпимости в училищах. Он также предлагает г</w:t>
      </w:r>
      <w:r w:rsidRPr="00131B1F">
        <w:rPr>
          <w:b/>
        </w:rPr>
        <w:t>о</w:t>
      </w:r>
      <w:r w:rsidRPr="00131B1F">
        <w:rPr>
          <w:b/>
        </w:rPr>
        <w:t>сударству-участнику включить вопросы прав человека и воспитания в д</w:t>
      </w:r>
      <w:r w:rsidRPr="00131B1F">
        <w:rPr>
          <w:b/>
        </w:rPr>
        <w:t>у</w:t>
      </w:r>
      <w:r w:rsidRPr="00131B1F">
        <w:rPr>
          <w:b/>
        </w:rPr>
        <w:t>хе мира в программы подг</w:t>
      </w:r>
      <w:r w:rsidRPr="00131B1F">
        <w:rPr>
          <w:b/>
        </w:rPr>
        <w:t>о</w:t>
      </w:r>
      <w:r w:rsidRPr="00131B1F">
        <w:rPr>
          <w:b/>
        </w:rPr>
        <w:t>товки преподавателей.</w:t>
      </w:r>
    </w:p>
    <w:p w:rsidR="00CC3DA6" w:rsidRPr="0032667B" w:rsidRDefault="00CC3DA6" w:rsidP="00992F96">
      <w:pPr>
        <w:pStyle w:val="H1GR"/>
      </w:pPr>
      <w:r w:rsidRPr="000362BA">
        <w:rPr>
          <w:szCs w:val="24"/>
        </w:rPr>
        <w:tab/>
      </w:r>
      <w:r w:rsidRPr="0032667B">
        <w:tab/>
        <w:t xml:space="preserve">Нападение на защищенные гражданские объекты </w:t>
      </w:r>
      <w:r w:rsidR="00992F96">
        <w:br/>
      </w:r>
      <w:r w:rsidRPr="0032667B">
        <w:t>и/или их захват</w:t>
      </w:r>
    </w:p>
    <w:p w:rsidR="00CC3DA6" w:rsidRPr="00131B1F" w:rsidRDefault="00CC3DA6" w:rsidP="00131B1F">
      <w:pPr>
        <w:pStyle w:val="SingleTxtGR"/>
      </w:pPr>
      <w:r w:rsidRPr="00131B1F">
        <w:t>28.</w:t>
      </w:r>
      <w:r w:rsidRPr="00131B1F">
        <w:tab/>
        <w:t>Приветствуя принятие комплексного плана действий по созданию гос</w:t>
      </w:r>
      <w:r w:rsidRPr="00131B1F">
        <w:t>у</w:t>
      </w:r>
      <w:r w:rsidRPr="00131B1F">
        <w:t>дарственной инфраструктуры и оказанию услуг в районах действия маоистских вооруженных групп, Комитет выражает озабоченность преднамеренными нап</w:t>
      </w:r>
      <w:r w:rsidRPr="00131B1F">
        <w:t>а</w:t>
      </w:r>
      <w:r w:rsidRPr="00131B1F">
        <w:t>дениями на школы негосударственных вооруженных группировок, а также з</w:t>
      </w:r>
      <w:r w:rsidRPr="00131B1F">
        <w:t>а</w:t>
      </w:r>
      <w:r w:rsidRPr="00131B1F">
        <w:t>хватом школ государственными вооруженными силами на северо-востоке И</w:t>
      </w:r>
      <w:r w:rsidRPr="00131B1F">
        <w:t>н</w:t>
      </w:r>
      <w:r w:rsidRPr="00131B1F">
        <w:t xml:space="preserve">дии и в районах действия маоистских вооруженных групп. </w:t>
      </w:r>
    </w:p>
    <w:p w:rsidR="00CC3DA6" w:rsidRPr="00131B1F" w:rsidRDefault="00CC3DA6" w:rsidP="00131B1F">
      <w:pPr>
        <w:pStyle w:val="SingleTxtGR"/>
      </w:pPr>
      <w:r w:rsidRPr="00131B1F">
        <w:t>29.</w:t>
      </w:r>
      <w:r w:rsidRPr="00131B1F">
        <w:tab/>
        <w:t xml:space="preserve"> </w:t>
      </w:r>
      <w:r w:rsidRPr="00131B1F">
        <w:rPr>
          <w:b/>
        </w:rPr>
        <w:t>Комитет настоятельно призывает государство-участника в соотве</w:t>
      </w:r>
      <w:r w:rsidRPr="00131B1F">
        <w:rPr>
          <w:b/>
        </w:rPr>
        <w:t>т</w:t>
      </w:r>
      <w:r w:rsidRPr="00131B1F">
        <w:rPr>
          <w:b/>
        </w:rPr>
        <w:t>ствии с международным гуманитарным правом принять все необходимые меры для предотвращения захвата и использования мест скопления детей, в частности школ, или нападений на такие места. Он также настоятельно призывает государство-участника обеспечить, при необходимости, опер</w:t>
      </w:r>
      <w:r w:rsidRPr="00131B1F">
        <w:rPr>
          <w:b/>
        </w:rPr>
        <w:t>а</w:t>
      </w:r>
      <w:r w:rsidRPr="00131B1F">
        <w:rPr>
          <w:b/>
        </w:rPr>
        <w:t>тивную мобилизацию школ и принять конкретные меры для обеспечения оперативного расследов</w:t>
      </w:r>
      <w:r w:rsidRPr="00131B1F">
        <w:rPr>
          <w:b/>
        </w:rPr>
        <w:t>а</w:t>
      </w:r>
      <w:r w:rsidRPr="00131B1F">
        <w:rPr>
          <w:b/>
        </w:rPr>
        <w:t>ния, привлечения к ответственности и наказания виновных в незаконных нап</w:t>
      </w:r>
      <w:r w:rsidRPr="00131B1F">
        <w:rPr>
          <w:b/>
        </w:rPr>
        <w:t>а</w:t>
      </w:r>
      <w:r w:rsidRPr="00131B1F">
        <w:rPr>
          <w:b/>
        </w:rPr>
        <w:t xml:space="preserve">дениях на школы или их захвате. </w:t>
      </w:r>
    </w:p>
    <w:p w:rsidR="00CC3DA6" w:rsidRPr="00337E07" w:rsidRDefault="00CC3DA6" w:rsidP="002049D1">
      <w:pPr>
        <w:pStyle w:val="HChGR"/>
        <w:rPr>
          <w:rFonts w:eastAsia="SimSun"/>
        </w:rPr>
      </w:pPr>
      <w:r w:rsidRPr="00337E07">
        <w:rPr>
          <w:rFonts w:eastAsia="SimSun"/>
        </w:rPr>
        <w:tab/>
        <w:t>V.</w:t>
      </w:r>
      <w:r w:rsidRPr="00337E07">
        <w:rPr>
          <w:rFonts w:eastAsia="SimSun"/>
        </w:rPr>
        <w:tab/>
        <w:t>Запрещение и связанные с этим вопросы</w:t>
      </w:r>
    </w:p>
    <w:p w:rsidR="00CC3DA6" w:rsidRPr="000362BA" w:rsidRDefault="00CC3DA6" w:rsidP="00992F96">
      <w:pPr>
        <w:pStyle w:val="H1GR"/>
        <w:rPr>
          <w:szCs w:val="24"/>
          <w:lang w:eastAsia="en-GB"/>
        </w:rPr>
      </w:pPr>
      <w:r w:rsidRPr="000362BA">
        <w:rPr>
          <w:szCs w:val="24"/>
          <w:lang w:eastAsia="en-GB"/>
        </w:rPr>
        <w:tab/>
      </w:r>
      <w:r w:rsidRPr="0032667B">
        <w:tab/>
        <w:t>Вербовка и использование детей в государственной полиции</w:t>
      </w:r>
    </w:p>
    <w:p w:rsidR="00CC3DA6" w:rsidRPr="00131B1F" w:rsidRDefault="00CC3DA6" w:rsidP="00131B1F">
      <w:pPr>
        <w:pStyle w:val="SingleTxtGR"/>
      </w:pPr>
      <w:r w:rsidRPr="00131B1F">
        <w:t>30.</w:t>
      </w:r>
      <w:r w:rsidRPr="00131B1F">
        <w:tab/>
        <w:t>Комитет обеспокоен отсутствием единообразия в отношении минимал</w:t>
      </w:r>
      <w:r w:rsidRPr="00131B1F">
        <w:t>ь</w:t>
      </w:r>
      <w:r w:rsidRPr="00131B1F">
        <w:t>ного возраста призыва детей в полицейские силы в различных штатах и в фед</w:t>
      </w:r>
      <w:r w:rsidRPr="00131B1F">
        <w:t>е</w:t>
      </w:r>
      <w:r w:rsidRPr="00131B1F">
        <w:t xml:space="preserve">ральных территориях государства-участника, а также призывом в некоторых штатах/территориях детей в возрасте до 18 лет в качестве </w:t>
      </w:r>
      <w:r w:rsidR="00B83889">
        <w:t>"</w:t>
      </w:r>
      <w:r w:rsidRPr="00131B1F">
        <w:t>ординарцев</w:t>
      </w:r>
      <w:r w:rsidR="00B83889">
        <w:t>"</w:t>
      </w:r>
      <w:r w:rsidRPr="00131B1F">
        <w:t xml:space="preserve"> в гос</w:t>
      </w:r>
      <w:r w:rsidRPr="00131B1F">
        <w:t>у</w:t>
      </w:r>
      <w:r w:rsidRPr="00131B1F">
        <w:t>дарственную полицию, вспомогательные полицейские силы и в деревенские комитеты обороны.</w:t>
      </w:r>
    </w:p>
    <w:p w:rsidR="00CC3DA6" w:rsidRPr="00131B1F" w:rsidRDefault="00CC3DA6" w:rsidP="00131B1F">
      <w:pPr>
        <w:pStyle w:val="SingleTxtGR"/>
      </w:pPr>
      <w:r w:rsidRPr="00131B1F">
        <w:t>31.</w:t>
      </w:r>
      <w:r w:rsidRPr="00131B1F">
        <w:tab/>
      </w:r>
      <w:r w:rsidRPr="00131B1F">
        <w:rPr>
          <w:b/>
        </w:rPr>
        <w:t>Комитет настоятельно призывает государство-участник принять з</w:t>
      </w:r>
      <w:r w:rsidRPr="00131B1F">
        <w:rPr>
          <w:b/>
        </w:rPr>
        <w:t>а</w:t>
      </w:r>
      <w:r w:rsidRPr="00131B1F">
        <w:rPr>
          <w:b/>
        </w:rPr>
        <w:t>конодательство о запрещении и криминализации призыва детей в возрасте до 18 лет в полицию или связанные с ней силы, а также в деревенские к</w:t>
      </w:r>
      <w:r w:rsidRPr="00131B1F">
        <w:rPr>
          <w:b/>
        </w:rPr>
        <w:t>о</w:t>
      </w:r>
      <w:r w:rsidRPr="00131B1F">
        <w:rPr>
          <w:b/>
        </w:rPr>
        <w:t>митеты обороны во всех штатах и федеральных территориях государства-участника.</w:t>
      </w:r>
    </w:p>
    <w:p w:rsidR="00CC3DA6" w:rsidRPr="0032667B" w:rsidRDefault="00CC3DA6" w:rsidP="00992F96">
      <w:pPr>
        <w:pStyle w:val="H1GR"/>
      </w:pPr>
      <w:r w:rsidRPr="0032667B">
        <w:tab/>
      </w:r>
      <w:r w:rsidRPr="0032667B">
        <w:tab/>
        <w:t>Вербовка и использование детей негосударственными вооруженными группами</w:t>
      </w:r>
    </w:p>
    <w:p w:rsidR="00CC3DA6" w:rsidRPr="00131B1F" w:rsidRDefault="00CC3DA6" w:rsidP="00131B1F">
      <w:pPr>
        <w:pStyle w:val="SingleTxtGR"/>
      </w:pPr>
      <w:r w:rsidRPr="00131B1F">
        <w:t>32.</w:t>
      </w:r>
      <w:r w:rsidRPr="00131B1F">
        <w:tab/>
        <w:t>Комитет выражает глубокую обеспокоенность по поводу продолжающе</w:t>
      </w:r>
      <w:r w:rsidRPr="00131B1F">
        <w:t>й</w:t>
      </w:r>
      <w:r w:rsidRPr="00131B1F">
        <w:t>ся вербовки, похищения и использования детей, в том числе девочек, разли</w:t>
      </w:r>
      <w:r w:rsidRPr="00131B1F">
        <w:t>ч</w:t>
      </w:r>
      <w:r w:rsidRPr="00131B1F">
        <w:t>ными негосударственными вооруженными группировками, перечисленными в Законе о (предупреждении) незаконной деятельности</w:t>
      </w:r>
      <w:r w:rsidR="00477611">
        <w:t xml:space="preserve"> </w:t>
      </w:r>
      <w:r w:rsidRPr="00131B1F">
        <w:t>1967 года или действу</w:t>
      </w:r>
      <w:r w:rsidRPr="00131B1F">
        <w:t>ю</w:t>
      </w:r>
      <w:r w:rsidRPr="00131B1F">
        <w:t>щими в районах волнений на северо-востоке Индии, а также в регионе действия маоистских вооруженных группировок, и в штате Джамму и Кашмир. Комитет выражает также озабоченность использованием детей для различных задач, в том числе для обращения с оружием и самодельными взрывными устройств</w:t>
      </w:r>
      <w:r w:rsidRPr="00131B1F">
        <w:t>а</w:t>
      </w:r>
      <w:r w:rsidRPr="00131B1F">
        <w:t>ми</w:t>
      </w:r>
      <w:r w:rsidR="00230289">
        <w:t>,</w:t>
      </w:r>
      <w:r w:rsidRPr="00131B1F">
        <w:t xml:space="preserve"> и привлечением их к работе в</w:t>
      </w:r>
      <w:r w:rsidR="00477611">
        <w:t xml:space="preserve"> </w:t>
      </w:r>
      <w:r w:rsidRPr="00131B1F">
        <w:t>качестве информаторов.</w:t>
      </w:r>
    </w:p>
    <w:p w:rsidR="00CC3DA6" w:rsidRPr="00131B1F" w:rsidRDefault="00CC3DA6" w:rsidP="00131B1F">
      <w:pPr>
        <w:pStyle w:val="SingleTxtGR"/>
      </w:pPr>
      <w:r w:rsidRPr="00131B1F">
        <w:t xml:space="preserve">33. </w:t>
      </w:r>
      <w:r w:rsidRPr="00131B1F">
        <w:tab/>
      </w:r>
      <w:r w:rsidRPr="00131B1F">
        <w:rPr>
          <w:b/>
        </w:rPr>
        <w:t>Комитет напоминает государству-участнику его обязательства по Факультативному протоколу принимать все необходимые меры для нед</w:t>
      </w:r>
      <w:r w:rsidRPr="00131B1F">
        <w:rPr>
          <w:b/>
        </w:rPr>
        <w:t>о</w:t>
      </w:r>
      <w:r w:rsidRPr="00131B1F">
        <w:rPr>
          <w:b/>
        </w:rPr>
        <w:t>пущения вербовки детей негосударственными вооруженными группиро</w:t>
      </w:r>
      <w:r w:rsidRPr="00131B1F">
        <w:rPr>
          <w:b/>
        </w:rPr>
        <w:t>в</w:t>
      </w:r>
      <w:r w:rsidRPr="00131B1F">
        <w:rPr>
          <w:b/>
        </w:rPr>
        <w:t>ками. Он рекомендует квалифицировать в Уголовном кодексе насильс</w:t>
      </w:r>
      <w:r w:rsidRPr="00131B1F">
        <w:rPr>
          <w:b/>
        </w:rPr>
        <w:t>т</w:t>
      </w:r>
      <w:r w:rsidRPr="00131B1F">
        <w:rPr>
          <w:b/>
        </w:rPr>
        <w:t>венную вербовку детей в качестве отдельного состава преступления. Ком</w:t>
      </w:r>
      <w:r w:rsidRPr="00131B1F">
        <w:rPr>
          <w:b/>
        </w:rPr>
        <w:t>и</w:t>
      </w:r>
      <w:r w:rsidRPr="00131B1F">
        <w:rPr>
          <w:b/>
        </w:rPr>
        <w:t>тет далее рекомендует государству-участнику создать систему монитори</w:t>
      </w:r>
      <w:r w:rsidRPr="00131B1F">
        <w:rPr>
          <w:b/>
        </w:rPr>
        <w:t>н</w:t>
      </w:r>
      <w:r w:rsidRPr="00131B1F">
        <w:rPr>
          <w:b/>
        </w:rPr>
        <w:t>га, позволяющую членам семьи конфиденциально информировать об и</w:t>
      </w:r>
      <w:r w:rsidRPr="00131B1F">
        <w:rPr>
          <w:b/>
        </w:rPr>
        <w:t>с</w:t>
      </w:r>
      <w:r w:rsidRPr="00131B1F">
        <w:rPr>
          <w:b/>
        </w:rPr>
        <w:t>чезнувших детях и обеспечивать оперативное и беспристрастное расслед</w:t>
      </w:r>
      <w:r w:rsidRPr="00131B1F">
        <w:rPr>
          <w:b/>
        </w:rPr>
        <w:t>о</w:t>
      </w:r>
      <w:r w:rsidRPr="00131B1F">
        <w:rPr>
          <w:b/>
        </w:rPr>
        <w:t>вание таких сообщений. Государство-участник должно рассмотреть во</w:t>
      </w:r>
      <w:r w:rsidRPr="00131B1F">
        <w:rPr>
          <w:b/>
        </w:rPr>
        <w:t>з</w:t>
      </w:r>
      <w:r w:rsidRPr="00131B1F">
        <w:rPr>
          <w:b/>
        </w:rPr>
        <w:t>можности получения технической помощи, в частности по линии Детского фонда Организации Объединенных Наций (ЮНИСЕФ)</w:t>
      </w:r>
      <w:r w:rsidR="00131B1F">
        <w:rPr>
          <w:b/>
        </w:rPr>
        <w:t>.</w:t>
      </w:r>
    </w:p>
    <w:p w:rsidR="00CC3DA6" w:rsidRPr="0032667B" w:rsidRDefault="00CC3DA6" w:rsidP="00992F96">
      <w:pPr>
        <w:pStyle w:val="H1GR"/>
      </w:pPr>
      <w:r w:rsidRPr="0032667B">
        <w:tab/>
      </w:r>
      <w:r w:rsidRPr="0032667B">
        <w:tab/>
        <w:t>Экстратерриториальная юрисдикция</w:t>
      </w:r>
    </w:p>
    <w:p w:rsidR="00CC3DA6" w:rsidRPr="00E77A24" w:rsidRDefault="00CC3DA6" w:rsidP="00E77A24">
      <w:pPr>
        <w:pStyle w:val="SingleTxtGR"/>
      </w:pPr>
      <w:r w:rsidRPr="00E77A24">
        <w:t>34.</w:t>
      </w:r>
      <w:r w:rsidRPr="00E77A24">
        <w:tab/>
        <w:t>Комитет выражает сожаление по поводу того, что государство-участник не представило в своем докладе информацию о возможности установления эк</w:t>
      </w:r>
      <w:r w:rsidRPr="00E77A24">
        <w:t>с</w:t>
      </w:r>
      <w:r w:rsidRPr="00E77A24">
        <w:t>тратерриториальной юрисдикции в отношении всех преступлений, на которые распространяется Факультативный протокол.</w:t>
      </w:r>
    </w:p>
    <w:p w:rsidR="00CC3DA6" w:rsidRPr="00E77A24" w:rsidRDefault="00CC3DA6" w:rsidP="00E77A24">
      <w:pPr>
        <w:pStyle w:val="SingleTxtGR"/>
      </w:pPr>
      <w:r w:rsidRPr="00E77A24">
        <w:t>35.</w:t>
      </w:r>
      <w:r w:rsidRPr="00E77A24">
        <w:tab/>
      </w:r>
      <w:r w:rsidRPr="00E77A24">
        <w:rPr>
          <w:b/>
        </w:rPr>
        <w:t>Комитет рекомендует государству-участнику принять все необход</w:t>
      </w:r>
      <w:r w:rsidRPr="00E77A24">
        <w:rPr>
          <w:b/>
        </w:rPr>
        <w:t>и</w:t>
      </w:r>
      <w:r w:rsidRPr="00E77A24">
        <w:rPr>
          <w:b/>
        </w:rPr>
        <w:t>мые меры для обеспечения того, чтобы внутреннее законодательство п</w:t>
      </w:r>
      <w:r w:rsidRPr="00E77A24">
        <w:rPr>
          <w:b/>
        </w:rPr>
        <w:t>о</w:t>
      </w:r>
      <w:r w:rsidRPr="00E77A24">
        <w:rPr>
          <w:b/>
        </w:rPr>
        <w:t>зволяло устанавливать и осуществлять экстратерриториальную юрисди</w:t>
      </w:r>
      <w:r w:rsidRPr="00E77A24">
        <w:rPr>
          <w:b/>
        </w:rPr>
        <w:t>к</w:t>
      </w:r>
      <w:r w:rsidRPr="00E77A24">
        <w:rPr>
          <w:b/>
        </w:rPr>
        <w:t xml:space="preserve">цию в отношении всех охватываемых Факультативным протоколом </w:t>
      </w:r>
      <w:r w:rsidR="00477611">
        <w:rPr>
          <w:b/>
        </w:rPr>
        <w:br/>
      </w:r>
      <w:r w:rsidRPr="00E77A24">
        <w:rPr>
          <w:b/>
        </w:rPr>
        <w:t>преступлений, когда такие преступления совершаются его гражданином или против такого гражданина, или лица, которое постоянно проживает в государстве-участнике. Ком</w:t>
      </w:r>
      <w:r w:rsidRPr="00E77A24">
        <w:rPr>
          <w:b/>
        </w:rPr>
        <w:t>и</w:t>
      </w:r>
      <w:r w:rsidRPr="00E77A24">
        <w:rPr>
          <w:b/>
        </w:rPr>
        <w:t>тет также рекомендует государству-участнику рассмотреть возможность ратификации Римского статута Ме</w:t>
      </w:r>
      <w:r w:rsidRPr="00E77A24">
        <w:rPr>
          <w:b/>
        </w:rPr>
        <w:t>ж</w:t>
      </w:r>
      <w:r w:rsidRPr="00E77A24">
        <w:rPr>
          <w:b/>
        </w:rPr>
        <w:t>дународного уголовного суда.</w:t>
      </w:r>
    </w:p>
    <w:p w:rsidR="00CC3DA6" w:rsidRPr="00337E07" w:rsidRDefault="00CC3DA6" w:rsidP="002049D1">
      <w:pPr>
        <w:pStyle w:val="HChGR"/>
        <w:rPr>
          <w:rFonts w:eastAsia="SimSun"/>
        </w:rPr>
      </w:pPr>
      <w:r w:rsidRPr="002049D1">
        <w:rPr>
          <w:rFonts w:eastAsia="SimSun"/>
        </w:rPr>
        <w:tab/>
      </w:r>
      <w:r w:rsidRPr="00337E07">
        <w:rPr>
          <w:rFonts w:eastAsia="SimSun"/>
        </w:rPr>
        <w:t>VI.</w:t>
      </w:r>
      <w:r w:rsidRPr="00337E07">
        <w:rPr>
          <w:rFonts w:eastAsia="SimSun"/>
        </w:rPr>
        <w:tab/>
        <w:t>Защита, восстановление и реинтеграция</w:t>
      </w:r>
    </w:p>
    <w:p w:rsidR="00CC3DA6" w:rsidRPr="00E77A24" w:rsidRDefault="00CC3DA6" w:rsidP="00E77A24">
      <w:pPr>
        <w:pStyle w:val="SingleTxtGR"/>
      </w:pPr>
      <w:r w:rsidRPr="00E77A24">
        <w:t>36.</w:t>
      </w:r>
      <w:r w:rsidRPr="00E77A24">
        <w:tab/>
        <w:t>Комитет приветствует принятие Закона о внесении изменений в систему отправления правосудия в отношении несовершеннолетних</w:t>
      </w:r>
      <w:r w:rsidR="00477611">
        <w:t xml:space="preserve"> </w:t>
      </w:r>
      <w:r w:rsidRPr="00E77A24">
        <w:t>(уход и защита д</w:t>
      </w:r>
      <w:r w:rsidRPr="00E77A24">
        <w:t>е</w:t>
      </w:r>
      <w:r w:rsidRPr="00E77A24">
        <w:t>тей) 2000 года и его последующее изменение в 2006 году, которое предусматр</w:t>
      </w:r>
      <w:r w:rsidRPr="00E77A24">
        <w:t>и</w:t>
      </w:r>
      <w:r w:rsidRPr="00E77A24">
        <w:t>вает защиту детей, пострадавших от вооруженного конфликта в районах волн</w:t>
      </w:r>
      <w:r w:rsidRPr="00E77A24">
        <w:t>е</w:t>
      </w:r>
      <w:r w:rsidRPr="00E77A24">
        <w:t>ний государства-участника. Комитет, тем не менее, выражает озабоченность по поводу того, что этот закон в недостаточно полной мере выполняется во всех районах волнений в государстве-участнике и что комитеты социальной защиты детей и советы по делам отправления правосудия в отношении несовершенн</w:t>
      </w:r>
      <w:r w:rsidRPr="00E77A24">
        <w:t>о</w:t>
      </w:r>
      <w:r w:rsidRPr="00E77A24">
        <w:t>летних, предусмотренные в этом Законе, в этих районах еще не созданы.</w:t>
      </w:r>
    </w:p>
    <w:p w:rsidR="00CC3DA6" w:rsidRPr="00E77A24" w:rsidRDefault="00CC3DA6" w:rsidP="00E77A24">
      <w:pPr>
        <w:pStyle w:val="SingleTxtGR"/>
      </w:pPr>
      <w:r w:rsidRPr="00E77A24">
        <w:t>37.</w:t>
      </w:r>
      <w:r w:rsidRPr="00E77A24">
        <w:tab/>
      </w:r>
      <w:r w:rsidRPr="00E77A24">
        <w:rPr>
          <w:b/>
        </w:rPr>
        <w:t>Комитет настоятельно призывает государство-участник рассматр</w:t>
      </w:r>
      <w:r w:rsidRPr="00E77A24">
        <w:rPr>
          <w:b/>
        </w:rPr>
        <w:t>и</w:t>
      </w:r>
      <w:r w:rsidRPr="00E77A24">
        <w:rPr>
          <w:b/>
        </w:rPr>
        <w:t>вать в качестве первоочередной задачи создание механизмов для эффе</w:t>
      </w:r>
      <w:r w:rsidRPr="00E77A24">
        <w:rPr>
          <w:b/>
        </w:rPr>
        <w:t>к</w:t>
      </w:r>
      <w:r w:rsidRPr="00E77A24">
        <w:rPr>
          <w:b/>
        </w:rPr>
        <w:t>тивного осуществления Закона о системе отправления правосудия в отн</w:t>
      </w:r>
      <w:r w:rsidRPr="00E77A24">
        <w:rPr>
          <w:b/>
        </w:rPr>
        <w:t>о</w:t>
      </w:r>
      <w:r w:rsidRPr="00E77A24">
        <w:rPr>
          <w:b/>
        </w:rPr>
        <w:t>шении несовершеннолетних (уход и защита детей) во всех районах волн</w:t>
      </w:r>
      <w:r w:rsidRPr="00E77A24">
        <w:rPr>
          <w:b/>
        </w:rPr>
        <w:t>е</w:t>
      </w:r>
      <w:r w:rsidRPr="00E77A24">
        <w:rPr>
          <w:b/>
        </w:rPr>
        <w:t>ний в государстве-участнике и внимательно наблюдать за его осуществл</w:t>
      </w:r>
      <w:r w:rsidRPr="00E77A24">
        <w:rPr>
          <w:b/>
        </w:rPr>
        <w:t>е</w:t>
      </w:r>
      <w:r w:rsidRPr="00E77A24">
        <w:rPr>
          <w:b/>
        </w:rPr>
        <w:t>нием.</w:t>
      </w:r>
    </w:p>
    <w:p w:rsidR="00CC3DA6" w:rsidRPr="004747B7" w:rsidRDefault="00CC3DA6" w:rsidP="00992F96">
      <w:pPr>
        <w:pStyle w:val="H1GR"/>
        <w:rPr>
          <w:szCs w:val="24"/>
          <w:lang w:eastAsia="en-GB"/>
        </w:rPr>
      </w:pPr>
      <w:r w:rsidRPr="0032667B">
        <w:tab/>
      </w:r>
      <w:r w:rsidRPr="0032667B">
        <w:tab/>
        <w:t>Принятые меры для защиты прав детей-жертв</w:t>
      </w:r>
    </w:p>
    <w:p w:rsidR="00CC3DA6" w:rsidRPr="00E77A24" w:rsidRDefault="00CC3DA6" w:rsidP="00E77A24">
      <w:pPr>
        <w:pStyle w:val="SingleTxtGR"/>
      </w:pPr>
      <w:r w:rsidRPr="00E77A24">
        <w:t>38.</w:t>
      </w:r>
      <w:r w:rsidRPr="00E77A24">
        <w:tab/>
        <w:t>Комитет выражает озабоченность по поводу того, что дети в возрасте до 18 лет подлежат административному аресту в соответствии с Законом об общ</w:t>
      </w:r>
      <w:r w:rsidRPr="00E77A24">
        <w:t>е</w:t>
      </w:r>
      <w:r w:rsidRPr="00E77A24">
        <w:t>ственной безопасности 1978 года; Законом об особых полномочиях вооруже</w:t>
      </w:r>
      <w:r w:rsidRPr="00E77A24">
        <w:t>н</w:t>
      </w:r>
      <w:r w:rsidRPr="00E77A24">
        <w:t>ных сил 1958 года; и другими законодательными актами об обеспечении без</w:t>
      </w:r>
      <w:r w:rsidRPr="00E77A24">
        <w:t>о</w:t>
      </w:r>
      <w:r w:rsidRPr="00E77A24">
        <w:t>пасности в районах волнений. Комитет особо обеспокоен тем, что в соответс</w:t>
      </w:r>
      <w:r w:rsidRPr="00E77A24">
        <w:t>т</w:t>
      </w:r>
      <w:r w:rsidRPr="00E77A24">
        <w:t>вии с этими затрагивающими вопросы безопасности законами с детьми обр</w:t>
      </w:r>
      <w:r w:rsidRPr="00E77A24">
        <w:t>а</w:t>
      </w:r>
      <w:r w:rsidRPr="00E77A24">
        <w:t>щаются, как с совершеннолетними, и дети содержатся под стражей вместе с с</w:t>
      </w:r>
      <w:r w:rsidRPr="00E77A24">
        <w:t>о</w:t>
      </w:r>
      <w:r w:rsidRPr="00E77A24">
        <w:t>верше</w:t>
      </w:r>
      <w:r w:rsidRPr="00E77A24">
        <w:t>н</w:t>
      </w:r>
      <w:r w:rsidRPr="00E77A24">
        <w:t>нолетними.</w:t>
      </w:r>
    </w:p>
    <w:p w:rsidR="00CC3DA6" w:rsidRPr="00E77A24" w:rsidRDefault="00CC3DA6" w:rsidP="00E77A24">
      <w:pPr>
        <w:pStyle w:val="SingleTxtGR"/>
        <w:rPr>
          <w:b/>
        </w:rPr>
      </w:pPr>
      <w:r w:rsidRPr="00E77A24">
        <w:t>39.</w:t>
      </w:r>
      <w:r w:rsidRPr="00E77A24">
        <w:tab/>
      </w:r>
      <w:r w:rsidRPr="00E77A24">
        <w:rPr>
          <w:b/>
        </w:rPr>
        <w:t>Комитет призывает государство-участник пересмотреть законы об обеспечении безопасности с целью запрета уголовных и административных разб</w:t>
      </w:r>
      <w:r w:rsidRPr="00E77A24">
        <w:rPr>
          <w:b/>
        </w:rPr>
        <w:t>и</w:t>
      </w:r>
      <w:r w:rsidRPr="00E77A24">
        <w:rPr>
          <w:b/>
        </w:rPr>
        <w:t>рательств в отношении детей в возрасте до 18 лет, а также запретить их соде</w:t>
      </w:r>
      <w:r w:rsidRPr="00E77A24">
        <w:rPr>
          <w:b/>
        </w:rPr>
        <w:t>р</w:t>
      </w:r>
      <w:r w:rsidRPr="00E77A24">
        <w:rPr>
          <w:b/>
        </w:rPr>
        <w:t>жание в военных изоляторах. Он рекомендует, чтобы всеми детьми в возрасте до 18 лет занималась система отправления правосудия в отн</w:t>
      </w:r>
      <w:r w:rsidRPr="00E77A24">
        <w:rPr>
          <w:b/>
        </w:rPr>
        <w:t>о</w:t>
      </w:r>
      <w:r w:rsidRPr="00E77A24">
        <w:rPr>
          <w:b/>
        </w:rPr>
        <w:t>шении несове</w:t>
      </w:r>
      <w:r w:rsidRPr="00E77A24">
        <w:rPr>
          <w:b/>
        </w:rPr>
        <w:t>р</w:t>
      </w:r>
      <w:r w:rsidRPr="00E77A24">
        <w:rPr>
          <w:b/>
        </w:rPr>
        <w:t>шеннолетних и в этой связи последовательно и эффективно применялись процедуры проверки возраста. В частности Комитет насто</w:t>
      </w:r>
      <w:r w:rsidRPr="00E77A24">
        <w:rPr>
          <w:b/>
        </w:rPr>
        <w:t>я</w:t>
      </w:r>
      <w:r w:rsidRPr="00E77A24">
        <w:rPr>
          <w:b/>
        </w:rPr>
        <w:t>тельно призывает гос</w:t>
      </w:r>
      <w:r w:rsidRPr="00E77A24">
        <w:rPr>
          <w:b/>
        </w:rPr>
        <w:t>у</w:t>
      </w:r>
      <w:r w:rsidRPr="00E77A24">
        <w:rPr>
          <w:b/>
        </w:rPr>
        <w:t>дарство-участник обеспечить чтобы:</w:t>
      </w:r>
    </w:p>
    <w:p w:rsidR="00CC3DA6" w:rsidRPr="00E77A24" w:rsidRDefault="00E77A24" w:rsidP="00E77A24">
      <w:pPr>
        <w:pStyle w:val="SingleTxtGR"/>
        <w:rPr>
          <w:b/>
        </w:rPr>
      </w:pPr>
      <w:r>
        <w:rPr>
          <w:b/>
        </w:rPr>
        <w:tab/>
      </w:r>
      <w:r w:rsidR="00CC3DA6" w:rsidRPr="00E77A24">
        <w:rPr>
          <w:b/>
        </w:rPr>
        <w:t>а)</w:t>
      </w:r>
      <w:r w:rsidR="00CC3DA6" w:rsidRPr="00E77A24">
        <w:rPr>
          <w:b/>
        </w:rPr>
        <w:tab/>
        <w:t>дети не подвергались произвольному аресту,</w:t>
      </w:r>
      <w:r w:rsidR="00477611">
        <w:rPr>
          <w:b/>
        </w:rPr>
        <w:t xml:space="preserve"> </w:t>
      </w:r>
      <w:r w:rsidR="00CC3DA6" w:rsidRPr="00E77A24">
        <w:rPr>
          <w:b/>
        </w:rPr>
        <w:t>содержанию под стражей и привлечению к ответственности военными судами за их участие в вооруженных группировках и за такие военные преступления как дезе</w:t>
      </w:r>
      <w:r w:rsidR="00CC3DA6" w:rsidRPr="00E77A24">
        <w:rPr>
          <w:b/>
        </w:rPr>
        <w:t>р</w:t>
      </w:r>
      <w:r w:rsidR="00CC3DA6" w:rsidRPr="00E77A24">
        <w:rPr>
          <w:b/>
        </w:rPr>
        <w:t>тирство;</w:t>
      </w:r>
    </w:p>
    <w:p w:rsidR="00CC3DA6" w:rsidRPr="00E77A24" w:rsidRDefault="00E77A24" w:rsidP="00E77A24">
      <w:pPr>
        <w:pStyle w:val="SingleTxtGR"/>
        <w:rPr>
          <w:b/>
        </w:rPr>
      </w:pPr>
      <w:r>
        <w:rPr>
          <w:b/>
        </w:rPr>
        <w:tab/>
      </w:r>
      <w:r w:rsidR="00DF2342">
        <w:rPr>
          <w:b/>
        </w:rPr>
        <w:t>b)</w:t>
      </w:r>
      <w:r w:rsidR="00DF2342">
        <w:rPr>
          <w:b/>
        </w:rPr>
        <w:tab/>
        <w:t>содержание</w:t>
      </w:r>
      <w:r w:rsidR="00CC3DA6" w:rsidRPr="00E77A24">
        <w:rPr>
          <w:b/>
        </w:rPr>
        <w:t xml:space="preserve"> детей под ст</w:t>
      </w:r>
      <w:r w:rsidR="00477611">
        <w:rPr>
          <w:b/>
        </w:rPr>
        <w:t>ражей применялось исключительно</w:t>
      </w:r>
      <w:r w:rsidR="00477611">
        <w:rPr>
          <w:b/>
        </w:rPr>
        <w:br/>
      </w:r>
      <w:r w:rsidR="00CC3DA6" w:rsidRPr="00E77A24">
        <w:rPr>
          <w:b/>
        </w:rPr>
        <w:t>в качестве крайней меры и на как можно более короткий период времени;</w:t>
      </w:r>
    </w:p>
    <w:p w:rsidR="00CC3DA6" w:rsidRPr="00E77A24" w:rsidRDefault="00E77A24" w:rsidP="00E77A24">
      <w:pPr>
        <w:pStyle w:val="SingleTxtGR"/>
        <w:rPr>
          <w:b/>
        </w:rPr>
      </w:pPr>
      <w:r>
        <w:rPr>
          <w:b/>
        </w:rPr>
        <w:tab/>
      </w:r>
      <w:r w:rsidR="00CC3DA6" w:rsidRPr="00E77A24">
        <w:rPr>
          <w:b/>
        </w:rPr>
        <w:t>с)</w:t>
      </w:r>
      <w:r w:rsidR="00CC3DA6" w:rsidRPr="00E77A24">
        <w:rPr>
          <w:b/>
        </w:rPr>
        <w:tab/>
        <w:t>с детьми</w:t>
      </w:r>
      <w:r w:rsidR="00DF2342">
        <w:rPr>
          <w:b/>
        </w:rPr>
        <w:t>,</w:t>
      </w:r>
      <w:r w:rsidR="00CC3DA6" w:rsidRPr="00E77A24">
        <w:rPr>
          <w:b/>
        </w:rPr>
        <w:t xml:space="preserve"> лишенными свободы за участие в военных действиях</w:t>
      </w:r>
      <w:r w:rsidR="00DF2342">
        <w:rPr>
          <w:b/>
        </w:rPr>
        <w:t>,</w:t>
      </w:r>
      <w:r w:rsidR="00CC3DA6" w:rsidRPr="00E77A24">
        <w:rPr>
          <w:b/>
        </w:rPr>
        <w:t xml:space="preserve"> обр</w:t>
      </w:r>
      <w:r w:rsidR="00CC3DA6" w:rsidRPr="00E77A24">
        <w:rPr>
          <w:b/>
        </w:rPr>
        <w:t>а</w:t>
      </w:r>
      <w:r w:rsidR="00CC3DA6" w:rsidRPr="00E77A24">
        <w:rPr>
          <w:b/>
        </w:rPr>
        <w:t>щались гуманно и с уважением присущего им достоинства;</w:t>
      </w:r>
    </w:p>
    <w:p w:rsidR="00CC3DA6" w:rsidRPr="00E77A24" w:rsidRDefault="00E77A24" w:rsidP="00E77A24">
      <w:pPr>
        <w:pStyle w:val="SingleTxtGR"/>
        <w:rPr>
          <w:b/>
        </w:rPr>
      </w:pPr>
      <w:r>
        <w:rPr>
          <w:b/>
        </w:rPr>
        <w:tab/>
      </w:r>
      <w:r w:rsidR="00CC3DA6" w:rsidRPr="00E77A24">
        <w:rPr>
          <w:b/>
        </w:rPr>
        <w:t>d)</w:t>
      </w:r>
      <w:r w:rsidR="00CC3DA6" w:rsidRPr="00E77A24">
        <w:rPr>
          <w:b/>
        </w:rPr>
        <w:tab/>
        <w:t>в случае предъявления детям уголовных обвинений разбир</w:t>
      </w:r>
      <w:r w:rsidR="00CC3DA6" w:rsidRPr="00E77A24">
        <w:rPr>
          <w:b/>
        </w:rPr>
        <w:t>а</w:t>
      </w:r>
      <w:r w:rsidR="00CC3DA6" w:rsidRPr="00E77A24">
        <w:rPr>
          <w:b/>
        </w:rPr>
        <w:t>тельства проводились в гражданских судах и в соответствии с междун</w:t>
      </w:r>
      <w:r w:rsidR="00CC3DA6" w:rsidRPr="00E77A24">
        <w:rPr>
          <w:b/>
        </w:rPr>
        <w:t>а</w:t>
      </w:r>
      <w:r w:rsidR="00CC3DA6" w:rsidRPr="00E77A24">
        <w:rPr>
          <w:b/>
        </w:rPr>
        <w:t>родными нормами отправления правосудия в отношении несовершенн</w:t>
      </w:r>
      <w:r w:rsidR="00CC3DA6" w:rsidRPr="00E77A24">
        <w:rPr>
          <w:b/>
        </w:rPr>
        <w:t>о</w:t>
      </w:r>
      <w:r w:rsidR="00CC3DA6" w:rsidRPr="00E77A24">
        <w:rPr>
          <w:b/>
        </w:rPr>
        <w:t>летних, включая стандарты, закрепленные в Конвенции о правах ребенка и детализированные в замечании обще</w:t>
      </w:r>
      <w:r w:rsidR="00477611">
        <w:rPr>
          <w:b/>
        </w:rPr>
        <w:t>го порядка Комитета № 10 (2007)</w:t>
      </w:r>
      <w:r w:rsidR="00477611">
        <w:rPr>
          <w:b/>
        </w:rPr>
        <w:br/>
      </w:r>
      <w:r w:rsidR="00CC3DA6" w:rsidRPr="00E77A24">
        <w:rPr>
          <w:b/>
        </w:rPr>
        <w:t>о правах ребенка в системе отправления правосудия в отношении нес</w:t>
      </w:r>
      <w:r w:rsidR="00CC3DA6" w:rsidRPr="00E77A24">
        <w:rPr>
          <w:b/>
        </w:rPr>
        <w:t>о</w:t>
      </w:r>
      <w:r w:rsidR="00CC3DA6" w:rsidRPr="00E77A24">
        <w:rPr>
          <w:b/>
        </w:rPr>
        <w:t>вершеннолетних;</w:t>
      </w:r>
    </w:p>
    <w:p w:rsidR="00CC3DA6" w:rsidRPr="00E77A24" w:rsidRDefault="00E77A24" w:rsidP="00E77A24">
      <w:pPr>
        <w:pStyle w:val="SingleTxtGR"/>
        <w:rPr>
          <w:b/>
        </w:rPr>
      </w:pPr>
      <w:r>
        <w:rPr>
          <w:b/>
        </w:rPr>
        <w:tab/>
      </w:r>
      <w:r w:rsidR="00CC3DA6" w:rsidRPr="00E77A24">
        <w:rPr>
          <w:b/>
        </w:rPr>
        <w:t>е)</w:t>
      </w:r>
      <w:r w:rsidR="00CC3DA6" w:rsidRPr="00E77A24">
        <w:rPr>
          <w:b/>
        </w:rPr>
        <w:tab/>
        <w:t>детям оказывались реабилитационные и реинтеграционные услуги, включая воссоединение с их семьями и доступ к психосоциальному восст</w:t>
      </w:r>
      <w:r w:rsidR="00CC3DA6" w:rsidRPr="00E77A24">
        <w:rPr>
          <w:b/>
        </w:rPr>
        <w:t>а</w:t>
      </w:r>
      <w:r w:rsidR="00CC3DA6" w:rsidRPr="00E77A24">
        <w:rPr>
          <w:b/>
        </w:rPr>
        <w:t>новлению.</w:t>
      </w:r>
    </w:p>
    <w:p w:rsidR="00CC3DA6" w:rsidRPr="0032667B" w:rsidRDefault="00CC3DA6" w:rsidP="00992F96">
      <w:pPr>
        <w:pStyle w:val="H1GR"/>
      </w:pPr>
      <w:r w:rsidRPr="000362BA">
        <w:rPr>
          <w:szCs w:val="24"/>
        </w:rPr>
        <w:tab/>
      </w:r>
      <w:r w:rsidRPr="0032667B">
        <w:tab/>
        <w:t>Разоружение, демобилизация и реинтеграция</w:t>
      </w:r>
    </w:p>
    <w:p w:rsidR="00CC3DA6" w:rsidRPr="00E77A24" w:rsidRDefault="00CC3DA6" w:rsidP="00E77A24">
      <w:pPr>
        <w:pStyle w:val="SingleTxtGR"/>
      </w:pPr>
      <w:r w:rsidRPr="00E77A24">
        <w:t>40.</w:t>
      </w:r>
      <w:r w:rsidRPr="00E77A24">
        <w:tab/>
        <w:t>Комитет с удовлетворением отмечает, что государство-учас</w:t>
      </w:r>
      <w:r w:rsidR="002B1968">
        <w:t>тник стало применять схемы сдачи/реабилитации</w:t>
      </w:r>
      <w:r w:rsidRPr="00E77A24">
        <w:t xml:space="preserve"> на северо-востоке Индии, в районах де</w:t>
      </w:r>
      <w:r w:rsidRPr="00E77A24">
        <w:t>й</w:t>
      </w:r>
      <w:r w:rsidRPr="00E77A24">
        <w:t>ствия маоистских вооруженных групп и в районах волнений в Джамму и Ка</w:t>
      </w:r>
      <w:r w:rsidRPr="00E77A24">
        <w:t>ш</w:t>
      </w:r>
      <w:r w:rsidRPr="00E77A24">
        <w:t>мире, которые предусматривают денежную компенсацию для тех, кто склад</w:t>
      </w:r>
      <w:r w:rsidRPr="00E77A24">
        <w:t>ы</w:t>
      </w:r>
      <w:r w:rsidRPr="00E77A24">
        <w:t>вает оружие, а также программ профессионально-технической подготовки и стимулирования сдачи оружия. Однако Комитет обеспокоен тем, что ни одна из программ, связанных со сдачей оружия, не нацелена на восстановление и инт</w:t>
      </w:r>
      <w:r w:rsidRPr="00E77A24">
        <w:t>е</w:t>
      </w:r>
      <w:r w:rsidRPr="00E77A24">
        <w:t>грацию детей. В частности Комитет озабочен тем, что:</w:t>
      </w:r>
    </w:p>
    <w:p w:rsidR="00CC3DA6" w:rsidRPr="00E77A24" w:rsidRDefault="00BD309D" w:rsidP="00E77A24">
      <w:pPr>
        <w:pStyle w:val="SingleTxtGR"/>
      </w:pPr>
      <w:r>
        <w:tab/>
      </w:r>
      <w:r w:rsidR="00CC3DA6" w:rsidRPr="00E77A24">
        <w:t>а)</w:t>
      </w:r>
      <w:r w:rsidR="00CC3DA6" w:rsidRPr="00E77A24">
        <w:tab/>
        <w:t xml:space="preserve">отсутствуют механизмы систематической идентификации бывших детей-солдат среди тех, кто сдался силам государственной безопасности; </w:t>
      </w:r>
    </w:p>
    <w:p w:rsidR="00CC3DA6" w:rsidRPr="00E77A24" w:rsidRDefault="00BD309D" w:rsidP="00E77A24">
      <w:pPr>
        <w:pStyle w:val="SingleTxtGR"/>
      </w:pPr>
      <w:r>
        <w:tab/>
      </w:r>
      <w:r w:rsidR="00CC3DA6" w:rsidRPr="00E77A24">
        <w:t>b)</w:t>
      </w:r>
      <w:r w:rsidR="00CC3DA6" w:rsidRPr="00E77A24">
        <w:tab/>
        <w:t>программы сдачи и реабилитации требуют, чтобы сдавшееся лицо выступило в государственных средствах массовой информации с заявлением о своей добровольной сдаче;</w:t>
      </w:r>
    </w:p>
    <w:p w:rsidR="00CC3DA6" w:rsidRPr="00E77A24" w:rsidRDefault="00BD309D" w:rsidP="00E77A24">
      <w:pPr>
        <w:pStyle w:val="SingleTxtGR"/>
      </w:pPr>
      <w:r>
        <w:tab/>
      </w:r>
      <w:r w:rsidR="00CC3DA6" w:rsidRPr="00E77A24">
        <w:t>с)</w:t>
      </w:r>
      <w:r w:rsidR="00CC3DA6" w:rsidRPr="00E77A24">
        <w:tab/>
        <w:t>сдавшийся личный состав, включая детей, используется в качестве информаторов силами безопасности, что создает угрозу их безопасности, вкл</w:t>
      </w:r>
      <w:r w:rsidR="00CC3DA6" w:rsidRPr="00E77A24">
        <w:t>ю</w:t>
      </w:r>
      <w:r w:rsidR="00CC3DA6" w:rsidRPr="00E77A24">
        <w:t>чая последующее возмездие со стороны негосударственных вооруженных гру</w:t>
      </w:r>
      <w:r w:rsidR="00CC3DA6" w:rsidRPr="00E77A24">
        <w:t>п</w:t>
      </w:r>
      <w:r w:rsidR="00CC3DA6" w:rsidRPr="00E77A24">
        <w:t>пировок.</w:t>
      </w:r>
    </w:p>
    <w:p w:rsidR="00CC3DA6" w:rsidRPr="00BD309D" w:rsidRDefault="00CC3DA6" w:rsidP="00E77A24">
      <w:pPr>
        <w:pStyle w:val="SingleTxtGR"/>
        <w:rPr>
          <w:b/>
        </w:rPr>
      </w:pPr>
      <w:r w:rsidRPr="00E77A24">
        <w:t>41.</w:t>
      </w:r>
      <w:r w:rsidRPr="00E77A24">
        <w:tab/>
      </w:r>
      <w:r w:rsidRPr="00BD309D">
        <w:rPr>
          <w:b/>
        </w:rPr>
        <w:t>Комитет настоятельно призывает государство-участник разработать программу, направленную на идентификацию</w:t>
      </w:r>
      <w:r w:rsidR="00DF2342">
        <w:rPr>
          <w:b/>
        </w:rPr>
        <w:t>,</w:t>
      </w:r>
      <w:r w:rsidRPr="00BD309D">
        <w:rPr>
          <w:b/>
        </w:rPr>
        <w:t xml:space="preserve"> освобождение, восстановл</w:t>
      </w:r>
      <w:r w:rsidRPr="00BD309D">
        <w:rPr>
          <w:b/>
        </w:rPr>
        <w:t>е</w:t>
      </w:r>
      <w:r w:rsidRPr="00BD309D">
        <w:rPr>
          <w:b/>
        </w:rPr>
        <w:t>ние и воссоединение со своими семьями всех детей, включая девочек, к</w:t>
      </w:r>
      <w:r w:rsidRPr="00BD309D">
        <w:rPr>
          <w:b/>
        </w:rPr>
        <w:t>о</w:t>
      </w:r>
      <w:r w:rsidRPr="00BD309D">
        <w:rPr>
          <w:b/>
        </w:rPr>
        <w:t>торые были завербованы или использовались в боевых действиях негос</w:t>
      </w:r>
      <w:r w:rsidRPr="00BD309D">
        <w:rPr>
          <w:b/>
        </w:rPr>
        <w:t>у</w:t>
      </w:r>
      <w:r w:rsidRPr="00BD309D">
        <w:rPr>
          <w:b/>
        </w:rPr>
        <w:t>дарственными вооруженными группировками, и незамедлительно обесп</w:t>
      </w:r>
      <w:r w:rsidRPr="00BD309D">
        <w:rPr>
          <w:b/>
        </w:rPr>
        <w:t>е</w:t>
      </w:r>
      <w:r w:rsidRPr="00BD309D">
        <w:rPr>
          <w:b/>
        </w:rPr>
        <w:t>чивать их эффективную и транспарентную демобилизацию. В этой связи в случае невозможности нахождения или выявления их семей следует пр</w:t>
      </w:r>
      <w:r w:rsidRPr="00BD309D">
        <w:rPr>
          <w:b/>
        </w:rPr>
        <w:t>е</w:t>
      </w:r>
      <w:r w:rsidRPr="00BD309D">
        <w:rPr>
          <w:b/>
        </w:rPr>
        <w:t>доставлять альтернативные защ</w:t>
      </w:r>
      <w:r w:rsidRPr="00BD309D">
        <w:rPr>
          <w:b/>
        </w:rPr>
        <w:t>и</w:t>
      </w:r>
      <w:r w:rsidRPr="00BD309D">
        <w:rPr>
          <w:b/>
        </w:rPr>
        <w:t>щенные места проживания. В частности Комитет рекомендует государству-участнику:</w:t>
      </w:r>
    </w:p>
    <w:p w:rsidR="00CC3DA6" w:rsidRPr="00BD309D" w:rsidRDefault="00BD309D" w:rsidP="00E77A24">
      <w:pPr>
        <w:pStyle w:val="SingleTxtGR"/>
        <w:rPr>
          <w:b/>
        </w:rPr>
      </w:pPr>
      <w:r>
        <w:rPr>
          <w:b/>
        </w:rPr>
        <w:tab/>
      </w:r>
      <w:r w:rsidR="00CC3DA6" w:rsidRPr="00BD309D">
        <w:rPr>
          <w:b/>
        </w:rPr>
        <w:t>а)</w:t>
      </w:r>
      <w:r w:rsidR="00CC3DA6" w:rsidRPr="00BD309D">
        <w:rPr>
          <w:b/>
        </w:rPr>
        <w:tab/>
        <w:t>создать механизм идентификации детей, которые участвовали или могли участвовать в вооруженных конфликтах</w:t>
      </w:r>
      <w:r w:rsidR="00C278CE">
        <w:rPr>
          <w:b/>
        </w:rPr>
        <w:t>,</w:t>
      </w:r>
      <w:r w:rsidR="00CC3DA6" w:rsidRPr="00BD309D">
        <w:rPr>
          <w:b/>
        </w:rPr>
        <w:t xml:space="preserve"> и обеспечить подг</w:t>
      </w:r>
      <w:r w:rsidR="00CC3DA6" w:rsidRPr="00BD309D">
        <w:rPr>
          <w:b/>
        </w:rPr>
        <w:t>о</w:t>
      </w:r>
      <w:r w:rsidR="00CC3DA6" w:rsidRPr="00BD309D">
        <w:rPr>
          <w:b/>
        </w:rPr>
        <w:t>товку ответственных за идентификацию детей сотрудников по вопросам прав детей, защиты ребенка и проведения опросов детей с учетом их ос</w:t>
      </w:r>
      <w:r w:rsidR="00CC3DA6" w:rsidRPr="00BD309D">
        <w:rPr>
          <w:b/>
        </w:rPr>
        <w:t>о</w:t>
      </w:r>
      <w:r w:rsidR="00CC3DA6" w:rsidRPr="00BD309D">
        <w:rPr>
          <w:b/>
        </w:rPr>
        <w:t>бенностей;</w:t>
      </w:r>
    </w:p>
    <w:p w:rsidR="00CC3DA6" w:rsidRPr="00BD309D" w:rsidRDefault="00BD309D" w:rsidP="00E77A24">
      <w:pPr>
        <w:pStyle w:val="SingleTxtGR"/>
        <w:rPr>
          <w:b/>
        </w:rPr>
      </w:pPr>
      <w:r>
        <w:rPr>
          <w:b/>
        </w:rPr>
        <w:tab/>
      </w:r>
      <w:r w:rsidR="00CC3DA6" w:rsidRPr="00BD309D">
        <w:rPr>
          <w:b/>
        </w:rPr>
        <w:t>b)</w:t>
      </w:r>
      <w:r w:rsidR="00CC3DA6" w:rsidRPr="00BD309D">
        <w:rPr>
          <w:b/>
        </w:rPr>
        <w:tab/>
        <w:t xml:space="preserve">пересмотреть программы сдачи/реабилитации с целью защиты сдавшихся детей и другой молодежи, которые были несовершеннолетними на момент вступления в вооруженные оппозиционные </w:t>
      </w:r>
      <w:r w:rsidR="00C278CE">
        <w:rPr>
          <w:b/>
        </w:rPr>
        <w:t>г</w:t>
      </w:r>
      <w:r w:rsidR="00CC3DA6" w:rsidRPr="00BD309D">
        <w:rPr>
          <w:b/>
        </w:rPr>
        <w:t>рупп</w:t>
      </w:r>
      <w:r w:rsidR="00C278CE">
        <w:rPr>
          <w:b/>
        </w:rPr>
        <w:t>ировки</w:t>
      </w:r>
      <w:r w:rsidR="00CC3DA6" w:rsidRPr="00BD309D">
        <w:rPr>
          <w:b/>
        </w:rPr>
        <w:t xml:space="preserve"> или насильственной ве</w:t>
      </w:r>
      <w:r w:rsidR="00CC3DA6" w:rsidRPr="00BD309D">
        <w:rPr>
          <w:b/>
        </w:rPr>
        <w:t>р</w:t>
      </w:r>
      <w:r w:rsidR="00CC3DA6" w:rsidRPr="00BD309D">
        <w:rPr>
          <w:b/>
        </w:rPr>
        <w:t>бовки в них, от освещения</w:t>
      </w:r>
      <w:r w:rsidR="00752927">
        <w:rPr>
          <w:b/>
        </w:rPr>
        <w:t xml:space="preserve"> их деятельности</w:t>
      </w:r>
      <w:r w:rsidR="00CC3DA6" w:rsidRPr="00BD309D">
        <w:rPr>
          <w:b/>
        </w:rPr>
        <w:t xml:space="preserve"> в средствах массовой информации и, в частности, от раскрытия информации об их личности, как это предусмотрено Законом об отправлении правосудия в отношении несовершеннолетних (уход и защита детей) 2000 года </w:t>
      </w:r>
      <w:r w:rsidR="00477611">
        <w:rPr>
          <w:b/>
        </w:rPr>
        <w:t>с внесе</w:t>
      </w:r>
      <w:r w:rsidR="00477611">
        <w:rPr>
          <w:b/>
        </w:rPr>
        <w:t>н</w:t>
      </w:r>
      <w:r w:rsidR="002B1968">
        <w:rPr>
          <w:b/>
        </w:rPr>
        <w:t xml:space="preserve">ными в него изменениями в </w:t>
      </w:r>
      <w:r w:rsidR="00CC3DA6" w:rsidRPr="00BD309D">
        <w:rPr>
          <w:b/>
        </w:rPr>
        <w:t>2006 году;</w:t>
      </w:r>
    </w:p>
    <w:p w:rsidR="00CC3DA6" w:rsidRPr="00BD309D" w:rsidRDefault="00BD309D" w:rsidP="00E77A24">
      <w:pPr>
        <w:pStyle w:val="SingleTxtGR"/>
        <w:rPr>
          <w:b/>
        </w:rPr>
      </w:pPr>
      <w:r>
        <w:rPr>
          <w:b/>
        </w:rPr>
        <w:tab/>
      </w:r>
      <w:r w:rsidR="00CC3DA6" w:rsidRPr="00BD309D">
        <w:rPr>
          <w:b/>
        </w:rPr>
        <w:t>с)</w:t>
      </w:r>
      <w:r w:rsidR="00CC3DA6" w:rsidRPr="00BD309D">
        <w:rPr>
          <w:b/>
        </w:rPr>
        <w:tab/>
        <w:t>обеспечивать, чтобы дети не использовались в качестве осв</w:t>
      </w:r>
      <w:r w:rsidR="00CC3DA6" w:rsidRPr="00BD309D">
        <w:rPr>
          <w:b/>
        </w:rPr>
        <w:t>е</w:t>
      </w:r>
      <w:r w:rsidR="00CC3DA6" w:rsidRPr="00BD309D">
        <w:rPr>
          <w:b/>
        </w:rPr>
        <w:t>домителей и чтобы любая полученная от демобилизованных детей инфо</w:t>
      </w:r>
      <w:r w:rsidR="00CC3DA6" w:rsidRPr="00BD309D">
        <w:rPr>
          <w:b/>
        </w:rPr>
        <w:t>р</w:t>
      </w:r>
      <w:r w:rsidR="00CC3DA6" w:rsidRPr="00BD309D">
        <w:rPr>
          <w:b/>
        </w:rPr>
        <w:t>мация содержалась в секрете с тем, чтобы не подвергать</w:t>
      </w:r>
      <w:r w:rsidR="0067489A">
        <w:rPr>
          <w:b/>
        </w:rPr>
        <w:t xml:space="preserve"> их</w:t>
      </w:r>
      <w:r w:rsidR="00CC3DA6" w:rsidRPr="00BD309D">
        <w:rPr>
          <w:b/>
        </w:rPr>
        <w:t xml:space="preserve"> безопасность риску</w:t>
      </w:r>
      <w:r w:rsidR="0067489A">
        <w:rPr>
          <w:b/>
        </w:rPr>
        <w:t>, а</w:t>
      </w:r>
      <w:r w:rsidR="00CC3DA6" w:rsidRPr="00BD309D">
        <w:rPr>
          <w:b/>
        </w:rPr>
        <w:t xml:space="preserve"> </w:t>
      </w:r>
      <w:r w:rsidR="0067489A" w:rsidRPr="00BD309D">
        <w:rPr>
          <w:b/>
        </w:rPr>
        <w:t xml:space="preserve">этих детей </w:t>
      </w:r>
      <w:r w:rsidR="00CC3DA6" w:rsidRPr="00BD309D">
        <w:rPr>
          <w:b/>
        </w:rPr>
        <w:t>поте</w:t>
      </w:r>
      <w:r w:rsidR="00CC3DA6" w:rsidRPr="00BD309D">
        <w:rPr>
          <w:b/>
        </w:rPr>
        <w:t>н</w:t>
      </w:r>
      <w:r w:rsidR="00CC3DA6" w:rsidRPr="00BD309D">
        <w:rPr>
          <w:b/>
        </w:rPr>
        <w:t>циальному возмездию;</w:t>
      </w:r>
    </w:p>
    <w:p w:rsidR="00CC3DA6" w:rsidRPr="00BD309D" w:rsidRDefault="00BD309D" w:rsidP="00E77A24">
      <w:pPr>
        <w:pStyle w:val="SingleTxtGR"/>
        <w:rPr>
          <w:b/>
        </w:rPr>
      </w:pPr>
      <w:r>
        <w:rPr>
          <w:b/>
        </w:rPr>
        <w:tab/>
      </w:r>
      <w:r w:rsidR="00CC3DA6" w:rsidRPr="00BD309D">
        <w:rPr>
          <w:b/>
        </w:rPr>
        <w:t>d)</w:t>
      </w:r>
      <w:r w:rsidR="00CC3DA6" w:rsidRPr="00BD309D">
        <w:rPr>
          <w:b/>
        </w:rPr>
        <w:tab/>
        <w:t>проводить оперативные и беспристрастные расследования с</w:t>
      </w:r>
      <w:r w:rsidR="00CC3DA6" w:rsidRPr="00BD309D">
        <w:rPr>
          <w:b/>
        </w:rPr>
        <w:t>о</w:t>
      </w:r>
      <w:r w:rsidR="00CC3DA6" w:rsidRPr="00BD309D">
        <w:rPr>
          <w:b/>
        </w:rPr>
        <w:t>общений о том, что дети подвергались допросам для целей сбора развед</w:t>
      </w:r>
      <w:r w:rsidR="00CC3DA6" w:rsidRPr="00BD309D">
        <w:rPr>
          <w:b/>
        </w:rPr>
        <w:t>ы</w:t>
      </w:r>
      <w:r w:rsidR="00CC3DA6" w:rsidRPr="00BD309D">
        <w:rPr>
          <w:b/>
        </w:rPr>
        <w:t xml:space="preserve">вательной информации, и обеспечить применение надлежащих санкций по отношению к ответственным лицам вооруженных сил и </w:t>
      </w:r>
      <w:r w:rsidR="00652470">
        <w:rPr>
          <w:b/>
        </w:rPr>
        <w:t xml:space="preserve">оказание </w:t>
      </w:r>
      <w:r w:rsidR="00CC3DA6" w:rsidRPr="00BD309D">
        <w:rPr>
          <w:b/>
        </w:rPr>
        <w:t>таким детям поддержк</w:t>
      </w:r>
      <w:r w:rsidR="00652470">
        <w:rPr>
          <w:b/>
        </w:rPr>
        <w:t>и</w:t>
      </w:r>
      <w:r w:rsidR="00CC3DA6" w:rsidRPr="00BD309D">
        <w:rPr>
          <w:b/>
        </w:rPr>
        <w:t xml:space="preserve"> как жертвам и свидетелям; </w:t>
      </w:r>
    </w:p>
    <w:p w:rsidR="00CC3DA6" w:rsidRPr="00E77A24" w:rsidRDefault="00BD309D" w:rsidP="00E77A24">
      <w:pPr>
        <w:pStyle w:val="SingleTxtGR"/>
      </w:pPr>
      <w:r>
        <w:rPr>
          <w:b/>
        </w:rPr>
        <w:tab/>
      </w:r>
      <w:r w:rsidR="00CC3DA6" w:rsidRPr="00BD309D">
        <w:rPr>
          <w:b/>
        </w:rPr>
        <w:t>е)</w:t>
      </w:r>
      <w:r w:rsidR="00CC3DA6" w:rsidRPr="00BD309D">
        <w:rPr>
          <w:b/>
        </w:rPr>
        <w:tab/>
        <w:t>включить последующую информацию о принятых в этой связи мерах в его следующий доклад по Конвенции о правах ребенка.</w:t>
      </w:r>
    </w:p>
    <w:p w:rsidR="00CC3DA6" w:rsidRPr="0032667B" w:rsidRDefault="00CC3DA6" w:rsidP="00992F96">
      <w:pPr>
        <w:pStyle w:val="H1GR"/>
      </w:pPr>
      <w:r w:rsidRPr="00BD309D">
        <w:rPr>
          <w:szCs w:val="24"/>
        </w:rPr>
        <w:tab/>
      </w:r>
      <w:r w:rsidRPr="0032667B">
        <w:tab/>
        <w:t>Помощь в физическом и психологическом восстановлении и</w:t>
      </w:r>
      <w:r w:rsidR="00992F96">
        <w:t> </w:t>
      </w:r>
      <w:r w:rsidRPr="0032667B">
        <w:t>социальной реинтеграции</w:t>
      </w:r>
    </w:p>
    <w:p w:rsidR="00CC3DA6" w:rsidRPr="00BD309D" w:rsidRDefault="00CC3DA6" w:rsidP="00BD309D">
      <w:pPr>
        <w:pStyle w:val="SingleTxtGR"/>
      </w:pPr>
      <w:r w:rsidRPr="00BD309D">
        <w:t>42.</w:t>
      </w:r>
      <w:r w:rsidRPr="00BD309D">
        <w:tab/>
        <w:t>Комитет выражает сожаление по поводу того, что государство-участник не представило информации о мерах по содействию в восстановлении, псих</w:t>
      </w:r>
      <w:r w:rsidRPr="00BD309D">
        <w:t>о</w:t>
      </w:r>
      <w:r w:rsidRPr="00BD309D">
        <w:t>логической поддержке, воссоединении с семьями или размещении в защище</w:t>
      </w:r>
      <w:r w:rsidRPr="00BD309D">
        <w:t>н</w:t>
      </w:r>
      <w:r w:rsidRPr="00BD309D">
        <w:t>ном жилье детей, которых могли завербовать или использовать в вооруженных конфликтах, в частности Комитет выражает сожаление отсутствием информ</w:t>
      </w:r>
      <w:r w:rsidRPr="00BD309D">
        <w:t>а</w:t>
      </w:r>
      <w:r w:rsidRPr="00BD309D">
        <w:t>ции относительно:</w:t>
      </w:r>
    </w:p>
    <w:p w:rsidR="00CC3DA6" w:rsidRPr="00BD309D" w:rsidRDefault="00BD309D" w:rsidP="00BD309D">
      <w:pPr>
        <w:pStyle w:val="SingleTxtGR"/>
      </w:pPr>
      <w:r>
        <w:tab/>
      </w:r>
      <w:r w:rsidR="00CC3DA6" w:rsidRPr="00BD309D">
        <w:t>а)</w:t>
      </w:r>
      <w:r w:rsidR="00CC3DA6" w:rsidRPr="00BD309D">
        <w:tab/>
        <w:t>типа оказываемой помощи с целью содействия социальной реинт</w:t>
      </w:r>
      <w:r w:rsidR="00CC3DA6" w:rsidRPr="00BD309D">
        <w:t>е</w:t>
      </w:r>
      <w:r w:rsidR="00CC3DA6" w:rsidRPr="00BD309D">
        <w:t>грации и воссоединению семей и вида физической и психологической восст</w:t>
      </w:r>
      <w:r w:rsidR="00CC3DA6" w:rsidRPr="00BD309D">
        <w:t>а</w:t>
      </w:r>
      <w:r w:rsidR="00CC3DA6" w:rsidRPr="00BD309D">
        <w:t>новител</w:t>
      </w:r>
      <w:r w:rsidR="00CC3DA6" w:rsidRPr="00BD309D">
        <w:t>ь</w:t>
      </w:r>
      <w:r w:rsidR="00CC3DA6" w:rsidRPr="00BD309D">
        <w:t>ной помощи, в том числе о</w:t>
      </w:r>
      <w:r w:rsidR="00477611">
        <w:t xml:space="preserve"> </w:t>
      </w:r>
      <w:r w:rsidR="00CC3DA6" w:rsidRPr="00BD309D">
        <w:t>бюджетных ассигнованиях;</w:t>
      </w:r>
    </w:p>
    <w:p w:rsidR="00CC3DA6" w:rsidRPr="00BD309D" w:rsidRDefault="00BD309D" w:rsidP="00BD309D">
      <w:pPr>
        <w:pStyle w:val="SingleTxtGR"/>
      </w:pPr>
      <w:r>
        <w:tab/>
      </w:r>
      <w:r w:rsidR="00CC3DA6" w:rsidRPr="00BD309D">
        <w:t>b)</w:t>
      </w:r>
      <w:r w:rsidR="00CC3DA6" w:rsidRPr="00BD309D">
        <w:tab/>
        <w:t>количества детей, которым была предоставлена такая помощь;</w:t>
      </w:r>
    </w:p>
    <w:p w:rsidR="00CC3DA6" w:rsidRPr="00BD309D" w:rsidRDefault="00BD309D" w:rsidP="00BD309D">
      <w:pPr>
        <w:pStyle w:val="SingleTxtGR"/>
      </w:pPr>
      <w:r>
        <w:tab/>
      </w:r>
      <w:r w:rsidR="00CC3DA6" w:rsidRPr="00BD309D">
        <w:t>с)</w:t>
      </w:r>
      <w:r w:rsidR="00CC3DA6" w:rsidRPr="00BD309D">
        <w:tab/>
        <w:t>средств правовой защиты и возмещения, которых могут добиваться дети − жертвы вербовки или ее получить.</w:t>
      </w:r>
    </w:p>
    <w:p w:rsidR="00CC3DA6" w:rsidRPr="00BD309D" w:rsidRDefault="00CC3DA6" w:rsidP="00BD309D">
      <w:pPr>
        <w:pStyle w:val="SingleTxtGR"/>
        <w:rPr>
          <w:b/>
        </w:rPr>
      </w:pPr>
      <w:r w:rsidRPr="00BD309D">
        <w:t>43.</w:t>
      </w:r>
      <w:r w:rsidRPr="00BD309D">
        <w:tab/>
      </w:r>
      <w:r w:rsidRPr="00BD309D">
        <w:rPr>
          <w:b/>
        </w:rPr>
        <w:t>Комитет настоятельно призывает государство-участник:</w:t>
      </w:r>
    </w:p>
    <w:p w:rsidR="00CC3DA6" w:rsidRPr="00BD309D" w:rsidRDefault="00BD309D" w:rsidP="00BD309D">
      <w:pPr>
        <w:pStyle w:val="SingleTxtGR"/>
        <w:rPr>
          <w:b/>
        </w:rPr>
      </w:pPr>
      <w:r w:rsidRPr="00BD309D">
        <w:rPr>
          <w:b/>
        </w:rPr>
        <w:tab/>
      </w:r>
      <w:r w:rsidR="00CC3DA6" w:rsidRPr="00BD309D">
        <w:rPr>
          <w:b/>
        </w:rPr>
        <w:t>а)</w:t>
      </w:r>
      <w:r w:rsidR="00CC3DA6" w:rsidRPr="00BD309D">
        <w:rPr>
          <w:b/>
        </w:rPr>
        <w:tab/>
        <w:t>представить информацию о количестве выявленных детей и количестве детей, воссоединившихся со своими семьями, а также тех, кто не смог воссоединиться со своими семьями, уточняя при этом, какие были приняты м</w:t>
      </w:r>
      <w:r w:rsidR="00CC3DA6" w:rsidRPr="00BD309D">
        <w:rPr>
          <w:b/>
        </w:rPr>
        <w:t>е</w:t>
      </w:r>
      <w:r w:rsidR="00CC3DA6" w:rsidRPr="00BD309D">
        <w:rPr>
          <w:b/>
        </w:rPr>
        <w:t>ры для предоставления им защищенного жилья;</w:t>
      </w:r>
    </w:p>
    <w:p w:rsidR="00CC3DA6" w:rsidRPr="00BD309D" w:rsidRDefault="00BD309D" w:rsidP="00BD309D">
      <w:pPr>
        <w:pStyle w:val="SingleTxtGR"/>
        <w:rPr>
          <w:b/>
        </w:rPr>
      </w:pPr>
      <w:r w:rsidRPr="00BD309D">
        <w:rPr>
          <w:b/>
        </w:rPr>
        <w:tab/>
      </w:r>
      <w:r w:rsidR="00CC3DA6" w:rsidRPr="00BD309D">
        <w:rPr>
          <w:b/>
        </w:rPr>
        <w:t>b)</w:t>
      </w:r>
      <w:r w:rsidR="00CC3DA6" w:rsidRPr="00BD309D">
        <w:rPr>
          <w:b/>
        </w:rPr>
        <w:tab/>
        <w:t>предоставлять таким детям незамедлительную комплексную помощь с учетом потребностей ребенка и гендерных особенностей в целях их ф</w:t>
      </w:r>
      <w:r w:rsidR="00CC3DA6" w:rsidRPr="00BD309D">
        <w:rPr>
          <w:b/>
        </w:rPr>
        <w:t>и</w:t>
      </w:r>
      <w:r w:rsidR="00CC3DA6" w:rsidRPr="00BD309D">
        <w:rPr>
          <w:b/>
        </w:rPr>
        <w:t>зического и психологического восстановления и обеспечить уделение первоочередного внимания</w:t>
      </w:r>
      <w:r w:rsidR="00477611">
        <w:rPr>
          <w:b/>
        </w:rPr>
        <w:t xml:space="preserve"> </w:t>
      </w:r>
      <w:r w:rsidR="00CC3DA6" w:rsidRPr="00BD309D">
        <w:rPr>
          <w:b/>
        </w:rPr>
        <w:t>освобождению, восстановлению и социальной реинтеграции детей, связанных с негосударственными вооруженными с</w:t>
      </w:r>
      <w:r w:rsidR="00CC3DA6" w:rsidRPr="00BD309D">
        <w:rPr>
          <w:b/>
        </w:rPr>
        <w:t>и</w:t>
      </w:r>
      <w:r w:rsidR="00CC3DA6" w:rsidRPr="00BD309D">
        <w:rPr>
          <w:b/>
        </w:rPr>
        <w:t>лами или группировками;</w:t>
      </w:r>
    </w:p>
    <w:p w:rsidR="00CC3DA6" w:rsidRPr="00BD309D" w:rsidRDefault="00BD309D" w:rsidP="00BD309D">
      <w:pPr>
        <w:pStyle w:val="SingleTxtGR"/>
      </w:pPr>
      <w:r w:rsidRPr="00BD309D">
        <w:rPr>
          <w:b/>
        </w:rPr>
        <w:tab/>
      </w:r>
      <w:r w:rsidR="00CC3DA6" w:rsidRPr="00BD309D">
        <w:rPr>
          <w:b/>
        </w:rPr>
        <w:t>с)</w:t>
      </w:r>
      <w:r w:rsidR="00CC3DA6" w:rsidRPr="00BD309D">
        <w:rPr>
          <w:b/>
        </w:rPr>
        <w:tab/>
        <w:t>создать систему последующих действий на уровне общин для обеспечения детям возможности поступления в школы и получения мед</w:t>
      </w:r>
      <w:r w:rsidR="00CC3DA6" w:rsidRPr="00BD309D">
        <w:rPr>
          <w:b/>
        </w:rPr>
        <w:t>и</w:t>
      </w:r>
      <w:r w:rsidR="00CC3DA6" w:rsidRPr="00BD309D">
        <w:rPr>
          <w:b/>
        </w:rPr>
        <w:t>цинско</w:t>
      </w:r>
      <w:r w:rsidR="002314C4">
        <w:rPr>
          <w:b/>
        </w:rPr>
        <w:t>й помощи</w:t>
      </w:r>
      <w:r w:rsidR="00CC3DA6" w:rsidRPr="00BD309D">
        <w:rPr>
          <w:b/>
        </w:rPr>
        <w:t>, если это необходимо, и недопущении их стигмат</w:t>
      </w:r>
      <w:r w:rsidR="00CC3DA6" w:rsidRPr="00BD309D">
        <w:rPr>
          <w:b/>
        </w:rPr>
        <w:t>и</w:t>
      </w:r>
      <w:r w:rsidR="00CC3DA6" w:rsidRPr="00BD309D">
        <w:rPr>
          <w:b/>
        </w:rPr>
        <w:t>зации.</w:t>
      </w:r>
    </w:p>
    <w:p w:rsidR="00CC3DA6" w:rsidRPr="0032667B" w:rsidRDefault="00CC3DA6" w:rsidP="00992F96">
      <w:pPr>
        <w:pStyle w:val="H1GR"/>
      </w:pPr>
      <w:r w:rsidRPr="000362BA">
        <w:rPr>
          <w:szCs w:val="24"/>
        </w:rPr>
        <w:tab/>
      </w:r>
      <w:r w:rsidRPr="0032667B">
        <w:tab/>
        <w:t>Экспорт оружия</w:t>
      </w:r>
    </w:p>
    <w:p w:rsidR="00CC3DA6" w:rsidRPr="00BD309D" w:rsidRDefault="00CC3DA6" w:rsidP="00BD309D">
      <w:pPr>
        <w:pStyle w:val="SingleTxtGR"/>
      </w:pPr>
      <w:r w:rsidRPr="00BD309D">
        <w:t>44.</w:t>
      </w:r>
      <w:r w:rsidRPr="00BD309D">
        <w:tab/>
        <w:t>Комитет обеспокоен отсутствием информации о законодательстве, кот</w:t>
      </w:r>
      <w:r w:rsidRPr="00BD309D">
        <w:t>о</w:t>
      </w:r>
      <w:r w:rsidRPr="00BD309D">
        <w:t>рое бы безоговорочно запрещало и криминализовало торговлю оружием и его экспорт, включая легкое и стрелковое оружие, в страны, где, как известно, дети участвуют или участвовали в вооруженных конфликтах. Комитет также обесп</w:t>
      </w:r>
      <w:r w:rsidRPr="00BD309D">
        <w:t>о</w:t>
      </w:r>
      <w:r w:rsidRPr="00BD309D">
        <w:t>коен тем, что государство-участник не ратифицировало Конвенцию о класте</w:t>
      </w:r>
      <w:r w:rsidRPr="00BD309D">
        <w:t>р</w:t>
      </w:r>
      <w:r w:rsidRPr="00BD309D">
        <w:t>ных боеприпасах 2008 года.</w:t>
      </w:r>
    </w:p>
    <w:p w:rsidR="00CC3DA6" w:rsidRPr="00BD309D" w:rsidRDefault="00CC3DA6" w:rsidP="00BD309D">
      <w:pPr>
        <w:pStyle w:val="SingleTxtGR"/>
        <w:rPr>
          <w:b/>
        </w:rPr>
      </w:pPr>
      <w:r w:rsidRPr="00BD309D">
        <w:t>45.</w:t>
      </w:r>
      <w:r w:rsidRPr="00BD309D">
        <w:tab/>
      </w:r>
      <w:r w:rsidRPr="00BD309D">
        <w:rPr>
          <w:b/>
        </w:rPr>
        <w:t>Комитет рекомендует государству-участнику:</w:t>
      </w:r>
    </w:p>
    <w:p w:rsidR="00CC3DA6" w:rsidRPr="00BD309D" w:rsidRDefault="00BD309D" w:rsidP="00BD309D">
      <w:pPr>
        <w:pStyle w:val="SingleTxtGR"/>
        <w:rPr>
          <w:b/>
        </w:rPr>
      </w:pPr>
      <w:r w:rsidRPr="00BD309D">
        <w:rPr>
          <w:b/>
        </w:rPr>
        <w:tab/>
      </w:r>
      <w:r w:rsidR="00CC3DA6" w:rsidRPr="00BD309D">
        <w:rPr>
          <w:b/>
        </w:rPr>
        <w:t>а)</w:t>
      </w:r>
      <w:r w:rsidR="00CC3DA6" w:rsidRPr="00BD309D">
        <w:rPr>
          <w:b/>
        </w:rPr>
        <w:tab/>
        <w:t>принять законодательство, которое бы безоговорочно запрещ</w:t>
      </w:r>
      <w:r w:rsidR="00CC3DA6" w:rsidRPr="00BD309D">
        <w:rPr>
          <w:b/>
        </w:rPr>
        <w:t>а</w:t>
      </w:r>
      <w:r w:rsidR="00CC3DA6" w:rsidRPr="00BD309D">
        <w:rPr>
          <w:b/>
        </w:rPr>
        <w:t>ло торговлю оружием и его экспорт, включая легкое и стрелковое оружие, в стр</w:t>
      </w:r>
      <w:r w:rsidR="00CC3DA6" w:rsidRPr="00BD309D">
        <w:rPr>
          <w:b/>
        </w:rPr>
        <w:t>а</w:t>
      </w:r>
      <w:r w:rsidR="00CC3DA6" w:rsidRPr="00BD309D">
        <w:rPr>
          <w:b/>
        </w:rPr>
        <w:t>ны, где, как известно, дети участвуют или участвовали в вооруженных ко</w:t>
      </w:r>
      <w:r w:rsidR="00CC3DA6" w:rsidRPr="00BD309D">
        <w:rPr>
          <w:b/>
        </w:rPr>
        <w:t>н</w:t>
      </w:r>
      <w:r w:rsidR="00CC3DA6" w:rsidRPr="00BD309D">
        <w:rPr>
          <w:b/>
        </w:rPr>
        <w:t>фликтах;</w:t>
      </w:r>
    </w:p>
    <w:p w:rsidR="00CC3DA6" w:rsidRPr="00BD309D" w:rsidRDefault="00BD309D" w:rsidP="00BD309D">
      <w:pPr>
        <w:pStyle w:val="SingleTxtGR"/>
        <w:rPr>
          <w:b/>
        </w:rPr>
      </w:pPr>
      <w:r w:rsidRPr="00BD309D">
        <w:rPr>
          <w:b/>
        </w:rPr>
        <w:tab/>
      </w:r>
      <w:r w:rsidR="00CC3DA6" w:rsidRPr="00BD309D">
        <w:rPr>
          <w:b/>
        </w:rPr>
        <w:t>b)</w:t>
      </w:r>
      <w:r w:rsidR="00CC3DA6" w:rsidRPr="00BD309D">
        <w:rPr>
          <w:b/>
        </w:rPr>
        <w:tab/>
        <w:t>обеспечить введение уголовной ответственности за незаконную деятел</w:t>
      </w:r>
      <w:r w:rsidR="00CC3DA6" w:rsidRPr="00BD309D">
        <w:rPr>
          <w:b/>
        </w:rPr>
        <w:t>ь</w:t>
      </w:r>
      <w:r w:rsidR="00CC3DA6" w:rsidRPr="00BD309D">
        <w:rPr>
          <w:b/>
        </w:rPr>
        <w:t>ность, включая изготовление и продажу легкого и стрелкового оружия,</w:t>
      </w:r>
      <w:r w:rsidR="00477611">
        <w:rPr>
          <w:b/>
        </w:rPr>
        <w:t xml:space="preserve"> </w:t>
      </w:r>
      <w:r w:rsidR="00CC3DA6" w:rsidRPr="00BD309D">
        <w:rPr>
          <w:b/>
        </w:rPr>
        <w:t>учет огнестрельного оружия и его маркировку;</w:t>
      </w:r>
    </w:p>
    <w:p w:rsidR="00CC3DA6" w:rsidRPr="00BD309D" w:rsidRDefault="00BD309D" w:rsidP="00BD309D">
      <w:pPr>
        <w:pStyle w:val="SingleTxtGR"/>
      </w:pPr>
      <w:r w:rsidRPr="00BD309D">
        <w:rPr>
          <w:b/>
        </w:rPr>
        <w:tab/>
      </w:r>
      <w:r w:rsidR="00CC3DA6" w:rsidRPr="00BD309D">
        <w:rPr>
          <w:b/>
        </w:rPr>
        <w:t>с)</w:t>
      </w:r>
      <w:r w:rsidR="00CC3DA6" w:rsidRPr="00BD309D">
        <w:rPr>
          <w:b/>
        </w:rPr>
        <w:tab/>
        <w:t>рассмотреть вопрос о ратификации Конвенции о кластерных боеприпасах 2008 года.</w:t>
      </w:r>
    </w:p>
    <w:p w:rsidR="00CC3DA6" w:rsidRPr="00337E07" w:rsidRDefault="00CC3DA6" w:rsidP="00337E07">
      <w:pPr>
        <w:pStyle w:val="HChGR"/>
        <w:rPr>
          <w:rFonts w:eastAsia="SimSun"/>
        </w:rPr>
      </w:pPr>
      <w:r w:rsidRPr="00337E07">
        <w:rPr>
          <w:rFonts w:eastAsia="SimSun"/>
        </w:rPr>
        <w:tab/>
        <w:t>VII.</w:t>
      </w:r>
      <w:r w:rsidRPr="00337E07">
        <w:rPr>
          <w:rFonts w:eastAsia="SimSun"/>
        </w:rPr>
        <w:tab/>
        <w:t>Международная помощь и сотрудничество</w:t>
      </w:r>
    </w:p>
    <w:p w:rsidR="00CC3DA6" w:rsidRPr="0032667B" w:rsidRDefault="00CC3DA6" w:rsidP="00992F96">
      <w:pPr>
        <w:pStyle w:val="H1GR"/>
      </w:pPr>
      <w:r w:rsidRPr="00CC3DA6">
        <w:rPr>
          <w:szCs w:val="24"/>
          <w:lang w:val="en-US"/>
        </w:rPr>
        <w:tab/>
      </w:r>
      <w:r w:rsidRPr="0032667B">
        <w:tab/>
        <w:t>Международное сотрудничество</w:t>
      </w:r>
    </w:p>
    <w:p w:rsidR="00CC3DA6" w:rsidRPr="00BD309D" w:rsidRDefault="00CC3DA6" w:rsidP="00BD309D">
      <w:pPr>
        <w:pStyle w:val="SingleTxtGR"/>
      </w:pPr>
      <w:r w:rsidRPr="00BD309D">
        <w:t>46.</w:t>
      </w:r>
      <w:r w:rsidRPr="00BD309D">
        <w:tab/>
      </w:r>
      <w:r w:rsidRPr="00BD309D">
        <w:rPr>
          <w:b/>
        </w:rPr>
        <w:t>Комитет рекомендует государству-участнику продолжать и расш</w:t>
      </w:r>
      <w:r w:rsidRPr="00BD309D">
        <w:rPr>
          <w:b/>
        </w:rPr>
        <w:t>и</w:t>
      </w:r>
      <w:r w:rsidRPr="00BD309D">
        <w:rPr>
          <w:b/>
        </w:rPr>
        <w:t>рять со</w:t>
      </w:r>
      <w:r w:rsidR="002345F0">
        <w:rPr>
          <w:b/>
        </w:rPr>
        <w:t>трудничество с Международным к</w:t>
      </w:r>
      <w:r w:rsidRPr="00BD309D">
        <w:rPr>
          <w:b/>
        </w:rPr>
        <w:t>омитетом Красного Креста и Сп</w:t>
      </w:r>
      <w:r w:rsidRPr="00BD309D">
        <w:rPr>
          <w:b/>
        </w:rPr>
        <w:t>е</w:t>
      </w:r>
      <w:r w:rsidRPr="00BD309D">
        <w:rPr>
          <w:b/>
        </w:rPr>
        <w:t>циальным докладчиком Генерального секретаря по вопросу участия детей в вооруженных конфликтах, а также изучить возможность расширения с</w:t>
      </w:r>
      <w:r w:rsidRPr="00BD309D">
        <w:rPr>
          <w:b/>
        </w:rPr>
        <w:t>о</w:t>
      </w:r>
      <w:r w:rsidRPr="00BD309D">
        <w:rPr>
          <w:b/>
        </w:rPr>
        <w:t>трудничества с ЮНИСЕФ и другими учреждениями системы Орг</w:t>
      </w:r>
      <w:r w:rsidRPr="00BD309D">
        <w:rPr>
          <w:b/>
        </w:rPr>
        <w:t>а</w:t>
      </w:r>
      <w:r w:rsidRPr="00BD309D">
        <w:rPr>
          <w:b/>
        </w:rPr>
        <w:t>низации Объединенных Наций в целях осуществления Факультативного протокола.</w:t>
      </w:r>
    </w:p>
    <w:p w:rsidR="00CC3DA6" w:rsidRPr="00337E07" w:rsidRDefault="00CC3DA6" w:rsidP="00337E07">
      <w:pPr>
        <w:pStyle w:val="HChGR"/>
        <w:rPr>
          <w:rFonts w:eastAsia="SimSun"/>
        </w:rPr>
      </w:pPr>
      <w:r w:rsidRPr="00337E07">
        <w:rPr>
          <w:rFonts w:eastAsia="SimSun"/>
        </w:rPr>
        <w:tab/>
        <w:t>VIII.</w:t>
      </w:r>
      <w:r w:rsidRPr="00337E07">
        <w:rPr>
          <w:rFonts w:eastAsia="SimSun"/>
        </w:rPr>
        <w:tab/>
        <w:t>Последующие действия и распространение информации</w:t>
      </w:r>
    </w:p>
    <w:p w:rsidR="00CC3DA6" w:rsidRPr="00BD309D" w:rsidRDefault="00CC3DA6" w:rsidP="00BD309D">
      <w:pPr>
        <w:pStyle w:val="SingleTxtGR"/>
      </w:pPr>
      <w:r w:rsidRPr="00BD309D">
        <w:t>47.</w:t>
      </w:r>
      <w:r w:rsidRPr="00BD309D">
        <w:tab/>
      </w:r>
      <w:r w:rsidRPr="00BD309D">
        <w:rPr>
          <w:b/>
        </w:rPr>
        <w:t>Комитет рекомендует государству-участнику принять все надлеж</w:t>
      </w:r>
      <w:r w:rsidRPr="00BD309D">
        <w:rPr>
          <w:b/>
        </w:rPr>
        <w:t>а</w:t>
      </w:r>
      <w:r w:rsidRPr="00BD309D">
        <w:rPr>
          <w:b/>
        </w:rPr>
        <w:t>щие меры для обеспечения полного выполнения рекомендаций, содерж</w:t>
      </w:r>
      <w:r w:rsidRPr="00BD309D">
        <w:rPr>
          <w:b/>
        </w:rPr>
        <w:t>а</w:t>
      </w:r>
      <w:r w:rsidRPr="00BD309D">
        <w:rPr>
          <w:b/>
        </w:rPr>
        <w:t>щихся в настоящих заключительных замечаниях, в частности путем пр</w:t>
      </w:r>
      <w:r w:rsidRPr="00BD309D">
        <w:rPr>
          <w:b/>
        </w:rPr>
        <w:t>е</w:t>
      </w:r>
      <w:r w:rsidRPr="00BD309D">
        <w:rPr>
          <w:b/>
        </w:rPr>
        <w:t>провождения их парламенту, соответствующим министерствам, включая Министерство обороны, Верховный суд и местные органы власти для на</w:t>
      </w:r>
      <w:r w:rsidRPr="00BD309D">
        <w:rPr>
          <w:b/>
        </w:rPr>
        <w:t>д</w:t>
      </w:r>
      <w:r w:rsidRPr="00BD309D">
        <w:rPr>
          <w:b/>
        </w:rPr>
        <w:t>лежащего рассмотрения</w:t>
      </w:r>
      <w:r w:rsidR="00477611">
        <w:rPr>
          <w:b/>
        </w:rPr>
        <w:t xml:space="preserve"> </w:t>
      </w:r>
      <w:r w:rsidRPr="00BD309D">
        <w:rPr>
          <w:b/>
        </w:rPr>
        <w:t>и принятия последующих мер.</w:t>
      </w:r>
    </w:p>
    <w:p w:rsidR="00CC3DA6" w:rsidRPr="00BD309D" w:rsidRDefault="00CC3DA6" w:rsidP="00BD309D">
      <w:pPr>
        <w:pStyle w:val="SingleTxtGR"/>
      </w:pPr>
      <w:r w:rsidRPr="00BD309D">
        <w:t>48.</w:t>
      </w:r>
      <w:r w:rsidRPr="00BD309D">
        <w:tab/>
      </w:r>
      <w:r w:rsidRPr="00BD309D">
        <w:rPr>
          <w:b/>
        </w:rPr>
        <w:t>Комитет рекомендует принять меры к широкому распространению первоначального доклада и письменных ответов, представленных госуда</w:t>
      </w:r>
      <w:r w:rsidRPr="00BD309D">
        <w:rPr>
          <w:b/>
        </w:rPr>
        <w:t>р</w:t>
      </w:r>
      <w:r w:rsidRPr="00BD309D">
        <w:rPr>
          <w:b/>
        </w:rPr>
        <w:t>ством-участником, а также настоящих заключительных замечаний, в том числе, но не исключительно, через интернет среди широкой общественн</w:t>
      </w:r>
      <w:r w:rsidRPr="00BD309D">
        <w:rPr>
          <w:b/>
        </w:rPr>
        <w:t>о</w:t>
      </w:r>
      <w:r w:rsidR="00477611">
        <w:rPr>
          <w:b/>
        </w:rPr>
        <w:t>сти, организаци</w:t>
      </w:r>
      <w:r w:rsidRPr="00BD309D">
        <w:rPr>
          <w:b/>
        </w:rPr>
        <w:t>й гражданского об</w:t>
      </w:r>
      <w:r w:rsidR="00477611">
        <w:rPr>
          <w:b/>
        </w:rPr>
        <w:t>щества, молодежных групп, групп</w:t>
      </w:r>
      <w:r w:rsidRPr="00BD309D">
        <w:rPr>
          <w:b/>
        </w:rPr>
        <w:t xml:space="preserve"> сп</w:t>
      </w:r>
      <w:r w:rsidRPr="00BD309D">
        <w:rPr>
          <w:b/>
        </w:rPr>
        <w:t>е</w:t>
      </w:r>
      <w:r w:rsidRPr="00BD309D">
        <w:rPr>
          <w:b/>
        </w:rPr>
        <w:t xml:space="preserve">циалистов и детей </w:t>
      </w:r>
      <w:r w:rsidR="00477611">
        <w:rPr>
          <w:b/>
        </w:rPr>
        <w:t xml:space="preserve">для развертывания обсуждения и </w:t>
      </w:r>
      <w:r w:rsidRPr="00BD309D">
        <w:rPr>
          <w:b/>
        </w:rPr>
        <w:t>повышения осведо</w:t>
      </w:r>
      <w:r w:rsidRPr="00BD309D">
        <w:rPr>
          <w:b/>
        </w:rPr>
        <w:t>м</w:t>
      </w:r>
      <w:r w:rsidRPr="00BD309D">
        <w:rPr>
          <w:b/>
        </w:rPr>
        <w:t>ленности о Факультативном протоколе, его осуществлении и монит</w:t>
      </w:r>
      <w:r w:rsidRPr="00BD309D">
        <w:rPr>
          <w:b/>
        </w:rPr>
        <w:t>о</w:t>
      </w:r>
      <w:r w:rsidRPr="00BD309D">
        <w:rPr>
          <w:b/>
        </w:rPr>
        <w:t>ринге.</w:t>
      </w:r>
    </w:p>
    <w:p w:rsidR="00CC3DA6" w:rsidRPr="00337E07" w:rsidRDefault="00CC3DA6" w:rsidP="00337E07">
      <w:pPr>
        <w:pStyle w:val="HChGR"/>
        <w:rPr>
          <w:rFonts w:eastAsia="SimSun"/>
        </w:rPr>
      </w:pPr>
      <w:r w:rsidRPr="00337E07">
        <w:rPr>
          <w:rFonts w:eastAsia="SimSun"/>
        </w:rPr>
        <w:tab/>
        <w:t>IX.</w:t>
      </w:r>
      <w:r w:rsidRPr="00337E07">
        <w:rPr>
          <w:rFonts w:eastAsia="SimSun"/>
        </w:rPr>
        <w:tab/>
        <w:t>Следующий доклад</w:t>
      </w:r>
    </w:p>
    <w:p w:rsidR="00BD309D" w:rsidRPr="00B12350" w:rsidRDefault="00CC3DA6" w:rsidP="00BD309D">
      <w:pPr>
        <w:pStyle w:val="SingleTxtGR"/>
      </w:pPr>
      <w:r w:rsidRPr="00BD309D">
        <w:t>49.</w:t>
      </w:r>
      <w:r w:rsidRPr="00BD309D">
        <w:tab/>
      </w:r>
      <w:r w:rsidRPr="00BD309D">
        <w:rPr>
          <w:b/>
        </w:rPr>
        <w:t>В соответствии с пунктом 2 статьи 8 Факультативного протокола Комитет просит государство-участник включить последующую информ</w:t>
      </w:r>
      <w:r w:rsidRPr="00BD309D">
        <w:rPr>
          <w:b/>
        </w:rPr>
        <w:t>а</w:t>
      </w:r>
      <w:r w:rsidRPr="00BD309D">
        <w:rPr>
          <w:b/>
        </w:rPr>
        <w:t>цию об осуществлении Протокола и рекомендаций, содержащихся в н</w:t>
      </w:r>
      <w:r w:rsidRPr="00BD309D">
        <w:rPr>
          <w:b/>
        </w:rPr>
        <w:t>а</w:t>
      </w:r>
      <w:r w:rsidRPr="00BD309D">
        <w:rPr>
          <w:b/>
        </w:rPr>
        <w:t>стоящих заключительных замечаниях</w:t>
      </w:r>
      <w:r w:rsidR="003039D9">
        <w:rPr>
          <w:b/>
        </w:rPr>
        <w:t>,</w:t>
      </w:r>
      <w:r w:rsidRPr="00BD309D">
        <w:rPr>
          <w:b/>
        </w:rPr>
        <w:t xml:space="preserve"> в свой следующий периодический доклад, который должен быть пред</w:t>
      </w:r>
      <w:r w:rsidR="00477611">
        <w:rPr>
          <w:b/>
        </w:rPr>
        <w:t>ставлен Комитету в соответствии</w:t>
      </w:r>
      <w:r w:rsidR="00477611">
        <w:rPr>
          <w:b/>
        </w:rPr>
        <w:br/>
      </w:r>
      <w:r w:rsidRPr="00BD309D">
        <w:rPr>
          <w:b/>
        </w:rPr>
        <w:t>со статьей 44 Конвенции о правах ребенка.</w:t>
      </w:r>
      <w:r w:rsidR="00BD309D" w:rsidRPr="00BD309D">
        <w:t xml:space="preserve"> </w:t>
      </w:r>
    </w:p>
    <w:p w:rsidR="00BD309D" w:rsidRPr="00BD309D" w:rsidRDefault="00BD309D" w:rsidP="00BD309D">
      <w:pPr>
        <w:spacing w:before="240" w:after="720"/>
        <w:jc w:val="center"/>
        <w:rPr>
          <w:color w:val="000000"/>
          <w:u w:val="single"/>
          <w:lang w:val="ru-RU"/>
        </w:rPr>
      </w:pPr>
      <w:r w:rsidRPr="00BD309D">
        <w:rPr>
          <w:color w:val="000000"/>
          <w:u w:val="single"/>
          <w:lang w:val="ru-RU"/>
        </w:rPr>
        <w:tab/>
      </w:r>
      <w:r w:rsidRPr="00BD309D">
        <w:rPr>
          <w:color w:val="000000"/>
          <w:u w:val="single"/>
          <w:lang w:val="ru-RU"/>
        </w:rPr>
        <w:tab/>
      </w:r>
      <w:r w:rsidRPr="00BD309D">
        <w:rPr>
          <w:color w:val="000000"/>
          <w:u w:val="single"/>
          <w:lang w:val="ru-RU"/>
        </w:rPr>
        <w:tab/>
      </w:r>
    </w:p>
    <w:sectPr w:rsidR="00BD309D" w:rsidRPr="00BD309D" w:rsidSect="000550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D" w:rsidRDefault="00E4208D"/>
  </w:endnote>
  <w:endnote w:type="continuationSeparator" w:id="0">
    <w:p w:rsidR="00E4208D" w:rsidRDefault="00E4208D"/>
  </w:endnote>
  <w:endnote w:type="continuationNotice" w:id="1">
    <w:p w:rsidR="00E4208D" w:rsidRDefault="00E42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E2" w:rsidRPr="00945C7A" w:rsidRDefault="00F066E2" w:rsidP="003F265F">
    <w:pPr>
      <w:pStyle w:val="Footer"/>
      <w:tabs>
        <w:tab w:val="right" w:pos="9639"/>
      </w:tabs>
      <w:rPr>
        <w:lang w:val="ru-RU"/>
      </w:rPr>
    </w:pPr>
    <w:r w:rsidRPr="00055024">
      <w:rPr>
        <w:b/>
        <w:sz w:val="18"/>
      </w:rPr>
      <w:fldChar w:fldCharType="begin"/>
    </w:r>
    <w:r w:rsidRPr="00055024">
      <w:rPr>
        <w:b/>
        <w:sz w:val="18"/>
      </w:rPr>
      <w:instrText xml:space="preserve"> PAGE  \* MERGEFORMAT </w:instrText>
    </w:r>
    <w:r w:rsidRPr="00055024">
      <w:rPr>
        <w:b/>
        <w:sz w:val="18"/>
      </w:rPr>
      <w:fldChar w:fldCharType="separate"/>
    </w:r>
    <w:r w:rsidR="00B832A7">
      <w:rPr>
        <w:b/>
        <w:noProof/>
        <w:sz w:val="18"/>
      </w:rPr>
      <w:t>10</w:t>
    </w:r>
    <w:r w:rsidRPr="00055024">
      <w:rPr>
        <w:b/>
        <w:sz w:val="18"/>
      </w:rPr>
      <w:fldChar w:fldCharType="end"/>
    </w:r>
    <w:r w:rsidRPr="003F265F">
      <w:rPr>
        <w:lang w:val="en-US"/>
      </w:rPr>
      <w:t xml:space="preserve"> </w:t>
    </w:r>
    <w:r>
      <w:rPr>
        <w:lang w:val="en-US"/>
      </w:rPr>
      <w:tab/>
      <w:t>GE.14- 07621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E2" w:rsidRPr="00055024" w:rsidRDefault="00F066E2" w:rsidP="00055024">
    <w:pPr>
      <w:pStyle w:val="Footer"/>
      <w:tabs>
        <w:tab w:val="right" w:pos="9638"/>
      </w:tabs>
      <w:rPr>
        <w:b/>
        <w:sz w:val="18"/>
      </w:rPr>
    </w:pPr>
    <w:r>
      <w:rPr>
        <w:lang w:val="en-US"/>
      </w:rPr>
      <w:t>GE.14- 07621</w:t>
    </w:r>
    <w:r>
      <w:tab/>
    </w:r>
    <w:r w:rsidRPr="00055024">
      <w:rPr>
        <w:b/>
        <w:sz w:val="18"/>
      </w:rPr>
      <w:fldChar w:fldCharType="begin"/>
    </w:r>
    <w:r w:rsidRPr="00055024">
      <w:rPr>
        <w:b/>
        <w:sz w:val="18"/>
      </w:rPr>
      <w:instrText xml:space="preserve"> PAGE  \* MERGEFORMAT </w:instrText>
    </w:r>
    <w:r w:rsidRPr="00055024">
      <w:rPr>
        <w:b/>
        <w:sz w:val="18"/>
      </w:rPr>
      <w:fldChar w:fldCharType="separate"/>
    </w:r>
    <w:r w:rsidR="00B832A7">
      <w:rPr>
        <w:b/>
        <w:noProof/>
        <w:sz w:val="18"/>
      </w:rPr>
      <w:t>11</w:t>
    </w:r>
    <w:r w:rsidRPr="000550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2"/>
      <w:gridCol w:w="4535"/>
      <w:gridCol w:w="1199"/>
    </w:tblGrid>
    <w:tr w:rsidR="00F066E2" w:rsidRPr="004765CA" w:rsidTr="000F5FDB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F066E2" w:rsidRPr="000F5FDB" w:rsidRDefault="00F066E2" w:rsidP="008E707E">
          <w:pPr>
            <w:pStyle w:val="Footer"/>
            <w:rPr>
              <w:sz w:val="20"/>
              <w:lang w:val="en-US"/>
            </w:rPr>
          </w:pPr>
          <w:r w:rsidRPr="000F5FDB">
            <w:rPr>
              <w:sz w:val="20"/>
              <w:lang w:val="en-US"/>
            </w:rPr>
            <w:t>GE.14-07621  (R)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F066E2" w:rsidRPr="000F5FDB" w:rsidRDefault="00F066E2" w:rsidP="000F5FDB">
          <w:pPr>
            <w:pStyle w:val="Footer"/>
            <w:jc w:val="right"/>
            <w:rPr>
              <w:b/>
            </w:rPr>
          </w:pPr>
          <w:r w:rsidRPr="000F5FDB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F066E2" w:rsidRPr="004765CA" w:rsidRDefault="00F066E2" w:rsidP="000F5FDB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F066E2" w:rsidRPr="004765CA" w:rsidRDefault="00F066E2" w:rsidP="000F5FDB">
          <w:pPr>
            <w:pStyle w:val="Footer"/>
            <w:jc w:val="right"/>
          </w:pPr>
          <w:r>
            <w:rPr>
              <w:noProof/>
              <w:lang w:val="ru-RU" w:eastAsia="ru-RU"/>
            </w:rPr>
            <w:pict>
              <v:shape id="_x0000_s2049" type="#_x0000_t75" style="position:absolute;left:0;text-align:left;margin-left:8.5pt;margin-top:-63.75pt;width:50.25pt;height:50.25pt;z-index:1;mso-position-horizontal-relative:margin;mso-position-vertical-relative:margin" o:allowoverlap="f">
                <v:imagedata r:id="rId2" o:title="1&amp;Size=2 &amp;Lang=E"/>
                <w10:wrap anchorx="margin" anchory="margin"/>
              </v:shape>
            </w:pict>
          </w:r>
        </w:p>
      </w:tc>
    </w:tr>
    <w:tr w:rsidR="00F066E2" w:rsidRPr="000F5FDB" w:rsidTr="000F5FDB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F066E2" w:rsidRPr="000F5FDB" w:rsidRDefault="00F066E2" w:rsidP="008E707E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0F5FDB">
            <w:rPr>
              <w:rFonts w:ascii="C39T30Lfz" w:hAnsi="C39T30Lfz"/>
              <w:sz w:val="56"/>
              <w:szCs w:val="56"/>
            </w:rPr>
            <w:t></w:t>
          </w:r>
          <w:r w:rsidRPr="000F5FDB">
            <w:rPr>
              <w:rFonts w:ascii="C39T30Lfz" w:hAnsi="C39T30Lfz"/>
              <w:sz w:val="56"/>
              <w:szCs w:val="56"/>
            </w:rPr>
            <w:t></w:t>
          </w:r>
          <w:r w:rsidRPr="000F5FDB">
            <w:rPr>
              <w:rFonts w:ascii="C39T30Lfz" w:hAnsi="C39T30Lfz"/>
              <w:sz w:val="56"/>
              <w:szCs w:val="56"/>
            </w:rPr>
            <w:t></w:t>
          </w:r>
          <w:r w:rsidRPr="000F5FDB">
            <w:rPr>
              <w:rFonts w:ascii="C39T30Lfz" w:hAnsi="C39T30Lfz"/>
              <w:sz w:val="56"/>
              <w:szCs w:val="56"/>
            </w:rPr>
            <w:t></w:t>
          </w:r>
          <w:r w:rsidRPr="000F5FDB">
            <w:rPr>
              <w:rFonts w:ascii="C39T30Lfz" w:hAnsi="C39T30Lfz"/>
              <w:sz w:val="56"/>
              <w:szCs w:val="56"/>
            </w:rPr>
            <w:t></w:t>
          </w:r>
          <w:r w:rsidRPr="000F5FDB">
            <w:rPr>
              <w:rFonts w:ascii="C39T30Lfz" w:hAnsi="C39T30Lfz"/>
              <w:sz w:val="56"/>
              <w:szCs w:val="56"/>
            </w:rPr>
            <w:t></w:t>
          </w:r>
          <w:r w:rsidRPr="000F5FDB">
            <w:rPr>
              <w:rFonts w:ascii="C39T30Lfz" w:hAnsi="C39T30Lfz"/>
              <w:sz w:val="56"/>
              <w:szCs w:val="56"/>
            </w:rPr>
            <w:t></w:t>
          </w:r>
          <w:r w:rsidRPr="000F5FDB">
            <w:rPr>
              <w:rFonts w:ascii="C39T30Lfz" w:hAnsi="C39T30Lfz"/>
              <w:sz w:val="56"/>
              <w:szCs w:val="56"/>
            </w:rPr>
            <w:t></w:t>
          </w:r>
          <w:r w:rsidRPr="000F5FDB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F066E2" w:rsidRPr="000F5FDB" w:rsidRDefault="00F066E2" w:rsidP="008E707E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F066E2" w:rsidRPr="000F5FDB" w:rsidRDefault="00F066E2" w:rsidP="000F5FDB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F066E2" w:rsidRDefault="00F066E2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D" w:rsidRPr="000B175B" w:rsidRDefault="00E420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208D" w:rsidRPr="00FC68B7" w:rsidRDefault="00E420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4208D" w:rsidRDefault="00E4208D"/>
  </w:footnote>
  <w:footnote w:id="2">
    <w:p w:rsidR="00F066E2" w:rsidRPr="00AB0510" w:rsidRDefault="00F066E2">
      <w:pPr>
        <w:pStyle w:val="FootnoteText"/>
        <w:rPr>
          <w:spacing w:val="5"/>
          <w:w w:val="104"/>
          <w:kern w:val="14"/>
          <w:lang w:val="ru-RU" w:eastAsia="ru-RU"/>
        </w:rPr>
      </w:pPr>
      <w:r w:rsidRPr="00CC3DA6">
        <w:rPr>
          <w:rStyle w:val="FootnoteReference"/>
          <w:szCs w:val="18"/>
          <w:lang w:val="ru-RU"/>
        </w:rPr>
        <w:tab/>
      </w:r>
      <w:r w:rsidRPr="00A425C4">
        <w:rPr>
          <w:rStyle w:val="FootnoteReference"/>
          <w:sz w:val="20"/>
          <w:vertAlign w:val="baseline"/>
          <w:lang w:val="ru-RU"/>
        </w:rPr>
        <w:t>*</w:t>
      </w:r>
      <w:r w:rsidRPr="00CC3DA6">
        <w:rPr>
          <w:rStyle w:val="FootnoteReference"/>
          <w:szCs w:val="18"/>
          <w:vertAlign w:val="baseline"/>
          <w:lang w:val="ru-RU"/>
        </w:rPr>
        <w:tab/>
      </w:r>
      <w:r w:rsidRPr="00AB0510">
        <w:rPr>
          <w:spacing w:val="5"/>
          <w:w w:val="104"/>
          <w:kern w:val="14"/>
          <w:lang w:val="ru-RU" w:eastAsia="ru-RU"/>
        </w:rPr>
        <w:t>Принято Комитетом на его шестьдесят шестой сессии (26 мая − 13 июня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E2" w:rsidRPr="00055024" w:rsidRDefault="00F066E2">
    <w:pPr>
      <w:pStyle w:val="Header"/>
    </w:pPr>
    <w:r>
      <w:t>CRC/C/OPAC/IND/CO/1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E2" w:rsidRPr="00055024" w:rsidRDefault="00F066E2" w:rsidP="00055024">
    <w:pPr>
      <w:pStyle w:val="Header"/>
      <w:jc w:val="right"/>
    </w:pPr>
    <w:r>
      <w:t>CRC/C/OPAC/IND/CO/1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575"/>
    <w:multiLevelType w:val="hybridMultilevel"/>
    <w:tmpl w:val="27541A30"/>
    <w:lvl w:ilvl="0" w:tplc="E26A94E2">
      <w:start w:val="1"/>
      <w:numFmt w:val="lowerLetter"/>
      <w:lvlText w:val="(%1)"/>
      <w:lvlJc w:val="left"/>
      <w:pPr>
        <w:ind w:left="2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3CA9"/>
    <w:multiLevelType w:val="hybridMultilevel"/>
    <w:tmpl w:val="20EA378E"/>
    <w:lvl w:ilvl="0" w:tplc="749A936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90298B"/>
    <w:multiLevelType w:val="hybridMultilevel"/>
    <w:tmpl w:val="0AC8077A"/>
    <w:lvl w:ilvl="0" w:tplc="A398AE9C">
      <w:start w:val="1"/>
      <w:numFmt w:val="lowerLetter"/>
      <w:lvlText w:val="(%1)"/>
      <w:lvlJc w:val="left"/>
      <w:pPr>
        <w:ind w:left="20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4" w:hanging="360"/>
      </w:pPr>
    </w:lvl>
    <w:lvl w:ilvl="2" w:tplc="040C001B" w:tentative="1">
      <w:start w:val="1"/>
      <w:numFmt w:val="lowerRoman"/>
      <w:lvlText w:val="%3."/>
      <w:lvlJc w:val="right"/>
      <w:pPr>
        <w:ind w:left="3494" w:hanging="180"/>
      </w:pPr>
    </w:lvl>
    <w:lvl w:ilvl="3" w:tplc="040C000F" w:tentative="1">
      <w:start w:val="1"/>
      <w:numFmt w:val="decimal"/>
      <w:lvlText w:val="%4."/>
      <w:lvlJc w:val="left"/>
      <w:pPr>
        <w:ind w:left="4214" w:hanging="360"/>
      </w:pPr>
    </w:lvl>
    <w:lvl w:ilvl="4" w:tplc="040C0019" w:tentative="1">
      <w:start w:val="1"/>
      <w:numFmt w:val="lowerLetter"/>
      <w:lvlText w:val="%5."/>
      <w:lvlJc w:val="left"/>
      <w:pPr>
        <w:ind w:left="4934" w:hanging="360"/>
      </w:pPr>
    </w:lvl>
    <w:lvl w:ilvl="5" w:tplc="040C001B" w:tentative="1">
      <w:start w:val="1"/>
      <w:numFmt w:val="lowerRoman"/>
      <w:lvlText w:val="%6."/>
      <w:lvlJc w:val="right"/>
      <w:pPr>
        <w:ind w:left="5654" w:hanging="180"/>
      </w:pPr>
    </w:lvl>
    <w:lvl w:ilvl="6" w:tplc="040C000F" w:tentative="1">
      <w:start w:val="1"/>
      <w:numFmt w:val="decimal"/>
      <w:lvlText w:val="%7."/>
      <w:lvlJc w:val="left"/>
      <w:pPr>
        <w:ind w:left="6374" w:hanging="360"/>
      </w:pPr>
    </w:lvl>
    <w:lvl w:ilvl="7" w:tplc="040C0019" w:tentative="1">
      <w:start w:val="1"/>
      <w:numFmt w:val="lowerLetter"/>
      <w:lvlText w:val="%8."/>
      <w:lvlJc w:val="left"/>
      <w:pPr>
        <w:ind w:left="7094" w:hanging="360"/>
      </w:pPr>
    </w:lvl>
    <w:lvl w:ilvl="8" w:tplc="040C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4">
    <w:nsid w:val="2194653B"/>
    <w:multiLevelType w:val="hybridMultilevel"/>
    <w:tmpl w:val="FF945D1C"/>
    <w:lvl w:ilvl="0" w:tplc="7638CF8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1CD0B9A"/>
    <w:multiLevelType w:val="hybridMultilevel"/>
    <w:tmpl w:val="1576D6EE"/>
    <w:lvl w:ilvl="0" w:tplc="FA344ACE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68524B9"/>
    <w:multiLevelType w:val="hybridMultilevel"/>
    <w:tmpl w:val="862A59F2"/>
    <w:lvl w:ilvl="0" w:tplc="225A4378">
      <w:start w:val="1"/>
      <w:numFmt w:val="lowerLetter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479C72E8"/>
    <w:multiLevelType w:val="hybridMultilevel"/>
    <w:tmpl w:val="AFA4D37A"/>
    <w:lvl w:ilvl="0" w:tplc="66786EC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D3C2E5F"/>
    <w:multiLevelType w:val="hybridMultilevel"/>
    <w:tmpl w:val="E64EFD46"/>
    <w:lvl w:ilvl="0" w:tplc="5F60832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31056A3"/>
    <w:multiLevelType w:val="multilevel"/>
    <w:tmpl w:val="D05E34DA"/>
    <w:lvl w:ilvl="0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57BA4ED3"/>
    <w:multiLevelType w:val="hybridMultilevel"/>
    <w:tmpl w:val="0700E8D6"/>
    <w:lvl w:ilvl="0" w:tplc="D2B63678">
      <w:start w:val="24"/>
      <w:numFmt w:val="decimal"/>
      <w:lvlText w:val="%1."/>
      <w:lvlJc w:val="left"/>
      <w:pPr>
        <w:ind w:left="1495" w:hanging="360"/>
      </w:pPr>
      <w:rPr>
        <w:rFonts w:hint="default"/>
        <w:color w:val="262626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936249D"/>
    <w:multiLevelType w:val="hybridMultilevel"/>
    <w:tmpl w:val="4ECA0980"/>
    <w:lvl w:ilvl="0" w:tplc="0AFE244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9624771"/>
    <w:multiLevelType w:val="hybridMultilevel"/>
    <w:tmpl w:val="E836E0DE"/>
    <w:lvl w:ilvl="0" w:tplc="2DD82034">
      <w:start w:val="22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41" w:hanging="360"/>
      </w:pPr>
    </w:lvl>
    <w:lvl w:ilvl="2" w:tplc="0809001B" w:tentative="1">
      <w:start w:val="1"/>
      <w:numFmt w:val="lowerRoman"/>
      <w:lvlText w:val="%3."/>
      <w:lvlJc w:val="right"/>
      <w:pPr>
        <w:ind w:left="5561" w:hanging="180"/>
      </w:pPr>
    </w:lvl>
    <w:lvl w:ilvl="3" w:tplc="0809000F" w:tentative="1">
      <w:start w:val="1"/>
      <w:numFmt w:val="decimal"/>
      <w:lvlText w:val="%4."/>
      <w:lvlJc w:val="left"/>
      <w:pPr>
        <w:ind w:left="6281" w:hanging="360"/>
      </w:pPr>
    </w:lvl>
    <w:lvl w:ilvl="4" w:tplc="08090019" w:tentative="1">
      <w:start w:val="1"/>
      <w:numFmt w:val="lowerLetter"/>
      <w:lvlText w:val="%5."/>
      <w:lvlJc w:val="left"/>
      <w:pPr>
        <w:ind w:left="7001" w:hanging="360"/>
      </w:pPr>
    </w:lvl>
    <w:lvl w:ilvl="5" w:tplc="0809001B" w:tentative="1">
      <w:start w:val="1"/>
      <w:numFmt w:val="lowerRoman"/>
      <w:lvlText w:val="%6."/>
      <w:lvlJc w:val="right"/>
      <w:pPr>
        <w:ind w:left="7721" w:hanging="180"/>
      </w:pPr>
    </w:lvl>
    <w:lvl w:ilvl="6" w:tplc="0809000F" w:tentative="1">
      <w:start w:val="1"/>
      <w:numFmt w:val="decimal"/>
      <w:lvlText w:val="%7."/>
      <w:lvlJc w:val="left"/>
      <w:pPr>
        <w:ind w:left="8441" w:hanging="360"/>
      </w:pPr>
    </w:lvl>
    <w:lvl w:ilvl="7" w:tplc="08090019" w:tentative="1">
      <w:start w:val="1"/>
      <w:numFmt w:val="lowerLetter"/>
      <w:lvlText w:val="%8."/>
      <w:lvlJc w:val="left"/>
      <w:pPr>
        <w:ind w:left="9161" w:hanging="360"/>
      </w:pPr>
    </w:lvl>
    <w:lvl w:ilvl="8" w:tplc="0809001B" w:tentative="1">
      <w:start w:val="1"/>
      <w:numFmt w:val="lowerRoman"/>
      <w:lvlText w:val="%9."/>
      <w:lvlJc w:val="right"/>
      <w:pPr>
        <w:ind w:left="9881" w:hanging="180"/>
      </w:pPr>
    </w:lvl>
  </w:abstractNum>
  <w:abstractNum w:abstractNumId="13">
    <w:nsid w:val="5B8B204C"/>
    <w:multiLevelType w:val="hybridMultilevel"/>
    <w:tmpl w:val="04C6A06A"/>
    <w:lvl w:ilvl="0" w:tplc="5B02E7AA">
      <w:start w:val="24"/>
      <w:numFmt w:val="decimal"/>
      <w:lvlText w:val="%1"/>
      <w:lvlJc w:val="left"/>
      <w:pPr>
        <w:ind w:left="1495" w:hanging="360"/>
      </w:pPr>
      <w:rPr>
        <w:rFonts w:hint="default"/>
        <w:color w:val="262626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E4709FB"/>
    <w:multiLevelType w:val="hybridMultilevel"/>
    <w:tmpl w:val="318631E6"/>
    <w:lvl w:ilvl="0" w:tplc="ABDC81DA">
      <w:start w:val="2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F981AA5"/>
    <w:multiLevelType w:val="hybridMultilevel"/>
    <w:tmpl w:val="8C2294C0"/>
    <w:lvl w:ilvl="0" w:tplc="EED4DD92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54C62DF"/>
    <w:multiLevelType w:val="hybridMultilevel"/>
    <w:tmpl w:val="9FF85FF8"/>
    <w:lvl w:ilvl="0" w:tplc="B106BC8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58577E9"/>
    <w:multiLevelType w:val="hybridMultilevel"/>
    <w:tmpl w:val="C9EABA50"/>
    <w:lvl w:ilvl="0" w:tplc="EE164EC6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3D6CAC74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  <w:b w:val="0"/>
        <w:bCs w:val="0"/>
        <w:i w:val="0"/>
        <w:iCs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B3A88"/>
    <w:multiLevelType w:val="hybridMultilevel"/>
    <w:tmpl w:val="E27C4C48"/>
    <w:lvl w:ilvl="0" w:tplc="D51E6DC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9"/>
  </w:num>
  <w:num w:numId="19">
    <w:abstractNumId w:val="17"/>
  </w:num>
  <w:num w:numId="20">
    <w:abstractNumId w:val="9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024"/>
    <w:rsid w:val="00010840"/>
    <w:rsid w:val="00015E9C"/>
    <w:rsid w:val="000208F5"/>
    <w:rsid w:val="00027E8D"/>
    <w:rsid w:val="000361D3"/>
    <w:rsid w:val="00041232"/>
    <w:rsid w:val="00050F6B"/>
    <w:rsid w:val="00055024"/>
    <w:rsid w:val="00057199"/>
    <w:rsid w:val="00071CD3"/>
    <w:rsid w:val="00072C8C"/>
    <w:rsid w:val="000748AA"/>
    <w:rsid w:val="00081032"/>
    <w:rsid w:val="00091419"/>
    <w:rsid w:val="0009211C"/>
    <w:rsid w:val="000931C0"/>
    <w:rsid w:val="000A23BF"/>
    <w:rsid w:val="000B11FD"/>
    <w:rsid w:val="000B175B"/>
    <w:rsid w:val="000B3A0F"/>
    <w:rsid w:val="000B45CA"/>
    <w:rsid w:val="000C11CF"/>
    <w:rsid w:val="000C3206"/>
    <w:rsid w:val="000E0415"/>
    <w:rsid w:val="000F2A2F"/>
    <w:rsid w:val="000F5FDB"/>
    <w:rsid w:val="00100272"/>
    <w:rsid w:val="001102D6"/>
    <w:rsid w:val="00120694"/>
    <w:rsid w:val="00131B1F"/>
    <w:rsid w:val="001354C2"/>
    <w:rsid w:val="00141F28"/>
    <w:rsid w:val="00142C2E"/>
    <w:rsid w:val="0014556E"/>
    <w:rsid w:val="00172EF0"/>
    <w:rsid w:val="001B4B04"/>
    <w:rsid w:val="001C6663"/>
    <w:rsid w:val="001C7895"/>
    <w:rsid w:val="001D26DF"/>
    <w:rsid w:val="001D2FDC"/>
    <w:rsid w:val="001E3807"/>
    <w:rsid w:val="001F30D5"/>
    <w:rsid w:val="002049D1"/>
    <w:rsid w:val="00211E0B"/>
    <w:rsid w:val="00230289"/>
    <w:rsid w:val="002314C4"/>
    <w:rsid w:val="002345F0"/>
    <w:rsid w:val="00237785"/>
    <w:rsid w:val="00241466"/>
    <w:rsid w:val="00256405"/>
    <w:rsid w:val="00264A3A"/>
    <w:rsid w:val="002666E6"/>
    <w:rsid w:val="00282AC2"/>
    <w:rsid w:val="00285844"/>
    <w:rsid w:val="00287911"/>
    <w:rsid w:val="00294A2E"/>
    <w:rsid w:val="002B1968"/>
    <w:rsid w:val="002E7E8B"/>
    <w:rsid w:val="002F3FDE"/>
    <w:rsid w:val="003039D9"/>
    <w:rsid w:val="00306BCA"/>
    <w:rsid w:val="003107FA"/>
    <w:rsid w:val="003127F9"/>
    <w:rsid w:val="00313447"/>
    <w:rsid w:val="003229D8"/>
    <w:rsid w:val="0032667B"/>
    <w:rsid w:val="00330DE8"/>
    <w:rsid w:val="00334678"/>
    <w:rsid w:val="00336125"/>
    <w:rsid w:val="00337E07"/>
    <w:rsid w:val="003407DC"/>
    <w:rsid w:val="00346C62"/>
    <w:rsid w:val="003508BA"/>
    <w:rsid w:val="00354E80"/>
    <w:rsid w:val="00355C90"/>
    <w:rsid w:val="00363B41"/>
    <w:rsid w:val="0039277A"/>
    <w:rsid w:val="003972E0"/>
    <w:rsid w:val="003C2CC4"/>
    <w:rsid w:val="003D4B23"/>
    <w:rsid w:val="003F1428"/>
    <w:rsid w:val="003F265F"/>
    <w:rsid w:val="00407142"/>
    <w:rsid w:val="00410691"/>
    <w:rsid w:val="004325CB"/>
    <w:rsid w:val="00446DE4"/>
    <w:rsid w:val="004612B7"/>
    <w:rsid w:val="00465F3B"/>
    <w:rsid w:val="00473FF8"/>
    <w:rsid w:val="004747B7"/>
    <w:rsid w:val="00477611"/>
    <w:rsid w:val="00485A7F"/>
    <w:rsid w:val="004A2A05"/>
    <w:rsid w:val="004A7B10"/>
    <w:rsid w:val="004B01D5"/>
    <w:rsid w:val="004B3ACB"/>
    <w:rsid w:val="004B471D"/>
    <w:rsid w:val="004B7C8C"/>
    <w:rsid w:val="004D1F86"/>
    <w:rsid w:val="004D2553"/>
    <w:rsid w:val="004E43F4"/>
    <w:rsid w:val="004F39DA"/>
    <w:rsid w:val="00505AC9"/>
    <w:rsid w:val="0052695E"/>
    <w:rsid w:val="00533821"/>
    <w:rsid w:val="00540C2F"/>
    <w:rsid w:val="005420F2"/>
    <w:rsid w:val="00560115"/>
    <w:rsid w:val="0056490F"/>
    <w:rsid w:val="00577998"/>
    <w:rsid w:val="00585664"/>
    <w:rsid w:val="005A274D"/>
    <w:rsid w:val="005A5F67"/>
    <w:rsid w:val="005B3DB3"/>
    <w:rsid w:val="005C0081"/>
    <w:rsid w:val="005C50EF"/>
    <w:rsid w:val="005D348A"/>
    <w:rsid w:val="005F1654"/>
    <w:rsid w:val="005F761B"/>
    <w:rsid w:val="00611FC4"/>
    <w:rsid w:val="00614B83"/>
    <w:rsid w:val="006176FB"/>
    <w:rsid w:val="00621F84"/>
    <w:rsid w:val="00630DBF"/>
    <w:rsid w:val="00640B26"/>
    <w:rsid w:val="00642491"/>
    <w:rsid w:val="006473D4"/>
    <w:rsid w:val="00652470"/>
    <w:rsid w:val="006564DD"/>
    <w:rsid w:val="006746D5"/>
    <w:rsid w:val="0067489A"/>
    <w:rsid w:val="00682D97"/>
    <w:rsid w:val="00687153"/>
    <w:rsid w:val="006947BB"/>
    <w:rsid w:val="006A22F9"/>
    <w:rsid w:val="006A7392"/>
    <w:rsid w:val="006B3116"/>
    <w:rsid w:val="006B547A"/>
    <w:rsid w:val="006C0D34"/>
    <w:rsid w:val="006C5A0B"/>
    <w:rsid w:val="006C680F"/>
    <w:rsid w:val="006D191E"/>
    <w:rsid w:val="006E564B"/>
    <w:rsid w:val="00700AA1"/>
    <w:rsid w:val="00721C7C"/>
    <w:rsid w:val="00723CA7"/>
    <w:rsid w:val="00725904"/>
    <w:rsid w:val="0072632A"/>
    <w:rsid w:val="00752927"/>
    <w:rsid w:val="00767F1D"/>
    <w:rsid w:val="0077410B"/>
    <w:rsid w:val="00777774"/>
    <w:rsid w:val="007A00B8"/>
    <w:rsid w:val="007B6BA5"/>
    <w:rsid w:val="007C3162"/>
    <w:rsid w:val="007C3390"/>
    <w:rsid w:val="007C4F4B"/>
    <w:rsid w:val="007E0B8C"/>
    <w:rsid w:val="007E7EFB"/>
    <w:rsid w:val="007F3143"/>
    <w:rsid w:val="007F6611"/>
    <w:rsid w:val="00801FE2"/>
    <w:rsid w:val="008068C0"/>
    <w:rsid w:val="008175E9"/>
    <w:rsid w:val="008242D7"/>
    <w:rsid w:val="0084572B"/>
    <w:rsid w:val="00852080"/>
    <w:rsid w:val="008710A8"/>
    <w:rsid w:val="00871FD5"/>
    <w:rsid w:val="00895AC4"/>
    <w:rsid w:val="008979B1"/>
    <w:rsid w:val="008A6B25"/>
    <w:rsid w:val="008A6C4F"/>
    <w:rsid w:val="008C56EB"/>
    <w:rsid w:val="008D7D56"/>
    <w:rsid w:val="008E0E46"/>
    <w:rsid w:val="008E707E"/>
    <w:rsid w:val="008F084C"/>
    <w:rsid w:val="0090351D"/>
    <w:rsid w:val="00903A08"/>
    <w:rsid w:val="00907CC9"/>
    <w:rsid w:val="00912481"/>
    <w:rsid w:val="009212BB"/>
    <w:rsid w:val="0093140D"/>
    <w:rsid w:val="00933D7D"/>
    <w:rsid w:val="00942BE3"/>
    <w:rsid w:val="00945C7A"/>
    <w:rsid w:val="00960A18"/>
    <w:rsid w:val="00963CBA"/>
    <w:rsid w:val="00965F27"/>
    <w:rsid w:val="009676F7"/>
    <w:rsid w:val="00986DE8"/>
    <w:rsid w:val="00991261"/>
    <w:rsid w:val="00991B2C"/>
    <w:rsid w:val="00992F96"/>
    <w:rsid w:val="009954E5"/>
    <w:rsid w:val="009C001C"/>
    <w:rsid w:val="009C64B9"/>
    <w:rsid w:val="009E0465"/>
    <w:rsid w:val="009F1F9A"/>
    <w:rsid w:val="009F3E16"/>
    <w:rsid w:val="009F481A"/>
    <w:rsid w:val="00A046D3"/>
    <w:rsid w:val="00A1427D"/>
    <w:rsid w:val="00A30812"/>
    <w:rsid w:val="00A425C4"/>
    <w:rsid w:val="00A47183"/>
    <w:rsid w:val="00A6022B"/>
    <w:rsid w:val="00A707E3"/>
    <w:rsid w:val="00A72F22"/>
    <w:rsid w:val="00A748A6"/>
    <w:rsid w:val="00A75E69"/>
    <w:rsid w:val="00A76548"/>
    <w:rsid w:val="00A80987"/>
    <w:rsid w:val="00A85F97"/>
    <w:rsid w:val="00A879A4"/>
    <w:rsid w:val="00AA585B"/>
    <w:rsid w:val="00AB013A"/>
    <w:rsid w:val="00AB0510"/>
    <w:rsid w:val="00AB0537"/>
    <w:rsid w:val="00AB3AD4"/>
    <w:rsid w:val="00AC1EDB"/>
    <w:rsid w:val="00AE180E"/>
    <w:rsid w:val="00AE4748"/>
    <w:rsid w:val="00B14BE0"/>
    <w:rsid w:val="00B30179"/>
    <w:rsid w:val="00B3317B"/>
    <w:rsid w:val="00B35C0A"/>
    <w:rsid w:val="00B466B0"/>
    <w:rsid w:val="00B52F1F"/>
    <w:rsid w:val="00B75CF7"/>
    <w:rsid w:val="00B75D73"/>
    <w:rsid w:val="00B81E12"/>
    <w:rsid w:val="00B832A7"/>
    <w:rsid w:val="00B83889"/>
    <w:rsid w:val="00B93068"/>
    <w:rsid w:val="00B9724F"/>
    <w:rsid w:val="00BA0D4B"/>
    <w:rsid w:val="00BA1700"/>
    <w:rsid w:val="00BA6E58"/>
    <w:rsid w:val="00BB4D4E"/>
    <w:rsid w:val="00BC2D79"/>
    <w:rsid w:val="00BC74E9"/>
    <w:rsid w:val="00BD309D"/>
    <w:rsid w:val="00BE618E"/>
    <w:rsid w:val="00BE6459"/>
    <w:rsid w:val="00BF04FB"/>
    <w:rsid w:val="00C01E72"/>
    <w:rsid w:val="00C02CFC"/>
    <w:rsid w:val="00C0689E"/>
    <w:rsid w:val="00C13BEC"/>
    <w:rsid w:val="00C1749C"/>
    <w:rsid w:val="00C278CE"/>
    <w:rsid w:val="00C33C5D"/>
    <w:rsid w:val="00C37056"/>
    <w:rsid w:val="00C4380B"/>
    <w:rsid w:val="00C463DD"/>
    <w:rsid w:val="00C745C3"/>
    <w:rsid w:val="00CA50EE"/>
    <w:rsid w:val="00CB55D3"/>
    <w:rsid w:val="00CC3DA6"/>
    <w:rsid w:val="00CC5CA2"/>
    <w:rsid w:val="00CE1686"/>
    <w:rsid w:val="00CE2385"/>
    <w:rsid w:val="00CE4A8F"/>
    <w:rsid w:val="00CE7585"/>
    <w:rsid w:val="00CF1B94"/>
    <w:rsid w:val="00D11029"/>
    <w:rsid w:val="00D177C3"/>
    <w:rsid w:val="00D2031B"/>
    <w:rsid w:val="00D25FE2"/>
    <w:rsid w:val="00D32200"/>
    <w:rsid w:val="00D43252"/>
    <w:rsid w:val="00D4795C"/>
    <w:rsid w:val="00D51F1F"/>
    <w:rsid w:val="00D53903"/>
    <w:rsid w:val="00D978C6"/>
    <w:rsid w:val="00DA1947"/>
    <w:rsid w:val="00DA67AD"/>
    <w:rsid w:val="00DB4442"/>
    <w:rsid w:val="00DC2838"/>
    <w:rsid w:val="00DC3CC8"/>
    <w:rsid w:val="00DC5BA7"/>
    <w:rsid w:val="00DC6E36"/>
    <w:rsid w:val="00DF2342"/>
    <w:rsid w:val="00E03CFF"/>
    <w:rsid w:val="00E130AB"/>
    <w:rsid w:val="00E157E0"/>
    <w:rsid w:val="00E233EE"/>
    <w:rsid w:val="00E319CD"/>
    <w:rsid w:val="00E4208D"/>
    <w:rsid w:val="00E520AA"/>
    <w:rsid w:val="00E5644E"/>
    <w:rsid w:val="00E70595"/>
    <w:rsid w:val="00E7260F"/>
    <w:rsid w:val="00E74E3C"/>
    <w:rsid w:val="00E77A24"/>
    <w:rsid w:val="00E96630"/>
    <w:rsid w:val="00EC37AE"/>
    <w:rsid w:val="00ED104A"/>
    <w:rsid w:val="00ED7A2A"/>
    <w:rsid w:val="00EF1D7F"/>
    <w:rsid w:val="00EF1EFA"/>
    <w:rsid w:val="00F066E2"/>
    <w:rsid w:val="00F40E75"/>
    <w:rsid w:val="00F47030"/>
    <w:rsid w:val="00F50D83"/>
    <w:rsid w:val="00F5758B"/>
    <w:rsid w:val="00F602B9"/>
    <w:rsid w:val="00F717E2"/>
    <w:rsid w:val="00F742B8"/>
    <w:rsid w:val="00F84704"/>
    <w:rsid w:val="00FB4A8D"/>
    <w:rsid w:val="00FC6574"/>
    <w:rsid w:val="00FC68B7"/>
    <w:rsid w:val="00FD5B18"/>
    <w:rsid w:val="00FD7ABA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,callout,Footnote Refernece,Footnote Reference Number,Fußnotenzeichen_Raxen,BVI fnr,Fago Fußnotenzeichen,Footnotes refss,Style 10,ftref,16 Point,Superscript 6 Point,Footnote number,Endnote Text1,4_GR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,3_GR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locked/>
    <w:rsid w:val="00055024"/>
    <w:rPr>
      <w:sz w:val="18"/>
      <w:lang w:eastAsia="en-US"/>
    </w:rPr>
  </w:style>
  <w:style w:type="character" w:customStyle="1" w:styleId="HChGChar">
    <w:name w:val="_ H _Ch_G Char"/>
    <w:link w:val="HChG"/>
    <w:locked/>
    <w:rsid w:val="00041232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041232"/>
    <w:rPr>
      <w:lang w:eastAsia="en-US"/>
    </w:rPr>
  </w:style>
  <w:style w:type="character" w:customStyle="1" w:styleId="H1GChar">
    <w:name w:val="_ H_1_G Char"/>
    <w:link w:val="H1G"/>
    <w:rsid w:val="00041232"/>
    <w:rPr>
      <w:b/>
      <w:sz w:val="24"/>
      <w:lang w:eastAsia="en-US"/>
    </w:rPr>
  </w:style>
  <w:style w:type="paragraph" w:styleId="BalloonText">
    <w:name w:val="Balloon Text"/>
    <w:basedOn w:val="Normal"/>
    <w:semiHidden/>
    <w:rsid w:val="00485A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47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95C"/>
  </w:style>
  <w:style w:type="character" w:customStyle="1" w:styleId="CommentTextChar">
    <w:name w:val="Comment Text Char"/>
    <w:link w:val="CommentText"/>
    <w:rsid w:val="00D479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795C"/>
    <w:rPr>
      <w:b/>
      <w:bCs/>
    </w:rPr>
  </w:style>
  <w:style w:type="character" w:customStyle="1" w:styleId="CommentSubjectChar">
    <w:name w:val="Comment Subject Char"/>
    <w:link w:val="CommentSubject"/>
    <w:rsid w:val="00D4795C"/>
    <w:rPr>
      <w:b/>
      <w:bCs/>
      <w:lang w:eastAsia="en-US"/>
    </w:rPr>
  </w:style>
  <w:style w:type="paragraph" w:styleId="Revision">
    <w:name w:val="Revision"/>
    <w:hidden/>
    <w:uiPriority w:val="99"/>
    <w:semiHidden/>
    <w:rsid w:val="00D4795C"/>
    <w:rPr>
      <w:lang w:val="en-GB" w:eastAsia="en-US"/>
    </w:rPr>
  </w:style>
  <w:style w:type="paragraph" w:customStyle="1" w:styleId="SingleTxtGR">
    <w:name w:val="_ Single Txt_GR"/>
    <w:basedOn w:val="Normal"/>
    <w:rsid w:val="00CE168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ChGR">
    <w:name w:val="_ H _Ch_GR"/>
    <w:basedOn w:val="Normal"/>
    <w:next w:val="Normal"/>
    <w:rsid w:val="00337E0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Normal"/>
    <w:next w:val="Normal"/>
    <w:rsid w:val="0032667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Normal"/>
    <w:next w:val="Normal"/>
    <w:rsid w:val="0032667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Bullet1GR">
    <w:name w:val="_Bullet 1_GR"/>
    <w:basedOn w:val="Normal"/>
    <w:rsid w:val="00465F3B"/>
    <w:pPr>
      <w:numPr>
        <w:numId w:val="21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N%20Docs%202010\CRC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CRC_E.dotm</Template>
  <TotalTime>0</TotalTime>
  <Pages>11</Pages>
  <Words>3248</Words>
  <Characters>23582</Characters>
  <Application>Microsoft Office Word</Application>
  <DocSecurity>4</DocSecurity>
  <Lines>462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1407621</vt:lpstr>
    </vt:vector>
  </TitlesOfParts>
  <Manager>Kondrachov</Manager>
  <Company>CSD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1407621</dc:title>
  <dc:subject>CRC/C/OPAC/IND/CO/1</dc:subject>
  <dc:creator>Svetlana Prokoudina</dc:creator>
  <cp:keywords/>
  <dc:description>Final</dc:description>
  <cp:lastModifiedBy>Svetlana Prokoudina</cp:lastModifiedBy>
  <cp:revision>2</cp:revision>
  <cp:lastPrinted>2014-06-17T16:22:00Z</cp:lastPrinted>
  <dcterms:created xsi:type="dcterms:W3CDTF">2014-10-29T09:41:00Z</dcterms:created>
  <dcterms:modified xsi:type="dcterms:W3CDTF">2014-10-29T09:41:00Z</dcterms:modified>
</cp:coreProperties>
</file>