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4BB7">
      <w:pPr>
        <w:pStyle w:val="Heading2"/>
        <w:spacing w:before="120"/>
        <w:rPr>
          <w:rFonts w:hint="eastAsia"/>
        </w:rPr>
      </w:pPr>
      <w:r>
        <w:rPr>
          <w:rFonts w:hint="eastAsia"/>
        </w:rPr>
        <w:t>儿童权利委员会</w:t>
      </w:r>
    </w:p>
    <w:p w:rsidR="00000000" w:rsidRDefault="00524BB7">
      <w:pPr>
        <w:pStyle w:val="Heading3"/>
        <w:rPr>
          <w:rFonts w:hint="eastAsia"/>
        </w:rPr>
      </w:pPr>
      <w:r>
        <w:rPr>
          <w:rFonts w:hint="eastAsia"/>
        </w:rPr>
        <w:t>第四十五届会议</w:t>
      </w:r>
    </w:p>
    <w:p w:rsidR="00000000" w:rsidRDefault="00524BB7">
      <w:pPr>
        <w:pStyle w:val="Heading2"/>
        <w:rPr>
          <w:rFonts w:hint="eastAsia"/>
          <w:kern w:val="0"/>
        </w:rPr>
      </w:pPr>
      <w:r>
        <w:rPr>
          <w:rFonts w:hint="eastAsia"/>
          <w:kern w:val="0"/>
        </w:rPr>
        <w:t>审议缔约国根据《儿童权利公约关于儿童卷入武装冲突问题的</w:t>
      </w:r>
      <w:r>
        <w:rPr>
          <w:kern w:val="0"/>
        </w:rPr>
        <w:br/>
      </w:r>
      <w:r>
        <w:rPr>
          <w:rFonts w:hint="eastAsia"/>
          <w:kern w:val="0"/>
        </w:rPr>
        <w:t>任择议定书》第</w:t>
      </w:r>
      <w:r>
        <w:rPr>
          <w:rFonts w:hint="eastAsia"/>
          <w:kern w:val="0"/>
        </w:rPr>
        <w:t>8</w:t>
      </w:r>
      <w:r>
        <w:rPr>
          <w:rFonts w:hint="eastAsia"/>
          <w:kern w:val="0"/>
        </w:rPr>
        <w:t>条提交的报告</w:t>
      </w:r>
    </w:p>
    <w:p w:rsidR="00000000" w:rsidRDefault="00524BB7">
      <w:pPr>
        <w:pStyle w:val="Heading3"/>
        <w:rPr>
          <w:rFonts w:hint="eastAsia"/>
          <w:kern w:val="0"/>
        </w:rPr>
      </w:pPr>
      <w:r>
        <w:rPr>
          <w:rFonts w:hint="eastAsia"/>
          <w:kern w:val="0"/>
        </w:rPr>
        <w:t>结论性意见：危地马拉</w:t>
      </w:r>
    </w:p>
    <w:p w:rsidR="00000000" w:rsidRDefault="00524BB7">
      <w:pPr>
        <w:spacing w:after="320"/>
        <w:rPr>
          <w:rFonts w:hint="eastAsia"/>
          <w:snapToGrid/>
        </w:rPr>
      </w:pPr>
      <w:r>
        <w:rPr>
          <w:snapToGrid/>
        </w:rPr>
        <w:tab/>
        <w:t>1.</w:t>
      </w:r>
      <w:r>
        <w:rPr>
          <w:rFonts w:hint="eastAsia"/>
          <w:snapToGrid/>
        </w:rPr>
        <w:t xml:space="preserve"> </w:t>
      </w:r>
      <w:r>
        <w:rPr>
          <w:snapToGrid/>
        </w:rPr>
        <w:t xml:space="preserve"> </w:t>
      </w:r>
      <w:r>
        <w:rPr>
          <w:rFonts w:hint="eastAsia"/>
          <w:snapToGrid/>
        </w:rPr>
        <w:t>委员会</w:t>
      </w:r>
      <w:r>
        <w:rPr>
          <w:rFonts w:hint="eastAsia"/>
          <w:snapToGrid/>
        </w:rPr>
        <w:t>2007</w:t>
      </w:r>
      <w:r>
        <w:rPr>
          <w:rFonts w:hint="eastAsia"/>
          <w:snapToGrid/>
        </w:rPr>
        <w:t>年</w:t>
      </w:r>
      <w:r>
        <w:rPr>
          <w:rFonts w:hint="eastAsia"/>
          <w:snapToGrid/>
        </w:rPr>
        <w:t>6</w:t>
      </w:r>
      <w:r>
        <w:rPr>
          <w:rFonts w:hint="eastAsia"/>
          <w:snapToGrid/>
        </w:rPr>
        <w:t>月</w:t>
      </w:r>
      <w:r>
        <w:rPr>
          <w:rFonts w:hint="eastAsia"/>
          <w:snapToGrid/>
        </w:rPr>
        <w:t>1</w:t>
      </w:r>
      <w:r>
        <w:rPr>
          <w:rFonts w:hint="eastAsia"/>
          <w:snapToGrid/>
        </w:rPr>
        <w:t>日举行的第</w:t>
      </w:r>
      <w:r>
        <w:rPr>
          <w:rFonts w:hint="eastAsia"/>
          <w:snapToGrid/>
        </w:rPr>
        <w:t>1246</w:t>
      </w:r>
      <w:r>
        <w:rPr>
          <w:rFonts w:hint="eastAsia"/>
          <w:snapToGrid/>
        </w:rPr>
        <w:t>次会议</w:t>
      </w:r>
      <w:r>
        <w:rPr>
          <w:rFonts w:hint="eastAsia"/>
          <w:snapToGrid/>
        </w:rPr>
        <w:t>(</w:t>
      </w:r>
      <w:r>
        <w:rPr>
          <w:rFonts w:hint="eastAsia"/>
          <w:snapToGrid/>
        </w:rPr>
        <w:t>见</w:t>
      </w:r>
      <w:r>
        <w:rPr>
          <w:snapToGrid/>
        </w:rPr>
        <w:t>CRC/C/SR.12</w:t>
      </w:r>
      <w:r>
        <w:rPr>
          <w:rFonts w:hint="eastAsia"/>
          <w:snapToGrid/>
        </w:rPr>
        <w:t>46)</w:t>
      </w:r>
      <w:r>
        <w:rPr>
          <w:rFonts w:hint="eastAsia"/>
          <w:snapToGrid/>
        </w:rPr>
        <w:t>审议了危地马拉的初次报告</w:t>
      </w:r>
      <w:r>
        <w:rPr>
          <w:rFonts w:hint="eastAsia"/>
          <w:snapToGrid/>
        </w:rPr>
        <w:t>(</w:t>
      </w:r>
      <w:r>
        <w:rPr>
          <w:snapToGrid/>
        </w:rPr>
        <w:t>CRC/C/OPAC/GTM/1)</w:t>
      </w:r>
      <w:r>
        <w:rPr>
          <w:rFonts w:hint="eastAsia"/>
          <w:snapToGrid/>
        </w:rPr>
        <w:t>，并于</w:t>
      </w:r>
      <w:r>
        <w:rPr>
          <w:rFonts w:hint="eastAsia"/>
          <w:snapToGrid/>
        </w:rPr>
        <w:t>2007</w:t>
      </w:r>
      <w:r>
        <w:rPr>
          <w:rFonts w:hint="eastAsia"/>
          <w:snapToGrid/>
        </w:rPr>
        <w:t>年</w:t>
      </w:r>
      <w:r>
        <w:rPr>
          <w:snapToGrid/>
        </w:rPr>
        <w:t>6</w:t>
      </w:r>
      <w:r>
        <w:rPr>
          <w:rFonts w:hint="eastAsia"/>
          <w:snapToGrid/>
        </w:rPr>
        <w:t>月</w:t>
      </w:r>
      <w:r>
        <w:rPr>
          <w:snapToGrid/>
        </w:rPr>
        <w:t>8</w:t>
      </w:r>
      <w:r>
        <w:rPr>
          <w:rFonts w:hint="eastAsia"/>
          <w:snapToGrid/>
        </w:rPr>
        <w:t>日举行的第</w:t>
      </w:r>
      <w:r>
        <w:rPr>
          <w:rFonts w:hint="eastAsia"/>
          <w:snapToGrid/>
        </w:rPr>
        <w:t>12</w:t>
      </w:r>
      <w:r>
        <w:rPr>
          <w:snapToGrid/>
        </w:rPr>
        <w:t>55</w:t>
      </w:r>
      <w:r>
        <w:rPr>
          <w:rFonts w:hint="eastAsia"/>
          <w:snapToGrid/>
        </w:rPr>
        <w:t>次会议上通过了下述结论性意见。</w:t>
      </w:r>
    </w:p>
    <w:p w:rsidR="00000000" w:rsidRDefault="00524BB7">
      <w:pPr>
        <w:pStyle w:val="Heading3"/>
        <w:rPr>
          <w:rFonts w:hint="eastAsia"/>
          <w:kern w:val="0"/>
        </w:rPr>
      </w:pPr>
      <w:r>
        <w:rPr>
          <w:rFonts w:hint="eastAsia"/>
          <w:kern w:val="0"/>
          <w:u w:val="none"/>
        </w:rPr>
        <w:t xml:space="preserve">A.  </w:t>
      </w:r>
      <w:r>
        <w:rPr>
          <w:rFonts w:hint="eastAsia"/>
          <w:kern w:val="0"/>
        </w:rPr>
        <w:t>导</w:t>
      </w:r>
      <w:r>
        <w:rPr>
          <w:kern w:val="0"/>
        </w:rPr>
        <w:t xml:space="preserve">  </w:t>
      </w:r>
      <w:r>
        <w:rPr>
          <w:rFonts w:hint="eastAsia"/>
          <w:kern w:val="0"/>
        </w:rPr>
        <w:t>言</w:t>
      </w:r>
    </w:p>
    <w:p w:rsidR="00000000" w:rsidRDefault="00524BB7">
      <w:pPr>
        <w:rPr>
          <w:rFonts w:hint="eastAsia"/>
          <w:snapToGrid/>
        </w:rPr>
      </w:pPr>
      <w:r>
        <w:rPr>
          <w:rFonts w:hint="eastAsia"/>
          <w:snapToGrid/>
        </w:rPr>
        <w:tab/>
        <w:t xml:space="preserve">2.  </w:t>
      </w:r>
      <w:r>
        <w:rPr>
          <w:rFonts w:hint="eastAsia"/>
          <w:snapToGrid/>
        </w:rPr>
        <w:t>委员会欢迎缔约国提出初次报告，唯对报告迟交感到遗憾。委员会还感到遗憾的是，在起草报告的过程中没有征求公民社会的意见。委员会赞</w:t>
      </w:r>
      <w:r>
        <w:rPr>
          <w:rFonts w:hint="eastAsia"/>
          <w:snapToGrid/>
        </w:rPr>
        <w:t>赏与高级别和部门间代表团进行的建设性对话，但对代表团内没有国防部的代表感到遗憾。</w:t>
      </w:r>
    </w:p>
    <w:p w:rsidR="00000000" w:rsidRDefault="00524BB7">
      <w:pPr>
        <w:autoSpaceDE w:val="0"/>
        <w:autoSpaceDN w:val="0"/>
        <w:spacing w:after="320"/>
        <w:rPr>
          <w:rFonts w:hint="eastAsia"/>
          <w:snapToGrid/>
          <w:color w:val="000000"/>
        </w:rPr>
      </w:pPr>
      <w:r>
        <w:rPr>
          <w:snapToGrid/>
        </w:rPr>
        <w:tab/>
        <w:t>3.</w:t>
      </w:r>
      <w:r>
        <w:rPr>
          <w:i/>
          <w:iCs/>
          <w:snapToGrid/>
        </w:rPr>
        <w:t xml:space="preserve">  </w:t>
      </w:r>
      <w:r>
        <w:rPr>
          <w:rFonts w:hint="eastAsia"/>
          <w:snapToGrid/>
          <w:color w:val="000000"/>
        </w:rPr>
        <w:t>委员会提请缔约国注意，本结论性意见应结合委员会此前于</w:t>
      </w:r>
      <w:r>
        <w:rPr>
          <w:rFonts w:hint="eastAsia"/>
          <w:snapToGrid/>
          <w:color w:val="000000"/>
        </w:rPr>
        <w:t>2001</w:t>
      </w:r>
      <w:r>
        <w:rPr>
          <w:rFonts w:hint="eastAsia"/>
          <w:snapToGrid/>
          <w:color w:val="000000"/>
        </w:rPr>
        <w:t>年</w:t>
      </w:r>
      <w:r>
        <w:rPr>
          <w:rFonts w:hint="eastAsia"/>
          <w:snapToGrid/>
          <w:color w:val="000000"/>
        </w:rPr>
        <w:t>6</w:t>
      </w:r>
      <w:r>
        <w:rPr>
          <w:rFonts w:hint="eastAsia"/>
          <w:snapToGrid/>
          <w:color w:val="000000"/>
        </w:rPr>
        <w:t>月</w:t>
      </w:r>
      <w:r>
        <w:rPr>
          <w:rFonts w:hint="eastAsia"/>
          <w:snapToGrid/>
          <w:color w:val="000000"/>
        </w:rPr>
        <w:t>8</w:t>
      </w:r>
      <w:r>
        <w:rPr>
          <w:rFonts w:hint="eastAsia"/>
          <w:snapToGrid/>
          <w:color w:val="000000"/>
        </w:rPr>
        <w:t>日对缔约国的第二次定期报告通过的结论性意见</w:t>
      </w:r>
      <w:r>
        <w:rPr>
          <w:snapToGrid/>
          <w:color w:val="000000"/>
        </w:rPr>
        <w:t>(CRC/C/15/Add.</w:t>
      </w:r>
      <w:r>
        <w:rPr>
          <w:rFonts w:hint="eastAsia"/>
          <w:snapToGrid/>
          <w:color w:val="000000"/>
        </w:rPr>
        <w:t>154</w:t>
      </w:r>
      <w:r>
        <w:rPr>
          <w:snapToGrid/>
          <w:color w:val="000000"/>
        </w:rPr>
        <w:t>)</w:t>
      </w:r>
      <w:r>
        <w:rPr>
          <w:rFonts w:hint="eastAsia"/>
          <w:snapToGrid/>
          <w:color w:val="000000"/>
        </w:rPr>
        <w:t>阅读。</w:t>
      </w:r>
    </w:p>
    <w:p w:rsidR="00000000" w:rsidRDefault="00524BB7">
      <w:pPr>
        <w:pStyle w:val="Heading3"/>
        <w:rPr>
          <w:kern w:val="0"/>
        </w:rPr>
      </w:pPr>
      <w:r>
        <w:rPr>
          <w:kern w:val="0"/>
          <w:u w:val="none"/>
        </w:rPr>
        <w:br w:type="page"/>
        <w:t xml:space="preserve">B.  </w:t>
      </w:r>
      <w:r>
        <w:rPr>
          <w:rFonts w:hint="eastAsia"/>
          <w:kern w:val="0"/>
        </w:rPr>
        <w:t>积极方面</w:t>
      </w:r>
    </w:p>
    <w:p w:rsidR="00000000" w:rsidRDefault="00524BB7">
      <w:pPr>
        <w:rPr>
          <w:rFonts w:hint="eastAsia"/>
          <w:snapToGrid/>
        </w:rPr>
      </w:pPr>
      <w:r>
        <w:rPr>
          <w:snapToGrid/>
        </w:rPr>
        <w:tab/>
        <w:t xml:space="preserve">4.  </w:t>
      </w:r>
      <w:r>
        <w:rPr>
          <w:rFonts w:hint="eastAsia"/>
          <w:snapToGrid/>
        </w:rPr>
        <w:t>委员会赞赏地注意到以下情况：</w:t>
      </w:r>
    </w:p>
    <w:p w:rsidR="00000000" w:rsidRDefault="00524BB7">
      <w:pPr>
        <w:numPr>
          <w:ilvl w:val="1"/>
          <w:numId w:val="31"/>
        </w:numPr>
        <w:rPr>
          <w:rFonts w:hint="eastAsia"/>
          <w:snapToGrid/>
        </w:rPr>
      </w:pPr>
      <w:r>
        <w:rPr>
          <w:rFonts w:hint="eastAsia"/>
          <w:snapToGrid/>
        </w:rPr>
        <w:t>缔约国在批准《任择议定书》之时所作关于危地马拉义务征兵的最低年龄为</w:t>
      </w:r>
      <w:r>
        <w:rPr>
          <w:rFonts w:hint="eastAsia"/>
          <w:snapToGrid/>
        </w:rPr>
        <w:t>18</w:t>
      </w:r>
      <w:r>
        <w:rPr>
          <w:rFonts w:hint="eastAsia"/>
          <w:snapToGrid/>
        </w:rPr>
        <w:t>岁的宣示；</w:t>
      </w:r>
    </w:p>
    <w:p w:rsidR="00000000" w:rsidRDefault="00524BB7">
      <w:pPr>
        <w:numPr>
          <w:ilvl w:val="1"/>
          <w:numId w:val="31"/>
        </w:numPr>
        <w:rPr>
          <w:snapToGrid/>
        </w:rPr>
      </w:pPr>
      <w:r>
        <w:rPr>
          <w:rFonts w:hint="eastAsia"/>
          <w:snapToGrid/>
        </w:rPr>
        <w:t>2003</w:t>
      </w:r>
      <w:r>
        <w:rPr>
          <w:rFonts w:hint="eastAsia"/>
          <w:snapToGrid/>
        </w:rPr>
        <w:t>年通过了《少年儿童综合保护法》；</w:t>
      </w:r>
    </w:p>
    <w:p w:rsidR="00000000" w:rsidRDefault="00524BB7">
      <w:pPr>
        <w:numPr>
          <w:ilvl w:val="1"/>
          <w:numId w:val="31"/>
        </w:numPr>
        <w:rPr>
          <w:rFonts w:hint="eastAsia"/>
          <w:snapToGrid/>
        </w:rPr>
      </w:pPr>
      <w:r>
        <w:rPr>
          <w:rFonts w:hint="eastAsia"/>
          <w:snapToGrid/>
        </w:rPr>
        <w:t>缔约国表示了批准《国际刑事法院罗马规约》的意向。</w:t>
      </w:r>
    </w:p>
    <w:p w:rsidR="00000000" w:rsidRDefault="00524BB7" w:rsidP="00524BB7">
      <w:pPr>
        <w:ind w:firstLineChars="200" w:firstLine="31680"/>
        <w:rPr>
          <w:rFonts w:hint="eastAsia"/>
          <w:snapToGrid/>
        </w:rPr>
      </w:pPr>
      <w:r>
        <w:rPr>
          <w:snapToGrid/>
        </w:rPr>
        <w:t xml:space="preserve">5.  </w:t>
      </w:r>
      <w:r>
        <w:rPr>
          <w:rFonts w:hint="eastAsia"/>
          <w:snapToGrid/>
        </w:rPr>
        <w:t>委员会还对缔约国加入或批</w:t>
      </w:r>
      <w:r>
        <w:rPr>
          <w:rFonts w:hint="eastAsia"/>
          <w:snapToGrid/>
        </w:rPr>
        <w:t>准了下述文书表示赞扬：</w:t>
      </w:r>
    </w:p>
    <w:p w:rsidR="00000000" w:rsidRDefault="00524BB7">
      <w:pPr>
        <w:numPr>
          <w:ilvl w:val="0"/>
          <w:numId w:val="36"/>
        </w:numPr>
        <w:tabs>
          <w:tab w:val="clear" w:pos="1190"/>
          <w:tab w:val="num" w:pos="1680"/>
        </w:tabs>
        <w:ind w:left="1680" w:hanging="240"/>
        <w:rPr>
          <w:rFonts w:hint="eastAsia"/>
          <w:snapToGrid/>
        </w:rPr>
      </w:pPr>
      <w:r>
        <w:rPr>
          <w:rFonts w:hint="eastAsia"/>
          <w:snapToGrid/>
        </w:rPr>
        <w:t>《儿童权利公约关于买卖儿童、儿童卖淫和儿童色情制品问题的任择议定书》，</w:t>
      </w: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9</w:t>
      </w:r>
      <w:r>
        <w:rPr>
          <w:rFonts w:hint="eastAsia"/>
          <w:snapToGrid/>
        </w:rPr>
        <w:t>日；</w:t>
      </w:r>
    </w:p>
    <w:p w:rsidR="00000000" w:rsidRDefault="00524BB7">
      <w:pPr>
        <w:numPr>
          <w:ilvl w:val="0"/>
          <w:numId w:val="36"/>
        </w:numPr>
        <w:tabs>
          <w:tab w:val="clear" w:pos="1190"/>
          <w:tab w:val="num" w:pos="1680"/>
        </w:tabs>
        <w:ind w:left="1680" w:hanging="240"/>
        <w:rPr>
          <w:rFonts w:hint="eastAsia"/>
          <w:snapToGrid/>
        </w:rPr>
      </w:pPr>
      <w:r>
        <w:rPr>
          <w:rFonts w:hint="eastAsia"/>
          <w:snapToGrid/>
        </w:rPr>
        <w:t>国际劳工组织关于禁止和立即行动取缔最有害的童工形式的第</w:t>
      </w:r>
      <w:r>
        <w:rPr>
          <w:rFonts w:hint="eastAsia"/>
          <w:snapToGrid/>
        </w:rPr>
        <w:t>182</w:t>
      </w:r>
      <w:r>
        <w:rPr>
          <w:rFonts w:hint="eastAsia"/>
          <w:snapToGrid/>
        </w:rPr>
        <w:t>号公约，</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11</w:t>
      </w:r>
      <w:r>
        <w:rPr>
          <w:rFonts w:hint="eastAsia"/>
          <w:snapToGrid/>
        </w:rPr>
        <w:t>日。</w:t>
      </w:r>
    </w:p>
    <w:p w:rsidR="00000000" w:rsidRDefault="00524BB7">
      <w:pPr>
        <w:rPr>
          <w:snapToGrid/>
        </w:rPr>
      </w:pPr>
    </w:p>
    <w:p w:rsidR="00000000" w:rsidRDefault="00524BB7">
      <w:pPr>
        <w:pStyle w:val="Heading3"/>
        <w:rPr>
          <w:b/>
          <w:kern w:val="0"/>
        </w:rPr>
      </w:pPr>
      <w:r>
        <w:rPr>
          <w:bCs/>
          <w:kern w:val="0"/>
          <w:u w:val="none"/>
        </w:rPr>
        <w:t>C.</w:t>
      </w:r>
      <w:r>
        <w:rPr>
          <w:b/>
          <w:kern w:val="0"/>
          <w:u w:val="none"/>
        </w:rPr>
        <w:t xml:space="preserve">  </w:t>
      </w:r>
      <w:r>
        <w:rPr>
          <w:rFonts w:hint="eastAsia"/>
          <w:kern w:val="0"/>
        </w:rPr>
        <w:t>主要关注领域和建议</w:t>
      </w:r>
    </w:p>
    <w:p w:rsidR="00000000" w:rsidRDefault="00524BB7">
      <w:pPr>
        <w:pStyle w:val="Heading3"/>
        <w:rPr>
          <w:kern w:val="0"/>
        </w:rPr>
      </w:pPr>
      <w:r>
        <w:rPr>
          <w:rFonts w:hint="eastAsia"/>
          <w:kern w:val="0"/>
          <w:u w:val="none"/>
        </w:rPr>
        <w:t xml:space="preserve">  </w:t>
      </w:r>
      <w:r>
        <w:rPr>
          <w:rFonts w:hint="eastAsia"/>
          <w:kern w:val="0"/>
        </w:rPr>
        <w:t>一般执行措施</w:t>
      </w:r>
    </w:p>
    <w:p w:rsidR="00000000" w:rsidRDefault="00524BB7">
      <w:pPr>
        <w:pStyle w:val="Heading4"/>
      </w:pPr>
      <w:r>
        <w:rPr>
          <w:rFonts w:hint="eastAsia"/>
        </w:rPr>
        <w:t>立法和执行措施</w:t>
      </w:r>
    </w:p>
    <w:p w:rsidR="00000000" w:rsidRDefault="00524BB7">
      <w:pPr>
        <w:rPr>
          <w:rFonts w:hint="eastAsia"/>
          <w:snapToGrid/>
        </w:rPr>
      </w:pPr>
      <w:r>
        <w:rPr>
          <w:rFonts w:hint="eastAsia"/>
          <w:snapToGrid/>
        </w:rPr>
        <w:tab/>
      </w:r>
      <w:r>
        <w:rPr>
          <w:snapToGrid/>
        </w:rPr>
        <w:t xml:space="preserve">6.  </w:t>
      </w:r>
      <w:r>
        <w:rPr>
          <w:rFonts w:hint="eastAsia"/>
          <w:snapToGrid/>
        </w:rPr>
        <w:t>委员会注意到，</w:t>
      </w:r>
      <w:r>
        <w:rPr>
          <w:rFonts w:hint="eastAsia"/>
          <w:snapToGrid/>
        </w:rPr>
        <w:t>2003</w:t>
      </w:r>
      <w:r>
        <w:rPr>
          <w:rFonts w:hint="eastAsia"/>
          <w:snapToGrid/>
        </w:rPr>
        <w:t>年《少年儿童综合保护法》提到了不满</w:t>
      </w:r>
      <w:r>
        <w:rPr>
          <w:rFonts w:hint="eastAsia"/>
          <w:snapToGrid/>
        </w:rPr>
        <w:t>18</w:t>
      </w:r>
      <w:r>
        <w:rPr>
          <w:rFonts w:hint="eastAsia"/>
          <w:snapToGrid/>
        </w:rPr>
        <w:t>岁者即使在武装冲突条件下也有权不被征募入伍，但感到关注的是，对于将不满</w:t>
      </w:r>
      <w:r>
        <w:rPr>
          <w:rFonts w:hint="eastAsia"/>
          <w:snapToGrid/>
        </w:rPr>
        <w:t>18</w:t>
      </w:r>
      <w:r>
        <w:rPr>
          <w:rFonts w:hint="eastAsia"/>
          <w:snapToGrid/>
        </w:rPr>
        <w:t>岁者征募入伍的行为并没有明确禁止，《刑法》当中也没有把强迫征募不满</w:t>
      </w:r>
      <w:r>
        <w:rPr>
          <w:rFonts w:hint="eastAsia"/>
          <w:snapToGrid/>
        </w:rPr>
        <w:t>18</w:t>
      </w:r>
      <w:r>
        <w:rPr>
          <w:rFonts w:hint="eastAsia"/>
          <w:snapToGrid/>
        </w:rPr>
        <w:t>岁者入伍的行为定为犯罪的</w:t>
      </w:r>
      <w:r>
        <w:rPr>
          <w:rFonts w:hint="eastAsia"/>
          <w:snapToGrid/>
        </w:rPr>
        <w:t>具体规定。委员会还感到关注的是，缔约国没有提供必要资料说明为了确保儿童不被征募入伍或卷入武装冲突而采取的保障措施。</w:t>
      </w:r>
    </w:p>
    <w:p w:rsidR="00000000" w:rsidRDefault="00524BB7">
      <w:pPr>
        <w:rPr>
          <w:rFonts w:ascii="Time New Roman" w:eastAsia="SimHei" w:hAnsi="Time New Roman"/>
          <w:snapToGrid/>
        </w:rPr>
      </w:pPr>
      <w:r>
        <w:rPr>
          <w:rFonts w:ascii="Time New Roman" w:eastAsia="SimHei" w:hAnsi="Time New Roman" w:hint="eastAsia"/>
          <w:snapToGrid/>
        </w:rPr>
        <w:tab/>
      </w:r>
      <w:r>
        <w:rPr>
          <w:rFonts w:ascii="Time New Roman" w:eastAsia="SimHei" w:hAnsi="Time New Roman"/>
          <w:b/>
          <w:snapToGrid/>
        </w:rPr>
        <w:t>7</w:t>
      </w:r>
      <w:r>
        <w:rPr>
          <w:rFonts w:ascii="Time New Roman" w:eastAsia="SimHei" w:hAnsi="Time New Roman"/>
          <w:snapToGrid/>
        </w:rPr>
        <w:t xml:space="preserve">.  </w:t>
      </w:r>
      <w:r>
        <w:rPr>
          <w:rFonts w:ascii="Time New Roman" w:eastAsia="SimHei" w:hAnsi="Time New Roman" w:hint="eastAsia"/>
          <w:snapToGrid/>
        </w:rPr>
        <w:t>为了加强防止将儿童征募入伍或武装集团并在敌对行动中加以利用的国家和国际措施，委员会建议缔约国：</w:t>
      </w:r>
    </w:p>
    <w:p w:rsidR="00000000" w:rsidRDefault="00524BB7">
      <w:pPr>
        <w:numPr>
          <w:ilvl w:val="0"/>
          <w:numId w:val="38"/>
        </w:numPr>
        <w:tabs>
          <w:tab w:val="clear" w:pos="1190"/>
          <w:tab w:val="num" w:pos="1450"/>
        </w:tabs>
        <w:ind w:left="1450"/>
        <w:rPr>
          <w:rFonts w:ascii="Time New Roman" w:eastAsia="SimHei" w:hAnsi="Time New Roman" w:hint="eastAsia"/>
          <w:snapToGrid/>
        </w:rPr>
      </w:pPr>
      <w:r>
        <w:rPr>
          <w:rFonts w:ascii="Time New Roman" w:eastAsia="SimHei" w:hAnsi="Time New Roman" w:hint="eastAsia"/>
          <w:snapToGrid/>
        </w:rPr>
        <w:t>法律明文禁止将不满</w:t>
      </w:r>
      <w:r>
        <w:rPr>
          <w:rFonts w:ascii="Time New Roman" w:eastAsia="SimHei" w:hAnsi="Time New Roman" w:hint="eastAsia"/>
          <w:b/>
          <w:snapToGrid/>
        </w:rPr>
        <w:t>18</w:t>
      </w:r>
      <w:r>
        <w:rPr>
          <w:rFonts w:ascii="Time New Roman" w:eastAsia="SimHei" w:hAnsi="Time New Roman" w:hint="eastAsia"/>
          <w:snapToGrid/>
        </w:rPr>
        <w:t>岁者征募入伍或武装集团，禁止不满</w:t>
      </w:r>
      <w:r>
        <w:rPr>
          <w:rFonts w:ascii="Time New Roman" w:eastAsia="SimHei" w:hAnsi="Time New Roman" w:hint="eastAsia"/>
          <w:b/>
          <w:snapToGrid/>
        </w:rPr>
        <w:t>18</w:t>
      </w:r>
      <w:r>
        <w:rPr>
          <w:rFonts w:ascii="Time New Roman" w:eastAsia="SimHei" w:hAnsi="Time New Roman" w:hint="eastAsia"/>
          <w:snapToGrid/>
        </w:rPr>
        <w:t>岁者直接参与敌对行动；</w:t>
      </w:r>
    </w:p>
    <w:p w:rsidR="00000000" w:rsidRDefault="00524BB7">
      <w:pPr>
        <w:numPr>
          <w:ilvl w:val="0"/>
          <w:numId w:val="38"/>
        </w:numPr>
        <w:tabs>
          <w:tab w:val="clear" w:pos="1190"/>
          <w:tab w:val="num" w:pos="1450"/>
        </w:tabs>
        <w:ind w:left="1450"/>
        <w:rPr>
          <w:rFonts w:ascii="Time New Roman" w:eastAsia="SimHei" w:hAnsi="Time New Roman" w:hint="eastAsia"/>
          <w:snapToGrid/>
        </w:rPr>
      </w:pPr>
      <w:r>
        <w:rPr>
          <w:rFonts w:ascii="Time New Roman" w:eastAsia="SimHei" w:hAnsi="Time New Roman" w:hint="eastAsia"/>
          <w:snapToGrid/>
        </w:rPr>
        <w:t>修改《刑法》，把违反《任择议定书》有关征募儿童入伍和将儿童卷入敌对行动的规定的行为定为犯罪行为；</w:t>
      </w:r>
    </w:p>
    <w:p w:rsidR="00000000" w:rsidRDefault="00524BB7">
      <w:pPr>
        <w:numPr>
          <w:ilvl w:val="0"/>
          <w:numId w:val="38"/>
        </w:numPr>
        <w:tabs>
          <w:tab w:val="clear" w:pos="1190"/>
          <w:tab w:val="num" w:pos="1450"/>
        </w:tabs>
        <w:ind w:left="1450"/>
        <w:rPr>
          <w:rFonts w:ascii="Time New Roman" w:eastAsia="SimHei" w:hAnsi="Time New Roman"/>
          <w:snapToGrid/>
        </w:rPr>
      </w:pPr>
      <w:r>
        <w:rPr>
          <w:rFonts w:ascii="Time New Roman" w:eastAsia="SimHei" w:hAnsi="Time New Roman" w:hint="eastAsia"/>
          <w:snapToGrid/>
        </w:rPr>
        <w:t>关于缔约国公民或与缔约国有其他关系的人犯下的罪行或对之犯下的罪行，建立起域外管辖权；</w:t>
      </w:r>
    </w:p>
    <w:p w:rsidR="00000000" w:rsidRDefault="00524BB7">
      <w:pPr>
        <w:numPr>
          <w:ilvl w:val="0"/>
          <w:numId w:val="38"/>
        </w:numPr>
        <w:tabs>
          <w:tab w:val="clear" w:pos="1190"/>
          <w:tab w:val="num" w:pos="1450"/>
        </w:tabs>
        <w:ind w:left="1450"/>
        <w:rPr>
          <w:rFonts w:ascii="Time New Roman" w:eastAsia="SimHei" w:hAnsi="Time New Roman"/>
          <w:snapToGrid/>
        </w:rPr>
      </w:pPr>
      <w:r>
        <w:rPr>
          <w:rFonts w:ascii="Time New Roman" w:eastAsia="SimHei" w:hAnsi="Time New Roman" w:hint="eastAsia"/>
          <w:snapToGrid/>
        </w:rPr>
        <w:t>明文规定军事人员不得从事</w:t>
      </w:r>
      <w:r>
        <w:rPr>
          <w:rFonts w:ascii="Time New Roman" w:eastAsia="SimHei" w:hAnsi="Time New Roman" w:hint="eastAsia"/>
          <w:snapToGrid/>
        </w:rPr>
        <w:t>侵犯《任择议定书》所载权利的任何行为，无论这方面的任何军令如何；</w:t>
      </w:r>
    </w:p>
    <w:p w:rsidR="00000000" w:rsidRDefault="00524BB7">
      <w:pPr>
        <w:numPr>
          <w:ilvl w:val="0"/>
          <w:numId w:val="38"/>
        </w:numPr>
        <w:tabs>
          <w:tab w:val="clear" w:pos="1190"/>
          <w:tab w:val="num" w:pos="1450"/>
        </w:tabs>
        <w:ind w:left="1450"/>
        <w:rPr>
          <w:rFonts w:ascii="Time New Roman" w:eastAsia="SimHei" w:hAnsi="Time New Roman" w:hint="eastAsia"/>
          <w:snapToGrid/>
        </w:rPr>
      </w:pPr>
      <w:r>
        <w:rPr>
          <w:rFonts w:ascii="Time New Roman" w:eastAsia="SimHei" w:hAnsi="Time New Roman" w:hint="eastAsia"/>
          <w:snapToGrid/>
        </w:rPr>
        <w:t>确保采取充分保障措施防止将儿童征募入伍，并将这方面的资料列入下一份定期报告；</w:t>
      </w:r>
    </w:p>
    <w:p w:rsidR="00000000" w:rsidRDefault="00524BB7">
      <w:pPr>
        <w:numPr>
          <w:ilvl w:val="0"/>
          <w:numId w:val="38"/>
        </w:numPr>
        <w:tabs>
          <w:tab w:val="clear" w:pos="1190"/>
          <w:tab w:val="num" w:pos="1450"/>
        </w:tabs>
        <w:spacing w:after="320"/>
        <w:ind w:left="1450"/>
        <w:rPr>
          <w:snapToGrid/>
        </w:rPr>
      </w:pPr>
      <w:r>
        <w:rPr>
          <w:rFonts w:ascii="Time New Roman" w:eastAsia="SimHei" w:hAnsi="Time New Roman" w:hint="eastAsia"/>
          <w:snapToGrid/>
        </w:rPr>
        <w:t>批准《国际刑事法院罗马规约》。</w:t>
      </w:r>
    </w:p>
    <w:p w:rsidR="00000000" w:rsidRDefault="00524BB7">
      <w:pPr>
        <w:pStyle w:val="Heading4"/>
      </w:pPr>
      <w:r>
        <w:rPr>
          <w:rFonts w:hint="eastAsia"/>
        </w:rPr>
        <w:t>协调执行《议定书》</w:t>
      </w:r>
    </w:p>
    <w:p w:rsidR="00000000" w:rsidRDefault="00524BB7">
      <w:pPr>
        <w:rPr>
          <w:rFonts w:hint="eastAsia"/>
          <w:snapToGrid/>
        </w:rPr>
      </w:pPr>
      <w:r>
        <w:rPr>
          <w:rFonts w:hint="eastAsia"/>
          <w:snapToGrid/>
        </w:rPr>
        <w:tab/>
      </w:r>
      <w:r>
        <w:rPr>
          <w:snapToGrid/>
        </w:rPr>
        <w:t xml:space="preserve">8.  </w:t>
      </w:r>
      <w:r>
        <w:rPr>
          <w:rFonts w:hint="eastAsia"/>
          <w:snapToGrid/>
        </w:rPr>
        <w:t>委员会感到遗憾的是，缺乏关于国家协调执行《议定书》的资料，尤其是没有说明社会福利秘书处在这方面的作用。</w:t>
      </w:r>
    </w:p>
    <w:p w:rsidR="00000000" w:rsidRDefault="00524BB7">
      <w:pPr>
        <w:spacing w:after="320"/>
        <w:rPr>
          <w:snapToGrid/>
        </w:rPr>
      </w:pPr>
      <w:r>
        <w:rPr>
          <w:rFonts w:hint="eastAsia"/>
          <w:snapToGrid/>
        </w:rPr>
        <w:tab/>
      </w:r>
      <w:r>
        <w:rPr>
          <w:rFonts w:ascii="Time New Roman" w:eastAsia="SimHei" w:hAnsi="Time New Roman"/>
          <w:snapToGrid/>
        </w:rPr>
        <w:t xml:space="preserve">9.  </w:t>
      </w:r>
      <w:r>
        <w:rPr>
          <w:rFonts w:ascii="Time New Roman" w:eastAsia="SimHei" w:hAnsi="Time New Roman" w:hint="eastAsia"/>
          <w:snapToGrid/>
        </w:rPr>
        <w:t>委员会建议，缔约国巩固和加强《议定书》所涉领域的协调工作，在发展</w:t>
      </w:r>
      <w:r>
        <w:rPr>
          <w:rFonts w:ascii="Time New Roman" w:eastAsia="SimHei" w:hAnsi="Time New Roman" w:hint="eastAsia"/>
          <w:snapToGrid/>
        </w:rPr>
        <w:t>200</w:t>
      </w:r>
      <w:r>
        <w:rPr>
          <w:rFonts w:ascii="Time New Roman" w:eastAsia="SimHei" w:hAnsi="Time New Roman"/>
          <w:snapToGrid/>
        </w:rPr>
        <w:t>4</w:t>
      </w:r>
      <w:r>
        <w:rPr>
          <w:rFonts w:ascii="Time New Roman" w:eastAsia="SimHei" w:hAnsi="Time New Roman" w:hint="eastAsia"/>
          <w:snapToGrid/>
        </w:rPr>
        <w:t>年通过的《全国扶助儿童行动计划》时应考虑到这个问题。</w:t>
      </w:r>
    </w:p>
    <w:p w:rsidR="00000000" w:rsidRDefault="00524BB7">
      <w:pPr>
        <w:pStyle w:val="Heading4"/>
      </w:pPr>
      <w:r>
        <w:rPr>
          <w:rFonts w:hint="eastAsia"/>
        </w:rPr>
        <w:t>预算拨款</w:t>
      </w:r>
    </w:p>
    <w:p w:rsidR="00000000" w:rsidRDefault="00524BB7">
      <w:pPr>
        <w:rPr>
          <w:rFonts w:hint="eastAsia"/>
          <w:snapToGrid/>
        </w:rPr>
      </w:pPr>
      <w:r>
        <w:rPr>
          <w:rFonts w:hint="eastAsia"/>
          <w:snapToGrid/>
        </w:rPr>
        <w:tab/>
      </w:r>
      <w:r>
        <w:rPr>
          <w:snapToGrid/>
        </w:rPr>
        <w:t xml:space="preserve">10.  </w:t>
      </w:r>
      <w:r>
        <w:rPr>
          <w:rFonts w:hint="eastAsia"/>
          <w:snapToGrid/>
        </w:rPr>
        <w:t>缔约国削减了军事预算拨款并将资源转向了社会部</w:t>
      </w:r>
      <w:r>
        <w:rPr>
          <w:rFonts w:hint="eastAsia"/>
          <w:snapToGrid/>
        </w:rPr>
        <w:t>门，委员会对此表示赞许，但感到关注的是，大量资源被用于清理街头露宿和打工儿童的干预行动。</w:t>
      </w:r>
    </w:p>
    <w:p w:rsidR="00000000" w:rsidRDefault="00524BB7">
      <w:pPr>
        <w:spacing w:after="320"/>
        <w:rPr>
          <w:rFonts w:hint="eastAsia"/>
          <w:snapToGrid/>
        </w:rPr>
      </w:pPr>
      <w:r>
        <w:rPr>
          <w:rFonts w:hint="eastAsia"/>
          <w:snapToGrid/>
        </w:rPr>
        <w:tab/>
      </w:r>
      <w:r>
        <w:rPr>
          <w:rFonts w:ascii="Time New Roman" w:eastAsia="SimHei" w:hAnsi="Time New Roman" w:hint="eastAsia"/>
          <w:b/>
          <w:snapToGrid/>
        </w:rPr>
        <w:t>11</w:t>
      </w:r>
      <w:r>
        <w:rPr>
          <w:rFonts w:ascii="Time New Roman" w:eastAsia="SimHei" w:hAnsi="Time New Roman" w:hint="eastAsia"/>
          <w:snapToGrid/>
        </w:rPr>
        <w:t xml:space="preserve">. </w:t>
      </w:r>
      <w:r>
        <w:rPr>
          <w:rFonts w:ascii="Time New Roman" w:eastAsia="SimHei" w:hAnsi="Time New Roman" w:hint="eastAsia"/>
          <w:snapToGrid/>
        </w:rPr>
        <w:t>委员会建议，向社会部门提供进一步的人力和财力资源</w:t>
      </w:r>
      <w:r>
        <w:rPr>
          <w:rFonts w:ascii="Time New Roman" w:eastAsia="SimHei" w:hAnsi="Time New Roman"/>
          <w:snapToGrid/>
        </w:rPr>
        <w:t>(</w:t>
      </w:r>
      <w:r>
        <w:rPr>
          <w:rFonts w:ascii="Time New Roman" w:eastAsia="SimHei" w:hAnsi="Time New Roman" w:hint="eastAsia"/>
          <w:snapToGrid/>
        </w:rPr>
        <w:t>例如通过税收政策的调整</w:t>
      </w:r>
      <w:r>
        <w:rPr>
          <w:rFonts w:ascii="Time New Roman" w:eastAsia="SimHei" w:hAnsi="Time New Roman"/>
          <w:snapToGrid/>
        </w:rPr>
        <w:t>)</w:t>
      </w:r>
      <w:r>
        <w:rPr>
          <w:rFonts w:ascii="Time New Roman" w:eastAsia="SimHei" w:hAnsi="Time New Roman" w:hint="eastAsia"/>
          <w:snapToGrid/>
        </w:rPr>
        <w:t>，包括用于落实《议定书》的条款</w:t>
      </w:r>
      <w:r>
        <w:rPr>
          <w:rFonts w:hint="eastAsia"/>
          <w:snapToGrid/>
        </w:rPr>
        <w:t>。</w:t>
      </w:r>
    </w:p>
    <w:p w:rsidR="00000000" w:rsidRDefault="00524BB7">
      <w:pPr>
        <w:pStyle w:val="Heading4"/>
      </w:pPr>
      <w:r>
        <w:rPr>
          <w:rFonts w:hint="eastAsia"/>
        </w:rPr>
        <w:t>宣传和培训</w:t>
      </w:r>
    </w:p>
    <w:p w:rsidR="00000000" w:rsidRDefault="00524BB7">
      <w:pPr>
        <w:rPr>
          <w:snapToGrid/>
        </w:rPr>
      </w:pPr>
      <w:r>
        <w:rPr>
          <w:rFonts w:hint="eastAsia"/>
          <w:snapToGrid/>
        </w:rPr>
        <w:tab/>
        <w:t xml:space="preserve">12.  </w:t>
      </w:r>
      <w:r>
        <w:rPr>
          <w:rFonts w:hint="eastAsia"/>
          <w:snapToGrid/>
        </w:rPr>
        <w:t>委员会承认为培训专业人员付出的某些努力，但仍感到关注，缔约国就《任择议定书》开展的宣传和培训活动有限。关于专门为了增强有关《任择议定书》的意识而采取了什么举措，几乎未作说明。具体而言，缺乏关于在某些专业类别当中加以宣传的资料，尤其是缺乏在武装部队当中，包括国际维持和平部队，在救治</w:t>
      </w:r>
      <w:r>
        <w:rPr>
          <w:rFonts w:hint="eastAsia"/>
          <w:snapToGrid/>
        </w:rPr>
        <w:t>难民、寻求庇护者和移民儿童的医务专业人员当中，以及在广大儿童当中开展宣传的资料。</w:t>
      </w:r>
    </w:p>
    <w:p w:rsidR="00000000" w:rsidRDefault="00524BB7">
      <w:pPr>
        <w:spacing w:after="320"/>
        <w:rPr>
          <w:rFonts w:ascii="Time New Roman" w:eastAsia="SimHei" w:hAnsi="Time New Roman"/>
          <w:snapToGrid/>
        </w:rPr>
      </w:pPr>
      <w:r>
        <w:rPr>
          <w:rFonts w:hint="eastAsia"/>
          <w:snapToGrid/>
        </w:rPr>
        <w:tab/>
      </w:r>
      <w:r>
        <w:rPr>
          <w:rFonts w:ascii="Time New Roman" w:eastAsia="SimHei" w:hAnsi="Time New Roman"/>
          <w:b/>
          <w:snapToGrid/>
        </w:rPr>
        <w:t>13</w:t>
      </w:r>
      <w:r>
        <w:rPr>
          <w:rFonts w:ascii="Time New Roman" w:eastAsia="SimHei" w:hAnsi="Time New Roman"/>
          <w:snapToGrid/>
        </w:rPr>
        <w:t xml:space="preserve">.  </w:t>
      </w:r>
      <w:r>
        <w:rPr>
          <w:rFonts w:ascii="Time New Roman" w:eastAsia="SimHei" w:hAnsi="Time New Roman" w:hint="eastAsia"/>
          <w:snapToGrid/>
        </w:rPr>
        <w:t>委员会建议，缔约国通过教程为儿童开展有关《任择议定书》规定的全面的增强意识、教育和培训活动，并针对在来自受到武装冲突影响国家的寻求庇护者、难民和移民儿童中间开展工作的所有有关专业群体开展这类活动，包括教师、医务专业人员、律师、法官、移民局官员、警察和军事人员。委员会强调，考虑到</w:t>
      </w:r>
      <w:r>
        <w:rPr>
          <w:rFonts w:ascii="Time New Roman" w:eastAsia="SimHei" w:hAnsi="Time New Roman" w:hint="eastAsia"/>
          <w:b/>
          <w:snapToGrid/>
        </w:rPr>
        <w:t>19</w:t>
      </w:r>
      <w:r>
        <w:rPr>
          <w:rFonts w:ascii="Time New Roman" w:eastAsia="SimHei" w:hAnsi="Time New Roman"/>
          <w:b/>
          <w:snapToGrid/>
        </w:rPr>
        <w:t>6</w:t>
      </w:r>
      <w:r>
        <w:rPr>
          <w:rFonts w:ascii="Time New Roman" w:eastAsia="SimHei" w:hAnsi="Time New Roman" w:hint="eastAsia"/>
          <w:b/>
          <w:snapToGrid/>
        </w:rPr>
        <w:t>2</w:t>
      </w:r>
      <w:r>
        <w:rPr>
          <w:rFonts w:ascii="Time New Roman" w:eastAsia="SimHei" w:hAnsi="Time New Roman" w:hint="eastAsia"/>
          <w:snapToGrid/>
        </w:rPr>
        <w:t>年到</w:t>
      </w:r>
      <w:r>
        <w:rPr>
          <w:rFonts w:ascii="Time New Roman" w:eastAsia="SimHei" w:hAnsi="Time New Roman" w:hint="eastAsia"/>
          <w:b/>
          <w:snapToGrid/>
        </w:rPr>
        <w:t>1996</w:t>
      </w:r>
      <w:r>
        <w:rPr>
          <w:rFonts w:ascii="Time New Roman" w:eastAsia="SimHei" w:hAnsi="Time New Roman" w:hint="eastAsia"/>
          <w:snapToGrid/>
        </w:rPr>
        <w:t>年军事冲突期间发生的军事集团和准军事集团大规模强迫征募儿童特别是土著儿童入伍的情况，需要对武装部队开展培训。</w:t>
      </w:r>
    </w:p>
    <w:p w:rsidR="00000000" w:rsidRDefault="00524BB7">
      <w:pPr>
        <w:pStyle w:val="Heading3"/>
        <w:rPr>
          <w:kern w:val="0"/>
        </w:rPr>
      </w:pPr>
      <w:r>
        <w:rPr>
          <w:rFonts w:hint="eastAsia"/>
          <w:kern w:val="0"/>
        </w:rPr>
        <w:t>征募儿童入</w:t>
      </w:r>
      <w:r>
        <w:rPr>
          <w:rFonts w:hint="eastAsia"/>
          <w:kern w:val="0"/>
        </w:rPr>
        <w:t>伍</w:t>
      </w:r>
    </w:p>
    <w:p w:rsidR="00000000" w:rsidRDefault="00524BB7">
      <w:pPr>
        <w:pStyle w:val="Heading4"/>
      </w:pPr>
      <w:r>
        <w:rPr>
          <w:rFonts w:hint="eastAsia"/>
        </w:rPr>
        <w:t>义务和自愿入伍</w:t>
      </w:r>
    </w:p>
    <w:p w:rsidR="00000000" w:rsidRDefault="00524BB7">
      <w:pPr>
        <w:rPr>
          <w:snapToGrid/>
        </w:rPr>
      </w:pPr>
      <w:r>
        <w:rPr>
          <w:rFonts w:hint="eastAsia"/>
          <w:snapToGrid/>
        </w:rPr>
        <w:tab/>
      </w:r>
      <w:r>
        <w:rPr>
          <w:snapToGrid/>
        </w:rPr>
        <w:t xml:space="preserve">14.  </w:t>
      </w:r>
      <w:r>
        <w:rPr>
          <w:rFonts w:hint="eastAsia"/>
          <w:snapToGrid/>
        </w:rPr>
        <w:t>委员会注意到，危地马拉保留着义务兵制度，义务和自愿入伍的最低年龄定在</w:t>
      </w:r>
      <w:r>
        <w:rPr>
          <w:rFonts w:hint="eastAsia"/>
          <w:snapToGrid/>
        </w:rPr>
        <w:t>18</w:t>
      </w:r>
      <w:r>
        <w:rPr>
          <w:rFonts w:hint="eastAsia"/>
          <w:snapToGrid/>
        </w:rPr>
        <w:t>岁，据缔约国的报告说，即使在紧急状态期间这个年限也不得降低。但是，委员会深感关注的是，由于大量儿童没有出生登记，新兵年龄的不确定性可能会造成征募</w:t>
      </w:r>
      <w:r>
        <w:rPr>
          <w:rFonts w:hint="eastAsia"/>
          <w:snapToGrid/>
        </w:rPr>
        <w:t>18</w:t>
      </w:r>
      <w:r>
        <w:rPr>
          <w:rFonts w:hint="eastAsia"/>
          <w:snapToGrid/>
        </w:rPr>
        <w:t>岁以下儿童入伍的情况。最后，委员会注意到，枪支散失现象严重，</w:t>
      </w:r>
      <w:r>
        <w:rPr>
          <w:rFonts w:hint="eastAsia"/>
          <w:snapToGrid/>
        </w:rPr>
        <w:t>18</w:t>
      </w:r>
      <w:r>
        <w:rPr>
          <w:rFonts w:hint="eastAsia"/>
          <w:snapToGrid/>
        </w:rPr>
        <w:t>岁以下者很容易获得。</w:t>
      </w:r>
    </w:p>
    <w:p w:rsidR="00000000" w:rsidRDefault="00524BB7">
      <w:pPr>
        <w:spacing w:after="320"/>
        <w:rPr>
          <w:rFonts w:ascii="Time New Roman" w:eastAsia="SimHei" w:hAnsi="Time New Roman"/>
          <w:snapToGrid/>
        </w:rPr>
      </w:pPr>
      <w:r>
        <w:rPr>
          <w:rFonts w:hint="eastAsia"/>
          <w:snapToGrid/>
        </w:rPr>
        <w:tab/>
      </w:r>
      <w:r>
        <w:rPr>
          <w:rFonts w:ascii="Time New Roman" w:eastAsia="SimHei" w:hAnsi="Time New Roman"/>
          <w:b/>
          <w:snapToGrid/>
        </w:rPr>
        <w:t>15</w:t>
      </w:r>
      <w:r>
        <w:rPr>
          <w:rFonts w:ascii="Time New Roman" w:eastAsia="SimHei" w:hAnsi="Time New Roman"/>
          <w:snapToGrid/>
        </w:rPr>
        <w:t xml:space="preserve">.  </w:t>
      </w:r>
      <w:r>
        <w:rPr>
          <w:rFonts w:ascii="Time New Roman" w:eastAsia="SimHei" w:hAnsi="Time New Roman" w:hint="eastAsia"/>
          <w:snapToGrid/>
        </w:rPr>
        <w:t>委员会建议，在没有出生证明的情况下，缔约国应确保用其他可靠手段确定新兵年龄，包括体检手段。缔约国应当努力确保所有儿童都得到可靠的出生登记和身份证明。如有疑问，缔约</w:t>
      </w:r>
      <w:r>
        <w:rPr>
          <w:rFonts w:ascii="Time New Roman" w:eastAsia="SimHei" w:hAnsi="Time New Roman" w:hint="eastAsia"/>
          <w:snapToGrid/>
        </w:rPr>
        <w:t>国应将被征募者视为儿童，不得接受入伍。建议缔约国建立一种检查机制，确保所有新兵的年龄都超过</w:t>
      </w:r>
      <w:r>
        <w:rPr>
          <w:rFonts w:ascii="Time New Roman" w:eastAsia="SimHei" w:hAnsi="Time New Roman" w:hint="eastAsia"/>
          <w:b/>
          <w:snapToGrid/>
        </w:rPr>
        <w:t>18</w:t>
      </w:r>
      <w:r>
        <w:rPr>
          <w:rFonts w:ascii="Time New Roman" w:eastAsia="SimHei" w:hAnsi="Time New Roman" w:hint="eastAsia"/>
          <w:snapToGrid/>
        </w:rPr>
        <w:t>岁。最后，委员会建议，缔约国采取措施限制不满</w:t>
      </w:r>
      <w:r>
        <w:rPr>
          <w:rFonts w:ascii="Time New Roman" w:eastAsia="SimHei" w:hAnsi="Time New Roman" w:hint="eastAsia"/>
          <w:b/>
          <w:snapToGrid/>
        </w:rPr>
        <w:t>18</w:t>
      </w:r>
      <w:r>
        <w:rPr>
          <w:rFonts w:ascii="Time New Roman" w:eastAsia="SimHei" w:hAnsi="Time New Roman" w:hint="eastAsia"/>
          <w:snapToGrid/>
        </w:rPr>
        <w:t>岁者接触枪支。</w:t>
      </w:r>
    </w:p>
    <w:p w:rsidR="00000000" w:rsidRDefault="00524BB7">
      <w:pPr>
        <w:pStyle w:val="Heading4"/>
      </w:pPr>
      <w:r>
        <w:rPr>
          <w:rFonts w:hint="eastAsia"/>
        </w:rPr>
        <w:t>军校的作用</w:t>
      </w:r>
    </w:p>
    <w:p w:rsidR="00000000" w:rsidRDefault="00524BB7">
      <w:pPr>
        <w:rPr>
          <w:snapToGrid/>
        </w:rPr>
      </w:pPr>
      <w:r>
        <w:rPr>
          <w:rFonts w:hint="eastAsia"/>
          <w:snapToGrid/>
        </w:rPr>
        <w:tab/>
      </w:r>
      <w:r>
        <w:rPr>
          <w:snapToGrid/>
        </w:rPr>
        <w:t xml:space="preserve">16.  </w:t>
      </w:r>
      <w:r>
        <w:rPr>
          <w:rFonts w:hint="eastAsia"/>
          <w:snapToGrid/>
        </w:rPr>
        <w:t>委员会感到关注的是，有报告说军校采用体罚，此种惩罚并没有受到法律的明文禁止。考虑到这种情况，委员会的关注是，看来军校的儿童没有恰当的公正申诉机制。</w:t>
      </w:r>
    </w:p>
    <w:p w:rsidR="00000000" w:rsidRDefault="00524BB7">
      <w:pPr>
        <w:rPr>
          <w:rFonts w:ascii="Time New Roman" w:eastAsia="SimHei" w:hAnsi="Time New Roman"/>
          <w:snapToGrid/>
        </w:rPr>
      </w:pPr>
      <w:r>
        <w:rPr>
          <w:rFonts w:hint="eastAsia"/>
          <w:snapToGrid/>
        </w:rPr>
        <w:tab/>
      </w:r>
      <w:r>
        <w:rPr>
          <w:rFonts w:ascii="Time New Roman" w:eastAsia="SimHei" w:hAnsi="Time New Roman"/>
          <w:b/>
          <w:snapToGrid/>
        </w:rPr>
        <w:t>17</w:t>
      </w:r>
      <w:r>
        <w:rPr>
          <w:rFonts w:ascii="Time New Roman" w:eastAsia="SimHei" w:hAnsi="Time New Roman"/>
          <w:snapToGrid/>
        </w:rPr>
        <w:t xml:space="preserve">.  </w:t>
      </w:r>
      <w:r>
        <w:rPr>
          <w:rFonts w:ascii="Time New Roman" w:eastAsia="SimHei" w:hAnsi="Time New Roman" w:hint="eastAsia"/>
          <w:snapToGrid/>
        </w:rPr>
        <w:t>委员会建议缔约国：</w:t>
      </w:r>
    </w:p>
    <w:p w:rsidR="00000000" w:rsidRDefault="00524BB7">
      <w:pPr>
        <w:numPr>
          <w:ilvl w:val="0"/>
          <w:numId w:val="39"/>
        </w:numPr>
        <w:rPr>
          <w:rFonts w:ascii="Time New Roman" w:eastAsia="SimHei" w:hAnsi="Time New Roman"/>
          <w:snapToGrid/>
        </w:rPr>
      </w:pPr>
      <w:r>
        <w:rPr>
          <w:rFonts w:ascii="Time New Roman" w:eastAsia="SimHei" w:hAnsi="Time New Roman" w:hint="eastAsia"/>
          <w:snapToGrid/>
        </w:rPr>
        <w:t>根据《儿童权利公约》第</w:t>
      </w:r>
      <w:r>
        <w:rPr>
          <w:rFonts w:ascii="Time New Roman" w:eastAsia="SimHei" w:hAnsi="Time New Roman"/>
          <w:b/>
          <w:snapToGrid/>
        </w:rPr>
        <w:t>28</w:t>
      </w:r>
      <w:r>
        <w:rPr>
          <w:rFonts w:ascii="Time New Roman" w:eastAsia="SimHei" w:hAnsi="Time New Roman" w:hint="eastAsia"/>
          <w:snapToGrid/>
        </w:rPr>
        <w:t>条、第</w:t>
      </w:r>
      <w:r>
        <w:rPr>
          <w:rFonts w:ascii="Time New Roman" w:eastAsia="SimHei" w:hAnsi="Time New Roman"/>
          <w:b/>
          <w:snapToGrid/>
        </w:rPr>
        <w:t>29</w:t>
      </w:r>
      <w:r>
        <w:rPr>
          <w:rFonts w:ascii="Time New Roman" w:eastAsia="SimHei" w:hAnsi="Time New Roman" w:hint="eastAsia"/>
          <w:snapToGrid/>
        </w:rPr>
        <w:t>条和第</w:t>
      </w:r>
      <w:r>
        <w:rPr>
          <w:rFonts w:ascii="Time New Roman" w:eastAsia="SimHei" w:hAnsi="Time New Roman"/>
          <w:b/>
          <w:snapToGrid/>
        </w:rPr>
        <w:t>31</w:t>
      </w:r>
      <w:r>
        <w:rPr>
          <w:rFonts w:ascii="Time New Roman" w:eastAsia="SimHei" w:hAnsi="Time New Roman" w:hint="eastAsia"/>
          <w:snapToGrid/>
        </w:rPr>
        <w:t>条确保军校内的所有儿童接受教育，同时考虑到关于教育目标的第</w:t>
      </w:r>
      <w:r>
        <w:rPr>
          <w:rFonts w:ascii="Time New Roman" w:eastAsia="SimHei" w:hAnsi="Time New Roman"/>
          <w:b/>
          <w:snapToGrid/>
        </w:rPr>
        <w:t>1</w:t>
      </w:r>
      <w:r>
        <w:rPr>
          <w:rFonts w:ascii="Time New Roman" w:eastAsia="SimHei" w:hAnsi="Time New Roman" w:hint="eastAsia"/>
          <w:snapToGrid/>
        </w:rPr>
        <w:t>号一般性意见</w:t>
      </w:r>
      <w:r>
        <w:rPr>
          <w:rFonts w:ascii="Time New Roman" w:eastAsia="SimHei" w:hAnsi="Time New Roman"/>
          <w:snapToGrid/>
        </w:rPr>
        <w:t>(</w:t>
      </w:r>
      <w:r>
        <w:rPr>
          <w:rFonts w:ascii="Time New Roman" w:eastAsia="SimHei" w:hAnsi="Time New Roman" w:hint="eastAsia"/>
          <w:b/>
          <w:snapToGrid/>
        </w:rPr>
        <w:t>2001</w:t>
      </w:r>
      <w:r>
        <w:rPr>
          <w:rFonts w:ascii="Time New Roman" w:eastAsia="SimHei" w:hAnsi="Time New Roman" w:hint="eastAsia"/>
          <w:snapToGrid/>
        </w:rPr>
        <w:t>年</w:t>
      </w:r>
      <w:r>
        <w:rPr>
          <w:rFonts w:ascii="Time New Roman" w:eastAsia="SimHei" w:hAnsi="Time New Roman"/>
          <w:snapToGrid/>
        </w:rPr>
        <w:t>)</w:t>
      </w:r>
      <w:r>
        <w:rPr>
          <w:rFonts w:ascii="Time New Roman" w:eastAsia="SimHei" w:hAnsi="Time New Roman" w:hint="eastAsia"/>
          <w:snapToGrid/>
        </w:rPr>
        <w:t>。其中尤其应当包括</w:t>
      </w:r>
      <w:r>
        <w:rPr>
          <w:rFonts w:ascii="Time New Roman" w:eastAsia="SimHei" w:hAnsi="Time New Roman" w:hint="eastAsia"/>
          <w:snapToGrid/>
        </w:rPr>
        <w:t>关于《议定书》条款的人权教育；</w:t>
      </w:r>
    </w:p>
    <w:p w:rsidR="00000000" w:rsidRDefault="00524BB7">
      <w:pPr>
        <w:numPr>
          <w:ilvl w:val="0"/>
          <w:numId w:val="39"/>
        </w:numPr>
        <w:rPr>
          <w:rFonts w:ascii="Time New Roman" w:eastAsia="SimHei" w:hAnsi="Time New Roman" w:hint="eastAsia"/>
          <w:snapToGrid/>
        </w:rPr>
      </w:pPr>
      <w:r>
        <w:rPr>
          <w:rFonts w:ascii="Time New Roman" w:eastAsia="SimHei" w:hAnsi="Time New Roman" w:hint="eastAsia"/>
          <w:snapToGrid/>
        </w:rPr>
        <w:t>正式禁止体罚，同时考虑到关于保护儿童不受体罚和其他残忍或有辱人格形式的处罚的第</w:t>
      </w:r>
      <w:r>
        <w:rPr>
          <w:rFonts w:ascii="Time New Roman" w:eastAsia="SimHei" w:hAnsi="Time New Roman"/>
          <w:b/>
          <w:snapToGrid/>
        </w:rPr>
        <w:t>8</w:t>
      </w:r>
      <w:r>
        <w:rPr>
          <w:rFonts w:ascii="Time New Roman" w:eastAsia="SimHei" w:hAnsi="Time New Roman" w:hint="eastAsia"/>
          <w:snapToGrid/>
        </w:rPr>
        <w:t>号一般性意见</w:t>
      </w:r>
      <w:r>
        <w:rPr>
          <w:rFonts w:ascii="Time New Roman" w:eastAsia="SimHei" w:hAnsi="Time New Roman"/>
          <w:snapToGrid/>
        </w:rPr>
        <w:t>(</w:t>
      </w:r>
      <w:r>
        <w:rPr>
          <w:rFonts w:ascii="Time New Roman" w:eastAsia="SimHei" w:hAnsi="Time New Roman" w:hint="eastAsia"/>
          <w:b/>
          <w:snapToGrid/>
        </w:rPr>
        <w:t>2001</w:t>
      </w:r>
      <w:r>
        <w:rPr>
          <w:rFonts w:ascii="Time New Roman" w:eastAsia="SimHei" w:hAnsi="Time New Roman" w:hint="eastAsia"/>
          <w:snapToGrid/>
        </w:rPr>
        <w:t>年</w:t>
      </w:r>
      <w:r>
        <w:rPr>
          <w:rFonts w:ascii="Time New Roman" w:eastAsia="SimHei" w:hAnsi="Time New Roman"/>
          <w:snapToGrid/>
        </w:rPr>
        <w:t>)</w:t>
      </w:r>
      <w:r>
        <w:rPr>
          <w:rFonts w:ascii="Time New Roman" w:eastAsia="SimHei" w:hAnsi="Time New Roman" w:hint="eastAsia"/>
          <w:snapToGrid/>
        </w:rPr>
        <w:t>；</w:t>
      </w:r>
    </w:p>
    <w:p w:rsidR="00000000" w:rsidRDefault="00524BB7">
      <w:pPr>
        <w:numPr>
          <w:ilvl w:val="0"/>
          <w:numId w:val="39"/>
        </w:numPr>
        <w:spacing w:after="320"/>
        <w:rPr>
          <w:snapToGrid/>
        </w:rPr>
      </w:pPr>
      <w:r>
        <w:rPr>
          <w:rFonts w:ascii="Time New Roman" w:eastAsia="SimHei" w:hAnsi="Time New Roman" w:hint="eastAsia"/>
          <w:snapToGrid/>
        </w:rPr>
        <w:t>为在军校上学的儿童提供利用独立申诉和调查机制的便利。</w:t>
      </w:r>
    </w:p>
    <w:p w:rsidR="00000000" w:rsidRDefault="00524BB7">
      <w:pPr>
        <w:pStyle w:val="Heading3"/>
        <w:rPr>
          <w:kern w:val="0"/>
        </w:rPr>
      </w:pPr>
      <w:r>
        <w:rPr>
          <w:rFonts w:hint="eastAsia"/>
          <w:kern w:val="0"/>
        </w:rPr>
        <w:t>在裁军、复员和社会再融合方面采取的措施</w:t>
      </w:r>
    </w:p>
    <w:p w:rsidR="00000000" w:rsidRDefault="00524BB7">
      <w:pPr>
        <w:pStyle w:val="Heading4"/>
      </w:pPr>
      <w:r>
        <w:rPr>
          <w:rFonts w:hint="eastAsia"/>
        </w:rPr>
        <w:t>有罪不罚</w:t>
      </w:r>
    </w:p>
    <w:p w:rsidR="00000000" w:rsidRDefault="00524BB7">
      <w:pPr>
        <w:rPr>
          <w:rFonts w:hint="eastAsia"/>
          <w:snapToGrid/>
        </w:rPr>
      </w:pPr>
      <w:r>
        <w:rPr>
          <w:rFonts w:hint="eastAsia"/>
          <w:snapToGrid/>
        </w:rPr>
        <w:tab/>
      </w:r>
      <w:r>
        <w:rPr>
          <w:snapToGrid/>
        </w:rPr>
        <w:t xml:space="preserve">18.  </w:t>
      </w:r>
      <w:r>
        <w:rPr>
          <w:rFonts w:hint="eastAsia"/>
          <w:snapToGrid/>
        </w:rPr>
        <w:t>委员会尤其感到关注的是，关于军事集团和准军事集团在武装冲突期间强征入伍的儿童数目，缺乏信息和数据，对于此种行为的肇事者应负的责任，也缺乏调查。</w:t>
      </w:r>
    </w:p>
    <w:p w:rsidR="00000000" w:rsidRDefault="00524BB7">
      <w:pPr>
        <w:spacing w:after="320"/>
        <w:rPr>
          <w:rFonts w:ascii="Time New Roman" w:eastAsia="SimHei" w:hAnsi="Time New Roman"/>
          <w:snapToGrid/>
        </w:rPr>
      </w:pPr>
      <w:r>
        <w:rPr>
          <w:rFonts w:hint="eastAsia"/>
          <w:snapToGrid/>
        </w:rPr>
        <w:tab/>
      </w:r>
      <w:r>
        <w:rPr>
          <w:rFonts w:ascii="Time New Roman" w:eastAsia="SimHei" w:hAnsi="Time New Roman"/>
          <w:b/>
          <w:snapToGrid/>
        </w:rPr>
        <w:t>19</w:t>
      </w:r>
      <w:r>
        <w:rPr>
          <w:rFonts w:ascii="Time New Roman" w:eastAsia="SimHei" w:hAnsi="Time New Roman"/>
          <w:snapToGrid/>
        </w:rPr>
        <w:t xml:space="preserve">.  </w:t>
      </w:r>
      <w:r>
        <w:rPr>
          <w:rFonts w:ascii="Time New Roman" w:eastAsia="SimHei" w:hAnsi="Time New Roman" w:hint="eastAsia"/>
          <w:snapToGrid/>
        </w:rPr>
        <w:t>委员会促进缔约国承诺进一步编制关于受强征入伍影响的儿童的报告，为查明这些儿童的身份调拨资源，并且确</w:t>
      </w:r>
      <w:r>
        <w:rPr>
          <w:rFonts w:ascii="Time New Roman" w:eastAsia="SimHei" w:hAnsi="Time New Roman" w:hint="eastAsia"/>
          <w:snapToGrid/>
        </w:rPr>
        <w:t>保对于违反《议定书》规定、《儿童权利公约》第</w:t>
      </w:r>
      <w:r>
        <w:rPr>
          <w:rFonts w:ascii="Time New Roman" w:eastAsia="SimHei" w:hAnsi="Time New Roman" w:hint="eastAsia"/>
          <w:b/>
          <w:snapToGrid/>
        </w:rPr>
        <w:t>38</w:t>
      </w:r>
      <w:r>
        <w:rPr>
          <w:rFonts w:ascii="Time New Roman" w:eastAsia="SimHei" w:hAnsi="Time New Roman" w:hint="eastAsia"/>
          <w:snapToGrid/>
        </w:rPr>
        <w:t>条和关于保护非国际性武装冲突受难者的日内瓦四公约第二附加议定书的武装冲突期间强征儿童入伍案件指称开展调查。</w:t>
      </w:r>
    </w:p>
    <w:p w:rsidR="00000000" w:rsidRDefault="00524BB7">
      <w:pPr>
        <w:pStyle w:val="Heading4"/>
      </w:pPr>
      <w:r>
        <w:rPr>
          <w:rFonts w:hint="eastAsia"/>
        </w:rPr>
        <w:t>恢复和社会再融合措施</w:t>
      </w:r>
    </w:p>
    <w:p w:rsidR="00000000" w:rsidRDefault="00524BB7">
      <w:pPr>
        <w:rPr>
          <w:rFonts w:hint="eastAsia"/>
          <w:snapToGrid/>
        </w:rPr>
      </w:pPr>
      <w:r>
        <w:rPr>
          <w:rFonts w:hint="eastAsia"/>
          <w:snapToGrid/>
        </w:rPr>
        <w:tab/>
      </w:r>
      <w:r>
        <w:rPr>
          <w:snapToGrid/>
        </w:rPr>
        <w:t xml:space="preserve">20.  </w:t>
      </w:r>
      <w:r>
        <w:rPr>
          <w:rFonts w:hint="eastAsia"/>
          <w:snapToGrid/>
        </w:rPr>
        <w:t>委员会感到关注，用于执行弥补措施的预算不足，尤其是用于曾经卷入敌对行动的儿童的康复、赔偿、身心复原和社会再融合的预算不足。委员会关注的是，全国查找失踪儿童委员会和国家恢复方案的工作进展缓慢、低效。委员会感到遗憾的是，缔约国拨用于全面落实美洲人权法院有关武装冲突期间受害儿童案件相关判决的资源不足。</w:t>
      </w:r>
    </w:p>
    <w:p w:rsidR="00000000" w:rsidRDefault="00524BB7">
      <w:pPr>
        <w:spacing w:after="320"/>
        <w:rPr>
          <w:rFonts w:ascii="Time New Roman" w:eastAsia="SimHei" w:hAnsi="Time New Roman"/>
          <w:snapToGrid/>
        </w:rPr>
      </w:pPr>
      <w:r>
        <w:rPr>
          <w:rFonts w:hint="eastAsia"/>
          <w:snapToGrid/>
        </w:rPr>
        <w:tab/>
      </w:r>
      <w:r>
        <w:rPr>
          <w:rFonts w:ascii="Time New Roman" w:eastAsia="SimHei" w:hAnsi="Time New Roman"/>
          <w:b/>
          <w:snapToGrid/>
        </w:rPr>
        <w:t>21</w:t>
      </w:r>
      <w:r>
        <w:rPr>
          <w:rFonts w:ascii="Time New Roman" w:eastAsia="SimHei" w:hAnsi="Time New Roman"/>
          <w:snapToGrid/>
        </w:rPr>
        <w:t xml:space="preserve">.  </w:t>
      </w:r>
      <w:r>
        <w:rPr>
          <w:rFonts w:ascii="Time New Roman" w:eastAsia="SimHei" w:hAnsi="Time New Roman" w:hint="eastAsia"/>
          <w:snapToGrid/>
        </w:rPr>
        <w:t>委员会建议，</w:t>
      </w:r>
      <w:r>
        <w:rPr>
          <w:rFonts w:ascii="Time New Roman" w:eastAsia="SimHei" w:hAnsi="Time New Roman" w:hint="eastAsia"/>
          <w:snapToGrid/>
        </w:rPr>
        <w:t>缔约国为全面落实综合性恢复措施，包括性别观以及历史澄清委员会的建议的落实，调拨适当的财力和人力资源，尤其是为全国查找失踪儿童委员会和国家恢复方案调拨资金和人力资源。另外，委员会鼓励缔约国通过暂行立法，建立一个自主委员会调查包括儿童在内的失踪事件。此外，委员会促进缔约国全面落实美洲人权法院有关武装冲突期间受害儿童案件的相关判决。</w:t>
      </w:r>
    </w:p>
    <w:p w:rsidR="00000000" w:rsidRDefault="00524BB7">
      <w:pPr>
        <w:pStyle w:val="Heading3"/>
        <w:rPr>
          <w:kern w:val="0"/>
        </w:rPr>
      </w:pPr>
      <w:r>
        <w:rPr>
          <w:rFonts w:hint="eastAsia"/>
          <w:kern w:val="0"/>
        </w:rPr>
        <w:t>国际援助与合作</w:t>
      </w:r>
    </w:p>
    <w:p w:rsidR="00000000" w:rsidRDefault="00524BB7">
      <w:pPr>
        <w:pStyle w:val="Heading4"/>
      </w:pPr>
      <w:r>
        <w:rPr>
          <w:rFonts w:hint="eastAsia"/>
        </w:rPr>
        <w:t>技术援助</w:t>
      </w:r>
    </w:p>
    <w:p w:rsidR="00000000" w:rsidRDefault="00524BB7">
      <w:pPr>
        <w:spacing w:after="320"/>
        <w:rPr>
          <w:rFonts w:ascii="Time New Roman" w:eastAsia="SimHei" w:hAnsi="Time New Roman"/>
          <w:snapToGrid/>
        </w:rPr>
      </w:pPr>
      <w:r>
        <w:rPr>
          <w:rFonts w:hint="eastAsia"/>
          <w:snapToGrid/>
        </w:rPr>
        <w:tab/>
      </w:r>
      <w:r>
        <w:rPr>
          <w:rFonts w:ascii="Time New Roman" w:eastAsia="SimHei" w:hAnsi="Time New Roman"/>
          <w:b/>
          <w:snapToGrid/>
        </w:rPr>
        <w:t>22</w:t>
      </w:r>
      <w:r>
        <w:rPr>
          <w:rFonts w:ascii="Time New Roman" w:eastAsia="SimHei" w:hAnsi="Time New Roman"/>
          <w:snapToGrid/>
        </w:rPr>
        <w:t xml:space="preserve">.  </w:t>
      </w:r>
      <w:r>
        <w:rPr>
          <w:rFonts w:ascii="Time New Roman" w:eastAsia="SimHei" w:hAnsi="Time New Roman" w:hint="eastAsia"/>
          <w:snapToGrid/>
        </w:rPr>
        <w:t>委员会鼓励缔约国争取进一步的国际技术援助，继续与联合国开展合作，包括同联合国人权事务高级专员办事处及其他有关机构的合作，从而推进切实执行《任择议</w:t>
      </w:r>
      <w:r>
        <w:rPr>
          <w:rFonts w:ascii="Time New Roman" w:eastAsia="SimHei" w:hAnsi="Time New Roman" w:hint="eastAsia"/>
          <w:snapToGrid/>
        </w:rPr>
        <w:t>定书》的条款。委员会还促进缔约国负起责任，确保此类技术援助的可持续性。</w:t>
      </w:r>
    </w:p>
    <w:p w:rsidR="00000000" w:rsidRDefault="00524BB7">
      <w:pPr>
        <w:pStyle w:val="Heading3"/>
        <w:rPr>
          <w:rFonts w:ascii="Time New Roman" w:eastAsia="SimHei" w:hAnsi="Time New Roman"/>
          <w:kern w:val="0"/>
        </w:rPr>
      </w:pPr>
      <w:r>
        <w:rPr>
          <w:rFonts w:hint="eastAsia"/>
          <w:kern w:val="0"/>
        </w:rPr>
        <w:t>贯彻和宣传</w:t>
      </w:r>
    </w:p>
    <w:p w:rsidR="00000000" w:rsidRDefault="00524BB7">
      <w:pPr>
        <w:pStyle w:val="Heading4"/>
        <w:rPr>
          <w:rFonts w:ascii="Time New Roman" w:eastAsia="SimHei" w:hAnsi="Time New Roman"/>
        </w:rPr>
      </w:pPr>
      <w:r>
        <w:rPr>
          <w:rFonts w:ascii="Time New Roman" w:eastAsia="SimHei" w:hAnsi="Time New Roman" w:hint="eastAsia"/>
        </w:rPr>
        <w:t>贯</w:t>
      </w:r>
      <w:r>
        <w:rPr>
          <w:rFonts w:ascii="Time New Roman" w:eastAsia="SimHei" w:hAnsi="Time New Roman" w:hint="eastAsia"/>
        </w:rPr>
        <w:t xml:space="preserve">  </w:t>
      </w:r>
      <w:r>
        <w:rPr>
          <w:rFonts w:ascii="Time New Roman" w:eastAsia="SimHei" w:hAnsi="Time New Roman" w:hint="eastAsia"/>
        </w:rPr>
        <w:t>彻</w:t>
      </w:r>
    </w:p>
    <w:p w:rsidR="00000000" w:rsidRDefault="00524BB7" w:rsidP="00524BB7">
      <w:pPr>
        <w:spacing w:after="320"/>
        <w:ind w:firstLineChars="200" w:firstLine="31680"/>
        <w:rPr>
          <w:rFonts w:ascii="Time New Roman" w:eastAsia="SimHei" w:hAnsi="Time New Roman"/>
          <w:bCs/>
          <w:snapToGrid/>
        </w:rPr>
      </w:pPr>
      <w:r>
        <w:rPr>
          <w:rFonts w:ascii="Time New Roman" w:eastAsia="SimHei" w:hAnsi="Time New Roman"/>
          <w:b/>
          <w:bCs/>
          <w:snapToGrid/>
        </w:rPr>
        <w:t>23.</w:t>
      </w:r>
      <w:r>
        <w:rPr>
          <w:rFonts w:ascii="Time New Roman" w:eastAsia="SimHei" w:hAnsi="Time New Roman"/>
          <w:b/>
          <w:snapToGrid/>
        </w:rPr>
        <w:t xml:space="preserve"> </w:t>
      </w:r>
      <w:r>
        <w:rPr>
          <w:rFonts w:ascii="Time New Roman" w:eastAsia="SimHei" w:hAnsi="Time New Roman"/>
          <w:bCs/>
          <w:snapToGrid/>
        </w:rPr>
        <w:t xml:space="preserve"> </w:t>
      </w:r>
      <w:r>
        <w:rPr>
          <w:rFonts w:ascii="Time New Roman" w:eastAsia="SimHei" w:hAnsi="Time New Roman" w:hint="eastAsia"/>
          <w:bCs/>
          <w:snapToGrid/>
        </w:rPr>
        <w:t>委员会建议缔约国采取一切适当措施，主要是向政府各部、议会，并酌情向各省和地方机关传达本建议，供其适当考虑，进一步采取行动，以确保本建议得到全面落实。</w:t>
      </w:r>
    </w:p>
    <w:p w:rsidR="00000000" w:rsidRDefault="00524BB7">
      <w:pPr>
        <w:pStyle w:val="Heading4"/>
        <w:rPr>
          <w:rFonts w:ascii="Time New Roman" w:eastAsia="SimHei" w:hAnsi="Time New Roman"/>
        </w:rPr>
      </w:pPr>
      <w:r>
        <w:rPr>
          <w:rFonts w:ascii="Time New Roman" w:eastAsia="SimHei" w:hAnsi="Time New Roman" w:hint="eastAsia"/>
        </w:rPr>
        <w:t>宣</w:t>
      </w:r>
      <w:r>
        <w:rPr>
          <w:rFonts w:ascii="Time New Roman" w:eastAsia="SimHei" w:hAnsi="Time New Roman" w:hint="eastAsia"/>
        </w:rPr>
        <w:t xml:space="preserve">  </w:t>
      </w:r>
      <w:r>
        <w:rPr>
          <w:rFonts w:ascii="Time New Roman" w:eastAsia="SimHei" w:hAnsi="Time New Roman" w:hint="eastAsia"/>
        </w:rPr>
        <w:t>传</w:t>
      </w:r>
    </w:p>
    <w:p w:rsidR="00000000" w:rsidRDefault="00524BB7">
      <w:pPr>
        <w:autoSpaceDE w:val="0"/>
        <w:autoSpaceDN w:val="0"/>
        <w:spacing w:after="320"/>
        <w:rPr>
          <w:rFonts w:ascii="Time New Roman" w:eastAsia="SimHei" w:hAnsi="Time New Roman"/>
          <w:bCs/>
          <w:snapToGrid/>
        </w:rPr>
      </w:pPr>
      <w:r>
        <w:rPr>
          <w:rFonts w:ascii="Time New Roman" w:eastAsia="SimHei" w:hAnsi="Time New Roman"/>
          <w:bCs/>
          <w:snapToGrid/>
        </w:rPr>
        <w:tab/>
      </w:r>
      <w:r>
        <w:rPr>
          <w:rFonts w:ascii="Time New Roman" w:eastAsia="SimHei" w:hAnsi="Time New Roman"/>
          <w:b/>
          <w:bCs/>
          <w:snapToGrid/>
        </w:rPr>
        <w:t>24.</w:t>
      </w:r>
      <w:r>
        <w:rPr>
          <w:rFonts w:ascii="Time New Roman" w:eastAsia="SimHei" w:hAnsi="Time New Roman"/>
          <w:b/>
          <w:snapToGrid/>
        </w:rPr>
        <w:t xml:space="preserve"> </w:t>
      </w:r>
      <w:r>
        <w:rPr>
          <w:rFonts w:ascii="Time New Roman" w:eastAsia="SimHei" w:hAnsi="Time New Roman"/>
          <w:bCs/>
          <w:snapToGrid/>
        </w:rPr>
        <w:t xml:space="preserve"> </w:t>
      </w:r>
      <w:r>
        <w:rPr>
          <w:rFonts w:ascii="Time New Roman" w:eastAsia="SimHei" w:hAnsi="Time New Roman" w:hint="eastAsia"/>
          <w:bCs/>
          <w:snapToGrid/>
        </w:rPr>
        <w:t>根据《任择议定书》第</w:t>
      </w:r>
      <w:r>
        <w:rPr>
          <w:rFonts w:ascii="Time New Roman" w:eastAsia="SimHei" w:hAnsi="Time New Roman" w:hint="eastAsia"/>
          <w:b/>
          <w:bCs/>
          <w:snapToGrid/>
        </w:rPr>
        <w:t>6</w:t>
      </w:r>
      <w:r>
        <w:rPr>
          <w:rFonts w:ascii="Time New Roman" w:eastAsia="SimHei" w:hAnsi="Time New Roman" w:hint="eastAsia"/>
          <w:bCs/>
          <w:snapToGrid/>
        </w:rPr>
        <w:t>条第</w:t>
      </w:r>
      <w:r>
        <w:rPr>
          <w:rFonts w:ascii="Time New Roman" w:eastAsia="SimHei" w:hAnsi="Time New Roman" w:hint="eastAsia"/>
          <w:b/>
          <w:bCs/>
          <w:snapToGrid/>
        </w:rPr>
        <w:t>2</w:t>
      </w:r>
      <w:r>
        <w:rPr>
          <w:rFonts w:ascii="Time New Roman" w:eastAsia="SimHei" w:hAnsi="Time New Roman" w:hint="eastAsia"/>
          <w:bCs/>
          <w:snapToGrid/>
        </w:rPr>
        <w:t>款，委员会建议，向广大公众、公民社会组织、青年团体和专业团体广为提供缔约国提交的初次报告和委员会通过的有关建议</w:t>
      </w:r>
      <w:r>
        <w:rPr>
          <w:rFonts w:ascii="Time New Roman" w:eastAsia="SimHei" w:hAnsi="Time New Roman"/>
          <w:bCs/>
          <w:snapToGrid/>
        </w:rPr>
        <w:t>(</w:t>
      </w:r>
      <w:r>
        <w:rPr>
          <w:rFonts w:ascii="Time New Roman" w:eastAsia="SimHei" w:hAnsi="Time New Roman" w:hint="eastAsia"/>
          <w:bCs/>
          <w:snapToGrid/>
        </w:rPr>
        <w:t>结论性意见</w:t>
      </w:r>
      <w:r>
        <w:rPr>
          <w:rFonts w:ascii="Time New Roman" w:eastAsia="SimHei" w:hAnsi="Time New Roman"/>
          <w:bCs/>
          <w:snapToGrid/>
        </w:rPr>
        <w:t>)</w:t>
      </w:r>
      <w:r>
        <w:rPr>
          <w:rFonts w:ascii="Time New Roman" w:eastAsia="SimHei" w:hAnsi="Time New Roman" w:hint="eastAsia"/>
          <w:bCs/>
          <w:snapToGrid/>
        </w:rPr>
        <w:t>，包括利用互联网</w:t>
      </w:r>
      <w:r>
        <w:rPr>
          <w:rFonts w:ascii="Time New Roman" w:eastAsia="SimHei" w:hAnsi="Time New Roman"/>
          <w:bCs/>
          <w:snapToGrid/>
        </w:rPr>
        <w:t>(</w:t>
      </w:r>
      <w:r>
        <w:rPr>
          <w:rFonts w:ascii="Time New Roman" w:eastAsia="SimHei" w:hAnsi="Time New Roman" w:hint="eastAsia"/>
          <w:bCs/>
          <w:snapToGrid/>
        </w:rPr>
        <w:t>但不仅仅借助此种手段</w:t>
      </w:r>
      <w:r>
        <w:rPr>
          <w:rFonts w:ascii="Time New Roman" w:eastAsia="SimHei" w:hAnsi="Time New Roman"/>
          <w:bCs/>
          <w:snapToGrid/>
        </w:rPr>
        <w:t>)</w:t>
      </w:r>
      <w:r>
        <w:rPr>
          <w:rFonts w:ascii="Time New Roman" w:eastAsia="SimHei" w:hAnsi="Time New Roman" w:hint="eastAsia"/>
          <w:bCs/>
          <w:snapToGrid/>
        </w:rPr>
        <w:t>加以宣传，以引起辩论，提高对《公约》及其落实</w:t>
      </w:r>
      <w:r>
        <w:rPr>
          <w:rFonts w:ascii="Time New Roman" w:eastAsia="SimHei" w:hAnsi="Time New Roman" w:hint="eastAsia"/>
          <w:bCs/>
          <w:snapToGrid/>
        </w:rPr>
        <w:t>和监测工作的认识。除此之外，委员会建议缔约国向儿童及其家长广泛宣传《任择议定书》，包括利用教程和人权教育加以宣传。</w:t>
      </w:r>
    </w:p>
    <w:p w:rsidR="00000000" w:rsidRDefault="00524BB7">
      <w:pPr>
        <w:pStyle w:val="Heading3"/>
        <w:rPr>
          <w:rFonts w:hint="eastAsia"/>
          <w:kern w:val="0"/>
        </w:rPr>
      </w:pPr>
      <w:r>
        <w:rPr>
          <w:rFonts w:hint="eastAsia"/>
          <w:kern w:val="0"/>
        </w:rPr>
        <w:t>下</w:t>
      </w:r>
      <w:r>
        <w:rPr>
          <w:rFonts w:hint="eastAsia"/>
          <w:kern w:val="0"/>
        </w:rPr>
        <w:t xml:space="preserve"> </w:t>
      </w:r>
      <w:r>
        <w:rPr>
          <w:rFonts w:hint="eastAsia"/>
          <w:kern w:val="0"/>
        </w:rPr>
        <w:t>次</w:t>
      </w:r>
      <w:r>
        <w:rPr>
          <w:rFonts w:hint="eastAsia"/>
          <w:kern w:val="0"/>
        </w:rPr>
        <w:t xml:space="preserve"> </w:t>
      </w:r>
      <w:r>
        <w:rPr>
          <w:rFonts w:hint="eastAsia"/>
          <w:kern w:val="0"/>
        </w:rPr>
        <w:t>报</w:t>
      </w:r>
      <w:r>
        <w:rPr>
          <w:rFonts w:hint="eastAsia"/>
          <w:kern w:val="0"/>
        </w:rPr>
        <w:t xml:space="preserve"> </w:t>
      </w:r>
      <w:r>
        <w:rPr>
          <w:rFonts w:hint="eastAsia"/>
          <w:kern w:val="0"/>
        </w:rPr>
        <w:t>告</w:t>
      </w:r>
    </w:p>
    <w:p w:rsidR="00000000" w:rsidRDefault="00524BB7">
      <w:pPr>
        <w:rPr>
          <w:rFonts w:ascii="SimHei" w:eastAsia="SimHei" w:hAnsi="Time New Roman"/>
          <w:bCs/>
        </w:rPr>
      </w:pPr>
      <w:r>
        <w:rPr>
          <w:rFonts w:ascii="Time New Roman" w:eastAsia="SimHei" w:hAnsi="Time New Roman"/>
          <w:bCs/>
          <w:snapToGrid/>
        </w:rPr>
        <w:tab/>
      </w:r>
      <w:r>
        <w:rPr>
          <w:rFonts w:ascii="Time New Roman" w:eastAsia="SimHei" w:hAnsi="Time New Roman"/>
          <w:b/>
          <w:bCs/>
          <w:snapToGrid/>
        </w:rPr>
        <w:t>25.</w:t>
      </w:r>
      <w:r>
        <w:rPr>
          <w:rFonts w:ascii="Time New Roman" w:eastAsia="SimHei" w:hAnsi="Time New Roman"/>
          <w:b/>
          <w:snapToGrid/>
        </w:rPr>
        <w:t xml:space="preserve"> </w:t>
      </w:r>
      <w:r>
        <w:rPr>
          <w:rFonts w:ascii="Time New Roman" w:eastAsia="SimHei" w:hAnsi="Time New Roman"/>
          <w:bCs/>
          <w:snapToGrid/>
        </w:rPr>
        <w:t xml:space="preserve"> </w:t>
      </w:r>
      <w:r>
        <w:rPr>
          <w:rFonts w:ascii="Time New Roman" w:eastAsia="SimHei" w:hAnsi="Time New Roman" w:hint="eastAsia"/>
          <w:bCs/>
          <w:snapToGrid/>
        </w:rPr>
        <w:t>根据《任择议定书》第</w:t>
      </w:r>
      <w:r>
        <w:rPr>
          <w:rFonts w:ascii="Time New Roman" w:eastAsia="SimHei" w:hAnsi="Time New Roman" w:hint="eastAsia"/>
          <w:b/>
          <w:bCs/>
          <w:snapToGrid/>
        </w:rPr>
        <w:t>8</w:t>
      </w:r>
      <w:r>
        <w:rPr>
          <w:rFonts w:ascii="Time New Roman" w:eastAsia="SimHei" w:hAnsi="Time New Roman" w:hint="eastAsia"/>
          <w:bCs/>
          <w:snapToGrid/>
        </w:rPr>
        <w:t>条第</w:t>
      </w:r>
      <w:r>
        <w:rPr>
          <w:rFonts w:ascii="Time New Roman" w:eastAsia="SimHei" w:hAnsi="Time New Roman" w:hint="eastAsia"/>
          <w:b/>
          <w:bCs/>
          <w:snapToGrid/>
        </w:rPr>
        <w:t>2</w:t>
      </w:r>
      <w:r>
        <w:rPr>
          <w:rFonts w:ascii="Time New Roman" w:eastAsia="SimHei" w:hAnsi="Time New Roman" w:hint="eastAsia"/>
          <w:bCs/>
          <w:snapToGrid/>
        </w:rPr>
        <w:t>款，委员会请缔约国</w:t>
      </w:r>
      <w:r>
        <w:rPr>
          <w:rFonts w:ascii="Time New Roman" w:eastAsia="SimHei" w:hAnsi="Time New Roman"/>
          <w:bCs/>
          <w:snapToGrid/>
        </w:rPr>
        <w:t>在</w:t>
      </w:r>
      <w:r>
        <w:rPr>
          <w:rFonts w:ascii="Time New Roman" w:eastAsia="SimHei" w:hAnsi="Time New Roman" w:hint="eastAsia"/>
          <w:bCs/>
          <w:snapToGrid/>
        </w:rPr>
        <w:t>其</w:t>
      </w:r>
      <w:r>
        <w:rPr>
          <w:rFonts w:ascii="Time New Roman" w:eastAsia="SimHei" w:hAnsi="Time New Roman"/>
          <w:bCs/>
          <w:snapToGrid/>
        </w:rPr>
        <w:t>按</w:t>
      </w:r>
      <w:r>
        <w:rPr>
          <w:rFonts w:ascii="Time New Roman" w:eastAsia="SimHei" w:hAnsi="Time New Roman" w:hint="eastAsia"/>
          <w:bCs/>
          <w:snapToGrid/>
        </w:rPr>
        <w:t>《儿童权利公约》第</w:t>
      </w:r>
      <w:r>
        <w:rPr>
          <w:rFonts w:ascii="Time New Roman" w:eastAsia="SimHei" w:hAnsi="Time New Roman"/>
          <w:b/>
          <w:bCs/>
          <w:snapToGrid/>
        </w:rPr>
        <w:t>44</w:t>
      </w:r>
      <w:r>
        <w:rPr>
          <w:rFonts w:ascii="Time New Roman" w:eastAsia="SimHei" w:hAnsi="Time New Roman"/>
          <w:bCs/>
          <w:snapToGrid/>
        </w:rPr>
        <w:t>条</w:t>
      </w:r>
      <w:r>
        <w:rPr>
          <w:rFonts w:ascii="Time New Roman" w:eastAsia="SimHei" w:hAnsi="Time New Roman" w:hint="eastAsia"/>
          <w:bCs/>
          <w:snapToGrid/>
        </w:rPr>
        <w:t>提交的</w:t>
      </w:r>
      <w:r>
        <w:rPr>
          <w:rFonts w:ascii="Time New Roman" w:eastAsia="SimHei" w:hAnsi="Time New Roman"/>
          <w:bCs/>
          <w:snapToGrid/>
        </w:rPr>
        <w:t>《公约》</w:t>
      </w:r>
      <w:r>
        <w:rPr>
          <w:rFonts w:ascii="Time New Roman" w:eastAsia="SimHei" w:hAnsi="Time New Roman" w:hint="eastAsia"/>
          <w:bCs/>
          <w:snapToGrid/>
        </w:rPr>
        <w:t>下</w:t>
      </w:r>
      <w:r>
        <w:rPr>
          <w:rFonts w:ascii="Time New Roman" w:eastAsia="SimHei" w:hAnsi="Time New Roman"/>
          <w:bCs/>
          <w:snapToGrid/>
        </w:rPr>
        <w:t>第三和第四次合并定期报告中</w:t>
      </w:r>
      <w:r>
        <w:rPr>
          <w:rFonts w:ascii="Time New Roman" w:eastAsia="SimHei" w:hAnsi="Time New Roman" w:hint="eastAsia"/>
          <w:bCs/>
          <w:snapToGrid/>
        </w:rPr>
        <w:t>进一步说明</w:t>
      </w:r>
      <w:r>
        <w:rPr>
          <w:rFonts w:ascii="Time New Roman" w:eastAsia="SimHei" w:hAnsi="Time New Roman"/>
          <w:bCs/>
          <w:snapToGrid/>
        </w:rPr>
        <w:t>《任择议定书》的执行情况。</w:t>
      </w:r>
    </w:p>
    <w:p w:rsidR="00000000" w:rsidRDefault="00524BB7"/>
    <w:p w:rsidR="00000000" w:rsidRDefault="00524BB7">
      <w:pPr>
        <w:jc w:val="center"/>
      </w:pPr>
      <w:r>
        <w:t>--  --  --  --  --</w:t>
      </w:r>
    </w:p>
    <w:p w:rsidR="00000000" w:rsidRDefault="00524BB7">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4BB7">
      <w:pPr>
        <w:keepNext/>
        <w:spacing w:before="320" w:after="240"/>
        <w:jc w:val="center"/>
      </w:pPr>
      <w:r>
        <w:rPr>
          <w:rFonts w:hint="eastAsia"/>
          <w:u w:val="single"/>
        </w:rPr>
        <w:t>注</w:t>
      </w:r>
    </w:p>
  </w:endnote>
  <w:endnote w:type="continuationSeparator" w:id="0">
    <w:p w:rsidR="00000000" w:rsidRDefault="00524BB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4BB7">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524BB7">
          <w:pPr>
            <w:pStyle w:val="Footer"/>
          </w:pPr>
          <w:r>
            <w:t>GE. 07-42380 (C)</w:t>
          </w:r>
        </w:p>
      </w:tc>
      <w:tc>
        <w:tcPr>
          <w:tcW w:w="1050" w:type="dxa"/>
        </w:tcPr>
        <w:p w:rsidR="00000000" w:rsidRDefault="00524BB7">
          <w:pPr>
            <w:pStyle w:val="Footer"/>
          </w:pPr>
          <w:r>
            <w:t>210607</w:t>
          </w:r>
        </w:p>
      </w:tc>
      <w:tc>
        <w:tcPr>
          <w:tcW w:w="6061" w:type="dxa"/>
        </w:tcPr>
        <w:p w:rsidR="00000000" w:rsidRDefault="00524BB7">
          <w:pPr>
            <w:pStyle w:val="Footer"/>
          </w:pPr>
          <w:r>
            <w:t>250607</w:t>
          </w:r>
        </w:p>
      </w:tc>
    </w:tr>
  </w:tbl>
  <w:p w:rsidR="00000000" w:rsidRDefault="00524BB7">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4BB7">
      <w:pPr>
        <w:spacing w:line="240" w:lineRule="auto"/>
      </w:pPr>
      <w:r>
        <w:separator/>
      </w:r>
    </w:p>
  </w:footnote>
  <w:footnote w:type="continuationSeparator" w:id="0">
    <w:p w:rsidR="00000000" w:rsidRDefault="00524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4BB7">
    <w:pPr>
      <w:pStyle w:val="Header"/>
      <w:jc w:val="both"/>
      <w:rPr>
        <w:lang w:val="en-US" w:eastAsia="zh-CN"/>
      </w:rPr>
    </w:pPr>
    <w:r>
      <w:rPr>
        <w:lang w:val="en-US" w:eastAsia="zh-CN"/>
      </w:rPr>
      <w:t>CRC/C/OPAC/GTM/CO/1</w:t>
    </w:r>
  </w:p>
  <w:p w:rsidR="00000000" w:rsidRDefault="00524BB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4BB7">
    <w:pPr>
      <w:pStyle w:val="Header"/>
      <w:jc w:val="both"/>
      <w:rPr>
        <w:lang w:val="en-US" w:eastAsia="zh-CN"/>
      </w:rPr>
    </w:pPr>
    <w:r>
      <w:rPr>
        <w:lang w:val="en-US" w:eastAsia="zh-CN"/>
      </w:rPr>
      <w:tab/>
    </w:r>
    <w:r>
      <w:rPr>
        <w:lang w:val="en-US" w:eastAsia="zh-CN"/>
      </w:rPr>
      <w:tab/>
    </w:r>
    <w:r>
      <w:rPr>
        <w:lang w:val="en-US" w:eastAsia="zh-CN"/>
      </w:rPr>
      <w:tab/>
      <w:t>CRC/C/OPAC/GTM/CO/1</w:t>
    </w:r>
  </w:p>
  <w:p w:rsidR="00000000" w:rsidRDefault="00524BB7">
    <w:pPr>
      <w:pStyle w:val="Head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019"/>
      <w:gridCol w:w="3392"/>
    </w:tblGrid>
    <w:tr w:rsidR="00000000">
      <w:tblPrEx>
        <w:tblCellMar>
          <w:top w:w="0" w:type="dxa"/>
          <w:bottom w:w="0" w:type="dxa"/>
        </w:tblCellMar>
      </w:tblPrEx>
      <w:tc>
        <w:tcPr>
          <w:tcW w:w="6019" w:type="dxa"/>
        </w:tcPr>
        <w:p w:rsidR="00000000" w:rsidRDefault="00524BB7">
          <w:pPr>
            <w:pStyle w:val="a1"/>
          </w:pPr>
        </w:p>
      </w:tc>
      <w:tc>
        <w:tcPr>
          <w:tcW w:w="3392" w:type="dxa"/>
        </w:tcPr>
        <w:p w:rsidR="00000000" w:rsidRDefault="00524BB7">
          <w:pPr>
            <w:pStyle w:val="a1"/>
          </w:pPr>
        </w:p>
        <w:p w:rsidR="00000000" w:rsidRDefault="00524BB7">
          <w:pPr>
            <w:pStyle w:val="a1"/>
          </w:pPr>
        </w:p>
        <w:p w:rsidR="00000000" w:rsidRDefault="00524BB7">
          <w:pPr>
            <w:pStyle w:val="Header"/>
          </w:pPr>
          <w:r>
            <w:t>Distr.</w:t>
          </w:r>
        </w:p>
        <w:p w:rsidR="00000000" w:rsidRDefault="00524BB7">
          <w:pPr>
            <w:pStyle w:val="Header"/>
            <w:jc w:val="both"/>
            <w:rPr>
              <w:rFonts w:hint="eastAsia"/>
              <w:lang w:eastAsia="zh-CN"/>
            </w:rPr>
          </w:pPr>
          <w:r>
            <w:t>GENERAL</w:t>
          </w:r>
        </w:p>
        <w:p w:rsidR="00000000" w:rsidRDefault="00524BB7">
          <w:pPr>
            <w:pStyle w:val="Header"/>
          </w:pPr>
        </w:p>
        <w:p w:rsidR="00000000" w:rsidRDefault="00524BB7">
          <w:pPr>
            <w:pStyle w:val="Header"/>
            <w:jc w:val="both"/>
            <w:rPr>
              <w:lang w:val="en-US" w:eastAsia="zh-CN"/>
            </w:rPr>
          </w:pPr>
          <w:r>
            <w:rPr>
              <w:lang w:val="en-US" w:eastAsia="zh-CN"/>
            </w:rPr>
            <w:t>CRC/C/OPAC/GTM/CO/1</w:t>
          </w:r>
        </w:p>
        <w:p w:rsidR="00000000" w:rsidRDefault="00524BB7">
          <w:pPr>
            <w:pStyle w:val="Header"/>
          </w:pPr>
          <w:r>
            <w:t>12 June 2007</w:t>
          </w:r>
        </w:p>
        <w:p w:rsidR="00000000" w:rsidRDefault="00524BB7">
          <w:pPr>
            <w:pStyle w:val="Header"/>
          </w:pPr>
        </w:p>
        <w:p w:rsidR="00000000" w:rsidRDefault="00524BB7">
          <w:pPr>
            <w:pStyle w:val="Header"/>
          </w:pPr>
          <w:r>
            <w:t>CHINESE</w:t>
          </w:r>
        </w:p>
        <w:p w:rsidR="00000000" w:rsidRDefault="00524BB7">
          <w:pPr>
            <w:pStyle w:val="Header"/>
            <w:tabs>
              <w:tab w:val="clear" w:pos="992"/>
              <w:tab w:val="left" w:pos="993"/>
            </w:tabs>
          </w:pPr>
          <w:r>
            <w:t>Original:</w:t>
          </w:r>
          <w:r>
            <w:tab/>
            <w:t>ENGLISH</w:t>
          </w:r>
        </w:p>
        <w:p w:rsidR="00000000" w:rsidRDefault="00524BB7">
          <w:pPr>
            <w:pStyle w:val="a1"/>
            <w:rPr>
              <w:rFonts w:hint="eastAsia"/>
            </w:rPr>
          </w:pPr>
        </w:p>
      </w:tc>
    </w:tr>
  </w:tbl>
  <w:p w:rsidR="00000000" w:rsidRDefault="00524BB7">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4B"/>
    <w:multiLevelType w:val="hybridMultilevel"/>
    <w:tmpl w:val="7F8EEDA6"/>
    <w:lvl w:ilvl="0" w:tplc="5EB0E594">
      <w:start w:val="1"/>
      <w:numFmt w:val="lowerLetter"/>
      <w:lvlRestart w:val="0"/>
      <w:lvlText w:val="(%1)"/>
      <w:lvlJc w:val="right"/>
      <w:pPr>
        <w:tabs>
          <w:tab w:val="num" w:pos="1700"/>
        </w:tabs>
        <w:ind w:left="1700" w:hanging="170"/>
      </w:pPr>
      <w:rPr>
        <w:rFonts w:ascii="Times New Roman" w:hAnsi="Times New Roman"/>
        <w:b w:val="0"/>
        <w:i w:val="0"/>
        <w:sz w:val="24"/>
      </w:rPr>
    </w:lvl>
    <w:lvl w:ilvl="1" w:tplc="04090019" w:tentative="1">
      <w:start w:val="1"/>
      <w:numFmt w:val="ideographTraditional"/>
      <w:lvlText w:val="%2、"/>
      <w:lvlJc w:val="left"/>
      <w:pPr>
        <w:tabs>
          <w:tab w:val="num" w:pos="1129"/>
        </w:tabs>
        <w:ind w:left="1129" w:hanging="480"/>
      </w:pPr>
    </w:lvl>
    <w:lvl w:ilvl="2" w:tplc="0409001B" w:tentative="1">
      <w:start w:val="1"/>
      <w:numFmt w:val="lowerRoman"/>
      <w:lvlText w:val="%3."/>
      <w:lvlJc w:val="right"/>
      <w:pPr>
        <w:tabs>
          <w:tab w:val="num" w:pos="1609"/>
        </w:tabs>
        <w:ind w:left="1609" w:hanging="480"/>
      </w:pPr>
    </w:lvl>
    <w:lvl w:ilvl="3" w:tplc="0409000F" w:tentative="1">
      <w:start w:val="1"/>
      <w:numFmt w:val="decimal"/>
      <w:lvlText w:val="%4."/>
      <w:lvlJc w:val="left"/>
      <w:pPr>
        <w:tabs>
          <w:tab w:val="num" w:pos="2089"/>
        </w:tabs>
        <w:ind w:left="2089" w:hanging="480"/>
      </w:pPr>
    </w:lvl>
    <w:lvl w:ilvl="4" w:tplc="04090019" w:tentative="1">
      <w:start w:val="1"/>
      <w:numFmt w:val="ideographTraditional"/>
      <w:lvlText w:val="%5、"/>
      <w:lvlJc w:val="left"/>
      <w:pPr>
        <w:tabs>
          <w:tab w:val="num" w:pos="2569"/>
        </w:tabs>
        <w:ind w:left="2569" w:hanging="480"/>
      </w:pPr>
    </w:lvl>
    <w:lvl w:ilvl="5" w:tplc="0409001B" w:tentative="1">
      <w:start w:val="1"/>
      <w:numFmt w:val="lowerRoman"/>
      <w:lvlText w:val="%6."/>
      <w:lvlJc w:val="right"/>
      <w:pPr>
        <w:tabs>
          <w:tab w:val="num" w:pos="3049"/>
        </w:tabs>
        <w:ind w:left="3049" w:hanging="480"/>
      </w:pPr>
    </w:lvl>
    <w:lvl w:ilvl="6" w:tplc="0409000F" w:tentative="1">
      <w:start w:val="1"/>
      <w:numFmt w:val="decimal"/>
      <w:lvlText w:val="%7."/>
      <w:lvlJc w:val="left"/>
      <w:pPr>
        <w:tabs>
          <w:tab w:val="num" w:pos="3529"/>
        </w:tabs>
        <w:ind w:left="3529" w:hanging="480"/>
      </w:pPr>
    </w:lvl>
    <w:lvl w:ilvl="7" w:tplc="04090019" w:tentative="1">
      <w:start w:val="1"/>
      <w:numFmt w:val="ideographTraditional"/>
      <w:lvlText w:val="%8、"/>
      <w:lvlJc w:val="left"/>
      <w:pPr>
        <w:tabs>
          <w:tab w:val="num" w:pos="4009"/>
        </w:tabs>
        <w:ind w:left="4009" w:hanging="480"/>
      </w:pPr>
    </w:lvl>
    <w:lvl w:ilvl="8" w:tplc="0409001B" w:tentative="1">
      <w:start w:val="1"/>
      <w:numFmt w:val="lowerRoman"/>
      <w:lvlText w:val="%9."/>
      <w:lvlJc w:val="right"/>
      <w:pPr>
        <w:tabs>
          <w:tab w:val="num" w:pos="4489"/>
        </w:tabs>
        <w:ind w:left="4489" w:hanging="480"/>
      </w:pPr>
    </w:lvl>
  </w:abstractNum>
  <w:abstractNum w:abstractNumId="1">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2">
    <w:nsid w:val="0EC958E4"/>
    <w:multiLevelType w:val="hybridMultilevel"/>
    <w:tmpl w:val="E42C1C2E"/>
    <w:lvl w:ilvl="0" w:tplc="5EB0E594">
      <w:start w:val="1"/>
      <w:numFmt w:val="lowerLetter"/>
      <w:lvlRestart w:val="0"/>
      <w:lvlText w:val="(%1)"/>
      <w:lvlJc w:val="right"/>
      <w:pPr>
        <w:tabs>
          <w:tab w:val="num" w:pos="1190"/>
        </w:tabs>
        <w:ind w:left="1190" w:hanging="170"/>
      </w:pPr>
      <w:rPr>
        <w:rFonts w:ascii="Times New Roman" w:hAnsi="Times New Roman"/>
        <w:b w:val="0"/>
        <w:i w:val="0"/>
        <w:sz w:val="24"/>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3">
    <w:nsid w:val="1E9B6A82"/>
    <w:multiLevelType w:val="hybridMultilevel"/>
    <w:tmpl w:val="9D44AD50"/>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735AAC14">
      <w:start w:val="1"/>
      <w:numFmt w:val="decimal"/>
      <w:lvlText w:val="%2."/>
      <w:lvlJc w:val="left"/>
      <w:pPr>
        <w:tabs>
          <w:tab w:val="num" w:pos="972"/>
        </w:tabs>
        <w:ind w:left="972" w:hanging="492"/>
      </w:pPr>
      <w:rPr>
        <w:rFonts w:hint="default"/>
        <w:color w:val="000000"/>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8478F9"/>
    <w:multiLevelType w:val="hybridMultilevel"/>
    <w:tmpl w:val="6DAA94EE"/>
    <w:lvl w:ilvl="0" w:tplc="5EB0E594">
      <w:start w:val="1"/>
      <w:numFmt w:val="lowerLetter"/>
      <w:lvlRestart w:val="0"/>
      <w:lvlText w:val="(%1)"/>
      <w:lvlJc w:val="right"/>
      <w:pPr>
        <w:tabs>
          <w:tab w:val="num" w:pos="1190"/>
        </w:tabs>
        <w:ind w:left="1190" w:hanging="170"/>
      </w:pPr>
      <w:rPr>
        <w:rFonts w:ascii="Times New Roman" w:hAnsi="Times New Roman"/>
        <w:b w:val="0"/>
        <w:i w:val="0"/>
        <w:sz w:val="24"/>
      </w:rPr>
    </w:lvl>
    <w:lvl w:ilvl="1" w:tplc="04090019" w:tentative="1">
      <w:start w:val="1"/>
      <w:numFmt w:val="ideographTraditional"/>
      <w:lvlText w:val="%2、"/>
      <w:lvlJc w:val="left"/>
      <w:pPr>
        <w:tabs>
          <w:tab w:val="num" w:pos="619"/>
        </w:tabs>
        <w:ind w:left="619" w:hanging="480"/>
      </w:pPr>
    </w:lvl>
    <w:lvl w:ilvl="2" w:tplc="0409001B" w:tentative="1">
      <w:start w:val="1"/>
      <w:numFmt w:val="lowerRoman"/>
      <w:lvlText w:val="%3."/>
      <w:lvlJc w:val="right"/>
      <w:pPr>
        <w:tabs>
          <w:tab w:val="num" w:pos="1099"/>
        </w:tabs>
        <w:ind w:left="1099" w:hanging="480"/>
      </w:pPr>
    </w:lvl>
    <w:lvl w:ilvl="3" w:tplc="0409000F" w:tentative="1">
      <w:start w:val="1"/>
      <w:numFmt w:val="decimal"/>
      <w:lvlText w:val="%4."/>
      <w:lvlJc w:val="left"/>
      <w:pPr>
        <w:tabs>
          <w:tab w:val="num" w:pos="1579"/>
        </w:tabs>
        <w:ind w:left="1579" w:hanging="480"/>
      </w:pPr>
    </w:lvl>
    <w:lvl w:ilvl="4" w:tplc="04090019" w:tentative="1">
      <w:start w:val="1"/>
      <w:numFmt w:val="ideographTraditional"/>
      <w:lvlText w:val="%5、"/>
      <w:lvlJc w:val="left"/>
      <w:pPr>
        <w:tabs>
          <w:tab w:val="num" w:pos="2059"/>
        </w:tabs>
        <w:ind w:left="2059" w:hanging="480"/>
      </w:pPr>
    </w:lvl>
    <w:lvl w:ilvl="5" w:tplc="0409001B" w:tentative="1">
      <w:start w:val="1"/>
      <w:numFmt w:val="lowerRoman"/>
      <w:lvlText w:val="%6."/>
      <w:lvlJc w:val="right"/>
      <w:pPr>
        <w:tabs>
          <w:tab w:val="num" w:pos="2539"/>
        </w:tabs>
        <w:ind w:left="2539" w:hanging="480"/>
      </w:pPr>
    </w:lvl>
    <w:lvl w:ilvl="6" w:tplc="0409000F" w:tentative="1">
      <w:start w:val="1"/>
      <w:numFmt w:val="decimal"/>
      <w:lvlText w:val="%7."/>
      <w:lvlJc w:val="left"/>
      <w:pPr>
        <w:tabs>
          <w:tab w:val="num" w:pos="3019"/>
        </w:tabs>
        <w:ind w:left="3019" w:hanging="480"/>
      </w:pPr>
    </w:lvl>
    <w:lvl w:ilvl="7" w:tplc="04090019" w:tentative="1">
      <w:start w:val="1"/>
      <w:numFmt w:val="ideographTraditional"/>
      <w:lvlText w:val="%8、"/>
      <w:lvlJc w:val="left"/>
      <w:pPr>
        <w:tabs>
          <w:tab w:val="num" w:pos="3499"/>
        </w:tabs>
        <w:ind w:left="3499" w:hanging="480"/>
      </w:pPr>
    </w:lvl>
    <w:lvl w:ilvl="8" w:tplc="0409001B" w:tentative="1">
      <w:start w:val="1"/>
      <w:numFmt w:val="lowerRoman"/>
      <w:lvlText w:val="%9."/>
      <w:lvlJc w:val="right"/>
      <w:pPr>
        <w:tabs>
          <w:tab w:val="num" w:pos="3979"/>
        </w:tabs>
        <w:ind w:left="3979" w:hanging="480"/>
      </w:pPr>
    </w:lvl>
  </w:abstractNum>
  <w:abstractNum w:abstractNumId="5">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7">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8">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9">
    <w:nsid w:val="3DD42D49"/>
    <w:multiLevelType w:val="hybridMultilevel"/>
    <w:tmpl w:val="0A6C47D4"/>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DC46DB"/>
    <w:multiLevelType w:val="hybridMultilevel"/>
    <w:tmpl w:val="224AC33A"/>
    <w:lvl w:ilvl="0" w:tplc="5EB0E594">
      <w:start w:val="1"/>
      <w:numFmt w:val="lowerLetter"/>
      <w:lvlRestart w:val="0"/>
      <w:lvlText w:val="(%1)"/>
      <w:lvlJc w:val="right"/>
      <w:pPr>
        <w:tabs>
          <w:tab w:val="num" w:pos="2506"/>
        </w:tabs>
        <w:ind w:left="2506" w:hanging="170"/>
      </w:pPr>
      <w:rPr>
        <w:rFonts w:ascii="Times New Roman" w:hAnsi="Times New Roman"/>
        <w:b w:val="0"/>
        <w:i w:val="0"/>
        <w:sz w:val="24"/>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1">
    <w:nsid w:val="47D211B0"/>
    <w:multiLevelType w:val="hybridMultilevel"/>
    <w:tmpl w:val="95FEB096"/>
    <w:lvl w:ilvl="0" w:tplc="5EB0E594">
      <w:start w:val="1"/>
      <w:numFmt w:val="lowerLetter"/>
      <w:lvlRestart w:val="0"/>
      <w:lvlText w:val="(%1)"/>
      <w:lvlJc w:val="right"/>
      <w:pPr>
        <w:tabs>
          <w:tab w:val="num" w:pos="2506"/>
        </w:tabs>
        <w:ind w:left="2506" w:hanging="170"/>
      </w:pPr>
      <w:rPr>
        <w:rFonts w:ascii="Times New Roman" w:hAnsi="Times New Roman"/>
        <w:b w:val="0"/>
        <w:i w:val="0"/>
        <w:sz w:val="24"/>
      </w:rPr>
    </w:lvl>
    <w:lvl w:ilvl="1" w:tplc="5EB0E594">
      <w:start w:val="1"/>
      <w:numFmt w:val="lowerLetter"/>
      <w:lvlRestart w:val="0"/>
      <w:lvlText w:val="(%2)"/>
      <w:lvlJc w:val="right"/>
      <w:pPr>
        <w:tabs>
          <w:tab w:val="num" w:pos="1625"/>
        </w:tabs>
        <w:ind w:left="1625" w:hanging="170"/>
      </w:pPr>
      <w:rPr>
        <w:rFonts w:ascii="Times New Roman" w:hAnsi="Times New Roman"/>
        <w:b w:val="0"/>
        <w:i w:val="0"/>
        <w:sz w:val="24"/>
      </w:r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2">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3">
    <w:nsid w:val="55BF3C1B"/>
    <w:multiLevelType w:val="hybridMultilevel"/>
    <w:tmpl w:val="9DC8A58C"/>
    <w:lvl w:ilvl="0" w:tplc="35FC65FA">
      <w:start w:val="4"/>
      <w:numFmt w:val="decimal"/>
      <w:lvlText w:val="%1."/>
      <w:lvlJc w:val="left"/>
      <w:pPr>
        <w:tabs>
          <w:tab w:val="num" w:pos="900"/>
        </w:tabs>
        <w:ind w:left="900" w:hanging="4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70BD5FEB"/>
    <w:multiLevelType w:val="hybridMultilevel"/>
    <w:tmpl w:val="0A34B23A"/>
    <w:lvl w:ilvl="0" w:tplc="5EB0E594">
      <w:start w:val="1"/>
      <w:numFmt w:val="lowerLetter"/>
      <w:lvlRestart w:val="0"/>
      <w:lvlText w:val="(%1)"/>
      <w:lvlJc w:val="right"/>
      <w:pPr>
        <w:tabs>
          <w:tab w:val="num" w:pos="2571"/>
        </w:tabs>
        <w:ind w:left="2571" w:hanging="170"/>
      </w:pPr>
      <w:rPr>
        <w:rFonts w:ascii="Times New Roman" w:hAnsi="Times New Roman"/>
        <w:b w:val="0"/>
        <w:i w:val="0"/>
        <w:sz w:val="24"/>
      </w:rPr>
    </w:lvl>
    <w:lvl w:ilvl="1" w:tplc="04090019" w:tentative="1">
      <w:start w:val="1"/>
      <w:numFmt w:val="ideographTraditional"/>
      <w:lvlText w:val="%2、"/>
      <w:lvlJc w:val="left"/>
      <w:pPr>
        <w:tabs>
          <w:tab w:val="num" w:pos="2000"/>
        </w:tabs>
        <w:ind w:left="2000" w:hanging="480"/>
      </w:pPr>
    </w:lvl>
    <w:lvl w:ilvl="2" w:tplc="0409001B">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5">
    <w:nsid w:val="75BA220B"/>
    <w:multiLevelType w:val="hybridMultilevel"/>
    <w:tmpl w:val="759681C0"/>
    <w:lvl w:ilvl="0" w:tplc="5EB0E594">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8071B"/>
    <w:multiLevelType w:val="hybridMultilevel"/>
    <w:tmpl w:val="A0660F2A"/>
    <w:lvl w:ilvl="0" w:tplc="5EB0E594">
      <w:start w:val="1"/>
      <w:numFmt w:val="lowerLetter"/>
      <w:lvlRestart w:val="0"/>
      <w:lvlText w:val="(%1)"/>
      <w:lvlJc w:val="right"/>
      <w:pPr>
        <w:tabs>
          <w:tab w:val="num" w:pos="2506"/>
        </w:tabs>
        <w:ind w:left="2506" w:hanging="170"/>
      </w:pPr>
      <w:rPr>
        <w:rFonts w:ascii="Times New Roman" w:hAnsi="Times New Roman"/>
        <w:b w:val="0"/>
        <w:i w:val="0"/>
        <w:sz w:val="24"/>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num w:numId="1">
    <w:abstractNumId w:val="7"/>
  </w:num>
  <w:num w:numId="2">
    <w:abstractNumId w:val="12"/>
  </w:num>
  <w:num w:numId="3">
    <w:abstractNumId w:val="8"/>
  </w:num>
  <w:num w:numId="4">
    <w:abstractNumId w:val="6"/>
  </w:num>
  <w:num w:numId="5">
    <w:abstractNumId w:val="7"/>
  </w:num>
  <w:num w:numId="6">
    <w:abstractNumId w:val="12"/>
  </w:num>
  <w:num w:numId="7">
    <w:abstractNumId w:val="8"/>
  </w:num>
  <w:num w:numId="8">
    <w:abstractNumId w:val="6"/>
  </w:num>
  <w:num w:numId="9">
    <w:abstractNumId w:val="7"/>
  </w:num>
  <w:num w:numId="10">
    <w:abstractNumId w:val="12"/>
  </w:num>
  <w:num w:numId="11">
    <w:abstractNumId w:val="8"/>
  </w:num>
  <w:num w:numId="12">
    <w:abstractNumId w:val="6"/>
  </w:num>
  <w:num w:numId="13">
    <w:abstractNumId w:val="7"/>
  </w:num>
  <w:num w:numId="14">
    <w:abstractNumId w:val="12"/>
  </w:num>
  <w:num w:numId="15">
    <w:abstractNumId w:val="8"/>
  </w:num>
  <w:num w:numId="16">
    <w:abstractNumId w:val="6"/>
  </w:num>
  <w:num w:numId="17">
    <w:abstractNumId w:val="7"/>
  </w:num>
  <w:num w:numId="18">
    <w:abstractNumId w:val="12"/>
  </w:num>
  <w:num w:numId="19">
    <w:abstractNumId w:val="8"/>
  </w:num>
  <w:num w:numId="20">
    <w:abstractNumId w:val="1"/>
  </w:num>
  <w:num w:numId="21">
    <w:abstractNumId w:val="12"/>
  </w:num>
  <w:num w:numId="22">
    <w:abstractNumId w:val="8"/>
  </w:num>
  <w:num w:numId="23">
    <w:abstractNumId w:val="16"/>
  </w:num>
  <w:num w:numId="24">
    <w:abstractNumId w:val="5"/>
  </w:num>
  <w:num w:numId="25">
    <w:abstractNumId w:val="5"/>
  </w:num>
  <w:num w:numId="26">
    <w:abstractNumId w:val="5"/>
  </w:num>
  <w:num w:numId="27">
    <w:abstractNumId w:val="12"/>
  </w:num>
  <w:num w:numId="28">
    <w:abstractNumId w:val="8"/>
  </w:num>
  <w:num w:numId="29">
    <w:abstractNumId w:val="13"/>
  </w:num>
  <w:num w:numId="30">
    <w:abstractNumId w:val="3"/>
  </w:num>
  <w:num w:numId="31">
    <w:abstractNumId w:val="11"/>
  </w:num>
  <w:num w:numId="32">
    <w:abstractNumId w:val="14"/>
  </w:num>
  <w:num w:numId="33">
    <w:abstractNumId w:val="17"/>
  </w:num>
  <w:num w:numId="34">
    <w:abstractNumId w:val="0"/>
  </w:num>
  <w:num w:numId="35">
    <w:abstractNumId w:val="10"/>
  </w:num>
  <w:num w:numId="36">
    <w:abstractNumId w:val="4"/>
  </w:num>
  <w:num w:numId="37">
    <w:abstractNumId w:val="15"/>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BB7"/>
    <w:rsid w:val="00524B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2"/>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2"/>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customStyle="1" w:styleId="ac">
    <w:name w:val="正文缩进"/>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30333;&#324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白纸1</Template>
  <TotalTime>0</TotalTime>
  <Pages>6</Pages>
  <Words>506</Words>
  <Characters>2885</Characters>
  <Application>Microsoft Office Word</Application>
  <DocSecurity>4</DocSecurity>
  <Lines>24</Lines>
  <Paragraphs>5</Paragraphs>
  <ScaleCrop>false</ScaleCrop>
  <HeadingPairs>
    <vt:vector size="4" baseType="variant">
      <vt:variant>
        <vt:lpstr>题目</vt:lpstr>
      </vt:variant>
      <vt:variant>
        <vt:i4>1</vt:i4>
      </vt:variant>
      <vt:variant>
        <vt:lpstr>标题</vt:lpstr>
      </vt:variant>
      <vt:variant>
        <vt:i4>13</vt:i4>
      </vt:variant>
    </vt:vector>
  </HeadingPairs>
  <TitlesOfParts>
    <vt:vector size="14" baseType="lpstr">
      <vt:lpstr>人权事务委员会</vt:lpstr>
      <vt:lpstr>    儿童权利委员会</vt:lpstr>
      <vt:lpstr>        第四十五届会议</vt:lpstr>
      <vt:lpstr>    审议缔约国根据《儿童权利公约关于儿童卷入武装冲突问题的 任择议定书》第8条提交的报告</vt:lpstr>
      <vt:lpstr>        结论性意见：危地马拉</vt:lpstr>
      <vt:lpstr>        A.  导  言</vt:lpstr>
      <vt:lpstr>        B.  积极方面</vt:lpstr>
      <vt:lpstr>        C.  主要关注领域和建议</vt:lpstr>
      <vt:lpstr>        一般执行措施</vt:lpstr>
      <vt:lpstr>        征募儿童入伍</vt:lpstr>
      <vt:lpstr>        在裁军、复员和社会再融合方面采取的措施</vt:lpstr>
      <vt:lpstr>        国际援助与合作</vt:lpstr>
      <vt:lpstr>        贯彻和宣传</vt:lpstr>
      <vt:lpstr>        下 次 报 告</vt:lpstr>
    </vt:vector>
  </TitlesOfParts>
  <Company>Chinese Unit - GE</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WANG</dc:creator>
  <cp:keywords/>
  <dc:description>公民权利和政治权利国际公约</dc:description>
  <cp:lastModifiedBy>TIAN</cp:lastModifiedBy>
  <cp:revision>2</cp:revision>
  <cp:lastPrinted>2007-06-25T09:52:00Z</cp:lastPrinted>
  <dcterms:created xsi:type="dcterms:W3CDTF">2007-06-25T09:56:00Z</dcterms:created>
  <dcterms:modified xsi:type="dcterms:W3CDTF">2007-06-25T09:56:00Z</dcterms:modified>
  <cp:category>CCPR意见.dot</cp:category>
</cp:coreProperties>
</file>