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B106F" w:rsidRDefault="00446DE4" w:rsidP="00473FF8">
            <w:pPr>
              <w:spacing w:after="80" w:line="340" w:lineRule="exact"/>
              <w:rPr>
                <w:rStyle w:val="Emphasis"/>
              </w:rPr>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AF76D0" w:rsidP="00216CEA">
            <w:pPr>
              <w:jc w:val="right"/>
            </w:pPr>
            <w:r w:rsidRPr="00AF76D0">
              <w:rPr>
                <w:sz w:val="40"/>
              </w:rPr>
              <w:t>CRC</w:t>
            </w:r>
            <w:r>
              <w:t>/C/OPAC/</w:t>
            </w:r>
            <w:r w:rsidR="00216CEA">
              <w:t>BFA</w:t>
            </w:r>
            <w:r>
              <w:t>/CO/</w:t>
            </w:r>
            <w:r w:rsidR="00A07034">
              <w:t>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AF76D0" w:rsidRDefault="00AF76D0" w:rsidP="00AF76D0">
            <w:pPr>
              <w:spacing w:before="240" w:line="240" w:lineRule="exact"/>
            </w:pPr>
            <w:r>
              <w:t>Distr.: General</w:t>
            </w:r>
          </w:p>
          <w:p w:rsidR="00AF76D0" w:rsidRDefault="00AA7FF6" w:rsidP="00AF76D0">
            <w:pPr>
              <w:spacing w:line="240" w:lineRule="exact"/>
            </w:pPr>
            <w:r>
              <w:t>2</w:t>
            </w:r>
            <w:r w:rsidR="00EA7ADE">
              <w:t>6</w:t>
            </w:r>
            <w:r w:rsidR="009E309F">
              <w:t xml:space="preserve"> </w:t>
            </w:r>
            <w:r w:rsidR="00E138ED">
              <w:t>June</w:t>
            </w:r>
            <w:r w:rsidR="00AF76D0">
              <w:t xml:space="preserve"> 201</w:t>
            </w:r>
            <w:r w:rsidR="00EC27F7">
              <w:t>3</w:t>
            </w:r>
          </w:p>
          <w:p w:rsidR="0041734E" w:rsidRDefault="0041734E" w:rsidP="00AF76D0">
            <w:pPr>
              <w:spacing w:line="240" w:lineRule="exact"/>
            </w:pPr>
          </w:p>
          <w:p w:rsidR="003107FA" w:rsidRDefault="00AF76D0" w:rsidP="00AF76D0">
            <w:pPr>
              <w:spacing w:line="240" w:lineRule="exact"/>
            </w:pPr>
            <w:r>
              <w:t>Original: English</w:t>
            </w:r>
          </w:p>
          <w:p w:rsidR="00177187" w:rsidRPr="00177187" w:rsidRDefault="00177187" w:rsidP="0041734E">
            <w:pPr>
              <w:rPr>
                <w:b/>
              </w:rPr>
            </w:pPr>
          </w:p>
        </w:tc>
      </w:tr>
    </w:tbl>
    <w:p w:rsidR="00AF76D0" w:rsidRPr="006F0630" w:rsidRDefault="00AF76D0" w:rsidP="00AF76D0">
      <w:pPr>
        <w:spacing w:before="120"/>
        <w:rPr>
          <w:b/>
          <w:bCs/>
          <w:sz w:val="24"/>
          <w:szCs w:val="24"/>
        </w:rPr>
      </w:pPr>
      <w:r w:rsidRPr="006F0630">
        <w:rPr>
          <w:b/>
          <w:bCs/>
          <w:sz w:val="24"/>
          <w:szCs w:val="24"/>
        </w:rPr>
        <w:t>Committee on the Rights of the Child</w:t>
      </w:r>
    </w:p>
    <w:p w:rsidR="00216CEA" w:rsidRPr="00216CEA" w:rsidRDefault="00216CEA" w:rsidP="00216CEA">
      <w:pPr>
        <w:pStyle w:val="HChG"/>
      </w:pPr>
      <w:r>
        <w:tab/>
      </w:r>
      <w:r>
        <w:tab/>
      </w:r>
      <w:r w:rsidRPr="00216CEA">
        <w:t>Concluding observations on the initial report of Burkina Faso</w:t>
      </w:r>
      <w:r w:rsidR="0057348E">
        <w:t xml:space="preserve"> submitted under article 8 of the Optional Protocol to the Convention on the involvement of children in armed conflict,</w:t>
      </w:r>
      <w:r w:rsidRPr="00216CEA">
        <w:t xml:space="preserve"> adopted by the Committee at its sixty-second </w:t>
      </w:r>
      <w:r w:rsidR="00CF264B" w:rsidRPr="00216CEA">
        <w:t xml:space="preserve">session </w:t>
      </w:r>
      <w:r w:rsidR="00CF264B">
        <w:br/>
      </w:r>
      <w:r w:rsidR="00E138ED">
        <w:t xml:space="preserve">(14 </w:t>
      </w:r>
      <w:r w:rsidRPr="00216CEA">
        <w:t>January–1 February 2013)</w:t>
      </w:r>
    </w:p>
    <w:p w:rsidR="00216CEA" w:rsidRPr="0039321D" w:rsidRDefault="00216CEA" w:rsidP="003039FC">
      <w:pPr>
        <w:pStyle w:val="SingleTxtG"/>
        <w:numPr>
          <w:ilvl w:val="0"/>
          <w:numId w:val="10"/>
        </w:numPr>
        <w:ind w:left="1134" w:firstLine="0"/>
      </w:pPr>
      <w:r w:rsidRPr="0039321D">
        <w:t xml:space="preserve">The Committee considered the initial report of </w:t>
      </w:r>
      <w:smartTag w:uri="urn:schemas-microsoft-com:office:smarttags" w:element="place">
        <w:smartTag w:uri="urn:schemas-microsoft-com:office:smarttags" w:element="country-region">
          <w:r w:rsidRPr="0039321D">
            <w:t>Burkina Faso</w:t>
          </w:r>
        </w:smartTag>
      </w:smartTag>
      <w:r w:rsidRPr="0039321D">
        <w:t xml:space="preserve"> (CRC/C/OPAC/BFA/1) at its 1766</w:t>
      </w:r>
      <w:r w:rsidR="00E138ED">
        <w:t>th</w:t>
      </w:r>
      <w:r w:rsidRPr="0039321D">
        <w:t xml:space="preserve"> and 1767</w:t>
      </w:r>
      <w:r w:rsidR="00E138ED">
        <w:t>th</w:t>
      </w:r>
      <w:r w:rsidRPr="0039321D">
        <w:t xml:space="preserve"> meetings </w:t>
      </w:r>
      <w:r w:rsidRPr="007E00E7">
        <w:t>(see CRC/C/SR/1766</w:t>
      </w:r>
      <w:r w:rsidR="00E138ED">
        <w:t>-</w:t>
      </w:r>
      <w:r w:rsidRPr="007E00E7">
        <w:t>1767),</w:t>
      </w:r>
      <w:r w:rsidRPr="0039321D">
        <w:t xml:space="preserve"> held on 21 January 2013, and adopted </w:t>
      </w:r>
      <w:r w:rsidR="00E138ED" w:rsidRPr="0039321D">
        <w:t xml:space="preserve">the following concluding observations </w:t>
      </w:r>
      <w:r w:rsidRPr="0039321D">
        <w:t xml:space="preserve">at its </w:t>
      </w:r>
      <w:r>
        <w:t>1784</w:t>
      </w:r>
      <w:r w:rsidR="00E138ED">
        <w:t>th</w:t>
      </w:r>
      <w:r>
        <w:t xml:space="preserve"> meeting, held on </w:t>
      </w:r>
      <w:r w:rsidR="00E138ED">
        <w:t xml:space="preserve">1 </w:t>
      </w:r>
      <w:r>
        <w:t>February</w:t>
      </w:r>
      <w:r w:rsidRPr="0039321D">
        <w:t xml:space="preserve"> 2013.</w:t>
      </w:r>
    </w:p>
    <w:p w:rsidR="00216CEA" w:rsidRDefault="00216CEA" w:rsidP="00216CEA">
      <w:pPr>
        <w:pStyle w:val="HChG"/>
        <w:rPr>
          <w:lang w:eastAsia="en-GB"/>
        </w:rPr>
      </w:pPr>
      <w:r>
        <w:rPr>
          <w:lang w:eastAsia="en-GB"/>
        </w:rPr>
        <w:tab/>
        <w:t>I.</w:t>
      </w:r>
      <w:r>
        <w:rPr>
          <w:lang w:eastAsia="en-GB"/>
        </w:rPr>
        <w:tab/>
        <w:t>Introduction</w:t>
      </w:r>
    </w:p>
    <w:p w:rsidR="00216CEA" w:rsidRPr="00B602D5" w:rsidRDefault="00216CEA" w:rsidP="00216CEA">
      <w:pPr>
        <w:pStyle w:val="SingleTxtG"/>
        <w:numPr>
          <w:ilvl w:val="0"/>
          <w:numId w:val="10"/>
        </w:numPr>
        <w:ind w:left="1134" w:firstLine="0"/>
      </w:pPr>
      <w:r w:rsidRPr="00B602D5">
        <w:t>The Committee welcomes the submission of the State party’s initial report and its written replies to the list of issues (CRC/C/OPAC/</w:t>
      </w:r>
      <w:r>
        <w:t>BFA</w:t>
      </w:r>
      <w:r w:rsidRPr="00B602D5">
        <w:t>/Q/1/Add.1).</w:t>
      </w:r>
      <w:r>
        <w:t xml:space="preserve"> </w:t>
      </w:r>
      <w:r w:rsidRPr="005A4151">
        <w:t xml:space="preserve">The Committee appreciates the </w:t>
      </w:r>
      <w:r>
        <w:t xml:space="preserve">constructive </w:t>
      </w:r>
      <w:r w:rsidRPr="005A4151">
        <w:t xml:space="preserve">dialogue with the </w:t>
      </w:r>
      <w:r>
        <w:t>State party’s multisectoral delegation.</w:t>
      </w:r>
    </w:p>
    <w:p w:rsidR="00216CEA" w:rsidRPr="00B602D5" w:rsidRDefault="00216CEA" w:rsidP="00216CEA">
      <w:pPr>
        <w:pStyle w:val="SingleTxtG"/>
        <w:numPr>
          <w:ilvl w:val="0"/>
          <w:numId w:val="10"/>
        </w:numPr>
        <w:ind w:left="1134" w:firstLine="0"/>
      </w:pPr>
      <w:r w:rsidRPr="00B602D5">
        <w:t xml:space="preserve">The Committee reminds the State party that the present concluding observations should be read in conjunction with the concluding observations on the State party’s combined </w:t>
      </w:r>
      <w:r>
        <w:t>third and</w:t>
      </w:r>
      <w:r w:rsidRPr="00B602D5">
        <w:t xml:space="preserve"> fourth periodic repo</w:t>
      </w:r>
      <w:r>
        <w:t>rts under the Convention (CRC/BFA/CO/3-4</w:t>
      </w:r>
      <w:r w:rsidRPr="00B602D5">
        <w:t>) as well as those on the initial report under the Optional Protocol on the sale of children, child prostitution an</w:t>
      </w:r>
      <w:r>
        <w:t>d child pornography (CRC/C/OPSC/BFA/CO/1, 2013).</w:t>
      </w:r>
    </w:p>
    <w:p w:rsidR="00216CEA" w:rsidRDefault="00216CEA" w:rsidP="00216CEA">
      <w:pPr>
        <w:pStyle w:val="HChG"/>
        <w:rPr>
          <w:lang w:eastAsia="en-GB"/>
        </w:rPr>
      </w:pPr>
      <w:r>
        <w:rPr>
          <w:lang w:eastAsia="en-GB"/>
        </w:rPr>
        <w:tab/>
        <w:t>II.</w:t>
      </w:r>
      <w:r>
        <w:rPr>
          <w:lang w:eastAsia="en-GB"/>
        </w:rPr>
        <w:tab/>
        <w:t>General observations</w:t>
      </w:r>
    </w:p>
    <w:p w:rsidR="00216CEA" w:rsidRDefault="00216CEA" w:rsidP="00216CEA">
      <w:pPr>
        <w:pStyle w:val="H23G"/>
        <w:rPr>
          <w:lang w:eastAsia="en-GB"/>
        </w:rPr>
      </w:pPr>
      <w:r>
        <w:rPr>
          <w:lang w:eastAsia="en-GB"/>
        </w:rPr>
        <w:tab/>
      </w:r>
      <w:r>
        <w:rPr>
          <w:lang w:eastAsia="en-GB"/>
        </w:rPr>
        <w:tab/>
        <w:t>Positive aspects</w:t>
      </w:r>
    </w:p>
    <w:p w:rsidR="00216CEA" w:rsidRDefault="00216CEA" w:rsidP="00216CEA">
      <w:pPr>
        <w:pStyle w:val="SingleTxtG"/>
        <w:numPr>
          <w:ilvl w:val="0"/>
          <w:numId w:val="10"/>
        </w:numPr>
        <w:ind w:left="1134" w:firstLine="0"/>
        <w:rPr>
          <w:lang w:eastAsia="en-GB"/>
        </w:rPr>
      </w:pPr>
      <w:r w:rsidRPr="0029286A">
        <w:t xml:space="preserve">The Committee further notes with appreciation </w:t>
      </w:r>
      <w:r>
        <w:t>the following</w:t>
      </w:r>
      <w:r w:rsidR="008A5829">
        <w:t xml:space="preserve"> legislative </w:t>
      </w:r>
      <w:r>
        <w:t>measures:</w:t>
      </w:r>
    </w:p>
    <w:p w:rsidR="00216CEA" w:rsidRPr="00F764C8" w:rsidRDefault="00216CEA" w:rsidP="003039FC">
      <w:pPr>
        <w:pStyle w:val="SingleTxtG"/>
        <w:ind w:firstLine="567"/>
      </w:pPr>
      <w:r w:rsidRPr="00F764C8">
        <w:t>(a)</w:t>
      </w:r>
      <w:r w:rsidRPr="00F764C8">
        <w:tab/>
        <w:t>Presidential Decree No</w:t>
      </w:r>
      <w:r w:rsidR="009D0816">
        <w:t>.</w:t>
      </w:r>
      <w:r w:rsidRPr="00F764C8">
        <w:t xml:space="preserve"> 2009-894/PRES, which enacted Act No. 052-2009/AN of 3 December 2009 incorporating the Rome Statute</w:t>
      </w:r>
      <w:r w:rsidR="00E138ED">
        <w:t xml:space="preserve"> of the International Criminal Court</w:t>
      </w:r>
      <w:r w:rsidRPr="00F764C8">
        <w:t xml:space="preserve"> into Burkinabe law;</w:t>
      </w:r>
    </w:p>
    <w:p w:rsidR="00216CEA" w:rsidRPr="00F764C8" w:rsidRDefault="008A5829" w:rsidP="00F764C8">
      <w:pPr>
        <w:pStyle w:val="SingleTxtG"/>
        <w:ind w:firstLine="567"/>
      </w:pPr>
      <w:r>
        <w:t>(b)</w:t>
      </w:r>
      <w:r>
        <w:tab/>
      </w:r>
      <w:r w:rsidR="00216CEA" w:rsidRPr="00F764C8">
        <w:t>Act No</w:t>
      </w:r>
      <w:r w:rsidR="009D0816">
        <w:t>.</w:t>
      </w:r>
      <w:r w:rsidR="00216CEA" w:rsidRPr="00F764C8">
        <w:t xml:space="preserve"> 037-2008/AN of 29 May 2008, according to which no persons under the age of 18 can be voluntarily recruited in the national armed forces and Decree No</w:t>
      </w:r>
      <w:r w:rsidR="009D0816">
        <w:t>.</w:t>
      </w:r>
      <w:r w:rsidR="00216CEA" w:rsidRPr="00F764C8">
        <w:t xml:space="preserve"> 560 of 5 July 2012 which raises the minimum age for conscription </w:t>
      </w:r>
      <w:r w:rsidR="009D0816">
        <w:t>to</w:t>
      </w:r>
      <w:r w:rsidR="009D0816" w:rsidRPr="00F764C8">
        <w:t xml:space="preserve"> </w:t>
      </w:r>
      <w:r w:rsidR="00216CEA" w:rsidRPr="00F764C8">
        <w:t>20.</w:t>
      </w:r>
    </w:p>
    <w:p w:rsidR="00216CEA" w:rsidRPr="0029286A" w:rsidRDefault="00216CEA" w:rsidP="00216CEA">
      <w:pPr>
        <w:pStyle w:val="SingleTxtG"/>
        <w:numPr>
          <w:ilvl w:val="0"/>
          <w:numId w:val="10"/>
        </w:numPr>
        <w:ind w:left="1134" w:firstLine="0"/>
        <w:rPr>
          <w:lang w:eastAsia="en-GB"/>
        </w:rPr>
      </w:pPr>
      <w:r w:rsidRPr="00603C59">
        <w:t>The Committee welcomes the accession or ratification by the State party of</w:t>
      </w:r>
      <w:r>
        <w:t xml:space="preserve"> t</w:t>
      </w:r>
      <w:r w:rsidRPr="00B250C6">
        <w:t>he Protocol against the Illicit Manufacturing of and Trafficking in Firearms, Their Parts and Components and Ammunition, supplementing the United Nations Convention agains</w:t>
      </w:r>
      <w:r w:rsidR="008A5829">
        <w:t>t Transnational Organized Crime</w:t>
      </w:r>
      <w:r w:rsidR="009E309F">
        <w:t>,</w:t>
      </w:r>
      <w:r w:rsidRPr="00B250C6">
        <w:t xml:space="preserve"> in May</w:t>
      </w:r>
      <w:r>
        <w:t xml:space="preserve"> 2002</w:t>
      </w:r>
      <w:r>
        <w:rPr>
          <w:lang w:eastAsia="en-GB"/>
        </w:rPr>
        <w:t>.</w:t>
      </w:r>
    </w:p>
    <w:p w:rsidR="00216CEA" w:rsidRPr="007E00E7" w:rsidRDefault="00216CEA" w:rsidP="00216CEA">
      <w:pPr>
        <w:pStyle w:val="HChG"/>
        <w:rPr>
          <w:lang w:eastAsia="en-GB"/>
        </w:rPr>
      </w:pPr>
      <w:r>
        <w:rPr>
          <w:lang w:eastAsia="en-GB"/>
        </w:rPr>
        <w:tab/>
        <w:t>III.</w:t>
      </w:r>
      <w:r>
        <w:rPr>
          <w:lang w:eastAsia="en-GB"/>
        </w:rPr>
        <w:tab/>
        <w:t>General measures of implementation</w:t>
      </w:r>
      <w:r>
        <w:rPr>
          <w:b w:val="0"/>
        </w:rPr>
        <w:t xml:space="preserve"> </w:t>
      </w:r>
    </w:p>
    <w:p w:rsidR="00216CEA" w:rsidRDefault="00216CEA" w:rsidP="00216CEA">
      <w:pPr>
        <w:pStyle w:val="H23G"/>
        <w:rPr>
          <w:lang w:eastAsia="en-GB"/>
        </w:rPr>
      </w:pPr>
      <w:r w:rsidRPr="003A248B">
        <w:rPr>
          <w:lang w:eastAsia="en-GB"/>
        </w:rPr>
        <w:tab/>
      </w:r>
      <w:r w:rsidRPr="003A248B">
        <w:rPr>
          <w:lang w:eastAsia="en-GB"/>
        </w:rPr>
        <w:tab/>
      </w:r>
      <w:r w:rsidRPr="00BC1E62">
        <w:rPr>
          <w:lang w:eastAsia="en-GB"/>
        </w:rPr>
        <w:t>Coordination</w:t>
      </w:r>
      <w:r>
        <w:rPr>
          <w:lang w:eastAsia="en-GB"/>
        </w:rPr>
        <w:t xml:space="preserve">  </w:t>
      </w:r>
    </w:p>
    <w:p w:rsidR="00216CEA" w:rsidRDefault="00216CEA" w:rsidP="00216CEA">
      <w:pPr>
        <w:pStyle w:val="SingleTxtG"/>
        <w:numPr>
          <w:ilvl w:val="0"/>
          <w:numId w:val="10"/>
        </w:numPr>
        <w:ind w:left="1134" w:firstLine="0"/>
        <w:rPr>
          <w:lang w:eastAsia="en-GB"/>
        </w:rPr>
      </w:pPr>
      <w:r w:rsidRPr="007A59D5">
        <w:t xml:space="preserve">While noting that the </w:t>
      </w:r>
      <w:r>
        <w:t xml:space="preserve">Permanent </w:t>
      </w:r>
      <w:r w:rsidRPr="007A59D5">
        <w:t>Secretariat of the</w:t>
      </w:r>
      <w:r>
        <w:t xml:space="preserve"> National Council for the Survival, Protection and Development of Children</w:t>
      </w:r>
      <w:r w:rsidRPr="007A59D5">
        <w:t xml:space="preserve"> </w:t>
      </w:r>
      <w:r>
        <w:t>collaborates with its decentrali</w:t>
      </w:r>
      <w:r w:rsidR="009D0816">
        <w:t>z</w:t>
      </w:r>
      <w:r>
        <w:t xml:space="preserve">ed structures and with the Ministry of Defence for the </w:t>
      </w:r>
      <w:r w:rsidRPr="0028582F">
        <w:rPr>
          <w:bCs/>
        </w:rPr>
        <w:t xml:space="preserve">implementation </w:t>
      </w:r>
      <w:r w:rsidR="009D0816">
        <w:rPr>
          <w:bCs/>
        </w:rPr>
        <w:t xml:space="preserve">of </w:t>
      </w:r>
      <w:r w:rsidRPr="0028582F">
        <w:rPr>
          <w:bCs/>
        </w:rPr>
        <w:t>the Optional Protocol, t</w:t>
      </w:r>
      <w:r w:rsidRPr="007A59D5">
        <w:t xml:space="preserve">he Committee is concerned about the </w:t>
      </w:r>
      <w:r>
        <w:t>lack of</w:t>
      </w:r>
      <w:r w:rsidRPr="007A59D5">
        <w:t xml:space="preserve"> information regarding </w:t>
      </w:r>
      <w:r>
        <w:t>the resources of the Permanent Secretariat and the lack of effective coordination between the relevant agencies at national level and the decentrali</w:t>
      </w:r>
      <w:r w:rsidR="009D0816">
        <w:t>z</w:t>
      </w:r>
      <w:r>
        <w:t>ed regional agencies.</w:t>
      </w:r>
    </w:p>
    <w:p w:rsidR="00216CEA" w:rsidRDefault="00216CEA" w:rsidP="00216CEA">
      <w:pPr>
        <w:pStyle w:val="SingleTxtG"/>
        <w:numPr>
          <w:ilvl w:val="0"/>
          <w:numId w:val="10"/>
        </w:numPr>
        <w:ind w:left="1134" w:firstLine="0"/>
        <w:rPr>
          <w:b/>
          <w:bCs/>
        </w:rPr>
      </w:pPr>
      <w:r w:rsidRPr="0028582F">
        <w:rPr>
          <w:b/>
        </w:rPr>
        <w:t xml:space="preserve">The </w:t>
      </w:r>
      <w:r w:rsidRPr="0028582F">
        <w:rPr>
          <w:b/>
          <w:bCs/>
        </w:rPr>
        <w:t>Committee reiterates its previous recommendation under the Convention (CRC/C/BFA/CO/3-4</w:t>
      </w:r>
      <w:r w:rsidRPr="006E130A">
        <w:rPr>
          <w:b/>
          <w:bCs/>
        </w:rPr>
        <w:t xml:space="preserve">, para. 11, 2010) that all necessary measures be taken to </w:t>
      </w:r>
      <w:r w:rsidRPr="004A0D23">
        <w:rPr>
          <w:b/>
          <w:bCs/>
        </w:rPr>
        <w:t>ensure effective coordination for the implementation of the Optional Protocol</w:t>
      </w:r>
      <w:r w:rsidRPr="00117CE7">
        <w:rPr>
          <w:b/>
          <w:bCs/>
        </w:rPr>
        <w:t xml:space="preserve">, including with the </w:t>
      </w:r>
      <w:r w:rsidRPr="0038426F">
        <w:rPr>
          <w:b/>
          <w:bCs/>
        </w:rPr>
        <w:t>decentrali</w:t>
      </w:r>
      <w:r w:rsidR="009D0816">
        <w:rPr>
          <w:b/>
          <w:bCs/>
        </w:rPr>
        <w:t>z</w:t>
      </w:r>
      <w:r w:rsidRPr="0038426F">
        <w:rPr>
          <w:b/>
          <w:bCs/>
        </w:rPr>
        <w:t>ed agencies</w:t>
      </w:r>
      <w:r w:rsidRPr="004E7275">
        <w:rPr>
          <w:b/>
          <w:bCs/>
        </w:rPr>
        <w:t>,</w:t>
      </w:r>
      <w:r w:rsidRPr="002F4078">
        <w:rPr>
          <w:b/>
          <w:bCs/>
        </w:rPr>
        <w:t xml:space="preserve"> and to provide sufficient human</w:t>
      </w:r>
      <w:r w:rsidR="008A5829">
        <w:rPr>
          <w:b/>
          <w:bCs/>
        </w:rPr>
        <w:t>, technical</w:t>
      </w:r>
      <w:r w:rsidRPr="002F4078">
        <w:rPr>
          <w:b/>
          <w:bCs/>
        </w:rPr>
        <w:t xml:space="preserve"> and financial resources</w:t>
      </w:r>
      <w:r>
        <w:rPr>
          <w:b/>
          <w:bCs/>
        </w:rPr>
        <w:t xml:space="preserve"> to the coordination mechanism.</w:t>
      </w:r>
      <w:r w:rsidRPr="002F4078">
        <w:rPr>
          <w:b/>
          <w:bCs/>
        </w:rPr>
        <w:t xml:space="preserve"> It </w:t>
      </w:r>
      <w:r w:rsidRPr="00114077">
        <w:rPr>
          <w:b/>
          <w:bCs/>
        </w:rPr>
        <w:t xml:space="preserve">invites </w:t>
      </w:r>
      <w:r w:rsidRPr="002976D0">
        <w:rPr>
          <w:b/>
          <w:bCs/>
        </w:rPr>
        <w:t>the State party to include information in this regard in its next periodic report.</w:t>
      </w:r>
    </w:p>
    <w:p w:rsidR="00216CEA" w:rsidRDefault="00216CEA" w:rsidP="00216CEA">
      <w:pPr>
        <w:pStyle w:val="H23G"/>
        <w:rPr>
          <w:lang w:eastAsia="en-GB"/>
        </w:rPr>
      </w:pPr>
      <w:r w:rsidRPr="00E019E3">
        <w:rPr>
          <w:lang w:eastAsia="en-GB"/>
        </w:rPr>
        <w:tab/>
      </w:r>
      <w:r w:rsidRPr="00E019E3">
        <w:rPr>
          <w:lang w:eastAsia="en-GB"/>
        </w:rPr>
        <w:tab/>
      </w:r>
      <w:r w:rsidRPr="00A829B9">
        <w:rPr>
          <w:lang w:eastAsia="en-GB"/>
        </w:rPr>
        <w:t>Dissemination</w:t>
      </w:r>
      <w:r>
        <w:rPr>
          <w:lang w:eastAsia="en-GB"/>
        </w:rPr>
        <w:t xml:space="preserve"> and awareness-raising</w:t>
      </w:r>
    </w:p>
    <w:p w:rsidR="00216CEA" w:rsidRDefault="00216CEA" w:rsidP="00216CEA">
      <w:pPr>
        <w:pStyle w:val="SingleTxtG"/>
        <w:numPr>
          <w:ilvl w:val="0"/>
          <w:numId w:val="10"/>
        </w:numPr>
        <w:ind w:left="1134" w:firstLine="0"/>
        <w:rPr>
          <w:bCs/>
        </w:rPr>
      </w:pPr>
      <w:r w:rsidRPr="0028582F">
        <w:t xml:space="preserve">While noting the State party’s efforts to disseminate the Optional Protocol, </w:t>
      </w:r>
      <w:r w:rsidRPr="00303A96">
        <w:t>such as the publication of materials on the rights of the child which refer to the Optional Protocol,</w:t>
      </w:r>
      <w:r w:rsidRPr="0028582F">
        <w:t xml:space="preserve"> the Committee</w:t>
      </w:r>
      <w:r w:rsidRPr="006E130A">
        <w:t xml:space="preserve"> </w:t>
      </w:r>
      <w:r w:rsidRPr="004A0D23">
        <w:t xml:space="preserve">is concerned </w:t>
      </w:r>
      <w:r w:rsidRPr="00117CE7">
        <w:rPr>
          <w:bCs/>
        </w:rPr>
        <w:t>that</w:t>
      </w:r>
      <w:r w:rsidRPr="0038426F">
        <w:rPr>
          <w:bCs/>
        </w:rPr>
        <w:t xml:space="preserve"> these efforts </w:t>
      </w:r>
      <w:r w:rsidR="009D0816" w:rsidRPr="0038426F">
        <w:rPr>
          <w:bCs/>
        </w:rPr>
        <w:t xml:space="preserve">mainly </w:t>
      </w:r>
      <w:r w:rsidRPr="0038426F">
        <w:rPr>
          <w:bCs/>
        </w:rPr>
        <w:t xml:space="preserve">targeted </w:t>
      </w:r>
      <w:r w:rsidRPr="004E7275">
        <w:rPr>
          <w:bCs/>
        </w:rPr>
        <w:t>the</w:t>
      </w:r>
      <w:r w:rsidRPr="002F4078">
        <w:rPr>
          <w:bCs/>
        </w:rPr>
        <w:t xml:space="preserve"> national armed forces and were not sufficiently directed at the children themselves. It</w:t>
      </w:r>
      <w:r w:rsidRPr="00114077">
        <w:rPr>
          <w:bCs/>
        </w:rPr>
        <w:t xml:space="preserve"> notes further that</w:t>
      </w:r>
      <w:r w:rsidRPr="002976D0">
        <w:rPr>
          <w:bCs/>
        </w:rPr>
        <w:t xml:space="preserve"> awareness of </w:t>
      </w:r>
      <w:r w:rsidR="008A5829">
        <w:rPr>
          <w:bCs/>
        </w:rPr>
        <w:t xml:space="preserve">the </w:t>
      </w:r>
      <w:r w:rsidRPr="002976D0">
        <w:rPr>
          <w:bCs/>
        </w:rPr>
        <w:t>principles and provisions of the Optional Protocol is low among the general public.</w:t>
      </w:r>
    </w:p>
    <w:p w:rsidR="00216CEA" w:rsidRDefault="00216CEA" w:rsidP="00216CEA">
      <w:pPr>
        <w:pStyle w:val="SingleTxtG"/>
        <w:numPr>
          <w:ilvl w:val="0"/>
          <w:numId w:val="10"/>
        </w:numPr>
        <w:ind w:left="1134" w:firstLine="0"/>
        <w:rPr>
          <w:b/>
        </w:rPr>
      </w:pPr>
      <w:r w:rsidRPr="0028582F">
        <w:rPr>
          <w:b/>
        </w:rPr>
        <w:t>Pursuant to</w:t>
      </w:r>
      <w:r w:rsidRPr="00303A96">
        <w:rPr>
          <w:b/>
        </w:rPr>
        <w:t xml:space="preserve"> article 6, paragraph 2, of the Optional Protocol, the Committee recommends that the State par</w:t>
      </w:r>
      <w:r w:rsidRPr="006E130A">
        <w:rPr>
          <w:b/>
        </w:rPr>
        <w:t>ty enhance its efforts to make the principles and provisions of the Optional Protocol widely known to the public at large, and children in particular, including through grea</w:t>
      </w:r>
      <w:r w:rsidRPr="004A0D23">
        <w:rPr>
          <w:b/>
        </w:rPr>
        <w:t>ter involvement of the media in</w:t>
      </w:r>
      <w:r w:rsidRPr="00117CE7">
        <w:rPr>
          <w:b/>
        </w:rPr>
        <w:t xml:space="preserve"> awareness-raising </w:t>
      </w:r>
      <w:r w:rsidRPr="0038426F">
        <w:rPr>
          <w:b/>
        </w:rPr>
        <w:t>programmes</w:t>
      </w:r>
      <w:r w:rsidRPr="004E7275">
        <w:rPr>
          <w:b/>
        </w:rPr>
        <w:t>.</w:t>
      </w:r>
    </w:p>
    <w:p w:rsidR="00216CEA" w:rsidRPr="00D72F88" w:rsidRDefault="00F764C8" w:rsidP="00F764C8">
      <w:pPr>
        <w:pStyle w:val="H23G"/>
      </w:pPr>
      <w:r>
        <w:tab/>
      </w:r>
      <w:r>
        <w:tab/>
      </w:r>
      <w:r w:rsidR="00216CEA" w:rsidRPr="00D72F88">
        <w:t>Training</w:t>
      </w:r>
    </w:p>
    <w:p w:rsidR="00216CEA" w:rsidRPr="00F63F15" w:rsidRDefault="00216CEA" w:rsidP="00216CEA">
      <w:pPr>
        <w:pStyle w:val="SingleTxtG"/>
        <w:numPr>
          <w:ilvl w:val="0"/>
          <w:numId w:val="10"/>
        </w:numPr>
        <w:ind w:left="1134" w:firstLine="0"/>
      </w:pPr>
      <w:r w:rsidRPr="00F63F15">
        <w:t>While noting that training was organi</w:t>
      </w:r>
      <w:r w:rsidR="009D0816">
        <w:t>z</w:t>
      </w:r>
      <w:r w:rsidRPr="00F63F15">
        <w:t xml:space="preserve">ed for members of Parliament on children’s rights, as well as </w:t>
      </w:r>
      <w:r w:rsidR="009D0816">
        <w:t>for</w:t>
      </w:r>
      <w:r w:rsidR="009D0816" w:rsidRPr="00F63F15">
        <w:t xml:space="preserve"> </w:t>
      </w:r>
      <w:r w:rsidRPr="00F63F15">
        <w:t>armed forces at all levels on chil</w:t>
      </w:r>
      <w:r w:rsidR="008A5829">
        <w:t xml:space="preserve">dren’s rights and international </w:t>
      </w:r>
      <w:r w:rsidRPr="00F63F15">
        <w:t xml:space="preserve">humanitarian law, </w:t>
      </w:r>
      <w:r w:rsidRPr="00F63F15">
        <w:rPr>
          <w:bCs/>
        </w:rPr>
        <w:t>the Committee regrets the lack of specific training on the provisions of the Optional Protocol in the curricula provided to military and law</w:t>
      </w:r>
      <w:r w:rsidR="009D0816">
        <w:rPr>
          <w:bCs/>
        </w:rPr>
        <w:t>-</w:t>
      </w:r>
      <w:r w:rsidRPr="00F63F15">
        <w:rPr>
          <w:bCs/>
        </w:rPr>
        <w:t>enforcement personnel, including those involved in international peacekeeping operations.</w:t>
      </w:r>
    </w:p>
    <w:p w:rsidR="00216CEA" w:rsidRDefault="00216CEA" w:rsidP="00216CEA">
      <w:pPr>
        <w:pStyle w:val="SingleTxtG"/>
        <w:numPr>
          <w:ilvl w:val="0"/>
          <w:numId w:val="10"/>
        </w:numPr>
        <w:ind w:left="1134" w:firstLine="0"/>
        <w:rPr>
          <w:b/>
          <w:bCs/>
        </w:rPr>
      </w:pPr>
      <w:r w:rsidRPr="00F63F15">
        <w:rPr>
          <w:b/>
          <w:bCs/>
        </w:rPr>
        <w:t xml:space="preserve">The Committee recommends that the Optional Protocol be systematically </w:t>
      </w:r>
      <w:r w:rsidRPr="006E130A">
        <w:rPr>
          <w:b/>
          <w:bCs/>
        </w:rPr>
        <w:t xml:space="preserve">included in the training of </w:t>
      </w:r>
      <w:r w:rsidRPr="004A0D23">
        <w:rPr>
          <w:b/>
          <w:bCs/>
        </w:rPr>
        <w:t>all relevant professional groups, in particular the armed forces and members of international peacekeeping forces, law</w:t>
      </w:r>
      <w:r w:rsidR="009D0816">
        <w:rPr>
          <w:b/>
          <w:bCs/>
        </w:rPr>
        <w:t>-</w:t>
      </w:r>
      <w:r w:rsidRPr="004A0D23">
        <w:rPr>
          <w:b/>
          <w:bCs/>
        </w:rPr>
        <w:t>enforc</w:t>
      </w:r>
      <w:r w:rsidRPr="00117CE7">
        <w:rPr>
          <w:b/>
          <w:bCs/>
        </w:rPr>
        <w:t xml:space="preserve">ement and immigration officers, </w:t>
      </w:r>
      <w:r w:rsidRPr="0038426F">
        <w:rPr>
          <w:b/>
          <w:bCs/>
        </w:rPr>
        <w:t>prosecutors, lawye</w:t>
      </w:r>
      <w:r w:rsidRPr="004E7275">
        <w:rPr>
          <w:b/>
          <w:bCs/>
        </w:rPr>
        <w:t>rs, judges, social workers, medical professionals, teachers, media professionals and local and district officials.</w:t>
      </w:r>
    </w:p>
    <w:p w:rsidR="00216CEA" w:rsidRDefault="00216CEA" w:rsidP="00216CEA">
      <w:pPr>
        <w:pStyle w:val="H23G"/>
        <w:spacing w:before="0" w:after="0" w:line="360" w:lineRule="auto"/>
      </w:pPr>
      <w:r>
        <w:tab/>
      </w:r>
      <w:r>
        <w:tab/>
      </w:r>
      <w:r w:rsidRPr="006F0630">
        <w:t>Data</w:t>
      </w:r>
    </w:p>
    <w:p w:rsidR="00216CEA" w:rsidRPr="00AD4762" w:rsidRDefault="00216CEA" w:rsidP="00216CEA">
      <w:pPr>
        <w:pStyle w:val="SingleTxtG"/>
        <w:numPr>
          <w:ilvl w:val="0"/>
          <w:numId w:val="10"/>
        </w:numPr>
        <w:ind w:left="1134" w:firstLine="0"/>
        <w:rPr>
          <w:bCs/>
        </w:rPr>
      </w:pPr>
      <w:r w:rsidRPr="00F63F15">
        <w:t>The Committee regrets the lack of data relating to children, as regards the acts covered by the Optional Protocol</w:t>
      </w:r>
      <w:r>
        <w:t>, in particular</w:t>
      </w:r>
      <w:r w:rsidRPr="002976D0">
        <w:rPr>
          <w:bCs/>
        </w:rPr>
        <w:t xml:space="preserve"> on</w:t>
      </w:r>
      <w:r>
        <w:rPr>
          <w:b/>
          <w:bCs/>
        </w:rPr>
        <w:t xml:space="preserve"> </w:t>
      </w:r>
      <w:r w:rsidRPr="002976D0">
        <w:rPr>
          <w:bCs/>
        </w:rPr>
        <w:t>asylum-seeking, refugee, migrant and unaccompanied children</w:t>
      </w:r>
      <w:r w:rsidRPr="00C63AA7">
        <w:t xml:space="preserve"> </w:t>
      </w:r>
      <w:r>
        <w:t xml:space="preserve">present within its jurisdiction, </w:t>
      </w:r>
      <w:r w:rsidRPr="00AD4762">
        <w:t>who may have been recruited or used in hostilities</w:t>
      </w:r>
      <w:r>
        <w:t>.</w:t>
      </w:r>
    </w:p>
    <w:p w:rsidR="00216CEA" w:rsidRDefault="00216CEA" w:rsidP="00216CEA">
      <w:pPr>
        <w:pStyle w:val="SingleTxtG"/>
        <w:numPr>
          <w:ilvl w:val="0"/>
          <w:numId w:val="10"/>
        </w:numPr>
        <w:ind w:left="1134" w:firstLine="0"/>
        <w:rPr>
          <w:b/>
          <w:bCs/>
        </w:rPr>
      </w:pPr>
      <w:r w:rsidRPr="002976D0">
        <w:rPr>
          <w:b/>
          <w:bCs/>
        </w:rPr>
        <w:t xml:space="preserve">In </w:t>
      </w:r>
      <w:r w:rsidR="009D0816">
        <w:rPr>
          <w:b/>
          <w:bCs/>
        </w:rPr>
        <w:t xml:space="preserve">the </w:t>
      </w:r>
      <w:r w:rsidRPr="002976D0">
        <w:rPr>
          <w:b/>
          <w:bCs/>
        </w:rPr>
        <w:t>light of</w:t>
      </w:r>
      <w:r w:rsidRPr="00F63F15">
        <w:rPr>
          <w:b/>
          <w:bCs/>
        </w:rPr>
        <w:t xml:space="preserve"> its concluding observations under the Convention (CRC/C/BFA/CO/3-4, para. 19, 2010), the Committee recommends that the State party establish a mechanism for the comprehensive collection of data</w:t>
      </w:r>
      <w:r>
        <w:rPr>
          <w:b/>
          <w:bCs/>
        </w:rPr>
        <w:t xml:space="preserve">, disaggregated </w:t>
      </w:r>
      <w:r w:rsidRPr="00C63AA7">
        <w:rPr>
          <w:b/>
          <w:bCs/>
        </w:rPr>
        <w:t>by sex, age, nationality, ethnic origin and socioeconomic background</w:t>
      </w:r>
      <w:r>
        <w:rPr>
          <w:b/>
          <w:bCs/>
        </w:rPr>
        <w:t xml:space="preserve">, </w:t>
      </w:r>
      <w:r w:rsidRPr="00F63F15">
        <w:rPr>
          <w:b/>
          <w:bCs/>
        </w:rPr>
        <w:t xml:space="preserve">on all areas relevant for the implementation of </w:t>
      </w:r>
      <w:r w:rsidRPr="00AD4762">
        <w:rPr>
          <w:b/>
          <w:bCs/>
        </w:rPr>
        <w:t>the Optional Protocol</w:t>
      </w:r>
      <w:r>
        <w:rPr>
          <w:b/>
          <w:bCs/>
        </w:rPr>
        <w:t>,</w:t>
      </w:r>
      <w:r w:rsidRPr="00AD4762">
        <w:rPr>
          <w:b/>
        </w:rPr>
        <w:t xml:space="preserve"> </w:t>
      </w:r>
      <w:r>
        <w:rPr>
          <w:b/>
          <w:bCs/>
        </w:rPr>
        <w:t>in particular</w:t>
      </w:r>
      <w:r w:rsidRPr="00AD4762">
        <w:rPr>
          <w:b/>
          <w:bCs/>
        </w:rPr>
        <w:t xml:space="preserve"> </w:t>
      </w:r>
      <w:r>
        <w:rPr>
          <w:b/>
          <w:bCs/>
        </w:rPr>
        <w:t>to identify and register</w:t>
      </w:r>
      <w:r w:rsidRPr="00AD4762">
        <w:rPr>
          <w:b/>
          <w:bCs/>
        </w:rPr>
        <w:t xml:space="preserve"> all asylum-seeking, </w:t>
      </w:r>
      <w:r>
        <w:rPr>
          <w:b/>
          <w:bCs/>
        </w:rPr>
        <w:t xml:space="preserve">refugee, </w:t>
      </w:r>
      <w:r w:rsidRPr="00AD4762">
        <w:rPr>
          <w:b/>
          <w:bCs/>
        </w:rPr>
        <w:t xml:space="preserve">migrant </w:t>
      </w:r>
      <w:r>
        <w:rPr>
          <w:b/>
          <w:bCs/>
        </w:rPr>
        <w:t xml:space="preserve">and unaccompanied </w:t>
      </w:r>
      <w:r w:rsidRPr="00AD4762">
        <w:rPr>
          <w:b/>
          <w:bCs/>
        </w:rPr>
        <w:t xml:space="preserve">children under </w:t>
      </w:r>
      <w:r>
        <w:rPr>
          <w:b/>
          <w:bCs/>
        </w:rPr>
        <w:t>the State party’s</w:t>
      </w:r>
      <w:r w:rsidRPr="00AD4762">
        <w:rPr>
          <w:b/>
          <w:bCs/>
        </w:rPr>
        <w:t xml:space="preserve"> jurisdiction</w:t>
      </w:r>
      <w:r>
        <w:rPr>
          <w:b/>
          <w:bCs/>
        </w:rPr>
        <w:t>.</w:t>
      </w:r>
    </w:p>
    <w:p w:rsidR="00216CEA" w:rsidRDefault="00216CEA" w:rsidP="00216CEA">
      <w:pPr>
        <w:pStyle w:val="HChG"/>
        <w:rPr>
          <w:lang w:eastAsia="en-GB"/>
        </w:rPr>
      </w:pPr>
      <w:r>
        <w:rPr>
          <w:lang w:eastAsia="en-GB"/>
        </w:rPr>
        <w:tab/>
        <w:t>IV.</w:t>
      </w:r>
      <w:r>
        <w:rPr>
          <w:lang w:eastAsia="en-GB"/>
        </w:rPr>
        <w:tab/>
        <w:t>Prevention</w:t>
      </w:r>
    </w:p>
    <w:p w:rsidR="00216CEA" w:rsidRDefault="00216CEA" w:rsidP="00216CEA">
      <w:pPr>
        <w:pStyle w:val="H23G"/>
        <w:spacing w:before="0" w:after="0" w:line="360" w:lineRule="auto"/>
        <w:rPr>
          <w:lang w:eastAsia="en-GB"/>
        </w:rPr>
      </w:pPr>
      <w:r>
        <w:rPr>
          <w:lang w:eastAsia="en-GB"/>
        </w:rPr>
        <w:tab/>
      </w:r>
      <w:r>
        <w:rPr>
          <w:lang w:eastAsia="en-GB"/>
        </w:rPr>
        <w:tab/>
        <w:t>Prevention of recruitment by non-State armed groups</w:t>
      </w:r>
    </w:p>
    <w:p w:rsidR="00216CEA" w:rsidRDefault="00216CEA" w:rsidP="00216CEA">
      <w:pPr>
        <w:pStyle w:val="SingleTxtG"/>
        <w:numPr>
          <w:ilvl w:val="0"/>
          <w:numId w:val="10"/>
        </w:numPr>
        <w:ind w:left="1134" w:firstLine="0"/>
        <w:rPr>
          <w:bCs/>
        </w:rPr>
      </w:pPr>
      <w:r w:rsidRPr="00455F12">
        <w:rPr>
          <w:bCs/>
        </w:rPr>
        <w:t xml:space="preserve">The Committee is concerned that the State party has undertaken insufficient measures to prevent the recruitment of Burkinabe children by non-State armed groups present near the State party’s border with </w:t>
      </w:r>
      <w:smartTag w:uri="urn:schemas-microsoft-com:office:smarttags" w:element="place">
        <w:smartTag w:uri="urn:schemas-microsoft-com:office:smarttags" w:element="country-region">
          <w:r w:rsidRPr="00455F12">
            <w:rPr>
              <w:bCs/>
            </w:rPr>
            <w:t>Mali</w:t>
          </w:r>
        </w:smartTag>
      </w:smartTag>
      <w:r w:rsidRPr="00455F12">
        <w:rPr>
          <w:bCs/>
        </w:rPr>
        <w:t>.</w:t>
      </w:r>
    </w:p>
    <w:p w:rsidR="00216CEA" w:rsidRDefault="00216CEA" w:rsidP="00216CEA">
      <w:pPr>
        <w:pStyle w:val="SingleTxtG"/>
        <w:numPr>
          <w:ilvl w:val="0"/>
          <w:numId w:val="10"/>
        </w:numPr>
        <w:ind w:left="1134" w:firstLine="0"/>
        <w:rPr>
          <w:b/>
          <w:bCs/>
        </w:rPr>
      </w:pPr>
      <w:r w:rsidRPr="00455F12">
        <w:rPr>
          <w:b/>
          <w:bCs/>
        </w:rPr>
        <w:t xml:space="preserve">The Committee urges the State party to take more effective measures to ensure that no children on its territory are recruited by non-State armed groups as a result of the ongoing armed conflict in </w:t>
      </w:r>
      <w:smartTag w:uri="urn:schemas-microsoft-com:office:smarttags" w:element="country-region">
        <w:smartTag w:uri="urn:schemas-microsoft-com:office:smarttags" w:element="place">
          <w:r w:rsidRPr="00455F12">
            <w:rPr>
              <w:b/>
              <w:bCs/>
            </w:rPr>
            <w:t>Mali</w:t>
          </w:r>
        </w:smartTag>
      </w:smartTag>
      <w:r w:rsidRPr="00455F12">
        <w:rPr>
          <w:b/>
          <w:bCs/>
        </w:rPr>
        <w:t>, including by closely controlling its borders and mobili</w:t>
      </w:r>
      <w:r w:rsidR="009D0816">
        <w:rPr>
          <w:b/>
          <w:bCs/>
        </w:rPr>
        <w:t>z</w:t>
      </w:r>
      <w:r w:rsidRPr="00455F12">
        <w:rPr>
          <w:b/>
          <w:bCs/>
        </w:rPr>
        <w:t>ing communities. The State party should consider seeking technical assistance from, inter alia, the United Nations Children’s Fund (UNICEF)</w:t>
      </w:r>
      <w:r>
        <w:rPr>
          <w:b/>
          <w:bCs/>
        </w:rPr>
        <w:t>.</w:t>
      </w:r>
    </w:p>
    <w:p w:rsidR="00216CEA" w:rsidRPr="00C35097" w:rsidRDefault="00F764C8" w:rsidP="00F764C8">
      <w:pPr>
        <w:pStyle w:val="H23G"/>
      </w:pPr>
      <w:r>
        <w:tab/>
      </w:r>
      <w:r>
        <w:tab/>
      </w:r>
      <w:r w:rsidR="00216CEA" w:rsidRPr="00C35097">
        <w:t>Age verification procedures</w:t>
      </w:r>
    </w:p>
    <w:p w:rsidR="00216CEA" w:rsidRPr="00455F12" w:rsidRDefault="00216CEA" w:rsidP="00216CEA">
      <w:pPr>
        <w:pStyle w:val="SingleTxtG"/>
        <w:numPr>
          <w:ilvl w:val="0"/>
          <w:numId w:val="10"/>
        </w:numPr>
        <w:ind w:left="1134" w:firstLine="0"/>
        <w:rPr>
          <w:bCs/>
        </w:rPr>
      </w:pPr>
      <w:r w:rsidRPr="00455F12">
        <w:t xml:space="preserve">While taking note that the State party has established </w:t>
      </w:r>
      <w:r w:rsidR="008A5829">
        <w:t>procedures</w:t>
      </w:r>
      <w:r w:rsidRPr="00455F12">
        <w:t xml:space="preserve"> to verify the ages of incoming recruits, the Committee remains concerned at the low level of birth registration in the State party and the lack of measures in place to detect forged documents, which may impact on the effectiveness of these procedures. </w:t>
      </w:r>
    </w:p>
    <w:p w:rsidR="00216CEA" w:rsidRDefault="00216CEA" w:rsidP="00216CEA">
      <w:pPr>
        <w:pStyle w:val="SingleTxtG"/>
        <w:numPr>
          <w:ilvl w:val="0"/>
          <w:numId w:val="10"/>
        </w:numPr>
        <w:ind w:left="1134" w:firstLine="0"/>
        <w:rPr>
          <w:b/>
          <w:bCs/>
        </w:rPr>
      </w:pPr>
      <w:r w:rsidRPr="00455F12">
        <w:rPr>
          <w:b/>
        </w:rPr>
        <w:t xml:space="preserve">The Committee </w:t>
      </w:r>
      <w:r w:rsidRPr="00455F12">
        <w:rPr>
          <w:b/>
          <w:bCs/>
        </w:rPr>
        <w:t xml:space="preserve">underlines the importance of birth registration as a preventive measure and </w:t>
      </w:r>
      <w:r w:rsidRPr="00455F12">
        <w:rPr>
          <w:b/>
        </w:rPr>
        <w:t xml:space="preserve">reiterates its recommendation under the Convention (CRC/C/BFA/CO/3-4, para. 35, 2010) to continue and strengthen its efforts </w:t>
      </w:r>
      <w:r w:rsidRPr="00455F12">
        <w:rPr>
          <w:b/>
          <w:bCs/>
        </w:rPr>
        <w:t>to establish a national system of free birth registration for all children. It further calls on the State party to take all necessary measures to detect the use of forged documents by persons under the age of 18.</w:t>
      </w:r>
    </w:p>
    <w:p w:rsidR="00216CEA" w:rsidRDefault="00216CEA" w:rsidP="00F764C8">
      <w:pPr>
        <w:pStyle w:val="H23G"/>
      </w:pPr>
      <w:r w:rsidRPr="00E365F2">
        <w:tab/>
      </w:r>
      <w:r w:rsidRPr="00E365F2">
        <w:tab/>
        <w:t>Military schools</w:t>
      </w:r>
      <w:r>
        <w:t xml:space="preserve"> </w:t>
      </w:r>
    </w:p>
    <w:p w:rsidR="00216CEA" w:rsidRDefault="00216CEA" w:rsidP="00216CEA">
      <w:pPr>
        <w:pStyle w:val="SingleTxtG"/>
        <w:numPr>
          <w:ilvl w:val="0"/>
          <w:numId w:val="10"/>
        </w:numPr>
        <w:ind w:left="1134" w:firstLine="0"/>
        <w:rPr>
          <w:bCs/>
        </w:rPr>
      </w:pPr>
      <w:r w:rsidRPr="00455F12">
        <w:rPr>
          <w:bCs/>
        </w:rPr>
        <w:t xml:space="preserve">While noting that the </w:t>
      </w:r>
      <w:smartTag w:uri="urn:schemas-microsoft-com:office:smarttags" w:element="place">
        <w:smartTag w:uri="urn:schemas-microsoft-com:office:smarttags" w:element="PlaceName">
          <w:r w:rsidRPr="00455F12">
            <w:rPr>
              <w:bCs/>
            </w:rPr>
            <w:t>Kadiogo</w:t>
          </w:r>
        </w:smartTag>
        <w:r w:rsidRPr="00455F12">
          <w:rPr>
            <w:bCs/>
          </w:rPr>
          <w:t xml:space="preserve"> </w:t>
        </w:r>
        <w:smartTag w:uri="urn:schemas-microsoft-com:office:smarttags" w:element="PlaceName">
          <w:r w:rsidRPr="00455F12">
            <w:rPr>
              <w:bCs/>
            </w:rPr>
            <w:t>Military</w:t>
          </w:r>
        </w:smartTag>
        <w:r w:rsidRPr="00455F12">
          <w:rPr>
            <w:bCs/>
          </w:rPr>
          <w:t xml:space="preserve"> </w:t>
        </w:r>
        <w:smartTag w:uri="urn:schemas-microsoft-com:office:smarttags" w:element="PlaceType">
          <w:r w:rsidRPr="00455F12">
            <w:rPr>
              <w:bCs/>
            </w:rPr>
            <w:t>Academy</w:t>
          </w:r>
        </w:smartTag>
      </w:smartTag>
      <w:r w:rsidRPr="00455F12">
        <w:rPr>
          <w:bCs/>
        </w:rPr>
        <w:t xml:space="preserve"> enrols both </w:t>
      </w:r>
      <w:r w:rsidR="004046AE" w:rsidRPr="00455F12">
        <w:rPr>
          <w:bCs/>
        </w:rPr>
        <w:t xml:space="preserve">boys and </w:t>
      </w:r>
      <w:r w:rsidRPr="00455F12">
        <w:rPr>
          <w:bCs/>
        </w:rPr>
        <w:t>girls, the Committee is concerned that girls may be subject to inequitable treatment and gender discrimination. The Committee also notes that the Ministry of Education approved the programmes and courses of the Academy and appointed the teachers. However, it is concerned that the Academy remains under the supervision of the national armed fo</w:t>
      </w:r>
      <w:r w:rsidR="008A5829">
        <w:rPr>
          <w:bCs/>
        </w:rPr>
        <w:t>rces, which consequently report</w:t>
      </w:r>
      <w:r w:rsidRPr="00455F12">
        <w:rPr>
          <w:bCs/>
        </w:rPr>
        <w:t xml:space="preserve"> directly to the Ministry of Defence. Further, although children enrolled are not trained </w:t>
      </w:r>
      <w:r w:rsidR="004046AE">
        <w:rPr>
          <w:bCs/>
        </w:rPr>
        <w:t>i</w:t>
      </w:r>
      <w:r w:rsidRPr="00455F12">
        <w:rPr>
          <w:bCs/>
        </w:rPr>
        <w:t>n the use of weapons, the Committee is concerned that military discipline is included in the curricula of children as young as 11 years old and that they do not have access to a complaint</w:t>
      </w:r>
      <w:r w:rsidR="008A5829">
        <w:rPr>
          <w:bCs/>
        </w:rPr>
        <w:t>s</w:t>
      </w:r>
      <w:r w:rsidRPr="00455F12">
        <w:rPr>
          <w:bCs/>
        </w:rPr>
        <w:t xml:space="preserve"> mechanism.</w:t>
      </w:r>
    </w:p>
    <w:p w:rsidR="00216CEA" w:rsidRDefault="00216CEA" w:rsidP="00216CEA">
      <w:pPr>
        <w:pStyle w:val="SingleTxtG"/>
        <w:numPr>
          <w:ilvl w:val="0"/>
          <w:numId w:val="10"/>
        </w:numPr>
        <w:ind w:left="1134" w:firstLine="0"/>
        <w:rPr>
          <w:b/>
          <w:bCs/>
        </w:rPr>
      </w:pPr>
      <w:r w:rsidRPr="00455F12">
        <w:rPr>
          <w:b/>
          <w:bCs/>
        </w:rPr>
        <w:t xml:space="preserve">The Committee recommends that the State party: </w:t>
      </w:r>
    </w:p>
    <w:p w:rsidR="00216CEA" w:rsidRDefault="00216CEA" w:rsidP="00F764C8">
      <w:pPr>
        <w:pStyle w:val="SingleTxtG"/>
        <w:ind w:firstLine="567"/>
        <w:rPr>
          <w:b/>
          <w:bCs/>
        </w:rPr>
      </w:pPr>
      <w:r>
        <w:rPr>
          <w:b/>
          <w:bCs/>
        </w:rPr>
        <w:t>(a)</w:t>
      </w:r>
      <w:r>
        <w:rPr>
          <w:b/>
          <w:bCs/>
        </w:rPr>
        <w:tab/>
        <w:t xml:space="preserve">Take all the necessary steps to guarantee equal treatment between </w:t>
      </w:r>
      <w:r w:rsidR="004046AE">
        <w:rPr>
          <w:b/>
          <w:bCs/>
        </w:rPr>
        <w:t xml:space="preserve">boys and </w:t>
      </w:r>
      <w:r>
        <w:rPr>
          <w:b/>
          <w:bCs/>
        </w:rPr>
        <w:t>girls;</w:t>
      </w:r>
    </w:p>
    <w:p w:rsidR="00216CEA" w:rsidRDefault="00216CEA" w:rsidP="00F764C8">
      <w:pPr>
        <w:pStyle w:val="SingleTxtG"/>
        <w:ind w:firstLine="567"/>
        <w:rPr>
          <w:b/>
          <w:bCs/>
        </w:rPr>
      </w:pPr>
      <w:r>
        <w:rPr>
          <w:b/>
          <w:bCs/>
        </w:rPr>
        <w:t>(b)</w:t>
      </w:r>
      <w:r>
        <w:rPr>
          <w:b/>
          <w:bCs/>
        </w:rPr>
        <w:tab/>
      </w:r>
      <w:r w:rsidRPr="00342EF9">
        <w:rPr>
          <w:b/>
          <w:bCs/>
        </w:rPr>
        <w:t xml:space="preserve">Ensure that the </w:t>
      </w:r>
      <w:smartTag w:uri="urn:schemas-microsoft-com:office:smarttags" w:element="place">
        <w:smartTag w:uri="urn:schemas-microsoft-com:office:smarttags" w:element="PlaceName">
          <w:r w:rsidRPr="00D46E97">
            <w:rPr>
              <w:b/>
              <w:bCs/>
            </w:rPr>
            <w:t>Kadiogo</w:t>
          </w:r>
        </w:smartTag>
        <w:r w:rsidRPr="00D46E97">
          <w:rPr>
            <w:b/>
            <w:bCs/>
          </w:rPr>
          <w:t xml:space="preserve"> </w:t>
        </w:r>
        <w:smartTag w:uri="urn:schemas-microsoft-com:office:smarttags" w:element="PlaceName">
          <w:r w:rsidRPr="00D46E97">
            <w:rPr>
              <w:b/>
              <w:bCs/>
            </w:rPr>
            <w:t>Military</w:t>
          </w:r>
        </w:smartTag>
        <w:r w:rsidRPr="00D46E97">
          <w:rPr>
            <w:b/>
            <w:bCs/>
          </w:rPr>
          <w:t xml:space="preserve"> </w:t>
        </w:r>
        <w:smartTag w:uri="urn:schemas-microsoft-com:office:smarttags" w:element="PlaceType">
          <w:r w:rsidRPr="00D46E97">
            <w:rPr>
              <w:b/>
              <w:bCs/>
            </w:rPr>
            <w:t>Academy</w:t>
          </w:r>
        </w:smartTag>
      </w:smartTag>
      <w:r>
        <w:rPr>
          <w:b/>
          <w:bCs/>
        </w:rPr>
        <w:t>, currently</w:t>
      </w:r>
      <w:r w:rsidRPr="00D46E97">
        <w:rPr>
          <w:b/>
          <w:bCs/>
        </w:rPr>
        <w:t xml:space="preserve"> </w:t>
      </w:r>
      <w:r w:rsidRPr="00342EF9">
        <w:rPr>
          <w:b/>
          <w:bCs/>
        </w:rPr>
        <w:t>under the responsibi</w:t>
      </w:r>
      <w:r>
        <w:rPr>
          <w:b/>
          <w:bCs/>
        </w:rPr>
        <w:t>lity of the Ministry of Defence, be placed under the supervision of</w:t>
      </w:r>
      <w:r w:rsidDel="00FC1689">
        <w:rPr>
          <w:b/>
          <w:bCs/>
        </w:rPr>
        <w:t xml:space="preserve"> </w:t>
      </w:r>
      <w:r>
        <w:rPr>
          <w:b/>
          <w:bCs/>
        </w:rPr>
        <w:t xml:space="preserve">the </w:t>
      </w:r>
      <w:r w:rsidRPr="00342EF9">
        <w:rPr>
          <w:b/>
          <w:bCs/>
        </w:rPr>
        <w:t>Ministry of Education</w:t>
      </w:r>
      <w:r>
        <w:rPr>
          <w:b/>
          <w:bCs/>
        </w:rPr>
        <w:t>;</w:t>
      </w:r>
      <w:r w:rsidRPr="00342EF9">
        <w:rPr>
          <w:b/>
          <w:bCs/>
        </w:rPr>
        <w:t xml:space="preserve"> </w:t>
      </w:r>
    </w:p>
    <w:p w:rsidR="00216CEA" w:rsidRPr="00342EF9" w:rsidRDefault="00216CEA" w:rsidP="00F764C8">
      <w:pPr>
        <w:pStyle w:val="SingleTxtG"/>
        <w:ind w:firstLine="567"/>
        <w:rPr>
          <w:b/>
          <w:bCs/>
        </w:rPr>
      </w:pPr>
      <w:r>
        <w:rPr>
          <w:b/>
          <w:bCs/>
        </w:rPr>
        <w:t>(c)</w:t>
      </w:r>
      <w:r>
        <w:rPr>
          <w:b/>
          <w:bCs/>
        </w:rPr>
        <w:tab/>
      </w:r>
      <w:r w:rsidRPr="002A4FC6">
        <w:rPr>
          <w:b/>
          <w:bCs/>
        </w:rPr>
        <w:t xml:space="preserve">Ensure that children who study in </w:t>
      </w:r>
      <w:r w:rsidR="008A5829">
        <w:rPr>
          <w:b/>
          <w:bCs/>
        </w:rPr>
        <w:t xml:space="preserve">the </w:t>
      </w:r>
      <w:smartTag w:uri="urn:schemas-microsoft-com:office:smarttags" w:element="place">
        <w:smartTag w:uri="urn:schemas-microsoft-com:office:smarttags" w:element="PlaceName">
          <w:r w:rsidRPr="002A4FC6">
            <w:rPr>
              <w:b/>
              <w:bCs/>
            </w:rPr>
            <w:t>Kadiogo</w:t>
          </w:r>
        </w:smartTag>
        <w:r w:rsidRPr="002A4FC6">
          <w:rPr>
            <w:b/>
            <w:bCs/>
          </w:rPr>
          <w:t xml:space="preserve"> </w:t>
        </w:r>
        <w:smartTag w:uri="urn:schemas-microsoft-com:office:smarttags" w:element="PlaceName">
          <w:r w:rsidRPr="002A4FC6">
            <w:rPr>
              <w:b/>
              <w:bCs/>
            </w:rPr>
            <w:t>Military</w:t>
          </w:r>
        </w:smartTag>
        <w:r w:rsidRPr="002A4FC6">
          <w:rPr>
            <w:b/>
            <w:bCs/>
          </w:rPr>
          <w:t xml:space="preserve"> </w:t>
        </w:r>
        <w:smartTag w:uri="urn:schemas-microsoft-com:office:smarttags" w:element="PlaceType">
          <w:r w:rsidRPr="002A4FC6">
            <w:rPr>
              <w:b/>
              <w:bCs/>
            </w:rPr>
            <w:t>Academy</w:t>
          </w:r>
        </w:smartTag>
      </w:smartTag>
      <w:r w:rsidRPr="002A4FC6">
        <w:rPr>
          <w:b/>
          <w:bCs/>
        </w:rPr>
        <w:t xml:space="preserve"> are considered as civilians until they turn 18;</w:t>
      </w:r>
      <w:r w:rsidRPr="00342EF9">
        <w:rPr>
          <w:b/>
          <w:bCs/>
        </w:rPr>
        <w:t xml:space="preserve"> </w:t>
      </w:r>
      <w:r>
        <w:rPr>
          <w:b/>
          <w:bCs/>
        </w:rPr>
        <w:t>and</w:t>
      </w:r>
    </w:p>
    <w:p w:rsidR="00216CEA" w:rsidRPr="00342EF9" w:rsidRDefault="00216CEA" w:rsidP="00F764C8">
      <w:pPr>
        <w:pStyle w:val="SingleTxtG"/>
        <w:ind w:firstLine="567"/>
        <w:rPr>
          <w:b/>
          <w:bCs/>
        </w:rPr>
      </w:pPr>
      <w:r>
        <w:rPr>
          <w:b/>
          <w:bCs/>
        </w:rPr>
        <w:t>(d)</w:t>
      </w:r>
      <w:r>
        <w:rPr>
          <w:b/>
          <w:bCs/>
        </w:rPr>
        <w:tab/>
        <w:t>Set up an</w:t>
      </w:r>
      <w:r w:rsidRPr="00342EF9">
        <w:rPr>
          <w:b/>
          <w:bCs/>
        </w:rPr>
        <w:t xml:space="preserve"> adequate </w:t>
      </w:r>
      <w:r>
        <w:rPr>
          <w:b/>
          <w:bCs/>
        </w:rPr>
        <w:t xml:space="preserve">system to provide children with </w:t>
      </w:r>
      <w:r w:rsidRPr="00342EF9">
        <w:rPr>
          <w:b/>
          <w:bCs/>
        </w:rPr>
        <w:t xml:space="preserve">access to independent </w:t>
      </w:r>
      <w:r>
        <w:rPr>
          <w:b/>
          <w:bCs/>
        </w:rPr>
        <w:t xml:space="preserve">and gender-sensitive </w:t>
      </w:r>
      <w:r w:rsidRPr="00342EF9">
        <w:rPr>
          <w:b/>
          <w:bCs/>
        </w:rPr>
        <w:t>complaints and investigation mechanisms</w:t>
      </w:r>
      <w:r>
        <w:rPr>
          <w:b/>
          <w:bCs/>
        </w:rPr>
        <w:t xml:space="preserve">, which protect </w:t>
      </w:r>
      <w:r w:rsidR="004046AE">
        <w:rPr>
          <w:b/>
          <w:bCs/>
        </w:rPr>
        <w:t xml:space="preserve">boys and </w:t>
      </w:r>
      <w:r>
        <w:rPr>
          <w:b/>
          <w:bCs/>
        </w:rPr>
        <w:t>girls</w:t>
      </w:r>
      <w:r w:rsidR="00E55866" w:rsidRPr="00E55866">
        <w:rPr>
          <w:b/>
          <w:bCs/>
        </w:rPr>
        <w:t xml:space="preserve"> </w:t>
      </w:r>
      <w:r w:rsidR="00E55866">
        <w:rPr>
          <w:b/>
          <w:bCs/>
        </w:rPr>
        <w:t>equally</w:t>
      </w:r>
      <w:r>
        <w:rPr>
          <w:b/>
          <w:bCs/>
        </w:rPr>
        <w:t>.</w:t>
      </w:r>
    </w:p>
    <w:p w:rsidR="00216CEA" w:rsidRPr="00E365F2" w:rsidRDefault="00216CEA" w:rsidP="00F764C8">
      <w:pPr>
        <w:pStyle w:val="H23G"/>
      </w:pPr>
      <w:r w:rsidRPr="00E365F2">
        <w:tab/>
      </w:r>
      <w:r w:rsidRPr="00E365F2">
        <w:tab/>
        <w:t>Human rights and peace education</w:t>
      </w:r>
    </w:p>
    <w:p w:rsidR="00216CEA" w:rsidRDefault="00216CEA" w:rsidP="00216CEA">
      <w:pPr>
        <w:pStyle w:val="SingleTxtG"/>
        <w:numPr>
          <w:ilvl w:val="0"/>
          <w:numId w:val="10"/>
        </w:numPr>
        <w:ind w:left="1134" w:firstLine="0"/>
        <w:rPr>
          <w:b/>
          <w:bCs/>
        </w:rPr>
      </w:pPr>
      <w:r w:rsidRPr="00455F12">
        <w:rPr>
          <w:bCs/>
        </w:rPr>
        <w:t>While noting that, pursuant to the reform of the education system undertaken in 2007, courses on civic education and child’s rights were introduced into school curricula, the Committee is concerned that there are no programmes to systematically incorporate peace education into school curricula.</w:t>
      </w:r>
    </w:p>
    <w:p w:rsidR="00216CEA" w:rsidRDefault="00216CEA" w:rsidP="004046AE">
      <w:pPr>
        <w:pStyle w:val="SingleTxtG"/>
        <w:numPr>
          <w:ilvl w:val="0"/>
          <w:numId w:val="10"/>
        </w:numPr>
        <w:ind w:left="1134" w:firstLine="0"/>
        <w:rPr>
          <w:b/>
          <w:bCs/>
        </w:rPr>
      </w:pPr>
      <w:r w:rsidRPr="00455F12">
        <w:rPr>
          <w:b/>
          <w:bCs/>
        </w:rPr>
        <w:t xml:space="preserve"> With reference to its </w:t>
      </w:r>
      <w:r w:rsidR="004046AE">
        <w:rPr>
          <w:b/>
          <w:bCs/>
        </w:rPr>
        <w:t>g</w:t>
      </w:r>
      <w:r w:rsidRPr="00455F12">
        <w:rPr>
          <w:b/>
          <w:bCs/>
        </w:rPr>
        <w:t xml:space="preserve">eneral </w:t>
      </w:r>
      <w:r w:rsidR="004046AE">
        <w:rPr>
          <w:b/>
          <w:bCs/>
        </w:rPr>
        <w:t>c</w:t>
      </w:r>
      <w:r w:rsidRPr="00455F12">
        <w:rPr>
          <w:b/>
          <w:bCs/>
        </w:rPr>
        <w:t>omment No. 1 on the aims of education (CRC/GC/2001/1), the Committee recommends that the State party, pursuant to its educational reform, consider including peace education in school curricula</w:t>
      </w:r>
      <w:r w:rsidR="008A5829">
        <w:rPr>
          <w:b/>
          <w:bCs/>
        </w:rPr>
        <w:t xml:space="preserve"> at all levels</w:t>
      </w:r>
      <w:r w:rsidRPr="00455F12">
        <w:rPr>
          <w:b/>
          <w:bCs/>
        </w:rPr>
        <w:t xml:space="preserve">, with special reference to crimes covered by the Optional Protocol. </w:t>
      </w:r>
    </w:p>
    <w:p w:rsidR="00216CEA" w:rsidRDefault="00216CEA" w:rsidP="00216CEA">
      <w:pPr>
        <w:pStyle w:val="HChG"/>
        <w:rPr>
          <w:lang w:eastAsia="en-GB"/>
        </w:rPr>
      </w:pPr>
      <w:r>
        <w:rPr>
          <w:lang w:eastAsia="en-GB"/>
        </w:rPr>
        <w:tab/>
        <w:t>V.</w:t>
      </w:r>
      <w:r>
        <w:rPr>
          <w:lang w:eastAsia="en-GB"/>
        </w:rPr>
        <w:tab/>
        <w:t xml:space="preserve">Prohibition and related matters </w:t>
      </w:r>
    </w:p>
    <w:p w:rsidR="00216CEA" w:rsidRPr="00BC72AA" w:rsidRDefault="00216CEA" w:rsidP="00216CEA">
      <w:pPr>
        <w:pStyle w:val="H23G"/>
        <w:spacing w:before="0" w:after="0" w:line="360" w:lineRule="auto"/>
      </w:pPr>
      <w:r>
        <w:rPr>
          <w:lang w:eastAsia="en-GB"/>
        </w:rPr>
        <w:tab/>
      </w:r>
      <w:r>
        <w:rPr>
          <w:lang w:eastAsia="en-GB"/>
        </w:rPr>
        <w:tab/>
      </w:r>
      <w:r w:rsidRPr="004536D3">
        <w:t>Criminal legislation and regulations in force</w:t>
      </w:r>
    </w:p>
    <w:p w:rsidR="00216CEA" w:rsidRDefault="00216CEA" w:rsidP="00216CEA">
      <w:pPr>
        <w:pStyle w:val="SingleTxtG"/>
        <w:numPr>
          <w:ilvl w:val="0"/>
          <w:numId w:val="10"/>
        </w:numPr>
        <w:ind w:left="1134" w:firstLine="0"/>
        <w:rPr>
          <w:bCs/>
        </w:rPr>
      </w:pPr>
      <w:r w:rsidRPr="00455F12">
        <w:rPr>
          <w:lang w:eastAsia="en-GB"/>
        </w:rPr>
        <w:t xml:space="preserve">The Committee notes with appreciation that </w:t>
      </w:r>
      <w:r w:rsidRPr="00455F12">
        <w:rPr>
          <w:bCs/>
        </w:rPr>
        <w:t>the State party’s legislation, without exceptions and in any circumstances, prohibits the recruitment of persons under the age of 18 years into its national armed forces and that the Criminal Code, Code of Criminal Procedure and Code o</w:t>
      </w:r>
      <w:r w:rsidR="004046AE">
        <w:rPr>
          <w:bCs/>
        </w:rPr>
        <w:t>f</w:t>
      </w:r>
      <w:r w:rsidRPr="00455F12">
        <w:rPr>
          <w:bCs/>
        </w:rPr>
        <w:t xml:space="preserve"> Military Justice are being reviewed</w:t>
      </w:r>
      <w:r w:rsidRPr="00455F12">
        <w:rPr>
          <w:lang w:eastAsia="en-GB"/>
        </w:rPr>
        <w:t>. The Committee also welcomes</w:t>
      </w:r>
      <w:r w:rsidRPr="00455F12">
        <w:rPr>
          <w:bCs/>
        </w:rPr>
        <w:t xml:space="preserve"> the enactment</w:t>
      </w:r>
      <w:r w:rsidRPr="00455F12">
        <w:rPr>
          <w:lang w:eastAsia="en-GB"/>
        </w:rPr>
        <w:t xml:space="preserve"> of comprehensive legislation which includes, as war crimes, the conscription or enlistment of children under the age of 18 or their use in hostilities (Act No</w:t>
      </w:r>
      <w:r w:rsidR="004046AE">
        <w:rPr>
          <w:lang w:eastAsia="en-GB"/>
        </w:rPr>
        <w:t>.</w:t>
      </w:r>
      <w:r w:rsidRPr="00455F12">
        <w:rPr>
          <w:lang w:eastAsia="en-GB"/>
        </w:rPr>
        <w:t xml:space="preserve"> 052-2009/AN of 3 December 2009 enacted in 2010 through presidential decree No</w:t>
      </w:r>
      <w:r w:rsidR="004046AE">
        <w:rPr>
          <w:lang w:eastAsia="en-GB"/>
        </w:rPr>
        <w:t>.</w:t>
      </w:r>
      <w:r w:rsidRPr="00455F12">
        <w:rPr>
          <w:lang w:eastAsia="en-GB"/>
        </w:rPr>
        <w:t xml:space="preserve"> 2009-894/PRES). However, the Committee is </w:t>
      </w:r>
      <w:r>
        <w:rPr>
          <w:lang w:eastAsia="en-GB"/>
        </w:rPr>
        <w:t xml:space="preserve">deeply </w:t>
      </w:r>
      <w:r w:rsidRPr="00455F12">
        <w:rPr>
          <w:lang w:eastAsia="en-GB"/>
        </w:rPr>
        <w:t xml:space="preserve">concerned that the State party considers it not to be applicable at present. In addition, the Committee </w:t>
      </w:r>
      <w:r w:rsidRPr="00455F12">
        <w:rPr>
          <w:bCs/>
        </w:rPr>
        <w:t xml:space="preserve">regrets that the State party’s legislation does not provide for: </w:t>
      </w:r>
    </w:p>
    <w:p w:rsidR="00216CEA" w:rsidRDefault="00216CEA" w:rsidP="00F764C8">
      <w:pPr>
        <w:pStyle w:val="SingleTxtG"/>
        <w:ind w:firstLine="567"/>
        <w:rPr>
          <w:bCs/>
        </w:rPr>
      </w:pPr>
      <w:r>
        <w:rPr>
          <w:bCs/>
        </w:rPr>
        <w:t>(a)</w:t>
      </w:r>
      <w:r>
        <w:rPr>
          <w:bCs/>
        </w:rPr>
        <w:tab/>
      </w:r>
      <w:r w:rsidRPr="0024732F">
        <w:rPr>
          <w:bCs/>
        </w:rPr>
        <w:t xml:space="preserve">An explicit </w:t>
      </w:r>
      <w:r>
        <w:rPr>
          <w:bCs/>
        </w:rPr>
        <w:t>provision defining the crime of</w:t>
      </w:r>
      <w:r w:rsidRPr="0024732F">
        <w:rPr>
          <w:bCs/>
        </w:rPr>
        <w:t xml:space="preserve"> recruitment</w:t>
      </w:r>
      <w:r>
        <w:rPr>
          <w:bCs/>
        </w:rPr>
        <w:t xml:space="preserve"> and use</w:t>
      </w:r>
      <w:r w:rsidRPr="0024732F">
        <w:rPr>
          <w:bCs/>
        </w:rPr>
        <w:t xml:space="preserve"> of children under 18 years in </w:t>
      </w:r>
      <w:r>
        <w:rPr>
          <w:bCs/>
        </w:rPr>
        <w:t>the national armed forces in peacetime</w:t>
      </w:r>
      <w:r w:rsidRPr="0024732F">
        <w:rPr>
          <w:bCs/>
        </w:rPr>
        <w:t>;</w:t>
      </w:r>
      <w:r w:rsidRPr="005427D8">
        <w:rPr>
          <w:rStyle w:val="FootnoteReference"/>
          <w:lang w:eastAsia="en-GB"/>
        </w:rPr>
        <w:t xml:space="preserve"> </w:t>
      </w:r>
    </w:p>
    <w:p w:rsidR="00216CEA" w:rsidRDefault="00216CEA" w:rsidP="00F764C8">
      <w:pPr>
        <w:pStyle w:val="SingleTxtG"/>
        <w:ind w:firstLine="567"/>
        <w:rPr>
          <w:bCs/>
        </w:rPr>
      </w:pPr>
      <w:r>
        <w:rPr>
          <w:bCs/>
        </w:rPr>
        <w:t>(b)</w:t>
      </w:r>
      <w:r>
        <w:rPr>
          <w:bCs/>
        </w:rPr>
        <w:tab/>
        <w:t xml:space="preserve">An </w:t>
      </w:r>
      <w:r w:rsidRPr="002E1E75">
        <w:rPr>
          <w:bCs/>
        </w:rPr>
        <w:t xml:space="preserve">explicit </w:t>
      </w:r>
      <w:r>
        <w:rPr>
          <w:bCs/>
        </w:rPr>
        <w:t>prohibition and definition of the crimes</w:t>
      </w:r>
      <w:r w:rsidRPr="002E1E75">
        <w:rPr>
          <w:bCs/>
        </w:rPr>
        <w:t xml:space="preserve"> of recruitment </w:t>
      </w:r>
      <w:r>
        <w:rPr>
          <w:bCs/>
        </w:rPr>
        <w:t xml:space="preserve">and use </w:t>
      </w:r>
      <w:r w:rsidRPr="002E1E75">
        <w:rPr>
          <w:bCs/>
        </w:rPr>
        <w:t xml:space="preserve">of children under 18 years </w:t>
      </w:r>
      <w:r>
        <w:rPr>
          <w:bCs/>
        </w:rPr>
        <w:t>by non-State armed groups and</w:t>
      </w:r>
      <w:r w:rsidRPr="002E1E75">
        <w:rPr>
          <w:bCs/>
        </w:rPr>
        <w:t xml:space="preserve"> security companies</w:t>
      </w:r>
      <w:r>
        <w:rPr>
          <w:bCs/>
        </w:rPr>
        <w:t>; and</w:t>
      </w:r>
    </w:p>
    <w:p w:rsidR="00216CEA" w:rsidRPr="002E1E75" w:rsidRDefault="00216CEA" w:rsidP="00F764C8">
      <w:pPr>
        <w:pStyle w:val="SingleTxtG"/>
        <w:ind w:firstLine="567"/>
        <w:rPr>
          <w:bCs/>
        </w:rPr>
      </w:pPr>
      <w:r>
        <w:rPr>
          <w:bCs/>
        </w:rPr>
        <w:t>(c)</w:t>
      </w:r>
      <w:r>
        <w:rPr>
          <w:bCs/>
        </w:rPr>
        <w:tab/>
      </w:r>
      <w:r w:rsidRPr="00950BD9">
        <w:rPr>
          <w:bCs/>
        </w:rPr>
        <w:t>A definition of direct participation in hostilities.</w:t>
      </w:r>
    </w:p>
    <w:p w:rsidR="00216CEA" w:rsidRDefault="00216CEA" w:rsidP="00216CEA">
      <w:pPr>
        <w:pStyle w:val="SingleTxtG"/>
        <w:numPr>
          <w:ilvl w:val="0"/>
          <w:numId w:val="10"/>
        </w:numPr>
        <w:ind w:left="1134" w:firstLine="0"/>
        <w:rPr>
          <w:b/>
          <w:bCs/>
        </w:rPr>
      </w:pPr>
      <w:r w:rsidRPr="00455F12">
        <w:rPr>
          <w:b/>
          <w:bCs/>
        </w:rPr>
        <w:t>The Committee recommends tha</w:t>
      </w:r>
      <w:r>
        <w:rPr>
          <w:b/>
          <w:bCs/>
        </w:rPr>
        <w:t>t the State party</w:t>
      </w:r>
      <w:r w:rsidRPr="00455F12">
        <w:rPr>
          <w:b/>
          <w:bCs/>
        </w:rPr>
        <w:t xml:space="preserve"> :</w:t>
      </w:r>
    </w:p>
    <w:p w:rsidR="00216CEA" w:rsidRDefault="00216CEA" w:rsidP="00F764C8">
      <w:pPr>
        <w:pStyle w:val="SingleTxtG"/>
        <w:ind w:firstLine="567"/>
        <w:rPr>
          <w:b/>
          <w:bCs/>
        </w:rPr>
      </w:pPr>
      <w:r>
        <w:rPr>
          <w:b/>
          <w:bCs/>
        </w:rPr>
        <w:t>(a)</w:t>
      </w:r>
      <w:r>
        <w:rPr>
          <w:b/>
          <w:bCs/>
        </w:rPr>
        <w:tab/>
        <w:t>Take all necessary measures to effectively enforce Act</w:t>
      </w:r>
      <w:r w:rsidRPr="000F630D">
        <w:rPr>
          <w:lang w:eastAsia="en-GB"/>
        </w:rPr>
        <w:t xml:space="preserve"> </w:t>
      </w:r>
      <w:r w:rsidRPr="000F630D">
        <w:rPr>
          <w:b/>
          <w:bCs/>
        </w:rPr>
        <w:t>No</w:t>
      </w:r>
      <w:r w:rsidR="004046AE">
        <w:rPr>
          <w:b/>
          <w:bCs/>
        </w:rPr>
        <w:t>.</w:t>
      </w:r>
      <w:r w:rsidRPr="000F630D">
        <w:rPr>
          <w:b/>
          <w:bCs/>
        </w:rPr>
        <w:t xml:space="preserve"> 052-2009/AN of 3 December 2009</w:t>
      </w:r>
      <w:r>
        <w:rPr>
          <w:b/>
          <w:bCs/>
        </w:rPr>
        <w:t>; and</w:t>
      </w:r>
    </w:p>
    <w:p w:rsidR="00216CEA" w:rsidRPr="005427D8" w:rsidRDefault="00216CEA" w:rsidP="00F764C8">
      <w:pPr>
        <w:pStyle w:val="SingleTxtG"/>
        <w:ind w:firstLine="567"/>
        <w:rPr>
          <w:b/>
          <w:bCs/>
        </w:rPr>
      </w:pPr>
      <w:r>
        <w:rPr>
          <w:b/>
          <w:bCs/>
        </w:rPr>
        <w:t>(b)</w:t>
      </w:r>
      <w:r>
        <w:rPr>
          <w:b/>
          <w:bCs/>
        </w:rPr>
        <w:tab/>
        <w:t>Accelerate the revision process of its Criminal Code with a view to swiftly amend</w:t>
      </w:r>
      <w:r w:rsidR="004046AE">
        <w:rPr>
          <w:b/>
          <w:bCs/>
        </w:rPr>
        <w:t>ing</w:t>
      </w:r>
      <w:r>
        <w:rPr>
          <w:b/>
          <w:bCs/>
        </w:rPr>
        <w:t xml:space="preserve"> it and </w:t>
      </w:r>
      <w:r w:rsidRPr="005427D8">
        <w:rPr>
          <w:b/>
          <w:bCs/>
        </w:rPr>
        <w:t xml:space="preserve">include an explicit criminalization of the recruitment and use of persons under 18 years in the national armed forces, non-State armed groups and security companies, </w:t>
      </w:r>
      <w:r>
        <w:rPr>
          <w:b/>
          <w:bCs/>
        </w:rPr>
        <w:t xml:space="preserve">attempt, repeat offence and complicity in such acts, </w:t>
      </w:r>
      <w:r w:rsidRPr="005427D8">
        <w:rPr>
          <w:b/>
          <w:bCs/>
        </w:rPr>
        <w:t>as well as a definition of direct participation in hostilities.</w:t>
      </w:r>
    </w:p>
    <w:p w:rsidR="00216CEA" w:rsidRPr="00A61C7A" w:rsidRDefault="00F764C8" w:rsidP="00F764C8">
      <w:pPr>
        <w:pStyle w:val="H23G"/>
        <w:rPr>
          <w:lang w:eastAsia="en-GB"/>
        </w:rPr>
      </w:pPr>
      <w:r>
        <w:rPr>
          <w:lang w:eastAsia="en-GB"/>
        </w:rPr>
        <w:tab/>
      </w:r>
      <w:r>
        <w:rPr>
          <w:lang w:eastAsia="en-GB"/>
        </w:rPr>
        <w:tab/>
      </w:r>
      <w:r w:rsidR="00216CEA" w:rsidRPr="00890A89">
        <w:rPr>
          <w:lang w:eastAsia="en-GB"/>
        </w:rPr>
        <w:t xml:space="preserve">Extraterritorial </w:t>
      </w:r>
      <w:r w:rsidR="006924F7">
        <w:rPr>
          <w:lang w:eastAsia="en-GB"/>
        </w:rPr>
        <w:t>j</w:t>
      </w:r>
      <w:r w:rsidR="00216CEA" w:rsidRPr="00890A89">
        <w:rPr>
          <w:lang w:eastAsia="en-GB"/>
        </w:rPr>
        <w:t>urisdiction</w:t>
      </w:r>
      <w:r w:rsidR="00216CEA" w:rsidRPr="00A61C7A">
        <w:t xml:space="preserve"> </w:t>
      </w:r>
      <w:r w:rsidR="00216CEA">
        <w:t>and extradition</w:t>
      </w:r>
    </w:p>
    <w:p w:rsidR="00216CEA" w:rsidRDefault="00216CEA" w:rsidP="00216CEA">
      <w:pPr>
        <w:pStyle w:val="SingleTxtG"/>
        <w:numPr>
          <w:ilvl w:val="0"/>
          <w:numId w:val="10"/>
        </w:numPr>
        <w:ind w:left="1134" w:firstLine="0"/>
        <w:rPr>
          <w:bCs/>
        </w:rPr>
      </w:pPr>
      <w:r w:rsidRPr="00455F12">
        <w:rPr>
          <w:lang w:eastAsia="en-GB"/>
        </w:rPr>
        <w:t xml:space="preserve">While welcoming that </w:t>
      </w:r>
      <w:r w:rsidR="006924F7">
        <w:rPr>
          <w:lang w:eastAsia="en-GB"/>
        </w:rPr>
        <w:t>a</w:t>
      </w:r>
      <w:r w:rsidRPr="00455F12">
        <w:rPr>
          <w:lang w:eastAsia="en-GB"/>
        </w:rPr>
        <w:t>rticle 15 of Act No</w:t>
      </w:r>
      <w:r w:rsidR="006924F7">
        <w:rPr>
          <w:lang w:eastAsia="en-GB"/>
        </w:rPr>
        <w:t>.</w:t>
      </w:r>
      <w:r w:rsidRPr="00455F12">
        <w:rPr>
          <w:lang w:eastAsia="en-GB"/>
        </w:rPr>
        <w:t xml:space="preserve"> 052-2009/AN of 3 December 2009 enables the State party to establish and exercise universal jurisdiction for the war crimes of conscripting or enlisting children under the age of 18 years, or using them to participate directly in hostilities, the Committee regrets the alleged inapplicability of this legislation.</w:t>
      </w:r>
      <w:r w:rsidRPr="00455F12">
        <w:t xml:space="preserve"> T</w:t>
      </w:r>
      <w:r w:rsidRPr="00455F12">
        <w:rPr>
          <w:lang w:eastAsia="en-GB"/>
        </w:rPr>
        <w:t xml:space="preserve">he Committee also regrets the State party’s position that its judicial cooperation agreements regarding criminal proceedings and extradition are not applicable because acts covered by the Optional Protocol do not amount to criminal offences in the State party. Further, the </w:t>
      </w:r>
      <w:r w:rsidRPr="00455F12">
        <w:rPr>
          <w:bCs/>
          <w:lang w:eastAsia="en-GB"/>
        </w:rPr>
        <w:t>Committee is concerned that extradition is subject to the double criminality requirement.</w:t>
      </w:r>
    </w:p>
    <w:p w:rsidR="00216CEA" w:rsidRPr="00455F12" w:rsidRDefault="00216CEA" w:rsidP="00216CEA">
      <w:pPr>
        <w:pStyle w:val="SingleTxtG"/>
        <w:numPr>
          <w:ilvl w:val="0"/>
          <w:numId w:val="10"/>
        </w:numPr>
        <w:ind w:left="1134" w:firstLine="0"/>
        <w:rPr>
          <w:b/>
          <w:bCs/>
        </w:rPr>
      </w:pPr>
      <w:r w:rsidRPr="00455F12">
        <w:rPr>
          <w:b/>
          <w:lang w:eastAsia="en-GB"/>
        </w:rPr>
        <w:t>The Committee urges the State party</w:t>
      </w:r>
      <w:r w:rsidR="008A5829">
        <w:rPr>
          <w:b/>
          <w:lang w:eastAsia="en-GB"/>
        </w:rPr>
        <w:t xml:space="preserve"> to</w:t>
      </w:r>
      <w:r w:rsidRPr="00455F12">
        <w:rPr>
          <w:b/>
          <w:lang w:eastAsia="en-GB"/>
        </w:rPr>
        <w:t>:</w:t>
      </w:r>
    </w:p>
    <w:p w:rsidR="00216CEA" w:rsidRPr="002E4F8D" w:rsidRDefault="00216CEA" w:rsidP="00F764C8">
      <w:pPr>
        <w:pStyle w:val="SingleTxtG"/>
        <w:ind w:firstLine="567"/>
        <w:rPr>
          <w:b/>
          <w:bCs/>
        </w:rPr>
      </w:pPr>
      <w:r w:rsidRPr="002E4F8D">
        <w:rPr>
          <w:b/>
          <w:lang w:eastAsia="en-GB"/>
        </w:rPr>
        <w:t>(a)</w:t>
      </w:r>
      <w:r w:rsidRPr="002E4F8D">
        <w:rPr>
          <w:b/>
          <w:lang w:eastAsia="en-GB"/>
        </w:rPr>
        <w:tab/>
        <w:t>Take all necessary measures to ensure that the State party</w:t>
      </w:r>
      <w:r w:rsidRPr="006E130A">
        <w:rPr>
          <w:b/>
          <w:lang w:eastAsia="en-GB"/>
        </w:rPr>
        <w:t xml:space="preserve"> effectively exercise</w:t>
      </w:r>
      <w:r w:rsidR="006924F7">
        <w:rPr>
          <w:b/>
          <w:lang w:eastAsia="en-GB"/>
        </w:rPr>
        <w:t>s</w:t>
      </w:r>
      <w:r w:rsidRPr="006E130A">
        <w:rPr>
          <w:b/>
          <w:lang w:eastAsia="en-GB"/>
        </w:rPr>
        <w:t xml:space="preserve"> its universal jurisdiction regarding</w:t>
      </w:r>
      <w:r w:rsidRPr="004A0D23">
        <w:rPr>
          <w:b/>
          <w:lang w:eastAsia="en-GB"/>
        </w:rPr>
        <w:t xml:space="preserve"> crimes cov</w:t>
      </w:r>
      <w:r>
        <w:rPr>
          <w:b/>
          <w:lang w:eastAsia="en-GB"/>
        </w:rPr>
        <w:t xml:space="preserve">ered by the Optional Protocol, </w:t>
      </w:r>
      <w:r w:rsidRPr="004A0D23">
        <w:rPr>
          <w:b/>
          <w:lang w:eastAsia="en-GB"/>
        </w:rPr>
        <w:t>including</w:t>
      </w:r>
      <w:r w:rsidR="008A5829">
        <w:rPr>
          <w:b/>
          <w:lang w:eastAsia="en-GB"/>
        </w:rPr>
        <w:t xml:space="preserve"> prosecution of</w:t>
      </w:r>
      <w:r w:rsidRPr="006E130A">
        <w:rPr>
          <w:b/>
          <w:lang w:eastAsia="en-GB"/>
        </w:rPr>
        <w:t xml:space="preserve"> </w:t>
      </w:r>
      <w:r>
        <w:rPr>
          <w:b/>
          <w:lang w:eastAsia="en-GB"/>
        </w:rPr>
        <w:t>perpetrators</w:t>
      </w:r>
      <w:r w:rsidRPr="006E130A">
        <w:rPr>
          <w:b/>
          <w:lang w:eastAsia="en-GB"/>
        </w:rPr>
        <w:t xml:space="preserve"> who may be on its territory as a result of the </w:t>
      </w:r>
      <w:r>
        <w:rPr>
          <w:b/>
          <w:lang w:eastAsia="en-GB"/>
        </w:rPr>
        <w:t xml:space="preserve">armed conflict in </w:t>
      </w:r>
      <w:r w:rsidR="008A5829" w:rsidRPr="006E130A">
        <w:rPr>
          <w:b/>
          <w:lang w:eastAsia="en-GB"/>
        </w:rPr>
        <w:t>neig</w:t>
      </w:r>
      <w:r w:rsidR="008A5829">
        <w:rPr>
          <w:b/>
          <w:lang w:eastAsia="en-GB"/>
        </w:rPr>
        <w:t xml:space="preserve">hbouring </w:t>
      </w:r>
      <w:r>
        <w:rPr>
          <w:b/>
          <w:lang w:eastAsia="en-GB"/>
        </w:rPr>
        <w:t>Mali;</w:t>
      </w:r>
    </w:p>
    <w:p w:rsidR="00216CEA" w:rsidRPr="006E130A" w:rsidRDefault="00216CEA" w:rsidP="00F764C8">
      <w:pPr>
        <w:pStyle w:val="SingleTxtG"/>
        <w:ind w:firstLine="567"/>
        <w:rPr>
          <w:b/>
          <w:bCs/>
        </w:rPr>
      </w:pPr>
      <w:r w:rsidRPr="002976D0">
        <w:rPr>
          <w:b/>
          <w:lang w:eastAsia="en-GB"/>
        </w:rPr>
        <w:t>(b)</w:t>
      </w:r>
      <w:r w:rsidRPr="002976D0">
        <w:rPr>
          <w:b/>
          <w:lang w:eastAsia="en-GB"/>
        </w:rPr>
        <w:tab/>
      </w:r>
      <w:r w:rsidRPr="002E4F8D">
        <w:rPr>
          <w:b/>
          <w:bCs/>
        </w:rPr>
        <w:t xml:space="preserve">Consider the acts covered by the Optional Protocol as criminal offences and, as such, </w:t>
      </w:r>
      <w:r w:rsidRPr="006E130A">
        <w:rPr>
          <w:b/>
          <w:bCs/>
        </w:rPr>
        <w:t>include them in extradition agreements; and</w:t>
      </w:r>
    </w:p>
    <w:p w:rsidR="00216CEA" w:rsidRPr="002976D0" w:rsidRDefault="00216CEA" w:rsidP="00F764C8">
      <w:pPr>
        <w:pStyle w:val="SingleTxtG"/>
        <w:ind w:firstLine="567"/>
        <w:rPr>
          <w:b/>
          <w:bCs/>
        </w:rPr>
      </w:pPr>
      <w:r w:rsidRPr="004A0D23">
        <w:rPr>
          <w:b/>
          <w:bCs/>
        </w:rPr>
        <w:t>(c)</w:t>
      </w:r>
      <w:r w:rsidRPr="004A0D23">
        <w:rPr>
          <w:b/>
          <w:bCs/>
        </w:rPr>
        <w:tab/>
        <w:t>Repeal the doubl</w:t>
      </w:r>
      <w:r w:rsidRPr="00117CE7">
        <w:rPr>
          <w:b/>
          <w:bCs/>
        </w:rPr>
        <w:t>e criminality requirement.</w:t>
      </w:r>
    </w:p>
    <w:p w:rsidR="00216CEA" w:rsidRDefault="00216CEA" w:rsidP="00216CEA">
      <w:pPr>
        <w:pStyle w:val="HChG"/>
        <w:rPr>
          <w:lang w:eastAsia="en-GB"/>
        </w:rPr>
      </w:pPr>
      <w:r>
        <w:rPr>
          <w:lang w:eastAsia="en-GB"/>
        </w:rPr>
        <w:tab/>
        <w:t>VI.</w:t>
      </w:r>
      <w:r>
        <w:rPr>
          <w:lang w:eastAsia="en-GB"/>
        </w:rPr>
        <w:tab/>
        <w:t>Protection, recovery and reintegration</w:t>
      </w:r>
    </w:p>
    <w:p w:rsidR="00216CEA" w:rsidRDefault="00216CEA" w:rsidP="00216CEA">
      <w:pPr>
        <w:pStyle w:val="H23G"/>
        <w:rPr>
          <w:lang w:eastAsia="en-GB"/>
        </w:rPr>
      </w:pPr>
      <w:r>
        <w:rPr>
          <w:lang w:eastAsia="en-GB"/>
        </w:rPr>
        <w:tab/>
      </w:r>
      <w:r>
        <w:rPr>
          <w:lang w:eastAsia="en-GB"/>
        </w:rPr>
        <w:tab/>
        <w:t>Measures adopted to protect the rights of child victims</w:t>
      </w:r>
    </w:p>
    <w:p w:rsidR="00216CEA" w:rsidRPr="00455F12" w:rsidRDefault="00216CEA" w:rsidP="00216CEA">
      <w:pPr>
        <w:pStyle w:val="SingleTxtG"/>
        <w:numPr>
          <w:ilvl w:val="0"/>
          <w:numId w:val="10"/>
        </w:numPr>
        <w:ind w:left="1134" w:firstLine="0"/>
        <w:rPr>
          <w:bCs/>
        </w:rPr>
      </w:pPr>
      <w:r w:rsidRPr="00455F12">
        <w:t xml:space="preserve">The Committee notes the information provided by the State party that there are no child victims of acts prohibited by the </w:t>
      </w:r>
      <w:r w:rsidR="006924F7">
        <w:t xml:space="preserve">Optional </w:t>
      </w:r>
      <w:r w:rsidRPr="00455F12">
        <w:t xml:space="preserve">Protocol on its territory. However, in </w:t>
      </w:r>
      <w:r w:rsidR="006924F7">
        <w:t xml:space="preserve">the </w:t>
      </w:r>
      <w:r w:rsidRPr="00455F12">
        <w:t xml:space="preserve">light of the ongoing conflict in neighbouring Mali which, as acknowledged by the State party delegation, </w:t>
      </w:r>
      <w:r w:rsidR="006924F7">
        <w:t xml:space="preserve">has </w:t>
      </w:r>
      <w:r w:rsidRPr="00455F12">
        <w:t>result</w:t>
      </w:r>
      <w:r w:rsidR="006924F7">
        <w:t>ed</w:t>
      </w:r>
      <w:r w:rsidRPr="00455F12">
        <w:t xml:space="preserve"> in an increasing number of asylum-seeking, refugee and migrant children within the State party’s jurisdiction, the Committee is concerned about the lack of mechanisms in place for identifying children who might have been recruited or used in armed conflict abroad. The Committee also expresses concern about the lack of awareness in the State party about the need for such identification.</w:t>
      </w:r>
    </w:p>
    <w:p w:rsidR="00216CEA" w:rsidRPr="00455F12" w:rsidRDefault="00216CEA" w:rsidP="00216CEA">
      <w:pPr>
        <w:pStyle w:val="SingleTxtG"/>
        <w:numPr>
          <w:ilvl w:val="0"/>
          <w:numId w:val="10"/>
        </w:numPr>
        <w:ind w:left="1134" w:firstLine="0"/>
        <w:rPr>
          <w:b/>
          <w:bCs/>
        </w:rPr>
      </w:pPr>
      <w:r w:rsidRPr="00455F12">
        <w:rPr>
          <w:b/>
        </w:rPr>
        <w:t>In accordance with its obligations under article 7 of the Optional Protocol, the Committee urges the State party to</w:t>
      </w:r>
      <w:r w:rsidRPr="00455F12">
        <w:rPr>
          <w:rFonts w:eastAsia="Calibri"/>
          <w:b/>
          <w:bCs/>
          <w:sz w:val="22"/>
          <w:szCs w:val="22"/>
        </w:rPr>
        <w:t xml:space="preserve"> </w:t>
      </w:r>
      <w:r w:rsidRPr="00455F12">
        <w:rPr>
          <w:b/>
          <w:bCs/>
        </w:rPr>
        <w:t xml:space="preserve">take all necessary measures to identify children who may have been involved in armed conflict </w:t>
      </w:r>
      <w:r w:rsidRPr="00455F12">
        <w:rPr>
          <w:b/>
        </w:rPr>
        <w:t>and to:</w:t>
      </w:r>
    </w:p>
    <w:p w:rsidR="00216CEA" w:rsidRPr="009212FF" w:rsidRDefault="00216CEA" w:rsidP="00F764C8">
      <w:pPr>
        <w:pStyle w:val="SingleTxtG"/>
        <w:ind w:firstLine="567"/>
        <w:rPr>
          <w:b/>
        </w:rPr>
      </w:pPr>
      <w:r>
        <w:rPr>
          <w:b/>
        </w:rPr>
        <w:t>(a)</w:t>
      </w:r>
      <w:r>
        <w:rPr>
          <w:b/>
        </w:rPr>
        <w:tab/>
        <w:t>E</w:t>
      </w:r>
      <w:r w:rsidRPr="009212FF">
        <w:rPr>
          <w:b/>
        </w:rPr>
        <w:t>stablish an identif</w:t>
      </w:r>
      <w:r>
        <w:rPr>
          <w:b/>
        </w:rPr>
        <w:t xml:space="preserve">ication mechanism for asylum-seeking, </w:t>
      </w:r>
      <w:r w:rsidRPr="009212FF">
        <w:rPr>
          <w:b/>
        </w:rPr>
        <w:t xml:space="preserve">refugee </w:t>
      </w:r>
      <w:r>
        <w:rPr>
          <w:b/>
        </w:rPr>
        <w:t xml:space="preserve">or migrant </w:t>
      </w:r>
      <w:r w:rsidRPr="009212FF">
        <w:rPr>
          <w:b/>
        </w:rPr>
        <w:t xml:space="preserve">children, who may have been involved in armed conflict abroad, and ensure that </w:t>
      </w:r>
      <w:r w:rsidRPr="00F16C04">
        <w:rPr>
          <w:b/>
        </w:rPr>
        <w:t>personnel responsible for such identification are trained on child rights, child protection and child-</w:t>
      </w:r>
      <w:r>
        <w:rPr>
          <w:b/>
        </w:rPr>
        <w:t>sensitive</w:t>
      </w:r>
      <w:r w:rsidRPr="00F16C04">
        <w:rPr>
          <w:b/>
        </w:rPr>
        <w:t xml:space="preserve"> interviewing skills;</w:t>
      </w:r>
      <w:r w:rsidRPr="009212FF">
        <w:rPr>
          <w:b/>
        </w:rPr>
        <w:t xml:space="preserve"> </w:t>
      </w:r>
    </w:p>
    <w:p w:rsidR="00216CEA" w:rsidRDefault="00216CEA" w:rsidP="00F764C8">
      <w:pPr>
        <w:pStyle w:val="SingleTxtG"/>
        <w:ind w:firstLine="567"/>
        <w:rPr>
          <w:b/>
        </w:rPr>
      </w:pPr>
      <w:r>
        <w:rPr>
          <w:b/>
        </w:rPr>
        <w:t>(b)</w:t>
      </w:r>
      <w:r>
        <w:rPr>
          <w:b/>
        </w:rPr>
        <w:tab/>
        <w:t xml:space="preserve">Set up a monitoring mechanism which allows family members to report cases of children who are missing; and </w:t>
      </w:r>
    </w:p>
    <w:p w:rsidR="00216CEA" w:rsidRPr="000E3D29" w:rsidRDefault="00216CEA" w:rsidP="00F764C8">
      <w:pPr>
        <w:pStyle w:val="SingleTxtG"/>
        <w:ind w:firstLine="567"/>
        <w:rPr>
          <w:b/>
        </w:rPr>
      </w:pPr>
      <w:r>
        <w:rPr>
          <w:b/>
        </w:rPr>
        <w:t>(c)</w:t>
      </w:r>
      <w:r>
        <w:rPr>
          <w:b/>
        </w:rPr>
        <w:tab/>
        <w:t>P</w:t>
      </w:r>
      <w:r w:rsidRPr="009212FF">
        <w:rPr>
          <w:b/>
        </w:rPr>
        <w:t>rovide children who have been or may have been involved in armed conflict with appropriate assistance for their physical and psychological recovery</w:t>
      </w:r>
      <w:r>
        <w:rPr>
          <w:b/>
        </w:rPr>
        <w:t xml:space="preserve"> and their social reintegration.</w:t>
      </w:r>
    </w:p>
    <w:p w:rsidR="00216CEA" w:rsidRDefault="00216CEA" w:rsidP="00216CEA">
      <w:pPr>
        <w:pStyle w:val="HChG"/>
        <w:rPr>
          <w:lang w:eastAsia="en-GB"/>
        </w:rPr>
      </w:pPr>
      <w:r>
        <w:rPr>
          <w:lang w:eastAsia="en-GB"/>
        </w:rPr>
        <w:tab/>
        <w:t>VII.</w:t>
      </w:r>
      <w:r>
        <w:rPr>
          <w:lang w:eastAsia="en-GB"/>
        </w:rPr>
        <w:tab/>
        <w:t>International assistance and cooperation</w:t>
      </w:r>
    </w:p>
    <w:p w:rsidR="00216CEA" w:rsidRDefault="00216CEA" w:rsidP="00216CEA">
      <w:pPr>
        <w:pStyle w:val="H23G"/>
      </w:pPr>
      <w:r>
        <w:tab/>
      </w:r>
      <w:r>
        <w:tab/>
        <w:t xml:space="preserve">International cooperation </w:t>
      </w:r>
    </w:p>
    <w:p w:rsidR="00216CEA" w:rsidRDefault="00216CEA" w:rsidP="00216CEA">
      <w:pPr>
        <w:pStyle w:val="SingleTxtG"/>
        <w:numPr>
          <w:ilvl w:val="0"/>
          <w:numId w:val="10"/>
        </w:numPr>
        <w:ind w:left="1134" w:firstLine="0"/>
        <w:rPr>
          <w:b/>
          <w:bCs/>
        </w:rPr>
      </w:pPr>
      <w:r w:rsidRPr="00783359">
        <w:rPr>
          <w:b/>
          <w:bCs/>
        </w:rPr>
        <w:t xml:space="preserve">The Committee notes as positive the State party’s contribution to and </w:t>
      </w:r>
      <w:r w:rsidRPr="00455F12">
        <w:rPr>
          <w:b/>
          <w:bCs/>
        </w:rPr>
        <w:t>participation in United Na</w:t>
      </w:r>
      <w:r w:rsidR="008A5829">
        <w:rPr>
          <w:b/>
          <w:bCs/>
        </w:rPr>
        <w:t xml:space="preserve">tions and African Union peacekeeping </w:t>
      </w:r>
      <w:r w:rsidRPr="00455F12">
        <w:rPr>
          <w:b/>
          <w:bCs/>
        </w:rPr>
        <w:t>operations. The Committee further recommends that the State party continue and strengthen its cooperation with the International Committee of the Red Cross</w:t>
      </w:r>
      <w:r w:rsidR="002F0498">
        <w:rPr>
          <w:b/>
          <w:bCs/>
        </w:rPr>
        <w:t xml:space="preserve"> (ICRC)</w:t>
      </w:r>
      <w:r w:rsidRPr="00455F12">
        <w:rPr>
          <w:b/>
          <w:bCs/>
        </w:rPr>
        <w:t xml:space="preserve"> and with the Special Representative of the Secretary-General </w:t>
      </w:r>
      <w:r w:rsidR="002F0498">
        <w:rPr>
          <w:b/>
          <w:bCs/>
        </w:rPr>
        <w:t>for</w:t>
      </w:r>
      <w:r w:rsidR="002F0498" w:rsidRPr="00455F12">
        <w:rPr>
          <w:b/>
          <w:bCs/>
        </w:rPr>
        <w:t xml:space="preserve"> </w:t>
      </w:r>
      <w:r w:rsidRPr="00455F12">
        <w:rPr>
          <w:b/>
          <w:bCs/>
        </w:rPr>
        <w:t xml:space="preserve">Children and Armed Conflict. </w:t>
      </w:r>
    </w:p>
    <w:p w:rsidR="00216CEA" w:rsidRDefault="00216CEA" w:rsidP="00216CEA">
      <w:pPr>
        <w:pStyle w:val="HChG"/>
        <w:rPr>
          <w:lang w:eastAsia="en-GB"/>
        </w:rPr>
      </w:pPr>
      <w:r>
        <w:rPr>
          <w:lang w:eastAsia="en-GB"/>
        </w:rPr>
        <w:tab/>
        <w:t>VIII.</w:t>
      </w:r>
      <w:r>
        <w:rPr>
          <w:lang w:eastAsia="en-GB"/>
        </w:rPr>
        <w:tab/>
        <w:t>Follow-up and dissemination</w:t>
      </w:r>
    </w:p>
    <w:p w:rsidR="00216CEA" w:rsidRPr="00455F12" w:rsidRDefault="00216CEA" w:rsidP="00216CEA">
      <w:pPr>
        <w:pStyle w:val="SingleTxtG"/>
        <w:numPr>
          <w:ilvl w:val="0"/>
          <w:numId w:val="10"/>
        </w:numPr>
        <w:ind w:left="1134" w:firstLine="0"/>
        <w:rPr>
          <w:b/>
          <w:bCs/>
        </w:rPr>
      </w:pPr>
      <w:r w:rsidRPr="00455F12">
        <w:rPr>
          <w:b/>
        </w:rPr>
        <w:t>The Committee recommends that the State party take all appropriate measures to ensure full implementation of the present recommendations by, inter alia, transmitting them to the Parliament, relevant ministries, including the Ministry of Defence, the Supreme Court, and to local authorities, for appropriate consideration and further action.</w:t>
      </w:r>
    </w:p>
    <w:p w:rsidR="00216CEA" w:rsidRPr="00455F12" w:rsidRDefault="00216CEA" w:rsidP="00216CEA">
      <w:pPr>
        <w:pStyle w:val="SingleTxtG"/>
        <w:numPr>
          <w:ilvl w:val="0"/>
          <w:numId w:val="10"/>
        </w:numPr>
        <w:ind w:left="1134" w:firstLine="0"/>
        <w:rPr>
          <w:b/>
          <w:bCs/>
        </w:rPr>
      </w:pPr>
      <w:r w:rsidRPr="00455F12">
        <w:rPr>
          <w:b/>
        </w:rPr>
        <w:t>The Committee recommends that the initial report and written replies submitted by the State party and the related concluding observations adopted by the Committee be made widely available, including (but not exclusively) through the Internet, to the public at large, civil society organizations, youth groups, professional groups and children, in order to generate debate and awareness of the Optional Protocol, its implementation and monitoring.</w:t>
      </w:r>
    </w:p>
    <w:p w:rsidR="00216CEA" w:rsidRDefault="00216CEA" w:rsidP="00216CEA">
      <w:pPr>
        <w:pStyle w:val="HChG"/>
        <w:rPr>
          <w:lang w:eastAsia="en-GB"/>
        </w:rPr>
      </w:pPr>
      <w:r>
        <w:rPr>
          <w:lang w:eastAsia="en-GB"/>
        </w:rPr>
        <w:tab/>
        <w:t>IX.</w:t>
      </w:r>
      <w:r>
        <w:rPr>
          <w:lang w:eastAsia="en-GB"/>
        </w:rPr>
        <w:tab/>
        <w:t>Next report</w:t>
      </w:r>
    </w:p>
    <w:p w:rsidR="00216CEA" w:rsidRPr="00455F12" w:rsidRDefault="00216CEA" w:rsidP="00216CEA">
      <w:pPr>
        <w:pStyle w:val="SingleTxtG"/>
        <w:numPr>
          <w:ilvl w:val="0"/>
          <w:numId w:val="10"/>
        </w:numPr>
        <w:ind w:left="1134" w:firstLine="0"/>
        <w:rPr>
          <w:b/>
          <w:bCs/>
        </w:rPr>
      </w:pPr>
      <w:r w:rsidRPr="00455F12">
        <w:rPr>
          <w:b/>
        </w:rPr>
        <w:t>In accordance with article 8, paragraph 2, the Committee requests the State party to include further information on the implementation of the Optional Protocol and the present concluding observations in its next periodic report under the Convention on the Rights of the Child, in accordance with article 44 of the Convention, due on 29 September 2017.</w:t>
      </w:r>
    </w:p>
    <w:p w:rsidR="008F71E1" w:rsidRPr="008F71E1" w:rsidRDefault="008F71E1" w:rsidP="008F71E1">
      <w:pPr>
        <w:spacing w:before="240"/>
        <w:ind w:left="1134" w:right="1134"/>
        <w:jc w:val="center"/>
        <w:rPr>
          <w:u w:val="single"/>
        </w:rPr>
      </w:pPr>
      <w:r w:rsidRPr="008F71E1">
        <w:rPr>
          <w:u w:val="single"/>
        </w:rPr>
        <w:tab/>
      </w:r>
      <w:r w:rsidRPr="008F71E1">
        <w:rPr>
          <w:u w:val="single"/>
        </w:rPr>
        <w:tab/>
      </w:r>
      <w:r w:rsidRPr="008F71E1">
        <w:rPr>
          <w:u w:val="single"/>
        </w:rPr>
        <w:tab/>
      </w:r>
    </w:p>
    <w:sectPr w:rsidR="008F71E1" w:rsidRPr="008F71E1" w:rsidSect="00AF76D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CB" w:rsidRDefault="009532CB"/>
  </w:endnote>
  <w:endnote w:type="continuationSeparator" w:id="0">
    <w:p w:rsidR="009532CB" w:rsidRDefault="009532CB"/>
  </w:endnote>
  <w:endnote w:type="continuationNotice" w:id="1">
    <w:p w:rsidR="009532CB" w:rsidRDefault="009532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AC" w:rsidRPr="00AF76D0" w:rsidRDefault="008D2DAC" w:rsidP="00AF76D0">
    <w:pPr>
      <w:pStyle w:val="Footer"/>
      <w:tabs>
        <w:tab w:val="right" w:pos="9638"/>
      </w:tabs>
    </w:pPr>
    <w:r w:rsidRPr="00AF76D0">
      <w:rPr>
        <w:b/>
        <w:sz w:val="18"/>
      </w:rPr>
      <w:fldChar w:fldCharType="begin"/>
    </w:r>
    <w:r w:rsidRPr="00AF76D0">
      <w:rPr>
        <w:b/>
        <w:sz w:val="18"/>
      </w:rPr>
      <w:instrText xml:space="preserve"> PAGE  \* MERGEFORMAT </w:instrText>
    </w:r>
    <w:r w:rsidRPr="00AF76D0">
      <w:rPr>
        <w:b/>
        <w:sz w:val="18"/>
      </w:rPr>
      <w:fldChar w:fldCharType="separate"/>
    </w:r>
    <w:r w:rsidR="00CC2EBE">
      <w:rPr>
        <w:b/>
        <w:noProof/>
        <w:sz w:val="18"/>
      </w:rPr>
      <w:t>2</w:t>
    </w:r>
    <w:r w:rsidRPr="00AF76D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AC" w:rsidRPr="00AF76D0" w:rsidRDefault="008D2DAC" w:rsidP="00AF76D0">
    <w:pPr>
      <w:pStyle w:val="Footer"/>
      <w:tabs>
        <w:tab w:val="right" w:pos="9638"/>
      </w:tabs>
      <w:rPr>
        <w:b/>
        <w:sz w:val="18"/>
      </w:rPr>
    </w:pPr>
    <w:r>
      <w:tab/>
    </w:r>
    <w:r w:rsidRPr="00AF76D0">
      <w:rPr>
        <w:b/>
        <w:sz w:val="18"/>
      </w:rPr>
      <w:fldChar w:fldCharType="begin"/>
    </w:r>
    <w:r w:rsidRPr="00AF76D0">
      <w:rPr>
        <w:b/>
        <w:sz w:val="18"/>
      </w:rPr>
      <w:instrText xml:space="preserve"> PAGE  \* MERGEFORMAT </w:instrText>
    </w:r>
    <w:r w:rsidRPr="00AF76D0">
      <w:rPr>
        <w:b/>
        <w:sz w:val="18"/>
      </w:rPr>
      <w:fldChar w:fldCharType="separate"/>
    </w:r>
    <w:r w:rsidR="00CC2EBE">
      <w:rPr>
        <w:b/>
        <w:noProof/>
        <w:sz w:val="18"/>
      </w:rPr>
      <w:t>5</w:t>
    </w:r>
    <w:r w:rsidRPr="00AF76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AC" w:rsidRPr="00AF76D0" w:rsidRDefault="008D2DA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CF264B">
      <w:t>13-</w:t>
    </w:r>
    <w:r w:rsidR="00D044EC">
      <w:t>44825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CB" w:rsidRPr="000B175B" w:rsidRDefault="009532CB" w:rsidP="000B175B">
      <w:pPr>
        <w:tabs>
          <w:tab w:val="right" w:pos="2155"/>
        </w:tabs>
        <w:spacing w:after="80"/>
        <w:ind w:left="680"/>
        <w:rPr>
          <w:u w:val="single"/>
        </w:rPr>
      </w:pPr>
      <w:r>
        <w:rPr>
          <w:u w:val="single"/>
        </w:rPr>
        <w:tab/>
      </w:r>
    </w:p>
  </w:footnote>
  <w:footnote w:type="continuationSeparator" w:id="0">
    <w:p w:rsidR="009532CB" w:rsidRPr="00FC68B7" w:rsidRDefault="009532CB" w:rsidP="00FC68B7">
      <w:pPr>
        <w:tabs>
          <w:tab w:val="left" w:pos="2155"/>
        </w:tabs>
        <w:spacing w:after="80"/>
        <w:ind w:left="680"/>
        <w:rPr>
          <w:u w:val="single"/>
        </w:rPr>
      </w:pPr>
      <w:r>
        <w:rPr>
          <w:u w:val="single"/>
        </w:rPr>
        <w:tab/>
      </w:r>
    </w:p>
  </w:footnote>
  <w:footnote w:type="continuationNotice" w:id="1">
    <w:p w:rsidR="009532CB" w:rsidRDefault="009532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AC" w:rsidRPr="00AF76D0" w:rsidRDefault="008D2DAC">
    <w:pPr>
      <w:pStyle w:val="Header"/>
    </w:pPr>
    <w:r>
      <w:t>CRC/C/OPAC/BFA/CO/1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AC" w:rsidRPr="00AF76D0" w:rsidRDefault="008D2DAC" w:rsidP="00AF76D0">
    <w:pPr>
      <w:pStyle w:val="Header"/>
      <w:jc w:val="right"/>
    </w:pPr>
    <w:r>
      <w:t>CRC/C/OPAC/BFA/CO/1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EC" w:rsidRDefault="00D04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4B0B5C"/>
    <w:multiLevelType w:val="hybridMultilevel"/>
    <w:tmpl w:val="03205A3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D68627D"/>
    <w:multiLevelType w:val="hybridMultilevel"/>
    <w:tmpl w:val="EFE01C0C"/>
    <w:lvl w:ilvl="0" w:tplc="E12C0E90">
      <w:start w:val="1"/>
      <w:numFmt w:val="lowerLetter"/>
      <w:lvlText w:val="(%1)"/>
      <w:lvlJc w:val="left"/>
      <w:pPr>
        <w:ind w:left="2271" w:hanging="57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3">
    <w:nsid w:val="21EE5A8E"/>
    <w:multiLevelType w:val="hybridMultilevel"/>
    <w:tmpl w:val="CB562EBC"/>
    <w:lvl w:ilvl="0" w:tplc="47C22FA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B8B39D4"/>
    <w:multiLevelType w:val="hybridMultilevel"/>
    <w:tmpl w:val="CFB84E84"/>
    <w:lvl w:ilvl="0" w:tplc="8E3E8A6A">
      <w:start w:val="1"/>
      <w:numFmt w:val="lowerLetter"/>
      <w:lvlText w:val="(%1)"/>
      <w:lvlJc w:val="left"/>
      <w:pPr>
        <w:ind w:left="1500" w:hanging="360"/>
      </w:pPr>
      <w:rPr>
        <w:b/>
        <w:sz w:val="24"/>
        <w:szCs w:val="24"/>
      </w:rPr>
    </w:lvl>
    <w:lvl w:ilvl="1" w:tplc="040C0019">
      <w:start w:val="1"/>
      <w:numFmt w:val="lowerLetter"/>
      <w:lvlText w:val="%2."/>
      <w:lvlJc w:val="left"/>
      <w:pPr>
        <w:ind w:left="2220" w:hanging="360"/>
      </w:pPr>
    </w:lvl>
    <w:lvl w:ilvl="2" w:tplc="040C001B">
      <w:start w:val="1"/>
      <w:numFmt w:val="lowerRoman"/>
      <w:lvlText w:val="%3."/>
      <w:lvlJc w:val="right"/>
      <w:pPr>
        <w:ind w:left="2940" w:hanging="180"/>
      </w:pPr>
    </w:lvl>
    <w:lvl w:ilvl="3" w:tplc="040C000F">
      <w:start w:val="1"/>
      <w:numFmt w:val="decimal"/>
      <w:lvlText w:val="%4."/>
      <w:lvlJc w:val="left"/>
      <w:pPr>
        <w:ind w:left="3660" w:hanging="360"/>
      </w:pPr>
    </w:lvl>
    <w:lvl w:ilvl="4" w:tplc="040C0019">
      <w:start w:val="1"/>
      <w:numFmt w:val="lowerLetter"/>
      <w:lvlText w:val="%5."/>
      <w:lvlJc w:val="left"/>
      <w:pPr>
        <w:ind w:left="4380" w:hanging="360"/>
      </w:pPr>
    </w:lvl>
    <w:lvl w:ilvl="5" w:tplc="040C001B">
      <w:start w:val="1"/>
      <w:numFmt w:val="lowerRoman"/>
      <w:lvlText w:val="%6."/>
      <w:lvlJc w:val="right"/>
      <w:pPr>
        <w:ind w:left="5100" w:hanging="180"/>
      </w:pPr>
    </w:lvl>
    <w:lvl w:ilvl="6" w:tplc="040C000F">
      <w:start w:val="1"/>
      <w:numFmt w:val="decimal"/>
      <w:lvlText w:val="%7."/>
      <w:lvlJc w:val="left"/>
      <w:pPr>
        <w:ind w:left="5820" w:hanging="360"/>
      </w:pPr>
    </w:lvl>
    <w:lvl w:ilvl="7" w:tplc="040C0019">
      <w:start w:val="1"/>
      <w:numFmt w:val="lowerLetter"/>
      <w:lvlText w:val="%8."/>
      <w:lvlJc w:val="left"/>
      <w:pPr>
        <w:ind w:left="6540" w:hanging="360"/>
      </w:pPr>
    </w:lvl>
    <w:lvl w:ilvl="8" w:tplc="040C001B">
      <w:start w:val="1"/>
      <w:numFmt w:val="lowerRoman"/>
      <w:lvlText w:val="%9."/>
      <w:lvlJc w:val="right"/>
      <w:pPr>
        <w:ind w:left="7260" w:hanging="180"/>
      </w:pPr>
    </w:lvl>
  </w:abstractNum>
  <w:abstractNum w:abstractNumId="5">
    <w:nsid w:val="321645E1"/>
    <w:multiLevelType w:val="hybridMultilevel"/>
    <w:tmpl w:val="EE10A418"/>
    <w:lvl w:ilvl="0" w:tplc="E12C0E90">
      <w:start w:val="1"/>
      <w:numFmt w:val="lowerLetter"/>
      <w:lvlText w:val="(%1)"/>
      <w:lvlJc w:val="left"/>
      <w:pPr>
        <w:ind w:left="1079" w:hanging="360"/>
      </w:pPr>
    </w:lvl>
    <w:lvl w:ilvl="1" w:tplc="08090019">
      <w:start w:val="1"/>
      <w:numFmt w:val="lowerLetter"/>
      <w:lvlText w:val="%2."/>
      <w:lvlJc w:val="left"/>
      <w:pPr>
        <w:ind w:left="1799" w:hanging="360"/>
      </w:pPr>
    </w:lvl>
    <w:lvl w:ilvl="2" w:tplc="0809001B">
      <w:start w:val="1"/>
      <w:numFmt w:val="lowerRoman"/>
      <w:lvlText w:val="%3."/>
      <w:lvlJc w:val="right"/>
      <w:pPr>
        <w:ind w:left="2519" w:hanging="180"/>
      </w:pPr>
    </w:lvl>
    <w:lvl w:ilvl="3" w:tplc="0809000F">
      <w:start w:val="1"/>
      <w:numFmt w:val="decimal"/>
      <w:lvlText w:val="%4."/>
      <w:lvlJc w:val="left"/>
      <w:pPr>
        <w:ind w:left="3239" w:hanging="360"/>
      </w:pPr>
    </w:lvl>
    <w:lvl w:ilvl="4" w:tplc="08090019">
      <w:start w:val="1"/>
      <w:numFmt w:val="lowerLetter"/>
      <w:lvlText w:val="%5."/>
      <w:lvlJc w:val="left"/>
      <w:pPr>
        <w:ind w:left="3959" w:hanging="360"/>
      </w:pPr>
    </w:lvl>
    <w:lvl w:ilvl="5" w:tplc="0809001B">
      <w:start w:val="1"/>
      <w:numFmt w:val="lowerRoman"/>
      <w:lvlText w:val="%6."/>
      <w:lvlJc w:val="right"/>
      <w:pPr>
        <w:ind w:left="4679" w:hanging="180"/>
      </w:pPr>
    </w:lvl>
    <w:lvl w:ilvl="6" w:tplc="0809000F">
      <w:start w:val="1"/>
      <w:numFmt w:val="decimal"/>
      <w:lvlText w:val="%7."/>
      <w:lvlJc w:val="left"/>
      <w:pPr>
        <w:ind w:left="5399" w:hanging="360"/>
      </w:pPr>
    </w:lvl>
    <w:lvl w:ilvl="7" w:tplc="08090019">
      <w:start w:val="1"/>
      <w:numFmt w:val="lowerLetter"/>
      <w:lvlText w:val="%8."/>
      <w:lvlJc w:val="left"/>
      <w:pPr>
        <w:ind w:left="6119" w:hanging="360"/>
      </w:pPr>
    </w:lvl>
    <w:lvl w:ilvl="8" w:tplc="0809001B">
      <w:start w:val="1"/>
      <w:numFmt w:val="lowerRoman"/>
      <w:lvlText w:val="%9."/>
      <w:lvlJc w:val="right"/>
      <w:pPr>
        <w:ind w:left="6839" w:hanging="180"/>
      </w:pPr>
    </w:lvl>
  </w:abstractNum>
  <w:abstractNum w:abstractNumId="6">
    <w:nsid w:val="36423449"/>
    <w:multiLevelType w:val="hybridMultilevel"/>
    <w:tmpl w:val="09FC5B6A"/>
    <w:lvl w:ilvl="0" w:tplc="22463118">
      <w:start w:val="1"/>
      <w:numFmt w:val="decimal"/>
      <w:lvlText w:val="%1."/>
      <w:lvlJc w:val="left"/>
      <w:pPr>
        <w:ind w:left="1637" w:hanging="360"/>
      </w:pPr>
      <w:rPr>
        <w:b w:val="0"/>
        <w:i w:val="0"/>
        <w:sz w:val="24"/>
        <w:szCs w:val="24"/>
      </w:r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7">
    <w:nsid w:val="36F76A9C"/>
    <w:multiLevelType w:val="hybridMultilevel"/>
    <w:tmpl w:val="DF86B0B8"/>
    <w:lvl w:ilvl="0" w:tplc="23BAE558">
      <w:start w:val="1"/>
      <w:numFmt w:val="lowerLetter"/>
      <w:lvlText w:val="(%1)"/>
      <w:lvlJc w:val="left"/>
      <w:pPr>
        <w:ind w:left="1494" w:hanging="360"/>
      </w:pPr>
      <w:rPr>
        <w:i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8">
    <w:nsid w:val="41CD0B9A"/>
    <w:multiLevelType w:val="hybridMultilevel"/>
    <w:tmpl w:val="AAC4AF80"/>
    <w:lvl w:ilvl="0" w:tplc="46B875FE">
      <w:start w:val="1"/>
      <w:numFmt w:val="decimal"/>
      <w:lvlText w:val="%1."/>
      <w:lvlJc w:val="left"/>
      <w:pPr>
        <w:ind w:left="170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C103868"/>
    <w:multiLevelType w:val="hybridMultilevel"/>
    <w:tmpl w:val="1DF45C78"/>
    <w:lvl w:ilvl="0" w:tplc="F0B4B1B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2F2566F"/>
    <w:multiLevelType w:val="hybridMultilevel"/>
    <w:tmpl w:val="2EF24CDE"/>
    <w:lvl w:ilvl="0" w:tplc="AD44830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56623231"/>
    <w:multiLevelType w:val="hybridMultilevel"/>
    <w:tmpl w:val="406005EC"/>
    <w:lvl w:ilvl="0" w:tplc="EE167B0E">
      <w:start w:val="1"/>
      <w:numFmt w:val="lowerLetter"/>
      <w:lvlText w:val="(%1)"/>
      <w:lvlJc w:val="left"/>
      <w:pPr>
        <w:ind w:left="2203" w:hanging="360"/>
      </w:pPr>
    </w:lvl>
    <w:lvl w:ilvl="1" w:tplc="08090019">
      <w:start w:val="1"/>
      <w:numFmt w:val="lowerLetter"/>
      <w:lvlText w:val="%2."/>
      <w:lvlJc w:val="left"/>
      <w:pPr>
        <w:ind w:left="2775" w:hanging="360"/>
      </w:pPr>
    </w:lvl>
    <w:lvl w:ilvl="2" w:tplc="0809001B">
      <w:start w:val="1"/>
      <w:numFmt w:val="lowerRoman"/>
      <w:lvlText w:val="%3."/>
      <w:lvlJc w:val="right"/>
      <w:pPr>
        <w:ind w:left="3495" w:hanging="180"/>
      </w:pPr>
    </w:lvl>
    <w:lvl w:ilvl="3" w:tplc="0809000F">
      <w:start w:val="1"/>
      <w:numFmt w:val="decimal"/>
      <w:lvlText w:val="%4."/>
      <w:lvlJc w:val="left"/>
      <w:pPr>
        <w:ind w:left="4215" w:hanging="360"/>
      </w:pPr>
    </w:lvl>
    <w:lvl w:ilvl="4" w:tplc="08090019">
      <w:start w:val="1"/>
      <w:numFmt w:val="lowerLetter"/>
      <w:lvlText w:val="%5."/>
      <w:lvlJc w:val="left"/>
      <w:pPr>
        <w:ind w:left="4935" w:hanging="360"/>
      </w:pPr>
    </w:lvl>
    <w:lvl w:ilvl="5" w:tplc="0809001B">
      <w:start w:val="1"/>
      <w:numFmt w:val="lowerRoman"/>
      <w:lvlText w:val="%6."/>
      <w:lvlJc w:val="right"/>
      <w:pPr>
        <w:ind w:left="5655" w:hanging="180"/>
      </w:pPr>
    </w:lvl>
    <w:lvl w:ilvl="6" w:tplc="0809000F">
      <w:start w:val="1"/>
      <w:numFmt w:val="decimal"/>
      <w:lvlText w:val="%7."/>
      <w:lvlJc w:val="left"/>
      <w:pPr>
        <w:ind w:left="6375" w:hanging="360"/>
      </w:pPr>
    </w:lvl>
    <w:lvl w:ilvl="7" w:tplc="08090019">
      <w:start w:val="1"/>
      <w:numFmt w:val="lowerLetter"/>
      <w:lvlText w:val="%8."/>
      <w:lvlJc w:val="left"/>
      <w:pPr>
        <w:ind w:left="7095" w:hanging="360"/>
      </w:pPr>
    </w:lvl>
    <w:lvl w:ilvl="8" w:tplc="0809001B">
      <w:start w:val="1"/>
      <w:numFmt w:val="lowerRoman"/>
      <w:lvlText w:val="%9."/>
      <w:lvlJc w:val="right"/>
      <w:pPr>
        <w:ind w:left="7815" w:hanging="180"/>
      </w:pPr>
    </w:lvl>
  </w:abstractNum>
  <w:abstractNum w:abstractNumId="12">
    <w:nsid w:val="62D722C3"/>
    <w:multiLevelType w:val="hybridMultilevel"/>
    <w:tmpl w:val="75B651FC"/>
    <w:lvl w:ilvl="0" w:tplc="B678AB18">
      <w:start w:val="1"/>
      <w:numFmt w:val="lowerLetter"/>
      <w:lvlText w:val="(%1)"/>
      <w:lvlJc w:val="left"/>
      <w:pPr>
        <w:ind w:left="2062" w:hanging="360"/>
      </w:p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start w:val="1"/>
      <w:numFmt w:val="decimal"/>
      <w:lvlText w:val="%4."/>
      <w:lvlJc w:val="left"/>
      <w:pPr>
        <w:ind w:left="4222" w:hanging="360"/>
      </w:pPr>
    </w:lvl>
    <w:lvl w:ilvl="4" w:tplc="08090019">
      <w:start w:val="1"/>
      <w:numFmt w:val="lowerLetter"/>
      <w:lvlText w:val="%5."/>
      <w:lvlJc w:val="left"/>
      <w:pPr>
        <w:ind w:left="4942" w:hanging="360"/>
      </w:pPr>
    </w:lvl>
    <w:lvl w:ilvl="5" w:tplc="0809001B">
      <w:start w:val="1"/>
      <w:numFmt w:val="lowerRoman"/>
      <w:lvlText w:val="%6."/>
      <w:lvlJc w:val="right"/>
      <w:pPr>
        <w:ind w:left="5662" w:hanging="180"/>
      </w:pPr>
    </w:lvl>
    <w:lvl w:ilvl="6" w:tplc="0809000F">
      <w:start w:val="1"/>
      <w:numFmt w:val="decimal"/>
      <w:lvlText w:val="%7."/>
      <w:lvlJc w:val="left"/>
      <w:pPr>
        <w:ind w:left="6382" w:hanging="360"/>
      </w:pPr>
    </w:lvl>
    <w:lvl w:ilvl="7" w:tplc="08090019">
      <w:start w:val="1"/>
      <w:numFmt w:val="lowerLetter"/>
      <w:lvlText w:val="%8."/>
      <w:lvlJc w:val="left"/>
      <w:pPr>
        <w:ind w:left="7102" w:hanging="360"/>
      </w:pPr>
    </w:lvl>
    <w:lvl w:ilvl="8" w:tplc="0809001B">
      <w:start w:val="1"/>
      <w:numFmt w:val="lowerRoman"/>
      <w:lvlText w:val="%9."/>
      <w:lvlJc w:val="right"/>
      <w:pPr>
        <w:ind w:left="7822"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91C14A1"/>
    <w:multiLevelType w:val="hybridMultilevel"/>
    <w:tmpl w:val="63181222"/>
    <w:lvl w:ilvl="0" w:tplc="ABE4D3A8">
      <w:start w:val="1"/>
      <w:numFmt w:val="lowerLetter"/>
      <w:lvlText w:val="(%1)"/>
      <w:lvlJc w:val="left"/>
      <w:pPr>
        <w:ind w:left="1749" w:hanging="61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5">
    <w:nsid w:val="696E7D3E"/>
    <w:multiLevelType w:val="hybridMultilevel"/>
    <w:tmpl w:val="8EF6E9B4"/>
    <w:lvl w:ilvl="0" w:tplc="0D20F25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nsid w:val="6DAF100E"/>
    <w:multiLevelType w:val="hybridMultilevel"/>
    <w:tmpl w:val="1C3CABF2"/>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37F2ED2"/>
    <w:multiLevelType w:val="hybridMultilevel"/>
    <w:tmpl w:val="857C8A34"/>
    <w:lvl w:ilvl="0" w:tplc="2F869E28">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8">
    <w:nsid w:val="755211A6"/>
    <w:multiLevelType w:val="hybridMultilevel"/>
    <w:tmpl w:val="9DFEB5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79CA1496"/>
    <w:multiLevelType w:val="hybridMultilevel"/>
    <w:tmpl w:val="6EC023CE"/>
    <w:lvl w:ilvl="0" w:tplc="203C1CF8">
      <w:start w:val="1"/>
      <w:numFmt w:val="decimal"/>
      <w:lvlText w:val="%1."/>
      <w:lvlJc w:val="left"/>
      <w:pPr>
        <w:ind w:left="1485" w:hanging="360"/>
      </w:pPr>
      <w:rPr>
        <w:b w:val="0"/>
      </w:r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20">
    <w:nsid w:val="7B8324DD"/>
    <w:multiLevelType w:val="hybridMultilevel"/>
    <w:tmpl w:val="2084ED10"/>
    <w:lvl w:ilvl="0" w:tplc="3EF82AC4">
      <w:start w:val="1"/>
      <w:numFmt w:val="low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21">
    <w:nsid w:val="7ED15B82"/>
    <w:multiLevelType w:val="hybridMultilevel"/>
    <w:tmpl w:val="36748EFA"/>
    <w:lvl w:ilvl="0" w:tplc="7AC43AEE">
      <w:start w:val="20"/>
      <w:numFmt w:val="decimal"/>
      <w:lvlText w:val="%1."/>
      <w:lvlJc w:val="left"/>
      <w:pPr>
        <w:ind w:left="2057" w:hanging="360"/>
      </w:pPr>
    </w:lvl>
    <w:lvl w:ilvl="1" w:tplc="04090019">
      <w:start w:val="1"/>
      <w:numFmt w:val="upperLetter"/>
      <w:lvlText w:val="%2."/>
      <w:lvlJc w:val="left"/>
      <w:pPr>
        <w:ind w:left="2497" w:hanging="400"/>
      </w:pPr>
    </w:lvl>
    <w:lvl w:ilvl="2" w:tplc="0409001B">
      <w:start w:val="1"/>
      <w:numFmt w:val="lowerRoman"/>
      <w:lvlText w:val="%3."/>
      <w:lvlJc w:val="right"/>
      <w:pPr>
        <w:ind w:left="2897" w:hanging="400"/>
      </w:pPr>
    </w:lvl>
    <w:lvl w:ilvl="3" w:tplc="0409000F">
      <w:start w:val="1"/>
      <w:numFmt w:val="decimal"/>
      <w:lvlText w:val="%4."/>
      <w:lvlJc w:val="left"/>
      <w:pPr>
        <w:ind w:left="3297" w:hanging="400"/>
      </w:pPr>
    </w:lvl>
    <w:lvl w:ilvl="4" w:tplc="04090019">
      <w:start w:val="1"/>
      <w:numFmt w:val="upperLetter"/>
      <w:lvlText w:val="%5."/>
      <w:lvlJc w:val="left"/>
      <w:pPr>
        <w:ind w:left="3697" w:hanging="400"/>
      </w:pPr>
    </w:lvl>
    <w:lvl w:ilvl="5" w:tplc="0409001B">
      <w:start w:val="1"/>
      <w:numFmt w:val="lowerRoman"/>
      <w:lvlText w:val="%6."/>
      <w:lvlJc w:val="right"/>
      <w:pPr>
        <w:ind w:left="4097" w:hanging="400"/>
      </w:pPr>
    </w:lvl>
    <w:lvl w:ilvl="6" w:tplc="0409000F">
      <w:start w:val="1"/>
      <w:numFmt w:val="decimal"/>
      <w:lvlText w:val="%7."/>
      <w:lvlJc w:val="left"/>
      <w:pPr>
        <w:ind w:left="4497" w:hanging="400"/>
      </w:pPr>
    </w:lvl>
    <w:lvl w:ilvl="7" w:tplc="04090019">
      <w:start w:val="1"/>
      <w:numFmt w:val="upperLetter"/>
      <w:lvlText w:val="%8."/>
      <w:lvlJc w:val="left"/>
      <w:pPr>
        <w:ind w:left="4897" w:hanging="400"/>
      </w:pPr>
    </w:lvl>
    <w:lvl w:ilvl="8" w:tplc="0409001B">
      <w:start w:val="1"/>
      <w:numFmt w:val="lowerRoman"/>
      <w:lvlText w:val="%9."/>
      <w:lvlJc w:val="right"/>
      <w:pPr>
        <w:ind w:left="5297" w:hanging="400"/>
      </w:pPr>
    </w:lvl>
  </w:abstractNum>
  <w:num w:numId="1">
    <w:abstractNumId w:val="0"/>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6"/>
  </w:num>
  <w:num w:numId="9">
    <w:abstractNumId w:val="18"/>
  </w:num>
  <w:num w:numId="10">
    <w:abstractNumId w:val="8"/>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DF8"/>
    <w:rsid w:val="00010840"/>
    <w:rsid w:val="00015E9C"/>
    <w:rsid w:val="00016A51"/>
    <w:rsid w:val="0002650F"/>
    <w:rsid w:val="00050F6B"/>
    <w:rsid w:val="00056085"/>
    <w:rsid w:val="000652B0"/>
    <w:rsid w:val="00072C8C"/>
    <w:rsid w:val="00074D8B"/>
    <w:rsid w:val="00077D32"/>
    <w:rsid w:val="00091419"/>
    <w:rsid w:val="000931C0"/>
    <w:rsid w:val="00093727"/>
    <w:rsid w:val="0009714F"/>
    <w:rsid w:val="000A3F32"/>
    <w:rsid w:val="000A43D7"/>
    <w:rsid w:val="000B172E"/>
    <w:rsid w:val="000B175B"/>
    <w:rsid w:val="000B3A0F"/>
    <w:rsid w:val="000B45CA"/>
    <w:rsid w:val="000B5FA3"/>
    <w:rsid w:val="000C11CF"/>
    <w:rsid w:val="000C7757"/>
    <w:rsid w:val="000D13DB"/>
    <w:rsid w:val="000E0415"/>
    <w:rsid w:val="000F4ED0"/>
    <w:rsid w:val="000F5496"/>
    <w:rsid w:val="00104E93"/>
    <w:rsid w:val="001102D6"/>
    <w:rsid w:val="00117F81"/>
    <w:rsid w:val="001505D6"/>
    <w:rsid w:val="001540C1"/>
    <w:rsid w:val="00172EF0"/>
    <w:rsid w:val="00175647"/>
    <w:rsid w:val="00177187"/>
    <w:rsid w:val="001778B4"/>
    <w:rsid w:val="00180980"/>
    <w:rsid w:val="001839D3"/>
    <w:rsid w:val="001922B4"/>
    <w:rsid w:val="001932A2"/>
    <w:rsid w:val="0019583F"/>
    <w:rsid w:val="001A406A"/>
    <w:rsid w:val="001B202D"/>
    <w:rsid w:val="001B4B04"/>
    <w:rsid w:val="001B7F72"/>
    <w:rsid w:val="001C6663"/>
    <w:rsid w:val="001C7895"/>
    <w:rsid w:val="001D26DF"/>
    <w:rsid w:val="001D2FDC"/>
    <w:rsid w:val="001D37E9"/>
    <w:rsid w:val="001E3807"/>
    <w:rsid w:val="001E404C"/>
    <w:rsid w:val="001E708A"/>
    <w:rsid w:val="00211E0B"/>
    <w:rsid w:val="00214DE2"/>
    <w:rsid w:val="00216CEA"/>
    <w:rsid w:val="00223F5E"/>
    <w:rsid w:val="00232463"/>
    <w:rsid w:val="00237785"/>
    <w:rsid w:val="00241466"/>
    <w:rsid w:val="00242464"/>
    <w:rsid w:val="00246D25"/>
    <w:rsid w:val="00256405"/>
    <w:rsid w:val="00284A81"/>
    <w:rsid w:val="00285844"/>
    <w:rsid w:val="002A02DA"/>
    <w:rsid w:val="002A79E0"/>
    <w:rsid w:val="002A7A26"/>
    <w:rsid w:val="002D0496"/>
    <w:rsid w:val="002E1CB8"/>
    <w:rsid w:val="002E280F"/>
    <w:rsid w:val="002F0498"/>
    <w:rsid w:val="003011B7"/>
    <w:rsid w:val="003039FC"/>
    <w:rsid w:val="00306BCA"/>
    <w:rsid w:val="003107FA"/>
    <w:rsid w:val="00310945"/>
    <w:rsid w:val="00313BFA"/>
    <w:rsid w:val="00320297"/>
    <w:rsid w:val="003229D8"/>
    <w:rsid w:val="00322DDF"/>
    <w:rsid w:val="0033416A"/>
    <w:rsid w:val="00334678"/>
    <w:rsid w:val="00336125"/>
    <w:rsid w:val="003402F5"/>
    <w:rsid w:val="003407DC"/>
    <w:rsid w:val="00343AF6"/>
    <w:rsid w:val="003448DD"/>
    <w:rsid w:val="00346C62"/>
    <w:rsid w:val="003476CD"/>
    <w:rsid w:val="00355C90"/>
    <w:rsid w:val="00363C3A"/>
    <w:rsid w:val="003677FC"/>
    <w:rsid w:val="003777E8"/>
    <w:rsid w:val="0039070D"/>
    <w:rsid w:val="0039277A"/>
    <w:rsid w:val="003972E0"/>
    <w:rsid w:val="003A1888"/>
    <w:rsid w:val="003C2CC4"/>
    <w:rsid w:val="003C308E"/>
    <w:rsid w:val="003C46B4"/>
    <w:rsid w:val="003D4B23"/>
    <w:rsid w:val="003E24B6"/>
    <w:rsid w:val="003E704A"/>
    <w:rsid w:val="0040337B"/>
    <w:rsid w:val="004046AE"/>
    <w:rsid w:val="00410691"/>
    <w:rsid w:val="0041734E"/>
    <w:rsid w:val="0041756F"/>
    <w:rsid w:val="00425499"/>
    <w:rsid w:val="00426C8C"/>
    <w:rsid w:val="00426F9E"/>
    <w:rsid w:val="004325CB"/>
    <w:rsid w:val="00442515"/>
    <w:rsid w:val="00446DE4"/>
    <w:rsid w:val="00451652"/>
    <w:rsid w:val="00473EFB"/>
    <w:rsid w:val="00473FF8"/>
    <w:rsid w:val="00475D8A"/>
    <w:rsid w:val="00477597"/>
    <w:rsid w:val="00484D7F"/>
    <w:rsid w:val="00490F27"/>
    <w:rsid w:val="004A5B79"/>
    <w:rsid w:val="004C246A"/>
    <w:rsid w:val="004D2ED3"/>
    <w:rsid w:val="004D5ADA"/>
    <w:rsid w:val="004F2546"/>
    <w:rsid w:val="00506F49"/>
    <w:rsid w:val="00525E92"/>
    <w:rsid w:val="005276E0"/>
    <w:rsid w:val="00533821"/>
    <w:rsid w:val="005404B9"/>
    <w:rsid w:val="00540C2F"/>
    <w:rsid w:val="005420F2"/>
    <w:rsid w:val="00542E90"/>
    <w:rsid w:val="00546CD7"/>
    <w:rsid w:val="00556E29"/>
    <w:rsid w:val="00565172"/>
    <w:rsid w:val="0057348E"/>
    <w:rsid w:val="00585664"/>
    <w:rsid w:val="005A274D"/>
    <w:rsid w:val="005A379C"/>
    <w:rsid w:val="005A75FF"/>
    <w:rsid w:val="005B2597"/>
    <w:rsid w:val="005B3DB3"/>
    <w:rsid w:val="005C0081"/>
    <w:rsid w:val="005C50EF"/>
    <w:rsid w:val="005D07F3"/>
    <w:rsid w:val="005D28E2"/>
    <w:rsid w:val="005E5A5E"/>
    <w:rsid w:val="005F1BC4"/>
    <w:rsid w:val="005F2E6B"/>
    <w:rsid w:val="005F49D8"/>
    <w:rsid w:val="00602794"/>
    <w:rsid w:val="00603C59"/>
    <w:rsid w:val="00611FC4"/>
    <w:rsid w:val="00615D0E"/>
    <w:rsid w:val="006176FB"/>
    <w:rsid w:val="00623337"/>
    <w:rsid w:val="00631FE7"/>
    <w:rsid w:val="00633B09"/>
    <w:rsid w:val="00640B26"/>
    <w:rsid w:val="00641402"/>
    <w:rsid w:val="0064390E"/>
    <w:rsid w:val="0064424A"/>
    <w:rsid w:val="0066032C"/>
    <w:rsid w:val="00666FF7"/>
    <w:rsid w:val="00676AC1"/>
    <w:rsid w:val="00682D97"/>
    <w:rsid w:val="006924F7"/>
    <w:rsid w:val="006935FB"/>
    <w:rsid w:val="006A7392"/>
    <w:rsid w:val="006A75B3"/>
    <w:rsid w:val="006C0D34"/>
    <w:rsid w:val="006C3E26"/>
    <w:rsid w:val="006C5E9F"/>
    <w:rsid w:val="006C680F"/>
    <w:rsid w:val="006D191E"/>
    <w:rsid w:val="006E0BC6"/>
    <w:rsid w:val="006E564B"/>
    <w:rsid w:val="00704DC5"/>
    <w:rsid w:val="007220D0"/>
    <w:rsid w:val="00723CA7"/>
    <w:rsid w:val="0072632A"/>
    <w:rsid w:val="0077074B"/>
    <w:rsid w:val="00781AC6"/>
    <w:rsid w:val="00790F06"/>
    <w:rsid w:val="00795593"/>
    <w:rsid w:val="00795647"/>
    <w:rsid w:val="007A4BA1"/>
    <w:rsid w:val="007A61EC"/>
    <w:rsid w:val="007A73CA"/>
    <w:rsid w:val="007B01D7"/>
    <w:rsid w:val="007B3E86"/>
    <w:rsid w:val="007B3E8A"/>
    <w:rsid w:val="007B6BA5"/>
    <w:rsid w:val="007C3390"/>
    <w:rsid w:val="007C4F4B"/>
    <w:rsid w:val="007C667E"/>
    <w:rsid w:val="007D11E1"/>
    <w:rsid w:val="007D23EE"/>
    <w:rsid w:val="007E65E7"/>
    <w:rsid w:val="007F3143"/>
    <w:rsid w:val="007F6611"/>
    <w:rsid w:val="00802C4F"/>
    <w:rsid w:val="008121DE"/>
    <w:rsid w:val="008142AE"/>
    <w:rsid w:val="00816F10"/>
    <w:rsid w:val="008175E9"/>
    <w:rsid w:val="008242D7"/>
    <w:rsid w:val="008258A1"/>
    <w:rsid w:val="00832B2A"/>
    <w:rsid w:val="00833114"/>
    <w:rsid w:val="00837EB9"/>
    <w:rsid w:val="00871FD5"/>
    <w:rsid w:val="00874443"/>
    <w:rsid w:val="0087626C"/>
    <w:rsid w:val="00882B59"/>
    <w:rsid w:val="0088699C"/>
    <w:rsid w:val="0088745E"/>
    <w:rsid w:val="00896417"/>
    <w:rsid w:val="008964A5"/>
    <w:rsid w:val="008979B1"/>
    <w:rsid w:val="008A0E4D"/>
    <w:rsid w:val="008A5829"/>
    <w:rsid w:val="008A6B25"/>
    <w:rsid w:val="008A6C4F"/>
    <w:rsid w:val="008B56B5"/>
    <w:rsid w:val="008C2DB1"/>
    <w:rsid w:val="008C5D32"/>
    <w:rsid w:val="008C7DC6"/>
    <w:rsid w:val="008D2DAC"/>
    <w:rsid w:val="008D6AA2"/>
    <w:rsid w:val="008E0E46"/>
    <w:rsid w:val="008E6A8F"/>
    <w:rsid w:val="008E7886"/>
    <w:rsid w:val="008E79B3"/>
    <w:rsid w:val="008F084C"/>
    <w:rsid w:val="008F6187"/>
    <w:rsid w:val="008F6FE7"/>
    <w:rsid w:val="008F71E1"/>
    <w:rsid w:val="009009FA"/>
    <w:rsid w:val="00907CC9"/>
    <w:rsid w:val="0093437E"/>
    <w:rsid w:val="0093717F"/>
    <w:rsid w:val="00941604"/>
    <w:rsid w:val="00942BE3"/>
    <w:rsid w:val="00950C20"/>
    <w:rsid w:val="00950E15"/>
    <w:rsid w:val="009532CB"/>
    <w:rsid w:val="0096028A"/>
    <w:rsid w:val="00960A18"/>
    <w:rsid w:val="00963CBA"/>
    <w:rsid w:val="00966805"/>
    <w:rsid w:val="009778FB"/>
    <w:rsid w:val="00991261"/>
    <w:rsid w:val="00991971"/>
    <w:rsid w:val="00997C59"/>
    <w:rsid w:val="009C4302"/>
    <w:rsid w:val="009C498C"/>
    <w:rsid w:val="009C6CAC"/>
    <w:rsid w:val="009D0816"/>
    <w:rsid w:val="009D2FB6"/>
    <w:rsid w:val="009E309F"/>
    <w:rsid w:val="009E3103"/>
    <w:rsid w:val="009E74EB"/>
    <w:rsid w:val="009F1F9A"/>
    <w:rsid w:val="009F3E16"/>
    <w:rsid w:val="009F4861"/>
    <w:rsid w:val="009F7419"/>
    <w:rsid w:val="00A02563"/>
    <w:rsid w:val="00A03142"/>
    <w:rsid w:val="00A07034"/>
    <w:rsid w:val="00A1427D"/>
    <w:rsid w:val="00A203AB"/>
    <w:rsid w:val="00A316E2"/>
    <w:rsid w:val="00A42B20"/>
    <w:rsid w:val="00A56740"/>
    <w:rsid w:val="00A65891"/>
    <w:rsid w:val="00A663F9"/>
    <w:rsid w:val="00A72C67"/>
    <w:rsid w:val="00A72F22"/>
    <w:rsid w:val="00A73E03"/>
    <w:rsid w:val="00A748A6"/>
    <w:rsid w:val="00A760CB"/>
    <w:rsid w:val="00A879A4"/>
    <w:rsid w:val="00A964F7"/>
    <w:rsid w:val="00AA1873"/>
    <w:rsid w:val="00AA2D9B"/>
    <w:rsid w:val="00AA6C1A"/>
    <w:rsid w:val="00AA7FF6"/>
    <w:rsid w:val="00AB196B"/>
    <w:rsid w:val="00AD25BC"/>
    <w:rsid w:val="00AE3464"/>
    <w:rsid w:val="00AF12B7"/>
    <w:rsid w:val="00AF76D0"/>
    <w:rsid w:val="00B025EC"/>
    <w:rsid w:val="00B14BE0"/>
    <w:rsid w:val="00B21124"/>
    <w:rsid w:val="00B24DEF"/>
    <w:rsid w:val="00B2553B"/>
    <w:rsid w:val="00B30179"/>
    <w:rsid w:val="00B3317B"/>
    <w:rsid w:val="00B33A46"/>
    <w:rsid w:val="00B349D1"/>
    <w:rsid w:val="00B34D9D"/>
    <w:rsid w:val="00B405EA"/>
    <w:rsid w:val="00B41002"/>
    <w:rsid w:val="00B5347B"/>
    <w:rsid w:val="00B602D0"/>
    <w:rsid w:val="00B602D5"/>
    <w:rsid w:val="00B62B1A"/>
    <w:rsid w:val="00B66858"/>
    <w:rsid w:val="00B7521C"/>
    <w:rsid w:val="00B75D73"/>
    <w:rsid w:val="00B81E12"/>
    <w:rsid w:val="00B86B2B"/>
    <w:rsid w:val="00B905CE"/>
    <w:rsid w:val="00B93068"/>
    <w:rsid w:val="00BA0073"/>
    <w:rsid w:val="00BA0784"/>
    <w:rsid w:val="00BA380E"/>
    <w:rsid w:val="00BB4B7C"/>
    <w:rsid w:val="00BB5357"/>
    <w:rsid w:val="00BC0371"/>
    <w:rsid w:val="00BC43D4"/>
    <w:rsid w:val="00BC6988"/>
    <w:rsid w:val="00BC723E"/>
    <w:rsid w:val="00BC74E9"/>
    <w:rsid w:val="00BD3DB2"/>
    <w:rsid w:val="00BE03EF"/>
    <w:rsid w:val="00BE618E"/>
    <w:rsid w:val="00BF6F4D"/>
    <w:rsid w:val="00C01E72"/>
    <w:rsid w:val="00C05794"/>
    <w:rsid w:val="00C0689E"/>
    <w:rsid w:val="00C071D0"/>
    <w:rsid w:val="00C13353"/>
    <w:rsid w:val="00C1714E"/>
    <w:rsid w:val="00C20249"/>
    <w:rsid w:val="00C44A3A"/>
    <w:rsid w:val="00C463DD"/>
    <w:rsid w:val="00C476E3"/>
    <w:rsid w:val="00C56306"/>
    <w:rsid w:val="00C73ABF"/>
    <w:rsid w:val="00C745C3"/>
    <w:rsid w:val="00C74FDD"/>
    <w:rsid w:val="00C80885"/>
    <w:rsid w:val="00C8219C"/>
    <w:rsid w:val="00C82DD1"/>
    <w:rsid w:val="00C837F7"/>
    <w:rsid w:val="00C85AEF"/>
    <w:rsid w:val="00C910D8"/>
    <w:rsid w:val="00CA59BE"/>
    <w:rsid w:val="00CB0FBC"/>
    <w:rsid w:val="00CB3F88"/>
    <w:rsid w:val="00CB4BEB"/>
    <w:rsid w:val="00CC0BEB"/>
    <w:rsid w:val="00CC17CA"/>
    <w:rsid w:val="00CC2EBE"/>
    <w:rsid w:val="00CC52B1"/>
    <w:rsid w:val="00CD739A"/>
    <w:rsid w:val="00CE4A8F"/>
    <w:rsid w:val="00CE726A"/>
    <w:rsid w:val="00CF264B"/>
    <w:rsid w:val="00CF495F"/>
    <w:rsid w:val="00CF65B5"/>
    <w:rsid w:val="00CF7F4B"/>
    <w:rsid w:val="00D044EC"/>
    <w:rsid w:val="00D07BCE"/>
    <w:rsid w:val="00D10B12"/>
    <w:rsid w:val="00D16F3F"/>
    <w:rsid w:val="00D2031B"/>
    <w:rsid w:val="00D25FE2"/>
    <w:rsid w:val="00D4019F"/>
    <w:rsid w:val="00D43184"/>
    <w:rsid w:val="00D43252"/>
    <w:rsid w:val="00D5005A"/>
    <w:rsid w:val="00D552FE"/>
    <w:rsid w:val="00D75361"/>
    <w:rsid w:val="00D8092E"/>
    <w:rsid w:val="00D978C6"/>
    <w:rsid w:val="00DA0E78"/>
    <w:rsid w:val="00DA2BE1"/>
    <w:rsid w:val="00DA67AD"/>
    <w:rsid w:val="00DB4442"/>
    <w:rsid w:val="00DD60E3"/>
    <w:rsid w:val="00E03AA7"/>
    <w:rsid w:val="00E03CFF"/>
    <w:rsid w:val="00E11C05"/>
    <w:rsid w:val="00E130AB"/>
    <w:rsid w:val="00E138ED"/>
    <w:rsid w:val="00E16093"/>
    <w:rsid w:val="00E21DF8"/>
    <w:rsid w:val="00E4251B"/>
    <w:rsid w:val="00E448D2"/>
    <w:rsid w:val="00E457C1"/>
    <w:rsid w:val="00E52167"/>
    <w:rsid w:val="00E55866"/>
    <w:rsid w:val="00E559CB"/>
    <w:rsid w:val="00E5644E"/>
    <w:rsid w:val="00E7260F"/>
    <w:rsid w:val="00E762C3"/>
    <w:rsid w:val="00E96630"/>
    <w:rsid w:val="00EA0184"/>
    <w:rsid w:val="00EA7ADE"/>
    <w:rsid w:val="00EC0CE2"/>
    <w:rsid w:val="00EC27F7"/>
    <w:rsid w:val="00EC2F20"/>
    <w:rsid w:val="00EC519D"/>
    <w:rsid w:val="00ED57F6"/>
    <w:rsid w:val="00ED7A2A"/>
    <w:rsid w:val="00EF1D7F"/>
    <w:rsid w:val="00F00ED3"/>
    <w:rsid w:val="00F16C48"/>
    <w:rsid w:val="00F25FFD"/>
    <w:rsid w:val="00F40E75"/>
    <w:rsid w:val="00F50D83"/>
    <w:rsid w:val="00F54B9E"/>
    <w:rsid w:val="00F578D0"/>
    <w:rsid w:val="00F61FCA"/>
    <w:rsid w:val="00F63E8F"/>
    <w:rsid w:val="00F71042"/>
    <w:rsid w:val="00F764C8"/>
    <w:rsid w:val="00F77B7B"/>
    <w:rsid w:val="00FA415A"/>
    <w:rsid w:val="00FA7F28"/>
    <w:rsid w:val="00FB106F"/>
    <w:rsid w:val="00FC68B7"/>
    <w:rsid w:val="00FD5B18"/>
    <w:rsid w:val="00FD7421"/>
    <w:rsid w:val="00FF61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AF76D0"/>
    <w:rPr>
      <w:b/>
      <w:sz w:val="28"/>
      <w:lang w:val="en-GB" w:eastAsia="en-US" w:bidi="ar-SA"/>
    </w:rPr>
  </w:style>
  <w:style w:type="character" w:customStyle="1" w:styleId="FootnoteTextChar">
    <w:name w:val="Footnote Text Char"/>
    <w:aliases w:val="5_G Char"/>
    <w:link w:val="FootnoteText"/>
    <w:locked/>
    <w:rsid w:val="00AF76D0"/>
    <w:rPr>
      <w:sz w:val="18"/>
      <w:lang w:val="en-GB" w:eastAsia="en-US" w:bidi="ar-SA"/>
    </w:rPr>
  </w:style>
  <w:style w:type="character" w:styleId="Emphasis">
    <w:name w:val="Emphasis"/>
    <w:qFormat/>
    <w:rsid w:val="00FB106F"/>
    <w:rPr>
      <w:i/>
      <w:iCs/>
    </w:rPr>
  </w:style>
  <w:style w:type="paragraph" w:styleId="BalloonText">
    <w:name w:val="Balloon Text"/>
    <w:basedOn w:val="Normal"/>
    <w:link w:val="BalloonTextChar"/>
    <w:rsid w:val="00DA2BE1"/>
    <w:pPr>
      <w:spacing w:line="240" w:lineRule="auto"/>
    </w:pPr>
    <w:rPr>
      <w:rFonts w:ascii="Tahoma" w:hAnsi="Tahoma"/>
      <w:sz w:val="16"/>
      <w:szCs w:val="16"/>
      <w:lang/>
    </w:rPr>
  </w:style>
  <w:style w:type="character" w:customStyle="1" w:styleId="BalloonTextChar">
    <w:name w:val="Balloon Text Char"/>
    <w:link w:val="BalloonText"/>
    <w:rsid w:val="00DA2BE1"/>
    <w:rPr>
      <w:rFonts w:ascii="Tahoma" w:hAnsi="Tahoma" w:cs="Tahoma"/>
      <w:sz w:val="16"/>
      <w:szCs w:val="16"/>
      <w:lang w:eastAsia="en-US"/>
    </w:rPr>
  </w:style>
  <w:style w:type="character" w:styleId="CommentReference">
    <w:name w:val="annotation reference"/>
    <w:semiHidden/>
    <w:rsid w:val="001540C1"/>
    <w:rPr>
      <w:sz w:val="16"/>
      <w:szCs w:val="16"/>
    </w:rPr>
  </w:style>
  <w:style w:type="paragraph" w:styleId="CommentText">
    <w:name w:val="annotation text"/>
    <w:basedOn w:val="Normal"/>
    <w:semiHidden/>
    <w:rsid w:val="001540C1"/>
  </w:style>
  <w:style w:type="paragraph" w:styleId="CommentSubject">
    <w:name w:val="annotation subject"/>
    <w:basedOn w:val="CommentText"/>
    <w:next w:val="CommentText"/>
    <w:semiHidden/>
    <w:rsid w:val="001540C1"/>
    <w:rPr>
      <w:b/>
      <w:bCs/>
    </w:rPr>
  </w:style>
  <w:style w:type="paragraph" w:customStyle="1" w:styleId="Default">
    <w:name w:val="Default"/>
    <w:rsid w:val="00B602D5"/>
    <w:pPr>
      <w:autoSpaceDE w:val="0"/>
      <w:autoSpaceDN w:val="0"/>
      <w:adjustRightInd w:val="0"/>
    </w:pPr>
    <w:rPr>
      <w:rFonts w:eastAsia="Calibri"/>
      <w:color w:val="000000"/>
      <w:sz w:val="24"/>
      <w:szCs w:val="24"/>
      <w:lang w:val="en-GB" w:eastAsia="en-GB"/>
    </w:rPr>
  </w:style>
  <w:style w:type="character" w:customStyle="1" w:styleId="H1GChar">
    <w:name w:val="_ H_1_G Char"/>
    <w:link w:val="H1G"/>
    <w:locked/>
    <w:rsid w:val="00802C4F"/>
    <w:rPr>
      <w:b/>
      <w:sz w:val="24"/>
      <w:lang w:eastAsia="en-US"/>
    </w:rPr>
  </w:style>
</w:styles>
</file>

<file path=word/webSettings.xml><?xml version="1.0" encoding="utf-8"?>
<w:webSettings xmlns:r="http://schemas.openxmlformats.org/officeDocument/2006/relationships" xmlns:w="http://schemas.openxmlformats.org/wordprocessingml/2006/main">
  <w:divs>
    <w:div w:id="79330594">
      <w:bodyDiv w:val="1"/>
      <w:marLeft w:val="0"/>
      <w:marRight w:val="0"/>
      <w:marTop w:val="0"/>
      <w:marBottom w:val="0"/>
      <w:divBdr>
        <w:top w:val="none" w:sz="0" w:space="0" w:color="auto"/>
        <w:left w:val="none" w:sz="0" w:space="0" w:color="auto"/>
        <w:bottom w:val="none" w:sz="0" w:space="0" w:color="auto"/>
        <w:right w:val="none" w:sz="0" w:space="0" w:color="auto"/>
      </w:divBdr>
    </w:div>
    <w:div w:id="89130781">
      <w:bodyDiv w:val="1"/>
      <w:marLeft w:val="0"/>
      <w:marRight w:val="0"/>
      <w:marTop w:val="0"/>
      <w:marBottom w:val="0"/>
      <w:divBdr>
        <w:top w:val="none" w:sz="0" w:space="0" w:color="auto"/>
        <w:left w:val="none" w:sz="0" w:space="0" w:color="auto"/>
        <w:bottom w:val="none" w:sz="0" w:space="0" w:color="auto"/>
        <w:right w:val="none" w:sz="0" w:space="0" w:color="auto"/>
      </w:divBdr>
    </w:div>
    <w:div w:id="643312909">
      <w:bodyDiv w:val="1"/>
      <w:marLeft w:val="0"/>
      <w:marRight w:val="0"/>
      <w:marTop w:val="0"/>
      <w:marBottom w:val="0"/>
      <w:divBdr>
        <w:top w:val="none" w:sz="0" w:space="0" w:color="auto"/>
        <w:left w:val="none" w:sz="0" w:space="0" w:color="auto"/>
        <w:bottom w:val="none" w:sz="0" w:space="0" w:color="auto"/>
        <w:right w:val="none" w:sz="0" w:space="0" w:color="auto"/>
      </w:divBdr>
    </w:div>
    <w:div w:id="1037042952">
      <w:bodyDiv w:val="1"/>
      <w:marLeft w:val="0"/>
      <w:marRight w:val="0"/>
      <w:marTop w:val="0"/>
      <w:marBottom w:val="0"/>
      <w:divBdr>
        <w:top w:val="none" w:sz="0" w:space="0" w:color="auto"/>
        <w:left w:val="none" w:sz="0" w:space="0" w:color="auto"/>
        <w:bottom w:val="none" w:sz="0" w:space="0" w:color="auto"/>
        <w:right w:val="none" w:sz="0" w:space="0" w:color="auto"/>
      </w:divBdr>
    </w:div>
    <w:div w:id="16627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2340</Words>
  <Characters>13081</Characters>
  <Application>Microsoft Office Outlook</Application>
  <DocSecurity>4</DocSecurity>
  <Lines>229</Lines>
  <Paragraphs>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2012-12-06T09:11:00Z</cp:lastPrinted>
  <dcterms:created xsi:type="dcterms:W3CDTF">2013-06-28T08:33:00Z</dcterms:created>
  <dcterms:modified xsi:type="dcterms:W3CDTF">2013-06-28T08:33:00Z</dcterms:modified>
</cp:coreProperties>
</file>