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9D1FB6" w14:paraId="43E4E0C6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B646A5" w14:textId="77777777" w:rsidR="002D5AAC" w:rsidRDefault="002D5AAC" w:rsidP="009D1F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C0F2CC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42F4132" w14:textId="77777777" w:rsidR="002D5AAC" w:rsidRPr="009D1FB6" w:rsidRDefault="009D1FB6" w:rsidP="009D1FB6">
            <w:pPr>
              <w:jc w:val="right"/>
              <w:rPr>
                <w:lang w:val="en-US"/>
              </w:rPr>
            </w:pPr>
            <w:r w:rsidRPr="009D1FB6">
              <w:rPr>
                <w:sz w:val="40"/>
                <w:lang w:val="en-US"/>
              </w:rPr>
              <w:t>CRC</w:t>
            </w:r>
            <w:r w:rsidRPr="009D1FB6">
              <w:rPr>
                <w:lang w:val="en-US"/>
              </w:rPr>
              <w:t>/C/OPAC/PAN/CO/1</w:t>
            </w:r>
          </w:p>
        </w:tc>
      </w:tr>
      <w:tr w:rsidR="002D5AAC" w:rsidRPr="009D1FB6" w14:paraId="124B3441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8FDBF4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AA12FF4" wp14:editId="74B977D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F5F92E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A6535E0" w14:textId="77777777" w:rsidR="002D5AAC" w:rsidRDefault="009D1FB6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7D095E2" w14:textId="77777777" w:rsidR="009D1FB6" w:rsidRDefault="009D1FB6" w:rsidP="009D1F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October 2019</w:t>
            </w:r>
          </w:p>
          <w:p w14:paraId="4812F231" w14:textId="77777777" w:rsidR="009D1FB6" w:rsidRDefault="009D1FB6" w:rsidP="009D1F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9E21BA4" w14:textId="77777777" w:rsidR="009D1FB6" w:rsidRPr="00B937DF" w:rsidRDefault="009D1FB6" w:rsidP="009D1F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A2054A3" w14:textId="77777777" w:rsidR="009D1FB6" w:rsidRPr="009D1FB6" w:rsidRDefault="009D1FB6" w:rsidP="009D1FB6">
      <w:pPr>
        <w:spacing w:before="120"/>
        <w:rPr>
          <w:b/>
          <w:sz w:val="24"/>
          <w:szCs w:val="24"/>
        </w:rPr>
      </w:pPr>
      <w:r w:rsidRPr="009D1FB6">
        <w:rPr>
          <w:b/>
          <w:bCs/>
          <w:sz w:val="24"/>
          <w:szCs w:val="24"/>
        </w:rPr>
        <w:t>Комитет по пра</w:t>
      </w:r>
      <w:bookmarkStart w:id="0" w:name="_GoBack"/>
      <w:bookmarkEnd w:id="0"/>
      <w:r w:rsidRPr="009D1FB6">
        <w:rPr>
          <w:b/>
          <w:bCs/>
          <w:sz w:val="24"/>
          <w:szCs w:val="24"/>
        </w:rPr>
        <w:t>вам ребенка</w:t>
      </w:r>
    </w:p>
    <w:p w14:paraId="755BE5CD" w14:textId="77777777" w:rsidR="009D1FB6" w:rsidRPr="003C4A39" w:rsidRDefault="009D1FB6" w:rsidP="009D1FB6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докладу, представленному Панамой в соответствии с пунктом 1 статьи 8 Факультативного протокола к Конвенции о</w:t>
      </w:r>
      <w:r w:rsidR="004D7923">
        <w:rPr>
          <w:bCs/>
          <w:lang w:val="en-US"/>
        </w:rPr>
        <w:t> </w:t>
      </w:r>
      <w:r>
        <w:rPr>
          <w:bCs/>
        </w:rPr>
        <w:t>правах ребенка, касающегося участия детей в</w:t>
      </w:r>
      <w:r w:rsidR="004D7923">
        <w:rPr>
          <w:bCs/>
        </w:rPr>
        <w:t> </w:t>
      </w:r>
      <w:r>
        <w:rPr>
          <w:bCs/>
        </w:rPr>
        <w:t>вооруженных конфликтах</w:t>
      </w:r>
      <w:r w:rsidRPr="006E2322">
        <w:rPr>
          <w:b w:val="0"/>
          <w:bCs/>
          <w:sz w:val="20"/>
        </w:rPr>
        <w:footnoteReference w:customMarkFollows="1" w:id="1"/>
        <w:t>*</w:t>
      </w:r>
    </w:p>
    <w:p w14:paraId="618BDB96" w14:textId="77777777" w:rsidR="009D1FB6" w:rsidRPr="003C4A39" w:rsidRDefault="004D7923" w:rsidP="009D1FB6">
      <w:pPr>
        <w:pStyle w:val="HChG"/>
      </w:pPr>
      <w:r>
        <w:rPr>
          <w:bCs/>
        </w:rPr>
        <w:tab/>
      </w:r>
      <w:r w:rsidR="009D1FB6">
        <w:rPr>
          <w:bCs/>
        </w:rPr>
        <w:t>I.</w:t>
      </w:r>
      <w:r w:rsidR="009D1FB6">
        <w:tab/>
      </w:r>
      <w:r w:rsidR="009D1FB6">
        <w:rPr>
          <w:bCs/>
        </w:rPr>
        <w:t>Введение</w:t>
      </w:r>
    </w:p>
    <w:p w14:paraId="4D73FBE8" w14:textId="77777777" w:rsidR="009D1FB6" w:rsidRPr="003C4A39" w:rsidRDefault="009D1FB6" w:rsidP="009D1FB6">
      <w:pPr>
        <w:pStyle w:val="SingleTxtG"/>
      </w:pPr>
      <w:r>
        <w:t>1.</w:t>
      </w:r>
      <w:r>
        <w:tab/>
        <w:t>Комитет рассмотрел доклад Панамы (CRC/C/OPAC/PAN/1) на своем</w:t>
      </w:r>
      <w:r w:rsidR="004D7923">
        <w:br/>
      </w:r>
      <w:r>
        <w:t xml:space="preserve">2408-м заседании (см. CRC/C/SR.2408), состоявшемся 12 сентября 2019 года, и на своем 2430-м заседании 27 сентября 2019 года принял настоящие заключительные замечания. </w:t>
      </w:r>
    </w:p>
    <w:p w14:paraId="7593DB21" w14:textId="77777777" w:rsidR="009D1FB6" w:rsidRPr="003C4A39" w:rsidRDefault="009D1FB6" w:rsidP="009D1FB6">
      <w:pPr>
        <w:pStyle w:val="SingleTxtG"/>
      </w:pPr>
      <w:r>
        <w:t>2.</w:t>
      </w:r>
      <w:r>
        <w:tab/>
        <w:t xml:space="preserve">Комитет приветствует представление доклада государства-участника и письменные ответы на перечень вопросов (CRC/C/OPAC/PAN/Q/1/Add.1). Комитет выражает признательность за конструктивный диалог, проведенный с межведомственной делегацией государства-участника. </w:t>
      </w:r>
    </w:p>
    <w:p w14:paraId="444A77C0" w14:textId="77777777" w:rsidR="009D1FB6" w:rsidRPr="003C4A39" w:rsidRDefault="009D1FB6" w:rsidP="009D1FB6">
      <w:pPr>
        <w:pStyle w:val="SingleTxtG"/>
      </w:pPr>
      <w:r>
        <w:t>3.</w:t>
      </w:r>
      <w:r>
        <w:tab/>
        <w:t>Комитет напоминает государству-участнику, что настоящие заключительные замечания следует рассматривать совместно с принятыми 2 февраля 2018</w:t>
      </w:r>
      <w:r>
        <w:rPr>
          <w:lang w:val="en-US"/>
        </w:rPr>
        <w:t> </w:t>
      </w:r>
      <w:r>
        <w:t>года заключительными замечаниями по объединенным пятому и шестому периодическим докладам, представленным государством</w:t>
      </w:r>
      <w:r w:rsidR="000E3174">
        <w:t>-</w:t>
      </w:r>
      <w:r>
        <w:t>участником в соответствии с Конвенцией</w:t>
      </w:r>
      <w:r w:rsidR="004D7923">
        <w:t> </w:t>
      </w:r>
      <w:r>
        <w:t>(CRC/C/PAN/CO/5-6).</w:t>
      </w:r>
    </w:p>
    <w:p w14:paraId="77E0D6D7" w14:textId="77777777" w:rsidR="009D1FB6" w:rsidRPr="003C4A39" w:rsidRDefault="004D7923" w:rsidP="009D1FB6">
      <w:pPr>
        <w:pStyle w:val="HChG"/>
      </w:pPr>
      <w:r>
        <w:rPr>
          <w:bCs/>
        </w:rPr>
        <w:tab/>
      </w:r>
      <w:r w:rsidR="009D1FB6">
        <w:rPr>
          <w:bCs/>
        </w:rPr>
        <w:t>II.</w:t>
      </w:r>
      <w:r w:rsidR="009D1FB6">
        <w:tab/>
      </w:r>
      <w:r w:rsidR="009D1FB6">
        <w:rPr>
          <w:bCs/>
        </w:rPr>
        <w:t>Общие замечания</w:t>
      </w:r>
    </w:p>
    <w:p w14:paraId="079EEAFF" w14:textId="77777777" w:rsidR="009D1FB6" w:rsidRPr="003C4A39" w:rsidRDefault="009D1FB6" w:rsidP="009D1FB6">
      <w:pPr>
        <w:pStyle w:val="H23G"/>
      </w:pPr>
      <w:r>
        <w:tab/>
      </w:r>
      <w:r>
        <w:tab/>
      </w:r>
      <w:r>
        <w:rPr>
          <w:bCs/>
        </w:rPr>
        <w:t>Позитивные аспекты</w:t>
      </w:r>
    </w:p>
    <w:p w14:paraId="76A9F9E5" w14:textId="77777777" w:rsidR="009D1FB6" w:rsidRPr="003C4A39" w:rsidRDefault="009D1FB6" w:rsidP="009D1FB6">
      <w:pPr>
        <w:pStyle w:val="SingleTxtG"/>
      </w:pPr>
      <w:r>
        <w:t>4.</w:t>
      </w:r>
      <w:r>
        <w:tab/>
        <w:t xml:space="preserve">Комитет приветствует присоединение государства-участника к следующим документам или их ратификацию: </w:t>
      </w:r>
    </w:p>
    <w:p w14:paraId="71E4CE69" w14:textId="77777777" w:rsidR="009D1FB6" w:rsidRPr="003C4A39" w:rsidRDefault="004D7923" w:rsidP="009D1FB6">
      <w:pPr>
        <w:pStyle w:val="SingleTxtG"/>
      </w:pPr>
      <w:r>
        <w:tab/>
      </w:r>
      <w:r w:rsidR="009D1FB6">
        <w:tab/>
        <w:t>a)</w:t>
      </w:r>
      <w:r w:rsidR="009D1FB6">
        <w:tab/>
        <w:t xml:space="preserve">Договор о торговле оружием, февраль 2014 года; </w:t>
      </w:r>
    </w:p>
    <w:p w14:paraId="71CF74AC" w14:textId="77777777" w:rsidR="009D1FB6" w:rsidRPr="003C4A39" w:rsidRDefault="009D1FB6" w:rsidP="009D1FB6">
      <w:pPr>
        <w:pStyle w:val="SingleTxtG"/>
      </w:pPr>
      <w:r>
        <w:tab/>
      </w:r>
      <w:r w:rsidR="004D7923">
        <w:tab/>
      </w:r>
      <w:r>
        <w:t>b)</w:t>
      </w:r>
      <w:r>
        <w:tab/>
        <w:t>Конвенция по кассетным боеприпасам, ноябрь 2010 года;</w:t>
      </w:r>
    </w:p>
    <w:p w14:paraId="3EBBE54B" w14:textId="77777777" w:rsidR="009D1FB6" w:rsidRPr="003C4A39" w:rsidRDefault="004D7923" w:rsidP="009D1FB6">
      <w:pPr>
        <w:pStyle w:val="SingleTxtG"/>
      </w:pPr>
      <w:r>
        <w:tab/>
      </w:r>
      <w:r w:rsidR="009D1FB6">
        <w:tab/>
        <w:t>с)</w:t>
      </w:r>
      <w:r w:rsidR="009D1FB6">
        <w:tab/>
        <w:t>Протокол против незаконного изготовления и оборота огнестрельного оружия, его составных частей и компонентов, а также боеприпасов к нему, дополняющий Конвенцию Организации Объединенных Наций против транснациональной организованной преступности, август 2004 года;</w:t>
      </w:r>
    </w:p>
    <w:p w14:paraId="49583CFF" w14:textId="77777777" w:rsidR="009D1FB6" w:rsidRPr="003C4A39" w:rsidRDefault="004D7923" w:rsidP="009D1FB6">
      <w:pPr>
        <w:pStyle w:val="SingleTxtG"/>
      </w:pPr>
      <w:r>
        <w:tab/>
      </w:r>
      <w:r w:rsidR="009D1FB6">
        <w:tab/>
        <w:t>d)</w:t>
      </w:r>
      <w:r w:rsidR="009D1FB6">
        <w:tab/>
        <w:t>Римский статут Международного уголовного суда, март 2002 года</w:t>
      </w:r>
      <w:r w:rsidR="004F57FC">
        <w:t>.</w:t>
      </w:r>
    </w:p>
    <w:p w14:paraId="5928D8CE" w14:textId="77777777" w:rsidR="009D1FB6" w:rsidRPr="003C4A39" w:rsidRDefault="009D1FB6" w:rsidP="009D1FB6">
      <w:pPr>
        <w:pStyle w:val="SingleTxtG"/>
      </w:pPr>
      <w:r>
        <w:t>5.</w:t>
      </w:r>
      <w:r>
        <w:tab/>
        <w:t xml:space="preserve">Комитет приветствует также различные позитивные меры, которые были приняты в областях, имеющих отношение к осуществлению Факультативного протокола, в частности: </w:t>
      </w:r>
    </w:p>
    <w:p w14:paraId="0F122C55" w14:textId="77777777" w:rsidR="009D1FB6" w:rsidRPr="003C4A39" w:rsidRDefault="009D1FB6" w:rsidP="009D1FB6">
      <w:pPr>
        <w:pStyle w:val="SingleTxtG"/>
      </w:pPr>
      <w:r>
        <w:tab/>
      </w:r>
      <w:r w:rsidR="004D7923">
        <w:tab/>
      </w:r>
      <w:r>
        <w:t>a)</w:t>
      </w:r>
      <w:r>
        <w:tab/>
        <w:t>утверждение Декларации о безопасности школ в 2015 году;</w:t>
      </w:r>
    </w:p>
    <w:p w14:paraId="473B7605" w14:textId="77777777" w:rsidR="009D1FB6" w:rsidRPr="003C4A39" w:rsidRDefault="004D7923" w:rsidP="009D1FB6">
      <w:pPr>
        <w:pStyle w:val="SingleTxtG"/>
      </w:pPr>
      <w:r>
        <w:tab/>
      </w:r>
      <w:r w:rsidR="009D1FB6">
        <w:tab/>
        <w:t>b)</w:t>
      </w:r>
      <w:r w:rsidR="009D1FB6">
        <w:tab/>
        <w:t>принятие Закона № 57 от 27 мая 2011 года, регулирующего вопросы владения огнестрельным оружием, боеприпасами и связанными с ними материалами, их ношения, импорта и экспорта и торговли ими, а также другие смежные виды деятельности.</w:t>
      </w:r>
    </w:p>
    <w:p w14:paraId="4F2B800C" w14:textId="77777777" w:rsidR="009D1FB6" w:rsidRPr="003C4A39" w:rsidRDefault="004D7923" w:rsidP="009D1FB6">
      <w:pPr>
        <w:pStyle w:val="HChG"/>
      </w:pPr>
      <w:r>
        <w:rPr>
          <w:bCs/>
        </w:rPr>
        <w:tab/>
      </w:r>
      <w:r w:rsidR="009D1FB6">
        <w:rPr>
          <w:bCs/>
        </w:rPr>
        <w:t>III.</w:t>
      </w:r>
      <w:r w:rsidR="009D1FB6">
        <w:tab/>
      </w:r>
      <w:r w:rsidR="009D1FB6">
        <w:rPr>
          <w:bCs/>
        </w:rPr>
        <w:t>Общие меры по осуществлению</w:t>
      </w:r>
    </w:p>
    <w:p w14:paraId="52DC2B38" w14:textId="77777777" w:rsidR="009D1FB6" w:rsidRPr="003C4A39" w:rsidRDefault="009D1FB6" w:rsidP="009D1FB6">
      <w:pPr>
        <w:pStyle w:val="H23G"/>
      </w:pPr>
      <w:r>
        <w:tab/>
      </w:r>
      <w:r>
        <w:tab/>
      </w:r>
      <w:r>
        <w:rPr>
          <w:bCs/>
        </w:rPr>
        <w:t>Координация</w:t>
      </w:r>
      <w:r>
        <w:t xml:space="preserve"> </w:t>
      </w:r>
    </w:p>
    <w:p w14:paraId="6372DB88" w14:textId="77777777" w:rsidR="009D1FB6" w:rsidRPr="003C4A39" w:rsidRDefault="009D1FB6" w:rsidP="009D1FB6">
      <w:pPr>
        <w:pStyle w:val="SingleTxtG"/>
      </w:pPr>
      <w:r>
        <w:t>6.</w:t>
      </w:r>
      <w:r>
        <w:tab/>
        <w:t xml:space="preserve">Комитет отмечает, что Национальный секретариат по делам детей, подростков и семьи является учреждением, отвечающим за координацию, осуществление и мониторинг политики в области комплексной защиты прав детей и подростков. Однако он обеспокоен тем, что этот орган является административным и не обладает достаточными полномочиями для координации всей деятельности, связанной с осуществлением Факультативного протокола. </w:t>
      </w:r>
    </w:p>
    <w:p w14:paraId="485CE897" w14:textId="77777777" w:rsidR="009D1FB6" w:rsidRPr="003C4A39" w:rsidRDefault="009D1FB6" w:rsidP="009D1FB6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рекомендует государству-участнику учредить</w:t>
      </w:r>
      <w:r>
        <w:t xml:space="preserve"> </w:t>
      </w:r>
      <w:r>
        <w:rPr>
          <w:b/>
          <w:bCs/>
        </w:rPr>
        <w:t>эффективный орган,</w:t>
      </w:r>
      <w:r>
        <w:t xml:space="preserve"> </w:t>
      </w:r>
      <w:r>
        <w:rPr>
          <w:b/>
          <w:bCs/>
        </w:rPr>
        <w:t>действующий на высоком уровне и обладающий достаточными полномочиями и широким мандатом для координации всех мероприятий, связанных с осуществлением Факультативного протокола на межсекторальном, национальном, провинциальном и местном уровнях.</w:t>
      </w:r>
      <w:r>
        <w:t xml:space="preserve"> </w:t>
      </w:r>
      <w:r>
        <w:rPr>
          <w:b/>
          <w:bCs/>
        </w:rPr>
        <w:t>Государству-участнику следует обеспечивать предоставление этому координационному органу кадровых, технических и финансовых ресурсов, необходимых для его эффективной работы.</w:t>
      </w:r>
    </w:p>
    <w:p w14:paraId="2F53D02F" w14:textId="77777777" w:rsidR="009D1FB6" w:rsidRPr="003C4A39" w:rsidRDefault="009D1FB6" w:rsidP="009D1FB6">
      <w:pPr>
        <w:pStyle w:val="H23G"/>
      </w:pPr>
      <w:r>
        <w:tab/>
      </w:r>
      <w:r>
        <w:tab/>
      </w:r>
      <w:r>
        <w:rPr>
          <w:bCs/>
        </w:rPr>
        <w:t>Выделение ресурсов</w:t>
      </w:r>
    </w:p>
    <w:p w14:paraId="3D66610F" w14:textId="77777777" w:rsidR="009D1FB6" w:rsidRPr="003C4A39" w:rsidRDefault="009D1FB6" w:rsidP="009D1FB6">
      <w:pPr>
        <w:pStyle w:val="SingleTxtG"/>
      </w:pPr>
      <w:r>
        <w:t>8.</w:t>
      </w:r>
      <w:r>
        <w:tab/>
        <w:t>Комитет обеспокоен отсутствием конкретных бюджетных ассигнований на осуществление Факультативного протокола.</w:t>
      </w:r>
    </w:p>
    <w:p w14:paraId="1BA648F4" w14:textId="77777777" w:rsidR="009D1FB6" w:rsidRPr="003C4A39" w:rsidRDefault="009D1FB6" w:rsidP="009D1FB6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обеспечить выделение достаточного объема целевых ресурсов для осуществления эффективной деятельности во всех областях, охватываемых Факультативным протоколом.</w:t>
      </w:r>
    </w:p>
    <w:p w14:paraId="55497D93" w14:textId="77777777" w:rsidR="009D1FB6" w:rsidRPr="003C4A39" w:rsidRDefault="009D1FB6" w:rsidP="009D1FB6">
      <w:pPr>
        <w:pStyle w:val="H23G"/>
      </w:pPr>
      <w:r>
        <w:tab/>
      </w:r>
      <w:r>
        <w:tab/>
      </w:r>
      <w:r>
        <w:rPr>
          <w:bCs/>
        </w:rPr>
        <w:t>Распространение информации и повышение уровня осведомленности</w:t>
      </w:r>
    </w:p>
    <w:p w14:paraId="7F634E6F" w14:textId="77777777" w:rsidR="009D1FB6" w:rsidRPr="003C4A39" w:rsidRDefault="009D1FB6" w:rsidP="009D1FB6">
      <w:pPr>
        <w:pStyle w:val="SingleTxtG"/>
      </w:pPr>
      <w:r>
        <w:t>10.</w:t>
      </w:r>
      <w:r>
        <w:tab/>
        <w:t>Комитет с удовлетворением отмечает шаги, предпринятые государством-участником в целях повышения осведомленности о международном гуманитарном праве и его включения в учебные программы для служб безопасности. Вместе с тем он сожалеет, что не проводилось никаких кампаний по повышению осведомленности о Факультативном протоколе. Комитет далее обеспокоен тем, что при подготовке доклада государства-участника и осуществлении Конвенции с детьми не проводилось достаточных консультаций.</w:t>
      </w:r>
    </w:p>
    <w:p w14:paraId="1FC4F6F5" w14:textId="77777777" w:rsidR="009D1FB6" w:rsidRPr="003C4A39" w:rsidRDefault="009D1FB6" w:rsidP="009D1FB6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6242C794" w14:textId="77777777" w:rsidR="009D1FB6" w:rsidRPr="004D7923" w:rsidRDefault="004D7923" w:rsidP="009D1FB6">
      <w:pPr>
        <w:pStyle w:val="SingleTxtG"/>
        <w:rPr>
          <w:b/>
          <w:bCs/>
        </w:rPr>
      </w:pPr>
      <w:r>
        <w:rPr>
          <w:b/>
        </w:rPr>
        <w:tab/>
      </w:r>
      <w:r w:rsidR="009D1FB6" w:rsidRPr="004D7923">
        <w:rPr>
          <w:b/>
        </w:rPr>
        <w:tab/>
        <w:t>a)</w:t>
      </w:r>
      <w:r w:rsidR="009D1FB6" w:rsidRPr="004D7923">
        <w:rPr>
          <w:b/>
        </w:rPr>
        <w:tab/>
      </w:r>
      <w:r w:rsidR="009D1FB6" w:rsidRPr="004D7923">
        <w:rPr>
          <w:b/>
          <w:bCs/>
        </w:rPr>
        <w:t>активизировать усилия по широкому ознакомлению сотрудников служб безопасности и широкой общественности с принципами и положениями Факультативного протокола, в частности с учетом интересов детей и их семей, путем, например, их включения в школьные программы и долгосрочные информационно-просветительские кампании;</w:t>
      </w:r>
    </w:p>
    <w:p w14:paraId="36EF69E9" w14:textId="77777777" w:rsidR="009D1FB6" w:rsidRPr="004D7923" w:rsidRDefault="004D7923" w:rsidP="009D1FB6">
      <w:pPr>
        <w:pStyle w:val="SingleTxtG"/>
        <w:rPr>
          <w:b/>
          <w:bCs/>
        </w:rPr>
      </w:pPr>
      <w:r>
        <w:rPr>
          <w:b/>
        </w:rPr>
        <w:tab/>
      </w:r>
      <w:r w:rsidR="009D1FB6" w:rsidRPr="004D7923">
        <w:rPr>
          <w:b/>
        </w:rPr>
        <w:tab/>
        <w:t>b)</w:t>
      </w:r>
      <w:r w:rsidR="009D1FB6" w:rsidRPr="004D7923">
        <w:rPr>
          <w:b/>
        </w:rPr>
        <w:tab/>
      </w:r>
      <w:r w:rsidR="009D1FB6" w:rsidRPr="004D7923">
        <w:rPr>
          <w:b/>
          <w:bCs/>
        </w:rPr>
        <w:t>обеспечивать подготовку по вредным последствиям всех преступлений, указанных в Факультативном протоколе, и по мерам их предупреждения;</w:t>
      </w:r>
      <w:r w:rsidR="009D1FB6" w:rsidRPr="004D7923">
        <w:rPr>
          <w:b/>
        </w:rPr>
        <w:t xml:space="preserve"> </w:t>
      </w:r>
    </w:p>
    <w:p w14:paraId="19BECDC3" w14:textId="77777777" w:rsidR="009D1FB6" w:rsidRPr="004D7923" w:rsidRDefault="004D7923" w:rsidP="004D7923">
      <w:pPr>
        <w:pStyle w:val="SingleTxtG"/>
        <w:pageBreakBefore/>
        <w:rPr>
          <w:b/>
          <w:bCs/>
        </w:rPr>
      </w:pPr>
      <w:r>
        <w:rPr>
          <w:b/>
        </w:rPr>
        <w:tab/>
      </w:r>
      <w:r w:rsidR="009D1FB6" w:rsidRPr="004D7923">
        <w:rPr>
          <w:b/>
        </w:rPr>
        <w:tab/>
        <w:t>с)</w:t>
      </w:r>
      <w:r w:rsidR="009D1FB6" w:rsidRPr="004D7923">
        <w:rPr>
          <w:b/>
        </w:rPr>
        <w:tab/>
      </w:r>
      <w:r w:rsidR="009D1FB6" w:rsidRPr="004D7923">
        <w:rPr>
          <w:b/>
          <w:bCs/>
        </w:rPr>
        <w:t>активизировать усилия по проведению активных и систематических консультаций с детьми, в том числе при посредстве представительных неправительственных организаций и детских ассоциаций, в рамках поощрения и осуществления прав детей, в том числе путем обеспечения их участия в последующей деятельности по выполнению заключительных замечаний Комитета и подготовке следующего периодического доклада.</w:t>
      </w:r>
    </w:p>
    <w:p w14:paraId="47E87B92" w14:textId="77777777" w:rsidR="009D1FB6" w:rsidRPr="006C2CBD" w:rsidRDefault="009D1FB6" w:rsidP="009D1FB6">
      <w:pPr>
        <w:pStyle w:val="H23G"/>
      </w:pPr>
      <w:r>
        <w:tab/>
      </w:r>
      <w:r>
        <w:tab/>
      </w:r>
      <w:r>
        <w:rPr>
          <w:bCs/>
        </w:rPr>
        <w:t>Данные</w:t>
      </w:r>
    </w:p>
    <w:p w14:paraId="3CD95FB0" w14:textId="77777777" w:rsidR="009D1FB6" w:rsidRPr="006C2CBD" w:rsidRDefault="009D1FB6" w:rsidP="009D1FB6">
      <w:pPr>
        <w:pStyle w:val="SingleTxtG"/>
      </w:pPr>
      <w:r>
        <w:t>12.</w:t>
      </w:r>
      <w:r>
        <w:tab/>
        <w:t xml:space="preserve">Комитет отмечает, что с 2017 года государство-участник использует формуляр ходатайства о предоставлении убежища для сбора дезагрегированных данных о том, кто был завербован или использован в военных действиях за рубежом. Вместе с тем Комитет выражает сожаление по поводу того, что подобных данных Комитету представлено не было. </w:t>
      </w:r>
    </w:p>
    <w:p w14:paraId="7A38BFFF" w14:textId="77777777" w:rsidR="009D1FB6" w:rsidRPr="006C2CBD" w:rsidRDefault="009D1FB6" w:rsidP="009D1FB6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рекомендует государству-участнику представить ему в своем следующем периодическом докладе согласно Конвенции актуальные данные о въезжающих на его территорию детях из числа просителей убежища, беженцев, мигрантов, а также о несопровождаемых детях, которые могли быть завербованы или использованы в военных действиях за рубежом,</w:t>
      </w:r>
      <w:r w:rsidRPr="00FE0B43">
        <w:rPr>
          <w:b/>
          <w:bCs/>
        </w:rPr>
        <w:t xml:space="preserve"> </w:t>
      </w:r>
      <w:r>
        <w:rPr>
          <w:b/>
          <w:bCs/>
        </w:rPr>
        <w:t>в разбивке по полу, возрасту, гражданству и этническому происхождению.</w:t>
      </w:r>
    </w:p>
    <w:p w14:paraId="6E2A8A67" w14:textId="77777777" w:rsidR="009D1FB6" w:rsidRPr="006C2CBD" w:rsidRDefault="004D7923" w:rsidP="009D1FB6">
      <w:pPr>
        <w:pStyle w:val="HChG"/>
      </w:pPr>
      <w:r>
        <w:rPr>
          <w:bCs/>
        </w:rPr>
        <w:tab/>
      </w:r>
      <w:r w:rsidR="009D1FB6">
        <w:rPr>
          <w:bCs/>
        </w:rPr>
        <w:t>IV.</w:t>
      </w:r>
      <w:r w:rsidR="009D1FB6">
        <w:rPr>
          <w:bCs/>
        </w:rPr>
        <w:tab/>
        <w:t>Предупреждение</w:t>
      </w:r>
    </w:p>
    <w:p w14:paraId="710C797E" w14:textId="77777777" w:rsidR="009D1FB6" w:rsidRPr="006C2CBD" w:rsidRDefault="009D1FB6" w:rsidP="009D1FB6">
      <w:pPr>
        <w:pStyle w:val="H23G"/>
      </w:pPr>
      <w:r>
        <w:tab/>
      </w:r>
      <w:r>
        <w:tab/>
      </w:r>
      <w:r>
        <w:rPr>
          <w:bCs/>
        </w:rPr>
        <w:t>Предупреждение вербовки негосударственными вооруженными группами</w:t>
      </w:r>
    </w:p>
    <w:p w14:paraId="069DBC28" w14:textId="77777777" w:rsidR="009D1FB6" w:rsidRPr="006C2CBD" w:rsidRDefault="009D1FB6" w:rsidP="004D7923">
      <w:pPr>
        <w:pStyle w:val="SingleTxtG"/>
        <w:spacing w:line="234" w:lineRule="atLeast"/>
      </w:pPr>
      <w:r>
        <w:t>14.</w:t>
      </w:r>
      <w:r>
        <w:tab/>
        <w:t xml:space="preserve">Комитет отмечает, что негосударственные вооруженные группы не всегда присутствуют на территории государства-участника. Вместе с тем он глубоко обеспокоен сообщениями о трансграничной вербовке детей и подростков негосударственными вооруженными группами, которые временно присутствуют в районах, населенных главным образом коренным населением и лицами африканского происхождения. </w:t>
      </w:r>
    </w:p>
    <w:p w14:paraId="6C47F4DD" w14:textId="77777777" w:rsidR="009D1FB6" w:rsidRPr="006C2CBD" w:rsidRDefault="009D1FB6" w:rsidP="004D7923">
      <w:pPr>
        <w:pStyle w:val="SingleTxtG"/>
        <w:spacing w:line="234" w:lineRule="atLeast"/>
        <w:rPr>
          <w:b/>
          <w:bCs/>
        </w:rPr>
      </w:pPr>
      <w:r>
        <w:t>15.</w:t>
      </w:r>
      <w:r>
        <w:tab/>
      </w:r>
      <w:r>
        <w:rPr>
          <w:b/>
          <w:bCs/>
        </w:rPr>
        <w:t>Комитет напоминает государству-участнику о его обязательствах по Факультативному протоколу принимать все необходимые меры для эффективного предупреждения вербовки или использования детей, в частности детей африканского происхождения и детей из числа коренных народов, а также детей, живущих в нищете или в сельских районах, негосударственными вооруженными группами.</w:t>
      </w:r>
      <w:r>
        <w:t xml:space="preserve"> </w:t>
      </w:r>
      <w:r>
        <w:rPr>
          <w:b/>
          <w:bCs/>
        </w:rPr>
        <w:t>В этой связи Комитет настоятельно призывает государство-участник:</w:t>
      </w:r>
    </w:p>
    <w:p w14:paraId="1F89B42E" w14:textId="77777777" w:rsidR="009D1FB6" w:rsidRPr="004D7923" w:rsidRDefault="004D7923" w:rsidP="004D7923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9D1FB6" w:rsidRPr="004D7923">
        <w:rPr>
          <w:b/>
        </w:rPr>
        <w:tab/>
        <w:t>a)</w:t>
      </w:r>
      <w:r w:rsidR="009D1FB6" w:rsidRPr="004D7923">
        <w:rPr>
          <w:b/>
        </w:rPr>
        <w:tab/>
      </w:r>
      <w:r w:rsidR="009D1FB6" w:rsidRPr="004D7923">
        <w:rPr>
          <w:b/>
          <w:bCs/>
        </w:rPr>
        <w:t>принимать все правовые, административные и институциональные меры, необходимые для предупреждения вербовки детей и для их защиты от насилия со стороны негосударственных вооруженных групп;</w:t>
      </w:r>
    </w:p>
    <w:p w14:paraId="00D1FFCA" w14:textId="77777777" w:rsidR="009D1FB6" w:rsidRPr="004D7923" w:rsidRDefault="004D7923" w:rsidP="004D7923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9D1FB6" w:rsidRPr="004D7923">
        <w:rPr>
          <w:b/>
        </w:rPr>
        <w:tab/>
        <w:t>b)</w:t>
      </w:r>
      <w:r w:rsidR="009D1FB6" w:rsidRPr="004D7923">
        <w:rPr>
          <w:b/>
        </w:rPr>
        <w:tab/>
      </w:r>
      <w:r w:rsidR="009D1FB6" w:rsidRPr="004D7923">
        <w:rPr>
          <w:b/>
          <w:bCs/>
        </w:rPr>
        <w:t>создать надлежащие механизмы для выявления детей, которым угрожает опасность вербовки или использования негосударственными вооруженными группами, включая детей, проживающих в отдаленных или сельских районах, а также детей из числа беженцев, просителей убежища и коренных народов;</w:t>
      </w:r>
      <w:r w:rsidR="009D1FB6" w:rsidRPr="004D7923">
        <w:rPr>
          <w:b/>
        </w:rPr>
        <w:t xml:space="preserve"> </w:t>
      </w:r>
    </w:p>
    <w:p w14:paraId="134E88E8" w14:textId="77777777" w:rsidR="009D1FB6" w:rsidRPr="004D7923" w:rsidRDefault="004D7923" w:rsidP="004D7923">
      <w:pPr>
        <w:pStyle w:val="SingleTxtG"/>
        <w:spacing w:line="234" w:lineRule="atLeast"/>
        <w:rPr>
          <w:b/>
          <w:bCs/>
        </w:rPr>
      </w:pPr>
      <w:r w:rsidRPr="004D7923">
        <w:rPr>
          <w:b/>
          <w:spacing w:val="-4"/>
        </w:rPr>
        <w:tab/>
      </w:r>
      <w:r w:rsidR="009D1FB6" w:rsidRPr="004D7923">
        <w:rPr>
          <w:b/>
          <w:spacing w:val="-4"/>
        </w:rPr>
        <w:tab/>
        <w:t>с)</w:t>
      </w:r>
      <w:r w:rsidR="009D1FB6" w:rsidRPr="004D7923">
        <w:rPr>
          <w:b/>
          <w:spacing w:val="-4"/>
        </w:rPr>
        <w:tab/>
      </w:r>
      <w:r w:rsidR="009D1FB6" w:rsidRPr="004D7923">
        <w:rPr>
          <w:b/>
          <w:bCs/>
          <w:spacing w:val="-4"/>
        </w:rPr>
        <w:t xml:space="preserve">разрабатывать информационно-пропагандистские и просветительские </w:t>
      </w:r>
      <w:r w:rsidR="009D1FB6" w:rsidRPr="004D7923">
        <w:rPr>
          <w:b/>
          <w:bCs/>
        </w:rPr>
        <w:t>программы по негативным последствиям участия в вооруженных конфликтах, ориентированные на детей, родителей, учителей и любых других соответствующих заинтересованных субъектов в отдаленных приграничных районах.</w:t>
      </w:r>
    </w:p>
    <w:p w14:paraId="46E6D950" w14:textId="77777777" w:rsidR="009D1FB6" w:rsidRPr="006C2CBD" w:rsidRDefault="009D1FB6" w:rsidP="009D1FB6">
      <w:pPr>
        <w:pStyle w:val="H23G"/>
      </w:pPr>
      <w:r>
        <w:tab/>
      </w:r>
      <w:r>
        <w:tab/>
      </w:r>
      <w:r>
        <w:rPr>
          <w:bCs/>
        </w:rPr>
        <w:t>Права человека и воспитание в духе мира</w:t>
      </w:r>
    </w:p>
    <w:p w14:paraId="212BBDC6" w14:textId="77777777" w:rsidR="009D1FB6" w:rsidRPr="006C2CBD" w:rsidRDefault="009D1FB6" w:rsidP="009D1FB6">
      <w:pPr>
        <w:pStyle w:val="SingleTxtG"/>
      </w:pPr>
      <w:r>
        <w:t>16.</w:t>
      </w:r>
      <w:r>
        <w:tab/>
        <w:t>Комитет приветствует инициативы, предпринятые Национальным секретариатом по делам детей, подростков и семьи и Министерством образования в целях осуществления ориентированной на учащихся и преподавателей программы по правам и обязанностям детей и подростков, которая включает в себя регулярную подготовку по вопросам Конвенции и факультативных протоколов к ней. Тем не менее Комитет выражает сожаление по поводу того, что права человека и воспитание в духе мира, а также ознакомление с Факультативным протоколом прямо не включены в качестве обязательного элемента в учебные планы начальных и средних школ и программы подготовки преподавателей.</w:t>
      </w:r>
    </w:p>
    <w:p w14:paraId="261C1FB6" w14:textId="77777777" w:rsidR="009D1FB6" w:rsidRPr="006C2CBD" w:rsidRDefault="009D1FB6" w:rsidP="009D1FB6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В соответствии со своим замечанием общего порядка № 1 (2001 год) о целях образования Комитет рекомендует государству-участнику включить права человека и воспитание в духе мира в учебные планы всех школ и в программы подготовки преподавателей, причем с конкретной ссылкой на Факультативный протокол.</w:t>
      </w:r>
    </w:p>
    <w:p w14:paraId="1FF9473C" w14:textId="77777777" w:rsidR="009D1FB6" w:rsidRPr="006C2CBD" w:rsidRDefault="004D7923" w:rsidP="009D1FB6">
      <w:pPr>
        <w:pStyle w:val="HChG"/>
      </w:pPr>
      <w:r>
        <w:rPr>
          <w:bCs/>
        </w:rPr>
        <w:tab/>
      </w:r>
      <w:r w:rsidR="009D1FB6">
        <w:rPr>
          <w:bCs/>
        </w:rPr>
        <w:t>V.</w:t>
      </w:r>
      <w:r w:rsidR="009D1FB6">
        <w:tab/>
      </w:r>
      <w:r w:rsidR="009D1FB6">
        <w:rPr>
          <w:bCs/>
        </w:rPr>
        <w:t>Запрещение и связанные с ним вопросы</w:t>
      </w:r>
      <w:r w:rsidR="009D1FB6">
        <w:t xml:space="preserve"> </w:t>
      </w:r>
    </w:p>
    <w:p w14:paraId="392E9287" w14:textId="77777777" w:rsidR="009D1FB6" w:rsidRPr="006C2CBD" w:rsidRDefault="009D1FB6" w:rsidP="009D1FB6">
      <w:pPr>
        <w:pStyle w:val="H23G"/>
      </w:pPr>
      <w:r>
        <w:tab/>
      </w:r>
      <w:r>
        <w:tab/>
      </w:r>
      <w:r>
        <w:rPr>
          <w:bCs/>
        </w:rPr>
        <w:t>Запрещение вербовки негосударственными вооруженными группами и</w:t>
      </w:r>
      <w:r w:rsidR="004D7923">
        <w:rPr>
          <w:bCs/>
        </w:rPr>
        <w:t> </w:t>
      </w:r>
      <w:r>
        <w:rPr>
          <w:bCs/>
        </w:rPr>
        <w:t>установление уголовной ответственности за нее</w:t>
      </w:r>
      <w:r>
        <w:t xml:space="preserve"> </w:t>
      </w:r>
    </w:p>
    <w:p w14:paraId="4AB814B1" w14:textId="77777777" w:rsidR="009D1FB6" w:rsidRPr="006C2CBD" w:rsidRDefault="009D1FB6" w:rsidP="009D1FB6">
      <w:pPr>
        <w:pStyle w:val="SingleTxtG"/>
      </w:pPr>
      <w:r>
        <w:t>18.</w:t>
      </w:r>
      <w:r>
        <w:tab/>
        <w:t xml:space="preserve">С удовлетворением отмечая, что в соответствии со статьей 448 Уголовного кодекса лицо, занимающееся вербовкой либо призывом детей на военную службу или их использованием в боевых действиях, несет уголовную ответственность, Комитет в то же время обеспокоен тем, что в законодательстве конкретно не предусмотрена уголовная ответственность за вербовку и использование детей в военных действиях негосударственными вооруженными группами. </w:t>
      </w:r>
    </w:p>
    <w:p w14:paraId="12FEA75D" w14:textId="77777777" w:rsidR="009D1FB6" w:rsidRPr="006C2CBD" w:rsidRDefault="009D1FB6" w:rsidP="009D1FB6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Комитет рекомендует государству-участнику оперативно включить в свое законодательство прямое запрещение вербовки детей в возрасте до 18 лет негосударственными вооруженными группами и установить уголовную ответственность за нее.</w:t>
      </w:r>
    </w:p>
    <w:p w14:paraId="4E676530" w14:textId="77777777" w:rsidR="009D1FB6" w:rsidRPr="006C2CBD" w:rsidRDefault="009D1FB6" w:rsidP="009D1FB6">
      <w:pPr>
        <w:pStyle w:val="H23G"/>
      </w:pPr>
      <w:r>
        <w:tab/>
      </w:r>
      <w:r>
        <w:tab/>
      </w:r>
      <w:r>
        <w:rPr>
          <w:bCs/>
        </w:rPr>
        <w:t>Выдача и экстерриториальная юрисдикция</w:t>
      </w:r>
      <w:r>
        <w:t xml:space="preserve"> </w:t>
      </w:r>
    </w:p>
    <w:p w14:paraId="6FA1CA6F" w14:textId="77777777" w:rsidR="009D1FB6" w:rsidRPr="006C2CBD" w:rsidRDefault="009D1FB6" w:rsidP="009D1FB6">
      <w:pPr>
        <w:pStyle w:val="SingleTxtG"/>
      </w:pPr>
      <w:r>
        <w:t>20.</w:t>
      </w:r>
      <w:r>
        <w:tab/>
        <w:t xml:space="preserve">Комитет обеспокоен тем, что принцип двойной уголовной ответственности применяется к просьбам о выдаче даже в тех случаях, когда преступление признается юрисдикцией обеих стран. Комитет обеспокоен далее тем, что отсутствие четкой уголовной ответственности за вербовку негосударственными вооруженными группами может стать препятствием для выдачи правонарушителей и осуществления государством-участником экстерриториальной юрисдикции в случаях, связанных с обязательной вербовкой и/или использованием панамских детей в военных действиях за рубежом или обязательной вербовкой и/или использованием детей в военных действиях панамскими гражданами. </w:t>
      </w:r>
    </w:p>
    <w:p w14:paraId="2CE00906" w14:textId="77777777" w:rsidR="009D1FB6" w:rsidRPr="006C2CBD" w:rsidRDefault="009D1FB6" w:rsidP="009D1FB6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Комитет рекомендует государству-участнику:</w:t>
      </w:r>
    </w:p>
    <w:p w14:paraId="29C6F908" w14:textId="77777777" w:rsidR="009D1FB6" w:rsidRPr="004D7923" w:rsidRDefault="004D7923" w:rsidP="009D1FB6">
      <w:pPr>
        <w:pStyle w:val="SingleTxtG"/>
        <w:rPr>
          <w:b/>
          <w:bCs/>
        </w:rPr>
      </w:pPr>
      <w:r>
        <w:rPr>
          <w:b/>
        </w:rPr>
        <w:tab/>
      </w:r>
      <w:r w:rsidR="009D1FB6" w:rsidRPr="004D7923">
        <w:rPr>
          <w:b/>
        </w:rPr>
        <w:tab/>
        <w:t>a)</w:t>
      </w:r>
      <w:r w:rsidR="009D1FB6" w:rsidRPr="004D7923">
        <w:rPr>
          <w:b/>
        </w:rPr>
        <w:tab/>
      </w:r>
      <w:r w:rsidR="009D1FB6" w:rsidRPr="004D7923">
        <w:rPr>
          <w:b/>
          <w:bCs/>
        </w:rPr>
        <w:t>установить и осуществлять экстерриториальную юрисдикцию в отношении запрещенных согласно Факультативному протоколу преступлений без применения принципа двойной уголовной ответственности;</w:t>
      </w:r>
    </w:p>
    <w:p w14:paraId="514C772E" w14:textId="77777777" w:rsidR="009D1FB6" w:rsidRPr="004D7923" w:rsidRDefault="004D7923" w:rsidP="009D1FB6">
      <w:pPr>
        <w:pStyle w:val="SingleTxtG"/>
        <w:rPr>
          <w:b/>
          <w:bCs/>
        </w:rPr>
      </w:pPr>
      <w:r>
        <w:rPr>
          <w:b/>
        </w:rPr>
        <w:tab/>
      </w:r>
      <w:r w:rsidR="009D1FB6" w:rsidRPr="004D7923">
        <w:rPr>
          <w:b/>
        </w:rPr>
        <w:tab/>
        <w:t>b)</w:t>
      </w:r>
      <w:r w:rsidR="009D1FB6" w:rsidRPr="004D7923">
        <w:rPr>
          <w:b/>
        </w:rPr>
        <w:tab/>
      </w:r>
      <w:r w:rsidR="009D1FB6" w:rsidRPr="004D7923">
        <w:rPr>
          <w:b/>
          <w:bCs/>
        </w:rPr>
        <w:t xml:space="preserve">включать преступления, запрещенные согласно Факультативному протоколу, во все договоры о выдаче, заключаемые с другими государствами </w:t>
      </w:r>
      <w:r>
        <w:rPr>
          <w:b/>
          <w:bCs/>
        </w:rPr>
        <w:t>–</w:t>
      </w:r>
      <w:r w:rsidR="009D1FB6" w:rsidRPr="004D7923">
        <w:rPr>
          <w:b/>
          <w:bCs/>
        </w:rPr>
        <w:t xml:space="preserve"> участниками Факультативного протокола.</w:t>
      </w:r>
    </w:p>
    <w:p w14:paraId="7D85004A" w14:textId="77777777" w:rsidR="009D1FB6" w:rsidRPr="006C2CBD" w:rsidRDefault="004D7923" w:rsidP="009D1FB6">
      <w:pPr>
        <w:pStyle w:val="HChG"/>
      </w:pPr>
      <w:r>
        <w:rPr>
          <w:bCs/>
        </w:rPr>
        <w:tab/>
      </w:r>
      <w:r w:rsidR="009D1FB6">
        <w:rPr>
          <w:bCs/>
        </w:rPr>
        <w:t>VI.</w:t>
      </w:r>
      <w:r w:rsidR="009D1FB6">
        <w:tab/>
      </w:r>
      <w:r w:rsidR="009D1FB6">
        <w:rPr>
          <w:bCs/>
        </w:rPr>
        <w:t>Защита, восстановление и реинтеграция</w:t>
      </w:r>
    </w:p>
    <w:p w14:paraId="72691C41" w14:textId="77777777" w:rsidR="009D1FB6" w:rsidRPr="006C2CBD" w:rsidRDefault="009D1FB6" w:rsidP="009D1FB6">
      <w:pPr>
        <w:pStyle w:val="H23G"/>
      </w:pPr>
      <w:r>
        <w:tab/>
      </w:r>
      <w:r>
        <w:tab/>
      </w:r>
      <w:r>
        <w:rPr>
          <w:bCs/>
        </w:rPr>
        <w:t>Меры по разоружению, демобилизации и социальной реинтеграции</w:t>
      </w:r>
    </w:p>
    <w:p w14:paraId="456DCFBE" w14:textId="77777777" w:rsidR="009D1FB6" w:rsidRPr="006C2CBD" w:rsidRDefault="009D1FB6" w:rsidP="004D7923">
      <w:pPr>
        <w:pStyle w:val="SingleTxtG"/>
        <w:spacing w:line="234" w:lineRule="atLeast"/>
      </w:pPr>
      <w:r>
        <w:t>22.</w:t>
      </w:r>
      <w:r>
        <w:tab/>
        <w:t xml:space="preserve">Комитет отмечает мнение государства-участника о том, что из-за отсутствия конфликтов и вооруженных сил в настоящее время не имеется программ демобилизации детей и подростков, ставших жертвами принудительной вербовки, и программ, призванных облегчить их социальную реинтеграцию в государстве-участнике. Комитет отмечает также, что в государстве-участнике отсутствует многопрофильная группа по оказанию помощи несопровождаемым детям-беженцам. Комитет выражает обеспокоенность по поводу того, что государство-участник является одной из стран назначения для просителей убежища и мигрантов, включая детей, некоторые из которых прибывают из стран, затронутых конфликтом, и сожалеет об отсутствии информации о мерах, принятых в целях выявления, физического и психологического восстановления и социальной реинтеграции таких детей. </w:t>
      </w:r>
    </w:p>
    <w:p w14:paraId="20C775AE" w14:textId="77777777" w:rsidR="009D1FB6" w:rsidRPr="006C2CBD" w:rsidRDefault="009D1FB6" w:rsidP="004D7923">
      <w:pPr>
        <w:pStyle w:val="SingleTxtG"/>
        <w:spacing w:line="234" w:lineRule="atLeast"/>
        <w:rPr>
          <w:b/>
          <w:bCs/>
        </w:rPr>
      </w:pPr>
      <w:r>
        <w:t>23.</w:t>
      </w:r>
      <w:r>
        <w:tab/>
      </w:r>
      <w:r>
        <w:rPr>
          <w:b/>
          <w:bCs/>
        </w:rPr>
        <w:t>Обращая внимание государства-участника на его обязательства по статье</w:t>
      </w:r>
      <w:r w:rsidR="004D7923">
        <w:rPr>
          <w:b/>
          <w:bCs/>
        </w:rPr>
        <w:t> </w:t>
      </w:r>
      <w:r>
        <w:rPr>
          <w:b/>
          <w:bCs/>
        </w:rPr>
        <w:t>7 Факультативного протокола, Комитет настоятельно призывает его обеспечивать надлежащую и оперативную помощь и поддержку детям из числа мигрантов, беженцев и просителей убежища, некоторые из которых могли быть завербованы и/или использованы в военных действиях за рубежом, а также гарантировать их полную защиту в соответствии с международными стандартами.</w:t>
      </w:r>
      <w:r>
        <w:t xml:space="preserve"> </w:t>
      </w:r>
      <w:r>
        <w:rPr>
          <w:b/>
          <w:bCs/>
        </w:rPr>
        <w:t>В этой связи Комитет настоятельно призывает государство-участник:</w:t>
      </w:r>
      <w:r>
        <w:t xml:space="preserve"> </w:t>
      </w:r>
    </w:p>
    <w:p w14:paraId="1EFA5CE5" w14:textId="77777777" w:rsidR="009D1FB6" w:rsidRPr="004D7923" w:rsidRDefault="004D7923" w:rsidP="004D7923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9D1FB6" w:rsidRPr="004D7923">
        <w:rPr>
          <w:b/>
        </w:rPr>
        <w:tab/>
        <w:t>a)</w:t>
      </w:r>
      <w:r w:rsidR="009D1FB6" w:rsidRPr="004D7923">
        <w:rPr>
          <w:b/>
        </w:rPr>
        <w:tab/>
      </w:r>
      <w:r w:rsidR="009D1FB6" w:rsidRPr="004D7923">
        <w:rPr>
          <w:b/>
          <w:bCs/>
        </w:rPr>
        <w:t>создать механизм раннего выявления всех детей из числа мигрантов, просителей убежища и беженцев, которые подвергаются опасности быть вовлеченными или были вовлечены в вооруженный конфликт за рубежом, и принимать все необходимые меры для обеспечения его эффективного функционирования;</w:t>
      </w:r>
    </w:p>
    <w:p w14:paraId="05CA7804" w14:textId="77777777" w:rsidR="009D1FB6" w:rsidRPr="004D7923" w:rsidRDefault="004D7923" w:rsidP="004D7923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9D1FB6" w:rsidRPr="004D7923">
        <w:rPr>
          <w:b/>
        </w:rPr>
        <w:tab/>
        <w:t>b)</w:t>
      </w:r>
      <w:r w:rsidR="009D1FB6" w:rsidRPr="004D7923">
        <w:rPr>
          <w:b/>
        </w:rPr>
        <w:tab/>
      </w:r>
      <w:r w:rsidR="009D1FB6" w:rsidRPr="004D7923">
        <w:rPr>
          <w:b/>
          <w:bCs/>
        </w:rPr>
        <w:t>принимать все необходимые меры, включая тщательную оценку положения детей, которые могли быть вовлечены в вооруженный конфликт за рубежом, укрепление доступных для них правовых консультативных услуг и</w:t>
      </w:r>
      <w:r w:rsidR="009D1FB6" w:rsidRPr="004D7923">
        <w:rPr>
          <w:b/>
        </w:rPr>
        <w:t xml:space="preserve"> </w:t>
      </w:r>
      <w:r w:rsidR="009D1FB6" w:rsidRPr="004D7923">
        <w:rPr>
          <w:b/>
          <w:bCs/>
        </w:rPr>
        <w:t>незамедлительное предоставление учитывающей культурные особенности и интересы детей многопрофильной помощи, в целях обеспечения того, чтобы такие дети получали помощь для физического и психологического восстановления и имели доступ к программам реабилитации и реинтеграции;</w:t>
      </w:r>
    </w:p>
    <w:p w14:paraId="436AD51E" w14:textId="77777777" w:rsidR="009D1FB6" w:rsidRPr="004D7923" w:rsidRDefault="004D7923" w:rsidP="004D7923">
      <w:pPr>
        <w:pStyle w:val="SingleTxtG"/>
        <w:spacing w:line="234" w:lineRule="atLeast"/>
        <w:rPr>
          <w:b/>
          <w:bCs/>
        </w:rPr>
      </w:pPr>
      <w:r>
        <w:rPr>
          <w:b/>
        </w:rPr>
        <w:tab/>
      </w:r>
      <w:r w:rsidR="009D1FB6" w:rsidRPr="004D7923">
        <w:rPr>
          <w:b/>
        </w:rPr>
        <w:tab/>
        <w:t>с)</w:t>
      </w:r>
      <w:r w:rsidR="009D1FB6" w:rsidRPr="004D7923">
        <w:rPr>
          <w:b/>
        </w:rPr>
        <w:tab/>
      </w:r>
      <w:r w:rsidR="009D1FB6" w:rsidRPr="004D7923">
        <w:rPr>
          <w:b/>
          <w:bCs/>
        </w:rPr>
        <w:t>обеспечивать и укреплять систематическую подготовку многопрофильных групп специалистов, работающих с детьми или в их интересах, особенно персонала иммиграционных служб, сотрудников правоохранительных органов, судей, прокуроров, социальных и медицинских работников, по вопросам раннего выявления детей из числа беженцев, просителей убежища и мигрантов, которые могли быть вовлечены в вооруженный конфликт за рубежом.</w:t>
      </w:r>
      <w:r w:rsidR="009D1FB6" w:rsidRPr="004D7923">
        <w:rPr>
          <w:b/>
        </w:rPr>
        <w:t xml:space="preserve"> </w:t>
      </w:r>
    </w:p>
    <w:p w14:paraId="747ECB6B" w14:textId="77777777" w:rsidR="009D1FB6" w:rsidRPr="006C2CBD" w:rsidRDefault="009D1FB6" w:rsidP="004D7923">
      <w:pPr>
        <w:pStyle w:val="SingleTxtG"/>
        <w:spacing w:line="234" w:lineRule="atLeast"/>
        <w:rPr>
          <w:b/>
          <w:bCs/>
        </w:rPr>
      </w:pPr>
      <w:r>
        <w:t>24.</w:t>
      </w:r>
      <w:r>
        <w:tab/>
      </w:r>
      <w:r>
        <w:rPr>
          <w:b/>
          <w:bCs/>
        </w:rPr>
        <w:t>Кроме того, Комитет рекомендует государству-участнику принимать во внимание его замечание общего порядка № 6 (2005 год) об обращении с несопровождаемыми и разлученными детьми за пределами страны их происхождения.</w:t>
      </w:r>
    </w:p>
    <w:p w14:paraId="3F4EBAD0" w14:textId="77777777" w:rsidR="009D1FB6" w:rsidRPr="006C2CBD" w:rsidRDefault="004D7923" w:rsidP="009D1FB6">
      <w:pPr>
        <w:pStyle w:val="HChG"/>
      </w:pPr>
      <w:r>
        <w:rPr>
          <w:bCs/>
        </w:rPr>
        <w:tab/>
      </w:r>
      <w:r w:rsidR="009D1FB6">
        <w:rPr>
          <w:bCs/>
        </w:rPr>
        <w:t>VII.</w:t>
      </w:r>
      <w:r w:rsidR="009D1FB6">
        <w:rPr>
          <w:bCs/>
        </w:rPr>
        <w:tab/>
        <w:t>Международная помощь и сотрудничество</w:t>
      </w:r>
    </w:p>
    <w:p w14:paraId="4A61899D" w14:textId="77777777" w:rsidR="009D1FB6" w:rsidRPr="006C2CBD" w:rsidRDefault="009D1FB6" w:rsidP="009D1FB6">
      <w:pPr>
        <w:pStyle w:val="H23G"/>
      </w:pPr>
      <w:r>
        <w:tab/>
      </w:r>
      <w:r>
        <w:tab/>
      </w:r>
      <w:r>
        <w:rPr>
          <w:bCs/>
        </w:rPr>
        <w:t>Международное сотрудничество</w:t>
      </w:r>
      <w:r>
        <w:t xml:space="preserve"> </w:t>
      </w:r>
    </w:p>
    <w:p w14:paraId="1AE933E3" w14:textId="77777777" w:rsidR="009D1FB6" w:rsidRPr="006C2CBD" w:rsidRDefault="009D1FB6" w:rsidP="009D1FB6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Комитет рекомендует государству-участнику продолжать и укреплять сотрудничество с Международным комитетом Красного Креста и Специальным представителем Генерального секретаря по вопросу о детях и вооруженных конфликтах, а также изучать возможности для расширения сотрудничества с Детским фондом Организации Объединенных Наций и другими структурами Организации Объединенных Наций в рамках осуществления Факультативного протокола.</w:t>
      </w:r>
    </w:p>
    <w:p w14:paraId="7F785BDC" w14:textId="77777777" w:rsidR="009D1FB6" w:rsidRPr="003C4A39" w:rsidRDefault="004D7923" w:rsidP="009D1FB6">
      <w:pPr>
        <w:pStyle w:val="HChG"/>
      </w:pPr>
      <w:r>
        <w:rPr>
          <w:bCs/>
        </w:rPr>
        <w:tab/>
      </w:r>
      <w:r w:rsidR="009D1FB6">
        <w:rPr>
          <w:bCs/>
        </w:rPr>
        <w:t>VIII.</w:t>
      </w:r>
      <w:r w:rsidR="009D1FB6">
        <w:tab/>
      </w:r>
      <w:r w:rsidR="009D1FB6">
        <w:rPr>
          <w:bCs/>
        </w:rPr>
        <w:t>Меры по осуществлению и представление докладов</w:t>
      </w:r>
    </w:p>
    <w:p w14:paraId="4769034D" w14:textId="77777777" w:rsidR="009D1FB6" w:rsidRPr="006C2CBD" w:rsidRDefault="004D7923" w:rsidP="009D1FB6">
      <w:pPr>
        <w:pStyle w:val="H1G"/>
      </w:pPr>
      <w:r>
        <w:rPr>
          <w:bCs/>
        </w:rPr>
        <w:tab/>
      </w:r>
      <w:r w:rsidR="009D1FB6">
        <w:rPr>
          <w:bCs/>
        </w:rPr>
        <w:t>A.</w:t>
      </w:r>
      <w:r w:rsidR="009D1FB6">
        <w:tab/>
      </w:r>
      <w:r w:rsidR="009D1FB6">
        <w:rPr>
          <w:bCs/>
        </w:rPr>
        <w:t>Последующая деятельность и распространение информации</w:t>
      </w:r>
    </w:p>
    <w:p w14:paraId="22B08EE5" w14:textId="77777777" w:rsidR="009D1FB6" w:rsidRPr="006C2CBD" w:rsidRDefault="009D1FB6" w:rsidP="009D1FB6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 принимать все надлежащие меры для обеспечения полного выполнения рекомендаций, содержащихся в настоящих заключительных замечаниях, в том числе путем их препровождения Министерству общественной безопасности, Министерству социального развития, Национальному секретариату по делам детей, подростков и семьи, Национальному бюро по оказанию помощи беженцам, прокуратуре, судам и местным органам власти для надлежащего рассмотрения и принятия дальнейших мер.</w:t>
      </w:r>
    </w:p>
    <w:p w14:paraId="6A66AC93" w14:textId="77777777" w:rsidR="009D1FB6" w:rsidRPr="003C4A39" w:rsidRDefault="009D1FB6" w:rsidP="009D1FB6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Комитет рекомендует обеспечить широкое распространение доклада и письменных ответов на перечень вопросов, представленных государством-участником, а также настоящих заключительных замечаний, в том числе через Интернет, среди населения в целом, организаций гражданского общества, молодежных групп, профессиональных групп и детей в целях стимулирования дискуссии и повышения осведомленности о Факультативном протоколе, его осуществлении и мониторинге.</w:t>
      </w:r>
    </w:p>
    <w:p w14:paraId="7FF764E1" w14:textId="77777777" w:rsidR="009D1FB6" w:rsidRPr="003C4A39" w:rsidRDefault="004D7923" w:rsidP="009D1FB6">
      <w:pPr>
        <w:pStyle w:val="H1G"/>
      </w:pPr>
      <w:r>
        <w:rPr>
          <w:bCs/>
        </w:rPr>
        <w:tab/>
      </w:r>
      <w:r w:rsidR="009D1FB6">
        <w:rPr>
          <w:bCs/>
        </w:rPr>
        <w:t>B.</w:t>
      </w:r>
      <w:r w:rsidR="009D1FB6">
        <w:tab/>
      </w:r>
      <w:r w:rsidR="009D1FB6">
        <w:rPr>
          <w:bCs/>
        </w:rPr>
        <w:t>Следующий периодический доклад</w:t>
      </w:r>
    </w:p>
    <w:p w14:paraId="50E61801" w14:textId="77777777" w:rsidR="009D1FB6" w:rsidRPr="003C4A39" w:rsidRDefault="009D1FB6" w:rsidP="009D1FB6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В соответствии с пунктом 2 статьи 8 Факультативного протокола Комитет просит государство-участник включить дополнительную информацию об осуществлении Факультативного протокола и выполнении настоящих заключительных замечаний в его следующий периодический доклад, подлежащий представлению в соответствии со статьей 44 Конвенции.</w:t>
      </w:r>
    </w:p>
    <w:p w14:paraId="2633B967" w14:textId="77777777" w:rsidR="009D1FB6" w:rsidRPr="003C4A39" w:rsidRDefault="009D1FB6" w:rsidP="009D1FB6">
      <w:pPr>
        <w:pStyle w:val="SingleTxtG"/>
        <w:spacing w:before="240"/>
        <w:jc w:val="center"/>
      </w:pPr>
      <w:r w:rsidRPr="003C4A39">
        <w:rPr>
          <w:u w:val="single"/>
        </w:rPr>
        <w:tab/>
      </w:r>
      <w:r w:rsidRPr="003C4A39">
        <w:rPr>
          <w:u w:val="single"/>
        </w:rPr>
        <w:tab/>
      </w:r>
      <w:r w:rsidRPr="003C4A39">
        <w:rPr>
          <w:u w:val="single"/>
        </w:rPr>
        <w:tab/>
      </w:r>
      <w:r w:rsidR="004D7923">
        <w:rPr>
          <w:u w:val="single"/>
        </w:rPr>
        <w:tab/>
      </w:r>
    </w:p>
    <w:p w14:paraId="295C727F" w14:textId="77777777" w:rsidR="00381C24" w:rsidRPr="009D1FB6" w:rsidRDefault="00381C24" w:rsidP="002E685D"/>
    <w:sectPr w:rsidR="00381C24" w:rsidRPr="009D1FB6" w:rsidSect="009D1F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46AB5" w14:textId="77777777" w:rsidR="00ED44CD" w:rsidRPr="00A312BC" w:rsidRDefault="00ED44CD" w:rsidP="00A312BC"/>
  </w:endnote>
  <w:endnote w:type="continuationSeparator" w:id="0">
    <w:p w14:paraId="7ECD8519" w14:textId="77777777" w:rsidR="00ED44CD" w:rsidRPr="00A312BC" w:rsidRDefault="00ED44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BB31" w14:textId="77777777" w:rsidR="009D1FB6" w:rsidRPr="009D1FB6" w:rsidRDefault="009D1FB6">
    <w:pPr>
      <w:pStyle w:val="a8"/>
    </w:pPr>
    <w:r w:rsidRPr="009D1FB6">
      <w:rPr>
        <w:b/>
        <w:sz w:val="18"/>
      </w:rPr>
      <w:fldChar w:fldCharType="begin"/>
    </w:r>
    <w:r w:rsidRPr="009D1FB6">
      <w:rPr>
        <w:b/>
        <w:sz w:val="18"/>
      </w:rPr>
      <w:instrText xml:space="preserve"> PAGE  \* MERGEFORMAT </w:instrText>
    </w:r>
    <w:r w:rsidRPr="009D1FB6">
      <w:rPr>
        <w:b/>
        <w:sz w:val="18"/>
      </w:rPr>
      <w:fldChar w:fldCharType="separate"/>
    </w:r>
    <w:r w:rsidRPr="009D1FB6">
      <w:rPr>
        <w:b/>
        <w:noProof/>
        <w:sz w:val="18"/>
      </w:rPr>
      <w:t>2</w:t>
    </w:r>
    <w:r w:rsidRPr="009D1FB6">
      <w:rPr>
        <w:b/>
        <w:sz w:val="18"/>
      </w:rPr>
      <w:fldChar w:fldCharType="end"/>
    </w:r>
    <w:r>
      <w:rPr>
        <w:b/>
        <w:sz w:val="18"/>
      </w:rPr>
      <w:tab/>
    </w:r>
    <w:r>
      <w:t>GE.19-18238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9FB1" w14:textId="77777777" w:rsidR="009D1FB6" w:rsidRPr="009D1FB6" w:rsidRDefault="009D1FB6" w:rsidP="009D1FB6">
    <w:pPr>
      <w:pStyle w:val="a8"/>
      <w:tabs>
        <w:tab w:val="clear" w:pos="9639"/>
        <w:tab w:val="right" w:pos="9638"/>
      </w:tabs>
      <w:rPr>
        <w:b/>
        <w:sz w:val="18"/>
      </w:rPr>
    </w:pPr>
    <w:r>
      <w:t>GE.19-18238</w:t>
    </w:r>
    <w:r>
      <w:tab/>
    </w:r>
    <w:r w:rsidRPr="009D1FB6">
      <w:rPr>
        <w:b/>
        <w:sz w:val="18"/>
      </w:rPr>
      <w:fldChar w:fldCharType="begin"/>
    </w:r>
    <w:r w:rsidRPr="009D1FB6">
      <w:rPr>
        <w:b/>
        <w:sz w:val="18"/>
      </w:rPr>
      <w:instrText xml:space="preserve"> PAGE  \* MERGEFORMAT </w:instrText>
    </w:r>
    <w:r w:rsidRPr="009D1FB6">
      <w:rPr>
        <w:b/>
        <w:sz w:val="18"/>
      </w:rPr>
      <w:fldChar w:fldCharType="separate"/>
    </w:r>
    <w:r w:rsidRPr="009D1FB6">
      <w:rPr>
        <w:b/>
        <w:noProof/>
        <w:sz w:val="18"/>
      </w:rPr>
      <w:t>3</w:t>
    </w:r>
    <w:r w:rsidRPr="009D1F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785" w14:textId="77777777" w:rsidR="00042B72" w:rsidRPr="009D1FB6" w:rsidRDefault="009D1FB6" w:rsidP="009D1FB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A26E3F" wp14:editId="766C43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19-18238  (R)</w:t>
    </w:r>
    <w:r w:rsidR="004D7923">
      <w:t xml:space="preserve">  251019  291019</w:t>
    </w:r>
    <w:r>
      <w:br/>
    </w:r>
    <w:r w:rsidRPr="009D1FB6">
      <w:rPr>
        <w:rFonts w:ascii="C39T30Lfz" w:hAnsi="C39T30Lfz"/>
        <w:kern w:val="14"/>
        <w:sz w:val="56"/>
      </w:rPr>
      <w:t></w:t>
    </w:r>
    <w:r w:rsidRPr="009D1FB6">
      <w:rPr>
        <w:rFonts w:ascii="C39T30Lfz" w:hAnsi="C39T30Lfz"/>
        <w:kern w:val="14"/>
        <w:sz w:val="56"/>
      </w:rPr>
      <w:t></w:t>
    </w:r>
    <w:r w:rsidRPr="009D1FB6">
      <w:rPr>
        <w:rFonts w:ascii="C39T30Lfz" w:hAnsi="C39T30Lfz"/>
        <w:kern w:val="14"/>
        <w:sz w:val="56"/>
      </w:rPr>
      <w:t></w:t>
    </w:r>
    <w:r w:rsidRPr="009D1FB6">
      <w:rPr>
        <w:rFonts w:ascii="C39T30Lfz" w:hAnsi="C39T30Lfz"/>
        <w:kern w:val="14"/>
        <w:sz w:val="56"/>
      </w:rPr>
      <w:t></w:t>
    </w:r>
    <w:r w:rsidRPr="009D1FB6">
      <w:rPr>
        <w:rFonts w:ascii="C39T30Lfz" w:hAnsi="C39T30Lfz"/>
        <w:kern w:val="14"/>
        <w:sz w:val="56"/>
      </w:rPr>
      <w:t></w:t>
    </w:r>
    <w:r w:rsidRPr="009D1FB6">
      <w:rPr>
        <w:rFonts w:ascii="C39T30Lfz" w:hAnsi="C39T30Lfz"/>
        <w:kern w:val="14"/>
        <w:sz w:val="56"/>
      </w:rPr>
      <w:t></w:t>
    </w:r>
    <w:r w:rsidRPr="009D1FB6">
      <w:rPr>
        <w:rFonts w:ascii="C39T30Lfz" w:hAnsi="C39T30Lfz"/>
        <w:kern w:val="14"/>
        <w:sz w:val="56"/>
      </w:rPr>
      <w:t></w:t>
    </w:r>
    <w:r w:rsidRPr="009D1FB6">
      <w:rPr>
        <w:rFonts w:ascii="C39T30Lfz" w:hAnsi="C39T30Lfz"/>
        <w:kern w:val="14"/>
        <w:sz w:val="56"/>
      </w:rPr>
      <w:t></w:t>
    </w:r>
    <w:r w:rsidRPr="009D1FB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E61E547" wp14:editId="6CA5ABE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OPAC/PAN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AC/PAN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3FE71" w14:textId="77777777" w:rsidR="00ED44CD" w:rsidRPr="001075E9" w:rsidRDefault="00ED44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148181" w14:textId="77777777" w:rsidR="00ED44CD" w:rsidRDefault="00ED44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C1D32E" w14:textId="77777777" w:rsidR="009D1FB6" w:rsidRPr="003C4A39" w:rsidRDefault="009D1FB6" w:rsidP="009D1FB6">
      <w:pPr>
        <w:pStyle w:val="ad"/>
        <w:jc w:val="both"/>
      </w:pPr>
      <w:r>
        <w:tab/>
      </w:r>
      <w:r w:rsidRPr="004D7923">
        <w:rPr>
          <w:sz w:val="20"/>
        </w:rPr>
        <w:t>*</w:t>
      </w:r>
      <w:r>
        <w:tab/>
        <w:t xml:space="preserve">Приняты Комитетом на его </w:t>
      </w:r>
      <w:r w:rsidR="004D7923">
        <w:t>восемьдесят второй</w:t>
      </w:r>
      <w:r>
        <w:t xml:space="preserve"> сессии (9–27 сентября 2019 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8C0E" w14:textId="7F1CD600" w:rsidR="009D1FB6" w:rsidRPr="009D1FB6" w:rsidRDefault="009D1FB6">
    <w:pPr>
      <w:pStyle w:val="a5"/>
    </w:pPr>
    <w:fldSimple w:instr=" TITLE  \* MERGEFORMAT ">
      <w:r w:rsidR="00BF7F35">
        <w:t>CRC/C/OPAC/PAN/CO/1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08CC" w14:textId="1C75B967" w:rsidR="009D1FB6" w:rsidRPr="009D1FB6" w:rsidRDefault="009D1FB6" w:rsidP="009D1FB6">
    <w:pPr>
      <w:pStyle w:val="a5"/>
      <w:jc w:val="right"/>
    </w:pPr>
    <w:fldSimple w:instr=" TITLE  \* MERGEFORMAT ">
      <w:r w:rsidR="00BF7F35">
        <w:t>CRC/C/OPAC/PAN/CO/1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CD"/>
    <w:rsid w:val="00033EE1"/>
    <w:rsid w:val="00042B72"/>
    <w:rsid w:val="000558BD"/>
    <w:rsid w:val="000B57E7"/>
    <w:rsid w:val="000B6373"/>
    <w:rsid w:val="000E3174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D7923"/>
    <w:rsid w:val="004F57F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4AB1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16D3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9D1FB6"/>
    <w:rsid w:val="00A10705"/>
    <w:rsid w:val="00A14DA8"/>
    <w:rsid w:val="00A312BC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BF7F35"/>
    <w:rsid w:val="00C106D6"/>
    <w:rsid w:val="00C45D65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D44CD"/>
    <w:rsid w:val="00EE112E"/>
    <w:rsid w:val="00EF1360"/>
    <w:rsid w:val="00EF3220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6A6564"/>
  <w15:docId w15:val="{36256B4F-D421-42F0-8886-99C1824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6</Pages>
  <Words>1801</Words>
  <Characters>13230</Characters>
  <Application>Microsoft Office Word</Application>
  <DocSecurity>0</DocSecurity>
  <Lines>256</Lines>
  <Paragraphs>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CRC/C/OPAC/PAN/CO/1</vt:lpstr>
      <vt:lpstr>A/</vt:lpstr>
      <vt:lpstr>A/</vt:lpstr>
    </vt:vector>
  </TitlesOfParts>
  <Company>DCM</Company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CRC/C/OPAC/PAN/CO/1</dc:title>
  <dc:subject/>
  <dc:creator>Uliana ANTIPOVA</dc:creator>
  <cp:keywords/>
  <cp:lastModifiedBy>Uliana ANTIPOVA</cp:lastModifiedBy>
  <cp:revision>3</cp:revision>
  <cp:lastPrinted>2019-10-29T08:51:00Z</cp:lastPrinted>
  <dcterms:created xsi:type="dcterms:W3CDTF">2019-10-29T08:51:00Z</dcterms:created>
  <dcterms:modified xsi:type="dcterms:W3CDTF">2019-10-29T08:52:00Z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