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43" w:rsidRPr="0089473B" w:rsidRDefault="00BD7143" w:rsidP="00BD7143">
      <w:pPr>
        <w:spacing w:line="240" w:lineRule="auto"/>
        <w:rPr>
          <w:sz w:val="2"/>
        </w:rPr>
        <w:sectPr w:rsidR="00BD7143" w:rsidRPr="0089473B" w:rsidSect="00BD714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89473B">
        <w:rPr>
          <w:rStyle w:val="CommentReference"/>
        </w:rPr>
        <w:commentReference w:id="0"/>
      </w:r>
    </w:p>
    <w:p w:rsidR="00C63112" w:rsidRPr="00C63112" w:rsidRDefault="00C63112" w:rsidP="00C63112">
      <w:pPr>
        <w:pStyle w:val="H1"/>
        <w:spacing w:line="120" w:lineRule="exact"/>
        <w:ind w:right="1260"/>
        <w:rPr>
          <w:sz w:val="10"/>
        </w:rPr>
      </w:pPr>
    </w:p>
    <w:p w:rsidR="00C63112" w:rsidRPr="002218FD" w:rsidRDefault="00C63112" w:rsidP="00C63112">
      <w:pPr>
        <w:pStyle w:val="H1"/>
        <w:ind w:right="1260"/>
      </w:pPr>
      <w:r w:rsidRPr="002218FD">
        <w:t>Committee on the Rights of the Child</w:t>
      </w:r>
    </w:p>
    <w:p w:rsidR="00C63112" w:rsidRPr="002218FD" w:rsidRDefault="00C63112" w:rsidP="00C63112">
      <w:pPr>
        <w:pStyle w:val="H23"/>
        <w:ind w:right="1260"/>
      </w:pPr>
      <w:r w:rsidRPr="002218FD">
        <w:t>Seventieth session</w:t>
      </w:r>
    </w:p>
    <w:p w:rsidR="00C63112" w:rsidRPr="002218FD" w:rsidRDefault="00C63112" w:rsidP="00C631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218FD">
        <w:t>14 September-2 October 2015</w:t>
      </w:r>
    </w:p>
    <w:p w:rsidR="00C63112" w:rsidRPr="002218FD" w:rsidRDefault="00C63112" w:rsidP="00C631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218FD">
        <w:t>Item 4 of the provisional agenda</w:t>
      </w:r>
    </w:p>
    <w:p w:rsidR="00C63112" w:rsidRPr="002218FD" w:rsidRDefault="00C63112" w:rsidP="00C63112">
      <w:pPr>
        <w:pStyle w:val="H23"/>
        <w:ind w:right="1260"/>
      </w:pPr>
      <w:r w:rsidRPr="002218FD">
        <w:t>Consideration of reports of States parties</w:t>
      </w:r>
    </w:p>
    <w:p w:rsidR="00C63112" w:rsidRPr="00C63112" w:rsidRDefault="00C63112" w:rsidP="00C63112">
      <w:pPr>
        <w:pStyle w:val="HCh"/>
        <w:spacing w:line="120" w:lineRule="exact"/>
        <w:ind w:left="1267" w:right="1260" w:hanging="1267"/>
        <w:rPr>
          <w:sz w:val="10"/>
        </w:rPr>
      </w:pPr>
    </w:p>
    <w:p w:rsidR="00C63112" w:rsidRPr="00C63112" w:rsidRDefault="00C63112" w:rsidP="00C63112">
      <w:pPr>
        <w:pStyle w:val="HCh"/>
        <w:spacing w:line="120" w:lineRule="exact"/>
        <w:ind w:left="1267" w:right="1260" w:hanging="1267"/>
        <w:rPr>
          <w:sz w:val="10"/>
        </w:rPr>
      </w:pPr>
    </w:p>
    <w:p w:rsidR="00C63112" w:rsidRPr="00C63112" w:rsidRDefault="00C63112" w:rsidP="00C63112">
      <w:pPr>
        <w:pStyle w:val="HCh"/>
        <w:spacing w:line="120" w:lineRule="exact"/>
        <w:ind w:left="1267" w:right="1260" w:hanging="1267"/>
        <w:rPr>
          <w:sz w:val="10"/>
        </w:rPr>
      </w:pPr>
    </w:p>
    <w:p w:rsidR="00C63112" w:rsidRPr="002218FD" w:rsidRDefault="00C63112" w:rsidP="00C63112">
      <w:pPr>
        <w:pStyle w:val="HCh"/>
        <w:ind w:left="1267" w:right="1260" w:hanging="1267"/>
      </w:pPr>
      <w:r w:rsidRPr="002218FD">
        <w:tab/>
      </w:r>
      <w:r w:rsidRPr="002218FD">
        <w:tab/>
        <w:t>List of issues in relation to the report submitted by Cuba under article 8, paragraph 1, of the Optional Protocol to the Convention on the Rights of the Child on the involvement of children in armed conflict</w:t>
      </w:r>
    </w:p>
    <w:p w:rsidR="00C63112" w:rsidRPr="00C63112" w:rsidRDefault="00C63112" w:rsidP="00C63112">
      <w:pPr>
        <w:pStyle w:val="H23"/>
        <w:spacing w:line="120" w:lineRule="exact"/>
        <w:ind w:right="1260"/>
        <w:rPr>
          <w:sz w:val="10"/>
        </w:rPr>
      </w:pPr>
    </w:p>
    <w:p w:rsidR="00C63112" w:rsidRPr="002218FD" w:rsidRDefault="00C63112" w:rsidP="00C63112">
      <w:pPr>
        <w:pStyle w:val="H23"/>
        <w:ind w:right="1260"/>
      </w:pPr>
      <w:r w:rsidRPr="002218FD">
        <w:tab/>
      </w:r>
      <w:r w:rsidRPr="002218FD">
        <w:tab/>
        <w:t>Addendum</w:t>
      </w:r>
    </w:p>
    <w:p w:rsidR="00C63112" w:rsidRPr="00C63112" w:rsidRDefault="00C63112" w:rsidP="00C63112">
      <w:pPr>
        <w:pStyle w:val="HCh"/>
        <w:spacing w:line="120" w:lineRule="exact"/>
        <w:ind w:left="1267" w:right="1260" w:hanging="1267"/>
        <w:rPr>
          <w:sz w:val="10"/>
        </w:rPr>
      </w:pPr>
    </w:p>
    <w:p w:rsidR="00C63112" w:rsidRPr="00C63112" w:rsidRDefault="00C63112" w:rsidP="00C63112">
      <w:pPr>
        <w:pStyle w:val="SingleTxt"/>
        <w:spacing w:after="0" w:line="120" w:lineRule="exact"/>
        <w:rPr>
          <w:sz w:val="10"/>
        </w:rPr>
      </w:pPr>
    </w:p>
    <w:p w:rsidR="00C63112" w:rsidRPr="002218FD" w:rsidRDefault="00C63112" w:rsidP="00C63112">
      <w:pPr>
        <w:pStyle w:val="HCh"/>
        <w:ind w:left="1267" w:right="1260" w:hanging="1267"/>
      </w:pPr>
      <w:r w:rsidRPr="002218FD">
        <w:tab/>
      </w:r>
      <w:r w:rsidRPr="002218FD">
        <w:tab/>
        <w:t>Replies of Cuba to the list of issues</w:t>
      </w:r>
      <w:r w:rsidRPr="00C63112">
        <w:rPr>
          <w:b w:val="0"/>
          <w:bCs/>
          <w:sz w:val="20"/>
        </w:rPr>
        <w:footnoteReference w:customMarkFollows="1" w:id="1"/>
        <w:t>*</w:t>
      </w:r>
    </w:p>
    <w:p w:rsidR="00C63112" w:rsidRPr="00C63112" w:rsidRDefault="00C63112" w:rsidP="00C63112">
      <w:pPr>
        <w:pStyle w:val="SingleTxt"/>
        <w:spacing w:after="0" w:line="120" w:lineRule="exact"/>
        <w:jc w:val="right"/>
        <w:rPr>
          <w:sz w:val="10"/>
        </w:rPr>
      </w:pPr>
    </w:p>
    <w:p w:rsidR="00C63112" w:rsidRPr="00C63112" w:rsidRDefault="00C63112" w:rsidP="00C63112">
      <w:pPr>
        <w:pStyle w:val="SingleTxt"/>
        <w:spacing w:after="0" w:line="120" w:lineRule="exact"/>
        <w:jc w:val="right"/>
        <w:rPr>
          <w:sz w:val="10"/>
        </w:rPr>
      </w:pPr>
    </w:p>
    <w:p w:rsidR="00C63112" w:rsidRPr="002218FD" w:rsidRDefault="00C63112" w:rsidP="00C63112">
      <w:pPr>
        <w:pStyle w:val="SingleTxt"/>
        <w:jc w:val="right"/>
      </w:pPr>
      <w:r w:rsidRPr="002218FD">
        <w:t>[Date received: 10 March 2015]</w:t>
      </w:r>
    </w:p>
    <w:p w:rsidR="00C63112" w:rsidRPr="00C63112" w:rsidRDefault="00C63112" w:rsidP="00C63112">
      <w:pPr>
        <w:pStyle w:val="H1"/>
        <w:spacing w:line="120" w:lineRule="exact"/>
        <w:ind w:right="1260"/>
        <w:rPr>
          <w:sz w:val="10"/>
        </w:rPr>
      </w:pPr>
    </w:p>
    <w:p w:rsidR="00C63112" w:rsidRPr="00C63112" w:rsidRDefault="00C63112" w:rsidP="00C63112">
      <w:pPr>
        <w:pStyle w:val="H1"/>
        <w:spacing w:line="120" w:lineRule="exact"/>
        <w:ind w:right="1260"/>
        <w:rPr>
          <w:sz w:val="10"/>
        </w:rPr>
      </w:pPr>
    </w:p>
    <w:p w:rsidR="00C63112" w:rsidRPr="002218FD" w:rsidRDefault="00C63112" w:rsidP="00C63112">
      <w:pPr>
        <w:pStyle w:val="H1"/>
        <w:ind w:right="1260"/>
      </w:pPr>
      <w:r>
        <w:tab/>
      </w:r>
      <w:r>
        <w:tab/>
      </w:r>
      <w:r w:rsidRPr="002218FD">
        <w:t>Reply to paragraph 1 of the list of issues</w:t>
      </w:r>
    </w:p>
    <w:p w:rsidR="00C63112" w:rsidRPr="00C63112" w:rsidRDefault="00C63112" w:rsidP="00C63112">
      <w:pPr>
        <w:pStyle w:val="SingleTxt"/>
        <w:spacing w:after="0" w:line="120" w:lineRule="exact"/>
        <w:rPr>
          <w:sz w:val="10"/>
        </w:rPr>
      </w:pPr>
    </w:p>
    <w:p w:rsidR="00C63112" w:rsidRPr="00C63112" w:rsidRDefault="00C63112" w:rsidP="00C63112">
      <w:pPr>
        <w:pStyle w:val="SingleTxt"/>
        <w:spacing w:after="0" w:line="120" w:lineRule="exact"/>
        <w:rPr>
          <w:sz w:val="10"/>
        </w:rPr>
      </w:pPr>
    </w:p>
    <w:p w:rsidR="00C63112" w:rsidRPr="002218FD" w:rsidRDefault="00C63112" w:rsidP="000D5201">
      <w:pPr>
        <w:pStyle w:val="SingleTxt"/>
      </w:pPr>
      <w:r w:rsidRPr="002218FD">
        <w:t>1.</w:t>
      </w:r>
      <w:r w:rsidRPr="002218FD">
        <w:tab/>
        <w:t xml:space="preserve">In drafting the initial report of Cuba under the Optional Protocol to the Convention on the Rights of the Child on the involvement of children in armed conflict, the Government of Cuba followed the guidelines </w:t>
      </w:r>
      <w:r w:rsidR="000D5201">
        <w:t>laid down</w:t>
      </w:r>
      <w:r w:rsidRPr="002218FD">
        <w:t xml:space="preserve"> by the Committee (CRC/OP/AC/1).</w:t>
      </w:r>
    </w:p>
    <w:p w:rsidR="00C63112" w:rsidRPr="002218FD" w:rsidRDefault="00C63112" w:rsidP="000D5201">
      <w:pPr>
        <w:pStyle w:val="SingleTxt"/>
      </w:pPr>
      <w:r w:rsidRPr="002218FD">
        <w:t>2.</w:t>
      </w:r>
      <w:r w:rsidRPr="002218FD">
        <w:tab/>
        <w:t>The report contains a wealth of statistical information that reflects the situation in the country and the progress made in promoting the well-being of children and adolescents. The country</w:t>
      </w:r>
      <w:r w:rsidR="004E382D">
        <w:t>’</w:t>
      </w:r>
      <w:r w:rsidRPr="002218FD">
        <w:t xml:space="preserve">s main social indicators clearly place it in the vanguard of developing countries and at a level comparable </w:t>
      </w:r>
      <w:r w:rsidR="000D5201">
        <w:t>with</w:t>
      </w:r>
      <w:r w:rsidRPr="002218FD">
        <w:t xml:space="preserve"> that of developed countries.</w:t>
      </w:r>
    </w:p>
    <w:p w:rsidR="00C63112" w:rsidRPr="002218FD" w:rsidRDefault="00C63112" w:rsidP="00C63112">
      <w:pPr>
        <w:pStyle w:val="SingleTxt"/>
      </w:pPr>
      <w:r w:rsidRPr="002218FD">
        <w:t>3.</w:t>
      </w:r>
      <w:r w:rsidRPr="002218FD">
        <w:tab/>
        <w:t>The drafting process involved the establishment of an inter-institutional working group led by the Ministry of Foreign Affairs and comprising representatives of many government and State institutions, non-governmental organizations and civil society in general.</w:t>
      </w:r>
    </w:p>
    <w:p w:rsidR="00C63112" w:rsidRPr="002218FD" w:rsidRDefault="00C63112" w:rsidP="00E4421C">
      <w:pPr>
        <w:pStyle w:val="SingleTxt"/>
      </w:pPr>
      <w:r w:rsidRPr="002218FD">
        <w:t>4.</w:t>
      </w:r>
      <w:r w:rsidRPr="002218FD">
        <w:tab/>
        <w:t xml:space="preserve">The Working Group carried out a careful, objective assessment of the implementation, and </w:t>
      </w:r>
      <w:r w:rsidR="000D5201">
        <w:t>observance of</w:t>
      </w:r>
      <w:r w:rsidRPr="002218FD">
        <w:t xml:space="preserve"> the Optional Protocol with the aim of </w:t>
      </w:r>
      <w:r w:rsidR="00E4421C">
        <w:t>presenting</w:t>
      </w:r>
      <w:r w:rsidRPr="002218FD">
        <w:t xml:space="preserve"> the progress made and the challenges faced in its implementation. The data and information requested by the Committee were included in the resulting document, with the exception of </w:t>
      </w:r>
      <w:r w:rsidR="000D5201">
        <w:t>questions of no relevance to the life of</w:t>
      </w:r>
      <w:r w:rsidR="004E382D">
        <w:t xml:space="preserve"> </w:t>
      </w:r>
      <w:r w:rsidRPr="002218FD">
        <w:t>the country.</w:t>
      </w:r>
    </w:p>
    <w:p w:rsidR="000D5201" w:rsidRDefault="000D5201" w:rsidP="004D79A6">
      <w:pPr>
        <w:pStyle w:val="H1"/>
        <w:spacing w:line="120" w:lineRule="exact"/>
        <w:ind w:left="1264" w:right="1260"/>
        <w:rPr>
          <w:sz w:val="10"/>
        </w:rPr>
      </w:pPr>
    </w:p>
    <w:p w:rsidR="000D5201" w:rsidRPr="000D5201" w:rsidRDefault="000D5201" w:rsidP="004D79A6">
      <w:pPr>
        <w:pStyle w:val="SingleTxt"/>
        <w:keepNext/>
        <w:spacing w:after="0" w:line="120" w:lineRule="exact"/>
        <w:ind w:left="1264"/>
        <w:rPr>
          <w:sz w:val="10"/>
        </w:rPr>
      </w:pPr>
    </w:p>
    <w:p w:rsidR="00C63112" w:rsidRPr="002218FD" w:rsidRDefault="000D5201" w:rsidP="000D5201">
      <w:pPr>
        <w:pStyle w:val="H1"/>
        <w:ind w:right="1260"/>
      </w:pPr>
      <w:r>
        <w:tab/>
      </w:r>
      <w:r>
        <w:tab/>
      </w:r>
      <w:r w:rsidR="00C63112" w:rsidRPr="002218FD">
        <w:t>Reply to paragraph 2 of the list of issues</w:t>
      </w:r>
    </w:p>
    <w:p w:rsidR="000D5201" w:rsidRDefault="000D5201" w:rsidP="000D5201">
      <w:pPr>
        <w:pStyle w:val="SingleTxt"/>
        <w:spacing w:after="0" w:line="120" w:lineRule="exact"/>
        <w:rPr>
          <w:sz w:val="10"/>
        </w:rPr>
      </w:pPr>
    </w:p>
    <w:p w:rsidR="000D5201" w:rsidRPr="000D5201" w:rsidRDefault="000D5201" w:rsidP="000D5201">
      <w:pPr>
        <w:pStyle w:val="SingleTxt"/>
        <w:spacing w:after="0" w:line="120" w:lineRule="exact"/>
        <w:rPr>
          <w:sz w:val="10"/>
        </w:rPr>
      </w:pPr>
    </w:p>
    <w:p w:rsidR="00C63112" w:rsidRPr="002218FD" w:rsidRDefault="00C63112" w:rsidP="00262352">
      <w:pPr>
        <w:pStyle w:val="SingleTxt"/>
      </w:pPr>
      <w:r w:rsidRPr="002218FD">
        <w:t>5.</w:t>
      </w:r>
      <w:r w:rsidRPr="002218FD">
        <w:tab/>
        <w:t>As of 2013, First Vice</w:t>
      </w:r>
      <w:r w:rsidR="000D5201">
        <w:t>-</w:t>
      </w:r>
      <w:r w:rsidRPr="002218FD">
        <w:t>President Miguel Díaz-Canel Bermúdez is the designated authority</w:t>
      </w:r>
      <w:r w:rsidRPr="00831BF5">
        <w:rPr>
          <w:color w:val="943634" w:themeColor="accent2" w:themeShade="BF"/>
          <w:spacing w:val="-5"/>
          <w:w w:val="130"/>
          <w:position w:val="-4"/>
          <w:sz w:val="17"/>
          <w:vertAlign w:val="superscript"/>
        </w:rPr>
        <w:footnoteReference w:id="2"/>
      </w:r>
      <w:r w:rsidRPr="00831BF5">
        <w:rPr>
          <w:color w:val="943634" w:themeColor="accent2" w:themeShade="BF"/>
          <w:spacing w:val="-5"/>
          <w:w w:val="130"/>
          <w:position w:val="-4"/>
          <w:sz w:val="17"/>
          <w:vertAlign w:val="superscript"/>
        </w:rPr>
        <w:t xml:space="preserve"> </w:t>
      </w:r>
      <w:r w:rsidRPr="002218FD">
        <w:t>in the country for coordinating the protection and supervision of children</w:t>
      </w:r>
      <w:r w:rsidR="004E382D">
        <w:t>’</w:t>
      </w:r>
      <w:r w:rsidRPr="002218FD">
        <w:t xml:space="preserve">s rights. </w:t>
      </w:r>
      <w:r w:rsidR="00E52C2E">
        <w:t>Consideration is currently being given to t</w:t>
      </w:r>
      <w:r w:rsidRPr="002218FD">
        <w:t xml:space="preserve">he creation of an entity responsible for </w:t>
      </w:r>
      <w:r w:rsidR="00E52C2E">
        <w:t xml:space="preserve">the welfare of </w:t>
      </w:r>
      <w:r w:rsidRPr="002218FD">
        <w:t>children and adolescents and for monitoring prevention-based policies.</w:t>
      </w:r>
    </w:p>
    <w:p w:rsidR="00C63112" w:rsidRPr="002218FD" w:rsidRDefault="00C63112" w:rsidP="00262352">
      <w:pPr>
        <w:pStyle w:val="SingleTxt"/>
      </w:pPr>
      <w:r w:rsidRPr="002218FD">
        <w:t>6.</w:t>
      </w:r>
      <w:r w:rsidRPr="002218FD">
        <w:tab/>
        <w:t xml:space="preserve">Moreover, the priority treatment afforded to the rights of children and adolescents in Cuba by the Government and other State agencies is intersectoral and multidisciplinary. Each of the bodies involved coordinates the activities that fall within its competence with </w:t>
      </w:r>
      <w:r w:rsidR="00262352">
        <w:t xml:space="preserve">those of </w:t>
      </w:r>
      <w:r w:rsidRPr="002218FD">
        <w:t>other</w:t>
      </w:r>
      <w:r w:rsidR="00262352">
        <w:t>,</w:t>
      </w:r>
      <w:r w:rsidRPr="002218FD">
        <w:t xml:space="preserve"> related bodies and institutions at the national, provincial and municipal levels.</w:t>
      </w:r>
    </w:p>
    <w:p w:rsidR="00C63112" w:rsidRPr="002218FD" w:rsidRDefault="00C63112" w:rsidP="00262352">
      <w:pPr>
        <w:pStyle w:val="SingleTxt"/>
      </w:pPr>
      <w:r w:rsidRPr="002218FD">
        <w:t>7.</w:t>
      </w:r>
      <w:r w:rsidRPr="002218FD">
        <w:tab/>
        <w:t>The Standing Commission on Children, Youth and Equal Rights for Women of the People</w:t>
      </w:r>
      <w:r w:rsidR="004E382D">
        <w:t>’</w:t>
      </w:r>
      <w:r w:rsidRPr="002218FD">
        <w:t xml:space="preserve">s National Assembly, which is the supreme organ of State authority, carries out the important tasks of consultation, evaluation, investigation and monitoring with a view to assisting and protecting the rights of children, adolescents, young people and women. The Commission has full authority and capacity to monitor and coordinate </w:t>
      </w:r>
      <w:r w:rsidR="00262352">
        <w:t xml:space="preserve">the </w:t>
      </w:r>
      <w:r w:rsidRPr="002218FD">
        <w:t xml:space="preserve">activities </w:t>
      </w:r>
      <w:r w:rsidR="00262352">
        <w:t>of</w:t>
      </w:r>
      <w:r w:rsidRPr="002218FD">
        <w:t xml:space="preserve"> national and local authorities </w:t>
      </w:r>
      <w:r w:rsidR="00262352">
        <w:t xml:space="preserve">in the </w:t>
      </w:r>
      <w:r w:rsidRPr="002218FD">
        <w:t>provinces and municipalities.</w:t>
      </w:r>
    </w:p>
    <w:p w:rsidR="00C63112" w:rsidRPr="002218FD" w:rsidRDefault="00C63112" w:rsidP="00C63112">
      <w:pPr>
        <w:pStyle w:val="SingleTxt"/>
      </w:pPr>
      <w:r w:rsidRPr="002218FD">
        <w:t>8.</w:t>
      </w:r>
      <w:r w:rsidRPr="002218FD">
        <w:tab/>
        <w:t>The Commission has the power to propose legislation (Constitution, art. 88) and it has analysed and introduced a number of laws and other legal measures, as well as measures to ensure their effectiveness, in matters related to children and women.</w:t>
      </w:r>
    </w:p>
    <w:p w:rsidR="00C63112" w:rsidRPr="002218FD" w:rsidRDefault="00C63112" w:rsidP="00DD43D8">
      <w:pPr>
        <w:pStyle w:val="SingleTxt"/>
      </w:pPr>
      <w:r w:rsidRPr="002218FD">
        <w:t>9.</w:t>
      </w:r>
      <w:r w:rsidRPr="002218FD">
        <w:tab/>
        <w:t xml:space="preserve">In addition, representatives of Cuban civil society, particularly those </w:t>
      </w:r>
      <w:r w:rsidR="00262352">
        <w:t>involved in providing</w:t>
      </w:r>
      <w:r w:rsidRPr="002218FD">
        <w:t xml:space="preserve"> care to children and adolescents</w:t>
      </w:r>
      <w:r w:rsidR="00262352">
        <w:t>, such as t</w:t>
      </w:r>
      <w:r w:rsidR="00262352" w:rsidRPr="00262352">
        <w:t xml:space="preserve">he Federation of Cuban Women, the Federation of Senior Secondary School Students, the José Martí Pioneers Organization and </w:t>
      </w:r>
      <w:r w:rsidR="00262352">
        <w:t>Centro de Estudios sobre Juvent</w:t>
      </w:r>
      <w:r w:rsidR="00DD43D8">
        <w:t>u</w:t>
      </w:r>
      <w:r w:rsidR="00262352">
        <w:t>d</w:t>
      </w:r>
      <w:r w:rsidR="00262352" w:rsidRPr="00262352">
        <w:t xml:space="preserve"> </w:t>
      </w:r>
      <w:r w:rsidR="00262352">
        <w:t>(</w:t>
      </w:r>
      <w:r w:rsidR="00262352" w:rsidRPr="00262352">
        <w:t>Centre for Youth Studies</w:t>
      </w:r>
      <w:r w:rsidR="00262352">
        <w:t>)</w:t>
      </w:r>
      <w:r w:rsidR="00DD43D8">
        <w:t>,</w:t>
      </w:r>
      <w:r w:rsidRPr="002218FD">
        <w:t xml:space="preserve"> participate actively in joint efforts to implement the Convention and its Protocols.</w:t>
      </w:r>
    </w:p>
    <w:p w:rsidR="000D5201" w:rsidRDefault="000D5201" w:rsidP="000D5201">
      <w:pPr>
        <w:pStyle w:val="H1"/>
        <w:spacing w:line="120" w:lineRule="exact"/>
        <w:ind w:right="1260"/>
        <w:rPr>
          <w:sz w:val="10"/>
        </w:rPr>
      </w:pPr>
    </w:p>
    <w:p w:rsidR="00262352" w:rsidRPr="00262352" w:rsidRDefault="00262352" w:rsidP="00262352">
      <w:pPr>
        <w:pStyle w:val="SingleTxt"/>
        <w:spacing w:after="0" w:line="120" w:lineRule="exact"/>
        <w:rPr>
          <w:sz w:val="10"/>
        </w:rPr>
      </w:pPr>
    </w:p>
    <w:p w:rsidR="00C63112" w:rsidRPr="002218FD" w:rsidRDefault="000D5201" w:rsidP="000D5201">
      <w:pPr>
        <w:pStyle w:val="H1"/>
        <w:ind w:right="1260"/>
      </w:pPr>
      <w:r>
        <w:tab/>
      </w:r>
      <w:r>
        <w:tab/>
      </w:r>
      <w:r w:rsidR="00C63112" w:rsidRPr="002218FD">
        <w:t>Reply to paragraph 3 of the list of issues</w:t>
      </w:r>
    </w:p>
    <w:p w:rsidR="000D5201" w:rsidRDefault="000D5201" w:rsidP="000D5201">
      <w:pPr>
        <w:pStyle w:val="SingleTxt"/>
        <w:spacing w:after="0" w:line="120" w:lineRule="exact"/>
        <w:rPr>
          <w:sz w:val="10"/>
        </w:rPr>
      </w:pPr>
    </w:p>
    <w:p w:rsidR="00262352" w:rsidRPr="000D5201" w:rsidRDefault="00262352" w:rsidP="000D5201">
      <w:pPr>
        <w:pStyle w:val="SingleTxt"/>
        <w:spacing w:after="0" w:line="120" w:lineRule="exact"/>
        <w:rPr>
          <w:sz w:val="10"/>
        </w:rPr>
      </w:pPr>
    </w:p>
    <w:p w:rsidR="00C63112" w:rsidRPr="002218FD" w:rsidRDefault="00C63112" w:rsidP="00D10A00">
      <w:pPr>
        <w:pStyle w:val="SingleTxt"/>
      </w:pPr>
      <w:r w:rsidRPr="002218FD">
        <w:t>10.</w:t>
      </w:r>
      <w:r w:rsidRPr="002218FD">
        <w:tab/>
        <w:t xml:space="preserve">In accordance with National Defence Act No. 75 of 21 December 1994, young men are </w:t>
      </w:r>
      <w:r w:rsidR="00D10A00">
        <w:t>enrolled</w:t>
      </w:r>
      <w:r w:rsidRPr="002218FD">
        <w:t xml:space="preserve"> in the military </w:t>
      </w:r>
      <w:r w:rsidR="00D10A00">
        <w:t xml:space="preserve">register </w:t>
      </w:r>
      <w:r w:rsidRPr="002218FD">
        <w:t>in the year in which they turn 16.</w:t>
      </w:r>
    </w:p>
    <w:p w:rsidR="00C63112" w:rsidRPr="002218FD" w:rsidRDefault="00C63112" w:rsidP="00D10A00">
      <w:pPr>
        <w:pStyle w:val="SingleTxt"/>
      </w:pPr>
      <w:r w:rsidRPr="002218FD">
        <w:t>11.</w:t>
      </w:r>
      <w:r w:rsidRPr="002218FD">
        <w:tab/>
        <w:t xml:space="preserve">Between 2007 and 2013, 514,066 young people </w:t>
      </w:r>
      <w:r w:rsidR="00D10A00">
        <w:t>were enrolled</w:t>
      </w:r>
      <w:r w:rsidRPr="002218FD">
        <w:t xml:space="preserve">, which is </w:t>
      </w:r>
      <w:r w:rsidR="00D10A00">
        <w:t>proportionate</w:t>
      </w:r>
      <w:r w:rsidRPr="002218FD">
        <w:t xml:space="preserve"> with the country</w:t>
      </w:r>
      <w:r w:rsidR="004E382D">
        <w:t>’</w:t>
      </w:r>
      <w:r w:rsidRPr="002218FD">
        <w:t>s population.</w:t>
      </w:r>
    </w:p>
    <w:p w:rsidR="00C63112" w:rsidRPr="002218FD" w:rsidRDefault="00C63112" w:rsidP="00C63112">
      <w:pPr>
        <w:pStyle w:val="SingleTxt"/>
      </w:pPr>
      <w:r w:rsidRPr="002218FD">
        <w:t>12.</w:t>
      </w:r>
      <w:r w:rsidRPr="002218FD">
        <w:tab/>
        <w:t>Various preparatory and training activities take place prior to the recruitment process, including:</w:t>
      </w:r>
    </w:p>
    <w:p w:rsidR="00C63112" w:rsidRPr="002218FD" w:rsidRDefault="00C63112" w:rsidP="00D10A00">
      <w:pPr>
        <w:pStyle w:val="Bullet1"/>
      </w:pPr>
      <w:r w:rsidRPr="002218FD">
        <w:t>An assessment of prospective recruits</w:t>
      </w:r>
      <w:r w:rsidR="004E382D">
        <w:t>’</w:t>
      </w:r>
      <w:r w:rsidRPr="002218FD">
        <w:t xml:space="preserve"> medical fitness, which is </w:t>
      </w:r>
      <w:r w:rsidR="00D10A00">
        <w:t>undertaken</w:t>
      </w:r>
      <w:r w:rsidRPr="002218FD">
        <w:t xml:space="preserve"> by the Ministry of Public Health with the support of the Ministry of Education;</w:t>
      </w:r>
    </w:p>
    <w:p w:rsidR="00C63112" w:rsidRPr="002218FD" w:rsidRDefault="00C63112" w:rsidP="00D10A00">
      <w:pPr>
        <w:pStyle w:val="Bullet1"/>
      </w:pPr>
      <w:r w:rsidRPr="002218FD">
        <w:t>An evaluation of their economic, social and family situation and its possible impact on the</w:t>
      </w:r>
      <w:r w:rsidR="00D10A00">
        <w:t xml:space="preserve"> way they</w:t>
      </w:r>
      <w:r w:rsidRPr="002218FD">
        <w:t xml:space="preserve"> subsequent</w:t>
      </w:r>
      <w:r w:rsidR="00D10A00">
        <w:t>ly</w:t>
      </w:r>
      <w:r w:rsidRPr="002218FD">
        <w:t xml:space="preserve"> </w:t>
      </w:r>
      <w:r w:rsidR="00D10A00">
        <w:t>perform their military service</w:t>
      </w:r>
      <w:r w:rsidRPr="002218FD">
        <w:t>;</w:t>
      </w:r>
    </w:p>
    <w:p w:rsidR="00C63112" w:rsidRPr="002218FD" w:rsidRDefault="00C63112" w:rsidP="00D10A00">
      <w:pPr>
        <w:pStyle w:val="Bullet1"/>
      </w:pPr>
      <w:r w:rsidRPr="002218FD">
        <w:t>Technical training</w:t>
      </w:r>
      <w:r w:rsidR="00D10A00">
        <w:t xml:space="preserve"> similar to</w:t>
      </w:r>
      <w:r w:rsidRPr="002218FD">
        <w:t xml:space="preserve"> the technic</w:t>
      </w:r>
      <w:r w:rsidR="00D10A00">
        <w:t>al</w:t>
      </w:r>
      <w:r w:rsidRPr="002218FD">
        <w:t xml:space="preserve"> education given to young persons</w:t>
      </w:r>
      <w:r w:rsidR="004E382D">
        <w:t xml:space="preserve"> </w:t>
      </w:r>
      <w:r w:rsidR="00D10A00">
        <w:t xml:space="preserve">in civilian life in order </w:t>
      </w:r>
      <w:r w:rsidRPr="002218FD">
        <w:t xml:space="preserve">to enable them to </w:t>
      </w:r>
      <w:r w:rsidR="00D10A00">
        <w:t>fulfil the same kind of duties</w:t>
      </w:r>
      <w:r w:rsidRPr="002218FD">
        <w:t xml:space="preserve"> within the Revolutionary Armed Forces.</w:t>
      </w:r>
    </w:p>
    <w:p w:rsidR="00C63112" w:rsidRPr="002218FD" w:rsidRDefault="00C63112" w:rsidP="00DD43D8">
      <w:pPr>
        <w:pStyle w:val="SingleTxt"/>
      </w:pPr>
      <w:r w:rsidRPr="002218FD">
        <w:t>13.</w:t>
      </w:r>
      <w:r w:rsidRPr="002218FD">
        <w:tab/>
        <w:t>The authorities responsible for preparing pre-recruitment training activities are the municipal military committees, in accordance with Order No. 1</w:t>
      </w:r>
      <w:r w:rsidR="00D10A00">
        <w:t>,</w:t>
      </w:r>
      <w:r w:rsidRPr="002218FD">
        <w:t xml:space="preserve"> </w:t>
      </w:r>
      <w:r w:rsidR="00D10A00" w:rsidRPr="002218FD">
        <w:t xml:space="preserve">issued by the </w:t>
      </w:r>
      <w:r w:rsidR="00DD43D8">
        <w:t xml:space="preserve">First </w:t>
      </w:r>
      <w:r w:rsidR="00D10A00">
        <w:lastRenderedPageBreak/>
        <w:t>Deputy</w:t>
      </w:r>
      <w:r w:rsidR="00D10A00" w:rsidRPr="002218FD">
        <w:t xml:space="preserve"> Minister and Chief of the General Staff on 3 January 2013</w:t>
      </w:r>
      <w:r w:rsidR="00D10A00">
        <w:t xml:space="preserve">, </w:t>
      </w:r>
      <w:r w:rsidRPr="002218FD">
        <w:t xml:space="preserve">on </w:t>
      </w:r>
      <w:r w:rsidR="00D10A00">
        <w:t>the use of</w:t>
      </w:r>
      <w:r w:rsidRPr="002218FD">
        <w:t xml:space="preserve"> the handbook for military committees.</w:t>
      </w:r>
    </w:p>
    <w:p w:rsidR="00C63112" w:rsidRPr="002218FD" w:rsidRDefault="00C63112" w:rsidP="00D10A00">
      <w:pPr>
        <w:pStyle w:val="SingleTxt"/>
      </w:pPr>
      <w:r w:rsidRPr="002218FD">
        <w:t>14.</w:t>
      </w:r>
      <w:r w:rsidRPr="002218FD">
        <w:tab/>
      </w:r>
      <w:r w:rsidR="00D10A00">
        <w:t>Y</w:t>
      </w:r>
      <w:r w:rsidRPr="002218FD">
        <w:t xml:space="preserve">oung people receive military training from the time </w:t>
      </w:r>
      <w:r w:rsidR="00D10A00">
        <w:t>that</w:t>
      </w:r>
      <w:r w:rsidRPr="002218FD">
        <w:t xml:space="preserve"> they are enlisted</w:t>
      </w:r>
      <w:r w:rsidR="00D10A00">
        <w:t>, in any case</w:t>
      </w:r>
      <w:r w:rsidRPr="002218FD">
        <w:t>.</w:t>
      </w:r>
    </w:p>
    <w:p w:rsidR="00C63112" w:rsidRPr="002218FD" w:rsidRDefault="00C63112" w:rsidP="0038448D">
      <w:pPr>
        <w:pStyle w:val="SingleTxt"/>
      </w:pPr>
      <w:r w:rsidRPr="002218FD">
        <w:t>15.</w:t>
      </w:r>
      <w:r w:rsidRPr="002218FD">
        <w:tab/>
        <w:t xml:space="preserve">Young people who </w:t>
      </w:r>
      <w:r w:rsidR="0038448D">
        <w:t>refuse to comply with</w:t>
      </w:r>
      <w:r w:rsidRPr="002218FD">
        <w:t xml:space="preserve"> their military obligations are subject to the regulations established by Decree No. 164 of 13 August 1991 on violations </w:t>
      </w:r>
      <w:r w:rsidR="0038448D">
        <w:t>pertaining</w:t>
      </w:r>
      <w:r w:rsidRPr="002218FD">
        <w:t xml:space="preserve"> to general military service.</w:t>
      </w:r>
    </w:p>
    <w:p w:rsidR="00C63112" w:rsidRPr="002218FD" w:rsidRDefault="00C63112" w:rsidP="0038448D">
      <w:pPr>
        <w:pStyle w:val="SingleTxt"/>
      </w:pPr>
      <w:r w:rsidRPr="002218FD">
        <w:t>16.</w:t>
      </w:r>
      <w:r w:rsidRPr="002218FD">
        <w:tab/>
      </w:r>
      <w:r w:rsidR="0038448D">
        <w:t>A</w:t>
      </w:r>
      <w:r w:rsidR="0038448D" w:rsidRPr="002218FD">
        <w:t>rticle 1</w:t>
      </w:r>
      <w:r w:rsidRPr="002218FD">
        <w:t xml:space="preserve"> (a) and (d) stipulate that fines shall be imposed on persons who:</w:t>
      </w:r>
    </w:p>
    <w:p w:rsidR="00C63112" w:rsidRPr="002218FD" w:rsidRDefault="00C63112" w:rsidP="0038448D">
      <w:pPr>
        <w:pStyle w:val="Bullet1"/>
      </w:pPr>
      <w:r w:rsidRPr="002218FD">
        <w:t xml:space="preserve">Fail to appear when summoned by </w:t>
      </w:r>
      <w:r w:rsidR="0038448D">
        <w:t>the</w:t>
      </w:r>
      <w:r w:rsidRPr="002218FD">
        <w:t xml:space="preserve"> </w:t>
      </w:r>
      <w:r w:rsidR="0038448D" w:rsidRPr="002218FD">
        <w:t>Military Committee</w:t>
      </w:r>
      <w:r w:rsidRPr="002218FD">
        <w:t>;</w:t>
      </w:r>
    </w:p>
    <w:p w:rsidR="00C63112" w:rsidRPr="002218FD" w:rsidRDefault="00C63112" w:rsidP="0038448D">
      <w:pPr>
        <w:pStyle w:val="Bullet1"/>
      </w:pPr>
      <w:r w:rsidRPr="002218FD">
        <w:t xml:space="preserve">Do not </w:t>
      </w:r>
      <w:r w:rsidR="0038448D">
        <w:t>register</w:t>
      </w:r>
      <w:r w:rsidRPr="002218FD">
        <w:t xml:space="preserve"> for military service;</w:t>
      </w:r>
    </w:p>
    <w:p w:rsidR="00C63112" w:rsidRPr="002218FD" w:rsidRDefault="00C63112" w:rsidP="0038448D">
      <w:pPr>
        <w:pStyle w:val="Bullet1"/>
      </w:pPr>
      <w:r w:rsidRPr="002218FD">
        <w:t xml:space="preserve">Do not inform the competent authority of any changes in their identity, address, place of work or study, or </w:t>
      </w:r>
      <w:r w:rsidR="0038448D">
        <w:t xml:space="preserve">provide </w:t>
      </w:r>
      <w:r w:rsidRPr="002218FD">
        <w:t>any other information needed to keep their situation and status up to date in the military register;</w:t>
      </w:r>
    </w:p>
    <w:p w:rsidR="00C63112" w:rsidRPr="002218FD" w:rsidRDefault="0038448D" w:rsidP="0038448D">
      <w:pPr>
        <w:pStyle w:val="Bullet1"/>
      </w:pPr>
      <w:r>
        <w:t>Following their discharge from military service, fail to</w:t>
      </w:r>
      <w:r w:rsidR="00C63112" w:rsidRPr="002218FD">
        <w:t xml:space="preserve"> appear at a specified location within 30 days </w:t>
      </w:r>
      <w:r>
        <w:t>with a view to being formally re-enrolled in the military register</w:t>
      </w:r>
      <w:r w:rsidR="00C63112" w:rsidRPr="002218FD">
        <w:t>;</w:t>
      </w:r>
    </w:p>
    <w:p w:rsidR="00C63112" w:rsidRPr="002218FD" w:rsidRDefault="00C63112" w:rsidP="0038448D">
      <w:pPr>
        <w:pStyle w:val="Bullet1"/>
      </w:pPr>
      <w:r w:rsidRPr="002218FD">
        <w:t>Fail to attend military training programmes and combat assessments despite having been summoned to do so.</w:t>
      </w:r>
    </w:p>
    <w:p w:rsidR="00C63112" w:rsidRPr="002218FD" w:rsidRDefault="00C63112" w:rsidP="0038448D">
      <w:pPr>
        <w:pStyle w:val="SingleTxt"/>
      </w:pPr>
      <w:r w:rsidRPr="002218FD">
        <w:t>17.</w:t>
      </w:r>
      <w:r w:rsidRPr="002218FD">
        <w:tab/>
        <w:t xml:space="preserve">The authorities </w:t>
      </w:r>
      <w:r w:rsidR="0038448D">
        <w:t>with the power</w:t>
      </w:r>
      <w:r w:rsidRPr="002218FD">
        <w:t xml:space="preserve"> to impose fines for violations covered by the Decree are the heads of municipal military committees.</w:t>
      </w:r>
    </w:p>
    <w:p w:rsidR="00C63112" w:rsidRPr="002218FD" w:rsidRDefault="00C63112" w:rsidP="0038448D">
      <w:pPr>
        <w:pStyle w:val="SingleTxt"/>
      </w:pPr>
      <w:r w:rsidRPr="002218FD">
        <w:t>18.</w:t>
      </w:r>
      <w:r w:rsidRPr="002218FD">
        <w:tab/>
        <w:t xml:space="preserve">To date, no young persons have been </w:t>
      </w:r>
      <w:r w:rsidR="0038448D">
        <w:t>charged with</w:t>
      </w:r>
      <w:r w:rsidRPr="002218FD">
        <w:t xml:space="preserve"> failing to comply with their military obligations.</w:t>
      </w:r>
    </w:p>
    <w:p w:rsidR="00C63112" w:rsidRPr="002218FD" w:rsidRDefault="00C63112" w:rsidP="0038448D">
      <w:pPr>
        <w:pStyle w:val="SingleTxt"/>
      </w:pPr>
      <w:r w:rsidRPr="002218FD">
        <w:t>19.</w:t>
      </w:r>
      <w:r w:rsidRPr="002218FD">
        <w:tab/>
        <w:t xml:space="preserve">Pre-recruitment preparatory </w:t>
      </w:r>
      <w:r w:rsidR="0038448D">
        <w:t>activities</w:t>
      </w:r>
      <w:r w:rsidRPr="002218FD">
        <w:t xml:space="preserve"> and specialist military training differ from the activities undertaken by soldiers during their military service in that, even </w:t>
      </w:r>
      <w:r w:rsidR="0038448D">
        <w:t>though they are</w:t>
      </w:r>
      <w:r w:rsidRPr="002218FD">
        <w:t xml:space="preserve"> mandatory, they are not subject to military law.</w:t>
      </w:r>
    </w:p>
    <w:p w:rsidR="00C63112" w:rsidRPr="002218FD" w:rsidRDefault="00C63112" w:rsidP="0038448D">
      <w:pPr>
        <w:pStyle w:val="SingleTxt"/>
      </w:pPr>
      <w:r w:rsidRPr="002218FD">
        <w:t>20.</w:t>
      </w:r>
      <w:r w:rsidRPr="002218FD">
        <w:tab/>
        <w:t xml:space="preserve">Once they have formally registered for military service, young men commence the specialist military training and prevention, care and medical activities that are the prelude to recruitment. Educational work is also done with these young men beforehand by community organizations in their place of residence to </w:t>
      </w:r>
      <w:r w:rsidR="0038448D">
        <w:t>make sure they understand</w:t>
      </w:r>
      <w:r w:rsidRPr="002218FD">
        <w:t xml:space="preserve"> the importance of performing this duty, what it involves and </w:t>
      </w:r>
      <w:r w:rsidR="0038448D">
        <w:t xml:space="preserve">the </w:t>
      </w:r>
      <w:r w:rsidRPr="002218FD">
        <w:t>opportunities for resuming their education once it is over.</w:t>
      </w:r>
    </w:p>
    <w:p w:rsidR="00C63112" w:rsidRPr="002218FD" w:rsidRDefault="00C63112" w:rsidP="002101D0">
      <w:pPr>
        <w:pStyle w:val="SingleTxt"/>
      </w:pPr>
      <w:r w:rsidRPr="002218FD">
        <w:t>21.</w:t>
      </w:r>
      <w:r w:rsidRPr="002218FD">
        <w:tab/>
        <w:t xml:space="preserve">The preparatory and training activities undertaken during military service are defined in the Combat Readiness Programme followed by young people </w:t>
      </w:r>
      <w:r w:rsidR="0038448D">
        <w:t>at</w:t>
      </w:r>
      <w:r w:rsidRPr="002218FD">
        <w:t xml:space="preserve"> an early stage of basic training. The Programme lasts five weeks and ends with </w:t>
      </w:r>
      <w:r w:rsidR="0038448D">
        <w:t>shooting</w:t>
      </w:r>
      <w:r w:rsidRPr="002218FD">
        <w:t xml:space="preserve"> practice. Specialists and heads of small units receive an additional eight weeks of training, in which they are </w:t>
      </w:r>
      <w:r w:rsidR="002101D0">
        <w:t>taught</w:t>
      </w:r>
      <w:r w:rsidRPr="002218FD">
        <w:t xml:space="preserve"> basic </w:t>
      </w:r>
      <w:r w:rsidR="002101D0">
        <w:t>skills for the performance of their duties</w:t>
      </w:r>
      <w:r w:rsidRPr="002218FD">
        <w:t xml:space="preserve"> and responsibilities.</w:t>
      </w:r>
    </w:p>
    <w:p w:rsidR="0038448D" w:rsidRPr="0038448D" w:rsidRDefault="0038448D" w:rsidP="0038448D">
      <w:pPr>
        <w:pStyle w:val="H1"/>
        <w:spacing w:line="120" w:lineRule="exact"/>
        <w:ind w:right="1260"/>
        <w:rPr>
          <w:sz w:val="10"/>
        </w:rPr>
      </w:pPr>
    </w:p>
    <w:p w:rsidR="0038448D" w:rsidRPr="0038448D" w:rsidRDefault="0038448D" w:rsidP="0038448D">
      <w:pPr>
        <w:pStyle w:val="H1"/>
        <w:spacing w:line="120" w:lineRule="exact"/>
        <w:ind w:right="1260"/>
        <w:rPr>
          <w:sz w:val="10"/>
        </w:rPr>
      </w:pPr>
    </w:p>
    <w:p w:rsidR="00C63112" w:rsidRPr="002218FD" w:rsidRDefault="0038448D" w:rsidP="0038448D">
      <w:pPr>
        <w:pStyle w:val="H1"/>
        <w:ind w:right="1260"/>
      </w:pPr>
      <w:r>
        <w:tab/>
      </w:r>
      <w:r>
        <w:tab/>
      </w:r>
      <w:r w:rsidR="00C63112" w:rsidRPr="002218FD">
        <w:t>Reply to paragraph 4 of the list of issues</w:t>
      </w:r>
    </w:p>
    <w:p w:rsidR="0038448D" w:rsidRPr="0038448D" w:rsidRDefault="0038448D" w:rsidP="0038448D">
      <w:pPr>
        <w:pStyle w:val="SingleTxt"/>
        <w:spacing w:after="0" w:line="120" w:lineRule="exact"/>
        <w:rPr>
          <w:sz w:val="10"/>
        </w:rPr>
      </w:pPr>
    </w:p>
    <w:p w:rsidR="0038448D" w:rsidRPr="0038448D" w:rsidRDefault="0038448D" w:rsidP="0038448D">
      <w:pPr>
        <w:pStyle w:val="SingleTxt"/>
        <w:spacing w:after="0" w:line="120" w:lineRule="exact"/>
        <w:rPr>
          <w:sz w:val="10"/>
        </w:rPr>
      </w:pPr>
    </w:p>
    <w:p w:rsidR="00C63112" w:rsidRPr="002218FD" w:rsidRDefault="00C63112" w:rsidP="00C63112">
      <w:pPr>
        <w:pStyle w:val="SingleTxt"/>
      </w:pPr>
      <w:r w:rsidRPr="002218FD">
        <w:t>22.</w:t>
      </w:r>
      <w:r w:rsidRPr="002218FD">
        <w:tab/>
        <w:t>The following statistics are provided to complement the information contained in paragraph 113 (b) of the initial report of Cuba under the Optional Protocol (CRC/C/OPAC/CUB/1), which was submitted in 2011.</w:t>
      </w:r>
    </w:p>
    <w:p w:rsidR="00C63112" w:rsidRPr="002218FD" w:rsidRDefault="00C63112" w:rsidP="00B714DE">
      <w:pPr>
        <w:pStyle w:val="SingleTxt"/>
      </w:pPr>
      <w:r w:rsidRPr="002218FD">
        <w:t>23.</w:t>
      </w:r>
      <w:r w:rsidRPr="002218FD">
        <w:tab/>
        <w:t xml:space="preserve">Between 2010 and 2013 (four years), 21,111 people under the age of 18 </w:t>
      </w:r>
      <w:r w:rsidR="00B714DE">
        <w:t>enlisted in</w:t>
      </w:r>
      <w:r w:rsidRPr="002218FD">
        <w:t xml:space="preserve"> the </w:t>
      </w:r>
      <w:r w:rsidR="00DD43D8" w:rsidRPr="002218FD">
        <w:t xml:space="preserve">Armed Forces </w:t>
      </w:r>
      <w:r w:rsidRPr="002218FD">
        <w:t>voluntarily; all of them did so in the year of their seventeenth birthday or after having already turned 17.</w:t>
      </w:r>
    </w:p>
    <w:p w:rsidR="00254A13" w:rsidRDefault="00254A13" w:rsidP="00254A13">
      <w:pPr>
        <w:pStyle w:val="SingleTxt"/>
        <w:tabs>
          <w:tab w:val="right" w:pos="1022"/>
        </w:tabs>
        <w:spacing w:after="0"/>
        <w:ind w:right="1260" w:hanging="1267"/>
        <w:jc w:val="left"/>
        <w:rPr>
          <w:b/>
          <w:spacing w:val="2"/>
        </w:rPr>
      </w:pPr>
      <w:r>
        <w:lastRenderedPageBreak/>
        <w:tab/>
      </w:r>
      <w:r>
        <w:tab/>
      </w:r>
      <w:r w:rsidR="00C63112" w:rsidRPr="002218FD">
        <w:t>Table 1</w:t>
      </w:r>
      <w:r>
        <w:br/>
      </w:r>
      <w:r w:rsidR="00C63112" w:rsidRPr="00254A13">
        <w:rPr>
          <w:b/>
          <w:spacing w:val="2"/>
        </w:rPr>
        <w:t>Voluntary enlistment of people under the age of 18 in the armed forces</w:t>
      </w:r>
    </w:p>
    <w:p w:rsidR="00254A13" w:rsidRPr="00254A13" w:rsidRDefault="00254A13" w:rsidP="00254A13">
      <w:pPr>
        <w:pStyle w:val="SingleTxt"/>
        <w:tabs>
          <w:tab w:val="right" w:pos="1022"/>
        </w:tabs>
        <w:spacing w:after="0"/>
        <w:ind w:right="1260" w:hanging="1267"/>
        <w:jc w:val="left"/>
        <w:rPr>
          <w:sz w:val="10"/>
        </w:rPr>
      </w:pPr>
    </w:p>
    <w:p w:rsidR="00254A13" w:rsidRPr="00254A13" w:rsidRDefault="00254A13" w:rsidP="00254A13">
      <w:pPr>
        <w:pStyle w:val="SingleTxt"/>
        <w:spacing w:after="0" w:line="120" w:lineRule="exact"/>
        <w:rPr>
          <w:sz w:val="10"/>
        </w:rPr>
      </w:pPr>
    </w:p>
    <w:tbl>
      <w:tblPr>
        <w:tblW w:w="7553" w:type="dxa"/>
        <w:tblInd w:w="1267" w:type="dxa"/>
        <w:tblLayout w:type="fixed"/>
        <w:tblCellMar>
          <w:left w:w="0" w:type="dxa"/>
          <w:right w:w="0" w:type="dxa"/>
        </w:tblCellMar>
        <w:tblLook w:val="01E0" w:firstRow="1" w:lastRow="1" w:firstColumn="1" w:lastColumn="1" w:noHBand="0" w:noVBand="0"/>
      </w:tblPr>
      <w:tblGrid>
        <w:gridCol w:w="1538"/>
        <w:gridCol w:w="1539"/>
        <w:gridCol w:w="1492"/>
        <w:gridCol w:w="1492"/>
        <w:gridCol w:w="1492"/>
      </w:tblGrid>
      <w:tr w:rsidR="00C63112" w:rsidRPr="00864245" w:rsidTr="00864245">
        <w:trPr>
          <w:tblHeader/>
        </w:trPr>
        <w:tc>
          <w:tcPr>
            <w:tcW w:w="3077" w:type="dxa"/>
            <w:gridSpan w:val="2"/>
            <w:tcBorders>
              <w:top w:val="single" w:sz="4" w:space="0" w:color="auto"/>
              <w:bottom w:val="single" w:sz="12" w:space="0" w:color="auto"/>
            </w:tcBorders>
            <w:shd w:val="clear" w:color="auto" w:fill="auto"/>
            <w:vAlign w:val="bottom"/>
          </w:tcPr>
          <w:p w:rsidR="00C63112" w:rsidRPr="00864245" w:rsidRDefault="00C63112" w:rsidP="00864245">
            <w:pPr>
              <w:tabs>
                <w:tab w:val="left" w:pos="288"/>
                <w:tab w:val="left" w:pos="576"/>
                <w:tab w:val="left" w:pos="864"/>
                <w:tab w:val="left" w:pos="1152"/>
              </w:tabs>
              <w:spacing w:before="80" w:after="80" w:line="160" w:lineRule="exact"/>
              <w:ind w:right="40"/>
              <w:rPr>
                <w:i/>
                <w:sz w:val="14"/>
              </w:rPr>
            </w:pPr>
            <w:r w:rsidRPr="00864245">
              <w:rPr>
                <w:i/>
                <w:sz w:val="14"/>
              </w:rPr>
              <w:t>Description</w:t>
            </w:r>
          </w:p>
        </w:tc>
        <w:tc>
          <w:tcPr>
            <w:tcW w:w="1492" w:type="dxa"/>
            <w:tcBorders>
              <w:top w:val="single" w:sz="4" w:space="0" w:color="auto"/>
              <w:bottom w:val="single" w:sz="12" w:space="0" w:color="auto"/>
            </w:tcBorders>
            <w:shd w:val="clear" w:color="auto" w:fill="auto"/>
            <w:vAlign w:val="bottom"/>
          </w:tcPr>
          <w:p w:rsidR="00C63112" w:rsidRPr="00864245" w:rsidRDefault="00C63112" w:rsidP="00864245">
            <w:pPr>
              <w:tabs>
                <w:tab w:val="left" w:pos="288"/>
                <w:tab w:val="left" w:pos="576"/>
                <w:tab w:val="left" w:pos="864"/>
                <w:tab w:val="left" w:pos="1152"/>
              </w:tabs>
              <w:spacing w:before="80" w:after="80" w:line="160" w:lineRule="exact"/>
              <w:ind w:right="113"/>
              <w:jc w:val="right"/>
              <w:rPr>
                <w:b/>
                <w:bCs/>
                <w:i/>
                <w:sz w:val="14"/>
              </w:rPr>
            </w:pPr>
            <w:r w:rsidRPr="00864245">
              <w:rPr>
                <w:b/>
                <w:bCs/>
                <w:i/>
                <w:sz w:val="14"/>
              </w:rPr>
              <w:t>Total</w:t>
            </w:r>
          </w:p>
        </w:tc>
        <w:tc>
          <w:tcPr>
            <w:tcW w:w="1492" w:type="dxa"/>
            <w:tcBorders>
              <w:top w:val="single" w:sz="4" w:space="0" w:color="auto"/>
              <w:bottom w:val="single" w:sz="12" w:space="0" w:color="auto"/>
            </w:tcBorders>
            <w:shd w:val="clear" w:color="auto" w:fill="auto"/>
            <w:vAlign w:val="bottom"/>
          </w:tcPr>
          <w:p w:rsidR="00C63112" w:rsidRPr="00864245" w:rsidRDefault="00C63112" w:rsidP="00864245">
            <w:pPr>
              <w:tabs>
                <w:tab w:val="left" w:pos="288"/>
                <w:tab w:val="left" w:pos="576"/>
                <w:tab w:val="left" w:pos="864"/>
                <w:tab w:val="left" w:pos="1152"/>
              </w:tabs>
              <w:spacing w:before="80" w:after="80" w:line="160" w:lineRule="exact"/>
              <w:ind w:right="113"/>
              <w:jc w:val="right"/>
              <w:rPr>
                <w:i/>
                <w:sz w:val="14"/>
              </w:rPr>
            </w:pPr>
            <w:r w:rsidRPr="00864245">
              <w:rPr>
                <w:i/>
                <w:sz w:val="14"/>
              </w:rPr>
              <w:t>Women</w:t>
            </w:r>
          </w:p>
        </w:tc>
        <w:tc>
          <w:tcPr>
            <w:tcW w:w="1492" w:type="dxa"/>
            <w:tcBorders>
              <w:top w:val="single" w:sz="4" w:space="0" w:color="auto"/>
              <w:bottom w:val="single" w:sz="12" w:space="0" w:color="auto"/>
            </w:tcBorders>
            <w:shd w:val="clear" w:color="auto" w:fill="auto"/>
            <w:vAlign w:val="bottom"/>
          </w:tcPr>
          <w:p w:rsidR="00C63112" w:rsidRPr="00864245" w:rsidRDefault="00C63112" w:rsidP="00864245">
            <w:pPr>
              <w:tabs>
                <w:tab w:val="left" w:pos="288"/>
                <w:tab w:val="left" w:pos="576"/>
                <w:tab w:val="left" w:pos="864"/>
                <w:tab w:val="left" w:pos="1152"/>
              </w:tabs>
              <w:spacing w:before="80" w:after="80" w:line="160" w:lineRule="exact"/>
              <w:ind w:right="113"/>
              <w:jc w:val="right"/>
              <w:rPr>
                <w:i/>
                <w:sz w:val="14"/>
              </w:rPr>
            </w:pPr>
            <w:r w:rsidRPr="00864245">
              <w:rPr>
                <w:i/>
                <w:sz w:val="14"/>
              </w:rPr>
              <w:t>Men</w:t>
            </w:r>
          </w:p>
        </w:tc>
      </w:tr>
      <w:tr w:rsidR="00864245" w:rsidRPr="00864245" w:rsidTr="00864245">
        <w:trPr>
          <w:trHeight w:hRule="exact" w:val="115"/>
          <w:tblHeader/>
        </w:trPr>
        <w:tc>
          <w:tcPr>
            <w:tcW w:w="3077" w:type="dxa"/>
            <w:gridSpan w:val="2"/>
            <w:tcBorders>
              <w:top w:val="single" w:sz="12" w:space="0" w:color="auto"/>
            </w:tcBorders>
            <w:shd w:val="clear" w:color="auto" w:fill="auto"/>
            <w:vAlign w:val="bottom"/>
          </w:tcPr>
          <w:p w:rsidR="00864245" w:rsidRPr="00864245" w:rsidRDefault="00864245" w:rsidP="00864245">
            <w:pPr>
              <w:tabs>
                <w:tab w:val="left" w:pos="288"/>
                <w:tab w:val="left" w:pos="576"/>
                <w:tab w:val="left" w:pos="864"/>
                <w:tab w:val="left" w:pos="1152"/>
              </w:tabs>
              <w:spacing w:before="40" w:after="81" w:line="210" w:lineRule="exact"/>
              <w:ind w:left="227" w:right="40"/>
              <w:rPr>
                <w:b/>
                <w:bCs/>
                <w:sz w:val="17"/>
                <w:szCs w:val="16"/>
              </w:rPr>
            </w:pPr>
          </w:p>
        </w:tc>
        <w:tc>
          <w:tcPr>
            <w:tcW w:w="1492" w:type="dxa"/>
            <w:tcBorders>
              <w:top w:val="single" w:sz="12" w:space="0" w:color="auto"/>
            </w:tcBorders>
            <w:shd w:val="clear" w:color="auto" w:fill="auto"/>
            <w:vAlign w:val="bottom"/>
          </w:tcPr>
          <w:p w:rsidR="00864245" w:rsidRPr="00864245" w:rsidRDefault="00864245" w:rsidP="00864245">
            <w:pPr>
              <w:tabs>
                <w:tab w:val="left" w:pos="288"/>
                <w:tab w:val="left" w:pos="576"/>
                <w:tab w:val="left" w:pos="864"/>
                <w:tab w:val="left" w:pos="1152"/>
              </w:tabs>
              <w:spacing w:before="40" w:after="81" w:line="210" w:lineRule="exact"/>
              <w:ind w:right="40"/>
              <w:jc w:val="right"/>
              <w:rPr>
                <w:b/>
                <w:bCs/>
                <w:sz w:val="17"/>
                <w:szCs w:val="16"/>
              </w:rPr>
            </w:pPr>
          </w:p>
        </w:tc>
        <w:tc>
          <w:tcPr>
            <w:tcW w:w="1492" w:type="dxa"/>
            <w:tcBorders>
              <w:top w:val="single" w:sz="12" w:space="0" w:color="auto"/>
            </w:tcBorders>
            <w:shd w:val="clear" w:color="auto" w:fill="auto"/>
            <w:vAlign w:val="bottom"/>
          </w:tcPr>
          <w:p w:rsidR="00864245" w:rsidRPr="00864245" w:rsidRDefault="00864245" w:rsidP="00864245">
            <w:pPr>
              <w:tabs>
                <w:tab w:val="left" w:pos="288"/>
                <w:tab w:val="left" w:pos="576"/>
                <w:tab w:val="left" w:pos="864"/>
                <w:tab w:val="left" w:pos="1152"/>
              </w:tabs>
              <w:spacing w:before="40" w:after="81" w:line="210" w:lineRule="exact"/>
              <w:ind w:right="40"/>
              <w:jc w:val="right"/>
              <w:rPr>
                <w:b/>
                <w:bCs/>
                <w:sz w:val="17"/>
                <w:szCs w:val="16"/>
              </w:rPr>
            </w:pPr>
          </w:p>
        </w:tc>
        <w:tc>
          <w:tcPr>
            <w:tcW w:w="1492" w:type="dxa"/>
            <w:tcBorders>
              <w:top w:val="single" w:sz="12" w:space="0" w:color="auto"/>
            </w:tcBorders>
            <w:shd w:val="clear" w:color="auto" w:fill="auto"/>
            <w:vAlign w:val="bottom"/>
          </w:tcPr>
          <w:p w:rsidR="00864245" w:rsidRPr="00864245" w:rsidRDefault="00864245" w:rsidP="00864245">
            <w:pPr>
              <w:tabs>
                <w:tab w:val="left" w:pos="288"/>
                <w:tab w:val="left" w:pos="576"/>
                <w:tab w:val="left" w:pos="864"/>
                <w:tab w:val="left" w:pos="1152"/>
              </w:tabs>
              <w:spacing w:before="40" w:after="81" w:line="210" w:lineRule="exact"/>
              <w:ind w:right="40"/>
              <w:jc w:val="right"/>
              <w:rPr>
                <w:b/>
                <w:bCs/>
                <w:sz w:val="17"/>
                <w:szCs w:val="16"/>
              </w:rPr>
            </w:pPr>
          </w:p>
        </w:tc>
      </w:tr>
      <w:tr w:rsidR="00042143" w:rsidRPr="00864245" w:rsidTr="00864245">
        <w:tc>
          <w:tcPr>
            <w:tcW w:w="1538" w:type="dxa"/>
            <w:tcBorders>
              <w:bottom w:val="single" w:sz="4" w:space="0" w:color="auto"/>
            </w:tcBorders>
            <w:shd w:val="clear" w:color="auto" w:fill="auto"/>
            <w:vAlign w:val="bottom"/>
          </w:tcPr>
          <w:p w:rsidR="00042143" w:rsidRPr="00864245" w:rsidRDefault="00042143" w:rsidP="00864245">
            <w:pPr>
              <w:tabs>
                <w:tab w:val="left" w:pos="288"/>
                <w:tab w:val="left" w:pos="576"/>
                <w:tab w:val="left" w:pos="864"/>
                <w:tab w:val="left" w:pos="1152"/>
              </w:tabs>
              <w:spacing w:before="81" w:after="81" w:line="210" w:lineRule="exact"/>
              <w:ind w:left="227" w:right="40"/>
              <w:rPr>
                <w:b/>
                <w:bCs/>
                <w:sz w:val="17"/>
              </w:rPr>
            </w:pPr>
            <w:r w:rsidRPr="00864245">
              <w:rPr>
                <w:b/>
                <w:bCs/>
                <w:sz w:val="17"/>
              </w:rPr>
              <w:t>Total</w:t>
            </w:r>
          </w:p>
        </w:tc>
        <w:tc>
          <w:tcPr>
            <w:tcW w:w="1539" w:type="dxa"/>
            <w:tcBorders>
              <w:bottom w:val="single" w:sz="4" w:space="0" w:color="auto"/>
            </w:tcBorders>
            <w:shd w:val="clear" w:color="auto" w:fill="auto"/>
            <w:vAlign w:val="bottom"/>
          </w:tcPr>
          <w:p w:rsidR="00042143" w:rsidRPr="00864245" w:rsidRDefault="00042143" w:rsidP="00864245">
            <w:pPr>
              <w:tabs>
                <w:tab w:val="left" w:pos="288"/>
                <w:tab w:val="left" w:pos="576"/>
                <w:tab w:val="left" w:pos="864"/>
                <w:tab w:val="left" w:pos="1152"/>
              </w:tabs>
              <w:spacing w:before="81" w:after="81" w:line="210" w:lineRule="exact"/>
              <w:ind w:left="227" w:right="40"/>
              <w:rPr>
                <w:b/>
                <w:bCs/>
                <w:sz w:val="17"/>
              </w:rPr>
            </w:pPr>
          </w:p>
        </w:tc>
        <w:tc>
          <w:tcPr>
            <w:tcW w:w="1492" w:type="dxa"/>
            <w:tcBorders>
              <w:bottom w:val="single" w:sz="4" w:space="0" w:color="auto"/>
            </w:tcBorders>
            <w:shd w:val="clear" w:color="auto" w:fill="auto"/>
            <w:vAlign w:val="bottom"/>
          </w:tcPr>
          <w:p w:rsidR="00042143" w:rsidRPr="00864245" w:rsidRDefault="00042143" w:rsidP="00864245">
            <w:pPr>
              <w:tabs>
                <w:tab w:val="left" w:pos="288"/>
                <w:tab w:val="left" w:pos="576"/>
                <w:tab w:val="left" w:pos="864"/>
                <w:tab w:val="left" w:pos="1152"/>
              </w:tabs>
              <w:spacing w:before="81" w:after="81" w:line="210" w:lineRule="exact"/>
              <w:ind w:right="40"/>
              <w:jc w:val="right"/>
              <w:rPr>
                <w:b/>
                <w:bCs/>
                <w:sz w:val="17"/>
              </w:rPr>
            </w:pPr>
            <w:r w:rsidRPr="00864245">
              <w:rPr>
                <w:b/>
                <w:bCs/>
                <w:sz w:val="17"/>
              </w:rPr>
              <w:t>21 111</w:t>
            </w:r>
          </w:p>
        </w:tc>
        <w:tc>
          <w:tcPr>
            <w:tcW w:w="1492" w:type="dxa"/>
            <w:tcBorders>
              <w:bottom w:val="single" w:sz="4" w:space="0" w:color="auto"/>
            </w:tcBorders>
            <w:shd w:val="clear" w:color="auto" w:fill="auto"/>
            <w:vAlign w:val="bottom"/>
          </w:tcPr>
          <w:p w:rsidR="00042143" w:rsidRPr="00864245" w:rsidRDefault="00042143" w:rsidP="00864245">
            <w:pPr>
              <w:tabs>
                <w:tab w:val="left" w:pos="288"/>
                <w:tab w:val="left" w:pos="576"/>
                <w:tab w:val="left" w:pos="864"/>
                <w:tab w:val="left" w:pos="1152"/>
              </w:tabs>
              <w:spacing w:before="81" w:after="81" w:line="210" w:lineRule="exact"/>
              <w:ind w:right="40"/>
              <w:jc w:val="right"/>
              <w:rPr>
                <w:b/>
                <w:bCs/>
                <w:sz w:val="17"/>
              </w:rPr>
            </w:pPr>
            <w:r w:rsidRPr="00864245">
              <w:rPr>
                <w:b/>
                <w:bCs/>
                <w:sz w:val="17"/>
              </w:rPr>
              <w:t>323</w:t>
            </w:r>
          </w:p>
        </w:tc>
        <w:tc>
          <w:tcPr>
            <w:tcW w:w="1492" w:type="dxa"/>
            <w:tcBorders>
              <w:bottom w:val="single" w:sz="4" w:space="0" w:color="auto"/>
            </w:tcBorders>
            <w:shd w:val="clear" w:color="auto" w:fill="auto"/>
            <w:vAlign w:val="bottom"/>
          </w:tcPr>
          <w:p w:rsidR="00042143" w:rsidRPr="00864245" w:rsidRDefault="00042143" w:rsidP="00864245">
            <w:pPr>
              <w:tabs>
                <w:tab w:val="left" w:pos="288"/>
                <w:tab w:val="left" w:pos="576"/>
                <w:tab w:val="left" w:pos="864"/>
                <w:tab w:val="left" w:pos="1152"/>
              </w:tabs>
              <w:spacing w:before="81" w:after="81" w:line="210" w:lineRule="exact"/>
              <w:ind w:right="40"/>
              <w:jc w:val="right"/>
              <w:rPr>
                <w:b/>
                <w:bCs/>
                <w:sz w:val="17"/>
              </w:rPr>
            </w:pPr>
            <w:r w:rsidRPr="00864245">
              <w:rPr>
                <w:b/>
                <w:bCs/>
                <w:sz w:val="17"/>
              </w:rPr>
              <w:t>20 788</w:t>
            </w:r>
          </w:p>
        </w:tc>
      </w:tr>
      <w:tr w:rsidR="00B714DE" w:rsidRPr="00864245" w:rsidTr="00864245">
        <w:tc>
          <w:tcPr>
            <w:tcW w:w="1538" w:type="dxa"/>
            <w:tcBorders>
              <w:top w:val="single" w:sz="4" w:space="0" w:color="auto"/>
            </w:tcBorders>
            <w:shd w:val="clear" w:color="auto" w:fill="auto"/>
            <w:vAlign w:val="bottom"/>
          </w:tcPr>
          <w:p w:rsidR="00B714DE" w:rsidRPr="00864245" w:rsidRDefault="00254A13" w:rsidP="00864245">
            <w:pPr>
              <w:tabs>
                <w:tab w:val="left" w:pos="288"/>
                <w:tab w:val="left" w:pos="576"/>
                <w:tab w:val="left" w:pos="864"/>
                <w:tab w:val="left" w:pos="1152"/>
              </w:tabs>
              <w:spacing w:before="81" w:after="40" w:line="210" w:lineRule="exact"/>
              <w:ind w:right="40"/>
              <w:rPr>
                <w:sz w:val="17"/>
              </w:rPr>
            </w:pPr>
            <w:r w:rsidRPr="00864245">
              <w:rPr>
                <w:sz w:val="17"/>
              </w:rPr>
              <w:t>Area</w:t>
            </w:r>
          </w:p>
        </w:tc>
        <w:tc>
          <w:tcPr>
            <w:tcW w:w="1539" w:type="dxa"/>
            <w:tcBorders>
              <w:top w:val="single" w:sz="4" w:space="0" w:color="auto"/>
            </w:tcBorders>
            <w:shd w:val="clear" w:color="auto" w:fill="auto"/>
            <w:vAlign w:val="bottom"/>
          </w:tcPr>
          <w:p w:rsidR="00B714DE" w:rsidRPr="00864245" w:rsidRDefault="00B714DE" w:rsidP="00864245">
            <w:pPr>
              <w:tabs>
                <w:tab w:val="left" w:pos="288"/>
                <w:tab w:val="left" w:pos="576"/>
                <w:tab w:val="left" w:pos="864"/>
                <w:tab w:val="left" w:pos="1152"/>
              </w:tabs>
              <w:spacing w:before="81" w:after="40" w:line="210" w:lineRule="exact"/>
              <w:ind w:right="40"/>
              <w:rPr>
                <w:sz w:val="17"/>
              </w:rPr>
            </w:pPr>
            <w:r w:rsidRPr="00864245">
              <w:rPr>
                <w:sz w:val="17"/>
              </w:rPr>
              <w:t>Rural</w:t>
            </w:r>
          </w:p>
        </w:tc>
        <w:tc>
          <w:tcPr>
            <w:tcW w:w="1492" w:type="dxa"/>
            <w:tcBorders>
              <w:top w:val="single" w:sz="4" w:space="0" w:color="auto"/>
            </w:tcBorders>
            <w:shd w:val="clear" w:color="auto" w:fill="auto"/>
            <w:vAlign w:val="bottom"/>
          </w:tcPr>
          <w:p w:rsidR="00B714DE" w:rsidRPr="00864245" w:rsidRDefault="00B714DE" w:rsidP="00864245">
            <w:pPr>
              <w:tabs>
                <w:tab w:val="left" w:pos="288"/>
                <w:tab w:val="left" w:pos="576"/>
                <w:tab w:val="left" w:pos="864"/>
                <w:tab w:val="left" w:pos="1152"/>
              </w:tabs>
              <w:spacing w:before="81" w:after="40" w:line="210" w:lineRule="exact"/>
              <w:ind w:right="40"/>
              <w:jc w:val="right"/>
              <w:rPr>
                <w:b/>
                <w:bCs/>
                <w:sz w:val="17"/>
              </w:rPr>
            </w:pPr>
            <w:r w:rsidRPr="00864245">
              <w:rPr>
                <w:b/>
                <w:bCs/>
                <w:sz w:val="17"/>
              </w:rPr>
              <w:t>5 683</w:t>
            </w:r>
          </w:p>
        </w:tc>
        <w:tc>
          <w:tcPr>
            <w:tcW w:w="1492" w:type="dxa"/>
            <w:tcBorders>
              <w:top w:val="single" w:sz="4" w:space="0" w:color="auto"/>
            </w:tcBorders>
            <w:shd w:val="clear" w:color="auto" w:fill="auto"/>
            <w:vAlign w:val="bottom"/>
          </w:tcPr>
          <w:p w:rsidR="00B714DE" w:rsidRPr="00864245" w:rsidRDefault="00B714DE" w:rsidP="00864245">
            <w:pPr>
              <w:tabs>
                <w:tab w:val="left" w:pos="288"/>
                <w:tab w:val="left" w:pos="576"/>
                <w:tab w:val="left" w:pos="864"/>
                <w:tab w:val="left" w:pos="1152"/>
              </w:tabs>
              <w:spacing w:before="81" w:after="40" w:line="210" w:lineRule="exact"/>
              <w:ind w:right="40"/>
              <w:jc w:val="right"/>
              <w:rPr>
                <w:sz w:val="17"/>
              </w:rPr>
            </w:pPr>
            <w:r w:rsidRPr="00864245">
              <w:rPr>
                <w:sz w:val="17"/>
              </w:rPr>
              <w:t>71</w:t>
            </w:r>
          </w:p>
        </w:tc>
        <w:tc>
          <w:tcPr>
            <w:tcW w:w="1492" w:type="dxa"/>
            <w:tcBorders>
              <w:top w:val="single" w:sz="4" w:space="0" w:color="auto"/>
            </w:tcBorders>
            <w:shd w:val="clear" w:color="auto" w:fill="auto"/>
            <w:vAlign w:val="bottom"/>
          </w:tcPr>
          <w:p w:rsidR="00B714DE" w:rsidRPr="00864245" w:rsidRDefault="00B714DE" w:rsidP="00864245">
            <w:pPr>
              <w:tabs>
                <w:tab w:val="left" w:pos="288"/>
                <w:tab w:val="left" w:pos="576"/>
                <w:tab w:val="left" w:pos="864"/>
                <w:tab w:val="left" w:pos="1152"/>
              </w:tabs>
              <w:spacing w:before="81" w:after="40" w:line="210" w:lineRule="exact"/>
              <w:ind w:right="40"/>
              <w:jc w:val="right"/>
              <w:rPr>
                <w:sz w:val="17"/>
              </w:rPr>
            </w:pPr>
            <w:r w:rsidRPr="00864245">
              <w:rPr>
                <w:sz w:val="17"/>
              </w:rPr>
              <w:t>5 612</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Urban</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15 428</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252</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15 176</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Territory</w:t>
            </w: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West</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3 801</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19</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3 782</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Central</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4 914</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96</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4 818</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East</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12 396</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208</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12 188</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Social origin</w:t>
            </w: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Worker</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17 518</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264</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17 254</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254A13" w:rsidP="00864245">
            <w:pPr>
              <w:tabs>
                <w:tab w:val="left" w:pos="288"/>
                <w:tab w:val="left" w:pos="576"/>
                <w:tab w:val="left" w:pos="864"/>
                <w:tab w:val="left" w:pos="1152"/>
              </w:tabs>
              <w:spacing w:before="40" w:after="40" w:line="210" w:lineRule="exact"/>
              <w:ind w:right="40"/>
              <w:rPr>
                <w:sz w:val="17"/>
              </w:rPr>
            </w:pPr>
            <w:r w:rsidRPr="00864245">
              <w:rPr>
                <w:sz w:val="17"/>
              </w:rPr>
              <w:t>Peasant</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1 905</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35</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1 870</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Intellectual</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1 263</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16</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1 247</w:t>
            </w:r>
          </w:p>
        </w:tc>
      </w:tr>
      <w:tr w:rsidR="00B714DE" w:rsidRPr="00864245" w:rsidTr="00864245">
        <w:tc>
          <w:tcPr>
            <w:tcW w:w="1538"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p>
        </w:tc>
        <w:tc>
          <w:tcPr>
            <w:tcW w:w="1539"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rPr>
                <w:sz w:val="17"/>
              </w:rPr>
            </w:pPr>
            <w:r w:rsidRPr="00864245">
              <w:rPr>
                <w:sz w:val="17"/>
              </w:rPr>
              <w:t>Self-employed</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b/>
                <w:bCs/>
                <w:sz w:val="17"/>
              </w:rPr>
            </w:pPr>
            <w:r w:rsidRPr="00864245">
              <w:rPr>
                <w:b/>
                <w:bCs/>
                <w:sz w:val="17"/>
              </w:rPr>
              <w:t>318</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4</w:t>
            </w:r>
          </w:p>
        </w:tc>
        <w:tc>
          <w:tcPr>
            <w:tcW w:w="1492" w:type="dxa"/>
            <w:shd w:val="clear" w:color="auto" w:fill="auto"/>
            <w:vAlign w:val="bottom"/>
          </w:tcPr>
          <w:p w:rsidR="00B714DE" w:rsidRPr="00864245" w:rsidRDefault="00B714DE" w:rsidP="00864245">
            <w:pPr>
              <w:tabs>
                <w:tab w:val="left" w:pos="288"/>
                <w:tab w:val="left" w:pos="576"/>
                <w:tab w:val="left" w:pos="864"/>
                <w:tab w:val="left" w:pos="1152"/>
              </w:tabs>
              <w:spacing w:before="40" w:after="40" w:line="210" w:lineRule="exact"/>
              <w:ind w:right="40"/>
              <w:jc w:val="right"/>
              <w:rPr>
                <w:sz w:val="17"/>
              </w:rPr>
            </w:pPr>
            <w:r w:rsidRPr="00864245">
              <w:rPr>
                <w:sz w:val="17"/>
              </w:rPr>
              <w:t>314</w:t>
            </w:r>
          </w:p>
        </w:tc>
      </w:tr>
      <w:tr w:rsidR="00B714DE" w:rsidRPr="002218FD" w:rsidTr="00864245">
        <w:tc>
          <w:tcPr>
            <w:tcW w:w="1538" w:type="dxa"/>
            <w:tcBorders>
              <w:bottom w:val="single" w:sz="12" w:space="0" w:color="auto"/>
            </w:tcBorders>
            <w:shd w:val="clear" w:color="auto" w:fill="auto"/>
            <w:vAlign w:val="bottom"/>
          </w:tcPr>
          <w:p w:rsidR="00B714DE" w:rsidRPr="00B714DE" w:rsidRDefault="00B714DE" w:rsidP="00864245">
            <w:pPr>
              <w:tabs>
                <w:tab w:val="left" w:pos="288"/>
                <w:tab w:val="left" w:pos="576"/>
                <w:tab w:val="left" w:pos="864"/>
                <w:tab w:val="left" w:pos="1152"/>
              </w:tabs>
              <w:spacing w:before="40" w:after="40" w:line="210" w:lineRule="exact"/>
              <w:ind w:right="40"/>
              <w:rPr>
                <w:sz w:val="17"/>
              </w:rPr>
            </w:pPr>
          </w:p>
        </w:tc>
        <w:tc>
          <w:tcPr>
            <w:tcW w:w="1539" w:type="dxa"/>
            <w:tcBorders>
              <w:bottom w:val="single" w:sz="12" w:space="0" w:color="auto"/>
            </w:tcBorders>
            <w:shd w:val="clear" w:color="auto" w:fill="auto"/>
            <w:vAlign w:val="bottom"/>
          </w:tcPr>
          <w:p w:rsidR="00B714DE" w:rsidRPr="00B714DE" w:rsidRDefault="00B714DE" w:rsidP="00864245">
            <w:pPr>
              <w:tabs>
                <w:tab w:val="left" w:pos="288"/>
                <w:tab w:val="left" w:pos="576"/>
                <w:tab w:val="left" w:pos="864"/>
                <w:tab w:val="left" w:pos="1152"/>
              </w:tabs>
              <w:spacing w:before="40" w:after="40" w:line="210" w:lineRule="exact"/>
              <w:ind w:right="40"/>
              <w:rPr>
                <w:sz w:val="17"/>
              </w:rPr>
            </w:pPr>
            <w:r w:rsidRPr="00B714DE">
              <w:rPr>
                <w:sz w:val="17"/>
              </w:rPr>
              <w:t>Unemployed</w:t>
            </w:r>
          </w:p>
        </w:tc>
        <w:tc>
          <w:tcPr>
            <w:tcW w:w="1492" w:type="dxa"/>
            <w:tcBorders>
              <w:bottom w:val="single" w:sz="12" w:space="0" w:color="auto"/>
            </w:tcBorders>
            <w:shd w:val="clear" w:color="auto" w:fill="auto"/>
            <w:vAlign w:val="bottom"/>
          </w:tcPr>
          <w:p w:rsidR="00B714DE" w:rsidRPr="007A4E7D" w:rsidRDefault="00B714DE" w:rsidP="00864245">
            <w:pPr>
              <w:tabs>
                <w:tab w:val="left" w:pos="288"/>
                <w:tab w:val="left" w:pos="576"/>
                <w:tab w:val="left" w:pos="864"/>
                <w:tab w:val="left" w:pos="1152"/>
              </w:tabs>
              <w:spacing w:before="40" w:after="40" w:line="210" w:lineRule="exact"/>
              <w:ind w:right="40"/>
              <w:jc w:val="right"/>
              <w:rPr>
                <w:b/>
                <w:bCs/>
                <w:sz w:val="17"/>
              </w:rPr>
            </w:pPr>
            <w:r w:rsidRPr="007A4E7D">
              <w:rPr>
                <w:b/>
                <w:bCs/>
                <w:sz w:val="17"/>
              </w:rPr>
              <w:t>107</w:t>
            </w:r>
          </w:p>
        </w:tc>
        <w:tc>
          <w:tcPr>
            <w:tcW w:w="1492" w:type="dxa"/>
            <w:tcBorders>
              <w:bottom w:val="single" w:sz="12" w:space="0" w:color="auto"/>
            </w:tcBorders>
            <w:shd w:val="clear" w:color="auto" w:fill="auto"/>
            <w:vAlign w:val="bottom"/>
          </w:tcPr>
          <w:p w:rsidR="00B714DE" w:rsidRPr="00B714DE" w:rsidRDefault="00B714DE" w:rsidP="00864245">
            <w:pPr>
              <w:tabs>
                <w:tab w:val="left" w:pos="288"/>
                <w:tab w:val="left" w:pos="576"/>
                <w:tab w:val="left" w:pos="864"/>
                <w:tab w:val="left" w:pos="1152"/>
              </w:tabs>
              <w:spacing w:before="40" w:after="40" w:line="210" w:lineRule="exact"/>
              <w:ind w:right="40"/>
              <w:jc w:val="right"/>
              <w:rPr>
                <w:sz w:val="17"/>
              </w:rPr>
            </w:pPr>
            <w:r w:rsidRPr="00B714DE">
              <w:rPr>
                <w:sz w:val="17"/>
              </w:rPr>
              <w:t>4</w:t>
            </w:r>
          </w:p>
        </w:tc>
        <w:tc>
          <w:tcPr>
            <w:tcW w:w="1492" w:type="dxa"/>
            <w:tcBorders>
              <w:bottom w:val="single" w:sz="12" w:space="0" w:color="auto"/>
            </w:tcBorders>
            <w:shd w:val="clear" w:color="auto" w:fill="auto"/>
            <w:vAlign w:val="bottom"/>
          </w:tcPr>
          <w:p w:rsidR="00B714DE" w:rsidRPr="00B714DE" w:rsidRDefault="00B714DE" w:rsidP="00864245">
            <w:pPr>
              <w:tabs>
                <w:tab w:val="left" w:pos="288"/>
                <w:tab w:val="left" w:pos="576"/>
                <w:tab w:val="left" w:pos="864"/>
                <w:tab w:val="left" w:pos="1152"/>
              </w:tabs>
              <w:spacing w:before="40" w:after="40" w:line="210" w:lineRule="exact"/>
              <w:ind w:right="40"/>
              <w:jc w:val="right"/>
              <w:rPr>
                <w:sz w:val="17"/>
              </w:rPr>
            </w:pPr>
            <w:r w:rsidRPr="00B714DE">
              <w:rPr>
                <w:sz w:val="17"/>
              </w:rPr>
              <w:t>103</w:t>
            </w:r>
          </w:p>
        </w:tc>
      </w:tr>
    </w:tbl>
    <w:p w:rsidR="00B714DE" w:rsidRDefault="00B714DE" w:rsidP="00B714DE">
      <w:pPr>
        <w:pStyle w:val="SingleTxt"/>
        <w:spacing w:after="0" w:line="120" w:lineRule="exact"/>
        <w:rPr>
          <w:sz w:val="10"/>
        </w:rPr>
      </w:pPr>
    </w:p>
    <w:p w:rsidR="00B714DE" w:rsidRDefault="00B714DE" w:rsidP="00B714DE">
      <w:pPr>
        <w:pStyle w:val="SingleTxt"/>
        <w:spacing w:after="0" w:line="120" w:lineRule="exact"/>
        <w:rPr>
          <w:sz w:val="10"/>
        </w:rPr>
      </w:pPr>
    </w:p>
    <w:p w:rsidR="00C63112" w:rsidRPr="002218FD" w:rsidRDefault="00C63112" w:rsidP="00254A13">
      <w:pPr>
        <w:pStyle w:val="SingleTxt"/>
      </w:pPr>
      <w:r w:rsidRPr="002218FD">
        <w:t>24.</w:t>
      </w:r>
      <w:r w:rsidRPr="002218FD">
        <w:tab/>
        <w:t xml:space="preserve">People under the age of 18 who join the </w:t>
      </w:r>
      <w:r w:rsidR="00254A13" w:rsidRPr="002218FD">
        <w:t xml:space="preserve">Armed Forces </w:t>
      </w:r>
      <w:r w:rsidRPr="002218FD">
        <w:t xml:space="preserve">voluntarily account for under 10 per cent of all recruits. </w:t>
      </w:r>
      <w:r w:rsidR="00254A13">
        <w:t>Such</w:t>
      </w:r>
      <w:r w:rsidRPr="002218FD">
        <w:t xml:space="preserve"> early entry </w:t>
      </w:r>
      <w:r w:rsidR="00254A13">
        <w:t>is due</w:t>
      </w:r>
      <w:r w:rsidRPr="002218FD">
        <w:t xml:space="preserve"> to the </w:t>
      </w:r>
      <w:r w:rsidR="00254A13">
        <w:t xml:space="preserve">fact that it can be helpful for </w:t>
      </w:r>
      <w:r w:rsidRPr="002218FD">
        <w:t xml:space="preserve">young people to complete the military service required by law immediately after leaving upper secondary school, </w:t>
      </w:r>
      <w:r w:rsidR="00254A13">
        <w:t>and makes it easier for them to</w:t>
      </w:r>
      <w:r w:rsidRPr="002218FD">
        <w:t xml:space="preserve"> move on to higher education the following year.</w:t>
      </w:r>
    </w:p>
    <w:p w:rsidR="00C63112" w:rsidRPr="002218FD" w:rsidRDefault="00C63112" w:rsidP="00254A13">
      <w:pPr>
        <w:pStyle w:val="SingleTxt"/>
      </w:pPr>
      <w:r w:rsidRPr="002218FD">
        <w:t>25.</w:t>
      </w:r>
      <w:r w:rsidRPr="002218FD">
        <w:tab/>
      </w:r>
      <w:r w:rsidR="00254A13">
        <w:t>Pursuant to</w:t>
      </w:r>
      <w:r w:rsidRPr="002218FD">
        <w:t xml:space="preserve"> Order No. 18 of the Ministry of the Revolutionary Armed Forces, and depending on how they conduct themselves during their military service, young people who have graduated from upper secondary education but have not obtained places to go on to higher education yet wish to do so are given a second chance to apply for a university course and provided with the facilities they need to prepare</w:t>
      </w:r>
      <w:r w:rsidR="00254A13">
        <w:t xml:space="preserve"> for this</w:t>
      </w:r>
      <w:r w:rsidRPr="002218FD">
        <w:t>.</w:t>
      </w:r>
    </w:p>
    <w:p w:rsidR="00254A13" w:rsidRPr="00254A13" w:rsidRDefault="00254A13" w:rsidP="00254A13">
      <w:pPr>
        <w:pStyle w:val="H1"/>
        <w:spacing w:line="120" w:lineRule="exact"/>
        <w:ind w:right="1260"/>
        <w:rPr>
          <w:sz w:val="10"/>
        </w:rPr>
      </w:pPr>
    </w:p>
    <w:p w:rsidR="00254A13" w:rsidRPr="00254A13" w:rsidRDefault="00254A13" w:rsidP="00254A13">
      <w:pPr>
        <w:pStyle w:val="H1"/>
        <w:spacing w:line="120" w:lineRule="exact"/>
        <w:ind w:right="1260"/>
        <w:rPr>
          <w:sz w:val="10"/>
        </w:rPr>
      </w:pPr>
    </w:p>
    <w:p w:rsidR="00C63112" w:rsidRPr="002218FD" w:rsidRDefault="00254A13" w:rsidP="00254A13">
      <w:pPr>
        <w:pStyle w:val="H1"/>
        <w:ind w:right="1260"/>
      </w:pPr>
      <w:r>
        <w:tab/>
      </w:r>
      <w:r>
        <w:tab/>
      </w:r>
      <w:r w:rsidR="00C63112" w:rsidRPr="002218FD">
        <w:t>Reply to paragraph 5 of the list of issues</w:t>
      </w:r>
    </w:p>
    <w:p w:rsidR="00254A13" w:rsidRPr="00254A13" w:rsidRDefault="00254A13" w:rsidP="00254A13">
      <w:pPr>
        <w:pStyle w:val="SingleTxt"/>
        <w:spacing w:after="0" w:line="120" w:lineRule="exact"/>
        <w:rPr>
          <w:sz w:val="10"/>
        </w:rPr>
      </w:pPr>
    </w:p>
    <w:p w:rsidR="00254A13" w:rsidRPr="00254A13" w:rsidRDefault="00254A13" w:rsidP="00254A13">
      <w:pPr>
        <w:pStyle w:val="SingleTxt"/>
        <w:spacing w:after="0" w:line="120" w:lineRule="exact"/>
        <w:rPr>
          <w:sz w:val="10"/>
        </w:rPr>
      </w:pPr>
    </w:p>
    <w:p w:rsidR="00C63112" w:rsidRPr="002218FD" w:rsidRDefault="00C63112" w:rsidP="00C63112">
      <w:pPr>
        <w:pStyle w:val="SingleTxt"/>
      </w:pPr>
      <w:r w:rsidRPr="002218FD">
        <w:t>26.</w:t>
      </w:r>
      <w:r w:rsidRPr="002218FD">
        <w:tab/>
        <w:t xml:space="preserve">Recruitment into the </w:t>
      </w:r>
      <w:r w:rsidR="00254A13" w:rsidRPr="002218FD">
        <w:t xml:space="preserve">Armed Forces </w:t>
      </w:r>
      <w:r w:rsidRPr="002218FD">
        <w:t>is never forced or coerced.</w:t>
      </w:r>
    </w:p>
    <w:p w:rsidR="00C63112" w:rsidRPr="002218FD" w:rsidRDefault="00C63112" w:rsidP="00254A13">
      <w:pPr>
        <w:pStyle w:val="SingleTxt"/>
      </w:pPr>
      <w:r w:rsidRPr="002218FD">
        <w:t>27.</w:t>
      </w:r>
      <w:r w:rsidRPr="002218FD">
        <w:tab/>
        <w:t xml:space="preserve">The voluntary enlistment of people under the age of 18 into the </w:t>
      </w:r>
      <w:r w:rsidR="00254A13" w:rsidRPr="002218FD">
        <w:t xml:space="preserve">Armed Forces </w:t>
      </w:r>
      <w:r w:rsidRPr="002218FD">
        <w:t xml:space="preserve">takes place at the request of the person </w:t>
      </w:r>
      <w:r w:rsidR="00254A13">
        <w:t xml:space="preserve">concerned </w:t>
      </w:r>
      <w:r w:rsidRPr="002218FD">
        <w:t xml:space="preserve">and with </w:t>
      </w:r>
      <w:r w:rsidR="00254A13">
        <w:t>his or her</w:t>
      </w:r>
      <w:r w:rsidRPr="002218FD">
        <w:t xml:space="preserve"> written and signed agreement. The process is handled by the Recruitment Commission, which is the body responsible for </w:t>
      </w:r>
      <w:r w:rsidR="00254A13">
        <w:t xml:space="preserve">the </w:t>
      </w:r>
      <w:r w:rsidRPr="002218FD">
        <w:t>enlist</w:t>
      </w:r>
      <w:r w:rsidR="00254A13">
        <w:t>ment of</w:t>
      </w:r>
      <w:r w:rsidRPr="002218FD">
        <w:t xml:space="preserve"> young people into the armed forces.</w:t>
      </w:r>
    </w:p>
    <w:p w:rsidR="00C63112" w:rsidRPr="002218FD" w:rsidRDefault="00C63112" w:rsidP="00254A13">
      <w:pPr>
        <w:pStyle w:val="SingleTxt"/>
      </w:pPr>
      <w:r w:rsidRPr="002218FD">
        <w:t>28.</w:t>
      </w:r>
      <w:r w:rsidRPr="002218FD">
        <w:tab/>
        <w:t xml:space="preserve">Young people who enlist are also required to be physically and mentally fit to comply with </w:t>
      </w:r>
      <w:r w:rsidR="00254A13">
        <w:t>what is both a</w:t>
      </w:r>
      <w:r w:rsidRPr="002218FD">
        <w:t xml:space="preserve"> duty and </w:t>
      </w:r>
      <w:r w:rsidR="00254A13">
        <w:t xml:space="preserve">a </w:t>
      </w:r>
      <w:r w:rsidRPr="002218FD">
        <w:t xml:space="preserve">right enshrined in article 65 of the Constitution. </w:t>
      </w:r>
      <w:r w:rsidR="00254A13">
        <w:t>It is therefore obligatory to submit</w:t>
      </w:r>
      <w:r w:rsidRPr="002218FD">
        <w:t xml:space="preserve"> the results of medical examinations as proof of good health.</w:t>
      </w:r>
    </w:p>
    <w:p w:rsidR="00C63112" w:rsidRPr="002218FD" w:rsidRDefault="00C63112" w:rsidP="007F2A4A">
      <w:pPr>
        <w:pStyle w:val="SingleTxt"/>
      </w:pPr>
      <w:r w:rsidRPr="002218FD">
        <w:t>29.</w:t>
      </w:r>
      <w:r w:rsidRPr="002218FD">
        <w:tab/>
        <w:t xml:space="preserve">The consent of parents or legal guardians is </w:t>
      </w:r>
      <w:r w:rsidR="007F2A4A">
        <w:t>provided for in</w:t>
      </w:r>
      <w:r w:rsidRPr="002218FD">
        <w:t xml:space="preserve"> the voluntary enlistment process.</w:t>
      </w:r>
    </w:p>
    <w:p w:rsidR="00C63112" w:rsidRPr="002218FD" w:rsidRDefault="00C63112" w:rsidP="00E447F2">
      <w:pPr>
        <w:pStyle w:val="SingleTxt"/>
      </w:pPr>
      <w:r w:rsidRPr="002218FD">
        <w:t>30.</w:t>
      </w:r>
      <w:r w:rsidRPr="002218FD">
        <w:tab/>
        <w:t xml:space="preserve">Article 44 of Decree Law No. 224 of 15 October 2001 </w:t>
      </w:r>
      <w:r w:rsidR="007F2A4A">
        <w:t>provides</w:t>
      </w:r>
      <w:r w:rsidRPr="002218FD">
        <w:t xml:space="preserve"> that voluntary enlistment into the </w:t>
      </w:r>
      <w:r w:rsidR="00E447F2" w:rsidRPr="002218FD">
        <w:t xml:space="preserve">Armed Forces </w:t>
      </w:r>
      <w:r w:rsidR="00E447F2">
        <w:t>enables a person</w:t>
      </w:r>
      <w:r w:rsidRPr="002218FD">
        <w:t xml:space="preserve"> to:</w:t>
      </w:r>
    </w:p>
    <w:p w:rsidR="00C63112" w:rsidRPr="002218FD" w:rsidRDefault="00C63112" w:rsidP="00E447F2">
      <w:pPr>
        <w:pStyle w:val="SingleTxt"/>
      </w:pPr>
      <w:r w:rsidRPr="002218FD">
        <w:tab/>
        <w:t>(a)</w:t>
      </w:r>
      <w:r w:rsidRPr="002218FD">
        <w:tab/>
        <w:t>Study at an academy for officers, non-commissioned officers and sergeants</w:t>
      </w:r>
      <w:r w:rsidR="00E447F2">
        <w:t xml:space="preserve"> of the regular army</w:t>
      </w:r>
      <w:r w:rsidRPr="002218FD">
        <w:t>;</w:t>
      </w:r>
      <w:bookmarkStart w:id="1" w:name="_GoBack"/>
      <w:bookmarkEnd w:id="1"/>
    </w:p>
    <w:p w:rsidR="00C63112" w:rsidRPr="002218FD" w:rsidRDefault="00C63112" w:rsidP="00C63112">
      <w:pPr>
        <w:pStyle w:val="SingleTxt"/>
      </w:pPr>
      <w:r w:rsidRPr="002218FD">
        <w:tab/>
        <w:t>(b)</w:t>
      </w:r>
      <w:r w:rsidRPr="002218FD">
        <w:tab/>
        <w:t>Perform the same duties as military professionals;</w:t>
      </w:r>
    </w:p>
    <w:p w:rsidR="00C63112" w:rsidRPr="002218FD" w:rsidRDefault="00C63112" w:rsidP="00E447F2">
      <w:pPr>
        <w:pStyle w:val="SingleTxt"/>
      </w:pPr>
      <w:r w:rsidRPr="002218FD">
        <w:lastRenderedPageBreak/>
        <w:tab/>
        <w:t>(c)</w:t>
      </w:r>
      <w:r w:rsidRPr="002218FD">
        <w:tab/>
      </w:r>
      <w:r w:rsidR="00E447F2">
        <w:t xml:space="preserve">Work </w:t>
      </w:r>
      <w:r w:rsidRPr="002218FD">
        <w:t>in the women</w:t>
      </w:r>
      <w:r w:rsidR="004E382D">
        <w:t>’</w:t>
      </w:r>
      <w:r w:rsidRPr="002218FD">
        <w:t>s voluntary military service.</w:t>
      </w:r>
    </w:p>
    <w:p w:rsidR="00C63112" w:rsidRPr="002218FD" w:rsidRDefault="00C63112" w:rsidP="001269DA">
      <w:pPr>
        <w:pStyle w:val="SingleTxt"/>
      </w:pPr>
      <w:r w:rsidRPr="002218FD">
        <w:t>31.</w:t>
      </w:r>
      <w:r w:rsidRPr="002218FD">
        <w:tab/>
        <w:t xml:space="preserve">The same article </w:t>
      </w:r>
      <w:r w:rsidR="00E447F2">
        <w:t>provides</w:t>
      </w:r>
      <w:r w:rsidRPr="002218FD">
        <w:t xml:space="preserve"> that enlistment </w:t>
      </w:r>
      <w:r w:rsidR="00E447F2">
        <w:t>involves</w:t>
      </w:r>
      <w:r w:rsidRPr="002218FD">
        <w:t xml:space="preserve"> a recruitment and selection process conducted by the relevant bodies of the </w:t>
      </w:r>
      <w:r w:rsidR="00E447F2" w:rsidRPr="002218FD">
        <w:t xml:space="preserve">Armed Forces </w:t>
      </w:r>
      <w:r w:rsidRPr="002218FD">
        <w:t>and the Ministry of the Interior. Before taking up their posts, the persons selected must sign a long-term contract, undergo and pass their military training and take the military oath.</w:t>
      </w:r>
    </w:p>
    <w:p w:rsidR="00050ED6" w:rsidRPr="00050ED6" w:rsidRDefault="00050ED6" w:rsidP="00050ED6">
      <w:pPr>
        <w:pStyle w:val="H1"/>
        <w:spacing w:line="120" w:lineRule="exact"/>
        <w:ind w:right="1260"/>
        <w:rPr>
          <w:sz w:val="10"/>
        </w:rPr>
      </w:pPr>
    </w:p>
    <w:p w:rsidR="00050ED6" w:rsidRPr="00050ED6" w:rsidRDefault="00050ED6" w:rsidP="00050ED6">
      <w:pPr>
        <w:pStyle w:val="H1"/>
        <w:spacing w:line="120" w:lineRule="exact"/>
        <w:ind w:right="1260"/>
        <w:rPr>
          <w:sz w:val="10"/>
        </w:rPr>
      </w:pPr>
    </w:p>
    <w:p w:rsidR="00C63112" w:rsidRPr="002218FD" w:rsidRDefault="00050ED6" w:rsidP="00050ED6">
      <w:pPr>
        <w:pStyle w:val="H1"/>
        <w:ind w:right="1260"/>
      </w:pPr>
      <w:r>
        <w:tab/>
      </w:r>
      <w:r>
        <w:tab/>
      </w:r>
      <w:r w:rsidR="00C63112" w:rsidRPr="002218FD">
        <w:t>Reply to paragraph 6 of the list of issues</w:t>
      </w:r>
    </w:p>
    <w:p w:rsidR="00050ED6" w:rsidRPr="00050ED6" w:rsidRDefault="00050ED6" w:rsidP="00050ED6">
      <w:pPr>
        <w:pStyle w:val="SingleTxt"/>
        <w:spacing w:after="0" w:line="120" w:lineRule="exact"/>
        <w:rPr>
          <w:sz w:val="10"/>
        </w:rPr>
      </w:pPr>
    </w:p>
    <w:p w:rsidR="00050ED6" w:rsidRPr="00050ED6" w:rsidRDefault="00050ED6" w:rsidP="00050ED6">
      <w:pPr>
        <w:pStyle w:val="SingleTxt"/>
        <w:spacing w:after="0" w:line="120" w:lineRule="exact"/>
        <w:rPr>
          <w:sz w:val="10"/>
        </w:rPr>
      </w:pPr>
    </w:p>
    <w:p w:rsidR="00C63112" w:rsidRPr="002218FD" w:rsidRDefault="00C63112" w:rsidP="00050ED6">
      <w:pPr>
        <w:pStyle w:val="SingleTxt"/>
      </w:pPr>
      <w:r w:rsidRPr="002218FD">
        <w:t>32.</w:t>
      </w:r>
      <w:r w:rsidRPr="002218FD">
        <w:tab/>
        <w:t xml:space="preserve">Cuba does not deploy troops in hostilities, except in those </w:t>
      </w:r>
      <w:r w:rsidR="00050ED6">
        <w:t xml:space="preserve">that may </w:t>
      </w:r>
      <w:r w:rsidRPr="002218FD">
        <w:t>aris</w:t>
      </w:r>
      <w:r w:rsidR="00050ED6">
        <w:t>e</w:t>
      </w:r>
      <w:r w:rsidRPr="002218FD">
        <w:t xml:space="preserve"> from sudden external aggression against the country.</w:t>
      </w:r>
    </w:p>
    <w:p w:rsidR="00C63112" w:rsidRPr="002218FD" w:rsidRDefault="00C63112" w:rsidP="00050ED6">
      <w:pPr>
        <w:pStyle w:val="SingleTxt"/>
      </w:pPr>
      <w:r w:rsidRPr="002218FD">
        <w:t>33.</w:t>
      </w:r>
      <w:r w:rsidRPr="002218FD">
        <w:tab/>
        <w:t xml:space="preserve">In the event of an armed conflict, military personnel under 18 years of age who are registered for military service do not undertake military activities until they have </w:t>
      </w:r>
      <w:r w:rsidR="00050ED6">
        <w:t>joined</w:t>
      </w:r>
      <w:r w:rsidRPr="002218FD">
        <w:t xml:space="preserve"> the </w:t>
      </w:r>
      <w:r w:rsidR="00050ED6" w:rsidRPr="002218FD">
        <w:t>Armed Forces</w:t>
      </w:r>
      <w:r w:rsidRPr="002218FD">
        <w:t>.</w:t>
      </w:r>
    </w:p>
    <w:p w:rsidR="00C63112" w:rsidRPr="002218FD" w:rsidRDefault="00C63112" w:rsidP="004E0043">
      <w:pPr>
        <w:pStyle w:val="SingleTxt"/>
      </w:pPr>
      <w:r w:rsidRPr="002218FD">
        <w:t>34.</w:t>
      </w:r>
      <w:r w:rsidRPr="002218FD">
        <w:tab/>
        <w:t xml:space="preserve">Moreover, recruits under 18 years of age engage in preparatory activities </w:t>
      </w:r>
      <w:r w:rsidR="00050ED6">
        <w:t>corresponding to their period of training</w:t>
      </w:r>
      <w:r w:rsidRPr="002218FD">
        <w:t xml:space="preserve">. They have access to </w:t>
      </w:r>
      <w:r w:rsidR="00050ED6">
        <w:t>facilities</w:t>
      </w:r>
      <w:r w:rsidRPr="002218FD">
        <w:t xml:space="preserve"> with dormitories and to comm</w:t>
      </w:r>
      <w:r w:rsidR="004E0043">
        <w:t>u</w:t>
      </w:r>
      <w:r w:rsidRPr="002218FD">
        <w:t>n</w:t>
      </w:r>
      <w:r w:rsidR="004E0043">
        <w:t>al</w:t>
      </w:r>
      <w:r w:rsidRPr="002218FD">
        <w:t xml:space="preserve"> areas.</w:t>
      </w:r>
    </w:p>
    <w:p w:rsidR="00C63112" w:rsidRPr="002218FD" w:rsidRDefault="00C63112" w:rsidP="004E0043">
      <w:pPr>
        <w:pStyle w:val="SingleTxt"/>
      </w:pPr>
      <w:r w:rsidRPr="002218FD">
        <w:t>35.</w:t>
      </w:r>
      <w:r w:rsidRPr="002218FD">
        <w:tab/>
        <w:t xml:space="preserve">These recruits also receive systematic protection from all forms of sexual </w:t>
      </w:r>
      <w:r w:rsidR="004E0043">
        <w:t>or</w:t>
      </w:r>
      <w:r w:rsidRPr="002218FD">
        <w:t xml:space="preserve"> physical abuse and their rights are protected in accordance with the l</w:t>
      </w:r>
      <w:r w:rsidR="004E0043">
        <w:t>aw</w:t>
      </w:r>
      <w:r w:rsidRPr="002218FD">
        <w:t>.</w:t>
      </w:r>
    </w:p>
    <w:p w:rsidR="00C63112" w:rsidRPr="002218FD" w:rsidRDefault="00C63112" w:rsidP="004E0043">
      <w:pPr>
        <w:pStyle w:val="SingleTxt"/>
      </w:pPr>
      <w:r w:rsidRPr="002218FD">
        <w:t>36.</w:t>
      </w:r>
      <w:r w:rsidRPr="002218FD">
        <w:tab/>
        <w:t>Early release may be granted to recruits under 18 years of age at their request or that of a relative</w:t>
      </w:r>
      <w:r w:rsidR="004E0043">
        <w:t>,</w:t>
      </w:r>
      <w:r w:rsidRPr="002218FD">
        <w:t xml:space="preserve"> if their personal circumstances </w:t>
      </w:r>
      <w:r w:rsidR="004E0043">
        <w:t>are such as to</w:t>
      </w:r>
      <w:r w:rsidRPr="002218FD">
        <w:t xml:space="preserve"> justify</w:t>
      </w:r>
      <w:r w:rsidR="004E0043">
        <w:t xml:space="preserve"> it</w:t>
      </w:r>
      <w:r w:rsidRPr="002218FD">
        <w:t>. Such requests, of which more than 50 are approved annually, are handled and processed as appropriate.</w:t>
      </w:r>
    </w:p>
    <w:p w:rsidR="00C63112" w:rsidRPr="002218FD" w:rsidRDefault="00C63112" w:rsidP="004F1E97">
      <w:pPr>
        <w:pStyle w:val="SingleTxt"/>
      </w:pPr>
      <w:r w:rsidRPr="002218FD">
        <w:t>37.</w:t>
      </w:r>
      <w:r w:rsidRPr="002218FD">
        <w:tab/>
        <w:t xml:space="preserve">Article 13 of Decree Law No. 224 of 15 October 2001 establishes that provincial recruitment </w:t>
      </w:r>
      <w:r w:rsidR="004F1E97">
        <w:t xml:space="preserve">boards </w:t>
      </w:r>
      <w:r w:rsidRPr="002218FD">
        <w:t xml:space="preserve">have </w:t>
      </w:r>
      <w:r w:rsidR="004F1E97">
        <w:t xml:space="preserve">the </w:t>
      </w:r>
      <w:r w:rsidRPr="002218FD">
        <w:t>dut</w:t>
      </w:r>
      <w:r w:rsidR="004F1E97">
        <w:t>y</w:t>
      </w:r>
      <w:r w:rsidRPr="002218FD">
        <w:t xml:space="preserve"> and </w:t>
      </w:r>
      <w:r w:rsidR="004F1E97">
        <w:t xml:space="preserve">the </w:t>
      </w:r>
      <w:r w:rsidRPr="002218FD">
        <w:t xml:space="preserve">power to </w:t>
      </w:r>
      <w:r w:rsidR="004F1E97">
        <w:t>consider</w:t>
      </w:r>
      <w:r w:rsidRPr="002218FD">
        <w:t xml:space="preserve"> and process requests for discharge sent to them by municipal recruitment </w:t>
      </w:r>
      <w:r w:rsidR="004F1E97">
        <w:t>boards</w:t>
      </w:r>
      <w:r w:rsidRPr="002218FD">
        <w:t xml:space="preserve">, and to submit proposals </w:t>
      </w:r>
      <w:r w:rsidR="004F1E97">
        <w:t xml:space="preserve">on them </w:t>
      </w:r>
      <w:r w:rsidRPr="002218FD">
        <w:t xml:space="preserve">to the bodies or entities responsible for </w:t>
      </w:r>
      <w:r w:rsidR="004F1E97">
        <w:t xml:space="preserve">their </w:t>
      </w:r>
      <w:r w:rsidRPr="002218FD">
        <w:t>implement</w:t>
      </w:r>
      <w:r w:rsidR="004F1E97">
        <w:t>ation</w:t>
      </w:r>
      <w:r w:rsidRPr="002218FD">
        <w:t>.</w:t>
      </w:r>
    </w:p>
    <w:p w:rsidR="00C63112" w:rsidRPr="002218FD" w:rsidRDefault="00C63112" w:rsidP="001269DA">
      <w:pPr>
        <w:pStyle w:val="SingleTxt"/>
      </w:pPr>
      <w:r w:rsidRPr="002218FD">
        <w:t>38.</w:t>
      </w:r>
      <w:r w:rsidRPr="002218FD">
        <w:tab/>
        <w:t xml:space="preserve">All requests for discharge, not only those made by recruits under 18 years of age, </w:t>
      </w:r>
      <w:r w:rsidR="004F1E97">
        <w:t>must be</w:t>
      </w:r>
      <w:r w:rsidRPr="002218FD">
        <w:t xml:space="preserve"> approved by </w:t>
      </w:r>
      <w:r w:rsidR="004F1E97">
        <w:t>a</w:t>
      </w:r>
      <w:r w:rsidRPr="002218FD">
        <w:t xml:space="preserve"> senior </w:t>
      </w:r>
      <w:r w:rsidR="004F1E97">
        <w:t xml:space="preserve">officer or head of a </w:t>
      </w:r>
      <w:r w:rsidRPr="002218FD">
        <w:t>unit, as set out in National Defence Act No. 75.</w:t>
      </w:r>
    </w:p>
    <w:p w:rsidR="00C63112" w:rsidRPr="002218FD" w:rsidRDefault="00C63112" w:rsidP="004F1E97">
      <w:pPr>
        <w:pStyle w:val="SingleTxt"/>
      </w:pPr>
      <w:r w:rsidRPr="002218FD">
        <w:t>39.</w:t>
      </w:r>
      <w:r w:rsidRPr="002218FD">
        <w:tab/>
        <w:t>The Constitution provides that the Attorney General</w:t>
      </w:r>
      <w:r w:rsidR="004E382D">
        <w:t>’</w:t>
      </w:r>
      <w:r w:rsidRPr="002218FD">
        <w:t xml:space="preserve">s Office is the body responsible for monitoring and upholding socialist legality; in other words, for ensuring compliance </w:t>
      </w:r>
      <w:r w:rsidR="004F1E97">
        <w:t>by</w:t>
      </w:r>
      <w:r w:rsidR="004F1E97" w:rsidRPr="002218FD">
        <w:t xml:space="preserve"> State agencies, other entities and </w:t>
      </w:r>
      <w:r w:rsidR="004F1E97">
        <w:t>individuals</w:t>
      </w:r>
      <w:r w:rsidR="004F1E97" w:rsidRPr="002218FD">
        <w:t xml:space="preserve"> </w:t>
      </w:r>
      <w:r w:rsidRPr="002218FD">
        <w:t>with the Constitution, the law and other legal provisions in force in the country.</w:t>
      </w:r>
    </w:p>
    <w:p w:rsidR="00C63112" w:rsidRPr="002218FD" w:rsidRDefault="00C63112" w:rsidP="004F1E97">
      <w:pPr>
        <w:pStyle w:val="SingleTxt"/>
      </w:pPr>
      <w:r w:rsidRPr="002218FD">
        <w:t>40.</w:t>
      </w:r>
      <w:r w:rsidRPr="002218FD">
        <w:tab/>
        <w:t xml:space="preserve">In addition, under the Constitution, </w:t>
      </w:r>
      <w:r w:rsidR="004F1E97">
        <w:t>anyone has</w:t>
      </w:r>
      <w:r w:rsidRPr="002218FD">
        <w:t xml:space="preserve"> the right to submit </w:t>
      </w:r>
      <w:r w:rsidR="004F1E97">
        <w:t xml:space="preserve">a </w:t>
      </w:r>
      <w:r w:rsidRPr="002218FD">
        <w:t>complaint or petition to the authorities and to receive a response within an appropriate time.</w:t>
      </w:r>
    </w:p>
    <w:p w:rsidR="00C63112" w:rsidRPr="002218FD" w:rsidRDefault="00C63112" w:rsidP="004F1E97">
      <w:pPr>
        <w:pStyle w:val="SingleTxt"/>
      </w:pPr>
      <w:r w:rsidRPr="002218FD">
        <w:t>41.</w:t>
      </w:r>
      <w:r w:rsidRPr="002218FD">
        <w:tab/>
        <w:t>Between 2010 and 2013, the branch</w:t>
      </w:r>
      <w:r w:rsidR="004F1E97">
        <w:t xml:space="preserve"> offices</w:t>
      </w:r>
      <w:r w:rsidRPr="002218FD">
        <w:t xml:space="preserve"> of the Attorney General</w:t>
      </w:r>
      <w:r w:rsidR="004E382D">
        <w:t>’</w:t>
      </w:r>
      <w:r w:rsidRPr="002218FD">
        <w:t xml:space="preserve">s Office dealt with 358,019 people and processed 54,881 </w:t>
      </w:r>
      <w:r w:rsidR="004F1E97">
        <w:t xml:space="preserve">written </w:t>
      </w:r>
      <w:r w:rsidRPr="002218FD">
        <w:t>claims, complaints and allegations of various kinds, of which 22.3 per cent were found to have merit.</w:t>
      </w:r>
    </w:p>
    <w:p w:rsidR="00C63112" w:rsidRPr="002218FD" w:rsidRDefault="00C63112" w:rsidP="001269DA">
      <w:pPr>
        <w:pStyle w:val="SingleTxt"/>
      </w:pPr>
      <w:r w:rsidRPr="002218FD">
        <w:t>42.</w:t>
      </w:r>
      <w:r w:rsidRPr="002218FD">
        <w:tab/>
        <w:t xml:space="preserve">Moreover, young recruits have the right to </w:t>
      </w:r>
      <w:r w:rsidR="001269DA">
        <w:t>address</w:t>
      </w:r>
      <w:r w:rsidRPr="002218FD">
        <w:t xml:space="preserve"> complaints, claims and petitions to their commanders in the centres where they </w:t>
      </w:r>
      <w:r w:rsidR="004F1E97">
        <w:t>are based</w:t>
      </w:r>
      <w:r w:rsidRPr="002218FD">
        <w:t>, to the Military Prosecutor</w:t>
      </w:r>
      <w:r w:rsidR="004E382D">
        <w:t>’</w:t>
      </w:r>
      <w:r w:rsidRPr="002218FD">
        <w:t>s Office, to the Attorney General</w:t>
      </w:r>
      <w:r w:rsidR="004E382D">
        <w:t>’</w:t>
      </w:r>
      <w:r w:rsidRPr="002218FD">
        <w:t xml:space="preserve">s Office and to the various levels of administration within the </w:t>
      </w:r>
      <w:r w:rsidR="004F1E97" w:rsidRPr="002218FD">
        <w:t>Armed Forces</w:t>
      </w:r>
      <w:r w:rsidRPr="002218FD">
        <w:t>.</w:t>
      </w:r>
    </w:p>
    <w:p w:rsidR="00C63112" w:rsidRPr="002218FD" w:rsidRDefault="00C63112" w:rsidP="004F1E97">
      <w:pPr>
        <w:pStyle w:val="SingleTxt"/>
      </w:pPr>
      <w:r w:rsidRPr="002218FD">
        <w:t>43.</w:t>
      </w:r>
      <w:r w:rsidRPr="002218FD">
        <w:tab/>
        <w:t xml:space="preserve">Regarding the recruitment age, an exception will continue to be made to enable young persons aged 17 who secure a university place to </w:t>
      </w:r>
      <w:r w:rsidR="004F1E97">
        <w:t>do their military service</w:t>
      </w:r>
      <w:r w:rsidRPr="002218FD">
        <w:t xml:space="preserve"> voluntarily and avoid any delays or interruptions in their studies at other levels.</w:t>
      </w:r>
    </w:p>
    <w:p w:rsidR="004F1E97" w:rsidRPr="004F1E97" w:rsidRDefault="004F1E97" w:rsidP="00264A5E">
      <w:pPr>
        <w:pStyle w:val="H1"/>
        <w:spacing w:line="120" w:lineRule="exact"/>
        <w:ind w:right="1260"/>
        <w:rPr>
          <w:sz w:val="10"/>
        </w:rPr>
      </w:pPr>
    </w:p>
    <w:p w:rsidR="004F1E97" w:rsidRPr="004F1E97" w:rsidRDefault="004F1E97" w:rsidP="00264A5E">
      <w:pPr>
        <w:pStyle w:val="H1"/>
        <w:spacing w:line="120" w:lineRule="exact"/>
        <w:ind w:right="1260"/>
        <w:rPr>
          <w:sz w:val="10"/>
        </w:rPr>
      </w:pPr>
    </w:p>
    <w:p w:rsidR="00C63112" w:rsidRPr="002218FD" w:rsidRDefault="004F1E97" w:rsidP="00264A5E">
      <w:pPr>
        <w:pStyle w:val="H1"/>
        <w:ind w:right="1260"/>
      </w:pPr>
      <w:r>
        <w:tab/>
      </w:r>
      <w:r>
        <w:tab/>
      </w:r>
      <w:r w:rsidR="00C63112" w:rsidRPr="002218FD">
        <w:t>Reply to paragraph 7 of the list of issues</w:t>
      </w:r>
    </w:p>
    <w:p w:rsidR="004F1E97" w:rsidRPr="004F1E97" w:rsidRDefault="004F1E97" w:rsidP="00264A5E">
      <w:pPr>
        <w:pStyle w:val="SingleTxt"/>
        <w:keepNext/>
        <w:keepLines/>
        <w:spacing w:after="0" w:line="120" w:lineRule="exact"/>
        <w:rPr>
          <w:sz w:val="10"/>
        </w:rPr>
      </w:pPr>
    </w:p>
    <w:p w:rsidR="004F1E97" w:rsidRPr="004F1E97" w:rsidRDefault="004F1E97" w:rsidP="004F1E97">
      <w:pPr>
        <w:pStyle w:val="SingleTxt"/>
        <w:spacing w:after="0" w:line="120" w:lineRule="exact"/>
        <w:rPr>
          <w:sz w:val="10"/>
        </w:rPr>
      </w:pPr>
    </w:p>
    <w:p w:rsidR="00C63112" w:rsidRPr="002218FD" w:rsidRDefault="00C63112" w:rsidP="004F1E97">
      <w:pPr>
        <w:pStyle w:val="SingleTxt"/>
      </w:pPr>
      <w:r w:rsidRPr="002218FD">
        <w:t>44.</w:t>
      </w:r>
      <w:r w:rsidRPr="002218FD">
        <w:tab/>
        <w:t xml:space="preserve">The offence of desertion is covered in article 18 of Military Offences Act No. 22 of 15 February 1979, which provides for </w:t>
      </w:r>
      <w:r w:rsidR="004F1E97">
        <w:t xml:space="preserve">a </w:t>
      </w:r>
      <w:r w:rsidRPr="002218FD">
        <w:t>punishment of between 2 and 5 years</w:t>
      </w:r>
      <w:r w:rsidR="004E382D">
        <w:t>’</w:t>
      </w:r>
      <w:r w:rsidRPr="002218FD">
        <w:t xml:space="preserve"> imprisonment.</w:t>
      </w:r>
    </w:p>
    <w:p w:rsidR="00C63112" w:rsidRPr="002218FD" w:rsidRDefault="00C63112" w:rsidP="001D37E8">
      <w:pPr>
        <w:pStyle w:val="SingleTxt"/>
      </w:pPr>
      <w:r w:rsidRPr="002218FD">
        <w:t>45.</w:t>
      </w:r>
      <w:r w:rsidRPr="002218FD">
        <w:tab/>
        <w:t xml:space="preserve">Once they have joined the </w:t>
      </w:r>
      <w:r w:rsidR="004F1E97" w:rsidRPr="002218FD">
        <w:t>Armed Forces</w:t>
      </w:r>
      <w:r w:rsidRPr="002218FD">
        <w:t xml:space="preserve">, all military personnel without exception may be charged with desertion, as </w:t>
      </w:r>
      <w:r w:rsidR="004F1E97">
        <w:t>laid down</w:t>
      </w:r>
      <w:r w:rsidRPr="002218FD">
        <w:t xml:space="preserve"> in article 2 (a), of the Military Offences Act.</w:t>
      </w:r>
    </w:p>
    <w:p w:rsidR="00C63112" w:rsidRPr="002218FD" w:rsidRDefault="00C63112" w:rsidP="001D37E8">
      <w:pPr>
        <w:pStyle w:val="SingleTxt"/>
      </w:pPr>
      <w:r w:rsidRPr="002218FD">
        <w:t>46.</w:t>
      </w:r>
      <w:r w:rsidRPr="002218FD">
        <w:tab/>
        <w:t xml:space="preserve">To date, there have been no </w:t>
      </w:r>
      <w:r w:rsidR="001D37E8">
        <w:t>recorded</w:t>
      </w:r>
      <w:r w:rsidRPr="002218FD">
        <w:t xml:space="preserve"> cases in which recruits under 18 years of age have been tried for this offence.</w:t>
      </w:r>
    </w:p>
    <w:p w:rsidR="00C63112" w:rsidRPr="002218FD" w:rsidRDefault="00C63112" w:rsidP="00264A5E">
      <w:pPr>
        <w:pStyle w:val="SingleTxt"/>
      </w:pPr>
      <w:r w:rsidRPr="002218FD">
        <w:t>47.</w:t>
      </w:r>
      <w:r w:rsidRPr="002218FD">
        <w:tab/>
      </w:r>
      <w:r w:rsidR="001D37E8">
        <w:t>In no case would t</w:t>
      </w:r>
      <w:r w:rsidRPr="002218FD">
        <w:t>he death penalty be imposed on a person below 20 years of age</w:t>
      </w:r>
      <w:r w:rsidR="001D37E8">
        <w:t>,</w:t>
      </w:r>
      <w:r w:rsidRPr="002218FD">
        <w:t xml:space="preserve"> for any offence. Article 29 of the Criminal Code (Act No. 62 of 29 December 1987) establishes that the death penalty is applied only in exceptional cases and is handed down by the court only for the most serious cases </w:t>
      </w:r>
      <w:r w:rsidR="001D37E8">
        <w:t>the offences</w:t>
      </w:r>
      <w:r w:rsidR="00264A5E">
        <w:t xml:space="preserve"> subject</w:t>
      </w:r>
      <w:r w:rsidR="001D37E8">
        <w:t xml:space="preserve"> to it</w:t>
      </w:r>
      <w:r w:rsidRPr="002218FD">
        <w:t xml:space="preserve">. The death penalty </w:t>
      </w:r>
      <w:r w:rsidR="001D37E8">
        <w:t xml:space="preserve">may </w:t>
      </w:r>
      <w:r w:rsidRPr="002218FD">
        <w:t>not be imposed on persons below 20 years of age or on women who were pregnant at the time of the offence or are pregnant at the time of sentencing.</w:t>
      </w:r>
    </w:p>
    <w:p w:rsidR="001D37E8" w:rsidRPr="001D37E8" w:rsidRDefault="001D37E8" w:rsidP="001D37E8">
      <w:pPr>
        <w:pStyle w:val="H1"/>
        <w:spacing w:line="120" w:lineRule="exact"/>
        <w:ind w:right="1260"/>
        <w:rPr>
          <w:sz w:val="10"/>
        </w:rPr>
      </w:pPr>
    </w:p>
    <w:p w:rsidR="001D37E8" w:rsidRPr="001D37E8" w:rsidRDefault="001D37E8" w:rsidP="001D37E8">
      <w:pPr>
        <w:pStyle w:val="H1"/>
        <w:spacing w:line="120" w:lineRule="exact"/>
        <w:ind w:right="1260"/>
        <w:rPr>
          <w:sz w:val="10"/>
        </w:rPr>
      </w:pPr>
    </w:p>
    <w:p w:rsidR="00C63112" w:rsidRPr="002218FD" w:rsidRDefault="001D37E8" w:rsidP="001D37E8">
      <w:pPr>
        <w:pStyle w:val="H1"/>
        <w:ind w:right="1260"/>
      </w:pPr>
      <w:r>
        <w:tab/>
      </w:r>
      <w:r>
        <w:tab/>
      </w:r>
      <w:r w:rsidR="00C63112" w:rsidRPr="002218FD">
        <w:t>Reply to paragraph 8 of the list of issues</w:t>
      </w:r>
    </w:p>
    <w:p w:rsidR="001D37E8" w:rsidRPr="001D37E8" w:rsidRDefault="001D37E8" w:rsidP="001D37E8">
      <w:pPr>
        <w:pStyle w:val="SingleTxt"/>
        <w:spacing w:after="0" w:line="120" w:lineRule="exact"/>
        <w:rPr>
          <w:sz w:val="10"/>
        </w:rPr>
      </w:pPr>
    </w:p>
    <w:p w:rsidR="001D37E8" w:rsidRPr="001D37E8" w:rsidRDefault="001D37E8" w:rsidP="001D37E8">
      <w:pPr>
        <w:pStyle w:val="SingleTxt"/>
        <w:spacing w:after="0" w:line="120" w:lineRule="exact"/>
        <w:rPr>
          <w:sz w:val="10"/>
        </w:rPr>
      </w:pPr>
    </w:p>
    <w:p w:rsidR="00C63112" w:rsidRPr="002218FD" w:rsidRDefault="00C63112" w:rsidP="001D37E8">
      <w:pPr>
        <w:pStyle w:val="SingleTxt"/>
      </w:pPr>
      <w:r w:rsidRPr="002218FD">
        <w:t>48.</w:t>
      </w:r>
      <w:r w:rsidRPr="002218FD">
        <w:tab/>
        <w:t>Under National Defence Act No. 75 and Decree Law No. 224</w:t>
      </w:r>
      <w:r w:rsidR="001D37E8">
        <w:t xml:space="preserve"> on</w:t>
      </w:r>
      <w:r w:rsidRPr="002218FD">
        <w:t xml:space="preserve"> military service, no distinction is drawn with regard to the participation of recruits under 18 years of age in the event of a general mobilization. </w:t>
      </w:r>
      <w:r w:rsidR="001D37E8">
        <w:t>T</w:t>
      </w:r>
      <w:r w:rsidRPr="002218FD">
        <w:t xml:space="preserve">hese </w:t>
      </w:r>
      <w:r w:rsidR="00264A5E">
        <w:t xml:space="preserve">two </w:t>
      </w:r>
      <w:r w:rsidRPr="002218FD">
        <w:t xml:space="preserve">laws </w:t>
      </w:r>
      <w:r w:rsidR="001D37E8">
        <w:t xml:space="preserve">also </w:t>
      </w:r>
      <w:r w:rsidRPr="002218FD">
        <w:t>provide that the recruitment age</w:t>
      </w:r>
      <w:r w:rsidRPr="002218FD">
        <w:softHyphen/>
        <w:t xml:space="preserve"> during states of emergency is the same as for military service.</w:t>
      </w:r>
    </w:p>
    <w:p w:rsidR="001D37E8" w:rsidRPr="001D37E8" w:rsidRDefault="001D37E8" w:rsidP="001D37E8">
      <w:pPr>
        <w:pStyle w:val="H1"/>
        <w:spacing w:line="120" w:lineRule="exact"/>
        <w:ind w:right="1260"/>
        <w:rPr>
          <w:sz w:val="10"/>
        </w:rPr>
      </w:pPr>
    </w:p>
    <w:p w:rsidR="001D37E8" w:rsidRPr="001D37E8" w:rsidRDefault="001D37E8" w:rsidP="001D37E8">
      <w:pPr>
        <w:pStyle w:val="H1"/>
        <w:spacing w:line="120" w:lineRule="exact"/>
        <w:ind w:right="1260"/>
        <w:rPr>
          <w:sz w:val="10"/>
        </w:rPr>
      </w:pPr>
    </w:p>
    <w:p w:rsidR="00C63112" w:rsidRPr="002218FD" w:rsidRDefault="001D37E8" w:rsidP="001D37E8">
      <w:pPr>
        <w:pStyle w:val="H1"/>
        <w:ind w:right="1260"/>
      </w:pPr>
      <w:r>
        <w:tab/>
      </w:r>
      <w:r>
        <w:tab/>
      </w:r>
      <w:r w:rsidR="00C63112" w:rsidRPr="002218FD">
        <w:t>Reply to paragraph 9 of the list of issues</w:t>
      </w:r>
    </w:p>
    <w:p w:rsidR="001D37E8" w:rsidRPr="001D37E8" w:rsidRDefault="001D37E8" w:rsidP="001D37E8">
      <w:pPr>
        <w:pStyle w:val="SingleTxt"/>
        <w:spacing w:after="0" w:line="120" w:lineRule="exact"/>
        <w:rPr>
          <w:sz w:val="10"/>
        </w:rPr>
      </w:pPr>
    </w:p>
    <w:p w:rsidR="001D37E8" w:rsidRPr="001D37E8" w:rsidRDefault="001D37E8" w:rsidP="001D37E8">
      <w:pPr>
        <w:pStyle w:val="SingleTxt"/>
        <w:spacing w:after="0" w:line="120" w:lineRule="exact"/>
        <w:rPr>
          <w:sz w:val="10"/>
        </w:rPr>
      </w:pPr>
    </w:p>
    <w:p w:rsidR="00C63112" w:rsidRPr="002218FD" w:rsidRDefault="00C63112" w:rsidP="001D37E8">
      <w:pPr>
        <w:pStyle w:val="SingleTxt"/>
      </w:pPr>
      <w:r w:rsidRPr="002218FD">
        <w:t>49.</w:t>
      </w:r>
      <w:r w:rsidRPr="002218FD">
        <w:tab/>
        <w:t xml:space="preserve">The Camilo Cienfuegos military schools are vocational pre-university military academies operating under the Ministry of the Revolutionary Armed Forces. Their purpose is to imbue young people with high political and moral values, discipline, </w:t>
      </w:r>
      <w:r w:rsidR="001D37E8">
        <w:t>appropriate</w:t>
      </w:r>
      <w:r w:rsidRPr="002218FD">
        <w:t xml:space="preserve"> physical and mental s</w:t>
      </w:r>
      <w:r w:rsidR="001D37E8">
        <w:t>kills</w:t>
      </w:r>
      <w:r w:rsidRPr="002218FD">
        <w:t xml:space="preserve">, and the conviction and </w:t>
      </w:r>
      <w:r w:rsidR="001D37E8">
        <w:t>desire</w:t>
      </w:r>
      <w:r w:rsidRPr="002218FD">
        <w:t xml:space="preserve"> to train as an officer or military or civilian professional by taking any of the modules and specialization courses taught in </w:t>
      </w:r>
      <w:r w:rsidR="001D37E8">
        <w:t>the country</w:t>
      </w:r>
      <w:r w:rsidR="004E382D">
        <w:t>’</w:t>
      </w:r>
      <w:r w:rsidR="001D37E8">
        <w:t xml:space="preserve">s </w:t>
      </w:r>
      <w:r w:rsidRPr="002218FD">
        <w:t>higher-level educational institutions.</w:t>
      </w:r>
    </w:p>
    <w:p w:rsidR="00C63112" w:rsidRPr="002218FD" w:rsidRDefault="00C63112" w:rsidP="00C63112">
      <w:pPr>
        <w:pStyle w:val="SingleTxt"/>
      </w:pPr>
      <w:r w:rsidRPr="002218FD">
        <w:t>50.</w:t>
      </w:r>
      <w:r w:rsidRPr="002218FD">
        <w:tab/>
        <w:t>The Ministry of the Revolutionary Armed Forces implements the curricula approved by the Ministry of Education, which are fully in line with those taught in pre-university educational institutions at the national level.</w:t>
      </w:r>
    </w:p>
    <w:p w:rsidR="00C63112" w:rsidRPr="002218FD" w:rsidRDefault="00807902" w:rsidP="004B3FE3">
      <w:pPr>
        <w:pStyle w:val="H23"/>
        <w:ind w:right="1260"/>
      </w:pPr>
      <w:r>
        <w:lastRenderedPageBreak/>
        <w:tab/>
      </w:r>
      <w:r>
        <w:tab/>
      </w:r>
      <w:r w:rsidR="00C63112" w:rsidRPr="00807902">
        <w:rPr>
          <w:b w:val="0"/>
          <w:bCs/>
        </w:rPr>
        <w:t>Table 2</w:t>
      </w:r>
      <w:r w:rsidRPr="00807902">
        <w:rPr>
          <w:b w:val="0"/>
          <w:bCs/>
        </w:rPr>
        <w:br/>
      </w:r>
      <w:r w:rsidR="00C63112" w:rsidRPr="002218FD">
        <w:t>Young people who study</w:t>
      </w:r>
      <w:r w:rsidR="00264A5E">
        <w:t>ing</w:t>
      </w:r>
      <w:r w:rsidR="00C63112" w:rsidRPr="002218FD">
        <w:t xml:space="preserve"> at the Camilo Cienfuegos military schools</w:t>
      </w:r>
    </w:p>
    <w:p w:rsidR="00C63112" w:rsidRPr="001D37E8" w:rsidRDefault="00C63112" w:rsidP="004B3FE3">
      <w:pPr>
        <w:keepNext/>
        <w:spacing w:line="120" w:lineRule="exact"/>
        <w:rPr>
          <w:sz w:val="10"/>
        </w:rPr>
      </w:pPr>
    </w:p>
    <w:p w:rsidR="001D37E8" w:rsidRPr="001D37E8" w:rsidRDefault="001D37E8" w:rsidP="004B3FE3">
      <w:pPr>
        <w:keepNext/>
        <w:spacing w:line="120" w:lineRule="exact"/>
        <w:rPr>
          <w:sz w:val="10"/>
        </w:rPr>
      </w:pPr>
    </w:p>
    <w:tbl>
      <w:tblPr>
        <w:tblW w:w="8730" w:type="dxa"/>
        <w:tblInd w:w="1260" w:type="dxa"/>
        <w:tblLayout w:type="fixed"/>
        <w:tblCellMar>
          <w:left w:w="0" w:type="dxa"/>
          <w:right w:w="0" w:type="dxa"/>
        </w:tblCellMar>
        <w:tblLook w:val="01E0" w:firstRow="1" w:lastRow="1" w:firstColumn="1" w:lastColumn="1" w:noHBand="0" w:noVBand="0"/>
      </w:tblPr>
      <w:tblGrid>
        <w:gridCol w:w="1521"/>
        <w:gridCol w:w="801"/>
        <w:gridCol w:w="801"/>
        <w:gridCol w:w="801"/>
        <w:gridCol w:w="801"/>
        <w:gridCol w:w="801"/>
        <w:gridCol w:w="801"/>
        <w:gridCol w:w="801"/>
        <w:gridCol w:w="801"/>
        <w:gridCol w:w="801"/>
      </w:tblGrid>
      <w:tr w:rsidR="00420CA9" w:rsidRPr="004B674F" w:rsidTr="00C3220E">
        <w:trPr>
          <w:tblHeader/>
        </w:trPr>
        <w:tc>
          <w:tcPr>
            <w:tcW w:w="1521" w:type="dxa"/>
            <w:tcBorders>
              <w:top w:val="single" w:sz="4" w:space="0" w:color="auto"/>
            </w:tcBorders>
            <w:shd w:val="clear" w:color="auto" w:fill="auto"/>
            <w:vAlign w:val="bottom"/>
          </w:tcPr>
          <w:p w:rsidR="00420CA9" w:rsidRPr="004B674F" w:rsidRDefault="00420CA9" w:rsidP="004B3FE3">
            <w:pPr>
              <w:keepNext/>
              <w:spacing w:before="81" w:after="81" w:line="160" w:lineRule="exact"/>
              <w:ind w:right="40"/>
              <w:rPr>
                <w:i/>
                <w:sz w:val="14"/>
              </w:rPr>
            </w:pPr>
          </w:p>
        </w:tc>
        <w:tc>
          <w:tcPr>
            <w:tcW w:w="2403" w:type="dxa"/>
            <w:gridSpan w:val="3"/>
            <w:tcBorders>
              <w:top w:val="single" w:sz="4" w:space="0" w:color="auto"/>
              <w:bottom w:val="single" w:sz="4" w:space="0" w:color="auto"/>
              <w:right w:val="single" w:sz="24" w:space="0" w:color="FFFFFF" w:themeColor="background1"/>
            </w:tcBorders>
            <w:shd w:val="clear" w:color="auto" w:fill="auto"/>
            <w:vAlign w:val="bottom"/>
          </w:tcPr>
          <w:p w:rsidR="00420CA9" w:rsidRPr="004B674F" w:rsidRDefault="00420CA9" w:rsidP="004B3FE3">
            <w:pPr>
              <w:keepNext/>
              <w:spacing w:before="81" w:after="81" w:line="160" w:lineRule="exact"/>
              <w:ind w:left="144" w:right="40"/>
              <w:jc w:val="center"/>
              <w:rPr>
                <w:i/>
                <w:sz w:val="14"/>
              </w:rPr>
            </w:pPr>
            <w:r w:rsidRPr="004B674F">
              <w:rPr>
                <w:i/>
                <w:sz w:val="14"/>
              </w:rPr>
              <w:t>15 years old</w:t>
            </w:r>
          </w:p>
        </w:tc>
        <w:tc>
          <w:tcPr>
            <w:tcW w:w="240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20CA9" w:rsidRPr="004B674F" w:rsidRDefault="00420CA9" w:rsidP="004B3FE3">
            <w:pPr>
              <w:keepNext/>
              <w:spacing w:before="81" w:after="81" w:line="160" w:lineRule="exact"/>
              <w:ind w:left="144" w:right="40"/>
              <w:jc w:val="center"/>
              <w:rPr>
                <w:i/>
                <w:sz w:val="14"/>
              </w:rPr>
            </w:pPr>
            <w:r w:rsidRPr="004B674F">
              <w:rPr>
                <w:i/>
                <w:sz w:val="14"/>
              </w:rPr>
              <w:t>16 years old</w:t>
            </w:r>
          </w:p>
        </w:tc>
        <w:tc>
          <w:tcPr>
            <w:tcW w:w="2403" w:type="dxa"/>
            <w:gridSpan w:val="3"/>
            <w:tcBorders>
              <w:top w:val="single" w:sz="4" w:space="0" w:color="auto"/>
              <w:left w:val="single" w:sz="24" w:space="0" w:color="FFFFFF" w:themeColor="background1"/>
              <w:bottom w:val="single" w:sz="4" w:space="0" w:color="auto"/>
            </w:tcBorders>
            <w:shd w:val="clear" w:color="auto" w:fill="auto"/>
            <w:vAlign w:val="bottom"/>
          </w:tcPr>
          <w:p w:rsidR="00420CA9" w:rsidRPr="004B674F" w:rsidRDefault="00420CA9" w:rsidP="004B3FE3">
            <w:pPr>
              <w:keepNext/>
              <w:spacing w:before="81" w:after="81" w:line="160" w:lineRule="exact"/>
              <w:ind w:left="144" w:right="40"/>
              <w:jc w:val="center"/>
              <w:rPr>
                <w:i/>
                <w:sz w:val="14"/>
              </w:rPr>
            </w:pPr>
            <w:r w:rsidRPr="004B674F">
              <w:rPr>
                <w:i/>
                <w:sz w:val="14"/>
              </w:rPr>
              <w:t>17 years old</w:t>
            </w:r>
          </w:p>
        </w:tc>
      </w:tr>
      <w:tr w:rsidR="00420CA9" w:rsidRPr="004B674F" w:rsidTr="00420CA9">
        <w:trPr>
          <w:tblHeader/>
        </w:trPr>
        <w:tc>
          <w:tcPr>
            <w:tcW w:w="1521" w:type="dxa"/>
            <w:tcBorders>
              <w:bottom w:val="single" w:sz="12" w:space="0" w:color="auto"/>
            </w:tcBorders>
            <w:shd w:val="clear" w:color="auto" w:fill="auto"/>
            <w:vAlign w:val="bottom"/>
          </w:tcPr>
          <w:p w:rsidR="00C63112" w:rsidRPr="004B674F" w:rsidRDefault="00217296" w:rsidP="004B3FE3">
            <w:pPr>
              <w:keepNext/>
              <w:spacing w:before="81" w:after="81" w:line="160" w:lineRule="exact"/>
              <w:ind w:right="40"/>
              <w:rPr>
                <w:i/>
                <w:sz w:val="14"/>
              </w:rPr>
            </w:pPr>
            <w:r w:rsidRPr="004B674F">
              <w:rPr>
                <w:i/>
                <w:sz w:val="14"/>
              </w:rPr>
              <w:t>Province</w:t>
            </w:r>
          </w:p>
        </w:tc>
        <w:tc>
          <w:tcPr>
            <w:tcW w:w="801" w:type="dxa"/>
            <w:tcBorders>
              <w:top w:val="single" w:sz="4" w:space="0" w:color="auto"/>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F</w:t>
            </w:r>
            <w:r w:rsidR="00217296">
              <w:rPr>
                <w:i/>
                <w:sz w:val="14"/>
              </w:rPr>
              <w:t>emale</w:t>
            </w:r>
          </w:p>
        </w:tc>
        <w:tc>
          <w:tcPr>
            <w:tcW w:w="801" w:type="dxa"/>
            <w:tcBorders>
              <w:top w:val="single" w:sz="4" w:space="0" w:color="auto"/>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M</w:t>
            </w:r>
            <w:r w:rsidR="00217296">
              <w:rPr>
                <w:i/>
                <w:sz w:val="14"/>
              </w:rPr>
              <w:t>ale</w:t>
            </w:r>
          </w:p>
        </w:tc>
        <w:tc>
          <w:tcPr>
            <w:tcW w:w="801" w:type="dxa"/>
            <w:tcBorders>
              <w:top w:val="single" w:sz="4" w:space="0" w:color="auto"/>
              <w:bottom w:val="single" w:sz="12" w:space="0" w:color="auto"/>
              <w:right w:val="single" w:sz="24" w:space="0" w:color="FFFFFF" w:themeColor="background1"/>
            </w:tcBorders>
            <w:shd w:val="clear" w:color="auto" w:fill="auto"/>
            <w:vAlign w:val="bottom"/>
          </w:tcPr>
          <w:p w:rsidR="00C63112" w:rsidRPr="00217296" w:rsidRDefault="00C63112" w:rsidP="004B3FE3">
            <w:pPr>
              <w:keepNext/>
              <w:spacing w:before="81" w:after="81" w:line="160" w:lineRule="exact"/>
              <w:ind w:left="144" w:right="40"/>
              <w:jc w:val="right"/>
              <w:rPr>
                <w:b/>
                <w:bCs/>
                <w:i/>
                <w:sz w:val="14"/>
              </w:rPr>
            </w:pPr>
            <w:r w:rsidRPr="00217296">
              <w:rPr>
                <w:b/>
                <w:bCs/>
                <w:i/>
                <w:sz w:val="14"/>
              </w:rPr>
              <w:t>Total</w:t>
            </w:r>
          </w:p>
        </w:tc>
        <w:tc>
          <w:tcPr>
            <w:tcW w:w="801" w:type="dxa"/>
            <w:tcBorders>
              <w:top w:val="single" w:sz="4" w:space="0" w:color="auto"/>
              <w:left w:val="single" w:sz="24" w:space="0" w:color="FFFFFF" w:themeColor="background1"/>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F</w:t>
            </w:r>
            <w:r w:rsidR="00217296">
              <w:rPr>
                <w:i/>
                <w:sz w:val="14"/>
              </w:rPr>
              <w:t>emale</w:t>
            </w:r>
          </w:p>
        </w:tc>
        <w:tc>
          <w:tcPr>
            <w:tcW w:w="801" w:type="dxa"/>
            <w:tcBorders>
              <w:top w:val="single" w:sz="4" w:space="0" w:color="auto"/>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M</w:t>
            </w:r>
            <w:r w:rsidR="00217296">
              <w:rPr>
                <w:i/>
                <w:sz w:val="14"/>
              </w:rPr>
              <w:t>ale</w:t>
            </w:r>
          </w:p>
        </w:tc>
        <w:tc>
          <w:tcPr>
            <w:tcW w:w="801" w:type="dxa"/>
            <w:tcBorders>
              <w:top w:val="single" w:sz="4" w:space="0" w:color="auto"/>
              <w:bottom w:val="single" w:sz="12" w:space="0" w:color="auto"/>
              <w:right w:val="single" w:sz="24" w:space="0" w:color="FFFFFF" w:themeColor="background1"/>
            </w:tcBorders>
            <w:shd w:val="clear" w:color="auto" w:fill="auto"/>
            <w:vAlign w:val="bottom"/>
          </w:tcPr>
          <w:p w:rsidR="00C63112" w:rsidRPr="00972CFD" w:rsidRDefault="00C63112" w:rsidP="004B3FE3">
            <w:pPr>
              <w:keepNext/>
              <w:spacing w:before="81" w:after="81" w:line="160" w:lineRule="exact"/>
              <w:ind w:left="144" w:right="40"/>
              <w:jc w:val="right"/>
              <w:rPr>
                <w:b/>
                <w:bCs/>
                <w:i/>
                <w:sz w:val="14"/>
              </w:rPr>
            </w:pPr>
            <w:r w:rsidRPr="00972CFD">
              <w:rPr>
                <w:b/>
                <w:bCs/>
                <w:i/>
                <w:sz w:val="14"/>
              </w:rPr>
              <w:t>Total</w:t>
            </w:r>
          </w:p>
        </w:tc>
        <w:tc>
          <w:tcPr>
            <w:tcW w:w="801" w:type="dxa"/>
            <w:tcBorders>
              <w:top w:val="single" w:sz="4" w:space="0" w:color="auto"/>
              <w:left w:val="single" w:sz="24" w:space="0" w:color="FFFFFF" w:themeColor="background1"/>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F</w:t>
            </w:r>
            <w:r w:rsidR="00217296">
              <w:rPr>
                <w:i/>
                <w:sz w:val="14"/>
              </w:rPr>
              <w:t>emale</w:t>
            </w:r>
          </w:p>
        </w:tc>
        <w:tc>
          <w:tcPr>
            <w:tcW w:w="801" w:type="dxa"/>
            <w:tcBorders>
              <w:top w:val="single" w:sz="4" w:space="0" w:color="auto"/>
              <w:bottom w:val="single" w:sz="12" w:space="0" w:color="auto"/>
            </w:tcBorders>
            <w:shd w:val="clear" w:color="auto" w:fill="auto"/>
            <w:vAlign w:val="bottom"/>
          </w:tcPr>
          <w:p w:rsidR="00C63112" w:rsidRPr="004B674F" w:rsidRDefault="00C63112" w:rsidP="004B3FE3">
            <w:pPr>
              <w:keepNext/>
              <w:spacing w:before="81" w:after="81" w:line="160" w:lineRule="exact"/>
              <w:ind w:left="144" w:right="40"/>
              <w:jc w:val="right"/>
              <w:rPr>
                <w:i/>
                <w:sz w:val="14"/>
              </w:rPr>
            </w:pPr>
            <w:r w:rsidRPr="004B674F">
              <w:rPr>
                <w:i/>
                <w:sz w:val="14"/>
              </w:rPr>
              <w:t>M</w:t>
            </w:r>
            <w:r w:rsidR="00217296">
              <w:rPr>
                <w:i/>
                <w:sz w:val="14"/>
              </w:rPr>
              <w:t>ale</w:t>
            </w:r>
          </w:p>
        </w:tc>
        <w:tc>
          <w:tcPr>
            <w:tcW w:w="801" w:type="dxa"/>
            <w:tcBorders>
              <w:top w:val="single" w:sz="4" w:space="0" w:color="auto"/>
              <w:bottom w:val="single" w:sz="12" w:space="0" w:color="auto"/>
            </w:tcBorders>
            <w:shd w:val="clear" w:color="auto" w:fill="auto"/>
            <w:vAlign w:val="bottom"/>
          </w:tcPr>
          <w:p w:rsidR="00C63112" w:rsidRPr="00217296" w:rsidRDefault="00C63112" w:rsidP="004B3FE3">
            <w:pPr>
              <w:keepNext/>
              <w:spacing w:before="81" w:after="81" w:line="160" w:lineRule="exact"/>
              <w:ind w:left="144" w:right="40"/>
              <w:jc w:val="right"/>
              <w:rPr>
                <w:b/>
                <w:bCs/>
                <w:i/>
                <w:sz w:val="14"/>
              </w:rPr>
            </w:pPr>
            <w:r w:rsidRPr="00217296">
              <w:rPr>
                <w:b/>
                <w:bCs/>
                <w:i/>
                <w:sz w:val="14"/>
              </w:rPr>
              <w:t>Total</w:t>
            </w:r>
          </w:p>
        </w:tc>
      </w:tr>
      <w:tr w:rsidR="00420CA9" w:rsidRPr="004B674F" w:rsidTr="00420CA9">
        <w:trPr>
          <w:trHeight w:hRule="exact" w:val="115"/>
        </w:trPr>
        <w:tc>
          <w:tcPr>
            <w:tcW w:w="152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right="40"/>
              <w:rPr>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217296" w:rsidRDefault="00264A5E" w:rsidP="004B3FE3">
            <w:pPr>
              <w:keepNext/>
              <w:tabs>
                <w:tab w:val="left" w:pos="288"/>
                <w:tab w:val="left" w:pos="576"/>
                <w:tab w:val="left" w:pos="864"/>
                <w:tab w:val="left" w:pos="1152"/>
              </w:tabs>
              <w:spacing w:before="40" w:after="40" w:line="210" w:lineRule="exact"/>
              <w:ind w:left="144" w:right="40"/>
              <w:jc w:val="right"/>
              <w:rPr>
                <w:b/>
                <w:bCs/>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217296" w:rsidRDefault="00264A5E" w:rsidP="004B3FE3">
            <w:pPr>
              <w:keepNext/>
              <w:tabs>
                <w:tab w:val="left" w:pos="288"/>
                <w:tab w:val="left" w:pos="576"/>
                <w:tab w:val="left" w:pos="864"/>
                <w:tab w:val="left" w:pos="1152"/>
              </w:tabs>
              <w:spacing w:before="40" w:after="40" w:line="210" w:lineRule="exact"/>
              <w:ind w:left="144" w:right="40"/>
              <w:jc w:val="right"/>
              <w:rPr>
                <w:b/>
                <w:bCs/>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4B674F" w:rsidRDefault="00264A5E" w:rsidP="004B3FE3">
            <w:pPr>
              <w:keepNext/>
              <w:tabs>
                <w:tab w:val="left" w:pos="288"/>
                <w:tab w:val="left" w:pos="576"/>
                <w:tab w:val="left" w:pos="864"/>
                <w:tab w:val="left" w:pos="1152"/>
              </w:tabs>
              <w:spacing w:before="40" w:after="40" w:line="210" w:lineRule="exact"/>
              <w:ind w:left="144" w:right="40"/>
              <w:jc w:val="right"/>
              <w:rPr>
                <w:sz w:val="17"/>
              </w:rPr>
            </w:pPr>
          </w:p>
        </w:tc>
        <w:tc>
          <w:tcPr>
            <w:tcW w:w="801" w:type="dxa"/>
            <w:shd w:val="clear" w:color="auto" w:fill="auto"/>
            <w:vAlign w:val="bottom"/>
          </w:tcPr>
          <w:p w:rsidR="00264A5E" w:rsidRPr="00217296" w:rsidRDefault="00264A5E" w:rsidP="004B3FE3">
            <w:pPr>
              <w:keepNext/>
              <w:tabs>
                <w:tab w:val="left" w:pos="288"/>
                <w:tab w:val="left" w:pos="576"/>
                <w:tab w:val="left" w:pos="864"/>
                <w:tab w:val="left" w:pos="1152"/>
              </w:tabs>
              <w:spacing w:before="40" w:after="40" w:line="210" w:lineRule="exact"/>
              <w:ind w:left="144" w:right="40"/>
              <w:jc w:val="right"/>
              <w:rPr>
                <w:b/>
                <w:bCs/>
                <w:sz w:val="17"/>
              </w:rPr>
            </w:pP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Pinar del Río</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50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112</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left="144" w:right="40"/>
              <w:jc w:val="right"/>
              <w:rPr>
                <w:b/>
                <w:bCs/>
                <w:sz w:val="17"/>
              </w:rPr>
            </w:pPr>
            <w:r w:rsidRPr="00217296">
              <w:rPr>
                <w:b/>
                <w:bCs/>
                <w:sz w:val="17"/>
              </w:rPr>
              <w:t>165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46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94</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left="144" w:right="40"/>
              <w:jc w:val="right"/>
              <w:rPr>
                <w:b/>
                <w:bCs/>
                <w:sz w:val="17"/>
              </w:rPr>
            </w:pPr>
            <w:r w:rsidRPr="00217296">
              <w:rPr>
                <w:b/>
                <w:bCs/>
                <w:sz w:val="17"/>
              </w:rPr>
              <w:t>140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25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left="144" w:right="40"/>
              <w:jc w:val="right"/>
              <w:rPr>
                <w:sz w:val="17"/>
              </w:rPr>
            </w:pPr>
            <w:r w:rsidRPr="004B674F">
              <w:rPr>
                <w:sz w:val="17"/>
              </w:rPr>
              <w:t>110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left="144" w:right="40"/>
              <w:jc w:val="right"/>
              <w:rPr>
                <w:b/>
                <w:bCs/>
                <w:sz w:val="17"/>
              </w:rPr>
            </w:pPr>
            <w:r w:rsidRPr="00217296">
              <w:rPr>
                <w:b/>
                <w:bCs/>
                <w:sz w:val="17"/>
              </w:rPr>
              <w:t>135</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Artemisa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70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100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63</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93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19</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75</w:t>
            </w:r>
          </w:p>
        </w:tc>
      </w:tr>
      <w:tr w:rsidR="00420CA9" w:rsidRPr="004B674F" w:rsidTr="00420CA9">
        <w:tc>
          <w:tcPr>
            <w:tcW w:w="1521" w:type="dxa"/>
            <w:shd w:val="clear" w:color="auto" w:fill="auto"/>
            <w:vAlign w:val="bottom"/>
          </w:tcPr>
          <w:p w:rsidR="00C63112" w:rsidRPr="004B674F" w:rsidRDefault="000241EA" w:rsidP="004B3FE3">
            <w:pPr>
              <w:keepNext/>
              <w:tabs>
                <w:tab w:val="left" w:pos="288"/>
                <w:tab w:val="left" w:pos="576"/>
                <w:tab w:val="left" w:pos="864"/>
                <w:tab w:val="left" w:pos="1152"/>
              </w:tabs>
              <w:spacing w:before="40" w:after="40" w:line="210" w:lineRule="exact"/>
              <w:ind w:right="40"/>
              <w:rPr>
                <w:sz w:val="17"/>
              </w:rPr>
            </w:pPr>
            <w:r>
              <w:rPr>
                <w:sz w:val="17"/>
              </w:rPr>
              <w:t>Hav</w:t>
            </w:r>
            <w:r w:rsidR="00C63112" w:rsidRPr="004B674F">
              <w:rPr>
                <w:sz w:val="17"/>
              </w:rPr>
              <w:t>ana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203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441</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644</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167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309</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476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121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333</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454</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Mayabeque</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93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82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66</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Matanzas</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114</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170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104</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146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95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127</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Cienfuegos</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80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120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69</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104</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83</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99</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Villa Clara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115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170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96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147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96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121</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Sancti Spíritus</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115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170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113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29</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94</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123</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Ciego de Ávila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115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165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86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138</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28</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100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128</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Camagüey</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126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181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49</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110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159</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127</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159</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Las Tunas</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70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100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30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68</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98</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25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77</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102</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Granma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80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161</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241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77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155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232</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182</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232</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Holguín</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61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139</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200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57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130</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187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41</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126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167</w:t>
            </w:r>
          </w:p>
        </w:tc>
      </w:tr>
      <w:tr w:rsidR="00420CA9" w:rsidRPr="004B674F" w:rsidTr="00420CA9">
        <w:tc>
          <w:tcPr>
            <w:tcW w:w="152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rPr>
                <w:sz w:val="17"/>
              </w:rPr>
            </w:pPr>
            <w:r w:rsidRPr="004B674F">
              <w:rPr>
                <w:sz w:val="17"/>
              </w:rPr>
              <w:t>Santiago de Cuba</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80</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185</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265</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76</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167</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243</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47</w:t>
            </w:r>
          </w:p>
        </w:tc>
        <w:tc>
          <w:tcPr>
            <w:tcW w:w="801" w:type="dxa"/>
            <w:shd w:val="clear" w:color="auto" w:fill="auto"/>
            <w:vAlign w:val="bottom"/>
          </w:tcPr>
          <w:p w:rsidR="00C63112" w:rsidRPr="004B674F" w:rsidRDefault="00C63112" w:rsidP="004B3FE3">
            <w:pPr>
              <w:keepNext/>
              <w:tabs>
                <w:tab w:val="left" w:pos="288"/>
                <w:tab w:val="left" w:pos="576"/>
                <w:tab w:val="left" w:pos="864"/>
                <w:tab w:val="left" w:pos="1152"/>
              </w:tabs>
              <w:spacing w:before="40" w:after="40" w:line="210" w:lineRule="exact"/>
              <w:ind w:right="40"/>
              <w:jc w:val="right"/>
              <w:rPr>
                <w:sz w:val="17"/>
              </w:rPr>
            </w:pPr>
            <w:r w:rsidRPr="004B674F">
              <w:rPr>
                <w:sz w:val="17"/>
              </w:rPr>
              <w:t>186</w:t>
            </w:r>
          </w:p>
        </w:tc>
        <w:tc>
          <w:tcPr>
            <w:tcW w:w="801" w:type="dxa"/>
            <w:shd w:val="clear" w:color="auto" w:fill="auto"/>
            <w:vAlign w:val="bottom"/>
          </w:tcPr>
          <w:p w:rsidR="00C63112" w:rsidRPr="00217296" w:rsidRDefault="00C63112" w:rsidP="004B3FE3">
            <w:pPr>
              <w:keepNext/>
              <w:tabs>
                <w:tab w:val="left" w:pos="288"/>
                <w:tab w:val="left" w:pos="576"/>
                <w:tab w:val="left" w:pos="864"/>
                <w:tab w:val="left" w:pos="1152"/>
              </w:tabs>
              <w:spacing w:before="40" w:after="40" w:line="210" w:lineRule="exact"/>
              <w:ind w:right="40"/>
              <w:jc w:val="right"/>
              <w:rPr>
                <w:b/>
                <w:bCs/>
                <w:sz w:val="17"/>
              </w:rPr>
            </w:pPr>
            <w:r w:rsidRPr="00217296">
              <w:rPr>
                <w:b/>
                <w:bCs/>
                <w:sz w:val="17"/>
              </w:rPr>
              <w:t>233</w:t>
            </w:r>
          </w:p>
        </w:tc>
      </w:tr>
      <w:tr w:rsidR="00420CA9" w:rsidRPr="004B674F" w:rsidTr="00420CA9">
        <w:tc>
          <w:tcPr>
            <w:tcW w:w="152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rPr>
                <w:sz w:val="17"/>
              </w:rPr>
            </w:pPr>
            <w:r w:rsidRPr="004B674F">
              <w:rPr>
                <w:sz w:val="17"/>
              </w:rPr>
              <w:t>Guantánamo</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50</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115</w:t>
            </w:r>
          </w:p>
        </w:tc>
        <w:tc>
          <w:tcPr>
            <w:tcW w:w="801" w:type="dxa"/>
            <w:tcBorders>
              <w:bottom w:val="single" w:sz="4" w:space="0" w:color="auto"/>
            </w:tcBorders>
            <w:shd w:val="clear" w:color="auto" w:fill="auto"/>
            <w:vAlign w:val="bottom"/>
          </w:tcPr>
          <w:p w:rsidR="00C63112" w:rsidRPr="00217296" w:rsidRDefault="00C63112" w:rsidP="004B3FE3">
            <w:pPr>
              <w:keepNext/>
              <w:tabs>
                <w:tab w:val="left" w:pos="288"/>
                <w:tab w:val="left" w:pos="576"/>
                <w:tab w:val="left" w:pos="864"/>
                <w:tab w:val="left" w:pos="1152"/>
              </w:tabs>
              <w:spacing w:before="40" w:after="81" w:line="210" w:lineRule="exact"/>
              <w:ind w:right="40"/>
              <w:jc w:val="right"/>
              <w:rPr>
                <w:b/>
                <w:bCs/>
                <w:sz w:val="17"/>
              </w:rPr>
            </w:pPr>
            <w:r w:rsidRPr="00217296">
              <w:rPr>
                <w:b/>
                <w:bCs/>
                <w:sz w:val="17"/>
              </w:rPr>
              <w:t>165</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51</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114</w:t>
            </w:r>
          </w:p>
        </w:tc>
        <w:tc>
          <w:tcPr>
            <w:tcW w:w="801" w:type="dxa"/>
            <w:tcBorders>
              <w:bottom w:val="single" w:sz="4" w:space="0" w:color="auto"/>
            </w:tcBorders>
            <w:shd w:val="clear" w:color="auto" w:fill="auto"/>
            <w:vAlign w:val="bottom"/>
          </w:tcPr>
          <w:p w:rsidR="00C63112" w:rsidRPr="00217296" w:rsidRDefault="00C63112" w:rsidP="004B3FE3">
            <w:pPr>
              <w:keepNext/>
              <w:tabs>
                <w:tab w:val="left" w:pos="288"/>
                <w:tab w:val="left" w:pos="576"/>
                <w:tab w:val="left" w:pos="864"/>
                <w:tab w:val="left" w:pos="1152"/>
              </w:tabs>
              <w:spacing w:before="40" w:after="81" w:line="210" w:lineRule="exact"/>
              <w:ind w:right="40"/>
              <w:jc w:val="right"/>
              <w:rPr>
                <w:b/>
                <w:bCs/>
                <w:sz w:val="17"/>
              </w:rPr>
            </w:pPr>
            <w:r w:rsidRPr="00217296">
              <w:rPr>
                <w:b/>
                <w:bCs/>
                <w:sz w:val="17"/>
              </w:rPr>
              <w:t>165</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24</w:t>
            </w:r>
          </w:p>
        </w:tc>
        <w:tc>
          <w:tcPr>
            <w:tcW w:w="801" w:type="dxa"/>
            <w:tcBorders>
              <w:bottom w:val="single" w:sz="4" w:space="0" w:color="auto"/>
            </w:tcBorders>
            <w:shd w:val="clear" w:color="auto" w:fill="auto"/>
            <w:vAlign w:val="bottom"/>
          </w:tcPr>
          <w:p w:rsidR="00C63112" w:rsidRPr="004B674F" w:rsidRDefault="00C63112" w:rsidP="004B3FE3">
            <w:pPr>
              <w:keepNext/>
              <w:tabs>
                <w:tab w:val="left" w:pos="288"/>
                <w:tab w:val="left" w:pos="576"/>
                <w:tab w:val="left" w:pos="864"/>
                <w:tab w:val="left" w:pos="1152"/>
              </w:tabs>
              <w:spacing w:before="40" w:after="81" w:line="210" w:lineRule="exact"/>
              <w:ind w:right="40"/>
              <w:jc w:val="right"/>
              <w:rPr>
                <w:sz w:val="17"/>
              </w:rPr>
            </w:pPr>
            <w:r w:rsidRPr="004B674F">
              <w:rPr>
                <w:sz w:val="17"/>
              </w:rPr>
              <w:t>103</w:t>
            </w:r>
          </w:p>
        </w:tc>
        <w:tc>
          <w:tcPr>
            <w:tcW w:w="801" w:type="dxa"/>
            <w:tcBorders>
              <w:bottom w:val="single" w:sz="4" w:space="0" w:color="auto"/>
            </w:tcBorders>
            <w:shd w:val="clear" w:color="auto" w:fill="auto"/>
            <w:vAlign w:val="bottom"/>
          </w:tcPr>
          <w:p w:rsidR="00C63112" w:rsidRPr="00217296" w:rsidRDefault="00C63112" w:rsidP="004B3FE3">
            <w:pPr>
              <w:keepNext/>
              <w:tabs>
                <w:tab w:val="left" w:pos="288"/>
                <w:tab w:val="left" w:pos="576"/>
                <w:tab w:val="left" w:pos="864"/>
                <w:tab w:val="left" w:pos="1152"/>
              </w:tabs>
              <w:spacing w:before="40" w:after="81" w:line="210" w:lineRule="exact"/>
              <w:ind w:right="40"/>
              <w:jc w:val="right"/>
              <w:rPr>
                <w:b/>
                <w:bCs/>
                <w:sz w:val="17"/>
              </w:rPr>
            </w:pPr>
            <w:r w:rsidRPr="00217296">
              <w:rPr>
                <w:b/>
                <w:bCs/>
                <w:sz w:val="17"/>
              </w:rPr>
              <w:t>127</w:t>
            </w:r>
          </w:p>
        </w:tc>
      </w:tr>
      <w:tr w:rsidR="00420CA9" w:rsidRPr="004B3FE3" w:rsidTr="00420CA9">
        <w:tc>
          <w:tcPr>
            <w:tcW w:w="152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left="227" w:right="40"/>
              <w:rPr>
                <w:b/>
                <w:sz w:val="17"/>
              </w:rPr>
            </w:pPr>
            <w:r w:rsidRPr="004B3FE3">
              <w:rPr>
                <w:b/>
                <w:bCs/>
                <w:sz w:val="17"/>
              </w:rPr>
              <w:t>Total</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928</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2 021</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bCs/>
                <w:sz w:val="17"/>
              </w:rPr>
            </w:pPr>
            <w:r w:rsidRPr="004B3FE3">
              <w:rPr>
                <w:b/>
                <w:bCs/>
                <w:sz w:val="17"/>
              </w:rPr>
              <w:t>2 949</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837</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1 686</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bCs/>
                <w:sz w:val="17"/>
              </w:rPr>
            </w:pPr>
            <w:r w:rsidRPr="004B3FE3">
              <w:rPr>
                <w:b/>
                <w:bCs/>
                <w:sz w:val="17"/>
              </w:rPr>
              <w:t>2 523</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535</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sz w:val="17"/>
              </w:rPr>
            </w:pPr>
            <w:r w:rsidRPr="004B3FE3">
              <w:rPr>
                <w:b/>
                <w:sz w:val="17"/>
              </w:rPr>
              <w:t>1 813</w:t>
            </w:r>
          </w:p>
        </w:tc>
        <w:tc>
          <w:tcPr>
            <w:tcW w:w="801" w:type="dxa"/>
            <w:tcBorders>
              <w:top w:val="single" w:sz="4" w:space="0" w:color="auto"/>
              <w:bottom w:val="single" w:sz="12" w:space="0" w:color="auto"/>
            </w:tcBorders>
            <w:shd w:val="clear" w:color="auto" w:fill="auto"/>
            <w:vAlign w:val="bottom"/>
          </w:tcPr>
          <w:p w:rsidR="00C63112" w:rsidRPr="004B3FE3" w:rsidRDefault="00C63112" w:rsidP="004B3FE3">
            <w:pPr>
              <w:keepNext/>
              <w:tabs>
                <w:tab w:val="left" w:pos="288"/>
                <w:tab w:val="left" w:pos="576"/>
                <w:tab w:val="left" w:pos="864"/>
                <w:tab w:val="left" w:pos="1152"/>
              </w:tabs>
              <w:spacing w:before="81" w:after="81" w:line="210" w:lineRule="exact"/>
              <w:ind w:right="40"/>
              <w:jc w:val="right"/>
              <w:rPr>
                <w:b/>
                <w:bCs/>
                <w:sz w:val="17"/>
              </w:rPr>
            </w:pPr>
            <w:r w:rsidRPr="004B3FE3">
              <w:rPr>
                <w:b/>
                <w:bCs/>
                <w:sz w:val="17"/>
              </w:rPr>
              <w:t>2 348</w:t>
            </w:r>
          </w:p>
        </w:tc>
      </w:tr>
    </w:tbl>
    <w:p w:rsidR="001D37E8" w:rsidRPr="001D37E8" w:rsidRDefault="001D37E8" w:rsidP="001D37E8">
      <w:pPr>
        <w:pStyle w:val="SingleTxt"/>
        <w:spacing w:after="0" w:line="120" w:lineRule="exact"/>
        <w:rPr>
          <w:sz w:val="10"/>
        </w:rPr>
      </w:pPr>
    </w:p>
    <w:p w:rsidR="001D37E8" w:rsidRPr="001D37E8" w:rsidRDefault="001D37E8" w:rsidP="001D37E8">
      <w:pPr>
        <w:pStyle w:val="SingleTxt"/>
        <w:spacing w:after="0" w:line="120" w:lineRule="exact"/>
        <w:rPr>
          <w:sz w:val="10"/>
        </w:rPr>
      </w:pPr>
    </w:p>
    <w:p w:rsidR="00C63112" w:rsidRPr="002218FD" w:rsidRDefault="00C63112" w:rsidP="009747AA">
      <w:pPr>
        <w:pStyle w:val="SingleTxt"/>
      </w:pPr>
      <w:r w:rsidRPr="002218FD">
        <w:t>51.</w:t>
      </w:r>
      <w:r w:rsidRPr="002218FD">
        <w:tab/>
        <w:t xml:space="preserve">Young people who enrol in these schools retain their legal </w:t>
      </w:r>
      <w:r w:rsidR="009747AA" w:rsidRPr="002218FD">
        <w:t xml:space="preserve">status </w:t>
      </w:r>
      <w:r w:rsidR="009747AA">
        <w:t>as</w:t>
      </w:r>
      <w:r w:rsidRPr="002218FD">
        <w:t xml:space="preserve"> civilian</w:t>
      </w:r>
      <w:r w:rsidR="009747AA">
        <w:t>s</w:t>
      </w:r>
      <w:r w:rsidRPr="002218FD">
        <w:t xml:space="preserve"> and have the right to drop out whenever they see fit. Doing so is not an offence</w:t>
      </w:r>
      <w:r w:rsidR="009747AA">
        <w:t>,</w:t>
      </w:r>
      <w:r w:rsidRPr="002218FD">
        <w:t xml:space="preserve"> as students at these schools are not subject to the Military Offences Act. Once they have left, </w:t>
      </w:r>
      <w:r w:rsidR="009747AA">
        <w:t xml:space="preserve">such </w:t>
      </w:r>
      <w:r w:rsidRPr="002218FD">
        <w:t xml:space="preserve">young people may apply for entry to a pre-university educational institution at the same educational </w:t>
      </w:r>
      <w:r w:rsidR="009747AA">
        <w:t>level</w:t>
      </w:r>
      <w:r w:rsidRPr="002218FD">
        <w:t>.</w:t>
      </w:r>
    </w:p>
    <w:p w:rsidR="009747AA" w:rsidRPr="009747AA" w:rsidRDefault="009747AA" w:rsidP="009747AA">
      <w:pPr>
        <w:pStyle w:val="H1"/>
        <w:spacing w:line="120" w:lineRule="exact"/>
        <w:ind w:right="1260"/>
        <w:rPr>
          <w:sz w:val="10"/>
        </w:rPr>
      </w:pPr>
    </w:p>
    <w:p w:rsidR="009747AA" w:rsidRPr="009747AA" w:rsidRDefault="009747AA" w:rsidP="009747AA">
      <w:pPr>
        <w:pStyle w:val="H1"/>
        <w:spacing w:line="120" w:lineRule="exact"/>
        <w:ind w:right="1260"/>
        <w:rPr>
          <w:sz w:val="10"/>
        </w:rPr>
      </w:pPr>
    </w:p>
    <w:p w:rsidR="00C63112" w:rsidRPr="002218FD" w:rsidRDefault="009747AA" w:rsidP="009747AA">
      <w:pPr>
        <w:pStyle w:val="H1"/>
        <w:ind w:right="1260"/>
      </w:pPr>
      <w:r>
        <w:tab/>
      </w:r>
      <w:r>
        <w:tab/>
      </w:r>
      <w:r w:rsidR="00C63112" w:rsidRPr="002218FD">
        <w:t>Reply to paragraph 10 of the list of issues</w:t>
      </w:r>
    </w:p>
    <w:p w:rsidR="009747AA" w:rsidRPr="009747AA" w:rsidRDefault="009747AA" w:rsidP="009747AA">
      <w:pPr>
        <w:pStyle w:val="SingleTxt"/>
        <w:spacing w:after="0" w:line="120" w:lineRule="exact"/>
        <w:rPr>
          <w:sz w:val="10"/>
        </w:rPr>
      </w:pPr>
    </w:p>
    <w:p w:rsidR="009747AA" w:rsidRPr="009747AA" w:rsidRDefault="009747AA" w:rsidP="009747AA">
      <w:pPr>
        <w:pStyle w:val="SingleTxt"/>
        <w:spacing w:after="0" w:line="120" w:lineRule="exact"/>
        <w:rPr>
          <w:sz w:val="10"/>
        </w:rPr>
      </w:pPr>
    </w:p>
    <w:p w:rsidR="00C63112" w:rsidRPr="002218FD" w:rsidRDefault="00C63112" w:rsidP="00C63112">
      <w:pPr>
        <w:pStyle w:val="SingleTxt"/>
      </w:pPr>
      <w:r w:rsidRPr="002218FD">
        <w:t>52.</w:t>
      </w:r>
      <w:r w:rsidRPr="002218FD">
        <w:tab/>
        <w:t>Courses in military and non-military subjects at the Camilo Cienfuegos military schools and at officer training centres cover human rights and humanitarian law, including the Convention and its Optional Protocols.</w:t>
      </w:r>
    </w:p>
    <w:p w:rsidR="00C63112" w:rsidRPr="002218FD" w:rsidRDefault="00C63112" w:rsidP="00F25880">
      <w:pPr>
        <w:pStyle w:val="SingleTxt"/>
      </w:pPr>
      <w:r w:rsidRPr="002218FD">
        <w:t>53.</w:t>
      </w:r>
      <w:r w:rsidRPr="002218FD">
        <w:tab/>
      </w:r>
      <w:r w:rsidR="009747AA">
        <w:t>One of the subjects on t</w:t>
      </w:r>
      <w:r w:rsidRPr="002218FD">
        <w:t xml:space="preserve">he curriculum </w:t>
      </w:r>
      <w:r w:rsidR="00F25880">
        <w:t>of</w:t>
      </w:r>
      <w:r w:rsidRPr="002218FD">
        <w:t xml:space="preserve"> the Camilo Cienfuegos schools </w:t>
      </w:r>
      <w:r w:rsidR="009747AA">
        <w:t>i</w:t>
      </w:r>
      <w:r w:rsidRPr="002218FD">
        <w:t xml:space="preserve">s legal education, which includes </w:t>
      </w:r>
      <w:r w:rsidR="009747AA">
        <w:t>instruction</w:t>
      </w:r>
      <w:r w:rsidRPr="002218FD">
        <w:t xml:space="preserve"> in human rights and international humanitarian law. </w:t>
      </w:r>
      <w:r w:rsidR="009747AA">
        <w:t xml:space="preserve">Such instruction is </w:t>
      </w:r>
      <w:r w:rsidRPr="002218FD">
        <w:t xml:space="preserve">provided </w:t>
      </w:r>
      <w:r w:rsidR="009747AA">
        <w:t xml:space="preserve">in </w:t>
      </w:r>
      <w:r w:rsidR="00F25880">
        <w:t xml:space="preserve">even </w:t>
      </w:r>
      <w:r w:rsidR="009747AA">
        <w:t>greater depth</w:t>
      </w:r>
      <w:r w:rsidRPr="002218FD">
        <w:t xml:space="preserve"> in higher-level educational institutions </w:t>
      </w:r>
      <w:r w:rsidR="004D79A6">
        <w:t>operated by</w:t>
      </w:r>
      <w:r w:rsidRPr="002218FD">
        <w:t xml:space="preserve"> the </w:t>
      </w:r>
      <w:r w:rsidR="004D79A6" w:rsidRPr="002218FD">
        <w:t>Armed Forces</w:t>
      </w:r>
      <w:r w:rsidRPr="002218FD">
        <w:t>.</w:t>
      </w:r>
    </w:p>
    <w:p w:rsidR="00C63112" w:rsidRPr="002218FD" w:rsidRDefault="00C63112" w:rsidP="00C63112">
      <w:pPr>
        <w:pStyle w:val="SingleTxt"/>
      </w:pPr>
      <w:r w:rsidRPr="002218FD">
        <w:t>54.</w:t>
      </w:r>
      <w:r w:rsidRPr="002218FD">
        <w:tab/>
        <w:t>Students under 18 years of age do not take part in military training that involves the use of weapons.</w:t>
      </w:r>
    </w:p>
    <w:p w:rsidR="009747AA" w:rsidRPr="009747AA" w:rsidRDefault="009747AA" w:rsidP="009747AA">
      <w:pPr>
        <w:pStyle w:val="H1"/>
        <w:spacing w:line="120" w:lineRule="exact"/>
        <w:ind w:right="1260"/>
        <w:rPr>
          <w:sz w:val="10"/>
        </w:rPr>
      </w:pPr>
    </w:p>
    <w:p w:rsidR="009747AA" w:rsidRPr="009747AA" w:rsidRDefault="009747AA" w:rsidP="004E382D">
      <w:pPr>
        <w:pStyle w:val="H1"/>
        <w:spacing w:line="120" w:lineRule="exact"/>
        <w:ind w:left="1264" w:right="1260"/>
        <w:rPr>
          <w:sz w:val="10"/>
        </w:rPr>
      </w:pPr>
    </w:p>
    <w:p w:rsidR="00C63112" w:rsidRPr="002218FD" w:rsidRDefault="009747AA" w:rsidP="004E382D">
      <w:pPr>
        <w:pStyle w:val="H1"/>
        <w:ind w:left="1264" w:right="1260"/>
      </w:pPr>
      <w:r>
        <w:tab/>
      </w:r>
      <w:r>
        <w:tab/>
      </w:r>
      <w:r w:rsidR="00C63112" w:rsidRPr="002218FD">
        <w:t>Reply to paragraph 11 of the list of issues</w:t>
      </w:r>
    </w:p>
    <w:p w:rsidR="009747AA" w:rsidRPr="009747AA" w:rsidRDefault="009747AA" w:rsidP="004E382D">
      <w:pPr>
        <w:pStyle w:val="SingleTxt"/>
        <w:keepNext/>
        <w:spacing w:after="0" w:line="120" w:lineRule="exact"/>
        <w:ind w:left="1264"/>
        <w:rPr>
          <w:sz w:val="10"/>
        </w:rPr>
      </w:pPr>
    </w:p>
    <w:p w:rsidR="009747AA" w:rsidRPr="009747AA" w:rsidRDefault="009747AA" w:rsidP="004E382D">
      <w:pPr>
        <w:pStyle w:val="SingleTxt"/>
        <w:keepNext/>
        <w:spacing w:after="0" w:line="120" w:lineRule="exact"/>
        <w:ind w:left="1264"/>
        <w:rPr>
          <w:sz w:val="10"/>
        </w:rPr>
      </w:pPr>
    </w:p>
    <w:p w:rsidR="00C63112" w:rsidRPr="002218FD" w:rsidRDefault="00C63112" w:rsidP="00C63112">
      <w:pPr>
        <w:pStyle w:val="SingleTxt"/>
      </w:pPr>
      <w:r w:rsidRPr="002218FD">
        <w:t>55.</w:t>
      </w:r>
      <w:r w:rsidRPr="002218FD">
        <w:tab/>
        <w:t>There are no non-State armed groups in Cuba.</w:t>
      </w:r>
    </w:p>
    <w:p w:rsidR="00C63112" w:rsidRPr="002218FD" w:rsidRDefault="00C63112" w:rsidP="004D79A6">
      <w:pPr>
        <w:pStyle w:val="SingleTxt"/>
      </w:pPr>
      <w:r w:rsidRPr="002218FD">
        <w:t>56.</w:t>
      </w:r>
      <w:r w:rsidRPr="002218FD">
        <w:tab/>
      </w:r>
      <w:r w:rsidR="004D79A6">
        <w:t>Existing legislation</w:t>
      </w:r>
      <w:r w:rsidRPr="002218FD">
        <w:t xml:space="preserve"> sets the recruitment age at 18 years or, in exceptional cases, 17 years.</w:t>
      </w:r>
    </w:p>
    <w:p w:rsidR="00BD7143" w:rsidRPr="00C63112" w:rsidRDefault="004D79A6" w:rsidP="00BD7143">
      <w:pPr>
        <w:pStyle w:val="SingleTxt"/>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D7143" w:rsidRPr="00C63112" w:rsidSect="00BD7143">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5:03:00Z" w:initials="Start">
    <w:p w:rsidR="00217296" w:rsidRDefault="002172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NO&gt;&gt;N1515505E&lt;&lt;ODS JOB NO&gt;&gt;</w:t>
      </w:r>
    </w:p>
    <w:p w:rsidR="00217296" w:rsidRDefault="00217296">
      <w:pPr>
        <w:pStyle w:val="CommentText"/>
      </w:pPr>
      <w:r>
        <w:t>&lt;&lt;ODS DOC SYMBOL1&gt;&gt;CRC/C/OPAC/CUB/Q/1/Add.1&lt;&lt;ODS DOC SYMBOL1&gt;&gt;</w:t>
      </w:r>
    </w:p>
    <w:p w:rsidR="00217296" w:rsidRDefault="0021729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96" w:rsidRDefault="00217296">
      <w:r>
        <w:separator/>
      </w:r>
    </w:p>
  </w:endnote>
  <w:endnote w:type="continuationSeparator" w:id="0">
    <w:p w:rsidR="00217296" w:rsidRDefault="0021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7296" w:rsidTr="00BD7143">
      <w:trPr>
        <w:jc w:val="center"/>
      </w:trPr>
      <w:tc>
        <w:tcPr>
          <w:tcW w:w="5126" w:type="dxa"/>
          <w:shd w:val="clear" w:color="auto" w:fill="auto"/>
        </w:tcPr>
        <w:p w:rsidR="00217296" w:rsidRPr="00BD7143" w:rsidRDefault="00217296" w:rsidP="00BD71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663D">
            <w:rPr>
              <w:b w:val="0"/>
              <w:w w:val="103"/>
              <w:sz w:val="14"/>
            </w:rPr>
            <w:t>GE.15-11784</w:t>
          </w:r>
          <w:r>
            <w:rPr>
              <w:b w:val="0"/>
              <w:w w:val="103"/>
              <w:sz w:val="14"/>
            </w:rPr>
            <w:fldChar w:fldCharType="end"/>
          </w:r>
        </w:p>
      </w:tc>
      <w:tc>
        <w:tcPr>
          <w:tcW w:w="5127" w:type="dxa"/>
          <w:shd w:val="clear" w:color="auto" w:fill="auto"/>
        </w:tcPr>
        <w:p w:rsidR="00217296" w:rsidRPr="00BD7143" w:rsidRDefault="00217296" w:rsidP="00BD7143">
          <w:pPr>
            <w:pStyle w:val="Footer"/>
            <w:rPr>
              <w:w w:val="103"/>
            </w:rPr>
          </w:pPr>
          <w:r>
            <w:rPr>
              <w:w w:val="103"/>
            </w:rPr>
            <w:fldChar w:fldCharType="begin"/>
          </w:r>
          <w:r>
            <w:rPr>
              <w:w w:val="103"/>
            </w:rPr>
            <w:instrText xml:space="preserve"> PAGE  \* Arabic  \* MERGEFORMAT </w:instrText>
          </w:r>
          <w:r>
            <w:rPr>
              <w:w w:val="103"/>
            </w:rPr>
            <w:fldChar w:fldCharType="separate"/>
          </w:r>
          <w:r w:rsidR="002E663D">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663D">
            <w:rPr>
              <w:w w:val="103"/>
            </w:rPr>
            <w:t>7</w:t>
          </w:r>
          <w:r>
            <w:rPr>
              <w:w w:val="103"/>
            </w:rPr>
            <w:fldChar w:fldCharType="end"/>
          </w:r>
        </w:p>
      </w:tc>
    </w:tr>
  </w:tbl>
  <w:p w:rsidR="00217296" w:rsidRPr="00BD7143" w:rsidRDefault="00217296" w:rsidP="00BD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7296" w:rsidTr="00BD7143">
      <w:trPr>
        <w:jc w:val="center"/>
      </w:trPr>
      <w:tc>
        <w:tcPr>
          <w:tcW w:w="5126" w:type="dxa"/>
          <w:shd w:val="clear" w:color="auto" w:fill="auto"/>
        </w:tcPr>
        <w:p w:rsidR="00217296" w:rsidRPr="00BD7143" w:rsidRDefault="00217296" w:rsidP="00BD71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663D">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663D">
            <w:rPr>
              <w:w w:val="103"/>
            </w:rPr>
            <w:t>7</w:t>
          </w:r>
          <w:r>
            <w:rPr>
              <w:w w:val="103"/>
            </w:rPr>
            <w:fldChar w:fldCharType="end"/>
          </w:r>
        </w:p>
      </w:tc>
      <w:tc>
        <w:tcPr>
          <w:tcW w:w="5127" w:type="dxa"/>
          <w:shd w:val="clear" w:color="auto" w:fill="auto"/>
        </w:tcPr>
        <w:p w:rsidR="00217296" w:rsidRPr="00BD7143" w:rsidRDefault="00217296" w:rsidP="00BD71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663D">
            <w:rPr>
              <w:b w:val="0"/>
              <w:w w:val="103"/>
              <w:sz w:val="14"/>
            </w:rPr>
            <w:t>GE.15-11784</w:t>
          </w:r>
          <w:r>
            <w:rPr>
              <w:b w:val="0"/>
              <w:w w:val="103"/>
              <w:sz w:val="14"/>
            </w:rPr>
            <w:fldChar w:fldCharType="end"/>
          </w:r>
        </w:p>
      </w:tc>
    </w:tr>
  </w:tbl>
  <w:p w:rsidR="00217296" w:rsidRPr="00BD7143" w:rsidRDefault="00217296" w:rsidP="00BD7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217296" w:rsidTr="00BD7143">
      <w:tc>
        <w:tcPr>
          <w:tcW w:w="3859" w:type="dxa"/>
        </w:tcPr>
        <w:p w:rsidR="00217296" w:rsidRDefault="00217296" w:rsidP="00BD7143">
          <w:pPr>
            <w:pStyle w:val="ReleaseDate"/>
          </w:pPr>
          <w:r>
            <w:rPr>
              <w:noProof/>
            </w:rPr>
            <w:drawing>
              <wp:anchor distT="0" distB="0" distL="114300" distR="114300" simplePos="0" relativeHeight="251658240" behindDoc="0" locked="0" layoutInCell="1" allowOverlap="1" wp14:anchorId="2049E8E2" wp14:editId="4E77E929">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RC/C/OPAC/CUB/Q/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AC/CUB/Q/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GE.15-11784 (E)    040815    040815</w:t>
          </w:r>
        </w:p>
        <w:p w:rsidR="00217296" w:rsidRPr="00BD7143" w:rsidRDefault="00217296" w:rsidP="00BD714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*1511784*</w:t>
          </w:r>
        </w:p>
      </w:tc>
      <w:tc>
        <w:tcPr>
          <w:tcW w:w="5127" w:type="dxa"/>
        </w:tcPr>
        <w:p w:rsidR="00217296" w:rsidRDefault="00217296" w:rsidP="00BD7143">
          <w:pPr>
            <w:pStyle w:val="Footer"/>
            <w:jc w:val="right"/>
            <w:rPr>
              <w:b w:val="0"/>
              <w:sz w:val="20"/>
            </w:rPr>
          </w:pPr>
          <w:r>
            <w:rPr>
              <w:b w:val="0"/>
              <w:sz w:val="20"/>
              <w:lang w:val="en-GB"/>
            </w:rPr>
            <w:drawing>
              <wp:inline distT="0" distB="0" distL="0" distR="0" wp14:anchorId="6938B989" wp14:editId="4032AF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17296" w:rsidRPr="00BD7143" w:rsidRDefault="00217296" w:rsidP="00BD714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96" w:rsidRPr="00831BF5" w:rsidRDefault="00831BF5" w:rsidP="00831BF5">
      <w:pPr>
        <w:pStyle w:val="Footer"/>
        <w:spacing w:after="80"/>
        <w:ind w:left="792"/>
        <w:rPr>
          <w:sz w:val="16"/>
        </w:rPr>
      </w:pPr>
      <w:r w:rsidRPr="00831BF5">
        <w:rPr>
          <w:sz w:val="16"/>
        </w:rPr>
        <w:t>__________________</w:t>
      </w:r>
    </w:p>
  </w:footnote>
  <w:footnote w:type="continuationSeparator" w:id="0">
    <w:p w:rsidR="00217296" w:rsidRPr="00831BF5" w:rsidRDefault="00831BF5" w:rsidP="00831BF5">
      <w:pPr>
        <w:pStyle w:val="Footer"/>
        <w:spacing w:after="80"/>
        <w:ind w:left="792"/>
        <w:rPr>
          <w:sz w:val="16"/>
        </w:rPr>
      </w:pPr>
      <w:r w:rsidRPr="00831BF5">
        <w:rPr>
          <w:sz w:val="16"/>
        </w:rPr>
        <w:t>__________________</w:t>
      </w:r>
    </w:p>
  </w:footnote>
  <w:footnote w:id="1">
    <w:p w:rsidR="00217296" w:rsidRPr="00E52C2E" w:rsidRDefault="00217296" w:rsidP="00831BF5">
      <w:pPr>
        <w:tabs>
          <w:tab w:val="right" w:pos="1195"/>
          <w:tab w:val="left" w:pos="1267"/>
          <w:tab w:val="left" w:pos="1742"/>
          <w:tab w:val="left" w:pos="2218"/>
          <w:tab w:val="left" w:pos="2693"/>
        </w:tabs>
        <w:ind w:left="1267" w:right="1260" w:hanging="432"/>
        <w:rPr>
          <w:sz w:val="17"/>
          <w:szCs w:val="17"/>
        </w:rPr>
      </w:pPr>
      <w:r w:rsidRPr="00E52C2E">
        <w:tab/>
        <w:t>*</w:t>
      </w:r>
      <w:r w:rsidRPr="00E52C2E">
        <w:tab/>
      </w:r>
      <w:r w:rsidRPr="00E52C2E">
        <w:rPr>
          <w:sz w:val="17"/>
          <w:szCs w:val="17"/>
        </w:rPr>
        <w:t>The present document is being issued without formal editing.</w:t>
      </w:r>
    </w:p>
  </w:footnote>
  <w:footnote w:id="2">
    <w:p w:rsidR="00217296" w:rsidRPr="00E52C2E" w:rsidRDefault="00217296" w:rsidP="00831BF5">
      <w:pPr>
        <w:tabs>
          <w:tab w:val="right" w:pos="1195"/>
          <w:tab w:val="left" w:pos="1267"/>
          <w:tab w:val="left" w:pos="1742"/>
          <w:tab w:val="left" w:pos="2218"/>
          <w:tab w:val="left" w:pos="2693"/>
        </w:tabs>
        <w:ind w:left="1267" w:right="1260" w:hanging="432"/>
        <w:rPr>
          <w:sz w:val="17"/>
          <w:szCs w:val="17"/>
        </w:rPr>
      </w:pPr>
      <w:r w:rsidRPr="00E52C2E">
        <w:rPr>
          <w:sz w:val="17"/>
          <w:szCs w:val="17"/>
        </w:rPr>
        <w:tab/>
      </w:r>
      <w:r w:rsidRPr="00831BF5">
        <w:rPr>
          <w:color w:val="943634" w:themeColor="accent2" w:themeShade="BF"/>
          <w:spacing w:val="-5"/>
          <w:w w:val="130"/>
          <w:position w:val="-4"/>
          <w:sz w:val="17"/>
          <w:szCs w:val="17"/>
          <w:vertAlign w:val="superscript"/>
        </w:rPr>
        <w:footnoteRef/>
      </w:r>
      <w:r w:rsidRPr="00E52C2E">
        <w:rPr>
          <w:sz w:val="17"/>
          <w:szCs w:val="17"/>
        </w:rPr>
        <w:tab/>
        <w:t xml:space="preserve">This authority was </w:t>
      </w:r>
      <w:r>
        <w:rPr>
          <w:sz w:val="17"/>
          <w:szCs w:val="17"/>
        </w:rPr>
        <w:t>conferred at the time of the submission</w:t>
      </w:r>
      <w:r w:rsidRPr="00E52C2E">
        <w:rPr>
          <w:sz w:val="17"/>
          <w:szCs w:val="17"/>
        </w:rPr>
        <w:t xml:space="preserve"> of the second report of Cuba to the universal periodic review on 1 May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7296" w:rsidTr="00BD7143">
      <w:trPr>
        <w:trHeight w:hRule="exact" w:val="864"/>
        <w:jc w:val="center"/>
      </w:trPr>
      <w:tc>
        <w:tcPr>
          <w:tcW w:w="4882" w:type="dxa"/>
          <w:shd w:val="clear" w:color="auto" w:fill="auto"/>
          <w:vAlign w:val="bottom"/>
        </w:tcPr>
        <w:p w:rsidR="00217296" w:rsidRPr="00BD7143" w:rsidRDefault="00217296" w:rsidP="00BD7143">
          <w:pPr>
            <w:pStyle w:val="Header"/>
            <w:spacing w:after="80"/>
            <w:rPr>
              <w:b/>
            </w:rPr>
          </w:pPr>
          <w:r>
            <w:rPr>
              <w:b/>
            </w:rPr>
            <w:fldChar w:fldCharType="begin"/>
          </w:r>
          <w:r>
            <w:rPr>
              <w:b/>
            </w:rPr>
            <w:instrText xml:space="preserve"> DOCVARIABLE "sss1" \* MERGEFORMAT </w:instrText>
          </w:r>
          <w:r>
            <w:rPr>
              <w:b/>
            </w:rPr>
            <w:fldChar w:fldCharType="separate"/>
          </w:r>
          <w:r w:rsidR="002E663D">
            <w:rPr>
              <w:b/>
            </w:rPr>
            <w:t>CRC/C/OPAC/CUB/Q/1/Add.1</w:t>
          </w:r>
          <w:r>
            <w:rPr>
              <w:b/>
            </w:rPr>
            <w:fldChar w:fldCharType="end"/>
          </w:r>
        </w:p>
      </w:tc>
      <w:tc>
        <w:tcPr>
          <w:tcW w:w="5127" w:type="dxa"/>
          <w:shd w:val="clear" w:color="auto" w:fill="auto"/>
          <w:vAlign w:val="bottom"/>
        </w:tcPr>
        <w:p w:rsidR="00217296" w:rsidRDefault="00217296" w:rsidP="00BD7143">
          <w:pPr>
            <w:pStyle w:val="Header"/>
          </w:pPr>
        </w:p>
      </w:tc>
    </w:tr>
  </w:tbl>
  <w:p w:rsidR="00217296" w:rsidRPr="00BD7143" w:rsidRDefault="00217296" w:rsidP="00BD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7296" w:rsidTr="00BD7143">
      <w:trPr>
        <w:trHeight w:hRule="exact" w:val="864"/>
        <w:jc w:val="center"/>
      </w:trPr>
      <w:tc>
        <w:tcPr>
          <w:tcW w:w="4882" w:type="dxa"/>
          <w:shd w:val="clear" w:color="auto" w:fill="auto"/>
          <w:vAlign w:val="bottom"/>
        </w:tcPr>
        <w:p w:rsidR="00217296" w:rsidRDefault="00217296" w:rsidP="00BD7143">
          <w:pPr>
            <w:pStyle w:val="Header"/>
          </w:pPr>
        </w:p>
      </w:tc>
      <w:tc>
        <w:tcPr>
          <w:tcW w:w="5127" w:type="dxa"/>
          <w:shd w:val="clear" w:color="auto" w:fill="auto"/>
          <w:vAlign w:val="bottom"/>
        </w:tcPr>
        <w:p w:rsidR="00217296" w:rsidRPr="00BD7143" w:rsidRDefault="00217296" w:rsidP="00BD7143">
          <w:pPr>
            <w:pStyle w:val="Header"/>
            <w:spacing w:after="80"/>
            <w:jc w:val="right"/>
            <w:rPr>
              <w:b/>
            </w:rPr>
          </w:pPr>
          <w:r>
            <w:rPr>
              <w:b/>
            </w:rPr>
            <w:fldChar w:fldCharType="begin"/>
          </w:r>
          <w:r>
            <w:rPr>
              <w:b/>
            </w:rPr>
            <w:instrText xml:space="preserve"> DOCVARIABLE "sss1" \* MERGEFORMAT </w:instrText>
          </w:r>
          <w:r>
            <w:rPr>
              <w:b/>
            </w:rPr>
            <w:fldChar w:fldCharType="separate"/>
          </w:r>
          <w:r w:rsidR="002E663D">
            <w:rPr>
              <w:b/>
            </w:rPr>
            <w:t>CRC/C/OPAC/CUB/Q/1/Add.1</w:t>
          </w:r>
          <w:r>
            <w:rPr>
              <w:b/>
            </w:rPr>
            <w:fldChar w:fldCharType="end"/>
          </w:r>
        </w:p>
      </w:tc>
    </w:tr>
  </w:tbl>
  <w:p w:rsidR="00217296" w:rsidRPr="00BD7143" w:rsidRDefault="00217296" w:rsidP="00BD7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17296" w:rsidTr="00BD7143">
      <w:trPr>
        <w:trHeight w:hRule="exact" w:val="864"/>
      </w:trPr>
      <w:tc>
        <w:tcPr>
          <w:tcW w:w="1267" w:type="dxa"/>
          <w:tcBorders>
            <w:bottom w:val="single" w:sz="4" w:space="0" w:color="auto"/>
          </w:tcBorders>
          <w:shd w:val="clear" w:color="auto" w:fill="auto"/>
          <w:vAlign w:val="bottom"/>
        </w:tcPr>
        <w:p w:rsidR="00217296" w:rsidRDefault="00217296" w:rsidP="00BD7143">
          <w:pPr>
            <w:pStyle w:val="Header"/>
            <w:spacing w:after="120"/>
          </w:pPr>
        </w:p>
      </w:tc>
      <w:tc>
        <w:tcPr>
          <w:tcW w:w="1872" w:type="dxa"/>
          <w:tcBorders>
            <w:bottom w:val="single" w:sz="4" w:space="0" w:color="auto"/>
          </w:tcBorders>
          <w:shd w:val="clear" w:color="auto" w:fill="auto"/>
          <w:vAlign w:val="bottom"/>
        </w:tcPr>
        <w:p w:rsidR="00217296" w:rsidRPr="00BD7143" w:rsidRDefault="00217296" w:rsidP="00BD714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17296" w:rsidRDefault="00217296" w:rsidP="00BD7143">
          <w:pPr>
            <w:pStyle w:val="Header"/>
            <w:spacing w:after="120"/>
          </w:pPr>
        </w:p>
      </w:tc>
      <w:tc>
        <w:tcPr>
          <w:tcW w:w="6653" w:type="dxa"/>
          <w:gridSpan w:val="4"/>
          <w:tcBorders>
            <w:bottom w:val="single" w:sz="4" w:space="0" w:color="auto"/>
          </w:tcBorders>
          <w:shd w:val="clear" w:color="auto" w:fill="auto"/>
          <w:vAlign w:val="bottom"/>
        </w:tcPr>
        <w:p w:rsidR="00217296" w:rsidRPr="00BD7143" w:rsidRDefault="00217296" w:rsidP="00BD7143">
          <w:pPr>
            <w:spacing w:after="80" w:line="240" w:lineRule="auto"/>
            <w:jc w:val="right"/>
            <w:rPr>
              <w:position w:val="-4"/>
            </w:rPr>
          </w:pPr>
          <w:r>
            <w:rPr>
              <w:position w:val="-4"/>
              <w:sz w:val="40"/>
            </w:rPr>
            <w:t>CRC</w:t>
          </w:r>
          <w:r>
            <w:rPr>
              <w:position w:val="-4"/>
            </w:rPr>
            <w:t>/C/OPAC/CUB/Q/1/Add.1</w:t>
          </w:r>
        </w:p>
      </w:tc>
    </w:tr>
    <w:tr w:rsidR="00217296" w:rsidRPr="00BD7143" w:rsidTr="00BD7143">
      <w:trPr>
        <w:gridAfter w:val="1"/>
        <w:wAfter w:w="18" w:type="dxa"/>
        <w:trHeight w:hRule="exact" w:val="2880"/>
      </w:trPr>
      <w:tc>
        <w:tcPr>
          <w:tcW w:w="1267" w:type="dxa"/>
          <w:tcBorders>
            <w:top w:val="single" w:sz="4" w:space="0" w:color="auto"/>
            <w:bottom w:val="single" w:sz="12" w:space="0" w:color="auto"/>
          </w:tcBorders>
          <w:shd w:val="clear" w:color="auto" w:fill="auto"/>
        </w:tcPr>
        <w:p w:rsidR="00217296" w:rsidRPr="00BD7143" w:rsidRDefault="00217296" w:rsidP="00BD7143">
          <w:pPr>
            <w:pStyle w:val="Header"/>
            <w:spacing w:before="120"/>
            <w:jc w:val="center"/>
          </w:pPr>
          <w:r>
            <w:t xml:space="preserve"> </w:t>
          </w:r>
          <w:r>
            <w:rPr>
              <w:lang w:val="en-GB"/>
            </w:rPr>
            <w:drawing>
              <wp:inline distT="0" distB="0" distL="0" distR="0" wp14:anchorId="168CFF21" wp14:editId="3A245E7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17296" w:rsidRPr="00BD7143" w:rsidRDefault="00217296" w:rsidP="00BD7143">
          <w:pPr>
            <w:pStyle w:val="XLarge"/>
            <w:spacing w:before="109"/>
          </w:pPr>
          <w:r>
            <w:t xml:space="preserve">Convention on the </w:t>
          </w:r>
          <w:r>
            <w:br/>
            <w:t>Rights of the Child</w:t>
          </w:r>
        </w:p>
      </w:tc>
      <w:tc>
        <w:tcPr>
          <w:tcW w:w="245" w:type="dxa"/>
          <w:tcBorders>
            <w:top w:val="single" w:sz="4" w:space="0" w:color="auto"/>
            <w:bottom w:val="single" w:sz="12" w:space="0" w:color="auto"/>
          </w:tcBorders>
          <w:shd w:val="clear" w:color="auto" w:fill="auto"/>
        </w:tcPr>
        <w:p w:rsidR="00217296" w:rsidRPr="00BD7143" w:rsidRDefault="00217296" w:rsidP="00BD7143">
          <w:pPr>
            <w:pStyle w:val="Header"/>
            <w:spacing w:before="109"/>
          </w:pPr>
        </w:p>
      </w:tc>
      <w:tc>
        <w:tcPr>
          <w:tcW w:w="3280" w:type="dxa"/>
          <w:tcBorders>
            <w:top w:val="single" w:sz="4" w:space="0" w:color="auto"/>
            <w:bottom w:val="single" w:sz="12" w:space="0" w:color="auto"/>
          </w:tcBorders>
          <w:shd w:val="clear" w:color="auto" w:fill="auto"/>
        </w:tcPr>
        <w:p w:rsidR="00217296" w:rsidRDefault="00217296" w:rsidP="00BD7143">
          <w:pPr>
            <w:pStyle w:val="Distribution"/>
            <w:rPr>
              <w:color w:val="010000"/>
            </w:rPr>
          </w:pPr>
          <w:r>
            <w:rPr>
              <w:color w:val="010000"/>
            </w:rPr>
            <w:t>Distr.: General</w:t>
          </w:r>
        </w:p>
        <w:p w:rsidR="00217296" w:rsidRDefault="00217296" w:rsidP="00BD7143">
          <w:pPr>
            <w:pStyle w:val="Publication"/>
            <w:rPr>
              <w:color w:val="010000"/>
            </w:rPr>
          </w:pPr>
          <w:r>
            <w:rPr>
              <w:color w:val="010000"/>
            </w:rPr>
            <w:t>13 July 2015</w:t>
          </w:r>
        </w:p>
        <w:p w:rsidR="00217296" w:rsidRDefault="00217296" w:rsidP="00BD7143">
          <w:pPr>
            <w:rPr>
              <w:color w:val="010000"/>
            </w:rPr>
          </w:pPr>
          <w:r>
            <w:rPr>
              <w:color w:val="010000"/>
            </w:rPr>
            <w:t>English</w:t>
          </w:r>
        </w:p>
        <w:p w:rsidR="00217296" w:rsidRDefault="00217296" w:rsidP="00BD7143">
          <w:pPr>
            <w:pStyle w:val="Original"/>
            <w:rPr>
              <w:color w:val="010000"/>
            </w:rPr>
          </w:pPr>
          <w:r>
            <w:rPr>
              <w:color w:val="010000"/>
            </w:rPr>
            <w:t>Original: Spanish</w:t>
          </w:r>
        </w:p>
        <w:p w:rsidR="00217296" w:rsidRPr="00C63112" w:rsidRDefault="00217296" w:rsidP="00C63112">
          <w:r>
            <w:t>English, French and Spanish only</w:t>
          </w:r>
        </w:p>
        <w:p w:rsidR="00217296" w:rsidRPr="00BD7143" w:rsidRDefault="00217296" w:rsidP="00BD7143"/>
      </w:tc>
    </w:tr>
  </w:tbl>
  <w:p w:rsidR="00217296" w:rsidRPr="00BD7143" w:rsidRDefault="00217296" w:rsidP="00BD71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784*"/>
    <w:docVar w:name="CreationDt" w:val="04/08/2015 15:03:15"/>
    <w:docVar w:name="DocCategory" w:val="Doc"/>
    <w:docVar w:name="DocType" w:val="Final"/>
    <w:docVar w:name="DutyStation" w:val="Geneva"/>
    <w:docVar w:name="FooterJN" w:val="GE.15-11784"/>
    <w:docVar w:name="jobn" w:val="GE.15-11784 (E)"/>
    <w:docVar w:name="jobnDT" w:val="GE.15-11784 (E)   040815"/>
    <w:docVar w:name="jobnDTDT" w:val="GE. 15-11784 (E)   040815   040815"/>
    <w:docVar w:name="JobNo" w:val="GE.1511784E"/>
    <w:docVar w:name="JobNo2" w:val="1515505E"/>
    <w:docVar w:name="LocalDrive" w:val="0"/>
    <w:docVar w:name="OandT" w:val="AVT"/>
    <w:docVar w:name="PaperSize" w:val="A4"/>
    <w:docVar w:name="sss1" w:val="CRC/C/OPAC/CUB/Q/1/Add.1"/>
    <w:docVar w:name="sss2" w:val="-"/>
    <w:docVar w:name="Symbol1" w:val="CRC/C/OPAC/CUB/Q/1/Add.1"/>
    <w:docVar w:name="Symbol2" w:val="-"/>
  </w:docVars>
  <w:rsids>
    <w:rsidRoot w:val="003A6BE7"/>
    <w:rsid w:val="0000301C"/>
    <w:rsid w:val="000044BD"/>
    <w:rsid w:val="00010CB2"/>
    <w:rsid w:val="00011F66"/>
    <w:rsid w:val="000137FE"/>
    <w:rsid w:val="00013C9F"/>
    <w:rsid w:val="0001793F"/>
    <w:rsid w:val="00021540"/>
    <w:rsid w:val="00023BDE"/>
    <w:rsid w:val="000241EA"/>
    <w:rsid w:val="000243C1"/>
    <w:rsid w:val="00024B08"/>
    <w:rsid w:val="00024E5A"/>
    <w:rsid w:val="00025848"/>
    <w:rsid w:val="000308AA"/>
    <w:rsid w:val="00032100"/>
    <w:rsid w:val="0003242E"/>
    <w:rsid w:val="00041CAB"/>
    <w:rsid w:val="00042143"/>
    <w:rsid w:val="000509B8"/>
    <w:rsid w:val="00050ED6"/>
    <w:rsid w:val="00051981"/>
    <w:rsid w:val="00051D6F"/>
    <w:rsid w:val="00054828"/>
    <w:rsid w:val="00057F15"/>
    <w:rsid w:val="00057FD3"/>
    <w:rsid w:val="00060FB4"/>
    <w:rsid w:val="00061928"/>
    <w:rsid w:val="00062E0F"/>
    <w:rsid w:val="00073B00"/>
    <w:rsid w:val="00073B81"/>
    <w:rsid w:val="00076459"/>
    <w:rsid w:val="00077C68"/>
    <w:rsid w:val="00077DB0"/>
    <w:rsid w:val="00080953"/>
    <w:rsid w:val="00081CC0"/>
    <w:rsid w:val="000873DA"/>
    <w:rsid w:val="0009142F"/>
    <w:rsid w:val="000930EA"/>
    <w:rsid w:val="00095653"/>
    <w:rsid w:val="00096611"/>
    <w:rsid w:val="000A1401"/>
    <w:rsid w:val="000B2AB1"/>
    <w:rsid w:val="000B6F32"/>
    <w:rsid w:val="000C30BC"/>
    <w:rsid w:val="000C676D"/>
    <w:rsid w:val="000D5201"/>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269DA"/>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37E8"/>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1D0"/>
    <w:rsid w:val="00210D7F"/>
    <w:rsid w:val="00211F3F"/>
    <w:rsid w:val="00213104"/>
    <w:rsid w:val="002141E3"/>
    <w:rsid w:val="00217296"/>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A13"/>
    <w:rsid w:val="00255264"/>
    <w:rsid w:val="00256A49"/>
    <w:rsid w:val="0025759D"/>
    <w:rsid w:val="00261FDB"/>
    <w:rsid w:val="00262352"/>
    <w:rsid w:val="00264279"/>
    <w:rsid w:val="00264A5E"/>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BE"/>
    <w:rsid w:val="002B0DEC"/>
    <w:rsid w:val="002B4B8E"/>
    <w:rsid w:val="002B649C"/>
    <w:rsid w:val="002B67EC"/>
    <w:rsid w:val="002B77DF"/>
    <w:rsid w:val="002C0552"/>
    <w:rsid w:val="002C12A1"/>
    <w:rsid w:val="002C171C"/>
    <w:rsid w:val="002C3AE4"/>
    <w:rsid w:val="002C69A3"/>
    <w:rsid w:val="002D0215"/>
    <w:rsid w:val="002D0A3F"/>
    <w:rsid w:val="002D25CC"/>
    <w:rsid w:val="002D4228"/>
    <w:rsid w:val="002D4776"/>
    <w:rsid w:val="002E1C17"/>
    <w:rsid w:val="002E663D"/>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448D"/>
    <w:rsid w:val="00387FE0"/>
    <w:rsid w:val="0039024C"/>
    <w:rsid w:val="003928D1"/>
    <w:rsid w:val="00395DFD"/>
    <w:rsid w:val="003A09C3"/>
    <w:rsid w:val="003A5087"/>
    <w:rsid w:val="003A6BE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20CA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3FE3"/>
    <w:rsid w:val="004B674F"/>
    <w:rsid w:val="004B6AB6"/>
    <w:rsid w:val="004B732D"/>
    <w:rsid w:val="004C0A4B"/>
    <w:rsid w:val="004C599F"/>
    <w:rsid w:val="004C7A38"/>
    <w:rsid w:val="004C7E05"/>
    <w:rsid w:val="004D0839"/>
    <w:rsid w:val="004D0C85"/>
    <w:rsid w:val="004D2970"/>
    <w:rsid w:val="004D3027"/>
    <w:rsid w:val="004D580C"/>
    <w:rsid w:val="004D5846"/>
    <w:rsid w:val="004D79A6"/>
    <w:rsid w:val="004D7A08"/>
    <w:rsid w:val="004E0043"/>
    <w:rsid w:val="004E382D"/>
    <w:rsid w:val="004E51FA"/>
    <w:rsid w:val="004E669B"/>
    <w:rsid w:val="004F09C3"/>
    <w:rsid w:val="004F1E97"/>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3446"/>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3D90"/>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E7D"/>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2A4A"/>
    <w:rsid w:val="007F3C8D"/>
    <w:rsid w:val="007F4A1D"/>
    <w:rsid w:val="007F621D"/>
    <w:rsid w:val="007F6537"/>
    <w:rsid w:val="00802C43"/>
    <w:rsid w:val="0080697C"/>
    <w:rsid w:val="00807902"/>
    <w:rsid w:val="00810F2C"/>
    <w:rsid w:val="00816CF9"/>
    <w:rsid w:val="00826ECD"/>
    <w:rsid w:val="00831BF5"/>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45"/>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473B"/>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2CFD"/>
    <w:rsid w:val="00974073"/>
    <w:rsid w:val="009747AA"/>
    <w:rsid w:val="00976852"/>
    <w:rsid w:val="009824C8"/>
    <w:rsid w:val="00986111"/>
    <w:rsid w:val="00987852"/>
    <w:rsid w:val="00993204"/>
    <w:rsid w:val="00993D85"/>
    <w:rsid w:val="009946BE"/>
    <w:rsid w:val="009956B4"/>
    <w:rsid w:val="0099600D"/>
    <w:rsid w:val="009A08DF"/>
    <w:rsid w:val="009A64C4"/>
    <w:rsid w:val="009B0CFA"/>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054C"/>
    <w:rsid w:val="00A653A2"/>
    <w:rsid w:val="00A675FD"/>
    <w:rsid w:val="00A67A30"/>
    <w:rsid w:val="00A719F9"/>
    <w:rsid w:val="00A71BB0"/>
    <w:rsid w:val="00A74979"/>
    <w:rsid w:val="00A7696A"/>
    <w:rsid w:val="00A769C4"/>
    <w:rsid w:val="00A7736C"/>
    <w:rsid w:val="00A77FFB"/>
    <w:rsid w:val="00A81690"/>
    <w:rsid w:val="00A83C88"/>
    <w:rsid w:val="00A850B7"/>
    <w:rsid w:val="00A90C3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14DE"/>
    <w:rsid w:val="00B72250"/>
    <w:rsid w:val="00B76E81"/>
    <w:rsid w:val="00B8007D"/>
    <w:rsid w:val="00B8044B"/>
    <w:rsid w:val="00B81452"/>
    <w:rsid w:val="00B8270B"/>
    <w:rsid w:val="00B82AC7"/>
    <w:rsid w:val="00B85869"/>
    <w:rsid w:val="00B8709A"/>
    <w:rsid w:val="00B93E9A"/>
    <w:rsid w:val="00BA0F90"/>
    <w:rsid w:val="00BA2886"/>
    <w:rsid w:val="00BA4E0D"/>
    <w:rsid w:val="00BB1AD4"/>
    <w:rsid w:val="00BB3145"/>
    <w:rsid w:val="00BC2DFF"/>
    <w:rsid w:val="00BC44EE"/>
    <w:rsid w:val="00BD0908"/>
    <w:rsid w:val="00BD0DCE"/>
    <w:rsid w:val="00BD2782"/>
    <w:rsid w:val="00BD33F2"/>
    <w:rsid w:val="00BD54BF"/>
    <w:rsid w:val="00BD7143"/>
    <w:rsid w:val="00BD7175"/>
    <w:rsid w:val="00BE0DC8"/>
    <w:rsid w:val="00BE2963"/>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3112"/>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0A00"/>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1E8F"/>
    <w:rsid w:val="00DA26DF"/>
    <w:rsid w:val="00DA2FC4"/>
    <w:rsid w:val="00DA58BE"/>
    <w:rsid w:val="00DA6EC8"/>
    <w:rsid w:val="00DA7E22"/>
    <w:rsid w:val="00DB0521"/>
    <w:rsid w:val="00DB32C6"/>
    <w:rsid w:val="00DB537B"/>
    <w:rsid w:val="00DC15F1"/>
    <w:rsid w:val="00DC220C"/>
    <w:rsid w:val="00DD0473"/>
    <w:rsid w:val="00DD0B1F"/>
    <w:rsid w:val="00DD281C"/>
    <w:rsid w:val="00DD43D8"/>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21C"/>
    <w:rsid w:val="00E447F2"/>
    <w:rsid w:val="00E45616"/>
    <w:rsid w:val="00E456C6"/>
    <w:rsid w:val="00E47526"/>
    <w:rsid w:val="00E47B5C"/>
    <w:rsid w:val="00E5289B"/>
    <w:rsid w:val="00E52C2E"/>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550"/>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5880"/>
    <w:rsid w:val="00F260C9"/>
    <w:rsid w:val="00F272B2"/>
    <w:rsid w:val="00F30B11"/>
    <w:rsid w:val="00F31418"/>
    <w:rsid w:val="00F32DEE"/>
    <w:rsid w:val="00F34519"/>
    <w:rsid w:val="00F35998"/>
    <w:rsid w:val="00F44C19"/>
    <w:rsid w:val="00F44F26"/>
    <w:rsid w:val="00F455C2"/>
    <w:rsid w:val="00F457C3"/>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5E0C30"/>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D7143"/>
    <w:pPr>
      <w:spacing w:line="240" w:lineRule="auto"/>
    </w:pPr>
  </w:style>
  <w:style w:type="character" w:customStyle="1" w:styleId="CommentTextChar">
    <w:name w:val="Comment Text Char"/>
    <w:basedOn w:val="DefaultParagraphFont"/>
    <w:link w:val="CommentText"/>
    <w:rsid w:val="00BD7143"/>
    <w:rPr>
      <w:spacing w:val="4"/>
      <w:w w:val="103"/>
      <w:kern w:val="14"/>
      <w:lang w:val="en-GB"/>
    </w:rPr>
  </w:style>
  <w:style w:type="paragraph" w:styleId="CommentSubject">
    <w:name w:val="annotation subject"/>
    <w:basedOn w:val="CommentText"/>
    <w:next w:val="CommentText"/>
    <w:link w:val="CommentSubjectChar"/>
    <w:rsid w:val="00BD7143"/>
    <w:rPr>
      <w:b/>
      <w:bCs/>
    </w:rPr>
  </w:style>
  <w:style w:type="character" w:customStyle="1" w:styleId="CommentSubjectChar">
    <w:name w:val="Comment Subject Char"/>
    <w:basedOn w:val="CommentTextChar"/>
    <w:link w:val="CommentSubject"/>
    <w:rsid w:val="00BD7143"/>
    <w:rPr>
      <w:b/>
      <w:bCs/>
      <w:spacing w:val="4"/>
      <w:w w:val="103"/>
      <w:kern w:val="14"/>
      <w:lang w:val="en-GB"/>
    </w:rPr>
  </w:style>
  <w:style w:type="character" w:customStyle="1" w:styleId="FootnoteTextChar">
    <w:name w:val="Footnote Text Char"/>
    <w:aliases w:val="5_G Char"/>
    <w:link w:val="FootnoteText"/>
    <w:rsid w:val="00C63112"/>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5E0C30"/>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D7143"/>
    <w:pPr>
      <w:spacing w:line="240" w:lineRule="auto"/>
    </w:pPr>
  </w:style>
  <w:style w:type="character" w:customStyle="1" w:styleId="CommentTextChar">
    <w:name w:val="Comment Text Char"/>
    <w:basedOn w:val="DefaultParagraphFont"/>
    <w:link w:val="CommentText"/>
    <w:rsid w:val="00BD7143"/>
    <w:rPr>
      <w:spacing w:val="4"/>
      <w:w w:val="103"/>
      <w:kern w:val="14"/>
      <w:lang w:val="en-GB"/>
    </w:rPr>
  </w:style>
  <w:style w:type="paragraph" w:styleId="CommentSubject">
    <w:name w:val="annotation subject"/>
    <w:basedOn w:val="CommentText"/>
    <w:next w:val="CommentText"/>
    <w:link w:val="CommentSubjectChar"/>
    <w:rsid w:val="00BD7143"/>
    <w:rPr>
      <w:b/>
      <w:bCs/>
    </w:rPr>
  </w:style>
  <w:style w:type="character" w:customStyle="1" w:styleId="CommentSubjectChar">
    <w:name w:val="Comment Subject Char"/>
    <w:basedOn w:val="CommentTextChar"/>
    <w:link w:val="CommentSubject"/>
    <w:rsid w:val="00BD7143"/>
    <w:rPr>
      <w:b/>
      <w:bCs/>
      <w:spacing w:val="4"/>
      <w:w w:val="103"/>
      <w:kern w:val="14"/>
      <w:lang w:val="en-GB"/>
    </w:rPr>
  </w:style>
  <w:style w:type="character" w:customStyle="1" w:styleId="FootnoteTextChar">
    <w:name w:val="Footnote Text Char"/>
    <w:aliases w:val="5_G Char"/>
    <w:link w:val="FootnoteText"/>
    <w:rsid w:val="00C63112"/>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89A6-D59A-4A6D-B015-C5AA6E26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Gatmaytan</cp:lastModifiedBy>
  <cp:revision>3</cp:revision>
  <cp:lastPrinted>2015-08-05T13:33:00Z</cp:lastPrinted>
  <dcterms:created xsi:type="dcterms:W3CDTF">2015-08-05T13:33:00Z</dcterms:created>
  <dcterms:modified xsi:type="dcterms:W3CDTF">2015-08-05T13:33:00Z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1511784</vt:lpwstr>
  </property>
  <property fmtid="{D5CDD505-2E9C-101B-9397-08002B2CF9AE}" pid="3" name="ODSRefJobNo">
    <vt:lpwstr>1515505E</vt:lpwstr>
  </property>
  <property fmtid="{D5CDD505-2E9C-101B-9397-08002B2CF9AE}" pid="4" name="Symbol1">
    <vt:lpwstr>CRC/C/OPAC/CUB/Q/1/Add.1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July 2015</vt:lpwstr>
  </property>
  <property fmtid="{D5CDD505-2E9C-101B-9397-08002B2CF9AE}" pid="12" name="Original">
    <vt:lpwstr>Spanish</vt:lpwstr>
  </property>
  <property fmtid="{D5CDD505-2E9C-101B-9397-08002B2CF9AE}" pid="13" name="Release Date">
    <vt:lpwstr>040815</vt:lpwstr>
  </property>
</Properties>
</file>