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17494">
        <w:trPr>
          <w:trHeight w:hRule="exact" w:val="851"/>
        </w:trPr>
        <w:tc>
          <w:tcPr>
            <w:tcW w:w="1280" w:type="dxa"/>
            <w:tcBorders>
              <w:bottom w:val="single" w:sz="4" w:space="0" w:color="auto"/>
            </w:tcBorders>
          </w:tcPr>
          <w:p w:rsidR="00E17494" w:rsidRDefault="00E17494">
            <w:pPr>
              <w:rPr>
                <w:rFonts w:hint="eastAsia"/>
              </w:rPr>
            </w:pPr>
          </w:p>
        </w:tc>
        <w:tc>
          <w:tcPr>
            <w:tcW w:w="2273" w:type="dxa"/>
            <w:tcBorders>
              <w:bottom w:val="single" w:sz="4" w:space="0" w:color="auto"/>
            </w:tcBorders>
            <w:vAlign w:val="bottom"/>
          </w:tcPr>
          <w:p w:rsidR="00E17494" w:rsidRDefault="00E17494">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17494" w:rsidRDefault="00E17494">
            <w:pPr>
              <w:spacing w:line="240" w:lineRule="atLeast"/>
              <w:jc w:val="right"/>
              <w:rPr>
                <w:rFonts w:hint="eastAsia"/>
                <w:szCs w:val="21"/>
              </w:rPr>
            </w:pPr>
            <w:proofErr w:type="spellStart"/>
            <w:r>
              <w:rPr>
                <w:sz w:val="40"/>
                <w:szCs w:val="40"/>
              </w:rPr>
              <w:t>CRC</w:t>
            </w:r>
            <w:r>
              <w:rPr>
                <w:sz w:val="20"/>
              </w:rPr>
              <w:t>/</w:t>
            </w:r>
            <w:r>
              <w:rPr>
                <w:rFonts w:hint="eastAsia"/>
                <w:sz w:val="20"/>
              </w:rPr>
              <w:t>C/OPAC/LKA/CO/1</w:t>
            </w:r>
            <w:proofErr w:type="spellEnd"/>
          </w:p>
        </w:tc>
      </w:tr>
      <w:tr w:rsidR="00E17494">
        <w:trPr>
          <w:trHeight w:hRule="exact" w:val="2835"/>
        </w:trPr>
        <w:tc>
          <w:tcPr>
            <w:tcW w:w="1280" w:type="dxa"/>
            <w:tcBorders>
              <w:top w:val="single" w:sz="4" w:space="0" w:color="auto"/>
              <w:bottom w:val="single" w:sz="12" w:space="0" w:color="auto"/>
            </w:tcBorders>
          </w:tcPr>
          <w:p w:rsidR="00E17494" w:rsidRDefault="00E17494">
            <w:pPr>
              <w:spacing w:line="120" w:lineRule="atLeast"/>
              <w:rPr>
                <w:sz w:val="10"/>
                <w:szCs w:val="10"/>
              </w:rPr>
            </w:pPr>
          </w:p>
          <w:p w:rsidR="00E17494" w:rsidRDefault="00E17494">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17494" w:rsidRDefault="00E17494">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17494" w:rsidRDefault="00E17494">
            <w:pPr>
              <w:spacing w:before="240" w:line="240" w:lineRule="atLeast"/>
              <w:rPr>
                <w:sz w:val="20"/>
              </w:rPr>
            </w:pPr>
            <w:r>
              <w:rPr>
                <w:sz w:val="20"/>
              </w:rPr>
              <w:t xml:space="preserve">Distr.: </w:t>
            </w:r>
            <w:r>
              <w:rPr>
                <w:rFonts w:hint="eastAsia"/>
                <w:sz w:val="20"/>
              </w:rPr>
              <w:t>G</w:t>
            </w:r>
            <w:r>
              <w:rPr>
                <w:sz w:val="20"/>
              </w:rPr>
              <w:t>eneral</w:t>
            </w:r>
          </w:p>
          <w:p w:rsidR="00E17494" w:rsidRDefault="00E17494">
            <w:pPr>
              <w:spacing w:line="240" w:lineRule="atLeast"/>
              <w:rPr>
                <w:sz w:val="20"/>
              </w:rPr>
            </w:pPr>
            <w:r>
              <w:rPr>
                <w:sz w:val="20"/>
              </w:rPr>
              <w:t>19 October 20</w:t>
            </w:r>
            <w:r>
              <w:rPr>
                <w:rFonts w:hint="eastAsia"/>
                <w:sz w:val="20"/>
              </w:rPr>
              <w:t>10</w:t>
            </w:r>
          </w:p>
          <w:p w:rsidR="00E17494" w:rsidRDefault="00E17494">
            <w:pPr>
              <w:spacing w:line="240" w:lineRule="atLeast"/>
              <w:rPr>
                <w:sz w:val="20"/>
              </w:rPr>
            </w:pPr>
            <w:r>
              <w:rPr>
                <w:sz w:val="20"/>
              </w:rPr>
              <w:t xml:space="preserve">Chinese </w:t>
            </w:r>
          </w:p>
          <w:p w:rsidR="00E17494" w:rsidRDefault="00E17494">
            <w:pPr>
              <w:spacing w:line="240" w:lineRule="atLeast"/>
              <w:rPr>
                <w:rFonts w:hint="eastAsia"/>
                <w:sz w:val="20"/>
              </w:rPr>
            </w:pPr>
            <w:r>
              <w:rPr>
                <w:sz w:val="20"/>
              </w:rPr>
              <w:t>Original: English</w:t>
            </w:r>
          </w:p>
        </w:tc>
      </w:tr>
    </w:tbl>
    <w:p w:rsidR="00E17494" w:rsidRDefault="00E17494">
      <w:pPr>
        <w:spacing w:before="120"/>
        <w:rPr>
          <w:rFonts w:eastAsia="SimHei" w:hint="eastAsia"/>
          <w:sz w:val="24"/>
          <w:szCs w:val="24"/>
        </w:rPr>
      </w:pPr>
      <w:r>
        <w:rPr>
          <w:rFonts w:eastAsia="SimHei" w:hint="eastAsia"/>
          <w:sz w:val="24"/>
          <w:szCs w:val="24"/>
        </w:rPr>
        <w:t>儿童权利委员会</w:t>
      </w:r>
    </w:p>
    <w:p w:rsidR="00E17494" w:rsidRDefault="00E17494">
      <w:pPr>
        <w:rPr>
          <w:rFonts w:eastAsia="SimHei" w:hint="eastAsia"/>
          <w:szCs w:val="21"/>
        </w:rPr>
      </w:pPr>
      <w:r>
        <w:rPr>
          <w:rFonts w:eastAsia="SimHei" w:hint="eastAsia"/>
          <w:szCs w:val="21"/>
        </w:rPr>
        <w:t>第五十五届会议</w:t>
      </w:r>
    </w:p>
    <w:p w:rsidR="00E17494" w:rsidRDefault="00E17494">
      <w:pPr>
        <w:rPr>
          <w:rFonts w:eastAsia="SimHei" w:hint="eastAsia"/>
          <w:szCs w:val="21"/>
        </w:rPr>
      </w:pPr>
      <w:r>
        <w:rPr>
          <w:rFonts w:hint="eastAsia"/>
        </w:rPr>
        <w:t>2010</w:t>
      </w:r>
      <w:r>
        <w:rPr>
          <w:rFonts w:hint="eastAsia"/>
        </w:rPr>
        <w:t>年</w:t>
      </w:r>
      <w:r>
        <w:rPr>
          <w:rFonts w:hint="eastAsia"/>
        </w:rPr>
        <w:t>9</w:t>
      </w:r>
      <w:r>
        <w:rPr>
          <w:rFonts w:hint="eastAsia"/>
        </w:rPr>
        <w:t>月</w:t>
      </w:r>
      <w:r>
        <w:rPr>
          <w:rFonts w:hint="eastAsia"/>
        </w:rPr>
        <w:t>13</w:t>
      </w:r>
      <w:r>
        <w:rPr>
          <w:rFonts w:hint="eastAsia"/>
        </w:rPr>
        <w:t>日至</w:t>
      </w:r>
      <w:r>
        <w:rPr>
          <w:rFonts w:hint="eastAsia"/>
        </w:rPr>
        <w:t>10</w:t>
      </w:r>
      <w:r>
        <w:rPr>
          <w:rFonts w:hint="eastAsia"/>
        </w:rPr>
        <w:t>月</w:t>
      </w:r>
      <w:r>
        <w:rPr>
          <w:rFonts w:hint="eastAsia"/>
        </w:rPr>
        <w:t>1</w:t>
      </w:r>
      <w:r>
        <w:rPr>
          <w:rFonts w:hint="eastAsia"/>
        </w:rPr>
        <w:t>日</w:t>
      </w:r>
    </w:p>
    <w:p w:rsidR="00E17494" w:rsidRDefault="00E17494">
      <w:pPr>
        <w:pStyle w:val="HChGC"/>
        <w:rPr>
          <w:rFonts w:hint="eastAsia"/>
        </w:rPr>
      </w:pPr>
      <w:r>
        <w:rPr>
          <w:rFonts w:hint="eastAsia"/>
        </w:rPr>
        <w:tab/>
      </w:r>
      <w:r>
        <w:rPr>
          <w:rFonts w:hint="eastAsia"/>
        </w:rPr>
        <w:tab/>
      </w:r>
      <w:r>
        <w:rPr>
          <w:rFonts w:hint="eastAsia"/>
        </w:rPr>
        <w:t>审议</w:t>
      </w:r>
      <w:r>
        <w:t>缔约国根据</w:t>
      </w:r>
      <w:r>
        <w:rPr>
          <w:rFonts w:hint="eastAsia"/>
        </w:rPr>
        <w:t>《儿童权利公约关于儿童卷入武装冲突问题的任择议定书》</w:t>
      </w:r>
      <w:r>
        <w:t>第</w:t>
      </w:r>
      <w:r>
        <w:rPr>
          <w:rFonts w:hint="eastAsia"/>
        </w:rPr>
        <w:t>8</w:t>
      </w:r>
      <w:r>
        <w:rPr>
          <w:rFonts w:hint="eastAsia"/>
        </w:rPr>
        <w:t>条提交的报告</w:t>
      </w:r>
    </w:p>
    <w:p w:rsidR="00E17494" w:rsidRDefault="00E17494" w:rsidP="00E17494">
      <w:pPr>
        <w:pStyle w:val="H1GC"/>
        <w:rPr>
          <w:rFonts w:hint="eastAsia"/>
        </w:rPr>
      </w:pPr>
      <w:r>
        <w:rPr>
          <w:rFonts w:hint="eastAsia"/>
        </w:rPr>
        <w:tab/>
      </w:r>
      <w:r>
        <w:rPr>
          <w:rFonts w:hint="eastAsia"/>
        </w:rPr>
        <w:tab/>
      </w:r>
      <w:r>
        <w:rPr>
          <w:rFonts w:hint="eastAsia"/>
        </w:rPr>
        <w:t>结论性意见：斯里兰卡</w:t>
      </w:r>
    </w:p>
    <w:p w:rsidR="00E17494" w:rsidRDefault="00E17494">
      <w:pPr>
        <w:pStyle w:val="SingleTxtGC"/>
        <w:rPr>
          <w:rFonts w:hint="eastAsia"/>
        </w:rPr>
      </w:pPr>
      <w:r>
        <w:rPr>
          <w:rFonts w:hint="eastAsia"/>
        </w:rPr>
        <w:t xml:space="preserve">1.  </w:t>
      </w:r>
      <w:r>
        <w:rPr>
          <w:rFonts w:hint="eastAsia"/>
        </w:rPr>
        <w:t>委员会在</w:t>
      </w:r>
      <w:r>
        <w:rPr>
          <w:rFonts w:hint="eastAsia"/>
        </w:rPr>
        <w:t>2010</w:t>
      </w:r>
      <w:r>
        <w:rPr>
          <w:rFonts w:hint="eastAsia"/>
        </w:rPr>
        <w:t>年</w:t>
      </w:r>
      <w:r>
        <w:rPr>
          <w:rFonts w:hint="eastAsia"/>
        </w:rPr>
        <w:t>9</w:t>
      </w:r>
      <w:r>
        <w:rPr>
          <w:rFonts w:hint="eastAsia"/>
        </w:rPr>
        <w:t>月</w:t>
      </w:r>
      <w:r>
        <w:rPr>
          <w:rFonts w:hint="eastAsia"/>
        </w:rPr>
        <w:t>24</w:t>
      </w:r>
      <w:r>
        <w:rPr>
          <w:rFonts w:hint="eastAsia"/>
        </w:rPr>
        <w:t>日举行的第</w:t>
      </w:r>
      <w:r>
        <w:rPr>
          <w:rFonts w:hint="eastAsia"/>
        </w:rPr>
        <w:t>1571</w:t>
      </w:r>
      <w:r>
        <w:rPr>
          <w:rFonts w:hint="eastAsia"/>
        </w:rPr>
        <w:t>次会议</w:t>
      </w:r>
      <w:r>
        <w:rPr>
          <w:rFonts w:hint="eastAsia"/>
        </w:rPr>
        <w:t>(</w:t>
      </w:r>
      <w:r>
        <w:rPr>
          <w:rFonts w:hint="eastAsia"/>
        </w:rPr>
        <w:t>见</w:t>
      </w:r>
      <w:r>
        <w:rPr>
          <w:bCs/>
        </w:rPr>
        <w:t>CRC/C/SR.1571)</w:t>
      </w:r>
      <w:r>
        <w:rPr>
          <w:rFonts w:hint="eastAsia"/>
          <w:bCs/>
        </w:rPr>
        <w:t>上审议了斯里兰卡提交的初次报告</w:t>
      </w:r>
      <w:r>
        <w:rPr>
          <w:rFonts w:hint="eastAsia"/>
        </w:rPr>
        <w:t>(</w:t>
      </w:r>
      <w:r>
        <w:rPr>
          <w:rFonts w:hint="eastAsia"/>
        </w:rPr>
        <w:t>见</w:t>
      </w:r>
      <w:r>
        <w:t>CRC/C/OPAC/LKA/1</w:t>
      </w:r>
      <w:r>
        <w:rPr>
          <w:rFonts w:hint="eastAsia"/>
        </w:rPr>
        <w:t>)</w:t>
      </w:r>
      <w:r>
        <w:rPr>
          <w:rFonts w:hint="eastAsia"/>
        </w:rPr>
        <w:t>，并且在</w:t>
      </w:r>
      <w:r>
        <w:rPr>
          <w:rFonts w:hint="eastAsia"/>
        </w:rPr>
        <w:t>2010</w:t>
      </w:r>
      <w:r>
        <w:rPr>
          <w:rFonts w:hint="eastAsia"/>
        </w:rPr>
        <w:t>年</w:t>
      </w:r>
      <w:r>
        <w:rPr>
          <w:rFonts w:hint="eastAsia"/>
        </w:rPr>
        <w:t>10</w:t>
      </w:r>
      <w:r>
        <w:rPr>
          <w:rFonts w:hint="eastAsia"/>
        </w:rPr>
        <w:t>月</w:t>
      </w:r>
      <w:r>
        <w:rPr>
          <w:rFonts w:hint="eastAsia"/>
        </w:rPr>
        <w:t>1</w:t>
      </w:r>
      <w:r>
        <w:rPr>
          <w:rFonts w:hint="eastAsia"/>
        </w:rPr>
        <w:t>日举行的</w:t>
      </w:r>
      <w:r>
        <w:rPr>
          <w:rFonts w:hint="eastAsia"/>
        </w:rPr>
        <w:t>1583</w:t>
      </w:r>
      <w:r>
        <w:rPr>
          <w:rFonts w:hint="eastAsia"/>
        </w:rPr>
        <w:t>次会议</w:t>
      </w:r>
      <w:r>
        <w:rPr>
          <w:rFonts w:hint="eastAsia"/>
        </w:rPr>
        <w:t>(</w:t>
      </w:r>
      <w:r>
        <w:rPr>
          <w:rFonts w:hint="eastAsia"/>
        </w:rPr>
        <w:t>见</w:t>
      </w:r>
      <w:r>
        <w:rPr>
          <w:bCs/>
        </w:rPr>
        <w:t>CRC/C/SR.1583)</w:t>
      </w:r>
      <w:r>
        <w:rPr>
          <w:rFonts w:hint="eastAsia"/>
          <w:bCs/>
        </w:rPr>
        <w:t>上通过了其下列结论性意见。</w:t>
      </w:r>
    </w:p>
    <w:p w:rsidR="00E17494" w:rsidRDefault="00E17494">
      <w:pPr>
        <w:pStyle w:val="HChGC"/>
        <w:rPr>
          <w:rFonts w:hint="eastAsia"/>
          <w:snapToGrid/>
          <w:szCs w:val="16"/>
        </w:rPr>
      </w:pPr>
      <w:r>
        <w:rPr>
          <w:rFonts w:hint="eastAsia"/>
          <w:snapToGrid/>
        </w:rPr>
        <w:tab/>
      </w:r>
      <w:r>
        <w:rPr>
          <w:rFonts w:hint="eastAsia"/>
          <w:snapToGrid/>
        </w:rPr>
        <w:tab/>
      </w:r>
      <w:r>
        <w:rPr>
          <w:rFonts w:hint="eastAsia"/>
          <w:snapToGrid/>
        </w:rPr>
        <w:t>导言</w:t>
      </w:r>
    </w:p>
    <w:p w:rsidR="00E17494" w:rsidRDefault="00E17494">
      <w:pPr>
        <w:pStyle w:val="SingleTxtGC"/>
        <w:rPr>
          <w:rFonts w:hint="eastAsia"/>
          <w:snapToGrid/>
          <w:szCs w:val="16"/>
        </w:rPr>
      </w:pPr>
      <w:r>
        <w:rPr>
          <w:rFonts w:hint="eastAsia"/>
          <w:snapToGrid/>
        </w:rPr>
        <w:t xml:space="preserve">2.  </w:t>
      </w:r>
      <w:r>
        <w:rPr>
          <w:rFonts w:hint="eastAsia"/>
          <w:snapToGrid/>
        </w:rPr>
        <w:t>委员会欢迎缔约国提交的初次报告，但感到遗憾的是，缔约国没有遵循委员会关于《任择议定书》的报告编写指南</w:t>
      </w:r>
      <w:r>
        <w:rPr>
          <w:rFonts w:hint="eastAsia"/>
          <w:snapToGrid/>
        </w:rPr>
        <w:t>(CRC/C/OPAC/2)</w:t>
      </w:r>
      <w:r>
        <w:rPr>
          <w:rFonts w:hint="eastAsia"/>
          <w:snapToGrid/>
        </w:rPr>
        <w:t>。委员会进一步欢迎缔约国对其问题清单所作的书面答复</w:t>
      </w:r>
      <w:r>
        <w:rPr>
          <w:rFonts w:hint="eastAsia"/>
          <w:snapToGrid/>
        </w:rPr>
        <w:t>(CRC/C/OPAC/LKA/Q/1/Add.1)</w:t>
      </w:r>
      <w:r>
        <w:rPr>
          <w:rFonts w:hint="eastAsia"/>
          <w:snapToGrid/>
        </w:rPr>
        <w:t>并赞赏与多部门代表团举行的建设性对话。</w:t>
      </w:r>
    </w:p>
    <w:p w:rsidR="00E17494" w:rsidRDefault="00E17494">
      <w:pPr>
        <w:pStyle w:val="SingleTxtGC"/>
        <w:rPr>
          <w:rFonts w:hint="eastAsia"/>
          <w:snapToGrid/>
          <w:szCs w:val="16"/>
        </w:rPr>
      </w:pPr>
      <w:r>
        <w:rPr>
          <w:rFonts w:hint="eastAsia"/>
          <w:snapToGrid/>
        </w:rPr>
        <w:t xml:space="preserve">3.  </w:t>
      </w:r>
      <w:r>
        <w:rPr>
          <w:rFonts w:hint="eastAsia"/>
          <w:snapToGrid/>
        </w:rPr>
        <w:t>委员会提请缔约国注意，本结论性意见应结合委员会于</w:t>
      </w:r>
      <w:r>
        <w:rPr>
          <w:rFonts w:hint="eastAsia"/>
          <w:snapToGrid/>
        </w:rPr>
        <w:t>2010</w:t>
      </w:r>
      <w:r>
        <w:rPr>
          <w:rFonts w:hint="eastAsia"/>
          <w:snapToGrid/>
        </w:rPr>
        <w:t>年</w:t>
      </w:r>
      <w:r>
        <w:rPr>
          <w:rFonts w:hint="eastAsia"/>
          <w:snapToGrid/>
        </w:rPr>
        <w:t>10</w:t>
      </w:r>
      <w:r>
        <w:rPr>
          <w:rFonts w:hint="eastAsia"/>
          <w:snapToGrid/>
        </w:rPr>
        <w:t>月</w:t>
      </w:r>
      <w:r>
        <w:rPr>
          <w:rFonts w:hint="eastAsia"/>
          <w:snapToGrid/>
        </w:rPr>
        <w:t>1</w:t>
      </w:r>
      <w:r>
        <w:rPr>
          <w:rFonts w:hint="eastAsia"/>
          <w:snapToGrid/>
        </w:rPr>
        <w:t>日通过的对缔约国第三和第四次定期报告的结论性意见</w:t>
      </w:r>
      <w:r>
        <w:rPr>
          <w:rFonts w:hint="eastAsia"/>
          <w:snapToGrid/>
        </w:rPr>
        <w:t>(CRC/C/LKA/CO/3-4)</w:t>
      </w:r>
      <w:r>
        <w:rPr>
          <w:rFonts w:hint="eastAsia"/>
          <w:snapToGrid/>
        </w:rPr>
        <w:t>阅读。</w:t>
      </w:r>
    </w:p>
    <w:p w:rsidR="00E17494" w:rsidRDefault="00E17494">
      <w:pPr>
        <w:pStyle w:val="HChGC"/>
        <w:rPr>
          <w:rFonts w:hint="eastAsia"/>
          <w:snapToGrid/>
          <w:szCs w:val="16"/>
        </w:rPr>
      </w:pPr>
      <w:r>
        <w:rPr>
          <w:rFonts w:hint="eastAsia"/>
          <w:snapToGrid/>
        </w:rPr>
        <w:tab/>
      </w:r>
      <w:r>
        <w:rPr>
          <w:rFonts w:hint="eastAsia"/>
          <w:snapToGrid/>
        </w:rPr>
        <w:t>一</w:t>
      </w:r>
      <w:r>
        <w:rPr>
          <w:rFonts w:hint="eastAsia"/>
          <w:snapToGrid/>
        </w:rPr>
        <w:t>.</w:t>
      </w:r>
      <w:r>
        <w:rPr>
          <w:rFonts w:hint="eastAsia"/>
          <w:snapToGrid/>
        </w:rPr>
        <w:tab/>
      </w:r>
      <w:r>
        <w:rPr>
          <w:rFonts w:hint="eastAsia"/>
          <w:snapToGrid/>
        </w:rPr>
        <w:t>积极方面</w:t>
      </w:r>
    </w:p>
    <w:p w:rsidR="00E17494" w:rsidRDefault="00E17494">
      <w:pPr>
        <w:pStyle w:val="SingleTxtGC"/>
        <w:rPr>
          <w:rFonts w:hint="eastAsia"/>
          <w:snapToGrid/>
          <w:szCs w:val="16"/>
        </w:rPr>
      </w:pPr>
      <w:r>
        <w:rPr>
          <w:rFonts w:hint="eastAsia"/>
          <w:snapToGrid/>
        </w:rPr>
        <w:t xml:space="preserve">4.  </w:t>
      </w:r>
      <w:r>
        <w:rPr>
          <w:rFonts w:hint="eastAsia"/>
          <w:snapToGrid/>
        </w:rPr>
        <w:t>委员会注意到以下积极方面：</w:t>
      </w:r>
    </w:p>
    <w:p w:rsidR="00E17494" w:rsidRDefault="00E17494">
      <w:pPr>
        <w:pStyle w:val="SingleTxtGC"/>
        <w:rPr>
          <w:rFonts w:hint="eastAsia"/>
          <w:snapToGrid/>
          <w:szCs w:val="16"/>
        </w:rPr>
      </w:pPr>
      <w:r>
        <w:rPr>
          <w:snapToGrid/>
        </w:rPr>
        <w:tab/>
      </w:r>
      <w:r>
        <w:rPr>
          <w:rFonts w:hint="eastAsia"/>
          <w:snapToGrid/>
        </w:rPr>
        <w:t>(</w:t>
      </w:r>
      <w:r>
        <w:rPr>
          <w:snapToGrid/>
        </w:rPr>
        <w:t>a</w:t>
      </w:r>
      <w:r>
        <w:rPr>
          <w:rFonts w:hint="eastAsia"/>
          <w:snapToGrid/>
        </w:rPr>
        <w:t>)</w:t>
      </w:r>
      <w:r>
        <w:rPr>
          <w:snapToGrid/>
        </w:rPr>
        <w:tab/>
      </w:r>
      <w:r>
        <w:rPr>
          <w:rFonts w:hint="eastAsia"/>
          <w:snapToGrid/>
        </w:rPr>
        <w:t>缔约国在批准《任择议定书》时宣布</w:t>
      </w:r>
      <w:r>
        <w:rPr>
          <w:rFonts w:hint="eastAsia"/>
          <w:snapToGrid/>
        </w:rPr>
        <w:t>18</w:t>
      </w:r>
      <w:r>
        <w:rPr>
          <w:rFonts w:hint="eastAsia"/>
          <w:snapToGrid/>
        </w:rPr>
        <w:t>岁为自愿应征加入武装部队的最低年龄；</w:t>
      </w:r>
    </w:p>
    <w:p w:rsidR="00E17494" w:rsidRDefault="00E17494">
      <w:pPr>
        <w:pStyle w:val="SingleTxtGC"/>
        <w:rPr>
          <w:rFonts w:hint="eastAsia"/>
          <w:snapToGrid/>
          <w:szCs w:val="16"/>
        </w:rPr>
      </w:pPr>
      <w:r>
        <w:rPr>
          <w:snapToGrid/>
        </w:rPr>
        <w:tab/>
      </w:r>
      <w:r>
        <w:rPr>
          <w:rFonts w:hint="eastAsia"/>
          <w:snapToGrid/>
        </w:rPr>
        <w:t>(</w:t>
      </w:r>
      <w:r>
        <w:rPr>
          <w:snapToGrid/>
        </w:rPr>
        <w:t>b</w:t>
      </w:r>
      <w:r>
        <w:rPr>
          <w:rFonts w:hint="eastAsia"/>
          <w:snapToGrid/>
        </w:rPr>
        <w:t>)</w:t>
      </w:r>
      <w:r>
        <w:rPr>
          <w:snapToGrid/>
        </w:rPr>
        <w:tab/>
      </w:r>
      <w:r>
        <w:rPr>
          <w:rFonts w:hint="eastAsia"/>
          <w:snapToGrid/>
        </w:rPr>
        <w:t>缔约国不实行征兵制，而最低自愿入伍年龄为</w:t>
      </w:r>
      <w:r>
        <w:rPr>
          <w:rFonts w:hint="eastAsia"/>
          <w:snapToGrid/>
        </w:rPr>
        <w:t>18</w:t>
      </w:r>
      <w:r>
        <w:rPr>
          <w:rFonts w:hint="eastAsia"/>
          <w:snapToGrid/>
        </w:rPr>
        <w:t>岁，绝无例外；</w:t>
      </w:r>
    </w:p>
    <w:p w:rsidR="00E17494" w:rsidRDefault="00E17494">
      <w:pPr>
        <w:pStyle w:val="SingleTxtGC"/>
        <w:rPr>
          <w:rFonts w:hint="eastAsia"/>
          <w:snapToGrid/>
          <w:szCs w:val="16"/>
        </w:rPr>
      </w:pPr>
      <w:r>
        <w:rPr>
          <w:snapToGrid/>
        </w:rPr>
        <w:tab/>
      </w:r>
      <w:r>
        <w:rPr>
          <w:rFonts w:hint="eastAsia"/>
          <w:snapToGrid/>
        </w:rPr>
        <w:t>(</w:t>
      </w:r>
      <w:r>
        <w:rPr>
          <w:snapToGrid/>
        </w:rPr>
        <w:t>c</w:t>
      </w:r>
      <w:r>
        <w:rPr>
          <w:rFonts w:hint="eastAsia"/>
          <w:snapToGrid/>
        </w:rPr>
        <w:t>)</w:t>
      </w:r>
      <w:r>
        <w:rPr>
          <w:snapToGrid/>
        </w:rPr>
        <w:tab/>
      </w:r>
      <w:r>
        <w:rPr>
          <w:rFonts w:hint="eastAsia"/>
          <w:snapToGrid/>
        </w:rPr>
        <w:t>为惩办使儿童从事武装冲突或者征募儿童用于武装冲突，修订了刑法</w:t>
      </w:r>
      <w:r>
        <w:rPr>
          <w:rFonts w:hint="eastAsia"/>
          <w:snapToGrid/>
        </w:rPr>
        <w:t>(2006</w:t>
      </w:r>
      <w:r>
        <w:rPr>
          <w:rFonts w:hint="eastAsia"/>
          <w:snapToGrid/>
        </w:rPr>
        <w:t>年</w:t>
      </w:r>
      <w:r>
        <w:rPr>
          <w:rFonts w:hint="eastAsia"/>
          <w:snapToGrid/>
        </w:rPr>
        <w:t>1</w:t>
      </w:r>
      <w:r>
        <w:rPr>
          <w:rFonts w:hint="eastAsia"/>
          <w:snapToGrid/>
        </w:rPr>
        <w:t>月</w:t>
      </w:r>
      <w:r>
        <w:rPr>
          <w:rFonts w:hint="eastAsia"/>
          <w:snapToGrid/>
        </w:rPr>
        <w:t>1</w:t>
      </w:r>
      <w:r>
        <w:rPr>
          <w:rFonts w:hint="eastAsia"/>
          <w:snapToGrid/>
        </w:rPr>
        <w:t>日第</w:t>
      </w:r>
      <w:r>
        <w:rPr>
          <w:rFonts w:hint="eastAsia"/>
          <w:snapToGrid/>
        </w:rPr>
        <w:t>16</w:t>
      </w:r>
      <w:r>
        <w:rPr>
          <w:rFonts w:hint="eastAsia"/>
          <w:snapToGrid/>
        </w:rPr>
        <w:t>号修正法</w:t>
      </w:r>
      <w:r>
        <w:rPr>
          <w:rFonts w:hint="eastAsia"/>
          <w:snapToGrid/>
        </w:rPr>
        <w:t>)</w:t>
      </w:r>
      <w:r>
        <w:rPr>
          <w:rFonts w:hint="eastAsia"/>
          <w:snapToGrid/>
        </w:rPr>
        <w:t>。</w:t>
      </w:r>
    </w:p>
    <w:p w:rsidR="00E17494" w:rsidRDefault="00E17494">
      <w:pPr>
        <w:pStyle w:val="SingleTxtGC"/>
        <w:rPr>
          <w:rFonts w:hint="eastAsia"/>
          <w:snapToGrid/>
          <w:szCs w:val="16"/>
        </w:rPr>
      </w:pPr>
      <w:r>
        <w:rPr>
          <w:rFonts w:hint="eastAsia"/>
          <w:snapToGrid/>
        </w:rPr>
        <w:t xml:space="preserve">5.  </w:t>
      </w:r>
      <w:r>
        <w:rPr>
          <w:rFonts w:hint="eastAsia"/>
          <w:snapToGrid/>
        </w:rPr>
        <w:t>委员会还欢迎于</w:t>
      </w:r>
      <w:r>
        <w:rPr>
          <w:rFonts w:hint="eastAsia"/>
          <w:snapToGrid/>
        </w:rPr>
        <w:t>2001</w:t>
      </w:r>
      <w:r>
        <w:rPr>
          <w:rFonts w:hint="eastAsia"/>
          <w:snapToGrid/>
        </w:rPr>
        <w:t>年</w:t>
      </w:r>
      <w:r>
        <w:rPr>
          <w:rFonts w:hint="eastAsia"/>
          <w:snapToGrid/>
        </w:rPr>
        <w:t>3</w:t>
      </w:r>
      <w:r>
        <w:rPr>
          <w:rFonts w:hint="eastAsia"/>
          <w:snapToGrid/>
        </w:rPr>
        <w:t>月</w:t>
      </w:r>
      <w:r>
        <w:rPr>
          <w:rFonts w:hint="eastAsia"/>
          <w:snapToGrid/>
        </w:rPr>
        <w:t>1</w:t>
      </w:r>
      <w:r>
        <w:rPr>
          <w:rFonts w:hint="eastAsia"/>
          <w:snapToGrid/>
        </w:rPr>
        <w:t>日批准了国际劳工组织《关于禁止和立即行动取消最有害的童工形式公约》</w:t>
      </w:r>
      <w:r>
        <w:rPr>
          <w:rFonts w:hint="eastAsia"/>
          <w:snapToGrid/>
        </w:rPr>
        <w:t>(1999</w:t>
      </w:r>
      <w:r>
        <w:rPr>
          <w:rFonts w:hint="eastAsia"/>
          <w:snapToGrid/>
        </w:rPr>
        <w:t>年</w:t>
      </w:r>
      <w:r>
        <w:rPr>
          <w:rFonts w:hint="eastAsia"/>
          <w:snapToGrid/>
        </w:rPr>
        <w:t>)</w:t>
      </w:r>
      <w:r>
        <w:rPr>
          <w:rFonts w:hint="eastAsia"/>
          <w:snapToGrid/>
        </w:rPr>
        <w:t>，</w:t>
      </w:r>
      <w:r>
        <w:rPr>
          <w:rFonts w:hint="eastAsia"/>
          <w:snapToGrid/>
        </w:rPr>
        <w:t>(</w:t>
      </w:r>
      <w:r>
        <w:rPr>
          <w:rFonts w:hint="eastAsia"/>
          <w:snapToGrid/>
        </w:rPr>
        <w:t>第</w:t>
      </w:r>
      <w:r>
        <w:rPr>
          <w:rFonts w:hint="eastAsia"/>
          <w:snapToGrid/>
        </w:rPr>
        <w:t>182</w:t>
      </w:r>
      <w:r>
        <w:rPr>
          <w:rFonts w:hint="eastAsia"/>
          <w:snapToGrid/>
        </w:rPr>
        <w:t>号公约</w:t>
      </w:r>
      <w:r>
        <w:rPr>
          <w:rFonts w:hint="eastAsia"/>
          <w:snapToGrid/>
        </w:rPr>
        <w:t>)</w:t>
      </w:r>
      <w:r>
        <w:rPr>
          <w:rFonts w:hint="eastAsia"/>
          <w:snapToGrid/>
        </w:rPr>
        <w:t>。</w:t>
      </w:r>
    </w:p>
    <w:p w:rsidR="00E17494" w:rsidRDefault="00E17494">
      <w:pPr>
        <w:pStyle w:val="HChGC"/>
        <w:rPr>
          <w:rFonts w:hint="eastAsia"/>
          <w:snapToGrid/>
          <w:szCs w:val="16"/>
        </w:rPr>
      </w:pPr>
      <w:r>
        <w:rPr>
          <w:rFonts w:hint="eastAsia"/>
          <w:snapToGrid/>
        </w:rPr>
        <w:tab/>
      </w:r>
      <w:r>
        <w:rPr>
          <w:rFonts w:hint="eastAsia"/>
          <w:snapToGrid/>
        </w:rPr>
        <w:t>二</w:t>
      </w:r>
      <w:r>
        <w:rPr>
          <w:rFonts w:hint="eastAsia"/>
          <w:snapToGrid/>
        </w:rPr>
        <w:t>.</w:t>
      </w:r>
      <w:r>
        <w:rPr>
          <w:rFonts w:hint="eastAsia"/>
          <w:snapToGrid/>
        </w:rPr>
        <w:tab/>
      </w:r>
      <w:r>
        <w:rPr>
          <w:rFonts w:hint="eastAsia"/>
          <w:snapToGrid/>
        </w:rPr>
        <w:t>一般执行措施</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独立监测</w:t>
      </w:r>
    </w:p>
    <w:p w:rsidR="00E17494" w:rsidRDefault="00E17494">
      <w:pPr>
        <w:pStyle w:val="SingleTxtGC"/>
        <w:rPr>
          <w:rFonts w:hint="eastAsia"/>
          <w:snapToGrid/>
          <w:szCs w:val="16"/>
        </w:rPr>
      </w:pPr>
      <w:r>
        <w:rPr>
          <w:rFonts w:hint="eastAsia"/>
          <w:snapToGrid/>
        </w:rPr>
        <w:t xml:space="preserve">6.  </w:t>
      </w:r>
      <w:r>
        <w:rPr>
          <w:rFonts w:hint="eastAsia"/>
          <w:snapToGrid/>
        </w:rPr>
        <w:t>委员会关切地注意到，全国人权委员会缺乏独立性，并且没有为有效地开展其职责获得必要的人力、财力和技术资源。委员会进一步感到遗憾的是，委员会建议缔约国为加强儿童便利考虑在全国人权委员会内设立一个儿童人权局，但是这项建议没有予以执行。</w:t>
      </w:r>
    </w:p>
    <w:p w:rsidR="00E17494" w:rsidRDefault="00E17494">
      <w:pPr>
        <w:pStyle w:val="SingleTxtGC"/>
        <w:rPr>
          <w:rFonts w:eastAsia="SimHei" w:hint="eastAsia"/>
          <w:snapToGrid/>
          <w:szCs w:val="16"/>
        </w:rPr>
      </w:pPr>
      <w:r>
        <w:rPr>
          <w:rFonts w:hint="eastAsia"/>
          <w:snapToGrid/>
        </w:rPr>
        <w:t xml:space="preserve">7.  </w:t>
      </w:r>
      <w:r>
        <w:rPr>
          <w:rFonts w:eastAsia="SimHei" w:hint="eastAsia"/>
          <w:snapToGrid/>
        </w:rPr>
        <w:t>委员会促请缔约国采取必要措施确保全国人权委员会的独立性以使其符合有关尊重和保护人权国家机构地位相关的各项原则</w:t>
      </w:r>
      <w:r>
        <w:rPr>
          <w:rFonts w:eastAsia="SimHei" w:hint="eastAsia"/>
          <w:snapToGrid/>
        </w:rPr>
        <w:t>(</w:t>
      </w:r>
      <w:r>
        <w:rPr>
          <w:rFonts w:eastAsia="SimHei" w:hint="eastAsia"/>
          <w:snapToGrid/>
        </w:rPr>
        <w:t>《巴黎原则》</w:t>
      </w:r>
      <w:r>
        <w:rPr>
          <w:rFonts w:eastAsia="SimHei" w:hint="eastAsia"/>
          <w:snapToGrid/>
        </w:rPr>
        <w:t>)</w:t>
      </w:r>
      <w:r>
        <w:rPr>
          <w:rFonts w:eastAsia="SimHei" w:hint="eastAsia"/>
          <w:snapToGrid/>
        </w:rPr>
        <w:t>。委员会提请注意其关于独立的国家人权机构在增进和保护儿童权利方面的作用的第</w:t>
      </w:r>
      <w:r>
        <w:rPr>
          <w:rFonts w:eastAsia="SimHei" w:hint="eastAsia"/>
          <w:snapToGrid/>
        </w:rPr>
        <w:t>2</w:t>
      </w:r>
      <w:r>
        <w:rPr>
          <w:rFonts w:eastAsia="SimHei" w:hint="eastAsia"/>
          <w:snapToGrid/>
        </w:rPr>
        <w:t>号一般性评论</w:t>
      </w:r>
      <w:r>
        <w:rPr>
          <w:rFonts w:eastAsia="SimHei" w:hint="eastAsia"/>
          <w:snapToGrid/>
        </w:rPr>
        <w:t>(2002</w:t>
      </w:r>
      <w:r>
        <w:rPr>
          <w:rFonts w:eastAsia="SimHei" w:hint="eastAsia"/>
          <w:snapToGrid/>
        </w:rPr>
        <w:t>年</w:t>
      </w:r>
      <w:r>
        <w:rPr>
          <w:rFonts w:eastAsia="SimHei" w:hint="eastAsia"/>
          <w:snapToGrid/>
        </w:rPr>
        <w:t>)</w:t>
      </w:r>
      <w:r>
        <w:rPr>
          <w:rFonts w:eastAsia="SimHei" w:hint="eastAsia"/>
          <w:snapToGrid/>
        </w:rPr>
        <w:t>，并且呼吁缔约国确保向全国人权委员会提供必要的人力、财力和技术资源，以使其有效地履行其职责。委员会进一步促请缔约国考虑在全国人权委员会内设立一个儿童权利局或者一个儿童权利调查官。缔约国应确保儿童权利局或者儿童权利调查官具有充分的人力、技术和财力资源，并便于所有儿童得到其援助，具有权力接受、调查和解决由儿童提交的申诉，特别是由受冲突影响的儿童提交的申诉。</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传播与认识</w:t>
      </w:r>
    </w:p>
    <w:p w:rsidR="00E17494" w:rsidRDefault="00E17494">
      <w:pPr>
        <w:pStyle w:val="SingleTxtGC"/>
        <w:rPr>
          <w:rFonts w:hint="eastAsia"/>
          <w:snapToGrid/>
          <w:szCs w:val="16"/>
        </w:rPr>
      </w:pPr>
      <w:r>
        <w:rPr>
          <w:rFonts w:hint="eastAsia"/>
          <w:snapToGrid/>
        </w:rPr>
        <w:t xml:space="preserve">8.  </w:t>
      </w:r>
      <w:r>
        <w:rPr>
          <w:rFonts w:hint="eastAsia"/>
          <w:snapToGrid/>
        </w:rPr>
        <w:t>委员会关注的是缔约国在向广大公众，特别在向儿童宣传《任择议定书》方面所采取的措施极其有限。</w:t>
      </w:r>
    </w:p>
    <w:p w:rsidR="00E17494" w:rsidRDefault="00E17494">
      <w:pPr>
        <w:pStyle w:val="SingleTxtGC"/>
        <w:rPr>
          <w:rFonts w:eastAsia="SimHei" w:hint="eastAsia"/>
          <w:snapToGrid/>
          <w:szCs w:val="16"/>
        </w:rPr>
      </w:pPr>
      <w:r>
        <w:rPr>
          <w:rFonts w:hint="eastAsia"/>
          <w:snapToGrid/>
        </w:rPr>
        <w:t xml:space="preserve">9.  </w:t>
      </w:r>
      <w:r>
        <w:rPr>
          <w:rFonts w:eastAsia="SimHei" w:hint="eastAsia"/>
          <w:snapToGrid/>
        </w:rPr>
        <w:t>根据《任择议定书》第</w:t>
      </w:r>
      <w:r>
        <w:rPr>
          <w:rFonts w:eastAsia="SimHei" w:hint="eastAsia"/>
          <w:snapToGrid/>
        </w:rPr>
        <w:t>6</w:t>
      </w:r>
      <w:r>
        <w:rPr>
          <w:rFonts w:eastAsia="SimHei" w:hint="eastAsia"/>
          <w:snapToGrid/>
        </w:rPr>
        <w:t>条第</w:t>
      </w:r>
      <w:r>
        <w:rPr>
          <w:rFonts w:eastAsia="SimHei" w:hint="eastAsia"/>
          <w:snapToGrid/>
        </w:rPr>
        <w:t>2</w:t>
      </w:r>
      <w:r>
        <w:rPr>
          <w:rFonts w:eastAsia="SimHei" w:hint="eastAsia"/>
          <w:snapToGrid/>
        </w:rPr>
        <w:t>款，委员会建议缔约国确保《任择议定书》的各项原则和条款在广大公众与在儿童中间得到广泛传播。</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培训</w:t>
      </w:r>
    </w:p>
    <w:p w:rsidR="00E17494" w:rsidRDefault="00E17494">
      <w:pPr>
        <w:pStyle w:val="SingleTxtGC"/>
        <w:rPr>
          <w:rFonts w:hint="eastAsia"/>
          <w:snapToGrid/>
          <w:szCs w:val="16"/>
        </w:rPr>
      </w:pPr>
      <w:r>
        <w:rPr>
          <w:rFonts w:hint="eastAsia"/>
          <w:snapToGrid/>
        </w:rPr>
        <w:t xml:space="preserve">10.  </w:t>
      </w:r>
      <w:r>
        <w:rPr>
          <w:rFonts w:hint="eastAsia"/>
          <w:snapToGrid/>
        </w:rPr>
        <w:t>委员会关注的是有关专业类别，特别是军事、警察、其他治安人员及司法工人员没有适当地得到有关《任择议定书》各项条款的培训，缔约国没有提供此方面的资料也反映了这点。</w:t>
      </w:r>
    </w:p>
    <w:p w:rsidR="00E17494" w:rsidRDefault="00E17494">
      <w:pPr>
        <w:pStyle w:val="SingleTxtGC"/>
        <w:rPr>
          <w:rFonts w:eastAsia="SimHei" w:hint="eastAsia"/>
          <w:snapToGrid/>
          <w:szCs w:val="16"/>
        </w:rPr>
      </w:pPr>
      <w:r>
        <w:rPr>
          <w:rFonts w:hint="eastAsia"/>
          <w:snapToGrid/>
        </w:rPr>
        <w:t xml:space="preserve">11.  </w:t>
      </w:r>
      <w:r>
        <w:rPr>
          <w:rFonts w:eastAsia="SimHei" w:hint="eastAsia"/>
          <w:snapToGrid/>
        </w:rPr>
        <w:t>委员会建议该缔约国加强对武装部队、警察、其他治安人员及司法工作人员的人权培训，确保他们获得有关《任择议定书》具体培训。此外，委员会建议缔约国特别为执法官员、社会工作者、医务专业人员、教师、媒体专业人员和地方和区域官员等为儿童工作的相关专业群组制定有关《任择议定书》各项条款的提高认识、教育和培训方案。还邀请缔约国在其下次报告中提供有关这方面的资料。</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杀害儿童现象</w:t>
      </w:r>
    </w:p>
    <w:p w:rsidR="00E17494" w:rsidRDefault="00E17494">
      <w:pPr>
        <w:pStyle w:val="SingleTxtGC"/>
        <w:rPr>
          <w:rFonts w:hint="eastAsia"/>
          <w:snapToGrid/>
          <w:szCs w:val="16"/>
        </w:rPr>
      </w:pPr>
      <w:r>
        <w:rPr>
          <w:rFonts w:hint="eastAsia"/>
          <w:snapToGrid/>
        </w:rPr>
        <w:t xml:space="preserve">12.  </w:t>
      </w:r>
      <w:r>
        <w:rPr>
          <w:rFonts w:hint="eastAsia"/>
          <w:snapToGrid/>
        </w:rPr>
        <w:t>委员会严肃关注缔约国没有努力调查特别由于所控对平民百姓、医院、学校和人道主义运作进行炮轰和空炸，以及故意剥夺食品、医疗照料和人道行动，致使在</w:t>
      </w:r>
      <w:r>
        <w:rPr>
          <w:rFonts w:hint="eastAsia"/>
          <w:snapToGrid/>
        </w:rPr>
        <w:t>2009</w:t>
      </w:r>
      <w:r>
        <w:rPr>
          <w:rFonts w:hint="eastAsia"/>
          <w:snapToGrid/>
        </w:rPr>
        <w:t>年冲突的最后</w:t>
      </w:r>
      <w:r>
        <w:rPr>
          <w:rFonts w:hint="eastAsia"/>
          <w:snapToGrid/>
        </w:rPr>
        <w:t>5</w:t>
      </w:r>
      <w:r>
        <w:rPr>
          <w:rFonts w:hint="eastAsia"/>
          <w:snapToGrid/>
        </w:rPr>
        <w:t>个月内成百名儿童死亡的事件。</w:t>
      </w:r>
    </w:p>
    <w:p w:rsidR="00E17494" w:rsidRDefault="00E17494">
      <w:pPr>
        <w:pStyle w:val="SingleTxtGC"/>
        <w:rPr>
          <w:rFonts w:eastAsia="SimHei" w:hint="eastAsia"/>
          <w:snapToGrid/>
          <w:szCs w:val="16"/>
        </w:rPr>
      </w:pPr>
      <w:r>
        <w:rPr>
          <w:rFonts w:hint="eastAsia"/>
          <w:snapToGrid/>
        </w:rPr>
        <w:t xml:space="preserve">13.  </w:t>
      </w:r>
      <w:r>
        <w:rPr>
          <w:rFonts w:eastAsia="SimHei" w:hint="eastAsia"/>
          <w:snapToGrid/>
        </w:rPr>
        <w:t>委员会强烈促请缔约国确保立即进行独立和公正的调查，对杀害儿童的肇事者予以严肃指控量刑制裁，并确保不再发生杀害儿童的事件。为此目的，委员会促请缔约国与在斯里兰卡的秘书长问责制问题专家咨询小组充分合作。该咨询小组将援助缔约国的教训与调解委员会建立一个可靠有效的问责制机制，并帮助其在这方面实施国际最佳做法。</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失踪儿童和数据收集</w:t>
      </w:r>
    </w:p>
    <w:p w:rsidR="00E17494" w:rsidRDefault="00E17494">
      <w:pPr>
        <w:pStyle w:val="SingleTxtGC"/>
        <w:rPr>
          <w:rFonts w:hint="eastAsia"/>
          <w:snapToGrid/>
          <w:szCs w:val="16"/>
        </w:rPr>
      </w:pPr>
      <w:r>
        <w:rPr>
          <w:rFonts w:hint="eastAsia"/>
          <w:snapToGrid/>
        </w:rPr>
        <w:t xml:space="preserve">14.  </w:t>
      </w:r>
      <w:r>
        <w:rPr>
          <w:rFonts w:hint="eastAsia"/>
          <w:snapToGrid/>
        </w:rPr>
        <w:t>委员会关切地注意到有关武装冲突儿童的数据几乎完全是通过联合国儿童基金</w:t>
      </w:r>
      <w:r>
        <w:rPr>
          <w:rFonts w:hint="eastAsia"/>
          <w:snapToGrid/>
        </w:rPr>
        <w:t>(</w:t>
      </w:r>
      <w:r>
        <w:rPr>
          <w:rFonts w:hint="eastAsia"/>
          <w:snapToGrid/>
        </w:rPr>
        <w:t>儿童基金</w:t>
      </w:r>
      <w:r>
        <w:rPr>
          <w:rFonts w:hint="eastAsia"/>
          <w:snapToGrid/>
        </w:rPr>
        <w:t>)2003</w:t>
      </w:r>
      <w:r>
        <w:rPr>
          <w:rFonts w:hint="eastAsia"/>
          <w:snapToGrid/>
        </w:rPr>
        <w:t>年设立的数据库收集的。委员会严肃关注尽管在家庭追踪方面取得了一些进展，但是主要由于没有一个协调的追踪结构，以及人道主义机构，包括那些具有家庭追踪和家庭团聚具体专长知识的人道主义机构在进入营地、过渡、遣返和再定居领域所遇到的种种障碍以至于上百名失踪儿童的下落没有得到澄清，许多儿童没有得到确认。委员会进一步关注的是没有准确的关于死于冲突的儿童的数据，并关注这些家庭难以获得死亡证书。</w:t>
      </w:r>
    </w:p>
    <w:p w:rsidR="00E17494" w:rsidRDefault="00E17494">
      <w:pPr>
        <w:pStyle w:val="SingleTxtGC"/>
        <w:rPr>
          <w:rFonts w:eastAsia="SimHei" w:hint="eastAsia"/>
          <w:snapToGrid/>
          <w:szCs w:val="16"/>
        </w:rPr>
      </w:pPr>
      <w:r>
        <w:rPr>
          <w:rFonts w:hint="eastAsia"/>
          <w:snapToGrid/>
        </w:rPr>
        <w:t xml:space="preserve">15.  </w:t>
      </w:r>
      <w:r>
        <w:rPr>
          <w:rFonts w:eastAsia="SimHei" w:hint="eastAsia"/>
          <w:snapToGrid/>
        </w:rPr>
        <w:t>委员会促请缔约国查明所有命运未卜的儿童的下落，并促请缔约国为此目的收集所有《任择议定书》所涵盖领域的准确数据，包括在武装冲突中被征募和使用的儿童、失踪儿童、未陪伴和与家庭分散儿童以及与家庭团聚的儿童的准确数据。委员会还促请缔约国保障国际与地方人道主义机构以及具有家庭追踪和家庭团聚方案方面具体专长知识的伙伴能够完全进入该国的北部和西部。委员会还促请缔约国在收集数据的基础之上采取所有必要措施加速发布死亡证书的进程并且酌情进行</w:t>
      </w:r>
      <w:r>
        <w:rPr>
          <w:rFonts w:eastAsia="SimHei" w:hint="eastAsia"/>
          <w:snapToGrid/>
        </w:rPr>
        <w:t>DNA</w:t>
      </w:r>
      <w:r>
        <w:rPr>
          <w:rFonts w:eastAsia="SimHei" w:hint="eastAsia"/>
          <w:snapToGrid/>
        </w:rPr>
        <w:t>测试。</w:t>
      </w:r>
    </w:p>
    <w:p w:rsidR="00E17494" w:rsidRDefault="00E17494">
      <w:pPr>
        <w:pStyle w:val="HChGC"/>
        <w:rPr>
          <w:rFonts w:hint="eastAsia"/>
          <w:snapToGrid/>
          <w:szCs w:val="16"/>
        </w:rPr>
      </w:pPr>
      <w:r>
        <w:rPr>
          <w:rFonts w:hint="eastAsia"/>
          <w:snapToGrid/>
        </w:rPr>
        <w:tab/>
      </w:r>
      <w:r>
        <w:rPr>
          <w:rFonts w:hint="eastAsia"/>
          <w:snapToGrid/>
        </w:rPr>
        <w:t>三</w:t>
      </w:r>
      <w:r>
        <w:rPr>
          <w:rFonts w:hint="eastAsia"/>
          <w:snapToGrid/>
        </w:rPr>
        <w:t>.</w:t>
      </w:r>
      <w:r>
        <w:rPr>
          <w:rFonts w:hint="eastAsia"/>
          <w:snapToGrid/>
        </w:rPr>
        <w:tab/>
      </w:r>
      <w:r>
        <w:rPr>
          <w:rFonts w:hint="eastAsia"/>
          <w:snapToGrid/>
        </w:rPr>
        <w:t>预防</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预防非政府部队的征募</w:t>
      </w:r>
    </w:p>
    <w:p w:rsidR="00E17494" w:rsidRDefault="00E17494">
      <w:pPr>
        <w:pStyle w:val="SingleTxtGC"/>
        <w:rPr>
          <w:rFonts w:hint="eastAsia"/>
          <w:snapToGrid/>
          <w:szCs w:val="16"/>
        </w:rPr>
      </w:pPr>
      <w:r>
        <w:rPr>
          <w:rFonts w:hint="eastAsia"/>
          <w:snapToGrid/>
        </w:rPr>
        <w:t xml:space="preserve">16.  </w:t>
      </w:r>
      <w:r>
        <w:rPr>
          <w:rFonts w:hint="eastAsia"/>
          <w:snapToGrid/>
        </w:rPr>
        <w:t>委员会关注的是缔约国没有提供任何有关防止在武装冲突中征募和利用儿童所采取的措施的资料。委员会还关注的是负责儿童与武装冲突问题的秘书长特别代表的特使关于前泰米尔猛虎人民解放组织司令在</w:t>
      </w:r>
      <w:r>
        <w:t>Ampara</w:t>
      </w:r>
      <w:r>
        <w:rPr>
          <w:rFonts w:hint="eastAsia"/>
        </w:rPr>
        <w:t>地区征募儿童的最近一次报告中所载的资料未能够予以核实，并担忧缔约国所持的关于此类征募需求不再存在的立场可能阻止通过防止和调查可能发生再征募的具体措施。委员会还注意到由于在受战争影响的区域缺少儿童保护和儿童福利服务，在那些区域只有有限的合格的官员被安置、装备和提供资金来解决成千上万名极其</w:t>
      </w:r>
      <w:r>
        <w:rPr>
          <w:rFonts w:hint="eastAsia"/>
          <w:snapToGrid/>
        </w:rPr>
        <w:t>脆弱的儿童，因而预防工作受到阻扰。</w:t>
      </w:r>
    </w:p>
    <w:p w:rsidR="00E17494" w:rsidRDefault="00E17494">
      <w:pPr>
        <w:pStyle w:val="SingleTxtGC"/>
        <w:rPr>
          <w:rFonts w:eastAsia="SimHei" w:hint="eastAsia"/>
          <w:snapToGrid/>
          <w:szCs w:val="16"/>
        </w:rPr>
      </w:pPr>
      <w:r>
        <w:rPr>
          <w:rFonts w:hint="eastAsia"/>
          <w:snapToGrid/>
        </w:rPr>
        <w:t xml:space="preserve">17.  </w:t>
      </w:r>
      <w:r>
        <w:rPr>
          <w:rFonts w:eastAsia="SimHei" w:hint="eastAsia"/>
          <w:snapToGrid/>
        </w:rPr>
        <w:t>根据《议定书》第</w:t>
      </w:r>
      <w:r>
        <w:rPr>
          <w:rFonts w:eastAsia="SimHei" w:hint="eastAsia"/>
          <w:snapToGrid/>
        </w:rPr>
        <w:t>4</w:t>
      </w:r>
      <w:r>
        <w:rPr>
          <w:rFonts w:eastAsia="SimHei" w:hint="eastAsia"/>
          <w:snapToGrid/>
        </w:rPr>
        <w:t>条，委员会促请缔约国采取所有切实可行的措施，消除非国家武装集团征募和利用</w:t>
      </w:r>
      <w:r>
        <w:rPr>
          <w:rFonts w:eastAsia="SimHei" w:hint="eastAsia"/>
          <w:snapToGrid/>
        </w:rPr>
        <w:t>18</w:t>
      </w:r>
      <w:r>
        <w:rPr>
          <w:rFonts w:eastAsia="SimHei" w:hint="eastAsia"/>
          <w:snapToGrid/>
        </w:rPr>
        <w:t>岁以下人员的根源，并且防止其征募和利用。委员会鼓励缔约国如其报告</w:t>
      </w:r>
      <w:r>
        <w:rPr>
          <w:rFonts w:eastAsia="SimHei" w:hint="eastAsia"/>
          <w:snapToGrid/>
        </w:rPr>
        <w:t>(</w:t>
      </w:r>
      <w:proofErr w:type="spellStart"/>
      <w:r>
        <w:rPr>
          <w:rFonts w:eastAsia="SimHei" w:hint="eastAsia"/>
          <w:snapToGrid/>
        </w:rPr>
        <w:t>CRC/C/OPAC/LKA/1</w:t>
      </w:r>
      <w:proofErr w:type="spellEnd"/>
      <w:r>
        <w:rPr>
          <w:rFonts w:eastAsia="SimHei" w:hint="eastAsia"/>
          <w:snapToGrid/>
        </w:rPr>
        <w:t>,</w:t>
      </w:r>
      <w:r>
        <w:rPr>
          <w:rFonts w:eastAsia="SimHei" w:hint="eastAsia"/>
          <w:snapToGrid/>
        </w:rPr>
        <w:t>第</w:t>
      </w:r>
      <w:r>
        <w:rPr>
          <w:rFonts w:eastAsia="SimHei" w:hint="eastAsia"/>
          <w:snapToGrid/>
        </w:rPr>
        <w:t>95</w:t>
      </w:r>
      <w:r>
        <w:rPr>
          <w:rFonts w:eastAsia="SimHei" w:hint="eastAsia"/>
          <w:snapToGrid/>
        </w:rPr>
        <w:t>段</w:t>
      </w:r>
      <w:r>
        <w:rPr>
          <w:rFonts w:eastAsia="SimHei" w:hint="eastAsia"/>
          <w:snapToGrid/>
        </w:rPr>
        <w:t>)</w:t>
      </w:r>
      <w:r>
        <w:rPr>
          <w:rFonts w:eastAsia="SimHei" w:hint="eastAsia"/>
          <w:snapToGrid/>
        </w:rPr>
        <w:t>内所表明的那样，为监视与防止为武装冲突征募儿童之目的立即在村庄一级设立委员会。委员会建议促请缔约国作为优先事项将儿童的福利和保护纳入其北部与东部的重建计划之内，并作为紧急事项在受战争影响的区域重建儿童保护和儿童福利服务。</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人权与和平教育</w:t>
      </w:r>
    </w:p>
    <w:p w:rsidR="00E17494" w:rsidRDefault="00E17494">
      <w:pPr>
        <w:pStyle w:val="SingleTxtGC"/>
        <w:rPr>
          <w:rFonts w:hint="eastAsia"/>
          <w:snapToGrid/>
          <w:szCs w:val="16"/>
        </w:rPr>
      </w:pPr>
      <w:r>
        <w:rPr>
          <w:rFonts w:hint="eastAsia"/>
          <w:snapToGrid/>
        </w:rPr>
        <w:t xml:space="preserve">18.  </w:t>
      </w:r>
      <w:r>
        <w:rPr>
          <w:rFonts w:hint="eastAsia"/>
          <w:snapToGrid/>
        </w:rPr>
        <w:t>委员会注意到</w:t>
      </w:r>
      <w:r>
        <w:rPr>
          <w:rFonts w:hint="eastAsia"/>
          <w:snapToGrid/>
        </w:rPr>
        <w:t>2003</w:t>
      </w:r>
      <w:r>
        <w:rPr>
          <w:rFonts w:hint="eastAsia"/>
          <w:snapToGrid/>
        </w:rPr>
        <w:t>年对受冲突影响地区的教育部门需求进行了评估，其中还包括和平教育评估，但委员会表示关注的是缔约国没有提供所有层次所有学校教程内关于具体人权教育的资料，也没有有关和平教育的资料。</w:t>
      </w:r>
    </w:p>
    <w:p w:rsidR="00E17494" w:rsidRDefault="00E17494">
      <w:pPr>
        <w:pStyle w:val="SingleTxtGC"/>
        <w:rPr>
          <w:rFonts w:hint="eastAsia"/>
          <w:snapToGrid/>
          <w:szCs w:val="16"/>
        </w:rPr>
      </w:pPr>
      <w:r>
        <w:rPr>
          <w:rFonts w:hint="eastAsia"/>
          <w:snapToGrid/>
        </w:rPr>
        <w:t xml:space="preserve">19.  </w:t>
      </w:r>
      <w:r>
        <w:rPr>
          <w:rFonts w:eastAsia="SimHei" w:hint="eastAsia"/>
          <w:snapToGrid/>
        </w:rPr>
        <w:t>考虑到加强和平文化与促进和谐关系将保证儿童之间及广大社会的非暴力文化，而人权与和平的教育对加强和平文化与促进和谐关系至为重要，委员会建议缔约国立即采取具体措施确保向学校内的所有儿童提供人权教育，特别是和平教育，并且培训教师和其他专业人员通过解决冲突和同龄人调解培训帮助学生解决冲突问题。</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地雷</w:t>
      </w:r>
    </w:p>
    <w:p w:rsidR="00E17494" w:rsidRDefault="00E17494">
      <w:pPr>
        <w:pStyle w:val="SingleTxtGC"/>
        <w:rPr>
          <w:rFonts w:hint="eastAsia"/>
          <w:snapToGrid/>
          <w:szCs w:val="16"/>
        </w:rPr>
      </w:pPr>
      <w:r>
        <w:rPr>
          <w:rFonts w:hint="eastAsia"/>
          <w:snapToGrid/>
        </w:rPr>
        <w:t xml:space="preserve">20.  </w:t>
      </w:r>
      <w:r>
        <w:rPr>
          <w:rFonts w:hint="eastAsia"/>
          <w:snapToGrid/>
        </w:rPr>
        <w:t>委员会注意到尽管缔约国在除雷和地雷风险教育方面作了种种努力，但是儿童仍然处于被杀伤人员地雷与未爆炸弹药杀害与致残的高度风险之中。委员会还表示关注的是，并非所有境内流离失所家庭在返回其原籍地区之前接受了有关地雷风险的教育并且没有向地雷受害者提供充分的援助。</w:t>
      </w:r>
    </w:p>
    <w:p w:rsidR="00E17494" w:rsidRDefault="00E17494">
      <w:pPr>
        <w:pStyle w:val="SingleTxtGC"/>
        <w:rPr>
          <w:rFonts w:eastAsia="SimHei" w:hint="eastAsia"/>
          <w:snapToGrid/>
          <w:szCs w:val="16"/>
        </w:rPr>
      </w:pPr>
      <w:r>
        <w:rPr>
          <w:rFonts w:hint="eastAsia"/>
          <w:snapToGrid/>
        </w:rPr>
        <w:t xml:space="preserve">21.  </w:t>
      </w:r>
      <w:r>
        <w:rPr>
          <w:rFonts w:eastAsia="SimHei" w:hint="eastAsia"/>
          <w:snapToGrid/>
        </w:rPr>
        <w:t>委员会建议缔约国：</w:t>
      </w:r>
    </w:p>
    <w:p w:rsidR="00E17494" w:rsidRDefault="00E17494">
      <w:pPr>
        <w:pStyle w:val="SingleTxtGC"/>
        <w:rPr>
          <w:rFonts w:eastAsia="SimHei" w:hint="eastAsia"/>
          <w:snapToGrid/>
          <w:szCs w:val="16"/>
        </w:rPr>
      </w:pPr>
      <w:r>
        <w:rPr>
          <w:rFonts w:eastAsia="SimHei"/>
          <w:snapToGrid/>
        </w:rPr>
        <w:tab/>
      </w:r>
      <w:r>
        <w:rPr>
          <w:rFonts w:eastAsia="SimHei" w:hint="eastAsia"/>
          <w:snapToGrid/>
        </w:rPr>
        <w:t>(</w:t>
      </w:r>
      <w:r>
        <w:rPr>
          <w:rFonts w:eastAsia="SimHei"/>
          <w:snapToGrid/>
        </w:rPr>
        <w:t>a</w:t>
      </w:r>
      <w:r>
        <w:rPr>
          <w:rFonts w:eastAsia="SimHei" w:hint="eastAsia"/>
          <w:snapToGrid/>
        </w:rPr>
        <w:t>)</w:t>
      </w:r>
      <w:r>
        <w:rPr>
          <w:rFonts w:eastAsia="SimHei"/>
          <w:snapToGrid/>
        </w:rPr>
        <w:tab/>
      </w:r>
      <w:r>
        <w:rPr>
          <w:rFonts w:eastAsia="SimHei" w:hint="eastAsia"/>
          <w:snapToGrid/>
        </w:rPr>
        <w:t>与人道主义除雷股以及来自国际和非政府组织的除雷操作员进行合作，特别是通过加强为除雷活动提供资金，继续加强对地雷认识的运动以及除雷活动；</w:t>
      </w:r>
    </w:p>
    <w:p w:rsidR="00E17494" w:rsidRDefault="00E17494">
      <w:pPr>
        <w:pStyle w:val="SingleTxtGC"/>
        <w:rPr>
          <w:rFonts w:eastAsia="SimHei" w:hint="eastAsia"/>
          <w:snapToGrid/>
          <w:szCs w:val="16"/>
        </w:rPr>
      </w:pPr>
      <w:r>
        <w:rPr>
          <w:rFonts w:eastAsia="SimHei"/>
          <w:snapToGrid/>
        </w:rPr>
        <w:tab/>
      </w:r>
      <w:r>
        <w:rPr>
          <w:rFonts w:eastAsia="SimHei" w:hint="eastAsia"/>
          <w:snapToGrid/>
        </w:rPr>
        <w:t>(b)</w:t>
      </w:r>
      <w:r>
        <w:rPr>
          <w:rFonts w:eastAsia="SimHei"/>
          <w:snapToGrid/>
        </w:rPr>
        <w:tab/>
      </w:r>
      <w:r>
        <w:rPr>
          <w:rFonts w:eastAsia="SimHei" w:hint="eastAsia"/>
          <w:snapToGrid/>
        </w:rPr>
        <w:t>考虑为受地雷爆炸及其他武装冲突后果影响的儿童设立一个特殊的康复方案，并且特别通过提高向社会工作中心的资源调拨以及提高残疾人福利制度的覆盖面，确保所有受影响儿童能够获得此类方案的援助；</w:t>
      </w:r>
    </w:p>
    <w:p w:rsidR="00E17494" w:rsidRDefault="00E17494">
      <w:pPr>
        <w:pStyle w:val="SingleTxtGC"/>
        <w:rPr>
          <w:rFonts w:eastAsia="SimHei" w:hint="eastAsia"/>
          <w:snapToGrid/>
          <w:szCs w:val="16"/>
        </w:rPr>
      </w:pPr>
      <w:r>
        <w:rPr>
          <w:rFonts w:eastAsia="SimHei"/>
          <w:snapToGrid/>
        </w:rPr>
        <w:tab/>
      </w:r>
      <w:r>
        <w:rPr>
          <w:rFonts w:eastAsia="SimHei" w:hint="eastAsia"/>
          <w:snapToGrid/>
        </w:rPr>
        <w:t>(</w:t>
      </w:r>
      <w:r>
        <w:rPr>
          <w:rFonts w:eastAsia="SimHei"/>
          <w:snapToGrid/>
        </w:rPr>
        <w:t>c</w:t>
      </w:r>
      <w:r>
        <w:rPr>
          <w:rFonts w:eastAsia="SimHei" w:hint="eastAsia"/>
          <w:snapToGrid/>
        </w:rPr>
        <w:t>)</w:t>
      </w:r>
      <w:r>
        <w:rPr>
          <w:rFonts w:eastAsia="SimHei"/>
          <w:snapToGrid/>
        </w:rPr>
        <w:tab/>
      </w:r>
      <w:r>
        <w:rPr>
          <w:rFonts w:eastAsia="SimHei" w:hint="eastAsia"/>
          <w:snapToGrid/>
        </w:rPr>
        <w:t>在已确定或者已怀疑具有地雷风险的农村地区，与民众社会协调，特别在市镇一级与民众社会进行协调，确保境内流离失所家庭在其返回之前、</w:t>
      </w:r>
      <w:r>
        <w:rPr>
          <w:rFonts w:eastAsia="SimHei" w:hint="eastAsia"/>
          <w:snapToGrid/>
        </w:rPr>
        <w:t xml:space="preserve"> </w:t>
      </w:r>
      <w:r>
        <w:rPr>
          <w:rFonts w:eastAsia="SimHei" w:hint="eastAsia"/>
          <w:snapToGrid/>
        </w:rPr>
        <w:t>返回期间及之后向其提供有关地雷风险的教育，并实施儿童友好的教育措施；</w:t>
      </w:r>
    </w:p>
    <w:p w:rsidR="00E17494" w:rsidRDefault="00E17494">
      <w:pPr>
        <w:pStyle w:val="SingleTxtGC"/>
        <w:rPr>
          <w:rFonts w:eastAsia="SimHei" w:hint="eastAsia"/>
          <w:snapToGrid/>
          <w:szCs w:val="16"/>
        </w:rPr>
      </w:pPr>
      <w:r>
        <w:rPr>
          <w:rFonts w:eastAsia="SimHei" w:hint="eastAsia"/>
          <w:snapToGrid/>
        </w:rPr>
        <w:tab/>
        <w:t>(d)</w:t>
      </w:r>
      <w:r>
        <w:rPr>
          <w:rFonts w:eastAsia="SimHei" w:hint="eastAsia"/>
          <w:snapToGrid/>
        </w:rPr>
        <w:tab/>
      </w:r>
      <w:r>
        <w:rPr>
          <w:rFonts w:eastAsia="SimHei" w:hint="eastAsia"/>
          <w:snapToGrid/>
        </w:rPr>
        <w:t>考虑加入《关于禁止使用、储存、生产和转让杀伤人员地雷及销毁此种地雷公约》。</w:t>
      </w:r>
    </w:p>
    <w:p w:rsidR="00E17494" w:rsidRDefault="00E17494">
      <w:pPr>
        <w:pStyle w:val="HChGC"/>
        <w:rPr>
          <w:rFonts w:hint="eastAsia"/>
          <w:snapToGrid/>
          <w:szCs w:val="16"/>
        </w:rPr>
      </w:pPr>
      <w:r>
        <w:rPr>
          <w:rFonts w:hint="eastAsia"/>
          <w:snapToGrid/>
        </w:rPr>
        <w:tab/>
      </w:r>
      <w:r>
        <w:rPr>
          <w:rFonts w:hint="eastAsia"/>
          <w:snapToGrid/>
        </w:rPr>
        <w:t>四</w:t>
      </w:r>
      <w:r>
        <w:rPr>
          <w:rFonts w:hint="eastAsia"/>
          <w:snapToGrid/>
        </w:rPr>
        <w:t>.</w:t>
      </w:r>
      <w:r>
        <w:rPr>
          <w:rFonts w:hint="eastAsia"/>
          <w:snapToGrid/>
        </w:rPr>
        <w:tab/>
      </w:r>
      <w:r>
        <w:rPr>
          <w:rFonts w:hint="eastAsia"/>
          <w:snapToGrid/>
        </w:rPr>
        <w:t>禁止及相关事项</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立法</w:t>
      </w:r>
    </w:p>
    <w:p w:rsidR="00E17494" w:rsidRDefault="00E17494">
      <w:pPr>
        <w:pStyle w:val="SingleTxtGC"/>
        <w:rPr>
          <w:rFonts w:hint="eastAsia"/>
          <w:snapToGrid/>
          <w:szCs w:val="16"/>
        </w:rPr>
      </w:pPr>
      <w:r>
        <w:rPr>
          <w:rFonts w:hint="eastAsia"/>
          <w:snapToGrid/>
        </w:rPr>
        <w:t xml:space="preserve">22.  </w:t>
      </w:r>
      <w:r>
        <w:rPr>
          <w:rFonts w:hint="eastAsia"/>
          <w:snapToGrid/>
        </w:rPr>
        <w:t>委员会欢迎</w:t>
      </w:r>
      <w:r>
        <w:rPr>
          <w:rFonts w:hint="eastAsia"/>
          <w:snapToGrid/>
        </w:rPr>
        <w:t>2006</w:t>
      </w:r>
      <w:r>
        <w:rPr>
          <w:rFonts w:hint="eastAsia"/>
          <w:snapToGrid/>
        </w:rPr>
        <w:t>年</w:t>
      </w:r>
      <w:r>
        <w:rPr>
          <w:rFonts w:hint="eastAsia"/>
          <w:snapToGrid/>
        </w:rPr>
        <w:t>1</w:t>
      </w:r>
      <w:r>
        <w:rPr>
          <w:rFonts w:hint="eastAsia"/>
          <w:snapToGrid/>
        </w:rPr>
        <w:t>月</w:t>
      </w:r>
      <w:r>
        <w:rPr>
          <w:rFonts w:hint="eastAsia"/>
          <w:snapToGrid/>
        </w:rPr>
        <w:t>1</w:t>
      </w:r>
      <w:r>
        <w:rPr>
          <w:rFonts w:hint="eastAsia"/>
          <w:snapToGrid/>
        </w:rPr>
        <w:t>日《刑法</w:t>
      </w:r>
      <w:r>
        <w:rPr>
          <w:rFonts w:hint="eastAsia"/>
          <w:snapToGrid/>
        </w:rPr>
        <w:t>(</w:t>
      </w:r>
      <w:r>
        <w:rPr>
          <w:rFonts w:hint="eastAsia"/>
          <w:snapToGrid/>
        </w:rPr>
        <w:t>修正</w:t>
      </w:r>
      <w:r>
        <w:rPr>
          <w:rFonts w:hint="eastAsia"/>
          <w:snapToGrid/>
        </w:rPr>
        <w:t>)</w:t>
      </w:r>
      <w:r>
        <w:rPr>
          <w:rFonts w:hint="eastAsia"/>
          <w:snapToGrid/>
        </w:rPr>
        <w:t>第</w:t>
      </w:r>
      <w:r>
        <w:rPr>
          <w:rFonts w:hint="eastAsia"/>
          <w:snapToGrid/>
        </w:rPr>
        <w:t>16</w:t>
      </w:r>
      <w:r>
        <w:rPr>
          <w:rFonts w:hint="eastAsia"/>
          <w:snapToGrid/>
        </w:rPr>
        <w:t>号法案》将从事和征募儿童用于武装冲突的行为以罪行论处，然而委员会严重关注的是至今没有一起按照新法的起诉，那些征募和利用儿童的人仍然逍遥法外。委员会特别关切的是调查与泰米尔猛虎解放组织有关系儿童的下落，以及调查有关政府官员参与</w:t>
      </w:r>
      <w:proofErr w:type="spellStart"/>
      <w:r>
        <w:t>Karuna</w:t>
      </w:r>
      <w:proofErr w:type="spellEnd"/>
      <w:r>
        <w:rPr>
          <w:rFonts w:hint="eastAsia"/>
        </w:rPr>
        <w:t>集团征募儿童的指控的进展缓慢。</w:t>
      </w:r>
    </w:p>
    <w:p w:rsidR="00E17494" w:rsidRDefault="00E17494">
      <w:pPr>
        <w:pStyle w:val="SingleTxtGC"/>
        <w:rPr>
          <w:rFonts w:eastAsia="SimHei" w:hint="eastAsia"/>
          <w:snapToGrid/>
          <w:szCs w:val="16"/>
        </w:rPr>
      </w:pPr>
      <w:r>
        <w:rPr>
          <w:rFonts w:hint="eastAsia"/>
          <w:snapToGrid/>
        </w:rPr>
        <w:t xml:space="preserve">23.  </w:t>
      </w:r>
      <w:r>
        <w:rPr>
          <w:rFonts w:eastAsia="SimHei" w:hint="eastAsia"/>
        </w:rPr>
        <w:t>委员会促请缔约国按照负责</w:t>
      </w:r>
      <w:r>
        <w:rPr>
          <w:rFonts w:eastAsia="SimHei" w:hint="eastAsia"/>
          <w:snapToGrid/>
        </w:rPr>
        <w:t>儿童与武装冲突问题的秘书长特别代表的特使在其</w:t>
      </w:r>
      <w:r>
        <w:rPr>
          <w:rFonts w:eastAsia="SimHei" w:hint="eastAsia"/>
          <w:snapToGrid/>
        </w:rPr>
        <w:t>2009</w:t>
      </w:r>
      <w:r>
        <w:rPr>
          <w:rFonts w:eastAsia="SimHei" w:hint="eastAsia"/>
          <w:snapToGrid/>
        </w:rPr>
        <w:t>年</w:t>
      </w:r>
      <w:r>
        <w:rPr>
          <w:rFonts w:eastAsia="SimHei" w:hint="eastAsia"/>
          <w:snapToGrid/>
        </w:rPr>
        <w:t>12</w:t>
      </w:r>
      <w:r>
        <w:rPr>
          <w:rFonts w:eastAsia="SimHei" w:hint="eastAsia"/>
          <w:snapToGrid/>
        </w:rPr>
        <w:t>月报告中所建议的那样，作为优先事项，确定与泰米尔猛虎解放组织有关联的其余儿童的下落。委员会还促请缔约国采取更为具体的步骤实施秘书长的建议</w:t>
      </w:r>
      <w:r>
        <w:rPr>
          <w:rFonts w:eastAsia="SimHei" w:hint="eastAsia"/>
          <w:snapToGrid/>
        </w:rPr>
        <w:t>(S/2009/325,</w:t>
      </w:r>
      <w:r>
        <w:rPr>
          <w:rFonts w:eastAsia="SimHei" w:hint="eastAsia"/>
          <w:snapToGrid/>
        </w:rPr>
        <w:t>第</w:t>
      </w:r>
      <w:r>
        <w:rPr>
          <w:rFonts w:eastAsia="SimHei" w:hint="eastAsia"/>
          <w:snapToGrid/>
        </w:rPr>
        <w:t>58(</w:t>
      </w:r>
      <w:r>
        <w:rPr>
          <w:rFonts w:eastAsia="SimHei"/>
          <w:snapToGrid/>
        </w:rPr>
        <w:t>c</w:t>
      </w:r>
      <w:r>
        <w:rPr>
          <w:rFonts w:eastAsia="SimHei" w:hint="eastAsia"/>
          <w:snapToGrid/>
        </w:rPr>
        <w:t>)</w:t>
      </w:r>
      <w:r>
        <w:rPr>
          <w:rFonts w:eastAsia="SimHei" w:hint="eastAsia"/>
          <w:snapToGrid/>
        </w:rPr>
        <w:t>段</w:t>
      </w:r>
      <w:r>
        <w:rPr>
          <w:rFonts w:eastAsia="SimHei" w:hint="eastAsia"/>
          <w:snapToGrid/>
        </w:rPr>
        <w:t>)</w:t>
      </w:r>
      <w:r>
        <w:rPr>
          <w:rFonts w:eastAsia="SimHei" w:hint="eastAsia"/>
          <w:snapToGrid/>
        </w:rPr>
        <w:t>确保有效实施对儿童征募的“零容忍”立场，有系统和有力度的调查每一起举报案例，对负有责任的肇事者进行起诉和定罪，并完成由部委间委员会着手进行的对政府官员串通诱拐与征募儿童案件的调查。</w:t>
      </w:r>
    </w:p>
    <w:p w:rsidR="00E17494" w:rsidRDefault="00E17494">
      <w:pPr>
        <w:pStyle w:val="H23GC"/>
        <w:rPr>
          <w:rFonts w:hint="eastAsia"/>
          <w:snapToGrid/>
        </w:rPr>
      </w:pPr>
      <w:r>
        <w:rPr>
          <w:rFonts w:hint="eastAsia"/>
          <w:snapToGrid/>
        </w:rPr>
        <w:tab/>
      </w:r>
      <w:r>
        <w:rPr>
          <w:rFonts w:hint="eastAsia"/>
          <w:snapToGrid/>
        </w:rPr>
        <w:tab/>
      </w:r>
      <w:r>
        <w:rPr>
          <w:rFonts w:hint="eastAsia"/>
          <w:snapToGrid/>
        </w:rPr>
        <w:t>学校的军事占领情况</w:t>
      </w:r>
    </w:p>
    <w:p w:rsidR="00E17494" w:rsidRDefault="00E17494">
      <w:pPr>
        <w:pStyle w:val="SingleTxtGC"/>
        <w:rPr>
          <w:rFonts w:hint="eastAsia"/>
          <w:snapToGrid/>
        </w:rPr>
      </w:pPr>
      <w:r>
        <w:rPr>
          <w:rFonts w:hint="eastAsia"/>
          <w:snapToGrid/>
        </w:rPr>
        <w:t xml:space="preserve">24.  </w:t>
      </w:r>
      <w:r>
        <w:rPr>
          <w:rFonts w:hint="eastAsia"/>
          <w:snapToGrid/>
        </w:rPr>
        <w:t>委员会严肃关注，一些学校仍然由缔约国武装部队占领，用于收纳</w:t>
      </w:r>
      <w:r>
        <w:rPr>
          <w:rFonts w:hint="eastAsia"/>
          <w:snapToGrid/>
        </w:rPr>
        <w:t>(</w:t>
      </w:r>
      <w:r>
        <w:rPr>
          <w:rFonts w:hint="eastAsia"/>
          <w:snapToGrid/>
        </w:rPr>
        <w:t>分裂主义者</w:t>
      </w:r>
      <w:r>
        <w:rPr>
          <w:rFonts w:hint="eastAsia"/>
          <w:snapToGrid/>
        </w:rPr>
        <w:t>)</w:t>
      </w:r>
      <w:r>
        <w:rPr>
          <w:rFonts w:hint="eastAsia"/>
          <w:snapToGrid/>
        </w:rPr>
        <w:t>。委员会还关注的是，在此类占领之后所留下的学校设施破烂不堪。</w:t>
      </w:r>
    </w:p>
    <w:p w:rsidR="00E17494" w:rsidRDefault="00E17494">
      <w:pPr>
        <w:pStyle w:val="SingleTxtGC"/>
        <w:rPr>
          <w:rFonts w:eastAsia="SimHei" w:hint="eastAsia"/>
          <w:snapToGrid/>
          <w:szCs w:val="16"/>
        </w:rPr>
      </w:pPr>
      <w:r>
        <w:rPr>
          <w:rFonts w:hint="eastAsia"/>
          <w:snapToGrid/>
        </w:rPr>
        <w:t xml:space="preserve">25.  </w:t>
      </w:r>
      <w:r>
        <w:rPr>
          <w:rFonts w:eastAsia="SimHei" w:hint="eastAsia"/>
          <w:snapToGrid/>
        </w:rPr>
        <w:t>委员会吁请缔约国：</w:t>
      </w:r>
    </w:p>
    <w:p w:rsidR="00E17494" w:rsidRDefault="00E17494">
      <w:pPr>
        <w:pStyle w:val="SingleTxtGC"/>
        <w:rPr>
          <w:rFonts w:eastAsia="SimHei" w:hint="eastAsia"/>
          <w:snapToGrid/>
          <w:szCs w:val="16"/>
        </w:rPr>
      </w:pPr>
      <w:r>
        <w:rPr>
          <w:rFonts w:eastAsia="SimHei" w:hint="eastAsia"/>
          <w:snapToGrid/>
        </w:rPr>
        <w:tab/>
        <w:t>(</w:t>
      </w:r>
      <w:r>
        <w:rPr>
          <w:rFonts w:eastAsia="SimHei"/>
          <w:snapToGrid/>
        </w:rPr>
        <w:t>a</w:t>
      </w:r>
      <w:r>
        <w:rPr>
          <w:rFonts w:eastAsia="SimHei" w:hint="eastAsia"/>
          <w:snapToGrid/>
        </w:rPr>
        <w:t>)</w:t>
      </w:r>
      <w:r>
        <w:rPr>
          <w:rFonts w:eastAsia="SimHei" w:hint="eastAsia"/>
          <w:snapToGrid/>
        </w:rPr>
        <w:tab/>
      </w:r>
      <w:r>
        <w:rPr>
          <w:rFonts w:eastAsia="SimHei" w:hint="eastAsia"/>
          <w:snapToGrid/>
        </w:rPr>
        <w:t>立即停止对学校的军事占领与使用，严格确保遵守人道主义法和区别原则，停止使用</w:t>
      </w:r>
      <w:r>
        <w:rPr>
          <w:rFonts w:eastAsia="SimHei" w:hint="eastAsia"/>
          <w:snapToGrid/>
        </w:rPr>
        <w:t>V/</w:t>
      </w:r>
      <w:r>
        <w:rPr>
          <w:rFonts w:eastAsia="SimHei" w:hint="eastAsia"/>
          <w:snapToGrid/>
        </w:rPr>
        <w:t>泰米尔</w:t>
      </w:r>
      <w:r>
        <w:rPr>
          <w:rFonts w:eastAsia="SimHei" w:hint="eastAsia"/>
          <w:snapToGrid/>
        </w:rPr>
        <w:t>MV</w:t>
      </w:r>
      <w:r>
        <w:rPr>
          <w:rFonts w:eastAsia="SimHei" w:hint="eastAsia"/>
          <w:snapToGrid/>
        </w:rPr>
        <w:t>学校的初小部分以及在</w:t>
      </w:r>
      <w:proofErr w:type="spellStart"/>
      <w:r>
        <w:rPr>
          <w:rFonts w:eastAsia="SimHei" w:hint="eastAsia"/>
          <w:snapToGrid/>
        </w:rPr>
        <w:t>Varuniya</w:t>
      </w:r>
      <w:proofErr w:type="spellEnd"/>
      <w:r>
        <w:rPr>
          <w:rFonts w:eastAsia="SimHei" w:hint="eastAsia"/>
          <w:snapToGrid/>
        </w:rPr>
        <w:t>的</w:t>
      </w:r>
      <w:r>
        <w:rPr>
          <w:rFonts w:eastAsia="SimHei" w:hint="eastAsia"/>
          <w:snapToGrid/>
        </w:rPr>
        <w:t>Omantahi</w:t>
      </w:r>
      <w:r>
        <w:rPr>
          <w:rFonts w:eastAsia="SimHei" w:hint="eastAsia"/>
          <w:snapToGrid/>
        </w:rPr>
        <w:t>中心学院收容分裂主义者；</w:t>
      </w:r>
    </w:p>
    <w:p w:rsidR="00E17494" w:rsidRDefault="00E17494">
      <w:pPr>
        <w:pStyle w:val="SingleTxtGC"/>
        <w:rPr>
          <w:rFonts w:eastAsia="SimHei" w:hint="eastAsia"/>
          <w:snapToGrid/>
          <w:szCs w:val="16"/>
        </w:rPr>
      </w:pPr>
      <w:r>
        <w:rPr>
          <w:rFonts w:eastAsia="SimHei" w:hint="eastAsia"/>
          <w:snapToGrid/>
        </w:rPr>
        <w:tab/>
        <w:t>(</w:t>
      </w:r>
      <w:r>
        <w:rPr>
          <w:rFonts w:eastAsia="SimHei"/>
          <w:snapToGrid/>
        </w:rPr>
        <w:t>b</w:t>
      </w:r>
      <w:r>
        <w:rPr>
          <w:rFonts w:eastAsia="SimHei" w:hint="eastAsia"/>
          <w:snapToGrid/>
        </w:rPr>
        <w:t>)</w:t>
      </w:r>
      <w:r>
        <w:rPr>
          <w:rFonts w:eastAsia="SimHei" w:hint="eastAsia"/>
          <w:snapToGrid/>
        </w:rPr>
        <w:tab/>
      </w:r>
      <w:r>
        <w:rPr>
          <w:rFonts w:eastAsia="SimHei" w:hint="eastAsia"/>
          <w:snapToGrid/>
        </w:rPr>
        <w:t>确保立即彻底修复因军事占领而被损坏的学校基础设施。</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军事学校活动</w:t>
      </w:r>
    </w:p>
    <w:p w:rsidR="00E17494" w:rsidRDefault="00E17494">
      <w:pPr>
        <w:pStyle w:val="SingleTxtGC"/>
        <w:rPr>
          <w:rFonts w:hint="eastAsia"/>
          <w:snapToGrid/>
          <w:szCs w:val="16"/>
        </w:rPr>
      </w:pPr>
      <w:r>
        <w:rPr>
          <w:rFonts w:hint="eastAsia"/>
          <w:snapToGrid/>
        </w:rPr>
        <w:t xml:space="preserve">26.  </w:t>
      </w:r>
      <w:r>
        <w:rPr>
          <w:rFonts w:hint="eastAsia"/>
          <w:snapToGrid/>
        </w:rPr>
        <w:t>委员会欢迎缔约国坚持由教育部监督士兵训练队的行政、课程和运作。然而，委员会关注的是，士兵训练队培训包括在行军操练中使用火器。</w:t>
      </w:r>
    </w:p>
    <w:p w:rsidR="00E17494" w:rsidRDefault="00E17494">
      <w:pPr>
        <w:pStyle w:val="SingleTxtGC"/>
        <w:rPr>
          <w:rFonts w:eastAsia="SimHei" w:hint="eastAsia"/>
          <w:snapToGrid/>
          <w:szCs w:val="16"/>
        </w:rPr>
      </w:pPr>
      <w:r>
        <w:rPr>
          <w:rFonts w:hint="eastAsia"/>
          <w:snapToGrid/>
        </w:rPr>
        <w:t xml:space="preserve">27.  </w:t>
      </w:r>
      <w:r>
        <w:rPr>
          <w:rFonts w:eastAsia="SimHei" w:hint="eastAsia"/>
          <w:snapToGrid/>
        </w:rPr>
        <w:t>委员会促请缔约国确保士兵训练队的培训不包括任何军事活动。委员会吁请缔约国根据《任择议定书》的精神，禁止所有儿童操作和使用任何火器。</w:t>
      </w:r>
    </w:p>
    <w:p w:rsidR="00E17494" w:rsidRDefault="00E17494">
      <w:pPr>
        <w:pStyle w:val="HChGC"/>
        <w:rPr>
          <w:rFonts w:hint="eastAsia"/>
          <w:snapToGrid/>
          <w:szCs w:val="16"/>
        </w:rPr>
      </w:pPr>
      <w:r>
        <w:rPr>
          <w:rFonts w:hint="eastAsia"/>
          <w:snapToGrid/>
        </w:rPr>
        <w:tab/>
      </w:r>
      <w:r>
        <w:rPr>
          <w:rFonts w:hint="eastAsia"/>
          <w:snapToGrid/>
        </w:rPr>
        <w:t>五</w:t>
      </w:r>
      <w:r>
        <w:rPr>
          <w:rFonts w:hint="eastAsia"/>
          <w:snapToGrid/>
        </w:rPr>
        <w:t>.</w:t>
      </w:r>
      <w:r>
        <w:rPr>
          <w:rFonts w:hint="eastAsia"/>
          <w:snapToGrid/>
        </w:rPr>
        <w:tab/>
      </w:r>
      <w:r>
        <w:rPr>
          <w:rFonts w:hint="eastAsia"/>
          <w:snapToGrid/>
        </w:rPr>
        <w:t>保护、康复和融合</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限制儿童人道主义援助准入的问题</w:t>
      </w:r>
    </w:p>
    <w:p w:rsidR="00E17494" w:rsidRDefault="00E17494">
      <w:pPr>
        <w:pStyle w:val="SingleTxtGC"/>
        <w:rPr>
          <w:rFonts w:hint="eastAsia"/>
          <w:snapToGrid/>
          <w:szCs w:val="16"/>
        </w:rPr>
      </w:pPr>
      <w:r>
        <w:rPr>
          <w:rFonts w:hint="eastAsia"/>
          <w:snapToGrid/>
        </w:rPr>
        <w:t>28.  2010</w:t>
      </w:r>
      <w:r>
        <w:rPr>
          <w:rFonts w:hint="eastAsia"/>
          <w:snapToGrid/>
        </w:rPr>
        <w:t>年</w:t>
      </w:r>
      <w:r>
        <w:rPr>
          <w:rFonts w:hint="eastAsia"/>
          <w:snapToGrid/>
        </w:rPr>
        <w:t>6</w:t>
      </w:r>
      <w:r>
        <w:rPr>
          <w:rFonts w:hint="eastAsia"/>
          <w:snapToGrid/>
        </w:rPr>
        <w:t>月正当境内流离失所家庭，特别在难民营内的家庭面临食物短缺要求紧急援助时，国防部向所有治安部队的指控官发布命令停止所有联合国机构、国际组织和国际与国家非政府组织的人道主义援助准入。对此委员会表示深切关注。</w:t>
      </w:r>
    </w:p>
    <w:p w:rsidR="00E17494" w:rsidRDefault="00E17494">
      <w:pPr>
        <w:pStyle w:val="SingleTxtGC"/>
        <w:rPr>
          <w:rFonts w:eastAsia="SimHei" w:hint="eastAsia"/>
          <w:snapToGrid/>
          <w:szCs w:val="16"/>
        </w:rPr>
      </w:pPr>
      <w:r>
        <w:rPr>
          <w:rFonts w:hint="eastAsia"/>
          <w:snapToGrid/>
        </w:rPr>
        <w:t xml:space="preserve">29.  </w:t>
      </w:r>
      <w:r>
        <w:rPr>
          <w:rFonts w:eastAsia="SimHei" w:hint="eastAsia"/>
          <w:snapToGrid/>
        </w:rPr>
        <w:t>委员会提请缔约国国际人道主义组织及其他适当的行为者有权利提供支持境内流离失所者的服务。因此委员会呼吁缔约国立即取消对人道主义组织活动的不必要的限制，确保无阻挡地向要求紧急援助的境内流离失所家庭及儿童提供援助。</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罪行受害者和见证者的保护</w:t>
      </w:r>
    </w:p>
    <w:p w:rsidR="00E17494" w:rsidRDefault="00E17494">
      <w:pPr>
        <w:pStyle w:val="SingleTxtGC"/>
        <w:rPr>
          <w:rFonts w:hint="eastAsia"/>
          <w:snapToGrid/>
          <w:szCs w:val="16"/>
        </w:rPr>
      </w:pPr>
      <w:r>
        <w:rPr>
          <w:rFonts w:hint="eastAsia"/>
          <w:snapToGrid/>
        </w:rPr>
        <w:t xml:space="preserve">30.  </w:t>
      </w:r>
      <w:r>
        <w:rPr>
          <w:rFonts w:hint="eastAsia"/>
          <w:snapToGrid/>
        </w:rPr>
        <w:t>委员会关注地指出自</w:t>
      </w:r>
      <w:r>
        <w:rPr>
          <w:rFonts w:hint="eastAsia"/>
          <w:snapToGrid/>
        </w:rPr>
        <w:t>2008</w:t>
      </w:r>
      <w:r>
        <w:rPr>
          <w:rFonts w:hint="eastAsia"/>
          <w:snapToGrid/>
        </w:rPr>
        <w:t>年以来在通过援助和保护罪行受害者和见证人法案方面几乎没有取得任何进展。结果，目前在缔约国内没有为见证人提供任何保护，影响了有效调查在武装冲突中征募和利用儿童的案件。委员会还对举报武装冲突中征募和利用儿童的人受到报复、恐吓和威胁的案件表示关注。委员会还关注该项法案草案含有若干缺点，载有一些不足的条款，未充分考虑儿童特殊需求。</w:t>
      </w:r>
    </w:p>
    <w:p w:rsidR="00E17494" w:rsidRDefault="00E17494">
      <w:pPr>
        <w:pStyle w:val="SingleTxtGC"/>
        <w:rPr>
          <w:rFonts w:eastAsia="SimHei" w:hint="eastAsia"/>
          <w:snapToGrid/>
          <w:szCs w:val="16"/>
        </w:rPr>
      </w:pPr>
      <w:r>
        <w:rPr>
          <w:rFonts w:hint="eastAsia"/>
          <w:snapToGrid/>
        </w:rPr>
        <w:t xml:space="preserve">31.  </w:t>
      </w:r>
      <w:r>
        <w:rPr>
          <w:rFonts w:eastAsia="SimHei" w:hint="eastAsia"/>
          <w:snapToGrid/>
        </w:rPr>
        <w:t>委员会促请缔约国为确保其法律符合涉及保护罪行受害者和见证人的国际接受的准则和最佳做法，仔细审查可能影响有效保护儿童受害者和见证人的见证人保护法的缺点，并加速该法的通过。委员会还呼吁缔约国确保该法律在威胁评估、保护和援助方面完全考虑到儿童的具体需求。委员会进一步建议，立即实施见证人保护方案并给予其充足的资源以便特别在方案保护司纳入在儿童工作方面经特别培训与具有经验的工作人员。</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按照紧急条例拘留儿童的问题</w:t>
      </w:r>
    </w:p>
    <w:p w:rsidR="00E17494" w:rsidRDefault="00E17494">
      <w:pPr>
        <w:pStyle w:val="SingleTxtGC"/>
        <w:rPr>
          <w:rFonts w:hint="eastAsia"/>
          <w:snapToGrid/>
          <w:szCs w:val="16"/>
        </w:rPr>
      </w:pPr>
      <w:r>
        <w:rPr>
          <w:rFonts w:hint="eastAsia"/>
          <w:snapToGrid/>
        </w:rPr>
        <w:t xml:space="preserve">32.  </w:t>
      </w:r>
      <w:r>
        <w:rPr>
          <w:rFonts w:hint="eastAsia"/>
          <w:snapToGrid/>
        </w:rPr>
        <w:t>委员会深切关注，根据</w:t>
      </w:r>
      <w:r>
        <w:rPr>
          <w:rFonts w:hint="eastAsia"/>
          <w:snapToGrid/>
        </w:rPr>
        <w:t>2005</w:t>
      </w:r>
      <w:r>
        <w:rPr>
          <w:rFonts w:hint="eastAsia"/>
          <w:snapToGrid/>
        </w:rPr>
        <w:t>年紧急</w:t>
      </w:r>
      <w:r>
        <w:rPr>
          <w:rFonts w:hint="eastAsia"/>
          <w:snapToGrid/>
        </w:rPr>
        <w:t>(</w:t>
      </w:r>
      <w:r>
        <w:rPr>
          <w:rFonts w:hint="eastAsia"/>
          <w:snapToGrid/>
        </w:rPr>
        <w:t>杂项规定与权力</w:t>
      </w:r>
      <w:r>
        <w:rPr>
          <w:rFonts w:hint="eastAsia"/>
          <w:snapToGrid/>
        </w:rPr>
        <w:t>)</w:t>
      </w:r>
      <w:r>
        <w:rPr>
          <w:rFonts w:hint="eastAsia"/>
          <w:snapToGrid/>
        </w:rPr>
        <w:t>条例第</w:t>
      </w:r>
      <w:r>
        <w:rPr>
          <w:rFonts w:hint="eastAsia"/>
          <w:snapToGrid/>
        </w:rPr>
        <w:t>1</w:t>
      </w:r>
      <w:r>
        <w:rPr>
          <w:rFonts w:hint="eastAsia"/>
          <w:snapToGrid/>
        </w:rPr>
        <w:t>号以及防止恐怖主义法，被怀疑犯有与安全有关违法行为的儿童仍然或者可能继续处于关押之中。委员会严肃关注这些儿童可能在未公开的关押场所被拘留达一年左右，并被拒绝获得律师、家庭成员、法官或任何主管部门的援助，对他们的拘留合法性提出质疑。</w:t>
      </w:r>
    </w:p>
    <w:p w:rsidR="00E17494" w:rsidRDefault="00E17494">
      <w:pPr>
        <w:pStyle w:val="SingleTxtGC"/>
        <w:rPr>
          <w:rFonts w:eastAsia="SimHei" w:hint="eastAsia"/>
          <w:snapToGrid/>
          <w:szCs w:val="16"/>
        </w:rPr>
      </w:pPr>
      <w:r>
        <w:rPr>
          <w:rFonts w:hint="eastAsia"/>
          <w:snapToGrid/>
        </w:rPr>
        <w:t xml:space="preserve">33.  </w:t>
      </w:r>
      <w:r>
        <w:rPr>
          <w:rFonts w:eastAsia="SimHei" w:hint="eastAsia"/>
          <w:snapToGrid/>
        </w:rPr>
        <w:t>委员会促请缔约国立即进一步进行调查确保儿童不再按治安或反恐怖主义条例受到拘留。委员会还呼吁缔约国不得拖延立即废除可在正规司法制度之外用来拘留儿童的紧急条例。</w:t>
      </w:r>
    </w:p>
    <w:p w:rsidR="00E17494" w:rsidRDefault="00E17494">
      <w:pPr>
        <w:pStyle w:val="SingleTxtGC"/>
        <w:rPr>
          <w:rFonts w:hint="eastAsia"/>
          <w:snapToGrid/>
          <w:szCs w:val="16"/>
        </w:rPr>
      </w:pPr>
      <w:r>
        <w:rPr>
          <w:rFonts w:hint="eastAsia"/>
          <w:snapToGrid/>
        </w:rPr>
        <w:t xml:space="preserve">34.  </w:t>
      </w:r>
      <w:r>
        <w:rPr>
          <w:rFonts w:hint="eastAsia"/>
          <w:snapToGrid/>
        </w:rPr>
        <w:t>委员会注意到，为与武装集团有联系儿童通过了有关儿童友好康复与融入程序的</w:t>
      </w:r>
      <w:r>
        <w:rPr>
          <w:rFonts w:hint="eastAsia"/>
          <w:snapToGrid/>
        </w:rPr>
        <w:t>2008</w:t>
      </w:r>
      <w:r>
        <w:rPr>
          <w:rFonts w:hint="eastAsia"/>
          <w:snapToGrid/>
        </w:rPr>
        <w:t>年第</w:t>
      </w:r>
      <w:r>
        <w:rPr>
          <w:rFonts w:hint="eastAsia"/>
          <w:snapToGrid/>
        </w:rPr>
        <w:t>1580/5</w:t>
      </w:r>
      <w:r>
        <w:rPr>
          <w:rFonts w:hint="eastAsia"/>
          <w:snapToGrid/>
        </w:rPr>
        <w:t>号紧急条例。该项条例为康复与融入进程规定了司法干预。然而委员会关注的是该项进程与国际青少年司法标准不相符合，特别是关于儿童得到律师援助的权利以及对他们被置于保护性收容中心的合法性提出质疑的权利方面与国际青少年司法标准不相符合，因此紧急条例没有得到联合国机构的支持。</w:t>
      </w:r>
    </w:p>
    <w:p w:rsidR="00E17494" w:rsidRDefault="00E17494">
      <w:pPr>
        <w:pStyle w:val="SingleTxtGC"/>
        <w:rPr>
          <w:rFonts w:eastAsia="SimHei" w:hint="eastAsia"/>
          <w:snapToGrid/>
          <w:szCs w:val="16"/>
        </w:rPr>
      </w:pPr>
      <w:r>
        <w:rPr>
          <w:rFonts w:hint="eastAsia"/>
          <w:snapToGrid/>
        </w:rPr>
        <w:t xml:space="preserve">35.  </w:t>
      </w:r>
      <w:r>
        <w:rPr>
          <w:rFonts w:eastAsia="SimHei" w:hint="eastAsia"/>
          <w:snapToGrid/>
        </w:rPr>
        <w:t>委员会促请缔约国审查适用于儿童康复和融合的法律框架，确保儿童：</w:t>
      </w:r>
    </w:p>
    <w:p w:rsidR="00E17494" w:rsidRDefault="00E17494">
      <w:pPr>
        <w:pStyle w:val="SingleTxtGC"/>
        <w:rPr>
          <w:rFonts w:eastAsia="SimHei" w:hint="eastAsia"/>
          <w:snapToGrid/>
          <w:szCs w:val="16"/>
        </w:rPr>
      </w:pPr>
      <w:r>
        <w:rPr>
          <w:rFonts w:eastAsia="SimHei"/>
          <w:snapToGrid/>
        </w:rPr>
        <w:tab/>
      </w:r>
      <w:r>
        <w:rPr>
          <w:rFonts w:eastAsia="SimHei" w:hint="eastAsia"/>
          <w:snapToGrid/>
        </w:rPr>
        <w:t>(</w:t>
      </w:r>
      <w:r>
        <w:rPr>
          <w:rFonts w:eastAsia="SimHei"/>
          <w:snapToGrid/>
        </w:rPr>
        <w:t>a</w:t>
      </w:r>
      <w:r>
        <w:rPr>
          <w:rFonts w:eastAsia="SimHei" w:hint="eastAsia"/>
          <w:snapToGrid/>
        </w:rPr>
        <w:t>)</w:t>
      </w:r>
      <w:r>
        <w:rPr>
          <w:rFonts w:eastAsia="SimHei"/>
          <w:snapToGrid/>
        </w:rPr>
        <w:tab/>
      </w:r>
      <w:r>
        <w:rPr>
          <w:rFonts w:eastAsia="SimHei" w:hint="eastAsia"/>
          <w:snapToGrid/>
        </w:rPr>
        <w:t>能够行使其发表意见权、向其提供社会调查报告的副本并且向其通报经地方行政官审查的证据；</w:t>
      </w:r>
    </w:p>
    <w:p w:rsidR="00E17494" w:rsidRDefault="00E17494">
      <w:pPr>
        <w:pStyle w:val="SingleTxtGC"/>
        <w:rPr>
          <w:rFonts w:eastAsia="SimHei" w:hint="eastAsia"/>
          <w:snapToGrid/>
          <w:szCs w:val="16"/>
        </w:rPr>
      </w:pPr>
      <w:r>
        <w:rPr>
          <w:rFonts w:eastAsia="SimHei"/>
          <w:snapToGrid/>
        </w:rPr>
        <w:tab/>
      </w:r>
      <w:r>
        <w:rPr>
          <w:rFonts w:eastAsia="SimHei" w:hint="eastAsia"/>
          <w:snapToGrid/>
        </w:rPr>
        <w:t>(</w:t>
      </w:r>
      <w:r>
        <w:rPr>
          <w:rFonts w:eastAsia="SimHei"/>
          <w:snapToGrid/>
        </w:rPr>
        <w:t>b</w:t>
      </w:r>
      <w:r>
        <w:rPr>
          <w:rFonts w:eastAsia="SimHei" w:hint="eastAsia"/>
          <w:snapToGrid/>
        </w:rPr>
        <w:t>)</w:t>
      </w:r>
      <w:r>
        <w:rPr>
          <w:rFonts w:eastAsia="SimHei"/>
          <w:snapToGrid/>
        </w:rPr>
        <w:tab/>
      </w:r>
      <w:r>
        <w:rPr>
          <w:rFonts w:eastAsia="SimHei" w:hint="eastAsia"/>
          <w:snapToGrid/>
        </w:rPr>
        <w:t>允许得到律师的援助；</w:t>
      </w:r>
    </w:p>
    <w:p w:rsidR="00E17494" w:rsidRDefault="00E17494">
      <w:pPr>
        <w:pStyle w:val="SingleTxtGC"/>
        <w:rPr>
          <w:rFonts w:eastAsia="SimHei" w:hint="eastAsia"/>
          <w:snapToGrid/>
          <w:szCs w:val="16"/>
        </w:rPr>
      </w:pPr>
      <w:r>
        <w:rPr>
          <w:rFonts w:eastAsia="SimHei"/>
          <w:snapToGrid/>
        </w:rPr>
        <w:tab/>
      </w:r>
      <w:r>
        <w:rPr>
          <w:rFonts w:eastAsia="SimHei" w:hint="eastAsia"/>
          <w:snapToGrid/>
        </w:rPr>
        <w:t>(c)</w:t>
      </w:r>
      <w:r>
        <w:rPr>
          <w:rFonts w:eastAsia="SimHei"/>
          <w:snapToGrid/>
        </w:rPr>
        <w:tab/>
      </w:r>
      <w:r>
        <w:rPr>
          <w:rFonts w:eastAsia="SimHei" w:hint="eastAsia"/>
          <w:snapToGrid/>
        </w:rPr>
        <w:t>能够向更高级的主管部门质疑其拘留的合法性，并向其提供有利于他们的补充证据。</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康复中心</w:t>
      </w:r>
    </w:p>
    <w:p w:rsidR="00E17494" w:rsidRDefault="00E17494">
      <w:pPr>
        <w:pStyle w:val="SingleTxtGC"/>
        <w:rPr>
          <w:rFonts w:hint="eastAsia"/>
          <w:snapToGrid/>
          <w:szCs w:val="16"/>
        </w:rPr>
      </w:pPr>
      <w:r>
        <w:rPr>
          <w:rFonts w:hint="eastAsia"/>
          <w:snapToGrid/>
        </w:rPr>
        <w:t xml:space="preserve">36.  </w:t>
      </w:r>
      <w:r>
        <w:rPr>
          <w:rFonts w:hint="eastAsia"/>
          <w:snapToGrid/>
        </w:rPr>
        <w:t>委员会欢迎缔约国所提供资料：经康复的所有</w:t>
      </w:r>
      <w:r>
        <w:rPr>
          <w:rFonts w:hint="eastAsia"/>
          <w:snapToGrid/>
        </w:rPr>
        <w:t>667</w:t>
      </w:r>
      <w:r>
        <w:rPr>
          <w:rFonts w:hint="eastAsia"/>
          <w:snapToGrid/>
        </w:rPr>
        <w:t>名儿童，其中一些在康复中心与其家庭分隔了很长的时间，现在已被释放与其家庭团聚。然而，委员会表示关注的是军队人员参与了康复方案的管理。</w:t>
      </w:r>
    </w:p>
    <w:p w:rsidR="00E17494" w:rsidRDefault="00E17494">
      <w:pPr>
        <w:pStyle w:val="SingleTxtGC"/>
        <w:rPr>
          <w:rFonts w:eastAsia="SimHei" w:hint="eastAsia"/>
          <w:snapToGrid/>
          <w:szCs w:val="16"/>
        </w:rPr>
      </w:pPr>
      <w:r>
        <w:rPr>
          <w:rFonts w:hint="eastAsia"/>
          <w:snapToGrid/>
        </w:rPr>
        <w:t xml:space="preserve">37.  </w:t>
      </w:r>
      <w:r>
        <w:rPr>
          <w:rFonts w:eastAsia="SimHei" w:hint="eastAsia"/>
          <w:snapToGrid/>
        </w:rPr>
        <w:t>委员会促请缔约国如</w:t>
      </w:r>
      <w:r>
        <w:rPr>
          <w:rFonts w:eastAsia="SimHei" w:hint="eastAsia"/>
          <w:snapToGrid/>
        </w:rPr>
        <w:t>1580/5</w:t>
      </w:r>
      <w:r>
        <w:rPr>
          <w:rFonts w:eastAsia="SimHei" w:hint="eastAsia"/>
          <w:snapToGrid/>
        </w:rPr>
        <w:t>号紧急条例所规定的那样立即建立基于家庭和社区的康复方案，基于中心的康复只能用于作为最后的手段。委员会还促请缔约国确保康复中心的管理和运作符合《与武装部队或武装集团相关联的儿童的原则和准则》，特别确保军队人员不得参与这些中心的管理。</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先前与武装集团有联系的儿童的刑事责任</w:t>
      </w:r>
    </w:p>
    <w:p w:rsidR="00E17494" w:rsidRDefault="00E17494">
      <w:pPr>
        <w:pStyle w:val="SingleTxtGC"/>
        <w:rPr>
          <w:rFonts w:hint="eastAsia"/>
          <w:snapToGrid/>
        </w:rPr>
      </w:pPr>
      <w:r>
        <w:rPr>
          <w:rFonts w:hint="eastAsia"/>
          <w:snapToGrid/>
        </w:rPr>
        <w:t xml:space="preserve">38.  </w:t>
      </w:r>
      <w:r>
        <w:rPr>
          <w:rFonts w:hint="eastAsia"/>
          <w:snapToGrid/>
        </w:rPr>
        <w:t>委员会注意到的积极方面是缔约国向委员会确保先前与武装冲突有联系的儿童，包括那些因治安和与恐怖主义有关的指控而被关押的儿童永远不会面临指控。然而，委员会关注的是由于没有正式文件澄清先前与武装集团有联系的儿童的刑事责任，仍然可以设想在实施同样适用于成年人与儿童的</w:t>
      </w:r>
      <w:r>
        <w:rPr>
          <w:rFonts w:hint="eastAsia"/>
          <w:snapToGrid/>
        </w:rPr>
        <w:t>2006</w:t>
      </w:r>
      <w:r>
        <w:rPr>
          <w:rFonts w:hint="eastAsia"/>
          <w:snapToGrid/>
        </w:rPr>
        <w:t>年</w:t>
      </w:r>
      <w:r>
        <w:rPr>
          <w:rFonts w:hint="eastAsia"/>
          <w:snapToGrid/>
        </w:rPr>
        <w:t>9</w:t>
      </w:r>
      <w:r>
        <w:rPr>
          <w:rFonts w:hint="eastAsia"/>
          <w:snapToGrid/>
        </w:rPr>
        <w:t>月</w:t>
      </w:r>
      <w:r>
        <w:rPr>
          <w:rFonts w:hint="eastAsia"/>
          <w:snapToGrid/>
        </w:rPr>
        <w:t>1462/8</w:t>
      </w:r>
      <w:r>
        <w:rPr>
          <w:rFonts w:hint="eastAsia"/>
          <w:snapToGrid/>
        </w:rPr>
        <w:t>号紧急条例以及其他其他治安与反恐怖主义法时可能对儿童进行起诉。</w:t>
      </w:r>
    </w:p>
    <w:p w:rsidR="00E17494" w:rsidRDefault="00E17494">
      <w:pPr>
        <w:pStyle w:val="SingleTxtGC"/>
        <w:rPr>
          <w:rFonts w:eastAsia="SimHei" w:hint="eastAsia"/>
          <w:snapToGrid/>
          <w:szCs w:val="16"/>
        </w:rPr>
      </w:pPr>
      <w:r>
        <w:rPr>
          <w:rFonts w:hint="eastAsia"/>
          <w:snapToGrid/>
        </w:rPr>
        <w:t xml:space="preserve">39.  </w:t>
      </w:r>
      <w:r>
        <w:rPr>
          <w:rFonts w:eastAsia="SimHei" w:hint="eastAsia"/>
          <w:snapToGrid/>
        </w:rPr>
        <w:t>委员会促请缔约国考虑立即向所有司法当局发布一条指令，明确声明不得因儿童与武装集团的联系而对其提出起诉，从而将其不起诉涉及武装冲突的儿童承诺正式化。</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高度警戒区</w:t>
      </w:r>
    </w:p>
    <w:p w:rsidR="00E17494" w:rsidRDefault="00E17494">
      <w:pPr>
        <w:pStyle w:val="SingleTxtGC"/>
        <w:rPr>
          <w:rFonts w:hint="eastAsia"/>
          <w:snapToGrid/>
          <w:szCs w:val="16"/>
        </w:rPr>
      </w:pPr>
      <w:r>
        <w:rPr>
          <w:rFonts w:hint="eastAsia"/>
          <w:snapToGrid/>
        </w:rPr>
        <w:t xml:space="preserve">40.  </w:t>
      </w:r>
      <w:r>
        <w:rPr>
          <w:rFonts w:hint="eastAsia"/>
          <w:snapToGrid/>
        </w:rPr>
        <w:t>委员会注意到在与缔约国代表团进行对话中，缔约国代表团所作的解释是保留高度警戒区是为了在受战争影响区域开展除雷活动。然而，委员会关注的是由于设立了这些高度警戒区，特别在</w:t>
      </w:r>
      <w:proofErr w:type="spellStart"/>
      <w:r>
        <w:rPr>
          <w:rFonts w:hint="eastAsia"/>
          <w:snapToGrid/>
        </w:rPr>
        <w:t>Shanthapuram</w:t>
      </w:r>
      <w:proofErr w:type="spellEnd"/>
      <w:r>
        <w:rPr>
          <w:rFonts w:hint="eastAsia"/>
          <w:snapToGrid/>
        </w:rPr>
        <w:t>和</w:t>
      </w:r>
      <w:r>
        <w:rPr>
          <w:rFonts w:hint="eastAsia"/>
          <w:snapToGrid/>
        </w:rPr>
        <w:t>Indupuram (Mullativu</w:t>
      </w:r>
      <w:r>
        <w:rPr>
          <w:rFonts w:hint="eastAsia"/>
          <w:snapToGrid/>
        </w:rPr>
        <w:t>和</w:t>
      </w:r>
      <w:r>
        <w:rPr>
          <w:rFonts w:hint="eastAsia"/>
          <w:snapToGrid/>
        </w:rPr>
        <w:t>Killinochchi</w:t>
      </w:r>
      <w:r>
        <w:rPr>
          <w:rFonts w:hint="eastAsia"/>
          <w:snapToGrid/>
        </w:rPr>
        <w:t>区</w:t>
      </w:r>
      <w:r>
        <w:rPr>
          <w:rFonts w:hint="eastAsia"/>
          <w:snapToGrid/>
        </w:rPr>
        <w:t>)</w:t>
      </w:r>
      <w:r>
        <w:rPr>
          <w:rFonts w:hint="eastAsia"/>
          <w:snapToGrid/>
        </w:rPr>
        <w:t>、在</w:t>
      </w:r>
      <w:r>
        <w:rPr>
          <w:rFonts w:hint="eastAsia"/>
          <w:snapToGrid/>
        </w:rPr>
        <w:t>Silvathurai</w:t>
      </w:r>
      <w:r>
        <w:rPr>
          <w:rFonts w:hint="eastAsia"/>
          <w:snapToGrid/>
        </w:rPr>
        <w:t>和</w:t>
      </w:r>
      <w:r>
        <w:rPr>
          <w:rFonts w:hint="eastAsia"/>
          <w:snapToGrid/>
        </w:rPr>
        <w:t xml:space="preserve">Mullikulam </w:t>
      </w:r>
      <w:r>
        <w:rPr>
          <w:bCs/>
        </w:rPr>
        <w:t>(Puttalam</w:t>
      </w:r>
      <w:r>
        <w:rPr>
          <w:rFonts w:hint="eastAsia"/>
          <w:bCs/>
        </w:rPr>
        <w:t>和</w:t>
      </w:r>
      <w:r>
        <w:rPr>
          <w:bCs/>
        </w:rPr>
        <w:t>Mannar</w:t>
      </w:r>
      <w:r>
        <w:rPr>
          <w:rFonts w:hint="eastAsia"/>
          <w:bCs/>
        </w:rPr>
        <w:t>区</w:t>
      </w:r>
      <w:r>
        <w:rPr>
          <w:bCs/>
        </w:rPr>
        <w:t>)</w:t>
      </w:r>
      <w:r>
        <w:rPr>
          <w:rFonts w:hint="eastAsia"/>
          <w:snapToGrid/>
        </w:rPr>
        <w:t>以及在</w:t>
      </w:r>
      <w:r>
        <w:rPr>
          <w:rFonts w:hint="eastAsia"/>
          <w:snapToGrid/>
        </w:rPr>
        <w:t xml:space="preserve">Sampur </w:t>
      </w:r>
      <w:r>
        <w:rPr>
          <w:bCs/>
        </w:rPr>
        <w:t>(Trincomalee</w:t>
      </w:r>
      <w:r>
        <w:rPr>
          <w:rFonts w:hint="eastAsia"/>
          <w:bCs/>
        </w:rPr>
        <w:t>区</w:t>
      </w:r>
      <w:r>
        <w:rPr>
          <w:bCs/>
        </w:rPr>
        <w:t>)</w:t>
      </w:r>
      <w:r>
        <w:rPr>
          <w:rFonts w:hint="eastAsia"/>
          <w:bCs/>
        </w:rPr>
        <w:t>及</w:t>
      </w:r>
      <w:r>
        <w:rPr>
          <w:rFonts w:hint="eastAsia"/>
          <w:snapToGrid/>
        </w:rPr>
        <w:t>其他特设地区设立了高度警戒区，致使成千上万户家庭及其子女长期以来始终处于流离失所状况，一些呆在过渡营内，其他一些与收纳家庭在一起或者无法获得其土地。</w:t>
      </w:r>
    </w:p>
    <w:p w:rsidR="00E17494" w:rsidRDefault="00E17494">
      <w:pPr>
        <w:pStyle w:val="SingleTxtGC"/>
        <w:rPr>
          <w:rFonts w:eastAsia="SimHei" w:hint="eastAsia"/>
          <w:snapToGrid/>
          <w:szCs w:val="16"/>
        </w:rPr>
      </w:pPr>
      <w:r>
        <w:rPr>
          <w:rFonts w:hint="eastAsia"/>
          <w:snapToGrid/>
        </w:rPr>
        <w:t xml:space="preserve">41.  </w:t>
      </w:r>
      <w:r>
        <w:rPr>
          <w:rFonts w:eastAsia="SimHei" w:hint="eastAsia"/>
          <w:snapToGrid/>
        </w:rPr>
        <w:t>委员会提请注意《联合国关于难民和流离失所者的住房和财产收回原则》，委员会提醒缔约国所有难民和流离失所者有权利收复被武断或非法剥夺的住房、土地和</w:t>
      </w:r>
      <w:r>
        <w:rPr>
          <w:rFonts w:eastAsia="SimHei" w:hint="eastAsia"/>
          <w:snapToGrid/>
        </w:rPr>
        <w:t>/</w:t>
      </w:r>
      <w:r>
        <w:rPr>
          <w:rFonts w:eastAsia="SimHei" w:hint="eastAsia"/>
          <w:snapToGrid/>
        </w:rPr>
        <w:t>或财产，还提醒缔约国毫不含糊地将归还权优先作为对流离失所的可取补救方式，作为恢复性司法的一个关键因素。因此委员会呼吁缔约国加速在受战争影响区域的除雷进程以便迅速地消除高度警戒区，确保那些家庭能够返回到其原籍区。</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心理社会支持</w:t>
      </w:r>
    </w:p>
    <w:p w:rsidR="00E17494" w:rsidRDefault="00E17494">
      <w:pPr>
        <w:pStyle w:val="SingleTxtGC"/>
        <w:rPr>
          <w:rFonts w:hint="eastAsia"/>
          <w:snapToGrid/>
          <w:szCs w:val="16"/>
        </w:rPr>
      </w:pPr>
      <w:r>
        <w:rPr>
          <w:rFonts w:hint="eastAsia"/>
          <w:snapToGrid/>
        </w:rPr>
        <w:t xml:space="preserve">42.  </w:t>
      </w:r>
      <w:r>
        <w:rPr>
          <w:rFonts w:hint="eastAsia"/>
          <w:snapToGrid/>
        </w:rPr>
        <w:t>委员会注意到作为积极的方面在全国儿童保护局主席的监视下设立了一个由多领域成员组成的小组委员会对前儿童战斗员进行深入评估并给予心理社会支持，并还拟定了关于儿童战斗员保护性照料、康复和融合指南。委员会表示关注的是在向成千上万名前儿童士兵提供其所急需的心理社会支持方面的进展缓慢，委员会还对心理保健服务不足表示关注。</w:t>
      </w:r>
    </w:p>
    <w:p w:rsidR="00E17494" w:rsidRDefault="00E17494">
      <w:pPr>
        <w:pStyle w:val="SingleTxtGC"/>
        <w:rPr>
          <w:rFonts w:eastAsia="SimHei" w:hint="eastAsia"/>
          <w:snapToGrid/>
          <w:szCs w:val="16"/>
        </w:rPr>
      </w:pPr>
      <w:r>
        <w:rPr>
          <w:rFonts w:eastAsia="SimHei" w:hint="eastAsia"/>
          <w:snapToGrid/>
        </w:rPr>
        <w:t xml:space="preserve">43.  </w:t>
      </w:r>
      <w:r>
        <w:rPr>
          <w:rFonts w:eastAsia="SimHei" w:hint="eastAsia"/>
          <w:snapToGrid/>
        </w:rPr>
        <w:t>委员会促请缔约国加强能够向儿童提供的心理社会援助，雇用更多的精神保健工作人员及其他专业化专业人员为武装冲突的儿童受害者工作。委员会鼓励缔约国寻求这方面的技术援助。</w:t>
      </w:r>
    </w:p>
    <w:p w:rsidR="00E17494" w:rsidRDefault="00E17494">
      <w:pPr>
        <w:pStyle w:val="H23GC"/>
        <w:rPr>
          <w:rFonts w:hint="eastAsia"/>
          <w:snapToGrid/>
          <w:szCs w:val="16"/>
        </w:rPr>
      </w:pPr>
      <w:r>
        <w:rPr>
          <w:rFonts w:hint="eastAsia"/>
          <w:snapToGrid/>
        </w:rPr>
        <w:tab/>
      </w:r>
      <w:r>
        <w:rPr>
          <w:rFonts w:hint="eastAsia"/>
          <w:snapToGrid/>
        </w:rPr>
        <w:tab/>
      </w:r>
      <w:r>
        <w:rPr>
          <w:rFonts w:hint="eastAsia"/>
          <w:snapToGrid/>
        </w:rPr>
        <w:t>小武器</w:t>
      </w:r>
    </w:p>
    <w:p w:rsidR="00E17494" w:rsidRDefault="00E17494">
      <w:pPr>
        <w:pStyle w:val="SingleTxtGC"/>
        <w:rPr>
          <w:rFonts w:hint="eastAsia"/>
          <w:snapToGrid/>
          <w:szCs w:val="16"/>
        </w:rPr>
      </w:pPr>
      <w:r>
        <w:rPr>
          <w:rFonts w:hint="eastAsia"/>
          <w:snapToGrid/>
        </w:rPr>
        <w:t xml:space="preserve">44.  </w:t>
      </w:r>
      <w:r>
        <w:rPr>
          <w:rFonts w:hint="eastAsia"/>
          <w:snapToGrid/>
        </w:rPr>
        <w:t>委员会注意到缔约国对《从各个方面防止、打击和消除小武器和轻武器非法贸易的行动纲领》的承诺，并于</w:t>
      </w:r>
      <w:r>
        <w:rPr>
          <w:rFonts w:hint="eastAsia"/>
          <w:snapToGrid/>
        </w:rPr>
        <w:t>2004</w:t>
      </w:r>
      <w:r>
        <w:rPr>
          <w:rFonts w:hint="eastAsia"/>
          <w:snapToGrid/>
        </w:rPr>
        <w:t>年设立了一个小武器问题全国委员会，委员会关注的是缔约国内非法小武器泛滥成灾，继续对儿童的安全和治安造成了重大的威胁。</w:t>
      </w:r>
    </w:p>
    <w:p w:rsidR="00E17494" w:rsidRPr="00E17494" w:rsidRDefault="00E17494">
      <w:pPr>
        <w:pStyle w:val="SingleTxtGC"/>
        <w:rPr>
          <w:rFonts w:eastAsia="SimHei" w:hint="eastAsia"/>
          <w:snapToGrid/>
          <w:szCs w:val="16"/>
        </w:rPr>
      </w:pPr>
      <w:r w:rsidRPr="00E17494">
        <w:rPr>
          <w:rFonts w:eastAsia="SimHei" w:hint="eastAsia"/>
          <w:snapToGrid/>
        </w:rPr>
        <w:t xml:space="preserve">45.  </w:t>
      </w:r>
      <w:r w:rsidRPr="00E17494">
        <w:rPr>
          <w:rFonts w:eastAsia="SimHei" w:hint="eastAsia"/>
          <w:snapToGrid/>
        </w:rPr>
        <w:t>委员会促请缔约国尽快为消除和控制武器的获得，包括小武器，制定一项政策并确保只有在严格的政府控制下才可以进行小武器的买卖。</w:t>
      </w:r>
    </w:p>
    <w:p w:rsidR="00E17494" w:rsidRDefault="00E17494">
      <w:pPr>
        <w:pStyle w:val="HChGC"/>
        <w:rPr>
          <w:rFonts w:hint="eastAsia"/>
          <w:snapToGrid/>
          <w:szCs w:val="16"/>
        </w:rPr>
      </w:pPr>
      <w:r>
        <w:rPr>
          <w:rFonts w:hint="eastAsia"/>
          <w:snapToGrid/>
        </w:rPr>
        <w:tab/>
      </w:r>
      <w:r>
        <w:rPr>
          <w:rFonts w:hint="eastAsia"/>
          <w:snapToGrid/>
        </w:rPr>
        <w:t>六</w:t>
      </w:r>
      <w:r>
        <w:rPr>
          <w:rFonts w:hint="eastAsia"/>
          <w:snapToGrid/>
        </w:rPr>
        <w:t>.</w:t>
      </w:r>
      <w:r>
        <w:rPr>
          <w:rFonts w:hint="eastAsia"/>
          <w:snapToGrid/>
        </w:rPr>
        <w:tab/>
      </w:r>
      <w:r>
        <w:rPr>
          <w:rFonts w:hint="eastAsia"/>
          <w:snapToGrid/>
        </w:rPr>
        <w:t>国际援助与合作</w:t>
      </w:r>
    </w:p>
    <w:p w:rsidR="00E17494" w:rsidRDefault="00E17494">
      <w:pPr>
        <w:pStyle w:val="SingleTxtGC"/>
        <w:rPr>
          <w:rFonts w:eastAsia="SimHei" w:hint="eastAsia"/>
          <w:snapToGrid/>
          <w:szCs w:val="16"/>
        </w:rPr>
      </w:pPr>
      <w:r>
        <w:rPr>
          <w:rFonts w:hint="eastAsia"/>
          <w:snapToGrid/>
        </w:rPr>
        <w:t xml:space="preserve">46. </w:t>
      </w:r>
      <w:r>
        <w:rPr>
          <w:rFonts w:eastAsia="SimHei" w:hint="eastAsia"/>
          <w:snapToGrid/>
        </w:rPr>
        <w:t xml:space="preserve"> </w:t>
      </w:r>
      <w:r>
        <w:rPr>
          <w:rFonts w:eastAsia="SimHei" w:hint="eastAsia"/>
          <w:snapToGrid/>
        </w:rPr>
        <w:t>根据安全理事会第</w:t>
      </w:r>
      <w:r>
        <w:rPr>
          <w:rFonts w:eastAsia="SimHei" w:hint="eastAsia"/>
          <w:snapToGrid/>
        </w:rPr>
        <w:t>1882(2009</w:t>
      </w:r>
      <w:r>
        <w:rPr>
          <w:rFonts w:eastAsia="SimHei" w:hint="eastAsia"/>
          <w:snapToGrid/>
        </w:rPr>
        <w:t>年</w:t>
      </w:r>
      <w:r>
        <w:rPr>
          <w:rFonts w:eastAsia="SimHei" w:hint="eastAsia"/>
          <w:snapToGrid/>
        </w:rPr>
        <w:t>)</w:t>
      </w:r>
      <w:r>
        <w:rPr>
          <w:rFonts w:eastAsia="SimHei" w:hint="eastAsia"/>
          <w:snapToGrid/>
        </w:rPr>
        <w:t>号决议，委员会鼓励缔约国在制定与执行旨在充分实施《任择议定书》的各项措施时，继续与联合国各机构与方案进行合作，特别与人权事务高级专员办事处和儿童基金会进行合作，与非政府组织进行合作，并且进一步加强和关于儿童与武装冲突问题秘书长特别代表的合作。</w:t>
      </w:r>
    </w:p>
    <w:p w:rsidR="00E17494" w:rsidRDefault="00E17494">
      <w:pPr>
        <w:pStyle w:val="SingleTxtGC"/>
        <w:rPr>
          <w:rFonts w:hint="eastAsia"/>
          <w:snapToGrid/>
          <w:szCs w:val="16"/>
        </w:rPr>
      </w:pPr>
      <w:r>
        <w:rPr>
          <w:rFonts w:eastAsia="SimHei" w:hint="eastAsia"/>
          <w:snapToGrid/>
        </w:rPr>
        <w:t xml:space="preserve">47.  </w:t>
      </w:r>
      <w:r>
        <w:rPr>
          <w:rFonts w:eastAsia="SimHei" w:hint="eastAsia"/>
          <w:snapToGrid/>
        </w:rPr>
        <w:t>委员会建议缔约国批准《国际刑事法院罗马规约》。</w:t>
      </w:r>
    </w:p>
    <w:p w:rsidR="00E17494" w:rsidRDefault="00E17494">
      <w:pPr>
        <w:pStyle w:val="HChGC"/>
        <w:rPr>
          <w:rFonts w:hint="eastAsia"/>
          <w:snapToGrid/>
          <w:szCs w:val="16"/>
        </w:rPr>
      </w:pPr>
      <w:r>
        <w:rPr>
          <w:rFonts w:hint="eastAsia"/>
          <w:snapToGrid/>
        </w:rPr>
        <w:tab/>
      </w:r>
      <w:r>
        <w:rPr>
          <w:rFonts w:hint="eastAsia"/>
          <w:snapToGrid/>
        </w:rPr>
        <w:t>七</w:t>
      </w:r>
      <w:r>
        <w:rPr>
          <w:rFonts w:hint="eastAsia"/>
          <w:snapToGrid/>
        </w:rPr>
        <w:t>.</w:t>
      </w:r>
      <w:r>
        <w:rPr>
          <w:rFonts w:hint="eastAsia"/>
          <w:snapToGrid/>
        </w:rPr>
        <w:tab/>
      </w:r>
      <w:r>
        <w:rPr>
          <w:rFonts w:hint="eastAsia"/>
          <w:snapToGrid/>
        </w:rPr>
        <w:t>后续行动与宣传</w:t>
      </w:r>
    </w:p>
    <w:p w:rsidR="00E17494" w:rsidRDefault="00E17494">
      <w:pPr>
        <w:pStyle w:val="SingleTxtGC"/>
        <w:rPr>
          <w:rFonts w:eastAsia="SimHei" w:hint="eastAsia"/>
          <w:snapToGrid/>
          <w:szCs w:val="16"/>
        </w:rPr>
      </w:pPr>
      <w:r>
        <w:rPr>
          <w:rFonts w:eastAsia="SimHei" w:hint="eastAsia"/>
          <w:snapToGrid/>
        </w:rPr>
        <w:t xml:space="preserve">48.  </w:t>
      </w:r>
      <w:r>
        <w:rPr>
          <w:rFonts w:eastAsia="SimHei" w:hint="eastAsia"/>
          <w:snapToGrid/>
        </w:rPr>
        <w:t>委员会建议该缔约国采取一切适当措施确保彻底执行本建议，其中主要将本建议传达到国防部、最高法院、内阁成员和议会成员，并传达到所有有关国家和地区当局，供其适当考虑并进一步采取行动。</w:t>
      </w:r>
    </w:p>
    <w:p w:rsidR="00E17494" w:rsidRDefault="00E17494">
      <w:pPr>
        <w:pStyle w:val="SingleTxtGC"/>
        <w:rPr>
          <w:rFonts w:eastAsia="SimHei" w:hint="eastAsia"/>
          <w:snapToGrid/>
          <w:szCs w:val="16"/>
        </w:rPr>
      </w:pPr>
      <w:r>
        <w:rPr>
          <w:rFonts w:eastAsia="SimHei" w:hint="eastAsia"/>
          <w:snapToGrid/>
        </w:rPr>
        <w:t xml:space="preserve">49.  </w:t>
      </w:r>
      <w:r>
        <w:rPr>
          <w:rFonts w:eastAsia="SimHei" w:hint="eastAsia"/>
          <w:snapToGrid/>
        </w:rPr>
        <w:t>委员会建议向广大公众，通过互联网</w:t>
      </w:r>
      <w:r>
        <w:rPr>
          <w:rFonts w:eastAsia="SimHei" w:hint="eastAsia"/>
          <w:snapToGrid/>
        </w:rPr>
        <w:t>(</w:t>
      </w:r>
      <w:r>
        <w:rPr>
          <w:rFonts w:eastAsia="SimHei" w:hint="eastAsia"/>
          <w:snapToGrid/>
        </w:rPr>
        <w:t>但不仅限于</w:t>
      </w:r>
      <w:r>
        <w:rPr>
          <w:rFonts w:eastAsia="SimHei" w:hint="eastAsia"/>
          <w:snapToGrid/>
        </w:rPr>
        <w:t>)</w:t>
      </w:r>
      <w:r>
        <w:rPr>
          <w:rFonts w:eastAsia="SimHei" w:hint="eastAsia"/>
          <w:snapToGrid/>
        </w:rPr>
        <w:t>向民众社会组织、青年团体、专业团体广泛宣传本初次报告及缔约国提交的书面答复以及委员会通过的有关结论性意见以引发对《任择议定书》其实施和监督的讨论与认识。</w:t>
      </w:r>
    </w:p>
    <w:p w:rsidR="00E17494" w:rsidRDefault="00E17494">
      <w:pPr>
        <w:pStyle w:val="HChGC"/>
        <w:rPr>
          <w:rFonts w:hint="eastAsia"/>
          <w:snapToGrid/>
          <w:szCs w:val="16"/>
        </w:rPr>
      </w:pPr>
      <w:r>
        <w:rPr>
          <w:rFonts w:hint="eastAsia"/>
          <w:snapToGrid/>
        </w:rPr>
        <w:tab/>
      </w:r>
      <w:r>
        <w:rPr>
          <w:rFonts w:hint="eastAsia"/>
          <w:snapToGrid/>
        </w:rPr>
        <w:t>八</w:t>
      </w:r>
      <w:r>
        <w:rPr>
          <w:rFonts w:hint="eastAsia"/>
          <w:snapToGrid/>
        </w:rPr>
        <w:t>.</w:t>
      </w:r>
      <w:r>
        <w:rPr>
          <w:rFonts w:hint="eastAsia"/>
          <w:snapToGrid/>
        </w:rPr>
        <w:tab/>
      </w:r>
      <w:r>
        <w:rPr>
          <w:rFonts w:hint="eastAsia"/>
          <w:snapToGrid/>
        </w:rPr>
        <w:t>下次报告</w:t>
      </w:r>
    </w:p>
    <w:p w:rsidR="00E17494" w:rsidRDefault="00E17494">
      <w:pPr>
        <w:pStyle w:val="SingleTxtGC"/>
        <w:rPr>
          <w:rFonts w:eastAsia="SimHei" w:hint="eastAsia"/>
          <w:snapToGrid/>
        </w:rPr>
      </w:pPr>
      <w:r>
        <w:rPr>
          <w:rFonts w:eastAsia="SimHei" w:hint="eastAsia"/>
          <w:snapToGrid/>
        </w:rPr>
        <w:t xml:space="preserve">50.  </w:t>
      </w:r>
      <w:r>
        <w:rPr>
          <w:rFonts w:eastAsia="SimHei" w:hint="eastAsia"/>
          <w:snapToGrid/>
        </w:rPr>
        <w:t>根据第</w:t>
      </w:r>
      <w:r>
        <w:rPr>
          <w:rFonts w:eastAsia="SimHei" w:hint="eastAsia"/>
          <w:snapToGrid/>
        </w:rPr>
        <w:t>8</w:t>
      </w:r>
      <w:r>
        <w:rPr>
          <w:rFonts w:eastAsia="SimHei" w:hint="eastAsia"/>
          <w:snapToGrid/>
        </w:rPr>
        <w:t>条第</w:t>
      </w:r>
      <w:r>
        <w:rPr>
          <w:rFonts w:eastAsia="SimHei" w:hint="eastAsia"/>
          <w:snapToGrid/>
        </w:rPr>
        <w:t>2</w:t>
      </w:r>
      <w:r>
        <w:rPr>
          <w:rFonts w:eastAsia="SimHei" w:hint="eastAsia"/>
          <w:snapToGrid/>
        </w:rPr>
        <w:t>款，委员会请缔约国根据《公约》在于</w:t>
      </w:r>
      <w:r>
        <w:rPr>
          <w:rFonts w:eastAsia="SimHei" w:hint="eastAsia"/>
          <w:snapToGrid/>
        </w:rPr>
        <w:t>2015</w:t>
      </w:r>
      <w:r>
        <w:rPr>
          <w:rFonts w:eastAsia="SimHei" w:hint="eastAsia"/>
          <w:snapToGrid/>
        </w:rPr>
        <w:t>年</w:t>
      </w:r>
      <w:r>
        <w:rPr>
          <w:rFonts w:eastAsia="SimHei" w:hint="eastAsia"/>
          <w:snapToGrid/>
        </w:rPr>
        <w:t>10</w:t>
      </w:r>
      <w:r>
        <w:rPr>
          <w:rFonts w:eastAsia="SimHei" w:hint="eastAsia"/>
          <w:snapToGrid/>
        </w:rPr>
        <w:t>月</w:t>
      </w:r>
      <w:r>
        <w:rPr>
          <w:rFonts w:eastAsia="SimHei" w:hint="eastAsia"/>
          <w:snapToGrid/>
        </w:rPr>
        <w:t>1</w:t>
      </w:r>
      <w:r>
        <w:rPr>
          <w:rFonts w:eastAsia="SimHei" w:hint="eastAsia"/>
          <w:snapToGrid/>
        </w:rPr>
        <w:t>日到期之前提交的下次定期报告中进一步纳入关于实施《议定书》及这些结论性意见的资料。委员会进一步请求缔约国尽快按照《儿童公约权利关于买卖儿童、儿童卖淫和儿童色情制品问题任择议定书》提交将于</w:t>
      </w:r>
      <w:r>
        <w:rPr>
          <w:rFonts w:eastAsia="SimHei" w:hint="eastAsia"/>
          <w:snapToGrid/>
        </w:rPr>
        <w:t>2008</w:t>
      </w:r>
      <w:r>
        <w:rPr>
          <w:rFonts w:eastAsia="SimHei" w:hint="eastAsia"/>
          <w:snapToGrid/>
        </w:rPr>
        <w:t>年</w:t>
      </w:r>
      <w:r>
        <w:rPr>
          <w:rFonts w:eastAsia="SimHei" w:hint="eastAsia"/>
          <w:snapToGrid/>
        </w:rPr>
        <w:t>10</w:t>
      </w:r>
      <w:r>
        <w:rPr>
          <w:rFonts w:eastAsia="SimHei" w:hint="eastAsia"/>
          <w:snapToGrid/>
        </w:rPr>
        <w:t>月</w:t>
      </w:r>
      <w:r>
        <w:rPr>
          <w:rFonts w:eastAsia="SimHei" w:hint="eastAsia"/>
          <w:snapToGrid/>
        </w:rPr>
        <w:t>22</w:t>
      </w:r>
      <w:r>
        <w:rPr>
          <w:rFonts w:eastAsia="SimHei" w:hint="eastAsia"/>
          <w:snapToGrid/>
        </w:rPr>
        <w:t>日到期的初次报告。</w:t>
      </w:r>
    </w:p>
    <w:p w:rsidR="00E17494" w:rsidRDefault="00E17494">
      <w:pPr>
        <w:pStyle w:val="SingleTxtGC"/>
        <w:rPr>
          <w:snapToGrid/>
          <w:color w:val="888888"/>
          <w:sz w:val="13"/>
          <w:szCs w:val="13"/>
        </w:rPr>
      </w:pPr>
    </w:p>
    <w:p w:rsidR="00E17494" w:rsidRDefault="00E1749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17494" w:rsidRDefault="00E17494">
      <w:pPr>
        <w:spacing w:before="240"/>
        <w:jc w:val="center"/>
      </w:pPr>
    </w:p>
    <w:sectPr w:rsidR="00E1749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94" w:rsidRDefault="00E17494">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17494" w:rsidRDefault="00E1749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4" w:rsidRDefault="00E17494">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730E00">
      <w:rPr>
        <w:rStyle w:val="PageNumber"/>
        <w:noProof/>
      </w:rPr>
      <w:t>8</w:t>
    </w:r>
    <w:r>
      <w:rPr>
        <w:rStyle w:val="PageNumber"/>
      </w:rPr>
      <w:fldChar w:fldCharType="end"/>
    </w:r>
    <w:r>
      <w:rPr>
        <w:rStyle w:val="PageNumber"/>
        <w:rFonts w:eastAsia="SimSun" w:hint="eastAsia"/>
        <w:lang w:eastAsia="zh-CN"/>
      </w:rPr>
      <w:tab/>
    </w:r>
    <w:r>
      <w:rPr>
        <w:rFonts w:eastAsia="SimSun"/>
        <w:lang w:eastAsia="zh-CN"/>
      </w:rPr>
      <w:t>GE.10-45814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4" w:rsidRDefault="00E17494">
    <w:pPr>
      <w:pStyle w:val="Footer"/>
      <w:tabs>
        <w:tab w:val="right" w:pos="9639"/>
      </w:tabs>
    </w:pPr>
    <w:r>
      <w:rPr>
        <w:rFonts w:eastAsia="SimSun"/>
        <w:lang w:eastAsia="zh-CN"/>
      </w:rPr>
      <w:t>GE.10-45814</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730E00">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4" w:rsidRDefault="00E17494">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10</w:t>
    </w:r>
    <w:r>
      <w:rPr>
        <w:rFonts w:eastAsia="SimSun"/>
        <w:sz w:val="20"/>
        <w:lang w:eastAsia="zh-CN"/>
      </w:rPr>
      <w:t>-</w:t>
    </w:r>
    <w:r>
      <w:rPr>
        <w:rFonts w:eastAsia="SimSun" w:hint="eastAsia"/>
        <w:sz w:val="20"/>
        <w:lang w:eastAsia="zh-CN"/>
      </w:rPr>
      <w:t>45814</w:t>
    </w:r>
    <w:r>
      <w:rPr>
        <w:rFonts w:eastAsia="SimSun"/>
        <w:sz w:val="20"/>
        <w:lang w:eastAsia="zh-CN"/>
      </w:rPr>
      <w:t xml:space="preserve"> (C)</w:t>
    </w:r>
    <w:r>
      <w:rPr>
        <w:rFonts w:eastAsia="SimSun"/>
        <w:sz w:val="20"/>
        <w:lang w:eastAsia="zh-CN"/>
      </w:rPr>
      <w:tab/>
    </w:r>
    <w:r>
      <w:rPr>
        <w:rFonts w:eastAsia="SimSun" w:hint="eastAsia"/>
        <w:sz w:val="20"/>
        <w:lang w:eastAsia="zh-CN"/>
      </w:rPr>
      <w:t>101110</w:t>
    </w:r>
    <w:r>
      <w:rPr>
        <w:rFonts w:eastAsia="SimSun"/>
        <w:sz w:val="20"/>
        <w:lang w:eastAsia="zh-CN"/>
      </w:rPr>
      <w:tab/>
    </w:r>
    <w:r>
      <w:rPr>
        <w:rFonts w:eastAsia="SimSun" w:hint="eastAsia"/>
        <w:sz w:val="20"/>
        <w:lang w:eastAsia="zh-CN"/>
      </w:rPr>
      <w:t>111110</w:t>
    </w:r>
    <w:r>
      <w:rPr>
        <w:rFonts w:eastAsia="SimSun"/>
        <w:sz w:val="20"/>
        <w:lang w:eastAsia="zh-CN"/>
      </w:rPr>
      <w:tab/>
    </w:r>
    <w:r>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94" w:rsidRDefault="00E1749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E17494" w:rsidRDefault="00E17494">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4" w:rsidRDefault="00E17494">
    <w:pPr>
      <w:pStyle w:val="Header"/>
    </w:pPr>
    <w:r>
      <w:t>CRC/C/OPAC/LKA/CO/1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4" w:rsidRDefault="00E17494">
    <w:pPr>
      <w:pStyle w:val="Header"/>
      <w:jc w:val="right"/>
      <w:rPr>
        <w:rFonts w:hint="eastAsia"/>
        <w:lang w:eastAsia="zh-CN"/>
      </w:rPr>
    </w:pPr>
    <w:r>
      <w:rPr>
        <w:lang w:eastAsia="zh-CN"/>
      </w:rPr>
      <w:t>CRC/C/OPAC/LKA/CO/1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4" w:rsidRDefault="00E17494">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2">
    <w:nsid w:val="149014E2"/>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AEC602B"/>
    <w:multiLevelType w:val="hybridMultilevel"/>
    <w:tmpl w:val="42D07318"/>
    <w:lvl w:ilvl="0" w:tplc="BD40C93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19">
    <w:nsid w:val="630B770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26B3A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1"/>
  </w:num>
  <w:num w:numId="13">
    <w:abstractNumId w:val="12"/>
  </w:num>
  <w:num w:numId="14">
    <w:abstractNumId w:val="11"/>
  </w:num>
  <w:num w:numId="15">
    <w:abstractNumId w:val="13"/>
  </w:num>
  <w:num w:numId="16">
    <w:abstractNumId w:val="20"/>
  </w:num>
  <w:num w:numId="17">
    <w:abstractNumId w:val="11"/>
  </w:num>
  <w:num w:numId="18">
    <w:abstractNumId w:val="20"/>
  </w:num>
  <w:num w:numId="19">
    <w:abstractNumId w:val="13"/>
  </w:num>
  <w:num w:numId="20">
    <w:abstractNumId w:val="13"/>
  </w:num>
  <w:num w:numId="21">
    <w:abstractNumId w:val="18"/>
  </w:num>
  <w:num w:numId="22">
    <w:abstractNumId w:val="16"/>
  </w:num>
  <w:num w:numId="23">
    <w:abstractNumId w:val="14"/>
  </w:num>
  <w:num w:numId="24">
    <w:abstractNumId w:val="17"/>
  </w:num>
  <w:num w:numId="25">
    <w:abstractNumId w:val="10"/>
  </w:num>
  <w:num w:numId="26">
    <w:abstractNumId w:val="15"/>
  </w:num>
  <w:num w:numId="27">
    <w:abstractNumId w:val="22"/>
  </w:num>
  <w:num w:numId="28">
    <w:abstractNumId w:val="17"/>
  </w:num>
  <w:num w:numId="29">
    <w:abstractNumId w:val="10"/>
  </w:num>
  <w:num w:numId="30">
    <w:abstractNumId w:val="15"/>
  </w:num>
  <w:num w:numId="31">
    <w:abstractNumId w:val="22"/>
  </w:num>
  <w:num w:numId="32">
    <w:abstractNumId w:val="18"/>
  </w:num>
  <w:num w:numId="33">
    <w:abstractNumId w:val="16"/>
  </w:num>
  <w:num w:numId="34">
    <w:abstractNumId w:val="14"/>
  </w:num>
  <w:num w:numId="35">
    <w:abstractNumId w:val="17"/>
  </w:num>
  <w:num w:numId="36">
    <w:abstractNumId w:val="10"/>
  </w:num>
  <w:num w:numId="37">
    <w:abstractNumId w:val="15"/>
  </w:num>
  <w:num w:numId="38">
    <w:abstractNumId w:val="22"/>
  </w:num>
  <w:num w:numId="39">
    <w:abstractNumId w:val="11"/>
  </w:num>
  <w:num w:numId="40">
    <w:abstractNumId w:val="20"/>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494"/>
    <w:rsid w:val="00730E00"/>
    <w:rsid w:val="00E174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pPr>
      <w:numPr>
        <w:numId w:val="41"/>
      </w:numPr>
      <w:spacing w:after="120"/>
      <w:ind w:right="1134"/>
    </w:pPr>
    <w:rPr>
      <w:lang w:val="fr-CH"/>
    </w:rPr>
  </w:style>
  <w:style w:type="paragraph" w:styleId="FootnoteText">
    <w:name w:val="footnote text"/>
    <w:basedOn w:val="Normal"/>
    <w:pPr>
      <w:tabs>
        <w:tab w:val="clear" w:pos="431"/>
        <w:tab w:val="right" w:pos="1021"/>
      </w:tabs>
      <w:spacing w:after="120" w:line="240" w:lineRule="exact"/>
      <w:ind w:left="1134" w:right="1134" w:hanging="1134"/>
    </w:pPr>
    <w:rPr>
      <w:sz w:val="18"/>
    </w:rPr>
  </w:style>
  <w:style w:type="character" w:styleId="FootnoteReference">
    <w:name w:val="footnote reference"/>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pPr>
      <w:ind w:left="1565"/>
    </w:pPr>
  </w:style>
  <w:style w:type="paragraph" w:styleId="EndnoteText">
    <w:name w:val="endnote text"/>
    <w:basedOn w:val="FootnoteText"/>
    <w:pPr>
      <w:tabs>
        <w:tab w:val="right" w:pos="1021"/>
      </w:tabs>
    </w:pPr>
  </w:style>
  <w:style w:type="character" w:styleId="EndnoteReference">
    <w:name w:val="endnote reference"/>
    <w:basedOn w:val="FootnoteReference"/>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pPr>
      <w:spacing w:before="80" w:after="80" w:line="200" w:lineRule="exact"/>
      <w:ind w:left="0" w:right="113"/>
    </w:pPr>
    <w:rPr>
      <w:rFonts w:eastAsia="KaiTi_GB2312"/>
      <w:sz w:val="18"/>
    </w:rPr>
  </w:style>
  <w:style w:type="paragraph" w:customStyle="1" w:styleId="a1">
    <w:name w:val="目录段页次"/>
    <w:basedOn w:val="Normal"/>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pPr>
      <w:spacing w:line="240" w:lineRule="auto"/>
    </w:pPr>
    <w:rPr>
      <w:rFonts w:eastAsia="Times New Roman"/>
      <w:sz w:val="16"/>
      <w:lang w:val="en-GB" w:eastAsia="en-US"/>
    </w:rPr>
  </w:style>
  <w:style w:type="character" w:styleId="PageNumber">
    <w:name w:val="page number"/>
    <w:rPr>
      <w:rFonts w:ascii="Times New Roman" w:hAnsi="Times New Roman"/>
      <w:b/>
      <w:spacing w:val="0"/>
      <w:kern w:val="0"/>
      <w:sz w:val="18"/>
    </w:rPr>
  </w:style>
  <w:style w:type="paragraph" w:styleId="Header">
    <w:name w:val="header"/>
    <w:basedOn w:val="Normal"/>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pPr>
      <w:numPr>
        <w:numId w:val="39"/>
      </w:numPr>
      <w:spacing w:after="120"/>
      <w:ind w:right="1134"/>
    </w:pPr>
  </w:style>
  <w:style w:type="paragraph" w:customStyle="1" w:styleId="Bullet2GC">
    <w:name w:val="_Bullet 2_GC"/>
    <w:basedOn w:val="Normal"/>
    <w:pPr>
      <w:numPr>
        <w:numId w:val="40"/>
      </w:numPr>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pPr>
      <w:tabs>
        <w:tab w:val="left" w:pos="1134"/>
        <w:tab w:val="left" w:pos="1565"/>
        <w:tab w:val="left" w:pos="1996"/>
        <w:tab w:val="left" w:pos="2427"/>
      </w:tabs>
      <w:spacing w:after="120"/>
      <w:ind w:left="1134" w:right="1134"/>
    </w:pPr>
  </w:style>
  <w:style w:type="paragraph" w:customStyle="1" w:styleId="SLGC">
    <w:name w:val="__S_L_GC"/>
    <w:basedOn w:val="Normal"/>
    <w:next w:val="SingleTxtG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pPr>
      <w:keepNext/>
      <w:keepLines/>
      <w:spacing w:before="240" w:after="240" w:line="420" w:lineRule="exact"/>
      <w:ind w:left="1134" w:right="1134"/>
      <w:jc w:val="left"/>
    </w:pPr>
    <w:rPr>
      <w:rFonts w:eastAsia="SimHei"/>
      <w:sz w:val="40"/>
    </w:rPr>
  </w:style>
  <w:style w:type="paragraph" w:customStyle="1" w:styleId="a3">
    <w:name w:val="悬挂"/>
    <w:basedOn w:val="SingleTxtGC"/>
    <w:pPr>
      <w:ind w:left="1565" w:hanging="431"/>
    </w:pPr>
  </w:style>
  <w:style w:type="paragraph" w:customStyle="1" w:styleId="a4">
    <w:name w:val="表中文字"/>
    <w:basedOn w:val="SingleTxtGC"/>
    <w:pPr>
      <w:spacing w:before="40" w:line="240" w:lineRule="atLeast"/>
      <w:ind w:left="0" w:right="113"/>
    </w:pPr>
    <w:rPr>
      <w:sz w:val="18"/>
    </w:rPr>
  </w:style>
  <w:style w:type="paragraph" w:customStyle="1" w:styleId="a5">
    <w:name w:val="表数文字"/>
    <w:basedOn w:val="SingleTxtGC"/>
    <w:pPr>
      <w:spacing w:before="40" w:after="40" w:line="240" w:lineRule="atLeast"/>
      <w:ind w:left="0" w:right="113"/>
    </w:pPr>
    <w:rPr>
      <w:sz w:val="18"/>
    </w:rPr>
  </w:style>
  <w:style w:type="table" w:styleId="TableGrid">
    <w:name w:val="Table Grid"/>
    <w:basedOn w:val="TableNormal"/>
    <w:semiHidden/>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7441">
      <w:bodyDiv w:val="1"/>
      <w:marLeft w:val="0"/>
      <w:marRight w:val="0"/>
      <w:marTop w:val="0"/>
      <w:marBottom w:val="0"/>
      <w:divBdr>
        <w:top w:val="none" w:sz="0" w:space="0" w:color="auto"/>
        <w:left w:val="none" w:sz="0" w:space="0" w:color="auto"/>
        <w:bottom w:val="none" w:sz="0" w:space="0" w:color="auto"/>
        <w:right w:val="none" w:sz="0" w:space="0" w:color="auto"/>
      </w:divBdr>
      <w:divsChild>
        <w:div w:id="1760785617">
          <w:marLeft w:val="0"/>
          <w:marRight w:val="0"/>
          <w:marTop w:val="0"/>
          <w:marBottom w:val="0"/>
          <w:divBdr>
            <w:top w:val="none" w:sz="0" w:space="0" w:color="auto"/>
            <w:left w:val="none" w:sz="0" w:space="0" w:color="auto"/>
            <w:bottom w:val="none" w:sz="0" w:space="0" w:color="auto"/>
            <w:right w:val="none" w:sz="0" w:space="0" w:color="auto"/>
          </w:divBdr>
          <w:divsChild>
            <w:div w:id="89786441">
              <w:marLeft w:val="0"/>
              <w:marRight w:val="0"/>
              <w:marTop w:val="0"/>
              <w:marBottom w:val="0"/>
              <w:divBdr>
                <w:top w:val="none" w:sz="0" w:space="0" w:color="auto"/>
                <w:left w:val="none" w:sz="0" w:space="0" w:color="auto"/>
                <w:bottom w:val="none" w:sz="0" w:space="0" w:color="auto"/>
                <w:right w:val="none" w:sz="0" w:space="0" w:color="auto"/>
              </w:divBdr>
              <w:divsChild>
                <w:div w:id="1798258429">
                  <w:marLeft w:val="0"/>
                  <w:marRight w:val="0"/>
                  <w:marTop w:val="0"/>
                  <w:marBottom w:val="0"/>
                  <w:divBdr>
                    <w:top w:val="none" w:sz="0" w:space="0" w:color="auto"/>
                    <w:left w:val="none" w:sz="0" w:space="0" w:color="auto"/>
                    <w:bottom w:val="none" w:sz="0" w:space="0" w:color="auto"/>
                    <w:right w:val="none" w:sz="0" w:space="0" w:color="auto"/>
                  </w:divBdr>
                  <w:divsChild>
                    <w:div w:id="437065926">
                      <w:marLeft w:val="0"/>
                      <w:marRight w:val="0"/>
                      <w:marTop w:val="0"/>
                      <w:marBottom w:val="0"/>
                      <w:divBdr>
                        <w:top w:val="none" w:sz="0" w:space="0" w:color="auto"/>
                        <w:left w:val="none" w:sz="0" w:space="0" w:color="auto"/>
                        <w:bottom w:val="none" w:sz="0" w:space="0" w:color="auto"/>
                        <w:right w:val="none" w:sz="0" w:space="0" w:color="auto"/>
                      </w:divBdr>
                      <w:divsChild>
                        <w:div w:id="1676568334">
                          <w:marLeft w:val="0"/>
                          <w:marRight w:val="0"/>
                          <w:marTop w:val="0"/>
                          <w:marBottom w:val="0"/>
                          <w:divBdr>
                            <w:top w:val="none" w:sz="0" w:space="0" w:color="auto"/>
                            <w:left w:val="none" w:sz="0" w:space="0" w:color="auto"/>
                            <w:bottom w:val="none" w:sz="0" w:space="0" w:color="auto"/>
                            <w:right w:val="none" w:sz="0" w:space="0" w:color="auto"/>
                          </w:divBdr>
                          <w:divsChild>
                            <w:div w:id="1260480669">
                              <w:marLeft w:val="0"/>
                              <w:marRight w:val="0"/>
                              <w:marTop w:val="0"/>
                              <w:marBottom w:val="0"/>
                              <w:divBdr>
                                <w:top w:val="none" w:sz="0" w:space="0" w:color="auto"/>
                                <w:left w:val="none" w:sz="0" w:space="0" w:color="auto"/>
                                <w:bottom w:val="none" w:sz="0" w:space="0" w:color="auto"/>
                                <w:right w:val="none" w:sz="0" w:space="0" w:color="auto"/>
                              </w:divBdr>
                              <w:divsChild>
                                <w:div w:id="14557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9</Pages>
  <Words>1129</Words>
  <Characters>6440</Characters>
  <Application>Microsoft Office Word</Application>
  <DocSecurity>4</DocSecurity>
  <Lines>53</Lines>
  <Paragraphs>15</Paragraphs>
  <ScaleCrop>false</ScaleCrop>
  <Company>CSD</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BAI</dc:creator>
  <cp:keywords/>
  <dc:description/>
  <cp:lastModifiedBy>TIAN</cp:lastModifiedBy>
  <cp:revision>2</cp:revision>
  <cp:lastPrinted>2010-11-11T12:18:00Z</cp:lastPrinted>
  <dcterms:created xsi:type="dcterms:W3CDTF">2010-11-11T12:19:00Z</dcterms:created>
  <dcterms:modified xsi:type="dcterms:W3CDTF">2010-11-11T12:19:00Z</dcterms:modified>
</cp:coreProperties>
</file>