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060E82" w:rsidRPr="00DB58B5" w:rsidTr="00F51773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060E82" w:rsidRPr="00DB58B5" w:rsidRDefault="00060E82" w:rsidP="006A2FF6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060E82" w:rsidRPr="00DB58B5" w:rsidRDefault="00060E82" w:rsidP="006A2FF6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060E82" w:rsidRPr="00DB58B5" w:rsidRDefault="00B00253" w:rsidP="00B00253">
            <w:pPr>
              <w:jc w:val="right"/>
            </w:pPr>
            <w:r w:rsidRPr="00B00253">
              <w:rPr>
                <w:sz w:val="40"/>
              </w:rPr>
              <w:t>CRC</w:t>
            </w:r>
            <w:r>
              <w:t>/C/OPAC/PRY/Q/1</w:t>
            </w:r>
          </w:p>
        </w:tc>
      </w:tr>
      <w:tr w:rsidR="00060E82" w:rsidRPr="00DB58B5" w:rsidTr="006A2FF6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060E82" w:rsidRPr="00DB58B5" w:rsidRDefault="00060E82" w:rsidP="006A2FF6">
            <w:pPr>
              <w:spacing w:before="120"/>
              <w:jc w:val="center"/>
            </w:pPr>
            <w:r w:rsidRPr="00DB58B5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060E82" w:rsidRPr="00740562" w:rsidRDefault="00060E82" w:rsidP="006A2FF6">
            <w:pPr>
              <w:spacing w:before="120" w:line="460" w:lineRule="exact"/>
              <w:rPr>
                <w:b/>
                <w:sz w:val="40"/>
                <w:szCs w:val="40"/>
              </w:rPr>
            </w:pPr>
            <w:r w:rsidRPr="00262665">
              <w:rPr>
                <w:b/>
                <w:sz w:val="40"/>
                <w:szCs w:val="40"/>
              </w:rPr>
              <w:t>Convention relative</w:t>
            </w:r>
            <w:r w:rsidRPr="00262665">
              <w:rPr>
                <w:b/>
                <w:sz w:val="40"/>
                <w:szCs w:val="40"/>
              </w:rPr>
              <w:br/>
              <w:t>aux droits de l</w:t>
            </w:r>
            <w:r w:rsidR="00324BD9">
              <w:rPr>
                <w:b/>
                <w:sz w:val="40"/>
                <w:szCs w:val="40"/>
              </w:rPr>
              <w:t>’</w:t>
            </w:r>
            <w:r w:rsidRPr="00262665">
              <w:rPr>
                <w:b/>
                <w:sz w:val="40"/>
                <w:szCs w:val="40"/>
              </w:rPr>
              <w:t>enfant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B00253" w:rsidRDefault="00B00253" w:rsidP="006A2FF6">
            <w:pPr>
              <w:spacing w:before="240"/>
            </w:pPr>
            <w:r>
              <w:t>Distr. générale</w:t>
            </w:r>
          </w:p>
          <w:p w:rsidR="00B00253" w:rsidRDefault="00B00253" w:rsidP="00B00253">
            <w:pPr>
              <w:spacing w:line="240" w:lineRule="exact"/>
            </w:pPr>
            <w:r>
              <w:t>19 novembre 2012</w:t>
            </w:r>
          </w:p>
          <w:p w:rsidR="00B00253" w:rsidRDefault="00B00253" w:rsidP="00B00253">
            <w:pPr>
              <w:spacing w:line="240" w:lineRule="exact"/>
            </w:pPr>
            <w:r>
              <w:t>Français</w:t>
            </w:r>
          </w:p>
          <w:p w:rsidR="00060E82" w:rsidRPr="00DB58B5" w:rsidRDefault="00B00253" w:rsidP="00B00253">
            <w:pPr>
              <w:spacing w:line="240" w:lineRule="exact"/>
            </w:pPr>
            <w:r>
              <w:t>Original: espagnol</w:t>
            </w:r>
          </w:p>
        </w:tc>
      </w:tr>
    </w:tbl>
    <w:p w:rsidR="00F51773" w:rsidRPr="00F51773" w:rsidRDefault="00F51773" w:rsidP="00F51773">
      <w:pPr>
        <w:spacing w:before="120"/>
        <w:rPr>
          <w:b/>
          <w:sz w:val="24"/>
          <w:szCs w:val="24"/>
        </w:rPr>
      </w:pPr>
      <w:r w:rsidRPr="00F51773">
        <w:rPr>
          <w:b/>
          <w:sz w:val="24"/>
          <w:szCs w:val="24"/>
        </w:rPr>
        <w:t>Comité des droits de l</w:t>
      </w:r>
      <w:r w:rsidR="00324BD9">
        <w:rPr>
          <w:b/>
          <w:sz w:val="24"/>
          <w:szCs w:val="24"/>
        </w:rPr>
        <w:t>’</w:t>
      </w:r>
      <w:r w:rsidRPr="00F51773">
        <w:rPr>
          <w:b/>
          <w:sz w:val="24"/>
          <w:szCs w:val="24"/>
        </w:rPr>
        <w:t>enfant</w:t>
      </w:r>
    </w:p>
    <w:p w:rsidR="00F51773" w:rsidRPr="00F51773" w:rsidRDefault="00584B22" w:rsidP="00F51773">
      <w:pPr>
        <w:rPr>
          <w:b/>
        </w:rPr>
      </w:pPr>
      <w:r>
        <w:rPr>
          <w:b/>
        </w:rPr>
        <w:t>Soixante-</w:t>
      </w:r>
      <w:r w:rsidR="00FB4983">
        <w:rPr>
          <w:b/>
        </w:rPr>
        <w:t>quatr</w:t>
      </w:r>
      <w:r w:rsidR="00B00253">
        <w:rPr>
          <w:b/>
        </w:rPr>
        <w:t xml:space="preserve">ième </w:t>
      </w:r>
      <w:r w:rsidR="00F51773" w:rsidRPr="00F51773">
        <w:rPr>
          <w:b/>
        </w:rPr>
        <w:t>session</w:t>
      </w:r>
    </w:p>
    <w:p w:rsidR="00F51773" w:rsidRDefault="00FB4983" w:rsidP="00F51773">
      <w:r>
        <w:t>16 septembre-4 octobre </w:t>
      </w:r>
      <w:r w:rsidR="00B00253">
        <w:t>2013</w:t>
      </w:r>
    </w:p>
    <w:p w:rsidR="00B00253" w:rsidRDefault="00B00253" w:rsidP="00F51773">
      <w:r>
        <w:t>Point 4 de l</w:t>
      </w:r>
      <w:r w:rsidR="00324BD9">
        <w:t>’</w:t>
      </w:r>
      <w:r>
        <w:t>ordre du jour provisoire</w:t>
      </w:r>
    </w:p>
    <w:p w:rsidR="00380D41" w:rsidRPr="00380D41" w:rsidRDefault="00380D41" w:rsidP="00F51773">
      <w:pPr>
        <w:rPr>
          <w:b/>
        </w:rPr>
      </w:pPr>
      <w:r w:rsidRPr="00380D41">
        <w:rPr>
          <w:b/>
        </w:rPr>
        <w:t xml:space="preserve">Examen des rapports </w:t>
      </w:r>
      <w:r w:rsidR="00584B22">
        <w:rPr>
          <w:b/>
        </w:rPr>
        <w:t xml:space="preserve">soumis par les </w:t>
      </w:r>
      <w:r w:rsidRPr="00380D41">
        <w:rPr>
          <w:b/>
        </w:rPr>
        <w:t>États parties</w:t>
      </w:r>
    </w:p>
    <w:p w:rsidR="009C765C" w:rsidRPr="009C765C" w:rsidRDefault="009C765C" w:rsidP="009C765C">
      <w:pPr>
        <w:pStyle w:val="HChG"/>
      </w:pPr>
      <w:r>
        <w:tab/>
      </w:r>
      <w:r>
        <w:tab/>
      </w:r>
      <w:r w:rsidRPr="009C765C">
        <w:t xml:space="preserve">Protocole facultatif à la Convention relative aux droits </w:t>
      </w:r>
      <w:r>
        <w:br/>
      </w:r>
      <w:r w:rsidRPr="009C765C">
        <w:t>de l</w:t>
      </w:r>
      <w:r w:rsidR="00324BD9">
        <w:t>’</w:t>
      </w:r>
      <w:r w:rsidRPr="009C765C">
        <w:t>enfant, concernant l</w:t>
      </w:r>
      <w:r w:rsidR="00324BD9">
        <w:t>’</w:t>
      </w:r>
      <w:r w:rsidRPr="009C765C">
        <w:t>implication d</w:t>
      </w:r>
      <w:r w:rsidR="00324BD9">
        <w:t>’</w:t>
      </w:r>
      <w:r w:rsidRPr="009C765C">
        <w:t xml:space="preserve">enfants </w:t>
      </w:r>
      <w:r>
        <w:br/>
      </w:r>
      <w:r w:rsidRPr="009C765C">
        <w:t>dans les conflits armés</w:t>
      </w:r>
    </w:p>
    <w:p w:rsidR="009C765C" w:rsidRPr="009C765C" w:rsidRDefault="009C765C" w:rsidP="009C765C">
      <w:pPr>
        <w:pStyle w:val="H1G"/>
      </w:pPr>
      <w:r>
        <w:tab/>
      </w:r>
      <w:r>
        <w:tab/>
      </w:r>
      <w:r w:rsidRPr="009C765C">
        <w:t>Liste de</w:t>
      </w:r>
      <w:r w:rsidR="00117508">
        <w:t>s</w:t>
      </w:r>
      <w:r w:rsidRPr="009C765C">
        <w:t xml:space="preserve"> points à traiter à l</w:t>
      </w:r>
      <w:r w:rsidR="00324BD9">
        <w:t>’</w:t>
      </w:r>
      <w:r w:rsidRPr="009C765C">
        <w:t>occasion de l</w:t>
      </w:r>
      <w:r w:rsidR="00324BD9">
        <w:t>’</w:t>
      </w:r>
      <w:r w:rsidRPr="009C765C">
        <w:t xml:space="preserve">examen </w:t>
      </w:r>
      <w:r>
        <w:t xml:space="preserve">du rapport initial </w:t>
      </w:r>
      <w:r>
        <w:br/>
        <w:t>du Paraguay (CRC/C/OPAC/PRY/1)</w:t>
      </w:r>
    </w:p>
    <w:p w:rsidR="009C765C" w:rsidRPr="009C765C" w:rsidRDefault="009C765C" w:rsidP="00117508">
      <w:pPr>
        <w:pStyle w:val="SingleTxtG"/>
        <w:ind w:firstLine="567"/>
        <w:rPr>
          <w:b/>
        </w:rPr>
      </w:pPr>
      <w:r w:rsidRPr="009C765C">
        <w:rPr>
          <w:b/>
        </w:rPr>
        <w:t>L</w:t>
      </w:r>
      <w:r w:rsidR="00324BD9">
        <w:rPr>
          <w:b/>
        </w:rPr>
        <w:t>’</w:t>
      </w:r>
      <w:r w:rsidRPr="009C765C">
        <w:rPr>
          <w:b/>
        </w:rPr>
        <w:t>État partie est invité à communiquer</w:t>
      </w:r>
      <w:r w:rsidR="00117508">
        <w:rPr>
          <w:b/>
        </w:rPr>
        <w:t xml:space="preserve"> par écrit (15 </w:t>
      </w:r>
      <w:r w:rsidR="00FB4983">
        <w:rPr>
          <w:b/>
        </w:rPr>
        <w:t xml:space="preserve">pages </w:t>
      </w:r>
      <w:r w:rsidR="00DA6844">
        <w:rPr>
          <w:b/>
        </w:rPr>
        <w:t>maximum) des </w:t>
      </w:r>
      <w:r w:rsidRPr="009C765C">
        <w:rPr>
          <w:b/>
        </w:rPr>
        <w:t xml:space="preserve">informations complémentaires et actualisées, si possible </w:t>
      </w:r>
      <w:r w:rsidRPr="006B3424">
        <w:rPr>
          <w:b/>
          <w:i/>
        </w:rPr>
        <w:t>avant</w:t>
      </w:r>
      <w:r w:rsidRPr="009C765C">
        <w:rPr>
          <w:b/>
        </w:rPr>
        <w:t xml:space="preserve"> </w:t>
      </w:r>
      <w:r w:rsidRPr="006B3424">
        <w:rPr>
          <w:b/>
          <w:i/>
        </w:rPr>
        <w:t>le 24 mai 2013</w:t>
      </w:r>
      <w:r w:rsidRPr="009C765C">
        <w:rPr>
          <w:b/>
        </w:rPr>
        <w:t>.</w:t>
      </w:r>
    </w:p>
    <w:p w:rsidR="009C765C" w:rsidRPr="009C765C" w:rsidRDefault="009C765C" w:rsidP="00117508">
      <w:pPr>
        <w:pStyle w:val="SingleTxtG"/>
        <w:ind w:firstLine="567"/>
        <w:rPr>
          <w:i/>
        </w:rPr>
      </w:pPr>
      <w:r w:rsidRPr="009C765C">
        <w:rPr>
          <w:i/>
        </w:rPr>
        <w:t>Le Comité pourra aborder tous les aspects des droits de l</w:t>
      </w:r>
      <w:r w:rsidR="00324BD9">
        <w:rPr>
          <w:i/>
        </w:rPr>
        <w:t>’</w:t>
      </w:r>
      <w:r w:rsidR="00702FE4">
        <w:rPr>
          <w:i/>
        </w:rPr>
        <w:t>enfant visés par le </w:t>
      </w:r>
      <w:r w:rsidRPr="009C765C">
        <w:rPr>
          <w:i/>
        </w:rPr>
        <w:t xml:space="preserve">Protocole facultatif au cours </w:t>
      </w:r>
      <w:r w:rsidR="00117508">
        <w:rPr>
          <w:i/>
        </w:rPr>
        <w:t xml:space="preserve">du </w:t>
      </w:r>
      <w:r w:rsidRPr="009C765C">
        <w:rPr>
          <w:i/>
        </w:rPr>
        <w:t>dialogue avec l</w:t>
      </w:r>
      <w:r w:rsidR="00324BD9">
        <w:rPr>
          <w:i/>
        </w:rPr>
        <w:t>’</w:t>
      </w:r>
      <w:r w:rsidRPr="009C765C">
        <w:rPr>
          <w:i/>
        </w:rPr>
        <w:t>État partie</w:t>
      </w:r>
      <w:r w:rsidR="00117508">
        <w:rPr>
          <w:i/>
        </w:rPr>
        <w:t>.</w:t>
      </w:r>
    </w:p>
    <w:p w:rsidR="009C765C" w:rsidRPr="009C765C" w:rsidRDefault="009C765C" w:rsidP="00324BD9">
      <w:pPr>
        <w:pStyle w:val="SingleTxtG"/>
      </w:pPr>
      <w:r w:rsidRPr="009C765C">
        <w:t>1.</w:t>
      </w:r>
      <w:r w:rsidRPr="009C765C">
        <w:tab/>
        <w:t>Expliquer comment est appliquée la loi n</w:t>
      </w:r>
      <w:r w:rsidRPr="009C765C">
        <w:rPr>
          <w:vertAlign w:val="superscript"/>
        </w:rPr>
        <w:t>o</w:t>
      </w:r>
      <w:r w:rsidRPr="009C765C">
        <w:t xml:space="preserve"> 3156/06 et </w:t>
      </w:r>
      <w:r w:rsidR="000C0849">
        <w:t xml:space="preserve">indiquer </w:t>
      </w:r>
      <w:r w:rsidRPr="009C765C">
        <w:t xml:space="preserve">si un terme a été définitivement mis à la pratique qui consistait à falsifier des certificats de naissance et à </w:t>
      </w:r>
      <w:r w:rsidR="000C0849">
        <w:t xml:space="preserve">procéder à </w:t>
      </w:r>
      <w:r w:rsidRPr="009C765C">
        <w:t>l</w:t>
      </w:r>
      <w:r w:rsidR="00324BD9">
        <w:t>’</w:t>
      </w:r>
      <w:r w:rsidRPr="009C765C">
        <w:t xml:space="preserve">«enregistrement direct» </w:t>
      </w:r>
      <w:r w:rsidR="000C0849">
        <w:t>d</w:t>
      </w:r>
      <w:r w:rsidR="00324BD9">
        <w:t>’</w:t>
      </w:r>
      <w:r w:rsidRPr="009C765C">
        <w:t xml:space="preserve">enfants avec des données </w:t>
      </w:r>
      <w:r w:rsidR="000C0849">
        <w:t>falsifiées,</w:t>
      </w:r>
      <w:r w:rsidRPr="009C765C">
        <w:t xml:space="preserve"> ou si des progrès ont été accomplis dans cette voie. Présenter les mécanismes de contrôle mis en place par l</w:t>
      </w:r>
      <w:r w:rsidR="00324BD9">
        <w:t>’</w:t>
      </w:r>
      <w:r w:rsidRPr="009C765C">
        <w:t>État partie pour veiller à ce qu</w:t>
      </w:r>
      <w:r w:rsidR="00324BD9">
        <w:t>’</w:t>
      </w:r>
      <w:r w:rsidRPr="009C765C">
        <w:t xml:space="preserve">aucun mineur de 18 ans ne soit admis dans les forces armées avec de faux papiers. Préciser quels </w:t>
      </w:r>
      <w:r w:rsidR="000C0849">
        <w:t xml:space="preserve">sont les </w:t>
      </w:r>
      <w:r w:rsidRPr="009C765C">
        <w:t xml:space="preserve">documents </w:t>
      </w:r>
      <w:r w:rsidR="000C0849">
        <w:t xml:space="preserve">qui </w:t>
      </w:r>
      <w:r w:rsidRPr="009C765C">
        <w:t xml:space="preserve">sont considérés comme fiables et </w:t>
      </w:r>
      <w:r w:rsidR="000C0849">
        <w:t xml:space="preserve">qui </w:t>
      </w:r>
      <w:r w:rsidRPr="009C765C">
        <w:t>sont utilisés pour vérifier l</w:t>
      </w:r>
      <w:r w:rsidR="00324BD9">
        <w:t>’</w:t>
      </w:r>
      <w:r w:rsidRPr="009C765C">
        <w:t xml:space="preserve">âge des </w:t>
      </w:r>
      <w:r w:rsidR="000C0849">
        <w:t>personnes enrôlées</w:t>
      </w:r>
      <w:r w:rsidRPr="009C765C">
        <w:t xml:space="preserve"> dans les forces armées, en particulier en l</w:t>
      </w:r>
      <w:r w:rsidR="00324BD9">
        <w:t>’</w:t>
      </w:r>
      <w:r w:rsidRPr="009C765C">
        <w:t>absence d</w:t>
      </w:r>
      <w:r w:rsidR="00324BD9">
        <w:t>’</w:t>
      </w:r>
      <w:r w:rsidRPr="009C765C">
        <w:t>acte de naissance</w:t>
      </w:r>
      <w:r w:rsidR="000C0849">
        <w:t>. D</w:t>
      </w:r>
      <w:r w:rsidRPr="009C765C">
        <w:t xml:space="preserve">écrire </w:t>
      </w:r>
      <w:r w:rsidR="000C0849">
        <w:t xml:space="preserve">aussi </w:t>
      </w:r>
      <w:r w:rsidRPr="009C765C">
        <w:t>les mesures prises par l</w:t>
      </w:r>
      <w:r w:rsidR="00324BD9">
        <w:t>’</w:t>
      </w:r>
      <w:r w:rsidRPr="009C765C">
        <w:t>État partie pour veiller à ce que tous les enfants soient enregistrés immédiatement après la naissance.</w:t>
      </w:r>
    </w:p>
    <w:p w:rsidR="009C765C" w:rsidRPr="009C765C" w:rsidRDefault="009C765C" w:rsidP="009C765C">
      <w:pPr>
        <w:pStyle w:val="SingleTxtG"/>
      </w:pPr>
      <w:r w:rsidRPr="009C765C">
        <w:t>2.</w:t>
      </w:r>
      <w:r w:rsidRPr="009C765C">
        <w:tab/>
        <w:t xml:space="preserve">Fournir des données ventilées (par sexe, âge, groupe ethnique et zone urbaine/rurale) sur les élèves des écoles militaires et </w:t>
      </w:r>
      <w:r w:rsidR="000C0849">
        <w:t xml:space="preserve">des </w:t>
      </w:r>
      <w:r w:rsidRPr="009C765C">
        <w:t>centres de formation militaire</w:t>
      </w:r>
      <w:r w:rsidR="000C0849">
        <w:t>s</w:t>
      </w:r>
      <w:r w:rsidRPr="009C765C">
        <w:t xml:space="preserve"> dirigés par les forces armée</w:t>
      </w:r>
      <w:r w:rsidR="000C0849">
        <w:t>s</w:t>
      </w:r>
      <w:r w:rsidRPr="009C765C">
        <w:t xml:space="preserve">. </w:t>
      </w:r>
      <w:r w:rsidR="000C0849">
        <w:t xml:space="preserve">Indiquer si </w:t>
      </w:r>
      <w:r w:rsidRPr="009C765C">
        <w:t xml:space="preserve">ces élèves </w:t>
      </w:r>
      <w:r w:rsidR="000C0849">
        <w:t xml:space="preserve">ont le droit </w:t>
      </w:r>
      <w:r w:rsidRPr="009C765C">
        <w:t xml:space="preserve">de quitter </w:t>
      </w:r>
      <w:r w:rsidR="000C0849">
        <w:t xml:space="preserve">lesdits </w:t>
      </w:r>
      <w:r w:rsidRPr="009C765C">
        <w:t xml:space="preserve">établissements à tout moment et de </w:t>
      </w:r>
      <w:r w:rsidR="00D45D5C">
        <w:t>renoncer</w:t>
      </w:r>
      <w:r w:rsidRPr="009C765C">
        <w:t xml:space="preserve"> à une carrière militaire </w:t>
      </w:r>
      <w:r w:rsidR="00D45D5C">
        <w:t>et préciser les m</w:t>
      </w:r>
      <w:r w:rsidRPr="009C765C">
        <w:t xml:space="preserve">éthodes disciplinaires qui y sont utilisées et </w:t>
      </w:r>
      <w:r w:rsidR="00D45D5C">
        <w:t>le contrôle qui est assuré</w:t>
      </w:r>
      <w:r w:rsidRPr="009C765C">
        <w:t xml:space="preserve"> par le Secrétariat national à l</w:t>
      </w:r>
      <w:r w:rsidR="00324BD9">
        <w:t>’</w:t>
      </w:r>
      <w:r w:rsidRPr="009C765C">
        <w:t>enfance et à l</w:t>
      </w:r>
      <w:r w:rsidR="00324BD9">
        <w:t>’</w:t>
      </w:r>
      <w:r w:rsidRPr="009C765C">
        <w:t xml:space="preserve">adolescence. </w:t>
      </w:r>
      <w:r w:rsidR="00D45D5C">
        <w:t>E</w:t>
      </w:r>
      <w:r w:rsidRPr="009C765C">
        <w:t>xiste</w:t>
      </w:r>
      <w:r w:rsidR="00D45D5C">
        <w:t>-t-il</w:t>
      </w:r>
      <w:r w:rsidRPr="009C765C">
        <w:t xml:space="preserve"> un mécanisme de plaintes </w:t>
      </w:r>
      <w:r w:rsidR="00D45D5C">
        <w:t xml:space="preserve">accessible aux </w:t>
      </w:r>
      <w:r w:rsidR="00FB4983">
        <w:t>élèves de ces établissements?</w:t>
      </w:r>
    </w:p>
    <w:p w:rsidR="009C765C" w:rsidRPr="009C765C" w:rsidRDefault="009C765C" w:rsidP="008D7D7E">
      <w:pPr>
        <w:pStyle w:val="SingleTxtG"/>
        <w:keepLines/>
      </w:pPr>
      <w:r w:rsidRPr="009C765C">
        <w:t>3.</w:t>
      </w:r>
      <w:r w:rsidRPr="009C765C">
        <w:tab/>
        <w:t>Indiquer quel rôle joue le Ministère de l</w:t>
      </w:r>
      <w:r w:rsidR="00324BD9">
        <w:t>’</w:t>
      </w:r>
      <w:r w:rsidRPr="009C765C">
        <w:t xml:space="preserve">éducation et de la culture dans les écoles militaires et </w:t>
      </w:r>
      <w:r w:rsidR="00D45D5C">
        <w:t xml:space="preserve">les </w:t>
      </w:r>
      <w:r w:rsidRPr="009C765C">
        <w:t>centres de formation militaire</w:t>
      </w:r>
      <w:r w:rsidR="00D45D5C">
        <w:t>s</w:t>
      </w:r>
      <w:r w:rsidRPr="009C765C">
        <w:t>, en précisant s</w:t>
      </w:r>
      <w:r w:rsidR="00324BD9">
        <w:t>’</w:t>
      </w:r>
      <w:r w:rsidRPr="009C765C">
        <w:t>il intervient pour l</w:t>
      </w:r>
      <w:r w:rsidR="00324BD9">
        <w:t>’</w:t>
      </w:r>
      <w:r w:rsidRPr="009C765C">
        <w:t>ensemble de l</w:t>
      </w:r>
      <w:r w:rsidR="00324BD9">
        <w:t>’</w:t>
      </w:r>
      <w:r w:rsidRPr="009C765C">
        <w:t>éducation qui y est dispensée, en plus de superviser et contrôler les programmes d</w:t>
      </w:r>
      <w:r w:rsidR="00324BD9">
        <w:t>’</w:t>
      </w:r>
      <w:r w:rsidRPr="009C765C">
        <w:t>études des matières dites «civiles».</w:t>
      </w:r>
      <w:r w:rsidR="00540793">
        <w:t xml:space="preserve"> </w:t>
      </w:r>
      <w:r w:rsidRPr="009C765C">
        <w:t xml:space="preserve">Compléter les informations </w:t>
      </w:r>
      <w:r w:rsidR="00540793">
        <w:t>figurant</w:t>
      </w:r>
      <w:r w:rsidRPr="009C765C">
        <w:t xml:space="preserve"> dans le rapport de l</w:t>
      </w:r>
      <w:r w:rsidR="00324BD9">
        <w:t>’</w:t>
      </w:r>
      <w:r w:rsidRPr="009C765C">
        <w:t xml:space="preserve">État partie concernant </w:t>
      </w:r>
      <w:r w:rsidR="00540793">
        <w:t>la place</w:t>
      </w:r>
      <w:r w:rsidRPr="009C765C">
        <w:t xml:space="preserve"> des droits de l</w:t>
      </w:r>
      <w:r w:rsidR="00324BD9">
        <w:t>’</w:t>
      </w:r>
      <w:r w:rsidRPr="009C765C">
        <w:t>homme et du droit international humanitaire dans les programmes d</w:t>
      </w:r>
      <w:r w:rsidR="00324BD9">
        <w:t>’</w:t>
      </w:r>
      <w:r w:rsidRPr="009C765C">
        <w:t xml:space="preserve">études </w:t>
      </w:r>
      <w:r w:rsidR="00540793">
        <w:t>pour les</w:t>
      </w:r>
      <w:r w:rsidRPr="009C765C">
        <w:t xml:space="preserve"> matières militaires et civiles, en précisan</w:t>
      </w:r>
      <w:r w:rsidR="00FB4983">
        <w:t>t en particulier si sont étudié</w:t>
      </w:r>
      <w:r w:rsidRPr="009C765C">
        <w:t xml:space="preserve">s la Convention et </w:t>
      </w:r>
      <w:r w:rsidR="00540793">
        <w:t>s</w:t>
      </w:r>
      <w:r w:rsidRPr="009C765C">
        <w:t xml:space="preserve">es Protocoles facultatifs. </w:t>
      </w:r>
      <w:r w:rsidR="00540793">
        <w:t xml:space="preserve">Préciser le mode de </w:t>
      </w:r>
      <w:r w:rsidRPr="009C765C">
        <w:t xml:space="preserve">formation aux dispositions du Protocole facultatif </w:t>
      </w:r>
      <w:r w:rsidR="00540793">
        <w:t xml:space="preserve">qui est dispensé aux </w:t>
      </w:r>
      <w:r w:rsidRPr="009C765C">
        <w:t>enseignants des établissements militaires. Indiquer si l</w:t>
      </w:r>
      <w:r w:rsidR="00324BD9">
        <w:t>’</w:t>
      </w:r>
      <w:r w:rsidRPr="009C765C">
        <w:t>entraînement militaire que suivent les mineurs de 18 ans dans les établissements de formation gérés par les forces armées inclu</w:t>
      </w:r>
      <w:r w:rsidR="00540793">
        <w:t>t</w:t>
      </w:r>
      <w:r w:rsidRPr="009C765C">
        <w:t xml:space="preserve"> le maniement d</w:t>
      </w:r>
      <w:r w:rsidR="00324BD9">
        <w:t>’</w:t>
      </w:r>
      <w:r w:rsidRPr="009C765C">
        <w:t>armes</w:t>
      </w:r>
      <w:r w:rsidR="00FB4983">
        <w:t>,</w:t>
      </w:r>
      <w:r w:rsidRPr="009C765C">
        <w:t xml:space="preserve"> quelles qu</w:t>
      </w:r>
      <w:r w:rsidR="00324BD9">
        <w:t>’</w:t>
      </w:r>
      <w:r w:rsidRPr="009C765C">
        <w:t>elles soient.</w:t>
      </w:r>
    </w:p>
    <w:p w:rsidR="009C765C" w:rsidRPr="009C765C" w:rsidRDefault="009C765C" w:rsidP="009C765C">
      <w:pPr>
        <w:pStyle w:val="SingleTxtG"/>
      </w:pPr>
      <w:r w:rsidRPr="009C765C">
        <w:t>4.</w:t>
      </w:r>
      <w:r w:rsidRPr="009C765C">
        <w:tab/>
      </w:r>
      <w:r w:rsidR="00540793">
        <w:t>Donner des précisions sur</w:t>
      </w:r>
      <w:r w:rsidRPr="009C765C">
        <w:t xml:space="preserve"> ce que l</w:t>
      </w:r>
      <w:r w:rsidR="00324BD9">
        <w:t>’</w:t>
      </w:r>
      <w:r w:rsidRPr="009C765C">
        <w:t xml:space="preserve">État partie prévoit de faire pour donner pleinement effet aux dispositions du Protocole facultatif </w:t>
      </w:r>
      <w:r w:rsidR="00540793">
        <w:t xml:space="preserve">et ériger en infraction le </w:t>
      </w:r>
      <w:r w:rsidRPr="009C765C">
        <w:t xml:space="preserve">recrutement ou </w:t>
      </w:r>
      <w:r w:rsidR="00540793">
        <w:t>l</w:t>
      </w:r>
      <w:r w:rsidR="00324BD9">
        <w:t>’</w:t>
      </w:r>
      <w:r w:rsidR="00540793">
        <w:t xml:space="preserve">utilisation </w:t>
      </w:r>
      <w:r w:rsidRPr="009C765C">
        <w:t>de mineurs de 18 ans par des gr</w:t>
      </w:r>
      <w:r w:rsidR="008D7D7E">
        <w:t>oupes armés non étatiques, tels </w:t>
      </w:r>
      <w:r w:rsidRPr="009C765C">
        <w:t>que l</w:t>
      </w:r>
      <w:r w:rsidR="00324BD9">
        <w:t>’</w:t>
      </w:r>
      <w:r w:rsidRPr="009C765C">
        <w:t xml:space="preserve">Armée du peuple paraguayen </w:t>
      </w:r>
      <w:r w:rsidR="00540793">
        <w:t>mentionnée</w:t>
      </w:r>
      <w:r w:rsidRPr="009C765C">
        <w:t xml:space="preserve"> dans le rapport initial de l</w:t>
      </w:r>
      <w:r w:rsidR="00324BD9">
        <w:t>’</w:t>
      </w:r>
      <w:r w:rsidRPr="009C765C">
        <w:t>État partie, ou par les sociétés privées de sécurité et de défense.</w:t>
      </w:r>
    </w:p>
    <w:p w:rsidR="009C765C" w:rsidRPr="009C765C" w:rsidRDefault="009C765C" w:rsidP="00540793">
      <w:pPr>
        <w:pStyle w:val="SingleTxtG"/>
        <w:keepNext/>
      </w:pPr>
      <w:r w:rsidRPr="009C765C">
        <w:t>5.</w:t>
      </w:r>
      <w:r w:rsidRPr="009C765C">
        <w:tab/>
        <w:t>Donner un complément d</w:t>
      </w:r>
      <w:r w:rsidR="00324BD9">
        <w:t>’</w:t>
      </w:r>
      <w:r w:rsidRPr="009C765C">
        <w:t>information concernant:</w:t>
      </w:r>
    </w:p>
    <w:p w:rsidR="009C765C" w:rsidRPr="009C765C" w:rsidRDefault="009C765C" w:rsidP="00540793">
      <w:pPr>
        <w:pStyle w:val="SingleTxtG"/>
        <w:ind w:firstLine="567"/>
      </w:pPr>
      <w:r w:rsidRPr="009C765C">
        <w:t>a)</w:t>
      </w:r>
      <w:r w:rsidRPr="009C765C">
        <w:tab/>
        <w:t xml:space="preserve">Les activités de diffusion et de formation portant sur le Protocole facultatif à </w:t>
      </w:r>
      <w:r w:rsidR="00540793">
        <w:t>l</w:t>
      </w:r>
      <w:r w:rsidR="00324BD9">
        <w:t>’</w:t>
      </w:r>
      <w:r w:rsidR="00540793">
        <w:t xml:space="preserve">intention </w:t>
      </w:r>
      <w:r w:rsidRPr="009C765C">
        <w:t xml:space="preserve">des membres des forces armées, en dehors de la formation </w:t>
      </w:r>
      <w:r w:rsidR="00540793">
        <w:t>dispensée aux éléments qui participent</w:t>
      </w:r>
      <w:r w:rsidRPr="009C765C">
        <w:t xml:space="preserve"> aux opérations de paix;</w:t>
      </w:r>
    </w:p>
    <w:p w:rsidR="009C765C" w:rsidRPr="009C765C" w:rsidRDefault="009C765C" w:rsidP="00540793">
      <w:pPr>
        <w:pStyle w:val="SingleTxtG"/>
        <w:ind w:firstLine="567"/>
      </w:pPr>
      <w:r w:rsidRPr="009C765C">
        <w:t>b)</w:t>
      </w:r>
      <w:r w:rsidRPr="009C765C">
        <w:tab/>
        <w:t>Les activités de sensibilisation à destination de la société en général et des enfants et de leurs parents en particulier, en vue d</w:t>
      </w:r>
      <w:r w:rsidR="00324BD9">
        <w:t>’</w:t>
      </w:r>
      <w:r w:rsidR="00540793">
        <w:t xml:space="preserve">éviter que les </w:t>
      </w:r>
      <w:r w:rsidRPr="009C765C">
        <w:t xml:space="preserve">enfants </w:t>
      </w:r>
      <w:r w:rsidR="00540793">
        <w:t>soient impliqués dans d</w:t>
      </w:r>
      <w:r w:rsidRPr="009C765C">
        <w:t xml:space="preserve">es </w:t>
      </w:r>
      <w:r w:rsidR="00540793">
        <w:t xml:space="preserve">manifestations des </w:t>
      </w:r>
      <w:r w:rsidRPr="009C765C">
        <w:t xml:space="preserve">forces armées, </w:t>
      </w:r>
      <w:r w:rsidR="00540793">
        <w:t>comme lorsqu</w:t>
      </w:r>
      <w:r w:rsidR="00324BD9">
        <w:t>’</w:t>
      </w:r>
      <w:r w:rsidR="00540793">
        <w:t>ils participent en uniforme à</w:t>
      </w:r>
      <w:r w:rsidRPr="009C765C">
        <w:t xml:space="preserve"> </w:t>
      </w:r>
      <w:r w:rsidR="00540793">
        <w:t xml:space="preserve">des </w:t>
      </w:r>
      <w:r w:rsidRPr="009C765C">
        <w:t xml:space="preserve">défilés militaires, et </w:t>
      </w:r>
      <w:r w:rsidR="00540793">
        <w:t xml:space="preserve">en vue de </w:t>
      </w:r>
      <w:r w:rsidRPr="009C765C">
        <w:t>promouvoir une culture de la paix.</w:t>
      </w:r>
    </w:p>
    <w:p w:rsidR="009C765C" w:rsidRPr="009C765C" w:rsidRDefault="009C765C" w:rsidP="003E77AF">
      <w:pPr>
        <w:pStyle w:val="SingleTxtG"/>
      </w:pPr>
      <w:r w:rsidRPr="009C765C">
        <w:t>6.</w:t>
      </w:r>
      <w:r w:rsidRPr="009C765C">
        <w:tab/>
        <w:t>Concernant les affaires de recrutement d</w:t>
      </w:r>
      <w:r w:rsidR="00324BD9">
        <w:t>’</w:t>
      </w:r>
      <w:r w:rsidRPr="009C765C">
        <w:t>enfants et d</w:t>
      </w:r>
      <w:r w:rsidR="00324BD9">
        <w:t>’</w:t>
      </w:r>
      <w:r w:rsidRPr="009C765C">
        <w:t>adolescents dans les forces armées dont est saisie la Cour interaméricaine des droits de l</w:t>
      </w:r>
      <w:r w:rsidR="00324BD9">
        <w:t>’</w:t>
      </w:r>
      <w:r w:rsidRPr="009C765C">
        <w:t xml:space="preserve">homme, donner des renseignements additionnels </w:t>
      </w:r>
      <w:r w:rsidR="00540793">
        <w:t xml:space="preserve">et </w:t>
      </w:r>
      <w:r w:rsidRPr="009C765C">
        <w:t>à jour sur la manière dont l</w:t>
      </w:r>
      <w:r w:rsidR="00324BD9">
        <w:t>’</w:t>
      </w:r>
      <w:r w:rsidRPr="009C765C">
        <w:t>État partie s</w:t>
      </w:r>
      <w:r w:rsidR="00324BD9">
        <w:t>’</w:t>
      </w:r>
      <w:r w:rsidRPr="009C765C">
        <w:t>acquitte de ses obligations en ce qui concerne les enquêtes ouvertes suite aux plaintes</w:t>
      </w:r>
      <w:r w:rsidR="00540793">
        <w:t>, d</w:t>
      </w:r>
      <w:r w:rsidR="00324BD9">
        <w:t>’</w:t>
      </w:r>
      <w:r w:rsidR="00540793">
        <w:t>une part,</w:t>
      </w:r>
      <w:r w:rsidRPr="009C765C">
        <w:t xml:space="preserve"> et l</w:t>
      </w:r>
      <w:r w:rsidR="00324BD9">
        <w:t>’</w:t>
      </w:r>
      <w:r w:rsidRPr="009C765C">
        <w:t>application des décisions rendues par la Cour</w:t>
      </w:r>
      <w:r w:rsidR="00540793">
        <w:t>, d</w:t>
      </w:r>
      <w:r w:rsidR="00324BD9">
        <w:t>’</w:t>
      </w:r>
      <w:r w:rsidR="00540793">
        <w:t>autre part</w:t>
      </w:r>
      <w:r w:rsidRPr="009C765C">
        <w:t>. Faire savoir s</w:t>
      </w:r>
      <w:r w:rsidR="00324BD9">
        <w:t>’</w:t>
      </w:r>
      <w:r w:rsidRPr="009C765C">
        <w:t>il y a eu d</w:t>
      </w:r>
      <w:r w:rsidR="00324BD9">
        <w:t>’</w:t>
      </w:r>
      <w:r w:rsidRPr="009C765C">
        <w:t xml:space="preserve">autres cas que ceux </w:t>
      </w:r>
      <w:r w:rsidR="00540793">
        <w:t>portés devant</w:t>
      </w:r>
      <w:r w:rsidRPr="009C765C">
        <w:t xml:space="preserve"> la Cour interaméricaine des droits de l</w:t>
      </w:r>
      <w:r w:rsidR="00324BD9">
        <w:t>’</w:t>
      </w:r>
      <w:r w:rsidRPr="009C765C">
        <w:t xml:space="preserve">homme et, </w:t>
      </w:r>
      <w:r w:rsidR="00540793">
        <w:t>dans l</w:t>
      </w:r>
      <w:r w:rsidR="00324BD9">
        <w:t>’</w:t>
      </w:r>
      <w:r w:rsidR="00540793">
        <w:t>affirmative, indiquer les</w:t>
      </w:r>
      <w:r w:rsidRPr="009C765C">
        <w:t xml:space="preserve"> enquêtes réalisées par l</w:t>
      </w:r>
      <w:r w:rsidR="00324BD9">
        <w:t>’</w:t>
      </w:r>
      <w:r w:rsidRPr="009C765C">
        <w:t>État partie.</w:t>
      </w:r>
    </w:p>
    <w:p w:rsidR="009C765C" w:rsidRPr="009C765C" w:rsidRDefault="009C765C" w:rsidP="009C765C">
      <w:pPr>
        <w:pStyle w:val="SingleTxtG"/>
      </w:pPr>
      <w:r w:rsidRPr="009C765C">
        <w:t>7.</w:t>
      </w:r>
      <w:r w:rsidRPr="009C765C">
        <w:tab/>
        <w:t xml:space="preserve">Présenter la réglementation </w:t>
      </w:r>
      <w:r w:rsidR="005D6591">
        <w:t>de l</w:t>
      </w:r>
      <w:r w:rsidR="00324BD9">
        <w:t>’</w:t>
      </w:r>
      <w:r w:rsidRPr="009C765C">
        <w:t>État partie en matière d</w:t>
      </w:r>
      <w:r w:rsidR="00324BD9">
        <w:t>’</w:t>
      </w:r>
      <w:r w:rsidRPr="009C765C">
        <w:t xml:space="preserve">accès aux armes à feu, ainsi que les normes </w:t>
      </w:r>
      <w:r w:rsidR="005D6591">
        <w:t xml:space="preserve">qui </w:t>
      </w:r>
      <w:r w:rsidRPr="009C765C">
        <w:t>régiss</w:t>
      </w:r>
      <w:r w:rsidR="005D6591">
        <w:t>e</w:t>
      </w:r>
      <w:r w:rsidRPr="009C765C">
        <w:t>nt la production, la vente et la distribution des armes de petit calibre et autre</w:t>
      </w:r>
      <w:r w:rsidR="005D6591">
        <w:t>s</w:t>
      </w:r>
      <w:r w:rsidRPr="009C765C">
        <w:t xml:space="preserve"> type</w:t>
      </w:r>
      <w:r w:rsidR="005D6591">
        <w:t>s</w:t>
      </w:r>
      <w:r w:rsidRPr="009C765C">
        <w:t xml:space="preserve"> d</w:t>
      </w:r>
      <w:r w:rsidR="00324BD9">
        <w:t>’</w:t>
      </w:r>
      <w:r w:rsidRPr="009C765C">
        <w:t>arme</w:t>
      </w:r>
      <w:r w:rsidR="005D6591">
        <w:t>s</w:t>
      </w:r>
      <w:r w:rsidRPr="009C765C">
        <w:t>. Indiquer s</w:t>
      </w:r>
      <w:r w:rsidR="00324BD9">
        <w:t>’</w:t>
      </w:r>
      <w:r w:rsidRPr="009C765C">
        <w:t>il existe un système de contrôle interne pour la vente d</w:t>
      </w:r>
      <w:r w:rsidR="00324BD9">
        <w:t>’</w:t>
      </w:r>
      <w:r w:rsidRPr="009C765C">
        <w:t xml:space="preserve">armes à feu </w:t>
      </w:r>
      <w:r w:rsidR="00F65B37">
        <w:t>au</w:t>
      </w:r>
      <w:r w:rsidRPr="009C765C">
        <w:t xml:space="preserve"> pays de destination finale</w:t>
      </w:r>
      <w:r w:rsidR="005D6591">
        <w:t>, qui permette</w:t>
      </w:r>
      <w:r w:rsidRPr="009C765C">
        <w:t xml:space="preserve"> notamment </w:t>
      </w:r>
      <w:r w:rsidR="005D6591">
        <w:t>de vérifier si d</w:t>
      </w:r>
      <w:r w:rsidRPr="009C765C">
        <w:t xml:space="preserve">es enfants sont </w:t>
      </w:r>
      <w:r w:rsidR="005D6591">
        <w:t>enrôlés</w:t>
      </w:r>
      <w:r w:rsidRPr="009C765C">
        <w:t xml:space="preserve"> ou </w:t>
      </w:r>
      <w:r w:rsidR="005D6591">
        <w:t>prennent part à des</w:t>
      </w:r>
      <w:r w:rsidRPr="009C765C">
        <w:t xml:space="preserve"> hostilités, ou </w:t>
      </w:r>
      <w:r w:rsidR="005D6591">
        <w:t>si cela risque de se produire</w:t>
      </w:r>
      <w:r w:rsidRPr="009C765C">
        <w:t>, dans le pays</w:t>
      </w:r>
      <w:r w:rsidR="005D6591">
        <w:t xml:space="preserve"> concerné</w:t>
      </w:r>
      <w:r w:rsidRPr="009C765C">
        <w:t>.</w:t>
      </w:r>
    </w:p>
    <w:p w:rsidR="009C765C" w:rsidRDefault="009C765C" w:rsidP="009C765C">
      <w:pPr>
        <w:pStyle w:val="SingleTxtG"/>
      </w:pPr>
      <w:r w:rsidRPr="009C765C">
        <w:t>8.</w:t>
      </w:r>
      <w:r w:rsidRPr="009C765C">
        <w:tab/>
        <w:t xml:space="preserve">Décrire les procédures suivies pour identifier </w:t>
      </w:r>
      <w:r w:rsidR="005D6591">
        <w:t>au</w:t>
      </w:r>
      <w:r w:rsidRPr="009C765C">
        <w:t xml:space="preserve"> plus </w:t>
      </w:r>
      <w:r w:rsidR="005D6591">
        <w:t>vite</w:t>
      </w:r>
      <w:r w:rsidRPr="009C765C">
        <w:t xml:space="preserve"> les enfants réfugiés ou demandeurs d</w:t>
      </w:r>
      <w:r w:rsidR="00324BD9">
        <w:t>’</w:t>
      </w:r>
      <w:r w:rsidRPr="009C765C">
        <w:t>asile et les enfants migrants qui ont été ou risquent d</w:t>
      </w:r>
      <w:r w:rsidR="00324BD9">
        <w:t>’</w:t>
      </w:r>
      <w:r w:rsidRPr="009C765C">
        <w:t xml:space="preserve">être </w:t>
      </w:r>
      <w:r w:rsidR="005D6591">
        <w:t>enrôlés</w:t>
      </w:r>
      <w:r w:rsidRPr="009C765C">
        <w:t xml:space="preserve"> ou utilisés dans des hostilités. Préciser également les services de réadaptation dont peuvent bénéficier ces enfants.</w:t>
      </w:r>
    </w:p>
    <w:p w:rsidR="009C765C" w:rsidRPr="009C765C" w:rsidRDefault="009C765C" w:rsidP="009C765C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C765C" w:rsidRPr="009C765C" w:rsidSect="00B0025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D7F" w:rsidRDefault="00347D7F"/>
  </w:endnote>
  <w:endnote w:type="continuationSeparator" w:id="0">
    <w:p w:rsidR="00347D7F" w:rsidRDefault="00347D7F"/>
  </w:endnote>
  <w:endnote w:type="continuationNotice" w:id="1">
    <w:p w:rsidR="00347D7F" w:rsidRPr="00E71A27" w:rsidRDefault="00347D7F" w:rsidP="00E71A27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253" w:rsidRPr="00B00253" w:rsidRDefault="00B00253" w:rsidP="00B00253">
    <w:pPr>
      <w:pStyle w:val="Footer"/>
      <w:tabs>
        <w:tab w:val="right" w:pos="9638"/>
      </w:tabs>
    </w:pPr>
    <w:r w:rsidRPr="00B00253">
      <w:rPr>
        <w:b/>
        <w:sz w:val="18"/>
      </w:rPr>
      <w:fldChar w:fldCharType="begin"/>
    </w:r>
    <w:r w:rsidRPr="00B00253">
      <w:rPr>
        <w:b/>
        <w:sz w:val="18"/>
      </w:rPr>
      <w:instrText xml:space="preserve"> PAGE  \* MERGEFORMAT </w:instrText>
    </w:r>
    <w:r w:rsidRPr="00B00253">
      <w:rPr>
        <w:b/>
        <w:sz w:val="18"/>
      </w:rPr>
      <w:fldChar w:fldCharType="separate"/>
    </w:r>
    <w:r w:rsidR="00324BD9">
      <w:rPr>
        <w:b/>
        <w:noProof/>
        <w:sz w:val="18"/>
      </w:rPr>
      <w:t>2</w:t>
    </w:r>
    <w:r w:rsidRPr="00B00253">
      <w:rPr>
        <w:b/>
        <w:sz w:val="18"/>
      </w:rPr>
      <w:fldChar w:fldCharType="end"/>
    </w:r>
    <w:r>
      <w:rPr>
        <w:b/>
        <w:sz w:val="18"/>
      </w:rPr>
      <w:tab/>
    </w:r>
    <w:r>
      <w:t>GE.12-47911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253" w:rsidRPr="00B00253" w:rsidRDefault="00B00253" w:rsidP="00B00253">
    <w:pPr>
      <w:pStyle w:val="Footer"/>
      <w:tabs>
        <w:tab w:val="right" w:pos="9638"/>
      </w:tabs>
      <w:rPr>
        <w:b/>
        <w:sz w:val="18"/>
      </w:rPr>
    </w:pPr>
    <w:r>
      <w:t>GE.12-47911</w:t>
    </w:r>
    <w:r>
      <w:tab/>
    </w:r>
    <w:r w:rsidRPr="00B00253">
      <w:rPr>
        <w:b/>
        <w:sz w:val="18"/>
      </w:rPr>
      <w:fldChar w:fldCharType="begin"/>
    </w:r>
    <w:r w:rsidRPr="00B00253">
      <w:rPr>
        <w:b/>
        <w:sz w:val="18"/>
      </w:rPr>
      <w:instrText xml:space="preserve"> PAGE  \* MERGEFORMAT </w:instrText>
    </w:r>
    <w:r w:rsidRPr="00B00253">
      <w:rPr>
        <w:b/>
        <w:sz w:val="18"/>
      </w:rPr>
      <w:fldChar w:fldCharType="separate"/>
    </w:r>
    <w:r w:rsidR="009C765C">
      <w:rPr>
        <w:b/>
        <w:noProof/>
        <w:sz w:val="18"/>
      </w:rPr>
      <w:t>3</w:t>
    </w:r>
    <w:r w:rsidRPr="00B0025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740" w:rsidRDefault="00B00253">
    <w:pPr>
      <w:pStyle w:val="Footer"/>
    </w:pPr>
    <w:r>
      <w:rPr>
        <w:sz w:val="20"/>
      </w:rPr>
      <w:t>GE.12-47911</w:t>
    </w:r>
    <w:r w:rsidR="00D53740"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96.9pt;margin-top:-8.5pt;width:86.95pt;height:18.35pt;z-index:1;mso-position-horizontal-relative:text;mso-position-vertical-relative:text">
          <v:imagedata r:id="rId1" o:title="recycle_French"/>
        </v:shape>
      </w:pict>
    </w:r>
    <w:r>
      <w:rPr>
        <w:sz w:val="20"/>
      </w:rPr>
      <w:t xml:space="preserve">  (F)</w:t>
    </w:r>
    <w:r w:rsidR="009C765C">
      <w:rPr>
        <w:sz w:val="20"/>
      </w:rPr>
      <w:t xml:space="preserve">    </w:t>
    </w:r>
    <w:r w:rsidR="006B3424">
      <w:rPr>
        <w:sz w:val="20"/>
      </w:rPr>
      <w:t>041212    171212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D7F" w:rsidRPr="00D27D5E" w:rsidRDefault="00347D7F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47D7F" w:rsidRPr="0064303C" w:rsidRDefault="00347D7F" w:rsidP="0064303C">
      <w:pPr>
        <w:tabs>
          <w:tab w:val="right" w:pos="2155"/>
        </w:tabs>
        <w:spacing w:after="80"/>
        <w:ind w:left="680"/>
        <w:rPr>
          <w:u w:val="single"/>
        </w:rPr>
      </w:pPr>
      <w:r w:rsidRPr="0064303C">
        <w:rPr>
          <w:u w:val="single"/>
        </w:rPr>
        <w:tab/>
      </w:r>
    </w:p>
  </w:footnote>
  <w:footnote w:type="continuationNotice" w:id="1">
    <w:p w:rsidR="00347D7F" w:rsidRPr="00E71A27" w:rsidRDefault="00347D7F" w:rsidP="00E71A27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253" w:rsidRPr="00B00253" w:rsidRDefault="00B00253">
    <w:pPr>
      <w:pStyle w:val="Header"/>
    </w:pPr>
    <w:r>
      <w:t>CRC/C/OPAC/PRY/Q/1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253" w:rsidRPr="00B00253" w:rsidRDefault="00B00253" w:rsidP="00B00253">
    <w:pPr>
      <w:pStyle w:val="Header"/>
      <w:jc w:val="right"/>
    </w:pPr>
    <w:r>
      <w:t>CRC/C/OPAC/PRY/Q/1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350EF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276AD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B4687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1324F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3CEC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BBA97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DE4F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7091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28A9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BEEF9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05691"/>
    <w:multiLevelType w:val="singleLevel"/>
    <w:tmpl w:val="36084D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11">
    <w:nsid w:val="08CE72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AC26C62"/>
    <w:multiLevelType w:val="singleLevel"/>
    <w:tmpl w:val="561E0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>
    <w:nsid w:val="0C2069F6"/>
    <w:multiLevelType w:val="hybridMultilevel"/>
    <w:tmpl w:val="AD0A083E"/>
    <w:lvl w:ilvl="0" w:tplc="50A07FE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61C5B8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170C549E"/>
    <w:multiLevelType w:val="singleLevel"/>
    <w:tmpl w:val="01325DD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16">
    <w:nsid w:val="1E4D378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A123C58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B3F49C6"/>
    <w:multiLevelType w:val="singleLevel"/>
    <w:tmpl w:val="720CB540"/>
    <w:lvl w:ilvl="0">
      <w:start w:val="1"/>
      <w:numFmt w:val="lowerRoman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19">
    <w:nsid w:val="302A75A7"/>
    <w:multiLevelType w:val="singleLevel"/>
    <w:tmpl w:val="3496DD40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20">
    <w:nsid w:val="3625576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2">
    <w:nsid w:val="3CB061AB"/>
    <w:multiLevelType w:val="singleLevel"/>
    <w:tmpl w:val="11B83F58"/>
    <w:lvl w:ilvl="0">
      <w:start w:val="1"/>
      <w:numFmt w:val="decimal"/>
      <w:lvlText w:val="%1."/>
      <w:lvlJc w:val="left"/>
      <w:pPr>
        <w:tabs>
          <w:tab w:val="num" w:pos="1494"/>
        </w:tabs>
        <w:ind w:left="1133" w:firstLine="1"/>
      </w:pPr>
      <w:rPr>
        <w:rFonts w:hint="default"/>
      </w:rPr>
    </w:lvl>
  </w:abstractNum>
  <w:abstractNum w:abstractNumId="23">
    <w:nsid w:val="40221049"/>
    <w:multiLevelType w:val="singleLevel"/>
    <w:tmpl w:val="04D4B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52D144C"/>
    <w:multiLevelType w:val="singleLevel"/>
    <w:tmpl w:val="7C4C0A7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25">
    <w:nsid w:val="45AC29BB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475545F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489F3657"/>
    <w:multiLevelType w:val="singleLevel"/>
    <w:tmpl w:val="2AB2508E"/>
    <w:lvl w:ilvl="0">
      <w:start w:val="1"/>
      <w:numFmt w:val="decimal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28">
    <w:nsid w:val="4DF4559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4EFA25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4F6801E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5B15788D"/>
    <w:multiLevelType w:val="singleLevel"/>
    <w:tmpl w:val="9ECEEF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32">
    <w:nsid w:val="6260382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65D15DFE"/>
    <w:multiLevelType w:val="singleLevel"/>
    <w:tmpl w:val="475E6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6EF33B9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5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6">
    <w:nsid w:val="779C6EB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7ACA64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C9538FD"/>
    <w:multiLevelType w:val="hybridMultilevel"/>
    <w:tmpl w:val="038A2DC0"/>
    <w:lvl w:ilvl="0" w:tplc="A5265396">
      <w:start w:val="1"/>
      <w:numFmt w:val="none"/>
      <w:lvlText w:val="%1"/>
      <w:lvlJc w:val="left"/>
      <w:pPr>
        <w:tabs>
          <w:tab w:val="num" w:pos="1134"/>
        </w:tabs>
        <w:ind w:left="1134" w:hanging="397"/>
      </w:pPr>
      <w:rPr>
        <w:rFonts w:hint="default"/>
        <w:b/>
        <w:i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CF349BD"/>
    <w:multiLevelType w:val="singleLevel"/>
    <w:tmpl w:val="51D4BF5A"/>
    <w:lvl w:ilvl="0">
      <w:start w:val="1"/>
      <w:numFmt w:val="lowerRoman"/>
      <w:lvlText w:val="(%1)"/>
      <w:lvlJc w:val="right"/>
      <w:pPr>
        <w:tabs>
          <w:tab w:val="num" w:pos="1440"/>
        </w:tabs>
        <w:ind w:left="1440" w:hanging="589"/>
      </w:pPr>
      <w:rPr>
        <w:rFonts w:hint="default"/>
      </w:rPr>
    </w:lvl>
  </w:abstractNum>
  <w:abstractNum w:abstractNumId="40">
    <w:nsid w:val="7DBF6B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9"/>
  </w:num>
  <w:num w:numId="2">
    <w:abstractNumId w:val="18"/>
  </w:num>
  <w:num w:numId="3">
    <w:abstractNumId w:val="39"/>
  </w:num>
  <w:num w:numId="4">
    <w:abstractNumId w:val="18"/>
  </w:num>
  <w:num w:numId="5">
    <w:abstractNumId w:val="11"/>
  </w:num>
  <w:num w:numId="6">
    <w:abstractNumId w:val="20"/>
  </w:num>
  <w:num w:numId="7">
    <w:abstractNumId w:val="23"/>
  </w:num>
  <w:num w:numId="8">
    <w:abstractNumId w:val="37"/>
  </w:num>
  <w:num w:numId="9">
    <w:abstractNumId w:val="29"/>
  </w:num>
  <w:num w:numId="10">
    <w:abstractNumId w:val="40"/>
  </w:num>
  <w:num w:numId="11">
    <w:abstractNumId w:val="23"/>
  </w:num>
  <w:num w:numId="12">
    <w:abstractNumId w:val="27"/>
  </w:num>
  <w:num w:numId="13">
    <w:abstractNumId w:val="27"/>
  </w:num>
  <w:num w:numId="14">
    <w:abstractNumId w:val="33"/>
  </w:num>
  <w:num w:numId="15">
    <w:abstractNumId w:val="22"/>
  </w:num>
  <w:num w:numId="16">
    <w:abstractNumId w:val="22"/>
  </w:num>
  <w:num w:numId="17">
    <w:abstractNumId w:val="39"/>
  </w:num>
  <w:num w:numId="18">
    <w:abstractNumId w:val="18"/>
  </w:num>
  <w:num w:numId="19">
    <w:abstractNumId w:val="1"/>
  </w:num>
  <w:num w:numId="20">
    <w:abstractNumId w:val="0"/>
  </w:num>
  <w:num w:numId="21">
    <w:abstractNumId w:val="19"/>
  </w:num>
  <w:num w:numId="22">
    <w:abstractNumId w:val="10"/>
  </w:num>
  <w:num w:numId="23">
    <w:abstractNumId w:val="15"/>
  </w:num>
  <w:num w:numId="24">
    <w:abstractNumId w:val="12"/>
  </w:num>
  <w:num w:numId="25">
    <w:abstractNumId w:val="24"/>
  </w:num>
  <w:num w:numId="26">
    <w:abstractNumId w:val="31"/>
  </w:num>
  <w:num w:numId="27">
    <w:abstractNumId w:val="2"/>
  </w:num>
  <w:num w:numId="28">
    <w:abstractNumId w:val="3"/>
  </w:num>
  <w:num w:numId="29">
    <w:abstractNumId w:val="8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13"/>
  </w:num>
  <w:num w:numId="36">
    <w:abstractNumId w:val="38"/>
  </w:num>
  <w:num w:numId="37">
    <w:abstractNumId w:val="35"/>
  </w:num>
  <w:num w:numId="38">
    <w:abstractNumId w:val="21"/>
  </w:num>
  <w:num w:numId="39">
    <w:abstractNumId w:val="26"/>
  </w:num>
  <w:num w:numId="40">
    <w:abstractNumId w:val="36"/>
  </w:num>
  <w:num w:numId="41">
    <w:abstractNumId w:val="16"/>
  </w:num>
  <w:num w:numId="42">
    <w:abstractNumId w:val="14"/>
  </w:num>
  <w:num w:numId="43">
    <w:abstractNumId w:val="30"/>
  </w:num>
  <w:num w:numId="44">
    <w:abstractNumId w:val="34"/>
  </w:num>
  <w:num w:numId="45">
    <w:abstractNumId w:val="32"/>
  </w:num>
  <w:num w:numId="46">
    <w:abstractNumId w:val="28"/>
  </w:num>
  <w:num w:numId="47">
    <w:abstractNumId w:val="25"/>
  </w:num>
  <w:num w:numId="48">
    <w:abstractNumId w:val="17"/>
  </w:num>
  <w:num w:numId="49">
    <w:abstractNumId w:val="35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GB" w:vendorID="64" w:dllVersion="131077" w:nlCheck="1" w:checkStyle="1"/>
  <w:activeWritingStyle w:appName="MSWord" w:lang="fr-CH" w:vendorID="64" w:dllVersion="131078" w:nlCheck="1" w:checkStyle="1"/>
  <w:proofState w:spelling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3740"/>
    <w:rsid w:val="000018F3"/>
    <w:rsid w:val="00016AC5"/>
    <w:rsid w:val="00060E82"/>
    <w:rsid w:val="0006509A"/>
    <w:rsid w:val="000B696A"/>
    <w:rsid w:val="000C0849"/>
    <w:rsid w:val="000F41F2"/>
    <w:rsid w:val="00117508"/>
    <w:rsid w:val="00160540"/>
    <w:rsid w:val="00192EEB"/>
    <w:rsid w:val="001A20FB"/>
    <w:rsid w:val="001D5CBF"/>
    <w:rsid w:val="001D7F8A"/>
    <w:rsid w:val="001E3DE1"/>
    <w:rsid w:val="001E3FEB"/>
    <w:rsid w:val="001E4A02"/>
    <w:rsid w:val="001E5727"/>
    <w:rsid w:val="00225A8C"/>
    <w:rsid w:val="002659F1"/>
    <w:rsid w:val="00287E79"/>
    <w:rsid w:val="002928F9"/>
    <w:rsid w:val="002A5D07"/>
    <w:rsid w:val="003016B7"/>
    <w:rsid w:val="00306C60"/>
    <w:rsid w:val="0031567F"/>
    <w:rsid w:val="00324BD9"/>
    <w:rsid w:val="00331C04"/>
    <w:rsid w:val="00347D7F"/>
    <w:rsid w:val="003515AA"/>
    <w:rsid w:val="00374106"/>
    <w:rsid w:val="00380D41"/>
    <w:rsid w:val="00390374"/>
    <w:rsid w:val="003976D5"/>
    <w:rsid w:val="003D2F6C"/>
    <w:rsid w:val="003D6C68"/>
    <w:rsid w:val="003E77AF"/>
    <w:rsid w:val="003E7F2E"/>
    <w:rsid w:val="003F4CA4"/>
    <w:rsid w:val="004159D0"/>
    <w:rsid w:val="00435FF8"/>
    <w:rsid w:val="004377D2"/>
    <w:rsid w:val="00540793"/>
    <w:rsid w:val="00543D5E"/>
    <w:rsid w:val="00564901"/>
    <w:rsid w:val="00571F41"/>
    <w:rsid w:val="00584B22"/>
    <w:rsid w:val="005D6591"/>
    <w:rsid w:val="005E5D1F"/>
    <w:rsid w:val="0060753B"/>
    <w:rsid w:val="00611D43"/>
    <w:rsid w:val="00612D48"/>
    <w:rsid w:val="00616B45"/>
    <w:rsid w:val="00630D9B"/>
    <w:rsid w:val="00631953"/>
    <w:rsid w:val="0064303C"/>
    <w:rsid w:val="006439EC"/>
    <w:rsid w:val="00673F8C"/>
    <w:rsid w:val="006A2FF6"/>
    <w:rsid w:val="006B3424"/>
    <w:rsid w:val="006B4590"/>
    <w:rsid w:val="006C340C"/>
    <w:rsid w:val="00702FE4"/>
    <w:rsid w:val="0070347C"/>
    <w:rsid w:val="00705859"/>
    <w:rsid w:val="00716BD0"/>
    <w:rsid w:val="007176C1"/>
    <w:rsid w:val="00750D6D"/>
    <w:rsid w:val="007C3C0D"/>
    <w:rsid w:val="007F55CB"/>
    <w:rsid w:val="00844750"/>
    <w:rsid w:val="0085341E"/>
    <w:rsid w:val="00864DC6"/>
    <w:rsid w:val="008A1209"/>
    <w:rsid w:val="008B44C4"/>
    <w:rsid w:val="008D7D7E"/>
    <w:rsid w:val="008E7FAE"/>
    <w:rsid w:val="00901884"/>
    <w:rsid w:val="00911BF7"/>
    <w:rsid w:val="00977EC8"/>
    <w:rsid w:val="009C2D18"/>
    <w:rsid w:val="009C765C"/>
    <w:rsid w:val="009D3A8C"/>
    <w:rsid w:val="009E7956"/>
    <w:rsid w:val="00A14198"/>
    <w:rsid w:val="00A2492E"/>
    <w:rsid w:val="00AC67A1"/>
    <w:rsid w:val="00AC7977"/>
    <w:rsid w:val="00AD1127"/>
    <w:rsid w:val="00AE352C"/>
    <w:rsid w:val="00B00253"/>
    <w:rsid w:val="00B32E2D"/>
    <w:rsid w:val="00B61990"/>
    <w:rsid w:val="00B73F6A"/>
    <w:rsid w:val="00B93DB1"/>
    <w:rsid w:val="00BF0556"/>
    <w:rsid w:val="00C15B36"/>
    <w:rsid w:val="00C179C2"/>
    <w:rsid w:val="00C261F8"/>
    <w:rsid w:val="00C33100"/>
    <w:rsid w:val="00C36B9B"/>
    <w:rsid w:val="00C577BB"/>
    <w:rsid w:val="00C71D7D"/>
    <w:rsid w:val="00CD1A71"/>
    <w:rsid w:val="00CD1FBB"/>
    <w:rsid w:val="00D016B5"/>
    <w:rsid w:val="00D034F1"/>
    <w:rsid w:val="00D10597"/>
    <w:rsid w:val="00D21AD3"/>
    <w:rsid w:val="00D27D5E"/>
    <w:rsid w:val="00D413C8"/>
    <w:rsid w:val="00D45D5C"/>
    <w:rsid w:val="00D53740"/>
    <w:rsid w:val="00D77231"/>
    <w:rsid w:val="00DA6844"/>
    <w:rsid w:val="00DE6D90"/>
    <w:rsid w:val="00DF002F"/>
    <w:rsid w:val="00E0244D"/>
    <w:rsid w:val="00E066FF"/>
    <w:rsid w:val="00E71A27"/>
    <w:rsid w:val="00E81E94"/>
    <w:rsid w:val="00E82607"/>
    <w:rsid w:val="00F47851"/>
    <w:rsid w:val="00F51773"/>
    <w:rsid w:val="00F65B37"/>
    <w:rsid w:val="00FA5A79"/>
    <w:rsid w:val="00FB0BFE"/>
    <w:rsid w:val="00FB4983"/>
    <w:rsid w:val="00FB4C51"/>
    <w:rsid w:val="00FD2845"/>
    <w:rsid w:val="00FF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6BD0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31567F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716BD0"/>
    <w:pPr>
      <w:outlineLvl w:val="1"/>
    </w:pPr>
  </w:style>
  <w:style w:type="paragraph" w:styleId="Heading3">
    <w:name w:val="heading 3"/>
    <w:basedOn w:val="Normal"/>
    <w:next w:val="Normal"/>
    <w:qFormat/>
    <w:rsid w:val="00716BD0"/>
    <w:pPr>
      <w:outlineLvl w:val="2"/>
    </w:pPr>
  </w:style>
  <w:style w:type="paragraph" w:styleId="Heading4">
    <w:name w:val="heading 4"/>
    <w:basedOn w:val="Normal"/>
    <w:next w:val="Normal"/>
    <w:qFormat/>
    <w:rsid w:val="00716BD0"/>
    <w:pPr>
      <w:outlineLvl w:val="3"/>
    </w:pPr>
  </w:style>
  <w:style w:type="paragraph" w:styleId="Heading5">
    <w:name w:val="heading 5"/>
    <w:basedOn w:val="Normal"/>
    <w:next w:val="Normal"/>
    <w:qFormat/>
    <w:rsid w:val="00716BD0"/>
    <w:pPr>
      <w:outlineLvl w:val="4"/>
    </w:pPr>
  </w:style>
  <w:style w:type="paragraph" w:styleId="Heading6">
    <w:name w:val="heading 6"/>
    <w:basedOn w:val="Normal"/>
    <w:next w:val="Normal"/>
    <w:qFormat/>
    <w:rsid w:val="00716BD0"/>
    <w:pPr>
      <w:outlineLvl w:val="5"/>
    </w:pPr>
  </w:style>
  <w:style w:type="paragraph" w:styleId="Heading7">
    <w:name w:val="heading 7"/>
    <w:basedOn w:val="Normal"/>
    <w:next w:val="Normal"/>
    <w:qFormat/>
    <w:rsid w:val="00716BD0"/>
    <w:pPr>
      <w:outlineLvl w:val="6"/>
    </w:pPr>
  </w:style>
  <w:style w:type="paragraph" w:styleId="Heading8">
    <w:name w:val="heading 8"/>
    <w:basedOn w:val="Normal"/>
    <w:next w:val="Normal"/>
    <w:qFormat/>
    <w:rsid w:val="00716BD0"/>
    <w:pPr>
      <w:outlineLvl w:val="7"/>
    </w:pPr>
  </w:style>
  <w:style w:type="paragraph" w:styleId="Heading9">
    <w:name w:val="heading 9"/>
    <w:basedOn w:val="Normal"/>
    <w:next w:val="Normal"/>
    <w:qFormat/>
    <w:rsid w:val="00716BD0"/>
    <w:pPr>
      <w:outlineLvl w:val="8"/>
    </w:pPr>
  </w:style>
  <w:style w:type="character" w:default="1" w:styleId="DefaultParagraphFont">
    <w:name w:val="Default Paragraph Font"/>
    <w:semiHidden/>
    <w:rsid w:val="00716BD0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716BD0"/>
  </w:style>
  <w:style w:type="paragraph" w:customStyle="1" w:styleId="HMG">
    <w:name w:val="_ H __M_G"/>
    <w:basedOn w:val="Normal"/>
    <w:next w:val="Normal"/>
    <w:rsid w:val="00716BD0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16BD0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16BD0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16BD0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16BD0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16BD0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716BD0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716BD0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16BD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16BD0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16BD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16BD0"/>
    <w:pPr>
      <w:numPr>
        <w:numId w:val="49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16BD0"/>
    <w:pPr>
      <w:numPr>
        <w:numId w:val="50"/>
      </w:numPr>
      <w:spacing w:after="120"/>
      <w:ind w:right="1134"/>
      <w:jc w:val="both"/>
    </w:pPr>
  </w:style>
  <w:style w:type="character" w:styleId="FootnoteReference">
    <w:name w:val="footnote reference"/>
    <w:aliases w:val="4_G"/>
    <w:rsid w:val="00716BD0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rsid w:val="00716BD0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rsid w:val="00716BD0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"/>
    <w:basedOn w:val="Normal"/>
    <w:rsid w:val="003F4CA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3F4CA4"/>
  </w:style>
  <w:style w:type="character" w:styleId="PageNumber">
    <w:name w:val="page number"/>
    <w:aliases w:val="7_G"/>
    <w:rsid w:val="00716BD0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rsid w:val="00716BD0"/>
    <w:pPr>
      <w:spacing w:line="240" w:lineRule="auto"/>
    </w:pPr>
    <w:rPr>
      <w:sz w:val="16"/>
    </w:rPr>
  </w:style>
  <w:style w:type="character" w:styleId="Hyperlink">
    <w:name w:val="Hyperlink"/>
    <w:rsid w:val="000018F3"/>
    <w:rPr>
      <w:color w:val="auto"/>
      <w:u w:val="none"/>
    </w:rPr>
  </w:style>
  <w:style w:type="character" w:styleId="FollowedHyperlink">
    <w:name w:val="FollowedHyperlink"/>
    <w:rsid w:val="000018F3"/>
    <w:rPr>
      <w:color w:val="auto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NEWFORMAT\CRC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CRC1</Template>
  <TotalTime>0</TotalTime>
  <Pages>2</Pages>
  <Words>856</Words>
  <Characters>4663</Characters>
  <Application>Microsoft Office Word</Application>
  <DocSecurity>4</DocSecurity>
  <Lines>83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CRC/C/OPAC/PRY/Q/1</vt:lpstr>
    </vt:vector>
  </TitlesOfParts>
  <Company>Corinne</Company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CRC/C/OPAC/PRY/Q/1</dc:title>
  <dc:subject>Final</dc:subject>
  <dc:creator>Diane</dc:creator>
  <cp:keywords/>
  <dc:description/>
  <cp:lastModifiedBy>Diane</cp:lastModifiedBy>
  <cp:revision>2</cp:revision>
  <cp:lastPrinted>2012-12-14T16:18:00Z</cp:lastPrinted>
  <dcterms:created xsi:type="dcterms:W3CDTF">2012-12-17T08:31:00Z</dcterms:created>
  <dcterms:modified xsi:type="dcterms:W3CDTF">2012-12-17T08:31:00Z</dcterms:modified>
</cp:coreProperties>
</file>