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2E7D06">
        <w:tblPrEx>
          <w:tblCellMar>
            <w:top w:w="0" w:type="dxa"/>
            <w:bottom w:w="0" w:type="dxa"/>
          </w:tblCellMar>
        </w:tblPrEx>
        <w:tc>
          <w:tcPr>
            <w:tcW w:w="1560" w:type="dxa"/>
            <w:tcBorders>
              <w:top w:val="nil"/>
              <w:left w:val="nil"/>
              <w:bottom w:val="single" w:sz="6" w:space="0" w:color="auto"/>
              <w:right w:val="nil"/>
            </w:tcBorders>
          </w:tcPr>
          <w:p w:rsidR="002E7D06" w:rsidRDefault="002E7D06">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2E7D06" w:rsidRDefault="002E7D06">
            <w:pPr>
              <w:jc w:val="center"/>
            </w:pPr>
          </w:p>
        </w:tc>
        <w:tc>
          <w:tcPr>
            <w:tcW w:w="3366" w:type="dxa"/>
            <w:tcBorders>
              <w:top w:val="nil"/>
              <w:left w:val="nil"/>
              <w:bottom w:val="single" w:sz="6" w:space="0" w:color="auto"/>
              <w:right w:val="nil"/>
            </w:tcBorders>
            <w:vAlign w:val="bottom"/>
          </w:tcPr>
          <w:p w:rsidR="002E7D06" w:rsidRDefault="002E7D06">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2E7D06">
        <w:tblPrEx>
          <w:tblCellMar>
            <w:top w:w="0" w:type="dxa"/>
            <w:bottom w:w="0" w:type="dxa"/>
          </w:tblCellMar>
        </w:tblPrEx>
        <w:tc>
          <w:tcPr>
            <w:tcW w:w="1560" w:type="dxa"/>
            <w:tcBorders>
              <w:top w:val="single" w:sz="6" w:space="0" w:color="auto"/>
              <w:left w:val="nil"/>
              <w:bottom w:val="single" w:sz="36" w:space="0" w:color="auto"/>
              <w:right w:val="nil"/>
            </w:tcBorders>
          </w:tcPr>
          <w:p w:rsidR="002E7D06" w:rsidRDefault="002E7D06">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418833403" r:id="rId9"/>
              </w:object>
            </w:r>
          </w:p>
        </w:tc>
        <w:tc>
          <w:tcPr>
            <w:tcW w:w="4536" w:type="dxa"/>
            <w:tcBorders>
              <w:top w:val="single" w:sz="6" w:space="0" w:color="auto"/>
              <w:left w:val="nil"/>
              <w:bottom w:val="single" w:sz="36" w:space="0" w:color="auto"/>
              <w:right w:val="nil"/>
            </w:tcBorders>
          </w:tcPr>
          <w:p w:rsidR="002E7D06" w:rsidRDefault="002E7D06">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2E7D06" w:rsidRDefault="002E7D06">
            <w:pPr>
              <w:rPr>
                <w:rFonts w:ascii="Univers" w:hAnsi="Univers"/>
                <w:sz w:val="32"/>
              </w:rPr>
            </w:pPr>
          </w:p>
        </w:tc>
        <w:tc>
          <w:tcPr>
            <w:tcW w:w="3366" w:type="dxa"/>
            <w:tcBorders>
              <w:top w:val="single" w:sz="6" w:space="0" w:color="auto"/>
              <w:left w:val="nil"/>
              <w:bottom w:val="single" w:sz="36" w:space="0" w:color="auto"/>
              <w:right w:val="nil"/>
            </w:tcBorders>
          </w:tcPr>
          <w:p w:rsidR="002E7D06" w:rsidRDefault="002E7D06">
            <w:pPr>
              <w:spacing w:before="480"/>
            </w:pPr>
            <w:r>
              <w:t>Distr.</w:t>
            </w:r>
          </w:p>
          <w:p w:rsidR="002E7D06" w:rsidRDefault="002E7D06" w:rsidP="005106F7">
            <w:pPr>
              <w:spacing w:after="240"/>
            </w:pPr>
            <w:fldSimple w:instr=" FILLIN &quot;Distr.&quot; \* MERGEFORMAT ">
              <w:r>
                <w:t>GENERAL</w:t>
              </w:r>
            </w:fldSimple>
          </w:p>
          <w:p w:rsidR="002E7D06" w:rsidRDefault="002E7D06">
            <w:fldSimple w:instr=" FILLIN &quot;Symbol&quot; \* MERGEFORMAT ">
              <w:r>
                <w:t>CRC/C/OPAC/MDV/CO/1</w:t>
              </w:r>
            </w:fldSimple>
          </w:p>
          <w:p w:rsidR="002E7D06" w:rsidRDefault="00A428B4" w:rsidP="005106F7">
            <w:pPr>
              <w:spacing w:after="240"/>
            </w:pPr>
            <w:r>
              <w:t>4</w:t>
            </w:r>
            <w:r w:rsidR="002E7D06">
              <w:t xml:space="preserve"> </w:t>
            </w:r>
            <w:r>
              <w:t>March</w:t>
            </w:r>
            <w:r w:rsidR="002E7D06">
              <w:t xml:space="preserve"> 2009</w:t>
            </w:r>
          </w:p>
          <w:p w:rsidR="002E7D06" w:rsidRDefault="002E7D06" w:rsidP="00424EE3">
            <w:pPr>
              <w:spacing w:after="120"/>
            </w:pPr>
            <w:r>
              <w:t xml:space="preserve">Original:  </w:t>
            </w:r>
            <w:fldSimple w:instr=" FILLIN &quot;Orig. Lang.&quot; \* MERGEFORMAT ">
              <w:r>
                <w:t>ENGLISH</w:t>
              </w:r>
            </w:fldSimple>
          </w:p>
        </w:tc>
      </w:tr>
    </w:tbl>
    <w:p w:rsidR="002E7D06" w:rsidRDefault="002E7D06" w:rsidP="005106F7">
      <w:pPr>
        <w:spacing w:before="480" w:after="240"/>
        <w:jc w:val="center"/>
        <w:rPr>
          <w:b/>
        </w:rPr>
      </w:pPr>
      <w:r>
        <w:rPr>
          <w:b/>
        </w:rPr>
        <w:t>COMMITTEE ON THE RIGHTS OF THE CHILD</w:t>
      </w:r>
    </w:p>
    <w:p w:rsidR="002E7D06" w:rsidRDefault="002E7D06" w:rsidP="005106F7">
      <w:pPr>
        <w:spacing w:after="480"/>
        <w:jc w:val="center"/>
        <w:rPr>
          <w:b/>
        </w:rPr>
      </w:pPr>
      <w:r>
        <w:rPr>
          <w:b/>
        </w:rPr>
        <w:t>Fiftieth session</w:t>
      </w:r>
    </w:p>
    <w:p w:rsidR="002E7D06" w:rsidRDefault="002E7D06" w:rsidP="005106F7">
      <w:pPr>
        <w:spacing w:after="480"/>
        <w:jc w:val="center"/>
        <w:rPr>
          <w:b/>
        </w:rPr>
      </w:pPr>
      <w:r>
        <w:rPr>
          <w:b/>
        </w:rPr>
        <w:t>CONSIDERATION OF REPORTS SUBMITTED BY STATES PARTIES UNDER ARTICLE 8 OF THE OPTIONAL PROTOCOL TO THE CONVENTION ON THE RIGHTS OF THE CHILD ON THE INVOLVEMENT OF CHILDREN IN ARMED CONFLICT</w:t>
      </w:r>
    </w:p>
    <w:p w:rsidR="002E7D06" w:rsidRDefault="002E7D06" w:rsidP="005106F7">
      <w:pPr>
        <w:spacing w:after="240"/>
        <w:jc w:val="center"/>
        <w:rPr>
          <w:b/>
          <w:bCs/>
        </w:rPr>
      </w:pPr>
      <w:r>
        <w:rPr>
          <w:b/>
          <w:bCs/>
        </w:rPr>
        <w:t xml:space="preserve">Concluding observations: The Republic of the </w:t>
      </w:r>
      <w:smartTag w:uri="urn:schemas-microsoft-com:office:smarttags" w:element="country-region">
        <w:smartTag w:uri="urn:schemas-microsoft-com:office:smarttags" w:element="place">
          <w:r>
            <w:rPr>
              <w:b/>
              <w:bCs/>
            </w:rPr>
            <w:t>Maldives</w:t>
          </w:r>
        </w:smartTag>
      </w:smartTag>
    </w:p>
    <w:p w:rsidR="002E7D06" w:rsidRDefault="002E7D06" w:rsidP="005106F7">
      <w:pPr>
        <w:numPr>
          <w:ilvl w:val="0"/>
          <w:numId w:val="46"/>
        </w:numPr>
        <w:tabs>
          <w:tab w:val="clear" w:pos="720"/>
        </w:tabs>
        <w:spacing w:after="240"/>
        <w:ind w:left="0" w:firstLine="0"/>
        <w:jc w:val="both"/>
      </w:pPr>
      <w:r>
        <w:t xml:space="preserve">The Committee considered the initial report of the Maldives (CRC/C/OPAC/MDV/1) at its 1391st meeting (CRC/C/SR.1391) held on 26 January 2009, and adopted at its 1398th meeting (CRC/C/SR.1398), held on 30 January 2009, the following concluding observations. </w:t>
      </w:r>
    </w:p>
    <w:p w:rsidR="002E7D06" w:rsidRDefault="002E7D06" w:rsidP="005106F7">
      <w:pPr>
        <w:spacing w:after="240"/>
        <w:ind w:left="360"/>
        <w:jc w:val="center"/>
        <w:rPr>
          <w:b/>
          <w:bCs/>
        </w:rPr>
      </w:pPr>
      <w:r>
        <w:rPr>
          <w:b/>
          <w:bCs/>
        </w:rPr>
        <w:t>Introduction</w:t>
      </w:r>
    </w:p>
    <w:p w:rsidR="002E7D06" w:rsidRDefault="002E7D06" w:rsidP="005106F7">
      <w:pPr>
        <w:numPr>
          <w:ilvl w:val="0"/>
          <w:numId w:val="46"/>
        </w:numPr>
        <w:tabs>
          <w:tab w:val="clear" w:pos="720"/>
        </w:tabs>
        <w:spacing w:after="240"/>
        <w:ind w:left="0" w:firstLine="0"/>
        <w:jc w:val="both"/>
        <w:rPr>
          <w:bCs/>
        </w:rPr>
      </w:pPr>
      <w:r>
        <w:t xml:space="preserve">The Committee welcomes the submission of the State party's initial report. </w:t>
      </w:r>
      <w:r>
        <w:rPr>
          <w:bCs/>
        </w:rPr>
        <w:t xml:space="preserve"> </w:t>
      </w:r>
      <w:r>
        <w:t xml:space="preserve">The Committee further welcomes its written replies (CRC/C/OPAC/MDV/Q/1/Add.1) to the list of issues and appreciates the constructive dialogue held with the multi-sectoral delegation, which included a representative of the national defence force. </w:t>
      </w:r>
    </w:p>
    <w:p w:rsidR="002E7D06" w:rsidRPr="005106F7" w:rsidRDefault="002E7D06" w:rsidP="005106F7">
      <w:pPr>
        <w:numPr>
          <w:ilvl w:val="0"/>
          <w:numId w:val="46"/>
        </w:numPr>
        <w:tabs>
          <w:tab w:val="clear" w:pos="720"/>
        </w:tabs>
        <w:spacing w:after="480"/>
        <w:ind w:left="0" w:firstLine="0"/>
        <w:jc w:val="both"/>
        <w:rPr>
          <w:bCs/>
        </w:rPr>
      </w:pPr>
      <w:r>
        <w:t>The Committee reminds the State party that these concluding observations should be read in conjunction with its previous concluding observations adopted on the State party’s second periodic report on 13 July 2007(CRC/C/MDV/CO/3) and with the concluding observations adopted on the initial report under the Optional Protocol on the sale of children, child prostitution and child pornography (CRC/C/OPSC/MDV/CO/1) on 30 January 2009.</w:t>
      </w:r>
    </w:p>
    <w:p w:rsidR="005106F7" w:rsidRDefault="005106F7" w:rsidP="00424EE3">
      <w:pPr>
        <w:spacing w:before="240" w:after="240"/>
        <w:jc w:val="both"/>
        <w:rPr>
          <w:bCs/>
        </w:rPr>
      </w:pPr>
      <w:r>
        <w:t>GE.09-</w:t>
      </w:r>
      <w:r w:rsidR="001C2483">
        <w:t>40954</w:t>
      </w:r>
    </w:p>
    <w:p w:rsidR="002E7D06" w:rsidRDefault="005106F7" w:rsidP="005106F7">
      <w:pPr>
        <w:keepNext/>
        <w:keepLines/>
        <w:spacing w:after="240"/>
        <w:ind w:left="360"/>
        <w:jc w:val="center"/>
        <w:rPr>
          <w:b/>
          <w:bCs/>
        </w:rPr>
      </w:pPr>
      <w:r>
        <w:rPr>
          <w:b/>
          <w:bCs/>
        </w:rPr>
        <w:br w:type="page"/>
      </w:r>
      <w:r w:rsidR="002E7D06">
        <w:rPr>
          <w:b/>
          <w:bCs/>
        </w:rPr>
        <w:t>A. Positive aspects</w:t>
      </w:r>
    </w:p>
    <w:p w:rsidR="002E7D06" w:rsidRDefault="002E7D06" w:rsidP="005106F7">
      <w:pPr>
        <w:keepNext/>
        <w:keepLines/>
        <w:numPr>
          <w:ilvl w:val="0"/>
          <w:numId w:val="46"/>
        </w:numPr>
        <w:tabs>
          <w:tab w:val="clear" w:pos="720"/>
        </w:tabs>
        <w:spacing w:after="240"/>
        <w:ind w:left="0" w:firstLine="0"/>
        <w:jc w:val="both"/>
      </w:pPr>
      <w:r>
        <w:t>The Committee notes as positive the State party’s declaration upon ratification of the Optional Protocol declaring 18 years as the minimum age for recruitment into the armed forces.</w:t>
      </w:r>
    </w:p>
    <w:p w:rsidR="002E7D06" w:rsidRDefault="002E7D06" w:rsidP="005106F7">
      <w:pPr>
        <w:numPr>
          <w:ilvl w:val="0"/>
          <w:numId w:val="46"/>
        </w:numPr>
        <w:tabs>
          <w:tab w:val="clear" w:pos="720"/>
        </w:tabs>
        <w:spacing w:after="240"/>
        <w:ind w:left="0" w:firstLine="0"/>
        <w:jc w:val="both"/>
      </w:pPr>
      <w:r>
        <w:rPr>
          <w:lang w:val="en-CA"/>
        </w:rPr>
        <w:t xml:space="preserve">The </w:t>
      </w:r>
      <w:r>
        <w:t>Committee</w:t>
      </w:r>
      <w:r>
        <w:rPr>
          <w:lang w:val="en-CA"/>
        </w:rPr>
        <w:t xml:space="preserve"> welcomes the reference to special protection of children in article 35 of the new Constitution adopted in August 2008.</w:t>
      </w:r>
    </w:p>
    <w:p w:rsidR="002E7D06" w:rsidRDefault="002E7D06" w:rsidP="005106F7">
      <w:pPr>
        <w:spacing w:before="480" w:after="240"/>
        <w:ind w:left="357"/>
        <w:jc w:val="center"/>
        <w:rPr>
          <w:b/>
          <w:bCs/>
          <w:u w:val="single"/>
        </w:rPr>
      </w:pPr>
      <w:r>
        <w:rPr>
          <w:b/>
          <w:bCs/>
        </w:rPr>
        <w:t>I. General measures of implementation</w:t>
      </w:r>
    </w:p>
    <w:p w:rsidR="002E7D06" w:rsidRDefault="002E7D06" w:rsidP="005106F7">
      <w:pPr>
        <w:spacing w:after="240"/>
        <w:jc w:val="both"/>
        <w:rPr>
          <w:b/>
          <w:bCs/>
        </w:rPr>
      </w:pPr>
      <w:r>
        <w:rPr>
          <w:b/>
          <w:bCs/>
        </w:rPr>
        <w:t>Dissemination and training</w:t>
      </w:r>
    </w:p>
    <w:p w:rsidR="002E7D06" w:rsidRDefault="002E7D06" w:rsidP="005106F7">
      <w:pPr>
        <w:numPr>
          <w:ilvl w:val="0"/>
          <w:numId w:val="46"/>
        </w:numPr>
        <w:tabs>
          <w:tab w:val="clear" w:pos="720"/>
        </w:tabs>
        <w:spacing w:after="240"/>
        <w:ind w:left="0" w:firstLine="0"/>
        <w:jc w:val="both"/>
      </w:pPr>
      <w:r>
        <w:t>The Committee is concerned that awareness of the Optional Protocol is inadequate.</w:t>
      </w:r>
    </w:p>
    <w:p w:rsidR="002E7D06" w:rsidRDefault="002E7D06" w:rsidP="005106F7">
      <w:pPr>
        <w:numPr>
          <w:ilvl w:val="0"/>
          <w:numId w:val="46"/>
        </w:numPr>
        <w:tabs>
          <w:tab w:val="clear" w:pos="720"/>
        </w:tabs>
        <w:spacing w:after="240"/>
        <w:ind w:left="0" w:firstLine="0"/>
        <w:jc w:val="both"/>
      </w:pPr>
      <w:r>
        <w:rPr>
          <w:b/>
          <w:bCs/>
        </w:rPr>
        <w:t xml:space="preserve">The Committee recommends, in light of article 6, paragraph 2, of the Optional Protocol, that the State party ensure that the principles and provisions of the Optional Protocol are widely disseminated to the general public and State officials. In particular, the Committee recommends the State party to ensure that all members of its armed forces receive training on the provisions of the Optional Protocol. </w:t>
      </w:r>
    </w:p>
    <w:p w:rsidR="002E7D06" w:rsidRDefault="002E7D06" w:rsidP="005106F7">
      <w:pPr>
        <w:spacing w:before="480" w:after="240"/>
        <w:ind w:left="357"/>
        <w:jc w:val="center"/>
        <w:rPr>
          <w:b/>
          <w:bCs/>
          <w:lang w:val="en-CA"/>
        </w:rPr>
      </w:pPr>
      <w:r>
        <w:rPr>
          <w:b/>
          <w:bCs/>
          <w:lang w:val="en-CA"/>
        </w:rPr>
        <w:t>II. Prevention</w:t>
      </w:r>
    </w:p>
    <w:p w:rsidR="002E7D06" w:rsidRDefault="002E7D06" w:rsidP="005106F7">
      <w:pPr>
        <w:spacing w:after="240"/>
        <w:rPr>
          <w:b/>
          <w:bCs/>
        </w:rPr>
      </w:pPr>
      <w:r>
        <w:rPr>
          <w:b/>
          <w:bCs/>
        </w:rPr>
        <w:t>Peace education</w:t>
      </w:r>
    </w:p>
    <w:p w:rsidR="002E7D06" w:rsidRDefault="002E7D06" w:rsidP="005106F7">
      <w:pPr>
        <w:numPr>
          <w:ilvl w:val="0"/>
          <w:numId w:val="46"/>
        </w:numPr>
        <w:tabs>
          <w:tab w:val="clear" w:pos="720"/>
        </w:tabs>
        <w:spacing w:after="240"/>
        <w:ind w:left="0" w:firstLine="0"/>
        <w:jc w:val="both"/>
      </w:pPr>
      <w:r>
        <w:t xml:space="preserve">The Committee regrets that peace education is not included in the school curricula. </w:t>
      </w:r>
    </w:p>
    <w:p w:rsidR="002E7D06" w:rsidRDefault="002E7D06" w:rsidP="005106F7">
      <w:pPr>
        <w:numPr>
          <w:ilvl w:val="0"/>
          <w:numId w:val="46"/>
        </w:numPr>
        <w:tabs>
          <w:tab w:val="clear" w:pos="720"/>
        </w:tabs>
        <w:spacing w:after="240"/>
        <w:ind w:left="0" w:firstLine="0"/>
        <w:jc w:val="both"/>
      </w:pPr>
      <w:r>
        <w:rPr>
          <w:b/>
          <w:bCs/>
        </w:rPr>
        <w:t>The Committee recommends that the State party provide human rights education and, in particular, peace education for all children in school and train teachers on the promotion of these values in children's education.</w:t>
      </w:r>
      <w:r>
        <w:rPr>
          <w:rStyle w:val="FootnoteReference"/>
        </w:rPr>
        <w:t xml:space="preserve"> </w:t>
      </w:r>
    </w:p>
    <w:p w:rsidR="002E7D06" w:rsidRDefault="002E7D06" w:rsidP="005106F7">
      <w:pPr>
        <w:spacing w:before="480" w:after="240"/>
        <w:ind w:left="357"/>
        <w:jc w:val="center"/>
        <w:rPr>
          <w:b/>
          <w:bCs/>
        </w:rPr>
      </w:pPr>
      <w:r>
        <w:rPr>
          <w:b/>
          <w:bCs/>
        </w:rPr>
        <w:t>III. Prohibition and related matters</w:t>
      </w:r>
    </w:p>
    <w:p w:rsidR="002E7D06" w:rsidRDefault="002E7D06" w:rsidP="005106F7">
      <w:pPr>
        <w:spacing w:after="240"/>
        <w:rPr>
          <w:b/>
          <w:bCs/>
        </w:rPr>
      </w:pPr>
      <w:r>
        <w:rPr>
          <w:b/>
          <w:bCs/>
        </w:rPr>
        <w:t xml:space="preserve">Legislation </w:t>
      </w:r>
    </w:p>
    <w:p w:rsidR="002E7D06" w:rsidRDefault="002E7D06" w:rsidP="005106F7">
      <w:pPr>
        <w:numPr>
          <w:ilvl w:val="0"/>
          <w:numId w:val="46"/>
        </w:numPr>
        <w:tabs>
          <w:tab w:val="clear" w:pos="720"/>
        </w:tabs>
        <w:spacing w:after="240"/>
        <w:ind w:left="0" w:firstLine="0"/>
        <w:jc w:val="both"/>
      </w:pPr>
      <w:r>
        <w:t>The Committee, while noting that section 12 of the Rules pertaining to the Maldivian Public Services prohibits recruitment of any person under 18 years into the national armed forces, the Committee regrets the lack of applicable sanctions and an explicit provision on criminalization of child recruitment in the Penal Code.</w:t>
      </w:r>
    </w:p>
    <w:p w:rsidR="002E7D06" w:rsidRDefault="002E7D06" w:rsidP="005106F7">
      <w:pPr>
        <w:numPr>
          <w:ilvl w:val="0"/>
          <w:numId w:val="46"/>
        </w:numPr>
        <w:tabs>
          <w:tab w:val="clear" w:pos="720"/>
        </w:tabs>
        <w:spacing w:after="240"/>
        <w:ind w:left="0" w:firstLine="0"/>
        <w:jc w:val="both"/>
        <w:rPr>
          <w:b/>
          <w:bCs/>
          <w:color w:val="000000"/>
        </w:rPr>
      </w:pPr>
      <w:r>
        <w:rPr>
          <w:b/>
          <w:bCs/>
        </w:rPr>
        <w:t>In order to further strengthen international measures for the prevention of the recruitment of children and their use in hostilities, the Committee urges the State party to:</w:t>
      </w:r>
    </w:p>
    <w:p w:rsidR="002E7D06" w:rsidRDefault="002E7D06" w:rsidP="005106F7">
      <w:pPr>
        <w:numPr>
          <w:ilvl w:val="0"/>
          <w:numId w:val="47"/>
        </w:numPr>
        <w:autoSpaceDE w:val="0"/>
        <w:autoSpaceDN w:val="0"/>
        <w:adjustRightInd w:val="0"/>
        <w:spacing w:after="240" w:line="240" w:lineRule="atLeast"/>
        <w:jc w:val="both"/>
        <w:rPr>
          <w:b/>
          <w:bCs/>
          <w:color w:val="000000"/>
        </w:rPr>
      </w:pPr>
      <w:r>
        <w:rPr>
          <w:b/>
          <w:bCs/>
          <w:color w:val="000000"/>
        </w:rPr>
        <w:t>Revise the Penal Code and include a provision which criminalizes</w:t>
      </w:r>
      <w:r>
        <w:rPr>
          <w:b/>
          <w:bCs/>
        </w:rPr>
        <w:t xml:space="preserve"> violations of the provisions of the Optional Protocol regarding the recruitment and involvement of children in hostilities;</w:t>
      </w:r>
    </w:p>
    <w:p w:rsidR="002E7D06" w:rsidRDefault="002E7D06" w:rsidP="005106F7">
      <w:pPr>
        <w:numPr>
          <w:ilvl w:val="0"/>
          <w:numId w:val="47"/>
        </w:numPr>
        <w:autoSpaceDE w:val="0"/>
        <w:autoSpaceDN w:val="0"/>
        <w:adjustRightInd w:val="0"/>
        <w:spacing w:after="240" w:line="240" w:lineRule="atLeast"/>
        <w:jc w:val="both"/>
        <w:rPr>
          <w:b/>
          <w:bCs/>
          <w:color w:val="000000"/>
        </w:rPr>
      </w:pPr>
      <w:r>
        <w:rPr>
          <w:b/>
          <w:bCs/>
        </w:rPr>
        <w:t xml:space="preserve">Consider providing </w:t>
      </w:r>
      <w:r>
        <w:rPr>
          <w:rStyle w:val="Strong"/>
        </w:rPr>
        <w:t>extra-territorial</w:t>
      </w:r>
      <w:r>
        <w:rPr>
          <w:rStyle w:val="Strong"/>
          <w:b w:val="0"/>
          <w:bCs w:val="0"/>
        </w:rPr>
        <w:t xml:space="preserve"> </w:t>
      </w:r>
      <w:r>
        <w:rPr>
          <w:b/>
          <w:bCs/>
        </w:rPr>
        <w:t>jurisdiction over acts contrary to the Optional Protocol, including conscripting or enlisting children into armed forces or armed groups, or using them to participate actively in hostilities, if such crimes are committed by or against a Maldivian national or a person who otherwise has a close link with the State party;</w:t>
      </w:r>
    </w:p>
    <w:p w:rsidR="002E7D06" w:rsidRDefault="002E7D06" w:rsidP="005106F7">
      <w:pPr>
        <w:numPr>
          <w:ilvl w:val="0"/>
          <w:numId w:val="47"/>
        </w:numPr>
        <w:autoSpaceDE w:val="0"/>
        <w:autoSpaceDN w:val="0"/>
        <w:adjustRightInd w:val="0"/>
        <w:spacing w:after="240" w:line="240" w:lineRule="atLeast"/>
        <w:jc w:val="both"/>
        <w:rPr>
          <w:b/>
          <w:bCs/>
          <w:color w:val="000000"/>
        </w:rPr>
      </w:pPr>
      <w:r>
        <w:rPr>
          <w:b/>
          <w:bCs/>
          <w:color w:val="000000"/>
        </w:rPr>
        <w:t>Ensure that all military codes, manuals and other military directives are in accordance with the provisions and the spirit of the Optional Protocol;</w:t>
      </w:r>
    </w:p>
    <w:p w:rsidR="002E7D06" w:rsidRDefault="002E7D06" w:rsidP="005106F7">
      <w:pPr>
        <w:numPr>
          <w:ilvl w:val="0"/>
          <w:numId w:val="47"/>
        </w:numPr>
        <w:autoSpaceDE w:val="0"/>
        <w:autoSpaceDN w:val="0"/>
        <w:adjustRightInd w:val="0"/>
        <w:spacing w:after="240" w:line="240" w:lineRule="atLeast"/>
        <w:jc w:val="both"/>
        <w:rPr>
          <w:b/>
          <w:bCs/>
          <w:color w:val="000000"/>
        </w:rPr>
      </w:pPr>
      <w:r>
        <w:rPr>
          <w:b/>
          <w:bCs/>
          <w:color w:val="000000"/>
        </w:rPr>
        <w:t xml:space="preserve">Consider the ratification of; </w:t>
      </w:r>
    </w:p>
    <w:p w:rsidR="002E7D06" w:rsidRDefault="002E7D06" w:rsidP="005106F7">
      <w:pPr>
        <w:autoSpaceDE w:val="0"/>
        <w:autoSpaceDN w:val="0"/>
        <w:adjustRightInd w:val="0"/>
        <w:spacing w:after="240" w:line="240" w:lineRule="atLeast"/>
        <w:ind w:left="1440"/>
        <w:jc w:val="both"/>
        <w:rPr>
          <w:b/>
          <w:bCs/>
          <w:color w:val="000000"/>
        </w:rPr>
      </w:pPr>
      <w:r>
        <w:rPr>
          <w:b/>
          <w:bCs/>
          <w:color w:val="000000"/>
        </w:rPr>
        <w:t xml:space="preserve">(i)   </w:t>
      </w:r>
      <w:r>
        <w:rPr>
          <w:b/>
          <w:bCs/>
          <w:color w:val="000000"/>
        </w:rPr>
        <w:tab/>
        <w:t xml:space="preserve">The </w:t>
      </w:r>
      <w:smartTag w:uri="urn:schemas-microsoft-com:office:smarttags" w:element="City">
        <w:smartTag w:uri="urn:schemas-microsoft-com:office:smarttags" w:element="place">
          <w:r>
            <w:rPr>
              <w:b/>
              <w:bCs/>
              <w:color w:val="000000"/>
            </w:rPr>
            <w:t>Rome</w:t>
          </w:r>
        </w:smartTag>
      </w:smartTag>
      <w:r>
        <w:rPr>
          <w:b/>
          <w:bCs/>
          <w:color w:val="000000"/>
        </w:rPr>
        <w:t xml:space="preserve"> Statute of the International Criminal Court, 2001 and; </w:t>
      </w:r>
    </w:p>
    <w:p w:rsidR="002E7D06" w:rsidRDefault="002E7D06" w:rsidP="005106F7">
      <w:pPr>
        <w:autoSpaceDE w:val="0"/>
        <w:autoSpaceDN w:val="0"/>
        <w:adjustRightInd w:val="0"/>
        <w:spacing w:after="240" w:line="240" w:lineRule="atLeast"/>
        <w:ind w:left="2160" w:hanging="720"/>
        <w:jc w:val="both"/>
        <w:rPr>
          <w:b/>
          <w:bCs/>
          <w:color w:val="000000"/>
        </w:rPr>
      </w:pPr>
      <w:r>
        <w:rPr>
          <w:rFonts w:ascii="TimesNewRomanPS-BoldMT" w:hAnsi="TimesNewRomanPS-BoldMT" w:cs="TimesNewRomanPS-BoldMT"/>
          <w:b/>
          <w:bCs/>
          <w:lang w:eastAsia="sv-SE"/>
        </w:rPr>
        <w:t>(ii)</w:t>
      </w:r>
      <w:r>
        <w:rPr>
          <w:rFonts w:ascii="TimesNewRomanPS-BoldMT" w:hAnsi="TimesNewRomanPS-BoldMT" w:cs="TimesNewRomanPS-BoldMT"/>
          <w:b/>
          <w:bCs/>
          <w:lang w:eastAsia="sv-SE"/>
        </w:rPr>
        <w:tab/>
        <w:t>The</w:t>
      </w:r>
      <w:r>
        <w:rPr>
          <w:rFonts w:ascii="TimesNewRomanPSMT" w:hAnsi="TimesNewRomanPSMT" w:cs="TimesNewRomanPSMT"/>
          <w:b/>
          <w:lang w:eastAsia="sv-SE"/>
        </w:rPr>
        <w:t xml:space="preserve"> ILO Convention no. 182 (1999) concerning the Prohibition and Immediate Action for the Elimination of the Worst Forms of Child Labour.</w:t>
      </w:r>
    </w:p>
    <w:p w:rsidR="002E7D06" w:rsidRDefault="002E7D06" w:rsidP="005106F7">
      <w:pPr>
        <w:spacing w:before="480" w:after="240"/>
        <w:ind w:left="357"/>
        <w:jc w:val="center"/>
        <w:rPr>
          <w:b/>
          <w:bCs/>
        </w:rPr>
      </w:pPr>
      <w:r>
        <w:rPr>
          <w:b/>
          <w:bCs/>
        </w:rPr>
        <w:t>IV. Protection, recovery and reintegration</w:t>
      </w:r>
    </w:p>
    <w:p w:rsidR="002E7D06" w:rsidRDefault="002E7D06" w:rsidP="005106F7">
      <w:pPr>
        <w:spacing w:after="240"/>
        <w:rPr>
          <w:b/>
          <w:bCs/>
        </w:rPr>
      </w:pPr>
      <w:r>
        <w:rPr>
          <w:b/>
          <w:bCs/>
        </w:rPr>
        <w:t xml:space="preserve">Assistance for physical and psychological recovery </w:t>
      </w:r>
    </w:p>
    <w:p w:rsidR="002E7D06" w:rsidRDefault="002E7D06" w:rsidP="005106F7">
      <w:pPr>
        <w:numPr>
          <w:ilvl w:val="0"/>
          <w:numId w:val="46"/>
        </w:numPr>
        <w:tabs>
          <w:tab w:val="clear" w:pos="720"/>
        </w:tabs>
        <w:spacing w:after="240"/>
        <w:ind w:left="0" w:firstLine="0"/>
        <w:jc w:val="both"/>
        <w:rPr>
          <w:b/>
          <w:bCs/>
          <w:color w:val="000000"/>
        </w:rPr>
      </w:pPr>
      <w:r>
        <w:t>The Committee notes there may be unaccompanied migrant children or children migrating with their families who do not necessarily seek asylum, but may have been involved in hostilities abroad. In this respect, the Committee is concerned about the lack of an identification mechanism of these children and regrets that, if needed, recovery and reintegration programmes and services would not be available for them.</w:t>
      </w:r>
    </w:p>
    <w:p w:rsidR="002E7D06" w:rsidRDefault="002E7D06" w:rsidP="005106F7">
      <w:pPr>
        <w:numPr>
          <w:ilvl w:val="0"/>
          <w:numId w:val="46"/>
        </w:numPr>
        <w:tabs>
          <w:tab w:val="clear" w:pos="720"/>
        </w:tabs>
        <w:spacing w:after="240"/>
        <w:ind w:left="0" w:firstLine="0"/>
        <w:jc w:val="both"/>
        <w:rPr>
          <w:b/>
          <w:bCs/>
          <w:i/>
          <w:iCs/>
          <w:color w:val="000000"/>
        </w:rPr>
      </w:pPr>
      <w:r>
        <w:rPr>
          <w:b/>
          <w:bCs/>
        </w:rPr>
        <w:t>The Committee encourages the State party to establish an identification mechanism for</w:t>
      </w:r>
      <w:r w:rsidR="005106F7">
        <w:rPr>
          <w:b/>
          <w:bCs/>
        </w:rPr>
        <w:t xml:space="preserve"> </w:t>
      </w:r>
      <w:r>
        <w:rPr>
          <w:b/>
          <w:bCs/>
        </w:rPr>
        <w:t>asylum-seeking and migrant children who may have been recruited or used in hostilities, and regrets the lack of measures for their physical and psychological recovery and social reintegration.</w:t>
      </w:r>
      <w:r>
        <w:rPr>
          <w:sz w:val="22"/>
          <w:szCs w:val="22"/>
        </w:rPr>
        <w:t xml:space="preserve"> </w:t>
      </w:r>
      <w:r>
        <w:rPr>
          <w:b/>
          <w:bCs/>
        </w:rPr>
        <w:t>The Committee furthermore encourages the State party to accede to the 1951 Convention relating to the Status of Refugees and its 1967 Protocol.</w:t>
      </w:r>
    </w:p>
    <w:p w:rsidR="002E7D06" w:rsidRDefault="002E7D06" w:rsidP="005106F7">
      <w:pPr>
        <w:spacing w:before="480" w:after="240"/>
        <w:ind w:left="357"/>
        <w:jc w:val="center"/>
        <w:rPr>
          <w:b/>
          <w:bCs/>
        </w:rPr>
      </w:pPr>
      <w:r>
        <w:rPr>
          <w:b/>
          <w:bCs/>
        </w:rPr>
        <w:t>V. Follow up and dissemination</w:t>
      </w:r>
    </w:p>
    <w:p w:rsidR="002E7D06" w:rsidRDefault="002E7D06" w:rsidP="005106F7">
      <w:pPr>
        <w:numPr>
          <w:ilvl w:val="0"/>
          <w:numId w:val="46"/>
        </w:numPr>
        <w:tabs>
          <w:tab w:val="clear" w:pos="720"/>
        </w:tabs>
        <w:spacing w:after="240"/>
        <w:ind w:left="0" w:firstLine="0"/>
        <w:jc w:val="both"/>
        <w:rPr>
          <w:b/>
          <w:lang w:val="en-CA"/>
        </w:rPr>
      </w:pPr>
      <w:r>
        <w:rPr>
          <w:rFonts w:ascii="TimesNewRoman,Bold" w:hAnsi="TimesNewRoman,Bold" w:cs="TimesNewRoman,Bold"/>
          <w:b/>
          <w:bCs/>
        </w:rPr>
        <w:t xml:space="preserve">The </w:t>
      </w:r>
      <w:r>
        <w:rPr>
          <w:b/>
          <w:bCs/>
        </w:rPr>
        <w:t xml:space="preserve">Committee recommends that the State party take all appropriate measures to ensure the full implementation of the present recommendations, inter alia, </w:t>
      </w:r>
      <w:r>
        <w:rPr>
          <w:rFonts w:ascii="TimesNewRomanPS-BoldMT" w:hAnsi="TimesNewRomanPS-BoldMT" w:cs="TimesNewRomanPS-BoldMT"/>
          <w:b/>
          <w:bCs/>
          <w:lang w:eastAsia="sv-SE"/>
        </w:rPr>
        <w:t>by transmitting them to the members of the Cabinet of Ministers and the People’s Council (Majlis), and to all atolls, when applicable, for appropriate consideration and further action.</w:t>
      </w:r>
    </w:p>
    <w:p w:rsidR="002E7D06" w:rsidRDefault="002E7D06" w:rsidP="005106F7">
      <w:pPr>
        <w:numPr>
          <w:ilvl w:val="0"/>
          <w:numId w:val="46"/>
        </w:numPr>
        <w:tabs>
          <w:tab w:val="clear" w:pos="720"/>
        </w:tabs>
        <w:spacing w:after="240"/>
        <w:ind w:left="0" w:firstLine="0"/>
        <w:jc w:val="both"/>
        <w:rPr>
          <w:b/>
          <w:lang w:val="en-CA"/>
        </w:rPr>
      </w:pPr>
      <w:r>
        <w:rPr>
          <w:rFonts w:ascii="TimesNewRoman,Bold" w:hAnsi="TimesNewRoman,Bold" w:cs="TimesNewRoman,Bold"/>
          <w:b/>
          <w:bCs/>
        </w:rPr>
        <w:t xml:space="preserve">The Committee recommends that the initial report submitted by the State party and concluding observations adopted by the Committee be made widely available to the public at large and to children in particular, in order to generate debate and awareness of the </w:t>
      </w:r>
      <w:r>
        <w:rPr>
          <w:b/>
          <w:bCs/>
        </w:rPr>
        <w:t>Optional</w:t>
      </w:r>
      <w:r>
        <w:rPr>
          <w:rFonts w:ascii="TimesNewRoman,Bold" w:hAnsi="TimesNewRoman,Bold" w:cs="TimesNewRoman,Bold"/>
          <w:b/>
          <w:bCs/>
        </w:rPr>
        <w:t xml:space="preserve"> Protocol, its implementation and monitoring.</w:t>
      </w:r>
    </w:p>
    <w:p w:rsidR="002E7D06" w:rsidRDefault="002E7D06" w:rsidP="005106F7">
      <w:pPr>
        <w:spacing w:before="480" w:after="240"/>
        <w:ind w:left="357"/>
        <w:jc w:val="center"/>
        <w:rPr>
          <w:b/>
          <w:bCs/>
        </w:rPr>
      </w:pPr>
      <w:r>
        <w:rPr>
          <w:b/>
          <w:bCs/>
        </w:rPr>
        <w:t>VI. Next report</w:t>
      </w:r>
    </w:p>
    <w:p w:rsidR="002E7D06" w:rsidRDefault="002E7D06" w:rsidP="005106F7">
      <w:pPr>
        <w:numPr>
          <w:ilvl w:val="0"/>
          <w:numId w:val="46"/>
        </w:numPr>
        <w:tabs>
          <w:tab w:val="clear" w:pos="720"/>
        </w:tabs>
        <w:spacing w:after="240"/>
        <w:ind w:left="0" w:firstLine="0"/>
        <w:jc w:val="both"/>
        <w:rPr>
          <w:b/>
          <w:bCs/>
          <w:i/>
          <w:iCs/>
        </w:rPr>
      </w:pPr>
      <w:r>
        <w:rPr>
          <w:b/>
          <w:bCs/>
        </w:rPr>
        <w:t xml:space="preserve">In accordance with article 8, paragraph 2, the Committee requests the State party to include further information on the implementation of the Optional Protocol in its combined fourth and fifth periodic report under the Convention on the Rights of the Child, due </w:t>
      </w:r>
      <w:r>
        <w:rPr>
          <w:rFonts w:ascii="TimesNewRomanPS-BoldMT" w:hAnsi="TimesNewRomanPS-BoldMT" w:cs="TimesNewRomanPS-BoldMT"/>
          <w:b/>
          <w:bCs/>
          <w:lang w:eastAsia="sv-SE"/>
        </w:rPr>
        <w:t>on 12 September 2011.</w:t>
      </w:r>
    </w:p>
    <w:p w:rsidR="002E7D06" w:rsidRDefault="002E7D06" w:rsidP="005106F7">
      <w:pPr>
        <w:spacing w:after="240" w:line="240" w:lineRule="atLeast"/>
        <w:jc w:val="center"/>
        <w:rPr>
          <w:bCs/>
        </w:rPr>
      </w:pPr>
      <w:r>
        <w:rPr>
          <w:b/>
          <w:bCs/>
        </w:rPr>
        <w:t>-----</w:t>
      </w:r>
    </w:p>
    <w:sectPr w:rsidR="002E7D06">
      <w:headerReference w:type="even" r:id="rId10"/>
      <w:headerReference w:type="default" r:id="rId11"/>
      <w:footerReference w:type="default" r:id="rId12"/>
      <w:pgSz w:w="12240" w:h="15840"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14" w:rsidRDefault="00F35314">
      <w:r>
        <w:separator/>
      </w:r>
    </w:p>
  </w:endnote>
  <w:endnote w:type="continuationSeparator" w:id="0">
    <w:p w:rsidR="00F35314" w:rsidRDefault="00F3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D" w:rsidRDefault="00B3407D">
    <w:pPr>
      <w:pStyle w:val="Footer"/>
      <w:framePr w:wrap="around" w:vAnchor="text" w:hAnchor="margin" w:xAlign="center" w:y="1"/>
      <w:rPr>
        <w:rStyle w:val="PageNumber"/>
        <w:sz w:val="20"/>
        <w:szCs w:val="20"/>
      </w:rPr>
    </w:pPr>
  </w:p>
  <w:p w:rsidR="00B3407D" w:rsidRDefault="00B340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14" w:rsidRDefault="00F35314">
      <w:r>
        <w:separator/>
      </w:r>
    </w:p>
  </w:footnote>
  <w:footnote w:type="continuationSeparator" w:id="0">
    <w:p w:rsidR="00F35314" w:rsidRDefault="00F35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D" w:rsidRDefault="00B3407D">
    <w:pPr>
      <w:rPr>
        <w:lang w:val="en-US"/>
      </w:rPr>
    </w:pPr>
    <w:r>
      <w:fldChar w:fldCharType="begin"/>
    </w:r>
    <w:r>
      <w:rPr>
        <w:lang w:val="en-US"/>
      </w:rPr>
      <w:instrText xml:space="preserve"> FILLIN "Symbol" \* MERGEFORMAT </w:instrText>
    </w:r>
    <w:r>
      <w:fldChar w:fldCharType="separate"/>
    </w:r>
    <w:r>
      <w:rPr>
        <w:lang w:val="en-US"/>
      </w:rPr>
      <w:t>CRC/C/OPAC/MDV/CO/1</w:t>
    </w:r>
    <w:r>
      <w:fldChar w:fldCharType="end"/>
    </w:r>
  </w:p>
  <w:p w:rsidR="00B3407D" w:rsidRDefault="00B3407D">
    <w:pPr>
      <w:pStyle w:val="Header"/>
      <w:rPr>
        <w:rStyle w:val="PageNumber"/>
      </w:rPr>
    </w:pPr>
    <w:r>
      <w:rPr>
        <w:lang w:val="es-ES_tradnl"/>
      </w:rPr>
      <w:t xml:space="preserve">page </w:t>
    </w:r>
    <w:r>
      <w:rPr>
        <w:rStyle w:val="PageNumber"/>
      </w:rPr>
      <w:fldChar w:fldCharType="begin"/>
    </w:r>
    <w:r>
      <w:rPr>
        <w:rStyle w:val="PageNumber"/>
        <w:lang w:val="es-ES_tradnl"/>
      </w:rPr>
      <w:instrText xml:space="preserve"> PAGE </w:instrText>
    </w:r>
    <w:r>
      <w:rPr>
        <w:rStyle w:val="PageNumber"/>
      </w:rPr>
      <w:fldChar w:fldCharType="separate"/>
    </w:r>
    <w:r>
      <w:rPr>
        <w:rStyle w:val="PageNumber"/>
        <w:noProof/>
        <w:lang w:val="es-ES_tradnl"/>
      </w:rPr>
      <w:t>2</w:t>
    </w:r>
    <w:r>
      <w:rPr>
        <w:rStyle w:val="PageNumber"/>
      </w:rPr>
      <w:fldChar w:fldCharType="end"/>
    </w:r>
  </w:p>
  <w:p w:rsidR="00B3407D" w:rsidRDefault="00B3407D">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D" w:rsidRDefault="00B3407D">
    <w:pPr>
      <w:jc w:val="right"/>
      <w:rPr>
        <w:lang w:val="en-US"/>
      </w:rPr>
    </w:pPr>
    <w:fldSimple w:instr=" FILLIN &quot;Symbol&quot; \* MERGEFORMAT ">
      <w:r w:rsidRPr="00B3407D">
        <w:rPr>
          <w:lang w:val="en-US"/>
        </w:rPr>
        <w:t>CRC/C/OPAC/MDV/CO/1</w:t>
      </w:r>
    </w:fldSimple>
  </w:p>
  <w:p w:rsidR="00B3407D" w:rsidRDefault="00B3407D">
    <w:pPr>
      <w:pStyle w:val="Header"/>
      <w:jc w:val="right"/>
      <w:rPr>
        <w:rStyle w:val="PageNumber"/>
        <w:lang w:val="es-ES_tradnl"/>
      </w:rPr>
    </w:pPr>
    <w:r>
      <w:rPr>
        <w:lang w:val="es-ES_tradnl"/>
      </w:rPr>
      <w:t xml:space="preserve">page </w:t>
    </w:r>
    <w:r>
      <w:rPr>
        <w:rStyle w:val="PageNumber"/>
      </w:rPr>
      <w:fldChar w:fldCharType="begin"/>
    </w:r>
    <w:r>
      <w:rPr>
        <w:rStyle w:val="PageNumber"/>
        <w:lang w:val="es-ES_tradnl"/>
      </w:rPr>
      <w:instrText xml:space="preserve"> PAGE </w:instrText>
    </w:r>
    <w:r>
      <w:rPr>
        <w:rStyle w:val="PageNumber"/>
      </w:rPr>
      <w:fldChar w:fldCharType="separate"/>
    </w:r>
    <w:r>
      <w:rPr>
        <w:rStyle w:val="PageNumber"/>
        <w:noProof/>
        <w:lang w:val="es-ES_tradnl"/>
      </w:rPr>
      <w:t>3</w:t>
    </w:r>
    <w:r>
      <w:rPr>
        <w:rStyle w:val="PageNumber"/>
      </w:rPr>
      <w:fldChar w:fldCharType="end"/>
    </w:r>
  </w:p>
  <w:p w:rsidR="00B3407D" w:rsidRDefault="00B3407D">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7BB"/>
    <w:multiLevelType w:val="hybridMultilevel"/>
    <w:tmpl w:val="2AA2EC44"/>
    <w:lvl w:ilvl="0" w:tplc="67942CD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54F54"/>
    <w:multiLevelType w:val="hybridMultilevel"/>
    <w:tmpl w:val="30082998"/>
    <w:lvl w:ilvl="0" w:tplc="04090017">
      <w:start w:val="1"/>
      <w:numFmt w:val="lowerLetter"/>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0A4ECD"/>
    <w:multiLevelType w:val="hybridMultilevel"/>
    <w:tmpl w:val="A202B730"/>
    <w:lvl w:ilvl="0" w:tplc="A0D200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9942FB"/>
    <w:multiLevelType w:val="multilevel"/>
    <w:tmpl w:val="351A9590"/>
    <w:lvl w:ilvl="0">
      <w:start w:val="1"/>
      <w:numFmt w:val="decimal"/>
      <w:lvlText w:val="%1."/>
      <w:lvlJc w:val="left"/>
      <w:pPr>
        <w:tabs>
          <w:tab w:val="num" w:pos="480"/>
        </w:tabs>
        <w:ind w:left="480" w:hanging="360"/>
      </w:pPr>
      <w:rPr>
        <w:rFonts w:hint="default"/>
        <w:b w:val="0"/>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9C2B08"/>
    <w:multiLevelType w:val="multilevel"/>
    <w:tmpl w:val="6F9AD7EA"/>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601BD1"/>
    <w:multiLevelType w:val="hybridMultilevel"/>
    <w:tmpl w:val="A06A6DB4"/>
    <w:lvl w:ilvl="0" w:tplc="F6687D78">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9C39C0"/>
    <w:multiLevelType w:val="multilevel"/>
    <w:tmpl w:val="7ABC0886"/>
    <w:lvl w:ilvl="0">
      <w:start w:val="11"/>
      <w:numFmt w:val="decimal"/>
      <w:lvlText w:val="%1."/>
      <w:lvlJc w:val="left"/>
      <w:pPr>
        <w:tabs>
          <w:tab w:val="num" w:pos="960"/>
        </w:tabs>
        <w:ind w:left="960" w:hanging="360"/>
      </w:pPr>
      <w:rPr>
        <w:rFonts w:ascii="TimesNewRoman,Bold" w:hAnsi="TimesNewRoman,Bold" w:cs="Times New" w:hint="default"/>
        <w:b w:val="0"/>
        <w:bCs/>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7">
    <w:nsid w:val="0F654AF1"/>
    <w:multiLevelType w:val="multilevel"/>
    <w:tmpl w:val="2AA2EC44"/>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20F03EB"/>
    <w:multiLevelType w:val="multilevel"/>
    <w:tmpl w:val="4FE8FC1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625"/>
        </w:tabs>
        <w:ind w:left="2625" w:hanging="645"/>
      </w:pPr>
    </w:lvl>
    <w:lvl w:ilvl="3">
      <w:start w:val="1"/>
      <w:numFmt w:val="lowerLetter"/>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9F5CDD"/>
    <w:multiLevelType w:val="hybridMultilevel"/>
    <w:tmpl w:val="C43CB9B4"/>
    <w:lvl w:ilvl="0" w:tplc="53A8D9C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4A0B39"/>
    <w:multiLevelType w:val="multilevel"/>
    <w:tmpl w:val="61C4216A"/>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B57142"/>
    <w:multiLevelType w:val="hybridMultilevel"/>
    <w:tmpl w:val="8CFC1664"/>
    <w:lvl w:ilvl="0" w:tplc="0B4A5B7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7D7478"/>
    <w:multiLevelType w:val="multilevel"/>
    <w:tmpl w:val="40F8C164"/>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B51F85"/>
    <w:multiLevelType w:val="hybridMultilevel"/>
    <w:tmpl w:val="CBC4ABE2"/>
    <w:lvl w:ilvl="0" w:tplc="900A3F70">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7E2155"/>
    <w:multiLevelType w:val="hybridMultilevel"/>
    <w:tmpl w:val="C9FEB11A"/>
    <w:lvl w:ilvl="0" w:tplc="953ED2B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BA22A4"/>
    <w:multiLevelType w:val="hybridMultilevel"/>
    <w:tmpl w:val="5F28E222"/>
    <w:lvl w:ilvl="0" w:tplc="ED206B6C">
      <w:start w:val="2"/>
      <w:numFmt w:val="decimal"/>
      <w:lvlText w:val="%1."/>
      <w:lvlJc w:val="left"/>
      <w:pPr>
        <w:tabs>
          <w:tab w:val="num" w:pos="360"/>
        </w:tabs>
        <w:ind w:left="0" w:firstLine="0"/>
      </w:pPr>
      <w:rPr>
        <w:rFonts w:hint="default"/>
        <w:b w:val="0"/>
        <w:bCs w:val="0"/>
        <w:i w:val="0"/>
        <w:iCs w:val="0"/>
      </w:rPr>
    </w:lvl>
    <w:lvl w:ilvl="1" w:tplc="37481EC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19F6F5F"/>
    <w:multiLevelType w:val="multilevel"/>
    <w:tmpl w:val="E91EA2F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1A71686"/>
    <w:multiLevelType w:val="hybridMultilevel"/>
    <w:tmpl w:val="15ACDB24"/>
    <w:lvl w:ilvl="0" w:tplc="BC0A545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F52CB9"/>
    <w:multiLevelType w:val="hybridMultilevel"/>
    <w:tmpl w:val="4FE8FC18"/>
    <w:lvl w:ilvl="0" w:tplc="4C303C3A">
      <w:start w:val="4"/>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lowerLetter"/>
      <w:lvlText w:val="%3)"/>
      <w:lvlJc w:val="left"/>
      <w:pPr>
        <w:tabs>
          <w:tab w:val="num" w:pos="2625"/>
        </w:tabs>
        <w:ind w:left="2625" w:hanging="645"/>
      </w:pPr>
    </w:lvl>
    <w:lvl w:ilvl="3" w:tplc="B148BE50">
      <w:start w:val="1"/>
      <w:numFmt w:val="lowerLetter"/>
      <w:lvlText w:val="(%4)"/>
      <w:lvlJc w:val="left"/>
      <w:pPr>
        <w:tabs>
          <w:tab w:val="num" w:pos="3240"/>
        </w:tabs>
        <w:ind w:left="3240" w:hanging="72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7FB53D6"/>
    <w:multiLevelType w:val="hybridMultilevel"/>
    <w:tmpl w:val="379811A6"/>
    <w:lvl w:ilvl="0" w:tplc="6598D544">
      <w:start w:val="1"/>
      <w:numFmt w:val="decimal"/>
      <w:lvlText w:val="%1."/>
      <w:lvlJc w:val="left"/>
      <w:pPr>
        <w:tabs>
          <w:tab w:val="num" w:pos="360"/>
        </w:tabs>
        <w:ind w:left="360" w:hanging="360"/>
      </w:pPr>
      <w:rPr>
        <w:b w:val="0"/>
        <w:i w:val="0"/>
      </w:rPr>
    </w:lvl>
    <w:lvl w:ilvl="1" w:tplc="FA202128">
      <w:start w:val="1"/>
      <w:numFmt w:val="lowerLetter"/>
      <w:lvlText w:val="(%2)"/>
      <w:lvlJc w:val="left"/>
      <w:pPr>
        <w:tabs>
          <w:tab w:val="num" w:pos="1944"/>
        </w:tabs>
        <w:ind w:left="1080" w:firstLine="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87344E9"/>
    <w:multiLevelType w:val="hybridMultilevel"/>
    <w:tmpl w:val="25988E0C"/>
    <w:lvl w:ilvl="0" w:tplc="E334D152">
      <w:start w:val="1"/>
      <w:numFmt w:val="decimal"/>
      <w:lvlText w:val="%1."/>
      <w:lvlJc w:val="left"/>
      <w:pPr>
        <w:tabs>
          <w:tab w:val="num" w:pos="680"/>
        </w:tabs>
        <w:ind w:left="0" w:firstLine="0"/>
      </w:pPr>
      <w:rPr>
        <w:rFonts w:hint="default"/>
        <w:b w:val="0"/>
        <w:bCs w:val="0"/>
        <w:i w:val="0"/>
        <w:i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E327C8"/>
    <w:multiLevelType w:val="multilevel"/>
    <w:tmpl w:val="D2246E7E"/>
    <w:lvl w:ilvl="0">
      <w:start w:val="2"/>
      <w:numFmt w:val="decimal"/>
      <w:lvlText w:val="%1."/>
      <w:lvlJc w:val="left"/>
      <w:pPr>
        <w:tabs>
          <w:tab w:val="num" w:pos="1080"/>
        </w:tabs>
        <w:ind w:left="1080" w:hanging="360"/>
      </w:pPr>
      <w:rPr>
        <w:rFonts w:ascii="Times New" w:hAnsi="Times New"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3A8F4B00"/>
    <w:multiLevelType w:val="multilevel"/>
    <w:tmpl w:val="8CC013E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23">
    <w:nsid w:val="3D3B473D"/>
    <w:multiLevelType w:val="multilevel"/>
    <w:tmpl w:val="9106F97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625"/>
        </w:tabs>
        <w:ind w:left="2625" w:hanging="645"/>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4E7166C"/>
    <w:multiLevelType w:val="hybridMultilevel"/>
    <w:tmpl w:val="9986435E"/>
    <w:lvl w:ilvl="0" w:tplc="42B47CC2">
      <w:start w:val="1"/>
      <w:numFmt w:val="decimal"/>
      <w:lvlText w:val="%1."/>
      <w:lvlJc w:val="left"/>
      <w:pPr>
        <w:tabs>
          <w:tab w:val="num" w:pos="480"/>
        </w:tabs>
        <w:ind w:left="480" w:hanging="360"/>
      </w:pPr>
      <w:rPr>
        <w:rFonts w:hint="default"/>
        <w:b w:val="0"/>
      </w:rPr>
    </w:lvl>
    <w:lvl w:ilvl="1" w:tplc="AB288DE4">
      <w:start w:val="1"/>
      <w:numFmt w:val="lowerLetter"/>
      <w:lvlText w:val="(%2)"/>
      <w:lvlJc w:val="left"/>
      <w:pPr>
        <w:tabs>
          <w:tab w:val="num" w:pos="1440"/>
        </w:tabs>
        <w:ind w:left="1440" w:hanging="360"/>
      </w:pPr>
      <w:rPr>
        <w:rFonts w:hint="default"/>
      </w:rPr>
    </w:lvl>
    <w:lvl w:ilvl="2" w:tplc="8D267A4C">
      <w:start w:val="3"/>
      <w:numFmt w:val="upperLetter"/>
      <w:lvlText w:val="%3."/>
      <w:lvlJc w:val="left"/>
      <w:pPr>
        <w:tabs>
          <w:tab w:val="num" w:pos="2340"/>
        </w:tabs>
        <w:ind w:left="2340" w:hanging="360"/>
      </w:pPr>
      <w:rPr>
        <w:rFonts w:hint="default"/>
      </w:rPr>
    </w:lvl>
    <w:lvl w:ilvl="3" w:tplc="3F7CCA56">
      <w:start w:val="1"/>
      <w:numFmt w:val="lowerLetter"/>
      <w:lvlText w:val="(%4)"/>
      <w:lvlJc w:val="left"/>
      <w:pPr>
        <w:tabs>
          <w:tab w:val="num" w:pos="2520"/>
        </w:tabs>
        <w:ind w:left="1800" w:firstLine="720"/>
      </w:pPr>
      <w:rPr>
        <w:rFonts w:hint="default"/>
        <w:b w:val="0"/>
        <w:bCs w:val="0"/>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6E39AB"/>
    <w:multiLevelType w:val="hybridMultilevel"/>
    <w:tmpl w:val="40F8C164"/>
    <w:lvl w:ilvl="0" w:tplc="847ACB20">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BF20CC"/>
    <w:multiLevelType w:val="hybridMultilevel"/>
    <w:tmpl w:val="EE5006BA"/>
    <w:lvl w:ilvl="0" w:tplc="055ACC88">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15C7E"/>
    <w:multiLevelType w:val="hybridMultilevel"/>
    <w:tmpl w:val="52227328"/>
    <w:lvl w:ilvl="0" w:tplc="1C4612DC">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833ACF"/>
    <w:multiLevelType w:val="hybridMultilevel"/>
    <w:tmpl w:val="7ABC0886"/>
    <w:lvl w:ilvl="0" w:tplc="63541094">
      <w:start w:val="11"/>
      <w:numFmt w:val="decimal"/>
      <w:lvlText w:val="%1."/>
      <w:lvlJc w:val="left"/>
      <w:pPr>
        <w:tabs>
          <w:tab w:val="num" w:pos="960"/>
        </w:tabs>
        <w:ind w:left="960" w:hanging="360"/>
      </w:pPr>
      <w:rPr>
        <w:rFonts w:ascii="TimesNewRoman,Bold" w:hAnsi="TimesNewRoman,Bold" w:cs="Times New" w:hint="default"/>
        <w:b w:val="0"/>
        <w:bCs/>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9">
    <w:nsid w:val="53FC2E6A"/>
    <w:multiLevelType w:val="hybridMultilevel"/>
    <w:tmpl w:val="82F8F530"/>
    <w:lvl w:ilvl="0" w:tplc="26528CA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240BF0"/>
    <w:multiLevelType w:val="multilevel"/>
    <w:tmpl w:val="CBAE7A6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944"/>
        </w:tabs>
        <w:ind w:left="1080" w:firstLine="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58C1ECA"/>
    <w:multiLevelType w:val="hybridMultilevel"/>
    <w:tmpl w:val="A8460344"/>
    <w:lvl w:ilvl="0" w:tplc="AECC576A">
      <w:start w:val="6"/>
      <w:numFmt w:val="decimal"/>
      <w:lvlText w:val="%1."/>
      <w:lvlJc w:val="left"/>
      <w:pPr>
        <w:tabs>
          <w:tab w:val="num" w:pos="720"/>
        </w:tabs>
        <w:ind w:left="720" w:hanging="72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012E56"/>
    <w:multiLevelType w:val="hybridMultilevel"/>
    <w:tmpl w:val="61C4216A"/>
    <w:lvl w:ilvl="0" w:tplc="DA7EBD2C">
      <w:start w:val="1"/>
      <w:numFmt w:val="lowerLetter"/>
      <w:lvlText w:val="%1)"/>
      <w:lvlJc w:val="left"/>
      <w:pPr>
        <w:tabs>
          <w:tab w:val="num" w:pos="2880"/>
        </w:tabs>
        <w:ind w:left="2880" w:hanging="360"/>
      </w:pPr>
      <w:rPr>
        <w:rFonts w:hint="default"/>
      </w:rPr>
    </w:lvl>
    <w:lvl w:ilvl="1" w:tplc="900A3F70">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12DF0"/>
    <w:multiLevelType w:val="hybridMultilevel"/>
    <w:tmpl w:val="66AC55A2"/>
    <w:lvl w:ilvl="0" w:tplc="B0D43BDA">
      <w:start w:val="1"/>
      <w:numFmt w:val="decimal"/>
      <w:lvlText w:val="%1."/>
      <w:lvlJc w:val="left"/>
      <w:pPr>
        <w:tabs>
          <w:tab w:val="num" w:pos="720"/>
        </w:tabs>
        <w:ind w:left="720" w:hanging="360"/>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312E85C">
      <w:start w:val="1"/>
      <w:numFmt w:val="lowerLetter"/>
      <w:lvlText w:val="%4."/>
      <w:lvlJc w:val="left"/>
      <w:pPr>
        <w:tabs>
          <w:tab w:val="num" w:pos="1440"/>
        </w:tabs>
        <w:ind w:left="1440" w:hanging="360"/>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7F2256"/>
    <w:multiLevelType w:val="hybridMultilevel"/>
    <w:tmpl w:val="4BA45DA6"/>
    <w:lvl w:ilvl="0" w:tplc="231E8BCE">
      <w:start w:val="1"/>
      <w:numFmt w:val="decimal"/>
      <w:lvlText w:val="%1."/>
      <w:lvlJc w:val="left"/>
      <w:pPr>
        <w:tabs>
          <w:tab w:val="num" w:pos="720"/>
        </w:tabs>
        <w:ind w:left="720" w:hanging="72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2C32AB8"/>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553D7D"/>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F87FFB"/>
    <w:multiLevelType w:val="multilevel"/>
    <w:tmpl w:val="EE5006BA"/>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F20446"/>
    <w:multiLevelType w:val="hybridMultilevel"/>
    <w:tmpl w:val="FBB862D6"/>
    <w:lvl w:ilvl="0" w:tplc="4950F8D2">
      <w:start w:val="1"/>
      <w:numFmt w:val="lowerLetter"/>
      <w:lvlText w:val="%1.)"/>
      <w:lvlJc w:val="left"/>
      <w:pPr>
        <w:tabs>
          <w:tab w:val="num" w:pos="1440"/>
        </w:tabs>
        <w:ind w:left="1440" w:hanging="360"/>
      </w:pPr>
      <w:rPr>
        <w:rFonts w:ascii="Times New Roman" w:eastAsia="Times New Roman" w:hAnsi="Times New Roman" w:cs="Times New Roman"/>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575BD9"/>
    <w:multiLevelType w:val="hybridMultilevel"/>
    <w:tmpl w:val="48B6EA86"/>
    <w:lvl w:ilvl="0" w:tplc="47FE7374">
      <w:start w:val="1"/>
      <w:numFmt w:val="decimal"/>
      <w:lvlText w:val="%1."/>
      <w:lvlJc w:val="left"/>
      <w:pPr>
        <w:tabs>
          <w:tab w:val="num" w:pos="680"/>
        </w:tabs>
        <w:ind w:left="0" w:firstLine="0"/>
      </w:pPr>
      <w:rPr>
        <w:rFonts w:hint="default"/>
      </w:rPr>
    </w:lvl>
    <w:lvl w:ilvl="1" w:tplc="48962A46">
      <w:start w:val="1"/>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0">
    <w:nsid w:val="75D950C4"/>
    <w:multiLevelType w:val="hybridMultilevel"/>
    <w:tmpl w:val="8CC013EA"/>
    <w:lvl w:ilvl="0" w:tplc="72FC9E7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1">
    <w:nsid w:val="75FE7027"/>
    <w:multiLevelType w:val="hybridMultilevel"/>
    <w:tmpl w:val="DEFE5D78"/>
    <w:lvl w:ilvl="0" w:tplc="60340924">
      <w:start w:val="3"/>
      <w:numFmt w:val="decimal"/>
      <w:lvlText w:val="%1."/>
      <w:lvlJc w:val="left"/>
      <w:pPr>
        <w:tabs>
          <w:tab w:val="num" w:pos="1080"/>
        </w:tabs>
        <w:ind w:left="1080" w:hanging="720"/>
      </w:pPr>
      <w:rPr>
        <w:rFonts w:hint="default"/>
      </w:rPr>
    </w:lvl>
    <w:lvl w:ilvl="1" w:tplc="491C4C8E">
      <w:start w:val="1"/>
      <w:numFmt w:val="lowerLetter"/>
      <w:lvlText w:val="(%2)"/>
      <w:lvlJc w:val="left"/>
      <w:pPr>
        <w:tabs>
          <w:tab w:val="num" w:pos="1800"/>
        </w:tabs>
        <w:ind w:left="1800" w:hanging="115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101D06"/>
    <w:multiLevelType w:val="multilevel"/>
    <w:tmpl w:val="4FE8FC1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625"/>
        </w:tabs>
        <w:ind w:left="2625" w:hanging="645"/>
      </w:pPr>
    </w:lvl>
    <w:lvl w:ilvl="3">
      <w:start w:val="1"/>
      <w:numFmt w:val="lowerLetter"/>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CEF3300"/>
    <w:multiLevelType w:val="hybridMultilevel"/>
    <w:tmpl w:val="028871EA"/>
    <w:lvl w:ilvl="0" w:tplc="CC0A3748">
      <w:start w:val="5"/>
      <w:numFmt w:val="decimal"/>
      <w:lvlText w:val="%1."/>
      <w:lvlJc w:val="left"/>
      <w:pPr>
        <w:tabs>
          <w:tab w:val="num" w:pos="1080"/>
        </w:tabs>
        <w:ind w:left="108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513013E0">
      <w:start w:val="1"/>
      <w:numFmt w:val="lowerLetter"/>
      <w:lvlText w:val="%3)"/>
      <w:lvlJc w:val="left"/>
      <w:pPr>
        <w:tabs>
          <w:tab w:val="num" w:pos="2340"/>
        </w:tabs>
        <w:ind w:left="2340" w:hanging="360"/>
      </w:pPr>
      <w:rPr>
        <w:rFonts w:hint="default"/>
        <w:b w:val="0"/>
        <w:bCs w:val="0"/>
        <w:u w:val="none"/>
      </w:rPr>
    </w:lvl>
    <w:lvl w:ilvl="3" w:tplc="7B8C1D1C">
      <w:start w:val="1"/>
      <w:numFmt w:val="lowerLetter"/>
      <w:lvlText w:val="%4.)"/>
      <w:lvlJc w:val="left"/>
      <w:pPr>
        <w:tabs>
          <w:tab w:val="num" w:pos="2880"/>
        </w:tabs>
        <w:ind w:left="2880" w:hanging="360"/>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C635FD"/>
    <w:multiLevelType w:val="hybridMultilevel"/>
    <w:tmpl w:val="88A6B768"/>
    <w:lvl w:ilvl="0" w:tplc="E126F5DE">
      <w:start w:val="1"/>
      <w:numFmt w:val="upperLetter"/>
      <w:lvlText w:val="%1."/>
      <w:lvlJc w:val="left"/>
      <w:pPr>
        <w:tabs>
          <w:tab w:val="num" w:pos="720"/>
        </w:tabs>
        <w:ind w:left="720" w:hanging="360"/>
      </w:pPr>
      <w:rPr>
        <w:rFonts w:hint="default"/>
        <w:lang w:val="en-CA"/>
      </w:rPr>
    </w:lvl>
    <w:lvl w:ilvl="1" w:tplc="9964327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F84BB3"/>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8"/>
  </w:num>
  <w:num w:numId="3">
    <w:abstractNumId w:val="21"/>
  </w:num>
  <w:num w:numId="4">
    <w:abstractNumId w:val="6"/>
  </w:num>
  <w:num w:numId="5">
    <w:abstractNumId w:val="39"/>
  </w:num>
  <w:num w:numId="6">
    <w:abstractNumId w:val="24"/>
  </w:num>
  <w:num w:numId="7">
    <w:abstractNumId w:val="44"/>
  </w:num>
  <w:num w:numId="8">
    <w:abstractNumId w:val="14"/>
  </w:num>
  <w:num w:numId="9">
    <w:abstractNumId w:val="3"/>
  </w:num>
  <w:num w:numId="10">
    <w:abstractNumId w:val="19"/>
  </w:num>
  <w:num w:numId="11">
    <w:abstractNumId w:val="30"/>
  </w:num>
  <w:num w:numId="12">
    <w:abstractNumId w:val="19"/>
  </w:num>
  <w:num w:numId="13">
    <w:abstractNumId w:val="43"/>
  </w:num>
  <w:num w:numId="14">
    <w:abstractNumId w:val="41"/>
  </w:num>
  <w:num w:numId="15">
    <w:abstractNumId w:val="32"/>
  </w:num>
  <w:num w:numId="16">
    <w:abstractNumId w:val="20"/>
  </w:num>
  <w:num w:numId="17">
    <w:abstractNumId w:val="38"/>
  </w:num>
  <w:num w:numId="18">
    <w:abstractNumId w:val="27"/>
  </w:num>
  <w:num w:numId="19">
    <w:abstractNumId w:val="31"/>
  </w:num>
  <w:num w:numId="20">
    <w:abstractNumId w:val="16"/>
  </w:num>
  <w:num w:numId="21">
    <w:abstractNumId w:val="36"/>
  </w:num>
  <w:num w:numId="22">
    <w:abstractNumId w:val="10"/>
  </w:num>
  <w:num w:numId="23">
    <w:abstractNumId w:val="25"/>
  </w:num>
  <w:num w:numId="24">
    <w:abstractNumId w:val="12"/>
  </w:num>
  <w:num w:numId="25">
    <w:abstractNumId w:val="0"/>
  </w:num>
  <w:num w:numId="26">
    <w:abstractNumId w:val="7"/>
  </w:num>
  <w:num w:numId="27">
    <w:abstractNumId w:val="26"/>
  </w:num>
  <w:num w:numId="28">
    <w:abstractNumId w:val="37"/>
  </w:num>
  <w:num w:numId="29">
    <w:abstractNumId w:val="5"/>
  </w:num>
  <w:num w:numId="30">
    <w:abstractNumId w:val="45"/>
  </w:num>
  <w:num w:numId="31">
    <w:abstractNumId w:val="29"/>
  </w:num>
  <w:num w:numId="32">
    <w:abstractNumId w:val="35"/>
  </w:num>
  <w:num w:numId="33">
    <w:abstractNumId w:val="1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
  </w:num>
  <w:num w:numId="39">
    <w:abstractNumId w:val="8"/>
  </w:num>
  <w:num w:numId="40">
    <w:abstractNumId w:val="40"/>
  </w:num>
  <w:num w:numId="41">
    <w:abstractNumId w:val="22"/>
  </w:num>
  <w:num w:numId="42">
    <w:abstractNumId w:val="2"/>
  </w:num>
  <w:num w:numId="43">
    <w:abstractNumId w:val="42"/>
  </w:num>
  <w:num w:numId="44">
    <w:abstractNumId w:val="9"/>
  </w:num>
  <w:num w:numId="45">
    <w:abstractNumId w:val="13"/>
  </w:num>
  <w:num w:numId="46">
    <w:abstractNumId w:val="33"/>
  </w:num>
  <w:num w:numId="47">
    <w:abstractNumId w:val="17"/>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28B4"/>
    <w:rsid w:val="001C2483"/>
    <w:rsid w:val="002E7D06"/>
    <w:rsid w:val="00424EE3"/>
    <w:rsid w:val="005106F7"/>
    <w:rsid w:val="0058622D"/>
    <w:rsid w:val="00A428B4"/>
    <w:rsid w:val="00B3407D"/>
    <w:rsid w:val="00E220CE"/>
    <w:rsid w:val="00ED2A89"/>
    <w:rsid w:val="00F353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autoSpaceDE w:val="0"/>
      <w:autoSpaceDN w:val="0"/>
      <w:adjustRightInd w:val="0"/>
      <w:jc w:val="both"/>
      <w:outlineLvl w:val="2"/>
    </w:pPr>
    <w:rPr>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
    <w:basedOn w:val="Normal"/>
    <w:semiHidden/>
  </w:style>
  <w:style w:type="character" w:styleId="FootnoteReference">
    <w:name w:val="footnote reference"/>
    <w:semiHidden/>
    <w:rPr>
      <w:vertAlign w:val="superscript"/>
    </w:rPr>
  </w:style>
  <w:style w:type="character" w:customStyle="1" w:styleId="FootnoteTextCharCharChar">
    <w:name w:val="Footnote Text Char Char Char"/>
    <w:rPr>
      <w:noProof w:val="0"/>
      <w:sz w:val="24"/>
      <w:szCs w:val="24"/>
      <w:lang w:val="en-GB" w:eastAsia="en-US" w:bidi="ar-S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SimSun"/>
      <w:lang w:val="en-US" w:eastAsia="zh-CN"/>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zh-CN"/>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930</Words>
  <Characters>5305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vt:lpstr>
    </vt:vector>
  </TitlesOfParts>
  <Company>International Computing Centre</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OHCHR</dc:creator>
  <cp:keywords/>
  <dc:description/>
  <cp:lastModifiedBy>odsdba</cp:lastModifiedBy>
  <cp:revision>4</cp:revision>
  <cp:lastPrinted>2009-03-12T14:08:00Z</cp:lastPrinted>
  <dcterms:created xsi:type="dcterms:W3CDTF">2009-03-12T14:08:00Z</dcterms:created>
  <dcterms:modified xsi:type="dcterms:W3CDTF">2009-03-12T14:09:00Z</dcterms:modified>
</cp:coreProperties>
</file>