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877609">
        <w:trPr>
          <w:trHeight w:hRule="exact" w:val="851"/>
        </w:trPr>
        <w:tc>
          <w:tcPr>
            <w:tcW w:w="142" w:type="dxa"/>
            <w:tcBorders>
              <w:bottom w:val="single" w:sz="4" w:space="0" w:color="auto"/>
            </w:tcBorders>
          </w:tcPr>
          <w:p w:rsidR="002D5AAC" w:rsidRDefault="002D5AAC" w:rsidP="00B12599">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87760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B12599" w:rsidP="00B12599">
            <w:pPr>
              <w:jc w:val="right"/>
            </w:pPr>
            <w:r w:rsidRPr="00B12599">
              <w:rPr>
                <w:sz w:val="40"/>
              </w:rPr>
              <w:t>CED</w:t>
            </w:r>
            <w:r>
              <w:t>/C/16/2</w:t>
            </w:r>
          </w:p>
        </w:tc>
      </w:tr>
      <w:tr w:rsidR="002D5AAC" w:rsidRPr="00D553F6" w:rsidTr="00877609">
        <w:trPr>
          <w:trHeight w:hRule="exact" w:val="2835"/>
        </w:trPr>
        <w:tc>
          <w:tcPr>
            <w:tcW w:w="1280" w:type="dxa"/>
            <w:gridSpan w:val="2"/>
            <w:tcBorders>
              <w:top w:val="single" w:sz="4" w:space="0" w:color="auto"/>
              <w:bottom w:val="single" w:sz="12" w:space="0" w:color="auto"/>
            </w:tcBorders>
          </w:tcPr>
          <w:p w:rsidR="002D5AAC" w:rsidRDefault="002E5067" w:rsidP="00877609">
            <w:pPr>
              <w:spacing w:before="120"/>
              <w:jc w:val="center"/>
            </w:pPr>
            <w:r>
              <w:rPr>
                <w:noProof/>
                <w:lang w:eastAsia="ru-RU"/>
              </w:rPr>
              <w:drawing>
                <wp:inline distT="0" distB="0" distL="0" distR="0" wp14:anchorId="2616C312" wp14:editId="5246516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B36DF7" w:rsidP="00877609">
            <w:pPr>
              <w:spacing w:before="120" w:line="360" w:lineRule="exact"/>
              <w:rPr>
                <w:b/>
                <w:sz w:val="34"/>
                <w:szCs w:val="34"/>
              </w:rPr>
            </w:pPr>
            <w:r>
              <w:rPr>
                <w:b/>
                <w:spacing w:val="-4"/>
                <w:sz w:val="34"/>
                <w:szCs w:val="34"/>
              </w:rPr>
              <w:t>Международная к</w:t>
            </w:r>
            <w:r w:rsidRPr="008B759B">
              <w:rPr>
                <w:b/>
                <w:spacing w:val="-4"/>
                <w:sz w:val="34"/>
                <w:szCs w:val="34"/>
              </w:rPr>
              <w:t>онвенция</w:t>
            </w:r>
            <w:r w:rsidRPr="00566BAD">
              <w:rPr>
                <w:b/>
                <w:spacing w:val="-4"/>
                <w:sz w:val="34"/>
                <w:szCs w:val="34"/>
              </w:rPr>
              <w:t xml:space="preserve"> </w:t>
            </w:r>
            <w:r>
              <w:rPr>
                <w:b/>
                <w:spacing w:val="-4"/>
                <w:sz w:val="34"/>
                <w:szCs w:val="34"/>
              </w:rPr>
              <w:br/>
              <w:t>для защиты всех лиц от</w:t>
            </w:r>
            <w:r>
              <w:rPr>
                <w:b/>
                <w:spacing w:val="-4"/>
                <w:sz w:val="34"/>
                <w:szCs w:val="34"/>
              </w:rPr>
              <w:br/>
              <w:t>насильственных исчезновений</w:t>
            </w:r>
          </w:p>
        </w:tc>
        <w:tc>
          <w:tcPr>
            <w:tcW w:w="2819" w:type="dxa"/>
            <w:tcBorders>
              <w:top w:val="single" w:sz="4" w:space="0" w:color="auto"/>
              <w:bottom w:val="single" w:sz="12" w:space="0" w:color="auto"/>
            </w:tcBorders>
          </w:tcPr>
          <w:p w:rsidR="002D5AAC" w:rsidRPr="00B12599" w:rsidRDefault="00B12599" w:rsidP="00877609">
            <w:pPr>
              <w:spacing w:before="240"/>
              <w:rPr>
                <w:lang w:val="en-US"/>
              </w:rPr>
            </w:pPr>
            <w:r w:rsidRPr="00B12599">
              <w:rPr>
                <w:lang w:val="en-US"/>
              </w:rPr>
              <w:t>Distr.: General</w:t>
            </w:r>
          </w:p>
          <w:p w:rsidR="00B12599" w:rsidRPr="00B12599" w:rsidRDefault="00B12599" w:rsidP="00B12599">
            <w:pPr>
              <w:spacing w:line="240" w:lineRule="exact"/>
              <w:rPr>
                <w:lang w:val="en-US"/>
              </w:rPr>
            </w:pPr>
            <w:r w:rsidRPr="00B12599">
              <w:rPr>
                <w:lang w:val="en-US"/>
              </w:rPr>
              <w:t>21 May 2019</w:t>
            </w:r>
          </w:p>
          <w:p w:rsidR="00B12599" w:rsidRPr="00B12599" w:rsidRDefault="00B12599" w:rsidP="00B12599">
            <w:pPr>
              <w:spacing w:line="240" w:lineRule="exact"/>
              <w:rPr>
                <w:lang w:val="en-US"/>
              </w:rPr>
            </w:pPr>
            <w:r w:rsidRPr="00B12599">
              <w:rPr>
                <w:lang w:val="en-US"/>
              </w:rPr>
              <w:t>Russian</w:t>
            </w:r>
          </w:p>
          <w:p w:rsidR="00B12599" w:rsidRPr="00B12599" w:rsidRDefault="00B12599" w:rsidP="006629A0">
            <w:pPr>
              <w:spacing w:line="240" w:lineRule="exact"/>
              <w:rPr>
                <w:lang w:val="en-US"/>
              </w:rPr>
            </w:pPr>
            <w:r w:rsidRPr="00B12599">
              <w:rPr>
                <w:lang w:val="en-US"/>
              </w:rPr>
              <w:t xml:space="preserve">Original: </w:t>
            </w:r>
            <w:r w:rsidR="006629A0">
              <w:rPr>
                <w:lang w:val="en-US"/>
              </w:rPr>
              <w:t>Spanish</w:t>
            </w:r>
          </w:p>
        </w:tc>
      </w:tr>
    </w:tbl>
    <w:p w:rsidR="00B12599" w:rsidRPr="006629A0" w:rsidRDefault="00B12599" w:rsidP="00B12599">
      <w:pPr>
        <w:spacing w:before="120"/>
        <w:rPr>
          <w:b/>
          <w:sz w:val="24"/>
          <w:szCs w:val="24"/>
        </w:rPr>
      </w:pPr>
      <w:r w:rsidRPr="006629A0">
        <w:rPr>
          <w:b/>
          <w:bCs/>
          <w:sz w:val="24"/>
          <w:szCs w:val="24"/>
        </w:rPr>
        <w:t>Комитет по насильственным исчезновениям</w:t>
      </w:r>
    </w:p>
    <w:p w:rsidR="00B12599" w:rsidRPr="00B079CB" w:rsidRDefault="00B12599" w:rsidP="00B12599">
      <w:pPr>
        <w:pStyle w:val="HChG"/>
      </w:pPr>
      <w:r>
        <w:tab/>
      </w:r>
      <w:r>
        <w:tab/>
      </w:r>
      <w:r>
        <w:rPr>
          <w:bCs/>
        </w:rPr>
        <w:t>Доклад о просьбах о принятии срочных мер, представленных в соответствии со статьей 30 Конвенции</w:t>
      </w:r>
      <w:r w:rsidRPr="006629A0">
        <w:rPr>
          <w:rStyle w:val="aa"/>
          <w:b w:val="0"/>
          <w:sz w:val="20"/>
          <w:vertAlign w:val="baseline"/>
        </w:rPr>
        <w:footnoteReference w:customMarkFollows="1" w:id="1"/>
        <w:t>*</w:t>
      </w:r>
    </w:p>
    <w:p w:rsidR="00B12599" w:rsidRPr="00B079CB" w:rsidRDefault="006629A0" w:rsidP="00B12599">
      <w:pPr>
        <w:pStyle w:val="H1G"/>
      </w:pPr>
      <w:r>
        <w:tab/>
      </w:r>
      <w:r w:rsidR="00B12599">
        <w:t>A.</w:t>
      </w:r>
      <w:r w:rsidR="00B12599">
        <w:tab/>
      </w:r>
      <w:r w:rsidR="00B12599">
        <w:tab/>
      </w:r>
      <w:r w:rsidR="00B12599">
        <w:rPr>
          <w:bCs/>
        </w:rPr>
        <w:t>Введение</w:t>
      </w:r>
    </w:p>
    <w:p w:rsidR="00B12599" w:rsidRPr="00B079CB" w:rsidRDefault="00B12599" w:rsidP="00B12599">
      <w:pPr>
        <w:pStyle w:val="SingleTxtG"/>
      </w:pPr>
      <w:r>
        <w:t>1.</w:t>
      </w:r>
      <w:r>
        <w:tab/>
        <w:t>Правила 57 и 58 правил процедуры Комитета устанавливают, что все просьбы о принятии срочных мер, представленные на его рассмотрение согласно статье 30 Конвенции, должны быть доведены до сведения Комитета. Полный текст любой такой просьбы может быть представлен на языке его представления любому члену Комитета по его просьбе. В настоящем докладе кратко излагаются основные вопросы, касающиеся просьб о принятии срочных мер, полученных Комитетом в соответствии со статьей 30 Конвенции, и решения, принятые в этой связи после проведения его пятнадцатой сессии.</w:t>
      </w:r>
    </w:p>
    <w:p w:rsidR="00B12599" w:rsidRPr="00B079CB" w:rsidRDefault="006629A0" w:rsidP="00B12599">
      <w:pPr>
        <w:pStyle w:val="H1G"/>
      </w:pPr>
      <w:r>
        <w:rPr>
          <w:bCs/>
        </w:rPr>
        <w:tab/>
      </w:r>
      <w:r w:rsidR="00B12599">
        <w:rPr>
          <w:bCs/>
        </w:rPr>
        <w:t>B.</w:t>
      </w:r>
      <w:r w:rsidR="00B12599">
        <w:tab/>
      </w:r>
      <w:r w:rsidR="00B12599">
        <w:tab/>
      </w:r>
      <w:r w:rsidR="00B12599">
        <w:rPr>
          <w:bCs/>
        </w:rPr>
        <w:t>Просьбы о принятии срочных мер, полученные после пятнадцатой сессии Комитета</w:t>
      </w:r>
    </w:p>
    <w:p w:rsidR="00B12599" w:rsidRPr="00B079CB" w:rsidRDefault="00B12599" w:rsidP="00B12599">
      <w:pPr>
        <w:pStyle w:val="SingleTxtG"/>
      </w:pPr>
      <w:r>
        <w:t>2.</w:t>
      </w:r>
      <w:r>
        <w:tab/>
        <w:t>В свою записку о просьбах о принятии срочных мер, которая была принята на его пятнадцатой сессии, Комитет включил информацию о решениях по 541 просьбе о принятии срочных мер, зарегистрированной до 14 сентября 2018 года. За период, прошедший с этой даты по 4 апреля 2019 года, Комитет получил 29 новых просьб о принятии срочных мер, 28 из которых были зарегистрированы. Эти 28</w:t>
      </w:r>
      <w:r w:rsidR="00BD17B9">
        <w:rPr>
          <w:lang w:val="en-US"/>
        </w:rPr>
        <w:t> </w:t>
      </w:r>
      <w:r>
        <w:t>зарегистрированных просьб связаны с событиями, которые произошли в Ираке, Камбодже, Колумбии, Кубе, Литве, Мексике и Того. В настоящем докладе содержится перечень зарегистрированных просьб о принятии срочных мер (см. таблицу).</w:t>
      </w:r>
    </w:p>
    <w:p w:rsidR="00B12599" w:rsidRPr="00B079CB" w:rsidRDefault="00B12599" w:rsidP="00B12599">
      <w:pPr>
        <w:pStyle w:val="SingleTxtG"/>
      </w:pPr>
      <w:r>
        <w:t>3.</w:t>
      </w:r>
      <w:r>
        <w:tab/>
        <w:t>На момент подготовки настоящего доклада Комитет зарегистрировал в общей сложности 570 просьб о принятии срочных мер, информация о которых приведена ниже в разбивке по годам и стран</w:t>
      </w:r>
      <w:bookmarkStart w:id="0" w:name="_GoBack"/>
      <w:bookmarkEnd w:id="0"/>
      <w:r>
        <w:t>ам.</w:t>
      </w:r>
    </w:p>
    <w:p w:rsidR="00B12599" w:rsidRPr="00B079CB" w:rsidRDefault="00B12599" w:rsidP="00B12599">
      <w:pPr>
        <w:pStyle w:val="H23G"/>
        <w:ind w:left="0" w:firstLine="0"/>
        <w:rPr>
          <w:i/>
        </w:rPr>
      </w:pPr>
      <w:r>
        <w:rPr>
          <w:bCs/>
        </w:rPr>
        <w:lastRenderedPageBreak/>
        <w:t>Зарегистрированные</w:t>
      </w:r>
      <w:r w:rsidR="0045427D">
        <w:rPr>
          <w:bCs/>
        </w:rPr>
        <w:t xml:space="preserve"> просьбы о принятии срочных мер</w:t>
      </w:r>
      <w:r>
        <w:rPr>
          <w:bCs/>
        </w:rPr>
        <w:t xml:space="preserve"> в разбивке по годам и странам</w:t>
      </w:r>
    </w:p>
    <w:tbl>
      <w:tblPr>
        <w:tblStyle w:val="ac"/>
        <w:tblW w:w="4860" w:type="pct"/>
        <w:jc w:val="center"/>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540"/>
        <w:gridCol w:w="540"/>
        <w:gridCol w:w="540"/>
        <w:gridCol w:w="540"/>
        <w:gridCol w:w="450"/>
        <w:gridCol w:w="540"/>
        <w:gridCol w:w="540"/>
        <w:gridCol w:w="540"/>
        <w:gridCol w:w="540"/>
        <w:gridCol w:w="540"/>
        <w:gridCol w:w="328"/>
        <w:gridCol w:w="543"/>
        <w:gridCol w:w="543"/>
        <w:gridCol w:w="543"/>
        <w:gridCol w:w="547"/>
        <w:gridCol w:w="654"/>
      </w:tblGrid>
      <w:tr w:rsidR="006629A0" w:rsidRPr="006629A0" w:rsidTr="00042495">
        <w:trPr>
          <w:cantSplit/>
          <w:trHeight w:val="1254"/>
          <w:tblHeader/>
          <w:jc w:val="center"/>
        </w:trPr>
        <w:tc>
          <w:tcPr>
            <w:tcW w:w="480" w:type="pct"/>
            <w:tcBorders>
              <w:top w:val="single" w:sz="4" w:space="0" w:color="auto"/>
              <w:bottom w:val="single" w:sz="12" w:space="0" w:color="auto"/>
            </w:tcBorders>
            <w:shd w:val="clear" w:color="auto" w:fill="auto"/>
            <w:vAlign w:val="bottom"/>
          </w:tcPr>
          <w:p w:rsidR="00B12599" w:rsidRPr="006629A0" w:rsidRDefault="00B12599" w:rsidP="00A601F3">
            <w:pPr>
              <w:pStyle w:val="SingleTxtG"/>
              <w:keepNext/>
              <w:keepLines/>
              <w:spacing w:before="80" w:after="80" w:line="200" w:lineRule="exact"/>
              <w:ind w:left="0" w:right="113"/>
              <w:jc w:val="left"/>
              <w:rPr>
                <w:i/>
                <w:sz w:val="16"/>
                <w:szCs w:val="16"/>
              </w:rPr>
            </w:pPr>
            <w:r w:rsidRPr="006629A0">
              <w:rPr>
                <w:i/>
                <w:iCs/>
                <w:sz w:val="16"/>
                <w:szCs w:val="16"/>
              </w:rPr>
              <w:t>Год</w:t>
            </w:r>
          </w:p>
        </w:tc>
        <w:tc>
          <w:tcPr>
            <w:tcW w:w="288" w:type="pct"/>
            <w:tcBorders>
              <w:top w:val="single" w:sz="4" w:space="0" w:color="auto"/>
              <w:bottom w:val="single" w:sz="12" w:space="0" w:color="auto"/>
            </w:tcBorders>
            <w:shd w:val="clear" w:color="auto" w:fill="auto"/>
            <w:textDirection w:val="btLr"/>
            <w:vAlign w:val="bottom"/>
          </w:tcPr>
          <w:p w:rsidR="00B12599" w:rsidRPr="006629A0" w:rsidRDefault="00B12599" w:rsidP="00A601F3">
            <w:pPr>
              <w:pStyle w:val="SingleTxtG"/>
              <w:keepNext/>
              <w:keepLines/>
              <w:spacing w:before="80" w:after="80" w:line="200" w:lineRule="exact"/>
              <w:ind w:left="113" w:right="113"/>
              <w:rPr>
                <w:i/>
                <w:sz w:val="16"/>
                <w:szCs w:val="16"/>
              </w:rPr>
            </w:pPr>
            <w:r w:rsidRPr="006629A0">
              <w:rPr>
                <w:i/>
                <w:iCs/>
                <w:sz w:val="16"/>
                <w:szCs w:val="16"/>
              </w:rPr>
              <w:t>Аргентина</w:t>
            </w:r>
          </w:p>
        </w:tc>
        <w:tc>
          <w:tcPr>
            <w:tcW w:w="288" w:type="pct"/>
            <w:tcBorders>
              <w:top w:val="single" w:sz="4" w:space="0" w:color="auto"/>
              <w:bottom w:val="single" w:sz="12" w:space="0" w:color="auto"/>
            </w:tcBorders>
            <w:shd w:val="clear" w:color="auto" w:fill="auto"/>
            <w:textDirection w:val="btLr"/>
            <w:vAlign w:val="bottom"/>
          </w:tcPr>
          <w:p w:rsidR="00B12599" w:rsidRPr="006629A0" w:rsidRDefault="00B12599" w:rsidP="00A601F3">
            <w:pPr>
              <w:pStyle w:val="SingleTxtG"/>
              <w:keepNext/>
              <w:keepLines/>
              <w:spacing w:before="80" w:after="80" w:line="200" w:lineRule="exact"/>
              <w:ind w:left="113" w:right="113"/>
              <w:rPr>
                <w:i/>
                <w:sz w:val="16"/>
                <w:szCs w:val="16"/>
              </w:rPr>
            </w:pPr>
            <w:r w:rsidRPr="006629A0">
              <w:rPr>
                <w:i/>
                <w:iCs/>
                <w:sz w:val="16"/>
                <w:szCs w:val="16"/>
              </w:rPr>
              <w:t>Армения</w:t>
            </w:r>
          </w:p>
        </w:tc>
        <w:tc>
          <w:tcPr>
            <w:tcW w:w="288" w:type="pct"/>
            <w:tcBorders>
              <w:top w:val="single" w:sz="4" w:space="0" w:color="auto"/>
              <w:bottom w:val="single" w:sz="12" w:space="0" w:color="auto"/>
            </w:tcBorders>
            <w:shd w:val="clear" w:color="auto" w:fill="auto"/>
            <w:textDirection w:val="btLr"/>
            <w:vAlign w:val="bottom"/>
          </w:tcPr>
          <w:p w:rsidR="00B12599" w:rsidRPr="006629A0" w:rsidRDefault="00B12599" w:rsidP="00A601F3">
            <w:pPr>
              <w:pStyle w:val="SingleTxtG"/>
              <w:keepNext/>
              <w:keepLines/>
              <w:spacing w:before="80" w:after="80" w:line="200" w:lineRule="exact"/>
              <w:ind w:left="113" w:right="113"/>
              <w:rPr>
                <w:i/>
                <w:sz w:val="16"/>
                <w:szCs w:val="16"/>
              </w:rPr>
            </w:pPr>
            <w:r w:rsidRPr="006629A0">
              <w:rPr>
                <w:i/>
                <w:iCs/>
                <w:sz w:val="16"/>
                <w:szCs w:val="16"/>
              </w:rPr>
              <w:t>Бразилия</w:t>
            </w:r>
          </w:p>
        </w:tc>
        <w:tc>
          <w:tcPr>
            <w:tcW w:w="288" w:type="pct"/>
            <w:tcBorders>
              <w:top w:val="single" w:sz="4" w:space="0" w:color="auto"/>
              <w:bottom w:val="single" w:sz="12" w:space="0" w:color="auto"/>
            </w:tcBorders>
            <w:shd w:val="clear" w:color="auto" w:fill="auto"/>
            <w:textDirection w:val="btLr"/>
            <w:vAlign w:val="bottom"/>
          </w:tcPr>
          <w:p w:rsidR="00B12599" w:rsidRPr="006629A0" w:rsidRDefault="00B12599" w:rsidP="00A601F3">
            <w:pPr>
              <w:pStyle w:val="SingleTxtG"/>
              <w:keepNext/>
              <w:keepLines/>
              <w:spacing w:before="80" w:after="80" w:line="200" w:lineRule="exact"/>
              <w:ind w:left="113" w:right="113"/>
              <w:rPr>
                <w:i/>
                <w:sz w:val="16"/>
                <w:szCs w:val="16"/>
              </w:rPr>
            </w:pPr>
            <w:r w:rsidRPr="006629A0">
              <w:rPr>
                <w:i/>
                <w:iCs/>
                <w:sz w:val="16"/>
                <w:szCs w:val="16"/>
              </w:rPr>
              <w:t>Камбоджа</w:t>
            </w:r>
          </w:p>
        </w:tc>
        <w:tc>
          <w:tcPr>
            <w:tcW w:w="240" w:type="pct"/>
            <w:tcBorders>
              <w:top w:val="single" w:sz="4" w:space="0" w:color="auto"/>
              <w:bottom w:val="single" w:sz="12" w:space="0" w:color="auto"/>
            </w:tcBorders>
            <w:shd w:val="clear" w:color="auto" w:fill="auto"/>
            <w:textDirection w:val="btLr"/>
            <w:vAlign w:val="bottom"/>
          </w:tcPr>
          <w:p w:rsidR="00B12599" w:rsidRPr="006629A0" w:rsidRDefault="00B12599" w:rsidP="00A601F3">
            <w:pPr>
              <w:pStyle w:val="SingleTxtG"/>
              <w:keepNext/>
              <w:keepLines/>
              <w:spacing w:before="80" w:after="80" w:line="200" w:lineRule="exact"/>
              <w:ind w:left="113" w:right="113"/>
              <w:rPr>
                <w:i/>
                <w:sz w:val="16"/>
                <w:szCs w:val="16"/>
              </w:rPr>
            </w:pPr>
            <w:r w:rsidRPr="006629A0">
              <w:rPr>
                <w:i/>
                <w:iCs/>
                <w:sz w:val="16"/>
                <w:szCs w:val="16"/>
              </w:rPr>
              <w:t>Колумбия</w:t>
            </w:r>
          </w:p>
        </w:tc>
        <w:tc>
          <w:tcPr>
            <w:tcW w:w="288" w:type="pct"/>
            <w:tcBorders>
              <w:top w:val="single" w:sz="4" w:space="0" w:color="auto"/>
              <w:bottom w:val="single" w:sz="12" w:space="0" w:color="auto"/>
            </w:tcBorders>
            <w:textDirection w:val="btLr"/>
            <w:vAlign w:val="center"/>
          </w:tcPr>
          <w:p w:rsidR="00B12599" w:rsidRPr="006629A0" w:rsidRDefault="00B12599" w:rsidP="00A601F3">
            <w:pPr>
              <w:pStyle w:val="SingleTxtG"/>
              <w:keepNext/>
              <w:keepLines/>
              <w:spacing w:before="80" w:after="80" w:line="200" w:lineRule="exact"/>
              <w:ind w:left="113" w:right="113"/>
              <w:rPr>
                <w:i/>
                <w:sz w:val="16"/>
                <w:szCs w:val="16"/>
              </w:rPr>
            </w:pPr>
            <w:r w:rsidRPr="006629A0">
              <w:rPr>
                <w:i/>
                <w:iCs/>
                <w:sz w:val="16"/>
                <w:szCs w:val="16"/>
              </w:rPr>
              <w:t>Куба</w:t>
            </w:r>
          </w:p>
        </w:tc>
        <w:tc>
          <w:tcPr>
            <w:tcW w:w="288" w:type="pct"/>
            <w:tcBorders>
              <w:top w:val="single" w:sz="4" w:space="0" w:color="auto"/>
              <w:bottom w:val="single" w:sz="12" w:space="0" w:color="auto"/>
            </w:tcBorders>
            <w:shd w:val="clear" w:color="auto" w:fill="auto"/>
            <w:textDirection w:val="btLr"/>
            <w:vAlign w:val="bottom"/>
          </w:tcPr>
          <w:p w:rsidR="00B12599" w:rsidRPr="006629A0" w:rsidRDefault="00B12599" w:rsidP="00A601F3">
            <w:pPr>
              <w:pStyle w:val="SingleTxtG"/>
              <w:keepNext/>
              <w:keepLines/>
              <w:spacing w:before="80" w:after="80" w:line="200" w:lineRule="exact"/>
              <w:ind w:left="113" w:right="113"/>
              <w:rPr>
                <w:i/>
                <w:sz w:val="16"/>
                <w:szCs w:val="16"/>
              </w:rPr>
            </w:pPr>
            <w:r w:rsidRPr="006629A0">
              <w:rPr>
                <w:i/>
                <w:iCs/>
                <w:sz w:val="16"/>
                <w:szCs w:val="16"/>
              </w:rPr>
              <w:t>Гондурас</w:t>
            </w:r>
          </w:p>
        </w:tc>
        <w:tc>
          <w:tcPr>
            <w:tcW w:w="288" w:type="pct"/>
            <w:tcBorders>
              <w:top w:val="single" w:sz="4" w:space="0" w:color="auto"/>
              <w:bottom w:val="single" w:sz="12" w:space="0" w:color="auto"/>
            </w:tcBorders>
            <w:shd w:val="clear" w:color="auto" w:fill="auto"/>
            <w:textDirection w:val="btLr"/>
            <w:vAlign w:val="bottom"/>
          </w:tcPr>
          <w:p w:rsidR="00B12599" w:rsidRPr="006629A0" w:rsidRDefault="00B12599" w:rsidP="00A601F3">
            <w:pPr>
              <w:pStyle w:val="SingleTxtG"/>
              <w:keepNext/>
              <w:keepLines/>
              <w:spacing w:before="80" w:after="80" w:line="200" w:lineRule="exact"/>
              <w:ind w:left="113" w:right="113"/>
              <w:rPr>
                <w:i/>
                <w:sz w:val="16"/>
                <w:szCs w:val="16"/>
              </w:rPr>
            </w:pPr>
            <w:r w:rsidRPr="006629A0">
              <w:rPr>
                <w:i/>
                <w:iCs/>
                <w:sz w:val="16"/>
                <w:szCs w:val="16"/>
              </w:rPr>
              <w:t>Ирак</w:t>
            </w:r>
          </w:p>
        </w:tc>
        <w:tc>
          <w:tcPr>
            <w:tcW w:w="288" w:type="pct"/>
            <w:tcBorders>
              <w:top w:val="single" w:sz="4" w:space="0" w:color="auto"/>
              <w:bottom w:val="single" w:sz="12" w:space="0" w:color="auto"/>
            </w:tcBorders>
            <w:shd w:val="clear" w:color="auto" w:fill="auto"/>
            <w:textDirection w:val="btLr"/>
            <w:vAlign w:val="bottom"/>
          </w:tcPr>
          <w:p w:rsidR="00B12599" w:rsidRPr="006629A0" w:rsidRDefault="00B12599" w:rsidP="00A601F3">
            <w:pPr>
              <w:pStyle w:val="SingleTxtG"/>
              <w:keepNext/>
              <w:keepLines/>
              <w:spacing w:before="80" w:after="80" w:line="200" w:lineRule="exact"/>
              <w:ind w:left="113" w:right="113"/>
              <w:rPr>
                <w:i/>
                <w:sz w:val="16"/>
                <w:szCs w:val="16"/>
              </w:rPr>
            </w:pPr>
            <w:r w:rsidRPr="006629A0">
              <w:rPr>
                <w:i/>
                <w:iCs/>
                <w:sz w:val="16"/>
                <w:szCs w:val="16"/>
              </w:rPr>
              <w:t>Казахстан</w:t>
            </w:r>
          </w:p>
        </w:tc>
        <w:tc>
          <w:tcPr>
            <w:tcW w:w="288" w:type="pct"/>
            <w:tcBorders>
              <w:top w:val="single" w:sz="4" w:space="0" w:color="auto"/>
              <w:bottom w:val="single" w:sz="12" w:space="0" w:color="auto"/>
            </w:tcBorders>
            <w:textDirection w:val="btLr"/>
          </w:tcPr>
          <w:p w:rsidR="00B12599" w:rsidRPr="006629A0" w:rsidRDefault="00B12599" w:rsidP="00A601F3">
            <w:pPr>
              <w:pStyle w:val="SingleTxtG"/>
              <w:keepNext/>
              <w:keepLines/>
              <w:spacing w:before="80" w:after="80" w:line="200" w:lineRule="exact"/>
              <w:ind w:left="113" w:right="113"/>
              <w:rPr>
                <w:i/>
                <w:sz w:val="16"/>
                <w:szCs w:val="16"/>
              </w:rPr>
            </w:pPr>
            <w:r w:rsidRPr="006629A0">
              <w:rPr>
                <w:i/>
                <w:iCs/>
                <w:sz w:val="16"/>
                <w:szCs w:val="16"/>
              </w:rPr>
              <w:t>Литва</w:t>
            </w:r>
          </w:p>
        </w:tc>
        <w:tc>
          <w:tcPr>
            <w:tcW w:w="175" w:type="pct"/>
            <w:tcBorders>
              <w:top w:val="single" w:sz="4" w:space="0" w:color="auto"/>
              <w:bottom w:val="single" w:sz="12" w:space="0" w:color="auto"/>
            </w:tcBorders>
            <w:shd w:val="clear" w:color="auto" w:fill="auto"/>
            <w:textDirection w:val="btLr"/>
            <w:vAlign w:val="bottom"/>
          </w:tcPr>
          <w:p w:rsidR="00B12599" w:rsidRPr="006629A0" w:rsidRDefault="00B12599" w:rsidP="00A601F3">
            <w:pPr>
              <w:pStyle w:val="SingleTxtG"/>
              <w:keepNext/>
              <w:keepLines/>
              <w:spacing w:before="80" w:after="80" w:line="200" w:lineRule="exact"/>
              <w:ind w:left="113" w:right="113"/>
              <w:rPr>
                <w:i/>
                <w:sz w:val="16"/>
                <w:szCs w:val="16"/>
              </w:rPr>
            </w:pPr>
            <w:r w:rsidRPr="006629A0">
              <w:rPr>
                <w:i/>
                <w:iCs/>
                <w:sz w:val="16"/>
                <w:szCs w:val="16"/>
              </w:rPr>
              <w:t>Марокко</w:t>
            </w:r>
          </w:p>
        </w:tc>
        <w:tc>
          <w:tcPr>
            <w:tcW w:w="290" w:type="pct"/>
            <w:tcBorders>
              <w:top w:val="single" w:sz="4" w:space="0" w:color="auto"/>
              <w:bottom w:val="single" w:sz="12" w:space="0" w:color="auto"/>
            </w:tcBorders>
            <w:shd w:val="clear" w:color="auto" w:fill="auto"/>
            <w:textDirection w:val="btLr"/>
            <w:vAlign w:val="bottom"/>
          </w:tcPr>
          <w:p w:rsidR="00B12599" w:rsidRPr="006629A0" w:rsidRDefault="00B12599" w:rsidP="00A601F3">
            <w:pPr>
              <w:pStyle w:val="SingleTxtG"/>
              <w:keepNext/>
              <w:keepLines/>
              <w:spacing w:before="80" w:after="80" w:line="200" w:lineRule="exact"/>
              <w:ind w:left="113" w:right="113"/>
              <w:rPr>
                <w:i/>
                <w:sz w:val="16"/>
                <w:szCs w:val="16"/>
              </w:rPr>
            </w:pPr>
            <w:r w:rsidRPr="006629A0">
              <w:rPr>
                <w:i/>
                <w:iCs/>
                <w:sz w:val="16"/>
                <w:szCs w:val="16"/>
              </w:rPr>
              <w:t>Мавритания</w:t>
            </w:r>
          </w:p>
        </w:tc>
        <w:tc>
          <w:tcPr>
            <w:tcW w:w="290" w:type="pct"/>
            <w:tcBorders>
              <w:top w:val="single" w:sz="4" w:space="0" w:color="auto"/>
              <w:bottom w:val="single" w:sz="12" w:space="0" w:color="auto"/>
            </w:tcBorders>
            <w:textDirection w:val="btLr"/>
            <w:vAlign w:val="bottom"/>
          </w:tcPr>
          <w:p w:rsidR="00B12599" w:rsidRPr="006629A0" w:rsidRDefault="00B12599" w:rsidP="00A601F3">
            <w:pPr>
              <w:pStyle w:val="SingleTxtG"/>
              <w:keepNext/>
              <w:keepLines/>
              <w:spacing w:before="80" w:after="80" w:line="200" w:lineRule="exact"/>
              <w:ind w:left="113" w:right="113"/>
              <w:rPr>
                <w:i/>
                <w:sz w:val="16"/>
                <w:szCs w:val="16"/>
              </w:rPr>
            </w:pPr>
            <w:r w:rsidRPr="006629A0">
              <w:rPr>
                <w:i/>
                <w:iCs/>
                <w:sz w:val="16"/>
                <w:szCs w:val="16"/>
              </w:rPr>
              <w:t>Мексика</w:t>
            </w:r>
          </w:p>
        </w:tc>
        <w:tc>
          <w:tcPr>
            <w:tcW w:w="290" w:type="pct"/>
            <w:tcBorders>
              <w:top w:val="single" w:sz="4" w:space="0" w:color="auto"/>
              <w:bottom w:val="single" w:sz="12" w:space="0" w:color="auto"/>
            </w:tcBorders>
            <w:shd w:val="clear" w:color="auto" w:fill="auto"/>
            <w:textDirection w:val="btLr"/>
            <w:vAlign w:val="bottom"/>
          </w:tcPr>
          <w:p w:rsidR="00B12599" w:rsidRPr="006629A0" w:rsidRDefault="00B12599" w:rsidP="00A601F3">
            <w:pPr>
              <w:pStyle w:val="SingleTxtG"/>
              <w:keepNext/>
              <w:keepLines/>
              <w:spacing w:before="80" w:after="80" w:line="200" w:lineRule="exact"/>
              <w:ind w:left="113" w:right="113"/>
              <w:rPr>
                <w:i/>
                <w:sz w:val="16"/>
                <w:szCs w:val="16"/>
              </w:rPr>
            </w:pPr>
            <w:r w:rsidRPr="006629A0">
              <w:rPr>
                <w:i/>
                <w:iCs/>
                <w:sz w:val="16"/>
                <w:szCs w:val="16"/>
              </w:rPr>
              <w:t>Шри-Ланка</w:t>
            </w:r>
          </w:p>
        </w:tc>
        <w:tc>
          <w:tcPr>
            <w:tcW w:w="292" w:type="pct"/>
            <w:tcBorders>
              <w:top w:val="single" w:sz="4" w:space="0" w:color="auto"/>
              <w:bottom w:val="single" w:sz="12" w:space="0" w:color="auto"/>
            </w:tcBorders>
            <w:textDirection w:val="btLr"/>
            <w:vAlign w:val="center"/>
          </w:tcPr>
          <w:p w:rsidR="00B12599" w:rsidRPr="006629A0" w:rsidRDefault="00B12599" w:rsidP="00A601F3">
            <w:pPr>
              <w:pStyle w:val="SingleTxtG"/>
              <w:keepNext/>
              <w:keepLines/>
              <w:spacing w:before="80" w:after="80" w:line="200" w:lineRule="exact"/>
              <w:ind w:left="113" w:right="113"/>
              <w:rPr>
                <w:i/>
                <w:iCs/>
                <w:sz w:val="16"/>
                <w:szCs w:val="16"/>
              </w:rPr>
            </w:pPr>
            <w:r w:rsidRPr="006629A0">
              <w:rPr>
                <w:i/>
                <w:iCs/>
                <w:sz w:val="16"/>
                <w:szCs w:val="16"/>
              </w:rPr>
              <w:t>Того</w:t>
            </w:r>
            <w:r w:rsidRPr="006629A0">
              <w:rPr>
                <w:sz w:val="16"/>
                <w:szCs w:val="16"/>
              </w:rPr>
              <w:t xml:space="preserve"> </w:t>
            </w:r>
          </w:p>
        </w:tc>
        <w:tc>
          <w:tcPr>
            <w:tcW w:w="349" w:type="pct"/>
            <w:tcBorders>
              <w:top w:val="single" w:sz="4" w:space="0" w:color="auto"/>
              <w:bottom w:val="single" w:sz="12" w:space="0" w:color="auto"/>
            </w:tcBorders>
            <w:shd w:val="clear" w:color="auto" w:fill="auto"/>
            <w:vAlign w:val="bottom"/>
          </w:tcPr>
          <w:p w:rsidR="00B12599" w:rsidRPr="006629A0" w:rsidRDefault="00B12599" w:rsidP="00A601F3">
            <w:pPr>
              <w:pStyle w:val="SingleTxtG"/>
              <w:keepNext/>
              <w:keepLines/>
              <w:spacing w:before="40" w:after="40" w:line="220" w:lineRule="exact"/>
              <w:ind w:left="0" w:right="113"/>
              <w:jc w:val="right"/>
              <w:rPr>
                <w:i/>
                <w:iCs/>
                <w:sz w:val="16"/>
                <w:szCs w:val="16"/>
              </w:rPr>
            </w:pPr>
            <w:r w:rsidRPr="006629A0">
              <w:rPr>
                <w:i/>
                <w:iCs/>
                <w:sz w:val="16"/>
                <w:szCs w:val="16"/>
              </w:rPr>
              <w:t>Итого</w:t>
            </w:r>
          </w:p>
        </w:tc>
      </w:tr>
      <w:tr w:rsidR="006629A0" w:rsidRPr="006629A0" w:rsidTr="006629A0">
        <w:trPr>
          <w:trHeight w:val="370"/>
          <w:jc w:val="center"/>
        </w:trPr>
        <w:tc>
          <w:tcPr>
            <w:tcW w:w="480" w:type="pct"/>
            <w:tcBorders>
              <w:top w:val="single" w:sz="12" w:space="0" w:color="auto"/>
            </w:tcBorders>
            <w:shd w:val="clear" w:color="auto" w:fill="auto"/>
          </w:tcPr>
          <w:p w:rsidR="00B12599" w:rsidRPr="006629A0" w:rsidRDefault="00B12599" w:rsidP="00A601F3">
            <w:pPr>
              <w:pStyle w:val="SingleTxtG"/>
              <w:keepNext/>
              <w:keepLines/>
              <w:spacing w:before="40" w:after="40"/>
              <w:ind w:left="0" w:right="113"/>
              <w:jc w:val="left"/>
              <w:rPr>
                <w:sz w:val="18"/>
                <w:szCs w:val="18"/>
              </w:rPr>
            </w:pPr>
            <w:r w:rsidRPr="006629A0">
              <w:rPr>
                <w:sz w:val="18"/>
                <w:szCs w:val="18"/>
              </w:rPr>
              <w:t>2012</w:t>
            </w:r>
          </w:p>
        </w:tc>
        <w:tc>
          <w:tcPr>
            <w:tcW w:w="288" w:type="pct"/>
            <w:tcBorders>
              <w:top w:val="single" w:sz="12" w:space="0" w:color="auto"/>
            </w:tcBorders>
            <w:shd w:val="clear" w:color="auto" w:fill="auto"/>
            <w:vAlign w:val="center"/>
          </w:tcPr>
          <w:p w:rsidR="00B12599" w:rsidRPr="006629A0" w:rsidRDefault="00B12599" w:rsidP="00A601F3">
            <w:pPr>
              <w:pStyle w:val="SingleTxtG"/>
              <w:keepNext/>
              <w:keepLines/>
              <w:spacing w:before="40" w:after="40"/>
              <w:ind w:left="0" w:right="113"/>
              <w:jc w:val="right"/>
              <w:rPr>
                <w:sz w:val="18"/>
                <w:szCs w:val="18"/>
              </w:rPr>
            </w:pPr>
            <w:r w:rsidRPr="006629A0">
              <w:rPr>
                <w:sz w:val="18"/>
                <w:szCs w:val="18"/>
              </w:rPr>
              <w:t>—</w:t>
            </w:r>
          </w:p>
        </w:tc>
        <w:tc>
          <w:tcPr>
            <w:tcW w:w="288" w:type="pct"/>
            <w:tcBorders>
              <w:top w:val="single" w:sz="12" w:space="0" w:color="auto"/>
            </w:tcBorders>
            <w:shd w:val="clear" w:color="auto" w:fill="auto"/>
            <w:vAlign w:val="center"/>
          </w:tcPr>
          <w:p w:rsidR="00B12599" w:rsidRPr="006629A0" w:rsidRDefault="00B12599" w:rsidP="00A601F3">
            <w:pPr>
              <w:pStyle w:val="SingleTxtG"/>
              <w:keepNext/>
              <w:keepLines/>
              <w:spacing w:before="40" w:after="40"/>
              <w:ind w:left="0" w:right="113"/>
              <w:jc w:val="right"/>
              <w:rPr>
                <w:sz w:val="18"/>
                <w:szCs w:val="18"/>
              </w:rPr>
            </w:pPr>
            <w:r w:rsidRPr="006629A0">
              <w:rPr>
                <w:sz w:val="18"/>
                <w:szCs w:val="18"/>
              </w:rPr>
              <w:t>—</w:t>
            </w:r>
          </w:p>
        </w:tc>
        <w:tc>
          <w:tcPr>
            <w:tcW w:w="288" w:type="pct"/>
            <w:tcBorders>
              <w:top w:val="single" w:sz="12" w:space="0" w:color="auto"/>
            </w:tcBorders>
            <w:shd w:val="clear" w:color="auto" w:fill="auto"/>
            <w:vAlign w:val="center"/>
          </w:tcPr>
          <w:p w:rsidR="00B12599" w:rsidRPr="006629A0" w:rsidRDefault="00B12599" w:rsidP="00A601F3">
            <w:pPr>
              <w:pStyle w:val="SingleTxtG"/>
              <w:keepNext/>
              <w:keepLines/>
              <w:spacing w:before="40" w:after="40"/>
              <w:ind w:left="0" w:right="113"/>
              <w:jc w:val="right"/>
              <w:rPr>
                <w:sz w:val="18"/>
                <w:szCs w:val="18"/>
              </w:rPr>
            </w:pPr>
            <w:r w:rsidRPr="006629A0">
              <w:rPr>
                <w:sz w:val="18"/>
                <w:szCs w:val="18"/>
              </w:rPr>
              <w:t>—</w:t>
            </w:r>
          </w:p>
        </w:tc>
        <w:tc>
          <w:tcPr>
            <w:tcW w:w="288" w:type="pct"/>
            <w:tcBorders>
              <w:top w:val="single" w:sz="12" w:space="0" w:color="auto"/>
            </w:tcBorders>
            <w:shd w:val="clear" w:color="auto" w:fill="auto"/>
            <w:vAlign w:val="center"/>
          </w:tcPr>
          <w:p w:rsidR="00B12599" w:rsidRPr="006629A0" w:rsidRDefault="00B12599" w:rsidP="00A601F3">
            <w:pPr>
              <w:pStyle w:val="SingleTxtG"/>
              <w:keepNext/>
              <w:keepLines/>
              <w:spacing w:before="40" w:after="40"/>
              <w:ind w:left="0" w:right="113"/>
              <w:jc w:val="right"/>
              <w:rPr>
                <w:sz w:val="18"/>
                <w:szCs w:val="18"/>
              </w:rPr>
            </w:pPr>
            <w:r w:rsidRPr="006629A0">
              <w:rPr>
                <w:sz w:val="18"/>
                <w:szCs w:val="18"/>
              </w:rPr>
              <w:t>—</w:t>
            </w:r>
          </w:p>
        </w:tc>
        <w:tc>
          <w:tcPr>
            <w:tcW w:w="240" w:type="pct"/>
            <w:tcBorders>
              <w:top w:val="single" w:sz="12" w:space="0" w:color="auto"/>
            </w:tcBorders>
            <w:shd w:val="clear" w:color="auto" w:fill="auto"/>
            <w:vAlign w:val="center"/>
          </w:tcPr>
          <w:p w:rsidR="00B12599" w:rsidRPr="006629A0" w:rsidRDefault="00B12599" w:rsidP="00A601F3">
            <w:pPr>
              <w:pStyle w:val="SingleTxtG"/>
              <w:keepNext/>
              <w:keepLines/>
              <w:spacing w:before="40" w:after="40"/>
              <w:ind w:left="0" w:right="113"/>
              <w:jc w:val="right"/>
              <w:rPr>
                <w:sz w:val="18"/>
                <w:szCs w:val="18"/>
              </w:rPr>
            </w:pPr>
            <w:r w:rsidRPr="006629A0">
              <w:rPr>
                <w:sz w:val="18"/>
                <w:szCs w:val="18"/>
              </w:rPr>
              <w:t>—</w:t>
            </w:r>
          </w:p>
        </w:tc>
        <w:tc>
          <w:tcPr>
            <w:tcW w:w="288" w:type="pct"/>
            <w:tcBorders>
              <w:top w:val="single" w:sz="12" w:space="0" w:color="auto"/>
            </w:tcBorders>
            <w:vAlign w:val="center"/>
          </w:tcPr>
          <w:p w:rsidR="00B12599" w:rsidRPr="006629A0" w:rsidRDefault="00B12599" w:rsidP="00A601F3">
            <w:pPr>
              <w:pStyle w:val="SingleTxtG"/>
              <w:keepNext/>
              <w:keepLines/>
              <w:spacing w:before="40" w:after="40"/>
              <w:ind w:left="0" w:right="113"/>
              <w:jc w:val="right"/>
              <w:rPr>
                <w:sz w:val="18"/>
                <w:szCs w:val="18"/>
              </w:rPr>
            </w:pPr>
          </w:p>
        </w:tc>
        <w:tc>
          <w:tcPr>
            <w:tcW w:w="288" w:type="pct"/>
            <w:tcBorders>
              <w:top w:val="single" w:sz="12" w:space="0" w:color="auto"/>
            </w:tcBorders>
            <w:shd w:val="clear" w:color="auto" w:fill="auto"/>
            <w:vAlign w:val="center"/>
          </w:tcPr>
          <w:p w:rsidR="00B12599" w:rsidRPr="006629A0" w:rsidRDefault="00B12599" w:rsidP="00A601F3">
            <w:pPr>
              <w:pStyle w:val="SingleTxtG"/>
              <w:keepNext/>
              <w:keepLines/>
              <w:spacing w:before="40" w:after="40"/>
              <w:ind w:left="0" w:right="113"/>
              <w:jc w:val="right"/>
              <w:rPr>
                <w:sz w:val="18"/>
                <w:szCs w:val="18"/>
              </w:rPr>
            </w:pPr>
            <w:r w:rsidRPr="006629A0">
              <w:rPr>
                <w:sz w:val="18"/>
                <w:szCs w:val="18"/>
              </w:rPr>
              <w:t>—</w:t>
            </w:r>
          </w:p>
        </w:tc>
        <w:tc>
          <w:tcPr>
            <w:tcW w:w="288" w:type="pct"/>
            <w:tcBorders>
              <w:top w:val="single" w:sz="12" w:space="0" w:color="auto"/>
            </w:tcBorders>
            <w:shd w:val="clear" w:color="auto" w:fill="auto"/>
            <w:vAlign w:val="center"/>
          </w:tcPr>
          <w:p w:rsidR="00B12599" w:rsidRPr="006629A0" w:rsidRDefault="00B12599" w:rsidP="00A601F3">
            <w:pPr>
              <w:pStyle w:val="SingleTxtG"/>
              <w:keepNext/>
              <w:keepLines/>
              <w:spacing w:before="40" w:after="40"/>
              <w:ind w:left="0" w:right="113"/>
              <w:jc w:val="right"/>
              <w:rPr>
                <w:sz w:val="18"/>
                <w:szCs w:val="18"/>
              </w:rPr>
            </w:pPr>
            <w:r w:rsidRPr="006629A0">
              <w:rPr>
                <w:sz w:val="18"/>
                <w:szCs w:val="18"/>
              </w:rPr>
              <w:t>—</w:t>
            </w:r>
          </w:p>
        </w:tc>
        <w:tc>
          <w:tcPr>
            <w:tcW w:w="288" w:type="pct"/>
            <w:tcBorders>
              <w:top w:val="single" w:sz="12" w:space="0" w:color="auto"/>
            </w:tcBorders>
            <w:shd w:val="clear" w:color="auto" w:fill="auto"/>
            <w:vAlign w:val="center"/>
          </w:tcPr>
          <w:p w:rsidR="00B12599" w:rsidRPr="006629A0" w:rsidRDefault="00B12599" w:rsidP="00A601F3">
            <w:pPr>
              <w:pStyle w:val="SingleTxtG"/>
              <w:keepNext/>
              <w:keepLines/>
              <w:spacing w:before="40" w:after="40"/>
              <w:ind w:left="0" w:right="113"/>
              <w:jc w:val="right"/>
              <w:rPr>
                <w:sz w:val="18"/>
                <w:szCs w:val="18"/>
              </w:rPr>
            </w:pPr>
            <w:r w:rsidRPr="006629A0">
              <w:rPr>
                <w:sz w:val="18"/>
                <w:szCs w:val="18"/>
              </w:rPr>
              <w:t>—</w:t>
            </w:r>
          </w:p>
        </w:tc>
        <w:tc>
          <w:tcPr>
            <w:tcW w:w="288" w:type="pct"/>
            <w:tcBorders>
              <w:top w:val="single" w:sz="12" w:space="0" w:color="auto"/>
            </w:tcBorders>
          </w:tcPr>
          <w:p w:rsidR="00B12599" w:rsidRPr="006629A0" w:rsidRDefault="00B12599" w:rsidP="00A601F3">
            <w:pPr>
              <w:pStyle w:val="SingleTxtG"/>
              <w:keepNext/>
              <w:keepLines/>
              <w:spacing w:before="40" w:after="40"/>
              <w:ind w:left="0" w:right="113"/>
              <w:jc w:val="center"/>
              <w:rPr>
                <w:sz w:val="18"/>
                <w:szCs w:val="18"/>
              </w:rPr>
            </w:pPr>
            <w:r w:rsidRPr="006629A0">
              <w:rPr>
                <w:sz w:val="18"/>
                <w:szCs w:val="18"/>
              </w:rPr>
              <w:t xml:space="preserve"> —</w:t>
            </w:r>
          </w:p>
        </w:tc>
        <w:tc>
          <w:tcPr>
            <w:tcW w:w="175" w:type="pct"/>
            <w:tcBorders>
              <w:top w:val="single" w:sz="12" w:space="0" w:color="auto"/>
            </w:tcBorders>
            <w:shd w:val="clear" w:color="auto" w:fill="auto"/>
            <w:vAlign w:val="center"/>
          </w:tcPr>
          <w:p w:rsidR="00B12599" w:rsidRPr="006629A0" w:rsidRDefault="00B12599" w:rsidP="00A601F3">
            <w:pPr>
              <w:pStyle w:val="SingleTxtG"/>
              <w:keepNext/>
              <w:keepLines/>
              <w:spacing w:before="40" w:after="40"/>
              <w:ind w:left="0" w:right="113"/>
              <w:jc w:val="right"/>
              <w:rPr>
                <w:sz w:val="18"/>
                <w:szCs w:val="18"/>
              </w:rPr>
            </w:pPr>
            <w:r w:rsidRPr="006629A0">
              <w:rPr>
                <w:sz w:val="18"/>
                <w:szCs w:val="18"/>
              </w:rPr>
              <w:t>—</w:t>
            </w:r>
          </w:p>
        </w:tc>
        <w:tc>
          <w:tcPr>
            <w:tcW w:w="290" w:type="pct"/>
            <w:tcBorders>
              <w:top w:val="single" w:sz="12" w:space="0" w:color="auto"/>
            </w:tcBorders>
            <w:shd w:val="clear" w:color="auto" w:fill="auto"/>
            <w:vAlign w:val="center"/>
          </w:tcPr>
          <w:p w:rsidR="00B12599" w:rsidRPr="006629A0" w:rsidRDefault="00B12599" w:rsidP="00A601F3">
            <w:pPr>
              <w:pStyle w:val="SingleTxtG"/>
              <w:keepNext/>
              <w:keepLines/>
              <w:spacing w:before="40" w:after="40"/>
              <w:ind w:left="0" w:right="113"/>
              <w:jc w:val="right"/>
              <w:rPr>
                <w:sz w:val="18"/>
                <w:szCs w:val="18"/>
              </w:rPr>
            </w:pPr>
            <w:r w:rsidRPr="006629A0">
              <w:rPr>
                <w:sz w:val="18"/>
                <w:szCs w:val="18"/>
              </w:rPr>
              <w:t>—</w:t>
            </w:r>
          </w:p>
        </w:tc>
        <w:tc>
          <w:tcPr>
            <w:tcW w:w="290" w:type="pct"/>
            <w:tcBorders>
              <w:top w:val="single" w:sz="12" w:space="0" w:color="auto"/>
            </w:tcBorders>
            <w:vAlign w:val="center"/>
          </w:tcPr>
          <w:p w:rsidR="00B12599" w:rsidRPr="006629A0" w:rsidRDefault="00B12599" w:rsidP="00A601F3">
            <w:pPr>
              <w:pStyle w:val="SingleTxtG"/>
              <w:keepNext/>
              <w:keepLines/>
              <w:spacing w:before="40" w:after="40"/>
              <w:ind w:left="0" w:right="113"/>
              <w:jc w:val="right"/>
              <w:rPr>
                <w:sz w:val="18"/>
                <w:szCs w:val="18"/>
              </w:rPr>
            </w:pPr>
            <w:r w:rsidRPr="006629A0">
              <w:rPr>
                <w:sz w:val="18"/>
                <w:szCs w:val="18"/>
              </w:rPr>
              <w:t>5</w:t>
            </w:r>
          </w:p>
        </w:tc>
        <w:tc>
          <w:tcPr>
            <w:tcW w:w="290" w:type="pct"/>
            <w:tcBorders>
              <w:top w:val="single" w:sz="12" w:space="0" w:color="auto"/>
            </w:tcBorders>
            <w:shd w:val="clear" w:color="auto" w:fill="auto"/>
            <w:vAlign w:val="center"/>
          </w:tcPr>
          <w:p w:rsidR="00B12599" w:rsidRPr="006629A0" w:rsidRDefault="00B12599" w:rsidP="00A601F3">
            <w:pPr>
              <w:pStyle w:val="SingleTxtG"/>
              <w:keepNext/>
              <w:keepLines/>
              <w:spacing w:before="40" w:after="40"/>
              <w:ind w:left="0" w:right="113"/>
              <w:jc w:val="right"/>
              <w:rPr>
                <w:sz w:val="18"/>
                <w:szCs w:val="18"/>
              </w:rPr>
            </w:pPr>
            <w:r w:rsidRPr="006629A0">
              <w:rPr>
                <w:sz w:val="18"/>
                <w:szCs w:val="18"/>
              </w:rPr>
              <w:t>—</w:t>
            </w:r>
          </w:p>
        </w:tc>
        <w:tc>
          <w:tcPr>
            <w:tcW w:w="292" w:type="pct"/>
            <w:tcBorders>
              <w:top w:val="single" w:sz="12" w:space="0" w:color="auto"/>
            </w:tcBorders>
            <w:vAlign w:val="center"/>
          </w:tcPr>
          <w:p w:rsidR="00B12599" w:rsidRPr="006629A0" w:rsidRDefault="00B12599" w:rsidP="00A601F3">
            <w:pPr>
              <w:pStyle w:val="SingleTxtG"/>
              <w:keepNext/>
              <w:keepLines/>
              <w:spacing w:before="40" w:after="40"/>
              <w:ind w:left="0" w:right="113"/>
              <w:jc w:val="right"/>
              <w:rPr>
                <w:sz w:val="18"/>
                <w:szCs w:val="18"/>
              </w:rPr>
            </w:pPr>
            <w:r w:rsidRPr="006629A0">
              <w:rPr>
                <w:sz w:val="18"/>
                <w:szCs w:val="18"/>
              </w:rPr>
              <w:t>—</w:t>
            </w:r>
          </w:p>
        </w:tc>
        <w:tc>
          <w:tcPr>
            <w:tcW w:w="349" w:type="pct"/>
            <w:tcBorders>
              <w:top w:val="single" w:sz="12" w:space="0" w:color="auto"/>
            </w:tcBorders>
            <w:shd w:val="clear" w:color="auto" w:fill="auto"/>
            <w:vAlign w:val="center"/>
          </w:tcPr>
          <w:p w:rsidR="00B12599" w:rsidRPr="006629A0" w:rsidRDefault="00B12599" w:rsidP="00A601F3">
            <w:pPr>
              <w:pStyle w:val="SingleTxtG"/>
              <w:keepNext/>
              <w:keepLines/>
              <w:spacing w:before="40" w:after="40"/>
              <w:ind w:left="0" w:right="113"/>
              <w:jc w:val="right"/>
              <w:rPr>
                <w:sz w:val="18"/>
                <w:szCs w:val="18"/>
              </w:rPr>
            </w:pPr>
            <w:r w:rsidRPr="006629A0">
              <w:rPr>
                <w:sz w:val="18"/>
                <w:szCs w:val="18"/>
              </w:rPr>
              <w:t>5</w:t>
            </w:r>
          </w:p>
        </w:tc>
      </w:tr>
      <w:tr w:rsidR="006629A0" w:rsidRPr="006629A0" w:rsidTr="006629A0">
        <w:trPr>
          <w:trHeight w:val="360"/>
          <w:jc w:val="center"/>
        </w:trPr>
        <w:tc>
          <w:tcPr>
            <w:tcW w:w="480" w:type="pct"/>
            <w:shd w:val="clear" w:color="auto" w:fill="auto"/>
          </w:tcPr>
          <w:p w:rsidR="00B12599" w:rsidRPr="006629A0" w:rsidRDefault="00B12599" w:rsidP="00A601F3">
            <w:pPr>
              <w:pStyle w:val="SingleTxtG"/>
              <w:keepNext/>
              <w:keepLines/>
              <w:spacing w:before="40" w:after="40"/>
              <w:ind w:left="0" w:right="113"/>
              <w:jc w:val="left"/>
              <w:rPr>
                <w:sz w:val="18"/>
                <w:szCs w:val="18"/>
              </w:rPr>
            </w:pPr>
            <w:r w:rsidRPr="006629A0">
              <w:rPr>
                <w:sz w:val="18"/>
                <w:szCs w:val="18"/>
              </w:rPr>
              <w:t>2013</w:t>
            </w:r>
          </w:p>
        </w:tc>
        <w:tc>
          <w:tcPr>
            <w:tcW w:w="288" w:type="pct"/>
            <w:shd w:val="clear" w:color="auto" w:fill="auto"/>
            <w:vAlign w:val="center"/>
          </w:tcPr>
          <w:p w:rsidR="00B12599" w:rsidRPr="006629A0" w:rsidRDefault="00B12599" w:rsidP="00A601F3">
            <w:pPr>
              <w:pStyle w:val="SingleTxtG"/>
              <w:keepNext/>
              <w:keepLines/>
              <w:spacing w:before="40" w:after="40"/>
              <w:ind w:left="0" w:right="113"/>
              <w:jc w:val="right"/>
              <w:rPr>
                <w:sz w:val="18"/>
                <w:szCs w:val="18"/>
              </w:rPr>
            </w:pPr>
            <w:r w:rsidRPr="006629A0">
              <w:rPr>
                <w:sz w:val="18"/>
                <w:szCs w:val="18"/>
              </w:rPr>
              <w:t>—</w:t>
            </w:r>
          </w:p>
        </w:tc>
        <w:tc>
          <w:tcPr>
            <w:tcW w:w="288" w:type="pct"/>
            <w:shd w:val="clear" w:color="auto" w:fill="auto"/>
            <w:vAlign w:val="center"/>
          </w:tcPr>
          <w:p w:rsidR="00B12599" w:rsidRPr="006629A0" w:rsidRDefault="00B12599" w:rsidP="00A601F3">
            <w:pPr>
              <w:pStyle w:val="SingleTxtG"/>
              <w:keepNext/>
              <w:keepLines/>
              <w:spacing w:before="40" w:after="40"/>
              <w:ind w:left="0" w:right="113"/>
              <w:jc w:val="right"/>
              <w:rPr>
                <w:sz w:val="18"/>
                <w:szCs w:val="18"/>
              </w:rPr>
            </w:pPr>
            <w:r w:rsidRPr="006629A0">
              <w:rPr>
                <w:sz w:val="18"/>
                <w:szCs w:val="18"/>
              </w:rPr>
              <w:t>—</w:t>
            </w:r>
          </w:p>
        </w:tc>
        <w:tc>
          <w:tcPr>
            <w:tcW w:w="288" w:type="pct"/>
            <w:shd w:val="clear" w:color="auto" w:fill="auto"/>
            <w:vAlign w:val="center"/>
          </w:tcPr>
          <w:p w:rsidR="00B12599" w:rsidRPr="006629A0" w:rsidRDefault="00B12599" w:rsidP="00A601F3">
            <w:pPr>
              <w:pStyle w:val="SingleTxtG"/>
              <w:keepNext/>
              <w:keepLines/>
              <w:spacing w:before="40" w:after="40"/>
              <w:ind w:left="0" w:right="113"/>
              <w:jc w:val="right"/>
              <w:rPr>
                <w:sz w:val="18"/>
                <w:szCs w:val="18"/>
              </w:rPr>
            </w:pPr>
            <w:r w:rsidRPr="006629A0">
              <w:rPr>
                <w:sz w:val="18"/>
                <w:szCs w:val="18"/>
              </w:rPr>
              <w:t>—</w:t>
            </w:r>
          </w:p>
        </w:tc>
        <w:tc>
          <w:tcPr>
            <w:tcW w:w="288" w:type="pct"/>
            <w:shd w:val="clear" w:color="auto" w:fill="auto"/>
            <w:vAlign w:val="center"/>
          </w:tcPr>
          <w:p w:rsidR="00B12599" w:rsidRPr="006629A0" w:rsidRDefault="00B12599" w:rsidP="00A601F3">
            <w:pPr>
              <w:pStyle w:val="SingleTxtG"/>
              <w:keepNext/>
              <w:keepLines/>
              <w:spacing w:before="40" w:after="40"/>
              <w:ind w:left="0" w:right="113"/>
              <w:jc w:val="right"/>
              <w:rPr>
                <w:sz w:val="18"/>
                <w:szCs w:val="18"/>
              </w:rPr>
            </w:pPr>
            <w:r w:rsidRPr="006629A0">
              <w:rPr>
                <w:sz w:val="18"/>
                <w:szCs w:val="18"/>
              </w:rPr>
              <w:t>—</w:t>
            </w:r>
          </w:p>
        </w:tc>
        <w:tc>
          <w:tcPr>
            <w:tcW w:w="240" w:type="pct"/>
            <w:shd w:val="clear" w:color="auto" w:fill="auto"/>
            <w:vAlign w:val="center"/>
          </w:tcPr>
          <w:p w:rsidR="00B12599" w:rsidRPr="006629A0" w:rsidRDefault="00B12599" w:rsidP="00A601F3">
            <w:pPr>
              <w:pStyle w:val="SingleTxtG"/>
              <w:keepNext/>
              <w:keepLines/>
              <w:spacing w:before="40" w:after="40"/>
              <w:ind w:left="0" w:right="113"/>
              <w:jc w:val="right"/>
              <w:rPr>
                <w:sz w:val="18"/>
                <w:szCs w:val="18"/>
              </w:rPr>
            </w:pPr>
            <w:r w:rsidRPr="006629A0">
              <w:rPr>
                <w:sz w:val="18"/>
                <w:szCs w:val="18"/>
              </w:rPr>
              <w:t>1</w:t>
            </w:r>
          </w:p>
        </w:tc>
        <w:tc>
          <w:tcPr>
            <w:tcW w:w="288" w:type="pct"/>
            <w:vAlign w:val="center"/>
          </w:tcPr>
          <w:p w:rsidR="00B12599" w:rsidRPr="006629A0" w:rsidRDefault="00B12599" w:rsidP="00A601F3">
            <w:pPr>
              <w:pStyle w:val="SingleTxtG"/>
              <w:keepNext/>
              <w:keepLines/>
              <w:spacing w:before="40" w:after="40"/>
              <w:ind w:left="0" w:right="113"/>
              <w:jc w:val="right"/>
              <w:rPr>
                <w:sz w:val="18"/>
                <w:szCs w:val="18"/>
              </w:rPr>
            </w:pPr>
          </w:p>
        </w:tc>
        <w:tc>
          <w:tcPr>
            <w:tcW w:w="288" w:type="pct"/>
            <w:shd w:val="clear" w:color="auto" w:fill="auto"/>
            <w:vAlign w:val="center"/>
          </w:tcPr>
          <w:p w:rsidR="00B12599" w:rsidRPr="006629A0" w:rsidRDefault="00B12599" w:rsidP="00A601F3">
            <w:pPr>
              <w:pStyle w:val="SingleTxtG"/>
              <w:keepNext/>
              <w:keepLines/>
              <w:spacing w:before="40" w:after="40"/>
              <w:ind w:left="0" w:right="113"/>
              <w:jc w:val="right"/>
              <w:rPr>
                <w:sz w:val="18"/>
                <w:szCs w:val="18"/>
              </w:rPr>
            </w:pPr>
            <w:r w:rsidRPr="006629A0">
              <w:rPr>
                <w:sz w:val="18"/>
                <w:szCs w:val="18"/>
              </w:rPr>
              <w:t>—</w:t>
            </w:r>
          </w:p>
        </w:tc>
        <w:tc>
          <w:tcPr>
            <w:tcW w:w="288" w:type="pct"/>
            <w:shd w:val="clear" w:color="auto" w:fill="auto"/>
            <w:vAlign w:val="center"/>
          </w:tcPr>
          <w:p w:rsidR="00B12599" w:rsidRPr="006629A0" w:rsidRDefault="00B12599" w:rsidP="00A601F3">
            <w:pPr>
              <w:pStyle w:val="SingleTxtG"/>
              <w:keepNext/>
              <w:keepLines/>
              <w:spacing w:before="40" w:after="40"/>
              <w:ind w:left="0" w:right="113"/>
              <w:jc w:val="right"/>
              <w:rPr>
                <w:sz w:val="18"/>
                <w:szCs w:val="18"/>
              </w:rPr>
            </w:pPr>
            <w:r w:rsidRPr="006629A0">
              <w:rPr>
                <w:sz w:val="18"/>
                <w:szCs w:val="18"/>
              </w:rPr>
              <w:t>—</w:t>
            </w:r>
          </w:p>
        </w:tc>
        <w:tc>
          <w:tcPr>
            <w:tcW w:w="288" w:type="pct"/>
            <w:shd w:val="clear" w:color="auto" w:fill="auto"/>
            <w:vAlign w:val="center"/>
          </w:tcPr>
          <w:p w:rsidR="00B12599" w:rsidRPr="006629A0" w:rsidRDefault="00B12599" w:rsidP="00A601F3">
            <w:pPr>
              <w:pStyle w:val="SingleTxtG"/>
              <w:keepNext/>
              <w:keepLines/>
              <w:spacing w:before="40" w:after="40"/>
              <w:ind w:left="0" w:right="113"/>
              <w:jc w:val="right"/>
              <w:rPr>
                <w:sz w:val="18"/>
                <w:szCs w:val="18"/>
              </w:rPr>
            </w:pPr>
            <w:r w:rsidRPr="006629A0">
              <w:rPr>
                <w:sz w:val="18"/>
                <w:szCs w:val="18"/>
              </w:rPr>
              <w:t>—</w:t>
            </w:r>
          </w:p>
        </w:tc>
        <w:tc>
          <w:tcPr>
            <w:tcW w:w="288" w:type="pct"/>
          </w:tcPr>
          <w:p w:rsidR="00B12599" w:rsidRPr="006629A0" w:rsidRDefault="00B12599" w:rsidP="00A601F3">
            <w:pPr>
              <w:pStyle w:val="SingleTxtG"/>
              <w:keepNext/>
              <w:keepLines/>
              <w:spacing w:before="40" w:after="40"/>
              <w:ind w:left="0" w:right="113"/>
              <w:jc w:val="center"/>
              <w:rPr>
                <w:sz w:val="18"/>
                <w:szCs w:val="18"/>
              </w:rPr>
            </w:pPr>
            <w:r w:rsidRPr="006629A0">
              <w:rPr>
                <w:sz w:val="18"/>
                <w:szCs w:val="18"/>
              </w:rPr>
              <w:t>—</w:t>
            </w:r>
          </w:p>
        </w:tc>
        <w:tc>
          <w:tcPr>
            <w:tcW w:w="175" w:type="pct"/>
            <w:shd w:val="clear" w:color="auto" w:fill="auto"/>
            <w:vAlign w:val="center"/>
          </w:tcPr>
          <w:p w:rsidR="00B12599" w:rsidRPr="006629A0" w:rsidRDefault="00B12599" w:rsidP="00A601F3">
            <w:pPr>
              <w:pStyle w:val="SingleTxtG"/>
              <w:keepNext/>
              <w:keepLines/>
              <w:spacing w:before="40" w:after="40"/>
              <w:ind w:left="0" w:right="113"/>
              <w:jc w:val="right"/>
              <w:rPr>
                <w:sz w:val="18"/>
                <w:szCs w:val="18"/>
              </w:rPr>
            </w:pPr>
            <w:r w:rsidRPr="006629A0">
              <w:rPr>
                <w:sz w:val="18"/>
                <w:szCs w:val="18"/>
              </w:rPr>
              <w:t>—</w:t>
            </w:r>
          </w:p>
        </w:tc>
        <w:tc>
          <w:tcPr>
            <w:tcW w:w="290" w:type="pct"/>
            <w:shd w:val="clear" w:color="auto" w:fill="auto"/>
            <w:vAlign w:val="center"/>
          </w:tcPr>
          <w:p w:rsidR="00B12599" w:rsidRPr="006629A0" w:rsidRDefault="00B12599" w:rsidP="00A601F3">
            <w:pPr>
              <w:pStyle w:val="SingleTxtG"/>
              <w:keepNext/>
              <w:keepLines/>
              <w:spacing w:before="40" w:after="40"/>
              <w:ind w:left="0" w:right="113"/>
              <w:jc w:val="right"/>
              <w:rPr>
                <w:sz w:val="18"/>
                <w:szCs w:val="18"/>
              </w:rPr>
            </w:pPr>
            <w:r w:rsidRPr="006629A0">
              <w:rPr>
                <w:sz w:val="18"/>
                <w:szCs w:val="18"/>
              </w:rPr>
              <w:t>—</w:t>
            </w:r>
          </w:p>
        </w:tc>
        <w:tc>
          <w:tcPr>
            <w:tcW w:w="290" w:type="pct"/>
            <w:vAlign w:val="center"/>
          </w:tcPr>
          <w:p w:rsidR="00B12599" w:rsidRPr="006629A0" w:rsidRDefault="00B12599" w:rsidP="00A601F3">
            <w:pPr>
              <w:pStyle w:val="SingleTxtG"/>
              <w:keepNext/>
              <w:keepLines/>
              <w:spacing w:before="40" w:after="40"/>
              <w:ind w:left="0" w:right="113"/>
              <w:jc w:val="right"/>
              <w:rPr>
                <w:sz w:val="18"/>
                <w:szCs w:val="18"/>
              </w:rPr>
            </w:pPr>
            <w:r w:rsidRPr="006629A0">
              <w:rPr>
                <w:sz w:val="18"/>
                <w:szCs w:val="18"/>
              </w:rPr>
              <w:t>6</w:t>
            </w:r>
            <w:r w:rsidRPr="006629A0">
              <w:rPr>
                <w:i/>
                <w:iCs/>
                <w:sz w:val="18"/>
                <w:szCs w:val="18"/>
                <w:vertAlign w:val="superscript"/>
              </w:rPr>
              <w:t>a</w:t>
            </w:r>
          </w:p>
        </w:tc>
        <w:tc>
          <w:tcPr>
            <w:tcW w:w="290" w:type="pct"/>
            <w:shd w:val="clear" w:color="auto" w:fill="auto"/>
            <w:vAlign w:val="center"/>
          </w:tcPr>
          <w:p w:rsidR="00B12599" w:rsidRPr="006629A0" w:rsidRDefault="00B12599" w:rsidP="00A601F3">
            <w:pPr>
              <w:pStyle w:val="SingleTxtG"/>
              <w:keepNext/>
              <w:keepLines/>
              <w:spacing w:before="40" w:after="40"/>
              <w:ind w:left="0" w:right="113"/>
              <w:jc w:val="right"/>
              <w:rPr>
                <w:sz w:val="18"/>
                <w:szCs w:val="18"/>
              </w:rPr>
            </w:pPr>
            <w:r w:rsidRPr="006629A0">
              <w:rPr>
                <w:sz w:val="18"/>
                <w:szCs w:val="18"/>
              </w:rPr>
              <w:t>—</w:t>
            </w:r>
          </w:p>
        </w:tc>
        <w:tc>
          <w:tcPr>
            <w:tcW w:w="292" w:type="pct"/>
            <w:vAlign w:val="center"/>
          </w:tcPr>
          <w:p w:rsidR="00B12599" w:rsidRPr="006629A0" w:rsidRDefault="00B12599" w:rsidP="00A601F3">
            <w:pPr>
              <w:pStyle w:val="SingleTxtG"/>
              <w:keepNext/>
              <w:keepLines/>
              <w:spacing w:before="40" w:after="40"/>
              <w:ind w:left="0" w:right="113"/>
              <w:jc w:val="right"/>
              <w:rPr>
                <w:sz w:val="18"/>
                <w:szCs w:val="18"/>
              </w:rPr>
            </w:pPr>
            <w:r w:rsidRPr="006629A0">
              <w:rPr>
                <w:sz w:val="18"/>
                <w:szCs w:val="18"/>
              </w:rPr>
              <w:t>—</w:t>
            </w:r>
          </w:p>
        </w:tc>
        <w:tc>
          <w:tcPr>
            <w:tcW w:w="349" w:type="pct"/>
            <w:shd w:val="clear" w:color="auto" w:fill="auto"/>
            <w:vAlign w:val="center"/>
          </w:tcPr>
          <w:p w:rsidR="00B12599" w:rsidRPr="006629A0" w:rsidRDefault="00B12599" w:rsidP="00A601F3">
            <w:pPr>
              <w:pStyle w:val="SingleTxtG"/>
              <w:keepNext/>
              <w:keepLines/>
              <w:spacing w:before="40" w:after="40"/>
              <w:ind w:left="0" w:right="113"/>
              <w:jc w:val="right"/>
              <w:rPr>
                <w:sz w:val="18"/>
                <w:szCs w:val="18"/>
              </w:rPr>
            </w:pPr>
            <w:r w:rsidRPr="006629A0">
              <w:rPr>
                <w:sz w:val="18"/>
                <w:szCs w:val="18"/>
              </w:rPr>
              <w:t>7</w:t>
            </w:r>
          </w:p>
        </w:tc>
      </w:tr>
      <w:tr w:rsidR="006629A0" w:rsidRPr="006629A0" w:rsidTr="006629A0">
        <w:trPr>
          <w:trHeight w:val="370"/>
          <w:jc w:val="center"/>
        </w:trPr>
        <w:tc>
          <w:tcPr>
            <w:tcW w:w="480" w:type="pct"/>
            <w:shd w:val="clear" w:color="auto" w:fill="auto"/>
          </w:tcPr>
          <w:p w:rsidR="00B12599" w:rsidRPr="006629A0" w:rsidRDefault="00B12599" w:rsidP="00A601F3">
            <w:pPr>
              <w:pStyle w:val="SingleTxtG"/>
              <w:keepNext/>
              <w:keepLines/>
              <w:spacing w:before="40" w:after="40"/>
              <w:ind w:left="0" w:right="113"/>
              <w:jc w:val="left"/>
              <w:rPr>
                <w:sz w:val="18"/>
                <w:szCs w:val="18"/>
              </w:rPr>
            </w:pPr>
            <w:r w:rsidRPr="006629A0">
              <w:rPr>
                <w:sz w:val="18"/>
                <w:szCs w:val="18"/>
              </w:rPr>
              <w:t>2014</w:t>
            </w:r>
          </w:p>
        </w:tc>
        <w:tc>
          <w:tcPr>
            <w:tcW w:w="288" w:type="pct"/>
            <w:shd w:val="clear" w:color="auto" w:fill="auto"/>
            <w:vAlign w:val="center"/>
          </w:tcPr>
          <w:p w:rsidR="00B12599" w:rsidRPr="006629A0" w:rsidRDefault="00B12599" w:rsidP="00A601F3">
            <w:pPr>
              <w:pStyle w:val="SingleTxtG"/>
              <w:keepNext/>
              <w:keepLines/>
              <w:spacing w:before="40" w:after="40"/>
              <w:ind w:left="0" w:right="113"/>
              <w:jc w:val="right"/>
              <w:rPr>
                <w:sz w:val="18"/>
                <w:szCs w:val="18"/>
              </w:rPr>
            </w:pPr>
            <w:r w:rsidRPr="006629A0">
              <w:rPr>
                <w:sz w:val="18"/>
                <w:szCs w:val="18"/>
              </w:rPr>
              <w:t>—</w:t>
            </w:r>
          </w:p>
        </w:tc>
        <w:tc>
          <w:tcPr>
            <w:tcW w:w="288" w:type="pct"/>
            <w:shd w:val="clear" w:color="auto" w:fill="auto"/>
            <w:vAlign w:val="center"/>
          </w:tcPr>
          <w:p w:rsidR="00B12599" w:rsidRPr="006629A0" w:rsidRDefault="00B12599" w:rsidP="00A601F3">
            <w:pPr>
              <w:pStyle w:val="SingleTxtG"/>
              <w:keepNext/>
              <w:keepLines/>
              <w:spacing w:before="40" w:after="40"/>
              <w:ind w:left="0" w:right="113"/>
              <w:jc w:val="right"/>
              <w:rPr>
                <w:sz w:val="18"/>
                <w:szCs w:val="18"/>
              </w:rPr>
            </w:pPr>
            <w:r w:rsidRPr="006629A0">
              <w:rPr>
                <w:sz w:val="18"/>
                <w:szCs w:val="18"/>
              </w:rPr>
              <w:t>—</w:t>
            </w:r>
          </w:p>
        </w:tc>
        <w:tc>
          <w:tcPr>
            <w:tcW w:w="288" w:type="pct"/>
            <w:shd w:val="clear" w:color="auto" w:fill="auto"/>
            <w:vAlign w:val="center"/>
          </w:tcPr>
          <w:p w:rsidR="00B12599" w:rsidRPr="006629A0" w:rsidRDefault="00B12599" w:rsidP="00A601F3">
            <w:pPr>
              <w:pStyle w:val="SingleTxtG"/>
              <w:keepNext/>
              <w:keepLines/>
              <w:spacing w:before="40" w:after="40"/>
              <w:ind w:left="0" w:right="113"/>
              <w:jc w:val="right"/>
              <w:rPr>
                <w:sz w:val="18"/>
                <w:szCs w:val="18"/>
              </w:rPr>
            </w:pPr>
            <w:r w:rsidRPr="006629A0">
              <w:rPr>
                <w:sz w:val="18"/>
                <w:szCs w:val="18"/>
              </w:rPr>
              <w:t>1</w:t>
            </w:r>
          </w:p>
        </w:tc>
        <w:tc>
          <w:tcPr>
            <w:tcW w:w="288" w:type="pct"/>
            <w:shd w:val="clear" w:color="auto" w:fill="auto"/>
            <w:vAlign w:val="center"/>
          </w:tcPr>
          <w:p w:rsidR="00B12599" w:rsidRPr="006629A0" w:rsidRDefault="00B12599" w:rsidP="00A601F3">
            <w:pPr>
              <w:pStyle w:val="SingleTxtG"/>
              <w:keepNext/>
              <w:keepLines/>
              <w:spacing w:before="40" w:after="40"/>
              <w:ind w:left="0" w:right="113"/>
              <w:jc w:val="right"/>
              <w:rPr>
                <w:sz w:val="18"/>
                <w:szCs w:val="18"/>
              </w:rPr>
            </w:pPr>
            <w:r w:rsidRPr="006629A0">
              <w:rPr>
                <w:sz w:val="18"/>
                <w:szCs w:val="18"/>
              </w:rPr>
              <w:t>1</w:t>
            </w:r>
          </w:p>
        </w:tc>
        <w:tc>
          <w:tcPr>
            <w:tcW w:w="240" w:type="pct"/>
            <w:shd w:val="clear" w:color="auto" w:fill="auto"/>
            <w:vAlign w:val="center"/>
          </w:tcPr>
          <w:p w:rsidR="00B12599" w:rsidRPr="006629A0" w:rsidRDefault="00B12599" w:rsidP="00A601F3">
            <w:pPr>
              <w:pStyle w:val="SingleTxtG"/>
              <w:keepNext/>
              <w:keepLines/>
              <w:spacing w:before="40" w:after="40"/>
              <w:ind w:left="0" w:right="113"/>
              <w:jc w:val="right"/>
              <w:rPr>
                <w:sz w:val="18"/>
                <w:szCs w:val="18"/>
              </w:rPr>
            </w:pPr>
            <w:r w:rsidRPr="006629A0">
              <w:rPr>
                <w:sz w:val="18"/>
                <w:szCs w:val="18"/>
              </w:rPr>
              <w:t>1</w:t>
            </w:r>
          </w:p>
        </w:tc>
        <w:tc>
          <w:tcPr>
            <w:tcW w:w="288" w:type="pct"/>
            <w:vAlign w:val="center"/>
          </w:tcPr>
          <w:p w:rsidR="00B12599" w:rsidRPr="006629A0" w:rsidRDefault="00B12599" w:rsidP="00A601F3">
            <w:pPr>
              <w:pStyle w:val="SingleTxtG"/>
              <w:keepNext/>
              <w:keepLines/>
              <w:spacing w:before="40" w:after="40"/>
              <w:ind w:left="0" w:right="113"/>
              <w:jc w:val="right"/>
              <w:rPr>
                <w:sz w:val="18"/>
                <w:szCs w:val="18"/>
              </w:rPr>
            </w:pPr>
          </w:p>
        </w:tc>
        <w:tc>
          <w:tcPr>
            <w:tcW w:w="288" w:type="pct"/>
            <w:shd w:val="clear" w:color="auto" w:fill="auto"/>
            <w:vAlign w:val="center"/>
          </w:tcPr>
          <w:p w:rsidR="00B12599" w:rsidRPr="006629A0" w:rsidRDefault="00B12599" w:rsidP="00A601F3">
            <w:pPr>
              <w:pStyle w:val="SingleTxtG"/>
              <w:keepNext/>
              <w:keepLines/>
              <w:spacing w:before="40" w:after="40"/>
              <w:ind w:left="0" w:right="113"/>
              <w:jc w:val="right"/>
              <w:rPr>
                <w:sz w:val="18"/>
                <w:szCs w:val="18"/>
              </w:rPr>
            </w:pPr>
            <w:r w:rsidRPr="006629A0">
              <w:rPr>
                <w:sz w:val="18"/>
                <w:szCs w:val="18"/>
              </w:rPr>
              <w:t>—</w:t>
            </w:r>
          </w:p>
        </w:tc>
        <w:tc>
          <w:tcPr>
            <w:tcW w:w="288" w:type="pct"/>
            <w:shd w:val="clear" w:color="auto" w:fill="auto"/>
            <w:vAlign w:val="center"/>
          </w:tcPr>
          <w:p w:rsidR="00B12599" w:rsidRPr="006629A0" w:rsidRDefault="00B12599" w:rsidP="00A601F3">
            <w:pPr>
              <w:pStyle w:val="SingleTxtG"/>
              <w:keepNext/>
              <w:keepLines/>
              <w:spacing w:before="40" w:after="40"/>
              <w:ind w:left="0" w:right="113"/>
              <w:jc w:val="right"/>
              <w:rPr>
                <w:sz w:val="18"/>
                <w:szCs w:val="18"/>
              </w:rPr>
            </w:pPr>
            <w:r w:rsidRPr="006629A0">
              <w:rPr>
                <w:sz w:val="18"/>
                <w:szCs w:val="18"/>
              </w:rPr>
              <w:t>5</w:t>
            </w:r>
          </w:p>
        </w:tc>
        <w:tc>
          <w:tcPr>
            <w:tcW w:w="288" w:type="pct"/>
            <w:shd w:val="clear" w:color="auto" w:fill="auto"/>
            <w:vAlign w:val="center"/>
          </w:tcPr>
          <w:p w:rsidR="00B12599" w:rsidRPr="006629A0" w:rsidRDefault="00B12599" w:rsidP="00A601F3">
            <w:pPr>
              <w:pStyle w:val="SingleTxtG"/>
              <w:keepNext/>
              <w:keepLines/>
              <w:spacing w:before="40" w:after="40"/>
              <w:ind w:left="0" w:right="113"/>
              <w:jc w:val="right"/>
              <w:rPr>
                <w:sz w:val="18"/>
                <w:szCs w:val="18"/>
              </w:rPr>
            </w:pPr>
            <w:r w:rsidRPr="006629A0">
              <w:rPr>
                <w:sz w:val="18"/>
                <w:szCs w:val="18"/>
              </w:rPr>
              <w:t>—</w:t>
            </w:r>
          </w:p>
        </w:tc>
        <w:tc>
          <w:tcPr>
            <w:tcW w:w="288" w:type="pct"/>
          </w:tcPr>
          <w:p w:rsidR="00B12599" w:rsidRPr="006629A0" w:rsidRDefault="00B12599" w:rsidP="00A601F3">
            <w:pPr>
              <w:pStyle w:val="SingleTxtG"/>
              <w:keepNext/>
              <w:keepLines/>
              <w:spacing w:before="40" w:after="40"/>
              <w:ind w:left="0" w:right="113"/>
              <w:jc w:val="center"/>
              <w:rPr>
                <w:sz w:val="18"/>
                <w:szCs w:val="18"/>
              </w:rPr>
            </w:pPr>
            <w:r w:rsidRPr="006629A0">
              <w:rPr>
                <w:sz w:val="18"/>
                <w:szCs w:val="18"/>
              </w:rPr>
              <w:t>—</w:t>
            </w:r>
          </w:p>
        </w:tc>
        <w:tc>
          <w:tcPr>
            <w:tcW w:w="175" w:type="pct"/>
            <w:shd w:val="clear" w:color="auto" w:fill="auto"/>
            <w:vAlign w:val="center"/>
          </w:tcPr>
          <w:p w:rsidR="00B12599" w:rsidRPr="006629A0" w:rsidRDefault="00B12599" w:rsidP="00A601F3">
            <w:pPr>
              <w:pStyle w:val="SingleTxtG"/>
              <w:keepNext/>
              <w:keepLines/>
              <w:spacing w:before="40" w:after="40"/>
              <w:ind w:left="0" w:right="113"/>
              <w:jc w:val="right"/>
              <w:rPr>
                <w:sz w:val="18"/>
                <w:szCs w:val="18"/>
              </w:rPr>
            </w:pPr>
            <w:r w:rsidRPr="006629A0">
              <w:rPr>
                <w:sz w:val="18"/>
                <w:szCs w:val="18"/>
              </w:rPr>
              <w:t>—</w:t>
            </w:r>
          </w:p>
        </w:tc>
        <w:tc>
          <w:tcPr>
            <w:tcW w:w="290" w:type="pct"/>
            <w:shd w:val="clear" w:color="auto" w:fill="auto"/>
            <w:vAlign w:val="center"/>
          </w:tcPr>
          <w:p w:rsidR="00B12599" w:rsidRPr="006629A0" w:rsidRDefault="00B12599" w:rsidP="00A601F3">
            <w:pPr>
              <w:pStyle w:val="SingleTxtG"/>
              <w:keepNext/>
              <w:keepLines/>
              <w:spacing w:before="40" w:after="40"/>
              <w:ind w:left="0" w:right="113"/>
              <w:jc w:val="right"/>
              <w:rPr>
                <w:sz w:val="18"/>
                <w:szCs w:val="18"/>
              </w:rPr>
            </w:pPr>
            <w:r w:rsidRPr="006629A0">
              <w:rPr>
                <w:sz w:val="18"/>
                <w:szCs w:val="18"/>
              </w:rPr>
              <w:t>—</w:t>
            </w:r>
          </w:p>
        </w:tc>
        <w:tc>
          <w:tcPr>
            <w:tcW w:w="290" w:type="pct"/>
            <w:vAlign w:val="center"/>
          </w:tcPr>
          <w:p w:rsidR="00B12599" w:rsidRPr="006629A0" w:rsidRDefault="00B12599" w:rsidP="00A601F3">
            <w:pPr>
              <w:pStyle w:val="SingleTxtG"/>
              <w:keepNext/>
              <w:keepLines/>
              <w:spacing w:before="40" w:after="40"/>
              <w:ind w:left="0" w:right="113"/>
              <w:jc w:val="right"/>
              <w:rPr>
                <w:sz w:val="18"/>
                <w:szCs w:val="18"/>
              </w:rPr>
            </w:pPr>
            <w:r w:rsidRPr="006629A0">
              <w:rPr>
                <w:sz w:val="18"/>
                <w:szCs w:val="18"/>
              </w:rPr>
              <w:t>43</w:t>
            </w:r>
          </w:p>
        </w:tc>
        <w:tc>
          <w:tcPr>
            <w:tcW w:w="290" w:type="pct"/>
            <w:shd w:val="clear" w:color="auto" w:fill="auto"/>
            <w:vAlign w:val="center"/>
          </w:tcPr>
          <w:p w:rsidR="00B12599" w:rsidRPr="006629A0" w:rsidRDefault="00B12599" w:rsidP="00A601F3">
            <w:pPr>
              <w:pStyle w:val="SingleTxtG"/>
              <w:keepNext/>
              <w:keepLines/>
              <w:spacing w:before="40" w:after="40"/>
              <w:ind w:left="0" w:right="113"/>
              <w:jc w:val="right"/>
              <w:rPr>
                <w:sz w:val="18"/>
                <w:szCs w:val="18"/>
              </w:rPr>
            </w:pPr>
            <w:r w:rsidRPr="006629A0">
              <w:rPr>
                <w:sz w:val="18"/>
                <w:szCs w:val="18"/>
              </w:rPr>
              <w:t>—</w:t>
            </w:r>
          </w:p>
        </w:tc>
        <w:tc>
          <w:tcPr>
            <w:tcW w:w="292" w:type="pct"/>
            <w:vAlign w:val="center"/>
          </w:tcPr>
          <w:p w:rsidR="00B12599" w:rsidRPr="006629A0" w:rsidRDefault="00B12599" w:rsidP="00A601F3">
            <w:pPr>
              <w:pStyle w:val="SingleTxtG"/>
              <w:keepNext/>
              <w:keepLines/>
              <w:spacing w:before="40" w:after="40"/>
              <w:ind w:left="0" w:right="113"/>
              <w:jc w:val="right"/>
              <w:rPr>
                <w:sz w:val="18"/>
                <w:szCs w:val="18"/>
              </w:rPr>
            </w:pPr>
            <w:r w:rsidRPr="006629A0">
              <w:rPr>
                <w:sz w:val="18"/>
                <w:szCs w:val="18"/>
              </w:rPr>
              <w:t>—</w:t>
            </w:r>
          </w:p>
        </w:tc>
        <w:tc>
          <w:tcPr>
            <w:tcW w:w="349" w:type="pct"/>
            <w:shd w:val="clear" w:color="auto" w:fill="auto"/>
            <w:vAlign w:val="center"/>
          </w:tcPr>
          <w:p w:rsidR="00B12599" w:rsidRPr="006629A0" w:rsidRDefault="00B12599" w:rsidP="00A601F3">
            <w:pPr>
              <w:pStyle w:val="SingleTxtG"/>
              <w:keepNext/>
              <w:keepLines/>
              <w:spacing w:before="40" w:after="40"/>
              <w:ind w:left="0" w:right="113"/>
              <w:jc w:val="right"/>
              <w:rPr>
                <w:sz w:val="18"/>
                <w:szCs w:val="18"/>
              </w:rPr>
            </w:pPr>
            <w:r w:rsidRPr="006629A0">
              <w:rPr>
                <w:sz w:val="18"/>
                <w:szCs w:val="18"/>
              </w:rPr>
              <w:t>51</w:t>
            </w:r>
          </w:p>
        </w:tc>
      </w:tr>
      <w:tr w:rsidR="006629A0" w:rsidRPr="006629A0" w:rsidTr="006629A0">
        <w:trPr>
          <w:trHeight w:val="370"/>
          <w:jc w:val="center"/>
        </w:trPr>
        <w:tc>
          <w:tcPr>
            <w:tcW w:w="480" w:type="pct"/>
            <w:shd w:val="clear" w:color="auto" w:fill="auto"/>
          </w:tcPr>
          <w:p w:rsidR="00B12599" w:rsidRPr="006629A0" w:rsidRDefault="00B12599" w:rsidP="00A601F3">
            <w:pPr>
              <w:pStyle w:val="SingleTxtG"/>
              <w:keepNext/>
              <w:keepLines/>
              <w:spacing w:before="40" w:after="40"/>
              <w:ind w:left="0" w:right="113"/>
              <w:jc w:val="left"/>
              <w:rPr>
                <w:sz w:val="18"/>
                <w:szCs w:val="18"/>
              </w:rPr>
            </w:pPr>
            <w:r w:rsidRPr="006629A0">
              <w:rPr>
                <w:sz w:val="18"/>
                <w:szCs w:val="18"/>
              </w:rPr>
              <w:t>2015</w:t>
            </w:r>
          </w:p>
        </w:tc>
        <w:tc>
          <w:tcPr>
            <w:tcW w:w="288" w:type="pct"/>
            <w:shd w:val="clear" w:color="auto" w:fill="auto"/>
            <w:vAlign w:val="center"/>
          </w:tcPr>
          <w:p w:rsidR="00B12599" w:rsidRPr="006629A0" w:rsidRDefault="00B12599" w:rsidP="00A601F3">
            <w:pPr>
              <w:pStyle w:val="SingleTxtG"/>
              <w:keepNext/>
              <w:keepLines/>
              <w:spacing w:before="40" w:after="40"/>
              <w:ind w:left="0" w:right="113"/>
              <w:jc w:val="right"/>
              <w:rPr>
                <w:sz w:val="18"/>
                <w:szCs w:val="18"/>
              </w:rPr>
            </w:pPr>
            <w:r w:rsidRPr="006629A0">
              <w:rPr>
                <w:sz w:val="18"/>
                <w:szCs w:val="18"/>
              </w:rPr>
              <w:t>—</w:t>
            </w:r>
          </w:p>
        </w:tc>
        <w:tc>
          <w:tcPr>
            <w:tcW w:w="288" w:type="pct"/>
            <w:shd w:val="clear" w:color="auto" w:fill="auto"/>
            <w:vAlign w:val="center"/>
          </w:tcPr>
          <w:p w:rsidR="00B12599" w:rsidRPr="006629A0" w:rsidRDefault="00B12599" w:rsidP="00A601F3">
            <w:pPr>
              <w:pStyle w:val="SingleTxtG"/>
              <w:keepNext/>
              <w:keepLines/>
              <w:spacing w:before="40" w:after="40"/>
              <w:ind w:left="0" w:right="113"/>
              <w:jc w:val="right"/>
              <w:rPr>
                <w:sz w:val="18"/>
                <w:szCs w:val="18"/>
              </w:rPr>
            </w:pPr>
            <w:r w:rsidRPr="006629A0">
              <w:rPr>
                <w:sz w:val="18"/>
                <w:szCs w:val="18"/>
              </w:rPr>
              <w:t>—</w:t>
            </w:r>
          </w:p>
        </w:tc>
        <w:tc>
          <w:tcPr>
            <w:tcW w:w="288" w:type="pct"/>
            <w:shd w:val="clear" w:color="auto" w:fill="auto"/>
            <w:vAlign w:val="center"/>
          </w:tcPr>
          <w:p w:rsidR="00B12599" w:rsidRPr="006629A0" w:rsidRDefault="00B12599" w:rsidP="00A601F3">
            <w:pPr>
              <w:pStyle w:val="SingleTxtG"/>
              <w:keepNext/>
              <w:keepLines/>
              <w:spacing w:before="40" w:after="40"/>
              <w:ind w:left="0" w:right="113"/>
              <w:jc w:val="right"/>
              <w:rPr>
                <w:sz w:val="18"/>
                <w:szCs w:val="18"/>
              </w:rPr>
            </w:pPr>
            <w:r w:rsidRPr="006629A0">
              <w:rPr>
                <w:sz w:val="18"/>
                <w:szCs w:val="18"/>
              </w:rPr>
              <w:t>—</w:t>
            </w:r>
          </w:p>
        </w:tc>
        <w:tc>
          <w:tcPr>
            <w:tcW w:w="288" w:type="pct"/>
            <w:shd w:val="clear" w:color="auto" w:fill="auto"/>
            <w:vAlign w:val="center"/>
          </w:tcPr>
          <w:p w:rsidR="00B12599" w:rsidRPr="006629A0" w:rsidRDefault="00B12599" w:rsidP="00A601F3">
            <w:pPr>
              <w:pStyle w:val="SingleTxtG"/>
              <w:keepNext/>
              <w:keepLines/>
              <w:spacing w:before="40" w:after="40"/>
              <w:ind w:left="0" w:right="113"/>
              <w:jc w:val="right"/>
              <w:rPr>
                <w:sz w:val="18"/>
                <w:szCs w:val="18"/>
              </w:rPr>
            </w:pPr>
            <w:r w:rsidRPr="006629A0">
              <w:rPr>
                <w:sz w:val="18"/>
                <w:szCs w:val="18"/>
              </w:rPr>
              <w:t>—</w:t>
            </w:r>
          </w:p>
        </w:tc>
        <w:tc>
          <w:tcPr>
            <w:tcW w:w="240" w:type="pct"/>
            <w:shd w:val="clear" w:color="auto" w:fill="auto"/>
            <w:vAlign w:val="center"/>
          </w:tcPr>
          <w:p w:rsidR="00B12599" w:rsidRPr="006629A0" w:rsidRDefault="00B12599" w:rsidP="00A601F3">
            <w:pPr>
              <w:pStyle w:val="SingleTxtG"/>
              <w:keepNext/>
              <w:keepLines/>
              <w:spacing w:before="40" w:after="40"/>
              <w:ind w:left="0" w:right="113"/>
              <w:jc w:val="right"/>
              <w:rPr>
                <w:sz w:val="18"/>
                <w:szCs w:val="18"/>
              </w:rPr>
            </w:pPr>
            <w:r w:rsidRPr="006629A0">
              <w:rPr>
                <w:sz w:val="18"/>
                <w:szCs w:val="18"/>
              </w:rPr>
              <w:t>3</w:t>
            </w:r>
          </w:p>
        </w:tc>
        <w:tc>
          <w:tcPr>
            <w:tcW w:w="288" w:type="pct"/>
            <w:vAlign w:val="center"/>
          </w:tcPr>
          <w:p w:rsidR="00B12599" w:rsidRPr="006629A0" w:rsidRDefault="00B12599" w:rsidP="00A601F3">
            <w:pPr>
              <w:pStyle w:val="SingleTxtG"/>
              <w:keepNext/>
              <w:keepLines/>
              <w:spacing w:before="40" w:after="40"/>
              <w:ind w:left="0" w:right="113"/>
              <w:jc w:val="right"/>
              <w:rPr>
                <w:sz w:val="18"/>
                <w:szCs w:val="18"/>
              </w:rPr>
            </w:pPr>
          </w:p>
        </w:tc>
        <w:tc>
          <w:tcPr>
            <w:tcW w:w="288" w:type="pct"/>
            <w:shd w:val="clear" w:color="auto" w:fill="auto"/>
            <w:vAlign w:val="center"/>
          </w:tcPr>
          <w:p w:rsidR="00B12599" w:rsidRPr="006629A0" w:rsidRDefault="00B12599" w:rsidP="00A601F3">
            <w:pPr>
              <w:pStyle w:val="SingleTxtG"/>
              <w:keepNext/>
              <w:keepLines/>
              <w:spacing w:before="40" w:after="40"/>
              <w:ind w:left="0" w:right="113"/>
              <w:jc w:val="right"/>
              <w:rPr>
                <w:sz w:val="18"/>
                <w:szCs w:val="18"/>
              </w:rPr>
            </w:pPr>
            <w:r w:rsidRPr="006629A0">
              <w:rPr>
                <w:sz w:val="18"/>
                <w:szCs w:val="18"/>
              </w:rPr>
              <w:t>—</w:t>
            </w:r>
          </w:p>
        </w:tc>
        <w:tc>
          <w:tcPr>
            <w:tcW w:w="288" w:type="pct"/>
            <w:shd w:val="clear" w:color="auto" w:fill="auto"/>
            <w:vAlign w:val="center"/>
          </w:tcPr>
          <w:p w:rsidR="00B12599" w:rsidRPr="006629A0" w:rsidRDefault="00B12599" w:rsidP="00A601F3">
            <w:pPr>
              <w:pStyle w:val="SingleTxtG"/>
              <w:keepNext/>
              <w:keepLines/>
              <w:spacing w:before="40" w:after="40"/>
              <w:ind w:left="0" w:right="113"/>
              <w:jc w:val="right"/>
              <w:rPr>
                <w:sz w:val="18"/>
                <w:szCs w:val="18"/>
              </w:rPr>
            </w:pPr>
            <w:r w:rsidRPr="006629A0">
              <w:rPr>
                <w:sz w:val="18"/>
                <w:szCs w:val="18"/>
              </w:rPr>
              <w:t>42</w:t>
            </w:r>
          </w:p>
        </w:tc>
        <w:tc>
          <w:tcPr>
            <w:tcW w:w="288" w:type="pct"/>
            <w:shd w:val="clear" w:color="auto" w:fill="auto"/>
            <w:vAlign w:val="center"/>
          </w:tcPr>
          <w:p w:rsidR="00B12599" w:rsidRPr="006629A0" w:rsidRDefault="00B12599" w:rsidP="00A601F3">
            <w:pPr>
              <w:pStyle w:val="SingleTxtG"/>
              <w:keepNext/>
              <w:keepLines/>
              <w:spacing w:before="40" w:after="40"/>
              <w:ind w:left="0" w:right="113"/>
              <w:jc w:val="right"/>
              <w:rPr>
                <w:sz w:val="18"/>
                <w:szCs w:val="18"/>
              </w:rPr>
            </w:pPr>
            <w:r w:rsidRPr="006629A0">
              <w:rPr>
                <w:sz w:val="18"/>
                <w:szCs w:val="18"/>
              </w:rPr>
              <w:t>—</w:t>
            </w:r>
          </w:p>
        </w:tc>
        <w:tc>
          <w:tcPr>
            <w:tcW w:w="288" w:type="pct"/>
          </w:tcPr>
          <w:p w:rsidR="00B12599" w:rsidRPr="006629A0" w:rsidRDefault="00B12599" w:rsidP="00A601F3">
            <w:pPr>
              <w:pStyle w:val="SingleTxtG"/>
              <w:keepNext/>
              <w:keepLines/>
              <w:spacing w:before="40" w:after="40"/>
              <w:ind w:left="0" w:right="113"/>
              <w:jc w:val="center"/>
              <w:rPr>
                <w:sz w:val="18"/>
                <w:szCs w:val="18"/>
              </w:rPr>
            </w:pPr>
            <w:r w:rsidRPr="006629A0">
              <w:rPr>
                <w:sz w:val="18"/>
                <w:szCs w:val="18"/>
              </w:rPr>
              <w:t>—</w:t>
            </w:r>
          </w:p>
        </w:tc>
        <w:tc>
          <w:tcPr>
            <w:tcW w:w="175" w:type="pct"/>
            <w:shd w:val="clear" w:color="auto" w:fill="auto"/>
            <w:vAlign w:val="center"/>
          </w:tcPr>
          <w:p w:rsidR="00B12599" w:rsidRPr="006629A0" w:rsidRDefault="00B12599" w:rsidP="00A601F3">
            <w:pPr>
              <w:pStyle w:val="SingleTxtG"/>
              <w:keepNext/>
              <w:keepLines/>
              <w:spacing w:before="40" w:after="40"/>
              <w:ind w:left="0" w:right="113"/>
              <w:jc w:val="right"/>
              <w:rPr>
                <w:sz w:val="18"/>
                <w:szCs w:val="18"/>
              </w:rPr>
            </w:pPr>
            <w:r w:rsidRPr="006629A0">
              <w:rPr>
                <w:sz w:val="18"/>
                <w:szCs w:val="18"/>
              </w:rPr>
              <w:t>—</w:t>
            </w:r>
          </w:p>
        </w:tc>
        <w:tc>
          <w:tcPr>
            <w:tcW w:w="290" w:type="pct"/>
            <w:shd w:val="clear" w:color="auto" w:fill="auto"/>
            <w:vAlign w:val="center"/>
          </w:tcPr>
          <w:p w:rsidR="00B12599" w:rsidRPr="006629A0" w:rsidRDefault="00B12599" w:rsidP="00A601F3">
            <w:pPr>
              <w:pStyle w:val="SingleTxtG"/>
              <w:keepNext/>
              <w:keepLines/>
              <w:spacing w:before="40" w:after="40"/>
              <w:ind w:left="0" w:right="113"/>
              <w:jc w:val="right"/>
              <w:rPr>
                <w:sz w:val="18"/>
                <w:szCs w:val="18"/>
              </w:rPr>
            </w:pPr>
            <w:r w:rsidRPr="006629A0">
              <w:rPr>
                <w:sz w:val="18"/>
                <w:szCs w:val="18"/>
              </w:rPr>
              <w:t>—</w:t>
            </w:r>
          </w:p>
        </w:tc>
        <w:tc>
          <w:tcPr>
            <w:tcW w:w="290" w:type="pct"/>
            <w:vAlign w:val="center"/>
          </w:tcPr>
          <w:p w:rsidR="00B12599" w:rsidRPr="006629A0" w:rsidRDefault="00B12599" w:rsidP="00A601F3">
            <w:pPr>
              <w:pStyle w:val="SingleTxtG"/>
              <w:keepNext/>
              <w:keepLines/>
              <w:spacing w:before="40" w:after="40"/>
              <w:ind w:left="0" w:right="113"/>
              <w:jc w:val="right"/>
              <w:rPr>
                <w:sz w:val="18"/>
                <w:szCs w:val="18"/>
              </w:rPr>
            </w:pPr>
            <w:r w:rsidRPr="006629A0">
              <w:rPr>
                <w:sz w:val="18"/>
                <w:szCs w:val="18"/>
              </w:rPr>
              <w:t>165</w:t>
            </w:r>
          </w:p>
        </w:tc>
        <w:tc>
          <w:tcPr>
            <w:tcW w:w="290" w:type="pct"/>
            <w:shd w:val="clear" w:color="auto" w:fill="auto"/>
            <w:vAlign w:val="center"/>
          </w:tcPr>
          <w:p w:rsidR="00B12599" w:rsidRPr="006629A0" w:rsidRDefault="00B12599" w:rsidP="00A601F3">
            <w:pPr>
              <w:pStyle w:val="SingleTxtG"/>
              <w:keepNext/>
              <w:keepLines/>
              <w:spacing w:before="40" w:after="40"/>
              <w:ind w:left="0" w:right="113"/>
              <w:jc w:val="right"/>
              <w:rPr>
                <w:sz w:val="18"/>
                <w:szCs w:val="18"/>
              </w:rPr>
            </w:pPr>
            <w:r w:rsidRPr="006629A0">
              <w:rPr>
                <w:sz w:val="18"/>
                <w:szCs w:val="18"/>
              </w:rPr>
              <w:t>—</w:t>
            </w:r>
          </w:p>
        </w:tc>
        <w:tc>
          <w:tcPr>
            <w:tcW w:w="292" w:type="pct"/>
            <w:vAlign w:val="center"/>
          </w:tcPr>
          <w:p w:rsidR="00B12599" w:rsidRPr="006629A0" w:rsidRDefault="00B12599" w:rsidP="00A601F3">
            <w:pPr>
              <w:pStyle w:val="SingleTxtG"/>
              <w:keepNext/>
              <w:keepLines/>
              <w:spacing w:before="40" w:after="40"/>
              <w:ind w:left="0" w:right="113"/>
              <w:jc w:val="right"/>
              <w:rPr>
                <w:sz w:val="18"/>
                <w:szCs w:val="18"/>
              </w:rPr>
            </w:pPr>
            <w:r w:rsidRPr="006629A0">
              <w:rPr>
                <w:sz w:val="18"/>
                <w:szCs w:val="18"/>
              </w:rPr>
              <w:t>—</w:t>
            </w:r>
          </w:p>
        </w:tc>
        <w:tc>
          <w:tcPr>
            <w:tcW w:w="349" w:type="pct"/>
            <w:shd w:val="clear" w:color="auto" w:fill="auto"/>
            <w:vAlign w:val="center"/>
          </w:tcPr>
          <w:p w:rsidR="00B12599" w:rsidRPr="006629A0" w:rsidRDefault="00B12599" w:rsidP="00A601F3">
            <w:pPr>
              <w:pStyle w:val="SingleTxtG"/>
              <w:keepNext/>
              <w:keepLines/>
              <w:spacing w:before="40" w:after="40"/>
              <w:ind w:left="0" w:right="113"/>
              <w:jc w:val="right"/>
              <w:rPr>
                <w:sz w:val="18"/>
                <w:szCs w:val="18"/>
              </w:rPr>
            </w:pPr>
            <w:r w:rsidRPr="006629A0">
              <w:rPr>
                <w:sz w:val="18"/>
                <w:szCs w:val="18"/>
              </w:rPr>
              <w:t>210</w:t>
            </w:r>
          </w:p>
        </w:tc>
      </w:tr>
      <w:tr w:rsidR="006629A0" w:rsidRPr="006629A0" w:rsidTr="006629A0">
        <w:trPr>
          <w:trHeight w:val="370"/>
          <w:jc w:val="center"/>
        </w:trPr>
        <w:tc>
          <w:tcPr>
            <w:tcW w:w="480" w:type="pct"/>
            <w:shd w:val="clear" w:color="auto" w:fill="auto"/>
          </w:tcPr>
          <w:p w:rsidR="00B12599" w:rsidRPr="006629A0" w:rsidRDefault="00B12599" w:rsidP="00A601F3">
            <w:pPr>
              <w:pStyle w:val="SingleTxtG"/>
              <w:spacing w:before="40" w:after="40"/>
              <w:ind w:left="0" w:right="113"/>
              <w:jc w:val="left"/>
              <w:rPr>
                <w:sz w:val="18"/>
                <w:szCs w:val="18"/>
              </w:rPr>
            </w:pPr>
            <w:r w:rsidRPr="006629A0">
              <w:rPr>
                <w:sz w:val="18"/>
                <w:szCs w:val="18"/>
              </w:rPr>
              <w:t>2016</w:t>
            </w:r>
          </w:p>
        </w:tc>
        <w:tc>
          <w:tcPr>
            <w:tcW w:w="288" w:type="pct"/>
            <w:shd w:val="clear" w:color="auto" w:fill="auto"/>
            <w:vAlign w:val="center"/>
          </w:tcPr>
          <w:p w:rsidR="00B12599" w:rsidRPr="006629A0" w:rsidRDefault="00B12599" w:rsidP="00A601F3">
            <w:pPr>
              <w:pStyle w:val="SingleTxtG"/>
              <w:spacing w:before="40" w:after="40"/>
              <w:ind w:left="0" w:right="113"/>
              <w:jc w:val="right"/>
              <w:rPr>
                <w:sz w:val="18"/>
                <w:szCs w:val="18"/>
              </w:rPr>
            </w:pPr>
            <w:r w:rsidRPr="006629A0">
              <w:rPr>
                <w:sz w:val="18"/>
                <w:szCs w:val="18"/>
              </w:rPr>
              <w:t>—</w:t>
            </w:r>
          </w:p>
        </w:tc>
        <w:tc>
          <w:tcPr>
            <w:tcW w:w="288" w:type="pct"/>
            <w:shd w:val="clear" w:color="auto" w:fill="auto"/>
            <w:vAlign w:val="center"/>
          </w:tcPr>
          <w:p w:rsidR="00B12599" w:rsidRPr="006629A0" w:rsidRDefault="00B12599" w:rsidP="00A601F3">
            <w:pPr>
              <w:pStyle w:val="SingleTxtG"/>
              <w:spacing w:before="40" w:after="40"/>
              <w:ind w:left="0" w:right="113"/>
              <w:jc w:val="right"/>
              <w:rPr>
                <w:sz w:val="18"/>
                <w:szCs w:val="18"/>
              </w:rPr>
            </w:pPr>
            <w:r w:rsidRPr="006629A0">
              <w:rPr>
                <w:sz w:val="18"/>
                <w:szCs w:val="18"/>
              </w:rPr>
              <w:t>—</w:t>
            </w:r>
          </w:p>
        </w:tc>
        <w:tc>
          <w:tcPr>
            <w:tcW w:w="288" w:type="pct"/>
            <w:shd w:val="clear" w:color="auto" w:fill="auto"/>
            <w:vAlign w:val="center"/>
          </w:tcPr>
          <w:p w:rsidR="00B12599" w:rsidRPr="006629A0" w:rsidRDefault="00B12599" w:rsidP="00A601F3">
            <w:pPr>
              <w:pStyle w:val="SingleTxtG"/>
              <w:spacing w:before="40" w:after="40"/>
              <w:ind w:left="0" w:right="113"/>
              <w:jc w:val="right"/>
              <w:rPr>
                <w:sz w:val="18"/>
                <w:szCs w:val="18"/>
              </w:rPr>
            </w:pPr>
            <w:r w:rsidRPr="006629A0">
              <w:rPr>
                <w:sz w:val="18"/>
                <w:szCs w:val="18"/>
              </w:rPr>
              <w:t>—</w:t>
            </w:r>
          </w:p>
        </w:tc>
        <w:tc>
          <w:tcPr>
            <w:tcW w:w="288" w:type="pct"/>
            <w:shd w:val="clear" w:color="auto" w:fill="auto"/>
            <w:vAlign w:val="center"/>
          </w:tcPr>
          <w:p w:rsidR="00B12599" w:rsidRPr="006629A0" w:rsidRDefault="00B12599" w:rsidP="00A601F3">
            <w:pPr>
              <w:pStyle w:val="SingleTxtG"/>
              <w:spacing w:before="40" w:after="40"/>
              <w:ind w:left="0" w:right="113"/>
              <w:jc w:val="right"/>
              <w:rPr>
                <w:sz w:val="18"/>
                <w:szCs w:val="18"/>
              </w:rPr>
            </w:pPr>
            <w:r w:rsidRPr="006629A0">
              <w:rPr>
                <w:sz w:val="18"/>
                <w:szCs w:val="18"/>
              </w:rPr>
              <w:t>—</w:t>
            </w:r>
          </w:p>
        </w:tc>
        <w:tc>
          <w:tcPr>
            <w:tcW w:w="240" w:type="pct"/>
            <w:shd w:val="clear" w:color="auto" w:fill="auto"/>
            <w:vAlign w:val="center"/>
          </w:tcPr>
          <w:p w:rsidR="00B12599" w:rsidRPr="006629A0" w:rsidRDefault="00B12599" w:rsidP="00A601F3">
            <w:pPr>
              <w:pStyle w:val="SingleTxtG"/>
              <w:spacing w:before="40" w:after="40"/>
              <w:ind w:left="0" w:right="113"/>
              <w:jc w:val="right"/>
              <w:rPr>
                <w:sz w:val="18"/>
                <w:szCs w:val="18"/>
              </w:rPr>
            </w:pPr>
            <w:r w:rsidRPr="006629A0">
              <w:rPr>
                <w:sz w:val="18"/>
                <w:szCs w:val="18"/>
              </w:rPr>
              <w:t>4</w:t>
            </w:r>
          </w:p>
        </w:tc>
        <w:tc>
          <w:tcPr>
            <w:tcW w:w="288" w:type="pct"/>
            <w:vAlign w:val="center"/>
          </w:tcPr>
          <w:p w:rsidR="00B12599" w:rsidRPr="006629A0" w:rsidRDefault="00B12599" w:rsidP="00A601F3">
            <w:pPr>
              <w:pStyle w:val="SingleTxtG"/>
              <w:spacing w:before="40" w:after="40"/>
              <w:ind w:left="0" w:right="113"/>
              <w:jc w:val="right"/>
              <w:rPr>
                <w:sz w:val="18"/>
                <w:szCs w:val="18"/>
              </w:rPr>
            </w:pPr>
          </w:p>
        </w:tc>
        <w:tc>
          <w:tcPr>
            <w:tcW w:w="288" w:type="pct"/>
            <w:shd w:val="clear" w:color="auto" w:fill="auto"/>
            <w:vAlign w:val="center"/>
          </w:tcPr>
          <w:p w:rsidR="00B12599" w:rsidRPr="006629A0" w:rsidRDefault="00B12599" w:rsidP="00A601F3">
            <w:pPr>
              <w:pStyle w:val="SingleTxtG"/>
              <w:spacing w:before="40" w:after="40"/>
              <w:ind w:left="0" w:right="113"/>
              <w:jc w:val="right"/>
              <w:rPr>
                <w:sz w:val="18"/>
                <w:szCs w:val="18"/>
              </w:rPr>
            </w:pPr>
            <w:r w:rsidRPr="006629A0">
              <w:rPr>
                <w:sz w:val="18"/>
                <w:szCs w:val="18"/>
              </w:rPr>
              <w:t>—</w:t>
            </w:r>
          </w:p>
        </w:tc>
        <w:tc>
          <w:tcPr>
            <w:tcW w:w="288" w:type="pct"/>
            <w:shd w:val="clear" w:color="auto" w:fill="auto"/>
            <w:vAlign w:val="center"/>
          </w:tcPr>
          <w:p w:rsidR="00B12599" w:rsidRPr="006629A0" w:rsidRDefault="00B12599" w:rsidP="00A601F3">
            <w:pPr>
              <w:pStyle w:val="SingleTxtG"/>
              <w:spacing w:before="40" w:after="40"/>
              <w:ind w:left="0" w:right="113"/>
              <w:jc w:val="right"/>
              <w:rPr>
                <w:sz w:val="18"/>
                <w:szCs w:val="18"/>
              </w:rPr>
            </w:pPr>
            <w:r w:rsidRPr="006629A0">
              <w:rPr>
                <w:sz w:val="18"/>
                <w:szCs w:val="18"/>
              </w:rPr>
              <w:t>22</w:t>
            </w:r>
          </w:p>
        </w:tc>
        <w:tc>
          <w:tcPr>
            <w:tcW w:w="288" w:type="pct"/>
            <w:shd w:val="clear" w:color="auto" w:fill="auto"/>
            <w:vAlign w:val="center"/>
          </w:tcPr>
          <w:p w:rsidR="00B12599" w:rsidRPr="006629A0" w:rsidRDefault="00B12599" w:rsidP="00A601F3">
            <w:pPr>
              <w:pStyle w:val="SingleTxtG"/>
              <w:spacing w:before="40" w:after="40"/>
              <w:ind w:left="0" w:right="113"/>
              <w:jc w:val="right"/>
              <w:rPr>
                <w:sz w:val="18"/>
                <w:szCs w:val="18"/>
              </w:rPr>
            </w:pPr>
            <w:r w:rsidRPr="006629A0">
              <w:rPr>
                <w:sz w:val="18"/>
                <w:szCs w:val="18"/>
              </w:rPr>
              <w:t>—</w:t>
            </w:r>
          </w:p>
        </w:tc>
        <w:tc>
          <w:tcPr>
            <w:tcW w:w="288" w:type="pct"/>
          </w:tcPr>
          <w:p w:rsidR="00B12599" w:rsidRPr="006629A0" w:rsidRDefault="00B12599" w:rsidP="00A601F3">
            <w:pPr>
              <w:pStyle w:val="SingleTxtG"/>
              <w:spacing w:before="40" w:after="40"/>
              <w:ind w:left="0" w:right="113"/>
              <w:jc w:val="center"/>
              <w:rPr>
                <w:sz w:val="18"/>
                <w:szCs w:val="18"/>
              </w:rPr>
            </w:pPr>
            <w:r w:rsidRPr="006629A0">
              <w:rPr>
                <w:sz w:val="18"/>
                <w:szCs w:val="18"/>
              </w:rPr>
              <w:t>—</w:t>
            </w:r>
          </w:p>
        </w:tc>
        <w:tc>
          <w:tcPr>
            <w:tcW w:w="175" w:type="pct"/>
            <w:shd w:val="clear" w:color="auto" w:fill="auto"/>
            <w:vAlign w:val="center"/>
          </w:tcPr>
          <w:p w:rsidR="00B12599" w:rsidRPr="006629A0" w:rsidRDefault="00B12599" w:rsidP="00A601F3">
            <w:pPr>
              <w:pStyle w:val="SingleTxtG"/>
              <w:spacing w:before="40" w:after="40"/>
              <w:ind w:left="0" w:right="113"/>
              <w:jc w:val="right"/>
              <w:rPr>
                <w:sz w:val="18"/>
                <w:szCs w:val="18"/>
              </w:rPr>
            </w:pPr>
            <w:r w:rsidRPr="006629A0">
              <w:rPr>
                <w:sz w:val="18"/>
                <w:szCs w:val="18"/>
              </w:rPr>
              <w:t>1</w:t>
            </w:r>
          </w:p>
        </w:tc>
        <w:tc>
          <w:tcPr>
            <w:tcW w:w="290" w:type="pct"/>
            <w:shd w:val="clear" w:color="auto" w:fill="auto"/>
            <w:vAlign w:val="center"/>
          </w:tcPr>
          <w:p w:rsidR="00B12599" w:rsidRPr="006629A0" w:rsidRDefault="00B12599" w:rsidP="00A601F3">
            <w:pPr>
              <w:pStyle w:val="SingleTxtG"/>
              <w:spacing w:before="40" w:after="40"/>
              <w:ind w:left="0" w:right="113"/>
              <w:jc w:val="right"/>
              <w:rPr>
                <w:sz w:val="18"/>
                <w:szCs w:val="18"/>
              </w:rPr>
            </w:pPr>
            <w:r w:rsidRPr="006629A0">
              <w:rPr>
                <w:sz w:val="18"/>
                <w:szCs w:val="18"/>
              </w:rPr>
              <w:t>—</w:t>
            </w:r>
          </w:p>
        </w:tc>
        <w:tc>
          <w:tcPr>
            <w:tcW w:w="290" w:type="pct"/>
            <w:vAlign w:val="center"/>
          </w:tcPr>
          <w:p w:rsidR="00B12599" w:rsidRPr="006629A0" w:rsidRDefault="00B12599" w:rsidP="00A601F3">
            <w:pPr>
              <w:pStyle w:val="SingleTxtG"/>
              <w:spacing w:before="40" w:after="40"/>
              <w:ind w:left="0" w:right="113"/>
              <w:jc w:val="right"/>
              <w:rPr>
                <w:sz w:val="18"/>
                <w:szCs w:val="18"/>
              </w:rPr>
            </w:pPr>
            <w:r w:rsidRPr="006629A0">
              <w:rPr>
                <w:sz w:val="18"/>
                <w:szCs w:val="18"/>
              </w:rPr>
              <w:t>58</w:t>
            </w:r>
          </w:p>
        </w:tc>
        <w:tc>
          <w:tcPr>
            <w:tcW w:w="290" w:type="pct"/>
            <w:shd w:val="clear" w:color="auto" w:fill="auto"/>
            <w:vAlign w:val="center"/>
          </w:tcPr>
          <w:p w:rsidR="00B12599" w:rsidRPr="006629A0" w:rsidRDefault="00B12599" w:rsidP="00A601F3">
            <w:pPr>
              <w:pStyle w:val="SingleTxtG"/>
              <w:spacing w:before="40" w:after="40"/>
              <w:ind w:left="0" w:right="113"/>
              <w:jc w:val="right"/>
              <w:rPr>
                <w:sz w:val="18"/>
                <w:szCs w:val="18"/>
              </w:rPr>
            </w:pPr>
            <w:r w:rsidRPr="006629A0">
              <w:rPr>
                <w:sz w:val="18"/>
                <w:szCs w:val="18"/>
              </w:rPr>
              <w:t>—</w:t>
            </w:r>
          </w:p>
        </w:tc>
        <w:tc>
          <w:tcPr>
            <w:tcW w:w="292" w:type="pct"/>
            <w:vAlign w:val="center"/>
          </w:tcPr>
          <w:p w:rsidR="00B12599" w:rsidRPr="006629A0" w:rsidRDefault="00B12599" w:rsidP="00A601F3">
            <w:pPr>
              <w:pStyle w:val="SingleTxtG"/>
              <w:spacing w:before="40" w:after="40"/>
              <w:ind w:left="0" w:right="113"/>
              <w:jc w:val="right"/>
              <w:rPr>
                <w:sz w:val="18"/>
                <w:szCs w:val="18"/>
              </w:rPr>
            </w:pPr>
            <w:r w:rsidRPr="006629A0">
              <w:rPr>
                <w:sz w:val="18"/>
                <w:szCs w:val="18"/>
              </w:rPr>
              <w:t>—</w:t>
            </w:r>
          </w:p>
        </w:tc>
        <w:tc>
          <w:tcPr>
            <w:tcW w:w="349" w:type="pct"/>
            <w:shd w:val="clear" w:color="auto" w:fill="auto"/>
            <w:vAlign w:val="center"/>
          </w:tcPr>
          <w:p w:rsidR="00B12599" w:rsidRPr="006629A0" w:rsidRDefault="00B12599" w:rsidP="00A601F3">
            <w:pPr>
              <w:pStyle w:val="SingleTxtG"/>
              <w:spacing w:before="40" w:after="40"/>
              <w:ind w:left="0" w:right="113"/>
              <w:jc w:val="right"/>
              <w:rPr>
                <w:sz w:val="18"/>
                <w:szCs w:val="18"/>
              </w:rPr>
            </w:pPr>
            <w:r w:rsidRPr="006629A0">
              <w:rPr>
                <w:sz w:val="18"/>
                <w:szCs w:val="18"/>
              </w:rPr>
              <w:t>85</w:t>
            </w:r>
          </w:p>
        </w:tc>
      </w:tr>
      <w:tr w:rsidR="006629A0" w:rsidRPr="006629A0" w:rsidTr="006629A0">
        <w:trPr>
          <w:trHeight w:val="360"/>
          <w:jc w:val="center"/>
        </w:trPr>
        <w:tc>
          <w:tcPr>
            <w:tcW w:w="480" w:type="pct"/>
            <w:shd w:val="clear" w:color="auto" w:fill="auto"/>
          </w:tcPr>
          <w:p w:rsidR="00B12599" w:rsidRPr="006629A0" w:rsidRDefault="00B12599" w:rsidP="00A601F3">
            <w:pPr>
              <w:pStyle w:val="SingleTxtG"/>
              <w:spacing w:before="40" w:after="40"/>
              <w:ind w:left="0" w:right="113"/>
              <w:jc w:val="left"/>
              <w:rPr>
                <w:sz w:val="18"/>
                <w:szCs w:val="18"/>
              </w:rPr>
            </w:pPr>
            <w:r w:rsidRPr="006629A0">
              <w:rPr>
                <w:sz w:val="18"/>
                <w:szCs w:val="18"/>
              </w:rPr>
              <w:t>2017</w:t>
            </w:r>
          </w:p>
        </w:tc>
        <w:tc>
          <w:tcPr>
            <w:tcW w:w="288" w:type="pct"/>
            <w:shd w:val="clear" w:color="auto" w:fill="auto"/>
            <w:vAlign w:val="center"/>
          </w:tcPr>
          <w:p w:rsidR="00B12599" w:rsidRPr="006629A0" w:rsidRDefault="00B12599" w:rsidP="00A601F3">
            <w:pPr>
              <w:pStyle w:val="SingleTxtG"/>
              <w:spacing w:before="40" w:after="40"/>
              <w:ind w:left="0" w:right="113"/>
              <w:jc w:val="right"/>
              <w:rPr>
                <w:sz w:val="18"/>
                <w:szCs w:val="18"/>
              </w:rPr>
            </w:pPr>
            <w:r w:rsidRPr="006629A0">
              <w:rPr>
                <w:sz w:val="18"/>
                <w:szCs w:val="18"/>
              </w:rPr>
              <w:t>2</w:t>
            </w:r>
          </w:p>
        </w:tc>
        <w:tc>
          <w:tcPr>
            <w:tcW w:w="288" w:type="pct"/>
            <w:shd w:val="clear" w:color="auto" w:fill="auto"/>
            <w:vAlign w:val="center"/>
          </w:tcPr>
          <w:p w:rsidR="00B12599" w:rsidRPr="006629A0" w:rsidRDefault="00B12599" w:rsidP="00A601F3">
            <w:pPr>
              <w:pStyle w:val="SingleTxtG"/>
              <w:spacing w:before="40" w:after="40"/>
              <w:ind w:left="0" w:right="113"/>
              <w:jc w:val="right"/>
              <w:rPr>
                <w:sz w:val="18"/>
                <w:szCs w:val="18"/>
              </w:rPr>
            </w:pPr>
            <w:r w:rsidRPr="006629A0">
              <w:rPr>
                <w:sz w:val="18"/>
                <w:szCs w:val="18"/>
              </w:rPr>
              <w:t>1</w:t>
            </w:r>
          </w:p>
        </w:tc>
        <w:tc>
          <w:tcPr>
            <w:tcW w:w="288" w:type="pct"/>
            <w:shd w:val="clear" w:color="auto" w:fill="auto"/>
            <w:vAlign w:val="center"/>
          </w:tcPr>
          <w:p w:rsidR="00B12599" w:rsidRPr="006629A0" w:rsidRDefault="00B12599" w:rsidP="00A601F3">
            <w:pPr>
              <w:pStyle w:val="SingleTxtG"/>
              <w:spacing w:before="40" w:after="40"/>
              <w:ind w:left="0" w:right="113"/>
              <w:jc w:val="right"/>
              <w:rPr>
                <w:sz w:val="18"/>
                <w:szCs w:val="18"/>
              </w:rPr>
            </w:pPr>
            <w:r w:rsidRPr="006629A0">
              <w:rPr>
                <w:sz w:val="18"/>
                <w:szCs w:val="18"/>
              </w:rPr>
              <w:t>—</w:t>
            </w:r>
          </w:p>
        </w:tc>
        <w:tc>
          <w:tcPr>
            <w:tcW w:w="288" w:type="pct"/>
            <w:shd w:val="clear" w:color="auto" w:fill="auto"/>
            <w:vAlign w:val="center"/>
          </w:tcPr>
          <w:p w:rsidR="00B12599" w:rsidRPr="006629A0" w:rsidRDefault="00B12599" w:rsidP="00A601F3">
            <w:pPr>
              <w:pStyle w:val="SingleTxtG"/>
              <w:spacing w:before="40" w:after="40"/>
              <w:ind w:left="0" w:right="113"/>
              <w:jc w:val="right"/>
              <w:rPr>
                <w:sz w:val="18"/>
                <w:szCs w:val="18"/>
              </w:rPr>
            </w:pPr>
            <w:r w:rsidRPr="006629A0">
              <w:rPr>
                <w:sz w:val="18"/>
                <w:szCs w:val="18"/>
              </w:rPr>
              <w:t>—</w:t>
            </w:r>
          </w:p>
        </w:tc>
        <w:tc>
          <w:tcPr>
            <w:tcW w:w="240" w:type="pct"/>
            <w:shd w:val="clear" w:color="auto" w:fill="auto"/>
            <w:vAlign w:val="center"/>
          </w:tcPr>
          <w:p w:rsidR="00B12599" w:rsidRPr="006629A0" w:rsidRDefault="00B12599" w:rsidP="00A601F3">
            <w:pPr>
              <w:pStyle w:val="SingleTxtG"/>
              <w:spacing w:before="40" w:after="40"/>
              <w:ind w:left="0" w:right="113"/>
              <w:jc w:val="right"/>
              <w:rPr>
                <w:sz w:val="18"/>
                <w:szCs w:val="18"/>
              </w:rPr>
            </w:pPr>
            <w:r w:rsidRPr="006629A0">
              <w:rPr>
                <w:sz w:val="18"/>
                <w:szCs w:val="18"/>
              </w:rPr>
              <w:t>3</w:t>
            </w:r>
          </w:p>
        </w:tc>
        <w:tc>
          <w:tcPr>
            <w:tcW w:w="288" w:type="pct"/>
            <w:vAlign w:val="center"/>
          </w:tcPr>
          <w:p w:rsidR="00B12599" w:rsidRPr="006629A0" w:rsidRDefault="00B12599" w:rsidP="00A601F3">
            <w:pPr>
              <w:pStyle w:val="SingleTxtG"/>
              <w:spacing w:before="40" w:after="40"/>
              <w:ind w:left="0" w:right="113"/>
              <w:jc w:val="right"/>
              <w:rPr>
                <w:sz w:val="18"/>
                <w:szCs w:val="18"/>
              </w:rPr>
            </w:pPr>
          </w:p>
        </w:tc>
        <w:tc>
          <w:tcPr>
            <w:tcW w:w="288" w:type="pct"/>
            <w:shd w:val="clear" w:color="auto" w:fill="auto"/>
            <w:vAlign w:val="center"/>
          </w:tcPr>
          <w:p w:rsidR="00B12599" w:rsidRPr="006629A0" w:rsidRDefault="00B12599" w:rsidP="00A601F3">
            <w:pPr>
              <w:pStyle w:val="SingleTxtG"/>
              <w:spacing w:before="40" w:after="40"/>
              <w:ind w:left="0" w:right="113"/>
              <w:jc w:val="right"/>
              <w:rPr>
                <w:sz w:val="18"/>
                <w:szCs w:val="18"/>
              </w:rPr>
            </w:pPr>
            <w:r w:rsidRPr="006629A0">
              <w:rPr>
                <w:sz w:val="18"/>
                <w:szCs w:val="18"/>
              </w:rPr>
              <w:t>—</w:t>
            </w:r>
          </w:p>
        </w:tc>
        <w:tc>
          <w:tcPr>
            <w:tcW w:w="288" w:type="pct"/>
            <w:shd w:val="clear" w:color="auto" w:fill="auto"/>
            <w:vAlign w:val="center"/>
          </w:tcPr>
          <w:p w:rsidR="00B12599" w:rsidRPr="006629A0" w:rsidRDefault="00B12599" w:rsidP="00A601F3">
            <w:pPr>
              <w:pStyle w:val="SingleTxtG"/>
              <w:spacing w:before="40" w:after="40"/>
              <w:ind w:left="0" w:right="113"/>
              <w:jc w:val="right"/>
              <w:rPr>
                <w:sz w:val="18"/>
                <w:szCs w:val="18"/>
              </w:rPr>
            </w:pPr>
            <w:r w:rsidRPr="006629A0">
              <w:rPr>
                <w:sz w:val="18"/>
                <w:szCs w:val="18"/>
              </w:rPr>
              <w:t>43</w:t>
            </w:r>
          </w:p>
        </w:tc>
        <w:tc>
          <w:tcPr>
            <w:tcW w:w="288" w:type="pct"/>
            <w:shd w:val="clear" w:color="auto" w:fill="auto"/>
            <w:vAlign w:val="center"/>
          </w:tcPr>
          <w:p w:rsidR="00B12599" w:rsidRPr="006629A0" w:rsidRDefault="00B12599" w:rsidP="00A601F3">
            <w:pPr>
              <w:pStyle w:val="SingleTxtG"/>
              <w:spacing w:before="40" w:after="40"/>
              <w:ind w:left="0" w:right="113"/>
              <w:jc w:val="right"/>
              <w:rPr>
                <w:sz w:val="18"/>
                <w:szCs w:val="18"/>
              </w:rPr>
            </w:pPr>
            <w:r w:rsidRPr="006629A0">
              <w:rPr>
                <w:sz w:val="18"/>
                <w:szCs w:val="18"/>
              </w:rPr>
              <w:t>2</w:t>
            </w:r>
          </w:p>
        </w:tc>
        <w:tc>
          <w:tcPr>
            <w:tcW w:w="288" w:type="pct"/>
          </w:tcPr>
          <w:p w:rsidR="00B12599" w:rsidRPr="006629A0" w:rsidRDefault="00B12599" w:rsidP="00A601F3">
            <w:pPr>
              <w:pStyle w:val="SingleTxtG"/>
              <w:spacing w:before="40" w:after="40"/>
              <w:ind w:left="0" w:right="113"/>
              <w:jc w:val="center"/>
              <w:rPr>
                <w:sz w:val="18"/>
                <w:szCs w:val="18"/>
              </w:rPr>
            </w:pPr>
            <w:r w:rsidRPr="006629A0">
              <w:rPr>
                <w:sz w:val="18"/>
                <w:szCs w:val="18"/>
              </w:rPr>
              <w:t>—</w:t>
            </w:r>
          </w:p>
        </w:tc>
        <w:tc>
          <w:tcPr>
            <w:tcW w:w="175" w:type="pct"/>
            <w:shd w:val="clear" w:color="auto" w:fill="auto"/>
            <w:vAlign w:val="center"/>
          </w:tcPr>
          <w:p w:rsidR="00B12599" w:rsidRPr="006629A0" w:rsidRDefault="00B12599" w:rsidP="00A601F3">
            <w:pPr>
              <w:pStyle w:val="SingleTxtG"/>
              <w:spacing w:before="40" w:after="40"/>
              <w:ind w:left="0" w:right="113"/>
              <w:jc w:val="right"/>
              <w:rPr>
                <w:sz w:val="18"/>
                <w:szCs w:val="18"/>
              </w:rPr>
            </w:pPr>
            <w:r w:rsidRPr="006629A0">
              <w:rPr>
                <w:sz w:val="18"/>
                <w:szCs w:val="18"/>
              </w:rPr>
              <w:t>2</w:t>
            </w:r>
          </w:p>
        </w:tc>
        <w:tc>
          <w:tcPr>
            <w:tcW w:w="290" w:type="pct"/>
            <w:shd w:val="clear" w:color="auto" w:fill="auto"/>
            <w:vAlign w:val="center"/>
          </w:tcPr>
          <w:p w:rsidR="00B12599" w:rsidRPr="006629A0" w:rsidRDefault="00B12599" w:rsidP="00A601F3">
            <w:pPr>
              <w:pStyle w:val="SingleTxtG"/>
              <w:spacing w:before="40" w:after="40"/>
              <w:ind w:left="0" w:right="113"/>
              <w:jc w:val="right"/>
              <w:rPr>
                <w:sz w:val="18"/>
                <w:szCs w:val="18"/>
              </w:rPr>
            </w:pPr>
            <w:r w:rsidRPr="006629A0">
              <w:rPr>
                <w:sz w:val="18"/>
                <w:szCs w:val="18"/>
              </w:rPr>
              <w:t>1</w:t>
            </w:r>
          </w:p>
        </w:tc>
        <w:tc>
          <w:tcPr>
            <w:tcW w:w="290" w:type="pct"/>
            <w:vAlign w:val="center"/>
          </w:tcPr>
          <w:p w:rsidR="00B12599" w:rsidRPr="006629A0" w:rsidRDefault="00B12599" w:rsidP="00A601F3">
            <w:pPr>
              <w:pStyle w:val="SingleTxtG"/>
              <w:spacing w:before="40" w:after="40"/>
              <w:ind w:left="0" w:right="113"/>
              <w:jc w:val="right"/>
              <w:rPr>
                <w:sz w:val="18"/>
                <w:szCs w:val="18"/>
              </w:rPr>
            </w:pPr>
            <w:r w:rsidRPr="006629A0">
              <w:rPr>
                <w:sz w:val="18"/>
                <w:szCs w:val="18"/>
              </w:rPr>
              <w:t>31</w:t>
            </w:r>
          </w:p>
        </w:tc>
        <w:tc>
          <w:tcPr>
            <w:tcW w:w="290" w:type="pct"/>
            <w:shd w:val="clear" w:color="auto" w:fill="auto"/>
            <w:vAlign w:val="center"/>
          </w:tcPr>
          <w:p w:rsidR="00B12599" w:rsidRPr="006629A0" w:rsidRDefault="00B12599" w:rsidP="00A601F3">
            <w:pPr>
              <w:pStyle w:val="SingleTxtG"/>
              <w:spacing w:before="40" w:after="40"/>
              <w:ind w:left="0" w:right="113"/>
              <w:jc w:val="right"/>
              <w:rPr>
                <w:sz w:val="18"/>
                <w:szCs w:val="18"/>
              </w:rPr>
            </w:pPr>
            <w:r w:rsidRPr="006629A0">
              <w:rPr>
                <w:sz w:val="18"/>
                <w:szCs w:val="18"/>
              </w:rPr>
              <w:t>1</w:t>
            </w:r>
          </w:p>
        </w:tc>
        <w:tc>
          <w:tcPr>
            <w:tcW w:w="292" w:type="pct"/>
            <w:vAlign w:val="center"/>
          </w:tcPr>
          <w:p w:rsidR="00B12599" w:rsidRPr="006629A0" w:rsidRDefault="00B12599" w:rsidP="00A601F3">
            <w:pPr>
              <w:pStyle w:val="SingleTxtG"/>
              <w:spacing w:before="40" w:after="40"/>
              <w:ind w:left="0" w:right="113"/>
              <w:jc w:val="right"/>
              <w:rPr>
                <w:sz w:val="18"/>
                <w:szCs w:val="18"/>
              </w:rPr>
            </w:pPr>
            <w:r w:rsidRPr="006629A0">
              <w:rPr>
                <w:sz w:val="18"/>
                <w:szCs w:val="18"/>
              </w:rPr>
              <w:t>—</w:t>
            </w:r>
          </w:p>
        </w:tc>
        <w:tc>
          <w:tcPr>
            <w:tcW w:w="349" w:type="pct"/>
            <w:shd w:val="clear" w:color="auto" w:fill="auto"/>
            <w:vAlign w:val="center"/>
          </w:tcPr>
          <w:p w:rsidR="00B12599" w:rsidRPr="006629A0" w:rsidRDefault="00B12599" w:rsidP="00A601F3">
            <w:pPr>
              <w:pStyle w:val="SingleTxtG"/>
              <w:spacing w:before="40" w:after="40"/>
              <w:ind w:left="0" w:right="113"/>
              <w:jc w:val="right"/>
              <w:rPr>
                <w:sz w:val="18"/>
                <w:szCs w:val="18"/>
              </w:rPr>
            </w:pPr>
            <w:r w:rsidRPr="006629A0">
              <w:rPr>
                <w:sz w:val="18"/>
                <w:szCs w:val="18"/>
              </w:rPr>
              <w:t>86</w:t>
            </w:r>
          </w:p>
        </w:tc>
      </w:tr>
      <w:tr w:rsidR="006629A0" w:rsidRPr="006629A0" w:rsidTr="006629A0">
        <w:trPr>
          <w:trHeight w:val="360"/>
          <w:jc w:val="center"/>
        </w:trPr>
        <w:tc>
          <w:tcPr>
            <w:tcW w:w="480" w:type="pct"/>
            <w:tcBorders>
              <w:bottom w:val="nil"/>
            </w:tcBorders>
            <w:shd w:val="clear" w:color="auto" w:fill="auto"/>
          </w:tcPr>
          <w:p w:rsidR="00B12599" w:rsidRPr="006629A0" w:rsidRDefault="00B12599" w:rsidP="00A601F3">
            <w:pPr>
              <w:pStyle w:val="SingleTxtG"/>
              <w:spacing w:before="40" w:after="40"/>
              <w:ind w:left="0" w:right="113"/>
              <w:jc w:val="left"/>
              <w:rPr>
                <w:sz w:val="18"/>
                <w:szCs w:val="18"/>
              </w:rPr>
            </w:pPr>
            <w:r w:rsidRPr="006629A0">
              <w:rPr>
                <w:sz w:val="18"/>
                <w:szCs w:val="18"/>
              </w:rPr>
              <w:t>2018</w:t>
            </w:r>
          </w:p>
        </w:tc>
        <w:tc>
          <w:tcPr>
            <w:tcW w:w="288" w:type="pct"/>
            <w:tcBorders>
              <w:bottom w:val="nil"/>
            </w:tcBorders>
            <w:shd w:val="clear" w:color="auto" w:fill="auto"/>
            <w:vAlign w:val="center"/>
          </w:tcPr>
          <w:p w:rsidR="00B12599" w:rsidRPr="006629A0" w:rsidRDefault="00B12599" w:rsidP="00A601F3">
            <w:pPr>
              <w:pStyle w:val="SingleTxtG"/>
              <w:spacing w:before="40" w:after="40"/>
              <w:ind w:left="0" w:right="113"/>
              <w:jc w:val="right"/>
              <w:rPr>
                <w:sz w:val="18"/>
                <w:szCs w:val="18"/>
              </w:rPr>
            </w:pPr>
            <w:r w:rsidRPr="006629A0">
              <w:rPr>
                <w:sz w:val="18"/>
                <w:szCs w:val="18"/>
              </w:rPr>
              <w:t>—</w:t>
            </w:r>
          </w:p>
        </w:tc>
        <w:tc>
          <w:tcPr>
            <w:tcW w:w="288" w:type="pct"/>
            <w:tcBorders>
              <w:bottom w:val="nil"/>
            </w:tcBorders>
            <w:shd w:val="clear" w:color="auto" w:fill="auto"/>
            <w:vAlign w:val="center"/>
          </w:tcPr>
          <w:p w:rsidR="00B12599" w:rsidRPr="006629A0" w:rsidRDefault="00B12599" w:rsidP="00A601F3">
            <w:pPr>
              <w:pStyle w:val="SingleTxtG"/>
              <w:spacing w:before="40" w:after="40"/>
              <w:ind w:left="0" w:right="113"/>
              <w:jc w:val="right"/>
              <w:rPr>
                <w:sz w:val="18"/>
                <w:szCs w:val="18"/>
              </w:rPr>
            </w:pPr>
            <w:r w:rsidRPr="006629A0">
              <w:rPr>
                <w:sz w:val="18"/>
                <w:szCs w:val="18"/>
              </w:rPr>
              <w:t>—</w:t>
            </w:r>
          </w:p>
        </w:tc>
        <w:tc>
          <w:tcPr>
            <w:tcW w:w="288" w:type="pct"/>
            <w:tcBorders>
              <w:bottom w:val="nil"/>
            </w:tcBorders>
            <w:shd w:val="clear" w:color="auto" w:fill="auto"/>
            <w:vAlign w:val="center"/>
          </w:tcPr>
          <w:p w:rsidR="00B12599" w:rsidRPr="006629A0" w:rsidRDefault="00B12599" w:rsidP="00A601F3">
            <w:pPr>
              <w:pStyle w:val="SingleTxtG"/>
              <w:spacing w:before="40" w:after="40"/>
              <w:ind w:left="0" w:right="113"/>
              <w:jc w:val="right"/>
              <w:rPr>
                <w:sz w:val="18"/>
                <w:szCs w:val="18"/>
              </w:rPr>
            </w:pPr>
            <w:r w:rsidRPr="006629A0">
              <w:rPr>
                <w:sz w:val="18"/>
                <w:szCs w:val="18"/>
              </w:rPr>
              <w:t>—</w:t>
            </w:r>
          </w:p>
        </w:tc>
        <w:tc>
          <w:tcPr>
            <w:tcW w:w="288" w:type="pct"/>
            <w:tcBorders>
              <w:bottom w:val="nil"/>
            </w:tcBorders>
            <w:shd w:val="clear" w:color="auto" w:fill="auto"/>
            <w:vAlign w:val="center"/>
          </w:tcPr>
          <w:p w:rsidR="00B12599" w:rsidRPr="006629A0" w:rsidRDefault="00B12599" w:rsidP="00A601F3">
            <w:pPr>
              <w:pStyle w:val="SingleTxtG"/>
              <w:spacing w:before="40" w:after="40"/>
              <w:ind w:left="0" w:right="113"/>
              <w:jc w:val="right"/>
              <w:rPr>
                <w:sz w:val="18"/>
                <w:szCs w:val="18"/>
              </w:rPr>
            </w:pPr>
            <w:r w:rsidRPr="006629A0">
              <w:rPr>
                <w:sz w:val="18"/>
                <w:szCs w:val="18"/>
              </w:rPr>
              <w:t>—</w:t>
            </w:r>
          </w:p>
        </w:tc>
        <w:tc>
          <w:tcPr>
            <w:tcW w:w="240" w:type="pct"/>
            <w:tcBorders>
              <w:bottom w:val="nil"/>
            </w:tcBorders>
            <w:shd w:val="clear" w:color="auto" w:fill="auto"/>
            <w:vAlign w:val="center"/>
          </w:tcPr>
          <w:p w:rsidR="00B12599" w:rsidRPr="006629A0" w:rsidRDefault="00B12599" w:rsidP="00A601F3">
            <w:pPr>
              <w:pStyle w:val="SingleTxtG"/>
              <w:spacing w:before="40" w:after="40"/>
              <w:ind w:left="0" w:right="113"/>
              <w:jc w:val="right"/>
              <w:rPr>
                <w:sz w:val="18"/>
                <w:szCs w:val="18"/>
              </w:rPr>
            </w:pPr>
            <w:r w:rsidRPr="006629A0">
              <w:rPr>
                <w:sz w:val="18"/>
                <w:szCs w:val="18"/>
              </w:rPr>
              <w:t>9</w:t>
            </w:r>
          </w:p>
        </w:tc>
        <w:tc>
          <w:tcPr>
            <w:tcW w:w="288" w:type="pct"/>
            <w:tcBorders>
              <w:bottom w:val="nil"/>
            </w:tcBorders>
            <w:vAlign w:val="center"/>
          </w:tcPr>
          <w:p w:rsidR="00B12599" w:rsidRPr="006629A0" w:rsidRDefault="00B12599" w:rsidP="00A601F3">
            <w:pPr>
              <w:pStyle w:val="SingleTxtG"/>
              <w:spacing w:before="40" w:after="40"/>
              <w:ind w:left="0" w:right="113"/>
              <w:jc w:val="right"/>
              <w:rPr>
                <w:sz w:val="18"/>
                <w:szCs w:val="18"/>
              </w:rPr>
            </w:pPr>
            <w:r w:rsidRPr="006629A0">
              <w:rPr>
                <w:sz w:val="18"/>
                <w:szCs w:val="18"/>
              </w:rPr>
              <w:t>1</w:t>
            </w:r>
          </w:p>
        </w:tc>
        <w:tc>
          <w:tcPr>
            <w:tcW w:w="288" w:type="pct"/>
            <w:tcBorders>
              <w:bottom w:val="nil"/>
            </w:tcBorders>
            <w:shd w:val="clear" w:color="auto" w:fill="auto"/>
            <w:vAlign w:val="center"/>
          </w:tcPr>
          <w:p w:rsidR="00B12599" w:rsidRPr="006629A0" w:rsidRDefault="00B12599" w:rsidP="00A601F3">
            <w:pPr>
              <w:pStyle w:val="SingleTxtG"/>
              <w:spacing w:before="40" w:after="40"/>
              <w:ind w:left="0" w:right="113"/>
              <w:jc w:val="right"/>
              <w:rPr>
                <w:sz w:val="18"/>
                <w:szCs w:val="18"/>
              </w:rPr>
            </w:pPr>
            <w:r w:rsidRPr="006629A0">
              <w:rPr>
                <w:sz w:val="18"/>
                <w:szCs w:val="18"/>
              </w:rPr>
              <w:t>14</w:t>
            </w:r>
          </w:p>
        </w:tc>
        <w:tc>
          <w:tcPr>
            <w:tcW w:w="288" w:type="pct"/>
            <w:tcBorders>
              <w:bottom w:val="nil"/>
            </w:tcBorders>
            <w:shd w:val="clear" w:color="auto" w:fill="auto"/>
            <w:vAlign w:val="center"/>
          </w:tcPr>
          <w:p w:rsidR="00B12599" w:rsidRPr="006629A0" w:rsidRDefault="00B12599" w:rsidP="00A601F3">
            <w:pPr>
              <w:pStyle w:val="SingleTxtG"/>
              <w:spacing w:before="40" w:after="40"/>
              <w:ind w:left="0" w:right="113"/>
              <w:jc w:val="right"/>
              <w:rPr>
                <w:sz w:val="18"/>
                <w:szCs w:val="18"/>
              </w:rPr>
            </w:pPr>
            <w:r w:rsidRPr="006629A0">
              <w:rPr>
                <w:sz w:val="18"/>
                <w:szCs w:val="18"/>
              </w:rPr>
              <w:t>50</w:t>
            </w:r>
          </w:p>
        </w:tc>
        <w:tc>
          <w:tcPr>
            <w:tcW w:w="288" w:type="pct"/>
            <w:tcBorders>
              <w:bottom w:val="nil"/>
            </w:tcBorders>
            <w:shd w:val="clear" w:color="auto" w:fill="auto"/>
            <w:vAlign w:val="center"/>
          </w:tcPr>
          <w:p w:rsidR="00B12599" w:rsidRPr="006629A0" w:rsidRDefault="00B12599" w:rsidP="00A601F3">
            <w:pPr>
              <w:pStyle w:val="SingleTxtG"/>
              <w:spacing w:before="40" w:after="40"/>
              <w:ind w:left="0" w:right="113"/>
              <w:jc w:val="right"/>
              <w:rPr>
                <w:sz w:val="18"/>
                <w:szCs w:val="18"/>
              </w:rPr>
            </w:pPr>
            <w:r w:rsidRPr="006629A0">
              <w:rPr>
                <w:sz w:val="18"/>
                <w:szCs w:val="18"/>
              </w:rPr>
              <w:t>—</w:t>
            </w:r>
          </w:p>
        </w:tc>
        <w:tc>
          <w:tcPr>
            <w:tcW w:w="288" w:type="pct"/>
            <w:tcBorders>
              <w:bottom w:val="nil"/>
            </w:tcBorders>
          </w:tcPr>
          <w:p w:rsidR="00B12599" w:rsidRPr="006629A0" w:rsidRDefault="00B12599" w:rsidP="00A601F3">
            <w:pPr>
              <w:pStyle w:val="SingleTxtG"/>
              <w:spacing w:before="40" w:after="40"/>
              <w:ind w:left="0" w:right="113"/>
              <w:jc w:val="center"/>
              <w:rPr>
                <w:sz w:val="18"/>
                <w:szCs w:val="18"/>
              </w:rPr>
            </w:pPr>
            <w:r w:rsidRPr="006629A0">
              <w:rPr>
                <w:sz w:val="18"/>
                <w:szCs w:val="18"/>
              </w:rPr>
              <w:t>—</w:t>
            </w:r>
          </w:p>
        </w:tc>
        <w:tc>
          <w:tcPr>
            <w:tcW w:w="175" w:type="pct"/>
            <w:tcBorders>
              <w:bottom w:val="nil"/>
            </w:tcBorders>
            <w:shd w:val="clear" w:color="auto" w:fill="auto"/>
            <w:vAlign w:val="center"/>
          </w:tcPr>
          <w:p w:rsidR="00B12599" w:rsidRPr="006629A0" w:rsidRDefault="00B12599" w:rsidP="00A601F3">
            <w:pPr>
              <w:pStyle w:val="SingleTxtG"/>
              <w:spacing w:before="40" w:after="40"/>
              <w:ind w:left="0" w:right="113"/>
              <w:jc w:val="right"/>
              <w:rPr>
                <w:sz w:val="18"/>
                <w:szCs w:val="18"/>
              </w:rPr>
            </w:pPr>
            <w:r w:rsidRPr="006629A0">
              <w:rPr>
                <w:sz w:val="18"/>
                <w:szCs w:val="18"/>
              </w:rPr>
              <w:t>—</w:t>
            </w:r>
          </w:p>
        </w:tc>
        <w:tc>
          <w:tcPr>
            <w:tcW w:w="290" w:type="pct"/>
            <w:tcBorders>
              <w:bottom w:val="nil"/>
            </w:tcBorders>
            <w:shd w:val="clear" w:color="auto" w:fill="auto"/>
            <w:vAlign w:val="center"/>
          </w:tcPr>
          <w:p w:rsidR="00B12599" w:rsidRPr="006629A0" w:rsidRDefault="00B12599" w:rsidP="00A601F3">
            <w:pPr>
              <w:pStyle w:val="SingleTxtG"/>
              <w:spacing w:before="40" w:after="40"/>
              <w:ind w:left="0" w:right="113"/>
              <w:jc w:val="right"/>
              <w:rPr>
                <w:sz w:val="18"/>
                <w:szCs w:val="18"/>
              </w:rPr>
            </w:pPr>
            <w:r w:rsidRPr="006629A0">
              <w:rPr>
                <w:sz w:val="18"/>
                <w:szCs w:val="18"/>
              </w:rPr>
              <w:t>—</w:t>
            </w:r>
          </w:p>
        </w:tc>
        <w:tc>
          <w:tcPr>
            <w:tcW w:w="290" w:type="pct"/>
            <w:tcBorders>
              <w:bottom w:val="nil"/>
            </w:tcBorders>
            <w:vAlign w:val="center"/>
          </w:tcPr>
          <w:p w:rsidR="00B12599" w:rsidRPr="006629A0" w:rsidRDefault="00B12599" w:rsidP="00A601F3">
            <w:pPr>
              <w:pStyle w:val="SingleTxtG"/>
              <w:spacing w:before="40" w:after="40"/>
              <w:ind w:left="0" w:right="113"/>
              <w:jc w:val="right"/>
              <w:rPr>
                <w:sz w:val="18"/>
                <w:szCs w:val="18"/>
              </w:rPr>
            </w:pPr>
            <w:r w:rsidRPr="006629A0">
              <w:rPr>
                <w:sz w:val="18"/>
                <w:szCs w:val="18"/>
              </w:rPr>
              <w:t>42</w:t>
            </w:r>
          </w:p>
        </w:tc>
        <w:tc>
          <w:tcPr>
            <w:tcW w:w="290" w:type="pct"/>
            <w:tcBorders>
              <w:bottom w:val="nil"/>
            </w:tcBorders>
            <w:shd w:val="clear" w:color="auto" w:fill="auto"/>
            <w:vAlign w:val="center"/>
          </w:tcPr>
          <w:p w:rsidR="00B12599" w:rsidRPr="006629A0" w:rsidRDefault="00B12599" w:rsidP="00A601F3">
            <w:pPr>
              <w:pStyle w:val="SingleTxtG"/>
              <w:spacing w:before="40" w:after="40"/>
              <w:ind w:left="0" w:right="113"/>
              <w:jc w:val="right"/>
              <w:rPr>
                <w:sz w:val="18"/>
                <w:szCs w:val="18"/>
              </w:rPr>
            </w:pPr>
            <w:r w:rsidRPr="006629A0">
              <w:rPr>
                <w:sz w:val="18"/>
                <w:szCs w:val="18"/>
              </w:rPr>
              <w:t>—</w:t>
            </w:r>
          </w:p>
        </w:tc>
        <w:tc>
          <w:tcPr>
            <w:tcW w:w="292" w:type="pct"/>
            <w:tcBorders>
              <w:bottom w:val="nil"/>
            </w:tcBorders>
            <w:vAlign w:val="center"/>
          </w:tcPr>
          <w:p w:rsidR="00B12599" w:rsidRPr="006629A0" w:rsidRDefault="00B12599" w:rsidP="00A601F3">
            <w:pPr>
              <w:pStyle w:val="SingleTxtG"/>
              <w:spacing w:before="40" w:after="40"/>
              <w:ind w:left="0" w:right="113"/>
              <w:jc w:val="right"/>
              <w:rPr>
                <w:sz w:val="18"/>
                <w:szCs w:val="18"/>
              </w:rPr>
            </w:pPr>
            <w:r w:rsidRPr="006629A0">
              <w:rPr>
                <w:sz w:val="18"/>
                <w:szCs w:val="18"/>
              </w:rPr>
              <w:t>2</w:t>
            </w:r>
          </w:p>
        </w:tc>
        <w:tc>
          <w:tcPr>
            <w:tcW w:w="349" w:type="pct"/>
            <w:tcBorders>
              <w:bottom w:val="nil"/>
            </w:tcBorders>
            <w:shd w:val="clear" w:color="auto" w:fill="auto"/>
            <w:vAlign w:val="center"/>
          </w:tcPr>
          <w:p w:rsidR="00B12599" w:rsidRPr="006629A0" w:rsidRDefault="00B12599" w:rsidP="00A601F3">
            <w:pPr>
              <w:pStyle w:val="SingleTxtG"/>
              <w:spacing w:before="40" w:after="40"/>
              <w:ind w:left="0" w:right="113"/>
              <w:jc w:val="right"/>
              <w:rPr>
                <w:sz w:val="18"/>
                <w:szCs w:val="18"/>
              </w:rPr>
            </w:pPr>
            <w:r w:rsidRPr="006629A0">
              <w:rPr>
                <w:sz w:val="18"/>
                <w:szCs w:val="18"/>
              </w:rPr>
              <w:t>118</w:t>
            </w:r>
          </w:p>
        </w:tc>
      </w:tr>
      <w:tr w:rsidR="006629A0" w:rsidRPr="006629A0" w:rsidTr="006629A0">
        <w:trPr>
          <w:trHeight w:val="360"/>
          <w:jc w:val="center"/>
        </w:trPr>
        <w:tc>
          <w:tcPr>
            <w:tcW w:w="480" w:type="pct"/>
            <w:tcBorders>
              <w:top w:val="nil"/>
              <w:bottom w:val="single" w:sz="4" w:space="0" w:color="auto"/>
            </w:tcBorders>
            <w:shd w:val="clear" w:color="auto" w:fill="auto"/>
          </w:tcPr>
          <w:p w:rsidR="00B12599" w:rsidRPr="006629A0" w:rsidRDefault="00B12599" w:rsidP="00A601F3">
            <w:pPr>
              <w:pStyle w:val="SingleTxtG"/>
              <w:spacing w:before="40" w:after="40"/>
              <w:ind w:left="0" w:right="113"/>
              <w:jc w:val="left"/>
              <w:rPr>
                <w:sz w:val="18"/>
                <w:szCs w:val="18"/>
              </w:rPr>
            </w:pPr>
            <w:r w:rsidRPr="006629A0">
              <w:rPr>
                <w:sz w:val="18"/>
                <w:szCs w:val="18"/>
              </w:rPr>
              <w:t>2019</w:t>
            </w:r>
            <w:r w:rsidRPr="006629A0">
              <w:rPr>
                <w:i/>
                <w:iCs/>
                <w:sz w:val="18"/>
                <w:szCs w:val="18"/>
                <w:vertAlign w:val="superscript"/>
              </w:rPr>
              <w:t>b</w:t>
            </w:r>
          </w:p>
        </w:tc>
        <w:tc>
          <w:tcPr>
            <w:tcW w:w="288" w:type="pct"/>
            <w:tcBorders>
              <w:top w:val="nil"/>
              <w:bottom w:val="single" w:sz="4" w:space="0" w:color="auto"/>
            </w:tcBorders>
            <w:shd w:val="clear" w:color="auto" w:fill="auto"/>
            <w:vAlign w:val="center"/>
          </w:tcPr>
          <w:p w:rsidR="00B12599" w:rsidRPr="006629A0" w:rsidRDefault="00B12599" w:rsidP="00A601F3">
            <w:pPr>
              <w:pStyle w:val="SingleTxtG"/>
              <w:spacing w:before="40" w:after="40"/>
              <w:ind w:left="0" w:right="113"/>
              <w:jc w:val="right"/>
              <w:rPr>
                <w:sz w:val="18"/>
                <w:szCs w:val="18"/>
              </w:rPr>
            </w:pPr>
            <w:r w:rsidRPr="006629A0">
              <w:rPr>
                <w:sz w:val="18"/>
                <w:szCs w:val="18"/>
              </w:rPr>
              <w:t>—</w:t>
            </w:r>
          </w:p>
        </w:tc>
        <w:tc>
          <w:tcPr>
            <w:tcW w:w="288" w:type="pct"/>
            <w:tcBorders>
              <w:top w:val="nil"/>
              <w:bottom w:val="single" w:sz="4" w:space="0" w:color="auto"/>
            </w:tcBorders>
            <w:shd w:val="clear" w:color="auto" w:fill="auto"/>
            <w:vAlign w:val="center"/>
          </w:tcPr>
          <w:p w:rsidR="00B12599" w:rsidRPr="006629A0" w:rsidRDefault="00B12599" w:rsidP="00A601F3">
            <w:pPr>
              <w:pStyle w:val="SingleTxtG"/>
              <w:spacing w:before="40" w:after="40"/>
              <w:ind w:left="0" w:right="113"/>
              <w:jc w:val="right"/>
              <w:rPr>
                <w:sz w:val="18"/>
                <w:szCs w:val="18"/>
              </w:rPr>
            </w:pPr>
            <w:r w:rsidRPr="006629A0">
              <w:rPr>
                <w:sz w:val="18"/>
                <w:szCs w:val="18"/>
              </w:rPr>
              <w:t>—</w:t>
            </w:r>
          </w:p>
        </w:tc>
        <w:tc>
          <w:tcPr>
            <w:tcW w:w="288" w:type="pct"/>
            <w:tcBorders>
              <w:top w:val="nil"/>
              <w:bottom w:val="single" w:sz="4" w:space="0" w:color="auto"/>
            </w:tcBorders>
            <w:shd w:val="clear" w:color="auto" w:fill="auto"/>
            <w:vAlign w:val="center"/>
          </w:tcPr>
          <w:p w:rsidR="00B12599" w:rsidRPr="006629A0" w:rsidRDefault="00B12599" w:rsidP="00A601F3">
            <w:pPr>
              <w:pStyle w:val="SingleTxtG"/>
              <w:spacing w:before="40" w:after="40"/>
              <w:ind w:left="0" w:right="113"/>
              <w:jc w:val="right"/>
              <w:rPr>
                <w:sz w:val="18"/>
                <w:szCs w:val="18"/>
              </w:rPr>
            </w:pPr>
            <w:r w:rsidRPr="006629A0">
              <w:rPr>
                <w:sz w:val="18"/>
                <w:szCs w:val="18"/>
              </w:rPr>
              <w:t>—</w:t>
            </w:r>
          </w:p>
        </w:tc>
        <w:tc>
          <w:tcPr>
            <w:tcW w:w="288" w:type="pct"/>
            <w:tcBorders>
              <w:top w:val="nil"/>
              <w:bottom w:val="single" w:sz="4" w:space="0" w:color="auto"/>
            </w:tcBorders>
            <w:shd w:val="clear" w:color="auto" w:fill="auto"/>
            <w:vAlign w:val="center"/>
          </w:tcPr>
          <w:p w:rsidR="00B12599" w:rsidRPr="006629A0" w:rsidRDefault="00B12599" w:rsidP="00A601F3">
            <w:pPr>
              <w:pStyle w:val="SingleTxtG"/>
              <w:spacing w:before="40" w:after="40"/>
              <w:ind w:left="0" w:right="113"/>
              <w:jc w:val="right"/>
              <w:rPr>
                <w:sz w:val="18"/>
                <w:szCs w:val="18"/>
              </w:rPr>
            </w:pPr>
            <w:r w:rsidRPr="006629A0">
              <w:rPr>
                <w:sz w:val="18"/>
                <w:szCs w:val="18"/>
              </w:rPr>
              <w:t>1</w:t>
            </w:r>
          </w:p>
        </w:tc>
        <w:tc>
          <w:tcPr>
            <w:tcW w:w="240" w:type="pct"/>
            <w:tcBorders>
              <w:top w:val="nil"/>
              <w:bottom w:val="single" w:sz="4" w:space="0" w:color="auto"/>
            </w:tcBorders>
            <w:shd w:val="clear" w:color="auto" w:fill="auto"/>
            <w:vAlign w:val="center"/>
          </w:tcPr>
          <w:p w:rsidR="00B12599" w:rsidRPr="006629A0" w:rsidRDefault="00B12599" w:rsidP="00A601F3">
            <w:pPr>
              <w:pStyle w:val="SingleTxtG"/>
              <w:spacing w:before="40" w:after="40"/>
              <w:ind w:left="0" w:right="113"/>
              <w:jc w:val="right"/>
              <w:rPr>
                <w:sz w:val="18"/>
                <w:szCs w:val="18"/>
              </w:rPr>
            </w:pPr>
            <w:r w:rsidRPr="006629A0">
              <w:rPr>
                <w:sz w:val="18"/>
                <w:szCs w:val="18"/>
              </w:rPr>
              <w:t>—</w:t>
            </w:r>
          </w:p>
        </w:tc>
        <w:tc>
          <w:tcPr>
            <w:tcW w:w="288" w:type="pct"/>
            <w:tcBorders>
              <w:top w:val="nil"/>
              <w:bottom w:val="single" w:sz="4" w:space="0" w:color="auto"/>
            </w:tcBorders>
            <w:vAlign w:val="center"/>
          </w:tcPr>
          <w:p w:rsidR="00B12599" w:rsidRPr="006629A0" w:rsidRDefault="00B12599" w:rsidP="00A601F3">
            <w:pPr>
              <w:pStyle w:val="SingleTxtG"/>
              <w:spacing w:before="40" w:after="40"/>
              <w:ind w:left="0" w:right="113"/>
              <w:jc w:val="right"/>
              <w:rPr>
                <w:sz w:val="18"/>
                <w:szCs w:val="18"/>
              </w:rPr>
            </w:pPr>
            <w:r w:rsidRPr="006629A0">
              <w:rPr>
                <w:sz w:val="18"/>
                <w:szCs w:val="18"/>
              </w:rPr>
              <w:t>—</w:t>
            </w:r>
          </w:p>
        </w:tc>
        <w:tc>
          <w:tcPr>
            <w:tcW w:w="288" w:type="pct"/>
            <w:tcBorders>
              <w:top w:val="nil"/>
              <w:bottom w:val="single" w:sz="4" w:space="0" w:color="auto"/>
            </w:tcBorders>
            <w:shd w:val="clear" w:color="auto" w:fill="auto"/>
            <w:vAlign w:val="center"/>
          </w:tcPr>
          <w:p w:rsidR="00B12599" w:rsidRPr="006629A0" w:rsidRDefault="00B12599" w:rsidP="00A601F3">
            <w:pPr>
              <w:pStyle w:val="SingleTxtG"/>
              <w:spacing w:before="40" w:after="40"/>
              <w:ind w:left="0" w:right="113"/>
              <w:jc w:val="right"/>
              <w:rPr>
                <w:sz w:val="18"/>
                <w:szCs w:val="18"/>
              </w:rPr>
            </w:pPr>
            <w:r w:rsidRPr="006629A0">
              <w:rPr>
                <w:sz w:val="18"/>
                <w:szCs w:val="18"/>
              </w:rPr>
              <w:t>—</w:t>
            </w:r>
          </w:p>
        </w:tc>
        <w:tc>
          <w:tcPr>
            <w:tcW w:w="288" w:type="pct"/>
            <w:tcBorders>
              <w:top w:val="nil"/>
              <w:bottom w:val="single" w:sz="4" w:space="0" w:color="auto"/>
            </w:tcBorders>
            <w:shd w:val="clear" w:color="auto" w:fill="auto"/>
            <w:vAlign w:val="center"/>
          </w:tcPr>
          <w:p w:rsidR="00B12599" w:rsidRPr="006629A0" w:rsidRDefault="00B12599" w:rsidP="00A601F3">
            <w:pPr>
              <w:pStyle w:val="SingleTxtG"/>
              <w:spacing w:before="40" w:after="40"/>
              <w:ind w:left="0" w:right="113"/>
              <w:jc w:val="right"/>
              <w:rPr>
                <w:sz w:val="18"/>
                <w:szCs w:val="18"/>
              </w:rPr>
            </w:pPr>
            <w:r w:rsidRPr="006629A0">
              <w:rPr>
                <w:sz w:val="18"/>
                <w:szCs w:val="18"/>
              </w:rPr>
              <w:t>—</w:t>
            </w:r>
          </w:p>
        </w:tc>
        <w:tc>
          <w:tcPr>
            <w:tcW w:w="288" w:type="pct"/>
            <w:tcBorders>
              <w:top w:val="nil"/>
              <w:bottom w:val="single" w:sz="4" w:space="0" w:color="auto"/>
            </w:tcBorders>
            <w:shd w:val="clear" w:color="auto" w:fill="auto"/>
            <w:vAlign w:val="center"/>
          </w:tcPr>
          <w:p w:rsidR="00B12599" w:rsidRPr="006629A0" w:rsidRDefault="00B12599" w:rsidP="00A601F3">
            <w:pPr>
              <w:pStyle w:val="SingleTxtG"/>
              <w:spacing w:before="40" w:after="40"/>
              <w:ind w:left="0" w:right="113"/>
              <w:jc w:val="right"/>
              <w:rPr>
                <w:sz w:val="18"/>
                <w:szCs w:val="18"/>
              </w:rPr>
            </w:pPr>
            <w:r w:rsidRPr="006629A0">
              <w:rPr>
                <w:sz w:val="18"/>
                <w:szCs w:val="18"/>
              </w:rPr>
              <w:t>—</w:t>
            </w:r>
          </w:p>
        </w:tc>
        <w:tc>
          <w:tcPr>
            <w:tcW w:w="288" w:type="pct"/>
            <w:tcBorders>
              <w:top w:val="nil"/>
              <w:bottom w:val="single" w:sz="4" w:space="0" w:color="auto"/>
            </w:tcBorders>
          </w:tcPr>
          <w:p w:rsidR="00B12599" w:rsidRPr="006629A0" w:rsidRDefault="00B12599" w:rsidP="00A601F3">
            <w:pPr>
              <w:pStyle w:val="SingleTxtG"/>
              <w:spacing w:before="40" w:after="40"/>
              <w:ind w:left="0" w:right="113"/>
              <w:jc w:val="center"/>
              <w:rPr>
                <w:sz w:val="18"/>
                <w:szCs w:val="18"/>
              </w:rPr>
            </w:pPr>
            <w:r w:rsidRPr="006629A0">
              <w:rPr>
                <w:sz w:val="18"/>
                <w:szCs w:val="18"/>
              </w:rPr>
              <w:t>1</w:t>
            </w:r>
          </w:p>
        </w:tc>
        <w:tc>
          <w:tcPr>
            <w:tcW w:w="175" w:type="pct"/>
            <w:tcBorders>
              <w:top w:val="nil"/>
              <w:bottom w:val="single" w:sz="4" w:space="0" w:color="auto"/>
            </w:tcBorders>
            <w:shd w:val="clear" w:color="auto" w:fill="auto"/>
            <w:vAlign w:val="center"/>
          </w:tcPr>
          <w:p w:rsidR="00B12599" w:rsidRPr="006629A0" w:rsidRDefault="00B12599" w:rsidP="00A601F3">
            <w:pPr>
              <w:pStyle w:val="SingleTxtG"/>
              <w:spacing w:before="40" w:after="40"/>
              <w:ind w:left="0" w:right="113"/>
              <w:jc w:val="right"/>
              <w:rPr>
                <w:b/>
                <w:sz w:val="18"/>
                <w:szCs w:val="18"/>
              </w:rPr>
            </w:pPr>
            <w:r w:rsidRPr="006629A0">
              <w:rPr>
                <w:sz w:val="18"/>
                <w:szCs w:val="18"/>
              </w:rPr>
              <w:t>—</w:t>
            </w:r>
          </w:p>
        </w:tc>
        <w:tc>
          <w:tcPr>
            <w:tcW w:w="290" w:type="pct"/>
            <w:tcBorders>
              <w:top w:val="nil"/>
              <w:bottom w:val="single" w:sz="4" w:space="0" w:color="auto"/>
            </w:tcBorders>
            <w:shd w:val="clear" w:color="auto" w:fill="auto"/>
            <w:vAlign w:val="center"/>
          </w:tcPr>
          <w:p w:rsidR="00B12599" w:rsidRPr="006629A0" w:rsidRDefault="00B12599" w:rsidP="00A601F3">
            <w:pPr>
              <w:pStyle w:val="SingleTxtG"/>
              <w:spacing w:before="40" w:after="40"/>
              <w:ind w:left="0" w:right="113"/>
              <w:jc w:val="right"/>
              <w:rPr>
                <w:sz w:val="18"/>
                <w:szCs w:val="18"/>
              </w:rPr>
            </w:pPr>
            <w:r w:rsidRPr="006629A0">
              <w:rPr>
                <w:sz w:val="18"/>
                <w:szCs w:val="18"/>
              </w:rPr>
              <w:t>—</w:t>
            </w:r>
          </w:p>
        </w:tc>
        <w:tc>
          <w:tcPr>
            <w:tcW w:w="290" w:type="pct"/>
            <w:tcBorders>
              <w:top w:val="nil"/>
              <w:bottom w:val="single" w:sz="4" w:space="0" w:color="auto"/>
            </w:tcBorders>
            <w:vAlign w:val="center"/>
          </w:tcPr>
          <w:p w:rsidR="00B12599" w:rsidRPr="006629A0" w:rsidRDefault="00B12599" w:rsidP="00A601F3">
            <w:pPr>
              <w:pStyle w:val="SingleTxtG"/>
              <w:spacing w:before="40" w:after="40"/>
              <w:ind w:left="0" w:right="113"/>
              <w:jc w:val="right"/>
              <w:rPr>
                <w:sz w:val="18"/>
                <w:szCs w:val="18"/>
              </w:rPr>
            </w:pPr>
            <w:r w:rsidRPr="006629A0">
              <w:rPr>
                <w:sz w:val="18"/>
                <w:szCs w:val="18"/>
              </w:rPr>
              <w:t>6</w:t>
            </w:r>
          </w:p>
        </w:tc>
        <w:tc>
          <w:tcPr>
            <w:tcW w:w="290" w:type="pct"/>
            <w:tcBorders>
              <w:top w:val="nil"/>
              <w:bottom w:val="single" w:sz="4" w:space="0" w:color="auto"/>
            </w:tcBorders>
            <w:shd w:val="clear" w:color="auto" w:fill="auto"/>
            <w:vAlign w:val="center"/>
          </w:tcPr>
          <w:p w:rsidR="00B12599" w:rsidRPr="006629A0" w:rsidRDefault="00B12599" w:rsidP="00A601F3">
            <w:pPr>
              <w:pStyle w:val="SingleTxtG"/>
              <w:spacing w:before="40" w:after="40"/>
              <w:ind w:left="0" w:right="113"/>
              <w:jc w:val="right"/>
              <w:rPr>
                <w:sz w:val="18"/>
                <w:szCs w:val="18"/>
              </w:rPr>
            </w:pPr>
            <w:r w:rsidRPr="006629A0">
              <w:rPr>
                <w:sz w:val="18"/>
                <w:szCs w:val="18"/>
              </w:rPr>
              <w:t>—</w:t>
            </w:r>
          </w:p>
        </w:tc>
        <w:tc>
          <w:tcPr>
            <w:tcW w:w="292" w:type="pct"/>
            <w:tcBorders>
              <w:top w:val="nil"/>
              <w:bottom w:val="single" w:sz="4" w:space="0" w:color="auto"/>
            </w:tcBorders>
            <w:vAlign w:val="center"/>
          </w:tcPr>
          <w:p w:rsidR="00B12599" w:rsidRPr="006629A0" w:rsidRDefault="00B12599" w:rsidP="00A601F3">
            <w:pPr>
              <w:pStyle w:val="SingleTxtG"/>
              <w:spacing w:before="40" w:after="40"/>
              <w:ind w:left="0" w:right="113"/>
              <w:jc w:val="right"/>
              <w:rPr>
                <w:sz w:val="18"/>
                <w:szCs w:val="18"/>
              </w:rPr>
            </w:pPr>
            <w:r w:rsidRPr="006629A0">
              <w:rPr>
                <w:sz w:val="18"/>
                <w:szCs w:val="18"/>
              </w:rPr>
              <w:t>—</w:t>
            </w:r>
          </w:p>
        </w:tc>
        <w:tc>
          <w:tcPr>
            <w:tcW w:w="349" w:type="pct"/>
            <w:tcBorders>
              <w:top w:val="nil"/>
              <w:bottom w:val="single" w:sz="4" w:space="0" w:color="auto"/>
            </w:tcBorders>
            <w:shd w:val="clear" w:color="auto" w:fill="auto"/>
            <w:vAlign w:val="center"/>
          </w:tcPr>
          <w:p w:rsidR="00B12599" w:rsidRPr="006629A0" w:rsidRDefault="00B12599" w:rsidP="00A601F3">
            <w:pPr>
              <w:pStyle w:val="SingleTxtG"/>
              <w:spacing w:before="40" w:after="40"/>
              <w:ind w:left="0" w:right="113"/>
              <w:jc w:val="right"/>
              <w:rPr>
                <w:sz w:val="18"/>
                <w:szCs w:val="18"/>
              </w:rPr>
            </w:pPr>
            <w:r w:rsidRPr="006629A0">
              <w:rPr>
                <w:sz w:val="18"/>
                <w:szCs w:val="18"/>
              </w:rPr>
              <w:t>8</w:t>
            </w:r>
          </w:p>
        </w:tc>
      </w:tr>
      <w:tr w:rsidR="006629A0" w:rsidRPr="00BD17B9" w:rsidTr="006629A0">
        <w:trPr>
          <w:trHeight w:val="381"/>
          <w:jc w:val="center"/>
        </w:trPr>
        <w:tc>
          <w:tcPr>
            <w:tcW w:w="480" w:type="pct"/>
            <w:tcBorders>
              <w:top w:val="single" w:sz="4" w:space="0" w:color="auto"/>
              <w:bottom w:val="single" w:sz="12" w:space="0" w:color="auto"/>
            </w:tcBorders>
            <w:shd w:val="clear" w:color="auto" w:fill="auto"/>
          </w:tcPr>
          <w:p w:rsidR="00B12599" w:rsidRPr="00BD17B9" w:rsidRDefault="00B12599" w:rsidP="00BD17B9">
            <w:pPr>
              <w:pStyle w:val="SingleTxtG"/>
              <w:suppressAutoHyphens w:val="0"/>
              <w:spacing w:before="80" w:after="80" w:line="220" w:lineRule="exact"/>
              <w:ind w:left="0" w:right="113"/>
              <w:jc w:val="right"/>
              <w:rPr>
                <w:b/>
                <w:sz w:val="18"/>
                <w:lang w:val="es-ES" w:eastAsia="es-ES"/>
              </w:rPr>
            </w:pPr>
            <w:r w:rsidRPr="00BD17B9">
              <w:rPr>
                <w:b/>
                <w:sz w:val="18"/>
                <w:lang w:val="es-ES" w:eastAsia="es-ES"/>
              </w:rPr>
              <w:t>Итого</w:t>
            </w:r>
          </w:p>
        </w:tc>
        <w:tc>
          <w:tcPr>
            <w:tcW w:w="288" w:type="pct"/>
            <w:tcBorders>
              <w:top w:val="single" w:sz="4" w:space="0" w:color="auto"/>
              <w:bottom w:val="single" w:sz="12" w:space="0" w:color="auto"/>
            </w:tcBorders>
            <w:shd w:val="clear" w:color="auto" w:fill="auto"/>
            <w:vAlign w:val="bottom"/>
          </w:tcPr>
          <w:p w:rsidR="00B12599" w:rsidRPr="00BD17B9" w:rsidRDefault="00B12599" w:rsidP="00BD17B9">
            <w:pPr>
              <w:pStyle w:val="SingleTxtG"/>
              <w:suppressAutoHyphens w:val="0"/>
              <w:spacing w:before="80" w:after="80" w:line="220" w:lineRule="exact"/>
              <w:ind w:left="0" w:right="113"/>
              <w:jc w:val="right"/>
              <w:rPr>
                <w:b/>
                <w:sz w:val="18"/>
                <w:lang w:val="es-ES" w:eastAsia="es-ES"/>
              </w:rPr>
            </w:pPr>
            <w:r w:rsidRPr="00BD17B9">
              <w:rPr>
                <w:b/>
                <w:sz w:val="18"/>
                <w:lang w:val="es-ES" w:eastAsia="es-ES"/>
              </w:rPr>
              <w:t>2</w:t>
            </w:r>
          </w:p>
        </w:tc>
        <w:tc>
          <w:tcPr>
            <w:tcW w:w="288" w:type="pct"/>
            <w:tcBorders>
              <w:top w:val="single" w:sz="4" w:space="0" w:color="auto"/>
              <w:bottom w:val="single" w:sz="12" w:space="0" w:color="auto"/>
            </w:tcBorders>
            <w:shd w:val="clear" w:color="auto" w:fill="auto"/>
            <w:vAlign w:val="bottom"/>
          </w:tcPr>
          <w:p w:rsidR="00B12599" w:rsidRPr="00BD17B9" w:rsidRDefault="00B12599" w:rsidP="00BD17B9">
            <w:pPr>
              <w:pStyle w:val="SingleTxtG"/>
              <w:suppressAutoHyphens w:val="0"/>
              <w:spacing w:before="80" w:after="80" w:line="220" w:lineRule="exact"/>
              <w:ind w:left="0" w:right="113"/>
              <w:jc w:val="right"/>
              <w:rPr>
                <w:b/>
                <w:sz w:val="18"/>
                <w:lang w:val="es-ES" w:eastAsia="es-ES"/>
              </w:rPr>
            </w:pPr>
            <w:r w:rsidRPr="00BD17B9">
              <w:rPr>
                <w:b/>
                <w:sz w:val="18"/>
                <w:lang w:val="es-ES" w:eastAsia="es-ES"/>
              </w:rPr>
              <w:t>1</w:t>
            </w:r>
          </w:p>
        </w:tc>
        <w:tc>
          <w:tcPr>
            <w:tcW w:w="288" w:type="pct"/>
            <w:tcBorders>
              <w:top w:val="single" w:sz="4" w:space="0" w:color="auto"/>
              <w:bottom w:val="single" w:sz="12" w:space="0" w:color="auto"/>
            </w:tcBorders>
            <w:shd w:val="clear" w:color="auto" w:fill="auto"/>
            <w:vAlign w:val="bottom"/>
          </w:tcPr>
          <w:p w:rsidR="00B12599" w:rsidRPr="00BD17B9" w:rsidRDefault="00B12599" w:rsidP="00BD17B9">
            <w:pPr>
              <w:pStyle w:val="SingleTxtG"/>
              <w:suppressAutoHyphens w:val="0"/>
              <w:spacing w:before="80" w:after="80" w:line="220" w:lineRule="exact"/>
              <w:ind w:left="0" w:right="113"/>
              <w:jc w:val="right"/>
              <w:rPr>
                <w:b/>
                <w:sz w:val="18"/>
                <w:lang w:val="es-ES" w:eastAsia="es-ES"/>
              </w:rPr>
            </w:pPr>
            <w:r w:rsidRPr="00BD17B9">
              <w:rPr>
                <w:b/>
                <w:sz w:val="18"/>
                <w:lang w:val="es-ES" w:eastAsia="es-ES"/>
              </w:rPr>
              <w:t>1</w:t>
            </w:r>
          </w:p>
        </w:tc>
        <w:tc>
          <w:tcPr>
            <w:tcW w:w="288" w:type="pct"/>
            <w:tcBorders>
              <w:top w:val="single" w:sz="4" w:space="0" w:color="auto"/>
              <w:bottom w:val="single" w:sz="12" w:space="0" w:color="auto"/>
            </w:tcBorders>
            <w:shd w:val="clear" w:color="auto" w:fill="auto"/>
            <w:vAlign w:val="bottom"/>
          </w:tcPr>
          <w:p w:rsidR="00B12599" w:rsidRPr="00BD17B9" w:rsidRDefault="00B12599" w:rsidP="00BD17B9">
            <w:pPr>
              <w:pStyle w:val="SingleTxtG"/>
              <w:suppressAutoHyphens w:val="0"/>
              <w:spacing w:before="80" w:after="80" w:line="220" w:lineRule="exact"/>
              <w:ind w:left="0" w:right="113"/>
              <w:jc w:val="right"/>
              <w:rPr>
                <w:b/>
                <w:sz w:val="18"/>
                <w:lang w:val="es-ES" w:eastAsia="es-ES"/>
              </w:rPr>
            </w:pPr>
            <w:r w:rsidRPr="00BD17B9">
              <w:rPr>
                <w:b/>
                <w:sz w:val="18"/>
                <w:lang w:val="es-ES" w:eastAsia="es-ES"/>
              </w:rPr>
              <w:t>2</w:t>
            </w:r>
          </w:p>
        </w:tc>
        <w:tc>
          <w:tcPr>
            <w:tcW w:w="240" w:type="pct"/>
            <w:tcBorders>
              <w:top w:val="single" w:sz="4" w:space="0" w:color="auto"/>
              <w:bottom w:val="single" w:sz="12" w:space="0" w:color="auto"/>
            </w:tcBorders>
            <w:shd w:val="clear" w:color="auto" w:fill="auto"/>
            <w:vAlign w:val="bottom"/>
          </w:tcPr>
          <w:p w:rsidR="00B12599" w:rsidRPr="00BD17B9" w:rsidRDefault="00B12599" w:rsidP="00BD17B9">
            <w:pPr>
              <w:pStyle w:val="SingleTxtG"/>
              <w:suppressAutoHyphens w:val="0"/>
              <w:spacing w:before="80" w:after="80" w:line="220" w:lineRule="exact"/>
              <w:ind w:left="0" w:right="113"/>
              <w:jc w:val="right"/>
              <w:rPr>
                <w:b/>
                <w:sz w:val="18"/>
                <w:lang w:val="es-ES" w:eastAsia="es-ES"/>
              </w:rPr>
            </w:pPr>
            <w:r w:rsidRPr="00BD17B9">
              <w:rPr>
                <w:b/>
                <w:sz w:val="18"/>
                <w:lang w:val="es-ES" w:eastAsia="es-ES"/>
              </w:rPr>
              <w:t>21</w:t>
            </w:r>
          </w:p>
        </w:tc>
        <w:tc>
          <w:tcPr>
            <w:tcW w:w="288" w:type="pct"/>
            <w:tcBorders>
              <w:top w:val="single" w:sz="4" w:space="0" w:color="auto"/>
              <w:bottom w:val="single" w:sz="12" w:space="0" w:color="auto"/>
            </w:tcBorders>
            <w:shd w:val="clear" w:color="auto" w:fill="auto"/>
          </w:tcPr>
          <w:p w:rsidR="00B12599" w:rsidRPr="00BD17B9" w:rsidRDefault="00B12599" w:rsidP="00BD17B9">
            <w:pPr>
              <w:pStyle w:val="SingleTxtG"/>
              <w:suppressAutoHyphens w:val="0"/>
              <w:spacing w:before="80" w:after="80" w:line="220" w:lineRule="exact"/>
              <w:ind w:left="0" w:right="113"/>
              <w:jc w:val="right"/>
              <w:rPr>
                <w:b/>
                <w:sz w:val="18"/>
                <w:lang w:val="es-ES" w:eastAsia="es-ES"/>
              </w:rPr>
            </w:pPr>
            <w:r w:rsidRPr="00BD17B9">
              <w:rPr>
                <w:b/>
                <w:sz w:val="18"/>
                <w:lang w:val="es-ES" w:eastAsia="es-ES"/>
              </w:rPr>
              <w:t>1</w:t>
            </w:r>
          </w:p>
        </w:tc>
        <w:tc>
          <w:tcPr>
            <w:tcW w:w="288" w:type="pct"/>
            <w:tcBorders>
              <w:top w:val="single" w:sz="4" w:space="0" w:color="auto"/>
              <w:bottom w:val="single" w:sz="12" w:space="0" w:color="auto"/>
            </w:tcBorders>
            <w:shd w:val="clear" w:color="auto" w:fill="auto"/>
            <w:vAlign w:val="bottom"/>
          </w:tcPr>
          <w:p w:rsidR="00B12599" w:rsidRPr="00BD17B9" w:rsidRDefault="00B12599" w:rsidP="00BD17B9">
            <w:pPr>
              <w:pStyle w:val="SingleTxtG"/>
              <w:suppressAutoHyphens w:val="0"/>
              <w:spacing w:before="80" w:after="80" w:line="220" w:lineRule="exact"/>
              <w:ind w:left="0" w:right="113"/>
              <w:jc w:val="right"/>
              <w:rPr>
                <w:b/>
                <w:sz w:val="18"/>
                <w:lang w:val="es-ES" w:eastAsia="es-ES"/>
              </w:rPr>
            </w:pPr>
            <w:r w:rsidRPr="00BD17B9">
              <w:rPr>
                <w:b/>
                <w:sz w:val="18"/>
                <w:lang w:val="es-ES" w:eastAsia="es-ES"/>
              </w:rPr>
              <w:t>14</w:t>
            </w:r>
          </w:p>
        </w:tc>
        <w:tc>
          <w:tcPr>
            <w:tcW w:w="288" w:type="pct"/>
            <w:tcBorders>
              <w:top w:val="single" w:sz="4" w:space="0" w:color="auto"/>
              <w:bottom w:val="single" w:sz="12" w:space="0" w:color="auto"/>
            </w:tcBorders>
            <w:shd w:val="clear" w:color="auto" w:fill="auto"/>
            <w:vAlign w:val="bottom"/>
          </w:tcPr>
          <w:p w:rsidR="00B12599" w:rsidRPr="00BD17B9" w:rsidRDefault="00B12599" w:rsidP="00BD17B9">
            <w:pPr>
              <w:pStyle w:val="SingleTxtG"/>
              <w:suppressAutoHyphens w:val="0"/>
              <w:spacing w:before="80" w:after="80" w:line="220" w:lineRule="exact"/>
              <w:ind w:left="0" w:right="113"/>
              <w:jc w:val="right"/>
              <w:rPr>
                <w:b/>
                <w:sz w:val="18"/>
                <w:lang w:val="es-ES" w:eastAsia="es-ES"/>
              </w:rPr>
            </w:pPr>
            <w:r w:rsidRPr="00BD17B9">
              <w:rPr>
                <w:b/>
                <w:sz w:val="18"/>
                <w:lang w:val="es-ES" w:eastAsia="es-ES"/>
              </w:rPr>
              <w:t>162</w:t>
            </w:r>
          </w:p>
        </w:tc>
        <w:tc>
          <w:tcPr>
            <w:tcW w:w="288" w:type="pct"/>
            <w:tcBorders>
              <w:top w:val="single" w:sz="4" w:space="0" w:color="auto"/>
              <w:bottom w:val="single" w:sz="12" w:space="0" w:color="auto"/>
            </w:tcBorders>
            <w:shd w:val="clear" w:color="auto" w:fill="auto"/>
            <w:vAlign w:val="bottom"/>
          </w:tcPr>
          <w:p w:rsidR="00B12599" w:rsidRPr="00BD17B9" w:rsidRDefault="00B12599" w:rsidP="00BD17B9">
            <w:pPr>
              <w:pStyle w:val="SingleTxtG"/>
              <w:suppressAutoHyphens w:val="0"/>
              <w:spacing w:before="80" w:after="80" w:line="220" w:lineRule="exact"/>
              <w:ind w:left="0" w:right="113"/>
              <w:jc w:val="right"/>
              <w:rPr>
                <w:b/>
                <w:sz w:val="18"/>
                <w:lang w:val="es-ES" w:eastAsia="es-ES"/>
              </w:rPr>
            </w:pPr>
            <w:r w:rsidRPr="00BD17B9">
              <w:rPr>
                <w:b/>
                <w:sz w:val="18"/>
                <w:lang w:val="es-ES" w:eastAsia="es-ES"/>
              </w:rPr>
              <w:t>2</w:t>
            </w:r>
          </w:p>
        </w:tc>
        <w:tc>
          <w:tcPr>
            <w:tcW w:w="288" w:type="pct"/>
            <w:tcBorders>
              <w:top w:val="single" w:sz="4" w:space="0" w:color="auto"/>
              <w:bottom w:val="single" w:sz="12" w:space="0" w:color="auto"/>
            </w:tcBorders>
            <w:shd w:val="clear" w:color="auto" w:fill="auto"/>
          </w:tcPr>
          <w:p w:rsidR="00B12599" w:rsidRPr="00BD17B9" w:rsidRDefault="00B12599" w:rsidP="00BD17B9">
            <w:pPr>
              <w:pStyle w:val="SingleTxtG"/>
              <w:suppressAutoHyphens w:val="0"/>
              <w:spacing w:before="80" w:after="80" w:line="220" w:lineRule="exact"/>
              <w:ind w:left="0" w:right="113"/>
              <w:jc w:val="right"/>
              <w:rPr>
                <w:b/>
                <w:sz w:val="18"/>
                <w:lang w:val="es-ES" w:eastAsia="es-ES"/>
              </w:rPr>
            </w:pPr>
            <w:r w:rsidRPr="00BD17B9">
              <w:rPr>
                <w:b/>
                <w:sz w:val="18"/>
                <w:lang w:val="es-ES" w:eastAsia="es-ES"/>
              </w:rPr>
              <w:t>1</w:t>
            </w:r>
          </w:p>
        </w:tc>
        <w:tc>
          <w:tcPr>
            <w:tcW w:w="175" w:type="pct"/>
            <w:tcBorders>
              <w:top w:val="single" w:sz="4" w:space="0" w:color="auto"/>
              <w:bottom w:val="single" w:sz="12" w:space="0" w:color="auto"/>
            </w:tcBorders>
            <w:shd w:val="clear" w:color="auto" w:fill="auto"/>
            <w:vAlign w:val="bottom"/>
          </w:tcPr>
          <w:p w:rsidR="00B12599" w:rsidRPr="00BD17B9" w:rsidRDefault="00B12599" w:rsidP="00BD17B9">
            <w:pPr>
              <w:pStyle w:val="SingleTxtG"/>
              <w:suppressAutoHyphens w:val="0"/>
              <w:spacing w:before="80" w:after="80" w:line="220" w:lineRule="exact"/>
              <w:ind w:left="0" w:right="113"/>
              <w:jc w:val="right"/>
              <w:rPr>
                <w:b/>
                <w:sz w:val="18"/>
                <w:lang w:val="es-ES" w:eastAsia="es-ES"/>
              </w:rPr>
            </w:pPr>
            <w:r w:rsidRPr="00BD17B9">
              <w:rPr>
                <w:b/>
                <w:sz w:val="18"/>
                <w:lang w:val="es-ES" w:eastAsia="es-ES"/>
              </w:rPr>
              <w:t>3</w:t>
            </w:r>
          </w:p>
        </w:tc>
        <w:tc>
          <w:tcPr>
            <w:tcW w:w="290" w:type="pct"/>
            <w:tcBorders>
              <w:top w:val="single" w:sz="4" w:space="0" w:color="auto"/>
              <w:bottom w:val="single" w:sz="12" w:space="0" w:color="auto"/>
            </w:tcBorders>
            <w:shd w:val="clear" w:color="auto" w:fill="auto"/>
            <w:vAlign w:val="bottom"/>
          </w:tcPr>
          <w:p w:rsidR="00B12599" w:rsidRPr="00BD17B9" w:rsidRDefault="00B12599" w:rsidP="00BD17B9">
            <w:pPr>
              <w:pStyle w:val="SingleTxtG"/>
              <w:suppressAutoHyphens w:val="0"/>
              <w:spacing w:before="80" w:after="80" w:line="220" w:lineRule="exact"/>
              <w:ind w:left="0" w:right="113"/>
              <w:jc w:val="right"/>
              <w:rPr>
                <w:b/>
                <w:sz w:val="18"/>
                <w:lang w:val="es-ES" w:eastAsia="es-ES"/>
              </w:rPr>
            </w:pPr>
            <w:r w:rsidRPr="00BD17B9">
              <w:rPr>
                <w:b/>
                <w:sz w:val="18"/>
                <w:lang w:val="es-ES" w:eastAsia="es-ES"/>
              </w:rPr>
              <w:t>1</w:t>
            </w:r>
          </w:p>
        </w:tc>
        <w:tc>
          <w:tcPr>
            <w:tcW w:w="290" w:type="pct"/>
            <w:tcBorders>
              <w:top w:val="single" w:sz="4" w:space="0" w:color="auto"/>
              <w:bottom w:val="single" w:sz="12" w:space="0" w:color="auto"/>
            </w:tcBorders>
            <w:shd w:val="clear" w:color="auto" w:fill="auto"/>
            <w:vAlign w:val="bottom"/>
          </w:tcPr>
          <w:p w:rsidR="00B12599" w:rsidRPr="00BD17B9" w:rsidRDefault="00B12599" w:rsidP="00BD17B9">
            <w:pPr>
              <w:pStyle w:val="SingleTxtG"/>
              <w:suppressAutoHyphens w:val="0"/>
              <w:spacing w:before="80" w:after="80" w:line="220" w:lineRule="exact"/>
              <w:ind w:left="0" w:right="113"/>
              <w:jc w:val="right"/>
              <w:rPr>
                <w:b/>
                <w:sz w:val="18"/>
                <w:lang w:val="es-ES" w:eastAsia="es-ES"/>
              </w:rPr>
            </w:pPr>
            <w:r w:rsidRPr="00BD17B9">
              <w:rPr>
                <w:b/>
                <w:sz w:val="18"/>
                <w:lang w:val="es-ES" w:eastAsia="es-ES"/>
              </w:rPr>
              <w:t>356</w:t>
            </w:r>
          </w:p>
        </w:tc>
        <w:tc>
          <w:tcPr>
            <w:tcW w:w="290" w:type="pct"/>
            <w:tcBorders>
              <w:top w:val="single" w:sz="4" w:space="0" w:color="auto"/>
              <w:bottom w:val="single" w:sz="12" w:space="0" w:color="auto"/>
            </w:tcBorders>
            <w:shd w:val="clear" w:color="auto" w:fill="auto"/>
            <w:vAlign w:val="bottom"/>
          </w:tcPr>
          <w:p w:rsidR="00B12599" w:rsidRPr="00BD17B9" w:rsidRDefault="00B12599" w:rsidP="00BD17B9">
            <w:pPr>
              <w:pStyle w:val="SingleTxtG"/>
              <w:suppressAutoHyphens w:val="0"/>
              <w:spacing w:before="80" w:after="80" w:line="220" w:lineRule="exact"/>
              <w:ind w:left="0" w:right="113"/>
              <w:jc w:val="right"/>
              <w:rPr>
                <w:b/>
                <w:sz w:val="18"/>
                <w:lang w:val="es-ES" w:eastAsia="es-ES"/>
              </w:rPr>
            </w:pPr>
            <w:r w:rsidRPr="00BD17B9">
              <w:rPr>
                <w:b/>
                <w:sz w:val="18"/>
                <w:lang w:val="es-ES" w:eastAsia="es-ES"/>
              </w:rPr>
              <w:t>1</w:t>
            </w:r>
          </w:p>
        </w:tc>
        <w:tc>
          <w:tcPr>
            <w:tcW w:w="292" w:type="pct"/>
            <w:tcBorders>
              <w:top w:val="single" w:sz="4" w:space="0" w:color="auto"/>
              <w:bottom w:val="single" w:sz="12" w:space="0" w:color="auto"/>
            </w:tcBorders>
            <w:shd w:val="clear" w:color="auto" w:fill="auto"/>
          </w:tcPr>
          <w:p w:rsidR="00B12599" w:rsidRPr="00BD17B9" w:rsidRDefault="00B12599" w:rsidP="00BD17B9">
            <w:pPr>
              <w:pStyle w:val="SingleTxtG"/>
              <w:suppressAutoHyphens w:val="0"/>
              <w:spacing w:before="80" w:after="80" w:line="220" w:lineRule="exact"/>
              <w:ind w:left="0" w:right="113"/>
              <w:jc w:val="right"/>
              <w:rPr>
                <w:b/>
                <w:sz w:val="18"/>
                <w:lang w:val="es-ES" w:eastAsia="es-ES"/>
              </w:rPr>
            </w:pPr>
            <w:r w:rsidRPr="00BD17B9">
              <w:rPr>
                <w:b/>
                <w:sz w:val="18"/>
                <w:lang w:val="es-ES" w:eastAsia="es-ES"/>
              </w:rPr>
              <w:t>2</w:t>
            </w:r>
          </w:p>
        </w:tc>
        <w:tc>
          <w:tcPr>
            <w:tcW w:w="349" w:type="pct"/>
            <w:tcBorders>
              <w:top w:val="single" w:sz="4" w:space="0" w:color="auto"/>
              <w:bottom w:val="single" w:sz="12" w:space="0" w:color="auto"/>
            </w:tcBorders>
            <w:shd w:val="clear" w:color="auto" w:fill="auto"/>
            <w:vAlign w:val="bottom"/>
          </w:tcPr>
          <w:p w:rsidR="00B12599" w:rsidRPr="00BD17B9" w:rsidRDefault="00B12599" w:rsidP="00BD17B9">
            <w:pPr>
              <w:pStyle w:val="SingleTxtG"/>
              <w:suppressAutoHyphens w:val="0"/>
              <w:spacing w:before="80" w:after="80" w:line="220" w:lineRule="exact"/>
              <w:ind w:left="0" w:right="113"/>
              <w:jc w:val="right"/>
              <w:rPr>
                <w:b/>
                <w:sz w:val="18"/>
                <w:lang w:val="es-ES" w:eastAsia="es-ES"/>
              </w:rPr>
            </w:pPr>
            <w:r w:rsidRPr="00BD17B9">
              <w:rPr>
                <w:b/>
                <w:sz w:val="18"/>
                <w:lang w:val="es-ES" w:eastAsia="es-ES"/>
              </w:rPr>
              <w:t>570</w:t>
            </w:r>
          </w:p>
        </w:tc>
      </w:tr>
    </w:tbl>
    <w:p w:rsidR="00B12599" w:rsidRPr="006629A0" w:rsidRDefault="00B12599" w:rsidP="00D553F6">
      <w:pPr>
        <w:spacing w:before="120" w:line="220" w:lineRule="exact"/>
        <w:ind w:left="176" w:right="567"/>
        <w:rPr>
          <w:sz w:val="18"/>
          <w:szCs w:val="18"/>
        </w:rPr>
      </w:pPr>
      <w:r>
        <w:rPr>
          <w:i/>
          <w:iCs/>
          <w:vertAlign w:val="superscript"/>
        </w:rPr>
        <w:t>a</w:t>
      </w:r>
      <w:r w:rsidR="00012489">
        <w:t xml:space="preserve"> </w:t>
      </w:r>
      <w:r w:rsidR="00AA2762" w:rsidRPr="00AA2762">
        <w:t xml:space="preserve"> </w:t>
      </w:r>
      <w:r w:rsidRPr="006629A0">
        <w:rPr>
          <w:sz w:val="18"/>
          <w:szCs w:val="18"/>
        </w:rPr>
        <w:t>Просьба о принятии срочных мер № 9/2013 была подана в отношении двух лиц, поэтому она засчитывается как две просьбы о принятии срочных мер.</w:t>
      </w:r>
    </w:p>
    <w:p w:rsidR="00B12599" w:rsidRPr="006629A0" w:rsidRDefault="00B12599" w:rsidP="00510E7B">
      <w:pPr>
        <w:spacing w:after="240" w:line="220" w:lineRule="exact"/>
        <w:ind w:right="1134" w:firstLine="170"/>
        <w:rPr>
          <w:sz w:val="18"/>
          <w:szCs w:val="18"/>
        </w:rPr>
      </w:pPr>
      <w:r w:rsidRPr="006629A0">
        <w:rPr>
          <w:i/>
          <w:iCs/>
          <w:sz w:val="18"/>
          <w:szCs w:val="18"/>
          <w:vertAlign w:val="superscript"/>
        </w:rPr>
        <w:t>b</w:t>
      </w:r>
      <w:r w:rsidR="00012489">
        <w:rPr>
          <w:sz w:val="18"/>
          <w:szCs w:val="18"/>
        </w:rPr>
        <w:t xml:space="preserve"> </w:t>
      </w:r>
      <w:r w:rsidR="00AA2762" w:rsidRPr="00510E7B">
        <w:rPr>
          <w:sz w:val="18"/>
          <w:szCs w:val="18"/>
        </w:rPr>
        <w:t xml:space="preserve"> </w:t>
      </w:r>
      <w:r w:rsidRPr="006629A0">
        <w:rPr>
          <w:sz w:val="18"/>
          <w:szCs w:val="18"/>
        </w:rPr>
        <w:t>По состоянию на 4 апреля 2019 года.</w:t>
      </w:r>
    </w:p>
    <w:p w:rsidR="00B12599" w:rsidRPr="00DA6B35" w:rsidRDefault="006629A0" w:rsidP="00B12599">
      <w:pPr>
        <w:pStyle w:val="H1G"/>
      </w:pPr>
      <w:r>
        <w:rPr>
          <w:bCs/>
        </w:rPr>
        <w:tab/>
      </w:r>
      <w:r w:rsidR="00B12599">
        <w:rPr>
          <w:bCs/>
        </w:rPr>
        <w:t>C.</w:t>
      </w:r>
      <w:r w:rsidR="00B12599">
        <w:tab/>
      </w:r>
      <w:r w:rsidR="00B12599">
        <w:tab/>
      </w:r>
      <w:r w:rsidR="00B12599">
        <w:rPr>
          <w:bCs/>
        </w:rPr>
        <w:t>Последующие действия в связи с просьбами о принятии срочных мер после их регистрации: тенденции, наблюдавшиеся после пятнадцатой сессии (до 4 апреля 2019 года)</w:t>
      </w:r>
    </w:p>
    <w:p w:rsidR="00B12599" w:rsidRPr="00DA6B35" w:rsidRDefault="00B12599" w:rsidP="00B12599">
      <w:pPr>
        <w:pStyle w:val="SingleTxtG"/>
      </w:pPr>
      <w:r>
        <w:t>4.</w:t>
      </w:r>
      <w:r>
        <w:tab/>
        <w:t>Комитет продолжает поддерживать контакты с государствами-участниками через соответствующие постоянные представительства и с авторами просьб о принятии срочных мер – путем направления записок и писем от имени Комитета, а также с помощью проведения встреч или по телефону.</w:t>
      </w:r>
    </w:p>
    <w:p w:rsidR="00B12599" w:rsidRPr="00DA6B35" w:rsidRDefault="00B12599" w:rsidP="00B12599">
      <w:pPr>
        <w:pStyle w:val="SingleTxtG"/>
      </w:pPr>
      <w:r>
        <w:t>5.</w:t>
      </w:r>
      <w:r>
        <w:tab/>
        <w:t>Информация, представленная в рамках процедуры принятия срочных мер, подтверждает ряд тенденций, которые были отмечены в докладах, принятых на одиннадцатой</w:t>
      </w:r>
      <w:r w:rsidR="001C4592" w:rsidRPr="001C4592">
        <w:t>–</w:t>
      </w:r>
      <w:r>
        <w:t>пятнадцатой сессиях (CED/C/11/3, CED/C/12/2, CED/C/13/3, CED/C/14/2, CED/C/15/3). Большинство дел, по которым были зарегистрированы просьбы о принятии срочных мер, по-прежнему связаны с событиями, произошедшими в Мексике и Ираке. В период, охватываемый настоящим докладом, Комитет отметил следующие тенденции в отношении соответствующих государств-участников.</w:t>
      </w:r>
    </w:p>
    <w:p w:rsidR="00B12599" w:rsidRPr="00DA6B35" w:rsidRDefault="006629A0" w:rsidP="00B12599">
      <w:pPr>
        <w:pStyle w:val="H23G"/>
      </w:pPr>
      <w:r>
        <w:rPr>
          <w:bCs/>
        </w:rPr>
        <w:tab/>
      </w:r>
      <w:r w:rsidR="00B12599">
        <w:rPr>
          <w:bCs/>
        </w:rPr>
        <w:t>1.</w:t>
      </w:r>
      <w:r w:rsidR="00B12599">
        <w:tab/>
      </w:r>
      <w:r w:rsidR="00B12599">
        <w:tab/>
      </w:r>
      <w:r w:rsidR="00B12599">
        <w:rPr>
          <w:bCs/>
        </w:rPr>
        <w:t>Тенденции, касающиеся Мексики и Ирака</w:t>
      </w:r>
    </w:p>
    <w:p w:rsidR="00B12599" w:rsidRPr="00DA6B35" w:rsidRDefault="006629A0" w:rsidP="00B12599">
      <w:pPr>
        <w:pStyle w:val="H23G"/>
      </w:pPr>
      <w:r>
        <w:rPr>
          <w:bCs/>
        </w:rPr>
        <w:tab/>
      </w:r>
      <w:r w:rsidR="00B12599">
        <w:rPr>
          <w:bCs/>
        </w:rPr>
        <w:t>a)</w:t>
      </w:r>
      <w:r w:rsidR="00B12599">
        <w:tab/>
      </w:r>
      <w:r w:rsidR="00B12599">
        <w:tab/>
      </w:r>
      <w:r w:rsidR="00B12599">
        <w:rPr>
          <w:bCs/>
        </w:rPr>
        <w:t>Мексика</w:t>
      </w:r>
    </w:p>
    <w:p w:rsidR="00B12599" w:rsidRPr="00DA6B35" w:rsidRDefault="00B12599" w:rsidP="00B12599">
      <w:pPr>
        <w:pStyle w:val="SingleTxtG"/>
      </w:pPr>
      <w:r>
        <w:t>6.</w:t>
      </w:r>
      <w:r>
        <w:tab/>
        <w:t xml:space="preserve">Государство-участник представило ответы в связи с подавляющим большинством недавно зарегистрированных дел. Вместе с тем сроки представления ответа на последующие ноты все больше возрастали: с течением времени представляемая информация становилась все более поверхностной, а полученные ответы свидетельствовали о том, что активность розыска пропавших без вести лиц и проведения расследований сходит на нет. </w:t>
      </w:r>
    </w:p>
    <w:p w:rsidR="00B12599" w:rsidRPr="000C53FF" w:rsidRDefault="00B12599" w:rsidP="00B12599">
      <w:pPr>
        <w:pStyle w:val="SingleTxtG"/>
      </w:pPr>
      <w:r>
        <w:t>7.</w:t>
      </w:r>
      <w:r>
        <w:tab/>
        <w:t xml:space="preserve">Что касается просьб о принятии срочных мер, в связи с которыми Мексика ответила на просьбы и рекомендации Комитета, то полученная информация </w:t>
      </w:r>
      <w:r w:rsidR="001C4592">
        <w:br/>
      </w:r>
      <w:r>
        <w:t>по-прежнему свидетельствует о том, что предпринимаются спорадические</w:t>
      </w:r>
      <w:r w:rsidR="00361672">
        <w:t>, разобщенные и главным образом</w:t>
      </w:r>
      <w:r>
        <w:t xml:space="preserve"> формальные действия, которые, как представляется, не являются частью заранее разработанной стратегии расследования и розыска. </w:t>
      </w:r>
      <w:r>
        <w:lastRenderedPageBreak/>
        <w:t xml:space="preserve">Инициатива родственников, близких и представителей пропавших без вести лиц остается ключевым фактором ускорения процессов розыска и расследования. </w:t>
      </w:r>
    </w:p>
    <w:p w:rsidR="00B12599" w:rsidRPr="000C53FF" w:rsidRDefault="00B12599" w:rsidP="00B12599">
      <w:pPr>
        <w:pStyle w:val="SingleTxtG"/>
      </w:pPr>
      <w:r>
        <w:t>8.</w:t>
      </w:r>
      <w:r>
        <w:tab/>
        <w:t xml:space="preserve">В подавляющем большинстве случаев авторы подчеркивают, что отсутствие прогресса в процессах розыска и расследования приводит их в отчаяние. В этой связи они обращают внимание на непроведение расследований на местах, а также на непринятие мер по обеспечению всестороннего и полного изучения имеющихся доказательств. </w:t>
      </w:r>
    </w:p>
    <w:p w:rsidR="00B12599" w:rsidRPr="000C53FF" w:rsidRDefault="00B12599" w:rsidP="00B12599">
      <w:pPr>
        <w:pStyle w:val="SingleTxtG"/>
      </w:pPr>
      <w:r>
        <w:t>9.</w:t>
      </w:r>
      <w:r>
        <w:tab/>
        <w:t xml:space="preserve">Авторы по-прежнему часто утверждают, что органы, которые отвечают за розыск и расследование, прямо или косвенно причастны к событиям, связанным с исчезновениями, и что процессы розыска и расследования остаются в тупике. В таких случаях Комитет настаивал на важности создания механизмов обеспечения подотчетности государственных должностных лиц, отвечающих за розыск и расследование, и обращался к государству-участнику с просьбой расследовать утверждения о случаях вмешательства со стороны государственных субъектов, которое может нарушить ход процесса. </w:t>
      </w:r>
    </w:p>
    <w:p w:rsidR="00B12599" w:rsidRPr="000C53FF" w:rsidRDefault="00B12599" w:rsidP="00B12599">
      <w:pPr>
        <w:pStyle w:val="SingleTxtG"/>
      </w:pPr>
      <w:r>
        <w:t>10.</w:t>
      </w:r>
      <w:r>
        <w:tab/>
        <w:t xml:space="preserve">Комитет выражает обеспокоенность по поводу полученной информации об угрозах и запугивании членов семей пропавших без вести лиц за попытки содействовать прогрессу в расследовании фактов, связанных с насильственными исчезновениями их родственников, в частности в случаях, когда утверждается, что к насильственным исчезновениям причастны вооруженные силы. </w:t>
      </w:r>
    </w:p>
    <w:p w:rsidR="00B12599" w:rsidRPr="000C53FF" w:rsidRDefault="00B12599" w:rsidP="00B12599">
      <w:pPr>
        <w:pStyle w:val="SingleTxtG"/>
      </w:pPr>
      <w:r>
        <w:t>11.</w:t>
      </w:r>
      <w:r>
        <w:tab/>
        <w:t>В период, охватываемый настоящим докладом, была проведена встреча между Постоянном представительством Мексики и секретариатом Комитета, в ходе которой была выражена озабоченность регистрацией случаев, когда деяния, о которых шла речь, по-видимому</w:t>
      </w:r>
      <w:r w:rsidR="001C4592">
        <w:t>,</w:t>
      </w:r>
      <w:r>
        <w:t xml:space="preserve"> совершались не лицами или группами лиц, действующими с разрешения, поддержки или молчаливого согласия государства, и поэтому были не насильственными исчезновениями по смыслу статьи 2 Конвенции, а похищениями, совершенными организованными преступными группировками. В соответствии с юридической практикой Комитета в контексте срочных мер возможное участие негосударственных субъектов </w:t>
      </w:r>
      <w:r w:rsidR="00012489" w:rsidRPr="00012489">
        <w:t>–</w:t>
      </w:r>
      <w:r>
        <w:t xml:space="preserve"> даже без поддержки или молчаливого согласия представителей государства </w:t>
      </w:r>
      <w:r w:rsidR="00012489" w:rsidRPr="00012489">
        <w:t>–</w:t>
      </w:r>
      <w:r>
        <w:t xml:space="preserve"> представляется в качестве простой версии, для подтверждения или опровержения которой компетентные органы должны провести исчерпывающее расследование. Кроме того, регистрируются просьбы, когда пропавшее без вести лицо находилось в конфликте, имело напряженные отношения или какую-либо связь с госуда</w:t>
      </w:r>
      <w:r w:rsidR="001C4592">
        <w:t>рственными субъектами, что с учетом обстоятельств дела</w:t>
      </w:r>
      <w:r>
        <w:t xml:space="preserve"> позволяет предположить, что имело место насильственное исчезновение. </w:t>
      </w:r>
    </w:p>
    <w:p w:rsidR="00B12599" w:rsidRPr="000C53FF" w:rsidRDefault="006629A0" w:rsidP="00B12599">
      <w:pPr>
        <w:pStyle w:val="H23G"/>
      </w:pPr>
      <w:r>
        <w:rPr>
          <w:bCs/>
        </w:rPr>
        <w:tab/>
      </w:r>
      <w:r w:rsidR="00B12599">
        <w:rPr>
          <w:bCs/>
        </w:rPr>
        <w:t>b)</w:t>
      </w:r>
      <w:r w:rsidR="00B12599">
        <w:tab/>
      </w:r>
      <w:r w:rsidR="00B12599">
        <w:tab/>
      </w:r>
      <w:r w:rsidR="00B12599">
        <w:rPr>
          <w:bCs/>
        </w:rPr>
        <w:t>Ирак</w:t>
      </w:r>
    </w:p>
    <w:p w:rsidR="00B12599" w:rsidRPr="000C53FF" w:rsidRDefault="00B12599" w:rsidP="00B12599">
      <w:pPr>
        <w:pStyle w:val="SingleTxtG"/>
      </w:pPr>
      <w:r>
        <w:t>12.</w:t>
      </w:r>
      <w:r>
        <w:tab/>
        <w:t xml:space="preserve">Что касается просьб о принятии срочных мер, зарегистрированных в связи с событиями в Ираке, то государство-участник, несмотря на напоминания, не представило ответов относительно большинства этих дел. В связи с 15 из зарегистрированных просьб о принятии срочных мер было направлено </w:t>
      </w:r>
      <w:r w:rsidR="001C4592">
        <w:t>4</w:t>
      </w:r>
      <w:r>
        <w:t xml:space="preserve"> напоминания в отсутствие ответа от государства-участника. Что касается дел, в связи с которыми ответы были получены, то государство-участник не представило никакой информации о мерах, принятых для розыска пропавших без вести лиц и расследования их предполагаемого насильственного исчезновения. В связи с одним делом государство-участник представило информацию о том, что соответствующее лицо было обнаружено. Однако члены семьи, родственники и представители данного лица проинформировали Комитет о том, что оно так и не появилось. Ввиду вышесказанного Комитет просил государство-участник проверить представленную информацию и препроводить ему доказательства, позволяющие убедиться в том, что обнаруженное лицо является лицом, от имени которого была зарегистрирована просьба о принятии срочных мер. В связи с другими делами государство-участник представило информацию, которая не касается фактов, упомянутых в просьбе о принятии срочных мер. В этих случаях к государству-участнику направлялась просьба подтвердить представленную информацию. Иногда государство-участник просто заявляло, что пропавшее без вести лицо занесено в список лиц, разыскиваемых по причине связи с Исламским государством Ирака и Леванта. </w:t>
      </w:r>
    </w:p>
    <w:p w:rsidR="00B12599" w:rsidRPr="000C53FF" w:rsidRDefault="00B12599" w:rsidP="00B12599">
      <w:pPr>
        <w:pStyle w:val="SingleTxtG"/>
      </w:pPr>
      <w:r>
        <w:lastRenderedPageBreak/>
        <w:t>13.</w:t>
      </w:r>
      <w:r>
        <w:tab/>
        <w:t>Государство-участник подчеркнуло также, что ряд дел</w:t>
      </w:r>
      <w:r w:rsidR="001C4592">
        <w:t xml:space="preserve"> связан</w:t>
      </w:r>
      <w:r>
        <w:t xml:space="preserve"> с предполагаемым исчезновением террористов, поэтому оно не считает, что в указанных случаях речь идет о насильственных исчезновениях. В свете вышеизложенного Комитет подчеркнул важность того, чтобы в случае, если лицо содержится под стражей без связи с внешним миром и нет никакой информации о его местонахождении, оно продолжало считаться пропавшим без вести. Кроме того, он предложил государству-участнику представить ему любую информацию, которая могла бы прояснить судьбу и местонахождение лица, от имени которого была подана просьба о принятии срочных мер.</w:t>
      </w:r>
    </w:p>
    <w:p w:rsidR="00B12599" w:rsidRPr="000C53FF" w:rsidRDefault="00B12599" w:rsidP="00B12599">
      <w:pPr>
        <w:pStyle w:val="SingleTxtG"/>
        <w:rPr>
          <w:rFonts w:cs="Tahoma"/>
          <w:bCs/>
        </w:rPr>
      </w:pPr>
      <w:r>
        <w:t>14.</w:t>
      </w:r>
      <w:r>
        <w:tab/>
        <w:t xml:space="preserve">В связи с делом Хайдара Диаба Ахмеда Джасема аль-Массуди (просьба о принятии срочных мер № 560/2018) государство-участник ответило, что его пропажа не является насильственным исчезновением, поскольку нет никаких доказательств того, что данное лицо было арестовано государственным органом. С учетом имеющейся информации о возможной причастности государственных властей к аналогичным случаям Комитет подтвердил обязательство государственных органов, отвечающих за розыск и расследование, не исключать никаких версий, включая возможность насильственного исчезновения. </w:t>
      </w:r>
    </w:p>
    <w:p w:rsidR="00B12599" w:rsidRPr="000C53FF" w:rsidRDefault="006629A0" w:rsidP="00B12599">
      <w:pPr>
        <w:pStyle w:val="H23G"/>
        <w:rPr>
          <w:rFonts w:cs="Tahoma"/>
        </w:rPr>
      </w:pPr>
      <w:r>
        <w:rPr>
          <w:bCs/>
        </w:rPr>
        <w:tab/>
      </w:r>
      <w:r w:rsidR="00B12599">
        <w:rPr>
          <w:bCs/>
        </w:rPr>
        <w:t>2.</w:t>
      </w:r>
      <w:r w:rsidR="00B12599">
        <w:tab/>
      </w:r>
      <w:r w:rsidR="00B12599">
        <w:tab/>
      </w:r>
      <w:r w:rsidR="00B12599">
        <w:rPr>
          <w:bCs/>
        </w:rPr>
        <w:t>Просьбы о принятии срочных мер в адрес других государств-участников</w:t>
      </w:r>
    </w:p>
    <w:p w:rsidR="00B12599" w:rsidRPr="000C53FF" w:rsidRDefault="00B12599" w:rsidP="00B12599">
      <w:pPr>
        <w:pStyle w:val="SingleTxtG"/>
      </w:pPr>
      <w:r>
        <w:t>15.</w:t>
      </w:r>
      <w:r>
        <w:tab/>
        <w:t>Относительно просьб о принятии срочных мер в адрес других государств-участников Комитет полагает, что число зарегистрированных просьб не позволяет сделать выводов, отражающих какие-либо тенденции. Тем не менее зарегистрированные просьбы о принятии срочных мер позволяют отметить следующее.</w:t>
      </w:r>
    </w:p>
    <w:p w:rsidR="00B12599" w:rsidRPr="000C53FF" w:rsidRDefault="006629A0" w:rsidP="00B12599">
      <w:pPr>
        <w:pStyle w:val="H23G"/>
        <w:rPr>
          <w:rFonts w:cs="Tahoma"/>
          <w:bCs/>
        </w:rPr>
      </w:pPr>
      <w:r>
        <w:rPr>
          <w:bCs/>
        </w:rPr>
        <w:tab/>
      </w:r>
      <w:r w:rsidR="00B12599">
        <w:rPr>
          <w:bCs/>
        </w:rPr>
        <w:t>a)</w:t>
      </w:r>
      <w:r w:rsidR="00B12599">
        <w:tab/>
      </w:r>
      <w:r w:rsidR="00B12599">
        <w:tab/>
      </w:r>
      <w:r w:rsidR="00B12599">
        <w:rPr>
          <w:bCs/>
        </w:rPr>
        <w:t>Армения</w:t>
      </w:r>
    </w:p>
    <w:p w:rsidR="00B12599" w:rsidRPr="00B079CB" w:rsidRDefault="00B12599" w:rsidP="00B12599">
      <w:pPr>
        <w:pStyle w:val="SingleTxtG"/>
      </w:pPr>
      <w:r>
        <w:t>16.</w:t>
      </w:r>
      <w:r>
        <w:tab/>
        <w:t>Согласно информации, содержащейся в докладе, принятом на 15-й сессии, в случае Ары Хачатряна (просьба о принятии срочных мер № 376/2017) государство-участник направило ответ, в котором сообщалось, что с 2011 года ведется предварительное следствие. Ответ был передан авторам просьбы для представления замечаний. В свете полученной информации Комитет направил ноту, в которой выразил обеспокоенность по поводу того, что спустя более чем семь лет после исчезновения г-на Хачатряна о его судьбе и местонахождении до сих пор ничего не известно; что информация, представленная государством-участником, не свидетельствует о том, что власти, занимающиеся рассмотрением</w:t>
      </w:r>
      <w:r w:rsidR="00012489">
        <w:t xml:space="preserve"> </w:t>
      </w:r>
      <w:r>
        <w:t xml:space="preserve">дела, разработали какой-либо план или стратегию ведения расследования; что ведущий следователь по делу менялся семь раз, что не позволило провести тщательного и последовательного расследования исчезновения г-на Хачатряна; что члены семьи и представители </w:t>
      </w:r>
      <w:r w:rsidR="006629A0">
        <w:br/>
      </w:r>
      <w:r>
        <w:t xml:space="preserve">г-на Хачатряна не были проинформированы о мерах, принятых органами, отвечающими за розыск и расследование; а также что, согласно ряду утверждений, власти государства-участника враждебно обращались с родственниками </w:t>
      </w:r>
      <w:r w:rsidR="001C4592">
        <w:br/>
      </w:r>
      <w:r>
        <w:t>г-на Хачатряна. В свете полученной информации Комитет направил государству-участнику новую последующую ноту, в которой подтвердил свои предыдущие рекомендации, в том числе о необходимости разработки и осуществления стратегии проведения расследования и розыска.</w:t>
      </w:r>
    </w:p>
    <w:p w:rsidR="00B12599" w:rsidRPr="00B079CB" w:rsidRDefault="006629A0" w:rsidP="00B12599">
      <w:pPr>
        <w:pStyle w:val="H23G"/>
      </w:pPr>
      <w:r>
        <w:rPr>
          <w:bCs/>
        </w:rPr>
        <w:tab/>
      </w:r>
      <w:r w:rsidR="00B12599">
        <w:rPr>
          <w:bCs/>
        </w:rPr>
        <w:t>b)</w:t>
      </w:r>
      <w:r w:rsidR="00B12599">
        <w:tab/>
      </w:r>
      <w:r w:rsidR="00B12599">
        <w:tab/>
      </w:r>
      <w:r w:rsidR="00B12599">
        <w:rPr>
          <w:bCs/>
        </w:rPr>
        <w:t>Бразилия</w:t>
      </w:r>
    </w:p>
    <w:p w:rsidR="00B12599" w:rsidRPr="00B079CB" w:rsidRDefault="00B12599" w:rsidP="00B12599">
      <w:pPr>
        <w:pStyle w:val="SingleTxtG"/>
      </w:pPr>
      <w:r>
        <w:t>17.</w:t>
      </w:r>
      <w:r>
        <w:tab/>
        <w:t>В случае Дави Сантуса Фиузы (просьба о принятии срочных мер № 61/2014) государство-участник ответило, что результаты четырех лет розыска и полицейского расследования исчезновения г-на Сантуса Фиузы были направлены в Генеральную прокуратуру штата Баия. Полиция сообщила о возможной причастности к нему 17</w:t>
      </w:r>
      <w:r w:rsidR="006629A0">
        <w:rPr>
          <w:lang w:val="en-US"/>
        </w:rPr>
        <w:t> </w:t>
      </w:r>
      <w:r>
        <w:t xml:space="preserve">сотрудников полиции штата Баия (военной полиции). В настоящее время Генеральный прокурор изучает документацию по делу для определения индивидуальной ответственности каждого из 17 сотрудников полиции штата в целях судебного преследования виновных. Ответ государства-участника был доведен до сведения автора 16 ноября 2018 года, </w:t>
      </w:r>
      <w:r w:rsidR="001C4592">
        <w:t>однако до настоящего времени он</w:t>
      </w:r>
      <w:r w:rsidR="00C30B75">
        <w:t>о</w:t>
      </w:r>
      <w:r w:rsidR="001C4592">
        <w:t xml:space="preserve"> не </w:t>
      </w:r>
      <w:r w:rsidR="001C4592">
        <w:lastRenderedPageBreak/>
        <w:t>представил</w:t>
      </w:r>
      <w:r w:rsidR="00C30B75">
        <w:t>о</w:t>
      </w:r>
      <w:r>
        <w:t xml:space="preserve"> никаких замечаний. 13 февраля 2019 года автору было направлено соответствующее напоминание.</w:t>
      </w:r>
    </w:p>
    <w:p w:rsidR="00B12599" w:rsidRPr="00B079CB" w:rsidRDefault="006629A0" w:rsidP="00B12599">
      <w:pPr>
        <w:pStyle w:val="H23G"/>
      </w:pPr>
      <w:r>
        <w:rPr>
          <w:bCs/>
        </w:rPr>
        <w:tab/>
      </w:r>
      <w:r w:rsidR="00B12599">
        <w:rPr>
          <w:bCs/>
        </w:rPr>
        <w:t>c)</w:t>
      </w:r>
      <w:r w:rsidR="00B12599">
        <w:tab/>
      </w:r>
      <w:r w:rsidR="00B12599">
        <w:tab/>
      </w:r>
      <w:r w:rsidR="00B12599">
        <w:rPr>
          <w:bCs/>
        </w:rPr>
        <w:t>Камбоджа</w:t>
      </w:r>
    </w:p>
    <w:p w:rsidR="00B12599" w:rsidRPr="00B079CB" w:rsidRDefault="00B12599" w:rsidP="00B12599">
      <w:pPr>
        <w:pStyle w:val="SingleTxtG"/>
      </w:pPr>
      <w:r>
        <w:t>18.</w:t>
      </w:r>
      <w:r>
        <w:tab/>
        <w:t>Просьба о принятии срочных мер, зарегистрированная от имени Хема Софата (№ 11/2014), остается в силе. В апреле 2019 года государству-участнику была направлена новая последующая нота с настоятельной просьбой представить дополнительную информацию и напоминанием о его обязательстве принимать меры по розыску и расследованию на основе всех имеющихся по делу версий, в том числе тех, которые указывают на возможное участие в данных событиях представителей государства.</w:t>
      </w:r>
    </w:p>
    <w:p w:rsidR="00B12599" w:rsidRPr="00B079CB" w:rsidRDefault="00B12599" w:rsidP="00B12599">
      <w:pPr>
        <w:pStyle w:val="SingleTxtG"/>
      </w:pPr>
      <w:r>
        <w:t>19.</w:t>
      </w:r>
      <w:r>
        <w:tab/>
        <w:t>В период, охватываемый настоящим докладом, была зарегистрирована просьба о принятии срочных мер от имени фермера Муана Сума (№ 568/2019), который, как сообщается, был задержан сотрудниками Департамента по вопросам окружающей среды Преа-Вихеара вместе с 14 другими лицами. Хотя 14 другим задержанным были предъявлены обвинения в незаконной вырубке леса, автор сообщения не был даже доставлен в суд. Государство-участник незамедлительно ответило, сообщив, что автор был обнаружен 31 марта 2019 года и в настоящее время находится со своей семьей. Эта информация была подтверждена членами семьи г-на Сума. Рассмотрение данной просьбы о принятии срочных мер было прекращено.</w:t>
      </w:r>
    </w:p>
    <w:p w:rsidR="00B12599" w:rsidRPr="00B079CB" w:rsidRDefault="006629A0" w:rsidP="00B12599">
      <w:pPr>
        <w:pStyle w:val="H23G"/>
      </w:pPr>
      <w:r>
        <w:rPr>
          <w:bCs/>
        </w:rPr>
        <w:tab/>
      </w:r>
      <w:r w:rsidR="00B12599">
        <w:rPr>
          <w:bCs/>
        </w:rPr>
        <w:t>d)</w:t>
      </w:r>
      <w:r w:rsidR="00B12599">
        <w:rPr>
          <w:bCs/>
        </w:rPr>
        <w:tab/>
      </w:r>
      <w:r w:rsidR="00B12599">
        <w:tab/>
      </w:r>
      <w:r w:rsidR="00B12599">
        <w:rPr>
          <w:bCs/>
        </w:rPr>
        <w:t>Колумбия</w:t>
      </w:r>
    </w:p>
    <w:p w:rsidR="00B12599" w:rsidRPr="00B079CB" w:rsidRDefault="00B12599" w:rsidP="00B12599">
      <w:pPr>
        <w:pStyle w:val="SingleTxtG"/>
      </w:pPr>
      <w:r>
        <w:t>20.</w:t>
      </w:r>
      <w:r>
        <w:tab/>
        <w:t>Как отмечено в нотах, опубликованных в ходе тринадцатой и пятнадцатой сессий, информация, представленная государством-участником в связи с 21</w:t>
      </w:r>
      <w:r w:rsidR="006629A0">
        <w:rPr>
          <w:lang w:val="en-US"/>
        </w:rPr>
        <w:t> </w:t>
      </w:r>
      <w:r>
        <w:t xml:space="preserve">зарегистрированной просьбой о принятии срочных мер, зачастую указывает на то, что розыск и расследование прекращаются через несколько месяцев после их начала. </w:t>
      </w:r>
    </w:p>
    <w:p w:rsidR="00B12599" w:rsidRPr="00B079CB" w:rsidRDefault="006629A0" w:rsidP="00B12599">
      <w:pPr>
        <w:pStyle w:val="H23G"/>
      </w:pPr>
      <w:r>
        <w:rPr>
          <w:bCs/>
        </w:rPr>
        <w:tab/>
      </w:r>
      <w:r w:rsidR="00B12599">
        <w:rPr>
          <w:bCs/>
        </w:rPr>
        <w:t>e)</w:t>
      </w:r>
      <w:r w:rsidR="00B12599">
        <w:tab/>
      </w:r>
      <w:r w:rsidR="00B12599">
        <w:tab/>
      </w:r>
      <w:r w:rsidR="00B12599">
        <w:rPr>
          <w:bCs/>
        </w:rPr>
        <w:t>Куба</w:t>
      </w:r>
    </w:p>
    <w:p w:rsidR="00B12599" w:rsidRPr="00B079CB" w:rsidRDefault="00B12599" w:rsidP="00B12599">
      <w:pPr>
        <w:pStyle w:val="SingleTxtG"/>
        <w:rPr>
          <w:rFonts w:ascii="Calibri" w:hAnsi="Calibri" w:cs="Calibri"/>
          <w:color w:val="000000"/>
        </w:rPr>
      </w:pPr>
      <w:r>
        <w:t>21.</w:t>
      </w:r>
      <w:r>
        <w:tab/>
        <w:t>В период, охватываемый настоящим докладом, была зарегистрирована просьба о принятии срочных мер от имени Сесара Ивана Мендосы Регала (№ 542/2018), адвоката и правозащитника, который, как утверждается, был задержан Департаментом государственной безопасности. На сегодняшний день место его содержания под стражей, равно как и преступление, в котором он обвиняется, неизвестны. Государство-участник направило свой ответ, в котором сообщило, что г-н Мендоса Регал был заключен под стражу за преступный сговор и что в настоящее время он находится на свободе, пока ведется уголов</w:t>
      </w:r>
      <w:r w:rsidR="001C4592">
        <w:t>ное расследование. Вместе с тем</w:t>
      </w:r>
      <w:r>
        <w:t xml:space="preserve"> представители указанного лица утверждают, что государство-участник не представило доказательств своих утверждений, и просят его представить доказательства личной неприкосновенности и безопасности г-на Мендосы Регала путем его публичной демонстрации и публикации свидетельств в средствах массовой информации. Государству-участнику будет направлена последующая нота.</w:t>
      </w:r>
    </w:p>
    <w:p w:rsidR="00B12599" w:rsidRPr="00B079CB" w:rsidRDefault="006629A0" w:rsidP="00B12599">
      <w:pPr>
        <w:pStyle w:val="H23G"/>
      </w:pPr>
      <w:r>
        <w:rPr>
          <w:bCs/>
        </w:rPr>
        <w:tab/>
      </w:r>
      <w:r w:rsidR="00B12599">
        <w:rPr>
          <w:bCs/>
        </w:rPr>
        <w:t>f)</w:t>
      </w:r>
      <w:r w:rsidR="00B12599">
        <w:tab/>
      </w:r>
      <w:r w:rsidR="00B12599">
        <w:tab/>
      </w:r>
      <w:r w:rsidR="00B12599">
        <w:rPr>
          <w:bCs/>
        </w:rPr>
        <w:t>Гондурас</w:t>
      </w:r>
    </w:p>
    <w:p w:rsidR="00B12599" w:rsidRPr="00B079CB" w:rsidRDefault="00B12599" w:rsidP="00B12599">
      <w:pPr>
        <w:pStyle w:val="SingleTxtG"/>
      </w:pPr>
      <w:r>
        <w:t>22.</w:t>
      </w:r>
      <w:r>
        <w:tab/>
        <w:t>Как было отмечено в докладах о работе четырнадцатой и пятнадцатой сессий, Комитет получил замечания государства-участника в отношении 14 просьб о принятии срочных мер. Замечания, представленные в связи с 13 просьбами о принятии срочных мер, которые касаются исчезновения мигрантов, носят весьма общий характер и не содержат информации о конкретных делах. Они свидетельствуют также о том, что органы, отвечающие за розыск и расследование, не приняли необходимых мер для содействия оказанию международной правовой помощи в соответствии со статьей 14 Конвенции с целью установления маршрута миграции, по которому следовали жертвы, и прояснения фактов. Во всех этих случаях Комитет по-прежнему ожидает замечаний от авторов, которым было направлено несколько напоминаний.</w:t>
      </w:r>
    </w:p>
    <w:p w:rsidR="00B12599" w:rsidRPr="00B079CB" w:rsidRDefault="00B12599" w:rsidP="006629A0">
      <w:pPr>
        <w:pStyle w:val="SingleTxtG"/>
        <w:pageBreakBefore/>
        <w:spacing w:before="240" w:line="240" w:lineRule="auto"/>
        <w:ind w:left="0" w:right="1138" w:firstLine="562"/>
        <w:rPr>
          <w:b/>
        </w:rPr>
      </w:pPr>
      <w:r>
        <w:rPr>
          <w:b/>
          <w:bCs/>
        </w:rPr>
        <w:lastRenderedPageBreak/>
        <w:t>g)</w:t>
      </w:r>
      <w:r>
        <w:tab/>
      </w:r>
      <w:r>
        <w:rPr>
          <w:b/>
          <w:bCs/>
        </w:rPr>
        <w:t>Литва</w:t>
      </w:r>
    </w:p>
    <w:p w:rsidR="00B12599" w:rsidRPr="00B079CB" w:rsidRDefault="00B12599" w:rsidP="00B12599">
      <w:pPr>
        <w:pStyle w:val="SingleTxtG"/>
      </w:pPr>
      <w:r>
        <w:t>23.</w:t>
      </w:r>
      <w:r>
        <w:tab/>
        <w:t>В период, охватываемый настоящим докладом, была зарегистрирована просьба о принятии срочных мер от имени Дейманте Станкунайте (№ 569/2019), исчезнувшей в возрасте 8 лет жертвы сексуальной эксплуатации, осуществлявшейся с предполагаемого согласия матери и при участии государственных органов. Государство-участник направило свой ответ, в котором сообщило, что Дейманте обнаружена и находится под защитой закона. Однако представитель указанного лица просил государство-участник подтвердить точное местонахождение Дейманте и разрешить ему связаться с ней. Государству-участнику будет направлена последующая нота.</w:t>
      </w:r>
    </w:p>
    <w:p w:rsidR="00B12599" w:rsidRPr="00B079CB" w:rsidRDefault="00B12599" w:rsidP="00B12599">
      <w:pPr>
        <w:pStyle w:val="SingleTxtG"/>
        <w:spacing w:before="240" w:line="240" w:lineRule="auto"/>
        <w:ind w:left="0" w:firstLine="567"/>
        <w:rPr>
          <w:b/>
        </w:rPr>
      </w:pPr>
      <w:r>
        <w:rPr>
          <w:b/>
          <w:bCs/>
        </w:rPr>
        <w:t>h)</w:t>
      </w:r>
      <w:r>
        <w:tab/>
      </w:r>
      <w:r>
        <w:rPr>
          <w:b/>
          <w:bCs/>
        </w:rPr>
        <w:t>Того</w:t>
      </w:r>
    </w:p>
    <w:p w:rsidR="00B12599" w:rsidRPr="00B079CB" w:rsidRDefault="00B12599" w:rsidP="00B12599">
      <w:pPr>
        <w:pStyle w:val="SingleTxtG"/>
      </w:pPr>
      <w:r>
        <w:t>24.</w:t>
      </w:r>
      <w:r>
        <w:tab/>
        <w:t xml:space="preserve">В случае Ацу Адзи и Мессана Коку Адзи (просьбы о принятии срочных </w:t>
      </w:r>
      <w:r w:rsidR="00012489">
        <w:br/>
      </w:r>
      <w:r>
        <w:t>мер № 543/2018 и 544/2018) 27 ноября 2018 года государство-участник направило ответ, в котором задало вопрос о том, были ли эти два лица задержаны полицией в день их предполагаемого исчезновения, и заявило, что они не были внесены в официальный реестр Национальной службы разведки и расследования. Вместе с тем авторы сообщения указывают, что государство-участник не продемонстрировало проведения тщательного розыска полицейского автомобиля, в котором, по словам очевидцев, жертвы были увезены в неизвестном направлении. Кроме того, расследование не проводилось в других возможных местах содержания под стражей</w:t>
      </w:r>
      <w:r w:rsidR="001C4592">
        <w:t>,</w:t>
      </w:r>
      <w:r>
        <w:t xml:space="preserve"> помимо Национальной службы разведки и расследований. В этой связи 13 февраля 2019 года Комитет направил последующую ноту, в которой выразил обеспокоенность по поводу того, что спустя полтора года после исчезновения г-д Адзи не было достигнуто никаких успехов в их розыске или в расследовании и что, в частности, не было проведено розыска полицейского автомобиля, идентифицированного в качестве транспортного средства, в котором они, как сообщается, исчезли.</w:t>
      </w:r>
    </w:p>
    <w:p w:rsidR="00B12599" w:rsidRPr="00B079CB" w:rsidRDefault="006629A0" w:rsidP="00B12599">
      <w:pPr>
        <w:pStyle w:val="H1G"/>
      </w:pPr>
      <w:r>
        <w:rPr>
          <w:bCs/>
        </w:rPr>
        <w:tab/>
      </w:r>
      <w:r w:rsidR="00B12599">
        <w:rPr>
          <w:bCs/>
        </w:rPr>
        <w:t>D.</w:t>
      </w:r>
      <w:r w:rsidR="00B12599">
        <w:tab/>
      </w:r>
      <w:r w:rsidR="00B12599">
        <w:tab/>
      </w:r>
      <w:r w:rsidR="00B12599">
        <w:rPr>
          <w:bCs/>
        </w:rPr>
        <w:t>Приостановление, прекращение или продолжение рассмотрения просьб о принятии срочных мер по защите лиц, в отношении которых были приняты временные меры</w:t>
      </w:r>
    </w:p>
    <w:p w:rsidR="00B12599" w:rsidRPr="00B079CB" w:rsidRDefault="00B12599" w:rsidP="00B12599">
      <w:pPr>
        <w:pStyle w:val="SingleTxtG"/>
      </w:pPr>
      <w:r>
        <w:t>25.</w:t>
      </w:r>
      <w:r>
        <w:tab/>
        <w:t>В соответствии с критериями, принятыми на пленарном заседании Комитета в ходе его восьмой сессии:</w:t>
      </w:r>
    </w:p>
    <w:p w:rsidR="00B12599" w:rsidRPr="00B079CB" w:rsidRDefault="00B12599" w:rsidP="00B12599">
      <w:pPr>
        <w:pStyle w:val="SingleTxtG"/>
        <w:ind w:firstLine="567"/>
      </w:pPr>
      <w:r>
        <w:t>a)</w:t>
      </w:r>
      <w:r>
        <w:tab/>
        <w:t>рассмотрение просьбы о принятии срочных мер приостанавливается, когда исчезнувшее лицо обнаруживается, но пока остается под стражей. Это связано с тем, что данное лицо особенно уязвимо для дальнейшего насильственного исчезновения и находится вне защиты закона;</w:t>
      </w:r>
    </w:p>
    <w:p w:rsidR="00B12599" w:rsidRPr="00B079CB" w:rsidRDefault="00B12599" w:rsidP="00B12599">
      <w:pPr>
        <w:pStyle w:val="SingleTxtG"/>
        <w:ind w:firstLine="567"/>
      </w:pPr>
      <w:r>
        <w:t>b)</w:t>
      </w:r>
      <w:r>
        <w:tab/>
        <w:t>рассмотрение просьбы о принятии срочных мер прекращается, когда исчезнувшее лицо обнаружено на свободе, когда оно обнаружено и после этого освобождено, когда оно обнаружено мертвым и когда родственники и/или авторы не оспаривают этих фактов;</w:t>
      </w:r>
    </w:p>
    <w:p w:rsidR="00B12599" w:rsidRPr="00B079CB" w:rsidRDefault="00B12599" w:rsidP="00B12599">
      <w:pPr>
        <w:pStyle w:val="SingleTxtG"/>
        <w:ind w:firstLine="567"/>
      </w:pPr>
      <w:r>
        <w:t>c)</w:t>
      </w:r>
      <w:r>
        <w:tab/>
        <w:t>рассмотрение просьбы о принятии срочных мер продолжается, когда исчезнувшее лицо обнаружено, но лицам, для защиты которых в рамках процедуры срочных мер было рекомендовано принять временные меры, продолжает угрожать опасность. В таких случаях меры, принимаемые Комитетом, ограничиваются контролем за принятием временных мер.</w:t>
      </w:r>
    </w:p>
    <w:p w:rsidR="00B12599" w:rsidRPr="00B079CB" w:rsidRDefault="00B12599" w:rsidP="00B12599">
      <w:pPr>
        <w:pStyle w:val="SingleTxtG"/>
      </w:pPr>
      <w:r>
        <w:t>26.</w:t>
      </w:r>
      <w:r>
        <w:tab/>
        <w:t>На момент подготовки настоящего доклада Комитет прекратил рассмотрение в общей сложности 51 просьбы о принятии срочных мер: в 29 из этих случаев исчезнувшие лица были обнаружены и освобождены живыми, а в 22 случаях исчезнувшие лица были найдены мертвыми.</w:t>
      </w:r>
    </w:p>
    <w:p w:rsidR="00B12599" w:rsidRPr="00B079CB" w:rsidRDefault="00B12599" w:rsidP="00B12599">
      <w:pPr>
        <w:pStyle w:val="SingleTxtG"/>
      </w:pPr>
      <w:r>
        <w:t>27.</w:t>
      </w:r>
      <w:r>
        <w:tab/>
        <w:t>Кроме того, Комитет приостановил рассмотрение 13 просьб о принятии срочных мер, поскольку исчезнувшие лица были обнаружены, но продолжают оставаться под стражей.</w:t>
      </w:r>
    </w:p>
    <w:p w:rsidR="00B12599" w:rsidRPr="00B079CB" w:rsidRDefault="00B12599" w:rsidP="00B12599">
      <w:pPr>
        <w:pStyle w:val="SingleTxtG"/>
      </w:pPr>
      <w:r>
        <w:lastRenderedPageBreak/>
        <w:t>28.</w:t>
      </w:r>
      <w:r>
        <w:tab/>
        <w:t>В случае двух просьб о принятии срочных мер было установлено, что исчезнувшие лица были найдены мертвыми, однако процедура не была прекращена, поскольку лица, в отношении которых были приняты временные меры, все еще получают угрозы в свой адрес.</w:t>
      </w:r>
    </w:p>
    <w:p w:rsidR="00B12599" w:rsidRPr="00B079CB" w:rsidRDefault="006629A0" w:rsidP="00B12599">
      <w:pPr>
        <w:pStyle w:val="H1G"/>
      </w:pPr>
      <w:r>
        <w:rPr>
          <w:bCs/>
        </w:rPr>
        <w:tab/>
      </w:r>
      <w:r w:rsidR="00B12599">
        <w:rPr>
          <w:bCs/>
        </w:rPr>
        <w:t>E.</w:t>
      </w:r>
      <w:r w:rsidR="00B12599">
        <w:tab/>
      </w:r>
      <w:r w:rsidR="00B12599">
        <w:tab/>
      </w:r>
      <w:r w:rsidR="00B12599">
        <w:rPr>
          <w:bCs/>
        </w:rPr>
        <w:t>Выводы и принятые решения</w:t>
      </w:r>
    </w:p>
    <w:p w:rsidR="00B12599" w:rsidRPr="00B079CB" w:rsidRDefault="00B12599" w:rsidP="00B12599">
      <w:pPr>
        <w:pStyle w:val="SingleTxtG"/>
        <w:rPr>
          <w:bCs/>
        </w:rPr>
      </w:pPr>
      <w:r>
        <w:t>29.</w:t>
      </w:r>
      <w:r>
        <w:tab/>
        <w:t>Комитет вновь заявляет о том, что число зарегистрированных просьб о принятии срочных мер продолжает расти. Эта ситуация настоятельно требует увеличения числа сотрудников секретариата Управления Верховного комиссара Организации Объединенных Наций по правам человека, занимающихся рассмотрением просьб о принятии срочных мер.</w:t>
      </w:r>
    </w:p>
    <w:p w:rsidR="00B12599" w:rsidRPr="00B079CB" w:rsidRDefault="00B12599" w:rsidP="00B12599">
      <w:pPr>
        <w:pStyle w:val="SingleTxtG"/>
        <w:rPr>
          <w:bCs/>
        </w:rPr>
      </w:pPr>
      <w:r>
        <w:t>30.</w:t>
      </w:r>
      <w:r>
        <w:tab/>
        <w:t xml:space="preserve">Комитет рассмотрел подход, принятый рядом государств-участников в отношении просьб о принятии срочных мер в связи с деяниями, которые не могут быть прямо вменены лицам, действующим с разрешения или при поддержке или молчаливом согласии государства. В этой связи Комитет подтверждает свою позицию в отношении необходимости проведения государствами-участниками тщательного расследования сообщенных фактов без исключения каких-либо версий, включая версию о насильственном исчезновении. </w:t>
      </w:r>
    </w:p>
    <w:p w:rsidR="00B12599" w:rsidRPr="00B079CB" w:rsidRDefault="00B12599" w:rsidP="00B12599">
      <w:pPr>
        <w:pStyle w:val="SingleTxtG"/>
        <w:rPr>
          <w:bCs/>
        </w:rPr>
      </w:pPr>
      <w:r>
        <w:t>31.</w:t>
      </w:r>
      <w:r>
        <w:tab/>
        <w:t>Комитет считает также, что он компетентен инициировать срочные меры в случаях, когда Межамериканская комиссия по правам человека приняла временные меры с просьбой о проведении розыска и определении местонахождения пропавшего без вести лица, учитывая, что сфера применения таких мер является более широкой, чем сфера применения временных мер, принимаемых Межамериканской комиссией, и что, следовательно, такие меры не будут считаться нахождением просьбы на рассмотрении другого органа по смыслу подпункта е) пункта 2 статьи 30 Конвенции. В случаях, когда возникала такая ситуация, Комитет координировал свои действия с Межамериканской комиссией во избежание дублирования усилий.</w:t>
      </w:r>
    </w:p>
    <w:p w:rsidR="00B12599" w:rsidRPr="00B12599" w:rsidRDefault="00B12599" w:rsidP="00B12599">
      <w:pPr>
        <w:pStyle w:val="SingleTxtG"/>
      </w:pPr>
      <w:r>
        <w:t>32.</w:t>
      </w:r>
      <w:r>
        <w:tab/>
        <w:t>В случаях предположительного исчезновения лиц, возвращаемых одним государством-участником другому государству, не являющемуся участником Конвенции, Комитет считает, что в его компетенцию входит инициирование срочных мер в связи с такими исчезновениями в рамках обязательства сотрудничать со стороны государств-участников (статьи 14 и 15 Конвенции) и обязательства невыдворения (статья 16).</w:t>
      </w:r>
    </w:p>
    <w:p w:rsidR="00381C24" w:rsidRPr="00B12599" w:rsidRDefault="00B12599" w:rsidP="00B12599">
      <w:pPr>
        <w:spacing w:before="240"/>
        <w:jc w:val="center"/>
        <w:rPr>
          <w:u w:val="single"/>
        </w:rPr>
      </w:pPr>
      <w:r>
        <w:rPr>
          <w:u w:val="single"/>
        </w:rPr>
        <w:tab/>
      </w:r>
      <w:r>
        <w:rPr>
          <w:u w:val="single"/>
        </w:rPr>
        <w:tab/>
      </w:r>
      <w:r>
        <w:rPr>
          <w:u w:val="single"/>
        </w:rPr>
        <w:tab/>
      </w:r>
    </w:p>
    <w:sectPr w:rsidR="00381C24" w:rsidRPr="00B12599" w:rsidSect="00B12599">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8F9" w:rsidRPr="00A312BC" w:rsidRDefault="004038F9" w:rsidP="00A312BC"/>
  </w:endnote>
  <w:endnote w:type="continuationSeparator" w:id="0">
    <w:p w:rsidR="004038F9" w:rsidRPr="00A312BC" w:rsidRDefault="004038F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599" w:rsidRPr="00B12599" w:rsidRDefault="00B12599">
    <w:pPr>
      <w:pStyle w:val="a8"/>
    </w:pPr>
    <w:r w:rsidRPr="00B12599">
      <w:rPr>
        <w:b/>
        <w:sz w:val="18"/>
      </w:rPr>
      <w:fldChar w:fldCharType="begin"/>
    </w:r>
    <w:r w:rsidRPr="00B12599">
      <w:rPr>
        <w:b/>
        <w:sz w:val="18"/>
      </w:rPr>
      <w:instrText xml:space="preserve"> PAGE  \* MERGEFORMAT </w:instrText>
    </w:r>
    <w:r w:rsidRPr="00B12599">
      <w:rPr>
        <w:b/>
        <w:sz w:val="18"/>
      </w:rPr>
      <w:fldChar w:fldCharType="separate"/>
    </w:r>
    <w:r w:rsidR="0076302A">
      <w:rPr>
        <w:b/>
        <w:noProof/>
        <w:sz w:val="18"/>
      </w:rPr>
      <w:t>6</w:t>
    </w:r>
    <w:r w:rsidRPr="00B12599">
      <w:rPr>
        <w:b/>
        <w:sz w:val="18"/>
      </w:rPr>
      <w:fldChar w:fldCharType="end"/>
    </w:r>
    <w:r>
      <w:rPr>
        <w:b/>
        <w:sz w:val="18"/>
      </w:rPr>
      <w:tab/>
    </w:r>
    <w:r>
      <w:t>GE.19-08286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599" w:rsidRPr="00B12599" w:rsidRDefault="00B12599" w:rsidP="00B12599">
    <w:pPr>
      <w:pStyle w:val="a8"/>
      <w:tabs>
        <w:tab w:val="clear" w:pos="9639"/>
        <w:tab w:val="right" w:pos="9638"/>
      </w:tabs>
      <w:rPr>
        <w:b/>
        <w:sz w:val="18"/>
      </w:rPr>
    </w:pPr>
    <w:r>
      <w:t>GE.19-08286</w:t>
    </w:r>
    <w:r>
      <w:tab/>
    </w:r>
    <w:r w:rsidRPr="00B12599">
      <w:rPr>
        <w:b/>
        <w:sz w:val="18"/>
      </w:rPr>
      <w:fldChar w:fldCharType="begin"/>
    </w:r>
    <w:r w:rsidRPr="00B12599">
      <w:rPr>
        <w:b/>
        <w:sz w:val="18"/>
      </w:rPr>
      <w:instrText xml:space="preserve"> PAGE  \* MERGEFORMAT </w:instrText>
    </w:r>
    <w:r w:rsidRPr="00B12599">
      <w:rPr>
        <w:b/>
        <w:sz w:val="18"/>
      </w:rPr>
      <w:fldChar w:fldCharType="separate"/>
    </w:r>
    <w:r w:rsidR="0076302A">
      <w:rPr>
        <w:b/>
        <w:noProof/>
        <w:sz w:val="18"/>
      </w:rPr>
      <w:t>7</w:t>
    </w:r>
    <w:r w:rsidRPr="00B1259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B12599" w:rsidRDefault="00B12599" w:rsidP="00B12599">
    <w:pPr>
      <w:spacing w:before="120" w:line="240" w:lineRule="auto"/>
    </w:pPr>
    <w:r>
      <w:t>GE.</w:t>
    </w:r>
    <w:r w:rsidR="00DF71B9">
      <w:rPr>
        <w:b/>
        <w:noProof/>
        <w:lang w:eastAsia="ru-RU"/>
      </w:rPr>
      <w:drawing>
        <wp:anchor distT="0" distB="0" distL="114300" distR="114300" simplePos="0" relativeHeight="251658240" behindDoc="0" locked="0" layoutInCell="1" allowOverlap="1" wp14:anchorId="665A08FA" wp14:editId="27175DFA">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19-08286  (R)</w:t>
    </w:r>
    <w:r w:rsidR="006629A0">
      <w:rPr>
        <w:lang w:val="en-US"/>
      </w:rPr>
      <w:t xml:space="preserve">  130619  140619</w:t>
    </w:r>
    <w:r>
      <w:br/>
    </w:r>
    <w:r w:rsidRPr="00B12599">
      <w:rPr>
        <w:rFonts w:ascii="C39T30Lfz" w:hAnsi="C39T30Lfz"/>
        <w:kern w:val="14"/>
        <w:sz w:val="56"/>
      </w:rPr>
      <w:t></w:t>
    </w:r>
    <w:r w:rsidRPr="00B12599">
      <w:rPr>
        <w:rFonts w:ascii="C39T30Lfz" w:hAnsi="C39T30Lfz"/>
        <w:kern w:val="14"/>
        <w:sz w:val="56"/>
      </w:rPr>
      <w:t></w:t>
    </w:r>
    <w:r w:rsidRPr="00B12599">
      <w:rPr>
        <w:rFonts w:ascii="C39T30Lfz" w:hAnsi="C39T30Lfz"/>
        <w:kern w:val="14"/>
        <w:sz w:val="56"/>
      </w:rPr>
      <w:t></w:t>
    </w:r>
    <w:r w:rsidRPr="00B12599">
      <w:rPr>
        <w:rFonts w:ascii="C39T30Lfz" w:hAnsi="C39T30Lfz"/>
        <w:kern w:val="14"/>
        <w:sz w:val="56"/>
      </w:rPr>
      <w:t></w:t>
    </w:r>
    <w:r w:rsidRPr="00B12599">
      <w:rPr>
        <w:rFonts w:ascii="C39T30Lfz" w:hAnsi="C39T30Lfz"/>
        <w:kern w:val="14"/>
        <w:sz w:val="56"/>
      </w:rPr>
      <w:t></w:t>
    </w:r>
    <w:r w:rsidRPr="00B12599">
      <w:rPr>
        <w:rFonts w:ascii="C39T30Lfz" w:hAnsi="C39T30Lfz"/>
        <w:kern w:val="14"/>
        <w:sz w:val="56"/>
      </w:rPr>
      <w:t></w:t>
    </w:r>
    <w:r w:rsidRPr="00B12599">
      <w:rPr>
        <w:rFonts w:ascii="C39T30Lfz" w:hAnsi="C39T30Lfz"/>
        <w:kern w:val="14"/>
        <w:sz w:val="56"/>
      </w:rPr>
      <w:t></w:t>
    </w:r>
    <w:r w:rsidRPr="00B12599">
      <w:rPr>
        <w:rFonts w:ascii="C39T30Lfz" w:hAnsi="C39T30Lfz"/>
        <w:kern w:val="14"/>
        <w:sz w:val="56"/>
      </w:rPr>
      <w:t></w:t>
    </w:r>
    <w:r w:rsidRPr="00B12599">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ED/C/16/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16/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8F9" w:rsidRPr="001075E9" w:rsidRDefault="004038F9" w:rsidP="001075E9">
      <w:pPr>
        <w:tabs>
          <w:tab w:val="right" w:pos="2155"/>
        </w:tabs>
        <w:spacing w:after="80" w:line="240" w:lineRule="auto"/>
        <w:ind w:left="680"/>
        <w:rPr>
          <w:u w:val="single"/>
        </w:rPr>
      </w:pPr>
      <w:r>
        <w:rPr>
          <w:u w:val="single"/>
        </w:rPr>
        <w:tab/>
      </w:r>
    </w:p>
  </w:footnote>
  <w:footnote w:type="continuationSeparator" w:id="0">
    <w:p w:rsidR="004038F9" w:rsidRDefault="004038F9" w:rsidP="00407B78">
      <w:pPr>
        <w:tabs>
          <w:tab w:val="right" w:pos="2155"/>
        </w:tabs>
        <w:spacing w:after="80"/>
        <w:ind w:left="680"/>
        <w:rPr>
          <w:u w:val="single"/>
        </w:rPr>
      </w:pPr>
      <w:r>
        <w:rPr>
          <w:u w:val="single"/>
        </w:rPr>
        <w:tab/>
      </w:r>
    </w:p>
  </w:footnote>
  <w:footnote w:id="1">
    <w:p w:rsidR="00B12599" w:rsidRPr="00DA6B35" w:rsidRDefault="00B12599" w:rsidP="00B12599">
      <w:pPr>
        <w:pStyle w:val="ad"/>
      </w:pPr>
      <w:r>
        <w:tab/>
      </w:r>
      <w:r w:rsidRPr="006629A0">
        <w:rPr>
          <w:sz w:val="20"/>
        </w:rPr>
        <w:t>*</w:t>
      </w:r>
      <w:r>
        <w:tab/>
        <w:t xml:space="preserve">Принят Комитетом на его </w:t>
      </w:r>
      <w:r w:rsidR="00D553F6">
        <w:t>шестнадцатой</w:t>
      </w:r>
      <w:r>
        <w:t xml:space="preserve"> сессии (8–18</w:t>
      </w:r>
      <w:r w:rsidRPr="00A3718D">
        <w:t xml:space="preserve"> </w:t>
      </w:r>
      <w:r>
        <w:t>апреля 2019</w:t>
      </w:r>
      <w:r>
        <w:rPr>
          <w:lang w:val="en-US"/>
        </w:rPr>
        <w:t> </w:t>
      </w:r>
      <w:r>
        <w:t>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599" w:rsidRPr="00B12599" w:rsidRDefault="00022345">
    <w:pPr>
      <w:pStyle w:val="a5"/>
    </w:pPr>
    <w:fldSimple w:instr=" TITLE  \* MERGEFORMAT ">
      <w:r w:rsidR="0076302A">
        <w:t>CED/C/16/2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599" w:rsidRPr="00B12599" w:rsidRDefault="00022345" w:rsidP="00B12599">
    <w:pPr>
      <w:pStyle w:val="a5"/>
      <w:jc w:val="right"/>
    </w:pPr>
    <w:fldSimple w:instr=" TITLE  \* MERGEFORMAT ">
      <w:r w:rsidR="0076302A">
        <w:t>CED/C/16/2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8F9"/>
    <w:rsid w:val="00012489"/>
    <w:rsid w:val="00022345"/>
    <w:rsid w:val="00033EE1"/>
    <w:rsid w:val="00042495"/>
    <w:rsid w:val="00042B72"/>
    <w:rsid w:val="00046E2F"/>
    <w:rsid w:val="00052360"/>
    <w:rsid w:val="000558BD"/>
    <w:rsid w:val="000B0800"/>
    <w:rsid w:val="000B57E7"/>
    <w:rsid w:val="000B6373"/>
    <w:rsid w:val="000F09DF"/>
    <w:rsid w:val="000F2F61"/>
    <w:rsid w:val="000F61B2"/>
    <w:rsid w:val="001075E9"/>
    <w:rsid w:val="00180183"/>
    <w:rsid w:val="0018024D"/>
    <w:rsid w:val="0018649F"/>
    <w:rsid w:val="00196389"/>
    <w:rsid w:val="001B3EF6"/>
    <w:rsid w:val="001C4592"/>
    <w:rsid w:val="001C7A89"/>
    <w:rsid w:val="00206F9C"/>
    <w:rsid w:val="00215F21"/>
    <w:rsid w:val="00277A08"/>
    <w:rsid w:val="002A2EFC"/>
    <w:rsid w:val="002C0E18"/>
    <w:rsid w:val="002D5AAC"/>
    <w:rsid w:val="002E5067"/>
    <w:rsid w:val="002F405F"/>
    <w:rsid w:val="002F7EEC"/>
    <w:rsid w:val="00301299"/>
    <w:rsid w:val="00305C08"/>
    <w:rsid w:val="00307FB6"/>
    <w:rsid w:val="00317339"/>
    <w:rsid w:val="00322004"/>
    <w:rsid w:val="003402C2"/>
    <w:rsid w:val="00361672"/>
    <w:rsid w:val="00381C24"/>
    <w:rsid w:val="003958D0"/>
    <w:rsid w:val="003B00E5"/>
    <w:rsid w:val="004038F9"/>
    <w:rsid w:val="00407B78"/>
    <w:rsid w:val="00424203"/>
    <w:rsid w:val="00452493"/>
    <w:rsid w:val="0045427D"/>
    <w:rsid w:val="00454E07"/>
    <w:rsid w:val="00472C5C"/>
    <w:rsid w:val="00475A37"/>
    <w:rsid w:val="004E4CB3"/>
    <w:rsid w:val="004F21B5"/>
    <w:rsid w:val="004F2C88"/>
    <w:rsid w:val="0050108D"/>
    <w:rsid w:val="00510E7B"/>
    <w:rsid w:val="00513081"/>
    <w:rsid w:val="00517901"/>
    <w:rsid w:val="00526683"/>
    <w:rsid w:val="00536A7D"/>
    <w:rsid w:val="005709E0"/>
    <w:rsid w:val="00572E19"/>
    <w:rsid w:val="005961C8"/>
    <w:rsid w:val="005D7914"/>
    <w:rsid w:val="005E2B41"/>
    <w:rsid w:val="005F0B42"/>
    <w:rsid w:val="006629A0"/>
    <w:rsid w:val="00681A10"/>
    <w:rsid w:val="006A1ED8"/>
    <w:rsid w:val="006C2031"/>
    <w:rsid w:val="006D461A"/>
    <w:rsid w:val="006F35EE"/>
    <w:rsid w:val="007021FF"/>
    <w:rsid w:val="00712895"/>
    <w:rsid w:val="00725545"/>
    <w:rsid w:val="00757357"/>
    <w:rsid w:val="0076302A"/>
    <w:rsid w:val="008027E5"/>
    <w:rsid w:val="008227B1"/>
    <w:rsid w:val="00825F8D"/>
    <w:rsid w:val="00834B71"/>
    <w:rsid w:val="0086445C"/>
    <w:rsid w:val="00877609"/>
    <w:rsid w:val="00894693"/>
    <w:rsid w:val="008A08D7"/>
    <w:rsid w:val="008B6909"/>
    <w:rsid w:val="00906890"/>
    <w:rsid w:val="00911BE4"/>
    <w:rsid w:val="00942A43"/>
    <w:rsid w:val="00951972"/>
    <w:rsid w:val="009608F3"/>
    <w:rsid w:val="009A24AC"/>
    <w:rsid w:val="00A14DA8"/>
    <w:rsid w:val="00A312BC"/>
    <w:rsid w:val="00A84021"/>
    <w:rsid w:val="00A84D35"/>
    <w:rsid w:val="00A917B3"/>
    <w:rsid w:val="00AA2762"/>
    <w:rsid w:val="00AB4B51"/>
    <w:rsid w:val="00B10CC7"/>
    <w:rsid w:val="00B12599"/>
    <w:rsid w:val="00B36DF7"/>
    <w:rsid w:val="00B514AB"/>
    <w:rsid w:val="00B539E7"/>
    <w:rsid w:val="00B54E04"/>
    <w:rsid w:val="00B62458"/>
    <w:rsid w:val="00BC18B2"/>
    <w:rsid w:val="00BD17B9"/>
    <w:rsid w:val="00BD33EE"/>
    <w:rsid w:val="00C106D6"/>
    <w:rsid w:val="00C30B75"/>
    <w:rsid w:val="00C60F0C"/>
    <w:rsid w:val="00C805C9"/>
    <w:rsid w:val="00C869E0"/>
    <w:rsid w:val="00C92939"/>
    <w:rsid w:val="00CA1679"/>
    <w:rsid w:val="00CB151C"/>
    <w:rsid w:val="00CE5A1A"/>
    <w:rsid w:val="00CF55F6"/>
    <w:rsid w:val="00D33D63"/>
    <w:rsid w:val="00D36B65"/>
    <w:rsid w:val="00D553F6"/>
    <w:rsid w:val="00D55C9D"/>
    <w:rsid w:val="00D90028"/>
    <w:rsid w:val="00D90138"/>
    <w:rsid w:val="00DB0902"/>
    <w:rsid w:val="00DD78D1"/>
    <w:rsid w:val="00DE32CD"/>
    <w:rsid w:val="00DF71B9"/>
    <w:rsid w:val="00E1479F"/>
    <w:rsid w:val="00E32EEA"/>
    <w:rsid w:val="00E61978"/>
    <w:rsid w:val="00E73F76"/>
    <w:rsid w:val="00EA2C9F"/>
    <w:rsid w:val="00EA420E"/>
    <w:rsid w:val="00ED0BDA"/>
    <w:rsid w:val="00EF1360"/>
    <w:rsid w:val="00EF3220"/>
    <w:rsid w:val="00F41C74"/>
    <w:rsid w:val="00F43903"/>
    <w:rsid w:val="00F94155"/>
    <w:rsid w:val="00F9777C"/>
    <w:rsid w:val="00F9783F"/>
    <w:rsid w:val="00FB7B74"/>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6E226E"/>
  <w15:docId w15:val="{AD8FE611-100E-46C6-9A57-2BA283056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4F2C8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61978"/>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4E4CB3"/>
    <w:pPr>
      <w:keepNext/>
      <w:outlineLvl w:val="1"/>
    </w:pPr>
    <w:rPr>
      <w:rFonts w:cs="Arial"/>
      <w:bCs/>
      <w:iCs/>
      <w:szCs w:val="28"/>
    </w:rPr>
  </w:style>
  <w:style w:type="paragraph" w:styleId="3">
    <w:name w:val="heading 3"/>
    <w:basedOn w:val="a"/>
    <w:next w:val="a"/>
    <w:semiHidden/>
    <w:rsid w:val="004E4CB3"/>
    <w:pPr>
      <w:keepNext/>
      <w:spacing w:before="240" w:after="60"/>
      <w:outlineLvl w:val="2"/>
    </w:pPr>
    <w:rPr>
      <w:rFonts w:ascii="Arial" w:hAnsi="Arial" w:cs="Arial"/>
      <w:b/>
      <w:bCs/>
      <w:sz w:val="26"/>
      <w:szCs w:val="26"/>
    </w:rPr>
  </w:style>
  <w:style w:type="paragraph" w:styleId="4">
    <w:name w:val="heading 4"/>
    <w:basedOn w:val="a"/>
    <w:next w:val="a"/>
    <w:semiHidden/>
    <w:rsid w:val="004E4CB3"/>
    <w:pPr>
      <w:keepNext/>
      <w:spacing w:before="240" w:after="60"/>
      <w:outlineLvl w:val="3"/>
    </w:pPr>
    <w:rPr>
      <w:b/>
      <w:bCs/>
      <w:sz w:val="28"/>
      <w:szCs w:val="28"/>
    </w:rPr>
  </w:style>
  <w:style w:type="paragraph" w:styleId="5">
    <w:name w:val="heading 5"/>
    <w:basedOn w:val="a"/>
    <w:next w:val="a"/>
    <w:semiHidden/>
    <w:rsid w:val="004E4CB3"/>
    <w:pPr>
      <w:spacing w:before="240" w:after="60"/>
      <w:outlineLvl w:val="4"/>
    </w:pPr>
    <w:rPr>
      <w:b/>
      <w:bCs/>
      <w:i/>
      <w:iCs/>
      <w:sz w:val="26"/>
      <w:szCs w:val="26"/>
    </w:rPr>
  </w:style>
  <w:style w:type="paragraph" w:styleId="6">
    <w:name w:val="heading 6"/>
    <w:basedOn w:val="a"/>
    <w:next w:val="a"/>
    <w:semiHidden/>
    <w:rsid w:val="004E4CB3"/>
    <w:pPr>
      <w:spacing w:before="240" w:after="60"/>
      <w:outlineLvl w:val="5"/>
    </w:pPr>
    <w:rPr>
      <w:b/>
      <w:bCs/>
      <w:sz w:val="22"/>
    </w:rPr>
  </w:style>
  <w:style w:type="paragraph" w:styleId="7">
    <w:name w:val="heading 7"/>
    <w:basedOn w:val="a"/>
    <w:next w:val="a"/>
    <w:semiHidden/>
    <w:rsid w:val="004E4CB3"/>
    <w:pPr>
      <w:spacing w:before="240" w:after="60"/>
      <w:outlineLvl w:val="6"/>
    </w:pPr>
    <w:rPr>
      <w:sz w:val="24"/>
      <w:szCs w:val="24"/>
    </w:rPr>
  </w:style>
  <w:style w:type="paragraph" w:styleId="8">
    <w:name w:val="heading 8"/>
    <w:basedOn w:val="a"/>
    <w:next w:val="a"/>
    <w:semiHidden/>
    <w:rsid w:val="004E4CB3"/>
    <w:pPr>
      <w:spacing w:before="240" w:after="60"/>
      <w:outlineLvl w:val="7"/>
    </w:pPr>
    <w:rPr>
      <w:i/>
      <w:iCs/>
      <w:sz w:val="24"/>
      <w:szCs w:val="24"/>
    </w:rPr>
  </w:style>
  <w:style w:type="paragraph" w:styleId="9">
    <w:name w:val="heading 9"/>
    <w:basedOn w:val="a"/>
    <w:next w:val="a"/>
    <w:semiHidden/>
    <w:rsid w:val="004E4CB3"/>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4E4CB3"/>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0F2F61"/>
    <w:rPr>
      <w:rFonts w:ascii="Tahoma" w:eastAsiaTheme="minorHAnsi" w:hAnsi="Tahoma" w:cs="Tahoma"/>
      <w:sz w:val="16"/>
      <w:szCs w:val="16"/>
      <w:lang w:val="ru-RU" w:eastAsia="en-US"/>
    </w:rPr>
  </w:style>
  <w:style w:type="paragraph" w:customStyle="1" w:styleId="HMG">
    <w:name w:val="_ H __M_G"/>
    <w:basedOn w:val="a"/>
    <w:next w:val="a"/>
    <w:qFormat/>
    <w:rsid w:val="00E61978"/>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E61978"/>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E61978"/>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E61978"/>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61978"/>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61978"/>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0F2F61"/>
    <w:pPr>
      <w:spacing w:after="120"/>
      <w:ind w:left="1134" w:right="1134"/>
      <w:jc w:val="both"/>
    </w:pPr>
    <w:rPr>
      <w:rFonts w:eastAsia="Times New Roman" w:cs="Times New Roman"/>
      <w:szCs w:val="20"/>
    </w:rPr>
  </w:style>
  <w:style w:type="paragraph" w:customStyle="1" w:styleId="SLG">
    <w:name w:val="__S_L_G"/>
    <w:basedOn w:val="a"/>
    <w:next w:val="a"/>
    <w:qFormat/>
    <w:rsid w:val="00E61978"/>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61978"/>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61978"/>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61978"/>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61978"/>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61978"/>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0F2F6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6197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6197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61978"/>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61978"/>
    <w:rPr>
      <w:b/>
      <w:sz w:val="18"/>
      <w:lang w:val="en-GB" w:eastAsia="ru-RU"/>
    </w:rPr>
  </w:style>
  <w:style w:type="character" w:styleId="a7">
    <w:name w:val="page number"/>
    <w:aliases w:val="7_G"/>
    <w:basedOn w:val="a0"/>
    <w:qFormat/>
    <w:rsid w:val="00E61978"/>
    <w:rPr>
      <w:rFonts w:ascii="Times New Roman" w:hAnsi="Times New Roman"/>
      <w:b/>
      <w:sz w:val="18"/>
    </w:rPr>
  </w:style>
  <w:style w:type="paragraph" w:styleId="a8">
    <w:name w:val="footer"/>
    <w:aliases w:val="3_G"/>
    <w:basedOn w:val="a"/>
    <w:link w:val="a9"/>
    <w:qFormat/>
    <w:rsid w:val="00E61978"/>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61978"/>
    <w:rPr>
      <w:sz w:val="16"/>
      <w:lang w:val="en-GB" w:eastAsia="ru-RU"/>
    </w:rPr>
  </w:style>
  <w:style w:type="character" w:styleId="aa">
    <w:name w:val="footnote reference"/>
    <w:aliases w:val="4_G,Texto de nota al pie,Appel note de bas de page,Footnotes refss"/>
    <w:basedOn w:val="a0"/>
    <w:uiPriority w:val="99"/>
    <w:qFormat/>
    <w:rsid w:val="00E61978"/>
    <w:rPr>
      <w:rFonts w:ascii="Times New Roman" w:hAnsi="Times New Roman"/>
      <w:dstrike w:val="0"/>
      <w:sz w:val="18"/>
      <w:vertAlign w:val="superscript"/>
    </w:rPr>
  </w:style>
  <w:style w:type="character" w:styleId="ab">
    <w:name w:val="endnote reference"/>
    <w:aliases w:val="1_G"/>
    <w:basedOn w:val="aa"/>
    <w:qFormat/>
    <w:rsid w:val="00E61978"/>
    <w:rPr>
      <w:rFonts w:ascii="Times New Roman" w:hAnsi="Times New Roman"/>
      <w:dstrike w:val="0"/>
      <w:sz w:val="18"/>
      <w:vertAlign w:val="superscript"/>
    </w:rPr>
  </w:style>
  <w:style w:type="table" w:styleId="ac">
    <w:name w:val="Table Grid"/>
    <w:basedOn w:val="a1"/>
    <w:rsid w:val="004F2C8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61978"/>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61978"/>
    <w:rPr>
      <w:sz w:val="18"/>
      <w:lang w:val="ru-RU" w:eastAsia="ru-RU"/>
    </w:rPr>
  </w:style>
  <w:style w:type="paragraph" w:styleId="af">
    <w:name w:val="endnote text"/>
    <w:aliases w:val="2_G"/>
    <w:basedOn w:val="ad"/>
    <w:link w:val="af0"/>
    <w:qFormat/>
    <w:rsid w:val="00E61978"/>
  </w:style>
  <w:style w:type="character" w:customStyle="1" w:styleId="af0">
    <w:name w:val="Текст концевой сноски Знак"/>
    <w:aliases w:val="2_G Знак"/>
    <w:basedOn w:val="a0"/>
    <w:link w:val="af"/>
    <w:rsid w:val="00E61978"/>
    <w:rPr>
      <w:sz w:val="18"/>
      <w:lang w:val="ru-RU" w:eastAsia="ru-RU"/>
    </w:rPr>
  </w:style>
  <w:style w:type="character" w:customStyle="1" w:styleId="10">
    <w:name w:val="Заголовок 1 Знак"/>
    <w:aliases w:val="Table_G Знак"/>
    <w:basedOn w:val="a0"/>
    <w:link w:val="1"/>
    <w:rsid w:val="00E61978"/>
    <w:rPr>
      <w:rFonts w:cs="Arial"/>
      <w:b/>
      <w:bCs/>
      <w:szCs w:val="32"/>
      <w:lang w:val="ru-RU" w:eastAsia="ru-RU"/>
    </w:rPr>
  </w:style>
  <w:style w:type="character" w:styleId="af1">
    <w:name w:val="Hyperlink"/>
    <w:basedOn w:val="a0"/>
    <w:rsid w:val="00E61978"/>
    <w:rPr>
      <w:color w:val="0000FF" w:themeColor="hyperlink"/>
      <w:u w:val="none"/>
    </w:rPr>
  </w:style>
  <w:style w:type="character" w:styleId="af2">
    <w:name w:val="FollowedHyperlink"/>
    <w:basedOn w:val="a0"/>
    <w:rsid w:val="00E61978"/>
    <w:rPr>
      <w:color w:val="800080" w:themeColor="followedHyperlink"/>
      <w:u w:val="none"/>
    </w:rPr>
  </w:style>
  <w:style w:type="character" w:customStyle="1" w:styleId="SingleTxtGChar">
    <w:name w:val="_ Single Txt_G Char"/>
    <w:link w:val="SingleTxtG"/>
    <w:rsid w:val="00B12599"/>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0</TotalTime>
  <Pages>7</Pages>
  <Words>2612</Words>
  <Characters>18210</Characters>
  <Application>Microsoft Office Word</Application>
  <DocSecurity>0</DocSecurity>
  <Lines>331</Lines>
  <Paragraphs>103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CED/C/16/2</vt:lpstr>
      <vt:lpstr>A/</vt:lpstr>
      <vt:lpstr>A/</vt:lpstr>
    </vt:vector>
  </TitlesOfParts>
  <Company>DCM</Company>
  <LinksUpToDate>false</LinksUpToDate>
  <CharactersWithSpaces>20719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CED/C/16/2</dc:title>
  <dc:subject/>
  <dc:creator>Tatiana SHARKINA</dc:creator>
  <cp:keywords/>
  <cp:lastModifiedBy>Ioulia Goussarova</cp:lastModifiedBy>
  <cp:revision>3</cp:revision>
  <cp:lastPrinted>2019-06-14T08:53:00Z</cp:lastPrinted>
  <dcterms:created xsi:type="dcterms:W3CDTF">2019-06-14T08:53:00Z</dcterms:created>
  <dcterms:modified xsi:type="dcterms:W3CDTF">2019-06-14T08:53:00Z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