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636EEA49" w14:textId="77777777" w:rsidTr="00D01775">
        <w:trPr>
          <w:trHeight w:hRule="exact" w:val="851"/>
        </w:trPr>
        <w:tc>
          <w:tcPr>
            <w:tcW w:w="1280" w:type="dxa"/>
            <w:tcBorders>
              <w:bottom w:val="single" w:sz="4" w:space="0" w:color="auto"/>
            </w:tcBorders>
          </w:tcPr>
          <w:p w14:paraId="23799DF5" w14:textId="77777777" w:rsidR="002D5AAC" w:rsidRDefault="002D5AAC" w:rsidP="00D01775">
            <w:pPr>
              <w:kinsoku w:val="0"/>
              <w:overflowPunct w:val="0"/>
              <w:autoSpaceDE w:val="0"/>
              <w:autoSpaceDN w:val="0"/>
              <w:adjustRightInd w:val="0"/>
              <w:snapToGrid w:val="0"/>
            </w:pPr>
          </w:p>
        </w:tc>
        <w:tc>
          <w:tcPr>
            <w:tcW w:w="2273" w:type="dxa"/>
            <w:tcBorders>
              <w:bottom w:val="single" w:sz="4" w:space="0" w:color="auto"/>
            </w:tcBorders>
            <w:vAlign w:val="bottom"/>
          </w:tcPr>
          <w:p w14:paraId="0BAD88D6" w14:textId="77777777" w:rsidR="002D5AAC" w:rsidRPr="00BD33EE" w:rsidRDefault="00BD33EE" w:rsidP="008F7CAA">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1B674280" w14:textId="2F9DCB7A" w:rsidR="002D5AAC" w:rsidRDefault="00D01775" w:rsidP="00D01775">
            <w:pPr>
              <w:jc w:val="right"/>
            </w:pPr>
            <w:r w:rsidRPr="00D01775">
              <w:rPr>
                <w:sz w:val="40"/>
              </w:rPr>
              <w:t>CED</w:t>
            </w:r>
            <w:r>
              <w:t>/C/20/2</w:t>
            </w:r>
          </w:p>
        </w:tc>
      </w:tr>
      <w:tr w:rsidR="002D5AAC" w14:paraId="46982B47" w14:textId="77777777" w:rsidTr="00D01775">
        <w:trPr>
          <w:trHeight w:hRule="exact" w:val="2835"/>
        </w:trPr>
        <w:tc>
          <w:tcPr>
            <w:tcW w:w="1280" w:type="dxa"/>
            <w:tcBorders>
              <w:top w:val="single" w:sz="4" w:space="0" w:color="auto"/>
              <w:bottom w:val="single" w:sz="12" w:space="0" w:color="auto"/>
            </w:tcBorders>
          </w:tcPr>
          <w:p w14:paraId="311EDECB" w14:textId="77777777" w:rsidR="002D5AAC" w:rsidRDefault="00477509" w:rsidP="008F7CAA">
            <w:pPr>
              <w:spacing w:before="120"/>
              <w:jc w:val="center"/>
            </w:pPr>
            <w:r>
              <w:rPr>
                <w:noProof/>
              </w:rPr>
              <w:drawing>
                <wp:inline distT="0" distB="0" distL="0" distR="0" wp14:anchorId="49BF0129" wp14:editId="3F9C633A">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0855D749" w14:textId="77777777" w:rsidR="002D5AAC" w:rsidRPr="00033EE1" w:rsidRDefault="00F94155" w:rsidP="008F7CAA">
            <w:pPr>
              <w:spacing w:before="120" w:line="360" w:lineRule="exact"/>
              <w:rPr>
                <w:b/>
                <w:sz w:val="34"/>
                <w:szCs w:val="34"/>
              </w:rPr>
            </w:pPr>
            <w:r w:rsidRPr="00033EE1">
              <w:rPr>
                <w:b/>
                <w:sz w:val="34"/>
                <w:szCs w:val="34"/>
              </w:rPr>
              <w:t xml:space="preserve">Convención </w:t>
            </w:r>
            <w:r w:rsidR="00A34B7B">
              <w:rPr>
                <w:b/>
                <w:sz w:val="34"/>
                <w:szCs w:val="34"/>
              </w:rPr>
              <w:t xml:space="preserve">Internacional para la </w:t>
            </w:r>
            <w:r w:rsidR="005E6387">
              <w:rPr>
                <w:b/>
                <w:sz w:val="34"/>
                <w:szCs w:val="34"/>
              </w:rPr>
              <w:t xml:space="preserve">Protección </w:t>
            </w:r>
            <w:r w:rsidR="00A34B7B">
              <w:rPr>
                <w:b/>
                <w:sz w:val="34"/>
                <w:szCs w:val="34"/>
              </w:rPr>
              <w:t xml:space="preserve">de </w:t>
            </w:r>
            <w:r w:rsidR="005E6387">
              <w:rPr>
                <w:b/>
                <w:sz w:val="34"/>
                <w:szCs w:val="34"/>
              </w:rPr>
              <w:t xml:space="preserve">Todas </w:t>
            </w:r>
            <w:r w:rsidR="00A34B7B">
              <w:rPr>
                <w:b/>
                <w:sz w:val="34"/>
                <w:szCs w:val="34"/>
              </w:rPr>
              <w:t xml:space="preserve">las </w:t>
            </w:r>
            <w:r w:rsidR="005E6387">
              <w:rPr>
                <w:b/>
                <w:sz w:val="34"/>
                <w:szCs w:val="34"/>
              </w:rPr>
              <w:t xml:space="preserve">Personas </w:t>
            </w:r>
            <w:r w:rsidR="00A34B7B">
              <w:rPr>
                <w:b/>
                <w:sz w:val="34"/>
                <w:szCs w:val="34"/>
              </w:rPr>
              <w:t xml:space="preserve">contra las </w:t>
            </w:r>
            <w:r w:rsidR="005E6387">
              <w:rPr>
                <w:b/>
                <w:sz w:val="34"/>
                <w:szCs w:val="34"/>
              </w:rPr>
              <w:t>Desapariciones Forzadas</w:t>
            </w:r>
          </w:p>
        </w:tc>
        <w:tc>
          <w:tcPr>
            <w:tcW w:w="2819" w:type="dxa"/>
            <w:tcBorders>
              <w:top w:val="single" w:sz="4" w:space="0" w:color="auto"/>
              <w:bottom w:val="single" w:sz="12" w:space="0" w:color="auto"/>
            </w:tcBorders>
          </w:tcPr>
          <w:p w14:paraId="49528DF0" w14:textId="77777777" w:rsidR="002D5AAC" w:rsidRDefault="00D01775" w:rsidP="008F7CAA">
            <w:pPr>
              <w:spacing w:before="240"/>
            </w:pPr>
            <w:r>
              <w:t>Distr. general</w:t>
            </w:r>
          </w:p>
          <w:p w14:paraId="399728ED" w14:textId="674169D6" w:rsidR="00D01775" w:rsidRDefault="00D01775" w:rsidP="00D01775">
            <w:pPr>
              <w:spacing w:line="240" w:lineRule="exact"/>
            </w:pPr>
            <w:r>
              <w:t>28 de mayo de 2021</w:t>
            </w:r>
          </w:p>
          <w:p w14:paraId="7911AA66" w14:textId="77777777" w:rsidR="00D01775" w:rsidRDefault="00D01775" w:rsidP="00D01775">
            <w:pPr>
              <w:spacing w:line="240" w:lineRule="exact"/>
            </w:pPr>
            <w:r>
              <w:t>Español</w:t>
            </w:r>
          </w:p>
          <w:p w14:paraId="6030AE36" w14:textId="166E567B" w:rsidR="00D01775" w:rsidRDefault="00D01775" w:rsidP="00D01775">
            <w:pPr>
              <w:spacing w:line="240" w:lineRule="exact"/>
            </w:pPr>
            <w:r>
              <w:t>Original: inglés</w:t>
            </w:r>
          </w:p>
        </w:tc>
      </w:tr>
    </w:tbl>
    <w:p w14:paraId="44434A9D" w14:textId="77777777" w:rsidR="00D01775" w:rsidRPr="00D01775" w:rsidRDefault="00D01775" w:rsidP="00D01775">
      <w:pPr>
        <w:spacing w:before="120"/>
        <w:rPr>
          <w:b/>
          <w:bCs/>
          <w:sz w:val="24"/>
          <w:szCs w:val="24"/>
        </w:rPr>
      </w:pPr>
      <w:r w:rsidRPr="00D01775">
        <w:rPr>
          <w:b/>
          <w:bCs/>
          <w:sz w:val="24"/>
          <w:szCs w:val="24"/>
        </w:rPr>
        <w:t>Comité contra la Desaparición Forzada</w:t>
      </w:r>
    </w:p>
    <w:p w14:paraId="64924545" w14:textId="3324864D" w:rsidR="00D01775" w:rsidRPr="00D01775" w:rsidRDefault="00D01775" w:rsidP="00D01775">
      <w:pPr>
        <w:pStyle w:val="HChG"/>
      </w:pPr>
      <w:r w:rsidRPr="00D01775">
        <w:tab/>
      </w:r>
      <w:r>
        <w:tab/>
      </w:r>
      <w:r w:rsidRPr="00D01775">
        <w:t>Informe sobre las peticiones de acción urgente presentadas en virtud del artículo 30 de la Convención</w:t>
      </w:r>
      <w:r w:rsidRPr="00D01775">
        <w:rPr>
          <w:b w:val="0"/>
          <w:bCs/>
          <w:sz w:val="20"/>
          <w:szCs w:val="14"/>
        </w:rPr>
        <w:footnoteReference w:customMarkFollows="1" w:id="1"/>
        <w:t>*</w:t>
      </w:r>
    </w:p>
    <w:p w14:paraId="5A7858E8" w14:textId="77777777" w:rsidR="00D01775" w:rsidRPr="00D01775" w:rsidRDefault="00D01775" w:rsidP="00D01775">
      <w:pPr>
        <w:pStyle w:val="H1G"/>
      </w:pPr>
      <w:r w:rsidRPr="00D01775">
        <w:tab/>
        <w:t>A.</w:t>
      </w:r>
      <w:r w:rsidRPr="00D01775">
        <w:tab/>
        <w:t>Introducción</w:t>
      </w:r>
    </w:p>
    <w:p w14:paraId="55F7AB40" w14:textId="27F55347" w:rsidR="00D01775" w:rsidRPr="00D01775" w:rsidRDefault="00D01775" w:rsidP="00D01775">
      <w:pPr>
        <w:pStyle w:val="SingleTxtG"/>
      </w:pPr>
      <w:r w:rsidRPr="00D01775">
        <w:t>1.</w:t>
      </w:r>
      <w:r w:rsidRPr="00D01775">
        <w:tab/>
        <w:t>El reglamento del Comité, en sus artículos 57 y 58, establece que se señalarán a la atención del Comité todas las peticiones de acción urgente que se hayan presentado para que este las examine en virtud del artículo 30 de la Convención. El texto completo de cualquiera de esas peticiones, en el idioma en que se haya presentado, podrá ponerse a disposición de todo miembro del Comité que lo solicite. En el presente informe se resumen las principales cuestiones abordadas en relación con las peticiones de acción urgente recibidas por el Comité en virtud del artículo 30 de la Convención y las decisiones adoptadas al respecto desde el</w:t>
      </w:r>
      <w:r w:rsidR="00816C4A">
        <w:t> </w:t>
      </w:r>
      <w:r w:rsidRPr="00D01775">
        <w:t>19º</w:t>
      </w:r>
      <w:r w:rsidR="00816C4A">
        <w:t> </w:t>
      </w:r>
      <w:r w:rsidRPr="00D01775">
        <w:t>período de sesiones.</w:t>
      </w:r>
    </w:p>
    <w:p w14:paraId="19719077" w14:textId="7BE22AE5" w:rsidR="00D01775" w:rsidRPr="00D01775" w:rsidRDefault="00D01775" w:rsidP="00D01775">
      <w:pPr>
        <w:pStyle w:val="H1G"/>
      </w:pPr>
      <w:r w:rsidRPr="00D01775">
        <w:tab/>
        <w:t>B.</w:t>
      </w:r>
      <w:r w:rsidRPr="00D01775">
        <w:tab/>
        <w:t xml:space="preserve">Peticiones de acción urgente recibidas desde el 19º período </w:t>
      </w:r>
      <w:r>
        <w:br/>
      </w:r>
      <w:r w:rsidRPr="00D01775">
        <w:t>de sesiones del Comité</w:t>
      </w:r>
    </w:p>
    <w:p w14:paraId="34BFF362" w14:textId="4A84A7D4" w:rsidR="00D01775" w:rsidRPr="00D01775" w:rsidRDefault="00D01775" w:rsidP="00D01775">
      <w:pPr>
        <w:pStyle w:val="SingleTxtG"/>
      </w:pPr>
      <w:r w:rsidRPr="00D01775">
        <w:t>2.</w:t>
      </w:r>
      <w:r w:rsidRPr="00D01775">
        <w:tab/>
        <w:t>En el informe sobre las peticiones de acción urgente aprobado en su 19º período de sesiones</w:t>
      </w:r>
      <w:r w:rsidRPr="00D01775">
        <w:rPr>
          <w:sz w:val="18"/>
          <w:szCs w:val="18"/>
          <w:vertAlign w:val="superscript"/>
        </w:rPr>
        <w:footnoteReference w:id="2"/>
      </w:r>
      <w:r w:rsidRPr="00D01775">
        <w:t>, el Comité expuso las decisiones adoptadas sobre las 969 peticiones de acción urgente registradas hasta el 31 de agosto de 2020. Desde esa fecha hasta el 1 de abril de 2021, el Comité recibió 47 nuevas peticiones de acción urgente, de las que 44 fueron registradas. Tres peticiones no se registraron por tratarse de casos de presunta desaparición en Estados que no habían ratificado la Convención; de acuerdo con la práctica establecida, esas</w:t>
      </w:r>
      <w:r w:rsidR="00816C4A">
        <w:t> 3 </w:t>
      </w:r>
      <w:r w:rsidRPr="00D01775">
        <w:t xml:space="preserve">peticiones se remitieron al Grupo de Trabajo sobre las Desapariciones Forzadas o Involuntarias. Otras </w:t>
      </w:r>
      <w:r w:rsidR="00816C4A">
        <w:t>2</w:t>
      </w:r>
      <w:r w:rsidRPr="00D01775">
        <w:t xml:space="preserve"> peticiones no se registraron porque las personas a las que se referían fueron localizadas. Las 44 nuevas peticiones registradas se referían a desapariciones en Burkina Faso, Colombia, Honduras, el Iraq, Marruecos, México, el Paraguay, el Perú y el Togo.</w:t>
      </w:r>
    </w:p>
    <w:p w14:paraId="42E8BB63" w14:textId="77777777" w:rsidR="00D01775" w:rsidRPr="00D01775" w:rsidRDefault="00D01775" w:rsidP="00D01775">
      <w:pPr>
        <w:pStyle w:val="SingleTxtG"/>
      </w:pPr>
      <w:r w:rsidRPr="00D01775">
        <w:t>3.</w:t>
      </w:r>
      <w:r w:rsidRPr="00D01775">
        <w:tab/>
        <w:t>Hasta el 1 de abril de 2021, el Comité había registrado un total de 1.013 peticiones de acción urgente, como se indica en el cuadro.</w:t>
      </w:r>
    </w:p>
    <w:p w14:paraId="7569950F" w14:textId="0A56B63C" w:rsidR="00D01775" w:rsidRPr="00D01775" w:rsidRDefault="00D01775" w:rsidP="00DC73DD">
      <w:pPr>
        <w:pStyle w:val="H23G"/>
        <w:ind w:left="0" w:firstLine="0"/>
      </w:pPr>
      <w:r w:rsidRPr="00D01775">
        <w:lastRenderedPageBreak/>
        <w:t xml:space="preserve">Peticiones de acción urgente registradas hasta el 1 de abril de 2021, desglosadas por año </w:t>
      </w:r>
      <w:r w:rsidR="00DC73DD">
        <w:br/>
      </w:r>
      <w:r w:rsidRPr="00D01775">
        <w:t>y Estado parte</w:t>
      </w:r>
    </w:p>
    <w:tbl>
      <w:tblPr>
        <w:tblW w:w="5001" w:type="pct"/>
        <w:tblBorders>
          <w:top w:val="single" w:sz="4" w:space="0" w:color="auto"/>
        </w:tblBorders>
        <w:tblLayout w:type="fixed"/>
        <w:tblCellMar>
          <w:left w:w="0" w:type="dxa"/>
          <w:right w:w="0" w:type="dxa"/>
        </w:tblCellMar>
        <w:tblLook w:val="04A0" w:firstRow="1" w:lastRow="0" w:firstColumn="1" w:lastColumn="0" w:noHBand="0" w:noVBand="1"/>
      </w:tblPr>
      <w:tblGrid>
        <w:gridCol w:w="444"/>
        <w:gridCol w:w="383"/>
        <w:gridCol w:w="381"/>
        <w:gridCol w:w="518"/>
        <w:gridCol w:w="333"/>
        <w:gridCol w:w="368"/>
        <w:gridCol w:w="418"/>
        <w:gridCol w:w="364"/>
        <w:gridCol w:w="364"/>
        <w:gridCol w:w="364"/>
        <w:gridCol w:w="364"/>
        <w:gridCol w:w="411"/>
        <w:gridCol w:w="364"/>
        <w:gridCol w:w="364"/>
        <w:gridCol w:w="362"/>
        <w:gridCol w:w="364"/>
        <w:gridCol w:w="364"/>
        <w:gridCol w:w="411"/>
        <w:gridCol w:w="362"/>
        <w:gridCol w:w="362"/>
        <w:gridCol w:w="362"/>
        <w:gridCol w:w="364"/>
        <w:gridCol w:w="364"/>
        <w:gridCol w:w="324"/>
        <w:gridCol w:w="561"/>
      </w:tblGrid>
      <w:tr w:rsidR="00994926" w:rsidRPr="00D01775" w14:paraId="7B539ED0" w14:textId="77777777" w:rsidTr="00207489">
        <w:trPr>
          <w:cantSplit/>
          <w:trHeight w:val="1794"/>
          <w:tblHeader/>
        </w:trPr>
        <w:tc>
          <w:tcPr>
            <w:tcW w:w="230" w:type="pct"/>
            <w:tcBorders>
              <w:top w:val="single" w:sz="4" w:space="0" w:color="auto"/>
              <w:bottom w:val="single" w:sz="12" w:space="0" w:color="auto"/>
            </w:tcBorders>
            <w:shd w:val="clear" w:color="auto" w:fill="auto"/>
            <w:vAlign w:val="bottom"/>
          </w:tcPr>
          <w:p w14:paraId="6E886751" w14:textId="77777777" w:rsidR="00994926" w:rsidRPr="00D01775" w:rsidRDefault="00994926" w:rsidP="00994926">
            <w:pPr>
              <w:pStyle w:val="SingleTxtG"/>
              <w:keepNext/>
              <w:tabs>
                <w:tab w:val="clear" w:pos="1701"/>
                <w:tab w:val="clear" w:pos="2268"/>
                <w:tab w:val="clear" w:pos="2835"/>
              </w:tabs>
              <w:spacing w:before="40" w:after="40" w:line="200" w:lineRule="exact"/>
              <w:ind w:left="0" w:right="0"/>
              <w:jc w:val="left"/>
              <w:rPr>
                <w:i/>
                <w:sz w:val="16"/>
              </w:rPr>
            </w:pPr>
            <w:r w:rsidRPr="00D01775">
              <w:rPr>
                <w:i/>
                <w:iCs/>
                <w:sz w:val="16"/>
              </w:rPr>
              <w:t>Año</w:t>
            </w:r>
          </w:p>
        </w:tc>
        <w:tc>
          <w:tcPr>
            <w:tcW w:w="198" w:type="pct"/>
            <w:tcBorders>
              <w:top w:val="single" w:sz="4" w:space="0" w:color="auto"/>
              <w:bottom w:val="single" w:sz="12" w:space="0" w:color="auto"/>
            </w:tcBorders>
            <w:shd w:val="clear" w:color="auto" w:fill="auto"/>
            <w:textDirection w:val="btLr"/>
            <w:vAlign w:val="bottom"/>
          </w:tcPr>
          <w:p w14:paraId="01F08CD5" w14:textId="77777777" w:rsidR="00994926" w:rsidRPr="00D01775" w:rsidRDefault="00994926" w:rsidP="00994926">
            <w:pPr>
              <w:pStyle w:val="SingleTxtG"/>
              <w:keepNext/>
              <w:tabs>
                <w:tab w:val="clear" w:pos="1701"/>
                <w:tab w:val="clear" w:pos="2268"/>
                <w:tab w:val="clear" w:pos="2835"/>
              </w:tabs>
              <w:spacing w:before="40" w:after="40" w:line="200" w:lineRule="exact"/>
              <w:ind w:left="57" w:right="0"/>
              <w:jc w:val="left"/>
              <w:rPr>
                <w:i/>
                <w:sz w:val="16"/>
              </w:rPr>
            </w:pPr>
            <w:r w:rsidRPr="00D01775">
              <w:rPr>
                <w:i/>
                <w:iCs/>
                <w:sz w:val="16"/>
              </w:rPr>
              <w:t>Argentina</w:t>
            </w:r>
          </w:p>
        </w:tc>
        <w:tc>
          <w:tcPr>
            <w:tcW w:w="197" w:type="pct"/>
            <w:tcBorders>
              <w:top w:val="single" w:sz="4" w:space="0" w:color="auto"/>
              <w:bottom w:val="single" w:sz="12" w:space="0" w:color="auto"/>
            </w:tcBorders>
            <w:shd w:val="clear" w:color="auto" w:fill="auto"/>
            <w:textDirection w:val="btLr"/>
            <w:vAlign w:val="bottom"/>
          </w:tcPr>
          <w:p w14:paraId="04578B58" w14:textId="77777777" w:rsidR="00994926" w:rsidRPr="00D01775" w:rsidRDefault="00994926" w:rsidP="00994926">
            <w:pPr>
              <w:pStyle w:val="SingleTxtG"/>
              <w:keepNext/>
              <w:tabs>
                <w:tab w:val="clear" w:pos="1701"/>
                <w:tab w:val="clear" w:pos="2268"/>
                <w:tab w:val="clear" w:pos="2835"/>
              </w:tabs>
              <w:spacing w:before="40" w:after="40" w:line="200" w:lineRule="exact"/>
              <w:ind w:left="57" w:right="0"/>
              <w:jc w:val="left"/>
              <w:rPr>
                <w:i/>
                <w:sz w:val="16"/>
              </w:rPr>
            </w:pPr>
            <w:r w:rsidRPr="00D01775">
              <w:rPr>
                <w:i/>
                <w:iCs/>
                <w:sz w:val="16"/>
              </w:rPr>
              <w:t>Armenia</w:t>
            </w:r>
          </w:p>
        </w:tc>
        <w:tc>
          <w:tcPr>
            <w:tcW w:w="268" w:type="pct"/>
            <w:tcBorders>
              <w:top w:val="single" w:sz="4" w:space="0" w:color="auto"/>
              <w:bottom w:val="single" w:sz="12" w:space="0" w:color="auto"/>
            </w:tcBorders>
            <w:shd w:val="clear" w:color="auto" w:fill="auto"/>
            <w:textDirection w:val="btLr"/>
            <w:vAlign w:val="bottom"/>
          </w:tcPr>
          <w:p w14:paraId="2D8958C8" w14:textId="77777777" w:rsidR="00994926" w:rsidRPr="00D01775" w:rsidRDefault="00994926" w:rsidP="00994926">
            <w:pPr>
              <w:pStyle w:val="SingleTxtG"/>
              <w:keepNext/>
              <w:tabs>
                <w:tab w:val="clear" w:pos="1701"/>
                <w:tab w:val="clear" w:pos="2268"/>
                <w:tab w:val="clear" w:pos="2835"/>
              </w:tabs>
              <w:spacing w:before="40" w:after="40" w:line="200" w:lineRule="exact"/>
              <w:ind w:left="57" w:right="0"/>
              <w:jc w:val="left"/>
              <w:rPr>
                <w:i/>
                <w:sz w:val="16"/>
              </w:rPr>
            </w:pPr>
            <w:r w:rsidRPr="00D01775">
              <w:rPr>
                <w:i/>
                <w:iCs/>
                <w:sz w:val="16"/>
              </w:rPr>
              <w:t>Bolivia (Estado Plurinacional de)</w:t>
            </w:r>
          </w:p>
        </w:tc>
        <w:tc>
          <w:tcPr>
            <w:tcW w:w="172" w:type="pct"/>
            <w:tcBorders>
              <w:top w:val="single" w:sz="4" w:space="0" w:color="auto"/>
              <w:bottom w:val="single" w:sz="12" w:space="0" w:color="auto"/>
            </w:tcBorders>
            <w:shd w:val="clear" w:color="auto" w:fill="auto"/>
            <w:textDirection w:val="btLr"/>
            <w:vAlign w:val="bottom"/>
          </w:tcPr>
          <w:p w14:paraId="091FC8C4" w14:textId="77777777" w:rsidR="00994926" w:rsidRPr="00D01775" w:rsidRDefault="00994926" w:rsidP="00994926">
            <w:pPr>
              <w:pStyle w:val="SingleTxtG"/>
              <w:keepNext/>
              <w:tabs>
                <w:tab w:val="clear" w:pos="1701"/>
                <w:tab w:val="clear" w:pos="2268"/>
                <w:tab w:val="clear" w:pos="2835"/>
              </w:tabs>
              <w:spacing w:before="40" w:after="40" w:line="200" w:lineRule="exact"/>
              <w:ind w:left="57" w:right="0"/>
              <w:jc w:val="left"/>
              <w:rPr>
                <w:i/>
                <w:sz w:val="16"/>
              </w:rPr>
            </w:pPr>
            <w:r w:rsidRPr="00D01775">
              <w:rPr>
                <w:i/>
                <w:iCs/>
                <w:sz w:val="16"/>
              </w:rPr>
              <w:t>Brasil</w:t>
            </w:r>
          </w:p>
        </w:tc>
        <w:tc>
          <w:tcPr>
            <w:tcW w:w="191" w:type="pct"/>
            <w:tcBorders>
              <w:top w:val="single" w:sz="4" w:space="0" w:color="auto"/>
              <w:bottom w:val="single" w:sz="12" w:space="0" w:color="auto"/>
            </w:tcBorders>
            <w:shd w:val="clear" w:color="auto" w:fill="auto"/>
            <w:textDirection w:val="btLr"/>
            <w:vAlign w:val="bottom"/>
          </w:tcPr>
          <w:p w14:paraId="2365C2D0" w14:textId="77777777" w:rsidR="00994926" w:rsidRPr="00D01775" w:rsidRDefault="00994926" w:rsidP="00994926">
            <w:pPr>
              <w:pStyle w:val="SingleTxtG"/>
              <w:keepNext/>
              <w:tabs>
                <w:tab w:val="clear" w:pos="1701"/>
                <w:tab w:val="clear" w:pos="2268"/>
                <w:tab w:val="clear" w:pos="2835"/>
              </w:tabs>
              <w:spacing w:before="40" w:after="40" w:line="200" w:lineRule="exact"/>
              <w:ind w:left="57" w:right="0"/>
              <w:jc w:val="left"/>
              <w:rPr>
                <w:i/>
                <w:sz w:val="16"/>
              </w:rPr>
            </w:pPr>
            <w:r w:rsidRPr="00D01775">
              <w:rPr>
                <w:i/>
                <w:iCs/>
                <w:sz w:val="16"/>
              </w:rPr>
              <w:t>Burkina Faso</w:t>
            </w:r>
          </w:p>
        </w:tc>
        <w:tc>
          <w:tcPr>
            <w:tcW w:w="217" w:type="pct"/>
            <w:tcBorders>
              <w:top w:val="single" w:sz="4" w:space="0" w:color="auto"/>
              <w:bottom w:val="single" w:sz="12" w:space="0" w:color="auto"/>
            </w:tcBorders>
            <w:shd w:val="clear" w:color="auto" w:fill="auto"/>
            <w:textDirection w:val="btLr"/>
            <w:vAlign w:val="bottom"/>
          </w:tcPr>
          <w:p w14:paraId="11EF58DB" w14:textId="77777777" w:rsidR="00994926" w:rsidRPr="00D01775" w:rsidRDefault="00994926" w:rsidP="00994926">
            <w:pPr>
              <w:pStyle w:val="SingleTxtG"/>
              <w:keepNext/>
              <w:tabs>
                <w:tab w:val="clear" w:pos="1701"/>
                <w:tab w:val="clear" w:pos="2268"/>
                <w:tab w:val="clear" w:pos="2835"/>
              </w:tabs>
              <w:spacing w:before="40" w:after="40" w:line="200" w:lineRule="exact"/>
              <w:ind w:left="57" w:right="0"/>
              <w:jc w:val="left"/>
              <w:rPr>
                <w:i/>
                <w:sz w:val="16"/>
              </w:rPr>
            </w:pPr>
            <w:r w:rsidRPr="00D01775">
              <w:rPr>
                <w:i/>
                <w:iCs/>
                <w:sz w:val="16"/>
              </w:rPr>
              <w:t>Camboya</w:t>
            </w:r>
          </w:p>
        </w:tc>
        <w:tc>
          <w:tcPr>
            <w:tcW w:w="189" w:type="pct"/>
            <w:tcBorders>
              <w:top w:val="single" w:sz="4" w:space="0" w:color="auto"/>
              <w:bottom w:val="single" w:sz="12" w:space="0" w:color="auto"/>
            </w:tcBorders>
            <w:shd w:val="clear" w:color="auto" w:fill="auto"/>
            <w:textDirection w:val="btLr"/>
            <w:vAlign w:val="bottom"/>
          </w:tcPr>
          <w:p w14:paraId="263076A1" w14:textId="77777777" w:rsidR="00994926" w:rsidRPr="00D01775" w:rsidRDefault="00994926" w:rsidP="00994926">
            <w:pPr>
              <w:pStyle w:val="SingleTxtG"/>
              <w:keepNext/>
              <w:tabs>
                <w:tab w:val="clear" w:pos="1701"/>
                <w:tab w:val="clear" w:pos="2268"/>
                <w:tab w:val="clear" w:pos="2835"/>
              </w:tabs>
              <w:spacing w:before="40" w:after="40" w:line="200" w:lineRule="exact"/>
              <w:ind w:left="57" w:right="0"/>
              <w:jc w:val="left"/>
              <w:rPr>
                <w:i/>
                <w:sz w:val="16"/>
              </w:rPr>
            </w:pPr>
            <w:r w:rsidRPr="00D01775">
              <w:rPr>
                <w:i/>
                <w:iCs/>
                <w:sz w:val="16"/>
              </w:rPr>
              <w:t>Colombia</w:t>
            </w:r>
          </w:p>
        </w:tc>
        <w:tc>
          <w:tcPr>
            <w:tcW w:w="189" w:type="pct"/>
            <w:tcBorders>
              <w:top w:val="single" w:sz="4" w:space="0" w:color="auto"/>
              <w:bottom w:val="single" w:sz="12" w:space="0" w:color="auto"/>
            </w:tcBorders>
            <w:shd w:val="clear" w:color="auto" w:fill="auto"/>
            <w:textDirection w:val="btLr"/>
            <w:vAlign w:val="bottom"/>
          </w:tcPr>
          <w:p w14:paraId="2C43CF00" w14:textId="77777777" w:rsidR="00994926" w:rsidRPr="00D01775" w:rsidRDefault="00994926" w:rsidP="00994926">
            <w:pPr>
              <w:pStyle w:val="SingleTxtG"/>
              <w:keepNext/>
              <w:tabs>
                <w:tab w:val="clear" w:pos="1701"/>
                <w:tab w:val="clear" w:pos="2268"/>
                <w:tab w:val="clear" w:pos="2835"/>
              </w:tabs>
              <w:spacing w:before="40" w:after="40" w:line="200" w:lineRule="exact"/>
              <w:ind w:left="57" w:right="0"/>
              <w:jc w:val="left"/>
              <w:rPr>
                <w:i/>
                <w:sz w:val="16"/>
              </w:rPr>
            </w:pPr>
            <w:r w:rsidRPr="00D01775">
              <w:rPr>
                <w:i/>
                <w:iCs/>
                <w:sz w:val="16"/>
              </w:rPr>
              <w:t>Cuba</w:t>
            </w:r>
          </w:p>
        </w:tc>
        <w:tc>
          <w:tcPr>
            <w:tcW w:w="189" w:type="pct"/>
            <w:tcBorders>
              <w:top w:val="single" w:sz="4" w:space="0" w:color="auto"/>
              <w:bottom w:val="single" w:sz="12" w:space="0" w:color="auto"/>
            </w:tcBorders>
            <w:textDirection w:val="btLr"/>
            <w:vAlign w:val="bottom"/>
          </w:tcPr>
          <w:p w14:paraId="4B22FD24" w14:textId="500F6430" w:rsidR="00994926" w:rsidRPr="00D01775" w:rsidRDefault="00994926" w:rsidP="00994926">
            <w:pPr>
              <w:pStyle w:val="SingleTxtG"/>
              <w:keepNext/>
              <w:tabs>
                <w:tab w:val="clear" w:pos="1701"/>
                <w:tab w:val="clear" w:pos="2268"/>
                <w:tab w:val="clear" w:pos="2835"/>
              </w:tabs>
              <w:spacing w:before="40" w:after="40" w:line="200" w:lineRule="exact"/>
              <w:ind w:left="57" w:right="0"/>
              <w:jc w:val="left"/>
              <w:rPr>
                <w:i/>
                <w:iCs/>
                <w:sz w:val="16"/>
              </w:rPr>
            </w:pPr>
            <w:r w:rsidRPr="00D01775">
              <w:rPr>
                <w:i/>
                <w:iCs/>
                <w:sz w:val="16"/>
              </w:rPr>
              <w:t>Eslovaquia</w:t>
            </w:r>
          </w:p>
        </w:tc>
        <w:tc>
          <w:tcPr>
            <w:tcW w:w="189" w:type="pct"/>
            <w:tcBorders>
              <w:top w:val="single" w:sz="4" w:space="0" w:color="auto"/>
              <w:bottom w:val="single" w:sz="12" w:space="0" w:color="auto"/>
            </w:tcBorders>
            <w:shd w:val="clear" w:color="auto" w:fill="auto"/>
            <w:textDirection w:val="btLr"/>
            <w:vAlign w:val="bottom"/>
          </w:tcPr>
          <w:p w14:paraId="4069004A" w14:textId="2C15607A" w:rsidR="00994926" w:rsidRPr="00D01775" w:rsidRDefault="00994926" w:rsidP="00994926">
            <w:pPr>
              <w:pStyle w:val="SingleTxtG"/>
              <w:keepNext/>
              <w:tabs>
                <w:tab w:val="clear" w:pos="1701"/>
                <w:tab w:val="clear" w:pos="2268"/>
                <w:tab w:val="clear" w:pos="2835"/>
              </w:tabs>
              <w:spacing w:before="40" w:after="40" w:line="200" w:lineRule="exact"/>
              <w:ind w:left="57" w:right="0"/>
              <w:jc w:val="left"/>
              <w:rPr>
                <w:i/>
                <w:sz w:val="16"/>
              </w:rPr>
            </w:pPr>
            <w:r w:rsidRPr="00D01775">
              <w:rPr>
                <w:i/>
                <w:iCs/>
                <w:sz w:val="16"/>
              </w:rPr>
              <w:t>Honduras</w:t>
            </w:r>
          </w:p>
        </w:tc>
        <w:tc>
          <w:tcPr>
            <w:tcW w:w="213" w:type="pct"/>
            <w:tcBorders>
              <w:top w:val="single" w:sz="4" w:space="0" w:color="auto"/>
              <w:bottom w:val="single" w:sz="12" w:space="0" w:color="auto"/>
            </w:tcBorders>
            <w:shd w:val="clear" w:color="auto" w:fill="auto"/>
            <w:textDirection w:val="btLr"/>
            <w:vAlign w:val="bottom"/>
          </w:tcPr>
          <w:p w14:paraId="173CEB71" w14:textId="77777777" w:rsidR="00994926" w:rsidRPr="00D01775" w:rsidRDefault="00994926" w:rsidP="00994926">
            <w:pPr>
              <w:pStyle w:val="SingleTxtG"/>
              <w:keepNext/>
              <w:tabs>
                <w:tab w:val="clear" w:pos="1701"/>
                <w:tab w:val="clear" w:pos="2268"/>
                <w:tab w:val="clear" w:pos="2835"/>
              </w:tabs>
              <w:spacing w:before="40" w:after="40" w:line="200" w:lineRule="exact"/>
              <w:ind w:left="57" w:right="0"/>
              <w:jc w:val="left"/>
              <w:rPr>
                <w:i/>
                <w:sz w:val="16"/>
              </w:rPr>
            </w:pPr>
            <w:r w:rsidRPr="00D01775">
              <w:rPr>
                <w:i/>
                <w:iCs/>
                <w:sz w:val="16"/>
              </w:rPr>
              <w:t>Iraq</w:t>
            </w:r>
          </w:p>
        </w:tc>
        <w:tc>
          <w:tcPr>
            <w:tcW w:w="189" w:type="pct"/>
            <w:tcBorders>
              <w:top w:val="single" w:sz="4" w:space="0" w:color="auto"/>
              <w:bottom w:val="single" w:sz="12" w:space="0" w:color="auto"/>
            </w:tcBorders>
            <w:shd w:val="clear" w:color="auto" w:fill="auto"/>
            <w:textDirection w:val="btLr"/>
            <w:vAlign w:val="bottom"/>
          </w:tcPr>
          <w:p w14:paraId="17211409" w14:textId="77777777" w:rsidR="00994926" w:rsidRPr="00D01775" w:rsidRDefault="00994926" w:rsidP="00994926">
            <w:pPr>
              <w:pStyle w:val="SingleTxtG"/>
              <w:keepNext/>
              <w:tabs>
                <w:tab w:val="clear" w:pos="1701"/>
                <w:tab w:val="clear" w:pos="2268"/>
                <w:tab w:val="clear" w:pos="2835"/>
              </w:tabs>
              <w:spacing w:before="40" w:after="40" w:line="200" w:lineRule="exact"/>
              <w:ind w:left="57" w:right="0"/>
              <w:jc w:val="left"/>
              <w:rPr>
                <w:i/>
                <w:sz w:val="16"/>
              </w:rPr>
            </w:pPr>
            <w:r w:rsidRPr="00D01775">
              <w:rPr>
                <w:i/>
                <w:iCs/>
                <w:sz w:val="16"/>
              </w:rPr>
              <w:t>Kazajstán</w:t>
            </w:r>
          </w:p>
        </w:tc>
        <w:tc>
          <w:tcPr>
            <w:tcW w:w="189" w:type="pct"/>
            <w:tcBorders>
              <w:top w:val="single" w:sz="4" w:space="0" w:color="auto"/>
              <w:bottom w:val="single" w:sz="12" w:space="0" w:color="auto"/>
            </w:tcBorders>
            <w:shd w:val="clear" w:color="auto" w:fill="auto"/>
            <w:textDirection w:val="btLr"/>
            <w:vAlign w:val="bottom"/>
          </w:tcPr>
          <w:p w14:paraId="6B0A69C5" w14:textId="77777777" w:rsidR="00994926" w:rsidRPr="00D01775" w:rsidRDefault="00994926" w:rsidP="00994926">
            <w:pPr>
              <w:pStyle w:val="SingleTxtG"/>
              <w:keepNext/>
              <w:tabs>
                <w:tab w:val="clear" w:pos="1701"/>
                <w:tab w:val="clear" w:pos="2268"/>
                <w:tab w:val="clear" w:pos="2835"/>
              </w:tabs>
              <w:spacing w:before="40" w:after="40" w:line="200" w:lineRule="exact"/>
              <w:ind w:left="57" w:right="0"/>
              <w:jc w:val="left"/>
              <w:rPr>
                <w:i/>
                <w:sz w:val="16"/>
              </w:rPr>
            </w:pPr>
            <w:r w:rsidRPr="00D01775">
              <w:rPr>
                <w:i/>
                <w:iCs/>
                <w:sz w:val="16"/>
              </w:rPr>
              <w:t>Lituania</w:t>
            </w:r>
          </w:p>
        </w:tc>
        <w:tc>
          <w:tcPr>
            <w:tcW w:w="188" w:type="pct"/>
            <w:tcBorders>
              <w:top w:val="single" w:sz="4" w:space="0" w:color="auto"/>
              <w:bottom w:val="single" w:sz="12" w:space="0" w:color="auto"/>
            </w:tcBorders>
            <w:shd w:val="clear" w:color="auto" w:fill="auto"/>
            <w:textDirection w:val="btLr"/>
            <w:vAlign w:val="bottom"/>
          </w:tcPr>
          <w:p w14:paraId="098895DE" w14:textId="77777777" w:rsidR="00994926" w:rsidRPr="00D01775" w:rsidRDefault="00994926" w:rsidP="00994926">
            <w:pPr>
              <w:pStyle w:val="SingleTxtG"/>
              <w:keepNext/>
              <w:tabs>
                <w:tab w:val="clear" w:pos="1701"/>
                <w:tab w:val="clear" w:pos="2268"/>
                <w:tab w:val="clear" w:pos="2835"/>
              </w:tabs>
              <w:spacing w:before="40" w:after="40" w:line="200" w:lineRule="exact"/>
              <w:ind w:left="57" w:right="0"/>
              <w:jc w:val="left"/>
              <w:rPr>
                <w:i/>
                <w:sz w:val="16"/>
              </w:rPr>
            </w:pPr>
            <w:r w:rsidRPr="00D01775">
              <w:rPr>
                <w:i/>
                <w:iCs/>
                <w:sz w:val="16"/>
              </w:rPr>
              <w:t>Malí</w:t>
            </w:r>
          </w:p>
        </w:tc>
        <w:tc>
          <w:tcPr>
            <w:tcW w:w="189" w:type="pct"/>
            <w:tcBorders>
              <w:top w:val="single" w:sz="4" w:space="0" w:color="auto"/>
              <w:bottom w:val="single" w:sz="12" w:space="0" w:color="auto"/>
            </w:tcBorders>
            <w:textDirection w:val="btLr"/>
            <w:vAlign w:val="bottom"/>
          </w:tcPr>
          <w:p w14:paraId="607394D0" w14:textId="7BDD98CD" w:rsidR="00994926" w:rsidRPr="00D01775" w:rsidRDefault="00994926" w:rsidP="00994926">
            <w:pPr>
              <w:pStyle w:val="SingleTxtG"/>
              <w:keepNext/>
              <w:tabs>
                <w:tab w:val="clear" w:pos="1701"/>
                <w:tab w:val="clear" w:pos="2268"/>
                <w:tab w:val="clear" w:pos="2835"/>
              </w:tabs>
              <w:spacing w:before="40" w:after="40" w:line="200" w:lineRule="exact"/>
              <w:ind w:left="57" w:right="0"/>
              <w:jc w:val="left"/>
              <w:rPr>
                <w:i/>
                <w:iCs/>
                <w:sz w:val="16"/>
              </w:rPr>
            </w:pPr>
            <w:r w:rsidRPr="00D01775">
              <w:rPr>
                <w:i/>
                <w:iCs/>
                <w:sz w:val="16"/>
              </w:rPr>
              <w:t>Marruecos</w:t>
            </w:r>
          </w:p>
        </w:tc>
        <w:tc>
          <w:tcPr>
            <w:tcW w:w="189" w:type="pct"/>
            <w:tcBorders>
              <w:top w:val="single" w:sz="4" w:space="0" w:color="auto"/>
              <w:bottom w:val="single" w:sz="12" w:space="0" w:color="auto"/>
            </w:tcBorders>
            <w:shd w:val="clear" w:color="auto" w:fill="auto"/>
            <w:textDirection w:val="btLr"/>
            <w:vAlign w:val="bottom"/>
          </w:tcPr>
          <w:p w14:paraId="57EA1D52" w14:textId="0E474D77" w:rsidR="00994926" w:rsidRPr="00D01775" w:rsidRDefault="00994926" w:rsidP="00994926">
            <w:pPr>
              <w:pStyle w:val="SingleTxtG"/>
              <w:keepNext/>
              <w:tabs>
                <w:tab w:val="clear" w:pos="1701"/>
                <w:tab w:val="clear" w:pos="2268"/>
                <w:tab w:val="clear" w:pos="2835"/>
              </w:tabs>
              <w:spacing w:before="40" w:after="40" w:line="200" w:lineRule="exact"/>
              <w:ind w:left="57" w:right="0"/>
              <w:jc w:val="left"/>
              <w:rPr>
                <w:i/>
                <w:sz w:val="16"/>
              </w:rPr>
            </w:pPr>
            <w:r w:rsidRPr="00D01775">
              <w:rPr>
                <w:i/>
                <w:iCs/>
                <w:sz w:val="16"/>
              </w:rPr>
              <w:t>Mauritania</w:t>
            </w:r>
          </w:p>
        </w:tc>
        <w:tc>
          <w:tcPr>
            <w:tcW w:w="213" w:type="pct"/>
            <w:tcBorders>
              <w:top w:val="single" w:sz="4" w:space="0" w:color="auto"/>
              <w:bottom w:val="single" w:sz="12" w:space="0" w:color="auto"/>
            </w:tcBorders>
            <w:shd w:val="clear" w:color="auto" w:fill="auto"/>
            <w:textDirection w:val="btLr"/>
            <w:vAlign w:val="bottom"/>
          </w:tcPr>
          <w:p w14:paraId="4B73AB0E" w14:textId="77777777" w:rsidR="00994926" w:rsidRPr="00D01775" w:rsidRDefault="00994926" w:rsidP="00994926">
            <w:pPr>
              <w:pStyle w:val="SingleTxtG"/>
              <w:keepNext/>
              <w:tabs>
                <w:tab w:val="clear" w:pos="1701"/>
                <w:tab w:val="clear" w:pos="2268"/>
                <w:tab w:val="clear" w:pos="2835"/>
              </w:tabs>
              <w:spacing w:before="40" w:after="40" w:line="200" w:lineRule="exact"/>
              <w:ind w:left="57" w:right="0"/>
              <w:jc w:val="left"/>
              <w:rPr>
                <w:i/>
                <w:sz w:val="16"/>
              </w:rPr>
            </w:pPr>
            <w:r w:rsidRPr="00D01775">
              <w:rPr>
                <w:i/>
                <w:iCs/>
                <w:sz w:val="16"/>
              </w:rPr>
              <w:t>México</w:t>
            </w:r>
          </w:p>
        </w:tc>
        <w:tc>
          <w:tcPr>
            <w:tcW w:w="188" w:type="pct"/>
            <w:tcBorders>
              <w:top w:val="single" w:sz="4" w:space="0" w:color="auto"/>
              <w:bottom w:val="single" w:sz="12" w:space="0" w:color="auto"/>
            </w:tcBorders>
            <w:shd w:val="clear" w:color="auto" w:fill="auto"/>
            <w:textDirection w:val="btLr"/>
            <w:vAlign w:val="bottom"/>
          </w:tcPr>
          <w:p w14:paraId="5F724494" w14:textId="77777777" w:rsidR="00994926" w:rsidRPr="00D01775" w:rsidRDefault="00994926" w:rsidP="00994926">
            <w:pPr>
              <w:pStyle w:val="SingleTxtG"/>
              <w:keepNext/>
              <w:tabs>
                <w:tab w:val="clear" w:pos="1701"/>
                <w:tab w:val="clear" w:pos="2268"/>
                <w:tab w:val="clear" w:pos="2835"/>
              </w:tabs>
              <w:spacing w:before="40" w:after="40" w:line="200" w:lineRule="exact"/>
              <w:ind w:left="57" w:right="0"/>
              <w:jc w:val="left"/>
              <w:rPr>
                <w:i/>
                <w:sz w:val="16"/>
              </w:rPr>
            </w:pPr>
            <w:r w:rsidRPr="00D01775">
              <w:rPr>
                <w:i/>
                <w:iCs/>
                <w:sz w:val="16"/>
              </w:rPr>
              <w:t>Níger</w:t>
            </w:r>
          </w:p>
        </w:tc>
        <w:tc>
          <w:tcPr>
            <w:tcW w:w="188" w:type="pct"/>
            <w:tcBorders>
              <w:top w:val="single" w:sz="4" w:space="0" w:color="auto"/>
              <w:bottom w:val="single" w:sz="12" w:space="0" w:color="auto"/>
            </w:tcBorders>
            <w:shd w:val="clear" w:color="auto" w:fill="auto"/>
            <w:textDirection w:val="btLr"/>
            <w:vAlign w:val="bottom"/>
          </w:tcPr>
          <w:p w14:paraId="3DBDCE7D" w14:textId="77777777" w:rsidR="00994926" w:rsidRPr="00D01775" w:rsidRDefault="00994926" w:rsidP="00994926">
            <w:pPr>
              <w:pStyle w:val="SingleTxtG"/>
              <w:keepNext/>
              <w:tabs>
                <w:tab w:val="clear" w:pos="1701"/>
                <w:tab w:val="clear" w:pos="2268"/>
                <w:tab w:val="clear" w:pos="2835"/>
              </w:tabs>
              <w:spacing w:before="40" w:after="40" w:line="200" w:lineRule="exact"/>
              <w:ind w:left="57" w:right="0"/>
              <w:jc w:val="left"/>
              <w:rPr>
                <w:i/>
                <w:sz w:val="16"/>
              </w:rPr>
            </w:pPr>
            <w:r w:rsidRPr="00D01775">
              <w:rPr>
                <w:i/>
                <w:iCs/>
                <w:sz w:val="16"/>
              </w:rPr>
              <w:t>Paraguay</w:t>
            </w:r>
          </w:p>
        </w:tc>
        <w:tc>
          <w:tcPr>
            <w:tcW w:w="188" w:type="pct"/>
            <w:tcBorders>
              <w:top w:val="single" w:sz="4" w:space="0" w:color="auto"/>
              <w:bottom w:val="single" w:sz="12" w:space="0" w:color="auto"/>
            </w:tcBorders>
            <w:shd w:val="clear" w:color="auto" w:fill="auto"/>
            <w:textDirection w:val="btLr"/>
            <w:vAlign w:val="bottom"/>
          </w:tcPr>
          <w:p w14:paraId="35A75A64" w14:textId="77777777" w:rsidR="00994926" w:rsidRPr="00D01775" w:rsidRDefault="00994926" w:rsidP="00994926">
            <w:pPr>
              <w:pStyle w:val="SingleTxtG"/>
              <w:keepNext/>
              <w:tabs>
                <w:tab w:val="clear" w:pos="1701"/>
                <w:tab w:val="clear" w:pos="2268"/>
                <w:tab w:val="clear" w:pos="2835"/>
              </w:tabs>
              <w:spacing w:before="40" w:after="40" w:line="200" w:lineRule="exact"/>
              <w:ind w:left="57" w:right="0"/>
              <w:jc w:val="left"/>
              <w:rPr>
                <w:i/>
                <w:sz w:val="16"/>
              </w:rPr>
            </w:pPr>
            <w:r w:rsidRPr="00D01775">
              <w:rPr>
                <w:i/>
                <w:iCs/>
                <w:sz w:val="16"/>
              </w:rPr>
              <w:t>Perú</w:t>
            </w:r>
          </w:p>
        </w:tc>
        <w:tc>
          <w:tcPr>
            <w:tcW w:w="189" w:type="pct"/>
            <w:tcBorders>
              <w:top w:val="single" w:sz="4" w:space="0" w:color="auto"/>
              <w:bottom w:val="single" w:sz="12" w:space="0" w:color="auto"/>
            </w:tcBorders>
            <w:shd w:val="clear" w:color="auto" w:fill="auto"/>
            <w:textDirection w:val="btLr"/>
            <w:vAlign w:val="bottom"/>
          </w:tcPr>
          <w:p w14:paraId="70438504" w14:textId="77777777" w:rsidR="00994926" w:rsidRPr="00D01775" w:rsidRDefault="00994926" w:rsidP="00994926">
            <w:pPr>
              <w:pStyle w:val="SingleTxtG"/>
              <w:keepNext/>
              <w:tabs>
                <w:tab w:val="clear" w:pos="1701"/>
                <w:tab w:val="clear" w:pos="2268"/>
                <w:tab w:val="clear" w:pos="2835"/>
              </w:tabs>
              <w:spacing w:before="40" w:after="40" w:line="200" w:lineRule="exact"/>
              <w:ind w:left="57" w:right="0"/>
              <w:jc w:val="left"/>
              <w:rPr>
                <w:i/>
                <w:sz w:val="16"/>
              </w:rPr>
            </w:pPr>
            <w:r w:rsidRPr="00D01775">
              <w:rPr>
                <w:i/>
                <w:iCs/>
                <w:sz w:val="16"/>
              </w:rPr>
              <w:t>Sri Lanka</w:t>
            </w:r>
          </w:p>
        </w:tc>
        <w:tc>
          <w:tcPr>
            <w:tcW w:w="189" w:type="pct"/>
            <w:tcBorders>
              <w:top w:val="single" w:sz="4" w:space="0" w:color="auto"/>
              <w:bottom w:val="single" w:sz="12" w:space="0" w:color="auto"/>
            </w:tcBorders>
            <w:shd w:val="clear" w:color="auto" w:fill="auto"/>
            <w:textDirection w:val="btLr"/>
            <w:vAlign w:val="bottom"/>
          </w:tcPr>
          <w:p w14:paraId="2DE9D63B" w14:textId="77777777" w:rsidR="00994926" w:rsidRPr="00D01775" w:rsidRDefault="00994926" w:rsidP="00994926">
            <w:pPr>
              <w:pStyle w:val="SingleTxtG"/>
              <w:keepNext/>
              <w:tabs>
                <w:tab w:val="clear" w:pos="1701"/>
                <w:tab w:val="clear" w:pos="2268"/>
                <w:tab w:val="clear" w:pos="2835"/>
              </w:tabs>
              <w:spacing w:before="40" w:after="40" w:line="200" w:lineRule="exact"/>
              <w:ind w:left="57" w:right="0"/>
              <w:jc w:val="left"/>
              <w:rPr>
                <w:i/>
                <w:sz w:val="16"/>
              </w:rPr>
            </w:pPr>
            <w:r w:rsidRPr="00D01775">
              <w:rPr>
                <w:i/>
                <w:iCs/>
                <w:sz w:val="16"/>
              </w:rPr>
              <w:t>Togo</w:t>
            </w:r>
          </w:p>
        </w:tc>
        <w:tc>
          <w:tcPr>
            <w:tcW w:w="168" w:type="pct"/>
            <w:tcBorders>
              <w:top w:val="single" w:sz="4" w:space="0" w:color="auto"/>
              <w:bottom w:val="single" w:sz="12" w:space="0" w:color="auto"/>
            </w:tcBorders>
            <w:shd w:val="clear" w:color="auto" w:fill="auto"/>
            <w:textDirection w:val="btLr"/>
            <w:vAlign w:val="bottom"/>
          </w:tcPr>
          <w:p w14:paraId="7ECC53EC" w14:textId="77777777" w:rsidR="00994926" w:rsidRPr="00D01775" w:rsidRDefault="00994926" w:rsidP="00994926">
            <w:pPr>
              <w:pStyle w:val="SingleTxtG"/>
              <w:keepNext/>
              <w:tabs>
                <w:tab w:val="clear" w:pos="1701"/>
                <w:tab w:val="clear" w:pos="2268"/>
                <w:tab w:val="clear" w:pos="2835"/>
              </w:tabs>
              <w:spacing w:before="40" w:after="40" w:line="200" w:lineRule="exact"/>
              <w:ind w:left="57" w:right="0"/>
              <w:jc w:val="left"/>
              <w:rPr>
                <w:i/>
                <w:sz w:val="16"/>
              </w:rPr>
            </w:pPr>
            <w:r w:rsidRPr="00D01775">
              <w:rPr>
                <w:i/>
                <w:iCs/>
                <w:sz w:val="16"/>
              </w:rPr>
              <w:t>Túnez</w:t>
            </w:r>
          </w:p>
        </w:tc>
        <w:tc>
          <w:tcPr>
            <w:tcW w:w="295" w:type="pct"/>
            <w:tcBorders>
              <w:top w:val="single" w:sz="4" w:space="0" w:color="auto"/>
              <w:bottom w:val="single" w:sz="12" w:space="0" w:color="auto"/>
            </w:tcBorders>
            <w:shd w:val="clear" w:color="auto" w:fill="auto"/>
            <w:tcMar>
              <w:right w:w="28" w:type="dxa"/>
            </w:tcMar>
            <w:vAlign w:val="bottom"/>
          </w:tcPr>
          <w:p w14:paraId="7FBC714D" w14:textId="77777777" w:rsidR="00994926" w:rsidRPr="00D01775" w:rsidRDefault="00994926" w:rsidP="00994926">
            <w:pPr>
              <w:pStyle w:val="SingleTxtG"/>
              <w:keepNext/>
              <w:tabs>
                <w:tab w:val="clear" w:pos="1701"/>
                <w:tab w:val="clear" w:pos="2268"/>
                <w:tab w:val="clear" w:pos="2835"/>
              </w:tabs>
              <w:spacing w:before="40" w:after="40" w:line="200" w:lineRule="exact"/>
              <w:ind w:left="113" w:right="0"/>
              <w:jc w:val="right"/>
              <w:rPr>
                <w:i/>
                <w:sz w:val="16"/>
              </w:rPr>
            </w:pPr>
            <w:r w:rsidRPr="00D01775">
              <w:rPr>
                <w:i/>
                <w:iCs/>
                <w:sz w:val="16"/>
              </w:rPr>
              <w:t>Total</w:t>
            </w:r>
          </w:p>
        </w:tc>
      </w:tr>
      <w:tr w:rsidR="00994926" w:rsidRPr="00D01775" w14:paraId="7CA9DE8E" w14:textId="77777777" w:rsidTr="00207489">
        <w:trPr>
          <w:trHeight w:val="240"/>
        </w:trPr>
        <w:tc>
          <w:tcPr>
            <w:tcW w:w="230" w:type="pct"/>
            <w:tcBorders>
              <w:top w:val="single" w:sz="12" w:space="0" w:color="auto"/>
            </w:tcBorders>
            <w:shd w:val="clear" w:color="auto" w:fill="auto"/>
          </w:tcPr>
          <w:p w14:paraId="52009DE7" w14:textId="77777777" w:rsidR="00994926" w:rsidRPr="00D01775" w:rsidRDefault="00994926" w:rsidP="00994926">
            <w:pPr>
              <w:pStyle w:val="SingleTxtG"/>
              <w:keepNext/>
              <w:tabs>
                <w:tab w:val="clear" w:pos="1701"/>
                <w:tab w:val="clear" w:pos="2268"/>
                <w:tab w:val="clear" w:pos="2835"/>
              </w:tabs>
              <w:spacing w:before="40" w:after="40" w:line="220" w:lineRule="exact"/>
              <w:ind w:left="0" w:right="0"/>
              <w:jc w:val="left"/>
              <w:rPr>
                <w:sz w:val="18"/>
              </w:rPr>
            </w:pPr>
            <w:r w:rsidRPr="00D01775">
              <w:rPr>
                <w:sz w:val="18"/>
              </w:rPr>
              <w:t>2012</w:t>
            </w:r>
          </w:p>
        </w:tc>
        <w:tc>
          <w:tcPr>
            <w:tcW w:w="198" w:type="pct"/>
            <w:tcBorders>
              <w:top w:val="single" w:sz="12" w:space="0" w:color="auto"/>
            </w:tcBorders>
            <w:shd w:val="clear" w:color="auto" w:fill="auto"/>
            <w:tcMar>
              <w:right w:w="28" w:type="dxa"/>
            </w:tcMar>
            <w:vAlign w:val="bottom"/>
          </w:tcPr>
          <w:p w14:paraId="7CB688FF" w14:textId="77777777" w:rsidR="00994926" w:rsidRPr="00D01775" w:rsidRDefault="00994926" w:rsidP="00994926">
            <w:pPr>
              <w:pStyle w:val="SingleTxtG"/>
              <w:keepNext/>
              <w:tabs>
                <w:tab w:val="clear" w:pos="1701"/>
                <w:tab w:val="clear" w:pos="2268"/>
                <w:tab w:val="clear" w:pos="2835"/>
              </w:tabs>
              <w:spacing w:before="40" w:after="40" w:line="220" w:lineRule="exact"/>
              <w:ind w:left="113" w:right="0"/>
              <w:jc w:val="right"/>
              <w:rPr>
                <w:sz w:val="18"/>
              </w:rPr>
            </w:pPr>
            <w:r w:rsidRPr="00D01775">
              <w:rPr>
                <w:sz w:val="18"/>
              </w:rPr>
              <w:t>-</w:t>
            </w:r>
          </w:p>
        </w:tc>
        <w:tc>
          <w:tcPr>
            <w:tcW w:w="197" w:type="pct"/>
            <w:tcBorders>
              <w:top w:val="single" w:sz="12" w:space="0" w:color="auto"/>
            </w:tcBorders>
            <w:shd w:val="clear" w:color="auto" w:fill="auto"/>
            <w:tcMar>
              <w:right w:w="28" w:type="dxa"/>
            </w:tcMar>
            <w:vAlign w:val="bottom"/>
          </w:tcPr>
          <w:p w14:paraId="01B295ED" w14:textId="77777777" w:rsidR="00994926" w:rsidRPr="00D01775" w:rsidRDefault="00994926" w:rsidP="00994926">
            <w:pPr>
              <w:pStyle w:val="SingleTxtG"/>
              <w:keepNext/>
              <w:tabs>
                <w:tab w:val="clear" w:pos="1701"/>
                <w:tab w:val="clear" w:pos="2268"/>
                <w:tab w:val="clear" w:pos="2835"/>
              </w:tabs>
              <w:spacing w:before="40" w:after="40" w:line="220" w:lineRule="exact"/>
              <w:ind w:left="113" w:right="0"/>
              <w:jc w:val="right"/>
              <w:rPr>
                <w:sz w:val="18"/>
              </w:rPr>
            </w:pPr>
            <w:r w:rsidRPr="00D01775">
              <w:rPr>
                <w:sz w:val="18"/>
              </w:rPr>
              <w:t>-</w:t>
            </w:r>
          </w:p>
        </w:tc>
        <w:tc>
          <w:tcPr>
            <w:tcW w:w="268" w:type="pct"/>
            <w:tcBorders>
              <w:top w:val="single" w:sz="12" w:space="0" w:color="auto"/>
            </w:tcBorders>
            <w:shd w:val="clear" w:color="auto" w:fill="auto"/>
            <w:vAlign w:val="bottom"/>
          </w:tcPr>
          <w:p w14:paraId="3B2E5F2B" w14:textId="77777777" w:rsidR="00994926" w:rsidRPr="00D01775" w:rsidRDefault="00994926" w:rsidP="00994926">
            <w:pPr>
              <w:pStyle w:val="SingleTxtG"/>
              <w:keepNext/>
              <w:tabs>
                <w:tab w:val="clear" w:pos="1701"/>
                <w:tab w:val="clear" w:pos="2268"/>
                <w:tab w:val="clear" w:pos="2835"/>
              </w:tabs>
              <w:spacing w:before="40" w:after="40" w:line="220" w:lineRule="exact"/>
              <w:ind w:left="113" w:right="0"/>
              <w:jc w:val="right"/>
              <w:rPr>
                <w:sz w:val="18"/>
              </w:rPr>
            </w:pPr>
            <w:r w:rsidRPr="00D01775">
              <w:rPr>
                <w:sz w:val="18"/>
              </w:rPr>
              <w:t>-</w:t>
            </w:r>
          </w:p>
        </w:tc>
        <w:tc>
          <w:tcPr>
            <w:tcW w:w="172" w:type="pct"/>
            <w:tcBorders>
              <w:top w:val="single" w:sz="12" w:space="0" w:color="auto"/>
            </w:tcBorders>
            <w:shd w:val="clear" w:color="auto" w:fill="auto"/>
            <w:tcMar>
              <w:right w:w="28" w:type="dxa"/>
            </w:tcMar>
            <w:vAlign w:val="bottom"/>
          </w:tcPr>
          <w:p w14:paraId="7D05C5B1" w14:textId="77777777" w:rsidR="00994926" w:rsidRPr="00D01775" w:rsidRDefault="00994926" w:rsidP="00994926">
            <w:pPr>
              <w:pStyle w:val="SingleTxtG"/>
              <w:keepNext/>
              <w:tabs>
                <w:tab w:val="clear" w:pos="1701"/>
                <w:tab w:val="clear" w:pos="2268"/>
                <w:tab w:val="clear" w:pos="2835"/>
              </w:tabs>
              <w:spacing w:before="40" w:after="40" w:line="220" w:lineRule="exact"/>
              <w:ind w:left="113" w:right="0"/>
              <w:jc w:val="right"/>
              <w:rPr>
                <w:sz w:val="18"/>
              </w:rPr>
            </w:pPr>
            <w:r w:rsidRPr="00D01775">
              <w:rPr>
                <w:sz w:val="18"/>
              </w:rPr>
              <w:t>-</w:t>
            </w:r>
          </w:p>
        </w:tc>
        <w:tc>
          <w:tcPr>
            <w:tcW w:w="191" w:type="pct"/>
            <w:tcBorders>
              <w:top w:val="single" w:sz="12" w:space="0" w:color="auto"/>
            </w:tcBorders>
            <w:shd w:val="clear" w:color="auto" w:fill="auto"/>
            <w:vAlign w:val="bottom"/>
          </w:tcPr>
          <w:p w14:paraId="617E1CAC" w14:textId="77777777" w:rsidR="00994926" w:rsidRPr="00D01775" w:rsidRDefault="00994926" w:rsidP="00994926">
            <w:pPr>
              <w:pStyle w:val="SingleTxtG"/>
              <w:keepNext/>
              <w:tabs>
                <w:tab w:val="clear" w:pos="1701"/>
                <w:tab w:val="clear" w:pos="2268"/>
                <w:tab w:val="clear" w:pos="2835"/>
              </w:tabs>
              <w:spacing w:before="40" w:after="40" w:line="220" w:lineRule="exact"/>
              <w:ind w:left="113" w:right="0"/>
              <w:jc w:val="right"/>
              <w:rPr>
                <w:sz w:val="18"/>
              </w:rPr>
            </w:pPr>
            <w:r w:rsidRPr="00D01775">
              <w:rPr>
                <w:sz w:val="18"/>
              </w:rPr>
              <w:t>-</w:t>
            </w:r>
          </w:p>
        </w:tc>
        <w:tc>
          <w:tcPr>
            <w:tcW w:w="217" w:type="pct"/>
            <w:tcBorders>
              <w:top w:val="single" w:sz="12" w:space="0" w:color="auto"/>
            </w:tcBorders>
            <w:shd w:val="clear" w:color="auto" w:fill="auto"/>
            <w:tcMar>
              <w:right w:w="28" w:type="dxa"/>
            </w:tcMar>
            <w:vAlign w:val="bottom"/>
          </w:tcPr>
          <w:p w14:paraId="3E1ED89D" w14:textId="77777777" w:rsidR="00994926" w:rsidRPr="00D01775" w:rsidRDefault="00994926" w:rsidP="00994926">
            <w:pPr>
              <w:pStyle w:val="SingleTxtG"/>
              <w:keepNext/>
              <w:tabs>
                <w:tab w:val="clear" w:pos="1701"/>
                <w:tab w:val="clear" w:pos="2268"/>
                <w:tab w:val="clear" w:pos="2835"/>
              </w:tabs>
              <w:spacing w:before="40" w:after="40" w:line="220" w:lineRule="exact"/>
              <w:ind w:left="113" w:right="0"/>
              <w:jc w:val="right"/>
              <w:rPr>
                <w:sz w:val="18"/>
              </w:rPr>
            </w:pPr>
            <w:r w:rsidRPr="00D01775">
              <w:rPr>
                <w:sz w:val="18"/>
              </w:rPr>
              <w:t>-</w:t>
            </w:r>
          </w:p>
        </w:tc>
        <w:tc>
          <w:tcPr>
            <w:tcW w:w="189" w:type="pct"/>
            <w:tcBorders>
              <w:top w:val="single" w:sz="12" w:space="0" w:color="auto"/>
            </w:tcBorders>
            <w:shd w:val="clear" w:color="auto" w:fill="auto"/>
            <w:tcMar>
              <w:right w:w="28" w:type="dxa"/>
            </w:tcMar>
            <w:vAlign w:val="bottom"/>
          </w:tcPr>
          <w:p w14:paraId="4068C89D" w14:textId="77777777" w:rsidR="00994926" w:rsidRPr="00D01775" w:rsidRDefault="00994926" w:rsidP="00994926">
            <w:pPr>
              <w:pStyle w:val="SingleTxtG"/>
              <w:keepNext/>
              <w:tabs>
                <w:tab w:val="clear" w:pos="1701"/>
                <w:tab w:val="clear" w:pos="2268"/>
                <w:tab w:val="clear" w:pos="2835"/>
              </w:tabs>
              <w:spacing w:before="40" w:after="40" w:line="220" w:lineRule="exact"/>
              <w:ind w:left="113" w:right="0"/>
              <w:jc w:val="right"/>
              <w:rPr>
                <w:sz w:val="18"/>
              </w:rPr>
            </w:pPr>
            <w:r w:rsidRPr="00D01775">
              <w:rPr>
                <w:sz w:val="18"/>
              </w:rPr>
              <w:t>-</w:t>
            </w:r>
          </w:p>
        </w:tc>
        <w:tc>
          <w:tcPr>
            <w:tcW w:w="189" w:type="pct"/>
            <w:tcBorders>
              <w:top w:val="single" w:sz="12" w:space="0" w:color="auto"/>
            </w:tcBorders>
            <w:shd w:val="clear" w:color="auto" w:fill="auto"/>
            <w:tcMar>
              <w:right w:w="28" w:type="dxa"/>
            </w:tcMar>
            <w:vAlign w:val="bottom"/>
          </w:tcPr>
          <w:p w14:paraId="0EE5171D" w14:textId="77777777" w:rsidR="00994926" w:rsidRPr="00D01775" w:rsidRDefault="00994926" w:rsidP="00994926">
            <w:pPr>
              <w:pStyle w:val="SingleTxtG"/>
              <w:keepNext/>
              <w:tabs>
                <w:tab w:val="clear" w:pos="1701"/>
                <w:tab w:val="clear" w:pos="2268"/>
                <w:tab w:val="clear" w:pos="2835"/>
              </w:tabs>
              <w:spacing w:before="40" w:after="40" w:line="220" w:lineRule="exact"/>
              <w:ind w:left="113" w:right="0"/>
              <w:jc w:val="right"/>
              <w:rPr>
                <w:sz w:val="18"/>
              </w:rPr>
            </w:pPr>
            <w:r w:rsidRPr="00D01775">
              <w:rPr>
                <w:sz w:val="18"/>
              </w:rPr>
              <w:t>-</w:t>
            </w:r>
          </w:p>
        </w:tc>
        <w:tc>
          <w:tcPr>
            <w:tcW w:w="189" w:type="pct"/>
            <w:tcBorders>
              <w:top w:val="single" w:sz="12" w:space="0" w:color="auto"/>
            </w:tcBorders>
            <w:vAlign w:val="bottom"/>
          </w:tcPr>
          <w:p w14:paraId="3A12CD64" w14:textId="79836FD5" w:rsidR="00994926" w:rsidRPr="00D01775" w:rsidRDefault="00994926" w:rsidP="00994926">
            <w:pPr>
              <w:pStyle w:val="SingleTxtG"/>
              <w:keepNext/>
              <w:tabs>
                <w:tab w:val="clear" w:pos="1701"/>
                <w:tab w:val="clear" w:pos="2268"/>
                <w:tab w:val="clear" w:pos="2835"/>
              </w:tabs>
              <w:spacing w:before="40" w:after="40" w:line="220" w:lineRule="exact"/>
              <w:ind w:left="113" w:right="0"/>
              <w:jc w:val="right"/>
              <w:rPr>
                <w:sz w:val="18"/>
              </w:rPr>
            </w:pPr>
            <w:r w:rsidRPr="00D01775">
              <w:rPr>
                <w:sz w:val="18"/>
              </w:rPr>
              <w:t>-</w:t>
            </w:r>
          </w:p>
        </w:tc>
        <w:tc>
          <w:tcPr>
            <w:tcW w:w="189" w:type="pct"/>
            <w:tcBorders>
              <w:top w:val="single" w:sz="12" w:space="0" w:color="auto"/>
            </w:tcBorders>
            <w:shd w:val="clear" w:color="auto" w:fill="auto"/>
            <w:tcMar>
              <w:right w:w="28" w:type="dxa"/>
            </w:tcMar>
            <w:vAlign w:val="bottom"/>
          </w:tcPr>
          <w:p w14:paraId="05B4727B" w14:textId="1856193C" w:rsidR="00994926" w:rsidRPr="00D01775" w:rsidRDefault="00994926" w:rsidP="00994926">
            <w:pPr>
              <w:pStyle w:val="SingleTxtG"/>
              <w:keepNext/>
              <w:tabs>
                <w:tab w:val="clear" w:pos="1701"/>
                <w:tab w:val="clear" w:pos="2268"/>
                <w:tab w:val="clear" w:pos="2835"/>
              </w:tabs>
              <w:spacing w:before="40" w:after="40" w:line="220" w:lineRule="exact"/>
              <w:ind w:left="113" w:right="0"/>
              <w:jc w:val="right"/>
              <w:rPr>
                <w:sz w:val="18"/>
              </w:rPr>
            </w:pPr>
            <w:r w:rsidRPr="00D01775">
              <w:rPr>
                <w:sz w:val="18"/>
              </w:rPr>
              <w:t>-</w:t>
            </w:r>
          </w:p>
        </w:tc>
        <w:tc>
          <w:tcPr>
            <w:tcW w:w="213" w:type="pct"/>
            <w:tcBorders>
              <w:top w:val="single" w:sz="12" w:space="0" w:color="auto"/>
            </w:tcBorders>
            <w:shd w:val="clear" w:color="auto" w:fill="auto"/>
            <w:tcMar>
              <w:right w:w="28" w:type="dxa"/>
            </w:tcMar>
            <w:vAlign w:val="bottom"/>
          </w:tcPr>
          <w:p w14:paraId="76987BF9" w14:textId="77777777" w:rsidR="00994926" w:rsidRPr="00D01775" w:rsidRDefault="00994926" w:rsidP="00994926">
            <w:pPr>
              <w:pStyle w:val="SingleTxtG"/>
              <w:keepNext/>
              <w:tabs>
                <w:tab w:val="clear" w:pos="1701"/>
                <w:tab w:val="clear" w:pos="2268"/>
                <w:tab w:val="clear" w:pos="2835"/>
              </w:tabs>
              <w:spacing w:before="40" w:after="40" w:line="220" w:lineRule="exact"/>
              <w:ind w:left="113" w:right="0"/>
              <w:jc w:val="right"/>
              <w:rPr>
                <w:sz w:val="18"/>
              </w:rPr>
            </w:pPr>
            <w:r w:rsidRPr="00D01775">
              <w:rPr>
                <w:sz w:val="18"/>
              </w:rPr>
              <w:t>-</w:t>
            </w:r>
          </w:p>
        </w:tc>
        <w:tc>
          <w:tcPr>
            <w:tcW w:w="189" w:type="pct"/>
            <w:tcBorders>
              <w:top w:val="single" w:sz="12" w:space="0" w:color="auto"/>
            </w:tcBorders>
            <w:shd w:val="clear" w:color="auto" w:fill="auto"/>
            <w:tcMar>
              <w:right w:w="28" w:type="dxa"/>
            </w:tcMar>
            <w:vAlign w:val="bottom"/>
          </w:tcPr>
          <w:p w14:paraId="52D8EE80" w14:textId="77777777" w:rsidR="00994926" w:rsidRPr="00D01775" w:rsidRDefault="00994926" w:rsidP="00994926">
            <w:pPr>
              <w:pStyle w:val="SingleTxtG"/>
              <w:keepNext/>
              <w:tabs>
                <w:tab w:val="clear" w:pos="1701"/>
                <w:tab w:val="clear" w:pos="2268"/>
                <w:tab w:val="clear" w:pos="2835"/>
              </w:tabs>
              <w:spacing w:before="40" w:after="40" w:line="220" w:lineRule="exact"/>
              <w:ind w:left="113" w:right="0"/>
              <w:jc w:val="right"/>
              <w:rPr>
                <w:sz w:val="18"/>
              </w:rPr>
            </w:pPr>
            <w:r w:rsidRPr="00D01775">
              <w:rPr>
                <w:sz w:val="18"/>
              </w:rPr>
              <w:t>-</w:t>
            </w:r>
          </w:p>
        </w:tc>
        <w:tc>
          <w:tcPr>
            <w:tcW w:w="189" w:type="pct"/>
            <w:tcBorders>
              <w:top w:val="single" w:sz="12" w:space="0" w:color="auto"/>
            </w:tcBorders>
            <w:shd w:val="clear" w:color="auto" w:fill="auto"/>
            <w:tcMar>
              <w:right w:w="28" w:type="dxa"/>
            </w:tcMar>
            <w:vAlign w:val="bottom"/>
          </w:tcPr>
          <w:p w14:paraId="674285D4" w14:textId="77777777" w:rsidR="00994926" w:rsidRPr="00D01775" w:rsidRDefault="00994926" w:rsidP="00994926">
            <w:pPr>
              <w:pStyle w:val="SingleTxtG"/>
              <w:keepNext/>
              <w:tabs>
                <w:tab w:val="clear" w:pos="1701"/>
                <w:tab w:val="clear" w:pos="2268"/>
                <w:tab w:val="clear" w:pos="2835"/>
              </w:tabs>
              <w:spacing w:before="40" w:after="40" w:line="220" w:lineRule="exact"/>
              <w:ind w:left="113" w:right="0"/>
              <w:jc w:val="right"/>
              <w:rPr>
                <w:sz w:val="18"/>
              </w:rPr>
            </w:pPr>
            <w:r w:rsidRPr="00D01775">
              <w:rPr>
                <w:sz w:val="18"/>
              </w:rPr>
              <w:t>-</w:t>
            </w:r>
          </w:p>
        </w:tc>
        <w:tc>
          <w:tcPr>
            <w:tcW w:w="188" w:type="pct"/>
            <w:tcBorders>
              <w:top w:val="single" w:sz="12" w:space="0" w:color="auto"/>
            </w:tcBorders>
            <w:shd w:val="clear" w:color="auto" w:fill="auto"/>
            <w:vAlign w:val="bottom"/>
          </w:tcPr>
          <w:p w14:paraId="7E151457" w14:textId="77777777" w:rsidR="00994926" w:rsidRPr="00D01775" w:rsidRDefault="00994926" w:rsidP="00994926">
            <w:pPr>
              <w:pStyle w:val="SingleTxtG"/>
              <w:keepNext/>
              <w:tabs>
                <w:tab w:val="clear" w:pos="1701"/>
                <w:tab w:val="clear" w:pos="2268"/>
                <w:tab w:val="clear" w:pos="2835"/>
              </w:tabs>
              <w:spacing w:before="40" w:after="40" w:line="220" w:lineRule="exact"/>
              <w:ind w:left="113" w:right="0"/>
              <w:jc w:val="right"/>
              <w:rPr>
                <w:sz w:val="18"/>
              </w:rPr>
            </w:pPr>
            <w:r w:rsidRPr="00D01775">
              <w:rPr>
                <w:sz w:val="18"/>
              </w:rPr>
              <w:t>-</w:t>
            </w:r>
          </w:p>
        </w:tc>
        <w:tc>
          <w:tcPr>
            <w:tcW w:w="189" w:type="pct"/>
            <w:tcBorders>
              <w:top w:val="single" w:sz="12" w:space="0" w:color="auto"/>
            </w:tcBorders>
            <w:vAlign w:val="bottom"/>
          </w:tcPr>
          <w:p w14:paraId="7E767F1A" w14:textId="7F3BE223" w:rsidR="00994926" w:rsidRPr="00D01775" w:rsidRDefault="00994926" w:rsidP="00994926">
            <w:pPr>
              <w:pStyle w:val="SingleTxtG"/>
              <w:keepNext/>
              <w:tabs>
                <w:tab w:val="clear" w:pos="1701"/>
                <w:tab w:val="clear" w:pos="2268"/>
                <w:tab w:val="clear" w:pos="2835"/>
              </w:tabs>
              <w:spacing w:before="40" w:after="40" w:line="220" w:lineRule="exact"/>
              <w:ind w:left="113" w:right="0"/>
              <w:jc w:val="right"/>
              <w:rPr>
                <w:sz w:val="18"/>
              </w:rPr>
            </w:pPr>
            <w:r w:rsidRPr="00D01775">
              <w:rPr>
                <w:sz w:val="18"/>
              </w:rPr>
              <w:t>-</w:t>
            </w:r>
          </w:p>
        </w:tc>
        <w:tc>
          <w:tcPr>
            <w:tcW w:w="189" w:type="pct"/>
            <w:tcBorders>
              <w:top w:val="single" w:sz="12" w:space="0" w:color="auto"/>
            </w:tcBorders>
            <w:shd w:val="clear" w:color="auto" w:fill="auto"/>
            <w:tcMar>
              <w:right w:w="28" w:type="dxa"/>
            </w:tcMar>
            <w:vAlign w:val="bottom"/>
          </w:tcPr>
          <w:p w14:paraId="09BA5741" w14:textId="4D20CD72" w:rsidR="00994926" w:rsidRPr="00D01775" w:rsidRDefault="00994926" w:rsidP="00994926">
            <w:pPr>
              <w:pStyle w:val="SingleTxtG"/>
              <w:keepNext/>
              <w:tabs>
                <w:tab w:val="clear" w:pos="1701"/>
                <w:tab w:val="clear" w:pos="2268"/>
                <w:tab w:val="clear" w:pos="2835"/>
              </w:tabs>
              <w:spacing w:before="40" w:after="40" w:line="220" w:lineRule="exact"/>
              <w:ind w:left="113" w:right="0"/>
              <w:jc w:val="right"/>
              <w:rPr>
                <w:sz w:val="18"/>
              </w:rPr>
            </w:pPr>
            <w:r w:rsidRPr="00D01775">
              <w:rPr>
                <w:sz w:val="18"/>
              </w:rPr>
              <w:t>-</w:t>
            </w:r>
          </w:p>
        </w:tc>
        <w:tc>
          <w:tcPr>
            <w:tcW w:w="213" w:type="pct"/>
            <w:tcBorders>
              <w:top w:val="single" w:sz="12" w:space="0" w:color="auto"/>
            </w:tcBorders>
            <w:shd w:val="clear" w:color="auto" w:fill="auto"/>
            <w:tcMar>
              <w:right w:w="28" w:type="dxa"/>
            </w:tcMar>
            <w:vAlign w:val="bottom"/>
          </w:tcPr>
          <w:p w14:paraId="4CB1FFA7" w14:textId="77777777" w:rsidR="00994926" w:rsidRPr="00D01775" w:rsidRDefault="00994926" w:rsidP="00994926">
            <w:pPr>
              <w:pStyle w:val="SingleTxtG"/>
              <w:keepNext/>
              <w:tabs>
                <w:tab w:val="clear" w:pos="1701"/>
                <w:tab w:val="clear" w:pos="2268"/>
                <w:tab w:val="clear" w:pos="2835"/>
              </w:tabs>
              <w:spacing w:before="40" w:after="40" w:line="220" w:lineRule="exact"/>
              <w:ind w:left="113" w:right="0"/>
              <w:jc w:val="right"/>
              <w:rPr>
                <w:sz w:val="18"/>
              </w:rPr>
            </w:pPr>
            <w:r w:rsidRPr="00D01775">
              <w:rPr>
                <w:sz w:val="18"/>
              </w:rPr>
              <w:t>5</w:t>
            </w:r>
          </w:p>
        </w:tc>
        <w:tc>
          <w:tcPr>
            <w:tcW w:w="188" w:type="pct"/>
            <w:tcBorders>
              <w:top w:val="single" w:sz="12" w:space="0" w:color="auto"/>
            </w:tcBorders>
            <w:shd w:val="clear" w:color="auto" w:fill="auto"/>
            <w:vAlign w:val="bottom"/>
          </w:tcPr>
          <w:p w14:paraId="770D5C14" w14:textId="77777777" w:rsidR="00994926" w:rsidRPr="00D01775" w:rsidRDefault="00994926" w:rsidP="00994926">
            <w:pPr>
              <w:pStyle w:val="SingleTxtG"/>
              <w:keepNext/>
              <w:tabs>
                <w:tab w:val="clear" w:pos="1701"/>
                <w:tab w:val="clear" w:pos="2268"/>
                <w:tab w:val="clear" w:pos="2835"/>
              </w:tabs>
              <w:spacing w:before="40" w:after="40" w:line="220" w:lineRule="exact"/>
              <w:ind w:left="113" w:right="0"/>
              <w:jc w:val="right"/>
              <w:rPr>
                <w:sz w:val="18"/>
              </w:rPr>
            </w:pPr>
            <w:r w:rsidRPr="00D01775">
              <w:rPr>
                <w:sz w:val="18"/>
              </w:rPr>
              <w:t>-</w:t>
            </w:r>
          </w:p>
        </w:tc>
        <w:tc>
          <w:tcPr>
            <w:tcW w:w="188" w:type="pct"/>
            <w:tcBorders>
              <w:top w:val="single" w:sz="12" w:space="0" w:color="auto"/>
            </w:tcBorders>
            <w:shd w:val="clear" w:color="auto" w:fill="auto"/>
            <w:vAlign w:val="bottom"/>
          </w:tcPr>
          <w:p w14:paraId="56926E64" w14:textId="77777777" w:rsidR="00994926" w:rsidRPr="00D01775" w:rsidRDefault="00994926" w:rsidP="00994926">
            <w:pPr>
              <w:pStyle w:val="SingleTxtG"/>
              <w:keepNext/>
              <w:tabs>
                <w:tab w:val="clear" w:pos="1701"/>
                <w:tab w:val="clear" w:pos="2268"/>
                <w:tab w:val="clear" w:pos="2835"/>
              </w:tabs>
              <w:spacing w:before="40" w:after="40" w:line="220" w:lineRule="exact"/>
              <w:ind w:left="113" w:right="0"/>
              <w:jc w:val="right"/>
              <w:rPr>
                <w:sz w:val="18"/>
              </w:rPr>
            </w:pPr>
            <w:r w:rsidRPr="00D01775">
              <w:rPr>
                <w:sz w:val="18"/>
              </w:rPr>
              <w:t>-</w:t>
            </w:r>
          </w:p>
        </w:tc>
        <w:tc>
          <w:tcPr>
            <w:tcW w:w="188" w:type="pct"/>
            <w:tcBorders>
              <w:top w:val="single" w:sz="12" w:space="0" w:color="auto"/>
            </w:tcBorders>
            <w:shd w:val="clear" w:color="auto" w:fill="auto"/>
            <w:vAlign w:val="bottom"/>
          </w:tcPr>
          <w:p w14:paraId="4AA1C75F" w14:textId="77777777" w:rsidR="00994926" w:rsidRPr="00D01775" w:rsidRDefault="00994926" w:rsidP="00994926">
            <w:pPr>
              <w:pStyle w:val="SingleTxtG"/>
              <w:keepNext/>
              <w:tabs>
                <w:tab w:val="clear" w:pos="1701"/>
                <w:tab w:val="clear" w:pos="2268"/>
                <w:tab w:val="clear" w:pos="2835"/>
              </w:tabs>
              <w:spacing w:before="40" w:after="40" w:line="220" w:lineRule="exact"/>
              <w:ind w:left="113" w:right="0"/>
              <w:jc w:val="right"/>
              <w:rPr>
                <w:sz w:val="18"/>
              </w:rPr>
            </w:pPr>
            <w:r w:rsidRPr="00D01775">
              <w:rPr>
                <w:sz w:val="18"/>
              </w:rPr>
              <w:t>-</w:t>
            </w:r>
          </w:p>
        </w:tc>
        <w:tc>
          <w:tcPr>
            <w:tcW w:w="189" w:type="pct"/>
            <w:tcBorders>
              <w:top w:val="single" w:sz="12" w:space="0" w:color="auto"/>
            </w:tcBorders>
            <w:shd w:val="clear" w:color="auto" w:fill="auto"/>
            <w:tcMar>
              <w:right w:w="28" w:type="dxa"/>
            </w:tcMar>
            <w:vAlign w:val="bottom"/>
          </w:tcPr>
          <w:p w14:paraId="3B6A6792" w14:textId="77777777" w:rsidR="00994926" w:rsidRPr="00D01775" w:rsidRDefault="00994926" w:rsidP="00994926">
            <w:pPr>
              <w:pStyle w:val="SingleTxtG"/>
              <w:keepNext/>
              <w:tabs>
                <w:tab w:val="clear" w:pos="1701"/>
                <w:tab w:val="clear" w:pos="2268"/>
                <w:tab w:val="clear" w:pos="2835"/>
              </w:tabs>
              <w:spacing w:before="40" w:after="40" w:line="220" w:lineRule="exact"/>
              <w:ind w:left="113" w:right="0"/>
              <w:jc w:val="right"/>
              <w:rPr>
                <w:sz w:val="18"/>
              </w:rPr>
            </w:pPr>
            <w:r w:rsidRPr="00D01775">
              <w:rPr>
                <w:sz w:val="18"/>
              </w:rPr>
              <w:t>-</w:t>
            </w:r>
          </w:p>
        </w:tc>
        <w:tc>
          <w:tcPr>
            <w:tcW w:w="189" w:type="pct"/>
            <w:tcBorders>
              <w:top w:val="single" w:sz="12" w:space="0" w:color="auto"/>
            </w:tcBorders>
            <w:shd w:val="clear" w:color="auto" w:fill="auto"/>
            <w:tcMar>
              <w:right w:w="28" w:type="dxa"/>
            </w:tcMar>
            <w:vAlign w:val="bottom"/>
          </w:tcPr>
          <w:p w14:paraId="2B34C377" w14:textId="77777777" w:rsidR="00994926" w:rsidRPr="00D01775" w:rsidRDefault="00994926" w:rsidP="00994926">
            <w:pPr>
              <w:pStyle w:val="SingleTxtG"/>
              <w:keepNext/>
              <w:tabs>
                <w:tab w:val="clear" w:pos="1701"/>
                <w:tab w:val="clear" w:pos="2268"/>
                <w:tab w:val="clear" w:pos="2835"/>
              </w:tabs>
              <w:spacing w:before="40" w:after="40" w:line="220" w:lineRule="exact"/>
              <w:ind w:left="113" w:right="0"/>
              <w:jc w:val="right"/>
              <w:rPr>
                <w:sz w:val="18"/>
              </w:rPr>
            </w:pPr>
            <w:r w:rsidRPr="00D01775">
              <w:rPr>
                <w:sz w:val="18"/>
              </w:rPr>
              <w:t>-</w:t>
            </w:r>
          </w:p>
        </w:tc>
        <w:tc>
          <w:tcPr>
            <w:tcW w:w="168" w:type="pct"/>
            <w:tcBorders>
              <w:top w:val="single" w:sz="12" w:space="0" w:color="auto"/>
            </w:tcBorders>
            <w:shd w:val="clear" w:color="auto" w:fill="auto"/>
            <w:tcMar>
              <w:right w:w="28" w:type="dxa"/>
            </w:tcMar>
            <w:vAlign w:val="bottom"/>
          </w:tcPr>
          <w:p w14:paraId="223B7331" w14:textId="77777777" w:rsidR="00994926" w:rsidRPr="00D01775" w:rsidRDefault="00994926" w:rsidP="00994926">
            <w:pPr>
              <w:pStyle w:val="SingleTxtG"/>
              <w:keepNext/>
              <w:tabs>
                <w:tab w:val="clear" w:pos="1701"/>
                <w:tab w:val="clear" w:pos="2268"/>
                <w:tab w:val="clear" w:pos="2835"/>
              </w:tabs>
              <w:spacing w:before="40" w:after="40" w:line="220" w:lineRule="exact"/>
              <w:ind w:left="113" w:right="0"/>
              <w:jc w:val="right"/>
              <w:rPr>
                <w:sz w:val="18"/>
              </w:rPr>
            </w:pPr>
            <w:r w:rsidRPr="00D01775">
              <w:rPr>
                <w:sz w:val="18"/>
              </w:rPr>
              <w:t>-</w:t>
            </w:r>
          </w:p>
        </w:tc>
        <w:tc>
          <w:tcPr>
            <w:tcW w:w="295" w:type="pct"/>
            <w:tcBorders>
              <w:top w:val="single" w:sz="12" w:space="0" w:color="auto"/>
            </w:tcBorders>
            <w:shd w:val="clear" w:color="auto" w:fill="auto"/>
            <w:tcMar>
              <w:right w:w="28" w:type="dxa"/>
            </w:tcMar>
            <w:vAlign w:val="bottom"/>
          </w:tcPr>
          <w:p w14:paraId="5DBED2CD" w14:textId="77777777" w:rsidR="00994926" w:rsidRPr="00D01775" w:rsidRDefault="00994926" w:rsidP="00994926">
            <w:pPr>
              <w:pStyle w:val="SingleTxtG"/>
              <w:keepNext/>
              <w:tabs>
                <w:tab w:val="clear" w:pos="1701"/>
                <w:tab w:val="clear" w:pos="2268"/>
                <w:tab w:val="clear" w:pos="2835"/>
              </w:tabs>
              <w:spacing w:before="40" w:after="40" w:line="220" w:lineRule="exact"/>
              <w:ind w:left="113" w:right="0"/>
              <w:jc w:val="right"/>
              <w:rPr>
                <w:sz w:val="18"/>
              </w:rPr>
            </w:pPr>
            <w:r w:rsidRPr="00D01775">
              <w:rPr>
                <w:sz w:val="18"/>
              </w:rPr>
              <w:t>5</w:t>
            </w:r>
          </w:p>
        </w:tc>
      </w:tr>
      <w:tr w:rsidR="00994926" w:rsidRPr="00D01775" w14:paraId="2E2AAE1F" w14:textId="77777777" w:rsidTr="00207489">
        <w:trPr>
          <w:trHeight w:val="240"/>
        </w:trPr>
        <w:tc>
          <w:tcPr>
            <w:tcW w:w="230" w:type="pct"/>
            <w:shd w:val="clear" w:color="auto" w:fill="auto"/>
          </w:tcPr>
          <w:p w14:paraId="1BCBF6DB" w14:textId="77777777" w:rsidR="00994926" w:rsidRPr="00D01775" w:rsidRDefault="00994926" w:rsidP="00994926">
            <w:pPr>
              <w:pStyle w:val="SingleTxtG"/>
              <w:keepNext/>
              <w:tabs>
                <w:tab w:val="clear" w:pos="1701"/>
                <w:tab w:val="clear" w:pos="2268"/>
                <w:tab w:val="clear" w:pos="2835"/>
              </w:tabs>
              <w:spacing w:before="40" w:after="40" w:line="220" w:lineRule="exact"/>
              <w:ind w:left="0" w:right="0"/>
              <w:jc w:val="left"/>
              <w:rPr>
                <w:sz w:val="18"/>
              </w:rPr>
            </w:pPr>
            <w:r w:rsidRPr="00D01775">
              <w:rPr>
                <w:sz w:val="18"/>
              </w:rPr>
              <w:t>2013</w:t>
            </w:r>
          </w:p>
        </w:tc>
        <w:tc>
          <w:tcPr>
            <w:tcW w:w="198" w:type="pct"/>
            <w:shd w:val="clear" w:color="auto" w:fill="auto"/>
            <w:tcMar>
              <w:right w:w="28" w:type="dxa"/>
            </w:tcMar>
            <w:vAlign w:val="bottom"/>
          </w:tcPr>
          <w:p w14:paraId="7ACA0067" w14:textId="77777777" w:rsidR="00994926" w:rsidRPr="00D01775" w:rsidRDefault="00994926" w:rsidP="00994926">
            <w:pPr>
              <w:pStyle w:val="SingleTxtG"/>
              <w:keepNext/>
              <w:tabs>
                <w:tab w:val="clear" w:pos="1701"/>
                <w:tab w:val="clear" w:pos="2268"/>
                <w:tab w:val="clear" w:pos="2835"/>
              </w:tabs>
              <w:spacing w:before="40" w:after="40" w:line="220" w:lineRule="exact"/>
              <w:ind w:left="113" w:right="0"/>
              <w:jc w:val="right"/>
              <w:rPr>
                <w:sz w:val="18"/>
              </w:rPr>
            </w:pPr>
            <w:r w:rsidRPr="00D01775">
              <w:rPr>
                <w:sz w:val="18"/>
              </w:rPr>
              <w:t>-</w:t>
            </w:r>
          </w:p>
        </w:tc>
        <w:tc>
          <w:tcPr>
            <w:tcW w:w="197" w:type="pct"/>
            <w:shd w:val="clear" w:color="auto" w:fill="auto"/>
            <w:tcMar>
              <w:right w:w="28" w:type="dxa"/>
            </w:tcMar>
            <w:vAlign w:val="bottom"/>
          </w:tcPr>
          <w:p w14:paraId="327E6F3F" w14:textId="77777777" w:rsidR="00994926" w:rsidRPr="00D01775" w:rsidRDefault="00994926" w:rsidP="00994926">
            <w:pPr>
              <w:pStyle w:val="SingleTxtG"/>
              <w:keepNext/>
              <w:tabs>
                <w:tab w:val="clear" w:pos="1701"/>
                <w:tab w:val="clear" w:pos="2268"/>
                <w:tab w:val="clear" w:pos="2835"/>
              </w:tabs>
              <w:spacing w:before="40" w:after="40" w:line="220" w:lineRule="exact"/>
              <w:ind w:left="113" w:right="0"/>
              <w:jc w:val="right"/>
              <w:rPr>
                <w:sz w:val="18"/>
              </w:rPr>
            </w:pPr>
            <w:r w:rsidRPr="00D01775">
              <w:rPr>
                <w:sz w:val="18"/>
              </w:rPr>
              <w:t>-</w:t>
            </w:r>
          </w:p>
        </w:tc>
        <w:tc>
          <w:tcPr>
            <w:tcW w:w="268" w:type="pct"/>
            <w:shd w:val="clear" w:color="auto" w:fill="auto"/>
            <w:vAlign w:val="bottom"/>
          </w:tcPr>
          <w:p w14:paraId="377E993B" w14:textId="77777777" w:rsidR="00994926" w:rsidRPr="00D01775" w:rsidRDefault="00994926" w:rsidP="00994926">
            <w:pPr>
              <w:pStyle w:val="SingleTxtG"/>
              <w:keepNext/>
              <w:tabs>
                <w:tab w:val="clear" w:pos="1701"/>
                <w:tab w:val="clear" w:pos="2268"/>
                <w:tab w:val="clear" w:pos="2835"/>
              </w:tabs>
              <w:spacing w:before="40" w:after="40" w:line="220" w:lineRule="exact"/>
              <w:ind w:left="113" w:right="0"/>
              <w:jc w:val="right"/>
              <w:rPr>
                <w:sz w:val="18"/>
              </w:rPr>
            </w:pPr>
            <w:r w:rsidRPr="00D01775">
              <w:rPr>
                <w:sz w:val="18"/>
              </w:rPr>
              <w:t>-</w:t>
            </w:r>
          </w:p>
        </w:tc>
        <w:tc>
          <w:tcPr>
            <w:tcW w:w="172" w:type="pct"/>
            <w:shd w:val="clear" w:color="auto" w:fill="auto"/>
            <w:tcMar>
              <w:right w:w="28" w:type="dxa"/>
            </w:tcMar>
            <w:vAlign w:val="bottom"/>
          </w:tcPr>
          <w:p w14:paraId="0EC94201" w14:textId="77777777" w:rsidR="00994926" w:rsidRPr="00D01775" w:rsidRDefault="00994926" w:rsidP="00994926">
            <w:pPr>
              <w:pStyle w:val="SingleTxtG"/>
              <w:keepNext/>
              <w:tabs>
                <w:tab w:val="clear" w:pos="1701"/>
                <w:tab w:val="clear" w:pos="2268"/>
                <w:tab w:val="clear" w:pos="2835"/>
              </w:tabs>
              <w:spacing w:before="40" w:after="40" w:line="220" w:lineRule="exact"/>
              <w:ind w:left="113" w:right="0"/>
              <w:jc w:val="right"/>
              <w:rPr>
                <w:sz w:val="18"/>
              </w:rPr>
            </w:pPr>
            <w:r w:rsidRPr="00D01775">
              <w:rPr>
                <w:sz w:val="18"/>
              </w:rPr>
              <w:t>-</w:t>
            </w:r>
          </w:p>
        </w:tc>
        <w:tc>
          <w:tcPr>
            <w:tcW w:w="191" w:type="pct"/>
            <w:shd w:val="clear" w:color="auto" w:fill="auto"/>
            <w:vAlign w:val="bottom"/>
          </w:tcPr>
          <w:p w14:paraId="59F5E479" w14:textId="77777777" w:rsidR="00994926" w:rsidRPr="00D01775" w:rsidRDefault="00994926" w:rsidP="00994926">
            <w:pPr>
              <w:pStyle w:val="SingleTxtG"/>
              <w:keepNext/>
              <w:tabs>
                <w:tab w:val="clear" w:pos="1701"/>
                <w:tab w:val="clear" w:pos="2268"/>
                <w:tab w:val="clear" w:pos="2835"/>
              </w:tabs>
              <w:spacing w:before="40" w:after="40" w:line="220" w:lineRule="exact"/>
              <w:ind w:left="113" w:right="0"/>
              <w:jc w:val="right"/>
              <w:rPr>
                <w:sz w:val="18"/>
              </w:rPr>
            </w:pPr>
            <w:r w:rsidRPr="00D01775">
              <w:rPr>
                <w:sz w:val="18"/>
              </w:rPr>
              <w:t>-</w:t>
            </w:r>
          </w:p>
        </w:tc>
        <w:tc>
          <w:tcPr>
            <w:tcW w:w="217" w:type="pct"/>
            <w:shd w:val="clear" w:color="auto" w:fill="auto"/>
            <w:tcMar>
              <w:right w:w="28" w:type="dxa"/>
            </w:tcMar>
            <w:vAlign w:val="bottom"/>
          </w:tcPr>
          <w:p w14:paraId="494AD411" w14:textId="77777777" w:rsidR="00994926" w:rsidRPr="00D01775" w:rsidRDefault="00994926" w:rsidP="00994926">
            <w:pPr>
              <w:pStyle w:val="SingleTxtG"/>
              <w:keepNext/>
              <w:tabs>
                <w:tab w:val="clear" w:pos="1701"/>
                <w:tab w:val="clear" w:pos="2268"/>
                <w:tab w:val="clear" w:pos="2835"/>
              </w:tabs>
              <w:spacing w:before="40" w:after="40" w:line="220" w:lineRule="exact"/>
              <w:ind w:left="113" w:right="0"/>
              <w:jc w:val="right"/>
              <w:rPr>
                <w:sz w:val="18"/>
              </w:rPr>
            </w:pPr>
            <w:r w:rsidRPr="00D01775">
              <w:rPr>
                <w:sz w:val="18"/>
              </w:rPr>
              <w:t>-</w:t>
            </w:r>
          </w:p>
        </w:tc>
        <w:tc>
          <w:tcPr>
            <w:tcW w:w="189" w:type="pct"/>
            <w:shd w:val="clear" w:color="auto" w:fill="auto"/>
            <w:tcMar>
              <w:right w:w="28" w:type="dxa"/>
            </w:tcMar>
            <w:vAlign w:val="bottom"/>
          </w:tcPr>
          <w:p w14:paraId="56B66F69" w14:textId="77777777" w:rsidR="00994926" w:rsidRPr="00D01775" w:rsidRDefault="00994926" w:rsidP="00994926">
            <w:pPr>
              <w:pStyle w:val="SingleTxtG"/>
              <w:keepNext/>
              <w:tabs>
                <w:tab w:val="clear" w:pos="1701"/>
                <w:tab w:val="clear" w:pos="2268"/>
                <w:tab w:val="clear" w:pos="2835"/>
              </w:tabs>
              <w:spacing w:before="40" w:after="40" w:line="220" w:lineRule="exact"/>
              <w:ind w:left="113" w:right="0"/>
              <w:jc w:val="right"/>
              <w:rPr>
                <w:sz w:val="18"/>
              </w:rPr>
            </w:pPr>
            <w:r w:rsidRPr="00D01775">
              <w:rPr>
                <w:sz w:val="18"/>
              </w:rPr>
              <w:t>1</w:t>
            </w:r>
          </w:p>
        </w:tc>
        <w:tc>
          <w:tcPr>
            <w:tcW w:w="189" w:type="pct"/>
            <w:shd w:val="clear" w:color="auto" w:fill="auto"/>
            <w:tcMar>
              <w:right w:w="28" w:type="dxa"/>
            </w:tcMar>
            <w:vAlign w:val="bottom"/>
          </w:tcPr>
          <w:p w14:paraId="2FDCE3D1" w14:textId="77777777" w:rsidR="00994926" w:rsidRPr="00D01775" w:rsidRDefault="00994926" w:rsidP="00994926">
            <w:pPr>
              <w:pStyle w:val="SingleTxtG"/>
              <w:keepNext/>
              <w:tabs>
                <w:tab w:val="clear" w:pos="1701"/>
                <w:tab w:val="clear" w:pos="2268"/>
                <w:tab w:val="clear" w:pos="2835"/>
              </w:tabs>
              <w:spacing w:before="40" w:after="40" w:line="220" w:lineRule="exact"/>
              <w:ind w:left="113" w:right="0"/>
              <w:jc w:val="right"/>
              <w:rPr>
                <w:sz w:val="18"/>
              </w:rPr>
            </w:pPr>
            <w:r w:rsidRPr="00D01775">
              <w:rPr>
                <w:sz w:val="18"/>
              </w:rPr>
              <w:t>-</w:t>
            </w:r>
          </w:p>
        </w:tc>
        <w:tc>
          <w:tcPr>
            <w:tcW w:w="189" w:type="pct"/>
            <w:vAlign w:val="bottom"/>
          </w:tcPr>
          <w:p w14:paraId="034F3374" w14:textId="42663BE2" w:rsidR="00994926" w:rsidRPr="00D01775" w:rsidRDefault="00994926" w:rsidP="00994926">
            <w:pPr>
              <w:pStyle w:val="SingleTxtG"/>
              <w:keepNext/>
              <w:tabs>
                <w:tab w:val="clear" w:pos="1701"/>
                <w:tab w:val="clear" w:pos="2268"/>
                <w:tab w:val="clear" w:pos="2835"/>
              </w:tabs>
              <w:spacing w:before="40" w:after="40" w:line="220" w:lineRule="exact"/>
              <w:ind w:left="113" w:right="0"/>
              <w:jc w:val="right"/>
              <w:rPr>
                <w:sz w:val="18"/>
              </w:rPr>
            </w:pPr>
            <w:r w:rsidRPr="00D01775">
              <w:rPr>
                <w:sz w:val="18"/>
              </w:rPr>
              <w:t>-</w:t>
            </w:r>
          </w:p>
        </w:tc>
        <w:tc>
          <w:tcPr>
            <w:tcW w:w="189" w:type="pct"/>
            <w:shd w:val="clear" w:color="auto" w:fill="auto"/>
            <w:tcMar>
              <w:right w:w="28" w:type="dxa"/>
            </w:tcMar>
            <w:vAlign w:val="bottom"/>
          </w:tcPr>
          <w:p w14:paraId="481C8624" w14:textId="7E5E50D0" w:rsidR="00994926" w:rsidRPr="00D01775" w:rsidRDefault="00994926" w:rsidP="00994926">
            <w:pPr>
              <w:pStyle w:val="SingleTxtG"/>
              <w:keepNext/>
              <w:tabs>
                <w:tab w:val="clear" w:pos="1701"/>
                <w:tab w:val="clear" w:pos="2268"/>
                <w:tab w:val="clear" w:pos="2835"/>
              </w:tabs>
              <w:spacing w:before="40" w:after="40" w:line="220" w:lineRule="exact"/>
              <w:ind w:left="113" w:right="0"/>
              <w:jc w:val="right"/>
              <w:rPr>
                <w:sz w:val="18"/>
              </w:rPr>
            </w:pPr>
            <w:r w:rsidRPr="00D01775">
              <w:rPr>
                <w:sz w:val="18"/>
              </w:rPr>
              <w:t>-</w:t>
            </w:r>
          </w:p>
        </w:tc>
        <w:tc>
          <w:tcPr>
            <w:tcW w:w="213" w:type="pct"/>
            <w:shd w:val="clear" w:color="auto" w:fill="auto"/>
            <w:tcMar>
              <w:right w:w="28" w:type="dxa"/>
            </w:tcMar>
            <w:vAlign w:val="bottom"/>
          </w:tcPr>
          <w:p w14:paraId="0952FC48" w14:textId="77777777" w:rsidR="00994926" w:rsidRPr="00D01775" w:rsidRDefault="00994926" w:rsidP="00994926">
            <w:pPr>
              <w:pStyle w:val="SingleTxtG"/>
              <w:keepNext/>
              <w:tabs>
                <w:tab w:val="clear" w:pos="1701"/>
                <w:tab w:val="clear" w:pos="2268"/>
                <w:tab w:val="clear" w:pos="2835"/>
              </w:tabs>
              <w:spacing w:before="40" w:after="40" w:line="220" w:lineRule="exact"/>
              <w:ind w:left="113" w:right="0"/>
              <w:jc w:val="right"/>
              <w:rPr>
                <w:sz w:val="18"/>
              </w:rPr>
            </w:pPr>
            <w:r w:rsidRPr="00D01775">
              <w:rPr>
                <w:sz w:val="18"/>
              </w:rPr>
              <w:t>-</w:t>
            </w:r>
          </w:p>
        </w:tc>
        <w:tc>
          <w:tcPr>
            <w:tcW w:w="189" w:type="pct"/>
            <w:shd w:val="clear" w:color="auto" w:fill="auto"/>
            <w:tcMar>
              <w:right w:w="28" w:type="dxa"/>
            </w:tcMar>
            <w:vAlign w:val="bottom"/>
          </w:tcPr>
          <w:p w14:paraId="4FA50A88" w14:textId="77777777" w:rsidR="00994926" w:rsidRPr="00D01775" w:rsidRDefault="00994926" w:rsidP="00994926">
            <w:pPr>
              <w:pStyle w:val="SingleTxtG"/>
              <w:keepNext/>
              <w:tabs>
                <w:tab w:val="clear" w:pos="1701"/>
                <w:tab w:val="clear" w:pos="2268"/>
                <w:tab w:val="clear" w:pos="2835"/>
              </w:tabs>
              <w:spacing w:before="40" w:after="40" w:line="220" w:lineRule="exact"/>
              <w:ind w:left="113" w:right="0"/>
              <w:jc w:val="right"/>
              <w:rPr>
                <w:sz w:val="18"/>
              </w:rPr>
            </w:pPr>
            <w:r w:rsidRPr="00D01775">
              <w:rPr>
                <w:sz w:val="18"/>
              </w:rPr>
              <w:t>-</w:t>
            </w:r>
          </w:p>
        </w:tc>
        <w:tc>
          <w:tcPr>
            <w:tcW w:w="189" w:type="pct"/>
            <w:shd w:val="clear" w:color="auto" w:fill="auto"/>
            <w:tcMar>
              <w:right w:w="28" w:type="dxa"/>
            </w:tcMar>
            <w:vAlign w:val="bottom"/>
          </w:tcPr>
          <w:p w14:paraId="0991DBFA" w14:textId="77777777" w:rsidR="00994926" w:rsidRPr="00D01775" w:rsidRDefault="00994926" w:rsidP="00994926">
            <w:pPr>
              <w:pStyle w:val="SingleTxtG"/>
              <w:keepNext/>
              <w:tabs>
                <w:tab w:val="clear" w:pos="1701"/>
                <w:tab w:val="clear" w:pos="2268"/>
                <w:tab w:val="clear" w:pos="2835"/>
              </w:tabs>
              <w:spacing w:before="40" w:after="40" w:line="220" w:lineRule="exact"/>
              <w:ind w:left="113" w:right="0"/>
              <w:jc w:val="right"/>
              <w:rPr>
                <w:sz w:val="18"/>
              </w:rPr>
            </w:pPr>
            <w:r w:rsidRPr="00D01775">
              <w:rPr>
                <w:sz w:val="18"/>
              </w:rPr>
              <w:t>-</w:t>
            </w:r>
          </w:p>
        </w:tc>
        <w:tc>
          <w:tcPr>
            <w:tcW w:w="188" w:type="pct"/>
            <w:shd w:val="clear" w:color="auto" w:fill="auto"/>
            <w:vAlign w:val="bottom"/>
          </w:tcPr>
          <w:p w14:paraId="3BB0ADC2" w14:textId="77777777" w:rsidR="00994926" w:rsidRPr="00D01775" w:rsidRDefault="00994926" w:rsidP="00994926">
            <w:pPr>
              <w:pStyle w:val="SingleTxtG"/>
              <w:keepNext/>
              <w:tabs>
                <w:tab w:val="clear" w:pos="1701"/>
                <w:tab w:val="clear" w:pos="2268"/>
                <w:tab w:val="clear" w:pos="2835"/>
              </w:tabs>
              <w:spacing w:before="40" w:after="40" w:line="220" w:lineRule="exact"/>
              <w:ind w:left="113" w:right="0"/>
              <w:jc w:val="right"/>
              <w:rPr>
                <w:sz w:val="18"/>
              </w:rPr>
            </w:pPr>
            <w:r w:rsidRPr="00D01775">
              <w:rPr>
                <w:sz w:val="18"/>
              </w:rPr>
              <w:t>-</w:t>
            </w:r>
          </w:p>
        </w:tc>
        <w:tc>
          <w:tcPr>
            <w:tcW w:w="189" w:type="pct"/>
            <w:vAlign w:val="bottom"/>
          </w:tcPr>
          <w:p w14:paraId="7B278DA2" w14:textId="375F47AF" w:rsidR="00994926" w:rsidRPr="00D01775" w:rsidRDefault="00994926" w:rsidP="00994926">
            <w:pPr>
              <w:pStyle w:val="SingleTxtG"/>
              <w:keepNext/>
              <w:tabs>
                <w:tab w:val="clear" w:pos="1701"/>
                <w:tab w:val="clear" w:pos="2268"/>
                <w:tab w:val="clear" w:pos="2835"/>
              </w:tabs>
              <w:spacing w:before="40" w:after="40" w:line="220" w:lineRule="exact"/>
              <w:ind w:left="113" w:right="0"/>
              <w:jc w:val="right"/>
              <w:rPr>
                <w:sz w:val="18"/>
              </w:rPr>
            </w:pPr>
            <w:r w:rsidRPr="00D01775">
              <w:rPr>
                <w:sz w:val="18"/>
              </w:rPr>
              <w:t>-</w:t>
            </w:r>
          </w:p>
        </w:tc>
        <w:tc>
          <w:tcPr>
            <w:tcW w:w="189" w:type="pct"/>
            <w:shd w:val="clear" w:color="auto" w:fill="auto"/>
            <w:tcMar>
              <w:right w:w="28" w:type="dxa"/>
            </w:tcMar>
            <w:vAlign w:val="bottom"/>
          </w:tcPr>
          <w:p w14:paraId="0406BE34" w14:textId="22F70FD8" w:rsidR="00994926" w:rsidRPr="00D01775" w:rsidRDefault="00994926" w:rsidP="00994926">
            <w:pPr>
              <w:pStyle w:val="SingleTxtG"/>
              <w:keepNext/>
              <w:tabs>
                <w:tab w:val="clear" w:pos="1701"/>
                <w:tab w:val="clear" w:pos="2268"/>
                <w:tab w:val="clear" w:pos="2835"/>
              </w:tabs>
              <w:spacing w:before="40" w:after="40" w:line="220" w:lineRule="exact"/>
              <w:ind w:left="113" w:right="0"/>
              <w:jc w:val="right"/>
              <w:rPr>
                <w:sz w:val="18"/>
              </w:rPr>
            </w:pPr>
            <w:r w:rsidRPr="00D01775">
              <w:rPr>
                <w:sz w:val="18"/>
              </w:rPr>
              <w:t>-</w:t>
            </w:r>
          </w:p>
        </w:tc>
        <w:tc>
          <w:tcPr>
            <w:tcW w:w="213" w:type="pct"/>
            <w:shd w:val="clear" w:color="auto" w:fill="auto"/>
            <w:tcMar>
              <w:right w:w="28" w:type="dxa"/>
            </w:tcMar>
            <w:vAlign w:val="bottom"/>
          </w:tcPr>
          <w:p w14:paraId="11BB7263" w14:textId="77777777" w:rsidR="00994926" w:rsidRPr="00D01775" w:rsidRDefault="00994926" w:rsidP="00994926">
            <w:pPr>
              <w:pStyle w:val="SingleTxtG"/>
              <w:keepNext/>
              <w:tabs>
                <w:tab w:val="clear" w:pos="1701"/>
                <w:tab w:val="clear" w:pos="2268"/>
                <w:tab w:val="clear" w:pos="2835"/>
              </w:tabs>
              <w:spacing w:before="40" w:after="40" w:line="220" w:lineRule="exact"/>
              <w:ind w:left="113" w:right="0"/>
              <w:jc w:val="right"/>
              <w:rPr>
                <w:sz w:val="18"/>
              </w:rPr>
            </w:pPr>
            <w:r w:rsidRPr="00D01775">
              <w:rPr>
                <w:sz w:val="18"/>
              </w:rPr>
              <w:t>4</w:t>
            </w:r>
          </w:p>
        </w:tc>
        <w:tc>
          <w:tcPr>
            <w:tcW w:w="188" w:type="pct"/>
            <w:shd w:val="clear" w:color="auto" w:fill="auto"/>
            <w:vAlign w:val="bottom"/>
          </w:tcPr>
          <w:p w14:paraId="68E79AEB" w14:textId="77777777" w:rsidR="00994926" w:rsidRPr="00D01775" w:rsidRDefault="00994926" w:rsidP="00994926">
            <w:pPr>
              <w:pStyle w:val="SingleTxtG"/>
              <w:keepNext/>
              <w:tabs>
                <w:tab w:val="clear" w:pos="1701"/>
                <w:tab w:val="clear" w:pos="2268"/>
                <w:tab w:val="clear" w:pos="2835"/>
              </w:tabs>
              <w:spacing w:before="40" w:after="40" w:line="220" w:lineRule="exact"/>
              <w:ind w:left="113" w:right="0"/>
              <w:jc w:val="right"/>
              <w:rPr>
                <w:sz w:val="18"/>
              </w:rPr>
            </w:pPr>
            <w:r w:rsidRPr="00D01775">
              <w:rPr>
                <w:sz w:val="18"/>
              </w:rPr>
              <w:t>-</w:t>
            </w:r>
          </w:p>
        </w:tc>
        <w:tc>
          <w:tcPr>
            <w:tcW w:w="188" w:type="pct"/>
            <w:shd w:val="clear" w:color="auto" w:fill="auto"/>
            <w:vAlign w:val="bottom"/>
          </w:tcPr>
          <w:p w14:paraId="182F10C6" w14:textId="77777777" w:rsidR="00994926" w:rsidRPr="00D01775" w:rsidRDefault="00994926" w:rsidP="00994926">
            <w:pPr>
              <w:pStyle w:val="SingleTxtG"/>
              <w:keepNext/>
              <w:tabs>
                <w:tab w:val="clear" w:pos="1701"/>
                <w:tab w:val="clear" w:pos="2268"/>
                <w:tab w:val="clear" w:pos="2835"/>
              </w:tabs>
              <w:spacing w:before="40" w:after="40" w:line="220" w:lineRule="exact"/>
              <w:ind w:left="113" w:right="0"/>
              <w:jc w:val="right"/>
              <w:rPr>
                <w:sz w:val="18"/>
              </w:rPr>
            </w:pPr>
            <w:r w:rsidRPr="00D01775">
              <w:rPr>
                <w:sz w:val="18"/>
              </w:rPr>
              <w:t>-</w:t>
            </w:r>
          </w:p>
        </w:tc>
        <w:tc>
          <w:tcPr>
            <w:tcW w:w="188" w:type="pct"/>
            <w:shd w:val="clear" w:color="auto" w:fill="auto"/>
            <w:vAlign w:val="bottom"/>
          </w:tcPr>
          <w:p w14:paraId="60A348E1" w14:textId="77777777" w:rsidR="00994926" w:rsidRPr="00D01775" w:rsidRDefault="00994926" w:rsidP="00994926">
            <w:pPr>
              <w:pStyle w:val="SingleTxtG"/>
              <w:keepNext/>
              <w:tabs>
                <w:tab w:val="clear" w:pos="1701"/>
                <w:tab w:val="clear" w:pos="2268"/>
                <w:tab w:val="clear" w:pos="2835"/>
              </w:tabs>
              <w:spacing w:before="40" w:after="40" w:line="220" w:lineRule="exact"/>
              <w:ind w:left="113" w:right="0"/>
              <w:jc w:val="right"/>
              <w:rPr>
                <w:sz w:val="18"/>
              </w:rPr>
            </w:pPr>
            <w:r w:rsidRPr="00D01775">
              <w:rPr>
                <w:sz w:val="18"/>
              </w:rPr>
              <w:t>-</w:t>
            </w:r>
          </w:p>
        </w:tc>
        <w:tc>
          <w:tcPr>
            <w:tcW w:w="189" w:type="pct"/>
            <w:shd w:val="clear" w:color="auto" w:fill="auto"/>
            <w:tcMar>
              <w:right w:w="28" w:type="dxa"/>
            </w:tcMar>
            <w:vAlign w:val="bottom"/>
          </w:tcPr>
          <w:p w14:paraId="732FCE7B" w14:textId="77777777" w:rsidR="00994926" w:rsidRPr="00D01775" w:rsidRDefault="00994926" w:rsidP="00994926">
            <w:pPr>
              <w:pStyle w:val="SingleTxtG"/>
              <w:keepNext/>
              <w:tabs>
                <w:tab w:val="clear" w:pos="1701"/>
                <w:tab w:val="clear" w:pos="2268"/>
                <w:tab w:val="clear" w:pos="2835"/>
              </w:tabs>
              <w:spacing w:before="40" w:after="40" w:line="220" w:lineRule="exact"/>
              <w:ind w:left="113" w:right="0"/>
              <w:jc w:val="right"/>
              <w:rPr>
                <w:sz w:val="18"/>
              </w:rPr>
            </w:pPr>
            <w:r w:rsidRPr="00D01775">
              <w:rPr>
                <w:sz w:val="18"/>
              </w:rPr>
              <w:t>-</w:t>
            </w:r>
          </w:p>
        </w:tc>
        <w:tc>
          <w:tcPr>
            <w:tcW w:w="189" w:type="pct"/>
            <w:shd w:val="clear" w:color="auto" w:fill="auto"/>
            <w:tcMar>
              <w:right w:w="28" w:type="dxa"/>
            </w:tcMar>
            <w:vAlign w:val="bottom"/>
          </w:tcPr>
          <w:p w14:paraId="0A78EDA7" w14:textId="77777777" w:rsidR="00994926" w:rsidRPr="00D01775" w:rsidRDefault="00994926" w:rsidP="00994926">
            <w:pPr>
              <w:pStyle w:val="SingleTxtG"/>
              <w:keepNext/>
              <w:tabs>
                <w:tab w:val="clear" w:pos="1701"/>
                <w:tab w:val="clear" w:pos="2268"/>
                <w:tab w:val="clear" w:pos="2835"/>
              </w:tabs>
              <w:spacing w:before="40" w:after="40" w:line="220" w:lineRule="exact"/>
              <w:ind w:left="113" w:right="0"/>
              <w:jc w:val="right"/>
              <w:rPr>
                <w:sz w:val="18"/>
              </w:rPr>
            </w:pPr>
            <w:r w:rsidRPr="00D01775">
              <w:rPr>
                <w:sz w:val="18"/>
              </w:rPr>
              <w:t>-</w:t>
            </w:r>
          </w:p>
        </w:tc>
        <w:tc>
          <w:tcPr>
            <w:tcW w:w="168" w:type="pct"/>
            <w:shd w:val="clear" w:color="auto" w:fill="auto"/>
            <w:tcMar>
              <w:right w:w="28" w:type="dxa"/>
            </w:tcMar>
            <w:vAlign w:val="bottom"/>
          </w:tcPr>
          <w:p w14:paraId="5C41C3EF" w14:textId="77777777" w:rsidR="00994926" w:rsidRPr="00D01775" w:rsidRDefault="00994926" w:rsidP="00994926">
            <w:pPr>
              <w:pStyle w:val="SingleTxtG"/>
              <w:keepNext/>
              <w:tabs>
                <w:tab w:val="clear" w:pos="1701"/>
                <w:tab w:val="clear" w:pos="2268"/>
                <w:tab w:val="clear" w:pos="2835"/>
              </w:tabs>
              <w:spacing w:before="40" w:after="40" w:line="220" w:lineRule="exact"/>
              <w:ind w:left="113" w:right="0"/>
              <w:jc w:val="right"/>
              <w:rPr>
                <w:sz w:val="18"/>
              </w:rPr>
            </w:pPr>
            <w:r w:rsidRPr="00D01775">
              <w:rPr>
                <w:sz w:val="18"/>
              </w:rPr>
              <w:t>-</w:t>
            </w:r>
          </w:p>
        </w:tc>
        <w:tc>
          <w:tcPr>
            <w:tcW w:w="295" w:type="pct"/>
            <w:shd w:val="clear" w:color="auto" w:fill="auto"/>
            <w:tcMar>
              <w:right w:w="28" w:type="dxa"/>
            </w:tcMar>
            <w:vAlign w:val="bottom"/>
          </w:tcPr>
          <w:p w14:paraId="62067E5D" w14:textId="77777777" w:rsidR="00994926" w:rsidRPr="00D01775" w:rsidRDefault="00994926" w:rsidP="00994926">
            <w:pPr>
              <w:pStyle w:val="SingleTxtG"/>
              <w:keepNext/>
              <w:tabs>
                <w:tab w:val="clear" w:pos="1701"/>
                <w:tab w:val="clear" w:pos="2268"/>
                <w:tab w:val="clear" w:pos="2835"/>
              </w:tabs>
              <w:spacing w:before="40" w:after="40" w:line="220" w:lineRule="exact"/>
              <w:ind w:left="113" w:right="0"/>
              <w:jc w:val="right"/>
              <w:rPr>
                <w:sz w:val="18"/>
              </w:rPr>
            </w:pPr>
            <w:r w:rsidRPr="00D01775">
              <w:rPr>
                <w:sz w:val="18"/>
              </w:rPr>
              <w:t>5</w:t>
            </w:r>
          </w:p>
        </w:tc>
      </w:tr>
      <w:tr w:rsidR="00994926" w:rsidRPr="00D01775" w14:paraId="06F587D3" w14:textId="77777777" w:rsidTr="00207489">
        <w:trPr>
          <w:trHeight w:val="240"/>
        </w:trPr>
        <w:tc>
          <w:tcPr>
            <w:tcW w:w="230" w:type="pct"/>
            <w:shd w:val="clear" w:color="auto" w:fill="auto"/>
          </w:tcPr>
          <w:p w14:paraId="3666AA2A" w14:textId="77777777" w:rsidR="00994926" w:rsidRPr="00D01775" w:rsidRDefault="00994926" w:rsidP="00994926">
            <w:pPr>
              <w:pStyle w:val="SingleTxtG"/>
              <w:keepNext/>
              <w:tabs>
                <w:tab w:val="clear" w:pos="1701"/>
                <w:tab w:val="clear" w:pos="2268"/>
                <w:tab w:val="clear" w:pos="2835"/>
              </w:tabs>
              <w:spacing w:before="40" w:after="40" w:line="220" w:lineRule="exact"/>
              <w:ind w:left="0" w:right="0"/>
              <w:jc w:val="left"/>
              <w:rPr>
                <w:sz w:val="18"/>
              </w:rPr>
            </w:pPr>
            <w:r w:rsidRPr="00D01775">
              <w:rPr>
                <w:sz w:val="18"/>
              </w:rPr>
              <w:t>2014</w:t>
            </w:r>
          </w:p>
        </w:tc>
        <w:tc>
          <w:tcPr>
            <w:tcW w:w="198" w:type="pct"/>
            <w:shd w:val="clear" w:color="auto" w:fill="auto"/>
            <w:tcMar>
              <w:right w:w="28" w:type="dxa"/>
            </w:tcMar>
            <w:vAlign w:val="bottom"/>
          </w:tcPr>
          <w:p w14:paraId="1B9ACB00" w14:textId="77777777" w:rsidR="00994926" w:rsidRPr="00D01775" w:rsidRDefault="00994926" w:rsidP="00994926">
            <w:pPr>
              <w:pStyle w:val="SingleTxtG"/>
              <w:keepNext/>
              <w:tabs>
                <w:tab w:val="clear" w:pos="1701"/>
                <w:tab w:val="clear" w:pos="2268"/>
                <w:tab w:val="clear" w:pos="2835"/>
              </w:tabs>
              <w:spacing w:before="40" w:after="40" w:line="220" w:lineRule="exact"/>
              <w:ind w:left="113" w:right="0"/>
              <w:jc w:val="right"/>
              <w:rPr>
                <w:sz w:val="18"/>
              </w:rPr>
            </w:pPr>
            <w:r w:rsidRPr="00D01775">
              <w:rPr>
                <w:sz w:val="18"/>
              </w:rPr>
              <w:t>-</w:t>
            </w:r>
          </w:p>
        </w:tc>
        <w:tc>
          <w:tcPr>
            <w:tcW w:w="197" w:type="pct"/>
            <w:shd w:val="clear" w:color="auto" w:fill="auto"/>
            <w:tcMar>
              <w:right w:w="28" w:type="dxa"/>
            </w:tcMar>
            <w:vAlign w:val="bottom"/>
          </w:tcPr>
          <w:p w14:paraId="1C6A8C41" w14:textId="77777777" w:rsidR="00994926" w:rsidRPr="00D01775" w:rsidRDefault="00994926" w:rsidP="00994926">
            <w:pPr>
              <w:pStyle w:val="SingleTxtG"/>
              <w:keepNext/>
              <w:tabs>
                <w:tab w:val="clear" w:pos="1701"/>
                <w:tab w:val="clear" w:pos="2268"/>
                <w:tab w:val="clear" w:pos="2835"/>
              </w:tabs>
              <w:spacing w:before="40" w:after="40" w:line="220" w:lineRule="exact"/>
              <w:ind w:left="113" w:right="0"/>
              <w:jc w:val="right"/>
              <w:rPr>
                <w:sz w:val="18"/>
              </w:rPr>
            </w:pPr>
            <w:r w:rsidRPr="00D01775">
              <w:rPr>
                <w:sz w:val="18"/>
              </w:rPr>
              <w:t>-</w:t>
            </w:r>
          </w:p>
        </w:tc>
        <w:tc>
          <w:tcPr>
            <w:tcW w:w="268" w:type="pct"/>
            <w:shd w:val="clear" w:color="auto" w:fill="auto"/>
            <w:vAlign w:val="bottom"/>
          </w:tcPr>
          <w:p w14:paraId="3E935781" w14:textId="77777777" w:rsidR="00994926" w:rsidRPr="00D01775" w:rsidRDefault="00994926" w:rsidP="00994926">
            <w:pPr>
              <w:pStyle w:val="SingleTxtG"/>
              <w:keepNext/>
              <w:tabs>
                <w:tab w:val="clear" w:pos="1701"/>
                <w:tab w:val="clear" w:pos="2268"/>
                <w:tab w:val="clear" w:pos="2835"/>
              </w:tabs>
              <w:spacing w:before="40" w:after="40" w:line="220" w:lineRule="exact"/>
              <w:ind w:left="113" w:right="0"/>
              <w:jc w:val="right"/>
              <w:rPr>
                <w:sz w:val="18"/>
              </w:rPr>
            </w:pPr>
            <w:r w:rsidRPr="00D01775">
              <w:rPr>
                <w:sz w:val="18"/>
              </w:rPr>
              <w:t>-</w:t>
            </w:r>
          </w:p>
        </w:tc>
        <w:tc>
          <w:tcPr>
            <w:tcW w:w="172" w:type="pct"/>
            <w:shd w:val="clear" w:color="auto" w:fill="auto"/>
            <w:tcMar>
              <w:right w:w="28" w:type="dxa"/>
            </w:tcMar>
            <w:vAlign w:val="bottom"/>
          </w:tcPr>
          <w:p w14:paraId="3590CB0D" w14:textId="77777777" w:rsidR="00994926" w:rsidRPr="00D01775" w:rsidRDefault="00994926" w:rsidP="00994926">
            <w:pPr>
              <w:pStyle w:val="SingleTxtG"/>
              <w:keepNext/>
              <w:tabs>
                <w:tab w:val="clear" w:pos="1701"/>
                <w:tab w:val="clear" w:pos="2268"/>
                <w:tab w:val="clear" w:pos="2835"/>
              </w:tabs>
              <w:spacing w:before="40" w:after="40" w:line="220" w:lineRule="exact"/>
              <w:ind w:left="113" w:right="0"/>
              <w:jc w:val="right"/>
              <w:rPr>
                <w:sz w:val="18"/>
              </w:rPr>
            </w:pPr>
            <w:r w:rsidRPr="00D01775">
              <w:rPr>
                <w:sz w:val="18"/>
              </w:rPr>
              <w:t>1</w:t>
            </w:r>
          </w:p>
        </w:tc>
        <w:tc>
          <w:tcPr>
            <w:tcW w:w="191" w:type="pct"/>
            <w:shd w:val="clear" w:color="auto" w:fill="auto"/>
            <w:vAlign w:val="bottom"/>
          </w:tcPr>
          <w:p w14:paraId="0ECA8DBD" w14:textId="77777777" w:rsidR="00994926" w:rsidRPr="00D01775" w:rsidRDefault="00994926" w:rsidP="00994926">
            <w:pPr>
              <w:pStyle w:val="SingleTxtG"/>
              <w:keepNext/>
              <w:tabs>
                <w:tab w:val="clear" w:pos="1701"/>
                <w:tab w:val="clear" w:pos="2268"/>
                <w:tab w:val="clear" w:pos="2835"/>
              </w:tabs>
              <w:spacing w:before="40" w:after="40" w:line="220" w:lineRule="exact"/>
              <w:ind w:left="113" w:right="0"/>
              <w:jc w:val="right"/>
              <w:rPr>
                <w:sz w:val="18"/>
              </w:rPr>
            </w:pPr>
            <w:r w:rsidRPr="00D01775">
              <w:rPr>
                <w:sz w:val="18"/>
              </w:rPr>
              <w:t>-</w:t>
            </w:r>
          </w:p>
        </w:tc>
        <w:tc>
          <w:tcPr>
            <w:tcW w:w="217" w:type="pct"/>
            <w:shd w:val="clear" w:color="auto" w:fill="auto"/>
            <w:tcMar>
              <w:right w:w="28" w:type="dxa"/>
            </w:tcMar>
            <w:vAlign w:val="bottom"/>
          </w:tcPr>
          <w:p w14:paraId="0BAC413D" w14:textId="77777777" w:rsidR="00994926" w:rsidRPr="00D01775" w:rsidRDefault="00994926" w:rsidP="00994926">
            <w:pPr>
              <w:pStyle w:val="SingleTxtG"/>
              <w:keepNext/>
              <w:tabs>
                <w:tab w:val="clear" w:pos="1701"/>
                <w:tab w:val="clear" w:pos="2268"/>
                <w:tab w:val="clear" w:pos="2835"/>
              </w:tabs>
              <w:spacing w:before="40" w:after="40" w:line="220" w:lineRule="exact"/>
              <w:ind w:left="113" w:right="0"/>
              <w:jc w:val="right"/>
              <w:rPr>
                <w:sz w:val="18"/>
              </w:rPr>
            </w:pPr>
            <w:r w:rsidRPr="00D01775">
              <w:rPr>
                <w:sz w:val="18"/>
              </w:rPr>
              <w:t>1</w:t>
            </w:r>
          </w:p>
        </w:tc>
        <w:tc>
          <w:tcPr>
            <w:tcW w:w="189" w:type="pct"/>
            <w:shd w:val="clear" w:color="auto" w:fill="auto"/>
            <w:tcMar>
              <w:right w:w="28" w:type="dxa"/>
            </w:tcMar>
            <w:vAlign w:val="bottom"/>
          </w:tcPr>
          <w:p w14:paraId="6A4F6FC3" w14:textId="77777777" w:rsidR="00994926" w:rsidRPr="00D01775" w:rsidRDefault="00994926" w:rsidP="00994926">
            <w:pPr>
              <w:pStyle w:val="SingleTxtG"/>
              <w:keepNext/>
              <w:tabs>
                <w:tab w:val="clear" w:pos="1701"/>
                <w:tab w:val="clear" w:pos="2268"/>
                <w:tab w:val="clear" w:pos="2835"/>
              </w:tabs>
              <w:spacing w:before="40" w:after="40" w:line="220" w:lineRule="exact"/>
              <w:ind w:left="113" w:right="0"/>
              <w:jc w:val="right"/>
              <w:rPr>
                <w:sz w:val="18"/>
              </w:rPr>
            </w:pPr>
            <w:r w:rsidRPr="00D01775">
              <w:rPr>
                <w:sz w:val="18"/>
              </w:rPr>
              <w:t>1</w:t>
            </w:r>
          </w:p>
        </w:tc>
        <w:tc>
          <w:tcPr>
            <w:tcW w:w="189" w:type="pct"/>
            <w:shd w:val="clear" w:color="auto" w:fill="auto"/>
            <w:tcMar>
              <w:right w:w="28" w:type="dxa"/>
            </w:tcMar>
            <w:vAlign w:val="bottom"/>
          </w:tcPr>
          <w:p w14:paraId="047F8B4C" w14:textId="77777777" w:rsidR="00994926" w:rsidRPr="00D01775" w:rsidRDefault="00994926" w:rsidP="00994926">
            <w:pPr>
              <w:pStyle w:val="SingleTxtG"/>
              <w:keepNext/>
              <w:tabs>
                <w:tab w:val="clear" w:pos="1701"/>
                <w:tab w:val="clear" w:pos="2268"/>
                <w:tab w:val="clear" w:pos="2835"/>
              </w:tabs>
              <w:spacing w:before="40" w:after="40" w:line="220" w:lineRule="exact"/>
              <w:ind w:left="113" w:right="0"/>
              <w:jc w:val="right"/>
              <w:rPr>
                <w:sz w:val="18"/>
              </w:rPr>
            </w:pPr>
            <w:r w:rsidRPr="00D01775">
              <w:rPr>
                <w:sz w:val="18"/>
              </w:rPr>
              <w:t>-</w:t>
            </w:r>
          </w:p>
        </w:tc>
        <w:tc>
          <w:tcPr>
            <w:tcW w:w="189" w:type="pct"/>
            <w:vAlign w:val="bottom"/>
          </w:tcPr>
          <w:p w14:paraId="08DE43E8" w14:textId="67143088" w:rsidR="00994926" w:rsidRPr="00D01775" w:rsidRDefault="00994926" w:rsidP="00994926">
            <w:pPr>
              <w:pStyle w:val="SingleTxtG"/>
              <w:keepNext/>
              <w:tabs>
                <w:tab w:val="clear" w:pos="1701"/>
                <w:tab w:val="clear" w:pos="2268"/>
                <w:tab w:val="clear" w:pos="2835"/>
              </w:tabs>
              <w:spacing w:before="40" w:after="40" w:line="220" w:lineRule="exact"/>
              <w:ind w:left="113" w:right="0"/>
              <w:jc w:val="right"/>
              <w:rPr>
                <w:sz w:val="18"/>
              </w:rPr>
            </w:pPr>
            <w:r w:rsidRPr="00D01775">
              <w:rPr>
                <w:sz w:val="18"/>
              </w:rPr>
              <w:t>-</w:t>
            </w:r>
          </w:p>
        </w:tc>
        <w:tc>
          <w:tcPr>
            <w:tcW w:w="189" w:type="pct"/>
            <w:shd w:val="clear" w:color="auto" w:fill="auto"/>
            <w:tcMar>
              <w:right w:w="28" w:type="dxa"/>
            </w:tcMar>
            <w:vAlign w:val="bottom"/>
          </w:tcPr>
          <w:p w14:paraId="2C0F94F6" w14:textId="10758E3C" w:rsidR="00994926" w:rsidRPr="00D01775" w:rsidRDefault="00994926" w:rsidP="00994926">
            <w:pPr>
              <w:pStyle w:val="SingleTxtG"/>
              <w:keepNext/>
              <w:tabs>
                <w:tab w:val="clear" w:pos="1701"/>
                <w:tab w:val="clear" w:pos="2268"/>
                <w:tab w:val="clear" w:pos="2835"/>
              </w:tabs>
              <w:spacing w:before="40" w:after="40" w:line="220" w:lineRule="exact"/>
              <w:ind w:left="113" w:right="0"/>
              <w:jc w:val="right"/>
              <w:rPr>
                <w:sz w:val="18"/>
              </w:rPr>
            </w:pPr>
            <w:r w:rsidRPr="00D01775">
              <w:rPr>
                <w:sz w:val="18"/>
              </w:rPr>
              <w:t>-</w:t>
            </w:r>
          </w:p>
        </w:tc>
        <w:tc>
          <w:tcPr>
            <w:tcW w:w="213" w:type="pct"/>
            <w:shd w:val="clear" w:color="auto" w:fill="auto"/>
            <w:tcMar>
              <w:right w:w="28" w:type="dxa"/>
            </w:tcMar>
            <w:vAlign w:val="bottom"/>
          </w:tcPr>
          <w:p w14:paraId="6CD27D9A" w14:textId="77777777" w:rsidR="00994926" w:rsidRPr="00D01775" w:rsidRDefault="00994926" w:rsidP="00994926">
            <w:pPr>
              <w:pStyle w:val="SingleTxtG"/>
              <w:keepNext/>
              <w:tabs>
                <w:tab w:val="clear" w:pos="1701"/>
                <w:tab w:val="clear" w:pos="2268"/>
                <w:tab w:val="clear" w:pos="2835"/>
              </w:tabs>
              <w:spacing w:before="40" w:after="40" w:line="220" w:lineRule="exact"/>
              <w:ind w:left="113" w:right="0"/>
              <w:jc w:val="right"/>
              <w:rPr>
                <w:sz w:val="18"/>
              </w:rPr>
            </w:pPr>
            <w:r w:rsidRPr="00D01775">
              <w:rPr>
                <w:sz w:val="18"/>
              </w:rPr>
              <w:t>5</w:t>
            </w:r>
          </w:p>
        </w:tc>
        <w:tc>
          <w:tcPr>
            <w:tcW w:w="189" w:type="pct"/>
            <w:shd w:val="clear" w:color="auto" w:fill="auto"/>
            <w:tcMar>
              <w:right w:w="28" w:type="dxa"/>
            </w:tcMar>
            <w:vAlign w:val="bottom"/>
          </w:tcPr>
          <w:p w14:paraId="62296DC9" w14:textId="77777777" w:rsidR="00994926" w:rsidRPr="00D01775" w:rsidRDefault="00994926" w:rsidP="00994926">
            <w:pPr>
              <w:pStyle w:val="SingleTxtG"/>
              <w:keepNext/>
              <w:tabs>
                <w:tab w:val="clear" w:pos="1701"/>
                <w:tab w:val="clear" w:pos="2268"/>
                <w:tab w:val="clear" w:pos="2835"/>
              </w:tabs>
              <w:spacing w:before="40" w:after="40" w:line="220" w:lineRule="exact"/>
              <w:ind w:left="113" w:right="0"/>
              <w:jc w:val="right"/>
              <w:rPr>
                <w:sz w:val="18"/>
              </w:rPr>
            </w:pPr>
            <w:r w:rsidRPr="00D01775">
              <w:rPr>
                <w:sz w:val="18"/>
              </w:rPr>
              <w:t>-</w:t>
            </w:r>
          </w:p>
        </w:tc>
        <w:tc>
          <w:tcPr>
            <w:tcW w:w="189" w:type="pct"/>
            <w:shd w:val="clear" w:color="auto" w:fill="auto"/>
            <w:tcMar>
              <w:right w:w="28" w:type="dxa"/>
            </w:tcMar>
            <w:vAlign w:val="bottom"/>
          </w:tcPr>
          <w:p w14:paraId="6A65A723" w14:textId="77777777" w:rsidR="00994926" w:rsidRPr="00D01775" w:rsidRDefault="00994926" w:rsidP="00994926">
            <w:pPr>
              <w:pStyle w:val="SingleTxtG"/>
              <w:keepNext/>
              <w:tabs>
                <w:tab w:val="clear" w:pos="1701"/>
                <w:tab w:val="clear" w:pos="2268"/>
                <w:tab w:val="clear" w:pos="2835"/>
              </w:tabs>
              <w:spacing w:before="40" w:after="40" w:line="220" w:lineRule="exact"/>
              <w:ind w:left="113" w:right="0"/>
              <w:jc w:val="right"/>
              <w:rPr>
                <w:sz w:val="18"/>
              </w:rPr>
            </w:pPr>
            <w:r w:rsidRPr="00D01775">
              <w:rPr>
                <w:sz w:val="18"/>
              </w:rPr>
              <w:t>-</w:t>
            </w:r>
          </w:p>
        </w:tc>
        <w:tc>
          <w:tcPr>
            <w:tcW w:w="188" w:type="pct"/>
            <w:shd w:val="clear" w:color="auto" w:fill="auto"/>
            <w:vAlign w:val="bottom"/>
          </w:tcPr>
          <w:p w14:paraId="58C9D1DD" w14:textId="77777777" w:rsidR="00994926" w:rsidRPr="00D01775" w:rsidRDefault="00994926" w:rsidP="00994926">
            <w:pPr>
              <w:pStyle w:val="SingleTxtG"/>
              <w:keepNext/>
              <w:tabs>
                <w:tab w:val="clear" w:pos="1701"/>
                <w:tab w:val="clear" w:pos="2268"/>
                <w:tab w:val="clear" w:pos="2835"/>
              </w:tabs>
              <w:spacing w:before="40" w:after="40" w:line="220" w:lineRule="exact"/>
              <w:ind w:left="113" w:right="0"/>
              <w:jc w:val="right"/>
              <w:rPr>
                <w:sz w:val="18"/>
              </w:rPr>
            </w:pPr>
            <w:r w:rsidRPr="00D01775">
              <w:rPr>
                <w:sz w:val="18"/>
              </w:rPr>
              <w:t>-</w:t>
            </w:r>
          </w:p>
        </w:tc>
        <w:tc>
          <w:tcPr>
            <w:tcW w:w="189" w:type="pct"/>
            <w:vAlign w:val="bottom"/>
          </w:tcPr>
          <w:p w14:paraId="1778945A" w14:textId="5D4DDEDD" w:rsidR="00994926" w:rsidRPr="00D01775" w:rsidRDefault="00994926" w:rsidP="00994926">
            <w:pPr>
              <w:pStyle w:val="SingleTxtG"/>
              <w:keepNext/>
              <w:tabs>
                <w:tab w:val="clear" w:pos="1701"/>
                <w:tab w:val="clear" w:pos="2268"/>
                <w:tab w:val="clear" w:pos="2835"/>
              </w:tabs>
              <w:spacing w:before="40" w:after="40" w:line="220" w:lineRule="exact"/>
              <w:ind w:left="113" w:right="0"/>
              <w:jc w:val="right"/>
              <w:rPr>
                <w:sz w:val="18"/>
              </w:rPr>
            </w:pPr>
            <w:r w:rsidRPr="00D01775">
              <w:rPr>
                <w:sz w:val="18"/>
              </w:rPr>
              <w:t>-</w:t>
            </w:r>
          </w:p>
        </w:tc>
        <w:tc>
          <w:tcPr>
            <w:tcW w:w="189" w:type="pct"/>
            <w:shd w:val="clear" w:color="auto" w:fill="auto"/>
            <w:tcMar>
              <w:right w:w="28" w:type="dxa"/>
            </w:tcMar>
            <w:vAlign w:val="bottom"/>
          </w:tcPr>
          <w:p w14:paraId="5184F78E" w14:textId="37717A96" w:rsidR="00994926" w:rsidRPr="00D01775" w:rsidRDefault="00994926" w:rsidP="00994926">
            <w:pPr>
              <w:pStyle w:val="SingleTxtG"/>
              <w:keepNext/>
              <w:tabs>
                <w:tab w:val="clear" w:pos="1701"/>
                <w:tab w:val="clear" w:pos="2268"/>
                <w:tab w:val="clear" w:pos="2835"/>
              </w:tabs>
              <w:spacing w:before="40" w:after="40" w:line="220" w:lineRule="exact"/>
              <w:ind w:left="113" w:right="0"/>
              <w:jc w:val="right"/>
              <w:rPr>
                <w:sz w:val="18"/>
              </w:rPr>
            </w:pPr>
            <w:r w:rsidRPr="00D01775">
              <w:rPr>
                <w:sz w:val="18"/>
              </w:rPr>
              <w:t>-</w:t>
            </w:r>
          </w:p>
        </w:tc>
        <w:tc>
          <w:tcPr>
            <w:tcW w:w="213" w:type="pct"/>
            <w:shd w:val="clear" w:color="auto" w:fill="auto"/>
            <w:tcMar>
              <w:right w:w="28" w:type="dxa"/>
            </w:tcMar>
            <w:vAlign w:val="bottom"/>
          </w:tcPr>
          <w:p w14:paraId="7519EE7B" w14:textId="77777777" w:rsidR="00994926" w:rsidRPr="00D01775" w:rsidRDefault="00994926" w:rsidP="00994926">
            <w:pPr>
              <w:pStyle w:val="SingleTxtG"/>
              <w:keepNext/>
              <w:tabs>
                <w:tab w:val="clear" w:pos="1701"/>
                <w:tab w:val="clear" w:pos="2268"/>
                <w:tab w:val="clear" w:pos="2835"/>
              </w:tabs>
              <w:spacing w:before="40" w:after="40" w:line="220" w:lineRule="exact"/>
              <w:ind w:left="113" w:right="0"/>
              <w:jc w:val="right"/>
              <w:rPr>
                <w:sz w:val="18"/>
              </w:rPr>
            </w:pPr>
            <w:r w:rsidRPr="00D01775">
              <w:rPr>
                <w:sz w:val="18"/>
              </w:rPr>
              <w:t>43</w:t>
            </w:r>
          </w:p>
        </w:tc>
        <w:tc>
          <w:tcPr>
            <w:tcW w:w="188" w:type="pct"/>
            <w:shd w:val="clear" w:color="auto" w:fill="auto"/>
            <w:vAlign w:val="bottom"/>
          </w:tcPr>
          <w:p w14:paraId="457BC72E" w14:textId="77777777" w:rsidR="00994926" w:rsidRPr="00D01775" w:rsidRDefault="00994926" w:rsidP="00994926">
            <w:pPr>
              <w:pStyle w:val="SingleTxtG"/>
              <w:keepNext/>
              <w:tabs>
                <w:tab w:val="clear" w:pos="1701"/>
                <w:tab w:val="clear" w:pos="2268"/>
                <w:tab w:val="clear" w:pos="2835"/>
              </w:tabs>
              <w:spacing w:before="40" w:after="40" w:line="220" w:lineRule="exact"/>
              <w:ind w:left="113" w:right="0"/>
              <w:jc w:val="right"/>
              <w:rPr>
                <w:sz w:val="18"/>
              </w:rPr>
            </w:pPr>
            <w:r w:rsidRPr="00D01775">
              <w:rPr>
                <w:sz w:val="18"/>
              </w:rPr>
              <w:t>-</w:t>
            </w:r>
          </w:p>
        </w:tc>
        <w:tc>
          <w:tcPr>
            <w:tcW w:w="188" w:type="pct"/>
            <w:shd w:val="clear" w:color="auto" w:fill="auto"/>
            <w:vAlign w:val="bottom"/>
          </w:tcPr>
          <w:p w14:paraId="3895128B" w14:textId="77777777" w:rsidR="00994926" w:rsidRPr="00D01775" w:rsidRDefault="00994926" w:rsidP="00994926">
            <w:pPr>
              <w:pStyle w:val="SingleTxtG"/>
              <w:keepNext/>
              <w:tabs>
                <w:tab w:val="clear" w:pos="1701"/>
                <w:tab w:val="clear" w:pos="2268"/>
                <w:tab w:val="clear" w:pos="2835"/>
              </w:tabs>
              <w:spacing w:before="40" w:after="40" w:line="220" w:lineRule="exact"/>
              <w:ind w:left="113" w:right="0"/>
              <w:jc w:val="right"/>
              <w:rPr>
                <w:sz w:val="18"/>
              </w:rPr>
            </w:pPr>
            <w:r w:rsidRPr="00D01775">
              <w:rPr>
                <w:sz w:val="18"/>
              </w:rPr>
              <w:t>-</w:t>
            </w:r>
          </w:p>
        </w:tc>
        <w:tc>
          <w:tcPr>
            <w:tcW w:w="188" w:type="pct"/>
            <w:shd w:val="clear" w:color="auto" w:fill="auto"/>
            <w:vAlign w:val="bottom"/>
          </w:tcPr>
          <w:p w14:paraId="49F52860" w14:textId="77777777" w:rsidR="00994926" w:rsidRPr="00D01775" w:rsidRDefault="00994926" w:rsidP="00994926">
            <w:pPr>
              <w:pStyle w:val="SingleTxtG"/>
              <w:keepNext/>
              <w:tabs>
                <w:tab w:val="clear" w:pos="1701"/>
                <w:tab w:val="clear" w:pos="2268"/>
                <w:tab w:val="clear" w:pos="2835"/>
              </w:tabs>
              <w:spacing w:before="40" w:after="40" w:line="220" w:lineRule="exact"/>
              <w:ind w:left="113" w:right="0"/>
              <w:jc w:val="right"/>
              <w:rPr>
                <w:sz w:val="18"/>
              </w:rPr>
            </w:pPr>
            <w:r w:rsidRPr="00D01775">
              <w:rPr>
                <w:sz w:val="18"/>
              </w:rPr>
              <w:t>-</w:t>
            </w:r>
          </w:p>
        </w:tc>
        <w:tc>
          <w:tcPr>
            <w:tcW w:w="189" w:type="pct"/>
            <w:shd w:val="clear" w:color="auto" w:fill="auto"/>
            <w:tcMar>
              <w:right w:w="28" w:type="dxa"/>
            </w:tcMar>
            <w:vAlign w:val="bottom"/>
          </w:tcPr>
          <w:p w14:paraId="5D1AC876" w14:textId="77777777" w:rsidR="00994926" w:rsidRPr="00D01775" w:rsidRDefault="00994926" w:rsidP="00994926">
            <w:pPr>
              <w:pStyle w:val="SingleTxtG"/>
              <w:keepNext/>
              <w:tabs>
                <w:tab w:val="clear" w:pos="1701"/>
                <w:tab w:val="clear" w:pos="2268"/>
                <w:tab w:val="clear" w:pos="2835"/>
              </w:tabs>
              <w:spacing w:before="40" w:after="40" w:line="220" w:lineRule="exact"/>
              <w:ind w:left="113" w:right="0"/>
              <w:jc w:val="right"/>
              <w:rPr>
                <w:sz w:val="18"/>
              </w:rPr>
            </w:pPr>
            <w:r w:rsidRPr="00D01775">
              <w:rPr>
                <w:sz w:val="18"/>
              </w:rPr>
              <w:t>-</w:t>
            </w:r>
          </w:p>
        </w:tc>
        <w:tc>
          <w:tcPr>
            <w:tcW w:w="189" w:type="pct"/>
            <w:shd w:val="clear" w:color="auto" w:fill="auto"/>
            <w:tcMar>
              <w:right w:w="28" w:type="dxa"/>
            </w:tcMar>
            <w:vAlign w:val="bottom"/>
          </w:tcPr>
          <w:p w14:paraId="145DCA18" w14:textId="77777777" w:rsidR="00994926" w:rsidRPr="00D01775" w:rsidRDefault="00994926" w:rsidP="00994926">
            <w:pPr>
              <w:pStyle w:val="SingleTxtG"/>
              <w:keepNext/>
              <w:tabs>
                <w:tab w:val="clear" w:pos="1701"/>
                <w:tab w:val="clear" w:pos="2268"/>
                <w:tab w:val="clear" w:pos="2835"/>
              </w:tabs>
              <w:spacing w:before="40" w:after="40" w:line="220" w:lineRule="exact"/>
              <w:ind w:left="113" w:right="0"/>
              <w:jc w:val="right"/>
              <w:rPr>
                <w:sz w:val="18"/>
              </w:rPr>
            </w:pPr>
            <w:r w:rsidRPr="00D01775">
              <w:rPr>
                <w:sz w:val="18"/>
              </w:rPr>
              <w:t>-</w:t>
            </w:r>
          </w:p>
        </w:tc>
        <w:tc>
          <w:tcPr>
            <w:tcW w:w="168" w:type="pct"/>
            <w:shd w:val="clear" w:color="auto" w:fill="auto"/>
            <w:tcMar>
              <w:right w:w="28" w:type="dxa"/>
            </w:tcMar>
            <w:vAlign w:val="bottom"/>
          </w:tcPr>
          <w:p w14:paraId="6D1EB54F" w14:textId="77777777" w:rsidR="00994926" w:rsidRPr="00D01775" w:rsidRDefault="00994926" w:rsidP="00994926">
            <w:pPr>
              <w:pStyle w:val="SingleTxtG"/>
              <w:keepNext/>
              <w:tabs>
                <w:tab w:val="clear" w:pos="1701"/>
                <w:tab w:val="clear" w:pos="2268"/>
                <w:tab w:val="clear" w:pos="2835"/>
              </w:tabs>
              <w:spacing w:before="40" w:after="40" w:line="220" w:lineRule="exact"/>
              <w:ind w:left="113" w:right="0"/>
              <w:jc w:val="right"/>
              <w:rPr>
                <w:sz w:val="18"/>
              </w:rPr>
            </w:pPr>
            <w:r w:rsidRPr="00D01775">
              <w:rPr>
                <w:sz w:val="18"/>
              </w:rPr>
              <w:t>-</w:t>
            </w:r>
          </w:p>
        </w:tc>
        <w:tc>
          <w:tcPr>
            <w:tcW w:w="295" w:type="pct"/>
            <w:shd w:val="clear" w:color="auto" w:fill="auto"/>
            <w:tcMar>
              <w:right w:w="28" w:type="dxa"/>
            </w:tcMar>
            <w:vAlign w:val="bottom"/>
          </w:tcPr>
          <w:p w14:paraId="4E1E998D" w14:textId="77777777" w:rsidR="00994926" w:rsidRPr="00D01775" w:rsidRDefault="00994926" w:rsidP="00994926">
            <w:pPr>
              <w:pStyle w:val="SingleTxtG"/>
              <w:keepNext/>
              <w:tabs>
                <w:tab w:val="clear" w:pos="1701"/>
                <w:tab w:val="clear" w:pos="2268"/>
                <w:tab w:val="clear" w:pos="2835"/>
              </w:tabs>
              <w:spacing w:before="40" w:after="40" w:line="220" w:lineRule="exact"/>
              <w:ind w:left="113" w:right="0"/>
              <w:jc w:val="right"/>
              <w:rPr>
                <w:sz w:val="18"/>
              </w:rPr>
            </w:pPr>
            <w:r w:rsidRPr="00D01775">
              <w:rPr>
                <w:sz w:val="18"/>
              </w:rPr>
              <w:t>51</w:t>
            </w:r>
          </w:p>
        </w:tc>
      </w:tr>
      <w:tr w:rsidR="00994926" w:rsidRPr="00D01775" w14:paraId="7CB07A13" w14:textId="77777777" w:rsidTr="00207489">
        <w:trPr>
          <w:trHeight w:val="240"/>
        </w:trPr>
        <w:tc>
          <w:tcPr>
            <w:tcW w:w="230" w:type="pct"/>
            <w:shd w:val="clear" w:color="auto" w:fill="auto"/>
          </w:tcPr>
          <w:p w14:paraId="146855B7" w14:textId="77777777" w:rsidR="00994926" w:rsidRPr="00D01775" w:rsidRDefault="00994926" w:rsidP="00994926">
            <w:pPr>
              <w:pStyle w:val="SingleTxtG"/>
              <w:tabs>
                <w:tab w:val="clear" w:pos="1701"/>
                <w:tab w:val="clear" w:pos="2268"/>
                <w:tab w:val="clear" w:pos="2835"/>
              </w:tabs>
              <w:spacing w:before="40" w:after="40" w:line="220" w:lineRule="exact"/>
              <w:ind w:left="0" w:right="0"/>
              <w:jc w:val="left"/>
              <w:rPr>
                <w:sz w:val="18"/>
              </w:rPr>
            </w:pPr>
            <w:r w:rsidRPr="00D01775">
              <w:rPr>
                <w:sz w:val="18"/>
              </w:rPr>
              <w:t>2015</w:t>
            </w:r>
          </w:p>
        </w:tc>
        <w:tc>
          <w:tcPr>
            <w:tcW w:w="198" w:type="pct"/>
            <w:shd w:val="clear" w:color="auto" w:fill="auto"/>
            <w:tcMar>
              <w:right w:w="28" w:type="dxa"/>
            </w:tcMar>
            <w:vAlign w:val="bottom"/>
          </w:tcPr>
          <w:p w14:paraId="01ACF978" w14:textId="77777777" w:rsidR="00994926" w:rsidRPr="00D01775" w:rsidRDefault="00994926" w:rsidP="00994926">
            <w:pPr>
              <w:pStyle w:val="SingleTxtG"/>
              <w:tabs>
                <w:tab w:val="clear" w:pos="1701"/>
                <w:tab w:val="clear" w:pos="2268"/>
                <w:tab w:val="clear" w:pos="2835"/>
              </w:tabs>
              <w:spacing w:before="40" w:after="40" w:line="220" w:lineRule="exact"/>
              <w:ind w:left="113" w:right="0"/>
              <w:jc w:val="right"/>
              <w:rPr>
                <w:sz w:val="18"/>
              </w:rPr>
            </w:pPr>
            <w:r w:rsidRPr="00D01775">
              <w:rPr>
                <w:sz w:val="18"/>
              </w:rPr>
              <w:t>-</w:t>
            </w:r>
          </w:p>
        </w:tc>
        <w:tc>
          <w:tcPr>
            <w:tcW w:w="197" w:type="pct"/>
            <w:shd w:val="clear" w:color="auto" w:fill="auto"/>
            <w:tcMar>
              <w:right w:w="28" w:type="dxa"/>
            </w:tcMar>
            <w:vAlign w:val="bottom"/>
          </w:tcPr>
          <w:p w14:paraId="63EB159B" w14:textId="77777777" w:rsidR="00994926" w:rsidRPr="00D01775" w:rsidRDefault="00994926" w:rsidP="00994926">
            <w:pPr>
              <w:pStyle w:val="SingleTxtG"/>
              <w:tabs>
                <w:tab w:val="clear" w:pos="1701"/>
                <w:tab w:val="clear" w:pos="2268"/>
                <w:tab w:val="clear" w:pos="2835"/>
              </w:tabs>
              <w:spacing w:before="40" w:after="40" w:line="220" w:lineRule="exact"/>
              <w:ind w:left="113" w:right="0"/>
              <w:jc w:val="right"/>
              <w:rPr>
                <w:sz w:val="18"/>
              </w:rPr>
            </w:pPr>
            <w:r w:rsidRPr="00D01775">
              <w:rPr>
                <w:sz w:val="18"/>
              </w:rPr>
              <w:t>-</w:t>
            </w:r>
          </w:p>
        </w:tc>
        <w:tc>
          <w:tcPr>
            <w:tcW w:w="268" w:type="pct"/>
            <w:shd w:val="clear" w:color="auto" w:fill="auto"/>
            <w:vAlign w:val="bottom"/>
          </w:tcPr>
          <w:p w14:paraId="4CA8D12C" w14:textId="77777777" w:rsidR="00994926" w:rsidRPr="00D01775" w:rsidRDefault="00994926" w:rsidP="00994926">
            <w:pPr>
              <w:pStyle w:val="SingleTxtG"/>
              <w:tabs>
                <w:tab w:val="clear" w:pos="1701"/>
                <w:tab w:val="clear" w:pos="2268"/>
                <w:tab w:val="clear" w:pos="2835"/>
              </w:tabs>
              <w:spacing w:before="40" w:after="40" w:line="220" w:lineRule="exact"/>
              <w:ind w:left="113" w:right="0"/>
              <w:jc w:val="right"/>
              <w:rPr>
                <w:sz w:val="18"/>
              </w:rPr>
            </w:pPr>
            <w:r w:rsidRPr="00D01775">
              <w:rPr>
                <w:sz w:val="18"/>
              </w:rPr>
              <w:t>-</w:t>
            </w:r>
          </w:p>
        </w:tc>
        <w:tc>
          <w:tcPr>
            <w:tcW w:w="172" w:type="pct"/>
            <w:shd w:val="clear" w:color="auto" w:fill="auto"/>
            <w:tcMar>
              <w:right w:w="28" w:type="dxa"/>
            </w:tcMar>
            <w:vAlign w:val="bottom"/>
          </w:tcPr>
          <w:p w14:paraId="036D6B1E" w14:textId="77777777" w:rsidR="00994926" w:rsidRPr="00D01775" w:rsidRDefault="00994926" w:rsidP="00994926">
            <w:pPr>
              <w:pStyle w:val="SingleTxtG"/>
              <w:tabs>
                <w:tab w:val="clear" w:pos="1701"/>
                <w:tab w:val="clear" w:pos="2268"/>
                <w:tab w:val="clear" w:pos="2835"/>
              </w:tabs>
              <w:spacing w:before="40" w:after="40" w:line="220" w:lineRule="exact"/>
              <w:ind w:left="113" w:right="0"/>
              <w:jc w:val="right"/>
              <w:rPr>
                <w:sz w:val="18"/>
              </w:rPr>
            </w:pPr>
            <w:r w:rsidRPr="00D01775">
              <w:rPr>
                <w:sz w:val="18"/>
              </w:rPr>
              <w:t>-</w:t>
            </w:r>
          </w:p>
        </w:tc>
        <w:tc>
          <w:tcPr>
            <w:tcW w:w="191" w:type="pct"/>
            <w:shd w:val="clear" w:color="auto" w:fill="auto"/>
            <w:vAlign w:val="bottom"/>
          </w:tcPr>
          <w:p w14:paraId="17B3011E" w14:textId="77777777" w:rsidR="00994926" w:rsidRPr="00D01775" w:rsidRDefault="00994926" w:rsidP="00994926">
            <w:pPr>
              <w:pStyle w:val="SingleTxtG"/>
              <w:tabs>
                <w:tab w:val="clear" w:pos="1701"/>
                <w:tab w:val="clear" w:pos="2268"/>
                <w:tab w:val="clear" w:pos="2835"/>
              </w:tabs>
              <w:spacing w:before="40" w:after="40" w:line="220" w:lineRule="exact"/>
              <w:ind w:left="113" w:right="0"/>
              <w:jc w:val="right"/>
              <w:rPr>
                <w:sz w:val="18"/>
              </w:rPr>
            </w:pPr>
            <w:r w:rsidRPr="00D01775">
              <w:rPr>
                <w:sz w:val="18"/>
              </w:rPr>
              <w:t>-</w:t>
            </w:r>
          </w:p>
        </w:tc>
        <w:tc>
          <w:tcPr>
            <w:tcW w:w="217" w:type="pct"/>
            <w:shd w:val="clear" w:color="auto" w:fill="auto"/>
            <w:tcMar>
              <w:right w:w="28" w:type="dxa"/>
            </w:tcMar>
            <w:vAlign w:val="bottom"/>
          </w:tcPr>
          <w:p w14:paraId="493E9D9C" w14:textId="77777777" w:rsidR="00994926" w:rsidRPr="00D01775" w:rsidRDefault="00994926" w:rsidP="00994926">
            <w:pPr>
              <w:pStyle w:val="SingleTxtG"/>
              <w:tabs>
                <w:tab w:val="clear" w:pos="1701"/>
                <w:tab w:val="clear" w:pos="2268"/>
                <w:tab w:val="clear" w:pos="2835"/>
              </w:tabs>
              <w:spacing w:before="40" w:after="40" w:line="220" w:lineRule="exact"/>
              <w:ind w:left="113" w:right="0"/>
              <w:jc w:val="right"/>
              <w:rPr>
                <w:sz w:val="18"/>
              </w:rPr>
            </w:pPr>
            <w:r w:rsidRPr="00D01775">
              <w:rPr>
                <w:sz w:val="18"/>
              </w:rPr>
              <w:t>-</w:t>
            </w:r>
          </w:p>
        </w:tc>
        <w:tc>
          <w:tcPr>
            <w:tcW w:w="189" w:type="pct"/>
            <w:shd w:val="clear" w:color="auto" w:fill="auto"/>
            <w:tcMar>
              <w:right w:w="28" w:type="dxa"/>
            </w:tcMar>
            <w:vAlign w:val="bottom"/>
          </w:tcPr>
          <w:p w14:paraId="02314EFB" w14:textId="77777777" w:rsidR="00994926" w:rsidRPr="00D01775" w:rsidRDefault="00994926" w:rsidP="00994926">
            <w:pPr>
              <w:pStyle w:val="SingleTxtG"/>
              <w:tabs>
                <w:tab w:val="clear" w:pos="1701"/>
                <w:tab w:val="clear" w:pos="2268"/>
                <w:tab w:val="clear" w:pos="2835"/>
              </w:tabs>
              <w:spacing w:before="40" w:after="40" w:line="220" w:lineRule="exact"/>
              <w:ind w:left="113" w:right="0"/>
              <w:jc w:val="right"/>
              <w:rPr>
                <w:sz w:val="18"/>
              </w:rPr>
            </w:pPr>
            <w:r w:rsidRPr="00D01775">
              <w:rPr>
                <w:sz w:val="18"/>
              </w:rPr>
              <w:t>3</w:t>
            </w:r>
          </w:p>
        </w:tc>
        <w:tc>
          <w:tcPr>
            <w:tcW w:w="189" w:type="pct"/>
            <w:shd w:val="clear" w:color="auto" w:fill="auto"/>
            <w:tcMar>
              <w:right w:w="28" w:type="dxa"/>
            </w:tcMar>
            <w:vAlign w:val="bottom"/>
          </w:tcPr>
          <w:p w14:paraId="38AF967A" w14:textId="77777777" w:rsidR="00994926" w:rsidRPr="00D01775" w:rsidRDefault="00994926" w:rsidP="00994926">
            <w:pPr>
              <w:pStyle w:val="SingleTxtG"/>
              <w:tabs>
                <w:tab w:val="clear" w:pos="1701"/>
                <w:tab w:val="clear" w:pos="2268"/>
                <w:tab w:val="clear" w:pos="2835"/>
              </w:tabs>
              <w:spacing w:before="40" w:after="40" w:line="220" w:lineRule="exact"/>
              <w:ind w:left="113" w:right="0"/>
              <w:jc w:val="right"/>
              <w:rPr>
                <w:sz w:val="18"/>
              </w:rPr>
            </w:pPr>
            <w:r w:rsidRPr="00D01775">
              <w:rPr>
                <w:sz w:val="18"/>
              </w:rPr>
              <w:t>-</w:t>
            </w:r>
          </w:p>
        </w:tc>
        <w:tc>
          <w:tcPr>
            <w:tcW w:w="189" w:type="pct"/>
            <w:vAlign w:val="bottom"/>
          </w:tcPr>
          <w:p w14:paraId="13450C0E" w14:textId="0C96ACAC" w:rsidR="00994926" w:rsidRPr="00D01775" w:rsidRDefault="00994926" w:rsidP="00994926">
            <w:pPr>
              <w:pStyle w:val="SingleTxtG"/>
              <w:tabs>
                <w:tab w:val="clear" w:pos="1701"/>
                <w:tab w:val="clear" w:pos="2268"/>
                <w:tab w:val="clear" w:pos="2835"/>
              </w:tabs>
              <w:spacing w:before="40" w:after="40" w:line="220" w:lineRule="exact"/>
              <w:ind w:left="113" w:right="0"/>
              <w:jc w:val="right"/>
              <w:rPr>
                <w:sz w:val="18"/>
              </w:rPr>
            </w:pPr>
            <w:r w:rsidRPr="00D01775">
              <w:rPr>
                <w:sz w:val="18"/>
              </w:rPr>
              <w:t>-</w:t>
            </w:r>
          </w:p>
        </w:tc>
        <w:tc>
          <w:tcPr>
            <w:tcW w:w="189" w:type="pct"/>
            <w:shd w:val="clear" w:color="auto" w:fill="auto"/>
            <w:tcMar>
              <w:right w:w="28" w:type="dxa"/>
            </w:tcMar>
            <w:vAlign w:val="bottom"/>
          </w:tcPr>
          <w:p w14:paraId="432C8F01" w14:textId="51DFD6EC" w:rsidR="00994926" w:rsidRPr="00D01775" w:rsidRDefault="00994926" w:rsidP="00994926">
            <w:pPr>
              <w:pStyle w:val="SingleTxtG"/>
              <w:tabs>
                <w:tab w:val="clear" w:pos="1701"/>
                <w:tab w:val="clear" w:pos="2268"/>
                <w:tab w:val="clear" w:pos="2835"/>
              </w:tabs>
              <w:spacing w:before="40" w:after="40" w:line="220" w:lineRule="exact"/>
              <w:ind w:left="113" w:right="0"/>
              <w:jc w:val="right"/>
              <w:rPr>
                <w:sz w:val="18"/>
              </w:rPr>
            </w:pPr>
            <w:r w:rsidRPr="00D01775">
              <w:rPr>
                <w:sz w:val="18"/>
              </w:rPr>
              <w:t>-</w:t>
            </w:r>
          </w:p>
        </w:tc>
        <w:tc>
          <w:tcPr>
            <w:tcW w:w="213" w:type="pct"/>
            <w:shd w:val="clear" w:color="auto" w:fill="auto"/>
            <w:tcMar>
              <w:right w:w="28" w:type="dxa"/>
            </w:tcMar>
            <w:vAlign w:val="bottom"/>
          </w:tcPr>
          <w:p w14:paraId="1F76EB30" w14:textId="77777777" w:rsidR="00994926" w:rsidRPr="00D01775" w:rsidRDefault="00994926" w:rsidP="00994926">
            <w:pPr>
              <w:pStyle w:val="SingleTxtG"/>
              <w:tabs>
                <w:tab w:val="clear" w:pos="1701"/>
                <w:tab w:val="clear" w:pos="2268"/>
                <w:tab w:val="clear" w:pos="2835"/>
              </w:tabs>
              <w:spacing w:before="40" w:after="40" w:line="220" w:lineRule="exact"/>
              <w:ind w:left="113" w:right="0"/>
              <w:jc w:val="right"/>
              <w:rPr>
                <w:sz w:val="18"/>
              </w:rPr>
            </w:pPr>
            <w:r w:rsidRPr="00D01775">
              <w:rPr>
                <w:sz w:val="18"/>
              </w:rPr>
              <w:t>42</w:t>
            </w:r>
          </w:p>
        </w:tc>
        <w:tc>
          <w:tcPr>
            <w:tcW w:w="189" w:type="pct"/>
            <w:shd w:val="clear" w:color="auto" w:fill="auto"/>
            <w:tcMar>
              <w:right w:w="28" w:type="dxa"/>
            </w:tcMar>
            <w:vAlign w:val="bottom"/>
          </w:tcPr>
          <w:p w14:paraId="30295167" w14:textId="77777777" w:rsidR="00994926" w:rsidRPr="00D01775" w:rsidRDefault="00994926" w:rsidP="00994926">
            <w:pPr>
              <w:pStyle w:val="SingleTxtG"/>
              <w:tabs>
                <w:tab w:val="clear" w:pos="1701"/>
                <w:tab w:val="clear" w:pos="2268"/>
                <w:tab w:val="clear" w:pos="2835"/>
              </w:tabs>
              <w:spacing w:before="40" w:after="40" w:line="220" w:lineRule="exact"/>
              <w:ind w:left="113" w:right="0"/>
              <w:jc w:val="right"/>
              <w:rPr>
                <w:sz w:val="18"/>
              </w:rPr>
            </w:pPr>
            <w:r w:rsidRPr="00D01775">
              <w:rPr>
                <w:sz w:val="18"/>
              </w:rPr>
              <w:t>-</w:t>
            </w:r>
          </w:p>
        </w:tc>
        <w:tc>
          <w:tcPr>
            <w:tcW w:w="189" w:type="pct"/>
            <w:shd w:val="clear" w:color="auto" w:fill="auto"/>
            <w:tcMar>
              <w:right w:w="28" w:type="dxa"/>
            </w:tcMar>
            <w:vAlign w:val="bottom"/>
          </w:tcPr>
          <w:p w14:paraId="3C24A267" w14:textId="77777777" w:rsidR="00994926" w:rsidRPr="00D01775" w:rsidRDefault="00994926" w:rsidP="00994926">
            <w:pPr>
              <w:pStyle w:val="SingleTxtG"/>
              <w:tabs>
                <w:tab w:val="clear" w:pos="1701"/>
                <w:tab w:val="clear" w:pos="2268"/>
                <w:tab w:val="clear" w:pos="2835"/>
              </w:tabs>
              <w:spacing w:before="40" w:after="40" w:line="220" w:lineRule="exact"/>
              <w:ind w:left="113" w:right="0"/>
              <w:jc w:val="right"/>
              <w:rPr>
                <w:sz w:val="18"/>
              </w:rPr>
            </w:pPr>
            <w:r w:rsidRPr="00D01775">
              <w:rPr>
                <w:sz w:val="18"/>
              </w:rPr>
              <w:t>-</w:t>
            </w:r>
          </w:p>
        </w:tc>
        <w:tc>
          <w:tcPr>
            <w:tcW w:w="188" w:type="pct"/>
            <w:shd w:val="clear" w:color="auto" w:fill="auto"/>
            <w:vAlign w:val="bottom"/>
          </w:tcPr>
          <w:p w14:paraId="647715EB" w14:textId="77777777" w:rsidR="00994926" w:rsidRPr="00D01775" w:rsidRDefault="00994926" w:rsidP="00994926">
            <w:pPr>
              <w:pStyle w:val="SingleTxtG"/>
              <w:tabs>
                <w:tab w:val="clear" w:pos="1701"/>
                <w:tab w:val="clear" w:pos="2268"/>
                <w:tab w:val="clear" w:pos="2835"/>
              </w:tabs>
              <w:spacing w:before="40" w:after="40" w:line="220" w:lineRule="exact"/>
              <w:ind w:left="113" w:right="0"/>
              <w:jc w:val="right"/>
              <w:rPr>
                <w:sz w:val="18"/>
              </w:rPr>
            </w:pPr>
            <w:r w:rsidRPr="00D01775">
              <w:rPr>
                <w:sz w:val="18"/>
              </w:rPr>
              <w:t>-</w:t>
            </w:r>
          </w:p>
        </w:tc>
        <w:tc>
          <w:tcPr>
            <w:tcW w:w="189" w:type="pct"/>
            <w:vAlign w:val="bottom"/>
          </w:tcPr>
          <w:p w14:paraId="36C3A0DB" w14:textId="0F6B9968" w:rsidR="00994926" w:rsidRPr="00D01775" w:rsidRDefault="00994926" w:rsidP="00994926">
            <w:pPr>
              <w:pStyle w:val="SingleTxtG"/>
              <w:tabs>
                <w:tab w:val="clear" w:pos="1701"/>
                <w:tab w:val="clear" w:pos="2268"/>
                <w:tab w:val="clear" w:pos="2835"/>
              </w:tabs>
              <w:spacing w:before="40" w:after="40" w:line="220" w:lineRule="exact"/>
              <w:ind w:left="113" w:right="0"/>
              <w:jc w:val="right"/>
              <w:rPr>
                <w:sz w:val="18"/>
              </w:rPr>
            </w:pPr>
            <w:r w:rsidRPr="00D01775">
              <w:rPr>
                <w:sz w:val="18"/>
              </w:rPr>
              <w:t>-</w:t>
            </w:r>
          </w:p>
        </w:tc>
        <w:tc>
          <w:tcPr>
            <w:tcW w:w="189" w:type="pct"/>
            <w:shd w:val="clear" w:color="auto" w:fill="auto"/>
            <w:tcMar>
              <w:right w:w="28" w:type="dxa"/>
            </w:tcMar>
            <w:vAlign w:val="bottom"/>
          </w:tcPr>
          <w:p w14:paraId="4790C3AB" w14:textId="07DFFB98" w:rsidR="00994926" w:rsidRPr="00D01775" w:rsidRDefault="00994926" w:rsidP="00994926">
            <w:pPr>
              <w:pStyle w:val="SingleTxtG"/>
              <w:tabs>
                <w:tab w:val="clear" w:pos="1701"/>
                <w:tab w:val="clear" w:pos="2268"/>
                <w:tab w:val="clear" w:pos="2835"/>
              </w:tabs>
              <w:spacing w:before="40" w:after="40" w:line="220" w:lineRule="exact"/>
              <w:ind w:left="113" w:right="0"/>
              <w:jc w:val="right"/>
              <w:rPr>
                <w:sz w:val="18"/>
              </w:rPr>
            </w:pPr>
            <w:r w:rsidRPr="00D01775">
              <w:rPr>
                <w:sz w:val="18"/>
              </w:rPr>
              <w:t>-</w:t>
            </w:r>
          </w:p>
        </w:tc>
        <w:tc>
          <w:tcPr>
            <w:tcW w:w="213" w:type="pct"/>
            <w:shd w:val="clear" w:color="auto" w:fill="auto"/>
            <w:tcMar>
              <w:right w:w="28" w:type="dxa"/>
            </w:tcMar>
            <w:vAlign w:val="bottom"/>
          </w:tcPr>
          <w:p w14:paraId="17AF5529" w14:textId="77777777" w:rsidR="00994926" w:rsidRPr="00D01775" w:rsidRDefault="00994926" w:rsidP="00994926">
            <w:pPr>
              <w:pStyle w:val="SingleTxtG"/>
              <w:tabs>
                <w:tab w:val="clear" w:pos="1701"/>
                <w:tab w:val="clear" w:pos="2268"/>
                <w:tab w:val="clear" w:pos="2835"/>
              </w:tabs>
              <w:spacing w:before="40" w:after="40" w:line="220" w:lineRule="exact"/>
              <w:ind w:left="113" w:right="0"/>
              <w:jc w:val="right"/>
              <w:rPr>
                <w:sz w:val="18"/>
              </w:rPr>
            </w:pPr>
            <w:r w:rsidRPr="00D01775">
              <w:rPr>
                <w:sz w:val="18"/>
              </w:rPr>
              <w:t>166</w:t>
            </w:r>
          </w:p>
        </w:tc>
        <w:tc>
          <w:tcPr>
            <w:tcW w:w="188" w:type="pct"/>
            <w:shd w:val="clear" w:color="auto" w:fill="auto"/>
            <w:vAlign w:val="bottom"/>
          </w:tcPr>
          <w:p w14:paraId="3231E5E7" w14:textId="77777777" w:rsidR="00994926" w:rsidRPr="00D01775" w:rsidRDefault="00994926" w:rsidP="00994926">
            <w:pPr>
              <w:pStyle w:val="SingleTxtG"/>
              <w:tabs>
                <w:tab w:val="clear" w:pos="1701"/>
                <w:tab w:val="clear" w:pos="2268"/>
                <w:tab w:val="clear" w:pos="2835"/>
              </w:tabs>
              <w:spacing w:before="40" w:after="40" w:line="220" w:lineRule="exact"/>
              <w:ind w:left="113" w:right="0"/>
              <w:jc w:val="right"/>
              <w:rPr>
                <w:sz w:val="18"/>
              </w:rPr>
            </w:pPr>
            <w:r w:rsidRPr="00D01775">
              <w:rPr>
                <w:sz w:val="18"/>
              </w:rPr>
              <w:t>-</w:t>
            </w:r>
          </w:p>
        </w:tc>
        <w:tc>
          <w:tcPr>
            <w:tcW w:w="188" w:type="pct"/>
            <w:shd w:val="clear" w:color="auto" w:fill="auto"/>
            <w:vAlign w:val="bottom"/>
          </w:tcPr>
          <w:p w14:paraId="3F4D8BC3" w14:textId="77777777" w:rsidR="00994926" w:rsidRPr="00D01775" w:rsidRDefault="00994926" w:rsidP="00994926">
            <w:pPr>
              <w:pStyle w:val="SingleTxtG"/>
              <w:tabs>
                <w:tab w:val="clear" w:pos="1701"/>
                <w:tab w:val="clear" w:pos="2268"/>
                <w:tab w:val="clear" w:pos="2835"/>
              </w:tabs>
              <w:spacing w:before="40" w:after="40" w:line="220" w:lineRule="exact"/>
              <w:ind w:left="113" w:right="0"/>
              <w:jc w:val="right"/>
              <w:rPr>
                <w:sz w:val="18"/>
              </w:rPr>
            </w:pPr>
            <w:r w:rsidRPr="00D01775">
              <w:rPr>
                <w:sz w:val="18"/>
              </w:rPr>
              <w:t>-</w:t>
            </w:r>
          </w:p>
        </w:tc>
        <w:tc>
          <w:tcPr>
            <w:tcW w:w="188" w:type="pct"/>
            <w:shd w:val="clear" w:color="auto" w:fill="auto"/>
            <w:vAlign w:val="bottom"/>
          </w:tcPr>
          <w:p w14:paraId="1CF77E33" w14:textId="77777777" w:rsidR="00994926" w:rsidRPr="00D01775" w:rsidRDefault="00994926" w:rsidP="00994926">
            <w:pPr>
              <w:pStyle w:val="SingleTxtG"/>
              <w:tabs>
                <w:tab w:val="clear" w:pos="1701"/>
                <w:tab w:val="clear" w:pos="2268"/>
                <w:tab w:val="clear" w:pos="2835"/>
              </w:tabs>
              <w:spacing w:before="40" w:after="40" w:line="220" w:lineRule="exact"/>
              <w:ind w:left="113" w:right="0"/>
              <w:jc w:val="right"/>
              <w:rPr>
                <w:sz w:val="18"/>
              </w:rPr>
            </w:pPr>
            <w:r w:rsidRPr="00D01775">
              <w:rPr>
                <w:sz w:val="18"/>
              </w:rPr>
              <w:t>-</w:t>
            </w:r>
          </w:p>
        </w:tc>
        <w:tc>
          <w:tcPr>
            <w:tcW w:w="189" w:type="pct"/>
            <w:shd w:val="clear" w:color="auto" w:fill="auto"/>
            <w:tcMar>
              <w:right w:w="28" w:type="dxa"/>
            </w:tcMar>
            <w:vAlign w:val="bottom"/>
          </w:tcPr>
          <w:p w14:paraId="5DB13382" w14:textId="77777777" w:rsidR="00994926" w:rsidRPr="00D01775" w:rsidRDefault="00994926" w:rsidP="00994926">
            <w:pPr>
              <w:pStyle w:val="SingleTxtG"/>
              <w:tabs>
                <w:tab w:val="clear" w:pos="1701"/>
                <w:tab w:val="clear" w:pos="2268"/>
                <w:tab w:val="clear" w:pos="2835"/>
              </w:tabs>
              <w:spacing w:before="40" w:after="40" w:line="220" w:lineRule="exact"/>
              <w:ind w:left="113" w:right="0"/>
              <w:jc w:val="right"/>
              <w:rPr>
                <w:sz w:val="18"/>
              </w:rPr>
            </w:pPr>
            <w:r w:rsidRPr="00D01775">
              <w:rPr>
                <w:sz w:val="18"/>
              </w:rPr>
              <w:t>-</w:t>
            </w:r>
          </w:p>
        </w:tc>
        <w:tc>
          <w:tcPr>
            <w:tcW w:w="189" w:type="pct"/>
            <w:shd w:val="clear" w:color="auto" w:fill="auto"/>
            <w:tcMar>
              <w:right w:w="28" w:type="dxa"/>
            </w:tcMar>
            <w:vAlign w:val="bottom"/>
          </w:tcPr>
          <w:p w14:paraId="31BB8F48" w14:textId="77777777" w:rsidR="00994926" w:rsidRPr="00D01775" w:rsidRDefault="00994926" w:rsidP="00994926">
            <w:pPr>
              <w:pStyle w:val="SingleTxtG"/>
              <w:tabs>
                <w:tab w:val="clear" w:pos="1701"/>
                <w:tab w:val="clear" w:pos="2268"/>
                <w:tab w:val="clear" w:pos="2835"/>
              </w:tabs>
              <w:spacing w:before="40" w:after="40" w:line="220" w:lineRule="exact"/>
              <w:ind w:left="113" w:right="0"/>
              <w:jc w:val="right"/>
              <w:rPr>
                <w:sz w:val="18"/>
              </w:rPr>
            </w:pPr>
            <w:r w:rsidRPr="00D01775">
              <w:rPr>
                <w:sz w:val="18"/>
              </w:rPr>
              <w:t>-</w:t>
            </w:r>
          </w:p>
        </w:tc>
        <w:tc>
          <w:tcPr>
            <w:tcW w:w="168" w:type="pct"/>
            <w:shd w:val="clear" w:color="auto" w:fill="auto"/>
            <w:tcMar>
              <w:right w:w="28" w:type="dxa"/>
            </w:tcMar>
            <w:vAlign w:val="bottom"/>
          </w:tcPr>
          <w:p w14:paraId="037483D1" w14:textId="77777777" w:rsidR="00994926" w:rsidRPr="00D01775" w:rsidRDefault="00994926" w:rsidP="00994926">
            <w:pPr>
              <w:pStyle w:val="SingleTxtG"/>
              <w:tabs>
                <w:tab w:val="clear" w:pos="1701"/>
                <w:tab w:val="clear" w:pos="2268"/>
                <w:tab w:val="clear" w:pos="2835"/>
              </w:tabs>
              <w:spacing w:before="40" w:after="40" w:line="220" w:lineRule="exact"/>
              <w:ind w:left="113" w:right="0"/>
              <w:jc w:val="right"/>
              <w:rPr>
                <w:sz w:val="18"/>
              </w:rPr>
            </w:pPr>
            <w:r w:rsidRPr="00D01775">
              <w:rPr>
                <w:sz w:val="18"/>
              </w:rPr>
              <w:t>-</w:t>
            </w:r>
          </w:p>
        </w:tc>
        <w:tc>
          <w:tcPr>
            <w:tcW w:w="295" w:type="pct"/>
            <w:shd w:val="clear" w:color="auto" w:fill="auto"/>
            <w:tcMar>
              <w:right w:w="28" w:type="dxa"/>
            </w:tcMar>
            <w:vAlign w:val="bottom"/>
          </w:tcPr>
          <w:p w14:paraId="27F1A76B" w14:textId="77777777" w:rsidR="00994926" w:rsidRPr="00D01775" w:rsidRDefault="00994926" w:rsidP="00994926">
            <w:pPr>
              <w:pStyle w:val="SingleTxtG"/>
              <w:tabs>
                <w:tab w:val="clear" w:pos="1701"/>
                <w:tab w:val="clear" w:pos="2268"/>
                <w:tab w:val="clear" w:pos="2835"/>
              </w:tabs>
              <w:spacing w:before="40" w:after="40" w:line="220" w:lineRule="exact"/>
              <w:ind w:left="113" w:right="0"/>
              <w:jc w:val="right"/>
              <w:rPr>
                <w:sz w:val="18"/>
              </w:rPr>
            </w:pPr>
            <w:r w:rsidRPr="00D01775">
              <w:rPr>
                <w:sz w:val="18"/>
              </w:rPr>
              <w:t>211</w:t>
            </w:r>
          </w:p>
        </w:tc>
      </w:tr>
      <w:tr w:rsidR="00994926" w:rsidRPr="00D01775" w14:paraId="19C9B505" w14:textId="77777777" w:rsidTr="00207489">
        <w:trPr>
          <w:trHeight w:val="240"/>
        </w:trPr>
        <w:tc>
          <w:tcPr>
            <w:tcW w:w="230" w:type="pct"/>
            <w:shd w:val="clear" w:color="auto" w:fill="auto"/>
          </w:tcPr>
          <w:p w14:paraId="194832AD" w14:textId="77777777" w:rsidR="00994926" w:rsidRPr="00D01775" w:rsidRDefault="00994926" w:rsidP="00994926">
            <w:pPr>
              <w:pStyle w:val="SingleTxtG"/>
              <w:tabs>
                <w:tab w:val="clear" w:pos="1701"/>
                <w:tab w:val="clear" w:pos="2268"/>
                <w:tab w:val="clear" w:pos="2835"/>
              </w:tabs>
              <w:spacing w:before="40" w:after="40" w:line="220" w:lineRule="exact"/>
              <w:ind w:left="0" w:right="0"/>
              <w:jc w:val="left"/>
              <w:rPr>
                <w:sz w:val="18"/>
              </w:rPr>
            </w:pPr>
            <w:r w:rsidRPr="00D01775">
              <w:rPr>
                <w:sz w:val="18"/>
              </w:rPr>
              <w:t>2016</w:t>
            </w:r>
          </w:p>
        </w:tc>
        <w:tc>
          <w:tcPr>
            <w:tcW w:w="198" w:type="pct"/>
            <w:shd w:val="clear" w:color="auto" w:fill="auto"/>
            <w:tcMar>
              <w:right w:w="28" w:type="dxa"/>
            </w:tcMar>
            <w:vAlign w:val="bottom"/>
          </w:tcPr>
          <w:p w14:paraId="01CCCF6C" w14:textId="77777777" w:rsidR="00994926" w:rsidRPr="00D01775" w:rsidRDefault="00994926" w:rsidP="00994926">
            <w:pPr>
              <w:pStyle w:val="SingleTxtG"/>
              <w:tabs>
                <w:tab w:val="clear" w:pos="1701"/>
                <w:tab w:val="clear" w:pos="2268"/>
                <w:tab w:val="clear" w:pos="2835"/>
              </w:tabs>
              <w:spacing w:before="40" w:after="40" w:line="220" w:lineRule="exact"/>
              <w:ind w:left="113" w:right="0"/>
              <w:jc w:val="right"/>
              <w:rPr>
                <w:sz w:val="18"/>
              </w:rPr>
            </w:pPr>
            <w:r w:rsidRPr="00D01775">
              <w:rPr>
                <w:sz w:val="18"/>
              </w:rPr>
              <w:t>-</w:t>
            </w:r>
          </w:p>
        </w:tc>
        <w:tc>
          <w:tcPr>
            <w:tcW w:w="197" w:type="pct"/>
            <w:shd w:val="clear" w:color="auto" w:fill="auto"/>
            <w:tcMar>
              <w:right w:w="28" w:type="dxa"/>
            </w:tcMar>
            <w:vAlign w:val="bottom"/>
          </w:tcPr>
          <w:p w14:paraId="293E1B08" w14:textId="77777777" w:rsidR="00994926" w:rsidRPr="00D01775" w:rsidRDefault="00994926" w:rsidP="00994926">
            <w:pPr>
              <w:pStyle w:val="SingleTxtG"/>
              <w:tabs>
                <w:tab w:val="clear" w:pos="1701"/>
                <w:tab w:val="clear" w:pos="2268"/>
                <w:tab w:val="clear" w:pos="2835"/>
              </w:tabs>
              <w:spacing w:before="40" w:after="40" w:line="220" w:lineRule="exact"/>
              <w:ind w:left="113" w:right="0"/>
              <w:jc w:val="right"/>
              <w:rPr>
                <w:sz w:val="18"/>
              </w:rPr>
            </w:pPr>
            <w:r w:rsidRPr="00D01775">
              <w:rPr>
                <w:sz w:val="18"/>
              </w:rPr>
              <w:t>-</w:t>
            </w:r>
          </w:p>
        </w:tc>
        <w:tc>
          <w:tcPr>
            <w:tcW w:w="268" w:type="pct"/>
            <w:shd w:val="clear" w:color="auto" w:fill="auto"/>
            <w:vAlign w:val="bottom"/>
          </w:tcPr>
          <w:p w14:paraId="4E9FCF9C" w14:textId="77777777" w:rsidR="00994926" w:rsidRPr="00D01775" w:rsidRDefault="00994926" w:rsidP="00994926">
            <w:pPr>
              <w:pStyle w:val="SingleTxtG"/>
              <w:tabs>
                <w:tab w:val="clear" w:pos="1701"/>
                <w:tab w:val="clear" w:pos="2268"/>
                <w:tab w:val="clear" w:pos="2835"/>
              </w:tabs>
              <w:spacing w:before="40" w:after="40" w:line="220" w:lineRule="exact"/>
              <w:ind w:left="113" w:right="0"/>
              <w:jc w:val="right"/>
              <w:rPr>
                <w:sz w:val="18"/>
              </w:rPr>
            </w:pPr>
            <w:r w:rsidRPr="00D01775">
              <w:rPr>
                <w:sz w:val="18"/>
              </w:rPr>
              <w:t>-</w:t>
            </w:r>
          </w:p>
        </w:tc>
        <w:tc>
          <w:tcPr>
            <w:tcW w:w="172" w:type="pct"/>
            <w:shd w:val="clear" w:color="auto" w:fill="auto"/>
            <w:tcMar>
              <w:right w:w="28" w:type="dxa"/>
            </w:tcMar>
            <w:vAlign w:val="bottom"/>
          </w:tcPr>
          <w:p w14:paraId="63EC6C03" w14:textId="77777777" w:rsidR="00994926" w:rsidRPr="00D01775" w:rsidRDefault="00994926" w:rsidP="00994926">
            <w:pPr>
              <w:pStyle w:val="SingleTxtG"/>
              <w:tabs>
                <w:tab w:val="clear" w:pos="1701"/>
                <w:tab w:val="clear" w:pos="2268"/>
                <w:tab w:val="clear" w:pos="2835"/>
              </w:tabs>
              <w:spacing w:before="40" w:after="40" w:line="220" w:lineRule="exact"/>
              <w:ind w:left="113" w:right="0"/>
              <w:jc w:val="right"/>
              <w:rPr>
                <w:sz w:val="18"/>
              </w:rPr>
            </w:pPr>
            <w:r w:rsidRPr="00D01775">
              <w:rPr>
                <w:sz w:val="18"/>
              </w:rPr>
              <w:t>-</w:t>
            </w:r>
          </w:p>
        </w:tc>
        <w:tc>
          <w:tcPr>
            <w:tcW w:w="191" w:type="pct"/>
            <w:shd w:val="clear" w:color="auto" w:fill="auto"/>
            <w:vAlign w:val="bottom"/>
          </w:tcPr>
          <w:p w14:paraId="7FF88ED8" w14:textId="77777777" w:rsidR="00994926" w:rsidRPr="00D01775" w:rsidRDefault="00994926" w:rsidP="00994926">
            <w:pPr>
              <w:pStyle w:val="SingleTxtG"/>
              <w:tabs>
                <w:tab w:val="clear" w:pos="1701"/>
                <w:tab w:val="clear" w:pos="2268"/>
                <w:tab w:val="clear" w:pos="2835"/>
              </w:tabs>
              <w:spacing w:before="40" w:after="40" w:line="220" w:lineRule="exact"/>
              <w:ind w:left="113" w:right="0"/>
              <w:jc w:val="right"/>
              <w:rPr>
                <w:sz w:val="18"/>
              </w:rPr>
            </w:pPr>
            <w:r w:rsidRPr="00D01775">
              <w:rPr>
                <w:sz w:val="18"/>
              </w:rPr>
              <w:t>-</w:t>
            </w:r>
          </w:p>
        </w:tc>
        <w:tc>
          <w:tcPr>
            <w:tcW w:w="217" w:type="pct"/>
            <w:shd w:val="clear" w:color="auto" w:fill="auto"/>
            <w:tcMar>
              <w:right w:w="28" w:type="dxa"/>
            </w:tcMar>
            <w:vAlign w:val="bottom"/>
          </w:tcPr>
          <w:p w14:paraId="7D8CF9EA" w14:textId="77777777" w:rsidR="00994926" w:rsidRPr="00D01775" w:rsidRDefault="00994926" w:rsidP="00994926">
            <w:pPr>
              <w:pStyle w:val="SingleTxtG"/>
              <w:tabs>
                <w:tab w:val="clear" w:pos="1701"/>
                <w:tab w:val="clear" w:pos="2268"/>
                <w:tab w:val="clear" w:pos="2835"/>
              </w:tabs>
              <w:spacing w:before="40" w:after="40" w:line="220" w:lineRule="exact"/>
              <w:ind w:left="113" w:right="0"/>
              <w:jc w:val="right"/>
              <w:rPr>
                <w:sz w:val="18"/>
              </w:rPr>
            </w:pPr>
            <w:r w:rsidRPr="00D01775">
              <w:rPr>
                <w:sz w:val="18"/>
              </w:rPr>
              <w:t>-</w:t>
            </w:r>
          </w:p>
        </w:tc>
        <w:tc>
          <w:tcPr>
            <w:tcW w:w="189" w:type="pct"/>
            <w:shd w:val="clear" w:color="auto" w:fill="auto"/>
            <w:tcMar>
              <w:right w:w="28" w:type="dxa"/>
            </w:tcMar>
            <w:vAlign w:val="bottom"/>
          </w:tcPr>
          <w:p w14:paraId="245C732E" w14:textId="77777777" w:rsidR="00994926" w:rsidRPr="00D01775" w:rsidRDefault="00994926" w:rsidP="00994926">
            <w:pPr>
              <w:pStyle w:val="SingleTxtG"/>
              <w:tabs>
                <w:tab w:val="clear" w:pos="1701"/>
                <w:tab w:val="clear" w:pos="2268"/>
                <w:tab w:val="clear" w:pos="2835"/>
              </w:tabs>
              <w:spacing w:before="40" w:after="40" w:line="220" w:lineRule="exact"/>
              <w:ind w:left="113" w:right="0"/>
              <w:jc w:val="right"/>
              <w:rPr>
                <w:sz w:val="18"/>
              </w:rPr>
            </w:pPr>
            <w:r w:rsidRPr="00D01775">
              <w:rPr>
                <w:sz w:val="18"/>
              </w:rPr>
              <w:t>4</w:t>
            </w:r>
          </w:p>
        </w:tc>
        <w:tc>
          <w:tcPr>
            <w:tcW w:w="189" w:type="pct"/>
            <w:shd w:val="clear" w:color="auto" w:fill="auto"/>
            <w:tcMar>
              <w:right w:w="28" w:type="dxa"/>
            </w:tcMar>
            <w:vAlign w:val="bottom"/>
          </w:tcPr>
          <w:p w14:paraId="09BB7837" w14:textId="77777777" w:rsidR="00994926" w:rsidRPr="00D01775" w:rsidRDefault="00994926" w:rsidP="00994926">
            <w:pPr>
              <w:pStyle w:val="SingleTxtG"/>
              <w:tabs>
                <w:tab w:val="clear" w:pos="1701"/>
                <w:tab w:val="clear" w:pos="2268"/>
                <w:tab w:val="clear" w:pos="2835"/>
              </w:tabs>
              <w:spacing w:before="40" w:after="40" w:line="220" w:lineRule="exact"/>
              <w:ind w:left="113" w:right="0"/>
              <w:jc w:val="right"/>
              <w:rPr>
                <w:sz w:val="18"/>
              </w:rPr>
            </w:pPr>
            <w:r w:rsidRPr="00D01775">
              <w:rPr>
                <w:sz w:val="18"/>
              </w:rPr>
              <w:t>-</w:t>
            </w:r>
          </w:p>
        </w:tc>
        <w:tc>
          <w:tcPr>
            <w:tcW w:w="189" w:type="pct"/>
            <w:vAlign w:val="bottom"/>
          </w:tcPr>
          <w:p w14:paraId="3277FB7E" w14:textId="0B6AFF1B" w:rsidR="00994926" w:rsidRPr="00D01775" w:rsidRDefault="00994926" w:rsidP="00994926">
            <w:pPr>
              <w:pStyle w:val="SingleTxtG"/>
              <w:tabs>
                <w:tab w:val="clear" w:pos="1701"/>
                <w:tab w:val="clear" w:pos="2268"/>
                <w:tab w:val="clear" w:pos="2835"/>
              </w:tabs>
              <w:spacing w:before="40" w:after="40" w:line="220" w:lineRule="exact"/>
              <w:ind w:left="113" w:right="0"/>
              <w:jc w:val="right"/>
              <w:rPr>
                <w:sz w:val="18"/>
              </w:rPr>
            </w:pPr>
            <w:r w:rsidRPr="00D01775">
              <w:rPr>
                <w:sz w:val="18"/>
              </w:rPr>
              <w:t>-</w:t>
            </w:r>
          </w:p>
        </w:tc>
        <w:tc>
          <w:tcPr>
            <w:tcW w:w="189" w:type="pct"/>
            <w:shd w:val="clear" w:color="auto" w:fill="auto"/>
            <w:tcMar>
              <w:right w:w="28" w:type="dxa"/>
            </w:tcMar>
            <w:vAlign w:val="bottom"/>
          </w:tcPr>
          <w:p w14:paraId="77FF9AE9" w14:textId="5AEC3346" w:rsidR="00994926" w:rsidRPr="00D01775" w:rsidRDefault="00994926" w:rsidP="00994926">
            <w:pPr>
              <w:pStyle w:val="SingleTxtG"/>
              <w:tabs>
                <w:tab w:val="clear" w:pos="1701"/>
                <w:tab w:val="clear" w:pos="2268"/>
                <w:tab w:val="clear" w:pos="2835"/>
              </w:tabs>
              <w:spacing w:before="40" w:after="40" w:line="220" w:lineRule="exact"/>
              <w:ind w:left="113" w:right="0"/>
              <w:jc w:val="right"/>
              <w:rPr>
                <w:sz w:val="18"/>
              </w:rPr>
            </w:pPr>
            <w:r w:rsidRPr="00D01775">
              <w:rPr>
                <w:sz w:val="18"/>
              </w:rPr>
              <w:t>-</w:t>
            </w:r>
          </w:p>
        </w:tc>
        <w:tc>
          <w:tcPr>
            <w:tcW w:w="213" w:type="pct"/>
            <w:shd w:val="clear" w:color="auto" w:fill="auto"/>
            <w:tcMar>
              <w:right w:w="28" w:type="dxa"/>
            </w:tcMar>
            <w:vAlign w:val="bottom"/>
          </w:tcPr>
          <w:p w14:paraId="23E6E10B" w14:textId="77777777" w:rsidR="00994926" w:rsidRPr="00D01775" w:rsidRDefault="00994926" w:rsidP="00994926">
            <w:pPr>
              <w:pStyle w:val="SingleTxtG"/>
              <w:tabs>
                <w:tab w:val="clear" w:pos="1701"/>
                <w:tab w:val="clear" w:pos="2268"/>
                <w:tab w:val="clear" w:pos="2835"/>
              </w:tabs>
              <w:spacing w:before="40" w:after="40" w:line="220" w:lineRule="exact"/>
              <w:ind w:left="113" w:right="0"/>
              <w:jc w:val="right"/>
              <w:rPr>
                <w:sz w:val="18"/>
              </w:rPr>
            </w:pPr>
            <w:r w:rsidRPr="00D01775">
              <w:rPr>
                <w:sz w:val="18"/>
              </w:rPr>
              <w:t>22</w:t>
            </w:r>
          </w:p>
        </w:tc>
        <w:tc>
          <w:tcPr>
            <w:tcW w:w="189" w:type="pct"/>
            <w:shd w:val="clear" w:color="auto" w:fill="auto"/>
            <w:tcMar>
              <w:right w:w="28" w:type="dxa"/>
            </w:tcMar>
            <w:vAlign w:val="bottom"/>
          </w:tcPr>
          <w:p w14:paraId="6B543B56" w14:textId="77777777" w:rsidR="00994926" w:rsidRPr="00D01775" w:rsidRDefault="00994926" w:rsidP="00994926">
            <w:pPr>
              <w:pStyle w:val="SingleTxtG"/>
              <w:tabs>
                <w:tab w:val="clear" w:pos="1701"/>
                <w:tab w:val="clear" w:pos="2268"/>
                <w:tab w:val="clear" w:pos="2835"/>
              </w:tabs>
              <w:spacing w:before="40" w:after="40" w:line="220" w:lineRule="exact"/>
              <w:ind w:left="113" w:right="0"/>
              <w:jc w:val="right"/>
              <w:rPr>
                <w:sz w:val="18"/>
              </w:rPr>
            </w:pPr>
            <w:r w:rsidRPr="00D01775">
              <w:rPr>
                <w:sz w:val="18"/>
              </w:rPr>
              <w:t>-</w:t>
            </w:r>
          </w:p>
        </w:tc>
        <w:tc>
          <w:tcPr>
            <w:tcW w:w="189" w:type="pct"/>
            <w:shd w:val="clear" w:color="auto" w:fill="auto"/>
            <w:tcMar>
              <w:right w:w="28" w:type="dxa"/>
            </w:tcMar>
            <w:vAlign w:val="bottom"/>
          </w:tcPr>
          <w:p w14:paraId="19753201" w14:textId="77777777" w:rsidR="00994926" w:rsidRPr="00D01775" w:rsidRDefault="00994926" w:rsidP="00994926">
            <w:pPr>
              <w:pStyle w:val="SingleTxtG"/>
              <w:tabs>
                <w:tab w:val="clear" w:pos="1701"/>
                <w:tab w:val="clear" w:pos="2268"/>
                <w:tab w:val="clear" w:pos="2835"/>
              </w:tabs>
              <w:spacing w:before="40" w:after="40" w:line="220" w:lineRule="exact"/>
              <w:ind w:left="113" w:right="0"/>
              <w:jc w:val="right"/>
              <w:rPr>
                <w:sz w:val="18"/>
              </w:rPr>
            </w:pPr>
            <w:r w:rsidRPr="00D01775">
              <w:rPr>
                <w:sz w:val="18"/>
              </w:rPr>
              <w:t>-</w:t>
            </w:r>
          </w:p>
        </w:tc>
        <w:tc>
          <w:tcPr>
            <w:tcW w:w="188" w:type="pct"/>
            <w:shd w:val="clear" w:color="auto" w:fill="auto"/>
            <w:vAlign w:val="bottom"/>
          </w:tcPr>
          <w:p w14:paraId="400C093C" w14:textId="77777777" w:rsidR="00994926" w:rsidRPr="00D01775" w:rsidRDefault="00994926" w:rsidP="00994926">
            <w:pPr>
              <w:pStyle w:val="SingleTxtG"/>
              <w:tabs>
                <w:tab w:val="clear" w:pos="1701"/>
                <w:tab w:val="clear" w:pos="2268"/>
                <w:tab w:val="clear" w:pos="2835"/>
              </w:tabs>
              <w:spacing w:before="40" w:after="40" w:line="220" w:lineRule="exact"/>
              <w:ind w:left="113" w:right="0"/>
              <w:jc w:val="right"/>
              <w:rPr>
                <w:sz w:val="18"/>
              </w:rPr>
            </w:pPr>
            <w:r w:rsidRPr="00D01775">
              <w:rPr>
                <w:sz w:val="18"/>
              </w:rPr>
              <w:t>-</w:t>
            </w:r>
          </w:p>
        </w:tc>
        <w:tc>
          <w:tcPr>
            <w:tcW w:w="189" w:type="pct"/>
            <w:vAlign w:val="bottom"/>
          </w:tcPr>
          <w:p w14:paraId="0B166489" w14:textId="2DE8EB72" w:rsidR="00994926" w:rsidRPr="00D01775" w:rsidRDefault="00994926" w:rsidP="00994926">
            <w:pPr>
              <w:pStyle w:val="SingleTxtG"/>
              <w:tabs>
                <w:tab w:val="clear" w:pos="1701"/>
                <w:tab w:val="clear" w:pos="2268"/>
                <w:tab w:val="clear" w:pos="2835"/>
              </w:tabs>
              <w:spacing w:before="40" w:after="40" w:line="220" w:lineRule="exact"/>
              <w:ind w:left="113" w:right="0"/>
              <w:jc w:val="right"/>
              <w:rPr>
                <w:sz w:val="18"/>
              </w:rPr>
            </w:pPr>
            <w:r w:rsidRPr="00D01775">
              <w:rPr>
                <w:sz w:val="18"/>
              </w:rPr>
              <w:t>1</w:t>
            </w:r>
          </w:p>
        </w:tc>
        <w:tc>
          <w:tcPr>
            <w:tcW w:w="189" w:type="pct"/>
            <w:shd w:val="clear" w:color="auto" w:fill="auto"/>
            <w:tcMar>
              <w:right w:w="28" w:type="dxa"/>
            </w:tcMar>
            <w:vAlign w:val="bottom"/>
          </w:tcPr>
          <w:p w14:paraId="28CB1778" w14:textId="09FEB29A" w:rsidR="00994926" w:rsidRPr="00D01775" w:rsidRDefault="00994926" w:rsidP="00994926">
            <w:pPr>
              <w:pStyle w:val="SingleTxtG"/>
              <w:tabs>
                <w:tab w:val="clear" w:pos="1701"/>
                <w:tab w:val="clear" w:pos="2268"/>
                <w:tab w:val="clear" w:pos="2835"/>
              </w:tabs>
              <w:spacing w:before="40" w:after="40" w:line="220" w:lineRule="exact"/>
              <w:ind w:left="113" w:right="0"/>
              <w:jc w:val="right"/>
              <w:rPr>
                <w:sz w:val="18"/>
              </w:rPr>
            </w:pPr>
            <w:r w:rsidRPr="00D01775">
              <w:rPr>
                <w:sz w:val="18"/>
              </w:rPr>
              <w:t>-</w:t>
            </w:r>
          </w:p>
        </w:tc>
        <w:tc>
          <w:tcPr>
            <w:tcW w:w="213" w:type="pct"/>
            <w:shd w:val="clear" w:color="auto" w:fill="auto"/>
            <w:tcMar>
              <w:right w:w="28" w:type="dxa"/>
            </w:tcMar>
            <w:vAlign w:val="bottom"/>
          </w:tcPr>
          <w:p w14:paraId="125013D0" w14:textId="77777777" w:rsidR="00994926" w:rsidRPr="00D01775" w:rsidRDefault="00994926" w:rsidP="00994926">
            <w:pPr>
              <w:pStyle w:val="SingleTxtG"/>
              <w:tabs>
                <w:tab w:val="clear" w:pos="1701"/>
                <w:tab w:val="clear" w:pos="2268"/>
                <w:tab w:val="clear" w:pos="2835"/>
              </w:tabs>
              <w:spacing w:before="40" w:after="40" w:line="220" w:lineRule="exact"/>
              <w:ind w:left="113" w:right="0"/>
              <w:jc w:val="right"/>
              <w:rPr>
                <w:sz w:val="18"/>
              </w:rPr>
            </w:pPr>
            <w:r w:rsidRPr="00D01775">
              <w:rPr>
                <w:sz w:val="18"/>
              </w:rPr>
              <w:t>58</w:t>
            </w:r>
          </w:p>
        </w:tc>
        <w:tc>
          <w:tcPr>
            <w:tcW w:w="188" w:type="pct"/>
            <w:shd w:val="clear" w:color="auto" w:fill="auto"/>
            <w:vAlign w:val="bottom"/>
          </w:tcPr>
          <w:p w14:paraId="2B4B84CB" w14:textId="77777777" w:rsidR="00994926" w:rsidRPr="00D01775" w:rsidRDefault="00994926" w:rsidP="00994926">
            <w:pPr>
              <w:pStyle w:val="SingleTxtG"/>
              <w:tabs>
                <w:tab w:val="clear" w:pos="1701"/>
                <w:tab w:val="clear" w:pos="2268"/>
                <w:tab w:val="clear" w:pos="2835"/>
              </w:tabs>
              <w:spacing w:before="40" w:after="40" w:line="220" w:lineRule="exact"/>
              <w:ind w:left="113" w:right="0"/>
              <w:jc w:val="right"/>
              <w:rPr>
                <w:sz w:val="18"/>
              </w:rPr>
            </w:pPr>
            <w:r w:rsidRPr="00D01775">
              <w:rPr>
                <w:sz w:val="18"/>
              </w:rPr>
              <w:t>-</w:t>
            </w:r>
          </w:p>
        </w:tc>
        <w:tc>
          <w:tcPr>
            <w:tcW w:w="188" w:type="pct"/>
            <w:shd w:val="clear" w:color="auto" w:fill="auto"/>
            <w:vAlign w:val="bottom"/>
          </w:tcPr>
          <w:p w14:paraId="0B323851" w14:textId="77777777" w:rsidR="00994926" w:rsidRPr="00D01775" w:rsidRDefault="00994926" w:rsidP="00994926">
            <w:pPr>
              <w:pStyle w:val="SingleTxtG"/>
              <w:tabs>
                <w:tab w:val="clear" w:pos="1701"/>
                <w:tab w:val="clear" w:pos="2268"/>
                <w:tab w:val="clear" w:pos="2835"/>
              </w:tabs>
              <w:spacing w:before="40" w:after="40" w:line="220" w:lineRule="exact"/>
              <w:ind w:left="113" w:right="0"/>
              <w:jc w:val="right"/>
              <w:rPr>
                <w:sz w:val="18"/>
              </w:rPr>
            </w:pPr>
            <w:r w:rsidRPr="00D01775">
              <w:rPr>
                <w:sz w:val="18"/>
              </w:rPr>
              <w:t>-</w:t>
            </w:r>
          </w:p>
        </w:tc>
        <w:tc>
          <w:tcPr>
            <w:tcW w:w="188" w:type="pct"/>
            <w:shd w:val="clear" w:color="auto" w:fill="auto"/>
            <w:vAlign w:val="bottom"/>
          </w:tcPr>
          <w:p w14:paraId="20A7235D" w14:textId="77777777" w:rsidR="00994926" w:rsidRPr="00D01775" w:rsidRDefault="00994926" w:rsidP="00994926">
            <w:pPr>
              <w:pStyle w:val="SingleTxtG"/>
              <w:tabs>
                <w:tab w:val="clear" w:pos="1701"/>
                <w:tab w:val="clear" w:pos="2268"/>
                <w:tab w:val="clear" w:pos="2835"/>
              </w:tabs>
              <w:spacing w:before="40" w:after="40" w:line="220" w:lineRule="exact"/>
              <w:ind w:left="113" w:right="0"/>
              <w:jc w:val="right"/>
              <w:rPr>
                <w:sz w:val="18"/>
              </w:rPr>
            </w:pPr>
            <w:r w:rsidRPr="00D01775">
              <w:rPr>
                <w:sz w:val="18"/>
              </w:rPr>
              <w:t>-</w:t>
            </w:r>
          </w:p>
        </w:tc>
        <w:tc>
          <w:tcPr>
            <w:tcW w:w="189" w:type="pct"/>
            <w:shd w:val="clear" w:color="auto" w:fill="auto"/>
            <w:tcMar>
              <w:right w:w="28" w:type="dxa"/>
            </w:tcMar>
            <w:vAlign w:val="bottom"/>
          </w:tcPr>
          <w:p w14:paraId="47047982" w14:textId="77777777" w:rsidR="00994926" w:rsidRPr="00D01775" w:rsidRDefault="00994926" w:rsidP="00994926">
            <w:pPr>
              <w:pStyle w:val="SingleTxtG"/>
              <w:tabs>
                <w:tab w:val="clear" w:pos="1701"/>
                <w:tab w:val="clear" w:pos="2268"/>
                <w:tab w:val="clear" w:pos="2835"/>
              </w:tabs>
              <w:spacing w:before="40" w:after="40" w:line="220" w:lineRule="exact"/>
              <w:ind w:left="113" w:right="0"/>
              <w:jc w:val="right"/>
              <w:rPr>
                <w:sz w:val="18"/>
              </w:rPr>
            </w:pPr>
            <w:r w:rsidRPr="00D01775">
              <w:rPr>
                <w:sz w:val="18"/>
              </w:rPr>
              <w:t>-</w:t>
            </w:r>
          </w:p>
        </w:tc>
        <w:tc>
          <w:tcPr>
            <w:tcW w:w="189" w:type="pct"/>
            <w:shd w:val="clear" w:color="auto" w:fill="auto"/>
            <w:tcMar>
              <w:right w:w="28" w:type="dxa"/>
            </w:tcMar>
            <w:vAlign w:val="bottom"/>
          </w:tcPr>
          <w:p w14:paraId="16925EE4" w14:textId="77777777" w:rsidR="00994926" w:rsidRPr="00D01775" w:rsidRDefault="00994926" w:rsidP="00994926">
            <w:pPr>
              <w:pStyle w:val="SingleTxtG"/>
              <w:tabs>
                <w:tab w:val="clear" w:pos="1701"/>
                <w:tab w:val="clear" w:pos="2268"/>
                <w:tab w:val="clear" w:pos="2835"/>
              </w:tabs>
              <w:spacing w:before="40" w:after="40" w:line="220" w:lineRule="exact"/>
              <w:ind w:left="113" w:right="0"/>
              <w:jc w:val="right"/>
              <w:rPr>
                <w:sz w:val="18"/>
              </w:rPr>
            </w:pPr>
            <w:r w:rsidRPr="00D01775">
              <w:rPr>
                <w:sz w:val="18"/>
              </w:rPr>
              <w:t>-</w:t>
            </w:r>
          </w:p>
        </w:tc>
        <w:tc>
          <w:tcPr>
            <w:tcW w:w="168" w:type="pct"/>
            <w:shd w:val="clear" w:color="auto" w:fill="auto"/>
            <w:tcMar>
              <w:right w:w="28" w:type="dxa"/>
            </w:tcMar>
            <w:vAlign w:val="bottom"/>
          </w:tcPr>
          <w:p w14:paraId="084EFB77" w14:textId="77777777" w:rsidR="00994926" w:rsidRPr="00D01775" w:rsidRDefault="00994926" w:rsidP="00994926">
            <w:pPr>
              <w:pStyle w:val="SingleTxtG"/>
              <w:tabs>
                <w:tab w:val="clear" w:pos="1701"/>
                <w:tab w:val="clear" w:pos="2268"/>
                <w:tab w:val="clear" w:pos="2835"/>
              </w:tabs>
              <w:spacing w:before="40" w:after="40" w:line="220" w:lineRule="exact"/>
              <w:ind w:left="113" w:right="0"/>
              <w:jc w:val="right"/>
              <w:rPr>
                <w:sz w:val="18"/>
              </w:rPr>
            </w:pPr>
            <w:r w:rsidRPr="00D01775">
              <w:rPr>
                <w:sz w:val="18"/>
              </w:rPr>
              <w:t>-</w:t>
            </w:r>
          </w:p>
        </w:tc>
        <w:tc>
          <w:tcPr>
            <w:tcW w:w="295" w:type="pct"/>
            <w:shd w:val="clear" w:color="auto" w:fill="auto"/>
            <w:tcMar>
              <w:right w:w="28" w:type="dxa"/>
            </w:tcMar>
            <w:vAlign w:val="bottom"/>
          </w:tcPr>
          <w:p w14:paraId="5911C544" w14:textId="77777777" w:rsidR="00994926" w:rsidRPr="00D01775" w:rsidRDefault="00994926" w:rsidP="00994926">
            <w:pPr>
              <w:pStyle w:val="SingleTxtG"/>
              <w:tabs>
                <w:tab w:val="clear" w:pos="1701"/>
                <w:tab w:val="clear" w:pos="2268"/>
                <w:tab w:val="clear" w:pos="2835"/>
              </w:tabs>
              <w:spacing w:before="40" w:after="40" w:line="220" w:lineRule="exact"/>
              <w:ind w:left="113" w:right="0"/>
              <w:jc w:val="right"/>
              <w:rPr>
                <w:sz w:val="18"/>
              </w:rPr>
            </w:pPr>
            <w:r w:rsidRPr="00D01775">
              <w:rPr>
                <w:sz w:val="18"/>
              </w:rPr>
              <w:t>85</w:t>
            </w:r>
          </w:p>
        </w:tc>
      </w:tr>
      <w:tr w:rsidR="00994926" w:rsidRPr="00D01775" w14:paraId="37D2179B" w14:textId="77777777" w:rsidTr="00207489">
        <w:trPr>
          <w:trHeight w:val="240"/>
        </w:trPr>
        <w:tc>
          <w:tcPr>
            <w:tcW w:w="230" w:type="pct"/>
            <w:shd w:val="clear" w:color="auto" w:fill="auto"/>
          </w:tcPr>
          <w:p w14:paraId="6A324932" w14:textId="77777777" w:rsidR="00994926" w:rsidRPr="00D01775" w:rsidRDefault="00994926" w:rsidP="00994926">
            <w:pPr>
              <w:pStyle w:val="SingleTxtG"/>
              <w:tabs>
                <w:tab w:val="clear" w:pos="1701"/>
                <w:tab w:val="clear" w:pos="2268"/>
                <w:tab w:val="clear" w:pos="2835"/>
              </w:tabs>
              <w:spacing w:before="40" w:after="40" w:line="220" w:lineRule="exact"/>
              <w:ind w:left="0" w:right="0"/>
              <w:jc w:val="left"/>
              <w:rPr>
                <w:sz w:val="18"/>
              </w:rPr>
            </w:pPr>
            <w:r w:rsidRPr="00D01775">
              <w:rPr>
                <w:sz w:val="18"/>
              </w:rPr>
              <w:t>2017</w:t>
            </w:r>
          </w:p>
        </w:tc>
        <w:tc>
          <w:tcPr>
            <w:tcW w:w="198" w:type="pct"/>
            <w:shd w:val="clear" w:color="auto" w:fill="auto"/>
            <w:tcMar>
              <w:right w:w="28" w:type="dxa"/>
            </w:tcMar>
            <w:vAlign w:val="bottom"/>
          </w:tcPr>
          <w:p w14:paraId="262EEED7" w14:textId="77777777" w:rsidR="00994926" w:rsidRPr="00D01775" w:rsidRDefault="00994926" w:rsidP="00994926">
            <w:pPr>
              <w:pStyle w:val="SingleTxtG"/>
              <w:tabs>
                <w:tab w:val="clear" w:pos="1701"/>
                <w:tab w:val="clear" w:pos="2268"/>
                <w:tab w:val="clear" w:pos="2835"/>
              </w:tabs>
              <w:spacing w:before="40" w:after="40" w:line="220" w:lineRule="exact"/>
              <w:ind w:left="113" w:right="0"/>
              <w:jc w:val="right"/>
              <w:rPr>
                <w:sz w:val="18"/>
              </w:rPr>
            </w:pPr>
            <w:r w:rsidRPr="00D01775">
              <w:rPr>
                <w:sz w:val="18"/>
              </w:rPr>
              <w:t>2</w:t>
            </w:r>
          </w:p>
        </w:tc>
        <w:tc>
          <w:tcPr>
            <w:tcW w:w="197" w:type="pct"/>
            <w:shd w:val="clear" w:color="auto" w:fill="auto"/>
            <w:tcMar>
              <w:right w:w="28" w:type="dxa"/>
            </w:tcMar>
            <w:vAlign w:val="bottom"/>
          </w:tcPr>
          <w:p w14:paraId="718D6241" w14:textId="77777777" w:rsidR="00994926" w:rsidRPr="00D01775" w:rsidRDefault="00994926" w:rsidP="00994926">
            <w:pPr>
              <w:pStyle w:val="SingleTxtG"/>
              <w:tabs>
                <w:tab w:val="clear" w:pos="1701"/>
                <w:tab w:val="clear" w:pos="2268"/>
                <w:tab w:val="clear" w:pos="2835"/>
              </w:tabs>
              <w:spacing w:before="40" w:after="40" w:line="220" w:lineRule="exact"/>
              <w:ind w:left="113" w:right="0"/>
              <w:jc w:val="right"/>
              <w:rPr>
                <w:sz w:val="18"/>
              </w:rPr>
            </w:pPr>
            <w:r w:rsidRPr="00D01775">
              <w:rPr>
                <w:sz w:val="18"/>
              </w:rPr>
              <w:t>1</w:t>
            </w:r>
          </w:p>
        </w:tc>
        <w:tc>
          <w:tcPr>
            <w:tcW w:w="268" w:type="pct"/>
            <w:shd w:val="clear" w:color="auto" w:fill="auto"/>
            <w:vAlign w:val="bottom"/>
          </w:tcPr>
          <w:p w14:paraId="57FF41A3" w14:textId="77777777" w:rsidR="00994926" w:rsidRPr="00D01775" w:rsidRDefault="00994926" w:rsidP="00994926">
            <w:pPr>
              <w:pStyle w:val="SingleTxtG"/>
              <w:tabs>
                <w:tab w:val="clear" w:pos="1701"/>
                <w:tab w:val="clear" w:pos="2268"/>
                <w:tab w:val="clear" w:pos="2835"/>
              </w:tabs>
              <w:spacing w:before="40" w:after="40" w:line="220" w:lineRule="exact"/>
              <w:ind w:left="113" w:right="0"/>
              <w:jc w:val="right"/>
              <w:rPr>
                <w:sz w:val="18"/>
              </w:rPr>
            </w:pPr>
            <w:r w:rsidRPr="00D01775">
              <w:rPr>
                <w:sz w:val="18"/>
              </w:rPr>
              <w:t>-</w:t>
            </w:r>
          </w:p>
        </w:tc>
        <w:tc>
          <w:tcPr>
            <w:tcW w:w="172" w:type="pct"/>
            <w:shd w:val="clear" w:color="auto" w:fill="auto"/>
            <w:tcMar>
              <w:right w:w="28" w:type="dxa"/>
            </w:tcMar>
            <w:vAlign w:val="bottom"/>
          </w:tcPr>
          <w:p w14:paraId="7685E4F3" w14:textId="77777777" w:rsidR="00994926" w:rsidRPr="00D01775" w:rsidRDefault="00994926" w:rsidP="00994926">
            <w:pPr>
              <w:pStyle w:val="SingleTxtG"/>
              <w:tabs>
                <w:tab w:val="clear" w:pos="1701"/>
                <w:tab w:val="clear" w:pos="2268"/>
                <w:tab w:val="clear" w:pos="2835"/>
              </w:tabs>
              <w:spacing w:before="40" w:after="40" w:line="220" w:lineRule="exact"/>
              <w:ind w:left="113" w:right="0"/>
              <w:jc w:val="right"/>
              <w:rPr>
                <w:sz w:val="18"/>
              </w:rPr>
            </w:pPr>
            <w:r w:rsidRPr="00D01775">
              <w:rPr>
                <w:sz w:val="18"/>
              </w:rPr>
              <w:t>-</w:t>
            </w:r>
          </w:p>
        </w:tc>
        <w:tc>
          <w:tcPr>
            <w:tcW w:w="191" w:type="pct"/>
            <w:shd w:val="clear" w:color="auto" w:fill="auto"/>
            <w:vAlign w:val="bottom"/>
          </w:tcPr>
          <w:p w14:paraId="09AD3D36" w14:textId="77777777" w:rsidR="00994926" w:rsidRPr="00D01775" w:rsidRDefault="00994926" w:rsidP="00994926">
            <w:pPr>
              <w:pStyle w:val="SingleTxtG"/>
              <w:tabs>
                <w:tab w:val="clear" w:pos="1701"/>
                <w:tab w:val="clear" w:pos="2268"/>
                <w:tab w:val="clear" w:pos="2835"/>
              </w:tabs>
              <w:spacing w:before="40" w:after="40" w:line="220" w:lineRule="exact"/>
              <w:ind w:left="113" w:right="0"/>
              <w:jc w:val="right"/>
              <w:rPr>
                <w:sz w:val="18"/>
              </w:rPr>
            </w:pPr>
            <w:r w:rsidRPr="00D01775">
              <w:rPr>
                <w:sz w:val="18"/>
              </w:rPr>
              <w:t>-</w:t>
            </w:r>
          </w:p>
        </w:tc>
        <w:tc>
          <w:tcPr>
            <w:tcW w:w="217" w:type="pct"/>
            <w:shd w:val="clear" w:color="auto" w:fill="auto"/>
            <w:tcMar>
              <w:right w:w="28" w:type="dxa"/>
            </w:tcMar>
            <w:vAlign w:val="bottom"/>
          </w:tcPr>
          <w:p w14:paraId="5611E8B4" w14:textId="77777777" w:rsidR="00994926" w:rsidRPr="00D01775" w:rsidRDefault="00994926" w:rsidP="00994926">
            <w:pPr>
              <w:pStyle w:val="SingleTxtG"/>
              <w:tabs>
                <w:tab w:val="clear" w:pos="1701"/>
                <w:tab w:val="clear" w:pos="2268"/>
                <w:tab w:val="clear" w:pos="2835"/>
              </w:tabs>
              <w:spacing w:before="40" w:after="40" w:line="220" w:lineRule="exact"/>
              <w:ind w:left="113" w:right="0"/>
              <w:jc w:val="right"/>
              <w:rPr>
                <w:sz w:val="18"/>
              </w:rPr>
            </w:pPr>
            <w:r w:rsidRPr="00D01775">
              <w:rPr>
                <w:sz w:val="18"/>
              </w:rPr>
              <w:t>-</w:t>
            </w:r>
          </w:p>
        </w:tc>
        <w:tc>
          <w:tcPr>
            <w:tcW w:w="189" w:type="pct"/>
            <w:shd w:val="clear" w:color="auto" w:fill="auto"/>
            <w:tcMar>
              <w:right w:w="28" w:type="dxa"/>
            </w:tcMar>
            <w:vAlign w:val="bottom"/>
          </w:tcPr>
          <w:p w14:paraId="0819220D" w14:textId="77777777" w:rsidR="00994926" w:rsidRPr="00D01775" w:rsidRDefault="00994926" w:rsidP="00994926">
            <w:pPr>
              <w:pStyle w:val="SingleTxtG"/>
              <w:tabs>
                <w:tab w:val="clear" w:pos="1701"/>
                <w:tab w:val="clear" w:pos="2268"/>
                <w:tab w:val="clear" w:pos="2835"/>
              </w:tabs>
              <w:spacing w:before="40" w:after="40" w:line="220" w:lineRule="exact"/>
              <w:ind w:left="113" w:right="0"/>
              <w:jc w:val="right"/>
              <w:rPr>
                <w:sz w:val="18"/>
              </w:rPr>
            </w:pPr>
            <w:r w:rsidRPr="00D01775">
              <w:rPr>
                <w:sz w:val="18"/>
              </w:rPr>
              <w:t>3</w:t>
            </w:r>
          </w:p>
        </w:tc>
        <w:tc>
          <w:tcPr>
            <w:tcW w:w="189" w:type="pct"/>
            <w:shd w:val="clear" w:color="auto" w:fill="auto"/>
            <w:tcMar>
              <w:right w:w="28" w:type="dxa"/>
            </w:tcMar>
            <w:vAlign w:val="bottom"/>
          </w:tcPr>
          <w:p w14:paraId="473C0C56" w14:textId="77777777" w:rsidR="00994926" w:rsidRPr="00D01775" w:rsidRDefault="00994926" w:rsidP="00994926">
            <w:pPr>
              <w:pStyle w:val="SingleTxtG"/>
              <w:tabs>
                <w:tab w:val="clear" w:pos="1701"/>
                <w:tab w:val="clear" w:pos="2268"/>
                <w:tab w:val="clear" w:pos="2835"/>
              </w:tabs>
              <w:spacing w:before="40" w:after="40" w:line="220" w:lineRule="exact"/>
              <w:ind w:left="113" w:right="0"/>
              <w:jc w:val="right"/>
              <w:rPr>
                <w:sz w:val="18"/>
              </w:rPr>
            </w:pPr>
            <w:r w:rsidRPr="00D01775">
              <w:rPr>
                <w:sz w:val="18"/>
              </w:rPr>
              <w:t>-</w:t>
            </w:r>
          </w:p>
        </w:tc>
        <w:tc>
          <w:tcPr>
            <w:tcW w:w="189" w:type="pct"/>
            <w:vAlign w:val="bottom"/>
          </w:tcPr>
          <w:p w14:paraId="22CB5369" w14:textId="22C96043" w:rsidR="00994926" w:rsidRPr="00D01775" w:rsidRDefault="00994926" w:rsidP="00994926">
            <w:pPr>
              <w:pStyle w:val="SingleTxtG"/>
              <w:tabs>
                <w:tab w:val="clear" w:pos="1701"/>
                <w:tab w:val="clear" w:pos="2268"/>
                <w:tab w:val="clear" w:pos="2835"/>
              </w:tabs>
              <w:spacing w:before="40" w:after="40" w:line="220" w:lineRule="exact"/>
              <w:ind w:left="113" w:right="0"/>
              <w:jc w:val="right"/>
              <w:rPr>
                <w:sz w:val="18"/>
              </w:rPr>
            </w:pPr>
            <w:r w:rsidRPr="00D01775">
              <w:rPr>
                <w:sz w:val="18"/>
              </w:rPr>
              <w:t>-</w:t>
            </w:r>
          </w:p>
        </w:tc>
        <w:tc>
          <w:tcPr>
            <w:tcW w:w="189" w:type="pct"/>
            <w:shd w:val="clear" w:color="auto" w:fill="auto"/>
            <w:tcMar>
              <w:right w:w="28" w:type="dxa"/>
            </w:tcMar>
            <w:vAlign w:val="bottom"/>
          </w:tcPr>
          <w:p w14:paraId="65B2213F" w14:textId="3FF7DC4D" w:rsidR="00994926" w:rsidRPr="00D01775" w:rsidRDefault="00994926" w:rsidP="00994926">
            <w:pPr>
              <w:pStyle w:val="SingleTxtG"/>
              <w:tabs>
                <w:tab w:val="clear" w:pos="1701"/>
                <w:tab w:val="clear" w:pos="2268"/>
                <w:tab w:val="clear" w:pos="2835"/>
              </w:tabs>
              <w:spacing w:before="40" w:after="40" w:line="220" w:lineRule="exact"/>
              <w:ind w:left="113" w:right="0"/>
              <w:jc w:val="right"/>
              <w:rPr>
                <w:sz w:val="18"/>
              </w:rPr>
            </w:pPr>
            <w:r w:rsidRPr="00D01775">
              <w:rPr>
                <w:sz w:val="18"/>
              </w:rPr>
              <w:t>-</w:t>
            </w:r>
          </w:p>
        </w:tc>
        <w:tc>
          <w:tcPr>
            <w:tcW w:w="213" w:type="pct"/>
            <w:shd w:val="clear" w:color="auto" w:fill="auto"/>
            <w:tcMar>
              <w:right w:w="28" w:type="dxa"/>
            </w:tcMar>
            <w:vAlign w:val="bottom"/>
          </w:tcPr>
          <w:p w14:paraId="7DB25E33" w14:textId="77777777" w:rsidR="00994926" w:rsidRPr="00D01775" w:rsidRDefault="00994926" w:rsidP="00994926">
            <w:pPr>
              <w:pStyle w:val="SingleTxtG"/>
              <w:tabs>
                <w:tab w:val="clear" w:pos="1701"/>
                <w:tab w:val="clear" w:pos="2268"/>
                <w:tab w:val="clear" w:pos="2835"/>
              </w:tabs>
              <w:spacing w:before="40" w:after="40" w:line="220" w:lineRule="exact"/>
              <w:ind w:left="113" w:right="0"/>
              <w:jc w:val="right"/>
              <w:rPr>
                <w:sz w:val="18"/>
              </w:rPr>
            </w:pPr>
            <w:r w:rsidRPr="00D01775">
              <w:rPr>
                <w:sz w:val="18"/>
              </w:rPr>
              <w:t>43</w:t>
            </w:r>
          </w:p>
        </w:tc>
        <w:tc>
          <w:tcPr>
            <w:tcW w:w="189" w:type="pct"/>
            <w:shd w:val="clear" w:color="auto" w:fill="auto"/>
            <w:tcMar>
              <w:right w:w="28" w:type="dxa"/>
            </w:tcMar>
            <w:vAlign w:val="bottom"/>
          </w:tcPr>
          <w:p w14:paraId="3ED4D572" w14:textId="77777777" w:rsidR="00994926" w:rsidRPr="00D01775" w:rsidRDefault="00994926" w:rsidP="00994926">
            <w:pPr>
              <w:pStyle w:val="SingleTxtG"/>
              <w:tabs>
                <w:tab w:val="clear" w:pos="1701"/>
                <w:tab w:val="clear" w:pos="2268"/>
                <w:tab w:val="clear" w:pos="2835"/>
              </w:tabs>
              <w:spacing w:before="40" w:after="40" w:line="220" w:lineRule="exact"/>
              <w:ind w:left="113" w:right="0"/>
              <w:jc w:val="right"/>
              <w:rPr>
                <w:sz w:val="18"/>
              </w:rPr>
            </w:pPr>
            <w:r w:rsidRPr="00D01775">
              <w:rPr>
                <w:sz w:val="18"/>
              </w:rPr>
              <w:t>2</w:t>
            </w:r>
          </w:p>
        </w:tc>
        <w:tc>
          <w:tcPr>
            <w:tcW w:w="189" w:type="pct"/>
            <w:shd w:val="clear" w:color="auto" w:fill="auto"/>
            <w:tcMar>
              <w:right w:w="28" w:type="dxa"/>
            </w:tcMar>
            <w:vAlign w:val="bottom"/>
          </w:tcPr>
          <w:p w14:paraId="060D4744" w14:textId="77777777" w:rsidR="00994926" w:rsidRPr="00D01775" w:rsidRDefault="00994926" w:rsidP="00994926">
            <w:pPr>
              <w:pStyle w:val="SingleTxtG"/>
              <w:tabs>
                <w:tab w:val="clear" w:pos="1701"/>
                <w:tab w:val="clear" w:pos="2268"/>
                <w:tab w:val="clear" w:pos="2835"/>
              </w:tabs>
              <w:spacing w:before="40" w:after="40" w:line="220" w:lineRule="exact"/>
              <w:ind w:left="113" w:right="0"/>
              <w:jc w:val="right"/>
              <w:rPr>
                <w:sz w:val="18"/>
              </w:rPr>
            </w:pPr>
            <w:r w:rsidRPr="00D01775">
              <w:rPr>
                <w:sz w:val="18"/>
              </w:rPr>
              <w:t>-</w:t>
            </w:r>
          </w:p>
        </w:tc>
        <w:tc>
          <w:tcPr>
            <w:tcW w:w="188" w:type="pct"/>
            <w:shd w:val="clear" w:color="auto" w:fill="auto"/>
            <w:vAlign w:val="bottom"/>
          </w:tcPr>
          <w:p w14:paraId="4673AECE" w14:textId="77777777" w:rsidR="00994926" w:rsidRPr="00D01775" w:rsidRDefault="00994926" w:rsidP="00994926">
            <w:pPr>
              <w:pStyle w:val="SingleTxtG"/>
              <w:tabs>
                <w:tab w:val="clear" w:pos="1701"/>
                <w:tab w:val="clear" w:pos="2268"/>
                <w:tab w:val="clear" w:pos="2835"/>
              </w:tabs>
              <w:spacing w:before="40" w:after="40" w:line="220" w:lineRule="exact"/>
              <w:ind w:left="113" w:right="0"/>
              <w:jc w:val="right"/>
              <w:rPr>
                <w:sz w:val="18"/>
              </w:rPr>
            </w:pPr>
            <w:r w:rsidRPr="00D01775">
              <w:rPr>
                <w:sz w:val="18"/>
              </w:rPr>
              <w:t>-</w:t>
            </w:r>
          </w:p>
        </w:tc>
        <w:tc>
          <w:tcPr>
            <w:tcW w:w="189" w:type="pct"/>
            <w:vAlign w:val="bottom"/>
          </w:tcPr>
          <w:p w14:paraId="4075317A" w14:textId="5B9D44E3" w:rsidR="00994926" w:rsidRPr="00D01775" w:rsidRDefault="00994926" w:rsidP="00994926">
            <w:pPr>
              <w:pStyle w:val="SingleTxtG"/>
              <w:tabs>
                <w:tab w:val="clear" w:pos="1701"/>
                <w:tab w:val="clear" w:pos="2268"/>
                <w:tab w:val="clear" w:pos="2835"/>
              </w:tabs>
              <w:spacing w:before="40" w:after="40" w:line="220" w:lineRule="exact"/>
              <w:ind w:left="113" w:right="0"/>
              <w:jc w:val="right"/>
              <w:rPr>
                <w:sz w:val="18"/>
              </w:rPr>
            </w:pPr>
            <w:r w:rsidRPr="00D01775">
              <w:rPr>
                <w:sz w:val="18"/>
              </w:rPr>
              <w:t>2</w:t>
            </w:r>
          </w:p>
        </w:tc>
        <w:tc>
          <w:tcPr>
            <w:tcW w:w="189" w:type="pct"/>
            <w:shd w:val="clear" w:color="auto" w:fill="auto"/>
            <w:tcMar>
              <w:right w:w="28" w:type="dxa"/>
            </w:tcMar>
            <w:vAlign w:val="bottom"/>
          </w:tcPr>
          <w:p w14:paraId="5F05EA07" w14:textId="751BA426" w:rsidR="00994926" w:rsidRPr="00D01775" w:rsidRDefault="00994926" w:rsidP="00994926">
            <w:pPr>
              <w:pStyle w:val="SingleTxtG"/>
              <w:tabs>
                <w:tab w:val="clear" w:pos="1701"/>
                <w:tab w:val="clear" w:pos="2268"/>
                <w:tab w:val="clear" w:pos="2835"/>
              </w:tabs>
              <w:spacing w:before="40" w:after="40" w:line="220" w:lineRule="exact"/>
              <w:ind w:left="113" w:right="0"/>
              <w:jc w:val="right"/>
              <w:rPr>
                <w:sz w:val="18"/>
              </w:rPr>
            </w:pPr>
            <w:r w:rsidRPr="00D01775">
              <w:rPr>
                <w:sz w:val="18"/>
              </w:rPr>
              <w:t>1</w:t>
            </w:r>
          </w:p>
        </w:tc>
        <w:tc>
          <w:tcPr>
            <w:tcW w:w="213" w:type="pct"/>
            <w:shd w:val="clear" w:color="auto" w:fill="auto"/>
            <w:tcMar>
              <w:right w:w="28" w:type="dxa"/>
            </w:tcMar>
            <w:vAlign w:val="bottom"/>
          </w:tcPr>
          <w:p w14:paraId="00EFFC8B" w14:textId="77777777" w:rsidR="00994926" w:rsidRPr="00D01775" w:rsidRDefault="00994926" w:rsidP="00994926">
            <w:pPr>
              <w:pStyle w:val="SingleTxtG"/>
              <w:tabs>
                <w:tab w:val="clear" w:pos="1701"/>
                <w:tab w:val="clear" w:pos="2268"/>
                <w:tab w:val="clear" w:pos="2835"/>
              </w:tabs>
              <w:spacing w:before="40" w:after="40" w:line="220" w:lineRule="exact"/>
              <w:ind w:left="113" w:right="0"/>
              <w:jc w:val="right"/>
              <w:rPr>
                <w:sz w:val="18"/>
              </w:rPr>
            </w:pPr>
            <w:r w:rsidRPr="00D01775">
              <w:rPr>
                <w:sz w:val="18"/>
              </w:rPr>
              <w:t>31</w:t>
            </w:r>
          </w:p>
        </w:tc>
        <w:tc>
          <w:tcPr>
            <w:tcW w:w="188" w:type="pct"/>
            <w:shd w:val="clear" w:color="auto" w:fill="auto"/>
            <w:vAlign w:val="bottom"/>
          </w:tcPr>
          <w:p w14:paraId="5BDDA068" w14:textId="77777777" w:rsidR="00994926" w:rsidRPr="00D01775" w:rsidRDefault="00994926" w:rsidP="00994926">
            <w:pPr>
              <w:pStyle w:val="SingleTxtG"/>
              <w:tabs>
                <w:tab w:val="clear" w:pos="1701"/>
                <w:tab w:val="clear" w:pos="2268"/>
                <w:tab w:val="clear" w:pos="2835"/>
              </w:tabs>
              <w:spacing w:before="40" w:after="40" w:line="220" w:lineRule="exact"/>
              <w:ind w:left="113" w:right="0"/>
              <w:jc w:val="right"/>
              <w:rPr>
                <w:sz w:val="18"/>
              </w:rPr>
            </w:pPr>
            <w:r w:rsidRPr="00D01775">
              <w:rPr>
                <w:sz w:val="18"/>
              </w:rPr>
              <w:t>-</w:t>
            </w:r>
          </w:p>
        </w:tc>
        <w:tc>
          <w:tcPr>
            <w:tcW w:w="188" w:type="pct"/>
            <w:shd w:val="clear" w:color="auto" w:fill="auto"/>
            <w:vAlign w:val="bottom"/>
          </w:tcPr>
          <w:p w14:paraId="605FA78F" w14:textId="77777777" w:rsidR="00994926" w:rsidRPr="00D01775" w:rsidRDefault="00994926" w:rsidP="00994926">
            <w:pPr>
              <w:pStyle w:val="SingleTxtG"/>
              <w:tabs>
                <w:tab w:val="clear" w:pos="1701"/>
                <w:tab w:val="clear" w:pos="2268"/>
                <w:tab w:val="clear" w:pos="2835"/>
              </w:tabs>
              <w:spacing w:before="40" w:after="40" w:line="220" w:lineRule="exact"/>
              <w:ind w:left="113" w:right="0"/>
              <w:jc w:val="right"/>
              <w:rPr>
                <w:sz w:val="18"/>
              </w:rPr>
            </w:pPr>
            <w:r w:rsidRPr="00D01775">
              <w:rPr>
                <w:sz w:val="18"/>
              </w:rPr>
              <w:t>-</w:t>
            </w:r>
          </w:p>
        </w:tc>
        <w:tc>
          <w:tcPr>
            <w:tcW w:w="188" w:type="pct"/>
            <w:shd w:val="clear" w:color="auto" w:fill="auto"/>
            <w:vAlign w:val="bottom"/>
          </w:tcPr>
          <w:p w14:paraId="50ABFF27" w14:textId="77777777" w:rsidR="00994926" w:rsidRPr="00D01775" w:rsidRDefault="00994926" w:rsidP="00994926">
            <w:pPr>
              <w:pStyle w:val="SingleTxtG"/>
              <w:tabs>
                <w:tab w:val="clear" w:pos="1701"/>
                <w:tab w:val="clear" w:pos="2268"/>
                <w:tab w:val="clear" w:pos="2835"/>
              </w:tabs>
              <w:spacing w:before="40" w:after="40" w:line="220" w:lineRule="exact"/>
              <w:ind w:left="113" w:right="0"/>
              <w:jc w:val="right"/>
              <w:rPr>
                <w:sz w:val="18"/>
              </w:rPr>
            </w:pPr>
            <w:r w:rsidRPr="00D01775">
              <w:rPr>
                <w:sz w:val="18"/>
              </w:rPr>
              <w:t>-</w:t>
            </w:r>
          </w:p>
        </w:tc>
        <w:tc>
          <w:tcPr>
            <w:tcW w:w="189" w:type="pct"/>
            <w:shd w:val="clear" w:color="auto" w:fill="auto"/>
            <w:tcMar>
              <w:right w:w="28" w:type="dxa"/>
            </w:tcMar>
            <w:vAlign w:val="bottom"/>
          </w:tcPr>
          <w:p w14:paraId="71684BB7" w14:textId="77777777" w:rsidR="00994926" w:rsidRPr="00D01775" w:rsidRDefault="00994926" w:rsidP="00994926">
            <w:pPr>
              <w:pStyle w:val="SingleTxtG"/>
              <w:tabs>
                <w:tab w:val="clear" w:pos="1701"/>
                <w:tab w:val="clear" w:pos="2268"/>
                <w:tab w:val="clear" w:pos="2835"/>
              </w:tabs>
              <w:spacing w:before="40" w:after="40" w:line="220" w:lineRule="exact"/>
              <w:ind w:left="113" w:right="0"/>
              <w:jc w:val="right"/>
              <w:rPr>
                <w:sz w:val="18"/>
              </w:rPr>
            </w:pPr>
            <w:r w:rsidRPr="00D01775">
              <w:rPr>
                <w:sz w:val="18"/>
              </w:rPr>
              <w:t>1</w:t>
            </w:r>
          </w:p>
        </w:tc>
        <w:tc>
          <w:tcPr>
            <w:tcW w:w="189" w:type="pct"/>
            <w:shd w:val="clear" w:color="auto" w:fill="auto"/>
            <w:tcMar>
              <w:right w:w="28" w:type="dxa"/>
            </w:tcMar>
            <w:vAlign w:val="bottom"/>
          </w:tcPr>
          <w:p w14:paraId="73E47B26" w14:textId="77777777" w:rsidR="00994926" w:rsidRPr="00D01775" w:rsidRDefault="00994926" w:rsidP="00994926">
            <w:pPr>
              <w:pStyle w:val="SingleTxtG"/>
              <w:tabs>
                <w:tab w:val="clear" w:pos="1701"/>
                <w:tab w:val="clear" w:pos="2268"/>
                <w:tab w:val="clear" w:pos="2835"/>
              </w:tabs>
              <w:spacing w:before="40" w:after="40" w:line="220" w:lineRule="exact"/>
              <w:ind w:left="113" w:right="0"/>
              <w:jc w:val="right"/>
              <w:rPr>
                <w:sz w:val="18"/>
              </w:rPr>
            </w:pPr>
            <w:r w:rsidRPr="00D01775">
              <w:rPr>
                <w:sz w:val="18"/>
              </w:rPr>
              <w:t>-</w:t>
            </w:r>
          </w:p>
        </w:tc>
        <w:tc>
          <w:tcPr>
            <w:tcW w:w="168" w:type="pct"/>
            <w:shd w:val="clear" w:color="auto" w:fill="auto"/>
            <w:tcMar>
              <w:right w:w="28" w:type="dxa"/>
            </w:tcMar>
            <w:vAlign w:val="bottom"/>
          </w:tcPr>
          <w:p w14:paraId="1F555B3D" w14:textId="77777777" w:rsidR="00994926" w:rsidRPr="00D01775" w:rsidRDefault="00994926" w:rsidP="00994926">
            <w:pPr>
              <w:pStyle w:val="SingleTxtG"/>
              <w:tabs>
                <w:tab w:val="clear" w:pos="1701"/>
                <w:tab w:val="clear" w:pos="2268"/>
                <w:tab w:val="clear" w:pos="2835"/>
              </w:tabs>
              <w:spacing w:before="40" w:after="40" w:line="220" w:lineRule="exact"/>
              <w:ind w:left="113" w:right="0"/>
              <w:jc w:val="right"/>
              <w:rPr>
                <w:sz w:val="18"/>
              </w:rPr>
            </w:pPr>
            <w:r w:rsidRPr="00D01775">
              <w:rPr>
                <w:sz w:val="18"/>
              </w:rPr>
              <w:t>-</w:t>
            </w:r>
          </w:p>
        </w:tc>
        <w:tc>
          <w:tcPr>
            <w:tcW w:w="295" w:type="pct"/>
            <w:shd w:val="clear" w:color="auto" w:fill="auto"/>
            <w:tcMar>
              <w:right w:w="28" w:type="dxa"/>
            </w:tcMar>
            <w:vAlign w:val="bottom"/>
          </w:tcPr>
          <w:p w14:paraId="289A0582" w14:textId="77777777" w:rsidR="00994926" w:rsidRPr="00D01775" w:rsidRDefault="00994926" w:rsidP="00994926">
            <w:pPr>
              <w:pStyle w:val="SingleTxtG"/>
              <w:tabs>
                <w:tab w:val="clear" w:pos="1701"/>
                <w:tab w:val="clear" w:pos="2268"/>
                <w:tab w:val="clear" w:pos="2835"/>
              </w:tabs>
              <w:spacing w:before="40" w:after="40" w:line="220" w:lineRule="exact"/>
              <w:ind w:left="113" w:right="0"/>
              <w:jc w:val="right"/>
              <w:rPr>
                <w:sz w:val="18"/>
              </w:rPr>
            </w:pPr>
            <w:r w:rsidRPr="00D01775">
              <w:rPr>
                <w:sz w:val="18"/>
              </w:rPr>
              <w:t>86</w:t>
            </w:r>
          </w:p>
        </w:tc>
      </w:tr>
      <w:tr w:rsidR="00994926" w:rsidRPr="00D01775" w14:paraId="0917A895" w14:textId="77777777" w:rsidTr="00207489">
        <w:trPr>
          <w:trHeight w:val="240"/>
        </w:trPr>
        <w:tc>
          <w:tcPr>
            <w:tcW w:w="230" w:type="pct"/>
            <w:shd w:val="clear" w:color="auto" w:fill="auto"/>
          </w:tcPr>
          <w:p w14:paraId="11E064D0" w14:textId="77777777" w:rsidR="00994926" w:rsidRPr="00D01775" w:rsidRDefault="00994926" w:rsidP="00994926">
            <w:pPr>
              <w:pStyle w:val="SingleTxtG"/>
              <w:tabs>
                <w:tab w:val="clear" w:pos="1701"/>
                <w:tab w:val="clear" w:pos="2268"/>
                <w:tab w:val="clear" w:pos="2835"/>
              </w:tabs>
              <w:spacing w:before="40" w:after="40" w:line="220" w:lineRule="exact"/>
              <w:ind w:left="0" w:right="0"/>
              <w:jc w:val="left"/>
              <w:rPr>
                <w:sz w:val="18"/>
              </w:rPr>
            </w:pPr>
            <w:r w:rsidRPr="00D01775">
              <w:rPr>
                <w:sz w:val="18"/>
              </w:rPr>
              <w:t>2018</w:t>
            </w:r>
          </w:p>
        </w:tc>
        <w:tc>
          <w:tcPr>
            <w:tcW w:w="198" w:type="pct"/>
            <w:shd w:val="clear" w:color="auto" w:fill="auto"/>
            <w:tcMar>
              <w:right w:w="28" w:type="dxa"/>
            </w:tcMar>
            <w:vAlign w:val="bottom"/>
          </w:tcPr>
          <w:p w14:paraId="68882852" w14:textId="77777777" w:rsidR="00994926" w:rsidRPr="00D01775" w:rsidRDefault="00994926" w:rsidP="00994926">
            <w:pPr>
              <w:pStyle w:val="SingleTxtG"/>
              <w:tabs>
                <w:tab w:val="clear" w:pos="1701"/>
                <w:tab w:val="clear" w:pos="2268"/>
                <w:tab w:val="clear" w:pos="2835"/>
              </w:tabs>
              <w:spacing w:before="40" w:after="40" w:line="220" w:lineRule="exact"/>
              <w:ind w:left="113" w:right="0"/>
              <w:jc w:val="right"/>
              <w:rPr>
                <w:sz w:val="18"/>
              </w:rPr>
            </w:pPr>
            <w:r w:rsidRPr="00D01775">
              <w:rPr>
                <w:sz w:val="18"/>
              </w:rPr>
              <w:t>-</w:t>
            </w:r>
          </w:p>
        </w:tc>
        <w:tc>
          <w:tcPr>
            <w:tcW w:w="197" w:type="pct"/>
            <w:shd w:val="clear" w:color="auto" w:fill="auto"/>
            <w:tcMar>
              <w:right w:w="28" w:type="dxa"/>
            </w:tcMar>
            <w:vAlign w:val="bottom"/>
          </w:tcPr>
          <w:p w14:paraId="4A7FCACC" w14:textId="77777777" w:rsidR="00994926" w:rsidRPr="00D01775" w:rsidRDefault="00994926" w:rsidP="00994926">
            <w:pPr>
              <w:pStyle w:val="SingleTxtG"/>
              <w:tabs>
                <w:tab w:val="clear" w:pos="1701"/>
                <w:tab w:val="clear" w:pos="2268"/>
                <w:tab w:val="clear" w:pos="2835"/>
              </w:tabs>
              <w:spacing w:before="40" w:after="40" w:line="220" w:lineRule="exact"/>
              <w:ind w:left="113" w:right="0"/>
              <w:jc w:val="right"/>
              <w:rPr>
                <w:sz w:val="18"/>
              </w:rPr>
            </w:pPr>
            <w:r w:rsidRPr="00D01775">
              <w:rPr>
                <w:sz w:val="18"/>
              </w:rPr>
              <w:t>-</w:t>
            </w:r>
          </w:p>
        </w:tc>
        <w:tc>
          <w:tcPr>
            <w:tcW w:w="268" w:type="pct"/>
            <w:shd w:val="clear" w:color="auto" w:fill="auto"/>
            <w:vAlign w:val="bottom"/>
          </w:tcPr>
          <w:p w14:paraId="2393DB5D" w14:textId="77777777" w:rsidR="00994926" w:rsidRPr="00D01775" w:rsidRDefault="00994926" w:rsidP="00994926">
            <w:pPr>
              <w:pStyle w:val="SingleTxtG"/>
              <w:tabs>
                <w:tab w:val="clear" w:pos="1701"/>
                <w:tab w:val="clear" w:pos="2268"/>
                <w:tab w:val="clear" w:pos="2835"/>
              </w:tabs>
              <w:spacing w:before="40" w:after="40" w:line="220" w:lineRule="exact"/>
              <w:ind w:left="113" w:right="0"/>
              <w:jc w:val="right"/>
              <w:rPr>
                <w:sz w:val="18"/>
              </w:rPr>
            </w:pPr>
            <w:r w:rsidRPr="00D01775">
              <w:rPr>
                <w:sz w:val="18"/>
              </w:rPr>
              <w:t>-</w:t>
            </w:r>
          </w:p>
        </w:tc>
        <w:tc>
          <w:tcPr>
            <w:tcW w:w="172" w:type="pct"/>
            <w:shd w:val="clear" w:color="auto" w:fill="auto"/>
            <w:tcMar>
              <w:right w:w="28" w:type="dxa"/>
            </w:tcMar>
            <w:vAlign w:val="bottom"/>
          </w:tcPr>
          <w:p w14:paraId="7A533DCC" w14:textId="77777777" w:rsidR="00994926" w:rsidRPr="00D01775" w:rsidRDefault="00994926" w:rsidP="00994926">
            <w:pPr>
              <w:pStyle w:val="SingleTxtG"/>
              <w:tabs>
                <w:tab w:val="clear" w:pos="1701"/>
                <w:tab w:val="clear" w:pos="2268"/>
                <w:tab w:val="clear" w:pos="2835"/>
              </w:tabs>
              <w:spacing w:before="40" w:after="40" w:line="220" w:lineRule="exact"/>
              <w:ind w:left="113" w:right="0"/>
              <w:jc w:val="right"/>
              <w:rPr>
                <w:sz w:val="18"/>
              </w:rPr>
            </w:pPr>
            <w:r w:rsidRPr="00D01775">
              <w:rPr>
                <w:sz w:val="18"/>
              </w:rPr>
              <w:t>-</w:t>
            </w:r>
          </w:p>
        </w:tc>
        <w:tc>
          <w:tcPr>
            <w:tcW w:w="191" w:type="pct"/>
            <w:shd w:val="clear" w:color="auto" w:fill="auto"/>
            <w:vAlign w:val="bottom"/>
          </w:tcPr>
          <w:p w14:paraId="6676B218" w14:textId="77777777" w:rsidR="00994926" w:rsidRPr="00D01775" w:rsidRDefault="00994926" w:rsidP="00994926">
            <w:pPr>
              <w:pStyle w:val="SingleTxtG"/>
              <w:tabs>
                <w:tab w:val="clear" w:pos="1701"/>
                <w:tab w:val="clear" w:pos="2268"/>
                <w:tab w:val="clear" w:pos="2835"/>
              </w:tabs>
              <w:spacing w:before="40" w:after="40" w:line="220" w:lineRule="exact"/>
              <w:ind w:left="113" w:right="0"/>
              <w:jc w:val="right"/>
              <w:rPr>
                <w:sz w:val="18"/>
              </w:rPr>
            </w:pPr>
            <w:r w:rsidRPr="00D01775">
              <w:rPr>
                <w:sz w:val="18"/>
              </w:rPr>
              <w:t>-</w:t>
            </w:r>
          </w:p>
        </w:tc>
        <w:tc>
          <w:tcPr>
            <w:tcW w:w="217" w:type="pct"/>
            <w:shd w:val="clear" w:color="auto" w:fill="auto"/>
            <w:tcMar>
              <w:right w:w="28" w:type="dxa"/>
            </w:tcMar>
            <w:vAlign w:val="bottom"/>
          </w:tcPr>
          <w:p w14:paraId="729B2DA3" w14:textId="77777777" w:rsidR="00994926" w:rsidRPr="00D01775" w:rsidRDefault="00994926" w:rsidP="00994926">
            <w:pPr>
              <w:pStyle w:val="SingleTxtG"/>
              <w:tabs>
                <w:tab w:val="clear" w:pos="1701"/>
                <w:tab w:val="clear" w:pos="2268"/>
                <w:tab w:val="clear" w:pos="2835"/>
              </w:tabs>
              <w:spacing w:before="40" w:after="40" w:line="220" w:lineRule="exact"/>
              <w:ind w:left="113" w:right="0"/>
              <w:jc w:val="right"/>
              <w:rPr>
                <w:sz w:val="18"/>
              </w:rPr>
            </w:pPr>
            <w:r w:rsidRPr="00D01775">
              <w:rPr>
                <w:sz w:val="18"/>
              </w:rPr>
              <w:t>-</w:t>
            </w:r>
          </w:p>
        </w:tc>
        <w:tc>
          <w:tcPr>
            <w:tcW w:w="189" w:type="pct"/>
            <w:shd w:val="clear" w:color="auto" w:fill="auto"/>
            <w:tcMar>
              <w:right w:w="28" w:type="dxa"/>
            </w:tcMar>
            <w:vAlign w:val="bottom"/>
          </w:tcPr>
          <w:p w14:paraId="4632CE22" w14:textId="77777777" w:rsidR="00994926" w:rsidRPr="00D01775" w:rsidRDefault="00994926" w:rsidP="00994926">
            <w:pPr>
              <w:pStyle w:val="SingleTxtG"/>
              <w:tabs>
                <w:tab w:val="clear" w:pos="1701"/>
                <w:tab w:val="clear" w:pos="2268"/>
                <w:tab w:val="clear" w:pos="2835"/>
              </w:tabs>
              <w:spacing w:before="40" w:after="40" w:line="220" w:lineRule="exact"/>
              <w:ind w:left="113" w:right="0"/>
              <w:jc w:val="right"/>
              <w:rPr>
                <w:sz w:val="18"/>
              </w:rPr>
            </w:pPr>
            <w:r w:rsidRPr="00D01775">
              <w:rPr>
                <w:sz w:val="18"/>
              </w:rPr>
              <w:t>9</w:t>
            </w:r>
          </w:p>
        </w:tc>
        <w:tc>
          <w:tcPr>
            <w:tcW w:w="189" w:type="pct"/>
            <w:shd w:val="clear" w:color="auto" w:fill="auto"/>
            <w:tcMar>
              <w:right w:w="28" w:type="dxa"/>
            </w:tcMar>
            <w:vAlign w:val="bottom"/>
          </w:tcPr>
          <w:p w14:paraId="261ADB60" w14:textId="77777777" w:rsidR="00994926" w:rsidRPr="00D01775" w:rsidRDefault="00994926" w:rsidP="00994926">
            <w:pPr>
              <w:pStyle w:val="SingleTxtG"/>
              <w:tabs>
                <w:tab w:val="clear" w:pos="1701"/>
                <w:tab w:val="clear" w:pos="2268"/>
                <w:tab w:val="clear" w:pos="2835"/>
              </w:tabs>
              <w:spacing w:before="40" w:after="40" w:line="220" w:lineRule="exact"/>
              <w:ind w:left="113" w:right="0"/>
              <w:jc w:val="right"/>
              <w:rPr>
                <w:sz w:val="18"/>
              </w:rPr>
            </w:pPr>
            <w:r w:rsidRPr="00D01775">
              <w:rPr>
                <w:sz w:val="18"/>
              </w:rPr>
              <w:t>1</w:t>
            </w:r>
          </w:p>
        </w:tc>
        <w:tc>
          <w:tcPr>
            <w:tcW w:w="189" w:type="pct"/>
            <w:vAlign w:val="bottom"/>
          </w:tcPr>
          <w:p w14:paraId="0AC6A1F1" w14:textId="227EBFAF" w:rsidR="00994926" w:rsidRPr="00D01775" w:rsidRDefault="00994926" w:rsidP="00994926">
            <w:pPr>
              <w:pStyle w:val="SingleTxtG"/>
              <w:tabs>
                <w:tab w:val="clear" w:pos="1701"/>
                <w:tab w:val="clear" w:pos="2268"/>
                <w:tab w:val="clear" w:pos="2835"/>
              </w:tabs>
              <w:spacing w:before="40" w:after="40" w:line="220" w:lineRule="exact"/>
              <w:ind w:left="113" w:right="0"/>
              <w:jc w:val="right"/>
              <w:rPr>
                <w:sz w:val="18"/>
              </w:rPr>
            </w:pPr>
            <w:r w:rsidRPr="00D01775">
              <w:rPr>
                <w:sz w:val="18"/>
              </w:rPr>
              <w:t>-</w:t>
            </w:r>
          </w:p>
        </w:tc>
        <w:tc>
          <w:tcPr>
            <w:tcW w:w="189" w:type="pct"/>
            <w:shd w:val="clear" w:color="auto" w:fill="auto"/>
            <w:tcMar>
              <w:right w:w="28" w:type="dxa"/>
            </w:tcMar>
            <w:vAlign w:val="bottom"/>
          </w:tcPr>
          <w:p w14:paraId="6F5EB05D" w14:textId="6D4BAA06" w:rsidR="00994926" w:rsidRPr="00D01775" w:rsidRDefault="00994926" w:rsidP="00994926">
            <w:pPr>
              <w:pStyle w:val="SingleTxtG"/>
              <w:tabs>
                <w:tab w:val="clear" w:pos="1701"/>
                <w:tab w:val="clear" w:pos="2268"/>
                <w:tab w:val="clear" w:pos="2835"/>
              </w:tabs>
              <w:spacing w:before="40" w:after="40" w:line="220" w:lineRule="exact"/>
              <w:ind w:left="113" w:right="0"/>
              <w:jc w:val="right"/>
              <w:rPr>
                <w:sz w:val="18"/>
              </w:rPr>
            </w:pPr>
            <w:r w:rsidRPr="00D01775">
              <w:rPr>
                <w:sz w:val="18"/>
              </w:rPr>
              <w:t>14</w:t>
            </w:r>
          </w:p>
        </w:tc>
        <w:tc>
          <w:tcPr>
            <w:tcW w:w="213" w:type="pct"/>
            <w:shd w:val="clear" w:color="auto" w:fill="auto"/>
            <w:tcMar>
              <w:right w:w="28" w:type="dxa"/>
            </w:tcMar>
            <w:vAlign w:val="bottom"/>
          </w:tcPr>
          <w:p w14:paraId="1EA0CC5C" w14:textId="77777777" w:rsidR="00994926" w:rsidRPr="00D01775" w:rsidRDefault="00994926" w:rsidP="00994926">
            <w:pPr>
              <w:pStyle w:val="SingleTxtG"/>
              <w:tabs>
                <w:tab w:val="clear" w:pos="1701"/>
                <w:tab w:val="clear" w:pos="2268"/>
                <w:tab w:val="clear" w:pos="2835"/>
              </w:tabs>
              <w:spacing w:before="40" w:after="40" w:line="220" w:lineRule="exact"/>
              <w:ind w:left="113" w:right="0"/>
              <w:jc w:val="right"/>
              <w:rPr>
                <w:sz w:val="18"/>
              </w:rPr>
            </w:pPr>
            <w:r w:rsidRPr="00D01775">
              <w:rPr>
                <w:sz w:val="18"/>
              </w:rPr>
              <w:t>50</w:t>
            </w:r>
          </w:p>
        </w:tc>
        <w:tc>
          <w:tcPr>
            <w:tcW w:w="189" w:type="pct"/>
            <w:shd w:val="clear" w:color="auto" w:fill="auto"/>
            <w:tcMar>
              <w:right w:w="28" w:type="dxa"/>
            </w:tcMar>
            <w:vAlign w:val="bottom"/>
          </w:tcPr>
          <w:p w14:paraId="19CCA08B" w14:textId="77777777" w:rsidR="00994926" w:rsidRPr="00D01775" w:rsidRDefault="00994926" w:rsidP="00994926">
            <w:pPr>
              <w:pStyle w:val="SingleTxtG"/>
              <w:tabs>
                <w:tab w:val="clear" w:pos="1701"/>
                <w:tab w:val="clear" w:pos="2268"/>
                <w:tab w:val="clear" w:pos="2835"/>
              </w:tabs>
              <w:spacing w:before="40" w:after="40" w:line="220" w:lineRule="exact"/>
              <w:ind w:left="113" w:right="0"/>
              <w:jc w:val="right"/>
              <w:rPr>
                <w:sz w:val="18"/>
              </w:rPr>
            </w:pPr>
            <w:r w:rsidRPr="00D01775">
              <w:rPr>
                <w:sz w:val="18"/>
              </w:rPr>
              <w:t>-</w:t>
            </w:r>
          </w:p>
        </w:tc>
        <w:tc>
          <w:tcPr>
            <w:tcW w:w="189" w:type="pct"/>
            <w:shd w:val="clear" w:color="auto" w:fill="auto"/>
            <w:tcMar>
              <w:right w:w="28" w:type="dxa"/>
            </w:tcMar>
            <w:vAlign w:val="bottom"/>
          </w:tcPr>
          <w:p w14:paraId="5A37B409" w14:textId="77777777" w:rsidR="00994926" w:rsidRPr="00D01775" w:rsidRDefault="00994926" w:rsidP="00994926">
            <w:pPr>
              <w:pStyle w:val="SingleTxtG"/>
              <w:tabs>
                <w:tab w:val="clear" w:pos="1701"/>
                <w:tab w:val="clear" w:pos="2268"/>
                <w:tab w:val="clear" w:pos="2835"/>
              </w:tabs>
              <w:spacing w:before="40" w:after="40" w:line="220" w:lineRule="exact"/>
              <w:ind w:left="113" w:right="0"/>
              <w:jc w:val="right"/>
              <w:rPr>
                <w:sz w:val="18"/>
              </w:rPr>
            </w:pPr>
            <w:r w:rsidRPr="00D01775">
              <w:rPr>
                <w:sz w:val="18"/>
              </w:rPr>
              <w:t>-</w:t>
            </w:r>
          </w:p>
        </w:tc>
        <w:tc>
          <w:tcPr>
            <w:tcW w:w="188" w:type="pct"/>
            <w:shd w:val="clear" w:color="auto" w:fill="auto"/>
            <w:vAlign w:val="bottom"/>
          </w:tcPr>
          <w:p w14:paraId="2602984F" w14:textId="77777777" w:rsidR="00994926" w:rsidRPr="00D01775" w:rsidRDefault="00994926" w:rsidP="00994926">
            <w:pPr>
              <w:pStyle w:val="SingleTxtG"/>
              <w:tabs>
                <w:tab w:val="clear" w:pos="1701"/>
                <w:tab w:val="clear" w:pos="2268"/>
                <w:tab w:val="clear" w:pos="2835"/>
              </w:tabs>
              <w:spacing w:before="40" w:after="40" w:line="220" w:lineRule="exact"/>
              <w:ind w:left="113" w:right="0"/>
              <w:jc w:val="right"/>
              <w:rPr>
                <w:sz w:val="18"/>
              </w:rPr>
            </w:pPr>
            <w:r w:rsidRPr="00D01775">
              <w:rPr>
                <w:sz w:val="18"/>
              </w:rPr>
              <w:t>-</w:t>
            </w:r>
          </w:p>
        </w:tc>
        <w:tc>
          <w:tcPr>
            <w:tcW w:w="189" w:type="pct"/>
            <w:vAlign w:val="bottom"/>
          </w:tcPr>
          <w:p w14:paraId="44BB8846" w14:textId="3B689574" w:rsidR="00994926" w:rsidRPr="00D01775" w:rsidRDefault="00994926" w:rsidP="00994926">
            <w:pPr>
              <w:pStyle w:val="SingleTxtG"/>
              <w:tabs>
                <w:tab w:val="clear" w:pos="1701"/>
                <w:tab w:val="clear" w:pos="2268"/>
                <w:tab w:val="clear" w:pos="2835"/>
              </w:tabs>
              <w:spacing w:before="40" w:after="40" w:line="220" w:lineRule="exact"/>
              <w:ind w:left="113" w:right="0"/>
              <w:jc w:val="right"/>
              <w:rPr>
                <w:sz w:val="18"/>
              </w:rPr>
            </w:pPr>
            <w:r w:rsidRPr="00D01775">
              <w:rPr>
                <w:sz w:val="18"/>
              </w:rPr>
              <w:t>-</w:t>
            </w:r>
          </w:p>
        </w:tc>
        <w:tc>
          <w:tcPr>
            <w:tcW w:w="189" w:type="pct"/>
            <w:shd w:val="clear" w:color="auto" w:fill="auto"/>
            <w:tcMar>
              <w:right w:w="28" w:type="dxa"/>
            </w:tcMar>
            <w:vAlign w:val="bottom"/>
          </w:tcPr>
          <w:p w14:paraId="4C99DCC6" w14:textId="6AF7EFE8" w:rsidR="00994926" w:rsidRPr="00D01775" w:rsidRDefault="00994926" w:rsidP="00994926">
            <w:pPr>
              <w:pStyle w:val="SingleTxtG"/>
              <w:tabs>
                <w:tab w:val="clear" w:pos="1701"/>
                <w:tab w:val="clear" w:pos="2268"/>
                <w:tab w:val="clear" w:pos="2835"/>
              </w:tabs>
              <w:spacing w:before="40" w:after="40" w:line="220" w:lineRule="exact"/>
              <w:ind w:left="113" w:right="0"/>
              <w:jc w:val="right"/>
              <w:rPr>
                <w:sz w:val="18"/>
              </w:rPr>
            </w:pPr>
            <w:r w:rsidRPr="00D01775">
              <w:rPr>
                <w:sz w:val="18"/>
              </w:rPr>
              <w:t>-</w:t>
            </w:r>
          </w:p>
        </w:tc>
        <w:tc>
          <w:tcPr>
            <w:tcW w:w="213" w:type="pct"/>
            <w:shd w:val="clear" w:color="auto" w:fill="auto"/>
            <w:tcMar>
              <w:right w:w="28" w:type="dxa"/>
            </w:tcMar>
            <w:vAlign w:val="bottom"/>
          </w:tcPr>
          <w:p w14:paraId="45B77C1C" w14:textId="77777777" w:rsidR="00994926" w:rsidRPr="00D01775" w:rsidRDefault="00994926" w:rsidP="00994926">
            <w:pPr>
              <w:pStyle w:val="SingleTxtG"/>
              <w:tabs>
                <w:tab w:val="clear" w:pos="1701"/>
                <w:tab w:val="clear" w:pos="2268"/>
                <w:tab w:val="clear" w:pos="2835"/>
              </w:tabs>
              <w:spacing w:before="40" w:after="40" w:line="220" w:lineRule="exact"/>
              <w:ind w:left="113" w:right="0"/>
              <w:jc w:val="right"/>
              <w:rPr>
                <w:sz w:val="18"/>
              </w:rPr>
            </w:pPr>
            <w:r w:rsidRPr="00D01775">
              <w:rPr>
                <w:sz w:val="18"/>
              </w:rPr>
              <w:t>42</w:t>
            </w:r>
          </w:p>
        </w:tc>
        <w:tc>
          <w:tcPr>
            <w:tcW w:w="188" w:type="pct"/>
            <w:shd w:val="clear" w:color="auto" w:fill="auto"/>
            <w:vAlign w:val="bottom"/>
          </w:tcPr>
          <w:p w14:paraId="2ECB6676" w14:textId="77777777" w:rsidR="00994926" w:rsidRPr="00D01775" w:rsidRDefault="00994926" w:rsidP="00994926">
            <w:pPr>
              <w:pStyle w:val="SingleTxtG"/>
              <w:tabs>
                <w:tab w:val="clear" w:pos="1701"/>
                <w:tab w:val="clear" w:pos="2268"/>
                <w:tab w:val="clear" w:pos="2835"/>
              </w:tabs>
              <w:spacing w:before="40" w:after="40" w:line="220" w:lineRule="exact"/>
              <w:ind w:left="113" w:right="0"/>
              <w:jc w:val="right"/>
              <w:rPr>
                <w:sz w:val="18"/>
              </w:rPr>
            </w:pPr>
            <w:r w:rsidRPr="00D01775">
              <w:rPr>
                <w:sz w:val="18"/>
              </w:rPr>
              <w:t>-</w:t>
            </w:r>
          </w:p>
        </w:tc>
        <w:tc>
          <w:tcPr>
            <w:tcW w:w="188" w:type="pct"/>
            <w:shd w:val="clear" w:color="auto" w:fill="auto"/>
            <w:vAlign w:val="bottom"/>
          </w:tcPr>
          <w:p w14:paraId="4C26986E" w14:textId="77777777" w:rsidR="00994926" w:rsidRPr="00D01775" w:rsidRDefault="00994926" w:rsidP="00994926">
            <w:pPr>
              <w:pStyle w:val="SingleTxtG"/>
              <w:tabs>
                <w:tab w:val="clear" w:pos="1701"/>
                <w:tab w:val="clear" w:pos="2268"/>
                <w:tab w:val="clear" w:pos="2835"/>
              </w:tabs>
              <w:spacing w:before="40" w:after="40" w:line="220" w:lineRule="exact"/>
              <w:ind w:left="113" w:right="0"/>
              <w:jc w:val="right"/>
              <w:rPr>
                <w:sz w:val="18"/>
              </w:rPr>
            </w:pPr>
            <w:r w:rsidRPr="00D01775">
              <w:rPr>
                <w:sz w:val="18"/>
              </w:rPr>
              <w:t>-</w:t>
            </w:r>
          </w:p>
        </w:tc>
        <w:tc>
          <w:tcPr>
            <w:tcW w:w="188" w:type="pct"/>
            <w:shd w:val="clear" w:color="auto" w:fill="auto"/>
            <w:vAlign w:val="bottom"/>
          </w:tcPr>
          <w:p w14:paraId="7FB28C73" w14:textId="77777777" w:rsidR="00994926" w:rsidRPr="00D01775" w:rsidRDefault="00994926" w:rsidP="00994926">
            <w:pPr>
              <w:pStyle w:val="SingleTxtG"/>
              <w:tabs>
                <w:tab w:val="clear" w:pos="1701"/>
                <w:tab w:val="clear" w:pos="2268"/>
                <w:tab w:val="clear" w:pos="2835"/>
              </w:tabs>
              <w:spacing w:before="40" w:after="40" w:line="220" w:lineRule="exact"/>
              <w:ind w:left="113" w:right="0"/>
              <w:jc w:val="right"/>
              <w:rPr>
                <w:sz w:val="18"/>
              </w:rPr>
            </w:pPr>
            <w:r w:rsidRPr="00D01775">
              <w:rPr>
                <w:sz w:val="18"/>
              </w:rPr>
              <w:t>-</w:t>
            </w:r>
          </w:p>
        </w:tc>
        <w:tc>
          <w:tcPr>
            <w:tcW w:w="189" w:type="pct"/>
            <w:shd w:val="clear" w:color="auto" w:fill="auto"/>
            <w:tcMar>
              <w:right w:w="28" w:type="dxa"/>
            </w:tcMar>
            <w:vAlign w:val="bottom"/>
          </w:tcPr>
          <w:p w14:paraId="7FC30578" w14:textId="77777777" w:rsidR="00994926" w:rsidRPr="00D01775" w:rsidRDefault="00994926" w:rsidP="00994926">
            <w:pPr>
              <w:pStyle w:val="SingleTxtG"/>
              <w:tabs>
                <w:tab w:val="clear" w:pos="1701"/>
                <w:tab w:val="clear" w:pos="2268"/>
                <w:tab w:val="clear" w:pos="2835"/>
              </w:tabs>
              <w:spacing w:before="40" w:after="40" w:line="220" w:lineRule="exact"/>
              <w:ind w:left="113" w:right="0"/>
              <w:jc w:val="right"/>
              <w:rPr>
                <w:sz w:val="18"/>
              </w:rPr>
            </w:pPr>
            <w:r w:rsidRPr="00D01775">
              <w:rPr>
                <w:sz w:val="18"/>
              </w:rPr>
              <w:t>-</w:t>
            </w:r>
          </w:p>
        </w:tc>
        <w:tc>
          <w:tcPr>
            <w:tcW w:w="189" w:type="pct"/>
            <w:shd w:val="clear" w:color="auto" w:fill="auto"/>
            <w:tcMar>
              <w:right w:w="28" w:type="dxa"/>
            </w:tcMar>
            <w:vAlign w:val="bottom"/>
          </w:tcPr>
          <w:p w14:paraId="140B8508" w14:textId="77777777" w:rsidR="00994926" w:rsidRPr="00D01775" w:rsidRDefault="00994926" w:rsidP="00994926">
            <w:pPr>
              <w:pStyle w:val="SingleTxtG"/>
              <w:tabs>
                <w:tab w:val="clear" w:pos="1701"/>
                <w:tab w:val="clear" w:pos="2268"/>
                <w:tab w:val="clear" w:pos="2835"/>
              </w:tabs>
              <w:spacing w:before="40" w:after="40" w:line="220" w:lineRule="exact"/>
              <w:ind w:left="113" w:right="0"/>
              <w:jc w:val="right"/>
              <w:rPr>
                <w:sz w:val="18"/>
              </w:rPr>
            </w:pPr>
            <w:r w:rsidRPr="00D01775">
              <w:rPr>
                <w:sz w:val="18"/>
              </w:rPr>
              <w:t>2</w:t>
            </w:r>
          </w:p>
        </w:tc>
        <w:tc>
          <w:tcPr>
            <w:tcW w:w="168" w:type="pct"/>
            <w:shd w:val="clear" w:color="auto" w:fill="auto"/>
            <w:tcMar>
              <w:right w:w="28" w:type="dxa"/>
            </w:tcMar>
            <w:vAlign w:val="bottom"/>
          </w:tcPr>
          <w:p w14:paraId="18FB495E" w14:textId="77777777" w:rsidR="00994926" w:rsidRPr="00D01775" w:rsidRDefault="00994926" w:rsidP="00994926">
            <w:pPr>
              <w:pStyle w:val="SingleTxtG"/>
              <w:tabs>
                <w:tab w:val="clear" w:pos="1701"/>
                <w:tab w:val="clear" w:pos="2268"/>
                <w:tab w:val="clear" w:pos="2835"/>
              </w:tabs>
              <w:spacing w:before="40" w:after="40" w:line="220" w:lineRule="exact"/>
              <w:ind w:left="113" w:right="0"/>
              <w:jc w:val="right"/>
              <w:rPr>
                <w:sz w:val="18"/>
              </w:rPr>
            </w:pPr>
            <w:r w:rsidRPr="00D01775">
              <w:rPr>
                <w:sz w:val="18"/>
              </w:rPr>
              <w:t>-</w:t>
            </w:r>
          </w:p>
        </w:tc>
        <w:tc>
          <w:tcPr>
            <w:tcW w:w="295" w:type="pct"/>
            <w:shd w:val="clear" w:color="auto" w:fill="auto"/>
            <w:tcMar>
              <w:right w:w="28" w:type="dxa"/>
            </w:tcMar>
            <w:vAlign w:val="bottom"/>
          </w:tcPr>
          <w:p w14:paraId="7B3A5D3B" w14:textId="77777777" w:rsidR="00994926" w:rsidRPr="00D01775" w:rsidRDefault="00994926" w:rsidP="00994926">
            <w:pPr>
              <w:pStyle w:val="SingleTxtG"/>
              <w:tabs>
                <w:tab w:val="clear" w:pos="1701"/>
                <w:tab w:val="clear" w:pos="2268"/>
                <w:tab w:val="clear" w:pos="2835"/>
              </w:tabs>
              <w:spacing w:before="40" w:after="40" w:line="220" w:lineRule="exact"/>
              <w:ind w:left="113" w:right="0"/>
              <w:jc w:val="right"/>
              <w:rPr>
                <w:sz w:val="18"/>
              </w:rPr>
            </w:pPr>
            <w:r w:rsidRPr="00D01775">
              <w:rPr>
                <w:sz w:val="18"/>
              </w:rPr>
              <w:t>118</w:t>
            </w:r>
          </w:p>
        </w:tc>
      </w:tr>
      <w:tr w:rsidR="00994926" w:rsidRPr="00D01775" w14:paraId="1BC4445F" w14:textId="77777777" w:rsidTr="00207489">
        <w:trPr>
          <w:trHeight w:val="240"/>
        </w:trPr>
        <w:tc>
          <w:tcPr>
            <w:tcW w:w="230" w:type="pct"/>
            <w:shd w:val="clear" w:color="auto" w:fill="auto"/>
          </w:tcPr>
          <w:p w14:paraId="6BAB1140" w14:textId="77777777" w:rsidR="00994926" w:rsidRPr="00D01775" w:rsidRDefault="00994926" w:rsidP="00994926">
            <w:pPr>
              <w:pStyle w:val="SingleTxtG"/>
              <w:tabs>
                <w:tab w:val="clear" w:pos="1701"/>
                <w:tab w:val="clear" w:pos="2268"/>
                <w:tab w:val="clear" w:pos="2835"/>
              </w:tabs>
              <w:spacing w:before="40" w:after="40" w:line="220" w:lineRule="exact"/>
              <w:ind w:left="0" w:right="0"/>
              <w:jc w:val="left"/>
              <w:rPr>
                <w:sz w:val="18"/>
              </w:rPr>
            </w:pPr>
            <w:r w:rsidRPr="00D01775">
              <w:rPr>
                <w:sz w:val="18"/>
              </w:rPr>
              <w:t>2019</w:t>
            </w:r>
          </w:p>
        </w:tc>
        <w:tc>
          <w:tcPr>
            <w:tcW w:w="198" w:type="pct"/>
            <w:shd w:val="clear" w:color="auto" w:fill="auto"/>
            <w:tcMar>
              <w:right w:w="28" w:type="dxa"/>
            </w:tcMar>
            <w:vAlign w:val="bottom"/>
          </w:tcPr>
          <w:p w14:paraId="1CC1BC23" w14:textId="77777777" w:rsidR="00994926" w:rsidRPr="00D01775" w:rsidRDefault="00994926" w:rsidP="00994926">
            <w:pPr>
              <w:pStyle w:val="SingleTxtG"/>
              <w:tabs>
                <w:tab w:val="clear" w:pos="1701"/>
                <w:tab w:val="clear" w:pos="2268"/>
                <w:tab w:val="clear" w:pos="2835"/>
              </w:tabs>
              <w:spacing w:before="40" w:after="40" w:line="220" w:lineRule="exact"/>
              <w:ind w:left="113" w:right="0"/>
              <w:jc w:val="right"/>
              <w:rPr>
                <w:sz w:val="18"/>
              </w:rPr>
            </w:pPr>
            <w:r w:rsidRPr="00D01775">
              <w:rPr>
                <w:sz w:val="18"/>
              </w:rPr>
              <w:t>-</w:t>
            </w:r>
          </w:p>
        </w:tc>
        <w:tc>
          <w:tcPr>
            <w:tcW w:w="197" w:type="pct"/>
            <w:shd w:val="clear" w:color="auto" w:fill="auto"/>
            <w:tcMar>
              <w:right w:w="28" w:type="dxa"/>
            </w:tcMar>
            <w:vAlign w:val="bottom"/>
          </w:tcPr>
          <w:p w14:paraId="4F5B562B" w14:textId="77777777" w:rsidR="00994926" w:rsidRPr="00D01775" w:rsidRDefault="00994926" w:rsidP="00994926">
            <w:pPr>
              <w:pStyle w:val="SingleTxtG"/>
              <w:tabs>
                <w:tab w:val="clear" w:pos="1701"/>
                <w:tab w:val="clear" w:pos="2268"/>
                <w:tab w:val="clear" w:pos="2835"/>
              </w:tabs>
              <w:spacing w:before="40" w:after="40" w:line="220" w:lineRule="exact"/>
              <w:ind w:left="113" w:right="0"/>
              <w:jc w:val="right"/>
              <w:rPr>
                <w:sz w:val="18"/>
              </w:rPr>
            </w:pPr>
            <w:r w:rsidRPr="00D01775">
              <w:rPr>
                <w:sz w:val="18"/>
              </w:rPr>
              <w:t>-</w:t>
            </w:r>
          </w:p>
        </w:tc>
        <w:tc>
          <w:tcPr>
            <w:tcW w:w="268" w:type="pct"/>
            <w:shd w:val="clear" w:color="auto" w:fill="auto"/>
            <w:vAlign w:val="bottom"/>
          </w:tcPr>
          <w:p w14:paraId="7E058616" w14:textId="77777777" w:rsidR="00994926" w:rsidRPr="00D01775" w:rsidRDefault="00994926" w:rsidP="00994926">
            <w:pPr>
              <w:pStyle w:val="SingleTxtG"/>
              <w:tabs>
                <w:tab w:val="clear" w:pos="1701"/>
                <w:tab w:val="clear" w:pos="2268"/>
                <w:tab w:val="clear" w:pos="2835"/>
              </w:tabs>
              <w:spacing w:before="40" w:after="40" w:line="220" w:lineRule="exact"/>
              <w:ind w:left="113" w:right="0"/>
              <w:jc w:val="right"/>
              <w:rPr>
                <w:sz w:val="18"/>
              </w:rPr>
            </w:pPr>
            <w:r w:rsidRPr="00D01775">
              <w:rPr>
                <w:sz w:val="18"/>
              </w:rPr>
              <w:t>1</w:t>
            </w:r>
          </w:p>
        </w:tc>
        <w:tc>
          <w:tcPr>
            <w:tcW w:w="172" w:type="pct"/>
            <w:shd w:val="clear" w:color="auto" w:fill="auto"/>
            <w:tcMar>
              <w:right w:w="28" w:type="dxa"/>
            </w:tcMar>
            <w:vAlign w:val="bottom"/>
          </w:tcPr>
          <w:p w14:paraId="34F5EB5C" w14:textId="77777777" w:rsidR="00994926" w:rsidRPr="00D01775" w:rsidRDefault="00994926" w:rsidP="00994926">
            <w:pPr>
              <w:pStyle w:val="SingleTxtG"/>
              <w:tabs>
                <w:tab w:val="clear" w:pos="1701"/>
                <w:tab w:val="clear" w:pos="2268"/>
                <w:tab w:val="clear" w:pos="2835"/>
              </w:tabs>
              <w:spacing w:before="40" w:after="40" w:line="220" w:lineRule="exact"/>
              <w:ind w:left="113" w:right="0"/>
              <w:jc w:val="right"/>
              <w:rPr>
                <w:sz w:val="18"/>
              </w:rPr>
            </w:pPr>
            <w:r w:rsidRPr="00D01775">
              <w:rPr>
                <w:sz w:val="18"/>
              </w:rPr>
              <w:t>-</w:t>
            </w:r>
          </w:p>
        </w:tc>
        <w:tc>
          <w:tcPr>
            <w:tcW w:w="191" w:type="pct"/>
            <w:shd w:val="clear" w:color="auto" w:fill="auto"/>
            <w:vAlign w:val="bottom"/>
          </w:tcPr>
          <w:p w14:paraId="5952FB84" w14:textId="77777777" w:rsidR="00994926" w:rsidRPr="00D01775" w:rsidRDefault="00994926" w:rsidP="00994926">
            <w:pPr>
              <w:pStyle w:val="SingleTxtG"/>
              <w:tabs>
                <w:tab w:val="clear" w:pos="1701"/>
                <w:tab w:val="clear" w:pos="2268"/>
                <w:tab w:val="clear" w:pos="2835"/>
              </w:tabs>
              <w:spacing w:before="40" w:after="40" w:line="220" w:lineRule="exact"/>
              <w:ind w:left="113" w:right="0"/>
              <w:jc w:val="right"/>
              <w:rPr>
                <w:sz w:val="18"/>
              </w:rPr>
            </w:pPr>
            <w:r w:rsidRPr="00D01775">
              <w:rPr>
                <w:sz w:val="18"/>
              </w:rPr>
              <w:t>-</w:t>
            </w:r>
          </w:p>
        </w:tc>
        <w:tc>
          <w:tcPr>
            <w:tcW w:w="217" w:type="pct"/>
            <w:shd w:val="clear" w:color="auto" w:fill="auto"/>
            <w:tcMar>
              <w:right w:w="28" w:type="dxa"/>
            </w:tcMar>
            <w:vAlign w:val="bottom"/>
          </w:tcPr>
          <w:p w14:paraId="5F87E1A6" w14:textId="77777777" w:rsidR="00994926" w:rsidRPr="00D01775" w:rsidRDefault="00994926" w:rsidP="00994926">
            <w:pPr>
              <w:pStyle w:val="SingleTxtG"/>
              <w:tabs>
                <w:tab w:val="clear" w:pos="1701"/>
                <w:tab w:val="clear" w:pos="2268"/>
                <w:tab w:val="clear" w:pos="2835"/>
              </w:tabs>
              <w:spacing w:before="40" w:after="40" w:line="220" w:lineRule="exact"/>
              <w:ind w:left="113" w:right="0"/>
              <w:jc w:val="right"/>
              <w:rPr>
                <w:sz w:val="18"/>
              </w:rPr>
            </w:pPr>
            <w:r w:rsidRPr="00D01775">
              <w:rPr>
                <w:sz w:val="18"/>
              </w:rPr>
              <w:t>2</w:t>
            </w:r>
          </w:p>
        </w:tc>
        <w:tc>
          <w:tcPr>
            <w:tcW w:w="189" w:type="pct"/>
            <w:shd w:val="clear" w:color="auto" w:fill="auto"/>
            <w:tcMar>
              <w:right w:w="28" w:type="dxa"/>
            </w:tcMar>
            <w:vAlign w:val="bottom"/>
          </w:tcPr>
          <w:p w14:paraId="7AE89051" w14:textId="77777777" w:rsidR="00994926" w:rsidRPr="00D01775" w:rsidRDefault="00994926" w:rsidP="00994926">
            <w:pPr>
              <w:pStyle w:val="SingleTxtG"/>
              <w:tabs>
                <w:tab w:val="clear" w:pos="1701"/>
                <w:tab w:val="clear" w:pos="2268"/>
                <w:tab w:val="clear" w:pos="2835"/>
              </w:tabs>
              <w:spacing w:before="40" w:after="40" w:line="220" w:lineRule="exact"/>
              <w:ind w:left="113" w:right="0"/>
              <w:jc w:val="right"/>
              <w:rPr>
                <w:sz w:val="18"/>
              </w:rPr>
            </w:pPr>
            <w:r w:rsidRPr="00D01775">
              <w:rPr>
                <w:sz w:val="18"/>
              </w:rPr>
              <w:t>3</w:t>
            </w:r>
          </w:p>
        </w:tc>
        <w:tc>
          <w:tcPr>
            <w:tcW w:w="189" w:type="pct"/>
            <w:shd w:val="clear" w:color="auto" w:fill="auto"/>
            <w:tcMar>
              <w:right w:w="28" w:type="dxa"/>
            </w:tcMar>
            <w:vAlign w:val="bottom"/>
          </w:tcPr>
          <w:p w14:paraId="46F56CA9" w14:textId="77777777" w:rsidR="00994926" w:rsidRPr="00D01775" w:rsidRDefault="00994926" w:rsidP="00994926">
            <w:pPr>
              <w:pStyle w:val="SingleTxtG"/>
              <w:tabs>
                <w:tab w:val="clear" w:pos="1701"/>
                <w:tab w:val="clear" w:pos="2268"/>
                <w:tab w:val="clear" w:pos="2835"/>
              </w:tabs>
              <w:spacing w:before="40" w:after="40" w:line="220" w:lineRule="exact"/>
              <w:ind w:left="113" w:right="0"/>
              <w:jc w:val="right"/>
              <w:rPr>
                <w:sz w:val="18"/>
              </w:rPr>
            </w:pPr>
            <w:r w:rsidRPr="00D01775">
              <w:rPr>
                <w:sz w:val="18"/>
              </w:rPr>
              <w:t>3</w:t>
            </w:r>
          </w:p>
        </w:tc>
        <w:tc>
          <w:tcPr>
            <w:tcW w:w="189" w:type="pct"/>
            <w:vAlign w:val="bottom"/>
          </w:tcPr>
          <w:p w14:paraId="75986917" w14:textId="738C7224" w:rsidR="00994926" w:rsidRPr="00D01775" w:rsidRDefault="00994926" w:rsidP="00994926">
            <w:pPr>
              <w:pStyle w:val="SingleTxtG"/>
              <w:tabs>
                <w:tab w:val="clear" w:pos="1701"/>
                <w:tab w:val="clear" w:pos="2268"/>
                <w:tab w:val="clear" w:pos="2835"/>
              </w:tabs>
              <w:spacing w:before="40" w:after="40" w:line="220" w:lineRule="exact"/>
              <w:ind w:left="113" w:right="0"/>
              <w:jc w:val="right"/>
              <w:rPr>
                <w:sz w:val="18"/>
              </w:rPr>
            </w:pPr>
            <w:r w:rsidRPr="00D01775">
              <w:rPr>
                <w:sz w:val="18"/>
              </w:rPr>
              <w:t>-</w:t>
            </w:r>
          </w:p>
        </w:tc>
        <w:tc>
          <w:tcPr>
            <w:tcW w:w="189" w:type="pct"/>
            <w:shd w:val="clear" w:color="auto" w:fill="auto"/>
            <w:tcMar>
              <w:right w:w="28" w:type="dxa"/>
            </w:tcMar>
            <w:vAlign w:val="bottom"/>
          </w:tcPr>
          <w:p w14:paraId="50566556" w14:textId="013F5479" w:rsidR="00994926" w:rsidRPr="00D01775" w:rsidRDefault="00994926" w:rsidP="00994926">
            <w:pPr>
              <w:pStyle w:val="SingleTxtG"/>
              <w:tabs>
                <w:tab w:val="clear" w:pos="1701"/>
                <w:tab w:val="clear" w:pos="2268"/>
                <w:tab w:val="clear" w:pos="2835"/>
              </w:tabs>
              <w:spacing w:before="40" w:after="40" w:line="220" w:lineRule="exact"/>
              <w:ind w:left="113" w:right="0"/>
              <w:jc w:val="right"/>
              <w:rPr>
                <w:sz w:val="18"/>
              </w:rPr>
            </w:pPr>
            <w:r w:rsidRPr="00D01775">
              <w:rPr>
                <w:sz w:val="18"/>
              </w:rPr>
              <w:t>-</w:t>
            </w:r>
          </w:p>
        </w:tc>
        <w:tc>
          <w:tcPr>
            <w:tcW w:w="213" w:type="pct"/>
            <w:shd w:val="clear" w:color="auto" w:fill="auto"/>
            <w:tcMar>
              <w:right w:w="28" w:type="dxa"/>
            </w:tcMar>
            <w:vAlign w:val="bottom"/>
          </w:tcPr>
          <w:p w14:paraId="1D7A7B32" w14:textId="77777777" w:rsidR="00994926" w:rsidRPr="00D01775" w:rsidRDefault="00994926" w:rsidP="00994926">
            <w:pPr>
              <w:pStyle w:val="SingleTxtG"/>
              <w:tabs>
                <w:tab w:val="clear" w:pos="1701"/>
                <w:tab w:val="clear" w:pos="2268"/>
                <w:tab w:val="clear" w:pos="2835"/>
              </w:tabs>
              <w:spacing w:before="40" w:after="40" w:line="220" w:lineRule="exact"/>
              <w:ind w:left="113" w:right="0"/>
              <w:jc w:val="right"/>
              <w:rPr>
                <w:sz w:val="18"/>
              </w:rPr>
            </w:pPr>
            <w:r w:rsidRPr="00D01775">
              <w:rPr>
                <w:sz w:val="18"/>
              </w:rPr>
              <w:t>226</w:t>
            </w:r>
          </w:p>
        </w:tc>
        <w:tc>
          <w:tcPr>
            <w:tcW w:w="189" w:type="pct"/>
            <w:shd w:val="clear" w:color="auto" w:fill="auto"/>
            <w:tcMar>
              <w:right w:w="28" w:type="dxa"/>
            </w:tcMar>
            <w:vAlign w:val="bottom"/>
          </w:tcPr>
          <w:p w14:paraId="7ED4F6AA" w14:textId="77777777" w:rsidR="00994926" w:rsidRPr="00D01775" w:rsidRDefault="00994926" w:rsidP="00994926">
            <w:pPr>
              <w:pStyle w:val="SingleTxtG"/>
              <w:tabs>
                <w:tab w:val="clear" w:pos="1701"/>
                <w:tab w:val="clear" w:pos="2268"/>
                <w:tab w:val="clear" w:pos="2835"/>
              </w:tabs>
              <w:spacing w:before="40" w:after="40" w:line="220" w:lineRule="exact"/>
              <w:ind w:left="113" w:right="0"/>
              <w:jc w:val="right"/>
              <w:rPr>
                <w:sz w:val="18"/>
              </w:rPr>
            </w:pPr>
            <w:r w:rsidRPr="00D01775">
              <w:rPr>
                <w:sz w:val="18"/>
              </w:rPr>
              <w:t>-</w:t>
            </w:r>
          </w:p>
        </w:tc>
        <w:tc>
          <w:tcPr>
            <w:tcW w:w="189" w:type="pct"/>
            <w:shd w:val="clear" w:color="auto" w:fill="auto"/>
            <w:tcMar>
              <w:right w:w="28" w:type="dxa"/>
            </w:tcMar>
            <w:vAlign w:val="bottom"/>
          </w:tcPr>
          <w:p w14:paraId="4B07DF3A" w14:textId="77777777" w:rsidR="00994926" w:rsidRPr="00D01775" w:rsidRDefault="00994926" w:rsidP="00994926">
            <w:pPr>
              <w:pStyle w:val="SingleTxtG"/>
              <w:tabs>
                <w:tab w:val="clear" w:pos="1701"/>
                <w:tab w:val="clear" w:pos="2268"/>
                <w:tab w:val="clear" w:pos="2835"/>
              </w:tabs>
              <w:spacing w:before="40" w:after="40" w:line="220" w:lineRule="exact"/>
              <w:ind w:left="113" w:right="0"/>
              <w:jc w:val="right"/>
              <w:rPr>
                <w:sz w:val="18"/>
              </w:rPr>
            </w:pPr>
            <w:r w:rsidRPr="00D01775">
              <w:rPr>
                <w:sz w:val="18"/>
              </w:rPr>
              <w:t>2</w:t>
            </w:r>
          </w:p>
        </w:tc>
        <w:tc>
          <w:tcPr>
            <w:tcW w:w="188" w:type="pct"/>
            <w:shd w:val="clear" w:color="auto" w:fill="auto"/>
            <w:vAlign w:val="bottom"/>
          </w:tcPr>
          <w:p w14:paraId="080B9D80" w14:textId="77777777" w:rsidR="00994926" w:rsidRPr="00D01775" w:rsidRDefault="00994926" w:rsidP="00994926">
            <w:pPr>
              <w:pStyle w:val="SingleTxtG"/>
              <w:tabs>
                <w:tab w:val="clear" w:pos="1701"/>
                <w:tab w:val="clear" w:pos="2268"/>
                <w:tab w:val="clear" w:pos="2835"/>
              </w:tabs>
              <w:spacing w:before="40" w:after="40" w:line="220" w:lineRule="exact"/>
              <w:ind w:left="113" w:right="0"/>
              <w:jc w:val="right"/>
              <w:rPr>
                <w:sz w:val="18"/>
              </w:rPr>
            </w:pPr>
            <w:r w:rsidRPr="00D01775">
              <w:rPr>
                <w:sz w:val="18"/>
              </w:rPr>
              <w:t>-</w:t>
            </w:r>
          </w:p>
        </w:tc>
        <w:tc>
          <w:tcPr>
            <w:tcW w:w="189" w:type="pct"/>
            <w:vAlign w:val="bottom"/>
          </w:tcPr>
          <w:p w14:paraId="4BA3116E" w14:textId="363A4694" w:rsidR="00994926" w:rsidRPr="00D01775" w:rsidRDefault="00994926" w:rsidP="00994926">
            <w:pPr>
              <w:pStyle w:val="SingleTxtG"/>
              <w:tabs>
                <w:tab w:val="clear" w:pos="1701"/>
                <w:tab w:val="clear" w:pos="2268"/>
                <w:tab w:val="clear" w:pos="2835"/>
              </w:tabs>
              <w:spacing w:before="40" w:after="40" w:line="220" w:lineRule="exact"/>
              <w:ind w:left="113" w:right="0"/>
              <w:jc w:val="right"/>
              <w:rPr>
                <w:sz w:val="18"/>
              </w:rPr>
            </w:pPr>
            <w:r w:rsidRPr="00D01775">
              <w:rPr>
                <w:sz w:val="18"/>
              </w:rPr>
              <w:t>-</w:t>
            </w:r>
          </w:p>
        </w:tc>
        <w:tc>
          <w:tcPr>
            <w:tcW w:w="189" w:type="pct"/>
            <w:shd w:val="clear" w:color="auto" w:fill="auto"/>
            <w:tcMar>
              <w:right w:w="28" w:type="dxa"/>
            </w:tcMar>
            <w:vAlign w:val="bottom"/>
          </w:tcPr>
          <w:p w14:paraId="40A5DA6B" w14:textId="6967BBF8" w:rsidR="00994926" w:rsidRPr="00D01775" w:rsidRDefault="00994926" w:rsidP="00994926">
            <w:pPr>
              <w:pStyle w:val="SingleTxtG"/>
              <w:tabs>
                <w:tab w:val="clear" w:pos="1701"/>
                <w:tab w:val="clear" w:pos="2268"/>
                <w:tab w:val="clear" w:pos="2835"/>
              </w:tabs>
              <w:spacing w:before="40" w:after="40" w:line="220" w:lineRule="exact"/>
              <w:ind w:left="113" w:right="0"/>
              <w:jc w:val="right"/>
              <w:rPr>
                <w:sz w:val="18"/>
              </w:rPr>
            </w:pPr>
            <w:r w:rsidRPr="00D01775">
              <w:rPr>
                <w:sz w:val="18"/>
              </w:rPr>
              <w:t>-</w:t>
            </w:r>
          </w:p>
        </w:tc>
        <w:tc>
          <w:tcPr>
            <w:tcW w:w="213" w:type="pct"/>
            <w:shd w:val="clear" w:color="auto" w:fill="auto"/>
            <w:tcMar>
              <w:right w:w="28" w:type="dxa"/>
            </w:tcMar>
            <w:vAlign w:val="bottom"/>
          </w:tcPr>
          <w:p w14:paraId="35B90713" w14:textId="77777777" w:rsidR="00994926" w:rsidRPr="00D01775" w:rsidRDefault="00994926" w:rsidP="00994926">
            <w:pPr>
              <w:pStyle w:val="SingleTxtG"/>
              <w:tabs>
                <w:tab w:val="clear" w:pos="1701"/>
                <w:tab w:val="clear" w:pos="2268"/>
                <w:tab w:val="clear" w:pos="2835"/>
              </w:tabs>
              <w:spacing w:before="40" w:after="40" w:line="220" w:lineRule="exact"/>
              <w:ind w:left="113" w:right="0"/>
              <w:jc w:val="right"/>
              <w:rPr>
                <w:sz w:val="18"/>
              </w:rPr>
            </w:pPr>
            <w:r w:rsidRPr="00D01775">
              <w:rPr>
                <w:sz w:val="18"/>
              </w:rPr>
              <w:t>10</w:t>
            </w:r>
          </w:p>
        </w:tc>
        <w:tc>
          <w:tcPr>
            <w:tcW w:w="188" w:type="pct"/>
            <w:shd w:val="clear" w:color="auto" w:fill="auto"/>
            <w:vAlign w:val="bottom"/>
          </w:tcPr>
          <w:p w14:paraId="442AE5AC" w14:textId="77777777" w:rsidR="00994926" w:rsidRPr="00D01775" w:rsidRDefault="00994926" w:rsidP="00994926">
            <w:pPr>
              <w:pStyle w:val="SingleTxtG"/>
              <w:tabs>
                <w:tab w:val="clear" w:pos="1701"/>
                <w:tab w:val="clear" w:pos="2268"/>
                <w:tab w:val="clear" w:pos="2835"/>
              </w:tabs>
              <w:spacing w:before="40" w:after="40" w:line="220" w:lineRule="exact"/>
              <w:ind w:left="113" w:right="0"/>
              <w:jc w:val="right"/>
              <w:rPr>
                <w:sz w:val="18"/>
              </w:rPr>
            </w:pPr>
            <w:r w:rsidRPr="00D01775">
              <w:rPr>
                <w:sz w:val="18"/>
              </w:rPr>
              <w:t>-</w:t>
            </w:r>
          </w:p>
        </w:tc>
        <w:tc>
          <w:tcPr>
            <w:tcW w:w="188" w:type="pct"/>
            <w:shd w:val="clear" w:color="auto" w:fill="auto"/>
            <w:vAlign w:val="bottom"/>
          </w:tcPr>
          <w:p w14:paraId="3CB9CE40" w14:textId="77777777" w:rsidR="00994926" w:rsidRPr="00D01775" w:rsidRDefault="00994926" w:rsidP="00994926">
            <w:pPr>
              <w:pStyle w:val="SingleTxtG"/>
              <w:tabs>
                <w:tab w:val="clear" w:pos="1701"/>
                <w:tab w:val="clear" w:pos="2268"/>
                <w:tab w:val="clear" w:pos="2835"/>
              </w:tabs>
              <w:spacing w:before="40" w:after="40" w:line="220" w:lineRule="exact"/>
              <w:ind w:left="113" w:right="0"/>
              <w:jc w:val="right"/>
              <w:rPr>
                <w:sz w:val="18"/>
              </w:rPr>
            </w:pPr>
            <w:r w:rsidRPr="00D01775">
              <w:rPr>
                <w:sz w:val="18"/>
              </w:rPr>
              <w:t>-</w:t>
            </w:r>
          </w:p>
        </w:tc>
        <w:tc>
          <w:tcPr>
            <w:tcW w:w="188" w:type="pct"/>
            <w:shd w:val="clear" w:color="auto" w:fill="auto"/>
            <w:vAlign w:val="bottom"/>
          </w:tcPr>
          <w:p w14:paraId="3F2A5420" w14:textId="77777777" w:rsidR="00994926" w:rsidRPr="00D01775" w:rsidRDefault="00994926" w:rsidP="00994926">
            <w:pPr>
              <w:pStyle w:val="SingleTxtG"/>
              <w:tabs>
                <w:tab w:val="clear" w:pos="1701"/>
                <w:tab w:val="clear" w:pos="2268"/>
                <w:tab w:val="clear" w:pos="2835"/>
              </w:tabs>
              <w:spacing w:before="40" w:after="40" w:line="220" w:lineRule="exact"/>
              <w:ind w:left="113" w:right="0"/>
              <w:jc w:val="right"/>
              <w:rPr>
                <w:sz w:val="18"/>
              </w:rPr>
            </w:pPr>
            <w:r w:rsidRPr="00D01775">
              <w:rPr>
                <w:sz w:val="18"/>
              </w:rPr>
              <w:t>-</w:t>
            </w:r>
          </w:p>
        </w:tc>
        <w:tc>
          <w:tcPr>
            <w:tcW w:w="189" w:type="pct"/>
            <w:shd w:val="clear" w:color="auto" w:fill="auto"/>
            <w:tcMar>
              <w:right w:w="28" w:type="dxa"/>
            </w:tcMar>
            <w:vAlign w:val="bottom"/>
          </w:tcPr>
          <w:p w14:paraId="55EA3886" w14:textId="77777777" w:rsidR="00994926" w:rsidRPr="00D01775" w:rsidRDefault="00994926" w:rsidP="00994926">
            <w:pPr>
              <w:pStyle w:val="SingleTxtG"/>
              <w:tabs>
                <w:tab w:val="clear" w:pos="1701"/>
                <w:tab w:val="clear" w:pos="2268"/>
                <w:tab w:val="clear" w:pos="2835"/>
              </w:tabs>
              <w:spacing w:before="40" w:after="40" w:line="220" w:lineRule="exact"/>
              <w:ind w:left="113" w:right="0"/>
              <w:jc w:val="right"/>
              <w:rPr>
                <w:sz w:val="18"/>
              </w:rPr>
            </w:pPr>
            <w:r w:rsidRPr="00D01775">
              <w:rPr>
                <w:sz w:val="18"/>
              </w:rPr>
              <w:t>-</w:t>
            </w:r>
          </w:p>
        </w:tc>
        <w:tc>
          <w:tcPr>
            <w:tcW w:w="189" w:type="pct"/>
            <w:shd w:val="clear" w:color="auto" w:fill="auto"/>
            <w:tcMar>
              <w:right w:w="28" w:type="dxa"/>
            </w:tcMar>
            <w:vAlign w:val="bottom"/>
          </w:tcPr>
          <w:p w14:paraId="035E1A56" w14:textId="77777777" w:rsidR="00994926" w:rsidRPr="00D01775" w:rsidRDefault="00994926" w:rsidP="00994926">
            <w:pPr>
              <w:pStyle w:val="SingleTxtG"/>
              <w:tabs>
                <w:tab w:val="clear" w:pos="1701"/>
                <w:tab w:val="clear" w:pos="2268"/>
                <w:tab w:val="clear" w:pos="2835"/>
              </w:tabs>
              <w:spacing w:before="40" w:after="40" w:line="220" w:lineRule="exact"/>
              <w:ind w:left="113" w:right="0"/>
              <w:jc w:val="right"/>
              <w:rPr>
                <w:sz w:val="18"/>
              </w:rPr>
            </w:pPr>
            <w:r w:rsidRPr="00D01775">
              <w:rPr>
                <w:sz w:val="18"/>
              </w:rPr>
              <w:t>-</w:t>
            </w:r>
          </w:p>
        </w:tc>
        <w:tc>
          <w:tcPr>
            <w:tcW w:w="168" w:type="pct"/>
            <w:shd w:val="clear" w:color="auto" w:fill="auto"/>
            <w:tcMar>
              <w:right w:w="28" w:type="dxa"/>
            </w:tcMar>
            <w:vAlign w:val="bottom"/>
          </w:tcPr>
          <w:p w14:paraId="4C24FBAE" w14:textId="77777777" w:rsidR="00994926" w:rsidRPr="00D01775" w:rsidRDefault="00994926" w:rsidP="00994926">
            <w:pPr>
              <w:pStyle w:val="SingleTxtG"/>
              <w:tabs>
                <w:tab w:val="clear" w:pos="1701"/>
                <w:tab w:val="clear" w:pos="2268"/>
                <w:tab w:val="clear" w:pos="2835"/>
              </w:tabs>
              <w:spacing w:before="40" w:after="40" w:line="220" w:lineRule="exact"/>
              <w:ind w:left="113" w:right="0"/>
              <w:jc w:val="right"/>
              <w:rPr>
                <w:sz w:val="18"/>
              </w:rPr>
            </w:pPr>
            <w:r w:rsidRPr="00D01775">
              <w:rPr>
                <w:sz w:val="18"/>
              </w:rPr>
              <w:t>1</w:t>
            </w:r>
          </w:p>
        </w:tc>
        <w:tc>
          <w:tcPr>
            <w:tcW w:w="295" w:type="pct"/>
            <w:shd w:val="clear" w:color="auto" w:fill="auto"/>
            <w:tcMar>
              <w:right w:w="28" w:type="dxa"/>
            </w:tcMar>
            <w:vAlign w:val="bottom"/>
          </w:tcPr>
          <w:p w14:paraId="41D82305" w14:textId="77777777" w:rsidR="00994926" w:rsidRPr="00D01775" w:rsidRDefault="00994926" w:rsidP="00994926">
            <w:pPr>
              <w:pStyle w:val="SingleTxtG"/>
              <w:tabs>
                <w:tab w:val="clear" w:pos="1701"/>
                <w:tab w:val="clear" w:pos="2268"/>
                <w:tab w:val="clear" w:pos="2835"/>
              </w:tabs>
              <w:spacing w:before="40" w:after="40" w:line="220" w:lineRule="exact"/>
              <w:ind w:left="113" w:right="0"/>
              <w:jc w:val="right"/>
              <w:rPr>
                <w:sz w:val="18"/>
              </w:rPr>
            </w:pPr>
            <w:r w:rsidRPr="00D01775">
              <w:rPr>
                <w:sz w:val="18"/>
              </w:rPr>
              <w:t>248</w:t>
            </w:r>
          </w:p>
        </w:tc>
      </w:tr>
      <w:tr w:rsidR="00994926" w:rsidRPr="00D01775" w14:paraId="5C74BC4D" w14:textId="77777777" w:rsidTr="00207489">
        <w:trPr>
          <w:trHeight w:val="240"/>
        </w:trPr>
        <w:tc>
          <w:tcPr>
            <w:tcW w:w="230" w:type="pct"/>
            <w:shd w:val="clear" w:color="auto" w:fill="auto"/>
          </w:tcPr>
          <w:p w14:paraId="537FA3E9" w14:textId="77777777" w:rsidR="00994926" w:rsidRPr="00D01775" w:rsidRDefault="00994926" w:rsidP="00994926">
            <w:pPr>
              <w:pStyle w:val="SingleTxtG"/>
              <w:tabs>
                <w:tab w:val="clear" w:pos="1701"/>
                <w:tab w:val="clear" w:pos="2268"/>
                <w:tab w:val="clear" w:pos="2835"/>
              </w:tabs>
              <w:spacing w:before="40" w:after="40" w:line="220" w:lineRule="exact"/>
              <w:ind w:left="0" w:right="0"/>
              <w:jc w:val="left"/>
              <w:rPr>
                <w:sz w:val="18"/>
              </w:rPr>
            </w:pPr>
            <w:r w:rsidRPr="00D01775">
              <w:rPr>
                <w:sz w:val="18"/>
              </w:rPr>
              <w:t>2020</w:t>
            </w:r>
          </w:p>
        </w:tc>
        <w:tc>
          <w:tcPr>
            <w:tcW w:w="198" w:type="pct"/>
            <w:shd w:val="clear" w:color="auto" w:fill="auto"/>
            <w:tcMar>
              <w:right w:w="28" w:type="dxa"/>
            </w:tcMar>
            <w:vAlign w:val="bottom"/>
          </w:tcPr>
          <w:p w14:paraId="62C012B6" w14:textId="77777777" w:rsidR="00994926" w:rsidRPr="00D01775" w:rsidRDefault="00994926" w:rsidP="00994926">
            <w:pPr>
              <w:pStyle w:val="SingleTxtG"/>
              <w:tabs>
                <w:tab w:val="clear" w:pos="1701"/>
                <w:tab w:val="clear" w:pos="2268"/>
                <w:tab w:val="clear" w:pos="2835"/>
              </w:tabs>
              <w:spacing w:before="40" w:after="40" w:line="220" w:lineRule="exact"/>
              <w:ind w:left="113" w:right="0"/>
              <w:jc w:val="right"/>
              <w:rPr>
                <w:sz w:val="18"/>
              </w:rPr>
            </w:pPr>
            <w:r w:rsidRPr="00D01775">
              <w:rPr>
                <w:sz w:val="18"/>
              </w:rPr>
              <w:t>1</w:t>
            </w:r>
          </w:p>
        </w:tc>
        <w:tc>
          <w:tcPr>
            <w:tcW w:w="197" w:type="pct"/>
            <w:shd w:val="clear" w:color="auto" w:fill="auto"/>
            <w:tcMar>
              <w:right w:w="28" w:type="dxa"/>
            </w:tcMar>
            <w:vAlign w:val="bottom"/>
          </w:tcPr>
          <w:p w14:paraId="7D9AADA0" w14:textId="77777777" w:rsidR="00994926" w:rsidRPr="00D01775" w:rsidRDefault="00994926" w:rsidP="00994926">
            <w:pPr>
              <w:pStyle w:val="SingleTxtG"/>
              <w:tabs>
                <w:tab w:val="clear" w:pos="1701"/>
                <w:tab w:val="clear" w:pos="2268"/>
                <w:tab w:val="clear" w:pos="2835"/>
              </w:tabs>
              <w:spacing w:before="40" w:after="40" w:line="220" w:lineRule="exact"/>
              <w:ind w:left="113" w:right="0"/>
              <w:jc w:val="right"/>
              <w:rPr>
                <w:sz w:val="18"/>
              </w:rPr>
            </w:pPr>
            <w:r w:rsidRPr="00D01775">
              <w:rPr>
                <w:sz w:val="18"/>
              </w:rPr>
              <w:t>-</w:t>
            </w:r>
          </w:p>
        </w:tc>
        <w:tc>
          <w:tcPr>
            <w:tcW w:w="268" w:type="pct"/>
            <w:shd w:val="clear" w:color="auto" w:fill="auto"/>
            <w:vAlign w:val="bottom"/>
          </w:tcPr>
          <w:p w14:paraId="3203C757" w14:textId="77777777" w:rsidR="00994926" w:rsidRPr="00D01775" w:rsidRDefault="00994926" w:rsidP="00994926">
            <w:pPr>
              <w:pStyle w:val="SingleTxtG"/>
              <w:tabs>
                <w:tab w:val="clear" w:pos="1701"/>
                <w:tab w:val="clear" w:pos="2268"/>
                <w:tab w:val="clear" w:pos="2835"/>
              </w:tabs>
              <w:spacing w:before="40" w:after="40" w:line="220" w:lineRule="exact"/>
              <w:ind w:left="113" w:right="0"/>
              <w:jc w:val="right"/>
              <w:rPr>
                <w:sz w:val="18"/>
              </w:rPr>
            </w:pPr>
            <w:r w:rsidRPr="00D01775">
              <w:rPr>
                <w:sz w:val="18"/>
              </w:rPr>
              <w:t>-</w:t>
            </w:r>
          </w:p>
        </w:tc>
        <w:tc>
          <w:tcPr>
            <w:tcW w:w="172" w:type="pct"/>
            <w:shd w:val="clear" w:color="auto" w:fill="auto"/>
            <w:tcMar>
              <w:right w:w="28" w:type="dxa"/>
            </w:tcMar>
            <w:vAlign w:val="bottom"/>
          </w:tcPr>
          <w:p w14:paraId="560323F4" w14:textId="77777777" w:rsidR="00994926" w:rsidRPr="00D01775" w:rsidRDefault="00994926" w:rsidP="00994926">
            <w:pPr>
              <w:pStyle w:val="SingleTxtG"/>
              <w:tabs>
                <w:tab w:val="clear" w:pos="1701"/>
                <w:tab w:val="clear" w:pos="2268"/>
                <w:tab w:val="clear" w:pos="2835"/>
              </w:tabs>
              <w:spacing w:before="40" w:after="40" w:line="220" w:lineRule="exact"/>
              <w:ind w:left="113" w:right="0"/>
              <w:jc w:val="right"/>
              <w:rPr>
                <w:sz w:val="18"/>
              </w:rPr>
            </w:pPr>
            <w:r w:rsidRPr="00D01775">
              <w:rPr>
                <w:sz w:val="18"/>
              </w:rPr>
              <w:t>-</w:t>
            </w:r>
          </w:p>
        </w:tc>
        <w:tc>
          <w:tcPr>
            <w:tcW w:w="191" w:type="pct"/>
            <w:shd w:val="clear" w:color="auto" w:fill="auto"/>
            <w:vAlign w:val="bottom"/>
          </w:tcPr>
          <w:p w14:paraId="51872F31" w14:textId="77777777" w:rsidR="00994926" w:rsidRPr="00D01775" w:rsidRDefault="00994926" w:rsidP="00994926">
            <w:pPr>
              <w:pStyle w:val="SingleTxtG"/>
              <w:tabs>
                <w:tab w:val="clear" w:pos="1701"/>
                <w:tab w:val="clear" w:pos="2268"/>
                <w:tab w:val="clear" w:pos="2835"/>
              </w:tabs>
              <w:spacing w:before="40" w:after="40" w:line="220" w:lineRule="exact"/>
              <w:ind w:left="113" w:right="0"/>
              <w:jc w:val="right"/>
              <w:rPr>
                <w:sz w:val="18"/>
              </w:rPr>
            </w:pPr>
            <w:r w:rsidRPr="00D01775">
              <w:rPr>
                <w:sz w:val="18"/>
              </w:rPr>
              <w:t>1</w:t>
            </w:r>
          </w:p>
        </w:tc>
        <w:tc>
          <w:tcPr>
            <w:tcW w:w="217" w:type="pct"/>
            <w:shd w:val="clear" w:color="auto" w:fill="auto"/>
            <w:tcMar>
              <w:right w:w="28" w:type="dxa"/>
            </w:tcMar>
            <w:vAlign w:val="bottom"/>
          </w:tcPr>
          <w:p w14:paraId="4A2A45B0" w14:textId="77777777" w:rsidR="00994926" w:rsidRPr="00D01775" w:rsidRDefault="00994926" w:rsidP="00994926">
            <w:pPr>
              <w:pStyle w:val="SingleTxtG"/>
              <w:tabs>
                <w:tab w:val="clear" w:pos="1701"/>
                <w:tab w:val="clear" w:pos="2268"/>
                <w:tab w:val="clear" w:pos="2835"/>
              </w:tabs>
              <w:spacing w:before="40" w:after="40" w:line="220" w:lineRule="exact"/>
              <w:ind w:left="113" w:right="0"/>
              <w:jc w:val="right"/>
              <w:rPr>
                <w:sz w:val="18"/>
              </w:rPr>
            </w:pPr>
            <w:r w:rsidRPr="00D01775">
              <w:rPr>
                <w:sz w:val="18"/>
              </w:rPr>
              <w:t>1</w:t>
            </w:r>
          </w:p>
        </w:tc>
        <w:tc>
          <w:tcPr>
            <w:tcW w:w="189" w:type="pct"/>
            <w:shd w:val="clear" w:color="auto" w:fill="auto"/>
            <w:tcMar>
              <w:right w:w="28" w:type="dxa"/>
            </w:tcMar>
            <w:vAlign w:val="bottom"/>
          </w:tcPr>
          <w:p w14:paraId="52C05770" w14:textId="77777777" w:rsidR="00994926" w:rsidRPr="00D01775" w:rsidRDefault="00994926" w:rsidP="00994926">
            <w:pPr>
              <w:pStyle w:val="SingleTxtG"/>
              <w:tabs>
                <w:tab w:val="clear" w:pos="1701"/>
                <w:tab w:val="clear" w:pos="2268"/>
                <w:tab w:val="clear" w:pos="2835"/>
              </w:tabs>
              <w:spacing w:before="40" w:after="40" w:line="220" w:lineRule="exact"/>
              <w:ind w:left="113" w:right="0"/>
              <w:jc w:val="right"/>
              <w:rPr>
                <w:sz w:val="18"/>
              </w:rPr>
            </w:pPr>
            <w:r w:rsidRPr="00D01775">
              <w:rPr>
                <w:sz w:val="18"/>
              </w:rPr>
              <w:t>2</w:t>
            </w:r>
          </w:p>
        </w:tc>
        <w:tc>
          <w:tcPr>
            <w:tcW w:w="189" w:type="pct"/>
            <w:shd w:val="clear" w:color="auto" w:fill="auto"/>
            <w:tcMar>
              <w:right w:w="28" w:type="dxa"/>
            </w:tcMar>
            <w:vAlign w:val="bottom"/>
          </w:tcPr>
          <w:p w14:paraId="37E7501C" w14:textId="77777777" w:rsidR="00994926" w:rsidRPr="00D01775" w:rsidRDefault="00994926" w:rsidP="00994926">
            <w:pPr>
              <w:pStyle w:val="SingleTxtG"/>
              <w:tabs>
                <w:tab w:val="clear" w:pos="1701"/>
                <w:tab w:val="clear" w:pos="2268"/>
                <w:tab w:val="clear" w:pos="2835"/>
              </w:tabs>
              <w:spacing w:before="40" w:after="40" w:line="220" w:lineRule="exact"/>
              <w:ind w:left="113" w:right="0"/>
              <w:jc w:val="right"/>
              <w:rPr>
                <w:sz w:val="18"/>
              </w:rPr>
            </w:pPr>
            <w:r w:rsidRPr="00D01775">
              <w:rPr>
                <w:sz w:val="18"/>
              </w:rPr>
              <w:t>-</w:t>
            </w:r>
          </w:p>
        </w:tc>
        <w:tc>
          <w:tcPr>
            <w:tcW w:w="189" w:type="pct"/>
            <w:vAlign w:val="bottom"/>
          </w:tcPr>
          <w:p w14:paraId="10C736CB" w14:textId="6E03B98C" w:rsidR="00994926" w:rsidRPr="00D01775" w:rsidRDefault="00994926" w:rsidP="00994926">
            <w:pPr>
              <w:pStyle w:val="SingleTxtG"/>
              <w:tabs>
                <w:tab w:val="clear" w:pos="1701"/>
                <w:tab w:val="clear" w:pos="2268"/>
                <w:tab w:val="clear" w:pos="2835"/>
              </w:tabs>
              <w:spacing w:before="40" w:after="40" w:line="220" w:lineRule="exact"/>
              <w:ind w:left="113" w:right="0"/>
              <w:jc w:val="right"/>
              <w:rPr>
                <w:sz w:val="18"/>
              </w:rPr>
            </w:pPr>
            <w:r w:rsidRPr="00D01775">
              <w:rPr>
                <w:sz w:val="18"/>
              </w:rPr>
              <w:t>1</w:t>
            </w:r>
          </w:p>
        </w:tc>
        <w:tc>
          <w:tcPr>
            <w:tcW w:w="189" w:type="pct"/>
            <w:shd w:val="clear" w:color="auto" w:fill="auto"/>
            <w:tcMar>
              <w:right w:w="28" w:type="dxa"/>
            </w:tcMar>
            <w:vAlign w:val="bottom"/>
          </w:tcPr>
          <w:p w14:paraId="3FF915A4" w14:textId="73048DF7" w:rsidR="00994926" w:rsidRPr="00D01775" w:rsidRDefault="00994926" w:rsidP="00994926">
            <w:pPr>
              <w:pStyle w:val="SingleTxtG"/>
              <w:tabs>
                <w:tab w:val="clear" w:pos="1701"/>
                <w:tab w:val="clear" w:pos="2268"/>
                <w:tab w:val="clear" w:pos="2835"/>
              </w:tabs>
              <w:spacing w:before="40" w:after="40" w:line="220" w:lineRule="exact"/>
              <w:ind w:left="113" w:right="0"/>
              <w:jc w:val="right"/>
              <w:rPr>
                <w:sz w:val="18"/>
              </w:rPr>
            </w:pPr>
            <w:r w:rsidRPr="00D01775">
              <w:rPr>
                <w:sz w:val="18"/>
              </w:rPr>
              <w:t>9</w:t>
            </w:r>
          </w:p>
        </w:tc>
        <w:tc>
          <w:tcPr>
            <w:tcW w:w="213" w:type="pct"/>
            <w:shd w:val="clear" w:color="auto" w:fill="auto"/>
            <w:tcMar>
              <w:right w:w="28" w:type="dxa"/>
            </w:tcMar>
            <w:vAlign w:val="bottom"/>
          </w:tcPr>
          <w:p w14:paraId="51C01BC1" w14:textId="77777777" w:rsidR="00994926" w:rsidRPr="00D01775" w:rsidRDefault="00994926" w:rsidP="00994926">
            <w:pPr>
              <w:pStyle w:val="SingleTxtG"/>
              <w:tabs>
                <w:tab w:val="clear" w:pos="1701"/>
                <w:tab w:val="clear" w:pos="2268"/>
                <w:tab w:val="clear" w:pos="2835"/>
              </w:tabs>
              <w:spacing w:before="40" w:after="40" w:line="220" w:lineRule="exact"/>
              <w:ind w:left="113" w:right="0"/>
              <w:jc w:val="right"/>
              <w:rPr>
                <w:sz w:val="18"/>
              </w:rPr>
            </w:pPr>
            <w:r w:rsidRPr="00D01775">
              <w:rPr>
                <w:sz w:val="18"/>
              </w:rPr>
              <w:t>103</w:t>
            </w:r>
          </w:p>
        </w:tc>
        <w:tc>
          <w:tcPr>
            <w:tcW w:w="189" w:type="pct"/>
            <w:shd w:val="clear" w:color="auto" w:fill="auto"/>
            <w:tcMar>
              <w:right w:w="28" w:type="dxa"/>
            </w:tcMar>
            <w:vAlign w:val="bottom"/>
          </w:tcPr>
          <w:p w14:paraId="51F59986" w14:textId="77777777" w:rsidR="00994926" w:rsidRPr="00D01775" w:rsidRDefault="00994926" w:rsidP="00994926">
            <w:pPr>
              <w:pStyle w:val="SingleTxtG"/>
              <w:tabs>
                <w:tab w:val="clear" w:pos="1701"/>
                <w:tab w:val="clear" w:pos="2268"/>
                <w:tab w:val="clear" w:pos="2835"/>
              </w:tabs>
              <w:spacing w:before="40" w:after="40" w:line="220" w:lineRule="exact"/>
              <w:ind w:left="113" w:right="0"/>
              <w:jc w:val="right"/>
              <w:rPr>
                <w:sz w:val="18"/>
              </w:rPr>
            </w:pPr>
            <w:r w:rsidRPr="00D01775">
              <w:rPr>
                <w:sz w:val="18"/>
              </w:rPr>
              <w:t>-</w:t>
            </w:r>
          </w:p>
        </w:tc>
        <w:tc>
          <w:tcPr>
            <w:tcW w:w="189" w:type="pct"/>
            <w:shd w:val="clear" w:color="auto" w:fill="auto"/>
            <w:tcMar>
              <w:right w:w="28" w:type="dxa"/>
            </w:tcMar>
            <w:vAlign w:val="bottom"/>
          </w:tcPr>
          <w:p w14:paraId="560F7E6C" w14:textId="77777777" w:rsidR="00994926" w:rsidRPr="00D01775" w:rsidRDefault="00994926" w:rsidP="00994926">
            <w:pPr>
              <w:pStyle w:val="SingleTxtG"/>
              <w:tabs>
                <w:tab w:val="clear" w:pos="1701"/>
                <w:tab w:val="clear" w:pos="2268"/>
                <w:tab w:val="clear" w:pos="2835"/>
              </w:tabs>
              <w:spacing w:before="40" w:after="40" w:line="220" w:lineRule="exact"/>
              <w:ind w:left="113" w:right="0"/>
              <w:jc w:val="right"/>
              <w:rPr>
                <w:sz w:val="18"/>
              </w:rPr>
            </w:pPr>
            <w:r w:rsidRPr="00D01775">
              <w:rPr>
                <w:sz w:val="18"/>
              </w:rPr>
              <w:t>-</w:t>
            </w:r>
          </w:p>
        </w:tc>
        <w:tc>
          <w:tcPr>
            <w:tcW w:w="188" w:type="pct"/>
            <w:shd w:val="clear" w:color="auto" w:fill="auto"/>
            <w:vAlign w:val="bottom"/>
          </w:tcPr>
          <w:p w14:paraId="2B71DFC9" w14:textId="77777777" w:rsidR="00994926" w:rsidRPr="00D01775" w:rsidRDefault="00994926" w:rsidP="00994926">
            <w:pPr>
              <w:pStyle w:val="SingleTxtG"/>
              <w:tabs>
                <w:tab w:val="clear" w:pos="1701"/>
                <w:tab w:val="clear" w:pos="2268"/>
                <w:tab w:val="clear" w:pos="2835"/>
              </w:tabs>
              <w:spacing w:before="40" w:after="40" w:line="220" w:lineRule="exact"/>
              <w:ind w:left="113" w:right="0"/>
              <w:jc w:val="right"/>
              <w:rPr>
                <w:sz w:val="18"/>
              </w:rPr>
            </w:pPr>
            <w:r w:rsidRPr="00D01775">
              <w:rPr>
                <w:sz w:val="18"/>
              </w:rPr>
              <w:t>1</w:t>
            </w:r>
          </w:p>
        </w:tc>
        <w:tc>
          <w:tcPr>
            <w:tcW w:w="189" w:type="pct"/>
            <w:vAlign w:val="bottom"/>
          </w:tcPr>
          <w:p w14:paraId="43631707" w14:textId="74B26185" w:rsidR="00994926" w:rsidRPr="00D01775" w:rsidRDefault="00994926" w:rsidP="00994926">
            <w:pPr>
              <w:pStyle w:val="SingleTxtG"/>
              <w:tabs>
                <w:tab w:val="clear" w:pos="1701"/>
                <w:tab w:val="clear" w:pos="2268"/>
                <w:tab w:val="clear" w:pos="2835"/>
              </w:tabs>
              <w:spacing w:before="40" w:after="40" w:line="220" w:lineRule="exact"/>
              <w:ind w:left="113" w:right="0"/>
              <w:jc w:val="right"/>
              <w:rPr>
                <w:sz w:val="18"/>
              </w:rPr>
            </w:pPr>
            <w:r w:rsidRPr="00D01775">
              <w:rPr>
                <w:sz w:val="18"/>
              </w:rPr>
              <w:t>-</w:t>
            </w:r>
          </w:p>
        </w:tc>
        <w:tc>
          <w:tcPr>
            <w:tcW w:w="189" w:type="pct"/>
            <w:shd w:val="clear" w:color="auto" w:fill="auto"/>
            <w:tcMar>
              <w:right w:w="28" w:type="dxa"/>
            </w:tcMar>
            <w:vAlign w:val="bottom"/>
          </w:tcPr>
          <w:p w14:paraId="4AA2E0BC" w14:textId="49E077DC" w:rsidR="00994926" w:rsidRPr="00D01775" w:rsidRDefault="00994926" w:rsidP="00994926">
            <w:pPr>
              <w:pStyle w:val="SingleTxtG"/>
              <w:tabs>
                <w:tab w:val="clear" w:pos="1701"/>
                <w:tab w:val="clear" w:pos="2268"/>
                <w:tab w:val="clear" w:pos="2835"/>
              </w:tabs>
              <w:spacing w:before="40" w:after="40" w:line="220" w:lineRule="exact"/>
              <w:ind w:left="113" w:right="0"/>
              <w:jc w:val="right"/>
              <w:rPr>
                <w:sz w:val="18"/>
              </w:rPr>
            </w:pPr>
            <w:r w:rsidRPr="00D01775">
              <w:rPr>
                <w:sz w:val="18"/>
              </w:rPr>
              <w:t>-</w:t>
            </w:r>
          </w:p>
        </w:tc>
        <w:tc>
          <w:tcPr>
            <w:tcW w:w="213" w:type="pct"/>
            <w:shd w:val="clear" w:color="auto" w:fill="auto"/>
            <w:tcMar>
              <w:right w:w="28" w:type="dxa"/>
            </w:tcMar>
            <w:vAlign w:val="bottom"/>
          </w:tcPr>
          <w:p w14:paraId="65946768" w14:textId="77777777" w:rsidR="00994926" w:rsidRPr="00D01775" w:rsidRDefault="00994926" w:rsidP="00994926">
            <w:pPr>
              <w:pStyle w:val="SingleTxtG"/>
              <w:tabs>
                <w:tab w:val="clear" w:pos="1701"/>
                <w:tab w:val="clear" w:pos="2268"/>
                <w:tab w:val="clear" w:pos="2835"/>
              </w:tabs>
              <w:spacing w:before="40" w:after="40" w:line="220" w:lineRule="exact"/>
              <w:ind w:left="113" w:right="0"/>
              <w:jc w:val="right"/>
              <w:rPr>
                <w:sz w:val="18"/>
              </w:rPr>
            </w:pPr>
            <w:r w:rsidRPr="00D01775">
              <w:rPr>
                <w:sz w:val="18"/>
              </w:rPr>
              <w:t>57</w:t>
            </w:r>
          </w:p>
        </w:tc>
        <w:tc>
          <w:tcPr>
            <w:tcW w:w="188" w:type="pct"/>
            <w:shd w:val="clear" w:color="auto" w:fill="auto"/>
            <w:vAlign w:val="bottom"/>
          </w:tcPr>
          <w:p w14:paraId="5C8A9D7F" w14:textId="77777777" w:rsidR="00994926" w:rsidRPr="00D01775" w:rsidRDefault="00994926" w:rsidP="00994926">
            <w:pPr>
              <w:pStyle w:val="SingleTxtG"/>
              <w:tabs>
                <w:tab w:val="clear" w:pos="1701"/>
                <w:tab w:val="clear" w:pos="2268"/>
                <w:tab w:val="clear" w:pos="2835"/>
              </w:tabs>
              <w:spacing w:before="40" w:after="40" w:line="220" w:lineRule="exact"/>
              <w:ind w:left="113" w:right="0"/>
              <w:jc w:val="right"/>
              <w:rPr>
                <w:sz w:val="18"/>
              </w:rPr>
            </w:pPr>
            <w:r w:rsidRPr="00D01775">
              <w:rPr>
                <w:sz w:val="18"/>
              </w:rPr>
              <w:t>1</w:t>
            </w:r>
          </w:p>
        </w:tc>
        <w:tc>
          <w:tcPr>
            <w:tcW w:w="188" w:type="pct"/>
            <w:shd w:val="clear" w:color="auto" w:fill="auto"/>
            <w:vAlign w:val="bottom"/>
          </w:tcPr>
          <w:p w14:paraId="4CC8E5BB" w14:textId="77777777" w:rsidR="00994926" w:rsidRPr="00D01775" w:rsidRDefault="00994926" w:rsidP="00994926">
            <w:pPr>
              <w:pStyle w:val="SingleTxtG"/>
              <w:tabs>
                <w:tab w:val="clear" w:pos="1701"/>
                <w:tab w:val="clear" w:pos="2268"/>
                <w:tab w:val="clear" w:pos="2835"/>
              </w:tabs>
              <w:spacing w:before="40" w:after="40" w:line="220" w:lineRule="exact"/>
              <w:ind w:left="113" w:right="0"/>
              <w:jc w:val="right"/>
              <w:rPr>
                <w:sz w:val="18"/>
              </w:rPr>
            </w:pPr>
            <w:r w:rsidRPr="00D01775">
              <w:rPr>
                <w:sz w:val="18"/>
              </w:rPr>
              <w:t>-</w:t>
            </w:r>
          </w:p>
        </w:tc>
        <w:tc>
          <w:tcPr>
            <w:tcW w:w="188" w:type="pct"/>
            <w:shd w:val="clear" w:color="auto" w:fill="auto"/>
            <w:vAlign w:val="bottom"/>
          </w:tcPr>
          <w:p w14:paraId="5222138B" w14:textId="77777777" w:rsidR="00994926" w:rsidRPr="00D01775" w:rsidRDefault="00994926" w:rsidP="00994926">
            <w:pPr>
              <w:pStyle w:val="SingleTxtG"/>
              <w:tabs>
                <w:tab w:val="clear" w:pos="1701"/>
                <w:tab w:val="clear" w:pos="2268"/>
                <w:tab w:val="clear" w:pos="2835"/>
              </w:tabs>
              <w:spacing w:before="40" w:after="40" w:line="220" w:lineRule="exact"/>
              <w:ind w:left="113" w:right="0"/>
              <w:jc w:val="right"/>
              <w:rPr>
                <w:sz w:val="18"/>
              </w:rPr>
            </w:pPr>
            <w:r w:rsidRPr="00D01775">
              <w:rPr>
                <w:sz w:val="18"/>
              </w:rPr>
              <w:t>14</w:t>
            </w:r>
          </w:p>
        </w:tc>
        <w:tc>
          <w:tcPr>
            <w:tcW w:w="189" w:type="pct"/>
            <w:shd w:val="clear" w:color="auto" w:fill="auto"/>
            <w:tcMar>
              <w:right w:w="28" w:type="dxa"/>
            </w:tcMar>
            <w:vAlign w:val="bottom"/>
          </w:tcPr>
          <w:p w14:paraId="0054A8D2" w14:textId="77777777" w:rsidR="00994926" w:rsidRPr="00D01775" w:rsidRDefault="00994926" w:rsidP="00994926">
            <w:pPr>
              <w:pStyle w:val="SingleTxtG"/>
              <w:tabs>
                <w:tab w:val="clear" w:pos="1701"/>
                <w:tab w:val="clear" w:pos="2268"/>
                <w:tab w:val="clear" w:pos="2835"/>
              </w:tabs>
              <w:spacing w:before="40" w:after="40" w:line="220" w:lineRule="exact"/>
              <w:ind w:left="113" w:right="0"/>
              <w:jc w:val="right"/>
              <w:rPr>
                <w:sz w:val="18"/>
              </w:rPr>
            </w:pPr>
            <w:r w:rsidRPr="00D01775">
              <w:rPr>
                <w:sz w:val="18"/>
              </w:rPr>
              <w:t>-</w:t>
            </w:r>
          </w:p>
        </w:tc>
        <w:tc>
          <w:tcPr>
            <w:tcW w:w="189" w:type="pct"/>
            <w:shd w:val="clear" w:color="auto" w:fill="auto"/>
            <w:tcMar>
              <w:right w:w="28" w:type="dxa"/>
            </w:tcMar>
            <w:vAlign w:val="bottom"/>
          </w:tcPr>
          <w:p w14:paraId="232BD6F9" w14:textId="77777777" w:rsidR="00994926" w:rsidRPr="00D01775" w:rsidRDefault="00994926" w:rsidP="00994926">
            <w:pPr>
              <w:pStyle w:val="SingleTxtG"/>
              <w:tabs>
                <w:tab w:val="clear" w:pos="1701"/>
                <w:tab w:val="clear" w:pos="2268"/>
                <w:tab w:val="clear" w:pos="2835"/>
              </w:tabs>
              <w:spacing w:before="40" w:after="40" w:line="220" w:lineRule="exact"/>
              <w:ind w:left="113" w:right="0"/>
              <w:jc w:val="right"/>
              <w:rPr>
                <w:sz w:val="18"/>
              </w:rPr>
            </w:pPr>
            <w:r w:rsidRPr="00D01775">
              <w:rPr>
                <w:sz w:val="18"/>
              </w:rPr>
              <w:t>1</w:t>
            </w:r>
          </w:p>
        </w:tc>
        <w:tc>
          <w:tcPr>
            <w:tcW w:w="168" w:type="pct"/>
            <w:shd w:val="clear" w:color="auto" w:fill="auto"/>
            <w:tcMar>
              <w:right w:w="28" w:type="dxa"/>
            </w:tcMar>
            <w:vAlign w:val="bottom"/>
          </w:tcPr>
          <w:p w14:paraId="63E2D962" w14:textId="77777777" w:rsidR="00994926" w:rsidRPr="00D01775" w:rsidRDefault="00994926" w:rsidP="00994926">
            <w:pPr>
              <w:pStyle w:val="SingleTxtG"/>
              <w:tabs>
                <w:tab w:val="clear" w:pos="1701"/>
                <w:tab w:val="clear" w:pos="2268"/>
                <w:tab w:val="clear" w:pos="2835"/>
              </w:tabs>
              <w:spacing w:before="40" w:after="40" w:line="220" w:lineRule="exact"/>
              <w:ind w:left="113" w:right="0"/>
              <w:jc w:val="right"/>
              <w:rPr>
                <w:sz w:val="18"/>
              </w:rPr>
            </w:pPr>
            <w:r w:rsidRPr="00D01775">
              <w:rPr>
                <w:sz w:val="18"/>
              </w:rPr>
              <w:t>-</w:t>
            </w:r>
          </w:p>
        </w:tc>
        <w:tc>
          <w:tcPr>
            <w:tcW w:w="295" w:type="pct"/>
            <w:shd w:val="clear" w:color="auto" w:fill="auto"/>
            <w:tcMar>
              <w:right w:w="28" w:type="dxa"/>
            </w:tcMar>
            <w:vAlign w:val="bottom"/>
          </w:tcPr>
          <w:p w14:paraId="10BA7705" w14:textId="77777777" w:rsidR="00994926" w:rsidRPr="00D01775" w:rsidRDefault="00994926" w:rsidP="00994926">
            <w:pPr>
              <w:pStyle w:val="SingleTxtG"/>
              <w:tabs>
                <w:tab w:val="clear" w:pos="1701"/>
                <w:tab w:val="clear" w:pos="2268"/>
                <w:tab w:val="clear" w:pos="2835"/>
              </w:tabs>
              <w:spacing w:before="40" w:after="40" w:line="220" w:lineRule="exact"/>
              <w:ind w:left="113" w:right="0"/>
              <w:jc w:val="right"/>
              <w:rPr>
                <w:sz w:val="18"/>
              </w:rPr>
            </w:pPr>
            <w:r w:rsidRPr="00D01775">
              <w:rPr>
                <w:sz w:val="18"/>
              </w:rPr>
              <w:t>192</w:t>
            </w:r>
          </w:p>
        </w:tc>
      </w:tr>
      <w:tr w:rsidR="00994926" w:rsidRPr="00D01775" w14:paraId="71C10F03" w14:textId="77777777" w:rsidTr="00207489">
        <w:trPr>
          <w:trHeight w:val="240"/>
        </w:trPr>
        <w:tc>
          <w:tcPr>
            <w:tcW w:w="230" w:type="pct"/>
            <w:tcBorders>
              <w:bottom w:val="single" w:sz="4" w:space="0" w:color="auto"/>
            </w:tcBorders>
            <w:shd w:val="clear" w:color="auto" w:fill="auto"/>
          </w:tcPr>
          <w:p w14:paraId="0568CCBD" w14:textId="77777777" w:rsidR="00994926" w:rsidRPr="00D01775" w:rsidRDefault="00994926" w:rsidP="00994926">
            <w:pPr>
              <w:pStyle w:val="SingleTxtG"/>
              <w:tabs>
                <w:tab w:val="clear" w:pos="1701"/>
                <w:tab w:val="clear" w:pos="2268"/>
                <w:tab w:val="clear" w:pos="2835"/>
              </w:tabs>
              <w:spacing w:before="40" w:after="40" w:line="220" w:lineRule="exact"/>
              <w:ind w:left="0" w:right="0"/>
              <w:jc w:val="left"/>
              <w:rPr>
                <w:sz w:val="18"/>
              </w:rPr>
            </w:pPr>
            <w:r w:rsidRPr="00D01775">
              <w:rPr>
                <w:sz w:val="18"/>
              </w:rPr>
              <w:t>2021</w:t>
            </w:r>
            <w:r w:rsidRPr="00D01775">
              <w:rPr>
                <w:i/>
                <w:iCs/>
                <w:sz w:val="18"/>
                <w:vertAlign w:val="superscript"/>
              </w:rPr>
              <w:t>a</w:t>
            </w:r>
          </w:p>
        </w:tc>
        <w:tc>
          <w:tcPr>
            <w:tcW w:w="198" w:type="pct"/>
            <w:tcBorders>
              <w:bottom w:val="single" w:sz="4" w:space="0" w:color="auto"/>
            </w:tcBorders>
            <w:shd w:val="clear" w:color="auto" w:fill="auto"/>
            <w:tcMar>
              <w:right w:w="28" w:type="dxa"/>
            </w:tcMar>
            <w:vAlign w:val="bottom"/>
          </w:tcPr>
          <w:p w14:paraId="20831E51" w14:textId="77777777" w:rsidR="00994926" w:rsidRPr="00D01775" w:rsidRDefault="00994926" w:rsidP="00994926">
            <w:pPr>
              <w:pStyle w:val="SingleTxtG"/>
              <w:tabs>
                <w:tab w:val="clear" w:pos="1701"/>
                <w:tab w:val="clear" w:pos="2268"/>
                <w:tab w:val="clear" w:pos="2835"/>
              </w:tabs>
              <w:spacing w:before="40" w:after="40" w:line="220" w:lineRule="exact"/>
              <w:ind w:left="113" w:right="0"/>
              <w:jc w:val="right"/>
              <w:rPr>
                <w:sz w:val="18"/>
              </w:rPr>
            </w:pPr>
            <w:r w:rsidRPr="00D01775">
              <w:rPr>
                <w:sz w:val="18"/>
              </w:rPr>
              <w:t>-</w:t>
            </w:r>
          </w:p>
        </w:tc>
        <w:tc>
          <w:tcPr>
            <w:tcW w:w="197" w:type="pct"/>
            <w:tcBorders>
              <w:bottom w:val="single" w:sz="4" w:space="0" w:color="auto"/>
            </w:tcBorders>
            <w:shd w:val="clear" w:color="auto" w:fill="auto"/>
            <w:tcMar>
              <w:right w:w="28" w:type="dxa"/>
            </w:tcMar>
            <w:vAlign w:val="bottom"/>
          </w:tcPr>
          <w:p w14:paraId="612ED0FB" w14:textId="77777777" w:rsidR="00994926" w:rsidRPr="00D01775" w:rsidRDefault="00994926" w:rsidP="00994926">
            <w:pPr>
              <w:pStyle w:val="SingleTxtG"/>
              <w:tabs>
                <w:tab w:val="clear" w:pos="1701"/>
                <w:tab w:val="clear" w:pos="2268"/>
                <w:tab w:val="clear" w:pos="2835"/>
              </w:tabs>
              <w:spacing w:before="40" w:after="40" w:line="220" w:lineRule="exact"/>
              <w:ind w:left="113" w:right="0"/>
              <w:jc w:val="right"/>
              <w:rPr>
                <w:sz w:val="18"/>
              </w:rPr>
            </w:pPr>
            <w:r w:rsidRPr="00D01775">
              <w:rPr>
                <w:sz w:val="18"/>
              </w:rPr>
              <w:t>-</w:t>
            </w:r>
          </w:p>
        </w:tc>
        <w:tc>
          <w:tcPr>
            <w:tcW w:w="268" w:type="pct"/>
            <w:tcBorders>
              <w:bottom w:val="single" w:sz="4" w:space="0" w:color="auto"/>
            </w:tcBorders>
            <w:shd w:val="clear" w:color="auto" w:fill="auto"/>
            <w:vAlign w:val="bottom"/>
          </w:tcPr>
          <w:p w14:paraId="5C1418EE" w14:textId="77777777" w:rsidR="00994926" w:rsidRPr="00D01775" w:rsidRDefault="00994926" w:rsidP="00994926">
            <w:pPr>
              <w:pStyle w:val="SingleTxtG"/>
              <w:tabs>
                <w:tab w:val="clear" w:pos="1701"/>
                <w:tab w:val="clear" w:pos="2268"/>
                <w:tab w:val="clear" w:pos="2835"/>
              </w:tabs>
              <w:spacing w:before="40" w:after="40" w:line="220" w:lineRule="exact"/>
              <w:ind w:left="113" w:right="0"/>
              <w:jc w:val="right"/>
              <w:rPr>
                <w:sz w:val="18"/>
              </w:rPr>
            </w:pPr>
            <w:r w:rsidRPr="00D01775">
              <w:rPr>
                <w:sz w:val="18"/>
              </w:rPr>
              <w:t>-</w:t>
            </w:r>
          </w:p>
        </w:tc>
        <w:tc>
          <w:tcPr>
            <w:tcW w:w="172" w:type="pct"/>
            <w:tcBorders>
              <w:bottom w:val="single" w:sz="4" w:space="0" w:color="auto"/>
            </w:tcBorders>
            <w:shd w:val="clear" w:color="auto" w:fill="auto"/>
            <w:tcMar>
              <w:right w:w="28" w:type="dxa"/>
            </w:tcMar>
            <w:vAlign w:val="bottom"/>
          </w:tcPr>
          <w:p w14:paraId="0A0D43F2" w14:textId="77777777" w:rsidR="00994926" w:rsidRPr="00D01775" w:rsidRDefault="00994926" w:rsidP="00994926">
            <w:pPr>
              <w:pStyle w:val="SingleTxtG"/>
              <w:tabs>
                <w:tab w:val="clear" w:pos="1701"/>
                <w:tab w:val="clear" w:pos="2268"/>
                <w:tab w:val="clear" w:pos="2835"/>
              </w:tabs>
              <w:spacing w:before="40" w:after="40" w:line="220" w:lineRule="exact"/>
              <w:ind w:left="113" w:right="0"/>
              <w:jc w:val="right"/>
              <w:rPr>
                <w:sz w:val="18"/>
              </w:rPr>
            </w:pPr>
            <w:r w:rsidRPr="00D01775">
              <w:rPr>
                <w:sz w:val="18"/>
              </w:rPr>
              <w:t>-</w:t>
            </w:r>
          </w:p>
        </w:tc>
        <w:tc>
          <w:tcPr>
            <w:tcW w:w="191" w:type="pct"/>
            <w:tcBorders>
              <w:bottom w:val="single" w:sz="4" w:space="0" w:color="auto"/>
            </w:tcBorders>
            <w:shd w:val="clear" w:color="auto" w:fill="auto"/>
            <w:vAlign w:val="bottom"/>
          </w:tcPr>
          <w:p w14:paraId="39F45A74" w14:textId="77777777" w:rsidR="00994926" w:rsidRPr="00D01775" w:rsidRDefault="00994926" w:rsidP="00994926">
            <w:pPr>
              <w:pStyle w:val="SingleTxtG"/>
              <w:tabs>
                <w:tab w:val="clear" w:pos="1701"/>
                <w:tab w:val="clear" w:pos="2268"/>
                <w:tab w:val="clear" w:pos="2835"/>
              </w:tabs>
              <w:spacing w:before="40" w:after="40" w:line="220" w:lineRule="exact"/>
              <w:ind w:left="113" w:right="0"/>
              <w:jc w:val="right"/>
              <w:rPr>
                <w:sz w:val="18"/>
              </w:rPr>
            </w:pPr>
            <w:r w:rsidRPr="00D01775">
              <w:rPr>
                <w:sz w:val="18"/>
              </w:rPr>
              <w:t>-</w:t>
            </w:r>
          </w:p>
        </w:tc>
        <w:tc>
          <w:tcPr>
            <w:tcW w:w="217" w:type="pct"/>
            <w:tcBorders>
              <w:bottom w:val="single" w:sz="4" w:space="0" w:color="auto"/>
            </w:tcBorders>
            <w:shd w:val="clear" w:color="auto" w:fill="auto"/>
            <w:tcMar>
              <w:right w:w="28" w:type="dxa"/>
            </w:tcMar>
            <w:vAlign w:val="bottom"/>
          </w:tcPr>
          <w:p w14:paraId="6E3EEF2D" w14:textId="77777777" w:rsidR="00994926" w:rsidRPr="00D01775" w:rsidRDefault="00994926" w:rsidP="00994926">
            <w:pPr>
              <w:pStyle w:val="SingleTxtG"/>
              <w:tabs>
                <w:tab w:val="clear" w:pos="1701"/>
                <w:tab w:val="clear" w:pos="2268"/>
                <w:tab w:val="clear" w:pos="2835"/>
              </w:tabs>
              <w:spacing w:before="40" w:after="40" w:line="220" w:lineRule="exact"/>
              <w:ind w:left="113" w:right="0"/>
              <w:jc w:val="right"/>
              <w:rPr>
                <w:sz w:val="18"/>
              </w:rPr>
            </w:pPr>
            <w:r w:rsidRPr="00D01775">
              <w:rPr>
                <w:sz w:val="18"/>
              </w:rPr>
              <w:t>-</w:t>
            </w:r>
          </w:p>
        </w:tc>
        <w:tc>
          <w:tcPr>
            <w:tcW w:w="189" w:type="pct"/>
            <w:tcBorders>
              <w:bottom w:val="single" w:sz="4" w:space="0" w:color="auto"/>
            </w:tcBorders>
            <w:shd w:val="clear" w:color="auto" w:fill="auto"/>
            <w:tcMar>
              <w:right w:w="28" w:type="dxa"/>
            </w:tcMar>
            <w:vAlign w:val="bottom"/>
          </w:tcPr>
          <w:p w14:paraId="7F6A85C8" w14:textId="77777777" w:rsidR="00994926" w:rsidRPr="00D01775" w:rsidRDefault="00994926" w:rsidP="00994926">
            <w:pPr>
              <w:pStyle w:val="SingleTxtG"/>
              <w:tabs>
                <w:tab w:val="clear" w:pos="1701"/>
                <w:tab w:val="clear" w:pos="2268"/>
                <w:tab w:val="clear" w:pos="2835"/>
              </w:tabs>
              <w:spacing w:before="40" w:after="40" w:line="220" w:lineRule="exact"/>
              <w:ind w:left="113" w:right="0"/>
              <w:jc w:val="right"/>
              <w:rPr>
                <w:sz w:val="18"/>
              </w:rPr>
            </w:pPr>
            <w:r w:rsidRPr="00D01775">
              <w:rPr>
                <w:sz w:val="18"/>
              </w:rPr>
              <w:t>-</w:t>
            </w:r>
          </w:p>
        </w:tc>
        <w:tc>
          <w:tcPr>
            <w:tcW w:w="189" w:type="pct"/>
            <w:tcBorders>
              <w:bottom w:val="single" w:sz="4" w:space="0" w:color="auto"/>
            </w:tcBorders>
            <w:shd w:val="clear" w:color="auto" w:fill="auto"/>
            <w:tcMar>
              <w:right w:w="28" w:type="dxa"/>
            </w:tcMar>
            <w:vAlign w:val="bottom"/>
          </w:tcPr>
          <w:p w14:paraId="349B5459" w14:textId="77777777" w:rsidR="00994926" w:rsidRPr="00D01775" w:rsidRDefault="00994926" w:rsidP="00994926">
            <w:pPr>
              <w:pStyle w:val="SingleTxtG"/>
              <w:tabs>
                <w:tab w:val="clear" w:pos="1701"/>
                <w:tab w:val="clear" w:pos="2268"/>
                <w:tab w:val="clear" w:pos="2835"/>
              </w:tabs>
              <w:spacing w:before="40" w:after="40" w:line="220" w:lineRule="exact"/>
              <w:ind w:left="113" w:right="0"/>
              <w:jc w:val="right"/>
              <w:rPr>
                <w:sz w:val="18"/>
              </w:rPr>
            </w:pPr>
            <w:r w:rsidRPr="00D01775">
              <w:rPr>
                <w:sz w:val="18"/>
              </w:rPr>
              <w:t>-</w:t>
            </w:r>
          </w:p>
        </w:tc>
        <w:tc>
          <w:tcPr>
            <w:tcW w:w="189" w:type="pct"/>
            <w:tcBorders>
              <w:bottom w:val="single" w:sz="4" w:space="0" w:color="auto"/>
            </w:tcBorders>
            <w:vAlign w:val="bottom"/>
          </w:tcPr>
          <w:p w14:paraId="6905CC5C" w14:textId="1FF23469" w:rsidR="00994926" w:rsidRPr="00D01775" w:rsidRDefault="00994926" w:rsidP="00994926">
            <w:pPr>
              <w:pStyle w:val="SingleTxtG"/>
              <w:tabs>
                <w:tab w:val="clear" w:pos="1701"/>
                <w:tab w:val="clear" w:pos="2268"/>
                <w:tab w:val="clear" w:pos="2835"/>
              </w:tabs>
              <w:spacing w:before="40" w:after="40" w:line="220" w:lineRule="exact"/>
              <w:ind w:left="113" w:right="0"/>
              <w:jc w:val="right"/>
              <w:rPr>
                <w:sz w:val="18"/>
              </w:rPr>
            </w:pPr>
            <w:r w:rsidRPr="00D01775">
              <w:rPr>
                <w:sz w:val="18"/>
              </w:rPr>
              <w:t>-</w:t>
            </w:r>
          </w:p>
        </w:tc>
        <w:tc>
          <w:tcPr>
            <w:tcW w:w="189" w:type="pct"/>
            <w:tcBorders>
              <w:bottom w:val="single" w:sz="4" w:space="0" w:color="auto"/>
            </w:tcBorders>
            <w:shd w:val="clear" w:color="auto" w:fill="auto"/>
            <w:tcMar>
              <w:right w:w="28" w:type="dxa"/>
            </w:tcMar>
            <w:vAlign w:val="bottom"/>
          </w:tcPr>
          <w:p w14:paraId="45FFBC90" w14:textId="458DB92D" w:rsidR="00994926" w:rsidRPr="00D01775" w:rsidRDefault="00994926" w:rsidP="00994926">
            <w:pPr>
              <w:pStyle w:val="SingleTxtG"/>
              <w:tabs>
                <w:tab w:val="clear" w:pos="1701"/>
                <w:tab w:val="clear" w:pos="2268"/>
                <w:tab w:val="clear" w:pos="2835"/>
              </w:tabs>
              <w:spacing w:before="40" w:after="40" w:line="220" w:lineRule="exact"/>
              <w:ind w:left="113" w:right="0"/>
              <w:jc w:val="right"/>
              <w:rPr>
                <w:sz w:val="18"/>
              </w:rPr>
            </w:pPr>
            <w:r w:rsidRPr="00D01775">
              <w:rPr>
                <w:sz w:val="18"/>
              </w:rPr>
              <w:t>1</w:t>
            </w:r>
          </w:p>
        </w:tc>
        <w:tc>
          <w:tcPr>
            <w:tcW w:w="213" w:type="pct"/>
            <w:tcBorders>
              <w:bottom w:val="single" w:sz="4" w:space="0" w:color="auto"/>
            </w:tcBorders>
            <w:shd w:val="clear" w:color="auto" w:fill="auto"/>
            <w:tcMar>
              <w:right w:w="28" w:type="dxa"/>
            </w:tcMar>
            <w:vAlign w:val="bottom"/>
          </w:tcPr>
          <w:p w14:paraId="7EF1BF2B" w14:textId="77777777" w:rsidR="00994926" w:rsidRPr="00D01775" w:rsidRDefault="00994926" w:rsidP="00994926">
            <w:pPr>
              <w:pStyle w:val="SingleTxtG"/>
              <w:tabs>
                <w:tab w:val="clear" w:pos="1701"/>
                <w:tab w:val="clear" w:pos="2268"/>
                <w:tab w:val="clear" w:pos="2835"/>
              </w:tabs>
              <w:spacing w:before="40" w:after="40" w:line="220" w:lineRule="exact"/>
              <w:ind w:left="113" w:right="0"/>
              <w:jc w:val="right"/>
              <w:rPr>
                <w:sz w:val="18"/>
              </w:rPr>
            </w:pPr>
            <w:r w:rsidRPr="00D01775">
              <w:rPr>
                <w:sz w:val="18"/>
              </w:rPr>
              <w:t>1</w:t>
            </w:r>
          </w:p>
        </w:tc>
        <w:tc>
          <w:tcPr>
            <w:tcW w:w="189" w:type="pct"/>
            <w:tcBorders>
              <w:bottom w:val="single" w:sz="4" w:space="0" w:color="auto"/>
            </w:tcBorders>
            <w:shd w:val="clear" w:color="auto" w:fill="auto"/>
            <w:tcMar>
              <w:right w:w="28" w:type="dxa"/>
            </w:tcMar>
            <w:vAlign w:val="bottom"/>
          </w:tcPr>
          <w:p w14:paraId="1B3FD32D" w14:textId="77777777" w:rsidR="00994926" w:rsidRPr="00D01775" w:rsidRDefault="00994926" w:rsidP="00994926">
            <w:pPr>
              <w:pStyle w:val="SingleTxtG"/>
              <w:tabs>
                <w:tab w:val="clear" w:pos="1701"/>
                <w:tab w:val="clear" w:pos="2268"/>
                <w:tab w:val="clear" w:pos="2835"/>
              </w:tabs>
              <w:spacing w:before="40" w:after="40" w:line="220" w:lineRule="exact"/>
              <w:ind w:left="113" w:right="0"/>
              <w:jc w:val="right"/>
              <w:rPr>
                <w:sz w:val="18"/>
              </w:rPr>
            </w:pPr>
            <w:r w:rsidRPr="00D01775">
              <w:rPr>
                <w:sz w:val="18"/>
              </w:rPr>
              <w:t>-</w:t>
            </w:r>
          </w:p>
        </w:tc>
        <w:tc>
          <w:tcPr>
            <w:tcW w:w="189" w:type="pct"/>
            <w:tcBorders>
              <w:bottom w:val="single" w:sz="4" w:space="0" w:color="auto"/>
            </w:tcBorders>
            <w:shd w:val="clear" w:color="auto" w:fill="auto"/>
            <w:tcMar>
              <w:right w:w="28" w:type="dxa"/>
            </w:tcMar>
            <w:vAlign w:val="bottom"/>
          </w:tcPr>
          <w:p w14:paraId="7A95373E" w14:textId="77777777" w:rsidR="00994926" w:rsidRPr="00D01775" w:rsidRDefault="00994926" w:rsidP="00994926">
            <w:pPr>
              <w:pStyle w:val="SingleTxtG"/>
              <w:tabs>
                <w:tab w:val="clear" w:pos="1701"/>
                <w:tab w:val="clear" w:pos="2268"/>
                <w:tab w:val="clear" w:pos="2835"/>
              </w:tabs>
              <w:spacing w:before="40" w:after="40" w:line="220" w:lineRule="exact"/>
              <w:ind w:left="113" w:right="0"/>
              <w:jc w:val="right"/>
              <w:rPr>
                <w:sz w:val="18"/>
              </w:rPr>
            </w:pPr>
            <w:r w:rsidRPr="00D01775">
              <w:rPr>
                <w:sz w:val="18"/>
              </w:rPr>
              <w:t>-</w:t>
            </w:r>
          </w:p>
        </w:tc>
        <w:tc>
          <w:tcPr>
            <w:tcW w:w="188" w:type="pct"/>
            <w:tcBorders>
              <w:bottom w:val="single" w:sz="4" w:space="0" w:color="auto"/>
            </w:tcBorders>
            <w:shd w:val="clear" w:color="auto" w:fill="auto"/>
            <w:vAlign w:val="bottom"/>
          </w:tcPr>
          <w:p w14:paraId="497533D1" w14:textId="77777777" w:rsidR="00994926" w:rsidRPr="00D01775" w:rsidRDefault="00994926" w:rsidP="00994926">
            <w:pPr>
              <w:pStyle w:val="SingleTxtG"/>
              <w:tabs>
                <w:tab w:val="clear" w:pos="1701"/>
                <w:tab w:val="clear" w:pos="2268"/>
                <w:tab w:val="clear" w:pos="2835"/>
              </w:tabs>
              <w:spacing w:before="40" w:after="40" w:line="220" w:lineRule="exact"/>
              <w:ind w:left="113" w:right="0"/>
              <w:jc w:val="right"/>
              <w:rPr>
                <w:sz w:val="18"/>
              </w:rPr>
            </w:pPr>
            <w:r w:rsidRPr="00D01775">
              <w:rPr>
                <w:sz w:val="18"/>
              </w:rPr>
              <w:t>-</w:t>
            </w:r>
          </w:p>
        </w:tc>
        <w:tc>
          <w:tcPr>
            <w:tcW w:w="189" w:type="pct"/>
            <w:tcBorders>
              <w:bottom w:val="single" w:sz="4" w:space="0" w:color="auto"/>
            </w:tcBorders>
            <w:vAlign w:val="bottom"/>
          </w:tcPr>
          <w:p w14:paraId="37313400" w14:textId="7A542FA3" w:rsidR="00994926" w:rsidRPr="00D01775" w:rsidRDefault="00994926" w:rsidP="00994926">
            <w:pPr>
              <w:pStyle w:val="SingleTxtG"/>
              <w:tabs>
                <w:tab w:val="clear" w:pos="1701"/>
                <w:tab w:val="clear" w:pos="2268"/>
                <w:tab w:val="clear" w:pos="2835"/>
              </w:tabs>
              <w:spacing w:before="40" w:after="40" w:line="220" w:lineRule="exact"/>
              <w:ind w:left="113" w:right="0"/>
              <w:jc w:val="right"/>
              <w:rPr>
                <w:sz w:val="18"/>
              </w:rPr>
            </w:pPr>
            <w:r w:rsidRPr="00D01775">
              <w:rPr>
                <w:sz w:val="18"/>
              </w:rPr>
              <w:t>1</w:t>
            </w:r>
          </w:p>
        </w:tc>
        <w:tc>
          <w:tcPr>
            <w:tcW w:w="189" w:type="pct"/>
            <w:tcBorders>
              <w:bottom w:val="single" w:sz="4" w:space="0" w:color="auto"/>
            </w:tcBorders>
            <w:shd w:val="clear" w:color="auto" w:fill="auto"/>
            <w:tcMar>
              <w:right w:w="28" w:type="dxa"/>
            </w:tcMar>
            <w:vAlign w:val="bottom"/>
          </w:tcPr>
          <w:p w14:paraId="3051C127" w14:textId="4B7734CB" w:rsidR="00994926" w:rsidRPr="00D01775" w:rsidRDefault="00994926" w:rsidP="00994926">
            <w:pPr>
              <w:pStyle w:val="SingleTxtG"/>
              <w:tabs>
                <w:tab w:val="clear" w:pos="1701"/>
                <w:tab w:val="clear" w:pos="2268"/>
                <w:tab w:val="clear" w:pos="2835"/>
              </w:tabs>
              <w:spacing w:before="40" w:after="40" w:line="220" w:lineRule="exact"/>
              <w:ind w:left="113" w:right="0"/>
              <w:jc w:val="right"/>
              <w:rPr>
                <w:sz w:val="18"/>
              </w:rPr>
            </w:pPr>
            <w:r w:rsidRPr="00D01775">
              <w:rPr>
                <w:sz w:val="18"/>
              </w:rPr>
              <w:t>-</w:t>
            </w:r>
          </w:p>
        </w:tc>
        <w:tc>
          <w:tcPr>
            <w:tcW w:w="213" w:type="pct"/>
            <w:tcBorders>
              <w:bottom w:val="single" w:sz="4" w:space="0" w:color="auto"/>
            </w:tcBorders>
            <w:shd w:val="clear" w:color="auto" w:fill="auto"/>
            <w:tcMar>
              <w:right w:w="28" w:type="dxa"/>
            </w:tcMar>
            <w:vAlign w:val="bottom"/>
          </w:tcPr>
          <w:p w14:paraId="4B6BC20B" w14:textId="77777777" w:rsidR="00994926" w:rsidRPr="00D01775" w:rsidRDefault="00994926" w:rsidP="00994926">
            <w:pPr>
              <w:pStyle w:val="SingleTxtG"/>
              <w:tabs>
                <w:tab w:val="clear" w:pos="1701"/>
                <w:tab w:val="clear" w:pos="2268"/>
                <w:tab w:val="clear" w:pos="2835"/>
              </w:tabs>
              <w:spacing w:before="40" w:after="40" w:line="220" w:lineRule="exact"/>
              <w:ind w:left="113" w:right="0"/>
              <w:jc w:val="right"/>
              <w:rPr>
                <w:sz w:val="18"/>
              </w:rPr>
            </w:pPr>
            <w:r w:rsidRPr="00D01775">
              <w:rPr>
                <w:sz w:val="18"/>
              </w:rPr>
              <w:t>8</w:t>
            </w:r>
          </w:p>
        </w:tc>
        <w:tc>
          <w:tcPr>
            <w:tcW w:w="188" w:type="pct"/>
            <w:tcBorders>
              <w:bottom w:val="single" w:sz="4" w:space="0" w:color="auto"/>
            </w:tcBorders>
            <w:shd w:val="clear" w:color="auto" w:fill="auto"/>
            <w:vAlign w:val="bottom"/>
          </w:tcPr>
          <w:p w14:paraId="1C37005D" w14:textId="77777777" w:rsidR="00994926" w:rsidRPr="00D01775" w:rsidRDefault="00994926" w:rsidP="00994926">
            <w:pPr>
              <w:pStyle w:val="SingleTxtG"/>
              <w:tabs>
                <w:tab w:val="clear" w:pos="1701"/>
                <w:tab w:val="clear" w:pos="2268"/>
                <w:tab w:val="clear" w:pos="2835"/>
              </w:tabs>
              <w:spacing w:before="40" w:after="40" w:line="220" w:lineRule="exact"/>
              <w:ind w:left="113" w:right="0"/>
              <w:jc w:val="right"/>
              <w:rPr>
                <w:sz w:val="18"/>
              </w:rPr>
            </w:pPr>
            <w:r w:rsidRPr="00D01775">
              <w:rPr>
                <w:sz w:val="18"/>
              </w:rPr>
              <w:t>-</w:t>
            </w:r>
          </w:p>
        </w:tc>
        <w:tc>
          <w:tcPr>
            <w:tcW w:w="188" w:type="pct"/>
            <w:tcBorders>
              <w:bottom w:val="single" w:sz="4" w:space="0" w:color="auto"/>
            </w:tcBorders>
            <w:shd w:val="clear" w:color="auto" w:fill="auto"/>
            <w:vAlign w:val="bottom"/>
          </w:tcPr>
          <w:p w14:paraId="0515A391" w14:textId="77777777" w:rsidR="00994926" w:rsidRPr="00D01775" w:rsidRDefault="00994926" w:rsidP="00994926">
            <w:pPr>
              <w:pStyle w:val="SingleTxtG"/>
              <w:tabs>
                <w:tab w:val="clear" w:pos="1701"/>
                <w:tab w:val="clear" w:pos="2268"/>
                <w:tab w:val="clear" w:pos="2835"/>
              </w:tabs>
              <w:spacing w:before="40" w:after="40" w:line="220" w:lineRule="exact"/>
              <w:ind w:left="113" w:right="0"/>
              <w:jc w:val="right"/>
              <w:rPr>
                <w:sz w:val="18"/>
              </w:rPr>
            </w:pPr>
            <w:r w:rsidRPr="00D01775">
              <w:rPr>
                <w:sz w:val="18"/>
              </w:rPr>
              <w:t>1</w:t>
            </w:r>
          </w:p>
        </w:tc>
        <w:tc>
          <w:tcPr>
            <w:tcW w:w="188" w:type="pct"/>
            <w:tcBorders>
              <w:bottom w:val="single" w:sz="4" w:space="0" w:color="auto"/>
            </w:tcBorders>
            <w:shd w:val="clear" w:color="auto" w:fill="auto"/>
            <w:vAlign w:val="bottom"/>
          </w:tcPr>
          <w:p w14:paraId="2A30A048" w14:textId="77777777" w:rsidR="00994926" w:rsidRPr="00D01775" w:rsidRDefault="00994926" w:rsidP="00994926">
            <w:pPr>
              <w:pStyle w:val="SingleTxtG"/>
              <w:tabs>
                <w:tab w:val="clear" w:pos="1701"/>
                <w:tab w:val="clear" w:pos="2268"/>
                <w:tab w:val="clear" w:pos="2835"/>
              </w:tabs>
              <w:spacing w:before="40" w:after="40" w:line="220" w:lineRule="exact"/>
              <w:ind w:left="113" w:right="0"/>
              <w:jc w:val="right"/>
              <w:rPr>
                <w:sz w:val="18"/>
              </w:rPr>
            </w:pPr>
            <w:r w:rsidRPr="00D01775">
              <w:rPr>
                <w:sz w:val="18"/>
              </w:rPr>
              <w:t>-</w:t>
            </w:r>
          </w:p>
        </w:tc>
        <w:tc>
          <w:tcPr>
            <w:tcW w:w="189" w:type="pct"/>
            <w:tcBorders>
              <w:bottom w:val="single" w:sz="4" w:space="0" w:color="auto"/>
            </w:tcBorders>
            <w:shd w:val="clear" w:color="auto" w:fill="auto"/>
            <w:tcMar>
              <w:right w:w="28" w:type="dxa"/>
            </w:tcMar>
            <w:vAlign w:val="bottom"/>
          </w:tcPr>
          <w:p w14:paraId="2681C33F" w14:textId="77777777" w:rsidR="00994926" w:rsidRPr="00D01775" w:rsidRDefault="00994926" w:rsidP="00994926">
            <w:pPr>
              <w:pStyle w:val="SingleTxtG"/>
              <w:tabs>
                <w:tab w:val="clear" w:pos="1701"/>
                <w:tab w:val="clear" w:pos="2268"/>
                <w:tab w:val="clear" w:pos="2835"/>
              </w:tabs>
              <w:spacing w:before="40" w:after="40" w:line="220" w:lineRule="exact"/>
              <w:ind w:left="113" w:right="0"/>
              <w:jc w:val="right"/>
              <w:rPr>
                <w:sz w:val="18"/>
              </w:rPr>
            </w:pPr>
            <w:r w:rsidRPr="00D01775">
              <w:rPr>
                <w:sz w:val="18"/>
              </w:rPr>
              <w:t>-</w:t>
            </w:r>
          </w:p>
        </w:tc>
        <w:tc>
          <w:tcPr>
            <w:tcW w:w="189" w:type="pct"/>
            <w:tcBorders>
              <w:bottom w:val="single" w:sz="4" w:space="0" w:color="auto"/>
            </w:tcBorders>
            <w:shd w:val="clear" w:color="auto" w:fill="auto"/>
            <w:tcMar>
              <w:right w:w="28" w:type="dxa"/>
            </w:tcMar>
            <w:vAlign w:val="bottom"/>
          </w:tcPr>
          <w:p w14:paraId="46EB902F" w14:textId="77777777" w:rsidR="00994926" w:rsidRPr="00D01775" w:rsidRDefault="00994926" w:rsidP="00994926">
            <w:pPr>
              <w:pStyle w:val="SingleTxtG"/>
              <w:tabs>
                <w:tab w:val="clear" w:pos="1701"/>
                <w:tab w:val="clear" w:pos="2268"/>
                <w:tab w:val="clear" w:pos="2835"/>
              </w:tabs>
              <w:spacing w:before="40" w:after="40" w:line="220" w:lineRule="exact"/>
              <w:ind w:left="113" w:right="0"/>
              <w:jc w:val="right"/>
              <w:rPr>
                <w:sz w:val="18"/>
              </w:rPr>
            </w:pPr>
            <w:r w:rsidRPr="00D01775">
              <w:rPr>
                <w:sz w:val="18"/>
              </w:rPr>
              <w:t>-</w:t>
            </w:r>
          </w:p>
        </w:tc>
        <w:tc>
          <w:tcPr>
            <w:tcW w:w="168" w:type="pct"/>
            <w:tcBorders>
              <w:bottom w:val="single" w:sz="4" w:space="0" w:color="auto"/>
            </w:tcBorders>
            <w:shd w:val="clear" w:color="auto" w:fill="auto"/>
            <w:tcMar>
              <w:right w:w="28" w:type="dxa"/>
            </w:tcMar>
            <w:vAlign w:val="bottom"/>
          </w:tcPr>
          <w:p w14:paraId="5607258D" w14:textId="77777777" w:rsidR="00994926" w:rsidRPr="00D01775" w:rsidRDefault="00994926" w:rsidP="00994926">
            <w:pPr>
              <w:pStyle w:val="SingleTxtG"/>
              <w:tabs>
                <w:tab w:val="clear" w:pos="1701"/>
                <w:tab w:val="clear" w:pos="2268"/>
                <w:tab w:val="clear" w:pos="2835"/>
              </w:tabs>
              <w:spacing w:before="40" w:after="40" w:line="220" w:lineRule="exact"/>
              <w:ind w:left="113" w:right="0"/>
              <w:jc w:val="right"/>
              <w:rPr>
                <w:sz w:val="18"/>
              </w:rPr>
            </w:pPr>
            <w:r w:rsidRPr="00D01775">
              <w:rPr>
                <w:sz w:val="18"/>
              </w:rPr>
              <w:t>-</w:t>
            </w:r>
          </w:p>
        </w:tc>
        <w:tc>
          <w:tcPr>
            <w:tcW w:w="295" w:type="pct"/>
            <w:tcBorders>
              <w:bottom w:val="single" w:sz="4" w:space="0" w:color="auto"/>
            </w:tcBorders>
            <w:shd w:val="clear" w:color="auto" w:fill="auto"/>
            <w:tcMar>
              <w:right w:w="28" w:type="dxa"/>
            </w:tcMar>
            <w:vAlign w:val="bottom"/>
          </w:tcPr>
          <w:p w14:paraId="6B388130" w14:textId="77777777" w:rsidR="00994926" w:rsidRPr="00D01775" w:rsidRDefault="00994926" w:rsidP="00994926">
            <w:pPr>
              <w:pStyle w:val="SingleTxtG"/>
              <w:tabs>
                <w:tab w:val="clear" w:pos="1701"/>
                <w:tab w:val="clear" w:pos="2268"/>
                <w:tab w:val="clear" w:pos="2835"/>
              </w:tabs>
              <w:spacing w:before="40" w:after="40" w:line="220" w:lineRule="exact"/>
              <w:ind w:left="113" w:right="0"/>
              <w:jc w:val="right"/>
              <w:rPr>
                <w:sz w:val="18"/>
              </w:rPr>
            </w:pPr>
            <w:r w:rsidRPr="00D01775">
              <w:rPr>
                <w:sz w:val="18"/>
              </w:rPr>
              <w:t>12</w:t>
            </w:r>
          </w:p>
        </w:tc>
      </w:tr>
      <w:tr w:rsidR="00994926" w:rsidRPr="00994926" w14:paraId="75007D33" w14:textId="77777777" w:rsidTr="00207489">
        <w:trPr>
          <w:trHeight w:val="240"/>
        </w:trPr>
        <w:tc>
          <w:tcPr>
            <w:tcW w:w="230" w:type="pct"/>
            <w:tcBorders>
              <w:top w:val="single" w:sz="4" w:space="0" w:color="auto"/>
              <w:bottom w:val="single" w:sz="12" w:space="0" w:color="auto"/>
            </w:tcBorders>
            <w:shd w:val="clear" w:color="auto" w:fill="auto"/>
          </w:tcPr>
          <w:p w14:paraId="1669DA9B" w14:textId="77777777" w:rsidR="00994926" w:rsidRPr="00D01775" w:rsidRDefault="00994926" w:rsidP="00994926">
            <w:pPr>
              <w:pStyle w:val="SingleTxtG"/>
              <w:tabs>
                <w:tab w:val="clear" w:pos="1701"/>
                <w:tab w:val="clear" w:pos="2268"/>
                <w:tab w:val="clear" w:pos="2835"/>
              </w:tabs>
              <w:spacing w:before="80" w:after="80" w:line="220" w:lineRule="exact"/>
              <w:ind w:left="0" w:right="0"/>
              <w:jc w:val="left"/>
              <w:rPr>
                <w:b/>
                <w:sz w:val="18"/>
              </w:rPr>
            </w:pPr>
            <w:r w:rsidRPr="00D01775">
              <w:rPr>
                <w:b/>
                <w:sz w:val="18"/>
              </w:rPr>
              <w:t>Total</w:t>
            </w:r>
          </w:p>
        </w:tc>
        <w:tc>
          <w:tcPr>
            <w:tcW w:w="198" w:type="pct"/>
            <w:tcBorders>
              <w:top w:val="single" w:sz="4" w:space="0" w:color="auto"/>
              <w:bottom w:val="single" w:sz="12" w:space="0" w:color="auto"/>
            </w:tcBorders>
            <w:shd w:val="clear" w:color="auto" w:fill="auto"/>
            <w:tcMar>
              <w:right w:w="28" w:type="dxa"/>
            </w:tcMar>
            <w:vAlign w:val="bottom"/>
          </w:tcPr>
          <w:p w14:paraId="75F4312A" w14:textId="77777777" w:rsidR="00994926" w:rsidRPr="00D01775" w:rsidRDefault="00994926" w:rsidP="00994926">
            <w:pPr>
              <w:pStyle w:val="SingleTxtG"/>
              <w:tabs>
                <w:tab w:val="clear" w:pos="1701"/>
                <w:tab w:val="clear" w:pos="2268"/>
                <w:tab w:val="clear" w:pos="2835"/>
              </w:tabs>
              <w:spacing w:before="80" w:after="80" w:line="220" w:lineRule="exact"/>
              <w:ind w:left="113" w:right="0"/>
              <w:jc w:val="right"/>
              <w:rPr>
                <w:b/>
                <w:sz w:val="18"/>
              </w:rPr>
            </w:pPr>
            <w:r w:rsidRPr="00D01775">
              <w:rPr>
                <w:b/>
                <w:sz w:val="18"/>
              </w:rPr>
              <w:t>3</w:t>
            </w:r>
          </w:p>
        </w:tc>
        <w:tc>
          <w:tcPr>
            <w:tcW w:w="197" w:type="pct"/>
            <w:tcBorders>
              <w:top w:val="single" w:sz="4" w:space="0" w:color="auto"/>
              <w:bottom w:val="single" w:sz="12" w:space="0" w:color="auto"/>
            </w:tcBorders>
            <w:shd w:val="clear" w:color="auto" w:fill="auto"/>
            <w:tcMar>
              <w:right w:w="28" w:type="dxa"/>
            </w:tcMar>
            <w:vAlign w:val="bottom"/>
          </w:tcPr>
          <w:p w14:paraId="340F15B0" w14:textId="77777777" w:rsidR="00994926" w:rsidRPr="00D01775" w:rsidRDefault="00994926" w:rsidP="00994926">
            <w:pPr>
              <w:pStyle w:val="SingleTxtG"/>
              <w:tabs>
                <w:tab w:val="clear" w:pos="1701"/>
                <w:tab w:val="clear" w:pos="2268"/>
                <w:tab w:val="clear" w:pos="2835"/>
              </w:tabs>
              <w:spacing w:before="80" w:after="80" w:line="220" w:lineRule="exact"/>
              <w:ind w:left="113" w:right="0"/>
              <w:jc w:val="right"/>
              <w:rPr>
                <w:b/>
                <w:sz w:val="18"/>
              </w:rPr>
            </w:pPr>
            <w:r w:rsidRPr="00D01775">
              <w:rPr>
                <w:b/>
                <w:sz w:val="18"/>
              </w:rPr>
              <w:t>1</w:t>
            </w:r>
          </w:p>
        </w:tc>
        <w:tc>
          <w:tcPr>
            <w:tcW w:w="268" w:type="pct"/>
            <w:tcBorders>
              <w:top w:val="single" w:sz="4" w:space="0" w:color="auto"/>
              <w:bottom w:val="single" w:sz="12" w:space="0" w:color="auto"/>
            </w:tcBorders>
            <w:shd w:val="clear" w:color="auto" w:fill="auto"/>
            <w:vAlign w:val="bottom"/>
          </w:tcPr>
          <w:p w14:paraId="41BFDD79" w14:textId="77777777" w:rsidR="00994926" w:rsidRPr="00D01775" w:rsidRDefault="00994926" w:rsidP="00994926">
            <w:pPr>
              <w:pStyle w:val="SingleTxtG"/>
              <w:tabs>
                <w:tab w:val="clear" w:pos="1701"/>
                <w:tab w:val="clear" w:pos="2268"/>
                <w:tab w:val="clear" w:pos="2835"/>
              </w:tabs>
              <w:spacing w:before="80" w:after="80" w:line="220" w:lineRule="exact"/>
              <w:ind w:left="113" w:right="0"/>
              <w:jc w:val="right"/>
              <w:rPr>
                <w:b/>
                <w:sz w:val="18"/>
              </w:rPr>
            </w:pPr>
            <w:r w:rsidRPr="00D01775">
              <w:rPr>
                <w:b/>
                <w:sz w:val="18"/>
              </w:rPr>
              <w:t>1</w:t>
            </w:r>
          </w:p>
        </w:tc>
        <w:tc>
          <w:tcPr>
            <w:tcW w:w="172" w:type="pct"/>
            <w:tcBorders>
              <w:top w:val="single" w:sz="4" w:space="0" w:color="auto"/>
              <w:bottom w:val="single" w:sz="12" w:space="0" w:color="auto"/>
            </w:tcBorders>
            <w:shd w:val="clear" w:color="auto" w:fill="auto"/>
            <w:tcMar>
              <w:right w:w="28" w:type="dxa"/>
            </w:tcMar>
            <w:vAlign w:val="bottom"/>
          </w:tcPr>
          <w:p w14:paraId="78A0514E" w14:textId="77777777" w:rsidR="00994926" w:rsidRPr="00D01775" w:rsidRDefault="00994926" w:rsidP="00994926">
            <w:pPr>
              <w:pStyle w:val="SingleTxtG"/>
              <w:tabs>
                <w:tab w:val="clear" w:pos="1701"/>
                <w:tab w:val="clear" w:pos="2268"/>
                <w:tab w:val="clear" w:pos="2835"/>
              </w:tabs>
              <w:spacing w:before="80" w:after="80" w:line="220" w:lineRule="exact"/>
              <w:ind w:left="113" w:right="0"/>
              <w:jc w:val="right"/>
              <w:rPr>
                <w:b/>
                <w:sz w:val="18"/>
              </w:rPr>
            </w:pPr>
            <w:r w:rsidRPr="00D01775">
              <w:rPr>
                <w:b/>
                <w:sz w:val="18"/>
              </w:rPr>
              <w:t>1</w:t>
            </w:r>
          </w:p>
        </w:tc>
        <w:tc>
          <w:tcPr>
            <w:tcW w:w="191" w:type="pct"/>
            <w:tcBorders>
              <w:top w:val="single" w:sz="4" w:space="0" w:color="auto"/>
              <w:bottom w:val="single" w:sz="12" w:space="0" w:color="auto"/>
            </w:tcBorders>
            <w:shd w:val="clear" w:color="auto" w:fill="auto"/>
            <w:vAlign w:val="bottom"/>
          </w:tcPr>
          <w:p w14:paraId="395C222F" w14:textId="77777777" w:rsidR="00994926" w:rsidRPr="00D01775" w:rsidRDefault="00994926" w:rsidP="00994926">
            <w:pPr>
              <w:pStyle w:val="SingleTxtG"/>
              <w:tabs>
                <w:tab w:val="clear" w:pos="1701"/>
                <w:tab w:val="clear" w:pos="2268"/>
                <w:tab w:val="clear" w:pos="2835"/>
              </w:tabs>
              <w:spacing w:before="80" w:after="80" w:line="220" w:lineRule="exact"/>
              <w:ind w:left="113" w:right="0"/>
              <w:jc w:val="right"/>
              <w:rPr>
                <w:b/>
                <w:sz w:val="18"/>
              </w:rPr>
            </w:pPr>
            <w:r w:rsidRPr="00D01775">
              <w:rPr>
                <w:b/>
                <w:sz w:val="18"/>
              </w:rPr>
              <w:t>1</w:t>
            </w:r>
          </w:p>
        </w:tc>
        <w:tc>
          <w:tcPr>
            <w:tcW w:w="217" w:type="pct"/>
            <w:tcBorders>
              <w:top w:val="single" w:sz="4" w:space="0" w:color="auto"/>
              <w:bottom w:val="single" w:sz="12" w:space="0" w:color="auto"/>
            </w:tcBorders>
            <w:shd w:val="clear" w:color="auto" w:fill="auto"/>
            <w:tcMar>
              <w:right w:w="28" w:type="dxa"/>
            </w:tcMar>
            <w:vAlign w:val="bottom"/>
          </w:tcPr>
          <w:p w14:paraId="1E9840DD" w14:textId="77777777" w:rsidR="00994926" w:rsidRPr="00D01775" w:rsidRDefault="00994926" w:rsidP="00994926">
            <w:pPr>
              <w:pStyle w:val="SingleTxtG"/>
              <w:tabs>
                <w:tab w:val="clear" w:pos="1701"/>
                <w:tab w:val="clear" w:pos="2268"/>
                <w:tab w:val="clear" w:pos="2835"/>
              </w:tabs>
              <w:spacing w:before="80" w:after="80" w:line="220" w:lineRule="exact"/>
              <w:ind w:left="113" w:right="0"/>
              <w:jc w:val="right"/>
              <w:rPr>
                <w:b/>
                <w:sz w:val="18"/>
              </w:rPr>
            </w:pPr>
            <w:r w:rsidRPr="00D01775">
              <w:rPr>
                <w:b/>
                <w:sz w:val="18"/>
              </w:rPr>
              <w:t>4</w:t>
            </w:r>
          </w:p>
        </w:tc>
        <w:tc>
          <w:tcPr>
            <w:tcW w:w="189" w:type="pct"/>
            <w:tcBorders>
              <w:top w:val="single" w:sz="4" w:space="0" w:color="auto"/>
              <w:bottom w:val="single" w:sz="12" w:space="0" w:color="auto"/>
            </w:tcBorders>
            <w:shd w:val="clear" w:color="auto" w:fill="auto"/>
            <w:tcMar>
              <w:right w:w="28" w:type="dxa"/>
            </w:tcMar>
            <w:vAlign w:val="bottom"/>
          </w:tcPr>
          <w:p w14:paraId="51FD2551" w14:textId="77777777" w:rsidR="00994926" w:rsidRPr="00D01775" w:rsidRDefault="00994926" w:rsidP="00994926">
            <w:pPr>
              <w:pStyle w:val="SingleTxtG"/>
              <w:tabs>
                <w:tab w:val="clear" w:pos="1701"/>
                <w:tab w:val="clear" w:pos="2268"/>
                <w:tab w:val="clear" w:pos="2835"/>
              </w:tabs>
              <w:spacing w:before="80" w:after="80" w:line="220" w:lineRule="exact"/>
              <w:ind w:left="113" w:right="0"/>
              <w:jc w:val="right"/>
              <w:rPr>
                <w:b/>
                <w:sz w:val="18"/>
              </w:rPr>
            </w:pPr>
            <w:r w:rsidRPr="00D01775">
              <w:rPr>
                <w:b/>
                <w:sz w:val="18"/>
              </w:rPr>
              <w:t>26</w:t>
            </w:r>
          </w:p>
        </w:tc>
        <w:tc>
          <w:tcPr>
            <w:tcW w:w="189" w:type="pct"/>
            <w:tcBorders>
              <w:top w:val="single" w:sz="4" w:space="0" w:color="auto"/>
              <w:bottom w:val="single" w:sz="12" w:space="0" w:color="auto"/>
            </w:tcBorders>
            <w:shd w:val="clear" w:color="auto" w:fill="auto"/>
            <w:tcMar>
              <w:right w:w="28" w:type="dxa"/>
            </w:tcMar>
            <w:vAlign w:val="bottom"/>
          </w:tcPr>
          <w:p w14:paraId="778D75C1" w14:textId="77777777" w:rsidR="00994926" w:rsidRPr="00D01775" w:rsidRDefault="00994926" w:rsidP="00994926">
            <w:pPr>
              <w:pStyle w:val="SingleTxtG"/>
              <w:tabs>
                <w:tab w:val="clear" w:pos="1701"/>
                <w:tab w:val="clear" w:pos="2268"/>
                <w:tab w:val="clear" w:pos="2835"/>
              </w:tabs>
              <w:spacing w:before="80" w:after="80" w:line="220" w:lineRule="exact"/>
              <w:ind w:left="113" w:right="0"/>
              <w:jc w:val="right"/>
              <w:rPr>
                <w:b/>
                <w:sz w:val="18"/>
              </w:rPr>
            </w:pPr>
            <w:r w:rsidRPr="00D01775">
              <w:rPr>
                <w:b/>
                <w:sz w:val="18"/>
              </w:rPr>
              <w:t>4</w:t>
            </w:r>
          </w:p>
        </w:tc>
        <w:tc>
          <w:tcPr>
            <w:tcW w:w="189" w:type="pct"/>
            <w:tcBorders>
              <w:top w:val="single" w:sz="4" w:space="0" w:color="auto"/>
              <w:bottom w:val="single" w:sz="12" w:space="0" w:color="auto"/>
            </w:tcBorders>
            <w:vAlign w:val="bottom"/>
          </w:tcPr>
          <w:p w14:paraId="5DA88AC3" w14:textId="29D1600F" w:rsidR="00994926" w:rsidRPr="00D01775" w:rsidRDefault="00994926" w:rsidP="00994926">
            <w:pPr>
              <w:pStyle w:val="SingleTxtG"/>
              <w:tabs>
                <w:tab w:val="clear" w:pos="1701"/>
                <w:tab w:val="clear" w:pos="2268"/>
                <w:tab w:val="clear" w:pos="2835"/>
              </w:tabs>
              <w:spacing w:before="80" w:after="80" w:line="220" w:lineRule="exact"/>
              <w:ind w:left="113" w:right="0"/>
              <w:jc w:val="right"/>
              <w:rPr>
                <w:b/>
                <w:sz w:val="18"/>
              </w:rPr>
            </w:pPr>
            <w:r w:rsidRPr="00D01775">
              <w:rPr>
                <w:b/>
                <w:sz w:val="18"/>
              </w:rPr>
              <w:t>1</w:t>
            </w:r>
          </w:p>
        </w:tc>
        <w:tc>
          <w:tcPr>
            <w:tcW w:w="189" w:type="pct"/>
            <w:tcBorders>
              <w:top w:val="single" w:sz="4" w:space="0" w:color="auto"/>
              <w:bottom w:val="single" w:sz="12" w:space="0" w:color="auto"/>
            </w:tcBorders>
            <w:shd w:val="clear" w:color="auto" w:fill="auto"/>
            <w:tcMar>
              <w:right w:w="28" w:type="dxa"/>
            </w:tcMar>
            <w:vAlign w:val="bottom"/>
          </w:tcPr>
          <w:p w14:paraId="08EB6B72" w14:textId="1E7DDD89" w:rsidR="00994926" w:rsidRPr="00D01775" w:rsidRDefault="00994926" w:rsidP="00994926">
            <w:pPr>
              <w:pStyle w:val="SingleTxtG"/>
              <w:tabs>
                <w:tab w:val="clear" w:pos="1701"/>
                <w:tab w:val="clear" w:pos="2268"/>
                <w:tab w:val="clear" w:pos="2835"/>
              </w:tabs>
              <w:spacing w:before="80" w:after="80" w:line="220" w:lineRule="exact"/>
              <w:ind w:left="113" w:right="0"/>
              <w:jc w:val="right"/>
              <w:rPr>
                <w:b/>
                <w:sz w:val="18"/>
              </w:rPr>
            </w:pPr>
            <w:r w:rsidRPr="00D01775">
              <w:rPr>
                <w:b/>
                <w:sz w:val="18"/>
              </w:rPr>
              <w:t>24</w:t>
            </w:r>
          </w:p>
        </w:tc>
        <w:tc>
          <w:tcPr>
            <w:tcW w:w="213" w:type="pct"/>
            <w:tcBorders>
              <w:top w:val="single" w:sz="4" w:space="0" w:color="auto"/>
              <w:bottom w:val="single" w:sz="12" w:space="0" w:color="auto"/>
            </w:tcBorders>
            <w:shd w:val="clear" w:color="auto" w:fill="auto"/>
            <w:tcMar>
              <w:right w:w="28" w:type="dxa"/>
            </w:tcMar>
            <w:vAlign w:val="bottom"/>
          </w:tcPr>
          <w:p w14:paraId="4A85B17B" w14:textId="77777777" w:rsidR="00994926" w:rsidRPr="00D01775" w:rsidRDefault="00994926" w:rsidP="00994926">
            <w:pPr>
              <w:pStyle w:val="SingleTxtG"/>
              <w:tabs>
                <w:tab w:val="clear" w:pos="1701"/>
                <w:tab w:val="clear" w:pos="2268"/>
                <w:tab w:val="clear" w:pos="2835"/>
              </w:tabs>
              <w:spacing w:before="80" w:after="80" w:line="220" w:lineRule="exact"/>
              <w:ind w:left="113" w:right="0"/>
              <w:jc w:val="right"/>
              <w:rPr>
                <w:b/>
                <w:sz w:val="18"/>
              </w:rPr>
            </w:pPr>
            <w:r w:rsidRPr="00D01775">
              <w:rPr>
                <w:b/>
                <w:sz w:val="18"/>
              </w:rPr>
              <w:t>492</w:t>
            </w:r>
          </w:p>
        </w:tc>
        <w:tc>
          <w:tcPr>
            <w:tcW w:w="189" w:type="pct"/>
            <w:tcBorders>
              <w:top w:val="single" w:sz="4" w:space="0" w:color="auto"/>
              <w:bottom w:val="single" w:sz="12" w:space="0" w:color="auto"/>
            </w:tcBorders>
            <w:shd w:val="clear" w:color="auto" w:fill="auto"/>
            <w:tcMar>
              <w:right w:w="28" w:type="dxa"/>
            </w:tcMar>
            <w:vAlign w:val="bottom"/>
          </w:tcPr>
          <w:p w14:paraId="05F696F3" w14:textId="77777777" w:rsidR="00994926" w:rsidRPr="00D01775" w:rsidRDefault="00994926" w:rsidP="00994926">
            <w:pPr>
              <w:pStyle w:val="SingleTxtG"/>
              <w:tabs>
                <w:tab w:val="clear" w:pos="1701"/>
                <w:tab w:val="clear" w:pos="2268"/>
                <w:tab w:val="clear" w:pos="2835"/>
              </w:tabs>
              <w:spacing w:before="80" w:after="80" w:line="220" w:lineRule="exact"/>
              <w:ind w:left="113" w:right="0"/>
              <w:jc w:val="right"/>
              <w:rPr>
                <w:b/>
                <w:sz w:val="18"/>
              </w:rPr>
            </w:pPr>
            <w:r w:rsidRPr="00D01775">
              <w:rPr>
                <w:b/>
                <w:sz w:val="18"/>
              </w:rPr>
              <w:t>2</w:t>
            </w:r>
          </w:p>
        </w:tc>
        <w:tc>
          <w:tcPr>
            <w:tcW w:w="189" w:type="pct"/>
            <w:tcBorders>
              <w:top w:val="single" w:sz="4" w:space="0" w:color="auto"/>
              <w:bottom w:val="single" w:sz="12" w:space="0" w:color="auto"/>
            </w:tcBorders>
            <w:shd w:val="clear" w:color="auto" w:fill="auto"/>
            <w:tcMar>
              <w:right w:w="28" w:type="dxa"/>
            </w:tcMar>
            <w:vAlign w:val="bottom"/>
          </w:tcPr>
          <w:p w14:paraId="6009A4E5" w14:textId="77777777" w:rsidR="00994926" w:rsidRPr="00D01775" w:rsidRDefault="00994926" w:rsidP="00994926">
            <w:pPr>
              <w:pStyle w:val="SingleTxtG"/>
              <w:tabs>
                <w:tab w:val="clear" w:pos="1701"/>
                <w:tab w:val="clear" w:pos="2268"/>
                <w:tab w:val="clear" w:pos="2835"/>
              </w:tabs>
              <w:spacing w:before="80" w:after="80" w:line="220" w:lineRule="exact"/>
              <w:ind w:left="113" w:right="0"/>
              <w:jc w:val="right"/>
              <w:rPr>
                <w:b/>
                <w:sz w:val="18"/>
              </w:rPr>
            </w:pPr>
            <w:r w:rsidRPr="00D01775">
              <w:rPr>
                <w:b/>
                <w:sz w:val="18"/>
              </w:rPr>
              <w:t>2</w:t>
            </w:r>
          </w:p>
        </w:tc>
        <w:tc>
          <w:tcPr>
            <w:tcW w:w="188" w:type="pct"/>
            <w:tcBorders>
              <w:top w:val="single" w:sz="4" w:space="0" w:color="auto"/>
              <w:bottom w:val="single" w:sz="12" w:space="0" w:color="auto"/>
            </w:tcBorders>
            <w:shd w:val="clear" w:color="auto" w:fill="auto"/>
            <w:vAlign w:val="bottom"/>
          </w:tcPr>
          <w:p w14:paraId="6D07BD01" w14:textId="77777777" w:rsidR="00994926" w:rsidRPr="00D01775" w:rsidRDefault="00994926" w:rsidP="00994926">
            <w:pPr>
              <w:pStyle w:val="SingleTxtG"/>
              <w:tabs>
                <w:tab w:val="clear" w:pos="1701"/>
                <w:tab w:val="clear" w:pos="2268"/>
                <w:tab w:val="clear" w:pos="2835"/>
              </w:tabs>
              <w:spacing w:before="80" w:after="80" w:line="220" w:lineRule="exact"/>
              <w:ind w:left="113" w:right="0"/>
              <w:jc w:val="right"/>
              <w:rPr>
                <w:b/>
                <w:sz w:val="18"/>
              </w:rPr>
            </w:pPr>
            <w:r w:rsidRPr="00D01775">
              <w:rPr>
                <w:b/>
                <w:sz w:val="18"/>
              </w:rPr>
              <w:t>1</w:t>
            </w:r>
          </w:p>
        </w:tc>
        <w:tc>
          <w:tcPr>
            <w:tcW w:w="189" w:type="pct"/>
            <w:tcBorders>
              <w:top w:val="single" w:sz="4" w:space="0" w:color="auto"/>
              <w:bottom w:val="single" w:sz="12" w:space="0" w:color="auto"/>
            </w:tcBorders>
            <w:vAlign w:val="bottom"/>
          </w:tcPr>
          <w:p w14:paraId="4C477073" w14:textId="0AB47807" w:rsidR="00994926" w:rsidRPr="00D01775" w:rsidRDefault="00994926" w:rsidP="00994926">
            <w:pPr>
              <w:pStyle w:val="SingleTxtG"/>
              <w:tabs>
                <w:tab w:val="clear" w:pos="1701"/>
                <w:tab w:val="clear" w:pos="2268"/>
                <w:tab w:val="clear" w:pos="2835"/>
              </w:tabs>
              <w:spacing w:before="80" w:after="80" w:line="220" w:lineRule="exact"/>
              <w:ind w:left="113" w:right="0"/>
              <w:jc w:val="right"/>
              <w:rPr>
                <w:b/>
                <w:sz w:val="18"/>
              </w:rPr>
            </w:pPr>
            <w:r w:rsidRPr="00D01775">
              <w:rPr>
                <w:b/>
                <w:sz w:val="18"/>
              </w:rPr>
              <w:t>4</w:t>
            </w:r>
          </w:p>
        </w:tc>
        <w:tc>
          <w:tcPr>
            <w:tcW w:w="189" w:type="pct"/>
            <w:tcBorders>
              <w:top w:val="single" w:sz="4" w:space="0" w:color="auto"/>
              <w:bottom w:val="single" w:sz="12" w:space="0" w:color="auto"/>
            </w:tcBorders>
            <w:shd w:val="clear" w:color="auto" w:fill="auto"/>
            <w:tcMar>
              <w:right w:w="28" w:type="dxa"/>
            </w:tcMar>
            <w:vAlign w:val="bottom"/>
          </w:tcPr>
          <w:p w14:paraId="5CEACB12" w14:textId="75A4BF2F" w:rsidR="00994926" w:rsidRPr="00D01775" w:rsidRDefault="00994926" w:rsidP="00994926">
            <w:pPr>
              <w:pStyle w:val="SingleTxtG"/>
              <w:tabs>
                <w:tab w:val="clear" w:pos="1701"/>
                <w:tab w:val="clear" w:pos="2268"/>
                <w:tab w:val="clear" w:pos="2835"/>
              </w:tabs>
              <w:spacing w:before="80" w:after="80" w:line="220" w:lineRule="exact"/>
              <w:ind w:left="113" w:right="0"/>
              <w:jc w:val="right"/>
              <w:rPr>
                <w:b/>
                <w:sz w:val="18"/>
              </w:rPr>
            </w:pPr>
            <w:r w:rsidRPr="00D01775">
              <w:rPr>
                <w:b/>
                <w:sz w:val="18"/>
              </w:rPr>
              <w:t>1</w:t>
            </w:r>
          </w:p>
        </w:tc>
        <w:tc>
          <w:tcPr>
            <w:tcW w:w="213" w:type="pct"/>
            <w:tcBorders>
              <w:top w:val="single" w:sz="4" w:space="0" w:color="auto"/>
              <w:bottom w:val="single" w:sz="12" w:space="0" w:color="auto"/>
            </w:tcBorders>
            <w:shd w:val="clear" w:color="auto" w:fill="auto"/>
            <w:tcMar>
              <w:right w:w="28" w:type="dxa"/>
            </w:tcMar>
            <w:vAlign w:val="bottom"/>
          </w:tcPr>
          <w:p w14:paraId="367D472F" w14:textId="77777777" w:rsidR="00994926" w:rsidRPr="00D01775" w:rsidRDefault="00994926" w:rsidP="00994926">
            <w:pPr>
              <w:pStyle w:val="SingleTxtG"/>
              <w:tabs>
                <w:tab w:val="clear" w:pos="1701"/>
                <w:tab w:val="clear" w:pos="2268"/>
                <w:tab w:val="clear" w:pos="2835"/>
              </w:tabs>
              <w:spacing w:before="80" w:after="80" w:line="220" w:lineRule="exact"/>
              <w:ind w:left="113" w:right="0"/>
              <w:jc w:val="right"/>
              <w:rPr>
                <w:b/>
                <w:sz w:val="18"/>
              </w:rPr>
            </w:pPr>
            <w:r w:rsidRPr="00D01775">
              <w:rPr>
                <w:b/>
                <w:sz w:val="18"/>
              </w:rPr>
              <w:t>424</w:t>
            </w:r>
          </w:p>
        </w:tc>
        <w:tc>
          <w:tcPr>
            <w:tcW w:w="188" w:type="pct"/>
            <w:tcBorders>
              <w:top w:val="single" w:sz="4" w:space="0" w:color="auto"/>
              <w:bottom w:val="single" w:sz="12" w:space="0" w:color="auto"/>
            </w:tcBorders>
            <w:shd w:val="clear" w:color="auto" w:fill="auto"/>
            <w:vAlign w:val="bottom"/>
          </w:tcPr>
          <w:p w14:paraId="21D32F29" w14:textId="77777777" w:rsidR="00994926" w:rsidRPr="00D01775" w:rsidRDefault="00994926" w:rsidP="00994926">
            <w:pPr>
              <w:pStyle w:val="SingleTxtG"/>
              <w:tabs>
                <w:tab w:val="clear" w:pos="1701"/>
                <w:tab w:val="clear" w:pos="2268"/>
                <w:tab w:val="clear" w:pos="2835"/>
              </w:tabs>
              <w:spacing w:before="80" w:after="80" w:line="220" w:lineRule="exact"/>
              <w:ind w:left="113" w:right="0"/>
              <w:jc w:val="right"/>
              <w:rPr>
                <w:b/>
                <w:sz w:val="18"/>
              </w:rPr>
            </w:pPr>
            <w:r w:rsidRPr="00D01775">
              <w:rPr>
                <w:b/>
                <w:sz w:val="18"/>
              </w:rPr>
              <w:t>1</w:t>
            </w:r>
          </w:p>
        </w:tc>
        <w:tc>
          <w:tcPr>
            <w:tcW w:w="188" w:type="pct"/>
            <w:tcBorders>
              <w:top w:val="single" w:sz="4" w:space="0" w:color="auto"/>
              <w:bottom w:val="single" w:sz="12" w:space="0" w:color="auto"/>
            </w:tcBorders>
            <w:shd w:val="clear" w:color="auto" w:fill="auto"/>
            <w:vAlign w:val="bottom"/>
          </w:tcPr>
          <w:p w14:paraId="3DC4F137" w14:textId="77777777" w:rsidR="00994926" w:rsidRPr="00D01775" w:rsidRDefault="00994926" w:rsidP="00994926">
            <w:pPr>
              <w:pStyle w:val="SingleTxtG"/>
              <w:tabs>
                <w:tab w:val="clear" w:pos="1701"/>
                <w:tab w:val="clear" w:pos="2268"/>
                <w:tab w:val="clear" w:pos="2835"/>
              </w:tabs>
              <w:spacing w:before="80" w:after="80" w:line="220" w:lineRule="exact"/>
              <w:ind w:left="113" w:right="0"/>
              <w:jc w:val="right"/>
              <w:rPr>
                <w:b/>
                <w:sz w:val="18"/>
              </w:rPr>
            </w:pPr>
            <w:r w:rsidRPr="00D01775">
              <w:rPr>
                <w:b/>
                <w:sz w:val="18"/>
              </w:rPr>
              <w:t>1</w:t>
            </w:r>
          </w:p>
        </w:tc>
        <w:tc>
          <w:tcPr>
            <w:tcW w:w="188" w:type="pct"/>
            <w:tcBorders>
              <w:top w:val="single" w:sz="4" w:space="0" w:color="auto"/>
              <w:bottom w:val="single" w:sz="12" w:space="0" w:color="auto"/>
            </w:tcBorders>
            <w:shd w:val="clear" w:color="auto" w:fill="auto"/>
            <w:vAlign w:val="bottom"/>
          </w:tcPr>
          <w:p w14:paraId="4766A319" w14:textId="77777777" w:rsidR="00994926" w:rsidRPr="00D01775" w:rsidRDefault="00994926" w:rsidP="00994926">
            <w:pPr>
              <w:pStyle w:val="SingleTxtG"/>
              <w:tabs>
                <w:tab w:val="clear" w:pos="1701"/>
                <w:tab w:val="clear" w:pos="2268"/>
                <w:tab w:val="clear" w:pos="2835"/>
              </w:tabs>
              <w:spacing w:before="80" w:after="80" w:line="220" w:lineRule="exact"/>
              <w:ind w:left="113" w:right="0"/>
              <w:jc w:val="right"/>
              <w:rPr>
                <w:b/>
                <w:sz w:val="18"/>
              </w:rPr>
            </w:pPr>
            <w:r w:rsidRPr="00D01775">
              <w:rPr>
                <w:b/>
                <w:sz w:val="18"/>
              </w:rPr>
              <w:t>14</w:t>
            </w:r>
          </w:p>
        </w:tc>
        <w:tc>
          <w:tcPr>
            <w:tcW w:w="189" w:type="pct"/>
            <w:tcBorders>
              <w:top w:val="single" w:sz="4" w:space="0" w:color="auto"/>
              <w:bottom w:val="single" w:sz="12" w:space="0" w:color="auto"/>
            </w:tcBorders>
            <w:shd w:val="clear" w:color="auto" w:fill="auto"/>
            <w:tcMar>
              <w:right w:w="28" w:type="dxa"/>
            </w:tcMar>
            <w:vAlign w:val="bottom"/>
          </w:tcPr>
          <w:p w14:paraId="478BC0EF" w14:textId="77777777" w:rsidR="00994926" w:rsidRPr="00D01775" w:rsidRDefault="00994926" w:rsidP="00994926">
            <w:pPr>
              <w:pStyle w:val="SingleTxtG"/>
              <w:tabs>
                <w:tab w:val="clear" w:pos="1701"/>
                <w:tab w:val="clear" w:pos="2268"/>
                <w:tab w:val="clear" w:pos="2835"/>
              </w:tabs>
              <w:spacing w:before="80" w:after="80" w:line="220" w:lineRule="exact"/>
              <w:ind w:left="113" w:right="0"/>
              <w:jc w:val="right"/>
              <w:rPr>
                <w:b/>
                <w:sz w:val="18"/>
              </w:rPr>
            </w:pPr>
            <w:r w:rsidRPr="00D01775">
              <w:rPr>
                <w:b/>
                <w:sz w:val="18"/>
              </w:rPr>
              <w:t>1</w:t>
            </w:r>
          </w:p>
        </w:tc>
        <w:tc>
          <w:tcPr>
            <w:tcW w:w="189" w:type="pct"/>
            <w:tcBorders>
              <w:top w:val="single" w:sz="4" w:space="0" w:color="auto"/>
              <w:bottom w:val="single" w:sz="12" w:space="0" w:color="auto"/>
            </w:tcBorders>
            <w:shd w:val="clear" w:color="auto" w:fill="auto"/>
            <w:tcMar>
              <w:right w:w="28" w:type="dxa"/>
            </w:tcMar>
            <w:vAlign w:val="bottom"/>
          </w:tcPr>
          <w:p w14:paraId="512D4F0A" w14:textId="77777777" w:rsidR="00994926" w:rsidRPr="00D01775" w:rsidRDefault="00994926" w:rsidP="00994926">
            <w:pPr>
              <w:pStyle w:val="SingleTxtG"/>
              <w:tabs>
                <w:tab w:val="clear" w:pos="1701"/>
                <w:tab w:val="clear" w:pos="2268"/>
                <w:tab w:val="clear" w:pos="2835"/>
              </w:tabs>
              <w:spacing w:before="80" w:after="80" w:line="220" w:lineRule="exact"/>
              <w:ind w:left="113" w:right="0"/>
              <w:jc w:val="right"/>
              <w:rPr>
                <w:b/>
                <w:sz w:val="18"/>
              </w:rPr>
            </w:pPr>
            <w:r w:rsidRPr="00D01775">
              <w:rPr>
                <w:b/>
                <w:sz w:val="18"/>
              </w:rPr>
              <w:t>3</w:t>
            </w:r>
          </w:p>
        </w:tc>
        <w:tc>
          <w:tcPr>
            <w:tcW w:w="168" w:type="pct"/>
            <w:tcBorders>
              <w:top w:val="single" w:sz="4" w:space="0" w:color="auto"/>
              <w:bottom w:val="single" w:sz="12" w:space="0" w:color="auto"/>
            </w:tcBorders>
            <w:shd w:val="clear" w:color="auto" w:fill="auto"/>
            <w:tcMar>
              <w:right w:w="28" w:type="dxa"/>
            </w:tcMar>
            <w:vAlign w:val="bottom"/>
          </w:tcPr>
          <w:p w14:paraId="523E02A8" w14:textId="77777777" w:rsidR="00994926" w:rsidRPr="00D01775" w:rsidRDefault="00994926" w:rsidP="00994926">
            <w:pPr>
              <w:pStyle w:val="SingleTxtG"/>
              <w:tabs>
                <w:tab w:val="clear" w:pos="1701"/>
                <w:tab w:val="clear" w:pos="2268"/>
                <w:tab w:val="clear" w:pos="2835"/>
              </w:tabs>
              <w:spacing w:before="80" w:after="80" w:line="220" w:lineRule="exact"/>
              <w:ind w:left="113" w:right="0"/>
              <w:jc w:val="right"/>
              <w:rPr>
                <w:b/>
                <w:sz w:val="18"/>
              </w:rPr>
            </w:pPr>
            <w:r w:rsidRPr="00D01775">
              <w:rPr>
                <w:b/>
                <w:sz w:val="18"/>
              </w:rPr>
              <w:t>1</w:t>
            </w:r>
          </w:p>
        </w:tc>
        <w:tc>
          <w:tcPr>
            <w:tcW w:w="295" w:type="pct"/>
            <w:tcBorders>
              <w:top w:val="single" w:sz="4" w:space="0" w:color="auto"/>
              <w:bottom w:val="single" w:sz="12" w:space="0" w:color="auto"/>
            </w:tcBorders>
            <w:shd w:val="clear" w:color="auto" w:fill="auto"/>
            <w:tcMar>
              <w:right w:w="28" w:type="dxa"/>
            </w:tcMar>
            <w:vAlign w:val="bottom"/>
          </w:tcPr>
          <w:p w14:paraId="2FF8C092" w14:textId="70CD3C3E" w:rsidR="00994926" w:rsidRPr="00D01775" w:rsidRDefault="00994926" w:rsidP="00994926">
            <w:pPr>
              <w:pStyle w:val="SingleTxtG"/>
              <w:tabs>
                <w:tab w:val="clear" w:pos="1701"/>
                <w:tab w:val="clear" w:pos="2268"/>
                <w:tab w:val="clear" w:pos="2835"/>
              </w:tabs>
              <w:spacing w:before="80" w:after="80" w:line="220" w:lineRule="exact"/>
              <w:ind w:left="113" w:right="0"/>
              <w:jc w:val="right"/>
              <w:rPr>
                <w:b/>
                <w:sz w:val="18"/>
              </w:rPr>
            </w:pPr>
            <w:r w:rsidRPr="00D01775">
              <w:rPr>
                <w:b/>
                <w:sz w:val="18"/>
              </w:rPr>
              <w:t>1</w:t>
            </w:r>
            <w:r w:rsidR="006839A7">
              <w:rPr>
                <w:b/>
                <w:sz w:val="18"/>
              </w:rPr>
              <w:t xml:space="preserve"> </w:t>
            </w:r>
            <w:r w:rsidRPr="00D01775">
              <w:rPr>
                <w:b/>
                <w:sz w:val="18"/>
              </w:rPr>
              <w:t>013</w:t>
            </w:r>
          </w:p>
        </w:tc>
      </w:tr>
    </w:tbl>
    <w:p w14:paraId="2ECFF767" w14:textId="5208A471" w:rsidR="00D01775" w:rsidRPr="00D01775" w:rsidRDefault="00D01775" w:rsidP="00816C4A">
      <w:pPr>
        <w:pStyle w:val="SingleTxtG"/>
        <w:tabs>
          <w:tab w:val="clear" w:pos="1701"/>
          <w:tab w:val="clear" w:pos="2268"/>
          <w:tab w:val="clear" w:pos="2835"/>
        </w:tabs>
        <w:spacing w:before="120" w:after="240"/>
        <w:ind w:left="0" w:firstLine="170"/>
        <w:jc w:val="left"/>
        <w:rPr>
          <w:sz w:val="18"/>
          <w:szCs w:val="18"/>
        </w:rPr>
      </w:pPr>
      <w:r w:rsidRPr="00D01775">
        <w:rPr>
          <w:i/>
          <w:iCs/>
          <w:sz w:val="18"/>
          <w:szCs w:val="18"/>
          <w:vertAlign w:val="superscript"/>
        </w:rPr>
        <w:t>a</w:t>
      </w:r>
      <w:r w:rsidR="00816C4A">
        <w:rPr>
          <w:i/>
          <w:iCs/>
          <w:sz w:val="18"/>
          <w:szCs w:val="18"/>
          <w:vertAlign w:val="superscript"/>
        </w:rPr>
        <w:t xml:space="preserve">  </w:t>
      </w:r>
      <w:r w:rsidRPr="00D01775">
        <w:rPr>
          <w:sz w:val="18"/>
          <w:szCs w:val="18"/>
        </w:rPr>
        <w:t>Hasta el 1 de abril de 2021</w:t>
      </w:r>
      <w:r w:rsidR="00745D08">
        <w:rPr>
          <w:sz w:val="18"/>
          <w:szCs w:val="18"/>
        </w:rPr>
        <w:t>.</w:t>
      </w:r>
    </w:p>
    <w:p w14:paraId="7B52F737" w14:textId="309966EE" w:rsidR="00D01775" w:rsidRPr="00D01775" w:rsidRDefault="00D01775" w:rsidP="00D01775">
      <w:pPr>
        <w:pStyle w:val="H1G"/>
      </w:pPr>
      <w:r w:rsidRPr="00D01775">
        <w:tab/>
        <w:t>C.</w:t>
      </w:r>
      <w:r w:rsidRPr="00D01775">
        <w:tab/>
        <w:t xml:space="preserve">Evolución desde el 19º período de sesiones (hasta el 1 de abril </w:t>
      </w:r>
      <w:r w:rsidR="00745D08">
        <w:br/>
      </w:r>
      <w:r w:rsidRPr="00D01775">
        <w:t>de 2021)</w:t>
      </w:r>
    </w:p>
    <w:p w14:paraId="38E30027" w14:textId="77777777" w:rsidR="00D01775" w:rsidRPr="00D01775" w:rsidRDefault="00D01775" w:rsidP="00D01775">
      <w:pPr>
        <w:pStyle w:val="SingleTxtG"/>
      </w:pPr>
      <w:r w:rsidRPr="00D01775">
        <w:t>4.</w:t>
      </w:r>
      <w:r w:rsidRPr="00D01775">
        <w:tab/>
        <w:t>En 2020 el Comité registró 192 nuevas peticiones de acción urgente y envió 102 notas de seguimiento en las que se formulaban recomendaciones específicas a los Estados partes en relación con la búsqueda y la investigación en los casos de desaparición forzada. Del 1 de enero al 1 de abril de 2021, el Comité registró 12 nuevas peticiones de acción urgente y envió 17 notas de seguimiento.</w:t>
      </w:r>
    </w:p>
    <w:p w14:paraId="7789A5B7" w14:textId="77777777" w:rsidR="00D01775" w:rsidRPr="00D01775" w:rsidRDefault="00D01775" w:rsidP="00D01775">
      <w:pPr>
        <w:pStyle w:val="SingleTxtG"/>
      </w:pPr>
      <w:r w:rsidRPr="00D01775">
        <w:t>5.</w:t>
      </w:r>
      <w:r w:rsidRPr="00D01775">
        <w:tab/>
        <w:t>Durante todo el procedimiento, el Comité mantiene un contacto constante con los Estados partes, a través de sus respectivas misiones permanentes, y con los autores de las peticiones de acción urgente mediante notas, cartas, reuniones y llamadas telefónicas. El Comité también se apoya en gran medida en la cooperación de las presencias sobre el terreno de la Oficina del Alto Comisionado de las Naciones Unidas para los Derechos Humanos y de otras presencias de las Naciones Unidas sobre el terreno, que en muchas ocasiones transmiten información entre el Comité y los autores de las peticiones de acción urgente (principalmente los familiares de las personas desaparecidas).</w:t>
      </w:r>
    </w:p>
    <w:p w14:paraId="76A75D9B" w14:textId="77777777" w:rsidR="00D01775" w:rsidRPr="00D01775" w:rsidRDefault="00D01775" w:rsidP="00D01775">
      <w:pPr>
        <w:pStyle w:val="SingleTxtG"/>
      </w:pPr>
      <w:r w:rsidRPr="00D01775">
        <w:t>6.</w:t>
      </w:r>
      <w:r w:rsidRPr="00D01775">
        <w:tab/>
        <w:t>La información proporcionada en el contexto del procedimiento de acción urgente confirma una serie de tendencias identificadas en los informes aprobados por el Comité en sus períodos de sesiones 11º a 19º</w:t>
      </w:r>
      <w:r w:rsidRPr="00D01775">
        <w:rPr>
          <w:sz w:val="18"/>
          <w:szCs w:val="18"/>
          <w:vertAlign w:val="superscript"/>
        </w:rPr>
        <w:footnoteReference w:id="3"/>
      </w:r>
      <w:r w:rsidRPr="00D01775">
        <w:t>. Desde el 19º período de sesiones, aproximadamente la mitad de los casos sobre los que el Comité ha registrado peticiones de acción urgente están relacionados con hechos ocurridos en el Iraq.</w:t>
      </w:r>
    </w:p>
    <w:p w14:paraId="0DBEF487" w14:textId="77777777" w:rsidR="00D01775" w:rsidRPr="00D01775" w:rsidRDefault="00D01775" w:rsidP="00D01775">
      <w:pPr>
        <w:pStyle w:val="H23G"/>
      </w:pPr>
      <w:r w:rsidRPr="00D01775">
        <w:tab/>
        <w:t>1.</w:t>
      </w:r>
      <w:r w:rsidRPr="00D01775">
        <w:tab/>
        <w:t>Tendencias generales observadas durante el período abarcado por el informe</w:t>
      </w:r>
    </w:p>
    <w:p w14:paraId="71B7A433" w14:textId="77777777" w:rsidR="00D01775" w:rsidRPr="00D01775" w:rsidRDefault="00D01775" w:rsidP="00D01775">
      <w:pPr>
        <w:pStyle w:val="SingleTxtG"/>
      </w:pPr>
      <w:r w:rsidRPr="00D01775">
        <w:t>7.</w:t>
      </w:r>
      <w:r w:rsidRPr="00D01775">
        <w:tab/>
        <w:t xml:space="preserve">Aunque la intención no es hacer un análisis exhaustivo de toda la información recibida en el marco del procedimiento de urgencia, en los párrafos siguientes figura una descripción </w:t>
      </w:r>
      <w:r w:rsidRPr="00D01775">
        <w:lastRenderedPageBreak/>
        <w:t>de los problemas y tendencias generales observados en algunos de los Estados partes durante el período que se examina.</w:t>
      </w:r>
    </w:p>
    <w:p w14:paraId="2D232B78" w14:textId="77777777" w:rsidR="00D01775" w:rsidRPr="00D01775" w:rsidRDefault="00D01775" w:rsidP="00D01775">
      <w:pPr>
        <w:pStyle w:val="SingleTxtG"/>
      </w:pPr>
      <w:r w:rsidRPr="00D01775">
        <w:t>8.</w:t>
      </w:r>
      <w:r w:rsidRPr="00D01775">
        <w:tab/>
        <w:t>En el período al que se refiere el informe, sobre la base de la información recibida en el contexto del procedimiento de acción urgente, el Comité identificó, para su análisis, los seis problemas que se exponen a continuación.</w:t>
      </w:r>
    </w:p>
    <w:p w14:paraId="394766A6" w14:textId="3A7049AD" w:rsidR="00D01775" w:rsidRPr="00D01775" w:rsidRDefault="00D01775" w:rsidP="000331C6">
      <w:pPr>
        <w:pStyle w:val="H23G"/>
      </w:pPr>
      <w:r w:rsidRPr="00D01775">
        <w:tab/>
        <w:t>a)</w:t>
      </w:r>
      <w:r w:rsidRPr="00D01775">
        <w:tab/>
        <w:t xml:space="preserve">Falta de respuesta de los Estados partes interesados o de los autores </w:t>
      </w:r>
      <w:r w:rsidR="000331C6">
        <w:br/>
      </w:r>
      <w:r w:rsidRPr="00D01775">
        <w:t>de las peticiones de acción urgente</w:t>
      </w:r>
    </w:p>
    <w:p w14:paraId="0339AFCC" w14:textId="77777777" w:rsidR="00D01775" w:rsidRPr="00D01775" w:rsidRDefault="00D01775" w:rsidP="00D01775">
      <w:pPr>
        <w:pStyle w:val="SingleTxtG"/>
      </w:pPr>
      <w:r w:rsidRPr="00D01775">
        <w:t>9.</w:t>
      </w:r>
      <w:r w:rsidRPr="00D01775">
        <w:tab/>
        <w:t>Cuando los Estados partes interesados o los autores de las peticiones de acción urgente no proporcionan información de seguimiento en los plazos establecidos por el Comité, este envía hasta tres recordatorios. La mayoría de los Estados partes colaboran con el Comité proporcionando información de seguimiento y respondiendo a las recomendaciones y solicitudes de información del Comité. No obstante, cuando un Estado parte no responde después del tercer recordatorio, el Comité envía un último recordatorio adicional, señalando que el Estado parte incumple las obligaciones que le incumben en virtud del artículo 30 de la Convención en relación con la acción urgente, e indicando que el Comité puede decidir hacer pública la situación en su informe sobre las peticiones de acción urgente de su siguiente período de sesiones, así como en su siguiente informe a la Asamblea General. Al 1 de abril de 2021, el Comité había enviado ese último recordatorio al Iraq en relación con 280 peticiones de acción urgente.</w:t>
      </w:r>
    </w:p>
    <w:p w14:paraId="5719CF25" w14:textId="77777777" w:rsidR="00D01775" w:rsidRPr="00D01775" w:rsidRDefault="00D01775" w:rsidP="00D01775">
      <w:pPr>
        <w:pStyle w:val="SingleTxtG"/>
      </w:pPr>
      <w:r w:rsidRPr="00D01775">
        <w:t>10.</w:t>
      </w:r>
      <w:r w:rsidRPr="00D01775">
        <w:tab/>
        <w:t>Cabe observar que el Comité ya señaló que el Iraq incumplía las obligaciones que le incumben en virtud del artículo 30 de la Convención en sus tres informes anteriores a la Asamblea General</w:t>
      </w:r>
      <w:r w:rsidRPr="00D01775">
        <w:rPr>
          <w:sz w:val="18"/>
          <w:szCs w:val="18"/>
          <w:vertAlign w:val="superscript"/>
        </w:rPr>
        <w:footnoteReference w:id="4"/>
      </w:r>
      <w:r w:rsidRPr="00D01775">
        <w:t>. Señaló igualmente el incumplimiento al Estado parte en su 19º período de sesiones, en el contexto del examen de la información complementaria presentada por el Iraq con arreglo al artículo 29, párrafo 4, de la Convención</w:t>
      </w:r>
      <w:r w:rsidRPr="00D01775">
        <w:rPr>
          <w:sz w:val="18"/>
          <w:szCs w:val="18"/>
          <w:vertAlign w:val="superscript"/>
        </w:rPr>
        <w:footnoteReference w:id="5"/>
      </w:r>
      <w:r w:rsidRPr="00D01775">
        <w:t>.</w:t>
      </w:r>
    </w:p>
    <w:p w14:paraId="142C9477" w14:textId="77777777" w:rsidR="00D01775" w:rsidRPr="00D01775" w:rsidRDefault="00D01775" w:rsidP="000331C6">
      <w:pPr>
        <w:pStyle w:val="H23G"/>
      </w:pPr>
      <w:r w:rsidRPr="00D01775">
        <w:tab/>
        <w:t>b)</w:t>
      </w:r>
      <w:r w:rsidRPr="00D01775">
        <w:tab/>
        <w:t>Falta de una estrategia de búsqueda e investigación adecuada a cada caso</w:t>
      </w:r>
    </w:p>
    <w:p w14:paraId="0D48516E" w14:textId="32CA3D3D" w:rsidR="00D01775" w:rsidRPr="00D01775" w:rsidRDefault="00D01775" w:rsidP="00D01775">
      <w:pPr>
        <w:pStyle w:val="SingleTxtG"/>
      </w:pPr>
      <w:r w:rsidRPr="00D01775">
        <w:t>11.</w:t>
      </w:r>
      <w:r w:rsidRPr="00D01775">
        <w:tab/>
        <w:t>En relación con casi todas las peticiones de acción urgente registradas, el Comité puso de manifiesto su preocupación por el hecho de que los Estados partes no definieran ni aplicaran una estrategia integral para la búsqueda de las personas desaparecidas y la investigación de su desaparición, en cumplimiento de lo dispuesto en los artículos 12 y 24 de la Convención, incluidos un plan de acción y un calendario revisados periódicamente. A</w:t>
      </w:r>
      <w:r w:rsidR="00745D08">
        <w:t> </w:t>
      </w:r>
      <w:r w:rsidRPr="00D01775">
        <w:t>pesar de los esfuerzos observados en algunos casos, la búsqueda y la investigación parecían llevarse a cabo por lo general mediante acciones aisladas y a menudo descoordinadas, sin ninguna estrategia clara. En esos casos, el Comité pidió a los Estados partes en cuestión que preparasen e implementasen una estrategia para todas las etapas de la búsqueda y la investigación, de conformidad con el principio de diligencia debida —que conlleva rigurosidad, inmediatez y exhaustividad de la investigación, así como competencia e independencia de los profesionales responsables— y con arreglo al principio 8 de los principios rectores para la búsqueda de personas desaparecidas</w:t>
      </w:r>
      <w:r w:rsidRPr="00D01775">
        <w:rPr>
          <w:sz w:val="18"/>
          <w:szCs w:val="18"/>
          <w:vertAlign w:val="superscript"/>
        </w:rPr>
        <w:footnoteReference w:id="6"/>
      </w:r>
      <w:r w:rsidRPr="00D01775">
        <w:t>. En la estrategia adoptada han de determinarse las actividades y comprobaciones que deben realizarse de manera integrada, y su implementación ha de incluir los medios y procedimientos necesarios para localizar a las personas desaparecidas e investigar su desaparición. Durante el período que abarca el informe, se enviaron tales recomendaciones a la Argentina, Camboya, Colombia, Honduras, el Iraq, Lituania y México.</w:t>
      </w:r>
    </w:p>
    <w:p w14:paraId="2A68A548" w14:textId="77777777" w:rsidR="00D01775" w:rsidRPr="00D01775" w:rsidRDefault="00D01775" w:rsidP="000331C6">
      <w:pPr>
        <w:pStyle w:val="H23G"/>
      </w:pPr>
      <w:r w:rsidRPr="00D01775">
        <w:tab/>
        <w:t>c)</w:t>
      </w:r>
      <w:r w:rsidRPr="00D01775">
        <w:tab/>
        <w:t>Falta de coordinación entre los procesos de búsqueda y de investigación</w:t>
      </w:r>
    </w:p>
    <w:p w14:paraId="0B99771A" w14:textId="77777777" w:rsidR="00D01775" w:rsidRPr="00D01775" w:rsidRDefault="00D01775" w:rsidP="00D01775">
      <w:pPr>
        <w:pStyle w:val="SingleTxtG"/>
      </w:pPr>
      <w:r w:rsidRPr="00D01775">
        <w:t>12.</w:t>
      </w:r>
      <w:r w:rsidRPr="00D01775">
        <w:tab/>
        <w:t xml:space="preserve">El Comité ha seguido observando una tendencia a la falta de coordinación entre los procesos de búsqueda y de investigación en la mayoría de las peticiones de acción urgente registradas. Dicha falta de coordinación suele deberse a que las autoridades competentes del Estado no comparten la información y las pruebas que han obtenido en el cumplimiento de sus respectivos mandatos, o no lo hacen de manera sistemática. El Comité ha observado que </w:t>
      </w:r>
      <w:r w:rsidRPr="00D01775">
        <w:lastRenderedPageBreak/>
        <w:t>esta falta de coordinación ha dado lugar a una duplicación de actividades en algunos casos y a lagunas de información en otros, lo que ha provocado retrasos tanto en la búsqueda como en la investigación. En esos casos, el Comité recomendó que se coordinaran las autoridades encargadas de la búsqueda y las encargadas de la investigación, como se establece en el principio 13 de los principios rectores para la búsqueda de personas desaparecidas.</w:t>
      </w:r>
    </w:p>
    <w:p w14:paraId="197ADFEA" w14:textId="77777777" w:rsidR="00D01775" w:rsidRPr="00D01775" w:rsidRDefault="00D01775" w:rsidP="000331C6">
      <w:pPr>
        <w:pStyle w:val="H23G"/>
      </w:pPr>
      <w:r w:rsidRPr="00D01775">
        <w:tab/>
        <w:t>d)</w:t>
      </w:r>
      <w:r w:rsidRPr="00D01775">
        <w:tab/>
        <w:t>Falta de coordinación entre las autoridades federales y las estatales</w:t>
      </w:r>
    </w:p>
    <w:p w14:paraId="19ECC1B7" w14:textId="77777777" w:rsidR="00D01775" w:rsidRPr="00D01775" w:rsidRDefault="00D01775" w:rsidP="00D01775">
      <w:pPr>
        <w:pStyle w:val="SingleTxtG"/>
      </w:pPr>
      <w:r w:rsidRPr="00D01775">
        <w:t>13.</w:t>
      </w:r>
      <w:r w:rsidRPr="00D01775">
        <w:tab/>
        <w:t>En varias peticiones de acción urgente relacionadas con desapariciones en Estados federales, el Comité ha observado una falta de coordinación entre las autoridades federales y las autoridades estatales encargadas de la búsqueda y la investigación. La falta de coordinación hizo que se emprendieran simultáneamente investigaciones en los planos federal y estatal, se duplicasen las actuaciones y faltase información sobre los resultados. En esos casos, el Comité ha recomendado sistemáticamente la coordinación entre las autoridades que realizan las investigaciones en los planos federal y estatal, así como la definición clara de sus respectivas funciones.</w:t>
      </w:r>
    </w:p>
    <w:p w14:paraId="2AD05BAE" w14:textId="00C749F8" w:rsidR="00D01775" w:rsidRPr="00D01775" w:rsidRDefault="00D01775" w:rsidP="000331C6">
      <w:pPr>
        <w:pStyle w:val="H23G"/>
      </w:pPr>
      <w:r w:rsidRPr="00D01775">
        <w:tab/>
        <w:t>e)</w:t>
      </w:r>
      <w:r w:rsidRPr="00D01775">
        <w:tab/>
        <w:t xml:space="preserve">Dificultades para la participación efectiva de los familiares en la búsqueda </w:t>
      </w:r>
      <w:r w:rsidR="000331C6">
        <w:br/>
      </w:r>
      <w:r w:rsidRPr="00D01775">
        <w:t>y la investigación</w:t>
      </w:r>
    </w:p>
    <w:p w14:paraId="1659DFA8" w14:textId="77777777" w:rsidR="00D01775" w:rsidRPr="00D01775" w:rsidRDefault="00D01775" w:rsidP="00D01775">
      <w:pPr>
        <w:pStyle w:val="SingleTxtG"/>
      </w:pPr>
      <w:r w:rsidRPr="00D01775">
        <w:t>14.</w:t>
      </w:r>
      <w:r w:rsidRPr="00D01775">
        <w:tab/>
        <w:t>En la mayoría de los casos, se notificó al Comité la falta de información a los familiares de las personas desaparecidas acerca de las medidas adoptadas y los resultados obtenidos en la búsqueda y la investigación, así como de los obstáculos encontrados por los familiares para participar de manera efectiva en esos procesos. En tales casos, el Comité recomendó a los Estados partes en cuestión que establecieran mecanismos claros y oficiales para informar periódicamente a los familiares y representantes de las personas desaparecidas sobre el estado de la búsqueda y la investigación, y que permitieran su plena participación en ambos procesos, dándoles acceso a toda información pertinente sobre los avances y los resultados, de conformidad con el artículo 24 de la Convención y el principio 5 de los principios rectores para la búsqueda de personas desaparecidas.</w:t>
      </w:r>
    </w:p>
    <w:p w14:paraId="10E5E16A" w14:textId="786D5395" w:rsidR="00D01775" w:rsidRPr="00D01775" w:rsidRDefault="00D01775" w:rsidP="000331C6">
      <w:pPr>
        <w:pStyle w:val="H23G"/>
      </w:pPr>
      <w:r w:rsidRPr="00D01775">
        <w:tab/>
        <w:t>f)</w:t>
      </w:r>
      <w:r w:rsidRPr="00D01775">
        <w:tab/>
        <w:t xml:space="preserve">Principales dificultades respecto de la aplicación de las medidas cautelares </w:t>
      </w:r>
      <w:r w:rsidR="000331C6">
        <w:br/>
      </w:r>
      <w:r w:rsidRPr="00D01775">
        <w:t>solicitadas por el Comité</w:t>
      </w:r>
    </w:p>
    <w:p w14:paraId="5E054785" w14:textId="77777777" w:rsidR="00D01775" w:rsidRPr="00D01775" w:rsidRDefault="00D01775" w:rsidP="00D01775">
      <w:pPr>
        <w:pStyle w:val="SingleTxtG"/>
      </w:pPr>
      <w:r w:rsidRPr="00D01775">
        <w:t>15.</w:t>
      </w:r>
      <w:r w:rsidRPr="00D01775">
        <w:tab/>
        <w:t>Durante el período que abarca el informe, el Comité tuvo conocimiento de familiares de personas desaparecidas que habían sido objeto de amenazas e intimidaciones por insistir en que se investigara la desaparición forzada de sus allegados o por llevar a cabo actividades de búsqueda. Dichas amenazas presentaban las mismas características que en otros períodos examinados con anterioridad y adoptaban diversas formas, como amenazas de muerte, rondas de vigilancia en las inmediaciones de las viviendas de las personas afectadas y decisiones procesales que iban en detrimento de la protección que se había concedido a dichas personas. En esos casos, el Comité pidió nuevamente a los Estados partes en cuestión que adoptaran las medidas cautelares necesarias para proteger la vida y la seguridad de las personas afectadas y les permitieran buscar a sus familiares desaparecidos sin ser objeto de actos de violencia y hostigamiento. El Comité también subrayó la importancia de que los planes de protección se revisaran periódicamente en consulta con las personas a las que iban dirigidos, en especial en lo referente a las modalidades de las medidas de protección y a las instituciones encargadas de su aplicación, a fin de que contaran con la plena confianza de esas personas.</w:t>
      </w:r>
    </w:p>
    <w:p w14:paraId="0B959302" w14:textId="77777777" w:rsidR="00D01775" w:rsidRPr="00D01775" w:rsidRDefault="00D01775" w:rsidP="000331C6">
      <w:pPr>
        <w:pStyle w:val="H23G"/>
      </w:pPr>
      <w:r w:rsidRPr="00D01775">
        <w:tab/>
        <w:t>2.</w:t>
      </w:r>
      <w:r w:rsidRPr="00D01775">
        <w:tab/>
        <w:t>Tendencias específicas en relación con el Iraq y México</w:t>
      </w:r>
    </w:p>
    <w:p w14:paraId="04357777" w14:textId="77777777" w:rsidR="00D01775" w:rsidRPr="00D01775" w:rsidRDefault="00D01775" w:rsidP="00D01775">
      <w:pPr>
        <w:pStyle w:val="SingleTxtG"/>
      </w:pPr>
      <w:r w:rsidRPr="00D01775">
        <w:t>16.</w:t>
      </w:r>
      <w:r w:rsidRPr="00D01775">
        <w:tab/>
        <w:t>Durante el período que se examina, el Iraq y México siguieron siendo los dos Estados partes en relación con los que se registraron más peticiones de acción urgente, y en la actualidad representan el 91 % de todas las peticiones de acción urgente registradas. El Comité considera necesario señalar las principales tendencias observadas en estos casos.</w:t>
      </w:r>
    </w:p>
    <w:p w14:paraId="1234CB80" w14:textId="77777777" w:rsidR="00D01775" w:rsidRPr="00D01775" w:rsidRDefault="00D01775" w:rsidP="000331C6">
      <w:pPr>
        <w:pStyle w:val="H23G"/>
      </w:pPr>
      <w:r w:rsidRPr="00D01775">
        <w:tab/>
        <w:t>a)</w:t>
      </w:r>
      <w:r w:rsidRPr="00D01775">
        <w:tab/>
      </w:r>
      <w:r w:rsidRPr="00D01775">
        <w:rPr>
          <w:bCs/>
        </w:rPr>
        <w:t>Iraq</w:t>
      </w:r>
    </w:p>
    <w:p w14:paraId="0E6FBAFB" w14:textId="77777777" w:rsidR="00D01775" w:rsidRPr="00D01775" w:rsidRDefault="00D01775" w:rsidP="00D01775">
      <w:pPr>
        <w:pStyle w:val="SingleTxtG"/>
      </w:pPr>
      <w:r w:rsidRPr="00D01775">
        <w:t>17.</w:t>
      </w:r>
      <w:r w:rsidRPr="00D01775">
        <w:tab/>
        <w:t>Al 1 de abril de 2021, el Comité había registrado un total de 492 casos relacionados con hechos ocurridos en el Iraq, lo que supone el 49 % de todas las peticiones de acción urgente registradas hasta el momento. El Comité está muy preocupado por el hecho de que solo en 26 de esos casos se haya localizado a las personas desaparecidas.</w:t>
      </w:r>
    </w:p>
    <w:p w14:paraId="6F64DB9D" w14:textId="77777777" w:rsidR="00D01775" w:rsidRPr="00D01775" w:rsidRDefault="00D01775" w:rsidP="00D01775">
      <w:pPr>
        <w:pStyle w:val="SingleTxtG"/>
      </w:pPr>
      <w:r w:rsidRPr="00D01775">
        <w:lastRenderedPageBreak/>
        <w:t>18.</w:t>
      </w:r>
      <w:r w:rsidRPr="00D01775">
        <w:tab/>
        <w:t>Preocupa también al Comité el hecho de que el Iraq, a pesar de varios recordatorios, siga sin responder a la mayoría de las peticiones de acción urgente registradas en relación con incidentes ocurridos en su territorio. Durante el período que se examina se enviaron cuatro recordatorios en relación con 280 de las peticiones de acción urgente registradas. El Comité observa con preocupación que, en algunos casos, el Estado parte respondió a un último recordatorio solicitando información personal sobre las víctimas que ya había sido facilitada en la nota de registro inicial.</w:t>
      </w:r>
    </w:p>
    <w:p w14:paraId="0B4A0B3A" w14:textId="77777777" w:rsidR="00D01775" w:rsidRPr="00D01775" w:rsidRDefault="00D01775" w:rsidP="00D01775">
      <w:pPr>
        <w:pStyle w:val="SingleTxtG"/>
      </w:pPr>
      <w:r w:rsidRPr="00D01775">
        <w:t>19.</w:t>
      </w:r>
      <w:r w:rsidRPr="00D01775">
        <w:tab/>
        <w:t>En los casos en que el Estado parte envió una respuesta al Comité, esta siguió la tendencia observada por el Comité en sus informes anteriores, es decir, la falta de información proporcionada por el Estado parte sobre las medidas adoptadas para buscar a las personas desaparecidas o investigar su presunta desaparición forzada. Además, el Estado parte no aclaró los procedimientos que estaban a disposición de las víctimas.</w:t>
      </w:r>
    </w:p>
    <w:p w14:paraId="329D66D8" w14:textId="77777777" w:rsidR="00D01775" w:rsidRPr="00D01775" w:rsidRDefault="00D01775" w:rsidP="00D01775">
      <w:pPr>
        <w:pStyle w:val="SingleTxtG"/>
      </w:pPr>
      <w:r w:rsidRPr="00D01775">
        <w:t>20.</w:t>
      </w:r>
      <w:r w:rsidRPr="00D01775">
        <w:tab/>
        <w:t>Como ya hizo en ocasiones anteriores, el Estado parte se limitó en varias de sus respuestas a afirmar que las presuntas víctimas estaban afiliadas a grupos terroristas, sin proporcionar más información sobre las acusaciones concretas imputadas, las actuaciones iniciadas o las órdenes de detención emitidas contra ellas. En estos casos, el Comité recordó al Estado parte que la obligación de buscar a la persona desaparecida e investigar su desaparición debía cumplirse con independencia del perfil o la afiliación política de la persona.</w:t>
      </w:r>
    </w:p>
    <w:p w14:paraId="5B7F3DD7" w14:textId="77777777" w:rsidR="00D01775" w:rsidRPr="00D01775" w:rsidRDefault="00D01775" w:rsidP="00D01775">
      <w:pPr>
        <w:pStyle w:val="SingleTxtG"/>
      </w:pPr>
      <w:r w:rsidRPr="00D01775">
        <w:t>21.</w:t>
      </w:r>
      <w:r w:rsidRPr="00D01775">
        <w:tab/>
        <w:t>En relación con varias peticiones de acción urgente, el Estado parte informó al Comité de que, en el contexto de las investigaciones sobre la presunta desaparición forzada, el departamento forense del Ministerio de Salud estaba solicitando la presencia de familiares de primer grado de las personas desaparecidas por si estos podían identificar a esas personas entre las fotografías de cuerpos no identificados. No obstante, el Estado parte no aclaró si ya se había puesto en contacto con los familiares con ese fin y, de no ser así, por qué no lo había hecho.</w:t>
      </w:r>
    </w:p>
    <w:p w14:paraId="3B7444FC" w14:textId="77777777" w:rsidR="00D01775" w:rsidRPr="00D01775" w:rsidRDefault="00D01775" w:rsidP="00D01775">
      <w:pPr>
        <w:pStyle w:val="SingleTxtG"/>
      </w:pPr>
      <w:r w:rsidRPr="00D01775">
        <w:t>22.</w:t>
      </w:r>
      <w:r w:rsidRPr="00D01775">
        <w:tab/>
        <w:t>Durante el período examinado, el Comité no registró ninguna otra petición de acción urgente en relación con la desaparición de personas que habían participado en las protestas iniciadas en octubre de 2019, principalmente en la plaza Tahrir de Bagdad, o que habían prestado algún tipo de apoyo a los participantes, hecho que el Comité había abordado ampliamente en su informe sobre las peticiones de acción urgente aprobado en su 19º período de sesiones. Así pues, sigue habiendo 28 peticiones de ese tipo, y el Estado parte aún no ha dado respuesta a 13 de ellas.</w:t>
      </w:r>
    </w:p>
    <w:p w14:paraId="76875641" w14:textId="77777777" w:rsidR="00D01775" w:rsidRPr="00D01775" w:rsidRDefault="00D01775" w:rsidP="000331C6">
      <w:pPr>
        <w:pStyle w:val="H23G"/>
      </w:pPr>
      <w:r w:rsidRPr="00D01775">
        <w:tab/>
        <w:t>b)</w:t>
      </w:r>
      <w:r w:rsidRPr="00D01775">
        <w:tab/>
        <w:t>México</w:t>
      </w:r>
    </w:p>
    <w:p w14:paraId="4104EC3B" w14:textId="68999C48" w:rsidR="00D01775" w:rsidRPr="00D01775" w:rsidRDefault="00D01775" w:rsidP="00D01775">
      <w:pPr>
        <w:pStyle w:val="SingleTxtG"/>
      </w:pPr>
      <w:r w:rsidRPr="00D01775">
        <w:t>23.</w:t>
      </w:r>
      <w:r w:rsidRPr="00D01775">
        <w:tab/>
        <w:t xml:space="preserve">Al 1 de abril de 2021, el Comité había registrado un total de 424 peticiones de acción urgente en relación con hechos ocurridos en México, lo que supone el 42 % de todas las peticiones de acción urgente registradas hasta el momento. De estos 424 casos, 46 se han cerrado al haberse localizado a las personas desaparecidas, mientras que los casos restantes siguen abiertos o se han suspendido (véanse los párrs. 32 y 33 </w:t>
      </w:r>
      <w:r w:rsidRPr="00D01775">
        <w:rPr>
          <w:i/>
          <w:iCs/>
        </w:rPr>
        <w:t>infra</w:t>
      </w:r>
      <w:r w:rsidRPr="00D01775">
        <w:t>). El Comité celebra que haya aumentado el número de respuestas proporcionadas por el Estado parte en relación con las peticiones registradas, aunque todavía se enviaron recordatorios respecto de aproximadamente la mitad de los casos. En la mayoría de los casos, tras recibir las respuestas del Estado parte, el Comité envió notas de seguimiento en las que reiteró varias de sus recomendaciones anteriores en relación con la preparación e implementación de estrategias de búsqueda e investigación por parte de las autoridades competentes (véanse los párrs. 11 a</w:t>
      </w:r>
      <w:r w:rsidR="00745D08">
        <w:t> </w:t>
      </w:r>
      <w:r w:rsidRPr="00D01775">
        <w:t xml:space="preserve">13 </w:t>
      </w:r>
      <w:r w:rsidRPr="00D01775">
        <w:rPr>
          <w:i/>
          <w:iCs/>
        </w:rPr>
        <w:t>supra</w:t>
      </w:r>
      <w:r w:rsidRPr="00D01775">
        <w:t>).</w:t>
      </w:r>
    </w:p>
    <w:p w14:paraId="74E76D92" w14:textId="77777777" w:rsidR="00D01775" w:rsidRPr="00D01775" w:rsidRDefault="00D01775" w:rsidP="00D01775">
      <w:pPr>
        <w:pStyle w:val="SingleTxtG"/>
      </w:pPr>
      <w:r w:rsidRPr="00D01775">
        <w:t>24.</w:t>
      </w:r>
      <w:r w:rsidRPr="00D01775">
        <w:tab/>
        <w:t xml:space="preserve">El Comité ha sido informado con frecuencia de la falta de coordinación entre las autoridades federales y las estatales que se encargan de la búsqueda y la investigación en México, lo que obstaculiza los avances o incluso impide que los haya. En algunos casos, se informó al Comité de que las autoridades estatales se habían negado a colaborar con las autoridades federales. En estos casos, el Comité envió notas de seguimiento solicitando que las autoridades responsables en los distintos niveles definieran claramente y coordinaran sus respectivas funciones (véase el párr. 13 </w:t>
      </w:r>
      <w:r w:rsidRPr="00D01775">
        <w:rPr>
          <w:i/>
          <w:iCs/>
        </w:rPr>
        <w:t>supra</w:t>
      </w:r>
      <w:r w:rsidRPr="00D01775">
        <w:t>).</w:t>
      </w:r>
    </w:p>
    <w:p w14:paraId="6D636795" w14:textId="77777777" w:rsidR="00D01775" w:rsidRPr="00D01775" w:rsidRDefault="00D01775" w:rsidP="00D01775">
      <w:pPr>
        <w:pStyle w:val="SingleTxtG"/>
      </w:pPr>
      <w:r w:rsidRPr="00D01775">
        <w:t>25.</w:t>
      </w:r>
      <w:r w:rsidRPr="00D01775">
        <w:tab/>
        <w:t xml:space="preserve">El Comité, en las recomendaciones que ha formulado a México, también ha señalado en varias ocasiones la obligación que incumbe al Estado parte en virtud de la Convención de </w:t>
      </w:r>
      <w:r w:rsidRPr="00D01775">
        <w:lastRenderedPageBreak/>
        <w:t xml:space="preserve">velar por que las víctimas sean informadas periódicamente sobre las medidas adoptadas por las autoridades encargadas de la búsqueda y la investigación, y de hacerlas partícipes en el proceso. Durante el período que se examina, los avances realizados en los procesos siguieron dependiendo en gran medida de las iniciativas y acciones emprendidas por los familiares de las personas desaparecidas. En varios casos, el hecho de que las víctimas pudieran interactuar con las autoridades del Estado parte encargadas de la búsqueda y la investigación fue clave para que se lograran avances. Aun así, los autores de las peticiones de acción urgente señalaron a menudo las dificultades que experimentaban para que las autoridades tuvieran en cuenta con la diligencia necesaria la información que les proporcionaban. También se lamentaron de que, con frecuencia, no se realizaban investigaciones </w:t>
      </w:r>
      <w:r w:rsidRPr="00D01775">
        <w:rPr>
          <w:i/>
          <w:iCs/>
        </w:rPr>
        <w:t>in situ</w:t>
      </w:r>
      <w:r w:rsidRPr="00D01775">
        <w:t xml:space="preserve"> ni análisis exhaustivos de las pruebas disponibles.</w:t>
      </w:r>
    </w:p>
    <w:p w14:paraId="1989AE8D" w14:textId="77777777" w:rsidR="00D01775" w:rsidRPr="00D01775" w:rsidRDefault="00D01775" w:rsidP="00D01775">
      <w:pPr>
        <w:pStyle w:val="SingleTxtG"/>
      </w:pPr>
      <w:r w:rsidRPr="00D01775">
        <w:t>26.</w:t>
      </w:r>
      <w:r w:rsidRPr="00D01775">
        <w:tab/>
        <w:t>Los autores de peticiones de acción urgente relacionadas con hechos ocurridos en México siguieron afirmando frecuentemente que había autoridades estatales que estaban directa o indirectamente involucradas en los hechos relacionados con las desapariciones y que los procesos de búsqueda e investigación se habían quedado estancados. En los casos en que los hechos habían ocurrido varios años atrás, los autores señalaron repetidamente la responsabilidad de las autoridades del Estado parte por su falta de diligencia y dijeron que dicha inacción constituía un factor adicional de responsabilidad por la presunta desaparición forzada. En esos casos, el Comité recalcó al Estado parte la importancia de establecer mecanismos para exigir responsabilidades a los funcionarios públicos encargados de las tareas de búsqueda e investigación y le pidió que investigara las afirmaciones de que esos funcionarios habían obstaculizado las actuaciones.</w:t>
      </w:r>
    </w:p>
    <w:p w14:paraId="51FA0E98" w14:textId="77777777" w:rsidR="00D01775" w:rsidRPr="00D01775" w:rsidRDefault="00D01775" w:rsidP="00D01775">
      <w:pPr>
        <w:pStyle w:val="SingleTxtG"/>
      </w:pPr>
      <w:r w:rsidRPr="00D01775">
        <w:t>27.</w:t>
      </w:r>
      <w:r w:rsidRPr="00D01775">
        <w:tab/>
        <w:t>Durante el período que se examina, el Comité recibió 45 peticiones de acción urgente referidas a casos de presuntas desapariciones en el estado de Nayarit en las que había participado, de manera directa o indirecta, personal de la Fiscalía General de ese estado. En estas peticiones, se afirmaba que el ex Fiscal General de Nayarit, Edgar Veytia, que había sido condenado por tráfico de estupefacientes en los Estados Unidos de América, mantenía vínculos con la delincuencia organizada y había estado implicado en numerosos casos de desapariciones forzadas y otras violaciones de los derechos humanos en ese estado. En algunas de las peticiones de acción urgente se afirmaba también que funcionarios actualmente adscritos a la Fiscalía Especializada en Investigación de Personas Desaparecidas del estado de Nayarit habían estado involucrados en los casos de desaparición forzada o habían trabajado en estrecha colaboración con el Sr. Veytia. Si bien en algunos de estos casos se había identificado a los presuntos infractores, no se habían llevado a cabo investigaciones para establecer su responsabilidad. En tales casos, el Comité pidió al Estado parte que adoptara las medidas necesarias para investigar y sancionar toda actividad o intervención de las autoridades que tuviera por objeto obstaculizar la búsqueda e investigación efectivas en el contexto de las desapariciones forzadas y, en particular, que investigara a los funcionarios de la Fiscalía que pudieran haber tenido vínculos con el Sr. Veytia a fin de determinar su posible participación en las desapariciones en cuestión. El Comité pidió además al Estado parte que se asegurase de la competencia y la independencia de la Fiscalía Especializada.</w:t>
      </w:r>
    </w:p>
    <w:p w14:paraId="010EBFFA" w14:textId="77777777" w:rsidR="00D01775" w:rsidRPr="00D01775" w:rsidRDefault="00D01775" w:rsidP="00D01775">
      <w:pPr>
        <w:pStyle w:val="SingleTxtG"/>
      </w:pPr>
      <w:r w:rsidRPr="00D01775">
        <w:t>28.</w:t>
      </w:r>
      <w:r w:rsidRPr="00D01775">
        <w:tab/>
        <w:t>Los autores de las peticiones de acción urgente también hicieron a menudo referencia a las dificultades encontradas por los familiares de las personas desaparecidas para acceder a las ayudas a que tenían derecho en virtud de la legislación nacional y del artículo 24, párrafo 6, de la Convención. De conformidad con lo dispuesto en ese artículo, los Estados partes deben adoptar las disposiciones apropiadas en relación con la situación legal de las personas desaparecidas cuya suerte no haya sido esclarecida y de sus allegados, en ámbitos tales como la protección social, las cuestiones económicas, el derecho de familia y los derechos de propiedad. En todos esos casos, el Comité indicó al Estado parte las medidas que era necesario adoptar en función de las necesidades específicas de los familiares de la persona desaparecida, en relación con cuestiones como el acceso a la alimentación, la educación, la vivienda o los servicios de atención de la salud. Asimismo, recordó la obligación que incumbía a las autoridades competentes del Estado parte de informar a los familiares de la persona desaparecida acerca del contenido, el alcance y los plazos de las ayudas que podían recibir de esas autoridades. El Comité pidió al Estado parte que se asegurara de que, al formular y revisar los planes de apoyo, la Comisión Ejecutiva de Atención a Víctimas tuviera debidamente en cuenta la situación y las necesidades de las personas a las que iban dirigidos.</w:t>
      </w:r>
    </w:p>
    <w:p w14:paraId="2DE79CBC" w14:textId="152C6695" w:rsidR="00D01775" w:rsidRPr="00D01775" w:rsidRDefault="00D01775" w:rsidP="000331C6">
      <w:pPr>
        <w:pStyle w:val="H23G"/>
      </w:pPr>
      <w:r w:rsidRPr="00D01775">
        <w:lastRenderedPageBreak/>
        <w:tab/>
        <w:t>3.</w:t>
      </w:r>
      <w:r w:rsidRPr="00D01775">
        <w:tab/>
        <w:t xml:space="preserve">Evolución de la situación en Burkina Faso, Marruecos, el Paraguay </w:t>
      </w:r>
      <w:r w:rsidR="000331C6">
        <w:br/>
      </w:r>
      <w:r w:rsidRPr="00D01775">
        <w:t>y el Perú</w:t>
      </w:r>
    </w:p>
    <w:p w14:paraId="297493A5" w14:textId="77777777" w:rsidR="00D01775" w:rsidRPr="00D01775" w:rsidRDefault="00D01775" w:rsidP="00D01775">
      <w:pPr>
        <w:pStyle w:val="SingleTxtG"/>
      </w:pPr>
      <w:r w:rsidRPr="00D01775">
        <w:t>29.</w:t>
      </w:r>
      <w:r w:rsidRPr="00D01775">
        <w:tab/>
      </w:r>
      <w:r w:rsidRPr="00D01775">
        <w:rPr>
          <w:b/>
          <w:bCs/>
        </w:rPr>
        <w:t>Desaparición forzada de un miembro de un grupo indígena.</w:t>
      </w:r>
      <w:r w:rsidRPr="00D01775">
        <w:t xml:space="preserve"> Durante el período al que se refiere el informe, el Comité registró la primera petición de acción urgente en relación con Burkina Faso. La petición se refería a la presunta desaparición forzada de un miembro del grupo étnico fulani tras haber sido detenido por miembros de la Gendarmería.</w:t>
      </w:r>
    </w:p>
    <w:p w14:paraId="7850DA85" w14:textId="77777777" w:rsidR="00D01775" w:rsidRPr="00D01775" w:rsidRDefault="00D01775" w:rsidP="00D01775">
      <w:pPr>
        <w:pStyle w:val="SingleTxtG"/>
      </w:pPr>
      <w:r w:rsidRPr="00D01775">
        <w:t>30.</w:t>
      </w:r>
      <w:r w:rsidRPr="00D01775">
        <w:tab/>
      </w:r>
      <w:r w:rsidRPr="00D01775">
        <w:rPr>
          <w:b/>
          <w:bCs/>
        </w:rPr>
        <w:t>Desaparición forzada en el contexto de la lucha contra las guerrillas.</w:t>
      </w:r>
      <w:r w:rsidRPr="00D01775">
        <w:t xml:space="preserve"> El Comité también registró la primera petición de acción urgente en relación con el Paraguay. La petición se refería a la presunta desaparición forzada de una niña en el contexto de una operación dirigida por un equipo de tareas conjunto de la policía y el ejército creado para luchar contra el Ejército del Pueblo Paraguayo, una organización guerrillera. En su nota de seguimiento, el Comité expresó preocupación por la falta de información sobre medidas concretas adoptadas para buscar y localizar a la niña e investigar su desaparición, por ejemplo, el examen de la posibilidad de que hubiera sido detenida por el Ejército del Pueblo Paraguayo.</w:t>
      </w:r>
    </w:p>
    <w:p w14:paraId="50DC2401" w14:textId="5C3DFCD1" w:rsidR="00D01775" w:rsidRPr="00D01775" w:rsidRDefault="00D01775" w:rsidP="00D01775">
      <w:pPr>
        <w:pStyle w:val="SingleTxtG"/>
      </w:pPr>
      <w:r w:rsidRPr="00D01775">
        <w:t>31.</w:t>
      </w:r>
      <w:r w:rsidRPr="00D01775">
        <w:tab/>
      </w:r>
      <w:r w:rsidRPr="00D01775">
        <w:rPr>
          <w:b/>
          <w:bCs/>
        </w:rPr>
        <w:t>Desaparición forzada en el contexto de manifestaciones.</w:t>
      </w:r>
      <w:r w:rsidRPr="00D01775">
        <w:t xml:space="preserve"> El Comité registró 13</w:t>
      </w:r>
      <w:r w:rsidR="00745D08">
        <w:t> </w:t>
      </w:r>
      <w:r w:rsidRPr="00D01775">
        <w:t xml:space="preserve">peticiones de acción urgente en relación con el Perú. Las peticiones se referían a la presunta desaparición forzada de participantes en las protestas contra el Presidente que tuvieron lugar en Lima en noviembre de 2020. Estos casos se cerraron después de que los detenidos fueran localizados y puestos en libertad (véase el párr. 37 </w:t>
      </w:r>
      <w:r w:rsidRPr="00D01775">
        <w:rPr>
          <w:i/>
          <w:iCs/>
        </w:rPr>
        <w:t>infra</w:t>
      </w:r>
      <w:r w:rsidRPr="00D01775">
        <w:t>).</w:t>
      </w:r>
    </w:p>
    <w:p w14:paraId="285E0A04" w14:textId="77777777" w:rsidR="00D01775" w:rsidRPr="00D01775" w:rsidRDefault="00D01775" w:rsidP="00D01775">
      <w:pPr>
        <w:pStyle w:val="SingleTxtG"/>
      </w:pPr>
      <w:r w:rsidRPr="00D01775">
        <w:t>32.</w:t>
      </w:r>
      <w:r w:rsidRPr="00D01775">
        <w:tab/>
      </w:r>
      <w:r w:rsidRPr="00D01775">
        <w:rPr>
          <w:b/>
          <w:bCs/>
        </w:rPr>
        <w:t>Desaparición forzada en el contexto de la extradición.</w:t>
      </w:r>
      <w:r w:rsidRPr="00D01775">
        <w:t xml:space="preserve"> El Comité registró una petición de acción urgente en relación con la desaparición de una persona que había sido extraditada a la Arabia Saudita desde Marruecos y cuya ubicación no había sido comunicada por las autoridades saudíes a los familiares. En este caso, el Comité pidió al Estado parte que cooperase con las autoridades saudíes a fin de localizar a la persona e investigar sobre su presunta desaparición forzada, en cumplimiento de las obligaciones que le incumben en virtud de los artículos 14 y 15 de la Convención.</w:t>
      </w:r>
    </w:p>
    <w:p w14:paraId="3AB2F227" w14:textId="29C43BFC" w:rsidR="00D01775" w:rsidRPr="00D01775" w:rsidRDefault="00D01775" w:rsidP="000331C6">
      <w:pPr>
        <w:pStyle w:val="H1G"/>
      </w:pPr>
      <w:r w:rsidRPr="00D01775">
        <w:tab/>
        <w:t>D.</w:t>
      </w:r>
      <w:r w:rsidRPr="00D01775">
        <w:tab/>
        <w:t xml:space="preserve">Acciones urgentes discontinuadas, cerradas, mantenidas abiertas </w:t>
      </w:r>
      <w:r w:rsidR="000331C6">
        <w:br/>
      </w:r>
      <w:r w:rsidRPr="00D01775">
        <w:t xml:space="preserve">o suspendidas para la protección de las personas a favor de las </w:t>
      </w:r>
      <w:r w:rsidR="000331C6">
        <w:br/>
      </w:r>
      <w:r w:rsidRPr="00D01775">
        <w:t>cuales se han otorgado medidas cautelares</w:t>
      </w:r>
    </w:p>
    <w:p w14:paraId="7E008C91" w14:textId="77777777" w:rsidR="00D01775" w:rsidRPr="00D01775" w:rsidRDefault="00D01775" w:rsidP="00D01775">
      <w:pPr>
        <w:pStyle w:val="SingleTxtG"/>
      </w:pPr>
      <w:r w:rsidRPr="00D01775">
        <w:t>33.</w:t>
      </w:r>
      <w:r w:rsidRPr="00D01775">
        <w:tab/>
        <w:t>De conformidad con los criterios adoptados en sesión plenaria por el Comité en su octavo período de sesiones:</w:t>
      </w:r>
    </w:p>
    <w:p w14:paraId="761DA509" w14:textId="77777777" w:rsidR="00D01775" w:rsidRPr="00D01775" w:rsidRDefault="00D01775" w:rsidP="00D01775">
      <w:pPr>
        <w:pStyle w:val="SingleTxtG"/>
      </w:pPr>
      <w:r w:rsidRPr="00D01775">
        <w:tab/>
        <w:t>a)</w:t>
      </w:r>
      <w:r w:rsidRPr="00D01775">
        <w:tab/>
        <w:t>Se discontinúa una acción urgente cuando la persona desaparecida ha sido localizada, pero sigue privada de libertad; esta medida se adopta porque la persona es especialmente vulnerable a ser víctima de una nueva desaparición forzada y a ser sustraída del amparo de la ley;</w:t>
      </w:r>
    </w:p>
    <w:p w14:paraId="6A514EF7" w14:textId="77777777" w:rsidR="00D01775" w:rsidRPr="00D01775" w:rsidRDefault="00D01775" w:rsidP="00D01775">
      <w:pPr>
        <w:pStyle w:val="SingleTxtG"/>
      </w:pPr>
      <w:r w:rsidRPr="00D01775">
        <w:tab/>
        <w:t>b)</w:t>
      </w:r>
      <w:r w:rsidRPr="00D01775">
        <w:tab/>
        <w:t>Se cierra una acción urgente cuando la persona desaparecida ha sido localizada en libertad, o localizada y puesta en libertad, o hallada sin vida, siempre que los familiares o los autores de la petición no cuestionen estos hechos;</w:t>
      </w:r>
    </w:p>
    <w:p w14:paraId="4C4F4DF2" w14:textId="77777777" w:rsidR="00D01775" w:rsidRPr="00D01775" w:rsidRDefault="00D01775" w:rsidP="00D01775">
      <w:pPr>
        <w:pStyle w:val="SingleTxtG"/>
      </w:pPr>
      <w:r w:rsidRPr="00D01775">
        <w:tab/>
        <w:t>c)</w:t>
      </w:r>
      <w:r w:rsidRPr="00D01775">
        <w:tab/>
        <w:t>Se mantiene abierta una acción urgente cuando la persona desaparecida ha sido localizada pero las personas a favor de las cuales se han otorgado medidas cautelares en el contexto de la acción urgente siguen amenazadas; en estos casos, la intervención del Comité se limita al seguimiento de las medidas cautelares.</w:t>
      </w:r>
    </w:p>
    <w:p w14:paraId="196E0C31" w14:textId="77777777" w:rsidR="00D01775" w:rsidRPr="00D01775" w:rsidRDefault="00D01775" w:rsidP="00D01775">
      <w:pPr>
        <w:pStyle w:val="SingleTxtG"/>
      </w:pPr>
      <w:r w:rsidRPr="00D01775">
        <w:t>34.</w:t>
      </w:r>
      <w:r w:rsidRPr="00D01775">
        <w:tab/>
        <w:t>Además de estos criterios, el Comité adoptó la siguiente nueva categoría de casos en su 20º período de sesiones:</w:t>
      </w:r>
    </w:p>
    <w:p w14:paraId="2DD66E06" w14:textId="683DF741" w:rsidR="00D01775" w:rsidRPr="00D01775" w:rsidRDefault="000331C6" w:rsidP="00D01775">
      <w:pPr>
        <w:pStyle w:val="SingleTxtG"/>
      </w:pPr>
      <w:r>
        <w:tab/>
      </w:r>
      <w:r w:rsidR="00D01775" w:rsidRPr="00D01775">
        <w:t>d)</w:t>
      </w:r>
      <w:r w:rsidR="00D01775" w:rsidRPr="00D01775">
        <w:tab/>
        <w:t>Una acción urgente, y el seguimiento de esta por parte del Comité, se suspende cuando el autor de la petición de acción urgente ha perdido el contacto con los familiares de la persona desaparecida y ya no puede proporcionar información de seguimiento; una acción urgente suspendida puede reabrirse si el autor informa al Comité de que ha reanudado el contacto con los familiares.</w:t>
      </w:r>
    </w:p>
    <w:p w14:paraId="164794D4" w14:textId="77777777" w:rsidR="00D01775" w:rsidRPr="00D01775" w:rsidRDefault="00D01775" w:rsidP="00D01775">
      <w:pPr>
        <w:pStyle w:val="SingleTxtG"/>
      </w:pPr>
      <w:r w:rsidRPr="00D01775">
        <w:lastRenderedPageBreak/>
        <w:t>35.</w:t>
      </w:r>
      <w:r w:rsidRPr="00D01775">
        <w:tab/>
        <w:t>Al 1 de abril de 2021, el Comité había cerrado 89 casos de acción urgente, discontinuado 15 y suspendido 96. Un total de 813 casos de acción urgente seguían abiertos.</w:t>
      </w:r>
      <w:bookmarkStart w:id="0" w:name="_Hlk45551809"/>
    </w:p>
    <w:p w14:paraId="532548C7" w14:textId="77777777" w:rsidR="00D01775" w:rsidRPr="00D01775" w:rsidRDefault="00D01775" w:rsidP="00D01775">
      <w:pPr>
        <w:pStyle w:val="SingleTxtG"/>
      </w:pPr>
      <w:r w:rsidRPr="00D01775">
        <w:t>36.</w:t>
      </w:r>
      <w:r w:rsidRPr="00D01775">
        <w:tab/>
        <w:t>Dos peticiones de acción urgente en las que las personas desaparecidas habían sido localizadas sin vida (núm. 12/2014, en relación con Colombia, y núm. 8/2013, en relación con México) se mantuvieron abiertas porque las personas a favor de las cuales se habían otorgado medidas cautelares seguían amenazadas.</w:t>
      </w:r>
      <w:bookmarkEnd w:id="0"/>
    </w:p>
    <w:p w14:paraId="5865EA3C" w14:textId="77777777" w:rsidR="00D01775" w:rsidRPr="00D01775" w:rsidRDefault="00D01775" w:rsidP="00D01775">
      <w:pPr>
        <w:pStyle w:val="SingleTxtG"/>
      </w:pPr>
      <w:r w:rsidRPr="00D01775">
        <w:t>37.</w:t>
      </w:r>
      <w:r w:rsidRPr="00D01775">
        <w:tab/>
        <w:t>El Comité celebra que, hasta el momento, 106 personas desaparecidas hayan sido localizadas. En particular, celebra que en 82 casos las personas en cuestión fueran localizadas con vida. A este respecto, el Comité desea destacar los resultados positivos observados en relación con peticiones de acción urgente registradas durante el período que se examina y referentes a casos ocurridos en Camboya, México y el Perú. No obstante, en relación con la petición relativa a Camboya (núm. 782/2020), referente a un caso en el que la persona fue localizada y detenida en Turquía, el Comité lamenta la falta de cooperación del Estado parte con el Estado de nacionalidad de la persona desaparecida (México), con el fin de prestar asistencia a las víctimas y de buscar, localizar y poner en libertad a la persona desaparecida, en cumplimiento del artículo 15 de la Convención.</w:t>
      </w:r>
    </w:p>
    <w:p w14:paraId="58D7E7DF" w14:textId="1099785B" w:rsidR="00D01775" w:rsidRDefault="00D01775" w:rsidP="000331C6">
      <w:pPr>
        <w:pStyle w:val="SingleTxtG"/>
      </w:pPr>
      <w:r w:rsidRPr="00D01775">
        <w:t>38.</w:t>
      </w:r>
      <w:r w:rsidRPr="00D01775">
        <w:tab/>
        <w:t>Con respecto a una petición de acción urgente relativa a Lituania (núm. 569/2019), el Comité fue informado, por la persona en cuyo nombre se había presentado dicha petición y por el progenitor que tenía la custodia de dicha persona, de que esta se beneficiaba de un programa de protección de testigos, su ubicación era conocida y no deseaba que el autor de la petición de acción urgente la representase. Por consiguiente, se cerró el caso y se informó debidamente a todas las partes interesadas.</w:t>
      </w:r>
    </w:p>
    <w:p w14:paraId="6AAB0277" w14:textId="3D8A6D0B" w:rsidR="000331C6" w:rsidRPr="000331C6" w:rsidRDefault="000331C6" w:rsidP="000331C6">
      <w:pPr>
        <w:pStyle w:val="SingleTxtG"/>
        <w:suppressAutoHyphens/>
        <w:spacing w:before="240" w:after="0"/>
        <w:jc w:val="center"/>
        <w:rPr>
          <w:u w:val="single"/>
        </w:rPr>
      </w:pPr>
      <w:r>
        <w:rPr>
          <w:u w:val="single"/>
        </w:rPr>
        <w:tab/>
      </w:r>
      <w:r>
        <w:rPr>
          <w:u w:val="single"/>
        </w:rPr>
        <w:tab/>
      </w:r>
      <w:r>
        <w:rPr>
          <w:u w:val="single"/>
        </w:rPr>
        <w:tab/>
      </w:r>
    </w:p>
    <w:sectPr w:rsidR="000331C6" w:rsidRPr="000331C6" w:rsidSect="00D0177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7B7E96" w14:textId="77777777" w:rsidR="004F7D7E" w:rsidRPr="00A06E07" w:rsidRDefault="004F7D7E" w:rsidP="00A06E07">
      <w:pPr>
        <w:pStyle w:val="Piedepgina"/>
      </w:pPr>
    </w:p>
  </w:endnote>
  <w:endnote w:type="continuationSeparator" w:id="0">
    <w:p w14:paraId="24D31B82" w14:textId="77777777" w:rsidR="004F7D7E" w:rsidRPr="00A06E07" w:rsidRDefault="004F7D7E" w:rsidP="00A06E07">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3F95D" w14:textId="0F2D8E02" w:rsidR="00D01775" w:rsidRPr="00D01775" w:rsidRDefault="00D01775" w:rsidP="00D01775">
    <w:pPr>
      <w:pStyle w:val="Piedepgina"/>
      <w:tabs>
        <w:tab w:val="right" w:pos="9638"/>
      </w:tabs>
    </w:pPr>
    <w:r w:rsidRPr="00D01775">
      <w:rPr>
        <w:b/>
        <w:sz w:val="18"/>
      </w:rPr>
      <w:fldChar w:fldCharType="begin"/>
    </w:r>
    <w:r w:rsidRPr="00D01775">
      <w:rPr>
        <w:b/>
        <w:sz w:val="18"/>
      </w:rPr>
      <w:instrText xml:space="preserve"> PAGE  \* MERGEFORMAT </w:instrText>
    </w:r>
    <w:r w:rsidRPr="00D01775">
      <w:rPr>
        <w:b/>
        <w:sz w:val="18"/>
      </w:rPr>
      <w:fldChar w:fldCharType="separate"/>
    </w:r>
    <w:r w:rsidRPr="00D01775">
      <w:rPr>
        <w:b/>
        <w:noProof/>
        <w:sz w:val="18"/>
      </w:rPr>
      <w:t>2</w:t>
    </w:r>
    <w:r w:rsidRPr="00D01775">
      <w:rPr>
        <w:b/>
        <w:sz w:val="18"/>
      </w:rPr>
      <w:fldChar w:fldCharType="end"/>
    </w:r>
    <w:r>
      <w:rPr>
        <w:b/>
        <w:sz w:val="18"/>
      </w:rPr>
      <w:tab/>
    </w:r>
    <w:r>
      <w:t>GE.21-06993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61BD4" w14:textId="2AD87CBE" w:rsidR="00D01775" w:rsidRPr="00D01775" w:rsidRDefault="00D01775" w:rsidP="00D01775">
    <w:pPr>
      <w:pStyle w:val="Piedepgina"/>
      <w:tabs>
        <w:tab w:val="right" w:pos="9638"/>
      </w:tabs>
      <w:rPr>
        <w:b/>
        <w:sz w:val="18"/>
      </w:rPr>
    </w:pPr>
    <w:r>
      <w:t>GE.21-06993</w:t>
    </w:r>
    <w:r>
      <w:tab/>
    </w:r>
    <w:r w:rsidRPr="00D01775">
      <w:rPr>
        <w:b/>
        <w:sz w:val="18"/>
      </w:rPr>
      <w:fldChar w:fldCharType="begin"/>
    </w:r>
    <w:r w:rsidRPr="00D01775">
      <w:rPr>
        <w:b/>
        <w:sz w:val="18"/>
      </w:rPr>
      <w:instrText xml:space="preserve"> PAGE  \* MERGEFORMAT </w:instrText>
    </w:r>
    <w:r w:rsidRPr="00D01775">
      <w:rPr>
        <w:b/>
        <w:sz w:val="18"/>
      </w:rPr>
      <w:fldChar w:fldCharType="separate"/>
    </w:r>
    <w:r w:rsidRPr="00D01775">
      <w:rPr>
        <w:b/>
        <w:noProof/>
        <w:sz w:val="18"/>
      </w:rPr>
      <w:t>3</w:t>
    </w:r>
    <w:r w:rsidRPr="00D0177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63F0A" w14:textId="12D2A110" w:rsidR="00042B72" w:rsidRPr="00D01775" w:rsidRDefault="00D01775" w:rsidP="00D01775">
    <w:pPr>
      <w:pStyle w:val="Piedepgina"/>
      <w:spacing w:before="120" w:line="240" w:lineRule="auto"/>
      <w:rPr>
        <w:sz w:val="20"/>
      </w:rPr>
    </w:pPr>
    <w:r>
      <w:rPr>
        <w:sz w:val="20"/>
      </w:rPr>
      <w:t>GE.</w:t>
    </w:r>
    <w:r w:rsidR="00477509">
      <w:rPr>
        <w:noProof/>
      </w:rPr>
      <w:drawing>
        <wp:anchor distT="0" distB="0" distL="114300" distR="114300" simplePos="0" relativeHeight="251657728" behindDoc="0" locked="1" layoutInCell="1" allowOverlap="1" wp14:anchorId="5FC1C7F0" wp14:editId="0FBB2602">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21-06993  (S)</w:t>
    </w:r>
    <w:r>
      <w:rPr>
        <w:noProof/>
        <w:sz w:val="20"/>
      </w:rPr>
      <w:drawing>
        <wp:anchor distT="0" distB="0" distL="114300" distR="114300" simplePos="0" relativeHeight="251658752" behindDoc="0" locked="0" layoutInCell="1" allowOverlap="1" wp14:anchorId="1DD9034E" wp14:editId="14EDD546">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170621    170621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978009" w14:textId="77777777" w:rsidR="004F7D7E" w:rsidRPr="001075E9" w:rsidRDefault="004F7D7E" w:rsidP="001075E9">
      <w:pPr>
        <w:tabs>
          <w:tab w:val="right" w:pos="2155"/>
        </w:tabs>
        <w:spacing w:after="80" w:line="240" w:lineRule="auto"/>
        <w:ind w:left="680"/>
        <w:rPr>
          <w:u w:val="single"/>
        </w:rPr>
      </w:pPr>
      <w:r>
        <w:rPr>
          <w:u w:val="single"/>
        </w:rPr>
        <w:tab/>
      </w:r>
    </w:p>
  </w:footnote>
  <w:footnote w:type="continuationSeparator" w:id="0">
    <w:p w14:paraId="71A93A9F" w14:textId="77777777" w:rsidR="004F7D7E" w:rsidRDefault="004F7D7E" w:rsidP="00407B78">
      <w:pPr>
        <w:tabs>
          <w:tab w:val="right" w:pos="2155"/>
        </w:tabs>
        <w:spacing w:after="80"/>
        <w:ind w:left="680"/>
        <w:rPr>
          <w:u w:val="single"/>
        </w:rPr>
      </w:pPr>
      <w:r>
        <w:rPr>
          <w:u w:val="single"/>
        </w:rPr>
        <w:tab/>
      </w:r>
    </w:p>
  </w:footnote>
  <w:footnote w:id="1">
    <w:p w14:paraId="2C685A63" w14:textId="77777777" w:rsidR="00D01775" w:rsidRPr="00853924" w:rsidRDefault="00D01775" w:rsidP="00D01775">
      <w:pPr>
        <w:pStyle w:val="Textonotapie"/>
      </w:pPr>
      <w:r w:rsidRPr="00853924">
        <w:tab/>
      </w:r>
      <w:r w:rsidRPr="00D01775">
        <w:rPr>
          <w:sz w:val="20"/>
          <w:szCs w:val="22"/>
        </w:rPr>
        <w:t>*</w:t>
      </w:r>
      <w:r w:rsidRPr="00853924">
        <w:tab/>
        <w:t>Aprobado por el Comité en su 20º período de sesiones (12 de abril a 7 de mayo de 2021).</w:t>
      </w:r>
    </w:p>
  </w:footnote>
  <w:footnote w:id="2">
    <w:p w14:paraId="3A6049C1" w14:textId="77777777" w:rsidR="00D01775" w:rsidRPr="00853924" w:rsidRDefault="00D01775" w:rsidP="00D01775">
      <w:pPr>
        <w:pStyle w:val="Textonotapie"/>
      </w:pPr>
      <w:r w:rsidRPr="00853924">
        <w:tab/>
      </w:r>
      <w:r w:rsidRPr="00D01775">
        <w:rPr>
          <w:rStyle w:val="Refdenotaalpie"/>
        </w:rPr>
        <w:footnoteRef/>
      </w:r>
      <w:r w:rsidRPr="00853924">
        <w:rPr>
          <w:lang w:val="en-US"/>
        </w:rPr>
        <w:tab/>
        <w:t>CED/C/19/2.</w:t>
      </w:r>
    </w:p>
  </w:footnote>
  <w:footnote w:id="3">
    <w:p w14:paraId="1AFA3706" w14:textId="77777777" w:rsidR="00D01775" w:rsidRPr="00853924" w:rsidRDefault="00D01775" w:rsidP="00D01775">
      <w:pPr>
        <w:pStyle w:val="Textonotapie"/>
      </w:pPr>
      <w:r w:rsidRPr="00853924">
        <w:rPr>
          <w:lang w:val="en-US"/>
        </w:rPr>
        <w:tab/>
      </w:r>
      <w:r w:rsidRPr="00D01775">
        <w:rPr>
          <w:rStyle w:val="Refdenotaalpie"/>
        </w:rPr>
        <w:footnoteRef/>
      </w:r>
      <w:r w:rsidRPr="00853924">
        <w:rPr>
          <w:lang w:val="en-US"/>
        </w:rPr>
        <w:tab/>
        <w:t>CED/C/11/3, CED/C/12/2, CED/C/13/3, CED/C/14/2, CED/C/15/3, CED/C/16/3, CED/C/17/2 y CED/C/19/2.</w:t>
      </w:r>
    </w:p>
  </w:footnote>
  <w:footnote w:id="4">
    <w:p w14:paraId="0C1DA6B7" w14:textId="77777777" w:rsidR="00D01775" w:rsidRPr="00853924" w:rsidRDefault="00D01775" w:rsidP="00D01775">
      <w:pPr>
        <w:pStyle w:val="Textonotapie"/>
      </w:pPr>
      <w:r w:rsidRPr="00853924">
        <w:rPr>
          <w:lang w:val="en-US"/>
        </w:rPr>
        <w:tab/>
      </w:r>
      <w:r w:rsidRPr="00D01775">
        <w:rPr>
          <w:rStyle w:val="Refdenotaalpie"/>
        </w:rPr>
        <w:footnoteRef/>
      </w:r>
      <w:r w:rsidRPr="00853924">
        <w:tab/>
        <w:t>A/73/56, A/74/56 y A/75/56.</w:t>
      </w:r>
    </w:p>
  </w:footnote>
  <w:footnote w:id="5">
    <w:p w14:paraId="68918389" w14:textId="77777777" w:rsidR="00D01775" w:rsidRPr="00853924" w:rsidRDefault="00D01775" w:rsidP="00D01775">
      <w:pPr>
        <w:pStyle w:val="Textonotapie"/>
      </w:pPr>
      <w:r w:rsidRPr="00853924">
        <w:tab/>
      </w:r>
      <w:r w:rsidRPr="00D01775">
        <w:rPr>
          <w:rStyle w:val="Refdenotaalpie"/>
        </w:rPr>
        <w:footnoteRef/>
      </w:r>
      <w:r w:rsidRPr="00853924">
        <w:tab/>
        <w:t>CED/C/IRQ/AI/1.</w:t>
      </w:r>
    </w:p>
  </w:footnote>
  <w:footnote w:id="6">
    <w:p w14:paraId="316FFC6E" w14:textId="77777777" w:rsidR="00D01775" w:rsidRPr="00853924" w:rsidRDefault="00D01775" w:rsidP="00D01775">
      <w:pPr>
        <w:pStyle w:val="Textonotapie"/>
      </w:pPr>
      <w:r w:rsidRPr="00853924">
        <w:tab/>
      </w:r>
      <w:r w:rsidRPr="00D01775">
        <w:rPr>
          <w:rStyle w:val="Refdenotaalpie"/>
        </w:rPr>
        <w:footnoteRef/>
      </w:r>
      <w:r w:rsidRPr="00853924">
        <w:tab/>
        <w:t>CED/C/7, anexo.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E675D" w14:textId="66DC18C6" w:rsidR="00D01775" w:rsidRPr="00D01775" w:rsidRDefault="00D01775">
    <w:pPr>
      <w:pStyle w:val="Encabezado"/>
    </w:pPr>
    <w:fldSimple w:instr=" TITLE  \* MERGEFORMAT ">
      <w:r w:rsidR="00D946BF">
        <w:t>CED/C/20/2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F041C" w14:textId="751D5AFD" w:rsidR="00D01775" w:rsidRPr="00D01775" w:rsidRDefault="00D01775" w:rsidP="00D01775">
    <w:pPr>
      <w:pStyle w:val="Encabezado"/>
      <w:jc w:val="right"/>
    </w:pPr>
    <w:fldSimple w:instr=" TITLE  \* MERGEFORMAT ">
      <w:r w:rsidR="00D946BF">
        <w:t>CED/C/20/2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BCEB02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D7E"/>
    <w:rsid w:val="000331C6"/>
    <w:rsid w:val="00033EE1"/>
    <w:rsid w:val="00042B72"/>
    <w:rsid w:val="00042F1C"/>
    <w:rsid w:val="000558BD"/>
    <w:rsid w:val="000B57E7"/>
    <w:rsid w:val="000B6373"/>
    <w:rsid w:val="000F09DF"/>
    <w:rsid w:val="000F61B2"/>
    <w:rsid w:val="001075E9"/>
    <w:rsid w:val="001312D2"/>
    <w:rsid w:val="00180183"/>
    <w:rsid w:val="0018649F"/>
    <w:rsid w:val="00192CD5"/>
    <w:rsid w:val="00196389"/>
    <w:rsid w:val="001A63A9"/>
    <w:rsid w:val="001B3EF6"/>
    <w:rsid w:val="001C7A89"/>
    <w:rsid w:val="00207489"/>
    <w:rsid w:val="002A2EFC"/>
    <w:rsid w:val="002A7023"/>
    <w:rsid w:val="002C0E18"/>
    <w:rsid w:val="002D5AAC"/>
    <w:rsid w:val="002E4A7E"/>
    <w:rsid w:val="00301299"/>
    <w:rsid w:val="00307FB6"/>
    <w:rsid w:val="00317339"/>
    <w:rsid w:val="00322004"/>
    <w:rsid w:val="003402C2"/>
    <w:rsid w:val="0037276D"/>
    <w:rsid w:val="00381C24"/>
    <w:rsid w:val="003958D0"/>
    <w:rsid w:val="003B00E5"/>
    <w:rsid w:val="0040612E"/>
    <w:rsid w:val="00407B78"/>
    <w:rsid w:val="00424203"/>
    <w:rsid w:val="00454E07"/>
    <w:rsid w:val="00477509"/>
    <w:rsid w:val="004F7D7E"/>
    <w:rsid w:val="0050108D"/>
    <w:rsid w:val="00504114"/>
    <w:rsid w:val="00513081"/>
    <w:rsid w:val="00517901"/>
    <w:rsid w:val="00526683"/>
    <w:rsid w:val="005709E0"/>
    <w:rsid w:val="00572113"/>
    <w:rsid w:val="00572E19"/>
    <w:rsid w:val="005961C8"/>
    <w:rsid w:val="005D7914"/>
    <w:rsid w:val="005E3CB3"/>
    <w:rsid w:val="005E6387"/>
    <w:rsid w:val="005F0B42"/>
    <w:rsid w:val="006160E5"/>
    <w:rsid w:val="00623071"/>
    <w:rsid w:val="00681A10"/>
    <w:rsid w:val="006839A7"/>
    <w:rsid w:val="006C2031"/>
    <w:rsid w:val="006D461A"/>
    <w:rsid w:val="006F35EE"/>
    <w:rsid w:val="007021FF"/>
    <w:rsid w:val="00745D08"/>
    <w:rsid w:val="00757357"/>
    <w:rsid w:val="00786232"/>
    <w:rsid w:val="008154E9"/>
    <w:rsid w:val="00816C4A"/>
    <w:rsid w:val="00825F8D"/>
    <w:rsid w:val="00834B71"/>
    <w:rsid w:val="0086445C"/>
    <w:rsid w:val="00894693"/>
    <w:rsid w:val="008A08D7"/>
    <w:rsid w:val="008B6909"/>
    <w:rsid w:val="008F7CAA"/>
    <w:rsid w:val="00902F33"/>
    <w:rsid w:val="00906890"/>
    <w:rsid w:val="00911BE4"/>
    <w:rsid w:val="009311A7"/>
    <w:rsid w:val="00951972"/>
    <w:rsid w:val="00955948"/>
    <w:rsid w:val="00994926"/>
    <w:rsid w:val="00A06E07"/>
    <w:rsid w:val="00A256B7"/>
    <w:rsid w:val="00A34B7B"/>
    <w:rsid w:val="00A84021"/>
    <w:rsid w:val="00A917B3"/>
    <w:rsid w:val="00AB4B51"/>
    <w:rsid w:val="00AB5752"/>
    <w:rsid w:val="00B10CC7"/>
    <w:rsid w:val="00B30AB0"/>
    <w:rsid w:val="00B539E7"/>
    <w:rsid w:val="00B62458"/>
    <w:rsid w:val="00BD33EE"/>
    <w:rsid w:val="00BE3B45"/>
    <w:rsid w:val="00C0296F"/>
    <w:rsid w:val="00C03D44"/>
    <w:rsid w:val="00C60F0C"/>
    <w:rsid w:val="00C805C9"/>
    <w:rsid w:val="00C92939"/>
    <w:rsid w:val="00CA1679"/>
    <w:rsid w:val="00CE5A1A"/>
    <w:rsid w:val="00CF55F6"/>
    <w:rsid w:val="00D01775"/>
    <w:rsid w:val="00D33D63"/>
    <w:rsid w:val="00D47FEA"/>
    <w:rsid w:val="00D90138"/>
    <w:rsid w:val="00D946BF"/>
    <w:rsid w:val="00DC73DD"/>
    <w:rsid w:val="00DF5890"/>
    <w:rsid w:val="00E73F76"/>
    <w:rsid w:val="00EA2C9F"/>
    <w:rsid w:val="00EF1360"/>
    <w:rsid w:val="00EF3220"/>
    <w:rsid w:val="00F32B71"/>
    <w:rsid w:val="00F650CF"/>
    <w:rsid w:val="00F94155"/>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A47BA6"/>
  <w15:docId w15:val="{45FC212D-04C4-491E-84D3-E962009B8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9311A7"/>
    <w:pPr>
      <w:spacing w:line="240" w:lineRule="atLeast"/>
    </w:pPr>
    <w:rPr>
      <w:lang w:val="es-ES" w:eastAsia="es-ES"/>
    </w:rPr>
  </w:style>
  <w:style w:type="paragraph" w:styleId="Ttulo1">
    <w:name w:val="heading 1"/>
    <w:aliases w:val="Cuadro_G"/>
    <w:basedOn w:val="SingleTxtG"/>
    <w:next w:val="SingleTxtG"/>
    <w:link w:val="Ttulo1Car"/>
    <w:uiPriority w:val="9"/>
    <w:qFormat/>
    <w:rsid w:val="009311A7"/>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9311A7"/>
    <w:pPr>
      <w:keepNext/>
      <w:outlineLvl w:val="1"/>
    </w:pPr>
    <w:rPr>
      <w:rFonts w:cs="Arial"/>
      <w:bCs/>
      <w:iCs/>
      <w:szCs w:val="28"/>
    </w:rPr>
  </w:style>
  <w:style w:type="paragraph" w:styleId="Ttulo3">
    <w:name w:val="heading 3"/>
    <w:basedOn w:val="Normal"/>
    <w:next w:val="Normal"/>
    <w:semiHidden/>
    <w:rsid w:val="009311A7"/>
    <w:pPr>
      <w:keepNext/>
      <w:spacing w:before="240" w:after="60"/>
      <w:outlineLvl w:val="2"/>
    </w:pPr>
    <w:rPr>
      <w:rFonts w:ascii="Arial" w:hAnsi="Arial" w:cs="Arial"/>
      <w:b/>
      <w:bCs/>
      <w:sz w:val="26"/>
      <w:szCs w:val="26"/>
    </w:rPr>
  </w:style>
  <w:style w:type="paragraph" w:styleId="Ttulo4">
    <w:name w:val="heading 4"/>
    <w:basedOn w:val="Normal"/>
    <w:next w:val="Normal"/>
    <w:semiHidden/>
    <w:rsid w:val="009311A7"/>
    <w:pPr>
      <w:keepNext/>
      <w:spacing w:before="240" w:after="60"/>
      <w:outlineLvl w:val="3"/>
    </w:pPr>
    <w:rPr>
      <w:b/>
      <w:bCs/>
      <w:sz w:val="28"/>
      <w:szCs w:val="28"/>
    </w:rPr>
  </w:style>
  <w:style w:type="paragraph" w:styleId="Ttulo5">
    <w:name w:val="heading 5"/>
    <w:basedOn w:val="Normal"/>
    <w:next w:val="Normal"/>
    <w:semiHidden/>
    <w:rsid w:val="009311A7"/>
    <w:pPr>
      <w:spacing w:before="240" w:after="60"/>
      <w:outlineLvl w:val="4"/>
    </w:pPr>
    <w:rPr>
      <w:b/>
      <w:bCs/>
      <w:i/>
      <w:iCs/>
      <w:sz w:val="26"/>
      <w:szCs w:val="26"/>
    </w:rPr>
  </w:style>
  <w:style w:type="paragraph" w:styleId="Ttulo6">
    <w:name w:val="heading 6"/>
    <w:basedOn w:val="Normal"/>
    <w:next w:val="Normal"/>
    <w:semiHidden/>
    <w:rsid w:val="009311A7"/>
    <w:pPr>
      <w:spacing w:before="240" w:after="60"/>
      <w:outlineLvl w:val="5"/>
    </w:pPr>
    <w:rPr>
      <w:b/>
      <w:bCs/>
      <w:sz w:val="22"/>
      <w:szCs w:val="22"/>
    </w:rPr>
  </w:style>
  <w:style w:type="paragraph" w:styleId="Ttulo7">
    <w:name w:val="heading 7"/>
    <w:basedOn w:val="Normal"/>
    <w:next w:val="Normal"/>
    <w:semiHidden/>
    <w:rsid w:val="009311A7"/>
    <w:pPr>
      <w:spacing w:before="240" w:after="60"/>
      <w:outlineLvl w:val="6"/>
    </w:pPr>
    <w:rPr>
      <w:sz w:val="24"/>
      <w:szCs w:val="24"/>
    </w:rPr>
  </w:style>
  <w:style w:type="paragraph" w:styleId="Ttulo8">
    <w:name w:val="heading 8"/>
    <w:basedOn w:val="Normal"/>
    <w:next w:val="Normal"/>
    <w:semiHidden/>
    <w:rsid w:val="009311A7"/>
    <w:pPr>
      <w:spacing w:before="240" w:after="60"/>
      <w:outlineLvl w:val="7"/>
    </w:pPr>
    <w:rPr>
      <w:i/>
      <w:iCs/>
      <w:sz w:val="24"/>
      <w:szCs w:val="24"/>
    </w:rPr>
  </w:style>
  <w:style w:type="paragraph" w:styleId="Ttulo9">
    <w:name w:val="heading 9"/>
    <w:basedOn w:val="Normal"/>
    <w:next w:val="Normal"/>
    <w:semiHidden/>
    <w:rsid w:val="009311A7"/>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9311A7"/>
    <w:rPr>
      <w:rFonts w:ascii="Times New Roman" w:hAnsi="Times New Roman"/>
      <w:sz w:val="18"/>
      <w:vertAlign w:val="superscript"/>
    </w:rPr>
  </w:style>
  <w:style w:type="paragraph" w:customStyle="1" w:styleId="HMG">
    <w:name w:val="_ H __M_G"/>
    <w:basedOn w:val="Normal"/>
    <w:next w:val="Normal"/>
    <w:qFormat/>
    <w:rsid w:val="009311A7"/>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9311A7"/>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9311A7"/>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9311A7"/>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9311A7"/>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9311A7"/>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9311A7"/>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9311A7"/>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9311A7"/>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9311A7"/>
    <w:pPr>
      <w:keepNext/>
      <w:keepLines/>
      <w:spacing w:before="240" w:after="240" w:line="580" w:lineRule="exact"/>
      <w:ind w:left="1134" w:right="1134"/>
    </w:pPr>
    <w:rPr>
      <w:b/>
      <w:sz w:val="56"/>
    </w:rPr>
  </w:style>
  <w:style w:type="paragraph" w:customStyle="1" w:styleId="SSG">
    <w:name w:val="__S_S_G"/>
    <w:basedOn w:val="Normal"/>
    <w:next w:val="Normal"/>
    <w:uiPriority w:val="5"/>
    <w:rsid w:val="009311A7"/>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9311A7"/>
    <w:rPr>
      <w:sz w:val="16"/>
    </w:rPr>
  </w:style>
  <w:style w:type="paragraph" w:customStyle="1" w:styleId="XLargeG">
    <w:name w:val="__XLarge_G"/>
    <w:basedOn w:val="Normal"/>
    <w:next w:val="Normal"/>
    <w:uiPriority w:val="5"/>
    <w:rsid w:val="009311A7"/>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9311A7"/>
    <w:pPr>
      <w:tabs>
        <w:tab w:val="right" w:pos="1021"/>
      </w:tabs>
      <w:spacing w:line="220" w:lineRule="exact"/>
      <w:ind w:left="1134" w:right="1134" w:hanging="1134"/>
    </w:pPr>
    <w:rPr>
      <w:sz w:val="18"/>
    </w:rPr>
  </w:style>
  <w:style w:type="table" w:styleId="Tablaconcuadrcula">
    <w:name w:val="Table Grid"/>
    <w:basedOn w:val="Tablanormal"/>
    <w:rsid w:val="009311A7"/>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9311A7"/>
    <w:pPr>
      <w:numPr>
        <w:numId w:val="3"/>
      </w:numPr>
    </w:pPr>
  </w:style>
  <w:style w:type="numbering" w:styleId="1ai">
    <w:name w:val="Outline List 1"/>
    <w:basedOn w:val="Sinlista"/>
    <w:rsid w:val="009311A7"/>
    <w:pPr>
      <w:numPr>
        <w:numId w:val="4"/>
      </w:numPr>
    </w:pPr>
  </w:style>
  <w:style w:type="character" w:styleId="AcrnimoHTML">
    <w:name w:val="HTML Acronym"/>
    <w:basedOn w:val="Fuentedeprrafopredeter"/>
    <w:semiHidden/>
    <w:rsid w:val="009311A7"/>
  </w:style>
  <w:style w:type="numbering" w:styleId="ArtculoSeccin">
    <w:name w:val="Outline List 3"/>
    <w:basedOn w:val="Sinlista"/>
    <w:rsid w:val="009311A7"/>
    <w:pPr>
      <w:numPr>
        <w:numId w:val="5"/>
      </w:numPr>
    </w:pPr>
  </w:style>
  <w:style w:type="paragraph" w:styleId="Cierre">
    <w:name w:val="Closing"/>
    <w:basedOn w:val="Normal"/>
    <w:link w:val="CierreCar"/>
    <w:semiHidden/>
    <w:rsid w:val="009311A7"/>
    <w:pPr>
      <w:ind w:left="4252"/>
    </w:pPr>
  </w:style>
  <w:style w:type="character" w:styleId="CitaHTML">
    <w:name w:val="HTML Cite"/>
    <w:semiHidden/>
    <w:rsid w:val="009311A7"/>
    <w:rPr>
      <w:i/>
      <w:iCs/>
    </w:rPr>
  </w:style>
  <w:style w:type="character" w:styleId="CdigoHTML">
    <w:name w:val="HTML Code"/>
    <w:semiHidden/>
    <w:rsid w:val="009311A7"/>
    <w:rPr>
      <w:rFonts w:ascii="Courier New" w:hAnsi="Courier New" w:cs="Courier New"/>
      <w:sz w:val="20"/>
      <w:szCs w:val="20"/>
    </w:rPr>
  </w:style>
  <w:style w:type="paragraph" w:styleId="Continuarlista">
    <w:name w:val="List Continue"/>
    <w:basedOn w:val="Normal"/>
    <w:semiHidden/>
    <w:rsid w:val="009311A7"/>
    <w:pPr>
      <w:spacing w:after="120"/>
      <w:ind w:left="283"/>
    </w:pPr>
  </w:style>
  <w:style w:type="paragraph" w:styleId="Continuarlista2">
    <w:name w:val="List Continue 2"/>
    <w:basedOn w:val="Normal"/>
    <w:semiHidden/>
    <w:rsid w:val="009311A7"/>
    <w:pPr>
      <w:spacing w:after="120"/>
      <w:ind w:left="566"/>
    </w:pPr>
  </w:style>
  <w:style w:type="paragraph" w:styleId="Continuarlista3">
    <w:name w:val="List Continue 3"/>
    <w:basedOn w:val="Normal"/>
    <w:semiHidden/>
    <w:rsid w:val="009311A7"/>
    <w:pPr>
      <w:spacing w:after="120"/>
      <w:ind w:left="849"/>
    </w:pPr>
  </w:style>
  <w:style w:type="paragraph" w:styleId="Continuarlista4">
    <w:name w:val="List Continue 4"/>
    <w:basedOn w:val="Normal"/>
    <w:semiHidden/>
    <w:rsid w:val="009311A7"/>
    <w:pPr>
      <w:spacing w:after="120"/>
      <w:ind w:left="1132"/>
    </w:pPr>
  </w:style>
  <w:style w:type="paragraph" w:styleId="Continuarlista5">
    <w:name w:val="List Continue 5"/>
    <w:basedOn w:val="Normal"/>
    <w:semiHidden/>
    <w:rsid w:val="009311A7"/>
    <w:pPr>
      <w:spacing w:after="120"/>
      <w:ind w:left="1415"/>
    </w:pPr>
  </w:style>
  <w:style w:type="character" w:styleId="DefinicinHTML">
    <w:name w:val="HTML Definition"/>
    <w:semiHidden/>
    <w:rsid w:val="009311A7"/>
    <w:rPr>
      <w:i/>
      <w:iCs/>
    </w:rPr>
  </w:style>
  <w:style w:type="paragraph" w:styleId="DireccinHTML">
    <w:name w:val="HTML Address"/>
    <w:basedOn w:val="Normal"/>
    <w:link w:val="DireccinHTMLCar"/>
    <w:semiHidden/>
    <w:rsid w:val="009311A7"/>
    <w:rPr>
      <w:i/>
      <w:iCs/>
    </w:rPr>
  </w:style>
  <w:style w:type="paragraph" w:styleId="Direccinsobre">
    <w:name w:val="envelope address"/>
    <w:basedOn w:val="Normal"/>
    <w:semiHidden/>
    <w:rsid w:val="009311A7"/>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9311A7"/>
    <w:rPr>
      <w:rFonts w:ascii="Courier New" w:hAnsi="Courier New" w:cs="Courier New"/>
    </w:rPr>
  </w:style>
  <w:style w:type="paragraph" w:styleId="Encabezadodemensaje">
    <w:name w:val="Message Header"/>
    <w:basedOn w:val="Normal"/>
    <w:link w:val="EncabezadodemensajeCar"/>
    <w:semiHidden/>
    <w:rsid w:val="009311A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9311A7"/>
  </w:style>
  <w:style w:type="character" w:styleId="nfasis">
    <w:name w:val="Emphasis"/>
    <w:semiHidden/>
    <w:rsid w:val="009311A7"/>
    <w:rPr>
      <w:i/>
      <w:iCs/>
    </w:rPr>
  </w:style>
  <w:style w:type="paragraph" w:styleId="Fecha">
    <w:name w:val="Date"/>
    <w:basedOn w:val="Normal"/>
    <w:next w:val="Normal"/>
    <w:link w:val="FechaCar"/>
    <w:semiHidden/>
    <w:rsid w:val="009311A7"/>
  </w:style>
  <w:style w:type="paragraph" w:styleId="Firma">
    <w:name w:val="Signature"/>
    <w:basedOn w:val="Normal"/>
    <w:link w:val="FirmaCar"/>
    <w:semiHidden/>
    <w:rsid w:val="009311A7"/>
    <w:pPr>
      <w:ind w:left="4252"/>
    </w:pPr>
  </w:style>
  <w:style w:type="paragraph" w:styleId="Firmadecorreoelectrnico">
    <w:name w:val="E-mail Signature"/>
    <w:basedOn w:val="Normal"/>
    <w:link w:val="FirmadecorreoelectrnicoCar"/>
    <w:semiHidden/>
    <w:rsid w:val="009311A7"/>
  </w:style>
  <w:style w:type="character" w:styleId="Hipervnculo">
    <w:name w:val="Hyperlink"/>
    <w:uiPriority w:val="4"/>
    <w:rsid w:val="009311A7"/>
    <w:rPr>
      <w:color w:val="0000FF"/>
      <w:u w:val="none"/>
    </w:rPr>
  </w:style>
  <w:style w:type="character" w:styleId="Hipervnculovisitado">
    <w:name w:val="FollowedHyperlink"/>
    <w:uiPriority w:val="4"/>
    <w:rsid w:val="009311A7"/>
    <w:rPr>
      <w:color w:val="0000FF"/>
      <w:u w:val="none"/>
    </w:rPr>
  </w:style>
  <w:style w:type="paragraph" w:styleId="HTMLconformatoprevio">
    <w:name w:val="HTML Preformatted"/>
    <w:basedOn w:val="Normal"/>
    <w:link w:val="HTMLconformatoprevioCar"/>
    <w:semiHidden/>
    <w:rsid w:val="009311A7"/>
    <w:rPr>
      <w:rFonts w:ascii="Courier New" w:hAnsi="Courier New" w:cs="Courier New"/>
    </w:rPr>
  </w:style>
  <w:style w:type="paragraph" w:styleId="Lista">
    <w:name w:val="List"/>
    <w:basedOn w:val="Normal"/>
    <w:semiHidden/>
    <w:rsid w:val="009311A7"/>
    <w:pPr>
      <w:ind w:left="283" w:hanging="283"/>
    </w:pPr>
  </w:style>
  <w:style w:type="paragraph" w:styleId="Lista2">
    <w:name w:val="List 2"/>
    <w:basedOn w:val="Normal"/>
    <w:semiHidden/>
    <w:rsid w:val="009311A7"/>
    <w:pPr>
      <w:ind w:left="566" w:hanging="283"/>
    </w:pPr>
  </w:style>
  <w:style w:type="paragraph" w:styleId="Lista3">
    <w:name w:val="List 3"/>
    <w:basedOn w:val="Normal"/>
    <w:semiHidden/>
    <w:rsid w:val="009311A7"/>
    <w:pPr>
      <w:ind w:left="849" w:hanging="283"/>
    </w:pPr>
  </w:style>
  <w:style w:type="paragraph" w:styleId="Lista4">
    <w:name w:val="List 4"/>
    <w:basedOn w:val="Normal"/>
    <w:semiHidden/>
    <w:rsid w:val="009311A7"/>
    <w:pPr>
      <w:ind w:left="1132" w:hanging="283"/>
    </w:pPr>
  </w:style>
  <w:style w:type="paragraph" w:styleId="Lista5">
    <w:name w:val="List 5"/>
    <w:basedOn w:val="Normal"/>
    <w:semiHidden/>
    <w:rsid w:val="009311A7"/>
    <w:pPr>
      <w:ind w:left="1415" w:hanging="283"/>
    </w:pPr>
  </w:style>
  <w:style w:type="paragraph" w:styleId="Listaconnmeros">
    <w:name w:val="List Number"/>
    <w:basedOn w:val="Normal"/>
    <w:semiHidden/>
    <w:rsid w:val="009311A7"/>
    <w:pPr>
      <w:numPr>
        <w:numId w:val="30"/>
      </w:numPr>
    </w:pPr>
  </w:style>
  <w:style w:type="paragraph" w:styleId="Listaconnmeros2">
    <w:name w:val="List Number 2"/>
    <w:basedOn w:val="Normal"/>
    <w:semiHidden/>
    <w:rsid w:val="009311A7"/>
    <w:pPr>
      <w:numPr>
        <w:numId w:val="31"/>
      </w:numPr>
    </w:pPr>
  </w:style>
  <w:style w:type="paragraph" w:styleId="Listaconnmeros3">
    <w:name w:val="List Number 3"/>
    <w:basedOn w:val="Normal"/>
    <w:semiHidden/>
    <w:rsid w:val="009311A7"/>
    <w:pPr>
      <w:numPr>
        <w:numId w:val="32"/>
      </w:numPr>
    </w:pPr>
  </w:style>
  <w:style w:type="paragraph" w:styleId="Listaconnmeros4">
    <w:name w:val="List Number 4"/>
    <w:basedOn w:val="Normal"/>
    <w:semiHidden/>
    <w:rsid w:val="009311A7"/>
    <w:pPr>
      <w:numPr>
        <w:numId w:val="33"/>
      </w:numPr>
    </w:pPr>
  </w:style>
  <w:style w:type="paragraph" w:styleId="Listaconnmeros5">
    <w:name w:val="List Number 5"/>
    <w:basedOn w:val="Normal"/>
    <w:semiHidden/>
    <w:rsid w:val="009311A7"/>
    <w:pPr>
      <w:numPr>
        <w:numId w:val="34"/>
      </w:numPr>
    </w:pPr>
  </w:style>
  <w:style w:type="paragraph" w:styleId="Listaconvietas">
    <w:name w:val="List Bullet"/>
    <w:basedOn w:val="Normal"/>
    <w:semiHidden/>
    <w:rsid w:val="009311A7"/>
    <w:pPr>
      <w:numPr>
        <w:numId w:val="25"/>
      </w:numPr>
    </w:pPr>
  </w:style>
  <w:style w:type="paragraph" w:styleId="Listaconvietas2">
    <w:name w:val="List Bullet 2"/>
    <w:basedOn w:val="Normal"/>
    <w:semiHidden/>
    <w:rsid w:val="009311A7"/>
    <w:pPr>
      <w:numPr>
        <w:numId w:val="26"/>
      </w:numPr>
    </w:pPr>
  </w:style>
  <w:style w:type="paragraph" w:styleId="Listaconvietas3">
    <w:name w:val="List Bullet 3"/>
    <w:basedOn w:val="Normal"/>
    <w:semiHidden/>
    <w:rsid w:val="009311A7"/>
    <w:pPr>
      <w:numPr>
        <w:numId w:val="27"/>
      </w:numPr>
    </w:pPr>
  </w:style>
  <w:style w:type="paragraph" w:styleId="Listaconvietas4">
    <w:name w:val="List Bullet 4"/>
    <w:basedOn w:val="Normal"/>
    <w:semiHidden/>
    <w:rsid w:val="009311A7"/>
    <w:pPr>
      <w:numPr>
        <w:numId w:val="28"/>
      </w:numPr>
    </w:pPr>
  </w:style>
  <w:style w:type="paragraph" w:styleId="Listaconvietas5">
    <w:name w:val="List Bullet 5"/>
    <w:basedOn w:val="Normal"/>
    <w:semiHidden/>
    <w:rsid w:val="009311A7"/>
    <w:pPr>
      <w:numPr>
        <w:numId w:val="29"/>
      </w:numPr>
    </w:pPr>
  </w:style>
  <w:style w:type="character" w:styleId="MquinadeescribirHTML">
    <w:name w:val="HTML Typewriter"/>
    <w:semiHidden/>
    <w:rsid w:val="009311A7"/>
    <w:rPr>
      <w:rFonts w:ascii="Courier New" w:hAnsi="Courier New" w:cs="Courier New"/>
      <w:sz w:val="20"/>
      <w:szCs w:val="20"/>
    </w:rPr>
  </w:style>
  <w:style w:type="paragraph" w:styleId="NormalWeb">
    <w:name w:val="Normal (Web)"/>
    <w:basedOn w:val="Normal"/>
    <w:semiHidden/>
    <w:rsid w:val="009311A7"/>
    <w:rPr>
      <w:sz w:val="24"/>
      <w:szCs w:val="24"/>
    </w:rPr>
  </w:style>
  <w:style w:type="character" w:styleId="Nmerodelnea">
    <w:name w:val="line number"/>
    <w:basedOn w:val="Fuentedeprrafopredeter"/>
    <w:semiHidden/>
    <w:rsid w:val="009311A7"/>
  </w:style>
  <w:style w:type="character" w:styleId="Nmerodepgina">
    <w:name w:val="page number"/>
    <w:aliases w:val="7_G"/>
    <w:uiPriority w:val="3"/>
    <w:qFormat/>
    <w:rsid w:val="009311A7"/>
    <w:rPr>
      <w:b/>
      <w:sz w:val="18"/>
    </w:rPr>
  </w:style>
  <w:style w:type="character" w:styleId="Refdenotaalfinal">
    <w:name w:val="endnote reference"/>
    <w:aliases w:val="1_G"/>
    <w:uiPriority w:val="3"/>
    <w:qFormat/>
    <w:rsid w:val="009311A7"/>
    <w:rPr>
      <w:rFonts w:ascii="Times New Roman" w:hAnsi="Times New Roman"/>
      <w:sz w:val="18"/>
      <w:vertAlign w:val="superscript"/>
    </w:rPr>
  </w:style>
  <w:style w:type="paragraph" w:styleId="Remitedesobre">
    <w:name w:val="envelope return"/>
    <w:basedOn w:val="Normal"/>
    <w:semiHidden/>
    <w:rsid w:val="009311A7"/>
    <w:rPr>
      <w:rFonts w:ascii="Arial" w:hAnsi="Arial" w:cs="Arial"/>
    </w:rPr>
  </w:style>
  <w:style w:type="paragraph" w:styleId="Saludo">
    <w:name w:val="Salutation"/>
    <w:basedOn w:val="Normal"/>
    <w:next w:val="Normal"/>
    <w:link w:val="SaludoCar"/>
    <w:semiHidden/>
    <w:rsid w:val="009311A7"/>
  </w:style>
  <w:style w:type="paragraph" w:styleId="Sangra2detindependiente">
    <w:name w:val="Body Text Indent 2"/>
    <w:basedOn w:val="Normal"/>
    <w:link w:val="Sangra2detindependienteCar"/>
    <w:semiHidden/>
    <w:rsid w:val="009311A7"/>
    <w:pPr>
      <w:spacing w:after="120" w:line="480" w:lineRule="auto"/>
      <w:ind w:left="283"/>
    </w:pPr>
  </w:style>
  <w:style w:type="paragraph" w:styleId="Sangra3detindependiente">
    <w:name w:val="Body Text Indent 3"/>
    <w:basedOn w:val="Normal"/>
    <w:link w:val="Sangra3detindependienteCar"/>
    <w:semiHidden/>
    <w:rsid w:val="009311A7"/>
    <w:pPr>
      <w:spacing w:after="120"/>
      <w:ind w:left="283"/>
    </w:pPr>
    <w:rPr>
      <w:sz w:val="16"/>
      <w:szCs w:val="16"/>
    </w:rPr>
  </w:style>
  <w:style w:type="paragraph" w:styleId="Sangradetextonormal">
    <w:name w:val="Body Text Indent"/>
    <w:basedOn w:val="Normal"/>
    <w:link w:val="SangradetextonormalCar"/>
    <w:semiHidden/>
    <w:rsid w:val="009311A7"/>
    <w:pPr>
      <w:spacing w:after="120"/>
      <w:ind w:left="283"/>
    </w:pPr>
  </w:style>
  <w:style w:type="paragraph" w:styleId="Sangranormal">
    <w:name w:val="Normal Indent"/>
    <w:basedOn w:val="Normal"/>
    <w:semiHidden/>
    <w:rsid w:val="009311A7"/>
    <w:pPr>
      <w:ind w:left="567"/>
    </w:pPr>
  </w:style>
  <w:style w:type="paragraph" w:styleId="Subttulo">
    <w:name w:val="Subtitle"/>
    <w:basedOn w:val="Normal"/>
    <w:link w:val="SubttuloCar"/>
    <w:semiHidden/>
    <w:rsid w:val="009311A7"/>
    <w:pPr>
      <w:spacing w:after="60"/>
      <w:jc w:val="center"/>
      <w:outlineLvl w:val="1"/>
    </w:pPr>
    <w:rPr>
      <w:rFonts w:ascii="Arial" w:hAnsi="Arial" w:cs="Arial"/>
      <w:sz w:val="24"/>
      <w:szCs w:val="24"/>
    </w:rPr>
  </w:style>
  <w:style w:type="table" w:styleId="Tablabsica1">
    <w:name w:val="Table Simple 1"/>
    <w:basedOn w:val="Tablanormal"/>
    <w:rsid w:val="009311A7"/>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9311A7"/>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9311A7"/>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9311A7"/>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9311A7"/>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9311A7"/>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9311A7"/>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9311A7"/>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9311A7"/>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9311A7"/>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9311A7"/>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9311A7"/>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9311A7"/>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9311A7"/>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9311A7"/>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9311A7"/>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9311A7"/>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9311A7"/>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9311A7"/>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9311A7"/>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9311A7"/>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9311A7"/>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9311A7"/>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9311A7"/>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9311A7"/>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9311A7"/>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9311A7"/>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9311A7"/>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9311A7"/>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9311A7"/>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9311A7"/>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9311A7"/>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9311A7"/>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9311A7"/>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9311A7"/>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9311A7"/>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9311A7"/>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9311A7"/>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9311A7"/>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9311A7"/>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9311A7"/>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9311A7"/>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9311A7"/>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9311A7"/>
    <w:rPr>
      <w:rFonts w:ascii="Courier New" w:hAnsi="Courier New" w:cs="Courier New"/>
      <w:sz w:val="20"/>
      <w:szCs w:val="20"/>
    </w:rPr>
  </w:style>
  <w:style w:type="paragraph" w:styleId="Textodebloque">
    <w:name w:val="Block Text"/>
    <w:basedOn w:val="Normal"/>
    <w:semiHidden/>
    <w:rsid w:val="009311A7"/>
    <w:pPr>
      <w:spacing w:after="120"/>
      <w:ind w:left="1440" w:right="1440"/>
    </w:pPr>
  </w:style>
  <w:style w:type="character" w:styleId="Textoennegrita">
    <w:name w:val="Strong"/>
    <w:semiHidden/>
    <w:rsid w:val="009311A7"/>
    <w:rPr>
      <w:b/>
      <w:bCs/>
    </w:rPr>
  </w:style>
  <w:style w:type="paragraph" w:styleId="Textoindependiente">
    <w:name w:val="Body Text"/>
    <w:basedOn w:val="Normal"/>
    <w:link w:val="TextoindependienteCar"/>
    <w:semiHidden/>
    <w:rsid w:val="009311A7"/>
    <w:pPr>
      <w:spacing w:after="120"/>
    </w:pPr>
  </w:style>
  <w:style w:type="paragraph" w:styleId="Textoindependiente2">
    <w:name w:val="Body Text 2"/>
    <w:basedOn w:val="Normal"/>
    <w:link w:val="Textoindependiente2Car"/>
    <w:semiHidden/>
    <w:rsid w:val="009311A7"/>
    <w:pPr>
      <w:spacing w:after="120" w:line="480" w:lineRule="auto"/>
    </w:pPr>
  </w:style>
  <w:style w:type="paragraph" w:styleId="Textoindependiente3">
    <w:name w:val="Body Text 3"/>
    <w:basedOn w:val="Normal"/>
    <w:link w:val="Textoindependiente3Car"/>
    <w:semiHidden/>
    <w:rsid w:val="009311A7"/>
    <w:pPr>
      <w:spacing w:after="120"/>
    </w:pPr>
    <w:rPr>
      <w:sz w:val="16"/>
      <w:szCs w:val="16"/>
    </w:rPr>
  </w:style>
  <w:style w:type="paragraph" w:styleId="Textoindependienteprimerasangra">
    <w:name w:val="Body Text First Indent"/>
    <w:basedOn w:val="Textoindependiente"/>
    <w:link w:val="TextoindependienteprimerasangraCar"/>
    <w:semiHidden/>
    <w:rsid w:val="009311A7"/>
    <w:pPr>
      <w:ind w:firstLine="210"/>
    </w:pPr>
  </w:style>
  <w:style w:type="paragraph" w:styleId="Textoindependienteprimerasangra2">
    <w:name w:val="Body Text First Indent 2"/>
    <w:basedOn w:val="Sangradetextonormal"/>
    <w:link w:val="Textoindependienteprimerasangra2Car"/>
    <w:semiHidden/>
    <w:rsid w:val="009311A7"/>
    <w:pPr>
      <w:ind w:firstLine="210"/>
    </w:pPr>
  </w:style>
  <w:style w:type="paragraph" w:styleId="Textonotaalfinal">
    <w:name w:val="endnote text"/>
    <w:aliases w:val="2_G"/>
    <w:basedOn w:val="Textonotapie"/>
    <w:link w:val="TextonotaalfinalCar"/>
    <w:uiPriority w:val="3"/>
    <w:qFormat/>
    <w:rsid w:val="009311A7"/>
  </w:style>
  <w:style w:type="paragraph" w:styleId="Textosinformato">
    <w:name w:val="Plain Text"/>
    <w:basedOn w:val="Normal"/>
    <w:link w:val="TextosinformatoCar"/>
    <w:semiHidden/>
    <w:rsid w:val="009311A7"/>
    <w:rPr>
      <w:rFonts w:ascii="Courier New" w:hAnsi="Courier New" w:cs="Courier New"/>
    </w:rPr>
  </w:style>
  <w:style w:type="paragraph" w:styleId="Ttulo">
    <w:name w:val="Title"/>
    <w:basedOn w:val="Normal"/>
    <w:link w:val="TtuloCar"/>
    <w:semiHidden/>
    <w:rsid w:val="009311A7"/>
    <w:pPr>
      <w:spacing w:before="240" w:after="60"/>
      <w:jc w:val="center"/>
      <w:outlineLvl w:val="0"/>
    </w:pPr>
    <w:rPr>
      <w:rFonts w:ascii="Arial" w:hAnsi="Arial" w:cs="Arial"/>
      <w:b/>
      <w:bCs/>
      <w:kern w:val="28"/>
      <w:sz w:val="32"/>
      <w:szCs w:val="32"/>
    </w:rPr>
  </w:style>
  <w:style w:type="character" w:styleId="VariableHTML">
    <w:name w:val="HTML Variable"/>
    <w:semiHidden/>
    <w:rsid w:val="009311A7"/>
    <w:rPr>
      <w:i/>
      <w:iCs/>
    </w:rPr>
  </w:style>
  <w:style w:type="paragraph" w:customStyle="1" w:styleId="Bullet1G">
    <w:name w:val="_Bullet 1_G"/>
    <w:basedOn w:val="Normal"/>
    <w:uiPriority w:val="1"/>
    <w:qFormat/>
    <w:rsid w:val="009311A7"/>
    <w:pPr>
      <w:numPr>
        <w:numId w:val="17"/>
      </w:numPr>
      <w:spacing w:after="120"/>
      <w:ind w:right="1134"/>
      <w:jc w:val="both"/>
    </w:pPr>
    <w:rPr>
      <w:lang w:eastAsia="en-US"/>
    </w:rPr>
  </w:style>
  <w:style w:type="paragraph" w:customStyle="1" w:styleId="Bullet2G">
    <w:name w:val="_Bullet 2_G"/>
    <w:basedOn w:val="Normal"/>
    <w:uiPriority w:val="1"/>
    <w:qFormat/>
    <w:rsid w:val="009311A7"/>
    <w:pPr>
      <w:numPr>
        <w:numId w:val="18"/>
      </w:numPr>
      <w:spacing w:after="120"/>
      <w:ind w:right="1134"/>
      <w:jc w:val="both"/>
    </w:pPr>
  </w:style>
  <w:style w:type="paragraph" w:styleId="Textodeglobo">
    <w:name w:val="Balloon Text"/>
    <w:basedOn w:val="Normal"/>
    <w:link w:val="TextodegloboCar"/>
    <w:semiHidden/>
    <w:unhideWhenUsed/>
    <w:rsid w:val="009311A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9311A7"/>
    <w:rPr>
      <w:rFonts w:ascii="Segoe UI" w:hAnsi="Segoe UI" w:cs="Segoe UI"/>
      <w:sz w:val="18"/>
      <w:szCs w:val="18"/>
      <w:lang w:val="es-ES" w:eastAsia="es-ES"/>
    </w:rPr>
  </w:style>
  <w:style w:type="paragraph" w:customStyle="1" w:styleId="ParNoG">
    <w:name w:val="_ParNo_G"/>
    <w:basedOn w:val="Normal"/>
    <w:uiPriority w:val="1"/>
    <w:qFormat/>
    <w:rsid w:val="009311A7"/>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9311A7"/>
    <w:rPr>
      <w:lang w:val="es-ES" w:eastAsia="es-ES"/>
    </w:rPr>
  </w:style>
  <w:style w:type="paragraph" w:customStyle="1" w:styleId="1ParNoG">
    <w:name w:val="1 _ParNo_G"/>
    <w:basedOn w:val="Normal"/>
    <w:uiPriority w:val="1"/>
    <w:qFormat/>
    <w:rsid w:val="009311A7"/>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9311A7"/>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9311A7"/>
    <w:rPr>
      <w:lang w:val="es-ES" w:eastAsia="es-ES"/>
    </w:rPr>
  </w:style>
  <w:style w:type="character" w:customStyle="1" w:styleId="Textoindependiente2Car">
    <w:name w:val="Texto independiente 2 Car"/>
    <w:basedOn w:val="Fuentedeprrafopredeter"/>
    <w:link w:val="Textoindependiente2"/>
    <w:semiHidden/>
    <w:rsid w:val="009311A7"/>
    <w:rPr>
      <w:lang w:val="es-ES" w:eastAsia="es-ES"/>
    </w:rPr>
  </w:style>
  <w:style w:type="character" w:customStyle="1" w:styleId="Textoindependiente3Car">
    <w:name w:val="Texto independiente 3 Car"/>
    <w:basedOn w:val="Fuentedeprrafopredeter"/>
    <w:link w:val="Textoindependiente3"/>
    <w:semiHidden/>
    <w:rsid w:val="009311A7"/>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9311A7"/>
    <w:rPr>
      <w:lang w:val="es-ES" w:eastAsia="es-ES"/>
    </w:rPr>
  </w:style>
  <w:style w:type="character" w:customStyle="1" w:styleId="SangradetextonormalCar">
    <w:name w:val="Sangría de texto normal Car"/>
    <w:basedOn w:val="Fuentedeprrafopredeter"/>
    <w:link w:val="Sangradetextonormal"/>
    <w:semiHidden/>
    <w:rsid w:val="009311A7"/>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9311A7"/>
    <w:rPr>
      <w:lang w:val="es-ES" w:eastAsia="es-ES"/>
    </w:rPr>
  </w:style>
  <w:style w:type="character" w:customStyle="1" w:styleId="Sangra2detindependienteCar">
    <w:name w:val="Sangría 2 de t. independiente Car"/>
    <w:basedOn w:val="Fuentedeprrafopredeter"/>
    <w:link w:val="Sangra2detindependiente"/>
    <w:semiHidden/>
    <w:rsid w:val="009311A7"/>
    <w:rPr>
      <w:lang w:val="es-ES" w:eastAsia="es-ES"/>
    </w:rPr>
  </w:style>
  <w:style w:type="character" w:customStyle="1" w:styleId="Sangra3detindependienteCar">
    <w:name w:val="Sangría 3 de t. independiente Car"/>
    <w:basedOn w:val="Fuentedeprrafopredeter"/>
    <w:link w:val="Sangra3detindependiente"/>
    <w:semiHidden/>
    <w:rsid w:val="009311A7"/>
    <w:rPr>
      <w:sz w:val="16"/>
      <w:szCs w:val="16"/>
      <w:lang w:val="es-ES" w:eastAsia="es-ES"/>
    </w:rPr>
  </w:style>
  <w:style w:type="character" w:customStyle="1" w:styleId="CierreCar">
    <w:name w:val="Cierre Car"/>
    <w:basedOn w:val="Fuentedeprrafopredeter"/>
    <w:link w:val="Cierre"/>
    <w:semiHidden/>
    <w:rsid w:val="009311A7"/>
    <w:rPr>
      <w:lang w:val="es-ES" w:eastAsia="es-ES"/>
    </w:rPr>
  </w:style>
  <w:style w:type="character" w:customStyle="1" w:styleId="FechaCar">
    <w:name w:val="Fecha Car"/>
    <w:basedOn w:val="Fuentedeprrafopredeter"/>
    <w:link w:val="Fecha"/>
    <w:semiHidden/>
    <w:rsid w:val="009311A7"/>
    <w:rPr>
      <w:lang w:val="es-ES" w:eastAsia="es-ES"/>
    </w:rPr>
  </w:style>
  <w:style w:type="character" w:customStyle="1" w:styleId="FirmadecorreoelectrnicoCar">
    <w:name w:val="Firma de correo electrónico Car"/>
    <w:basedOn w:val="Fuentedeprrafopredeter"/>
    <w:link w:val="Firmadecorreoelectrnico"/>
    <w:semiHidden/>
    <w:rsid w:val="009311A7"/>
    <w:rPr>
      <w:lang w:val="es-ES" w:eastAsia="es-ES"/>
    </w:rPr>
  </w:style>
  <w:style w:type="character" w:customStyle="1" w:styleId="TextonotapieCar">
    <w:name w:val="Texto nota pie Car"/>
    <w:aliases w:val="5_G Car"/>
    <w:basedOn w:val="Fuentedeprrafopredeter"/>
    <w:link w:val="Textonotapie"/>
    <w:uiPriority w:val="3"/>
    <w:rsid w:val="009311A7"/>
    <w:rPr>
      <w:sz w:val="18"/>
      <w:lang w:val="es-ES" w:eastAsia="es-ES"/>
    </w:rPr>
  </w:style>
  <w:style w:type="character" w:customStyle="1" w:styleId="TextonotaalfinalCar">
    <w:name w:val="Texto nota al final Car"/>
    <w:aliases w:val="2_G Car"/>
    <w:basedOn w:val="Fuentedeprrafopredeter"/>
    <w:link w:val="Textonotaalfinal"/>
    <w:uiPriority w:val="3"/>
    <w:rsid w:val="009311A7"/>
    <w:rPr>
      <w:sz w:val="18"/>
      <w:lang w:val="es-ES" w:eastAsia="es-ES"/>
    </w:rPr>
  </w:style>
  <w:style w:type="character" w:customStyle="1" w:styleId="PiedepginaCar">
    <w:name w:val="Pie de página Car"/>
    <w:aliases w:val="3_G Car"/>
    <w:basedOn w:val="Fuentedeprrafopredeter"/>
    <w:link w:val="Piedepgina"/>
    <w:uiPriority w:val="3"/>
    <w:rsid w:val="009311A7"/>
    <w:rPr>
      <w:sz w:val="16"/>
      <w:lang w:val="es-ES" w:eastAsia="es-ES"/>
    </w:rPr>
  </w:style>
  <w:style w:type="character" w:customStyle="1" w:styleId="EncabezadoCar">
    <w:name w:val="Encabezado Car"/>
    <w:aliases w:val="6_G Car"/>
    <w:basedOn w:val="Fuentedeprrafopredeter"/>
    <w:link w:val="Encabezado"/>
    <w:uiPriority w:val="3"/>
    <w:rsid w:val="009311A7"/>
    <w:rPr>
      <w:b/>
      <w:sz w:val="18"/>
      <w:lang w:val="es-ES" w:eastAsia="es-ES"/>
    </w:rPr>
  </w:style>
  <w:style w:type="character" w:customStyle="1" w:styleId="Ttulo1Car">
    <w:name w:val="Título 1 Car"/>
    <w:aliases w:val="Cuadro_G Car"/>
    <w:basedOn w:val="Fuentedeprrafopredeter"/>
    <w:link w:val="Ttulo1"/>
    <w:uiPriority w:val="9"/>
    <w:rsid w:val="009311A7"/>
    <w:rPr>
      <w:lang w:val="fr-CH" w:eastAsia="en-US"/>
    </w:rPr>
  </w:style>
  <w:style w:type="character" w:customStyle="1" w:styleId="DireccinHTMLCar">
    <w:name w:val="Dirección HTML Car"/>
    <w:basedOn w:val="Fuentedeprrafopredeter"/>
    <w:link w:val="DireccinHTML"/>
    <w:semiHidden/>
    <w:rsid w:val="009311A7"/>
    <w:rPr>
      <w:i/>
      <w:iCs/>
      <w:lang w:val="es-ES" w:eastAsia="es-ES"/>
    </w:rPr>
  </w:style>
  <w:style w:type="character" w:customStyle="1" w:styleId="HTMLconformatoprevioCar">
    <w:name w:val="HTML con formato previo Car"/>
    <w:basedOn w:val="Fuentedeprrafopredeter"/>
    <w:link w:val="HTMLconformatoprevio"/>
    <w:semiHidden/>
    <w:rsid w:val="009311A7"/>
    <w:rPr>
      <w:rFonts w:ascii="Courier New" w:hAnsi="Courier New" w:cs="Courier New"/>
      <w:lang w:val="es-ES" w:eastAsia="es-ES"/>
    </w:rPr>
  </w:style>
  <w:style w:type="character" w:styleId="nfasisintenso">
    <w:name w:val="Intense Emphasis"/>
    <w:uiPriority w:val="21"/>
    <w:semiHidden/>
    <w:rsid w:val="009311A7"/>
    <w:rPr>
      <w:b/>
      <w:bCs/>
      <w:i/>
      <w:iCs/>
      <w:color w:val="4F81BD"/>
    </w:rPr>
  </w:style>
  <w:style w:type="paragraph" w:styleId="Citadestacada">
    <w:name w:val="Intense Quote"/>
    <w:basedOn w:val="Normal"/>
    <w:next w:val="Normal"/>
    <w:link w:val="CitadestacadaCar"/>
    <w:uiPriority w:val="30"/>
    <w:semiHidden/>
    <w:rsid w:val="009311A7"/>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9311A7"/>
    <w:rPr>
      <w:b/>
      <w:bCs/>
      <w:i/>
      <w:iCs/>
      <w:color w:val="4F81BD"/>
      <w:lang w:val="es-ES" w:eastAsia="es-ES"/>
    </w:rPr>
  </w:style>
  <w:style w:type="character" w:customStyle="1" w:styleId="EncabezadodemensajeCar">
    <w:name w:val="Encabezado de mensaje Car"/>
    <w:basedOn w:val="Fuentedeprrafopredeter"/>
    <w:link w:val="Encabezadodemensaje"/>
    <w:semiHidden/>
    <w:rsid w:val="009311A7"/>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9311A7"/>
    <w:rPr>
      <w:lang w:val="es-ES" w:eastAsia="es-ES"/>
    </w:rPr>
  </w:style>
  <w:style w:type="character" w:customStyle="1" w:styleId="TextosinformatoCar">
    <w:name w:val="Texto sin formato Car"/>
    <w:basedOn w:val="Fuentedeprrafopredeter"/>
    <w:link w:val="Textosinformato"/>
    <w:semiHidden/>
    <w:rsid w:val="009311A7"/>
    <w:rPr>
      <w:rFonts w:ascii="Courier New" w:hAnsi="Courier New" w:cs="Courier New"/>
      <w:lang w:val="es-ES" w:eastAsia="es-ES"/>
    </w:rPr>
  </w:style>
  <w:style w:type="character" w:customStyle="1" w:styleId="SaludoCar">
    <w:name w:val="Saludo Car"/>
    <w:basedOn w:val="Fuentedeprrafopredeter"/>
    <w:link w:val="Saludo"/>
    <w:semiHidden/>
    <w:rsid w:val="009311A7"/>
    <w:rPr>
      <w:lang w:val="es-ES" w:eastAsia="es-ES"/>
    </w:rPr>
  </w:style>
  <w:style w:type="character" w:customStyle="1" w:styleId="FirmaCar">
    <w:name w:val="Firma Car"/>
    <w:basedOn w:val="Fuentedeprrafopredeter"/>
    <w:link w:val="Firma"/>
    <w:semiHidden/>
    <w:rsid w:val="009311A7"/>
    <w:rPr>
      <w:lang w:val="es-ES" w:eastAsia="es-ES"/>
    </w:rPr>
  </w:style>
  <w:style w:type="character" w:customStyle="1" w:styleId="SubttuloCar">
    <w:name w:val="Subtítulo Car"/>
    <w:basedOn w:val="Fuentedeprrafopredeter"/>
    <w:link w:val="Subttulo"/>
    <w:semiHidden/>
    <w:rsid w:val="009311A7"/>
    <w:rPr>
      <w:rFonts w:ascii="Arial" w:hAnsi="Arial" w:cs="Arial"/>
      <w:sz w:val="24"/>
      <w:szCs w:val="24"/>
      <w:lang w:val="es-ES" w:eastAsia="es-ES"/>
    </w:rPr>
  </w:style>
  <w:style w:type="paragraph" w:customStyle="1" w:styleId="Table1G">
    <w:name w:val="Table_1_G"/>
    <w:basedOn w:val="Normal"/>
    <w:next w:val="Normal"/>
    <w:uiPriority w:val="2"/>
    <w:qFormat/>
    <w:rsid w:val="009311A7"/>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9311A7"/>
    <w:pPr>
      <w:spacing w:after="120"/>
    </w:pPr>
    <w:rPr>
      <w:b/>
    </w:rPr>
  </w:style>
  <w:style w:type="paragraph" w:customStyle="1" w:styleId="Table1Line3G">
    <w:name w:val="Table_1_Line3_G"/>
    <w:basedOn w:val="Table1line2G"/>
    <w:next w:val="Normal"/>
    <w:uiPriority w:val="2"/>
    <w:qFormat/>
    <w:rsid w:val="009311A7"/>
    <w:rPr>
      <w:b w:val="0"/>
      <w:sz w:val="16"/>
    </w:rPr>
  </w:style>
  <w:style w:type="paragraph" w:customStyle="1" w:styleId="TableH23G">
    <w:name w:val="Table_H2/3_G"/>
    <w:basedOn w:val="H23G"/>
    <w:uiPriority w:val="2"/>
    <w:qFormat/>
    <w:rsid w:val="009311A7"/>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9311A7"/>
    <w:rPr>
      <w:rFonts w:ascii="Arial" w:hAnsi="Arial" w:cs="Arial"/>
      <w:b/>
      <w:bCs/>
      <w:kern w:val="28"/>
      <w:sz w:val="32"/>
      <w:szCs w:val="32"/>
      <w:lang w:val="es-ES" w:eastAsia="es-ES"/>
    </w:rPr>
  </w:style>
  <w:style w:type="paragraph" w:styleId="TDC1">
    <w:name w:val="toc 1"/>
    <w:basedOn w:val="Normal"/>
    <w:next w:val="Normal"/>
    <w:uiPriority w:val="5"/>
    <w:unhideWhenUsed/>
    <w:rsid w:val="009311A7"/>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9311A7"/>
    <w:pPr>
      <w:tabs>
        <w:tab w:val="clear" w:pos="851"/>
      </w:tabs>
      <w:ind w:left="1559" w:hanging="425"/>
    </w:pPr>
  </w:style>
  <w:style w:type="paragraph" w:styleId="TDC3">
    <w:name w:val="toc 3"/>
    <w:basedOn w:val="TDC2"/>
    <w:next w:val="Normal"/>
    <w:uiPriority w:val="5"/>
    <w:unhideWhenUsed/>
    <w:rsid w:val="009311A7"/>
    <w:pPr>
      <w:tabs>
        <w:tab w:val="left" w:pos="1985"/>
      </w:tabs>
      <w:ind w:left="1984"/>
    </w:pPr>
  </w:style>
  <w:style w:type="paragraph" w:styleId="TDC4">
    <w:name w:val="toc 4"/>
    <w:basedOn w:val="TDC1"/>
    <w:next w:val="Normal"/>
    <w:uiPriority w:val="5"/>
    <w:unhideWhenUsed/>
    <w:rsid w:val="009311A7"/>
    <w:pPr>
      <w:tabs>
        <w:tab w:val="clear" w:pos="9072"/>
        <w:tab w:val="left" w:leader="dot" w:pos="7938"/>
        <w:tab w:val="right" w:pos="8930"/>
      </w:tabs>
      <w:ind w:right="1701"/>
    </w:pPr>
  </w:style>
  <w:style w:type="paragraph" w:styleId="TDC5">
    <w:name w:val="toc 5"/>
    <w:basedOn w:val="TDC4"/>
    <w:next w:val="Normal"/>
    <w:uiPriority w:val="5"/>
    <w:unhideWhenUsed/>
    <w:rsid w:val="009311A7"/>
    <w:pPr>
      <w:tabs>
        <w:tab w:val="clear" w:pos="851"/>
      </w:tabs>
      <w:ind w:left="1559" w:hanging="425"/>
    </w:pPr>
  </w:style>
  <w:style w:type="paragraph" w:styleId="TDC6">
    <w:name w:val="toc 6"/>
    <w:basedOn w:val="TDC5"/>
    <w:next w:val="Normal"/>
    <w:uiPriority w:val="5"/>
    <w:unhideWhenUsed/>
    <w:rsid w:val="009311A7"/>
    <w:pPr>
      <w:tabs>
        <w:tab w:val="left" w:pos="1985"/>
      </w:tabs>
      <w:ind w:left="19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CED.dotm</Template>
  <TotalTime>1</TotalTime>
  <Pages>8</Pages>
  <Words>4377</Words>
  <Characters>24075</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CED/C/20/2</vt:lpstr>
    </vt:vector>
  </TitlesOfParts>
  <Company/>
  <LinksUpToDate>false</LinksUpToDate>
  <CharactersWithSpaces>28396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CED/C/20/2</dc:title>
  <dc:subject/>
  <dc:creator>Javier RODRIGUEZ PEREZ</dc:creator>
  <cp:keywords/>
  <cp:lastModifiedBy>Maria DE-LA-PLAZA</cp:lastModifiedBy>
  <cp:revision>3</cp:revision>
  <cp:lastPrinted>2021-06-17T09:35:00Z</cp:lastPrinted>
  <dcterms:created xsi:type="dcterms:W3CDTF">2021-06-17T09:35:00Z</dcterms:created>
  <dcterms:modified xsi:type="dcterms:W3CDTF">2021-06-17T09:36:00Z</dcterms:modified>
</cp:coreProperties>
</file>