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8F729B" w14:paraId="18AE0E5A" w14:textId="77777777" w:rsidTr="00E866BF">
        <w:trPr>
          <w:trHeight w:hRule="exact" w:val="851"/>
        </w:trPr>
        <w:tc>
          <w:tcPr>
            <w:tcW w:w="1274" w:type="dxa"/>
            <w:tcBorders>
              <w:bottom w:val="single" w:sz="4" w:space="0" w:color="auto"/>
            </w:tcBorders>
          </w:tcPr>
          <w:p w14:paraId="489D994D" w14:textId="77777777" w:rsidR="006B3E27" w:rsidRPr="008F729B" w:rsidRDefault="006B3E27" w:rsidP="00894ADC">
            <w:pPr>
              <w:kinsoku w:val="0"/>
              <w:overflowPunct w:val="0"/>
              <w:autoSpaceDE w:val="0"/>
              <w:autoSpaceDN w:val="0"/>
              <w:adjustRightInd w:val="0"/>
              <w:snapToGrid w:val="0"/>
              <w:spacing w:after="80" w:line="480" w:lineRule="exact"/>
              <w:jc w:val="left"/>
              <w:rPr>
                <w:szCs w:val="40"/>
              </w:rPr>
            </w:pPr>
          </w:p>
        </w:tc>
        <w:tc>
          <w:tcPr>
            <w:tcW w:w="4679" w:type="dxa"/>
            <w:tcBorders>
              <w:bottom w:val="single" w:sz="4" w:space="0" w:color="auto"/>
            </w:tcBorders>
            <w:vAlign w:val="bottom"/>
          </w:tcPr>
          <w:p w14:paraId="610EE840" w14:textId="77777777" w:rsidR="006B3E27" w:rsidRPr="008F729B" w:rsidRDefault="006B3E27" w:rsidP="00E866BF">
            <w:pPr>
              <w:spacing w:after="80" w:line="480" w:lineRule="exact"/>
              <w:ind w:left="57"/>
              <w:jc w:val="left"/>
              <w:rPr>
                <w:sz w:val="30"/>
                <w:szCs w:val="30"/>
                <w:rtl/>
              </w:rPr>
            </w:pPr>
            <w:r w:rsidRPr="008F729B">
              <w:rPr>
                <w:rFonts w:hint="cs"/>
                <w:sz w:val="30"/>
                <w:szCs w:val="30"/>
                <w:rtl/>
              </w:rPr>
              <w:t>الأمم المتحدة</w:t>
            </w:r>
          </w:p>
        </w:tc>
        <w:tc>
          <w:tcPr>
            <w:tcW w:w="3686" w:type="dxa"/>
            <w:tcBorders>
              <w:bottom w:val="single" w:sz="4" w:space="0" w:color="auto"/>
            </w:tcBorders>
            <w:vAlign w:val="bottom"/>
          </w:tcPr>
          <w:p w14:paraId="13F0D1D2" w14:textId="77777777" w:rsidR="006B3E27" w:rsidRPr="00432855" w:rsidRDefault="00432855" w:rsidP="00432855">
            <w:pPr>
              <w:bidi w:val="0"/>
              <w:jc w:val="left"/>
            </w:pPr>
            <w:r w:rsidRPr="00432855">
              <w:rPr>
                <w:sz w:val="40"/>
              </w:rPr>
              <w:t>CED</w:t>
            </w:r>
            <w:r>
              <w:t>/C/</w:t>
            </w:r>
            <w:r w:rsidRPr="00FA58B2">
              <w:t>20</w:t>
            </w:r>
            <w:r>
              <w:t>/</w:t>
            </w:r>
            <w:r w:rsidRPr="00FA58B2">
              <w:t>2</w:t>
            </w:r>
          </w:p>
        </w:tc>
      </w:tr>
      <w:tr w:rsidR="006B3E27" w:rsidRPr="008F729B" w14:paraId="1E59CD2D" w14:textId="77777777" w:rsidTr="00E866BF">
        <w:trPr>
          <w:trHeight w:hRule="exact" w:val="2835"/>
        </w:trPr>
        <w:tc>
          <w:tcPr>
            <w:tcW w:w="1274" w:type="dxa"/>
            <w:tcBorders>
              <w:top w:val="single" w:sz="4" w:space="0" w:color="auto"/>
              <w:bottom w:val="single" w:sz="12" w:space="0" w:color="auto"/>
            </w:tcBorders>
          </w:tcPr>
          <w:p w14:paraId="68695AD9" w14:textId="77777777" w:rsidR="006B3E27" w:rsidRPr="008F729B" w:rsidRDefault="0059622A" w:rsidP="008F729B">
            <w:pPr>
              <w:jc w:val="center"/>
              <w:rPr>
                <w:rtl/>
              </w:rPr>
            </w:pPr>
            <w:r w:rsidRPr="008F729B">
              <w:rPr>
                <w:noProof/>
              </w:rPr>
              <w:drawing>
                <wp:inline distT="0" distB="0" distL="0" distR="0" wp14:anchorId="450C2B73" wp14:editId="7EEBAC72">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14:paraId="2CCF33F7" w14:textId="77777777" w:rsidR="006B3E27" w:rsidRPr="008F729B" w:rsidRDefault="004E1586" w:rsidP="00E866BF">
            <w:pPr>
              <w:spacing w:before="160" w:after="40" w:line="560" w:lineRule="exact"/>
              <w:ind w:left="57"/>
              <w:jc w:val="left"/>
              <w:rPr>
                <w:b/>
                <w:bCs/>
                <w:sz w:val="44"/>
                <w:szCs w:val="44"/>
                <w:rtl/>
              </w:rPr>
            </w:pPr>
            <w:r w:rsidRPr="008F729B">
              <w:rPr>
                <w:rFonts w:hint="cs"/>
                <w:b/>
                <w:bCs/>
                <w:sz w:val="44"/>
                <w:szCs w:val="44"/>
                <w:rtl/>
              </w:rPr>
              <w:t>الاتفاقيـة الدوليــة لحمـايـة جمـيـع الأشخاص من الاختفاء القسري</w:t>
            </w:r>
          </w:p>
        </w:tc>
        <w:tc>
          <w:tcPr>
            <w:tcW w:w="3686" w:type="dxa"/>
            <w:tcBorders>
              <w:top w:val="single" w:sz="4" w:space="0" w:color="auto"/>
              <w:bottom w:val="single" w:sz="12" w:space="0" w:color="auto"/>
            </w:tcBorders>
          </w:tcPr>
          <w:p w14:paraId="24094B3F" w14:textId="77777777" w:rsidR="006A69CA" w:rsidRDefault="00432855" w:rsidP="008F729B">
            <w:pPr>
              <w:bidi w:val="0"/>
              <w:spacing w:before="240"/>
              <w:jc w:val="left"/>
            </w:pPr>
            <w:r>
              <w:t>Distr.: General</w:t>
            </w:r>
          </w:p>
          <w:p w14:paraId="1398726D" w14:textId="11456DF4" w:rsidR="00432855" w:rsidRDefault="00957740" w:rsidP="00432855">
            <w:pPr>
              <w:bidi w:val="0"/>
              <w:spacing w:line="240" w:lineRule="exact"/>
              <w:jc w:val="left"/>
            </w:pPr>
            <w:r>
              <w:t>28 May 2021</w:t>
            </w:r>
          </w:p>
          <w:p w14:paraId="5A6A7E76" w14:textId="77777777" w:rsidR="00432855" w:rsidRDefault="00432855" w:rsidP="00432855">
            <w:pPr>
              <w:bidi w:val="0"/>
              <w:spacing w:line="240" w:lineRule="exact"/>
              <w:jc w:val="left"/>
            </w:pPr>
            <w:r>
              <w:t>Arabic</w:t>
            </w:r>
          </w:p>
          <w:p w14:paraId="42825DEB" w14:textId="77777777" w:rsidR="00432855" w:rsidRPr="00432855" w:rsidRDefault="00432855" w:rsidP="00432855">
            <w:pPr>
              <w:bidi w:val="0"/>
              <w:spacing w:line="240" w:lineRule="exact"/>
              <w:jc w:val="left"/>
            </w:pPr>
            <w:r>
              <w:t>Original: English</w:t>
            </w:r>
          </w:p>
        </w:tc>
      </w:tr>
    </w:tbl>
    <w:p w14:paraId="639996D8" w14:textId="77777777" w:rsidR="00971B29" w:rsidRPr="00424F1F" w:rsidRDefault="00971B29" w:rsidP="00424F1F">
      <w:pPr>
        <w:spacing w:before="120" w:line="360" w:lineRule="exact"/>
        <w:textDirection w:val="tbRlV"/>
        <w:rPr>
          <w:b/>
          <w:bCs/>
          <w:sz w:val="26"/>
          <w:szCs w:val="26"/>
          <w:lang w:val="ar-SA" w:eastAsia="zh-TW" w:bidi="en-GB"/>
        </w:rPr>
      </w:pPr>
      <w:r w:rsidRPr="00424F1F">
        <w:rPr>
          <w:b/>
          <w:bCs/>
          <w:sz w:val="26"/>
          <w:szCs w:val="26"/>
          <w:rtl/>
        </w:rPr>
        <w:t>اللجنة المعنية بحالات الاختفاء القسري</w:t>
      </w:r>
    </w:p>
    <w:p w14:paraId="163CC346" w14:textId="77777777" w:rsidR="00971B29" w:rsidRPr="00E85773" w:rsidRDefault="00971B29" w:rsidP="00E5388D">
      <w:pPr>
        <w:pStyle w:val="HChGA"/>
        <w:rPr>
          <w:spacing w:val="-2"/>
          <w:szCs w:val="20"/>
          <w:lang w:val="en-US" w:eastAsia="zh-TW" w:bidi="en-GB"/>
        </w:rPr>
      </w:pPr>
      <w:r w:rsidRPr="00E85773">
        <w:rPr>
          <w:spacing w:val="-2"/>
          <w:rtl/>
        </w:rPr>
        <w:tab/>
      </w:r>
      <w:r w:rsidRPr="00E85773">
        <w:rPr>
          <w:spacing w:val="-2"/>
          <w:rtl/>
        </w:rPr>
        <w:tab/>
        <w:t>تقرير عن طلبات الإجراءات العاجلة المقدمة بموجب المادة 30 من الاتفاقية</w:t>
      </w:r>
      <w:r w:rsidRPr="00E85773">
        <w:rPr>
          <w:b w:val="0"/>
          <w:bCs w:val="0"/>
          <w:spacing w:val="-2"/>
          <w:sz w:val="26"/>
          <w:szCs w:val="26"/>
          <w:rtl/>
        </w:rPr>
        <w:footnoteReference w:customMarkFollows="1" w:id="1"/>
        <w:t>*</w:t>
      </w:r>
    </w:p>
    <w:p w14:paraId="341C1000" w14:textId="271920CA" w:rsidR="00971B29" w:rsidRPr="00F51BB9" w:rsidRDefault="00971B29" w:rsidP="00E5388D">
      <w:pPr>
        <w:pStyle w:val="H1GA"/>
        <w:rPr>
          <w:szCs w:val="20"/>
          <w:lang w:val="ar-SA" w:eastAsia="zh-TW" w:bidi="en-GB"/>
        </w:rPr>
      </w:pPr>
      <w:r>
        <w:rPr>
          <w:rtl/>
        </w:rPr>
        <w:tab/>
        <w:t>ألف-</w:t>
      </w:r>
      <w:r>
        <w:rPr>
          <w:rtl/>
        </w:rPr>
        <w:tab/>
        <w:t>مقدمة</w:t>
      </w:r>
    </w:p>
    <w:p w14:paraId="339E92FD" w14:textId="4E4B29C7" w:rsidR="00971B29" w:rsidRPr="00F51BB9" w:rsidRDefault="00971B29" w:rsidP="00971B29">
      <w:pPr>
        <w:pStyle w:val="SingleTxtGA"/>
        <w:rPr>
          <w:szCs w:val="20"/>
          <w:lang w:val="ar-SA" w:eastAsia="zh-TW" w:bidi="en-GB"/>
        </w:rPr>
      </w:pPr>
      <w:r w:rsidRPr="00FA58B2">
        <w:rPr>
          <w:rtl/>
        </w:rPr>
        <w:t>1</w:t>
      </w:r>
      <w:r>
        <w:rPr>
          <w:rFonts w:ascii="Traditional Arabic"/>
          <w:szCs w:val="20"/>
          <w:rtl/>
        </w:rPr>
        <w:t>-</w:t>
      </w:r>
      <w:r>
        <w:rPr>
          <w:rtl/>
        </w:rPr>
        <w:tab/>
        <w:t xml:space="preserve">تنص المادتان </w:t>
      </w:r>
      <w:r w:rsidRPr="00FA58B2">
        <w:rPr>
          <w:rtl/>
        </w:rPr>
        <w:t>57</w:t>
      </w:r>
      <w:r>
        <w:rPr>
          <w:rtl/>
        </w:rPr>
        <w:t xml:space="preserve"> و</w:t>
      </w:r>
      <w:r w:rsidRPr="00FA58B2">
        <w:rPr>
          <w:rtl/>
        </w:rPr>
        <w:t>58</w:t>
      </w:r>
      <w:r>
        <w:rPr>
          <w:rtl/>
        </w:rPr>
        <w:t xml:space="preserve"> من النظام الداخلي للجنة على توجيه عناية اللجنة إلى جميع طلبات الإجراءات العاجلة المقدمة لكي تنظر فيها </w:t>
      </w:r>
      <w:r w:rsidR="00B33122">
        <w:rPr>
          <w:rtl/>
        </w:rPr>
        <w:t>وفقاً</w:t>
      </w:r>
      <w:r>
        <w:rPr>
          <w:rtl/>
        </w:rPr>
        <w:t xml:space="preserve"> للمادة </w:t>
      </w:r>
      <w:r w:rsidRPr="00FA58B2">
        <w:rPr>
          <w:rtl/>
        </w:rPr>
        <w:t>30</w:t>
      </w:r>
      <w:r>
        <w:rPr>
          <w:rtl/>
        </w:rPr>
        <w:t xml:space="preserve"> من الاتفاقية. ويمكن إتاحة النص الكامل لأي طلب من هذا القبيل باللغة التي قُدِّم بها لأي عضو من أعضاء اللجنة بناءً على طلبه. ويوجز هذا التقرير المسائل الرئيسية التي تم التطرق إليها فيما يتعلق بطلبات الإجراءات العاجلة التي تلقتها اللجنة بموجب المادة </w:t>
      </w:r>
      <w:r w:rsidRPr="00FA58B2">
        <w:rPr>
          <w:rtl/>
        </w:rPr>
        <w:t>30</w:t>
      </w:r>
      <w:r>
        <w:rPr>
          <w:rtl/>
        </w:rPr>
        <w:t xml:space="preserve"> من الاتفاقية، والقرارات المتخذة بشأن تلك الطلبات منذ الدورة التاسعة عشرة.</w:t>
      </w:r>
    </w:p>
    <w:p w14:paraId="6579B638" w14:textId="4848ACC7" w:rsidR="00971B29" w:rsidRPr="00F51BB9" w:rsidRDefault="00971B29" w:rsidP="00971B29">
      <w:pPr>
        <w:pStyle w:val="H1GA"/>
        <w:rPr>
          <w:szCs w:val="20"/>
          <w:lang w:val="ar-SA" w:eastAsia="zh-TW" w:bidi="en-GB"/>
        </w:rPr>
      </w:pPr>
      <w:r>
        <w:rPr>
          <w:rtl/>
        </w:rPr>
        <w:tab/>
        <w:t>باء-</w:t>
      </w:r>
      <w:r>
        <w:rPr>
          <w:rtl/>
        </w:rPr>
        <w:tab/>
        <w:t>طلبات الإجراءات العاجلة الواردة منذ الدورة التاسعة عشرة للجنة</w:t>
      </w:r>
    </w:p>
    <w:p w14:paraId="09507909" w14:textId="305B53A0" w:rsidR="00971B29" w:rsidRDefault="00971B29" w:rsidP="00971B29">
      <w:pPr>
        <w:pStyle w:val="SingleTxtGA"/>
        <w:rPr>
          <w:szCs w:val="20"/>
          <w:lang w:val="ar-SA" w:eastAsia="zh-TW" w:bidi="en-GB"/>
        </w:rPr>
      </w:pPr>
      <w:r w:rsidRPr="00FA58B2">
        <w:rPr>
          <w:rtl/>
        </w:rPr>
        <w:t>2</w:t>
      </w:r>
      <w:r>
        <w:rPr>
          <w:rFonts w:ascii="Traditional Arabic"/>
          <w:szCs w:val="20"/>
          <w:rtl/>
        </w:rPr>
        <w:t>-</w:t>
      </w:r>
      <w:r>
        <w:rPr>
          <w:rtl/>
        </w:rPr>
        <w:tab/>
        <w:t xml:space="preserve">أدرجت اللجنة في تقريرها المتعلق بطلبات الإجراءات العاجلة والمعتمد في دورتها التاسعة عشرة القرارات التي اتُّخذت بشأن طلبات الإجراءات العاجلة المسجّلة حتى </w:t>
      </w:r>
      <w:r w:rsidRPr="00FA58B2">
        <w:rPr>
          <w:rtl/>
        </w:rPr>
        <w:t>31</w:t>
      </w:r>
      <w:r>
        <w:rPr>
          <w:rtl/>
        </w:rPr>
        <w:t xml:space="preserve"> آب/أغسطس </w:t>
      </w:r>
      <w:r w:rsidRPr="00FA58B2">
        <w:rPr>
          <w:rtl/>
        </w:rPr>
        <w:t>2020</w:t>
      </w:r>
      <w:r>
        <w:rPr>
          <w:rtl/>
        </w:rPr>
        <w:t xml:space="preserve">، والبالغ عددها </w:t>
      </w:r>
      <w:r w:rsidRPr="00FA58B2">
        <w:rPr>
          <w:rtl/>
        </w:rPr>
        <w:t>969</w:t>
      </w:r>
      <w:r>
        <w:rPr>
          <w:rtl/>
        </w:rPr>
        <w:t xml:space="preserve"> طلباً</w:t>
      </w:r>
      <w:r w:rsidR="00BB5F1C">
        <w:rPr>
          <w:rStyle w:val="FootnoteReference"/>
          <w:szCs w:val="22"/>
          <w:rtl/>
        </w:rPr>
        <w:t>(</w:t>
      </w:r>
      <w:r w:rsidR="00BB5F1C" w:rsidRPr="008A0642">
        <w:rPr>
          <w:rStyle w:val="FootnoteReference"/>
          <w:szCs w:val="22"/>
          <w:rtl/>
        </w:rPr>
        <w:footnoteReference w:id="2"/>
      </w:r>
      <w:r w:rsidR="00BB5F1C">
        <w:rPr>
          <w:rStyle w:val="FootnoteReference"/>
          <w:szCs w:val="22"/>
          <w:rtl/>
        </w:rPr>
        <w:t>)</w:t>
      </w:r>
      <w:r w:rsidR="008A0642">
        <w:rPr>
          <w:rFonts w:hint="cs"/>
          <w:rtl/>
        </w:rPr>
        <w:t>.</w:t>
      </w:r>
      <w:r>
        <w:rPr>
          <w:rtl/>
        </w:rPr>
        <w:t xml:space="preserve"> وفي الفترة من ذلك التاريخ حتى </w:t>
      </w:r>
      <w:r w:rsidRPr="00FA58B2">
        <w:rPr>
          <w:rtl/>
        </w:rPr>
        <w:t>1</w:t>
      </w:r>
      <w:r>
        <w:rPr>
          <w:rtl/>
        </w:rPr>
        <w:t xml:space="preserve"> نيسان/أبريل </w:t>
      </w:r>
      <w:r w:rsidRPr="00FA58B2">
        <w:rPr>
          <w:rtl/>
        </w:rPr>
        <w:t>2021</w:t>
      </w:r>
      <w:r>
        <w:rPr>
          <w:rtl/>
        </w:rPr>
        <w:t xml:space="preserve">، تلقّت اللجنة </w:t>
      </w:r>
      <w:r w:rsidRPr="00FA58B2">
        <w:rPr>
          <w:rtl/>
        </w:rPr>
        <w:t>47</w:t>
      </w:r>
      <w:r>
        <w:rPr>
          <w:rtl/>
        </w:rPr>
        <w:t xml:space="preserve"> طلباً جديداً لاتخاذ الإجراءات العاجلة، سُجل منها </w:t>
      </w:r>
      <w:r w:rsidRPr="00FA58B2">
        <w:rPr>
          <w:rtl/>
        </w:rPr>
        <w:t>44</w:t>
      </w:r>
      <w:r>
        <w:rPr>
          <w:rtl/>
        </w:rPr>
        <w:t xml:space="preserve"> طلباً. ولم تسجَّل ثلاثة طلبات لأنها تتعلق بحالات اختفاء ادُّعي وقوعها في دول لم تصدق على الاتفاقية: و</w:t>
      </w:r>
      <w:r w:rsidR="00B33122">
        <w:rPr>
          <w:rtl/>
        </w:rPr>
        <w:t>وفقاً</w:t>
      </w:r>
      <w:r>
        <w:rPr>
          <w:rtl/>
        </w:rPr>
        <w:t xml:space="preserve"> للممارسة المكرسة، أحيلت تلك الطلبات الثلاثة إلى الفريق العامل المعني بحالات الاختفاء القسري أو غير الطوعي. ولم يسجّل طلبان آخران لأن مكان الأشخاص المعنيين قد حُدّد. وتتعلق الطلبات المسجلة الجديدة وعددها </w:t>
      </w:r>
      <w:r w:rsidRPr="00FA58B2">
        <w:rPr>
          <w:rtl/>
        </w:rPr>
        <w:t>44</w:t>
      </w:r>
      <w:r>
        <w:rPr>
          <w:rtl/>
        </w:rPr>
        <w:t xml:space="preserve"> طلبا</w:t>
      </w:r>
      <w:r w:rsidR="00C8294A">
        <w:rPr>
          <w:rFonts w:hint="cs"/>
          <w:rtl/>
        </w:rPr>
        <w:t>ً</w:t>
      </w:r>
      <w:r>
        <w:rPr>
          <w:rtl/>
        </w:rPr>
        <w:t xml:space="preserve"> بحالات اختفاء في باراغواي وبوركينا فاسو وبيرو وتوغو وكولومبيا والمكسيك وهندوراس والمغرب.</w:t>
      </w:r>
    </w:p>
    <w:p w14:paraId="6F3FF6F4" w14:textId="4E28DBF5" w:rsidR="00971B29" w:rsidRPr="00971B29" w:rsidRDefault="00971B29" w:rsidP="00971B29">
      <w:pPr>
        <w:pStyle w:val="SingleTxtGA"/>
        <w:rPr>
          <w:szCs w:val="20"/>
          <w:lang w:val="en-US" w:eastAsia="zh-TW" w:bidi="en-GB"/>
        </w:rPr>
      </w:pPr>
      <w:r w:rsidRPr="00FA58B2">
        <w:rPr>
          <w:rtl/>
        </w:rPr>
        <w:t>3</w:t>
      </w:r>
      <w:r>
        <w:rPr>
          <w:rFonts w:ascii="Traditional Arabic"/>
          <w:szCs w:val="20"/>
          <w:rtl/>
        </w:rPr>
        <w:t>-</w:t>
      </w:r>
      <w:r>
        <w:rPr>
          <w:rtl/>
        </w:rPr>
        <w:tab/>
        <w:t xml:space="preserve">وحتى </w:t>
      </w:r>
      <w:r w:rsidRPr="00FA58B2">
        <w:rPr>
          <w:rtl/>
        </w:rPr>
        <w:t>1</w:t>
      </w:r>
      <w:r>
        <w:rPr>
          <w:rtl/>
        </w:rPr>
        <w:t xml:space="preserve"> نيسان/أبريل </w:t>
      </w:r>
      <w:r w:rsidRPr="00FA58B2">
        <w:rPr>
          <w:rtl/>
        </w:rPr>
        <w:t>2021</w:t>
      </w:r>
      <w:r>
        <w:rPr>
          <w:rtl/>
        </w:rPr>
        <w:t xml:space="preserve">، سجلت اللجنة ما مجموعه </w:t>
      </w:r>
      <w:r w:rsidRPr="00FA58B2">
        <w:rPr>
          <w:rtl/>
        </w:rPr>
        <w:t>013</w:t>
      </w:r>
      <w:r>
        <w:rPr>
          <w:rFonts w:ascii="Traditional Arabic"/>
          <w:szCs w:val="20"/>
          <w:rtl/>
        </w:rPr>
        <w:t xml:space="preserve"> </w:t>
      </w:r>
      <w:r w:rsidRPr="00FA58B2">
        <w:rPr>
          <w:rtl/>
        </w:rPr>
        <w:t>1</w:t>
      </w:r>
      <w:r>
        <w:rPr>
          <w:rtl/>
        </w:rPr>
        <w:t xml:space="preserve"> طلبا</w:t>
      </w:r>
      <w:r w:rsidR="00B650CB">
        <w:rPr>
          <w:rFonts w:hint="cs"/>
          <w:rtl/>
        </w:rPr>
        <w:t>ً</w:t>
      </w:r>
      <w:r>
        <w:rPr>
          <w:rtl/>
        </w:rPr>
        <w:t xml:space="preserve"> لاتخاذ الإجراءات العاجلة، كما هو مبيَّن في الجدول.</w:t>
      </w:r>
    </w:p>
    <w:p w14:paraId="03F1E0AF" w14:textId="77777777" w:rsidR="00971B29" w:rsidRPr="00F51BB9" w:rsidRDefault="00971B29" w:rsidP="0072522F">
      <w:pPr>
        <w:pStyle w:val="H23GA"/>
        <w:rPr>
          <w:lang w:val="ar-SA" w:eastAsia="zh-TW" w:bidi="en-GB"/>
        </w:rPr>
      </w:pPr>
      <w:r>
        <w:rPr>
          <w:rtl/>
        </w:rPr>
        <w:lastRenderedPageBreak/>
        <w:tab/>
      </w:r>
      <w:r>
        <w:rPr>
          <w:rtl/>
        </w:rPr>
        <w:tab/>
        <w:t xml:space="preserve">طلبات اتخاذ الإجراءات العاجلة المسجلة حتى </w:t>
      </w:r>
      <w:r w:rsidRPr="00FA58B2">
        <w:rPr>
          <w:rtl/>
        </w:rPr>
        <w:t>1</w:t>
      </w:r>
      <w:r>
        <w:rPr>
          <w:rtl/>
        </w:rPr>
        <w:t xml:space="preserve"> نيسان/أبريل </w:t>
      </w:r>
      <w:r w:rsidRPr="00FA58B2">
        <w:rPr>
          <w:rtl/>
        </w:rPr>
        <w:t>2021</w:t>
      </w:r>
      <w:r>
        <w:rPr>
          <w:rtl/>
        </w:rPr>
        <w:t>، لكل سنة ولكل دولة طرف</w:t>
      </w:r>
    </w:p>
    <w:tbl>
      <w:tblPr>
        <w:bidiVisual/>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48"/>
        <w:gridCol w:w="325"/>
        <w:gridCol w:w="323"/>
        <w:gridCol w:w="324"/>
        <w:gridCol w:w="323"/>
        <w:gridCol w:w="324"/>
        <w:gridCol w:w="323"/>
        <w:gridCol w:w="453"/>
        <w:gridCol w:w="356"/>
        <w:gridCol w:w="429"/>
        <w:gridCol w:w="466"/>
        <w:gridCol w:w="384"/>
        <w:gridCol w:w="305"/>
        <w:gridCol w:w="357"/>
        <w:gridCol w:w="324"/>
        <w:gridCol w:w="483"/>
        <w:gridCol w:w="325"/>
        <w:gridCol w:w="332"/>
        <w:gridCol w:w="426"/>
        <w:gridCol w:w="382"/>
        <w:gridCol w:w="326"/>
        <w:gridCol w:w="346"/>
        <w:gridCol w:w="363"/>
        <w:gridCol w:w="393"/>
        <w:gridCol w:w="599"/>
      </w:tblGrid>
      <w:tr w:rsidR="00971B29" w:rsidRPr="0072522F" w14:paraId="5B38A3D0" w14:textId="77777777" w:rsidTr="0072522F">
        <w:trPr>
          <w:cantSplit/>
          <w:trHeight w:val="2174"/>
          <w:tblHeader/>
        </w:trPr>
        <w:tc>
          <w:tcPr>
            <w:tcW w:w="648" w:type="dxa"/>
            <w:tcBorders>
              <w:top w:val="single" w:sz="4" w:space="0" w:color="auto"/>
              <w:bottom w:val="single" w:sz="12" w:space="0" w:color="auto"/>
            </w:tcBorders>
            <w:shd w:val="clear" w:color="auto" w:fill="auto"/>
            <w:vAlign w:val="bottom"/>
          </w:tcPr>
          <w:p w14:paraId="71455EBB" w14:textId="77777777" w:rsidR="00971B29" w:rsidRPr="0072522F" w:rsidRDefault="00971B29" w:rsidP="0072522F">
            <w:pPr>
              <w:spacing w:before="20" w:after="40" w:line="300" w:lineRule="exact"/>
              <w:ind w:left="57" w:right="57"/>
              <w:textDirection w:val="tbRlV"/>
              <w:rPr>
                <w:i/>
                <w:sz w:val="18"/>
                <w:szCs w:val="18"/>
                <w:lang w:val="ar-SA" w:eastAsia="zh-TW" w:bidi="en-GB"/>
              </w:rPr>
            </w:pPr>
            <w:r w:rsidRPr="0072522F">
              <w:rPr>
                <w:i/>
                <w:iCs/>
                <w:sz w:val="18"/>
                <w:szCs w:val="18"/>
                <w:rtl/>
              </w:rPr>
              <w:t>السنة</w:t>
            </w:r>
          </w:p>
        </w:tc>
        <w:tc>
          <w:tcPr>
            <w:tcW w:w="325" w:type="dxa"/>
            <w:tcBorders>
              <w:top w:val="single" w:sz="4" w:space="0" w:color="auto"/>
              <w:bottom w:val="single" w:sz="12" w:space="0" w:color="auto"/>
            </w:tcBorders>
            <w:shd w:val="clear" w:color="auto" w:fill="auto"/>
            <w:textDirection w:val="btLr"/>
            <w:vAlign w:val="bottom"/>
          </w:tcPr>
          <w:p w14:paraId="0D501EE1" w14:textId="77777777" w:rsidR="00971B29" w:rsidRPr="0072522F" w:rsidRDefault="00971B29" w:rsidP="0072522F">
            <w:pPr>
              <w:spacing w:before="20" w:after="40" w:line="300" w:lineRule="exact"/>
              <w:ind w:left="57" w:right="57"/>
              <w:textDirection w:val="tbRlV"/>
              <w:rPr>
                <w:i/>
                <w:sz w:val="18"/>
                <w:szCs w:val="18"/>
                <w:lang w:val="ar-SA" w:eastAsia="zh-TW" w:bidi="en-GB"/>
              </w:rPr>
            </w:pPr>
            <w:r w:rsidRPr="0072522F">
              <w:rPr>
                <w:i/>
                <w:iCs/>
                <w:sz w:val="18"/>
                <w:szCs w:val="18"/>
                <w:rtl/>
              </w:rPr>
              <w:t>الأرجنتين</w:t>
            </w:r>
          </w:p>
        </w:tc>
        <w:tc>
          <w:tcPr>
            <w:tcW w:w="323" w:type="dxa"/>
            <w:tcBorders>
              <w:top w:val="single" w:sz="4" w:space="0" w:color="auto"/>
              <w:bottom w:val="single" w:sz="12" w:space="0" w:color="auto"/>
            </w:tcBorders>
            <w:shd w:val="clear" w:color="auto" w:fill="auto"/>
            <w:textDirection w:val="btLr"/>
            <w:vAlign w:val="bottom"/>
          </w:tcPr>
          <w:p w14:paraId="55BD436D" w14:textId="77777777" w:rsidR="00971B29" w:rsidRPr="0072522F" w:rsidRDefault="00971B29" w:rsidP="0072522F">
            <w:pPr>
              <w:spacing w:before="20" w:after="40" w:line="300" w:lineRule="exact"/>
              <w:ind w:left="57" w:right="57"/>
              <w:textDirection w:val="tbRlV"/>
              <w:rPr>
                <w:i/>
                <w:sz w:val="18"/>
                <w:szCs w:val="18"/>
                <w:lang w:val="ar-SA" w:eastAsia="zh-TW" w:bidi="en-GB"/>
              </w:rPr>
            </w:pPr>
            <w:r w:rsidRPr="0072522F">
              <w:rPr>
                <w:i/>
                <w:iCs/>
                <w:sz w:val="18"/>
                <w:szCs w:val="18"/>
                <w:rtl/>
              </w:rPr>
              <w:t>أرمينيا</w:t>
            </w:r>
          </w:p>
        </w:tc>
        <w:tc>
          <w:tcPr>
            <w:tcW w:w="324" w:type="dxa"/>
            <w:tcBorders>
              <w:top w:val="single" w:sz="4" w:space="0" w:color="auto"/>
              <w:bottom w:val="single" w:sz="12" w:space="0" w:color="auto"/>
            </w:tcBorders>
            <w:shd w:val="clear" w:color="auto" w:fill="auto"/>
            <w:textDirection w:val="btLr"/>
            <w:vAlign w:val="bottom"/>
          </w:tcPr>
          <w:p w14:paraId="58D09472" w14:textId="77777777" w:rsidR="00971B29" w:rsidRPr="0072522F" w:rsidRDefault="00971B29" w:rsidP="0072522F">
            <w:pPr>
              <w:spacing w:before="20" w:after="40" w:line="300" w:lineRule="exact"/>
              <w:ind w:left="57" w:right="57"/>
              <w:textDirection w:val="tbRlV"/>
              <w:rPr>
                <w:i/>
                <w:sz w:val="18"/>
                <w:szCs w:val="18"/>
                <w:lang w:val="ar-SA" w:eastAsia="zh-TW" w:bidi="en-GB"/>
              </w:rPr>
            </w:pPr>
            <w:r w:rsidRPr="0072522F">
              <w:rPr>
                <w:i/>
                <w:iCs/>
                <w:sz w:val="18"/>
                <w:szCs w:val="18"/>
                <w:rtl/>
              </w:rPr>
              <w:t>بوليفيا (دولة - المتعددة القوميات)</w:t>
            </w:r>
          </w:p>
        </w:tc>
        <w:tc>
          <w:tcPr>
            <w:tcW w:w="323" w:type="dxa"/>
            <w:tcBorders>
              <w:top w:val="single" w:sz="4" w:space="0" w:color="auto"/>
              <w:bottom w:val="single" w:sz="12" w:space="0" w:color="auto"/>
            </w:tcBorders>
            <w:shd w:val="clear" w:color="auto" w:fill="auto"/>
            <w:textDirection w:val="btLr"/>
            <w:vAlign w:val="bottom"/>
          </w:tcPr>
          <w:p w14:paraId="54DBD02D" w14:textId="77777777" w:rsidR="00971B29" w:rsidRPr="0072522F" w:rsidRDefault="00971B29" w:rsidP="0072522F">
            <w:pPr>
              <w:spacing w:before="20" w:after="40" w:line="300" w:lineRule="exact"/>
              <w:ind w:left="57" w:right="57"/>
              <w:textDirection w:val="tbRlV"/>
              <w:rPr>
                <w:i/>
                <w:sz w:val="18"/>
                <w:szCs w:val="18"/>
                <w:lang w:val="ar-SA" w:eastAsia="zh-TW" w:bidi="en-GB"/>
              </w:rPr>
            </w:pPr>
            <w:r w:rsidRPr="0072522F">
              <w:rPr>
                <w:i/>
                <w:iCs/>
                <w:sz w:val="18"/>
                <w:szCs w:val="18"/>
                <w:rtl/>
              </w:rPr>
              <w:t>البرازيل</w:t>
            </w:r>
          </w:p>
        </w:tc>
        <w:tc>
          <w:tcPr>
            <w:tcW w:w="324" w:type="dxa"/>
            <w:tcBorders>
              <w:top w:val="single" w:sz="4" w:space="0" w:color="auto"/>
              <w:bottom w:val="single" w:sz="12" w:space="0" w:color="auto"/>
            </w:tcBorders>
            <w:shd w:val="clear" w:color="auto" w:fill="auto"/>
            <w:textDirection w:val="btLr"/>
            <w:vAlign w:val="bottom"/>
          </w:tcPr>
          <w:p w14:paraId="0FCE245E" w14:textId="77777777" w:rsidR="00971B29" w:rsidRPr="0072522F" w:rsidRDefault="00971B29" w:rsidP="0072522F">
            <w:pPr>
              <w:spacing w:before="20" w:after="40" w:line="300" w:lineRule="exact"/>
              <w:ind w:left="57" w:right="57"/>
              <w:textDirection w:val="tbRlV"/>
              <w:rPr>
                <w:i/>
                <w:sz w:val="18"/>
                <w:szCs w:val="18"/>
                <w:lang w:val="ar-SA" w:eastAsia="zh-TW" w:bidi="en-GB"/>
              </w:rPr>
            </w:pPr>
            <w:r w:rsidRPr="0072522F">
              <w:rPr>
                <w:i/>
                <w:iCs/>
                <w:sz w:val="18"/>
                <w:szCs w:val="18"/>
                <w:rtl/>
              </w:rPr>
              <w:t>بوركينا فاسو</w:t>
            </w:r>
          </w:p>
        </w:tc>
        <w:tc>
          <w:tcPr>
            <w:tcW w:w="323" w:type="dxa"/>
            <w:tcBorders>
              <w:top w:val="single" w:sz="4" w:space="0" w:color="auto"/>
              <w:bottom w:val="single" w:sz="12" w:space="0" w:color="auto"/>
            </w:tcBorders>
            <w:shd w:val="clear" w:color="auto" w:fill="auto"/>
            <w:textDirection w:val="btLr"/>
            <w:vAlign w:val="bottom"/>
          </w:tcPr>
          <w:p w14:paraId="7255F1B4" w14:textId="77777777" w:rsidR="00971B29" w:rsidRPr="0072522F" w:rsidRDefault="00971B29" w:rsidP="0072522F">
            <w:pPr>
              <w:spacing w:before="20" w:after="40" w:line="300" w:lineRule="exact"/>
              <w:ind w:left="57" w:right="57"/>
              <w:textDirection w:val="tbRlV"/>
              <w:rPr>
                <w:i/>
                <w:sz w:val="18"/>
                <w:szCs w:val="18"/>
                <w:lang w:val="ar-SA" w:eastAsia="zh-TW" w:bidi="en-GB"/>
              </w:rPr>
            </w:pPr>
            <w:r w:rsidRPr="0072522F">
              <w:rPr>
                <w:i/>
                <w:iCs/>
                <w:sz w:val="18"/>
                <w:szCs w:val="18"/>
                <w:rtl/>
              </w:rPr>
              <w:t>كمبوديا</w:t>
            </w:r>
          </w:p>
        </w:tc>
        <w:tc>
          <w:tcPr>
            <w:tcW w:w="453" w:type="dxa"/>
            <w:tcBorders>
              <w:top w:val="single" w:sz="4" w:space="0" w:color="auto"/>
              <w:bottom w:val="single" w:sz="12" w:space="0" w:color="auto"/>
            </w:tcBorders>
            <w:shd w:val="clear" w:color="auto" w:fill="auto"/>
            <w:textDirection w:val="btLr"/>
            <w:vAlign w:val="bottom"/>
          </w:tcPr>
          <w:p w14:paraId="66267223" w14:textId="77777777" w:rsidR="00971B29" w:rsidRPr="0072522F" w:rsidRDefault="00971B29" w:rsidP="0072522F">
            <w:pPr>
              <w:spacing w:before="20" w:after="40" w:line="300" w:lineRule="exact"/>
              <w:ind w:left="57" w:right="57"/>
              <w:textDirection w:val="tbRlV"/>
              <w:rPr>
                <w:i/>
                <w:sz w:val="18"/>
                <w:szCs w:val="18"/>
                <w:lang w:val="ar-SA" w:eastAsia="zh-TW" w:bidi="en-GB"/>
              </w:rPr>
            </w:pPr>
            <w:r w:rsidRPr="0072522F">
              <w:rPr>
                <w:i/>
                <w:iCs/>
                <w:sz w:val="18"/>
                <w:szCs w:val="18"/>
                <w:rtl/>
              </w:rPr>
              <w:t>كولومبيا</w:t>
            </w:r>
          </w:p>
        </w:tc>
        <w:tc>
          <w:tcPr>
            <w:tcW w:w="356" w:type="dxa"/>
            <w:tcBorders>
              <w:top w:val="single" w:sz="4" w:space="0" w:color="auto"/>
              <w:bottom w:val="single" w:sz="12" w:space="0" w:color="auto"/>
            </w:tcBorders>
            <w:shd w:val="clear" w:color="auto" w:fill="auto"/>
            <w:textDirection w:val="btLr"/>
            <w:vAlign w:val="bottom"/>
          </w:tcPr>
          <w:p w14:paraId="6BF58A58" w14:textId="77777777" w:rsidR="00971B29" w:rsidRPr="0072522F" w:rsidRDefault="00971B29" w:rsidP="0072522F">
            <w:pPr>
              <w:spacing w:before="20" w:after="40" w:line="300" w:lineRule="exact"/>
              <w:ind w:left="57" w:right="57"/>
              <w:textDirection w:val="tbRlV"/>
              <w:rPr>
                <w:i/>
                <w:sz w:val="18"/>
                <w:szCs w:val="18"/>
                <w:lang w:val="ar-SA" w:eastAsia="zh-TW" w:bidi="en-GB"/>
              </w:rPr>
            </w:pPr>
            <w:r w:rsidRPr="0072522F">
              <w:rPr>
                <w:i/>
                <w:iCs/>
                <w:sz w:val="18"/>
                <w:szCs w:val="18"/>
                <w:rtl/>
              </w:rPr>
              <w:t>كوبا</w:t>
            </w:r>
          </w:p>
        </w:tc>
        <w:tc>
          <w:tcPr>
            <w:tcW w:w="429" w:type="dxa"/>
            <w:tcBorders>
              <w:top w:val="single" w:sz="4" w:space="0" w:color="auto"/>
              <w:bottom w:val="single" w:sz="12" w:space="0" w:color="auto"/>
            </w:tcBorders>
            <w:shd w:val="clear" w:color="auto" w:fill="auto"/>
            <w:textDirection w:val="btLr"/>
            <w:vAlign w:val="bottom"/>
          </w:tcPr>
          <w:p w14:paraId="45C945CF" w14:textId="77777777" w:rsidR="00971B29" w:rsidRPr="0072522F" w:rsidRDefault="00971B29" w:rsidP="0072522F">
            <w:pPr>
              <w:spacing w:before="20" w:after="40" w:line="300" w:lineRule="exact"/>
              <w:ind w:left="57" w:right="57"/>
              <w:textDirection w:val="tbRlV"/>
              <w:rPr>
                <w:i/>
                <w:sz w:val="18"/>
                <w:szCs w:val="18"/>
                <w:lang w:val="ar-SA" w:eastAsia="zh-TW" w:bidi="en-GB"/>
              </w:rPr>
            </w:pPr>
            <w:r w:rsidRPr="0072522F">
              <w:rPr>
                <w:i/>
                <w:iCs/>
                <w:sz w:val="18"/>
                <w:szCs w:val="18"/>
                <w:rtl/>
              </w:rPr>
              <w:t>هندوراس</w:t>
            </w:r>
          </w:p>
        </w:tc>
        <w:tc>
          <w:tcPr>
            <w:tcW w:w="466" w:type="dxa"/>
            <w:tcBorders>
              <w:top w:val="single" w:sz="4" w:space="0" w:color="auto"/>
              <w:bottom w:val="single" w:sz="12" w:space="0" w:color="auto"/>
            </w:tcBorders>
            <w:shd w:val="clear" w:color="auto" w:fill="auto"/>
            <w:textDirection w:val="btLr"/>
            <w:vAlign w:val="bottom"/>
          </w:tcPr>
          <w:p w14:paraId="5587E925" w14:textId="77777777" w:rsidR="00971B29" w:rsidRPr="0072522F" w:rsidRDefault="00971B29" w:rsidP="0072522F">
            <w:pPr>
              <w:spacing w:before="20" w:after="40" w:line="300" w:lineRule="exact"/>
              <w:ind w:left="57" w:right="57"/>
              <w:textDirection w:val="tbRlV"/>
              <w:rPr>
                <w:i/>
                <w:sz w:val="18"/>
                <w:szCs w:val="18"/>
                <w:lang w:val="ar-SA" w:eastAsia="zh-TW" w:bidi="en-GB"/>
              </w:rPr>
            </w:pPr>
            <w:r w:rsidRPr="0072522F">
              <w:rPr>
                <w:i/>
                <w:iCs/>
                <w:sz w:val="18"/>
                <w:szCs w:val="18"/>
                <w:rtl/>
              </w:rPr>
              <w:t>العراق</w:t>
            </w:r>
          </w:p>
        </w:tc>
        <w:tc>
          <w:tcPr>
            <w:tcW w:w="384" w:type="dxa"/>
            <w:tcBorders>
              <w:top w:val="single" w:sz="4" w:space="0" w:color="auto"/>
              <w:bottom w:val="single" w:sz="12" w:space="0" w:color="auto"/>
            </w:tcBorders>
            <w:shd w:val="clear" w:color="auto" w:fill="auto"/>
            <w:textDirection w:val="btLr"/>
            <w:vAlign w:val="bottom"/>
          </w:tcPr>
          <w:p w14:paraId="5A080D34" w14:textId="77777777" w:rsidR="00971B29" w:rsidRPr="0072522F" w:rsidRDefault="00971B29" w:rsidP="0072522F">
            <w:pPr>
              <w:spacing w:before="20" w:after="40" w:line="300" w:lineRule="exact"/>
              <w:ind w:left="57" w:right="57"/>
              <w:textDirection w:val="tbRlV"/>
              <w:rPr>
                <w:i/>
                <w:sz w:val="18"/>
                <w:szCs w:val="18"/>
                <w:lang w:val="ar-SA" w:eastAsia="zh-TW" w:bidi="en-GB"/>
              </w:rPr>
            </w:pPr>
            <w:r w:rsidRPr="0072522F">
              <w:rPr>
                <w:i/>
                <w:iCs/>
                <w:sz w:val="18"/>
                <w:szCs w:val="18"/>
                <w:rtl/>
              </w:rPr>
              <w:t>كازاخستان</w:t>
            </w:r>
          </w:p>
        </w:tc>
        <w:tc>
          <w:tcPr>
            <w:tcW w:w="305" w:type="dxa"/>
            <w:tcBorders>
              <w:top w:val="single" w:sz="4" w:space="0" w:color="auto"/>
              <w:bottom w:val="single" w:sz="12" w:space="0" w:color="auto"/>
            </w:tcBorders>
            <w:shd w:val="clear" w:color="auto" w:fill="auto"/>
            <w:textDirection w:val="btLr"/>
            <w:vAlign w:val="bottom"/>
          </w:tcPr>
          <w:p w14:paraId="01EF58CA" w14:textId="77777777" w:rsidR="00971B29" w:rsidRPr="0072522F" w:rsidRDefault="00971B29" w:rsidP="0072522F">
            <w:pPr>
              <w:spacing w:before="20" w:after="40" w:line="300" w:lineRule="exact"/>
              <w:ind w:left="57" w:right="57"/>
              <w:textDirection w:val="tbRlV"/>
              <w:rPr>
                <w:i/>
                <w:sz w:val="18"/>
                <w:szCs w:val="18"/>
                <w:lang w:eastAsia="zh-TW" w:bidi="en-GB"/>
              </w:rPr>
            </w:pPr>
            <w:r w:rsidRPr="0072522F">
              <w:rPr>
                <w:i/>
                <w:iCs/>
                <w:sz w:val="18"/>
                <w:szCs w:val="18"/>
                <w:rtl/>
              </w:rPr>
              <w:t>ليتوانيا</w:t>
            </w:r>
          </w:p>
        </w:tc>
        <w:tc>
          <w:tcPr>
            <w:tcW w:w="357" w:type="dxa"/>
            <w:tcBorders>
              <w:top w:val="single" w:sz="4" w:space="0" w:color="auto"/>
              <w:bottom w:val="single" w:sz="12" w:space="0" w:color="auto"/>
            </w:tcBorders>
            <w:shd w:val="clear" w:color="auto" w:fill="auto"/>
            <w:textDirection w:val="btLr"/>
            <w:vAlign w:val="bottom"/>
          </w:tcPr>
          <w:p w14:paraId="562DE924" w14:textId="77777777" w:rsidR="00971B29" w:rsidRPr="0072522F" w:rsidRDefault="00971B29" w:rsidP="0072522F">
            <w:pPr>
              <w:spacing w:before="20" w:after="40" w:line="300" w:lineRule="exact"/>
              <w:ind w:left="57" w:right="57"/>
              <w:textDirection w:val="tbRlV"/>
              <w:rPr>
                <w:i/>
                <w:sz w:val="18"/>
                <w:szCs w:val="18"/>
                <w:lang w:val="ar-SA" w:eastAsia="zh-TW" w:bidi="en-GB"/>
              </w:rPr>
            </w:pPr>
            <w:r w:rsidRPr="0072522F">
              <w:rPr>
                <w:i/>
                <w:iCs/>
                <w:sz w:val="18"/>
                <w:szCs w:val="18"/>
                <w:rtl/>
              </w:rPr>
              <w:t>مالي</w:t>
            </w:r>
          </w:p>
        </w:tc>
        <w:tc>
          <w:tcPr>
            <w:tcW w:w="324" w:type="dxa"/>
            <w:tcBorders>
              <w:top w:val="single" w:sz="4" w:space="0" w:color="auto"/>
              <w:bottom w:val="single" w:sz="12" w:space="0" w:color="auto"/>
            </w:tcBorders>
            <w:shd w:val="clear" w:color="auto" w:fill="auto"/>
            <w:textDirection w:val="btLr"/>
            <w:vAlign w:val="bottom"/>
          </w:tcPr>
          <w:p w14:paraId="3A55E6EB" w14:textId="77777777" w:rsidR="00971B29" w:rsidRPr="0072522F" w:rsidRDefault="00971B29" w:rsidP="0072522F">
            <w:pPr>
              <w:spacing w:before="20" w:after="40" w:line="300" w:lineRule="exact"/>
              <w:ind w:left="57" w:right="57"/>
              <w:textDirection w:val="tbRlV"/>
              <w:rPr>
                <w:i/>
                <w:sz w:val="18"/>
                <w:szCs w:val="18"/>
                <w:lang w:val="ar-SA" w:eastAsia="zh-TW" w:bidi="en-GB"/>
              </w:rPr>
            </w:pPr>
            <w:r w:rsidRPr="0072522F">
              <w:rPr>
                <w:i/>
                <w:iCs/>
                <w:sz w:val="18"/>
                <w:szCs w:val="18"/>
                <w:rtl/>
              </w:rPr>
              <w:t>موريتانيا</w:t>
            </w:r>
          </w:p>
        </w:tc>
        <w:tc>
          <w:tcPr>
            <w:tcW w:w="483" w:type="dxa"/>
            <w:tcBorders>
              <w:top w:val="single" w:sz="4" w:space="0" w:color="auto"/>
              <w:bottom w:val="single" w:sz="12" w:space="0" w:color="auto"/>
            </w:tcBorders>
            <w:shd w:val="clear" w:color="auto" w:fill="auto"/>
            <w:textDirection w:val="btLr"/>
            <w:vAlign w:val="bottom"/>
          </w:tcPr>
          <w:p w14:paraId="0C8891E0" w14:textId="77777777" w:rsidR="00971B29" w:rsidRPr="0072522F" w:rsidRDefault="00971B29" w:rsidP="0072522F">
            <w:pPr>
              <w:spacing w:before="20" w:after="40" w:line="300" w:lineRule="exact"/>
              <w:ind w:left="57" w:right="57"/>
              <w:textDirection w:val="tbRlV"/>
              <w:rPr>
                <w:i/>
                <w:sz w:val="18"/>
                <w:szCs w:val="18"/>
                <w:lang w:val="ar-SA" w:eastAsia="zh-TW" w:bidi="en-GB"/>
              </w:rPr>
            </w:pPr>
            <w:r w:rsidRPr="0072522F">
              <w:rPr>
                <w:i/>
                <w:iCs/>
                <w:sz w:val="18"/>
                <w:szCs w:val="18"/>
                <w:rtl/>
              </w:rPr>
              <w:t>المكسيك</w:t>
            </w:r>
          </w:p>
        </w:tc>
        <w:tc>
          <w:tcPr>
            <w:tcW w:w="325" w:type="dxa"/>
            <w:tcBorders>
              <w:top w:val="single" w:sz="4" w:space="0" w:color="auto"/>
              <w:bottom w:val="single" w:sz="12" w:space="0" w:color="auto"/>
            </w:tcBorders>
            <w:shd w:val="clear" w:color="auto" w:fill="auto"/>
            <w:textDirection w:val="btLr"/>
            <w:vAlign w:val="bottom"/>
          </w:tcPr>
          <w:p w14:paraId="6E51034E" w14:textId="77777777" w:rsidR="00971B29" w:rsidRPr="0072522F" w:rsidRDefault="00971B29" w:rsidP="0072522F">
            <w:pPr>
              <w:spacing w:before="20" w:after="40" w:line="300" w:lineRule="exact"/>
              <w:ind w:left="57" w:right="57"/>
              <w:textDirection w:val="tbRlV"/>
              <w:rPr>
                <w:i/>
                <w:sz w:val="18"/>
                <w:szCs w:val="18"/>
                <w:lang w:val="ar-SA" w:eastAsia="zh-TW" w:bidi="en-GB"/>
              </w:rPr>
            </w:pPr>
            <w:r w:rsidRPr="0072522F">
              <w:rPr>
                <w:i/>
                <w:iCs/>
                <w:sz w:val="18"/>
                <w:szCs w:val="18"/>
                <w:rtl/>
              </w:rPr>
              <w:t>المغرب</w:t>
            </w:r>
          </w:p>
        </w:tc>
        <w:tc>
          <w:tcPr>
            <w:tcW w:w="332" w:type="dxa"/>
            <w:tcBorders>
              <w:top w:val="single" w:sz="4" w:space="0" w:color="auto"/>
              <w:bottom w:val="single" w:sz="12" w:space="0" w:color="auto"/>
            </w:tcBorders>
            <w:shd w:val="clear" w:color="auto" w:fill="auto"/>
            <w:textDirection w:val="btLr"/>
            <w:vAlign w:val="bottom"/>
          </w:tcPr>
          <w:p w14:paraId="34F8CBBC" w14:textId="77777777" w:rsidR="00971B29" w:rsidRPr="0072522F" w:rsidRDefault="00971B29" w:rsidP="0072522F">
            <w:pPr>
              <w:spacing w:before="20" w:after="40" w:line="300" w:lineRule="exact"/>
              <w:ind w:left="57" w:right="57"/>
              <w:textDirection w:val="tbRlV"/>
              <w:rPr>
                <w:i/>
                <w:sz w:val="18"/>
                <w:szCs w:val="18"/>
                <w:lang w:val="ar-SA" w:eastAsia="zh-TW" w:bidi="en-GB"/>
              </w:rPr>
            </w:pPr>
            <w:r w:rsidRPr="0072522F">
              <w:rPr>
                <w:i/>
                <w:iCs/>
                <w:sz w:val="18"/>
                <w:szCs w:val="18"/>
                <w:rtl/>
              </w:rPr>
              <w:t>النيجر</w:t>
            </w:r>
          </w:p>
        </w:tc>
        <w:tc>
          <w:tcPr>
            <w:tcW w:w="426" w:type="dxa"/>
            <w:tcBorders>
              <w:top w:val="single" w:sz="4" w:space="0" w:color="auto"/>
              <w:bottom w:val="single" w:sz="12" w:space="0" w:color="auto"/>
            </w:tcBorders>
            <w:shd w:val="clear" w:color="auto" w:fill="auto"/>
            <w:textDirection w:val="btLr"/>
            <w:vAlign w:val="bottom"/>
          </w:tcPr>
          <w:p w14:paraId="47ACC3A3" w14:textId="77777777" w:rsidR="00971B29" w:rsidRPr="0072522F" w:rsidRDefault="00971B29" w:rsidP="0072522F">
            <w:pPr>
              <w:spacing w:before="20" w:after="40" w:line="300" w:lineRule="exact"/>
              <w:ind w:left="57" w:right="57"/>
              <w:textDirection w:val="tbRlV"/>
              <w:rPr>
                <w:i/>
                <w:sz w:val="18"/>
                <w:szCs w:val="18"/>
                <w:lang w:val="ar-SA" w:eastAsia="zh-TW" w:bidi="en-GB"/>
              </w:rPr>
            </w:pPr>
            <w:r w:rsidRPr="0072522F">
              <w:rPr>
                <w:i/>
                <w:iCs/>
                <w:sz w:val="18"/>
                <w:szCs w:val="18"/>
                <w:rtl/>
              </w:rPr>
              <w:t>باراغواي</w:t>
            </w:r>
          </w:p>
        </w:tc>
        <w:tc>
          <w:tcPr>
            <w:tcW w:w="382" w:type="dxa"/>
            <w:tcBorders>
              <w:top w:val="single" w:sz="4" w:space="0" w:color="auto"/>
              <w:bottom w:val="single" w:sz="12" w:space="0" w:color="auto"/>
            </w:tcBorders>
            <w:shd w:val="clear" w:color="auto" w:fill="auto"/>
            <w:textDirection w:val="btLr"/>
            <w:vAlign w:val="bottom"/>
          </w:tcPr>
          <w:p w14:paraId="49DA23F9" w14:textId="77777777" w:rsidR="00971B29" w:rsidRPr="0072522F" w:rsidRDefault="00971B29" w:rsidP="0072522F">
            <w:pPr>
              <w:spacing w:before="20" w:after="40" w:line="300" w:lineRule="exact"/>
              <w:ind w:left="57" w:right="57"/>
              <w:textDirection w:val="tbRlV"/>
              <w:rPr>
                <w:i/>
                <w:sz w:val="18"/>
                <w:szCs w:val="18"/>
                <w:lang w:val="ar-SA" w:eastAsia="zh-TW" w:bidi="en-GB"/>
              </w:rPr>
            </w:pPr>
            <w:r w:rsidRPr="0072522F">
              <w:rPr>
                <w:i/>
                <w:iCs/>
                <w:sz w:val="18"/>
                <w:szCs w:val="18"/>
                <w:rtl/>
              </w:rPr>
              <w:t>بيرو</w:t>
            </w:r>
          </w:p>
        </w:tc>
        <w:tc>
          <w:tcPr>
            <w:tcW w:w="326" w:type="dxa"/>
            <w:tcBorders>
              <w:top w:val="single" w:sz="4" w:space="0" w:color="auto"/>
              <w:bottom w:val="single" w:sz="12" w:space="0" w:color="auto"/>
            </w:tcBorders>
            <w:shd w:val="clear" w:color="auto" w:fill="auto"/>
            <w:textDirection w:val="btLr"/>
            <w:vAlign w:val="bottom"/>
          </w:tcPr>
          <w:p w14:paraId="50A2E68A" w14:textId="77777777" w:rsidR="00971B29" w:rsidRPr="0072522F" w:rsidRDefault="00971B29" w:rsidP="0072522F">
            <w:pPr>
              <w:spacing w:before="20" w:after="40" w:line="300" w:lineRule="exact"/>
              <w:ind w:left="57" w:right="57"/>
              <w:textDirection w:val="tbRlV"/>
              <w:rPr>
                <w:i/>
                <w:sz w:val="18"/>
                <w:szCs w:val="18"/>
                <w:lang w:val="ar-SA" w:eastAsia="zh-TW" w:bidi="en-GB"/>
              </w:rPr>
            </w:pPr>
            <w:r w:rsidRPr="0072522F">
              <w:rPr>
                <w:i/>
                <w:iCs/>
                <w:sz w:val="18"/>
                <w:szCs w:val="18"/>
                <w:rtl/>
              </w:rPr>
              <w:t>سري لانكا</w:t>
            </w:r>
          </w:p>
        </w:tc>
        <w:tc>
          <w:tcPr>
            <w:tcW w:w="346" w:type="dxa"/>
            <w:tcBorders>
              <w:top w:val="single" w:sz="4" w:space="0" w:color="auto"/>
              <w:bottom w:val="single" w:sz="12" w:space="0" w:color="auto"/>
            </w:tcBorders>
            <w:shd w:val="clear" w:color="auto" w:fill="auto"/>
            <w:textDirection w:val="btLr"/>
            <w:vAlign w:val="bottom"/>
          </w:tcPr>
          <w:p w14:paraId="1473293B" w14:textId="77777777" w:rsidR="00971B29" w:rsidRPr="0072522F" w:rsidRDefault="00971B29" w:rsidP="0072522F">
            <w:pPr>
              <w:spacing w:before="20" w:after="40" w:line="300" w:lineRule="exact"/>
              <w:ind w:left="57" w:right="57"/>
              <w:textDirection w:val="tbRlV"/>
              <w:rPr>
                <w:i/>
                <w:sz w:val="18"/>
                <w:szCs w:val="18"/>
                <w:lang w:val="ar-SA" w:eastAsia="zh-TW" w:bidi="en-GB"/>
              </w:rPr>
            </w:pPr>
            <w:r w:rsidRPr="0072522F">
              <w:rPr>
                <w:i/>
                <w:iCs/>
                <w:sz w:val="18"/>
                <w:szCs w:val="18"/>
                <w:rtl/>
              </w:rPr>
              <w:t>سلوفاكيا</w:t>
            </w:r>
          </w:p>
        </w:tc>
        <w:tc>
          <w:tcPr>
            <w:tcW w:w="363" w:type="dxa"/>
            <w:tcBorders>
              <w:top w:val="single" w:sz="4" w:space="0" w:color="auto"/>
              <w:bottom w:val="single" w:sz="12" w:space="0" w:color="auto"/>
            </w:tcBorders>
            <w:shd w:val="clear" w:color="auto" w:fill="auto"/>
            <w:textDirection w:val="btLr"/>
            <w:vAlign w:val="bottom"/>
          </w:tcPr>
          <w:p w14:paraId="210181E5" w14:textId="77777777" w:rsidR="00971B29" w:rsidRPr="0072522F" w:rsidRDefault="00971B29" w:rsidP="0072522F">
            <w:pPr>
              <w:spacing w:before="20" w:after="40" w:line="300" w:lineRule="exact"/>
              <w:ind w:left="57" w:right="57"/>
              <w:textDirection w:val="tbRlV"/>
              <w:rPr>
                <w:i/>
                <w:sz w:val="18"/>
                <w:szCs w:val="18"/>
                <w:lang w:eastAsia="zh-TW" w:bidi="en-GB"/>
              </w:rPr>
            </w:pPr>
            <w:r w:rsidRPr="0072522F">
              <w:rPr>
                <w:i/>
                <w:iCs/>
                <w:sz w:val="18"/>
                <w:szCs w:val="18"/>
                <w:rtl/>
              </w:rPr>
              <w:t>توغو</w:t>
            </w:r>
          </w:p>
        </w:tc>
        <w:tc>
          <w:tcPr>
            <w:tcW w:w="393" w:type="dxa"/>
            <w:tcBorders>
              <w:top w:val="single" w:sz="4" w:space="0" w:color="auto"/>
              <w:bottom w:val="single" w:sz="12" w:space="0" w:color="auto"/>
            </w:tcBorders>
            <w:shd w:val="clear" w:color="auto" w:fill="auto"/>
            <w:textDirection w:val="btLr"/>
            <w:vAlign w:val="bottom"/>
          </w:tcPr>
          <w:p w14:paraId="51E0F047" w14:textId="77777777" w:rsidR="00971B29" w:rsidRPr="0072522F" w:rsidRDefault="00971B29" w:rsidP="0072522F">
            <w:pPr>
              <w:spacing w:before="20" w:after="40" w:line="300" w:lineRule="exact"/>
              <w:ind w:left="57" w:right="57"/>
              <w:textDirection w:val="tbRlV"/>
              <w:rPr>
                <w:i/>
                <w:sz w:val="18"/>
                <w:szCs w:val="18"/>
                <w:lang w:val="ar-SA" w:eastAsia="zh-TW" w:bidi="en-GB"/>
              </w:rPr>
            </w:pPr>
            <w:r w:rsidRPr="0072522F">
              <w:rPr>
                <w:i/>
                <w:iCs/>
                <w:sz w:val="18"/>
                <w:szCs w:val="18"/>
                <w:rtl/>
              </w:rPr>
              <w:t>تونس</w:t>
            </w:r>
          </w:p>
        </w:tc>
        <w:tc>
          <w:tcPr>
            <w:tcW w:w="599" w:type="dxa"/>
            <w:tcBorders>
              <w:top w:val="single" w:sz="4" w:space="0" w:color="auto"/>
              <w:bottom w:val="single" w:sz="12" w:space="0" w:color="auto"/>
            </w:tcBorders>
            <w:shd w:val="clear" w:color="auto" w:fill="auto"/>
            <w:tcMar>
              <w:right w:w="28" w:type="dxa"/>
            </w:tcMar>
            <w:vAlign w:val="bottom"/>
          </w:tcPr>
          <w:p w14:paraId="3D6EB593" w14:textId="77777777" w:rsidR="00971B29" w:rsidRPr="0072522F" w:rsidRDefault="00971B29" w:rsidP="0072522F">
            <w:pPr>
              <w:spacing w:before="20" w:after="40" w:line="300" w:lineRule="exact"/>
              <w:ind w:left="57"/>
              <w:textDirection w:val="tbRlV"/>
              <w:rPr>
                <w:b/>
                <w:bCs/>
                <w:i/>
                <w:sz w:val="18"/>
                <w:szCs w:val="18"/>
                <w:lang w:val="ar-SA" w:eastAsia="zh-TW" w:bidi="en-GB"/>
              </w:rPr>
            </w:pPr>
            <w:r w:rsidRPr="0072522F">
              <w:rPr>
                <w:b/>
                <w:bCs/>
                <w:i/>
                <w:iCs/>
                <w:sz w:val="18"/>
                <w:szCs w:val="18"/>
                <w:rtl/>
              </w:rPr>
              <w:t>المجموع</w:t>
            </w:r>
          </w:p>
        </w:tc>
      </w:tr>
      <w:tr w:rsidR="00971B29" w:rsidRPr="0072522F" w14:paraId="17D3ECFF" w14:textId="77777777" w:rsidTr="0072522F">
        <w:tc>
          <w:tcPr>
            <w:tcW w:w="648" w:type="dxa"/>
            <w:tcBorders>
              <w:top w:val="single" w:sz="12" w:space="0" w:color="auto"/>
            </w:tcBorders>
            <w:shd w:val="clear" w:color="auto" w:fill="auto"/>
          </w:tcPr>
          <w:p w14:paraId="26F1537B"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sz w:val="18"/>
                <w:szCs w:val="18"/>
                <w:rtl/>
              </w:rPr>
              <w:t>2012</w:t>
            </w:r>
          </w:p>
        </w:tc>
        <w:tc>
          <w:tcPr>
            <w:tcW w:w="325" w:type="dxa"/>
            <w:tcBorders>
              <w:top w:val="single" w:sz="12" w:space="0" w:color="auto"/>
            </w:tcBorders>
            <w:shd w:val="clear" w:color="auto" w:fill="auto"/>
            <w:tcMar>
              <w:right w:w="28" w:type="dxa"/>
            </w:tcMar>
            <w:vAlign w:val="bottom"/>
          </w:tcPr>
          <w:p w14:paraId="131C6543"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3" w:type="dxa"/>
            <w:tcBorders>
              <w:top w:val="single" w:sz="12" w:space="0" w:color="auto"/>
            </w:tcBorders>
            <w:shd w:val="clear" w:color="auto" w:fill="auto"/>
            <w:tcMar>
              <w:right w:w="28" w:type="dxa"/>
            </w:tcMar>
            <w:vAlign w:val="bottom"/>
          </w:tcPr>
          <w:p w14:paraId="43656B12"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4" w:type="dxa"/>
            <w:tcBorders>
              <w:top w:val="single" w:sz="12" w:space="0" w:color="auto"/>
            </w:tcBorders>
            <w:shd w:val="clear" w:color="auto" w:fill="auto"/>
            <w:vAlign w:val="bottom"/>
          </w:tcPr>
          <w:p w14:paraId="24C96011"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3" w:type="dxa"/>
            <w:tcBorders>
              <w:top w:val="single" w:sz="12" w:space="0" w:color="auto"/>
            </w:tcBorders>
            <w:shd w:val="clear" w:color="auto" w:fill="auto"/>
            <w:tcMar>
              <w:right w:w="28" w:type="dxa"/>
            </w:tcMar>
            <w:vAlign w:val="bottom"/>
          </w:tcPr>
          <w:p w14:paraId="5C772D70"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4" w:type="dxa"/>
            <w:tcBorders>
              <w:top w:val="single" w:sz="12" w:space="0" w:color="auto"/>
            </w:tcBorders>
            <w:shd w:val="clear" w:color="auto" w:fill="auto"/>
            <w:vAlign w:val="bottom"/>
          </w:tcPr>
          <w:p w14:paraId="6317038B"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3" w:type="dxa"/>
            <w:tcBorders>
              <w:top w:val="single" w:sz="12" w:space="0" w:color="auto"/>
            </w:tcBorders>
            <w:shd w:val="clear" w:color="auto" w:fill="auto"/>
            <w:tcMar>
              <w:right w:w="28" w:type="dxa"/>
            </w:tcMar>
            <w:vAlign w:val="bottom"/>
          </w:tcPr>
          <w:p w14:paraId="04EFCDE2"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53" w:type="dxa"/>
            <w:tcBorders>
              <w:top w:val="single" w:sz="12" w:space="0" w:color="auto"/>
            </w:tcBorders>
            <w:shd w:val="clear" w:color="auto" w:fill="auto"/>
            <w:tcMar>
              <w:right w:w="28" w:type="dxa"/>
            </w:tcMar>
            <w:vAlign w:val="bottom"/>
          </w:tcPr>
          <w:p w14:paraId="7EB9F72B"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56" w:type="dxa"/>
            <w:tcBorders>
              <w:top w:val="single" w:sz="12" w:space="0" w:color="auto"/>
            </w:tcBorders>
            <w:shd w:val="clear" w:color="auto" w:fill="auto"/>
            <w:tcMar>
              <w:right w:w="28" w:type="dxa"/>
            </w:tcMar>
            <w:vAlign w:val="bottom"/>
          </w:tcPr>
          <w:p w14:paraId="3F4C22EF"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29" w:type="dxa"/>
            <w:tcBorders>
              <w:top w:val="single" w:sz="12" w:space="0" w:color="auto"/>
            </w:tcBorders>
            <w:shd w:val="clear" w:color="auto" w:fill="auto"/>
            <w:tcMar>
              <w:right w:w="28" w:type="dxa"/>
            </w:tcMar>
            <w:vAlign w:val="bottom"/>
          </w:tcPr>
          <w:p w14:paraId="66E4FD78"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66" w:type="dxa"/>
            <w:tcBorders>
              <w:top w:val="single" w:sz="12" w:space="0" w:color="auto"/>
            </w:tcBorders>
            <w:shd w:val="clear" w:color="auto" w:fill="auto"/>
            <w:tcMar>
              <w:right w:w="28" w:type="dxa"/>
            </w:tcMar>
            <w:vAlign w:val="bottom"/>
          </w:tcPr>
          <w:p w14:paraId="79DCCBD7"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84" w:type="dxa"/>
            <w:tcBorders>
              <w:top w:val="single" w:sz="12" w:space="0" w:color="auto"/>
            </w:tcBorders>
            <w:shd w:val="clear" w:color="auto" w:fill="auto"/>
            <w:tcMar>
              <w:right w:w="28" w:type="dxa"/>
            </w:tcMar>
            <w:vAlign w:val="bottom"/>
          </w:tcPr>
          <w:p w14:paraId="268502D9"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05" w:type="dxa"/>
            <w:tcBorders>
              <w:top w:val="single" w:sz="12" w:space="0" w:color="auto"/>
            </w:tcBorders>
            <w:shd w:val="clear" w:color="auto" w:fill="auto"/>
            <w:tcMar>
              <w:right w:w="28" w:type="dxa"/>
            </w:tcMar>
            <w:vAlign w:val="bottom"/>
          </w:tcPr>
          <w:p w14:paraId="57CB0F87"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57" w:type="dxa"/>
            <w:tcBorders>
              <w:top w:val="single" w:sz="12" w:space="0" w:color="auto"/>
            </w:tcBorders>
            <w:shd w:val="clear" w:color="auto" w:fill="auto"/>
            <w:vAlign w:val="bottom"/>
          </w:tcPr>
          <w:p w14:paraId="241F9FF0"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4" w:type="dxa"/>
            <w:tcBorders>
              <w:top w:val="single" w:sz="12" w:space="0" w:color="auto"/>
            </w:tcBorders>
            <w:shd w:val="clear" w:color="auto" w:fill="auto"/>
            <w:tcMar>
              <w:right w:w="28" w:type="dxa"/>
            </w:tcMar>
            <w:vAlign w:val="bottom"/>
          </w:tcPr>
          <w:p w14:paraId="6C477142"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83" w:type="dxa"/>
            <w:tcBorders>
              <w:top w:val="single" w:sz="12" w:space="0" w:color="auto"/>
            </w:tcBorders>
            <w:shd w:val="clear" w:color="auto" w:fill="auto"/>
            <w:tcMar>
              <w:right w:w="28" w:type="dxa"/>
            </w:tcMar>
            <w:vAlign w:val="bottom"/>
          </w:tcPr>
          <w:p w14:paraId="0BD0DE3A"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5</w:t>
            </w:r>
          </w:p>
        </w:tc>
        <w:tc>
          <w:tcPr>
            <w:tcW w:w="325" w:type="dxa"/>
            <w:tcBorders>
              <w:top w:val="single" w:sz="12" w:space="0" w:color="auto"/>
            </w:tcBorders>
            <w:shd w:val="clear" w:color="auto" w:fill="auto"/>
            <w:tcMar>
              <w:right w:w="28" w:type="dxa"/>
            </w:tcMar>
            <w:vAlign w:val="bottom"/>
          </w:tcPr>
          <w:p w14:paraId="66EA0440"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32" w:type="dxa"/>
            <w:tcBorders>
              <w:top w:val="single" w:sz="12" w:space="0" w:color="auto"/>
            </w:tcBorders>
            <w:shd w:val="clear" w:color="auto" w:fill="auto"/>
            <w:vAlign w:val="bottom"/>
          </w:tcPr>
          <w:p w14:paraId="3AB1F965"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26" w:type="dxa"/>
            <w:tcBorders>
              <w:top w:val="single" w:sz="12" w:space="0" w:color="auto"/>
            </w:tcBorders>
            <w:shd w:val="clear" w:color="auto" w:fill="auto"/>
            <w:vAlign w:val="bottom"/>
          </w:tcPr>
          <w:p w14:paraId="58B971FB"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82" w:type="dxa"/>
            <w:tcBorders>
              <w:top w:val="single" w:sz="12" w:space="0" w:color="auto"/>
            </w:tcBorders>
            <w:shd w:val="clear" w:color="auto" w:fill="auto"/>
            <w:vAlign w:val="bottom"/>
          </w:tcPr>
          <w:p w14:paraId="5D567F4D"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6" w:type="dxa"/>
            <w:tcBorders>
              <w:top w:val="single" w:sz="12" w:space="0" w:color="auto"/>
            </w:tcBorders>
            <w:shd w:val="clear" w:color="auto" w:fill="auto"/>
            <w:tcMar>
              <w:right w:w="28" w:type="dxa"/>
            </w:tcMar>
            <w:vAlign w:val="bottom"/>
          </w:tcPr>
          <w:p w14:paraId="5A5E93FF"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46" w:type="dxa"/>
            <w:tcBorders>
              <w:top w:val="single" w:sz="12" w:space="0" w:color="auto"/>
            </w:tcBorders>
            <w:shd w:val="clear" w:color="auto" w:fill="auto"/>
            <w:vAlign w:val="bottom"/>
          </w:tcPr>
          <w:p w14:paraId="79609478"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63" w:type="dxa"/>
            <w:tcBorders>
              <w:top w:val="single" w:sz="12" w:space="0" w:color="auto"/>
            </w:tcBorders>
            <w:shd w:val="clear" w:color="auto" w:fill="auto"/>
            <w:tcMar>
              <w:right w:w="28" w:type="dxa"/>
            </w:tcMar>
            <w:vAlign w:val="bottom"/>
          </w:tcPr>
          <w:p w14:paraId="092CC2F2"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93" w:type="dxa"/>
            <w:tcBorders>
              <w:top w:val="single" w:sz="12" w:space="0" w:color="auto"/>
            </w:tcBorders>
            <w:shd w:val="clear" w:color="auto" w:fill="auto"/>
            <w:tcMar>
              <w:right w:w="28" w:type="dxa"/>
            </w:tcMar>
            <w:vAlign w:val="bottom"/>
          </w:tcPr>
          <w:p w14:paraId="153F816D"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599" w:type="dxa"/>
            <w:tcBorders>
              <w:top w:val="single" w:sz="12" w:space="0" w:color="auto"/>
            </w:tcBorders>
            <w:shd w:val="clear" w:color="auto" w:fill="auto"/>
            <w:tcMar>
              <w:right w:w="28" w:type="dxa"/>
            </w:tcMar>
            <w:vAlign w:val="bottom"/>
          </w:tcPr>
          <w:p w14:paraId="4054FF53" w14:textId="77777777" w:rsidR="00971B29" w:rsidRPr="0072522F" w:rsidRDefault="00971B29" w:rsidP="0072522F">
            <w:pPr>
              <w:spacing w:before="20" w:after="40" w:line="300" w:lineRule="exact"/>
              <w:ind w:left="57"/>
              <w:textDirection w:val="tbRlV"/>
              <w:rPr>
                <w:b/>
                <w:bCs/>
                <w:sz w:val="18"/>
                <w:szCs w:val="18"/>
              </w:rPr>
            </w:pPr>
            <w:r w:rsidRPr="0072522F">
              <w:rPr>
                <w:b/>
                <w:bCs/>
                <w:sz w:val="18"/>
                <w:szCs w:val="18"/>
                <w:rtl/>
              </w:rPr>
              <w:t>5</w:t>
            </w:r>
          </w:p>
        </w:tc>
      </w:tr>
      <w:tr w:rsidR="00971B29" w:rsidRPr="0072522F" w14:paraId="481703A1" w14:textId="77777777" w:rsidTr="0072522F">
        <w:tc>
          <w:tcPr>
            <w:tcW w:w="648" w:type="dxa"/>
            <w:shd w:val="clear" w:color="auto" w:fill="auto"/>
          </w:tcPr>
          <w:p w14:paraId="38379DF2"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sz w:val="18"/>
                <w:szCs w:val="18"/>
                <w:rtl/>
              </w:rPr>
              <w:t>2013</w:t>
            </w:r>
          </w:p>
        </w:tc>
        <w:tc>
          <w:tcPr>
            <w:tcW w:w="325" w:type="dxa"/>
            <w:shd w:val="clear" w:color="auto" w:fill="auto"/>
            <w:tcMar>
              <w:right w:w="28" w:type="dxa"/>
            </w:tcMar>
            <w:vAlign w:val="bottom"/>
          </w:tcPr>
          <w:p w14:paraId="48B3264E"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3" w:type="dxa"/>
            <w:shd w:val="clear" w:color="auto" w:fill="auto"/>
            <w:tcMar>
              <w:right w:w="28" w:type="dxa"/>
            </w:tcMar>
            <w:vAlign w:val="bottom"/>
          </w:tcPr>
          <w:p w14:paraId="1BD14C90"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4" w:type="dxa"/>
            <w:shd w:val="clear" w:color="auto" w:fill="auto"/>
            <w:vAlign w:val="bottom"/>
          </w:tcPr>
          <w:p w14:paraId="4772FC11"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3" w:type="dxa"/>
            <w:shd w:val="clear" w:color="auto" w:fill="auto"/>
            <w:tcMar>
              <w:right w:w="28" w:type="dxa"/>
            </w:tcMar>
            <w:vAlign w:val="bottom"/>
          </w:tcPr>
          <w:p w14:paraId="213CE428"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4" w:type="dxa"/>
            <w:shd w:val="clear" w:color="auto" w:fill="auto"/>
            <w:vAlign w:val="bottom"/>
          </w:tcPr>
          <w:p w14:paraId="38098D0D"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3" w:type="dxa"/>
            <w:shd w:val="clear" w:color="auto" w:fill="auto"/>
            <w:tcMar>
              <w:right w:w="28" w:type="dxa"/>
            </w:tcMar>
            <w:vAlign w:val="bottom"/>
          </w:tcPr>
          <w:p w14:paraId="6175003D"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53" w:type="dxa"/>
            <w:shd w:val="clear" w:color="auto" w:fill="auto"/>
            <w:tcMar>
              <w:right w:w="28" w:type="dxa"/>
            </w:tcMar>
            <w:vAlign w:val="bottom"/>
          </w:tcPr>
          <w:p w14:paraId="6097202A"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1</w:t>
            </w:r>
          </w:p>
        </w:tc>
        <w:tc>
          <w:tcPr>
            <w:tcW w:w="356" w:type="dxa"/>
            <w:shd w:val="clear" w:color="auto" w:fill="auto"/>
            <w:tcMar>
              <w:right w:w="28" w:type="dxa"/>
            </w:tcMar>
            <w:vAlign w:val="bottom"/>
          </w:tcPr>
          <w:p w14:paraId="20B9DCB4"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29" w:type="dxa"/>
            <w:shd w:val="clear" w:color="auto" w:fill="auto"/>
            <w:tcMar>
              <w:right w:w="28" w:type="dxa"/>
            </w:tcMar>
            <w:vAlign w:val="bottom"/>
          </w:tcPr>
          <w:p w14:paraId="15549905"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66" w:type="dxa"/>
            <w:shd w:val="clear" w:color="auto" w:fill="auto"/>
            <w:tcMar>
              <w:right w:w="28" w:type="dxa"/>
            </w:tcMar>
            <w:vAlign w:val="bottom"/>
          </w:tcPr>
          <w:p w14:paraId="697F0E0F"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84" w:type="dxa"/>
            <w:shd w:val="clear" w:color="auto" w:fill="auto"/>
            <w:tcMar>
              <w:right w:w="28" w:type="dxa"/>
            </w:tcMar>
            <w:vAlign w:val="bottom"/>
          </w:tcPr>
          <w:p w14:paraId="4A4B4CF6"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05" w:type="dxa"/>
            <w:shd w:val="clear" w:color="auto" w:fill="auto"/>
            <w:tcMar>
              <w:right w:w="28" w:type="dxa"/>
            </w:tcMar>
            <w:vAlign w:val="bottom"/>
          </w:tcPr>
          <w:p w14:paraId="45D44857"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57" w:type="dxa"/>
            <w:shd w:val="clear" w:color="auto" w:fill="auto"/>
            <w:vAlign w:val="bottom"/>
          </w:tcPr>
          <w:p w14:paraId="7BE81CAD"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4" w:type="dxa"/>
            <w:shd w:val="clear" w:color="auto" w:fill="auto"/>
            <w:tcMar>
              <w:right w:w="28" w:type="dxa"/>
            </w:tcMar>
            <w:vAlign w:val="bottom"/>
          </w:tcPr>
          <w:p w14:paraId="12A10858"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83" w:type="dxa"/>
            <w:shd w:val="clear" w:color="auto" w:fill="auto"/>
            <w:tcMar>
              <w:right w:w="28" w:type="dxa"/>
            </w:tcMar>
            <w:vAlign w:val="bottom"/>
          </w:tcPr>
          <w:p w14:paraId="46C9D63C"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4</w:t>
            </w:r>
          </w:p>
        </w:tc>
        <w:tc>
          <w:tcPr>
            <w:tcW w:w="325" w:type="dxa"/>
            <w:shd w:val="clear" w:color="auto" w:fill="auto"/>
            <w:tcMar>
              <w:right w:w="28" w:type="dxa"/>
            </w:tcMar>
            <w:vAlign w:val="bottom"/>
          </w:tcPr>
          <w:p w14:paraId="482C9376"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32" w:type="dxa"/>
            <w:shd w:val="clear" w:color="auto" w:fill="auto"/>
            <w:vAlign w:val="bottom"/>
          </w:tcPr>
          <w:p w14:paraId="712203A2"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26" w:type="dxa"/>
            <w:shd w:val="clear" w:color="auto" w:fill="auto"/>
            <w:vAlign w:val="bottom"/>
          </w:tcPr>
          <w:p w14:paraId="40F26206"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82" w:type="dxa"/>
            <w:shd w:val="clear" w:color="auto" w:fill="auto"/>
            <w:vAlign w:val="bottom"/>
          </w:tcPr>
          <w:p w14:paraId="2DA769E8"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6" w:type="dxa"/>
            <w:shd w:val="clear" w:color="auto" w:fill="auto"/>
            <w:tcMar>
              <w:right w:w="28" w:type="dxa"/>
            </w:tcMar>
            <w:vAlign w:val="bottom"/>
          </w:tcPr>
          <w:p w14:paraId="0A96A813"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46" w:type="dxa"/>
            <w:shd w:val="clear" w:color="auto" w:fill="auto"/>
            <w:vAlign w:val="bottom"/>
          </w:tcPr>
          <w:p w14:paraId="50BA9C9F"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63" w:type="dxa"/>
            <w:shd w:val="clear" w:color="auto" w:fill="auto"/>
            <w:tcMar>
              <w:right w:w="28" w:type="dxa"/>
            </w:tcMar>
            <w:vAlign w:val="bottom"/>
          </w:tcPr>
          <w:p w14:paraId="221750B0"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93" w:type="dxa"/>
            <w:shd w:val="clear" w:color="auto" w:fill="auto"/>
            <w:tcMar>
              <w:right w:w="28" w:type="dxa"/>
            </w:tcMar>
            <w:vAlign w:val="bottom"/>
          </w:tcPr>
          <w:p w14:paraId="737F2A01"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599" w:type="dxa"/>
            <w:shd w:val="clear" w:color="auto" w:fill="auto"/>
            <w:tcMar>
              <w:right w:w="28" w:type="dxa"/>
            </w:tcMar>
            <w:vAlign w:val="bottom"/>
          </w:tcPr>
          <w:p w14:paraId="707B5FCC" w14:textId="77777777" w:rsidR="00971B29" w:rsidRPr="0072522F" w:rsidRDefault="00971B29" w:rsidP="0072522F">
            <w:pPr>
              <w:spacing w:before="20" w:after="40" w:line="300" w:lineRule="exact"/>
              <w:ind w:left="57"/>
              <w:textDirection w:val="tbRlV"/>
              <w:rPr>
                <w:b/>
                <w:bCs/>
                <w:sz w:val="18"/>
                <w:szCs w:val="18"/>
              </w:rPr>
            </w:pPr>
            <w:r w:rsidRPr="0072522F">
              <w:rPr>
                <w:b/>
                <w:bCs/>
                <w:sz w:val="18"/>
                <w:szCs w:val="18"/>
                <w:rtl/>
              </w:rPr>
              <w:t>5</w:t>
            </w:r>
          </w:p>
        </w:tc>
      </w:tr>
      <w:tr w:rsidR="00971B29" w:rsidRPr="0072522F" w14:paraId="06ADDADF" w14:textId="77777777" w:rsidTr="0072522F">
        <w:tc>
          <w:tcPr>
            <w:tcW w:w="648" w:type="dxa"/>
            <w:shd w:val="clear" w:color="auto" w:fill="auto"/>
          </w:tcPr>
          <w:p w14:paraId="35F30E55"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sz w:val="18"/>
                <w:szCs w:val="18"/>
                <w:rtl/>
              </w:rPr>
              <w:t>2014</w:t>
            </w:r>
          </w:p>
        </w:tc>
        <w:tc>
          <w:tcPr>
            <w:tcW w:w="325" w:type="dxa"/>
            <w:shd w:val="clear" w:color="auto" w:fill="auto"/>
            <w:tcMar>
              <w:right w:w="28" w:type="dxa"/>
            </w:tcMar>
            <w:vAlign w:val="bottom"/>
          </w:tcPr>
          <w:p w14:paraId="48799A5C"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3" w:type="dxa"/>
            <w:shd w:val="clear" w:color="auto" w:fill="auto"/>
            <w:tcMar>
              <w:right w:w="28" w:type="dxa"/>
            </w:tcMar>
            <w:vAlign w:val="bottom"/>
          </w:tcPr>
          <w:p w14:paraId="7C23A032"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4" w:type="dxa"/>
            <w:shd w:val="clear" w:color="auto" w:fill="auto"/>
            <w:vAlign w:val="bottom"/>
          </w:tcPr>
          <w:p w14:paraId="7DC5AA20"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3" w:type="dxa"/>
            <w:shd w:val="clear" w:color="auto" w:fill="auto"/>
            <w:tcMar>
              <w:right w:w="28" w:type="dxa"/>
            </w:tcMar>
            <w:vAlign w:val="bottom"/>
          </w:tcPr>
          <w:p w14:paraId="231C9985"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1</w:t>
            </w:r>
          </w:p>
        </w:tc>
        <w:tc>
          <w:tcPr>
            <w:tcW w:w="324" w:type="dxa"/>
            <w:shd w:val="clear" w:color="auto" w:fill="auto"/>
            <w:vAlign w:val="bottom"/>
          </w:tcPr>
          <w:p w14:paraId="1B3A3B97"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3" w:type="dxa"/>
            <w:shd w:val="clear" w:color="auto" w:fill="auto"/>
            <w:tcMar>
              <w:right w:w="28" w:type="dxa"/>
            </w:tcMar>
            <w:vAlign w:val="bottom"/>
          </w:tcPr>
          <w:p w14:paraId="240CD325"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1</w:t>
            </w:r>
          </w:p>
        </w:tc>
        <w:tc>
          <w:tcPr>
            <w:tcW w:w="453" w:type="dxa"/>
            <w:shd w:val="clear" w:color="auto" w:fill="auto"/>
            <w:tcMar>
              <w:right w:w="28" w:type="dxa"/>
            </w:tcMar>
            <w:vAlign w:val="bottom"/>
          </w:tcPr>
          <w:p w14:paraId="1B0CEA44"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1</w:t>
            </w:r>
          </w:p>
        </w:tc>
        <w:tc>
          <w:tcPr>
            <w:tcW w:w="356" w:type="dxa"/>
            <w:shd w:val="clear" w:color="auto" w:fill="auto"/>
            <w:tcMar>
              <w:right w:w="28" w:type="dxa"/>
            </w:tcMar>
            <w:vAlign w:val="bottom"/>
          </w:tcPr>
          <w:p w14:paraId="5983F28A"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29" w:type="dxa"/>
            <w:shd w:val="clear" w:color="auto" w:fill="auto"/>
            <w:tcMar>
              <w:right w:w="28" w:type="dxa"/>
            </w:tcMar>
            <w:vAlign w:val="bottom"/>
          </w:tcPr>
          <w:p w14:paraId="35FC8F0C"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66" w:type="dxa"/>
            <w:shd w:val="clear" w:color="auto" w:fill="auto"/>
            <w:tcMar>
              <w:right w:w="28" w:type="dxa"/>
            </w:tcMar>
            <w:vAlign w:val="bottom"/>
          </w:tcPr>
          <w:p w14:paraId="35087CF4"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5</w:t>
            </w:r>
          </w:p>
        </w:tc>
        <w:tc>
          <w:tcPr>
            <w:tcW w:w="384" w:type="dxa"/>
            <w:shd w:val="clear" w:color="auto" w:fill="auto"/>
            <w:tcMar>
              <w:right w:w="28" w:type="dxa"/>
            </w:tcMar>
            <w:vAlign w:val="bottom"/>
          </w:tcPr>
          <w:p w14:paraId="21AE5BF5"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05" w:type="dxa"/>
            <w:shd w:val="clear" w:color="auto" w:fill="auto"/>
            <w:tcMar>
              <w:right w:w="28" w:type="dxa"/>
            </w:tcMar>
            <w:vAlign w:val="bottom"/>
          </w:tcPr>
          <w:p w14:paraId="390A8C23"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57" w:type="dxa"/>
            <w:shd w:val="clear" w:color="auto" w:fill="auto"/>
            <w:vAlign w:val="bottom"/>
          </w:tcPr>
          <w:p w14:paraId="64AEF527"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4" w:type="dxa"/>
            <w:shd w:val="clear" w:color="auto" w:fill="auto"/>
            <w:tcMar>
              <w:right w:w="28" w:type="dxa"/>
            </w:tcMar>
            <w:vAlign w:val="bottom"/>
          </w:tcPr>
          <w:p w14:paraId="26FFBC3A"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83" w:type="dxa"/>
            <w:shd w:val="clear" w:color="auto" w:fill="auto"/>
            <w:tcMar>
              <w:right w:w="28" w:type="dxa"/>
            </w:tcMar>
            <w:vAlign w:val="bottom"/>
          </w:tcPr>
          <w:p w14:paraId="3BE4B57E"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sz w:val="18"/>
                <w:szCs w:val="18"/>
                <w:rtl/>
              </w:rPr>
              <w:t>43</w:t>
            </w:r>
          </w:p>
        </w:tc>
        <w:tc>
          <w:tcPr>
            <w:tcW w:w="325" w:type="dxa"/>
            <w:shd w:val="clear" w:color="auto" w:fill="auto"/>
            <w:tcMar>
              <w:right w:w="28" w:type="dxa"/>
            </w:tcMar>
            <w:vAlign w:val="bottom"/>
          </w:tcPr>
          <w:p w14:paraId="501373FF"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32" w:type="dxa"/>
            <w:shd w:val="clear" w:color="auto" w:fill="auto"/>
            <w:vAlign w:val="bottom"/>
          </w:tcPr>
          <w:p w14:paraId="1555D395"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26" w:type="dxa"/>
            <w:shd w:val="clear" w:color="auto" w:fill="auto"/>
            <w:vAlign w:val="bottom"/>
          </w:tcPr>
          <w:p w14:paraId="18A2BBB8"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82" w:type="dxa"/>
            <w:shd w:val="clear" w:color="auto" w:fill="auto"/>
            <w:vAlign w:val="bottom"/>
          </w:tcPr>
          <w:p w14:paraId="36084B59"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6" w:type="dxa"/>
            <w:shd w:val="clear" w:color="auto" w:fill="auto"/>
            <w:tcMar>
              <w:right w:w="28" w:type="dxa"/>
            </w:tcMar>
            <w:vAlign w:val="bottom"/>
          </w:tcPr>
          <w:p w14:paraId="773F7670"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46" w:type="dxa"/>
            <w:shd w:val="clear" w:color="auto" w:fill="auto"/>
            <w:vAlign w:val="bottom"/>
          </w:tcPr>
          <w:p w14:paraId="58AF901C"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63" w:type="dxa"/>
            <w:shd w:val="clear" w:color="auto" w:fill="auto"/>
            <w:tcMar>
              <w:right w:w="28" w:type="dxa"/>
            </w:tcMar>
            <w:vAlign w:val="bottom"/>
          </w:tcPr>
          <w:p w14:paraId="623871E3"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93" w:type="dxa"/>
            <w:shd w:val="clear" w:color="auto" w:fill="auto"/>
            <w:tcMar>
              <w:right w:w="28" w:type="dxa"/>
            </w:tcMar>
            <w:vAlign w:val="bottom"/>
          </w:tcPr>
          <w:p w14:paraId="2A760B00"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599" w:type="dxa"/>
            <w:shd w:val="clear" w:color="auto" w:fill="auto"/>
            <w:tcMar>
              <w:right w:w="28" w:type="dxa"/>
            </w:tcMar>
            <w:vAlign w:val="bottom"/>
          </w:tcPr>
          <w:p w14:paraId="0D90CA4E" w14:textId="77777777" w:rsidR="00971B29" w:rsidRPr="0072522F" w:rsidRDefault="00971B29" w:rsidP="0072522F">
            <w:pPr>
              <w:spacing w:before="20" w:after="40" w:line="300" w:lineRule="exact"/>
              <w:ind w:left="57"/>
              <w:textDirection w:val="tbRlV"/>
              <w:rPr>
                <w:b/>
                <w:bCs/>
                <w:sz w:val="18"/>
                <w:szCs w:val="18"/>
                <w:lang w:val="ar-SA" w:eastAsia="zh-TW" w:bidi="en-GB"/>
              </w:rPr>
            </w:pPr>
            <w:r w:rsidRPr="0072522F">
              <w:rPr>
                <w:b/>
                <w:bCs/>
                <w:sz w:val="18"/>
                <w:szCs w:val="18"/>
                <w:rtl/>
              </w:rPr>
              <w:t>51</w:t>
            </w:r>
          </w:p>
        </w:tc>
      </w:tr>
      <w:tr w:rsidR="00971B29" w:rsidRPr="0072522F" w14:paraId="6B76EA4E" w14:textId="77777777" w:rsidTr="0072522F">
        <w:tc>
          <w:tcPr>
            <w:tcW w:w="648" w:type="dxa"/>
            <w:shd w:val="clear" w:color="auto" w:fill="auto"/>
          </w:tcPr>
          <w:p w14:paraId="56B249E5"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sz w:val="18"/>
                <w:szCs w:val="18"/>
                <w:rtl/>
              </w:rPr>
              <w:t>2015</w:t>
            </w:r>
          </w:p>
        </w:tc>
        <w:tc>
          <w:tcPr>
            <w:tcW w:w="325" w:type="dxa"/>
            <w:shd w:val="clear" w:color="auto" w:fill="auto"/>
            <w:tcMar>
              <w:right w:w="28" w:type="dxa"/>
            </w:tcMar>
            <w:vAlign w:val="bottom"/>
          </w:tcPr>
          <w:p w14:paraId="10C9A877"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3" w:type="dxa"/>
            <w:shd w:val="clear" w:color="auto" w:fill="auto"/>
            <w:tcMar>
              <w:right w:w="28" w:type="dxa"/>
            </w:tcMar>
            <w:vAlign w:val="bottom"/>
          </w:tcPr>
          <w:p w14:paraId="2350A1A4"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4" w:type="dxa"/>
            <w:shd w:val="clear" w:color="auto" w:fill="auto"/>
            <w:vAlign w:val="bottom"/>
          </w:tcPr>
          <w:p w14:paraId="6755E432"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3" w:type="dxa"/>
            <w:shd w:val="clear" w:color="auto" w:fill="auto"/>
            <w:tcMar>
              <w:right w:w="28" w:type="dxa"/>
            </w:tcMar>
            <w:vAlign w:val="bottom"/>
          </w:tcPr>
          <w:p w14:paraId="65204746"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4" w:type="dxa"/>
            <w:shd w:val="clear" w:color="auto" w:fill="auto"/>
            <w:vAlign w:val="bottom"/>
          </w:tcPr>
          <w:p w14:paraId="225B44F6"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3" w:type="dxa"/>
            <w:shd w:val="clear" w:color="auto" w:fill="auto"/>
            <w:tcMar>
              <w:right w:w="28" w:type="dxa"/>
            </w:tcMar>
            <w:vAlign w:val="bottom"/>
          </w:tcPr>
          <w:p w14:paraId="227166DD"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53" w:type="dxa"/>
            <w:shd w:val="clear" w:color="auto" w:fill="auto"/>
            <w:tcMar>
              <w:right w:w="28" w:type="dxa"/>
            </w:tcMar>
            <w:vAlign w:val="bottom"/>
          </w:tcPr>
          <w:p w14:paraId="7383E96C"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3</w:t>
            </w:r>
          </w:p>
        </w:tc>
        <w:tc>
          <w:tcPr>
            <w:tcW w:w="356" w:type="dxa"/>
            <w:shd w:val="clear" w:color="auto" w:fill="auto"/>
            <w:tcMar>
              <w:right w:w="28" w:type="dxa"/>
            </w:tcMar>
            <w:vAlign w:val="bottom"/>
          </w:tcPr>
          <w:p w14:paraId="269EDCD5"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29" w:type="dxa"/>
            <w:shd w:val="clear" w:color="auto" w:fill="auto"/>
            <w:tcMar>
              <w:right w:w="28" w:type="dxa"/>
            </w:tcMar>
            <w:vAlign w:val="bottom"/>
          </w:tcPr>
          <w:p w14:paraId="378A8FF3"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66" w:type="dxa"/>
            <w:shd w:val="clear" w:color="auto" w:fill="auto"/>
            <w:tcMar>
              <w:right w:w="28" w:type="dxa"/>
            </w:tcMar>
            <w:vAlign w:val="bottom"/>
          </w:tcPr>
          <w:p w14:paraId="59C13C6F"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sz w:val="18"/>
                <w:szCs w:val="18"/>
                <w:rtl/>
              </w:rPr>
              <w:t>42</w:t>
            </w:r>
          </w:p>
        </w:tc>
        <w:tc>
          <w:tcPr>
            <w:tcW w:w="384" w:type="dxa"/>
            <w:shd w:val="clear" w:color="auto" w:fill="auto"/>
            <w:tcMar>
              <w:right w:w="28" w:type="dxa"/>
            </w:tcMar>
            <w:vAlign w:val="bottom"/>
          </w:tcPr>
          <w:p w14:paraId="65386263"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05" w:type="dxa"/>
            <w:shd w:val="clear" w:color="auto" w:fill="auto"/>
            <w:tcMar>
              <w:right w:w="28" w:type="dxa"/>
            </w:tcMar>
            <w:vAlign w:val="bottom"/>
          </w:tcPr>
          <w:p w14:paraId="3F2357AA"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57" w:type="dxa"/>
            <w:shd w:val="clear" w:color="auto" w:fill="auto"/>
            <w:vAlign w:val="bottom"/>
          </w:tcPr>
          <w:p w14:paraId="49E6FD95"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4" w:type="dxa"/>
            <w:shd w:val="clear" w:color="auto" w:fill="auto"/>
            <w:tcMar>
              <w:right w:w="28" w:type="dxa"/>
            </w:tcMar>
            <w:vAlign w:val="bottom"/>
          </w:tcPr>
          <w:p w14:paraId="3D9B1B64"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83" w:type="dxa"/>
            <w:shd w:val="clear" w:color="auto" w:fill="auto"/>
            <w:tcMar>
              <w:right w:w="28" w:type="dxa"/>
            </w:tcMar>
            <w:vAlign w:val="bottom"/>
          </w:tcPr>
          <w:p w14:paraId="02769224"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sz w:val="18"/>
                <w:szCs w:val="18"/>
                <w:rtl/>
              </w:rPr>
              <w:t>166</w:t>
            </w:r>
          </w:p>
        </w:tc>
        <w:tc>
          <w:tcPr>
            <w:tcW w:w="325" w:type="dxa"/>
            <w:shd w:val="clear" w:color="auto" w:fill="auto"/>
            <w:tcMar>
              <w:right w:w="28" w:type="dxa"/>
            </w:tcMar>
            <w:vAlign w:val="bottom"/>
          </w:tcPr>
          <w:p w14:paraId="19D11525"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32" w:type="dxa"/>
            <w:shd w:val="clear" w:color="auto" w:fill="auto"/>
            <w:vAlign w:val="bottom"/>
          </w:tcPr>
          <w:p w14:paraId="0524EA6A"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26" w:type="dxa"/>
            <w:shd w:val="clear" w:color="auto" w:fill="auto"/>
            <w:vAlign w:val="bottom"/>
          </w:tcPr>
          <w:p w14:paraId="744190F0"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82" w:type="dxa"/>
            <w:shd w:val="clear" w:color="auto" w:fill="auto"/>
            <w:vAlign w:val="bottom"/>
          </w:tcPr>
          <w:p w14:paraId="12623C61"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6" w:type="dxa"/>
            <w:shd w:val="clear" w:color="auto" w:fill="auto"/>
            <w:tcMar>
              <w:right w:w="28" w:type="dxa"/>
            </w:tcMar>
            <w:vAlign w:val="bottom"/>
          </w:tcPr>
          <w:p w14:paraId="5DB30C02"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46" w:type="dxa"/>
            <w:shd w:val="clear" w:color="auto" w:fill="auto"/>
            <w:vAlign w:val="bottom"/>
          </w:tcPr>
          <w:p w14:paraId="38E0A076"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63" w:type="dxa"/>
            <w:shd w:val="clear" w:color="auto" w:fill="auto"/>
            <w:tcMar>
              <w:right w:w="28" w:type="dxa"/>
            </w:tcMar>
            <w:vAlign w:val="bottom"/>
          </w:tcPr>
          <w:p w14:paraId="1C78B2C0"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93" w:type="dxa"/>
            <w:shd w:val="clear" w:color="auto" w:fill="auto"/>
            <w:tcMar>
              <w:right w:w="28" w:type="dxa"/>
            </w:tcMar>
            <w:vAlign w:val="bottom"/>
          </w:tcPr>
          <w:p w14:paraId="5D6E2818"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599" w:type="dxa"/>
            <w:shd w:val="clear" w:color="auto" w:fill="auto"/>
            <w:tcMar>
              <w:right w:w="28" w:type="dxa"/>
            </w:tcMar>
            <w:vAlign w:val="bottom"/>
          </w:tcPr>
          <w:p w14:paraId="66051155" w14:textId="77777777" w:rsidR="00971B29" w:rsidRPr="0072522F" w:rsidRDefault="00971B29" w:rsidP="0072522F">
            <w:pPr>
              <w:spacing w:before="20" w:after="40" w:line="300" w:lineRule="exact"/>
              <w:ind w:left="57"/>
              <w:textDirection w:val="tbRlV"/>
              <w:rPr>
                <w:b/>
                <w:bCs/>
                <w:sz w:val="18"/>
                <w:szCs w:val="18"/>
                <w:lang w:val="ar-SA" w:eastAsia="zh-TW" w:bidi="en-GB"/>
              </w:rPr>
            </w:pPr>
            <w:r w:rsidRPr="0072522F">
              <w:rPr>
                <w:b/>
                <w:bCs/>
                <w:sz w:val="18"/>
                <w:szCs w:val="18"/>
                <w:rtl/>
              </w:rPr>
              <w:t>211</w:t>
            </w:r>
          </w:p>
        </w:tc>
      </w:tr>
      <w:tr w:rsidR="00971B29" w:rsidRPr="0072522F" w14:paraId="6A892955" w14:textId="77777777" w:rsidTr="0072522F">
        <w:tc>
          <w:tcPr>
            <w:tcW w:w="648" w:type="dxa"/>
            <w:shd w:val="clear" w:color="auto" w:fill="auto"/>
          </w:tcPr>
          <w:p w14:paraId="4C0798EA"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sz w:val="18"/>
                <w:szCs w:val="18"/>
                <w:rtl/>
              </w:rPr>
              <w:t>2016</w:t>
            </w:r>
          </w:p>
        </w:tc>
        <w:tc>
          <w:tcPr>
            <w:tcW w:w="325" w:type="dxa"/>
            <w:shd w:val="clear" w:color="auto" w:fill="auto"/>
            <w:tcMar>
              <w:right w:w="28" w:type="dxa"/>
            </w:tcMar>
            <w:vAlign w:val="bottom"/>
          </w:tcPr>
          <w:p w14:paraId="5A82161C"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3" w:type="dxa"/>
            <w:shd w:val="clear" w:color="auto" w:fill="auto"/>
            <w:tcMar>
              <w:right w:w="28" w:type="dxa"/>
            </w:tcMar>
            <w:vAlign w:val="bottom"/>
          </w:tcPr>
          <w:p w14:paraId="4B97067D"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4" w:type="dxa"/>
            <w:shd w:val="clear" w:color="auto" w:fill="auto"/>
            <w:vAlign w:val="bottom"/>
          </w:tcPr>
          <w:p w14:paraId="7BE0CCD6"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3" w:type="dxa"/>
            <w:shd w:val="clear" w:color="auto" w:fill="auto"/>
            <w:tcMar>
              <w:right w:w="28" w:type="dxa"/>
            </w:tcMar>
            <w:vAlign w:val="bottom"/>
          </w:tcPr>
          <w:p w14:paraId="7A1F2F5D"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4" w:type="dxa"/>
            <w:shd w:val="clear" w:color="auto" w:fill="auto"/>
            <w:vAlign w:val="bottom"/>
          </w:tcPr>
          <w:p w14:paraId="19690C48"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3" w:type="dxa"/>
            <w:shd w:val="clear" w:color="auto" w:fill="auto"/>
            <w:tcMar>
              <w:right w:w="28" w:type="dxa"/>
            </w:tcMar>
            <w:vAlign w:val="bottom"/>
          </w:tcPr>
          <w:p w14:paraId="6E08E59E"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53" w:type="dxa"/>
            <w:shd w:val="clear" w:color="auto" w:fill="auto"/>
            <w:tcMar>
              <w:right w:w="28" w:type="dxa"/>
            </w:tcMar>
            <w:vAlign w:val="bottom"/>
          </w:tcPr>
          <w:p w14:paraId="665DD8D4"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4</w:t>
            </w:r>
          </w:p>
        </w:tc>
        <w:tc>
          <w:tcPr>
            <w:tcW w:w="356" w:type="dxa"/>
            <w:shd w:val="clear" w:color="auto" w:fill="auto"/>
            <w:tcMar>
              <w:right w:w="28" w:type="dxa"/>
            </w:tcMar>
            <w:vAlign w:val="bottom"/>
          </w:tcPr>
          <w:p w14:paraId="395435BA"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29" w:type="dxa"/>
            <w:shd w:val="clear" w:color="auto" w:fill="auto"/>
            <w:tcMar>
              <w:right w:w="28" w:type="dxa"/>
            </w:tcMar>
            <w:vAlign w:val="bottom"/>
          </w:tcPr>
          <w:p w14:paraId="6E9DEBF2"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66" w:type="dxa"/>
            <w:shd w:val="clear" w:color="auto" w:fill="auto"/>
            <w:tcMar>
              <w:right w:w="28" w:type="dxa"/>
            </w:tcMar>
            <w:vAlign w:val="bottom"/>
          </w:tcPr>
          <w:p w14:paraId="3B7198C7"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sz w:val="18"/>
                <w:szCs w:val="18"/>
                <w:rtl/>
              </w:rPr>
              <w:t>22</w:t>
            </w:r>
          </w:p>
        </w:tc>
        <w:tc>
          <w:tcPr>
            <w:tcW w:w="384" w:type="dxa"/>
            <w:shd w:val="clear" w:color="auto" w:fill="auto"/>
            <w:tcMar>
              <w:right w:w="28" w:type="dxa"/>
            </w:tcMar>
            <w:vAlign w:val="bottom"/>
          </w:tcPr>
          <w:p w14:paraId="0FFED97F"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05" w:type="dxa"/>
            <w:shd w:val="clear" w:color="auto" w:fill="auto"/>
            <w:tcMar>
              <w:right w:w="28" w:type="dxa"/>
            </w:tcMar>
            <w:vAlign w:val="bottom"/>
          </w:tcPr>
          <w:p w14:paraId="3EEA9063"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57" w:type="dxa"/>
            <w:shd w:val="clear" w:color="auto" w:fill="auto"/>
            <w:vAlign w:val="bottom"/>
          </w:tcPr>
          <w:p w14:paraId="47B20918"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4" w:type="dxa"/>
            <w:shd w:val="clear" w:color="auto" w:fill="auto"/>
            <w:tcMar>
              <w:right w:w="28" w:type="dxa"/>
            </w:tcMar>
            <w:vAlign w:val="bottom"/>
          </w:tcPr>
          <w:p w14:paraId="1413C379"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83" w:type="dxa"/>
            <w:shd w:val="clear" w:color="auto" w:fill="auto"/>
            <w:tcMar>
              <w:right w:w="28" w:type="dxa"/>
            </w:tcMar>
            <w:vAlign w:val="bottom"/>
          </w:tcPr>
          <w:p w14:paraId="553EC60F"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sz w:val="18"/>
                <w:szCs w:val="18"/>
                <w:rtl/>
              </w:rPr>
              <w:t>58</w:t>
            </w:r>
          </w:p>
        </w:tc>
        <w:tc>
          <w:tcPr>
            <w:tcW w:w="325" w:type="dxa"/>
            <w:shd w:val="clear" w:color="auto" w:fill="auto"/>
            <w:tcMar>
              <w:right w:w="28" w:type="dxa"/>
            </w:tcMar>
            <w:vAlign w:val="bottom"/>
          </w:tcPr>
          <w:p w14:paraId="644103C4"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1</w:t>
            </w:r>
          </w:p>
        </w:tc>
        <w:tc>
          <w:tcPr>
            <w:tcW w:w="332" w:type="dxa"/>
            <w:shd w:val="clear" w:color="auto" w:fill="auto"/>
            <w:vAlign w:val="bottom"/>
          </w:tcPr>
          <w:p w14:paraId="2D3A59A2"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26" w:type="dxa"/>
            <w:shd w:val="clear" w:color="auto" w:fill="auto"/>
            <w:vAlign w:val="bottom"/>
          </w:tcPr>
          <w:p w14:paraId="328D771E"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82" w:type="dxa"/>
            <w:shd w:val="clear" w:color="auto" w:fill="auto"/>
            <w:vAlign w:val="bottom"/>
          </w:tcPr>
          <w:p w14:paraId="781F7683"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6" w:type="dxa"/>
            <w:shd w:val="clear" w:color="auto" w:fill="auto"/>
            <w:tcMar>
              <w:right w:w="28" w:type="dxa"/>
            </w:tcMar>
            <w:vAlign w:val="bottom"/>
          </w:tcPr>
          <w:p w14:paraId="6A127DC4"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46" w:type="dxa"/>
            <w:shd w:val="clear" w:color="auto" w:fill="auto"/>
            <w:vAlign w:val="bottom"/>
          </w:tcPr>
          <w:p w14:paraId="626FC3E8"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63" w:type="dxa"/>
            <w:shd w:val="clear" w:color="auto" w:fill="auto"/>
            <w:tcMar>
              <w:right w:w="28" w:type="dxa"/>
            </w:tcMar>
            <w:vAlign w:val="bottom"/>
          </w:tcPr>
          <w:p w14:paraId="74BB9736"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93" w:type="dxa"/>
            <w:shd w:val="clear" w:color="auto" w:fill="auto"/>
            <w:tcMar>
              <w:right w:w="28" w:type="dxa"/>
            </w:tcMar>
            <w:vAlign w:val="bottom"/>
          </w:tcPr>
          <w:p w14:paraId="5BA4DD17"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599" w:type="dxa"/>
            <w:shd w:val="clear" w:color="auto" w:fill="auto"/>
            <w:tcMar>
              <w:right w:w="28" w:type="dxa"/>
            </w:tcMar>
            <w:vAlign w:val="bottom"/>
          </w:tcPr>
          <w:p w14:paraId="5EC2998A" w14:textId="77777777" w:rsidR="00971B29" w:rsidRPr="0072522F" w:rsidRDefault="00971B29" w:rsidP="0072522F">
            <w:pPr>
              <w:spacing w:before="20" w:after="40" w:line="300" w:lineRule="exact"/>
              <w:ind w:left="57"/>
              <w:textDirection w:val="tbRlV"/>
              <w:rPr>
                <w:b/>
                <w:bCs/>
                <w:sz w:val="18"/>
                <w:szCs w:val="18"/>
                <w:lang w:val="ar-SA" w:eastAsia="zh-TW" w:bidi="en-GB"/>
              </w:rPr>
            </w:pPr>
            <w:r w:rsidRPr="0072522F">
              <w:rPr>
                <w:b/>
                <w:bCs/>
                <w:sz w:val="18"/>
                <w:szCs w:val="18"/>
                <w:rtl/>
              </w:rPr>
              <w:t>85</w:t>
            </w:r>
          </w:p>
        </w:tc>
      </w:tr>
      <w:tr w:rsidR="00971B29" w:rsidRPr="0072522F" w14:paraId="4DE3915A" w14:textId="77777777" w:rsidTr="0072522F">
        <w:tc>
          <w:tcPr>
            <w:tcW w:w="648" w:type="dxa"/>
            <w:shd w:val="clear" w:color="auto" w:fill="auto"/>
          </w:tcPr>
          <w:p w14:paraId="2B0398CB"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sz w:val="18"/>
                <w:szCs w:val="18"/>
                <w:rtl/>
              </w:rPr>
              <w:t>2017</w:t>
            </w:r>
          </w:p>
        </w:tc>
        <w:tc>
          <w:tcPr>
            <w:tcW w:w="325" w:type="dxa"/>
            <w:shd w:val="clear" w:color="auto" w:fill="auto"/>
            <w:tcMar>
              <w:right w:w="28" w:type="dxa"/>
            </w:tcMar>
            <w:vAlign w:val="bottom"/>
          </w:tcPr>
          <w:p w14:paraId="44096156"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2</w:t>
            </w:r>
          </w:p>
        </w:tc>
        <w:tc>
          <w:tcPr>
            <w:tcW w:w="323" w:type="dxa"/>
            <w:shd w:val="clear" w:color="auto" w:fill="auto"/>
            <w:tcMar>
              <w:right w:w="28" w:type="dxa"/>
            </w:tcMar>
            <w:vAlign w:val="bottom"/>
          </w:tcPr>
          <w:p w14:paraId="36E805EC"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1</w:t>
            </w:r>
          </w:p>
        </w:tc>
        <w:tc>
          <w:tcPr>
            <w:tcW w:w="324" w:type="dxa"/>
            <w:shd w:val="clear" w:color="auto" w:fill="auto"/>
            <w:vAlign w:val="bottom"/>
          </w:tcPr>
          <w:p w14:paraId="7E37F4DD"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3" w:type="dxa"/>
            <w:shd w:val="clear" w:color="auto" w:fill="auto"/>
            <w:tcMar>
              <w:right w:w="28" w:type="dxa"/>
            </w:tcMar>
            <w:vAlign w:val="bottom"/>
          </w:tcPr>
          <w:p w14:paraId="43B9C316"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4" w:type="dxa"/>
            <w:shd w:val="clear" w:color="auto" w:fill="auto"/>
            <w:vAlign w:val="bottom"/>
          </w:tcPr>
          <w:p w14:paraId="487E061F"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3" w:type="dxa"/>
            <w:shd w:val="clear" w:color="auto" w:fill="auto"/>
            <w:tcMar>
              <w:right w:w="28" w:type="dxa"/>
            </w:tcMar>
            <w:vAlign w:val="bottom"/>
          </w:tcPr>
          <w:p w14:paraId="25BDB904"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53" w:type="dxa"/>
            <w:shd w:val="clear" w:color="auto" w:fill="auto"/>
            <w:tcMar>
              <w:right w:w="28" w:type="dxa"/>
            </w:tcMar>
            <w:vAlign w:val="bottom"/>
          </w:tcPr>
          <w:p w14:paraId="7A6F9B8D"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3</w:t>
            </w:r>
          </w:p>
        </w:tc>
        <w:tc>
          <w:tcPr>
            <w:tcW w:w="356" w:type="dxa"/>
            <w:shd w:val="clear" w:color="auto" w:fill="auto"/>
            <w:tcMar>
              <w:right w:w="28" w:type="dxa"/>
            </w:tcMar>
            <w:vAlign w:val="bottom"/>
          </w:tcPr>
          <w:p w14:paraId="26AF6CE8"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29" w:type="dxa"/>
            <w:shd w:val="clear" w:color="auto" w:fill="auto"/>
            <w:tcMar>
              <w:right w:w="28" w:type="dxa"/>
            </w:tcMar>
            <w:vAlign w:val="bottom"/>
          </w:tcPr>
          <w:p w14:paraId="32F1BD59"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66" w:type="dxa"/>
            <w:shd w:val="clear" w:color="auto" w:fill="auto"/>
            <w:tcMar>
              <w:right w:w="28" w:type="dxa"/>
            </w:tcMar>
            <w:vAlign w:val="bottom"/>
          </w:tcPr>
          <w:p w14:paraId="7EF9DA97"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sz w:val="18"/>
                <w:szCs w:val="18"/>
                <w:rtl/>
              </w:rPr>
              <w:t>43</w:t>
            </w:r>
          </w:p>
        </w:tc>
        <w:tc>
          <w:tcPr>
            <w:tcW w:w="384" w:type="dxa"/>
            <w:shd w:val="clear" w:color="auto" w:fill="auto"/>
            <w:tcMar>
              <w:right w:w="28" w:type="dxa"/>
            </w:tcMar>
            <w:vAlign w:val="bottom"/>
          </w:tcPr>
          <w:p w14:paraId="5243DC33"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2</w:t>
            </w:r>
          </w:p>
        </w:tc>
        <w:tc>
          <w:tcPr>
            <w:tcW w:w="305" w:type="dxa"/>
            <w:shd w:val="clear" w:color="auto" w:fill="auto"/>
            <w:tcMar>
              <w:right w:w="28" w:type="dxa"/>
            </w:tcMar>
            <w:vAlign w:val="bottom"/>
          </w:tcPr>
          <w:p w14:paraId="1063686C"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57" w:type="dxa"/>
            <w:shd w:val="clear" w:color="auto" w:fill="auto"/>
            <w:vAlign w:val="bottom"/>
          </w:tcPr>
          <w:p w14:paraId="50A9AD2F"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4" w:type="dxa"/>
            <w:shd w:val="clear" w:color="auto" w:fill="auto"/>
            <w:tcMar>
              <w:right w:w="28" w:type="dxa"/>
            </w:tcMar>
            <w:vAlign w:val="bottom"/>
          </w:tcPr>
          <w:p w14:paraId="1865B586"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1</w:t>
            </w:r>
          </w:p>
        </w:tc>
        <w:tc>
          <w:tcPr>
            <w:tcW w:w="483" w:type="dxa"/>
            <w:shd w:val="clear" w:color="auto" w:fill="auto"/>
            <w:tcMar>
              <w:right w:w="28" w:type="dxa"/>
            </w:tcMar>
            <w:vAlign w:val="bottom"/>
          </w:tcPr>
          <w:p w14:paraId="10F19A2B"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sz w:val="18"/>
                <w:szCs w:val="18"/>
                <w:rtl/>
              </w:rPr>
              <w:t>31</w:t>
            </w:r>
          </w:p>
        </w:tc>
        <w:tc>
          <w:tcPr>
            <w:tcW w:w="325" w:type="dxa"/>
            <w:shd w:val="clear" w:color="auto" w:fill="auto"/>
            <w:tcMar>
              <w:right w:w="28" w:type="dxa"/>
            </w:tcMar>
            <w:vAlign w:val="bottom"/>
          </w:tcPr>
          <w:p w14:paraId="1FB417D9"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2</w:t>
            </w:r>
          </w:p>
        </w:tc>
        <w:tc>
          <w:tcPr>
            <w:tcW w:w="332" w:type="dxa"/>
            <w:shd w:val="clear" w:color="auto" w:fill="auto"/>
            <w:vAlign w:val="bottom"/>
          </w:tcPr>
          <w:p w14:paraId="5B03AA76"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26" w:type="dxa"/>
            <w:shd w:val="clear" w:color="auto" w:fill="auto"/>
            <w:vAlign w:val="bottom"/>
          </w:tcPr>
          <w:p w14:paraId="36AF4769"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82" w:type="dxa"/>
            <w:shd w:val="clear" w:color="auto" w:fill="auto"/>
            <w:vAlign w:val="bottom"/>
          </w:tcPr>
          <w:p w14:paraId="7D53591D"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6" w:type="dxa"/>
            <w:shd w:val="clear" w:color="auto" w:fill="auto"/>
            <w:tcMar>
              <w:right w:w="28" w:type="dxa"/>
            </w:tcMar>
            <w:vAlign w:val="bottom"/>
          </w:tcPr>
          <w:p w14:paraId="018EA2CD"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1</w:t>
            </w:r>
          </w:p>
        </w:tc>
        <w:tc>
          <w:tcPr>
            <w:tcW w:w="346" w:type="dxa"/>
            <w:shd w:val="clear" w:color="auto" w:fill="auto"/>
            <w:vAlign w:val="bottom"/>
          </w:tcPr>
          <w:p w14:paraId="5808504A"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63" w:type="dxa"/>
            <w:shd w:val="clear" w:color="auto" w:fill="auto"/>
            <w:tcMar>
              <w:right w:w="28" w:type="dxa"/>
            </w:tcMar>
            <w:vAlign w:val="bottom"/>
          </w:tcPr>
          <w:p w14:paraId="51FCFB1A"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93" w:type="dxa"/>
            <w:shd w:val="clear" w:color="auto" w:fill="auto"/>
            <w:tcMar>
              <w:right w:w="28" w:type="dxa"/>
            </w:tcMar>
            <w:vAlign w:val="bottom"/>
          </w:tcPr>
          <w:p w14:paraId="713A000A"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599" w:type="dxa"/>
            <w:shd w:val="clear" w:color="auto" w:fill="auto"/>
            <w:tcMar>
              <w:right w:w="28" w:type="dxa"/>
            </w:tcMar>
            <w:vAlign w:val="bottom"/>
          </w:tcPr>
          <w:p w14:paraId="5920798A" w14:textId="77777777" w:rsidR="00971B29" w:rsidRPr="0072522F" w:rsidRDefault="00971B29" w:rsidP="0072522F">
            <w:pPr>
              <w:spacing w:before="20" w:after="40" w:line="300" w:lineRule="exact"/>
              <w:ind w:left="57"/>
              <w:textDirection w:val="tbRlV"/>
              <w:rPr>
                <w:b/>
                <w:bCs/>
                <w:sz w:val="18"/>
                <w:szCs w:val="18"/>
                <w:lang w:val="ar-SA" w:eastAsia="zh-TW" w:bidi="en-GB"/>
              </w:rPr>
            </w:pPr>
            <w:r w:rsidRPr="0072522F">
              <w:rPr>
                <w:b/>
                <w:bCs/>
                <w:sz w:val="18"/>
                <w:szCs w:val="18"/>
                <w:rtl/>
              </w:rPr>
              <w:t>86</w:t>
            </w:r>
          </w:p>
        </w:tc>
      </w:tr>
      <w:tr w:rsidR="00971B29" w:rsidRPr="0072522F" w14:paraId="097A0097" w14:textId="77777777" w:rsidTr="0072522F">
        <w:tc>
          <w:tcPr>
            <w:tcW w:w="648" w:type="dxa"/>
            <w:shd w:val="clear" w:color="auto" w:fill="auto"/>
          </w:tcPr>
          <w:p w14:paraId="2E4C0AF4"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sz w:val="18"/>
                <w:szCs w:val="18"/>
                <w:rtl/>
              </w:rPr>
              <w:t>2018</w:t>
            </w:r>
          </w:p>
        </w:tc>
        <w:tc>
          <w:tcPr>
            <w:tcW w:w="325" w:type="dxa"/>
            <w:shd w:val="clear" w:color="auto" w:fill="auto"/>
            <w:tcMar>
              <w:right w:w="28" w:type="dxa"/>
            </w:tcMar>
            <w:vAlign w:val="bottom"/>
          </w:tcPr>
          <w:p w14:paraId="364D03A4"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3" w:type="dxa"/>
            <w:shd w:val="clear" w:color="auto" w:fill="auto"/>
            <w:tcMar>
              <w:right w:w="28" w:type="dxa"/>
            </w:tcMar>
            <w:vAlign w:val="bottom"/>
          </w:tcPr>
          <w:p w14:paraId="43916B9E"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4" w:type="dxa"/>
            <w:shd w:val="clear" w:color="auto" w:fill="auto"/>
            <w:vAlign w:val="bottom"/>
          </w:tcPr>
          <w:p w14:paraId="3CDA595A"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3" w:type="dxa"/>
            <w:shd w:val="clear" w:color="auto" w:fill="auto"/>
            <w:tcMar>
              <w:right w:w="28" w:type="dxa"/>
            </w:tcMar>
            <w:vAlign w:val="bottom"/>
          </w:tcPr>
          <w:p w14:paraId="1FA29A14"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4" w:type="dxa"/>
            <w:shd w:val="clear" w:color="auto" w:fill="auto"/>
            <w:vAlign w:val="bottom"/>
          </w:tcPr>
          <w:p w14:paraId="3BFDB693"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3" w:type="dxa"/>
            <w:shd w:val="clear" w:color="auto" w:fill="auto"/>
            <w:tcMar>
              <w:right w:w="28" w:type="dxa"/>
            </w:tcMar>
            <w:vAlign w:val="bottom"/>
          </w:tcPr>
          <w:p w14:paraId="0F51FFEB"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53" w:type="dxa"/>
            <w:shd w:val="clear" w:color="auto" w:fill="auto"/>
            <w:tcMar>
              <w:right w:w="28" w:type="dxa"/>
            </w:tcMar>
            <w:vAlign w:val="bottom"/>
          </w:tcPr>
          <w:p w14:paraId="57D39E08"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9</w:t>
            </w:r>
          </w:p>
        </w:tc>
        <w:tc>
          <w:tcPr>
            <w:tcW w:w="356" w:type="dxa"/>
            <w:shd w:val="clear" w:color="auto" w:fill="auto"/>
            <w:tcMar>
              <w:right w:w="28" w:type="dxa"/>
            </w:tcMar>
            <w:vAlign w:val="bottom"/>
          </w:tcPr>
          <w:p w14:paraId="6C627391"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1</w:t>
            </w:r>
          </w:p>
        </w:tc>
        <w:tc>
          <w:tcPr>
            <w:tcW w:w="429" w:type="dxa"/>
            <w:shd w:val="clear" w:color="auto" w:fill="auto"/>
            <w:tcMar>
              <w:right w:w="28" w:type="dxa"/>
            </w:tcMar>
            <w:vAlign w:val="bottom"/>
          </w:tcPr>
          <w:p w14:paraId="17F879A4"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sz w:val="18"/>
                <w:szCs w:val="18"/>
                <w:rtl/>
              </w:rPr>
              <w:t>14</w:t>
            </w:r>
          </w:p>
        </w:tc>
        <w:tc>
          <w:tcPr>
            <w:tcW w:w="466" w:type="dxa"/>
            <w:shd w:val="clear" w:color="auto" w:fill="auto"/>
            <w:tcMar>
              <w:right w:w="28" w:type="dxa"/>
            </w:tcMar>
            <w:vAlign w:val="bottom"/>
          </w:tcPr>
          <w:p w14:paraId="325F34B6"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sz w:val="18"/>
                <w:szCs w:val="18"/>
                <w:rtl/>
              </w:rPr>
              <w:t>50</w:t>
            </w:r>
          </w:p>
        </w:tc>
        <w:tc>
          <w:tcPr>
            <w:tcW w:w="384" w:type="dxa"/>
            <w:shd w:val="clear" w:color="auto" w:fill="auto"/>
            <w:tcMar>
              <w:right w:w="28" w:type="dxa"/>
            </w:tcMar>
            <w:vAlign w:val="bottom"/>
          </w:tcPr>
          <w:p w14:paraId="0976036F"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05" w:type="dxa"/>
            <w:shd w:val="clear" w:color="auto" w:fill="auto"/>
            <w:tcMar>
              <w:right w:w="28" w:type="dxa"/>
            </w:tcMar>
            <w:vAlign w:val="bottom"/>
          </w:tcPr>
          <w:p w14:paraId="0F6E8096"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57" w:type="dxa"/>
            <w:shd w:val="clear" w:color="auto" w:fill="auto"/>
            <w:vAlign w:val="bottom"/>
          </w:tcPr>
          <w:p w14:paraId="1D47A401"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4" w:type="dxa"/>
            <w:shd w:val="clear" w:color="auto" w:fill="auto"/>
            <w:tcMar>
              <w:right w:w="28" w:type="dxa"/>
            </w:tcMar>
            <w:vAlign w:val="bottom"/>
          </w:tcPr>
          <w:p w14:paraId="606B85F7"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83" w:type="dxa"/>
            <w:shd w:val="clear" w:color="auto" w:fill="auto"/>
            <w:tcMar>
              <w:right w:w="28" w:type="dxa"/>
            </w:tcMar>
            <w:vAlign w:val="bottom"/>
          </w:tcPr>
          <w:p w14:paraId="17FF3923"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sz w:val="18"/>
                <w:szCs w:val="18"/>
                <w:rtl/>
              </w:rPr>
              <w:t>42</w:t>
            </w:r>
          </w:p>
        </w:tc>
        <w:tc>
          <w:tcPr>
            <w:tcW w:w="325" w:type="dxa"/>
            <w:shd w:val="clear" w:color="auto" w:fill="auto"/>
            <w:tcMar>
              <w:right w:w="28" w:type="dxa"/>
            </w:tcMar>
            <w:vAlign w:val="bottom"/>
          </w:tcPr>
          <w:p w14:paraId="353FB67A"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32" w:type="dxa"/>
            <w:shd w:val="clear" w:color="auto" w:fill="auto"/>
            <w:vAlign w:val="bottom"/>
          </w:tcPr>
          <w:p w14:paraId="68483A17"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26" w:type="dxa"/>
            <w:shd w:val="clear" w:color="auto" w:fill="auto"/>
            <w:vAlign w:val="bottom"/>
          </w:tcPr>
          <w:p w14:paraId="35E9610B"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82" w:type="dxa"/>
            <w:shd w:val="clear" w:color="auto" w:fill="auto"/>
            <w:vAlign w:val="bottom"/>
          </w:tcPr>
          <w:p w14:paraId="553CB0EC"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6" w:type="dxa"/>
            <w:shd w:val="clear" w:color="auto" w:fill="auto"/>
            <w:tcMar>
              <w:right w:w="28" w:type="dxa"/>
            </w:tcMar>
            <w:vAlign w:val="bottom"/>
          </w:tcPr>
          <w:p w14:paraId="145C23FB"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46" w:type="dxa"/>
            <w:shd w:val="clear" w:color="auto" w:fill="auto"/>
            <w:vAlign w:val="bottom"/>
          </w:tcPr>
          <w:p w14:paraId="2DDD0A49"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63" w:type="dxa"/>
            <w:shd w:val="clear" w:color="auto" w:fill="auto"/>
            <w:tcMar>
              <w:right w:w="28" w:type="dxa"/>
            </w:tcMar>
            <w:vAlign w:val="bottom"/>
          </w:tcPr>
          <w:p w14:paraId="13E04B8B"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2</w:t>
            </w:r>
          </w:p>
        </w:tc>
        <w:tc>
          <w:tcPr>
            <w:tcW w:w="393" w:type="dxa"/>
            <w:shd w:val="clear" w:color="auto" w:fill="auto"/>
            <w:tcMar>
              <w:right w:w="28" w:type="dxa"/>
            </w:tcMar>
            <w:vAlign w:val="bottom"/>
          </w:tcPr>
          <w:p w14:paraId="1EBECFBE"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599" w:type="dxa"/>
            <w:shd w:val="clear" w:color="auto" w:fill="auto"/>
            <w:tcMar>
              <w:right w:w="28" w:type="dxa"/>
            </w:tcMar>
            <w:vAlign w:val="bottom"/>
          </w:tcPr>
          <w:p w14:paraId="19346100" w14:textId="77777777" w:rsidR="00971B29" w:rsidRPr="0072522F" w:rsidRDefault="00971B29" w:rsidP="0072522F">
            <w:pPr>
              <w:spacing w:before="20" w:after="40" w:line="300" w:lineRule="exact"/>
              <w:ind w:left="57"/>
              <w:textDirection w:val="tbRlV"/>
              <w:rPr>
                <w:b/>
                <w:bCs/>
                <w:sz w:val="18"/>
                <w:szCs w:val="18"/>
                <w:lang w:val="ar-SA" w:eastAsia="zh-TW" w:bidi="en-GB"/>
              </w:rPr>
            </w:pPr>
            <w:r w:rsidRPr="0072522F">
              <w:rPr>
                <w:b/>
                <w:bCs/>
                <w:sz w:val="18"/>
                <w:szCs w:val="18"/>
                <w:rtl/>
              </w:rPr>
              <w:t>118</w:t>
            </w:r>
          </w:p>
        </w:tc>
      </w:tr>
      <w:tr w:rsidR="00971B29" w:rsidRPr="0072522F" w14:paraId="0E351663" w14:textId="77777777" w:rsidTr="0072522F">
        <w:tc>
          <w:tcPr>
            <w:tcW w:w="648" w:type="dxa"/>
            <w:shd w:val="clear" w:color="auto" w:fill="auto"/>
          </w:tcPr>
          <w:p w14:paraId="28754E30"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sz w:val="18"/>
                <w:szCs w:val="18"/>
                <w:rtl/>
              </w:rPr>
              <w:t>2019</w:t>
            </w:r>
          </w:p>
        </w:tc>
        <w:tc>
          <w:tcPr>
            <w:tcW w:w="325" w:type="dxa"/>
            <w:shd w:val="clear" w:color="auto" w:fill="auto"/>
            <w:tcMar>
              <w:right w:w="28" w:type="dxa"/>
            </w:tcMar>
            <w:vAlign w:val="bottom"/>
          </w:tcPr>
          <w:p w14:paraId="37455D28"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3" w:type="dxa"/>
            <w:shd w:val="clear" w:color="auto" w:fill="auto"/>
            <w:tcMar>
              <w:right w:w="28" w:type="dxa"/>
            </w:tcMar>
            <w:vAlign w:val="bottom"/>
          </w:tcPr>
          <w:p w14:paraId="7B139993"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4" w:type="dxa"/>
            <w:shd w:val="clear" w:color="auto" w:fill="auto"/>
            <w:vAlign w:val="bottom"/>
          </w:tcPr>
          <w:p w14:paraId="39F798A2"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1</w:t>
            </w:r>
          </w:p>
        </w:tc>
        <w:tc>
          <w:tcPr>
            <w:tcW w:w="323" w:type="dxa"/>
            <w:shd w:val="clear" w:color="auto" w:fill="auto"/>
            <w:tcMar>
              <w:right w:w="28" w:type="dxa"/>
            </w:tcMar>
            <w:vAlign w:val="bottom"/>
          </w:tcPr>
          <w:p w14:paraId="6AA75EFB"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4" w:type="dxa"/>
            <w:shd w:val="clear" w:color="auto" w:fill="auto"/>
            <w:vAlign w:val="bottom"/>
          </w:tcPr>
          <w:p w14:paraId="31F3C51C"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3" w:type="dxa"/>
            <w:shd w:val="clear" w:color="auto" w:fill="auto"/>
            <w:tcMar>
              <w:right w:w="28" w:type="dxa"/>
            </w:tcMar>
            <w:vAlign w:val="bottom"/>
          </w:tcPr>
          <w:p w14:paraId="6FDD9BA9"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2</w:t>
            </w:r>
          </w:p>
        </w:tc>
        <w:tc>
          <w:tcPr>
            <w:tcW w:w="453" w:type="dxa"/>
            <w:shd w:val="clear" w:color="auto" w:fill="auto"/>
            <w:tcMar>
              <w:right w:w="28" w:type="dxa"/>
            </w:tcMar>
            <w:vAlign w:val="bottom"/>
          </w:tcPr>
          <w:p w14:paraId="23A99017"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3</w:t>
            </w:r>
          </w:p>
        </w:tc>
        <w:tc>
          <w:tcPr>
            <w:tcW w:w="356" w:type="dxa"/>
            <w:shd w:val="clear" w:color="auto" w:fill="auto"/>
            <w:tcMar>
              <w:right w:w="28" w:type="dxa"/>
            </w:tcMar>
            <w:vAlign w:val="bottom"/>
          </w:tcPr>
          <w:p w14:paraId="3B099933"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3</w:t>
            </w:r>
          </w:p>
        </w:tc>
        <w:tc>
          <w:tcPr>
            <w:tcW w:w="429" w:type="dxa"/>
            <w:shd w:val="clear" w:color="auto" w:fill="auto"/>
            <w:tcMar>
              <w:right w:w="28" w:type="dxa"/>
            </w:tcMar>
            <w:vAlign w:val="bottom"/>
          </w:tcPr>
          <w:p w14:paraId="7A470101"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66" w:type="dxa"/>
            <w:shd w:val="clear" w:color="auto" w:fill="auto"/>
            <w:tcMar>
              <w:right w:w="28" w:type="dxa"/>
            </w:tcMar>
            <w:vAlign w:val="bottom"/>
          </w:tcPr>
          <w:p w14:paraId="10FE8E82"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sz w:val="18"/>
                <w:szCs w:val="18"/>
                <w:rtl/>
              </w:rPr>
              <w:t>226</w:t>
            </w:r>
          </w:p>
        </w:tc>
        <w:tc>
          <w:tcPr>
            <w:tcW w:w="384" w:type="dxa"/>
            <w:shd w:val="clear" w:color="auto" w:fill="auto"/>
            <w:tcMar>
              <w:right w:w="28" w:type="dxa"/>
            </w:tcMar>
            <w:vAlign w:val="bottom"/>
          </w:tcPr>
          <w:p w14:paraId="10ADD08B"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05" w:type="dxa"/>
            <w:shd w:val="clear" w:color="auto" w:fill="auto"/>
            <w:tcMar>
              <w:right w:w="28" w:type="dxa"/>
            </w:tcMar>
            <w:vAlign w:val="bottom"/>
          </w:tcPr>
          <w:p w14:paraId="77262AA0"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2</w:t>
            </w:r>
          </w:p>
        </w:tc>
        <w:tc>
          <w:tcPr>
            <w:tcW w:w="357" w:type="dxa"/>
            <w:shd w:val="clear" w:color="auto" w:fill="auto"/>
            <w:vAlign w:val="bottom"/>
          </w:tcPr>
          <w:p w14:paraId="0E3E3CEE"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4" w:type="dxa"/>
            <w:shd w:val="clear" w:color="auto" w:fill="auto"/>
            <w:tcMar>
              <w:right w:w="28" w:type="dxa"/>
            </w:tcMar>
            <w:vAlign w:val="bottom"/>
          </w:tcPr>
          <w:p w14:paraId="04B4333B"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83" w:type="dxa"/>
            <w:shd w:val="clear" w:color="auto" w:fill="auto"/>
            <w:tcMar>
              <w:right w:w="28" w:type="dxa"/>
            </w:tcMar>
            <w:vAlign w:val="bottom"/>
          </w:tcPr>
          <w:p w14:paraId="101E1DD4"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sz w:val="18"/>
                <w:szCs w:val="18"/>
                <w:rtl/>
              </w:rPr>
              <w:t>10</w:t>
            </w:r>
          </w:p>
        </w:tc>
        <w:tc>
          <w:tcPr>
            <w:tcW w:w="325" w:type="dxa"/>
            <w:shd w:val="clear" w:color="auto" w:fill="auto"/>
            <w:tcMar>
              <w:right w:w="28" w:type="dxa"/>
            </w:tcMar>
            <w:vAlign w:val="bottom"/>
          </w:tcPr>
          <w:p w14:paraId="6E6AF4C0"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32" w:type="dxa"/>
            <w:shd w:val="clear" w:color="auto" w:fill="auto"/>
            <w:vAlign w:val="bottom"/>
          </w:tcPr>
          <w:p w14:paraId="183C666F"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26" w:type="dxa"/>
            <w:shd w:val="clear" w:color="auto" w:fill="auto"/>
            <w:vAlign w:val="bottom"/>
          </w:tcPr>
          <w:p w14:paraId="60326D64"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82" w:type="dxa"/>
            <w:shd w:val="clear" w:color="auto" w:fill="auto"/>
            <w:vAlign w:val="bottom"/>
          </w:tcPr>
          <w:p w14:paraId="099B7098"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6" w:type="dxa"/>
            <w:shd w:val="clear" w:color="auto" w:fill="auto"/>
            <w:tcMar>
              <w:right w:w="28" w:type="dxa"/>
            </w:tcMar>
            <w:vAlign w:val="bottom"/>
          </w:tcPr>
          <w:p w14:paraId="2B3B33D6"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46" w:type="dxa"/>
            <w:shd w:val="clear" w:color="auto" w:fill="auto"/>
            <w:vAlign w:val="bottom"/>
          </w:tcPr>
          <w:p w14:paraId="19407090"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63" w:type="dxa"/>
            <w:shd w:val="clear" w:color="auto" w:fill="auto"/>
            <w:tcMar>
              <w:right w:w="28" w:type="dxa"/>
            </w:tcMar>
            <w:vAlign w:val="bottom"/>
          </w:tcPr>
          <w:p w14:paraId="582AF34B"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93" w:type="dxa"/>
            <w:shd w:val="clear" w:color="auto" w:fill="auto"/>
            <w:tcMar>
              <w:right w:w="28" w:type="dxa"/>
            </w:tcMar>
            <w:vAlign w:val="bottom"/>
          </w:tcPr>
          <w:p w14:paraId="02C459D1"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1</w:t>
            </w:r>
          </w:p>
        </w:tc>
        <w:tc>
          <w:tcPr>
            <w:tcW w:w="599" w:type="dxa"/>
            <w:shd w:val="clear" w:color="auto" w:fill="auto"/>
            <w:tcMar>
              <w:right w:w="28" w:type="dxa"/>
            </w:tcMar>
            <w:vAlign w:val="bottom"/>
          </w:tcPr>
          <w:p w14:paraId="41B66B09" w14:textId="77777777" w:rsidR="00971B29" w:rsidRPr="0072522F" w:rsidRDefault="00971B29" w:rsidP="0072522F">
            <w:pPr>
              <w:spacing w:before="20" w:after="40" w:line="300" w:lineRule="exact"/>
              <w:ind w:left="57"/>
              <w:textDirection w:val="tbRlV"/>
              <w:rPr>
                <w:b/>
                <w:bCs/>
                <w:sz w:val="18"/>
                <w:szCs w:val="18"/>
                <w:lang w:val="ar-SA" w:eastAsia="zh-TW" w:bidi="en-GB"/>
              </w:rPr>
            </w:pPr>
            <w:r w:rsidRPr="0072522F">
              <w:rPr>
                <w:b/>
                <w:bCs/>
                <w:sz w:val="18"/>
                <w:szCs w:val="18"/>
                <w:rtl/>
              </w:rPr>
              <w:t>248</w:t>
            </w:r>
          </w:p>
        </w:tc>
      </w:tr>
      <w:tr w:rsidR="00971B29" w:rsidRPr="0072522F" w14:paraId="318E4D29" w14:textId="77777777" w:rsidTr="0072522F">
        <w:tc>
          <w:tcPr>
            <w:tcW w:w="648" w:type="dxa"/>
            <w:shd w:val="clear" w:color="auto" w:fill="auto"/>
          </w:tcPr>
          <w:p w14:paraId="25A87D7A"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sz w:val="18"/>
                <w:szCs w:val="18"/>
                <w:rtl/>
              </w:rPr>
              <w:t>2020</w:t>
            </w:r>
          </w:p>
        </w:tc>
        <w:tc>
          <w:tcPr>
            <w:tcW w:w="325" w:type="dxa"/>
            <w:shd w:val="clear" w:color="auto" w:fill="auto"/>
            <w:tcMar>
              <w:right w:w="28" w:type="dxa"/>
            </w:tcMar>
            <w:vAlign w:val="bottom"/>
          </w:tcPr>
          <w:p w14:paraId="4BE27CEC"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1</w:t>
            </w:r>
          </w:p>
        </w:tc>
        <w:tc>
          <w:tcPr>
            <w:tcW w:w="323" w:type="dxa"/>
            <w:shd w:val="clear" w:color="auto" w:fill="auto"/>
            <w:tcMar>
              <w:right w:w="28" w:type="dxa"/>
            </w:tcMar>
            <w:vAlign w:val="bottom"/>
          </w:tcPr>
          <w:p w14:paraId="4ADF4E23"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4" w:type="dxa"/>
            <w:shd w:val="clear" w:color="auto" w:fill="auto"/>
            <w:vAlign w:val="bottom"/>
          </w:tcPr>
          <w:p w14:paraId="73C57DD6"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3" w:type="dxa"/>
            <w:shd w:val="clear" w:color="auto" w:fill="auto"/>
            <w:tcMar>
              <w:right w:w="28" w:type="dxa"/>
            </w:tcMar>
            <w:vAlign w:val="bottom"/>
          </w:tcPr>
          <w:p w14:paraId="7A7974DF"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4" w:type="dxa"/>
            <w:shd w:val="clear" w:color="auto" w:fill="auto"/>
            <w:vAlign w:val="bottom"/>
          </w:tcPr>
          <w:p w14:paraId="20859237"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1</w:t>
            </w:r>
          </w:p>
        </w:tc>
        <w:tc>
          <w:tcPr>
            <w:tcW w:w="323" w:type="dxa"/>
            <w:shd w:val="clear" w:color="auto" w:fill="auto"/>
            <w:tcMar>
              <w:right w:w="28" w:type="dxa"/>
            </w:tcMar>
            <w:vAlign w:val="bottom"/>
          </w:tcPr>
          <w:p w14:paraId="3F46FD8E"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1</w:t>
            </w:r>
          </w:p>
        </w:tc>
        <w:tc>
          <w:tcPr>
            <w:tcW w:w="453" w:type="dxa"/>
            <w:shd w:val="clear" w:color="auto" w:fill="auto"/>
            <w:tcMar>
              <w:right w:w="28" w:type="dxa"/>
            </w:tcMar>
            <w:vAlign w:val="bottom"/>
          </w:tcPr>
          <w:p w14:paraId="217A058F"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2</w:t>
            </w:r>
          </w:p>
        </w:tc>
        <w:tc>
          <w:tcPr>
            <w:tcW w:w="356" w:type="dxa"/>
            <w:shd w:val="clear" w:color="auto" w:fill="auto"/>
            <w:tcMar>
              <w:right w:w="28" w:type="dxa"/>
            </w:tcMar>
            <w:vAlign w:val="bottom"/>
          </w:tcPr>
          <w:p w14:paraId="6133F1AD"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29" w:type="dxa"/>
            <w:shd w:val="clear" w:color="auto" w:fill="auto"/>
            <w:tcMar>
              <w:right w:w="28" w:type="dxa"/>
            </w:tcMar>
            <w:vAlign w:val="bottom"/>
          </w:tcPr>
          <w:p w14:paraId="20CB5291"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9</w:t>
            </w:r>
          </w:p>
        </w:tc>
        <w:tc>
          <w:tcPr>
            <w:tcW w:w="466" w:type="dxa"/>
            <w:shd w:val="clear" w:color="auto" w:fill="auto"/>
            <w:tcMar>
              <w:right w:w="28" w:type="dxa"/>
            </w:tcMar>
            <w:vAlign w:val="bottom"/>
          </w:tcPr>
          <w:p w14:paraId="332B3A8D"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sz w:val="18"/>
                <w:szCs w:val="18"/>
                <w:rtl/>
              </w:rPr>
              <w:t>103</w:t>
            </w:r>
          </w:p>
        </w:tc>
        <w:tc>
          <w:tcPr>
            <w:tcW w:w="384" w:type="dxa"/>
            <w:shd w:val="clear" w:color="auto" w:fill="auto"/>
            <w:tcMar>
              <w:right w:w="28" w:type="dxa"/>
            </w:tcMar>
            <w:vAlign w:val="bottom"/>
          </w:tcPr>
          <w:p w14:paraId="1C71FDB4"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05" w:type="dxa"/>
            <w:shd w:val="clear" w:color="auto" w:fill="auto"/>
            <w:tcMar>
              <w:right w:w="28" w:type="dxa"/>
            </w:tcMar>
            <w:vAlign w:val="bottom"/>
          </w:tcPr>
          <w:p w14:paraId="5C1EAAFF"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57" w:type="dxa"/>
            <w:shd w:val="clear" w:color="auto" w:fill="auto"/>
            <w:vAlign w:val="bottom"/>
          </w:tcPr>
          <w:p w14:paraId="1F92D2DA"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1</w:t>
            </w:r>
          </w:p>
        </w:tc>
        <w:tc>
          <w:tcPr>
            <w:tcW w:w="324" w:type="dxa"/>
            <w:shd w:val="clear" w:color="auto" w:fill="auto"/>
            <w:tcMar>
              <w:right w:w="28" w:type="dxa"/>
            </w:tcMar>
            <w:vAlign w:val="bottom"/>
          </w:tcPr>
          <w:p w14:paraId="5EAFC358"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83" w:type="dxa"/>
            <w:shd w:val="clear" w:color="auto" w:fill="auto"/>
            <w:tcMar>
              <w:right w:w="28" w:type="dxa"/>
            </w:tcMar>
            <w:vAlign w:val="bottom"/>
          </w:tcPr>
          <w:p w14:paraId="17E5F21E"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sz w:val="18"/>
                <w:szCs w:val="18"/>
                <w:rtl/>
              </w:rPr>
              <w:t>57</w:t>
            </w:r>
          </w:p>
        </w:tc>
        <w:tc>
          <w:tcPr>
            <w:tcW w:w="325" w:type="dxa"/>
            <w:shd w:val="clear" w:color="auto" w:fill="auto"/>
            <w:tcMar>
              <w:right w:w="28" w:type="dxa"/>
            </w:tcMar>
            <w:vAlign w:val="bottom"/>
          </w:tcPr>
          <w:p w14:paraId="6B8638FF"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32" w:type="dxa"/>
            <w:shd w:val="clear" w:color="auto" w:fill="auto"/>
            <w:vAlign w:val="bottom"/>
          </w:tcPr>
          <w:p w14:paraId="17456F26"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1</w:t>
            </w:r>
          </w:p>
        </w:tc>
        <w:tc>
          <w:tcPr>
            <w:tcW w:w="426" w:type="dxa"/>
            <w:shd w:val="clear" w:color="auto" w:fill="auto"/>
            <w:vAlign w:val="bottom"/>
          </w:tcPr>
          <w:p w14:paraId="5DC5B67B"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82" w:type="dxa"/>
            <w:shd w:val="clear" w:color="auto" w:fill="auto"/>
            <w:vAlign w:val="bottom"/>
          </w:tcPr>
          <w:p w14:paraId="04F676F0"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sz w:val="18"/>
                <w:szCs w:val="18"/>
                <w:rtl/>
              </w:rPr>
              <w:t>14</w:t>
            </w:r>
          </w:p>
        </w:tc>
        <w:tc>
          <w:tcPr>
            <w:tcW w:w="326" w:type="dxa"/>
            <w:shd w:val="clear" w:color="auto" w:fill="auto"/>
            <w:tcMar>
              <w:right w:w="28" w:type="dxa"/>
            </w:tcMar>
            <w:vAlign w:val="bottom"/>
          </w:tcPr>
          <w:p w14:paraId="7E3D7807"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46" w:type="dxa"/>
            <w:shd w:val="clear" w:color="auto" w:fill="auto"/>
            <w:vAlign w:val="bottom"/>
          </w:tcPr>
          <w:p w14:paraId="17329025"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1</w:t>
            </w:r>
          </w:p>
        </w:tc>
        <w:tc>
          <w:tcPr>
            <w:tcW w:w="363" w:type="dxa"/>
            <w:shd w:val="clear" w:color="auto" w:fill="auto"/>
            <w:tcMar>
              <w:right w:w="28" w:type="dxa"/>
            </w:tcMar>
            <w:vAlign w:val="bottom"/>
          </w:tcPr>
          <w:p w14:paraId="09D088A0"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1</w:t>
            </w:r>
          </w:p>
        </w:tc>
        <w:tc>
          <w:tcPr>
            <w:tcW w:w="393" w:type="dxa"/>
            <w:shd w:val="clear" w:color="auto" w:fill="auto"/>
            <w:tcMar>
              <w:right w:w="28" w:type="dxa"/>
            </w:tcMar>
            <w:vAlign w:val="bottom"/>
          </w:tcPr>
          <w:p w14:paraId="201629E9"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599" w:type="dxa"/>
            <w:shd w:val="clear" w:color="auto" w:fill="auto"/>
            <w:tcMar>
              <w:right w:w="28" w:type="dxa"/>
            </w:tcMar>
            <w:vAlign w:val="bottom"/>
          </w:tcPr>
          <w:p w14:paraId="0D528393" w14:textId="77777777" w:rsidR="00971B29" w:rsidRPr="0072522F" w:rsidRDefault="00971B29" w:rsidP="0072522F">
            <w:pPr>
              <w:spacing w:before="20" w:after="40" w:line="300" w:lineRule="exact"/>
              <w:ind w:left="57"/>
              <w:textDirection w:val="tbRlV"/>
              <w:rPr>
                <w:b/>
                <w:bCs/>
                <w:sz w:val="18"/>
                <w:szCs w:val="18"/>
                <w:lang w:val="ar-SA" w:eastAsia="zh-TW" w:bidi="en-GB"/>
              </w:rPr>
            </w:pPr>
            <w:r w:rsidRPr="0072522F">
              <w:rPr>
                <w:b/>
                <w:bCs/>
                <w:sz w:val="18"/>
                <w:szCs w:val="18"/>
                <w:rtl/>
              </w:rPr>
              <w:t>192</w:t>
            </w:r>
          </w:p>
        </w:tc>
      </w:tr>
      <w:tr w:rsidR="00971B29" w:rsidRPr="0072522F" w14:paraId="5E13660C" w14:textId="77777777" w:rsidTr="0072522F">
        <w:tc>
          <w:tcPr>
            <w:tcW w:w="648" w:type="dxa"/>
            <w:tcBorders>
              <w:bottom w:val="single" w:sz="4" w:space="0" w:color="auto"/>
            </w:tcBorders>
            <w:shd w:val="clear" w:color="auto" w:fill="auto"/>
          </w:tcPr>
          <w:p w14:paraId="3B32DE8F" w14:textId="7DEB8D60" w:rsidR="00971B29" w:rsidRPr="0072522F" w:rsidRDefault="00971B29" w:rsidP="0072522F">
            <w:pPr>
              <w:spacing w:before="20" w:after="40" w:line="300" w:lineRule="exact"/>
              <w:ind w:left="57" w:right="57"/>
              <w:textDirection w:val="tbRlV"/>
              <w:rPr>
                <w:sz w:val="18"/>
                <w:szCs w:val="18"/>
                <w:lang w:val="ar-SA" w:eastAsia="zh-TW" w:bidi="en-GB"/>
              </w:rPr>
            </w:pPr>
            <w:r w:rsidRPr="0072522F">
              <w:rPr>
                <w:sz w:val="18"/>
                <w:szCs w:val="18"/>
                <w:rtl/>
              </w:rPr>
              <w:t>2021</w:t>
            </w:r>
            <w:r w:rsidR="007C727D" w:rsidRPr="007C727D">
              <w:rPr>
                <w:rFonts w:ascii="Simplified Arabic" w:hAnsi="Simplified Arabic"/>
                <w:sz w:val="18"/>
                <w:szCs w:val="18"/>
                <w:vertAlign w:val="superscript"/>
                <w:rtl/>
              </w:rPr>
              <w:t>(</w:t>
            </w:r>
            <w:r w:rsidRPr="007C727D">
              <w:rPr>
                <w:rFonts w:ascii="Simplified Arabic" w:hAnsi="Simplified Arabic"/>
                <w:sz w:val="18"/>
                <w:szCs w:val="18"/>
                <w:vertAlign w:val="superscript"/>
                <w:rtl/>
              </w:rPr>
              <w:t>أ</w:t>
            </w:r>
            <w:r w:rsidR="007C727D" w:rsidRPr="007C727D">
              <w:rPr>
                <w:rFonts w:ascii="Simplified Arabic" w:hAnsi="Simplified Arabic"/>
                <w:sz w:val="18"/>
                <w:szCs w:val="18"/>
                <w:vertAlign w:val="superscript"/>
                <w:rtl/>
              </w:rPr>
              <w:t>)</w:t>
            </w:r>
          </w:p>
        </w:tc>
        <w:tc>
          <w:tcPr>
            <w:tcW w:w="325" w:type="dxa"/>
            <w:tcBorders>
              <w:bottom w:val="single" w:sz="4" w:space="0" w:color="auto"/>
            </w:tcBorders>
            <w:shd w:val="clear" w:color="auto" w:fill="auto"/>
            <w:tcMar>
              <w:right w:w="28" w:type="dxa"/>
            </w:tcMar>
            <w:vAlign w:val="bottom"/>
          </w:tcPr>
          <w:p w14:paraId="2990E46D"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3" w:type="dxa"/>
            <w:tcBorders>
              <w:bottom w:val="single" w:sz="4" w:space="0" w:color="auto"/>
            </w:tcBorders>
            <w:shd w:val="clear" w:color="auto" w:fill="auto"/>
            <w:tcMar>
              <w:right w:w="28" w:type="dxa"/>
            </w:tcMar>
            <w:vAlign w:val="bottom"/>
          </w:tcPr>
          <w:p w14:paraId="3697E039"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4" w:type="dxa"/>
            <w:tcBorders>
              <w:bottom w:val="single" w:sz="4" w:space="0" w:color="auto"/>
            </w:tcBorders>
            <w:shd w:val="clear" w:color="auto" w:fill="auto"/>
            <w:vAlign w:val="bottom"/>
          </w:tcPr>
          <w:p w14:paraId="7B81AE24"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3" w:type="dxa"/>
            <w:tcBorders>
              <w:bottom w:val="single" w:sz="4" w:space="0" w:color="auto"/>
            </w:tcBorders>
            <w:shd w:val="clear" w:color="auto" w:fill="auto"/>
            <w:tcMar>
              <w:right w:w="28" w:type="dxa"/>
            </w:tcMar>
            <w:vAlign w:val="bottom"/>
          </w:tcPr>
          <w:p w14:paraId="39028733"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4" w:type="dxa"/>
            <w:tcBorders>
              <w:bottom w:val="single" w:sz="4" w:space="0" w:color="auto"/>
            </w:tcBorders>
            <w:shd w:val="clear" w:color="auto" w:fill="auto"/>
            <w:vAlign w:val="bottom"/>
          </w:tcPr>
          <w:p w14:paraId="31098D90"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3" w:type="dxa"/>
            <w:tcBorders>
              <w:bottom w:val="single" w:sz="4" w:space="0" w:color="auto"/>
            </w:tcBorders>
            <w:shd w:val="clear" w:color="auto" w:fill="auto"/>
            <w:tcMar>
              <w:right w:w="28" w:type="dxa"/>
            </w:tcMar>
            <w:vAlign w:val="bottom"/>
          </w:tcPr>
          <w:p w14:paraId="5688A594"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53" w:type="dxa"/>
            <w:tcBorders>
              <w:bottom w:val="single" w:sz="4" w:space="0" w:color="auto"/>
            </w:tcBorders>
            <w:shd w:val="clear" w:color="auto" w:fill="auto"/>
            <w:tcMar>
              <w:right w:w="28" w:type="dxa"/>
            </w:tcMar>
            <w:vAlign w:val="bottom"/>
          </w:tcPr>
          <w:p w14:paraId="5344F78E"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56" w:type="dxa"/>
            <w:tcBorders>
              <w:bottom w:val="single" w:sz="4" w:space="0" w:color="auto"/>
            </w:tcBorders>
            <w:shd w:val="clear" w:color="auto" w:fill="auto"/>
            <w:tcMar>
              <w:right w:w="28" w:type="dxa"/>
            </w:tcMar>
            <w:vAlign w:val="bottom"/>
          </w:tcPr>
          <w:p w14:paraId="17D9E5CB"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29" w:type="dxa"/>
            <w:tcBorders>
              <w:bottom w:val="single" w:sz="4" w:space="0" w:color="auto"/>
            </w:tcBorders>
            <w:shd w:val="clear" w:color="auto" w:fill="auto"/>
            <w:tcMar>
              <w:right w:w="28" w:type="dxa"/>
            </w:tcMar>
            <w:vAlign w:val="bottom"/>
          </w:tcPr>
          <w:p w14:paraId="1D51631B"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1</w:t>
            </w:r>
          </w:p>
        </w:tc>
        <w:tc>
          <w:tcPr>
            <w:tcW w:w="466" w:type="dxa"/>
            <w:tcBorders>
              <w:bottom w:val="single" w:sz="4" w:space="0" w:color="auto"/>
            </w:tcBorders>
            <w:shd w:val="clear" w:color="auto" w:fill="auto"/>
            <w:tcMar>
              <w:right w:w="28" w:type="dxa"/>
            </w:tcMar>
            <w:vAlign w:val="bottom"/>
          </w:tcPr>
          <w:p w14:paraId="5653CBCA"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1</w:t>
            </w:r>
          </w:p>
        </w:tc>
        <w:tc>
          <w:tcPr>
            <w:tcW w:w="384" w:type="dxa"/>
            <w:tcBorders>
              <w:bottom w:val="single" w:sz="4" w:space="0" w:color="auto"/>
            </w:tcBorders>
            <w:shd w:val="clear" w:color="auto" w:fill="auto"/>
            <w:tcMar>
              <w:right w:w="28" w:type="dxa"/>
            </w:tcMar>
            <w:vAlign w:val="bottom"/>
          </w:tcPr>
          <w:p w14:paraId="67BDDB13" w14:textId="77777777" w:rsidR="00971B29" w:rsidRPr="0072522F" w:rsidRDefault="00971B29" w:rsidP="0072522F">
            <w:pPr>
              <w:spacing w:before="20" w:after="40" w:line="300" w:lineRule="exact"/>
              <w:ind w:left="57" w:right="57"/>
              <w:textDirection w:val="tbRlV"/>
              <w:rPr>
                <w:sz w:val="18"/>
                <w:szCs w:val="18"/>
                <w:lang w:eastAsia="zh-TW" w:bidi="en-GB"/>
              </w:rPr>
            </w:pPr>
            <w:r w:rsidRPr="0072522F">
              <w:rPr>
                <w:rFonts w:ascii="Traditional Arabic"/>
                <w:sz w:val="18"/>
                <w:szCs w:val="18"/>
              </w:rPr>
              <w:t>-</w:t>
            </w:r>
          </w:p>
        </w:tc>
        <w:tc>
          <w:tcPr>
            <w:tcW w:w="305" w:type="dxa"/>
            <w:tcBorders>
              <w:bottom w:val="single" w:sz="4" w:space="0" w:color="auto"/>
            </w:tcBorders>
            <w:shd w:val="clear" w:color="auto" w:fill="auto"/>
            <w:tcMar>
              <w:right w:w="28" w:type="dxa"/>
            </w:tcMar>
            <w:vAlign w:val="bottom"/>
          </w:tcPr>
          <w:p w14:paraId="798A47CF"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57" w:type="dxa"/>
            <w:tcBorders>
              <w:bottom w:val="single" w:sz="4" w:space="0" w:color="auto"/>
            </w:tcBorders>
            <w:shd w:val="clear" w:color="auto" w:fill="auto"/>
            <w:vAlign w:val="bottom"/>
          </w:tcPr>
          <w:p w14:paraId="48F1BD38"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4" w:type="dxa"/>
            <w:tcBorders>
              <w:bottom w:val="single" w:sz="4" w:space="0" w:color="auto"/>
            </w:tcBorders>
            <w:shd w:val="clear" w:color="auto" w:fill="auto"/>
            <w:tcMar>
              <w:right w:w="28" w:type="dxa"/>
            </w:tcMar>
            <w:vAlign w:val="bottom"/>
          </w:tcPr>
          <w:p w14:paraId="7CF4F245"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83" w:type="dxa"/>
            <w:tcBorders>
              <w:bottom w:val="single" w:sz="4" w:space="0" w:color="auto"/>
            </w:tcBorders>
            <w:shd w:val="clear" w:color="auto" w:fill="auto"/>
            <w:tcMar>
              <w:right w:w="28" w:type="dxa"/>
            </w:tcMar>
            <w:vAlign w:val="bottom"/>
          </w:tcPr>
          <w:p w14:paraId="5BFF349B"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8</w:t>
            </w:r>
          </w:p>
        </w:tc>
        <w:tc>
          <w:tcPr>
            <w:tcW w:w="325" w:type="dxa"/>
            <w:tcBorders>
              <w:bottom w:val="single" w:sz="4" w:space="0" w:color="auto"/>
            </w:tcBorders>
            <w:shd w:val="clear" w:color="auto" w:fill="auto"/>
            <w:tcMar>
              <w:right w:w="28" w:type="dxa"/>
            </w:tcMar>
            <w:vAlign w:val="bottom"/>
          </w:tcPr>
          <w:p w14:paraId="6891FBBE"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1</w:t>
            </w:r>
          </w:p>
        </w:tc>
        <w:tc>
          <w:tcPr>
            <w:tcW w:w="332" w:type="dxa"/>
            <w:tcBorders>
              <w:bottom w:val="single" w:sz="4" w:space="0" w:color="auto"/>
            </w:tcBorders>
            <w:shd w:val="clear" w:color="auto" w:fill="auto"/>
            <w:vAlign w:val="bottom"/>
          </w:tcPr>
          <w:p w14:paraId="43739545"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426" w:type="dxa"/>
            <w:tcBorders>
              <w:bottom w:val="single" w:sz="4" w:space="0" w:color="auto"/>
            </w:tcBorders>
            <w:shd w:val="clear" w:color="auto" w:fill="auto"/>
            <w:vAlign w:val="bottom"/>
          </w:tcPr>
          <w:p w14:paraId="44324B76" w14:textId="77777777" w:rsidR="00971B29" w:rsidRPr="0072522F" w:rsidRDefault="00971B29" w:rsidP="0072522F">
            <w:pPr>
              <w:spacing w:before="20" w:after="40" w:line="300" w:lineRule="exact"/>
              <w:ind w:left="57" w:right="57"/>
              <w:textDirection w:val="tbRlV"/>
              <w:rPr>
                <w:sz w:val="18"/>
                <w:szCs w:val="18"/>
              </w:rPr>
            </w:pPr>
            <w:r w:rsidRPr="0072522F">
              <w:rPr>
                <w:sz w:val="18"/>
                <w:szCs w:val="18"/>
                <w:rtl/>
              </w:rPr>
              <w:t>1</w:t>
            </w:r>
          </w:p>
        </w:tc>
        <w:tc>
          <w:tcPr>
            <w:tcW w:w="382" w:type="dxa"/>
            <w:tcBorders>
              <w:bottom w:val="single" w:sz="4" w:space="0" w:color="auto"/>
            </w:tcBorders>
            <w:shd w:val="clear" w:color="auto" w:fill="auto"/>
            <w:vAlign w:val="bottom"/>
          </w:tcPr>
          <w:p w14:paraId="5885CE13"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26" w:type="dxa"/>
            <w:tcBorders>
              <w:bottom w:val="single" w:sz="4" w:space="0" w:color="auto"/>
            </w:tcBorders>
            <w:shd w:val="clear" w:color="auto" w:fill="auto"/>
            <w:tcMar>
              <w:right w:w="28" w:type="dxa"/>
            </w:tcMar>
            <w:vAlign w:val="bottom"/>
          </w:tcPr>
          <w:p w14:paraId="203F916F"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46" w:type="dxa"/>
            <w:tcBorders>
              <w:bottom w:val="single" w:sz="4" w:space="0" w:color="auto"/>
            </w:tcBorders>
            <w:shd w:val="clear" w:color="auto" w:fill="auto"/>
            <w:vAlign w:val="bottom"/>
          </w:tcPr>
          <w:p w14:paraId="41BB23B2"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63" w:type="dxa"/>
            <w:tcBorders>
              <w:bottom w:val="single" w:sz="4" w:space="0" w:color="auto"/>
            </w:tcBorders>
            <w:shd w:val="clear" w:color="auto" w:fill="auto"/>
            <w:tcMar>
              <w:right w:w="28" w:type="dxa"/>
            </w:tcMar>
            <w:vAlign w:val="bottom"/>
          </w:tcPr>
          <w:p w14:paraId="43552B5F"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393" w:type="dxa"/>
            <w:tcBorders>
              <w:bottom w:val="single" w:sz="4" w:space="0" w:color="auto"/>
            </w:tcBorders>
            <w:shd w:val="clear" w:color="auto" w:fill="auto"/>
            <w:tcMar>
              <w:right w:w="28" w:type="dxa"/>
            </w:tcMar>
            <w:vAlign w:val="bottom"/>
          </w:tcPr>
          <w:p w14:paraId="356DAED5" w14:textId="77777777" w:rsidR="00971B29" w:rsidRPr="0072522F" w:rsidRDefault="00971B29" w:rsidP="0072522F">
            <w:pPr>
              <w:spacing w:before="20" w:after="40" w:line="300" w:lineRule="exact"/>
              <w:ind w:left="57" w:right="57"/>
              <w:textDirection w:val="tbRlV"/>
              <w:rPr>
                <w:sz w:val="18"/>
                <w:szCs w:val="18"/>
                <w:lang w:val="ar-SA" w:eastAsia="zh-TW" w:bidi="en-GB"/>
              </w:rPr>
            </w:pPr>
            <w:r w:rsidRPr="0072522F">
              <w:rPr>
                <w:rFonts w:ascii="Traditional Arabic"/>
                <w:sz w:val="18"/>
                <w:szCs w:val="18"/>
              </w:rPr>
              <w:t>-</w:t>
            </w:r>
          </w:p>
        </w:tc>
        <w:tc>
          <w:tcPr>
            <w:tcW w:w="599" w:type="dxa"/>
            <w:tcBorders>
              <w:bottom w:val="single" w:sz="4" w:space="0" w:color="auto"/>
            </w:tcBorders>
            <w:shd w:val="clear" w:color="auto" w:fill="auto"/>
            <w:tcMar>
              <w:right w:w="28" w:type="dxa"/>
            </w:tcMar>
            <w:vAlign w:val="bottom"/>
          </w:tcPr>
          <w:p w14:paraId="4BD8FA9E" w14:textId="77777777" w:rsidR="00971B29" w:rsidRPr="0072522F" w:rsidRDefault="00971B29" w:rsidP="0072522F">
            <w:pPr>
              <w:spacing w:before="20" w:after="40" w:line="300" w:lineRule="exact"/>
              <w:ind w:left="57"/>
              <w:textDirection w:val="tbRlV"/>
              <w:rPr>
                <w:b/>
                <w:bCs/>
                <w:sz w:val="18"/>
                <w:szCs w:val="18"/>
                <w:lang w:val="ar-SA" w:eastAsia="zh-TW" w:bidi="en-GB"/>
              </w:rPr>
            </w:pPr>
            <w:r w:rsidRPr="0072522F">
              <w:rPr>
                <w:b/>
                <w:bCs/>
                <w:sz w:val="18"/>
                <w:szCs w:val="18"/>
                <w:rtl/>
              </w:rPr>
              <w:t>12</w:t>
            </w:r>
          </w:p>
        </w:tc>
      </w:tr>
      <w:tr w:rsidR="00971B29" w:rsidRPr="0072522F" w14:paraId="45494258" w14:textId="77777777" w:rsidTr="0072522F">
        <w:tc>
          <w:tcPr>
            <w:tcW w:w="648" w:type="dxa"/>
            <w:tcBorders>
              <w:top w:val="single" w:sz="4" w:space="0" w:color="auto"/>
              <w:bottom w:val="single" w:sz="12" w:space="0" w:color="auto"/>
            </w:tcBorders>
            <w:shd w:val="clear" w:color="auto" w:fill="auto"/>
          </w:tcPr>
          <w:p w14:paraId="293ED4B8" w14:textId="77777777" w:rsidR="00971B29" w:rsidRPr="0072522F" w:rsidRDefault="00971B29" w:rsidP="0072522F">
            <w:pPr>
              <w:spacing w:before="20" w:after="40" w:line="300" w:lineRule="exact"/>
              <w:ind w:left="57" w:right="57"/>
              <w:textDirection w:val="tbRlV"/>
              <w:rPr>
                <w:b/>
                <w:bCs/>
                <w:sz w:val="18"/>
                <w:szCs w:val="18"/>
                <w:lang w:val="ar-SA" w:eastAsia="zh-TW" w:bidi="en-GB"/>
              </w:rPr>
            </w:pPr>
            <w:r w:rsidRPr="0072522F">
              <w:rPr>
                <w:b/>
                <w:bCs/>
                <w:sz w:val="18"/>
                <w:szCs w:val="18"/>
                <w:rtl/>
              </w:rPr>
              <w:t>المجموع</w:t>
            </w:r>
          </w:p>
        </w:tc>
        <w:tc>
          <w:tcPr>
            <w:tcW w:w="325" w:type="dxa"/>
            <w:tcBorders>
              <w:top w:val="single" w:sz="4" w:space="0" w:color="auto"/>
              <w:bottom w:val="single" w:sz="12" w:space="0" w:color="auto"/>
            </w:tcBorders>
            <w:shd w:val="clear" w:color="auto" w:fill="auto"/>
            <w:tcMar>
              <w:right w:w="28" w:type="dxa"/>
            </w:tcMar>
            <w:vAlign w:val="bottom"/>
          </w:tcPr>
          <w:p w14:paraId="6A736212" w14:textId="77777777" w:rsidR="00971B29" w:rsidRPr="0072522F" w:rsidRDefault="00971B29" w:rsidP="0072522F">
            <w:pPr>
              <w:spacing w:before="20" w:after="40" w:line="300" w:lineRule="exact"/>
              <w:ind w:left="57" w:right="57"/>
              <w:textDirection w:val="tbRlV"/>
              <w:rPr>
                <w:b/>
                <w:bCs/>
                <w:sz w:val="18"/>
                <w:szCs w:val="18"/>
              </w:rPr>
            </w:pPr>
            <w:r w:rsidRPr="0072522F">
              <w:rPr>
                <w:b/>
                <w:bCs/>
                <w:sz w:val="18"/>
                <w:szCs w:val="18"/>
                <w:rtl/>
              </w:rPr>
              <w:t>3</w:t>
            </w:r>
          </w:p>
        </w:tc>
        <w:tc>
          <w:tcPr>
            <w:tcW w:w="323" w:type="dxa"/>
            <w:tcBorders>
              <w:top w:val="single" w:sz="4" w:space="0" w:color="auto"/>
              <w:bottom w:val="single" w:sz="12" w:space="0" w:color="auto"/>
            </w:tcBorders>
            <w:shd w:val="clear" w:color="auto" w:fill="auto"/>
            <w:tcMar>
              <w:right w:w="28" w:type="dxa"/>
            </w:tcMar>
            <w:vAlign w:val="bottom"/>
          </w:tcPr>
          <w:p w14:paraId="67863476" w14:textId="77777777" w:rsidR="00971B29" w:rsidRPr="0072522F" w:rsidRDefault="00971B29" w:rsidP="0072522F">
            <w:pPr>
              <w:spacing w:before="20" w:after="40" w:line="300" w:lineRule="exact"/>
              <w:ind w:left="57" w:right="57"/>
              <w:textDirection w:val="tbRlV"/>
              <w:rPr>
                <w:b/>
                <w:bCs/>
                <w:sz w:val="18"/>
                <w:szCs w:val="18"/>
                <w:rtl/>
              </w:rPr>
            </w:pPr>
            <w:r w:rsidRPr="0072522F">
              <w:rPr>
                <w:b/>
                <w:bCs/>
                <w:sz w:val="18"/>
                <w:szCs w:val="18"/>
                <w:rtl/>
              </w:rPr>
              <w:t>1</w:t>
            </w:r>
          </w:p>
        </w:tc>
        <w:tc>
          <w:tcPr>
            <w:tcW w:w="324" w:type="dxa"/>
            <w:tcBorders>
              <w:top w:val="single" w:sz="4" w:space="0" w:color="auto"/>
              <w:bottom w:val="single" w:sz="12" w:space="0" w:color="auto"/>
            </w:tcBorders>
            <w:shd w:val="clear" w:color="auto" w:fill="auto"/>
            <w:vAlign w:val="bottom"/>
          </w:tcPr>
          <w:p w14:paraId="22979099" w14:textId="77777777" w:rsidR="00971B29" w:rsidRPr="0072522F" w:rsidRDefault="00971B29" w:rsidP="0072522F">
            <w:pPr>
              <w:spacing w:before="20" w:after="40" w:line="300" w:lineRule="exact"/>
              <w:ind w:left="57" w:right="57"/>
              <w:textDirection w:val="tbRlV"/>
              <w:rPr>
                <w:b/>
                <w:bCs/>
                <w:sz w:val="18"/>
                <w:szCs w:val="18"/>
              </w:rPr>
            </w:pPr>
            <w:r w:rsidRPr="0072522F">
              <w:rPr>
                <w:b/>
                <w:bCs/>
                <w:sz w:val="18"/>
                <w:szCs w:val="18"/>
                <w:rtl/>
              </w:rPr>
              <w:t>1</w:t>
            </w:r>
          </w:p>
        </w:tc>
        <w:tc>
          <w:tcPr>
            <w:tcW w:w="323" w:type="dxa"/>
            <w:tcBorders>
              <w:top w:val="single" w:sz="4" w:space="0" w:color="auto"/>
              <w:bottom w:val="single" w:sz="12" w:space="0" w:color="auto"/>
            </w:tcBorders>
            <w:shd w:val="clear" w:color="auto" w:fill="auto"/>
            <w:tcMar>
              <w:right w:w="28" w:type="dxa"/>
            </w:tcMar>
            <w:vAlign w:val="bottom"/>
          </w:tcPr>
          <w:p w14:paraId="2B930F7B" w14:textId="77777777" w:rsidR="00971B29" w:rsidRPr="0072522F" w:rsidRDefault="00971B29" w:rsidP="0072522F">
            <w:pPr>
              <w:spacing w:before="20" w:after="40" w:line="300" w:lineRule="exact"/>
              <w:ind w:left="57" w:right="57"/>
              <w:textDirection w:val="tbRlV"/>
              <w:rPr>
                <w:b/>
                <w:bCs/>
                <w:sz w:val="18"/>
                <w:szCs w:val="18"/>
              </w:rPr>
            </w:pPr>
            <w:r w:rsidRPr="0072522F">
              <w:rPr>
                <w:b/>
                <w:bCs/>
                <w:sz w:val="18"/>
                <w:szCs w:val="18"/>
                <w:rtl/>
              </w:rPr>
              <w:t>1</w:t>
            </w:r>
          </w:p>
        </w:tc>
        <w:tc>
          <w:tcPr>
            <w:tcW w:w="324" w:type="dxa"/>
            <w:tcBorders>
              <w:top w:val="single" w:sz="4" w:space="0" w:color="auto"/>
              <w:bottom w:val="single" w:sz="12" w:space="0" w:color="auto"/>
            </w:tcBorders>
            <w:shd w:val="clear" w:color="auto" w:fill="auto"/>
            <w:vAlign w:val="bottom"/>
          </w:tcPr>
          <w:p w14:paraId="43C5A99D" w14:textId="77777777" w:rsidR="00971B29" w:rsidRPr="0072522F" w:rsidRDefault="00971B29" w:rsidP="0072522F">
            <w:pPr>
              <w:spacing w:before="20" w:after="40" w:line="300" w:lineRule="exact"/>
              <w:ind w:left="57" w:right="57"/>
              <w:textDirection w:val="tbRlV"/>
              <w:rPr>
                <w:b/>
                <w:bCs/>
                <w:sz w:val="18"/>
                <w:szCs w:val="18"/>
              </w:rPr>
            </w:pPr>
            <w:r w:rsidRPr="0072522F">
              <w:rPr>
                <w:b/>
                <w:bCs/>
                <w:sz w:val="18"/>
                <w:szCs w:val="18"/>
                <w:rtl/>
              </w:rPr>
              <w:t>1</w:t>
            </w:r>
          </w:p>
        </w:tc>
        <w:tc>
          <w:tcPr>
            <w:tcW w:w="323" w:type="dxa"/>
            <w:tcBorders>
              <w:top w:val="single" w:sz="4" w:space="0" w:color="auto"/>
              <w:bottom w:val="single" w:sz="12" w:space="0" w:color="auto"/>
            </w:tcBorders>
            <w:shd w:val="clear" w:color="auto" w:fill="auto"/>
            <w:tcMar>
              <w:right w:w="28" w:type="dxa"/>
            </w:tcMar>
            <w:vAlign w:val="bottom"/>
          </w:tcPr>
          <w:p w14:paraId="1108D443" w14:textId="77777777" w:rsidR="00971B29" w:rsidRPr="0072522F" w:rsidRDefault="00971B29" w:rsidP="0072522F">
            <w:pPr>
              <w:spacing w:before="20" w:after="40" w:line="300" w:lineRule="exact"/>
              <w:ind w:left="57" w:right="57"/>
              <w:textDirection w:val="tbRlV"/>
              <w:rPr>
                <w:b/>
                <w:bCs/>
                <w:sz w:val="18"/>
                <w:szCs w:val="18"/>
              </w:rPr>
            </w:pPr>
            <w:r w:rsidRPr="0072522F">
              <w:rPr>
                <w:b/>
                <w:bCs/>
                <w:sz w:val="18"/>
                <w:szCs w:val="18"/>
                <w:rtl/>
              </w:rPr>
              <w:t>4</w:t>
            </w:r>
          </w:p>
        </w:tc>
        <w:tc>
          <w:tcPr>
            <w:tcW w:w="453" w:type="dxa"/>
            <w:tcBorders>
              <w:top w:val="single" w:sz="4" w:space="0" w:color="auto"/>
              <w:bottom w:val="single" w:sz="12" w:space="0" w:color="auto"/>
            </w:tcBorders>
            <w:shd w:val="clear" w:color="auto" w:fill="auto"/>
            <w:tcMar>
              <w:right w:w="28" w:type="dxa"/>
            </w:tcMar>
            <w:vAlign w:val="bottom"/>
          </w:tcPr>
          <w:p w14:paraId="1AC3DB38" w14:textId="77777777" w:rsidR="00971B29" w:rsidRPr="0072522F" w:rsidRDefault="00971B29" w:rsidP="0072522F">
            <w:pPr>
              <w:spacing w:before="20" w:after="40" w:line="300" w:lineRule="exact"/>
              <w:ind w:left="57" w:right="57"/>
              <w:textDirection w:val="tbRlV"/>
              <w:rPr>
                <w:b/>
                <w:bCs/>
                <w:sz w:val="18"/>
                <w:szCs w:val="18"/>
                <w:lang w:val="ar-SA" w:eastAsia="zh-TW" w:bidi="en-GB"/>
              </w:rPr>
            </w:pPr>
            <w:r w:rsidRPr="0072522F">
              <w:rPr>
                <w:b/>
                <w:bCs/>
                <w:sz w:val="18"/>
                <w:szCs w:val="18"/>
                <w:rtl/>
              </w:rPr>
              <w:t>26</w:t>
            </w:r>
          </w:p>
        </w:tc>
        <w:tc>
          <w:tcPr>
            <w:tcW w:w="356" w:type="dxa"/>
            <w:tcBorders>
              <w:top w:val="single" w:sz="4" w:space="0" w:color="auto"/>
              <w:bottom w:val="single" w:sz="12" w:space="0" w:color="auto"/>
            </w:tcBorders>
            <w:shd w:val="clear" w:color="auto" w:fill="auto"/>
            <w:tcMar>
              <w:right w:w="28" w:type="dxa"/>
            </w:tcMar>
            <w:vAlign w:val="bottom"/>
          </w:tcPr>
          <w:p w14:paraId="66BDB4C1" w14:textId="77777777" w:rsidR="00971B29" w:rsidRPr="0072522F" w:rsidRDefault="00971B29" w:rsidP="0072522F">
            <w:pPr>
              <w:spacing w:before="20" w:after="40" w:line="300" w:lineRule="exact"/>
              <w:ind w:left="57" w:right="57"/>
              <w:textDirection w:val="tbRlV"/>
              <w:rPr>
                <w:b/>
                <w:bCs/>
                <w:sz w:val="18"/>
                <w:szCs w:val="18"/>
              </w:rPr>
            </w:pPr>
            <w:r w:rsidRPr="0072522F">
              <w:rPr>
                <w:b/>
                <w:bCs/>
                <w:sz w:val="18"/>
                <w:szCs w:val="18"/>
                <w:rtl/>
              </w:rPr>
              <w:t>4</w:t>
            </w:r>
          </w:p>
        </w:tc>
        <w:tc>
          <w:tcPr>
            <w:tcW w:w="429" w:type="dxa"/>
            <w:tcBorders>
              <w:top w:val="single" w:sz="4" w:space="0" w:color="auto"/>
              <w:bottom w:val="single" w:sz="12" w:space="0" w:color="auto"/>
            </w:tcBorders>
            <w:shd w:val="clear" w:color="auto" w:fill="auto"/>
            <w:tcMar>
              <w:right w:w="28" w:type="dxa"/>
            </w:tcMar>
            <w:vAlign w:val="bottom"/>
          </w:tcPr>
          <w:p w14:paraId="16CC3FE9" w14:textId="77777777" w:rsidR="00971B29" w:rsidRPr="0072522F" w:rsidRDefault="00971B29" w:rsidP="0072522F">
            <w:pPr>
              <w:spacing w:before="20" w:after="40" w:line="300" w:lineRule="exact"/>
              <w:ind w:left="57" w:right="57"/>
              <w:textDirection w:val="tbRlV"/>
              <w:rPr>
                <w:b/>
                <w:bCs/>
                <w:sz w:val="18"/>
                <w:szCs w:val="18"/>
                <w:lang w:val="ar-SA" w:eastAsia="zh-TW" w:bidi="en-GB"/>
              </w:rPr>
            </w:pPr>
            <w:r w:rsidRPr="0072522F">
              <w:rPr>
                <w:b/>
                <w:bCs/>
                <w:sz w:val="18"/>
                <w:szCs w:val="18"/>
                <w:rtl/>
              </w:rPr>
              <w:t>24</w:t>
            </w:r>
          </w:p>
        </w:tc>
        <w:tc>
          <w:tcPr>
            <w:tcW w:w="466" w:type="dxa"/>
            <w:tcBorders>
              <w:top w:val="single" w:sz="4" w:space="0" w:color="auto"/>
              <w:bottom w:val="single" w:sz="12" w:space="0" w:color="auto"/>
            </w:tcBorders>
            <w:shd w:val="clear" w:color="auto" w:fill="auto"/>
            <w:tcMar>
              <w:right w:w="28" w:type="dxa"/>
            </w:tcMar>
            <w:vAlign w:val="bottom"/>
          </w:tcPr>
          <w:p w14:paraId="34BC816C" w14:textId="77777777" w:rsidR="00971B29" w:rsidRPr="0072522F" w:rsidRDefault="00971B29" w:rsidP="0072522F">
            <w:pPr>
              <w:spacing w:before="20" w:after="40" w:line="300" w:lineRule="exact"/>
              <w:ind w:left="57" w:right="57"/>
              <w:textDirection w:val="tbRlV"/>
              <w:rPr>
                <w:b/>
                <w:bCs/>
                <w:sz w:val="18"/>
                <w:szCs w:val="18"/>
                <w:lang w:val="ar-SA" w:eastAsia="zh-TW" w:bidi="en-GB"/>
              </w:rPr>
            </w:pPr>
            <w:r w:rsidRPr="0072522F">
              <w:rPr>
                <w:b/>
                <w:bCs/>
                <w:sz w:val="18"/>
                <w:szCs w:val="18"/>
                <w:rtl/>
              </w:rPr>
              <w:t>492</w:t>
            </w:r>
          </w:p>
        </w:tc>
        <w:tc>
          <w:tcPr>
            <w:tcW w:w="384" w:type="dxa"/>
            <w:tcBorders>
              <w:top w:val="single" w:sz="4" w:space="0" w:color="auto"/>
              <w:bottom w:val="single" w:sz="12" w:space="0" w:color="auto"/>
            </w:tcBorders>
            <w:shd w:val="clear" w:color="auto" w:fill="auto"/>
            <w:tcMar>
              <w:right w:w="28" w:type="dxa"/>
            </w:tcMar>
            <w:vAlign w:val="bottom"/>
          </w:tcPr>
          <w:p w14:paraId="3EBDD36B" w14:textId="77777777" w:rsidR="00971B29" w:rsidRPr="0072522F" w:rsidRDefault="00971B29" w:rsidP="0072522F">
            <w:pPr>
              <w:spacing w:before="20" w:after="40" w:line="300" w:lineRule="exact"/>
              <w:ind w:left="57" w:right="57"/>
              <w:textDirection w:val="tbRlV"/>
              <w:rPr>
                <w:b/>
                <w:bCs/>
                <w:sz w:val="18"/>
                <w:szCs w:val="18"/>
              </w:rPr>
            </w:pPr>
            <w:r w:rsidRPr="0072522F">
              <w:rPr>
                <w:b/>
                <w:bCs/>
                <w:sz w:val="18"/>
                <w:szCs w:val="18"/>
                <w:rtl/>
              </w:rPr>
              <w:t>2</w:t>
            </w:r>
          </w:p>
        </w:tc>
        <w:tc>
          <w:tcPr>
            <w:tcW w:w="305" w:type="dxa"/>
            <w:tcBorders>
              <w:top w:val="single" w:sz="4" w:space="0" w:color="auto"/>
              <w:bottom w:val="single" w:sz="12" w:space="0" w:color="auto"/>
            </w:tcBorders>
            <w:shd w:val="clear" w:color="auto" w:fill="auto"/>
            <w:tcMar>
              <w:right w:w="28" w:type="dxa"/>
            </w:tcMar>
            <w:vAlign w:val="bottom"/>
          </w:tcPr>
          <w:p w14:paraId="136478C8" w14:textId="77777777" w:rsidR="00971B29" w:rsidRPr="0072522F" w:rsidRDefault="00971B29" w:rsidP="0072522F">
            <w:pPr>
              <w:spacing w:before="20" w:after="40" w:line="300" w:lineRule="exact"/>
              <w:ind w:left="57" w:right="57"/>
              <w:textDirection w:val="tbRlV"/>
              <w:rPr>
                <w:b/>
                <w:bCs/>
                <w:sz w:val="18"/>
                <w:szCs w:val="18"/>
              </w:rPr>
            </w:pPr>
            <w:r w:rsidRPr="0072522F">
              <w:rPr>
                <w:b/>
                <w:bCs/>
                <w:sz w:val="18"/>
                <w:szCs w:val="18"/>
                <w:rtl/>
              </w:rPr>
              <w:t>2</w:t>
            </w:r>
          </w:p>
        </w:tc>
        <w:tc>
          <w:tcPr>
            <w:tcW w:w="357" w:type="dxa"/>
            <w:tcBorders>
              <w:top w:val="single" w:sz="4" w:space="0" w:color="auto"/>
              <w:bottom w:val="single" w:sz="12" w:space="0" w:color="auto"/>
            </w:tcBorders>
            <w:shd w:val="clear" w:color="auto" w:fill="auto"/>
            <w:vAlign w:val="bottom"/>
          </w:tcPr>
          <w:p w14:paraId="107A3A05" w14:textId="77777777" w:rsidR="00971B29" w:rsidRPr="0072522F" w:rsidRDefault="00971B29" w:rsidP="0072522F">
            <w:pPr>
              <w:spacing w:before="20" w:after="40" w:line="300" w:lineRule="exact"/>
              <w:ind w:left="57" w:right="57"/>
              <w:textDirection w:val="tbRlV"/>
              <w:rPr>
                <w:b/>
                <w:bCs/>
                <w:sz w:val="18"/>
                <w:szCs w:val="18"/>
              </w:rPr>
            </w:pPr>
            <w:r w:rsidRPr="0072522F">
              <w:rPr>
                <w:b/>
                <w:bCs/>
                <w:sz w:val="18"/>
                <w:szCs w:val="18"/>
                <w:rtl/>
              </w:rPr>
              <w:t>1</w:t>
            </w:r>
          </w:p>
        </w:tc>
        <w:tc>
          <w:tcPr>
            <w:tcW w:w="324" w:type="dxa"/>
            <w:tcBorders>
              <w:top w:val="single" w:sz="4" w:space="0" w:color="auto"/>
              <w:bottom w:val="single" w:sz="12" w:space="0" w:color="auto"/>
            </w:tcBorders>
            <w:shd w:val="clear" w:color="auto" w:fill="auto"/>
            <w:tcMar>
              <w:right w:w="28" w:type="dxa"/>
            </w:tcMar>
            <w:vAlign w:val="bottom"/>
          </w:tcPr>
          <w:p w14:paraId="3C108F7C" w14:textId="77777777" w:rsidR="00971B29" w:rsidRPr="0072522F" w:rsidRDefault="00971B29" w:rsidP="0072522F">
            <w:pPr>
              <w:spacing w:before="20" w:after="40" w:line="300" w:lineRule="exact"/>
              <w:ind w:left="57" w:right="57"/>
              <w:textDirection w:val="tbRlV"/>
              <w:rPr>
                <w:b/>
                <w:bCs/>
                <w:sz w:val="18"/>
                <w:szCs w:val="18"/>
              </w:rPr>
            </w:pPr>
            <w:r w:rsidRPr="0072522F">
              <w:rPr>
                <w:b/>
                <w:bCs/>
                <w:sz w:val="18"/>
                <w:szCs w:val="18"/>
                <w:rtl/>
              </w:rPr>
              <w:t>1</w:t>
            </w:r>
          </w:p>
        </w:tc>
        <w:tc>
          <w:tcPr>
            <w:tcW w:w="483" w:type="dxa"/>
            <w:tcBorders>
              <w:top w:val="single" w:sz="4" w:space="0" w:color="auto"/>
              <w:bottom w:val="single" w:sz="12" w:space="0" w:color="auto"/>
            </w:tcBorders>
            <w:shd w:val="clear" w:color="auto" w:fill="auto"/>
            <w:tcMar>
              <w:right w:w="28" w:type="dxa"/>
            </w:tcMar>
            <w:vAlign w:val="bottom"/>
          </w:tcPr>
          <w:p w14:paraId="625D4E54" w14:textId="77777777" w:rsidR="00971B29" w:rsidRPr="0072522F" w:rsidRDefault="00971B29" w:rsidP="0072522F">
            <w:pPr>
              <w:spacing w:before="20" w:after="40" w:line="300" w:lineRule="exact"/>
              <w:ind w:left="57" w:right="57"/>
              <w:textDirection w:val="tbRlV"/>
              <w:rPr>
                <w:b/>
                <w:bCs/>
                <w:sz w:val="18"/>
                <w:szCs w:val="18"/>
                <w:lang w:val="ar-SA" w:eastAsia="zh-TW" w:bidi="en-GB"/>
              </w:rPr>
            </w:pPr>
            <w:r w:rsidRPr="0072522F">
              <w:rPr>
                <w:b/>
                <w:bCs/>
                <w:sz w:val="18"/>
                <w:szCs w:val="18"/>
                <w:rtl/>
              </w:rPr>
              <w:t>424</w:t>
            </w:r>
          </w:p>
        </w:tc>
        <w:tc>
          <w:tcPr>
            <w:tcW w:w="325" w:type="dxa"/>
            <w:tcBorders>
              <w:top w:val="single" w:sz="4" w:space="0" w:color="auto"/>
              <w:bottom w:val="single" w:sz="12" w:space="0" w:color="auto"/>
            </w:tcBorders>
            <w:shd w:val="clear" w:color="auto" w:fill="auto"/>
            <w:tcMar>
              <w:right w:w="28" w:type="dxa"/>
            </w:tcMar>
            <w:vAlign w:val="bottom"/>
          </w:tcPr>
          <w:p w14:paraId="3092D4E4" w14:textId="77777777" w:rsidR="00971B29" w:rsidRPr="0072522F" w:rsidRDefault="00971B29" w:rsidP="0072522F">
            <w:pPr>
              <w:spacing w:before="20" w:after="40" w:line="300" w:lineRule="exact"/>
              <w:ind w:left="57" w:right="57"/>
              <w:textDirection w:val="tbRlV"/>
              <w:rPr>
                <w:b/>
                <w:bCs/>
                <w:sz w:val="18"/>
                <w:szCs w:val="18"/>
              </w:rPr>
            </w:pPr>
            <w:r w:rsidRPr="0072522F">
              <w:rPr>
                <w:b/>
                <w:bCs/>
                <w:sz w:val="18"/>
                <w:szCs w:val="18"/>
                <w:rtl/>
              </w:rPr>
              <w:t>4</w:t>
            </w:r>
          </w:p>
        </w:tc>
        <w:tc>
          <w:tcPr>
            <w:tcW w:w="332" w:type="dxa"/>
            <w:tcBorders>
              <w:top w:val="single" w:sz="4" w:space="0" w:color="auto"/>
              <w:bottom w:val="single" w:sz="12" w:space="0" w:color="auto"/>
            </w:tcBorders>
            <w:shd w:val="clear" w:color="auto" w:fill="auto"/>
            <w:vAlign w:val="bottom"/>
          </w:tcPr>
          <w:p w14:paraId="0BFE09A5" w14:textId="77777777" w:rsidR="00971B29" w:rsidRPr="0072522F" w:rsidRDefault="00971B29" w:rsidP="0072522F">
            <w:pPr>
              <w:spacing w:before="20" w:after="40" w:line="300" w:lineRule="exact"/>
              <w:ind w:left="57" w:right="57"/>
              <w:textDirection w:val="tbRlV"/>
              <w:rPr>
                <w:b/>
                <w:bCs/>
                <w:sz w:val="18"/>
                <w:szCs w:val="18"/>
              </w:rPr>
            </w:pPr>
            <w:r w:rsidRPr="0072522F">
              <w:rPr>
                <w:b/>
                <w:bCs/>
                <w:sz w:val="18"/>
                <w:szCs w:val="18"/>
                <w:rtl/>
              </w:rPr>
              <w:t>1</w:t>
            </w:r>
          </w:p>
        </w:tc>
        <w:tc>
          <w:tcPr>
            <w:tcW w:w="426" w:type="dxa"/>
            <w:tcBorders>
              <w:top w:val="single" w:sz="4" w:space="0" w:color="auto"/>
              <w:bottom w:val="single" w:sz="12" w:space="0" w:color="auto"/>
            </w:tcBorders>
            <w:shd w:val="clear" w:color="auto" w:fill="auto"/>
            <w:vAlign w:val="bottom"/>
          </w:tcPr>
          <w:p w14:paraId="2BC4B81D" w14:textId="77777777" w:rsidR="00971B29" w:rsidRPr="0072522F" w:rsidRDefault="00971B29" w:rsidP="0072522F">
            <w:pPr>
              <w:spacing w:before="20" w:after="40" w:line="300" w:lineRule="exact"/>
              <w:ind w:left="57" w:right="57"/>
              <w:textDirection w:val="tbRlV"/>
              <w:rPr>
                <w:b/>
                <w:bCs/>
                <w:sz w:val="18"/>
                <w:szCs w:val="18"/>
              </w:rPr>
            </w:pPr>
            <w:r w:rsidRPr="0072522F">
              <w:rPr>
                <w:b/>
                <w:bCs/>
                <w:sz w:val="18"/>
                <w:szCs w:val="18"/>
                <w:rtl/>
              </w:rPr>
              <w:t>1</w:t>
            </w:r>
          </w:p>
        </w:tc>
        <w:tc>
          <w:tcPr>
            <w:tcW w:w="382" w:type="dxa"/>
            <w:tcBorders>
              <w:top w:val="single" w:sz="4" w:space="0" w:color="auto"/>
              <w:bottom w:val="single" w:sz="12" w:space="0" w:color="auto"/>
            </w:tcBorders>
            <w:shd w:val="clear" w:color="auto" w:fill="auto"/>
            <w:vAlign w:val="bottom"/>
          </w:tcPr>
          <w:p w14:paraId="34D7FAB7" w14:textId="77777777" w:rsidR="00971B29" w:rsidRPr="0072522F" w:rsidRDefault="00971B29" w:rsidP="0072522F">
            <w:pPr>
              <w:spacing w:before="20" w:after="40" w:line="300" w:lineRule="exact"/>
              <w:ind w:left="57" w:right="57"/>
              <w:textDirection w:val="tbRlV"/>
              <w:rPr>
                <w:b/>
                <w:bCs/>
                <w:sz w:val="18"/>
                <w:szCs w:val="18"/>
                <w:lang w:val="ar-SA" w:eastAsia="zh-TW" w:bidi="en-GB"/>
              </w:rPr>
            </w:pPr>
            <w:r w:rsidRPr="0072522F">
              <w:rPr>
                <w:b/>
                <w:bCs/>
                <w:sz w:val="18"/>
                <w:szCs w:val="18"/>
                <w:rtl/>
              </w:rPr>
              <w:t>14</w:t>
            </w:r>
          </w:p>
        </w:tc>
        <w:tc>
          <w:tcPr>
            <w:tcW w:w="326" w:type="dxa"/>
            <w:tcBorders>
              <w:top w:val="single" w:sz="4" w:space="0" w:color="auto"/>
              <w:bottom w:val="single" w:sz="12" w:space="0" w:color="auto"/>
            </w:tcBorders>
            <w:shd w:val="clear" w:color="auto" w:fill="auto"/>
            <w:tcMar>
              <w:right w:w="28" w:type="dxa"/>
            </w:tcMar>
            <w:vAlign w:val="bottom"/>
          </w:tcPr>
          <w:p w14:paraId="5CBA1193" w14:textId="77777777" w:rsidR="00971B29" w:rsidRPr="0072522F" w:rsidRDefault="00971B29" w:rsidP="0072522F">
            <w:pPr>
              <w:spacing w:before="20" w:after="40" w:line="300" w:lineRule="exact"/>
              <w:ind w:left="57" w:right="57"/>
              <w:textDirection w:val="tbRlV"/>
              <w:rPr>
                <w:b/>
                <w:bCs/>
                <w:sz w:val="18"/>
                <w:szCs w:val="18"/>
              </w:rPr>
            </w:pPr>
            <w:r w:rsidRPr="0072522F">
              <w:rPr>
                <w:b/>
                <w:bCs/>
                <w:sz w:val="18"/>
                <w:szCs w:val="18"/>
                <w:rtl/>
              </w:rPr>
              <w:t>1</w:t>
            </w:r>
          </w:p>
        </w:tc>
        <w:tc>
          <w:tcPr>
            <w:tcW w:w="346" w:type="dxa"/>
            <w:tcBorders>
              <w:top w:val="single" w:sz="4" w:space="0" w:color="auto"/>
              <w:bottom w:val="single" w:sz="12" w:space="0" w:color="auto"/>
            </w:tcBorders>
            <w:shd w:val="clear" w:color="auto" w:fill="auto"/>
            <w:vAlign w:val="bottom"/>
          </w:tcPr>
          <w:p w14:paraId="69411F19" w14:textId="77777777" w:rsidR="00971B29" w:rsidRPr="0072522F" w:rsidRDefault="00971B29" w:rsidP="0072522F">
            <w:pPr>
              <w:spacing w:before="20" w:after="40" w:line="300" w:lineRule="exact"/>
              <w:ind w:left="57" w:right="57"/>
              <w:textDirection w:val="tbRlV"/>
              <w:rPr>
                <w:b/>
                <w:bCs/>
                <w:sz w:val="18"/>
                <w:szCs w:val="18"/>
              </w:rPr>
            </w:pPr>
            <w:r w:rsidRPr="0072522F">
              <w:rPr>
                <w:b/>
                <w:bCs/>
                <w:sz w:val="18"/>
                <w:szCs w:val="18"/>
                <w:rtl/>
              </w:rPr>
              <w:t>1</w:t>
            </w:r>
          </w:p>
        </w:tc>
        <w:tc>
          <w:tcPr>
            <w:tcW w:w="363" w:type="dxa"/>
            <w:tcBorders>
              <w:top w:val="single" w:sz="4" w:space="0" w:color="auto"/>
              <w:bottom w:val="single" w:sz="12" w:space="0" w:color="auto"/>
            </w:tcBorders>
            <w:shd w:val="clear" w:color="auto" w:fill="auto"/>
            <w:tcMar>
              <w:right w:w="28" w:type="dxa"/>
            </w:tcMar>
            <w:vAlign w:val="bottom"/>
          </w:tcPr>
          <w:p w14:paraId="0252F51A" w14:textId="77777777" w:rsidR="00971B29" w:rsidRPr="0072522F" w:rsidRDefault="00971B29" w:rsidP="0072522F">
            <w:pPr>
              <w:spacing w:before="20" w:after="40" w:line="300" w:lineRule="exact"/>
              <w:ind w:left="57" w:right="57"/>
              <w:textDirection w:val="tbRlV"/>
              <w:rPr>
                <w:b/>
                <w:bCs/>
                <w:sz w:val="18"/>
                <w:szCs w:val="18"/>
              </w:rPr>
            </w:pPr>
            <w:r w:rsidRPr="0072522F">
              <w:rPr>
                <w:b/>
                <w:bCs/>
                <w:sz w:val="18"/>
                <w:szCs w:val="18"/>
                <w:rtl/>
              </w:rPr>
              <w:t>3</w:t>
            </w:r>
          </w:p>
        </w:tc>
        <w:tc>
          <w:tcPr>
            <w:tcW w:w="393" w:type="dxa"/>
            <w:tcBorders>
              <w:top w:val="single" w:sz="4" w:space="0" w:color="auto"/>
              <w:bottom w:val="single" w:sz="12" w:space="0" w:color="auto"/>
            </w:tcBorders>
            <w:shd w:val="clear" w:color="auto" w:fill="auto"/>
            <w:tcMar>
              <w:right w:w="28" w:type="dxa"/>
            </w:tcMar>
            <w:vAlign w:val="bottom"/>
          </w:tcPr>
          <w:p w14:paraId="439192F4" w14:textId="77777777" w:rsidR="00971B29" w:rsidRPr="0072522F" w:rsidRDefault="00971B29" w:rsidP="0072522F">
            <w:pPr>
              <w:spacing w:before="20" w:after="40" w:line="300" w:lineRule="exact"/>
              <w:ind w:left="57" w:right="57"/>
              <w:textDirection w:val="tbRlV"/>
              <w:rPr>
                <w:b/>
                <w:bCs/>
                <w:sz w:val="18"/>
                <w:szCs w:val="18"/>
              </w:rPr>
            </w:pPr>
            <w:r w:rsidRPr="0072522F">
              <w:rPr>
                <w:b/>
                <w:bCs/>
                <w:sz w:val="18"/>
                <w:szCs w:val="18"/>
                <w:rtl/>
              </w:rPr>
              <w:t>1</w:t>
            </w:r>
          </w:p>
        </w:tc>
        <w:tc>
          <w:tcPr>
            <w:tcW w:w="599" w:type="dxa"/>
            <w:tcBorders>
              <w:top w:val="single" w:sz="4" w:space="0" w:color="auto"/>
              <w:bottom w:val="single" w:sz="12" w:space="0" w:color="auto"/>
            </w:tcBorders>
            <w:shd w:val="clear" w:color="auto" w:fill="auto"/>
            <w:tcMar>
              <w:right w:w="28" w:type="dxa"/>
            </w:tcMar>
            <w:vAlign w:val="bottom"/>
          </w:tcPr>
          <w:p w14:paraId="42BF7070" w14:textId="77777777" w:rsidR="00971B29" w:rsidRPr="0072522F" w:rsidRDefault="00971B29" w:rsidP="0072522F">
            <w:pPr>
              <w:spacing w:before="20" w:after="40" w:line="300" w:lineRule="exact"/>
              <w:ind w:left="57"/>
              <w:textDirection w:val="tbRlV"/>
              <w:rPr>
                <w:b/>
                <w:bCs/>
                <w:sz w:val="18"/>
                <w:szCs w:val="18"/>
                <w:lang w:val="ar-SA" w:eastAsia="zh-TW" w:bidi="en-GB"/>
              </w:rPr>
            </w:pPr>
            <w:r w:rsidRPr="0072522F">
              <w:rPr>
                <w:b/>
                <w:bCs/>
                <w:sz w:val="18"/>
                <w:szCs w:val="18"/>
                <w:rtl/>
              </w:rPr>
              <w:t>013</w:t>
            </w:r>
            <w:r w:rsidRPr="0072522F">
              <w:rPr>
                <w:rFonts w:ascii="Traditional Arabic"/>
                <w:b/>
                <w:bCs/>
                <w:sz w:val="18"/>
                <w:szCs w:val="18"/>
                <w:rtl/>
              </w:rPr>
              <w:t xml:space="preserve"> </w:t>
            </w:r>
            <w:r w:rsidRPr="0072522F">
              <w:rPr>
                <w:b/>
                <w:bCs/>
                <w:sz w:val="18"/>
                <w:szCs w:val="18"/>
                <w:rtl/>
              </w:rPr>
              <w:t>1</w:t>
            </w:r>
          </w:p>
        </w:tc>
      </w:tr>
    </w:tbl>
    <w:p w14:paraId="2682F2A7" w14:textId="2A76F1C4" w:rsidR="00971B29" w:rsidRPr="0072522F" w:rsidRDefault="0072522F" w:rsidP="00971B29">
      <w:pPr>
        <w:pStyle w:val="SingleTxtGA"/>
        <w:rPr>
          <w:sz w:val="18"/>
          <w:szCs w:val="18"/>
          <w:rtl/>
          <w:lang w:val="en-US" w:eastAsia="zh-TW"/>
        </w:rPr>
      </w:pPr>
      <w:r w:rsidRPr="0072522F">
        <w:rPr>
          <w:rFonts w:hint="cs"/>
          <w:sz w:val="18"/>
          <w:szCs w:val="18"/>
          <w:rtl/>
        </w:rPr>
        <w:t>(</w:t>
      </w:r>
      <w:r w:rsidR="00971B29" w:rsidRPr="0072522F">
        <w:rPr>
          <w:sz w:val="18"/>
          <w:szCs w:val="18"/>
          <w:rtl/>
        </w:rPr>
        <w:t>أ</w:t>
      </w:r>
      <w:r w:rsidRPr="0072522F">
        <w:rPr>
          <w:rFonts w:hint="cs"/>
          <w:sz w:val="18"/>
          <w:szCs w:val="18"/>
          <w:rtl/>
        </w:rPr>
        <w:t>)</w:t>
      </w:r>
      <w:r w:rsidRPr="0072522F">
        <w:rPr>
          <w:sz w:val="18"/>
          <w:szCs w:val="18"/>
          <w:rtl/>
        </w:rPr>
        <w:tab/>
      </w:r>
      <w:r w:rsidR="00971B29" w:rsidRPr="0072522F">
        <w:rPr>
          <w:sz w:val="18"/>
          <w:szCs w:val="18"/>
          <w:rtl/>
        </w:rPr>
        <w:t xml:space="preserve">حتى 1 </w:t>
      </w:r>
      <w:r w:rsidR="009041C9">
        <w:rPr>
          <w:rFonts w:hint="cs"/>
          <w:sz w:val="18"/>
          <w:szCs w:val="18"/>
          <w:rtl/>
          <w:lang w:val="es-ES"/>
        </w:rPr>
        <w:t>نيسان/</w:t>
      </w:r>
      <w:r w:rsidR="00971B29" w:rsidRPr="0072522F">
        <w:rPr>
          <w:sz w:val="18"/>
          <w:szCs w:val="18"/>
          <w:rtl/>
        </w:rPr>
        <w:t>أبريل 2021</w:t>
      </w:r>
      <w:r w:rsidRPr="0072522F">
        <w:rPr>
          <w:rFonts w:hint="cs"/>
          <w:sz w:val="18"/>
          <w:szCs w:val="18"/>
          <w:rtl/>
          <w:lang w:val="en-US" w:eastAsia="zh-TW"/>
        </w:rPr>
        <w:t xml:space="preserve">. </w:t>
      </w:r>
    </w:p>
    <w:p w14:paraId="08A3AB7E" w14:textId="271769F5" w:rsidR="00971B29" w:rsidRPr="001D7E49" w:rsidRDefault="00971B29" w:rsidP="00971B29">
      <w:pPr>
        <w:pStyle w:val="H1GA"/>
        <w:rPr>
          <w:szCs w:val="20"/>
          <w:lang w:val="en-US" w:eastAsia="zh-TW" w:bidi="en-GB"/>
        </w:rPr>
      </w:pPr>
      <w:r>
        <w:rPr>
          <w:rtl/>
        </w:rPr>
        <w:tab/>
        <w:t>جيم-</w:t>
      </w:r>
      <w:r>
        <w:rPr>
          <w:rtl/>
        </w:rPr>
        <w:tab/>
        <w:t xml:space="preserve">مستجدات الأحداث منذ الدورة التاسعة عشرة </w:t>
      </w:r>
      <w:r w:rsidRPr="001D7E49">
        <w:rPr>
          <w:rtl/>
        </w:rPr>
        <w:t>(إلى غاية 1 نيسان/أبريل 2021)</w:t>
      </w:r>
    </w:p>
    <w:p w14:paraId="09F6A471" w14:textId="7913CA05" w:rsidR="00971B29" w:rsidRDefault="00971B29" w:rsidP="00971B29">
      <w:pPr>
        <w:pStyle w:val="SingleTxtGA"/>
        <w:rPr>
          <w:szCs w:val="20"/>
          <w:lang w:val="ar-SA" w:eastAsia="zh-TW" w:bidi="en-GB"/>
        </w:rPr>
      </w:pPr>
      <w:r w:rsidRPr="00FA58B2">
        <w:rPr>
          <w:rtl/>
        </w:rPr>
        <w:t>4</w:t>
      </w:r>
      <w:r>
        <w:rPr>
          <w:rFonts w:ascii="Traditional Arabic"/>
          <w:szCs w:val="20"/>
          <w:rtl/>
        </w:rPr>
        <w:t>-</w:t>
      </w:r>
      <w:r>
        <w:rPr>
          <w:rtl/>
        </w:rPr>
        <w:tab/>
        <w:t xml:space="preserve">في عام </w:t>
      </w:r>
      <w:r w:rsidRPr="00FA58B2">
        <w:rPr>
          <w:rtl/>
        </w:rPr>
        <w:t>20</w:t>
      </w:r>
      <w:r w:rsidR="009041C9">
        <w:rPr>
          <w:rFonts w:hint="cs"/>
          <w:rtl/>
        </w:rPr>
        <w:t>20</w:t>
      </w:r>
      <w:r>
        <w:rPr>
          <w:rtl/>
        </w:rPr>
        <w:t xml:space="preserve">، سجلت اللجنة </w:t>
      </w:r>
      <w:r w:rsidRPr="00FA58B2">
        <w:rPr>
          <w:rtl/>
        </w:rPr>
        <w:t>192</w:t>
      </w:r>
      <w:r>
        <w:rPr>
          <w:rtl/>
        </w:rPr>
        <w:t xml:space="preserve"> طلباً جديداً لاتخاذ الإجراءات العاجلة وأرسلت </w:t>
      </w:r>
      <w:r w:rsidRPr="00FA58B2">
        <w:rPr>
          <w:rtl/>
        </w:rPr>
        <w:t>10</w:t>
      </w:r>
      <w:r w:rsidR="009041C9">
        <w:rPr>
          <w:rFonts w:hint="cs"/>
          <w:rtl/>
        </w:rPr>
        <w:t>2</w:t>
      </w:r>
      <w:r>
        <w:rPr>
          <w:rtl/>
        </w:rPr>
        <w:t xml:space="preserve"> مذكرة متابعة ومذكرتين إلى الدول الأطراف، ضمنتها توصيات محددة تتعلق بالبحث والتحقيق في حالة الاختفاء القسري. وفي الفترة من </w:t>
      </w:r>
      <w:r w:rsidRPr="00FA58B2">
        <w:rPr>
          <w:rtl/>
        </w:rPr>
        <w:t>1</w:t>
      </w:r>
      <w:r>
        <w:rPr>
          <w:rtl/>
        </w:rPr>
        <w:t xml:space="preserve"> كانون الثاني/يناير إلى </w:t>
      </w:r>
      <w:r w:rsidRPr="00FA58B2">
        <w:rPr>
          <w:rtl/>
        </w:rPr>
        <w:t>1</w:t>
      </w:r>
      <w:r>
        <w:rPr>
          <w:rtl/>
        </w:rPr>
        <w:t xml:space="preserve"> نيسان/أبريل </w:t>
      </w:r>
      <w:r w:rsidRPr="00FA58B2">
        <w:rPr>
          <w:rtl/>
        </w:rPr>
        <w:t>2021</w:t>
      </w:r>
      <w:r>
        <w:rPr>
          <w:rtl/>
        </w:rPr>
        <w:t xml:space="preserve">، سجّلت اللجنة </w:t>
      </w:r>
      <w:r w:rsidRPr="00FA58B2">
        <w:rPr>
          <w:rtl/>
        </w:rPr>
        <w:t>12</w:t>
      </w:r>
      <w:r>
        <w:rPr>
          <w:rtl/>
        </w:rPr>
        <w:t xml:space="preserve"> طلباً جديداً لاتخاذ الإجراءات العاجلة وأرسلت </w:t>
      </w:r>
      <w:r w:rsidRPr="00FA58B2">
        <w:rPr>
          <w:rtl/>
        </w:rPr>
        <w:t>17</w:t>
      </w:r>
      <w:r>
        <w:rPr>
          <w:rtl/>
        </w:rPr>
        <w:t xml:space="preserve"> مذكرة متابعة.</w:t>
      </w:r>
    </w:p>
    <w:p w14:paraId="560F4835" w14:textId="77777777" w:rsidR="00971B29" w:rsidRPr="00F51BB9" w:rsidRDefault="00971B29" w:rsidP="00971B29">
      <w:pPr>
        <w:pStyle w:val="SingleTxtGA"/>
        <w:rPr>
          <w:szCs w:val="20"/>
          <w:lang w:val="ar-SA" w:eastAsia="zh-TW" w:bidi="en-GB"/>
        </w:rPr>
      </w:pPr>
      <w:r w:rsidRPr="00FA58B2">
        <w:rPr>
          <w:rtl/>
        </w:rPr>
        <w:t>5</w:t>
      </w:r>
      <w:r>
        <w:rPr>
          <w:rFonts w:ascii="Traditional Arabic"/>
          <w:szCs w:val="20"/>
          <w:rtl/>
        </w:rPr>
        <w:t>-</w:t>
      </w:r>
      <w:r>
        <w:rPr>
          <w:rtl/>
        </w:rPr>
        <w:tab/>
        <w:t>وتبقى اللجنة، في جميع مراحل الإجراء، على تواصل دائم مع الدول الأطراف بواسطة بعثاتها الدائمة، ومع مقدمي طلبات الإجراءات العاجلة عن طريق مذكرات ورسائل واجتماعات واتصالات هاتفية. وتعتمد اللجنة بشكل كبير أيضاً على تعاون مفوضية الأمم المتحدة السامية لحقوق الإنسان والبعثات الميدانية للأمم المتحدة التي تنقل المعلومات عادةً ما بين أصحاب طلبات الإجراءات العاجلة (لا سيما أقارب الأشخاص المختفين) وبين اللجنة.</w:t>
      </w:r>
    </w:p>
    <w:p w14:paraId="23520C32" w14:textId="5589C9C2" w:rsidR="00971B29" w:rsidRPr="00F51BB9" w:rsidRDefault="00971B29" w:rsidP="00971B29">
      <w:pPr>
        <w:pStyle w:val="SingleTxtGA"/>
        <w:rPr>
          <w:szCs w:val="20"/>
          <w:lang w:val="ar-SA" w:eastAsia="zh-TW" w:bidi="en-GB"/>
        </w:rPr>
      </w:pPr>
      <w:r w:rsidRPr="00FA58B2">
        <w:rPr>
          <w:rtl/>
        </w:rPr>
        <w:t>6</w:t>
      </w:r>
      <w:r>
        <w:rPr>
          <w:rFonts w:ascii="Traditional Arabic"/>
          <w:szCs w:val="20"/>
          <w:rtl/>
        </w:rPr>
        <w:t>-</w:t>
      </w:r>
      <w:r>
        <w:rPr>
          <w:rtl/>
        </w:rPr>
        <w:tab/>
        <w:t>وتؤكد المعلومات المقدمة في إطار عملية الإجراءات العاجلة عدداً من الاتجاهات المبينة في التقارير التي اعتمدتها اللجنة في دوراتها من الحادية عشرة إلى التاسعة عشرة</w:t>
      </w:r>
      <w:r w:rsidR="00BB5F1C">
        <w:rPr>
          <w:rStyle w:val="FootnoteReference"/>
          <w:rtl/>
        </w:rPr>
        <w:t>(</w:t>
      </w:r>
      <w:r w:rsidR="00BB5F1C">
        <w:rPr>
          <w:rStyle w:val="FootnoteReference"/>
          <w:rtl/>
        </w:rPr>
        <w:footnoteReference w:id="3"/>
      </w:r>
      <w:r w:rsidR="00BB5F1C">
        <w:rPr>
          <w:rStyle w:val="FootnoteReference"/>
          <w:rtl/>
        </w:rPr>
        <w:t>)</w:t>
      </w:r>
      <w:r w:rsidR="0072522F">
        <w:rPr>
          <w:rFonts w:hint="cs"/>
          <w:rtl/>
        </w:rPr>
        <w:t>.</w:t>
      </w:r>
      <w:r>
        <w:rPr>
          <w:rtl/>
        </w:rPr>
        <w:t xml:space="preserve"> فمنذ الدورة التاسعة عشرة، كان ما يقرب من نصف الحالات التي سجلت اللجنة بشأنها طلبات لاتخاذ الإجراءات العاجلة يتعلق بأحداث وقعت في العراق.</w:t>
      </w:r>
    </w:p>
    <w:p w14:paraId="1DAAA612" w14:textId="62EC8782" w:rsidR="00971B29" w:rsidRPr="00F51BB9" w:rsidRDefault="00971B29" w:rsidP="00971B29">
      <w:pPr>
        <w:pStyle w:val="H23GA"/>
        <w:rPr>
          <w:szCs w:val="20"/>
          <w:lang w:val="ar-SA" w:eastAsia="zh-TW" w:bidi="en-GB"/>
        </w:rPr>
      </w:pPr>
      <w:r>
        <w:rPr>
          <w:rFonts w:ascii="Traditional Arabic"/>
          <w:szCs w:val="20"/>
          <w:rtl/>
        </w:rPr>
        <w:lastRenderedPageBreak/>
        <w:tab/>
      </w:r>
      <w:r w:rsidRPr="00FA58B2">
        <w:rPr>
          <w:rtl/>
        </w:rPr>
        <w:t>1</w:t>
      </w:r>
      <w:r>
        <w:rPr>
          <w:rFonts w:ascii="Traditional Arabic"/>
          <w:szCs w:val="20"/>
          <w:rtl/>
        </w:rPr>
        <w:t>-</w:t>
      </w:r>
      <w:r>
        <w:rPr>
          <w:rtl/>
        </w:rPr>
        <w:tab/>
        <w:t>الاتجاهات العامة الملاحَظة في الفترة المشمولة بالتقرير</w:t>
      </w:r>
    </w:p>
    <w:p w14:paraId="36B1B417" w14:textId="6168452E" w:rsidR="00971B29" w:rsidRPr="00F51BB9" w:rsidRDefault="00971B29" w:rsidP="00971B29">
      <w:pPr>
        <w:pStyle w:val="SingleTxtGA"/>
        <w:rPr>
          <w:szCs w:val="20"/>
          <w:lang w:val="ar-SA" w:eastAsia="zh-TW" w:bidi="en-GB"/>
        </w:rPr>
      </w:pPr>
      <w:r w:rsidRPr="00FA58B2">
        <w:rPr>
          <w:rtl/>
        </w:rPr>
        <w:t>7</w:t>
      </w:r>
      <w:r>
        <w:rPr>
          <w:rFonts w:ascii="Traditional Arabic"/>
          <w:szCs w:val="20"/>
          <w:rtl/>
        </w:rPr>
        <w:t>-</w:t>
      </w:r>
      <w:r>
        <w:rPr>
          <w:rtl/>
        </w:rPr>
        <w:tab/>
        <w:t>ليس المقصود أن تكون الفقرات التالية تحليلا</w:t>
      </w:r>
      <w:r w:rsidR="0072522F">
        <w:rPr>
          <w:rFonts w:hint="cs"/>
          <w:rtl/>
        </w:rPr>
        <w:t>ً</w:t>
      </w:r>
      <w:r>
        <w:rPr>
          <w:rtl/>
        </w:rPr>
        <w:t xml:space="preserve"> شاملا</w:t>
      </w:r>
      <w:r w:rsidR="0072522F">
        <w:rPr>
          <w:rFonts w:hint="cs"/>
          <w:rtl/>
        </w:rPr>
        <w:t>ً</w:t>
      </w:r>
      <w:r>
        <w:rPr>
          <w:rtl/>
        </w:rPr>
        <w:t xml:space="preserve"> لجميع المعلومات الواردة في إطار </w:t>
      </w:r>
      <w:r w:rsidR="0072522F">
        <w:rPr>
          <w:rFonts w:hint="cs"/>
          <w:rtl/>
        </w:rPr>
        <w:t>ع</w:t>
      </w:r>
      <w:r>
        <w:rPr>
          <w:rtl/>
        </w:rPr>
        <w:t>ملية الإجراءات العاجلة، ولكنها تتضمن وصفا</w:t>
      </w:r>
      <w:r w:rsidR="0072522F">
        <w:rPr>
          <w:rFonts w:hint="cs"/>
          <w:rtl/>
        </w:rPr>
        <w:t>ً</w:t>
      </w:r>
      <w:r>
        <w:rPr>
          <w:rtl/>
        </w:rPr>
        <w:t xml:space="preserve"> للمسائل والاتجاهات العامة في بعض الدول الأطراف على مدى الفترة قيد الاستعراض.</w:t>
      </w:r>
    </w:p>
    <w:p w14:paraId="5A56AEFF" w14:textId="77777777" w:rsidR="00971B29" w:rsidRPr="00F51BB9" w:rsidRDefault="00971B29" w:rsidP="00971B29">
      <w:pPr>
        <w:pStyle w:val="SingleTxtGA"/>
        <w:rPr>
          <w:szCs w:val="20"/>
          <w:lang w:val="ar-SA" w:eastAsia="zh-TW" w:bidi="en-GB"/>
        </w:rPr>
      </w:pPr>
      <w:r w:rsidRPr="00FA58B2">
        <w:rPr>
          <w:rtl/>
        </w:rPr>
        <w:t>8</w:t>
      </w:r>
      <w:r>
        <w:rPr>
          <w:rFonts w:ascii="Traditional Arabic"/>
          <w:szCs w:val="20"/>
          <w:rtl/>
        </w:rPr>
        <w:t>-</w:t>
      </w:r>
      <w:r>
        <w:rPr>
          <w:rtl/>
        </w:rPr>
        <w:tab/>
        <w:t>وقد حددت اللجنة، في الفترة قيد الاستعراض، المسائل الست التالية التي يتعين تحليلها في ضوء المعلومات التي وردت في إطار عملية الإجراءات العاجلة.</w:t>
      </w:r>
    </w:p>
    <w:p w14:paraId="4A8441E8" w14:textId="6D9AB3B1" w:rsidR="00971B29" w:rsidRPr="00F51BB9" w:rsidRDefault="00971B29" w:rsidP="00971B29">
      <w:pPr>
        <w:pStyle w:val="H23GA"/>
        <w:rPr>
          <w:szCs w:val="20"/>
          <w:lang w:val="ar-SA" w:eastAsia="zh-TW" w:bidi="en-GB"/>
        </w:rPr>
      </w:pPr>
      <w:r>
        <w:rPr>
          <w:rtl/>
        </w:rPr>
        <w:tab/>
        <w:t>(أ)</w:t>
      </w:r>
      <w:r>
        <w:rPr>
          <w:rtl/>
        </w:rPr>
        <w:tab/>
        <w:t>لم يرد أي جواب من الدول الأطراف المعنية أو من أصحاب طلبات اتخاذ الإجراءات العاجلة</w:t>
      </w:r>
    </w:p>
    <w:p w14:paraId="4EE12FE1" w14:textId="1A580EC6" w:rsidR="00971B29" w:rsidRPr="00F66675" w:rsidRDefault="00971B29" w:rsidP="00971B29">
      <w:pPr>
        <w:pStyle w:val="SingleTxtGA"/>
        <w:rPr>
          <w:spacing w:val="-2"/>
          <w:szCs w:val="20"/>
          <w:lang w:val="ar-SA" w:eastAsia="zh-TW" w:bidi="en-GB"/>
        </w:rPr>
      </w:pPr>
      <w:r w:rsidRPr="00F66675">
        <w:rPr>
          <w:spacing w:val="-2"/>
          <w:rtl/>
        </w:rPr>
        <w:t>9</w:t>
      </w:r>
      <w:r w:rsidRPr="00F66675">
        <w:rPr>
          <w:rFonts w:ascii="Traditional Arabic"/>
          <w:spacing w:val="-2"/>
          <w:szCs w:val="20"/>
          <w:rtl/>
        </w:rPr>
        <w:t>-</w:t>
      </w:r>
      <w:r w:rsidRPr="00F66675">
        <w:rPr>
          <w:spacing w:val="-2"/>
          <w:rtl/>
        </w:rPr>
        <w:tab/>
        <w:t>عندما لا تقدِّم الدول الأطراف المعنية أو أصحاب طلبات اتخاذ الإجراءات العاجلة معلومات المتابعة بحلول المواعيد النهائية التي تحددها اللجنة، ترسل اللجنة رسائل تذكير ثلاث على الأكثر. ويتعاطى معظم الدول الأطراف مع اللجنة عن طريق تقديم معلومات المتابعة والاستجابة لتوصيات اللجنة وإتاحة المعلومات التي تطلبها. ولكن، في حال عدم ورود جواب من الدولة الطرف بعد رسالة التذكير الثالثة، ترسل اللجنة رسالة تذكير أخيرة، تشير فيها إلى عدم امتثال الدولة الطرف لالتزاماتها بموجب المادة 30 من الاتفاقية المتعلقة بالإجراءات العاجلة، وإلى احتمال أن تقرر اللجنة التطرق إلى الحالة علناً في تقريرها عن الإجراءات العاجلة في دورتها التالية وفي تقريرها التالي إلى الجمعية العامة. وحتى 1 نيسان/أبريل 2021، أرسلت اللجنة رسائل تذكير نهائية إلى العراق بشأن 280 طلبا</w:t>
      </w:r>
      <w:r w:rsidR="00BB5F1C" w:rsidRPr="00F66675">
        <w:rPr>
          <w:rFonts w:hint="cs"/>
          <w:spacing w:val="-2"/>
          <w:rtl/>
        </w:rPr>
        <w:t>ً</w:t>
      </w:r>
      <w:r w:rsidRPr="00F66675">
        <w:rPr>
          <w:spacing w:val="-2"/>
          <w:rtl/>
        </w:rPr>
        <w:t xml:space="preserve"> لاتخاذ الإجراءات العاجلة.</w:t>
      </w:r>
    </w:p>
    <w:p w14:paraId="2FF6B955" w14:textId="4A4A5675" w:rsidR="00971B29" w:rsidRPr="00691EEE" w:rsidRDefault="00971B29" w:rsidP="00971B29">
      <w:pPr>
        <w:pStyle w:val="SingleTxtGA"/>
        <w:rPr>
          <w:szCs w:val="20"/>
          <w:lang w:val="en-US" w:eastAsia="zh-TW" w:bidi="en-GB"/>
        </w:rPr>
      </w:pPr>
      <w:r w:rsidRPr="00FA58B2">
        <w:rPr>
          <w:rtl/>
        </w:rPr>
        <w:t>10</w:t>
      </w:r>
      <w:r>
        <w:rPr>
          <w:rFonts w:ascii="Traditional Arabic"/>
          <w:szCs w:val="20"/>
          <w:rtl/>
        </w:rPr>
        <w:t>-</w:t>
      </w:r>
      <w:r>
        <w:rPr>
          <w:rtl/>
        </w:rPr>
        <w:tab/>
        <w:t xml:space="preserve">وتجدر الإشارة إلى أن اللجنة قد أشارت بالفعل، في تقاريرها الثلاثة السابقة إلى الجمعية العامة، إلى عدم امتثال العراق لالتزاماته بموجب المادة </w:t>
      </w:r>
      <w:r w:rsidRPr="00FA58B2">
        <w:rPr>
          <w:rtl/>
        </w:rPr>
        <w:t>30</w:t>
      </w:r>
      <w:r>
        <w:rPr>
          <w:rtl/>
        </w:rPr>
        <w:t xml:space="preserve"> من الاتفاقية</w:t>
      </w:r>
      <w:r w:rsidR="00BB5F1C">
        <w:rPr>
          <w:rStyle w:val="FootnoteReference"/>
          <w:rtl/>
        </w:rPr>
        <w:t>(</w:t>
      </w:r>
      <w:r w:rsidR="00BB5F1C">
        <w:rPr>
          <w:rStyle w:val="FootnoteReference"/>
          <w:rtl/>
        </w:rPr>
        <w:footnoteReference w:id="4"/>
      </w:r>
      <w:r w:rsidR="00BB5F1C">
        <w:rPr>
          <w:rStyle w:val="FootnoteReference"/>
          <w:rtl/>
        </w:rPr>
        <w:t>)</w:t>
      </w:r>
      <w:r w:rsidR="00B650CB">
        <w:rPr>
          <w:rFonts w:hint="cs"/>
          <w:rtl/>
        </w:rPr>
        <w:t>.</w:t>
      </w:r>
      <w:r>
        <w:rPr>
          <w:rtl/>
        </w:rPr>
        <w:t xml:space="preserve"> وسلطت اللجنة الضوء أيضا</w:t>
      </w:r>
      <w:r w:rsidR="00B650CB">
        <w:rPr>
          <w:rFonts w:hint="cs"/>
          <w:rtl/>
        </w:rPr>
        <w:t>ً</w:t>
      </w:r>
      <w:r>
        <w:rPr>
          <w:rtl/>
        </w:rPr>
        <w:t xml:space="preserve"> خلال دورتها التاسعة عشرة على عدم امتثال الدولة الطرف، في سياق نظرها في المعلومات الإضافية التي قدمها العراق بموجب المادة </w:t>
      </w:r>
      <w:r w:rsidRPr="00FA58B2">
        <w:rPr>
          <w:rtl/>
        </w:rPr>
        <w:t>29</w:t>
      </w:r>
      <w:r w:rsidRPr="00691EEE">
        <w:rPr>
          <w:rtl/>
        </w:rPr>
        <w:t>(4)</w:t>
      </w:r>
      <w:r>
        <w:rPr>
          <w:rtl/>
        </w:rPr>
        <w:t xml:space="preserve"> من الاتفاقية</w:t>
      </w:r>
      <w:r w:rsidR="00BB5F1C">
        <w:rPr>
          <w:rStyle w:val="FootnoteReference"/>
          <w:rtl/>
        </w:rPr>
        <w:t>(</w:t>
      </w:r>
      <w:r w:rsidR="00BB5F1C">
        <w:rPr>
          <w:rStyle w:val="FootnoteReference"/>
          <w:rtl/>
        </w:rPr>
        <w:footnoteReference w:id="5"/>
      </w:r>
      <w:r w:rsidR="00BB5F1C">
        <w:rPr>
          <w:rStyle w:val="FootnoteReference"/>
          <w:rtl/>
        </w:rPr>
        <w:t>)</w:t>
      </w:r>
      <w:r w:rsidR="00B650CB">
        <w:rPr>
          <w:rFonts w:hint="cs"/>
          <w:rtl/>
        </w:rPr>
        <w:t>.</w:t>
      </w:r>
    </w:p>
    <w:p w14:paraId="2730CF9E" w14:textId="6D0ED8A9" w:rsidR="00971B29" w:rsidRPr="00F51BB9" w:rsidRDefault="00971B29" w:rsidP="00971B29">
      <w:pPr>
        <w:pStyle w:val="H23GA"/>
        <w:rPr>
          <w:szCs w:val="20"/>
          <w:lang w:val="ar-SA" w:eastAsia="zh-TW" w:bidi="en-GB"/>
        </w:rPr>
      </w:pPr>
      <w:r>
        <w:rPr>
          <w:rtl/>
        </w:rPr>
        <w:tab/>
        <w:t>(ب)</w:t>
      </w:r>
      <w:r>
        <w:rPr>
          <w:rtl/>
        </w:rPr>
        <w:tab/>
        <w:t>انعدام استراتيجية للبحث والتحقيق تناسب كل حالة</w:t>
      </w:r>
    </w:p>
    <w:p w14:paraId="16999CCB" w14:textId="1305826B" w:rsidR="00971B29" w:rsidRDefault="00971B29" w:rsidP="00971B29">
      <w:pPr>
        <w:pStyle w:val="SingleTxtGA"/>
        <w:rPr>
          <w:szCs w:val="20"/>
          <w:lang w:val="ar-SA" w:eastAsia="zh-TW" w:bidi="en-GB"/>
        </w:rPr>
      </w:pPr>
      <w:r w:rsidRPr="00FA58B2">
        <w:rPr>
          <w:rtl/>
        </w:rPr>
        <w:t>11</w:t>
      </w:r>
      <w:r>
        <w:rPr>
          <w:rFonts w:ascii="Traditional Arabic"/>
          <w:szCs w:val="20"/>
          <w:rtl/>
        </w:rPr>
        <w:t>-</w:t>
      </w:r>
      <w:r>
        <w:rPr>
          <w:rtl/>
        </w:rPr>
        <w:tab/>
        <w:t xml:space="preserve">في معظم ما يسجَّل من طلبات لاتخاذ الإجراءات العاجلة، أثارت اللجنة شواغل إزاء عدم وضع الدول الأطراف استراتيجيةً شاملة للبحث عن الأشخاص المختفين والتحقيق في اختفائهم وإزاء عدم تنفيذها امتثالا للمادتين </w:t>
      </w:r>
      <w:r w:rsidRPr="00FA58B2">
        <w:rPr>
          <w:rtl/>
        </w:rPr>
        <w:t>12</w:t>
      </w:r>
      <w:r>
        <w:rPr>
          <w:rtl/>
        </w:rPr>
        <w:t xml:space="preserve"> و</w:t>
      </w:r>
      <w:r w:rsidRPr="00FA58B2">
        <w:rPr>
          <w:rtl/>
        </w:rPr>
        <w:t>24</w:t>
      </w:r>
      <w:r>
        <w:rPr>
          <w:rtl/>
        </w:rPr>
        <w:t xml:space="preserve"> من الاتفاقية، بما في ذلك خطة عمل وأجل زمني يخضعان للاستعراض دوريا</w:t>
      </w:r>
      <w:r w:rsidR="00BB5F1C">
        <w:rPr>
          <w:rFonts w:hint="cs"/>
          <w:rtl/>
        </w:rPr>
        <w:t>ً</w:t>
      </w:r>
      <w:r>
        <w:rPr>
          <w:rtl/>
        </w:rPr>
        <w:t>. ورغم ما لوحظ بذلُه من جهود في بعض الحالات، بدا في العادة أن البحث والتحقيق يجريان في شكل عملٍ متفرق يعوزه التنسيق في كثير من الأحيان وبلا أي استراتيجية واضحة. وفي هذه الحالات، طلبت اللجنة إلى الدول الأطراف المعنية أن تكفل وضع وتنفيذ استراتيجية لجميع مراحل البحث والتحقيق امتثالا</w:t>
      </w:r>
      <w:r w:rsidR="00B650CB">
        <w:rPr>
          <w:rFonts w:hint="cs"/>
          <w:rtl/>
        </w:rPr>
        <w:t>ً</w:t>
      </w:r>
      <w:r>
        <w:rPr>
          <w:rtl/>
        </w:rPr>
        <w:t xml:space="preserve"> لمبادئ العناية الواجبة - بما فيها دقة التحقيق وفوريته واستفاضته وكفاءة المهنيين المكلّفين واستقلالهم - </w:t>
      </w:r>
      <w:r w:rsidR="00B33122">
        <w:rPr>
          <w:rtl/>
        </w:rPr>
        <w:t>وفقاً</w:t>
      </w:r>
      <w:r>
        <w:rPr>
          <w:rtl/>
        </w:rPr>
        <w:t xml:space="preserve"> لما هو منصوص عليه في المبدأ </w:t>
      </w:r>
      <w:r w:rsidRPr="00FA58B2">
        <w:rPr>
          <w:rtl/>
        </w:rPr>
        <w:t>8</w:t>
      </w:r>
      <w:r>
        <w:rPr>
          <w:rtl/>
        </w:rPr>
        <w:t xml:space="preserve"> من المبادئ التوجيهية للبحث عن الأشخاص المختفين</w:t>
      </w:r>
      <w:r w:rsidR="00BB5F1C">
        <w:rPr>
          <w:rStyle w:val="FootnoteReference"/>
          <w:rtl/>
        </w:rPr>
        <w:t>(</w:t>
      </w:r>
      <w:r w:rsidR="00BB5F1C">
        <w:rPr>
          <w:rStyle w:val="FootnoteReference"/>
          <w:rtl/>
        </w:rPr>
        <w:footnoteReference w:id="6"/>
      </w:r>
      <w:r w:rsidR="00BB5F1C">
        <w:rPr>
          <w:rStyle w:val="FootnoteReference"/>
          <w:rtl/>
        </w:rPr>
        <w:t>)</w:t>
      </w:r>
      <w:r w:rsidR="00BB5F1C">
        <w:rPr>
          <w:rFonts w:hint="cs"/>
          <w:rtl/>
        </w:rPr>
        <w:t>.</w:t>
      </w:r>
      <w:r>
        <w:rPr>
          <w:rtl/>
        </w:rPr>
        <w:t xml:space="preserve"> ويجب أن تحدد الاستراتيجية المعتمَدة الأنشطة والعناية الواجبة التي يتعين الاضطلاع بها بطريقة متكاملة، ويجب أن يستتبع تنفيذُها اتخاذ الوسائل والإجراءات اللازمة لتحديد مكان الأشخاص المختفين والتحقيق في اختفائهم. وخلال الفترة المشمولة بالتقرير، أُرسِلت هذه التوصيات إلى الأرجنتين والعراق وكمبوديا وكولومبيا والمكسيك وليتوانيا وهندوراس.</w:t>
      </w:r>
    </w:p>
    <w:p w14:paraId="1E20DAA9" w14:textId="3CF062E6" w:rsidR="00971B29" w:rsidRPr="00F51BB9" w:rsidRDefault="00971B29" w:rsidP="00971B29">
      <w:pPr>
        <w:pStyle w:val="H23GA"/>
        <w:rPr>
          <w:szCs w:val="20"/>
          <w:lang w:val="ar-SA" w:eastAsia="zh-TW" w:bidi="en-GB"/>
        </w:rPr>
      </w:pPr>
      <w:r>
        <w:rPr>
          <w:rtl/>
        </w:rPr>
        <w:lastRenderedPageBreak/>
        <w:tab/>
        <w:t>(ج)</w:t>
      </w:r>
      <w:r>
        <w:rPr>
          <w:rtl/>
        </w:rPr>
        <w:tab/>
        <w:t>عدم التنسيق بين إجراءي البحث والتحقيق</w:t>
      </w:r>
    </w:p>
    <w:p w14:paraId="6D7140BC" w14:textId="77777777" w:rsidR="00971B29" w:rsidRPr="00F51BB9" w:rsidRDefault="00971B29" w:rsidP="00971B29">
      <w:pPr>
        <w:pStyle w:val="SingleTxtGA"/>
        <w:rPr>
          <w:szCs w:val="20"/>
          <w:lang w:val="ar-SA" w:eastAsia="zh-TW" w:bidi="en-GB"/>
        </w:rPr>
      </w:pPr>
      <w:r w:rsidRPr="00FA58B2">
        <w:rPr>
          <w:rtl/>
        </w:rPr>
        <w:t>12</w:t>
      </w:r>
      <w:r>
        <w:rPr>
          <w:rFonts w:ascii="Traditional Arabic"/>
          <w:szCs w:val="20"/>
          <w:rtl/>
        </w:rPr>
        <w:t>-</w:t>
      </w:r>
      <w:r>
        <w:rPr>
          <w:rtl/>
        </w:rPr>
        <w:tab/>
        <w:t xml:space="preserve">لوحظ في معظم ما سُجل من طلبات لاتخاذ الإجراءات العاجلة نزوع إلى عدم التنسيق بين إجراءي البحث والتحقيق. وعادةً ما يرجع عدم التنسيق هذا إلى عدم تبادل السلطات المختصة في الدولة المعلومات والأدلة التي حصلت عليها في سياق تنفيذ ولاياتها، أو عدم قيامها بذلك بصورة منهجية. ولاحظت اللجنة أن عدم التنسيق هذا قد أدى إلى تكرار القيام بالعمل نفسه في بعض الحالات وإلى وجود ثغرات في المعلومات في حالات أخرى، وهو ما أسفر عن تأخير البحث والتحقيق على السواء. وفي هذه الحالات، أوصت اللجنة بالتنسيق بين السلطات المكلفة بالبحث وتلك المكلفة بالتحقيق، على النحو المنصوص عليه في المبدأ </w:t>
      </w:r>
      <w:r w:rsidRPr="00FA58B2">
        <w:rPr>
          <w:rtl/>
        </w:rPr>
        <w:t>13</w:t>
      </w:r>
      <w:r>
        <w:rPr>
          <w:rtl/>
        </w:rPr>
        <w:t xml:space="preserve"> من المبادئ التوجيهية للبحث عن الأشخاص المختفين.</w:t>
      </w:r>
    </w:p>
    <w:p w14:paraId="2CCD671B" w14:textId="51296ABB" w:rsidR="00971B29" w:rsidRPr="00F51BB9" w:rsidRDefault="00971B29" w:rsidP="00971B29">
      <w:pPr>
        <w:pStyle w:val="H23GA"/>
        <w:rPr>
          <w:szCs w:val="20"/>
          <w:lang w:val="ar-SA" w:eastAsia="zh-TW" w:bidi="en-GB"/>
        </w:rPr>
      </w:pPr>
      <w:r>
        <w:rPr>
          <w:rtl/>
        </w:rPr>
        <w:tab/>
        <w:t>(د)</w:t>
      </w:r>
      <w:r>
        <w:rPr>
          <w:rtl/>
        </w:rPr>
        <w:tab/>
        <w:t>عدم التنسيق بين السلطة الاتحادية وسلطات الولايات</w:t>
      </w:r>
    </w:p>
    <w:p w14:paraId="5EF9458F" w14:textId="7B60B2C0" w:rsidR="00971B29" w:rsidRDefault="00971B29" w:rsidP="00971B29">
      <w:pPr>
        <w:pStyle w:val="SingleTxtGA"/>
        <w:rPr>
          <w:szCs w:val="20"/>
          <w:lang w:val="ar-SA" w:eastAsia="zh-TW" w:bidi="en-GB"/>
        </w:rPr>
      </w:pPr>
      <w:r w:rsidRPr="00FA58B2">
        <w:rPr>
          <w:rtl/>
        </w:rPr>
        <w:t>13</w:t>
      </w:r>
      <w:r>
        <w:rPr>
          <w:rFonts w:ascii="Traditional Arabic"/>
          <w:szCs w:val="20"/>
          <w:rtl/>
        </w:rPr>
        <w:t>-</w:t>
      </w:r>
      <w:r>
        <w:rPr>
          <w:rtl/>
        </w:rPr>
        <w:tab/>
        <w:t>لاحظت اللجنة، في عدة طلبات لاتخاذ الإجراءات العاجلة في حالات اختفاء وقعت في دول اتحادية، عدم التنسيق بين السلطة الاتحادية وسلطات الولايات المكلفة بالبحث والتحقيق. وأدى عدم التنسيق هذا إلى إجراء تحقيقات متزامنة على الصعيد الاتحادي وعلى صعيد الولاية، صاحَبَها تكرار العمل نفسه وعدم توفر معلومات عن النتائج. وفي مثل هذه الحالات، أوصت اللجنة دائما</w:t>
      </w:r>
      <w:r w:rsidR="00BB5F1C">
        <w:rPr>
          <w:rFonts w:hint="cs"/>
          <w:rtl/>
        </w:rPr>
        <w:t>ً</w:t>
      </w:r>
      <w:r>
        <w:rPr>
          <w:rtl/>
        </w:rPr>
        <w:t xml:space="preserve"> بالتنسيق بين السلطات التي تقوم بالتحقيق على المستوى الاتحادي وعلى مستوى الولاية، مع تحديد وظائف كل من السلطتين بوضوح.</w:t>
      </w:r>
    </w:p>
    <w:p w14:paraId="1BEE551F" w14:textId="3F2031F5" w:rsidR="00971B29" w:rsidRPr="00F51BB9" w:rsidRDefault="00971B29" w:rsidP="00971B29">
      <w:pPr>
        <w:pStyle w:val="H23GA"/>
        <w:rPr>
          <w:szCs w:val="20"/>
          <w:lang w:val="ar-SA" w:eastAsia="zh-TW" w:bidi="en-GB"/>
        </w:rPr>
      </w:pPr>
      <w:r>
        <w:rPr>
          <w:rtl/>
        </w:rPr>
        <w:tab/>
        <w:t>(هـ)</w:t>
      </w:r>
      <w:r>
        <w:rPr>
          <w:rtl/>
        </w:rPr>
        <w:tab/>
        <w:t>التحديات التي تعترض مشاركة الأقارب الفعالة في البحث والتحقيق</w:t>
      </w:r>
    </w:p>
    <w:p w14:paraId="21443565" w14:textId="35DF5018" w:rsidR="00971B29" w:rsidRPr="00F51BB9" w:rsidRDefault="00971B29" w:rsidP="00971B29">
      <w:pPr>
        <w:pStyle w:val="SingleTxtGA"/>
        <w:rPr>
          <w:szCs w:val="20"/>
          <w:lang w:val="ar-SA" w:eastAsia="zh-TW" w:bidi="en-GB"/>
        </w:rPr>
      </w:pPr>
      <w:r w:rsidRPr="00FA58B2">
        <w:rPr>
          <w:rtl/>
        </w:rPr>
        <w:t>14</w:t>
      </w:r>
      <w:r>
        <w:rPr>
          <w:rFonts w:ascii="Traditional Arabic"/>
          <w:szCs w:val="20"/>
          <w:rtl/>
        </w:rPr>
        <w:t>-</w:t>
      </w:r>
      <w:r>
        <w:rPr>
          <w:rtl/>
        </w:rPr>
        <w:tab/>
        <w:t xml:space="preserve">في معظم الحالات، أُبلغت اللجنة بعدم إتاحة معلومات كافية لأقارب الأشخاص المختفين عما يُتخذ من إجراءات وما يتحقق من نتائج في البحث والتحقيق، وبما يعترض مشاركتهم الفعالة من عقبات. وفي تلك الحالات، أوصت اللجنة بأن تنفذ الدول الأطراف المعنية آليات واضحة ورسمية لإبلاغ أقارب المختفين وممثليهم دوريا بما يتوصل إليه البحث والتحقيق، وبأن تسمح بمشاركتهم الكاملة في كليهما، وتمكّنهم من الاطلاع على أي معلومات مفيدة عما يُحرَز من تقدم وما يتحقق من نتائج، </w:t>
      </w:r>
      <w:r w:rsidR="00B33122">
        <w:rPr>
          <w:rtl/>
        </w:rPr>
        <w:t>وفقاً</w:t>
      </w:r>
      <w:r>
        <w:rPr>
          <w:rtl/>
        </w:rPr>
        <w:t xml:space="preserve"> للمادة </w:t>
      </w:r>
      <w:r w:rsidRPr="00FA58B2">
        <w:rPr>
          <w:rtl/>
        </w:rPr>
        <w:t>24</w:t>
      </w:r>
      <w:r>
        <w:rPr>
          <w:rtl/>
        </w:rPr>
        <w:t xml:space="preserve"> من الاتفاقية وللمبدأ </w:t>
      </w:r>
      <w:r w:rsidRPr="00FA58B2">
        <w:rPr>
          <w:rtl/>
        </w:rPr>
        <w:t>5</w:t>
      </w:r>
      <w:r>
        <w:rPr>
          <w:rtl/>
        </w:rPr>
        <w:t xml:space="preserve"> من المبادئ التوجيهية للبحث عن الأشخاص المختفين.</w:t>
      </w:r>
    </w:p>
    <w:p w14:paraId="50C120D5" w14:textId="7EFCB106" w:rsidR="00971B29" w:rsidRPr="00F51BB9" w:rsidRDefault="00971B29" w:rsidP="00971B29">
      <w:pPr>
        <w:pStyle w:val="H23GA"/>
        <w:rPr>
          <w:szCs w:val="20"/>
          <w:lang w:val="ar-SA" w:eastAsia="zh-TW" w:bidi="en-GB"/>
        </w:rPr>
      </w:pPr>
      <w:r>
        <w:rPr>
          <w:rtl/>
        </w:rPr>
        <w:tab/>
        <w:t>(و)</w:t>
      </w:r>
      <w:r>
        <w:rPr>
          <w:rtl/>
        </w:rPr>
        <w:tab/>
        <w:t>أهم التحديات المتعلقة بتنفيذ التدابير المؤقتة التي طلبتها اللجنة</w:t>
      </w:r>
    </w:p>
    <w:p w14:paraId="1C156D9D" w14:textId="2889A0E1" w:rsidR="00971B29" w:rsidRDefault="00971B29" w:rsidP="00971B29">
      <w:pPr>
        <w:pStyle w:val="SingleTxtGA"/>
        <w:rPr>
          <w:szCs w:val="20"/>
          <w:lang w:val="ar-SA" w:eastAsia="zh-TW" w:bidi="en-GB"/>
        </w:rPr>
      </w:pPr>
      <w:r w:rsidRPr="00FA58B2">
        <w:rPr>
          <w:rtl/>
        </w:rPr>
        <w:t>15</w:t>
      </w:r>
      <w:r>
        <w:rPr>
          <w:rFonts w:ascii="Traditional Arabic"/>
          <w:szCs w:val="20"/>
          <w:rtl/>
        </w:rPr>
        <w:t>-</w:t>
      </w:r>
      <w:r>
        <w:rPr>
          <w:rtl/>
        </w:rPr>
        <w:tab/>
        <w:t>في الفترة قيد الاستعراض، أُبلغت اللجنة بأن بعض أقارب أشخاصٍ مختفين قد استُهدفوا بالتهديد والترهيب بعد ممارستهم ضغوطاً من أجل التحقيق في حالات اختفاء أقاربهم قسراً أو بعد قيامهم بالبحث عنهم. واتسمت هذه التهديدات بنفس الخصائص التي سُجلت في فترات الاستعراض السابقة، حيث اتخذت أشكالاً مختلفة، مثل التهديدات بالقتل وتسيير دوريات حول منازل الأشخاص واتخاذ قرارات إجرائية تضر بالحماية الممنوحة للأشخاص المعنيين. لذلك، طلبت اللجنة مجددا</w:t>
      </w:r>
      <w:r w:rsidR="00471961">
        <w:rPr>
          <w:rFonts w:hint="cs"/>
          <w:rtl/>
        </w:rPr>
        <w:t>ً</w:t>
      </w:r>
      <w:r>
        <w:rPr>
          <w:rtl/>
        </w:rPr>
        <w:t xml:space="preserve"> إلى الدولة الطرف المعنية أن تتخذ في هذه الحالات التدابير المؤقتة اللازمة لحماية حياة الأشخاص المتضررين وسلامتهم وللسماح للأفراد بالبحث عن أقاربهم المفقودين دون التعرض للعنف أو المضايقة. وشددت اللجنة أيضاً على أهمية تنقيح خطط الحماية دورياً بالتشاور مع المستفيدين منها، ولا سيما فيما يتعلق بطرائق تدابير الحماية والطرائق التي تتّبعها المؤسسات المكلفة بتنفيذ هذه التدابير، حرصا</w:t>
      </w:r>
      <w:r w:rsidR="001C283F">
        <w:rPr>
          <w:rFonts w:hint="cs"/>
          <w:rtl/>
        </w:rPr>
        <w:t>ً</w:t>
      </w:r>
      <w:r>
        <w:rPr>
          <w:rtl/>
        </w:rPr>
        <w:t xml:space="preserve"> على الحفاظ على ثقة المستفيدين منها الكاملة.</w:t>
      </w:r>
    </w:p>
    <w:p w14:paraId="7D1AD887" w14:textId="3F3C14F4" w:rsidR="00971B29" w:rsidRPr="00F51BB9" w:rsidRDefault="00971B29" w:rsidP="00971B29">
      <w:pPr>
        <w:pStyle w:val="H23GA"/>
        <w:rPr>
          <w:szCs w:val="20"/>
          <w:lang w:val="ar-SA" w:eastAsia="zh-TW" w:bidi="en-GB"/>
        </w:rPr>
      </w:pPr>
      <w:r>
        <w:rPr>
          <w:rFonts w:ascii="Traditional Arabic"/>
          <w:szCs w:val="20"/>
          <w:rtl/>
        </w:rPr>
        <w:tab/>
      </w:r>
      <w:r w:rsidRPr="00FA58B2">
        <w:rPr>
          <w:rtl/>
        </w:rPr>
        <w:t>2</w:t>
      </w:r>
      <w:r>
        <w:rPr>
          <w:rFonts w:ascii="Traditional Arabic"/>
          <w:szCs w:val="20"/>
          <w:rtl/>
        </w:rPr>
        <w:t>-</w:t>
      </w:r>
      <w:r>
        <w:rPr>
          <w:rtl/>
        </w:rPr>
        <w:tab/>
        <w:t>اتجاهات بعينها تتعلق بالعراق والمكسيك</w:t>
      </w:r>
    </w:p>
    <w:p w14:paraId="09F1B19A" w14:textId="02580638" w:rsidR="00971B29" w:rsidRPr="00DC5C0E" w:rsidRDefault="00971B29" w:rsidP="00971B29">
      <w:pPr>
        <w:pStyle w:val="SingleTxtGA"/>
        <w:rPr>
          <w:szCs w:val="20"/>
          <w:rtl/>
          <w:lang w:val="en-US" w:eastAsia="zh-TW"/>
        </w:rPr>
      </w:pPr>
      <w:r w:rsidRPr="00FA58B2">
        <w:rPr>
          <w:rtl/>
        </w:rPr>
        <w:t>16</w:t>
      </w:r>
      <w:r>
        <w:rPr>
          <w:rFonts w:ascii="Traditional Arabic"/>
          <w:szCs w:val="20"/>
          <w:rtl/>
        </w:rPr>
        <w:t>-</w:t>
      </w:r>
      <w:r>
        <w:rPr>
          <w:rtl/>
        </w:rPr>
        <w:tab/>
        <w:t xml:space="preserve">خلال الفترة قيد الاستعراض، بقي العراق والمكسيك الدولتين الوحيدتين اللتين سُجل بشأنهما أكبر عدد من طلبات اتخاذ الإجراءات العاجلة، وهما الآن تشكلان نسبة </w:t>
      </w:r>
      <w:r w:rsidRPr="00FA58B2">
        <w:rPr>
          <w:rtl/>
        </w:rPr>
        <w:t>91</w:t>
      </w:r>
      <w:r>
        <w:rPr>
          <w:rtl/>
        </w:rPr>
        <w:t xml:space="preserve"> في المائة من مجموع طلبات </w:t>
      </w:r>
      <w:r>
        <w:rPr>
          <w:rtl/>
        </w:rPr>
        <w:lastRenderedPageBreak/>
        <w:t>اتخاذ الإجراءات العاجلة التي سُجلت. وترى اللجنة أن من الضروري إبراز الاتجاهات الرئيسية التي لوحظت في هذه الحالات.</w:t>
      </w:r>
    </w:p>
    <w:p w14:paraId="18370C7B" w14:textId="6726313E" w:rsidR="00971B29" w:rsidRPr="00F51BB9" w:rsidRDefault="00971B29" w:rsidP="00971B29">
      <w:pPr>
        <w:pStyle w:val="H23GA"/>
        <w:rPr>
          <w:szCs w:val="20"/>
          <w:lang w:val="ar-SA" w:eastAsia="zh-TW" w:bidi="en-GB"/>
        </w:rPr>
      </w:pPr>
      <w:r>
        <w:rPr>
          <w:rtl/>
        </w:rPr>
        <w:tab/>
        <w:t>(أ)</w:t>
      </w:r>
      <w:r>
        <w:rPr>
          <w:rtl/>
        </w:rPr>
        <w:tab/>
        <w:t>العراق</w:t>
      </w:r>
    </w:p>
    <w:p w14:paraId="12E6929E" w14:textId="77777777" w:rsidR="00971B29" w:rsidRDefault="00971B29" w:rsidP="00971B29">
      <w:pPr>
        <w:pStyle w:val="SingleTxtGA"/>
        <w:rPr>
          <w:szCs w:val="20"/>
          <w:lang w:val="ar-SA" w:eastAsia="zh-TW" w:bidi="en-GB"/>
        </w:rPr>
      </w:pPr>
      <w:r w:rsidRPr="00FA58B2">
        <w:rPr>
          <w:rtl/>
        </w:rPr>
        <w:t>17</w:t>
      </w:r>
      <w:r>
        <w:rPr>
          <w:rFonts w:ascii="Traditional Arabic"/>
          <w:szCs w:val="20"/>
          <w:rtl/>
        </w:rPr>
        <w:t>-</w:t>
      </w:r>
      <w:r>
        <w:rPr>
          <w:rtl/>
        </w:rPr>
        <w:tab/>
        <w:t xml:space="preserve">حتى </w:t>
      </w:r>
      <w:r w:rsidRPr="00FA58B2">
        <w:rPr>
          <w:rtl/>
        </w:rPr>
        <w:t>1</w:t>
      </w:r>
      <w:r>
        <w:rPr>
          <w:rtl/>
        </w:rPr>
        <w:t xml:space="preserve"> نيسان/أبريل </w:t>
      </w:r>
      <w:r w:rsidRPr="00FA58B2">
        <w:rPr>
          <w:rtl/>
        </w:rPr>
        <w:t>2021</w:t>
      </w:r>
      <w:r>
        <w:rPr>
          <w:rtl/>
        </w:rPr>
        <w:t xml:space="preserve">، سجلت اللجنة ما مجموعه </w:t>
      </w:r>
      <w:r w:rsidRPr="00FA58B2">
        <w:rPr>
          <w:rtl/>
        </w:rPr>
        <w:t>492</w:t>
      </w:r>
      <w:r>
        <w:rPr>
          <w:rtl/>
        </w:rPr>
        <w:t xml:space="preserve"> حالة تتعلق بأحداث وقعت في العراق، أي ما يعادل </w:t>
      </w:r>
      <w:r w:rsidRPr="00FA58B2">
        <w:rPr>
          <w:rtl/>
        </w:rPr>
        <w:t>49</w:t>
      </w:r>
      <w:r>
        <w:rPr>
          <w:rtl/>
        </w:rPr>
        <w:t xml:space="preserve"> في المائة من جميع طلبات اتخاذ الإجراءات العاجلة المسجلة حتى الآن. ويساور اللجنة قلق بالغ لأن مكان الأشخاص المختفين لم يحدَّد إلا في </w:t>
      </w:r>
      <w:r w:rsidRPr="00FA58B2">
        <w:rPr>
          <w:rtl/>
        </w:rPr>
        <w:t>26</w:t>
      </w:r>
      <w:r>
        <w:rPr>
          <w:rtl/>
        </w:rPr>
        <w:t xml:space="preserve"> حالة من هذه الحالات.</w:t>
      </w:r>
    </w:p>
    <w:p w14:paraId="32937943" w14:textId="1A74D2CB" w:rsidR="00971B29" w:rsidRPr="00F51BB9" w:rsidRDefault="00971B29" w:rsidP="00971B29">
      <w:pPr>
        <w:pStyle w:val="SingleTxtGA"/>
        <w:rPr>
          <w:szCs w:val="20"/>
          <w:lang w:val="ar-SA" w:eastAsia="zh-TW" w:bidi="en-GB"/>
        </w:rPr>
      </w:pPr>
      <w:r w:rsidRPr="00FA58B2">
        <w:rPr>
          <w:rtl/>
        </w:rPr>
        <w:t>18</w:t>
      </w:r>
      <w:r>
        <w:rPr>
          <w:rFonts w:ascii="Traditional Arabic"/>
          <w:szCs w:val="20"/>
          <w:rtl/>
        </w:rPr>
        <w:t>-</w:t>
      </w:r>
      <w:r>
        <w:rPr>
          <w:rtl/>
        </w:rPr>
        <w:tab/>
        <w:t xml:space="preserve">وتعرب اللجنة عن قلقها </w:t>
      </w:r>
      <w:r w:rsidR="00B33122">
        <w:rPr>
          <w:rtl/>
        </w:rPr>
        <w:t>أيضاً</w:t>
      </w:r>
      <w:r>
        <w:rPr>
          <w:rtl/>
        </w:rPr>
        <w:t xml:space="preserve"> لأن العراق حتى الآن، ورغم رسائل التذكير المتعددة، لم يقدم ردا على معظم طلبات اتخاذ الإجراءات العاجلة المسجلة المتعلقة بحوادث وقعت داخل إقليمه. وفي الفترة قيد الاستعراض، أُرسلت أربع رسائل تذكير بشأن </w:t>
      </w:r>
      <w:r w:rsidRPr="00FA58B2">
        <w:rPr>
          <w:rtl/>
        </w:rPr>
        <w:t>280</w:t>
      </w:r>
      <w:r>
        <w:rPr>
          <w:rtl/>
        </w:rPr>
        <w:t xml:space="preserve"> طلباً مسجلاً لاتخاذ الإجراءات العاجلة. وتلاحظ اللجنة بقلق أن الدولة الطرف ردت في بعض الحالات على رسالة تذكير أخيرة بأن طلبت معلومات شخصية عن الضحايا كانت قد وردت بالفعل في مذكرة التسجيل الأولية.</w:t>
      </w:r>
    </w:p>
    <w:p w14:paraId="5E9FCC37" w14:textId="5DEA58A8" w:rsidR="00971B29" w:rsidRDefault="00971B29" w:rsidP="00971B29">
      <w:pPr>
        <w:pStyle w:val="SingleTxtGA"/>
        <w:rPr>
          <w:szCs w:val="20"/>
          <w:lang w:val="ar-SA" w:eastAsia="zh-TW" w:bidi="en-GB"/>
        </w:rPr>
      </w:pPr>
      <w:r w:rsidRPr="00FA58B2">
        <w:rPr>
          <w:rtl/>
        </w:rPr>
        <w:t>19</w:t>
      </w:r>
      <w:r>
        <w:rPr>
          <w:rFonts w:ascii="Traditional Arabic"/>
          <w:szCs w:val="20"/>
          <w:rtl/>
        </w:rPr>
        <w:t>-</w:t>
      </w:r>
      <w:r>
        <w:rPr>
          <w:rtl/>
        </w:rPr>
        <w:tab/>
        <w:t>وفي الحالات التي أرسلت فيها الدولة الطرف ردوداً إلى اللجنة، فإنها اتخذت نفس الاتجاه الذي لاحظته اللجنة في تقاريرها السابقة، وهو أن الدولة الطرف لم تقدم أي معلومات عن الإجراءات المتخذة للبحث عن الأشخاص المختفين أو للتحقيق في اختفائهم القسري المدعى. وفضلا</w:t>
      </w:r>
      <w:r w:rsidR="00DC5C0E">
        <w:rPr>
          <w:rFonts w:hint="cs"/>
          <w:rtl/>
        </w:rPr>
        <w:t>ً</w:t>
      </w:r>
      <w:r>
        <w:rPr>
          <w:rtl/>
        </w:rPr>
        <w:t xml:space="preserve"> عن ذلك، لم توضح الدولة الطرف الإجراءات المتاحة للضحايا.</w:t>
      </w:r>
    </w:p>
    <w:p w14:paraId="336A41C2" w14:textId="77777777" w:rsidR="00971B29" w:rsidRPr="00F51BB9" w:rsidRDefault="00971B29" w:rsidP="00971B29">
      <w:pPr>
        <w:pStyle w:val="SingleTxtGA"/>
        <w:rPr>
          <w:szCs w:val="20"/>
          <w:lang w:val="ar-SA" w:eastAsia="zh-TW" w:bidi="en-GB"/>
        </w:rPr>
      </w:pPr>
      <w:r w:rsidRPr="00FA58B2">
        <w:rPr>
          <w:rtl/>
        </w:rPr>
        <w:t>20</w:t>
      </w:r>
      <w:r>
        <w:rPr>
          <w:rFonts w:ascii="Traditional Arabic"/>
          <w:szCs w:val="20"/>
          <w:rtl/>
        </w:rPr>
        <w:t>-</w:t>
      </w:r>
      <w:r>
        <w:rPr>
          <w:rtl/>
        </w:rPr>
        <w:tab/>
        <w:t>وفي العديد من ردودها، اكتفت الدولة الطرف، كما في السابق، بتأكيد انتماء من يُدّعى أنهم الضحايا إلى جماعات إرهابية، دون تقديم أي معلومات إضافية عن أي تهم جنائية محددة وُجهت إليهم أو دعاوى رُفعت عليهم أو أوامر توقيف صدرت في حقهم. وفي هذه الحالات، ذكّرت اللجنة الدولة الطرف بأن واجب البحث عن الأشخاص المختفين والتحقيق في اختفائهم يظل واجبا بصرف النظر عن ملفاتهم الشخصية أو انتمائهم السياسي.</w:t>
      </w:r>
    </w:p>
    <w:p w14:paraId="0E6978E9" w14:textId="77777777" w:rsidR="00971B29" w:rsidRDefault="00971B29" w:rsidP="00971B29">
      <w:pPr>
        <w:pStyle w:val="SingleTxtGA"/>
        <w:rPr>
          <w:szCs w:val="20"/>
          <w:lang w:val="ar-SA" w:eastAsia="zh-TW" w:bidi="en-GB"/>
        </w:rPr>
      </w:pPr>
      <w:r w:rsidRPr="00FA58B2">
        <w:rPr>
          <w:rtl/>
        </w:rPr>
        <w:t>21</w:t>
      </w:r>
      <w:r>
        <w:rPr>
          <w:rFonts w:ascii="Traditional Arabic"/>
          <w:szCs w:val="20"/>
          <w:rtl/>
        </w:rPr>
        <w:t>-</w:t>
      </w:r>
      <w:r>
        <w:rPr>
          <w:rtl/>
        </w:rPr>
        <w:tab/>
        <w:t>وفي عدد من طلبات اتخاذ الإجراءات العاجلة، أبلغت الدولة الطرف اللجنة بأن إدارة الطب الشرعي التابعة لوزارة الصحة تطلب، في سياق التحقيقات في الاختفاء القسري المدعى، حضور أقارب الأشخاص المختفين من الدرجة الأولى إذا أمكنهم التعرف على الأشخاص المختفين من صور جثث مجهولة الهوية. غير أن الدولة الطرف لم توضح ما إذا كانت قد أرسلت بالفعل دعوات إلى الأقارب في هذا الصدد، ولا أسباب عدم إرسالها في حال لم ترسلها.</w:t>
      </w:r>
    </w:p>
    <w:p w14:paraId="7F50366B" w14:textId="1E5726BA" w:rsidR="00971B29" w:rsidRPr="00CA23C4" w:rsidRDefault="00971B29" w:rsidP="00971B29">
      <w:pPr>
        <w:pStyle w:val="SingleTxtGA"/>
        <w:rPr>
          <w:spacing w:val="-2"/>
          <w:szCs w:val="20"/>
          <w:lang w:val="ar-SA" w:eastAsia="zh-TW" w:bidi="en-GB"/>
        </w:rPr>
      </w:pPr>
      <w:r w:rsidRPr="00FA58B2">
        <w:rPr>
          <w:rtl/>
        </w:rPr>
        <w:t>22</w:t>
      </w:r>
      <w:r>
        <w:rPr>
          <w:rFonts w:ascii="Traditional Arabic"/>
          <w:szCs w:val="20"/>
          <w:rtl/>
        </w:rPr>
        <w:t>-</w:t>
      </w:r>
      <w:r>
        <w:rPr>
          <w:rtl/>
        </w:rPr>
        <w:tab/>
        <w:t>وخلال الفترة قيد الاستعراض، لم تسجل اللجنة أي طلبات إضافية لاتخاذ الإجراءات العاجلة بشأن اختفاء الأشخاص الذين شاركوا في الاحتجاجات التي كانت قد بدأت في تشرين الأول/</w:t>
      </w:r>
      <w:r w:rsidR="00CA23C4">
        <w:rPr>
          <w:rFonts w:hint="cs"/>
          <w:rtl/>
        </w:rPr>
        <w:t xml:space="preserve"> </w:t>
      </w:r>
      <w:r>
        <w:rPr>
          <w:rtl/>
        </w:rPr>
        <w:t>أكتوبر</w:t>
      </w:r>
      <w:r w:rsidR="00CA23C4">
        <w:rPr>
          <w:rFonts w:hint="cs"/>
          <w:rtl/>
        </w:rPr>
        <w:t> </w:t>
      </w:r>
      <w:r w:rsidRPr="00FA58B2">
        <w:rPr>
          <w:rtl/>
        </w:rPr>
        <w:t>2019</w:t>
      </w:r>
      <w:r>
        <w:rPr>
          <w:rtl/>
        </w:rPr>
        <w:t>، ولا سيما في ميدان التحرير في بغداد، أو الذين قدموا نوعا</w:t>
      </w:r>
      <w:r w:rsidR="002A000F">
        <w:rPr>
          <w:rFonts w:hint="cs"/>
          <w:rtl/>
        </w:rPr>
        <w:t>ً</w:t>
      </w:r>
      <w:r>
        <w:rPr>
          <w:rtl/>
        </w:rPr>
        <w:t xml:space="preserve"> من الدعم للمشاركين فيها، وهو </w:t>
      </w:r>
      <w:r w:rsidRPr="00CA23C4">
        <w:rPr>
          <w:spacing w:val="-2"/>
          <w:rtl/>
        </w:rPr>
        <w:t>ما أسهبت اللجنة في تناوله في تقريرها عن طلبات اتخاذ الإجراءات العاجلة التي اعتُمدت في دورتها التاسعة عشرة. ولذلك، بقي عدد هذه الطلبات 28 طلبا</w:t>
      </w:r>
      <w:r w:rsidR="00865AC0">
        <w:rPr>
          <w:rFonts w:hint="cs"/>
          <w:spacing w:val="-2"/>
          <w:rtl/>
        </w:rPr>
        <w:t>ً</w:t>
      </w:r>
      <w:r w:rsidRPr="00CA23C4">
        <w:rPr>
          <w:spacing w:val="-2"/>
          <w:rtl/>
        </w:rPr>
        <w:t>، ولم تقدم الدولة الطرف بعد ردا</w:t>
      </w:r>
      <w:r w:rsidR="00865AC0">
        <w:rPr>
          <w:rFonts w:hint="cs"/>
          <w:spacing w:val="-2"/>
          <w:rtl/>
        </w:rPr>
        <w:t>ً</w:t>
      </w:r>
      <w:r w:rsidRPr="00CA23C4">
        <w:rPr>
          <w:spacing w:val="-2"/>
          <w:rtl/>
        </w:rPr>
        <w:t xml:space="preserve"> على 13 طلبا</w:t>
      </w:r>
      <w:r w:rsidR="00865AC0">
        <w:rPr>
          <w:rFonts w:hint="cs"/>
          <w:spacing w:val="-2"/>
          <w:rtl/>
        </w:rPr>
        <w:t>ً</w:t>
      </w:r>
      <w:r w:rsidRPr="00CA23C4">
        <w:rPr>
          <w:spacing w:val="-2"/>
          <w:rtl/>
        </w:rPr>
        <w:t xml:space="preserve"> منها.</w:t>
      </w:r>
    </w:p>
    <w:p w14:paraId="4344946B" w14:textId="22E931BF" w:rsidR="00971B29" w:rsidRPr="00F51BB9" w:rsidRDefault="00971B29" w:rsidP="00971B29">
      <w:pPr>
        <w:pStyle w:val="H23GA"/>
        <w:rPr>
          <w:szCs w:val="20"/>
          <w:lang w:val="ar-SA" w:eastAsia="zh-TW" w:bidi="en-GB"/>
        </w:rPr>
      </w:pPr>
      <w:r>
        <w:rPr>
          <w:rtl/>
        </w:rPr>
        <w:tab/>
        <w:t>(ب)</w:t>
      </w:r>
      <w:r>
        <w:rPr>
          <w:rtl/>
        </w:rPr>
        <w:tab/>
        <w:t>المكسيك</w:t>
      </w:r>
    </w:p>
    <w:p w14:paraId="38FE95ED" w14:textId="24CFAFD1" w:rsidR="00971B29" w:rsidRDefault="00971B29" w:rsidP="00971B29">
      <w:pPr>
        <w:pStyle w:val="SingleTxtGA"/>
        <w:rPr>
          <w:szCs w:val="20"/>
          <w:lang w:val="ar-SA" w:eastAsia="zh-TW" w:bidi="en-GB"/>
        </w:rPr>
      </w:pPr>
      <w:r w:rsidRPr="00FA58B2">
        <w:rPr>
          <w:rtl/>
        </w:rPr>
        <w:t>23</w:t>
      </w:r>
      <w:r>
        <w:rPr>
          <w:rFonts w:ascii="Traditional Arabic"/>
          <w:szCs w:val="20"/>
          <w:rtl/>
        </w:rPr>
        <w:t>-</w:t>
      </w:r>
      <w:r>
        <w:rPr>
          <w:rtl/>
        </w:rPr>
        <w:tab/>
        <w:t xml:space="preserve">حتى </w:t>
      </w:r>
      <w:r w:rsidRPr="00FA58B2">
        <w:rPr>
          <w:rtl/>
        </w:rPr>
        <w:t>1</w:t>
      </w:r>
      <w:r>
        <w:rPr>
          <w:rtl/>
        </w:rPr>
        <w:t xml:space="preserve"> نيسان/أبريل </w:t>
      </w:r>
      <w:r w:rsidRPr="00FA58B2">
        <w:rPr>
          <w:rtl/>
        </w:rPr>
        <w:t>2021</w:t>
      </w:r>
      <w:r>
        <w:rPr>
          <w:rtl/>
        </w:rPr>
        <w:t xml:space="preserve">، سجلت اللجنة ما مجموعه </w:t>
      </w:r>
      <w:r w:rsidRPr="00FA58B2">
        <w:rPr>
          <w:rtl/>
        </w:rPr>
        <w:t>424</w:t>
      </w:r>
      <w:r>
        <w:rPr>
          <w:rtl/>
        </w:rPr>
        <w:t xml:space="preserve"> طلبا</w:t>
      </w:r>
      <w:r w:rsidR="005E55D0">
        <w:rPr>
          <w:rFonts w:hint="cs"/>
          <w:rtl/>
        </w:rPr>
        <w:t>ً</w:t>
      </w:r>
      <w:r>
        <w:rPr>
          <w:rtl/>
        </w:rPr>
        <w:t xml:space="preserve"> لاتخاذ الإجراءات العاجلة، تتعلق بالأحداث التي وقعت في المكسيك، وهو ما يعادل </w:t>
      </w:r>
      <w:r w:rsidRPr="00FA58B2">
        <w:rPr>
          <w:rtl/>
        </w:rPr>
        <w:t>42</w:t>
      </w:r>
      <w:r>
        <w:rPr>
          <w:rtl/>
        </w:rPr>
        <w:t xml:space="preserve"> في المائة من جميع طلبات اتخاذ </w:t>
      </w:r>
      <w:r w:rsidRPr="009041C9">
        <w:rPr>
          <w:spacing w:val="-2"/>
          <w:rtl/>
        </w:rPr>
        <w:t>الإجراءات</w:t>
      </w:r>
      <w:r w:rsidR="009041C9" w:rsidRPr="009041C9">
        <w:rPr>
          <w:rFonts w:hint="cs"/>
          <w:spacing w:val="-2"/>
          <w:rtl/>
        </w:rPr>
        <w:t> </w:t>
      </w:r>
      <w:r w:rsidRPr="009041C9">
        <w:rPr>
          <w:spacing w:val="-2"/>
          <w:rtl/>
        </w:rPr>
        <w:t>العاجلة المسجلة حتى الآن. ومن بين هذه الحالات البالغ عددها 424 حالة، أُغلق ملف 46 حالة</w:t>
      </w:r>
      <w:r>
        <w:rPr>
          <w:rtl/>
        </w:rPr>
        <w:t xml:space="preserve"> بسبب تحديد مكان الأشخاص المختفين، في حين ظلت الحالات المتبقية مفتوحة أو أوقفَ النظر فيها (انظر </w:t>
      </w:r>
      <w:r>
        <w:rPr>
          <w:rtl/>
        </w:rPr>
        <w:lastRenderedPageBreak/>
        <w:t xml:space="preserve">الفقرات </w:t>
      </w:r>
      <w:r w:rsidRPr="00FA58B2">
        <w:rPr>
          <w:rtl/>
        </w:rPr>
        <w:t>32</w:t>
      </w:r>
      <w:r>
        <w:rPr>
          <w:rFonts w:ascii="Traditional Arabic"/>
          <w:szCs w:val="20"/>
          <w:rtl/>
        </w:rPr>
        <w:t>-</w:t>
      </w:r>
      <w:r w:rsidRPr="00FA58B2">
        <w:rPr>
          <w:rtl/>
        </w:rPr>
        <w:t>33</w:t>
      </w:r>
      <w:r>
        <w:rPr>
          <w:rtl/>
        </w:rPr>
        <w:t xml:space="preserve"> أدناه). وترحب اللجنة بارتفاع عدد الردود التي قدمتها الدولة الطرف بشأن الطلبات</w:t>
      </w:r>
      <w:r w:rsidR="009041C9">
        <w:rPr>
          <w:rFonts w:hint="cs"/>
          <w:rtl/>
        </w:rPr>
        <w:t> </w:t>
      </w:r>
      <w:r>
        <w:rPr>
          <w:rtl/>
        </w:rPr>
        <w:t>المسجلة، رغم أن رسائل التذكير لا تزال ترسَل بشأن نصف عدد الحالات تقريبا. وفي الغالبية العظمى من الحالات، أرسلت اللجنة، لدى تلقي ردود الدولة الطرف، مذكرات متابعة كررت فيها مختلف توصياتها السابقة المتعلقة بإعداد السلطات المختصة استراتيجيات البحث والتحقيق وتنفيذها إياها (انظر الفقرات</w:t>
      </w:r>
      <w:r w:rsidR="00CA23C4">
        <w:rPr>
          <w:rFonts w:hint="cs"/>
          <w:rtl/>
        </w:rPr>
        <w:t> </w:t>
      </w:r>
      <w:r w:rsidRPr="00FA58B2">
        <w:rPr>
          <w:rtl/>
        </w:rPr>
        <w:t>11</w:t>
      </w:r>
      <w:r>
        <w:rPr>
          <w:rFonts w:ascii="Traditional Arabic"/>
          <w:szCs w:val="20"/>
          <w:rtl/>
        </w:rPr>
        <w:t>-</w:t>
      </w:r>
      <w:r w:rsidRPr="00FA58B2">
        <w:rPr>
          <w:rtl/>
        </w:rPr>
        <w:t>13</w:t>
      </w:r>
      <w:r>
        <w:rPr>
          <w:rtl/>
        </w:rPr>
        <w:t xml:space="preserve"> أعلاه).</w:t>
      </w:r>
    </w:p>
    <w:p w14:paraId="19CA82C3" w14:textId="4703CBAA" w:rsidR="00971B29" w:rsidRPr="00F51BB9" w:rsidRDefault="00971B29" w:rsidP="00971B29">
      <w:pPr>
        <w:pStyle w:val="SingleTxtGA"/>
        <w:rPr>
          <w:szCs w:val="20"/>
          <w:lang w:val="ar-SA" w:eastAsia="zh-TW" w:bidi="en-GB"/>
        </w:rPr>
      </w:pPr>
      <w:r w:rsidRPr="00FA58B2">
        <w:rPr>
          <w:rtl/>
        </w:rPr>
        <w:t>24</w:t>
      </w:r>
      <w:r>
        <w:rPr>
          <w:rFonts w:ascii="Traditional Arabic"/>
          <w:szCs w:val="20"/>
          <w:rtl/>
        </w:rPr>
        <w:t>-</w:t>
      </w:r>
      <w:r>
        <w:rPr>
          <w:rtl/>
        </w:rPr>
        <w:tab/>
        <w:t>وكثيرا</w:t>
      </w:r>
      <w:r w:rsidR="005E55D0">
        <w:rPr>
          <w:rFonts w:hint="cs"/>
          <w:rtl/>
        </w:rPr>
        <w:t>ً</w:t>
      </w:r>
      <w:r>
        <w:rPr>
          <w:rtl/>
        </w:rPr>
        <w:t xml:space="preserve"> ما أُبلغت اللجنة بعدم التنسيق بين السلطة الاتحادية وسلطات الولايات المكلّفة بالبحث والتحقيق في المكسيك، فينشأ عن ذلك ما يعيق التقدم أو حتى ما يحول دون إحرازه. وفي بعض الحالات، أُبلغت اللجنة بأن سلطة الولاية رفضت التعاون مع السلطة الاتحادية. وفي هذه الحالات، أرسلت اللجنة مذكرات متابعة طلبت فيها إلى كل سلطة من السلطات المكلّفة على مختلف المستويات أن تحدد مهامها بوضوح وتنسّق فيما بينها (انظر الفقرة </w:t>
      </w:r>
      <w:r w:rsidRPr="00FA58B2">
        <w:rPr>
          <w:rtl/>
        </w:rPr>
        <w:t>13</w:t>
      </w:r>
      <w:r>
        <w:rPr>
          <w:rtl/>
        </w:rPr>
        <w:t xml:space="preserve"> أعلاه).</w:t>
      </w:r>
    </w:p>
    <w:p w14:paraId="09072844" w14:textId="77777777" w:rsidR="00971B29" w:rsidRDefault="00971B29" w:rsidP="00971B29">
      <w:pPr>
        <w:pStyle w:val="SingleTxtGA"/>
        <w:rPr>
          <w:szCs w:val="20"/>
          <w:lang w:val="ar-SA" w:eastAsia="zh-TW" w:bidi="en-GB"/>
        </w:rPr>
      </w:pPr>
      <w:r w:rsidRPr="00FA58B2">
        <w:rPr>
          <w:rtl/>
        </w:rPr>
        <w:t>25</w:t>
      </w:r>
      <w:r>
        <w:rPr>
          <w:rFonts w:ascii="Traditional Arabic"/>
          <w:szCs w:val="20"/>
          <w:rtl/>
        </w:rPr>
        <w:t>-</w:t>
      </w:r>
      <w:r>
        <w:rPr>
          <w:rtl/>
        </w:rPr>
        <w:tab/>
        <w:t>وبيّنت اللجنة مرارا، في توصياتها إلى المكسيك، أن من واجب الدولة الطرف بموجب الاتفاقية أن تكفل إبلاغ الضحايا دورياً بالخطوات التي تتخذها السلطات المكلفة بالبحث والتحقيق، وأن تجعلهم جزءاً من العملية. وفي الفترة قيد الاستعراض، ظل التقدم المحرز في العمليات يعتمد إلى حد كبير على مبادرات  أقارب الأشخاص المختفين وما يقومون به من عمل. وكانت إتاحة تفاعل الضحايا مع سلطات الدولة الطرف المكلفة بالبحث والتحقيق حاسمة بالنسبة للتمكين من إحراز بعض التقدم في عدة حالات. ومع ذلك، أشار أصحاب طلبات اتخاذ الإجراءات العاجلة في أحيان كثيرة إلى الصعوبات التي تعترضهم في سبيل ضمان أن تأخذ السلطات بعين الاعتبار ما يقدمونه من معلومات وأن تمارس العناية الواجبة في التعاطي معه. وفي أحيان كثيرة، أعربوا أيضاً عن أسفهم لأنه لا تُجرى في كثير من الأحيان تحقيقات في الموقع ولا تحليلات شاملة للأدلة المتوفرة.</w:t>
      </w:r>
    </w:p>
    <w:p w14:paraId="72A07FBB" w14:textId="77777777" w:rsidR="00971B29" w:rsidRDefault="00971B29" w:rsidP="00971B29">
      <w:pPr>
        <w:pStyle w:val="SingleTxtGA"/>
        <w:rPr>
          <w:szCs w:val="20"/>
          <w:lang w:val="ar-SA" w:eastAsia="zh-TW" w:bidi="en-GB"/>
        </w:rPr>
      </w:pPr>
      <w:r w:rsidRPr="00FA58B2">
        <w:rPr>
          <w:rtl/>
        </w:rPr>
        <w:t>26</w:t>
      </w:r>
      <w:r>
        <w:rPr>
          <w:rFonts w:ascii="Traditional Arabic"/>
          <w:szCs w:val="20"/>
          <w:rtl/>
        </w:rPr>
        <w:t>-</w:t>
      </w:r>
      <w:r>
        <w:rPr>
          <w:rtl/>
        </w:rPr>
        <w:tab/>
        <w:t>واستمر أصحاب طلبات اتخاذ الإجراءات العاجلة بشأن أحداث في المكسيك في تقديم ادعاءات متكررة بأن سلطات الدولة متورطة بصورة مباشرة أو غير مباشرة في الأحداث المحيطة بحالات الاختفاء، وأن جهود البحث والتحقيق قد توقفت. فعندما وقعت الأحداث قبل عدة سنوات، أشار أصحاب الطلبات مراراً إلى مسؤولية سلطات الدولة الطرف من حيث عدم بذل العناية، معتبرين أن تقاعسها قد أصبح عاملاً إضافياً في المسؤولية عن الاختفاء القسري المدعى. وفي تلك الحالات، أكدت اللجنة للدولة الطرف أهمية إنشاء آليات لمساءلة موظفي الدولة المكلفين بعمليات البحث والتحقيق، وطلبت إلى الدولة الطرف التحقيق في ادعاءات أن هؤلاء الموظفين أعاقوا الإجراءات.</w:t>
      </w:r>
    </w:p>
    <w:p w14:paraId="125130A2" w14:textId="7BB0C1B2" w:rsidR="00971B29" w:rsidRDefault="00971B29" w:rsidP="00971B29">
      <w:pPr>
        <w:pStyle w:val="SingleTxtGA"/>
        <w:rPr>
          <w:szCs w:val="20"/>
          <w:lang w:val="ar-SA" w:eastAsia="zh-TW" w:bidi="en-GB"/>
        </w:rPr>
      </w:pPr>
      <w:r w:rsidRPr="00FA58B2">
        <w:rPr>
          <w:rtl/>
        </w:rPr>
        <w:t>27</w:t>
      </w:r>
      <w:r>
        <w:rPr>
          <w:rFonts w:ascii="Traditional Arabic"/>
          <w:szCs w:val="20"/>
          <w:rtl/>
        </w:rPr>
        <w:t>-</w:t>
      </w:r>
      <w:r>
        <w:rPr>
          <w:rtl/>
        </w:rPr>
        <w:tab/>
        <w:t xml:space="preserve">وتلقت اللجنة خلال الفترة قيد الاستعراض </w:t>
      </w:r>
      <w:r w:rsidRPr="00FA58B2">
        <w:rPr>
          <w:rtl/>
        </w:rPr>
        <w:t>45</w:t>
      </w:r>
      <w:r>
        <w:rPr>
          <w:rtl/>
        </w:rPr>
        <w:t xml:space="preserve"> طلبا</w:t>
      </w:r>
      <w:r w:rsidR="005E55D0">
        <w:rPr>
          <w:rFonts w:hint="cs"/>
          <w:rtl/>
        </w:rPr>
        <w:t>ً</w:t>
      </w:r>
      <w:r>
        <w:rPr>
          <w:rtl/>
        </w:rPr>
        <w:t xml:space="preserve"> لاتخاذ الإجراءات العاجلة في حالات اختفاء يُدّعى وقوعها في ولاية ناياريت، بمشاركة مباشرة أو غير مباشرة من موظفي مكتب المدعي العام في ولاية ناياريت. وفي هذه الطلبات، ادُّعي أن المدعي العام السابق لولاية ناياريت، إدغار فيتيا، الذي سبق أن أدين بالاتجار بالمخدرات في الولايات المتحدة الأمريكية، حافظ على صلات بعصابات الجريمة المنظمة، وكان هو نفسه متورطا</w:t>
      </w:r>
      <w:r w:rsidR="00571D6E">
        <w:rPr>
          <w:rFonts w:hint="cs"/>
          <w:rtl/>
        </w:rPr>
        <w:t>ً</w:t>
      </w:r>
      <w:r>
        <w:rPr>
          <w:rtl/>
        </w:rPr>
        <w:t xml:space="preserve"> في العديد من حالات الاختفاء القسري وغيرها من انتهاكات حقوق الإنسان في الولاية. وفي بعض طلبات اتخاذ الإجراءات العاجلة، ادُّعي أيضا</w:t>
      </w:r>
      <w:r w:rsidR="005E55D0">
        <w:rPr>
          <w:rFonts w:hint="cs"/>
          <w:rtl/>
        </w:rPr>
        <w:t>ً</w:t>
      </w:r>
      <w:r>
        <w:rPr>
          <w:rtl/>
        </w:rPr>
        <w:t xml:space="preserve"> أن الموظفين الحاليين في مكتب المدعي الخاص للتحقيق في حالات الأشخاص المختفين في ولاية ناياريت متورطون في حالات اختفاء قسري أو تعاونوا عن كثب مع السيد فيتيا. وحُددت هوية من يُدَّعى أنهم الجناة في بعض هذه الحالات، غير أنه لم تُجر أي تحقيقات لتحديد مسؤوليتهم. وفي تلك الحالات، طلبت اللجنة إلى الدولة الطرف أن تتخذ التدابير اللازمة للتحقيق في أي نشاط أو تدخُّل تقوم به السلطات بهدف إعاقة البحث والتحقيق الفعالين في سياق الاختفاء القسري، وأن تحقق، على وجه الخصوص، مع موظفي مكتب المدعي العام الذين ربما كانت لهم </w:t>
      </w:r>
      <w:r>
        <w:rPr>
          <w:rtl/>
        </w:rPr>
        <w:lastRenderedPageBreak/>
        <w:t>صلات بالسيد فيتيا بقصد الوقوف على احتمال تورطهم في حالات الاختفاء المعنية. وطلبت اللجنة إلى الدولة الطرف كذلك أن تكفل اختصاص مكتب المدعي الخاص واستقلاله.</w:t>
      </w:r>
    </w:p>
    <w:p w14:paraId="4FC36887" w14:textId="77777777" w:rsidR="00971B29" w:rsidRPr="00F51BB9" w:rsidRDefault="00971B29" w:rsidP="00971B29">
      <w:pPr>
        <w:pStyle w:val="SingleTxtGA"/>
        <w:rPr>
          <w:szCs w:val="20"/>
          <w:lang w:val="ar-SA" w:eastAsia="zh-TW" w:bidi="en-GB"/>
        </w:rPr>
      </w:pPr>
      <w:r w:rsidRPr="00FA58B2">
        <w:rPr>
          <w:rtl/>
        </w:rPr>
        <w:t>28</w:t>
      </w:r>
      <w:r>
        <w:rPr>
          <w:rFonts w:ascii="Traditional Arabic"/>
          <w:szCs w:val="20"/>
          <w:rtl/>
        </w:rPr>
        <w:t>-</w:t>
      </w:r>
      <w:r>
        <w:rPr>
          <w:rtl/>
        </w:rPr>
        <w:tab/>
        <w:t xml:space="preserve">وأشار أصحاب طلبات اتخاذ الإجراءات العاجلة أيضاً إلى ما يعترض أقارب الأشخاص المختفين من صعوبات في الحصول على الدعم الذي تكفله التشريعات الوطنية والمادة </w:t>
      </w:r>
      <w:r w:rsidRPr="00FA58B2">
        <w:rPr>
          <w:rtl/>
        </w:rPr>
        <w:t>24</w:t>
      </w:r>
      <w:r>
        <w:rPr>
          <w:rFonts w:ascii="Traditional Arabic"/>
          <w:szCs w:val="20"/>
          <w:rtl/>
        </w:rPr>
        <w:t>(</w:t>
      </w:r>
      <w:r w:rsidRPr="00FA58B2">
        <w:rPr>
          <w:rtl/>
        </w:rPr>
        <w:t>6</w:t>
      </w:r>
      <w:r>
        <w:rPr>
          <w:rFonts w:ascii="Traditional Arabic"/>
          <w:szCs w:val="20"/>
          <w:rtl/>
        </w:rPr>
        <w:t>)</w:t>
      </w:r>
      <w:r>
        <w:rPr>
          <w:rtl/>
        </w:rPr>
        <w:t xml:space="preserve"> من الاتفاقية. وبموجب تلك المادة، يتعين على الدول الأطراف أن تتخذ الخطوات المناسبة فيما يتعلق بالوضع القانوني للأشخاص المختفين الذين لم يتكشّف مصيرهم ولا مصير أقاربهم، في مجالات مثل الرعاية الاجتماعية والمسائل المالية وقانون الأسرة وحقوق الملكية. وفي كل حالة من تلك الحالات، أوضحت اللجنة للدولة الطرف التدابير اللازم اتخاذها بحسب الاحتياجات المحددة لأقارب الشخص المختفي، فيما يتعلق مثلاً بالحصول على الغذاء أو التعليم أو السكن أو الخدمات الصحية. وأشارت اللجنة أيضاً إلى واجب السلطات المختصة في الدولة الطرف أن تبلّغ أقارب الشخص المختفي بمضمون الدعم الذي يستحقونه من تلك السلطات المختصة وبنطاقه وإطاره الزمني. وطلبت اللجنة إلى الدولة الطرف أن تكفل إيلاء اللجنة التنفيذية لدعم الضحايا الاعتبار الواجب لحالة المستفيدين واحتياجاتهم عندما تكون بصدد وضع خطط الدعم وتنقيحها. </w:t>
      </w:r>
      <w:r>
        <w:rPr>
          <w:rFonts w:cs="Times New Roman" w:hint="cs"/>
          <w:rtl/>
        </w:rPr>
        <w:t>‬</w:t>
      </w:r>
    </w:p>
    <w:p w14:paraId="168DED4B" w14:textId="3BA77967" w:rsidR="00971B29" w:rsidRPr="00D33CE2" w:rsidRDefault="00971B29" w:rsidP="00971B29">
      <w:pPr>
        <w:pStyle w:val="H23GA"/>
        <w:rPr>
          <w:szCs w:val="20"/>
          <w:lang w:val="ar-SA" w:eastAsia="zh-TW" w:bidi="en-GB"/>
        </w:rPr>
      </w:pPr>
      <w:r>
        <w:rPr>
          <w:rFonts w:ascii="Traditional Arabic"/>
          <w:szCs w:val="20"/>
          <w:rtl/>
        </w:rPr>
        <w:tab/>
      </w:r>
      <w:r w:rsidRPr="00FA58B2">
        <w:rPr>
          <w:rtl/>
        </w:rPr>
        <w:t>3</w:t>
      </w:r>
      <w:r>
        <w:rPr>
          <w:rFonts w:ascii="Traditional Arabic"/>
          <w:szCs w:val="20"/>
          <w:rtl/>
        </w:rPr>
        <w:t>-</w:t>
      </w:r>
      <w:r>
        <w:rPr>
          <w:rtl/>
        </w:rPr>
        <w:tab/>
        <w:t>التطورات في باراغواي وبوركينا فاسو وبيرو والمغرب</w:t>
      </w:r>
    </w:p>
    <w:p w14:paraId="5DD51F73" w14:textId="77777777" w:rsidR="00971B29" w:rsidRPr="00D33CE2" w:rsidRDefault="00971B29" w:rsidP="00971B29">
      <w:pPr>
        <w:pStyle w:val="SingleTxtGA"/>
        <w:rPr>
          <w:szCs w:val="20"/>
          <w:lang w:val="ar-SA" w:eastAsia="zh-TW" w:bidi="en-GB"/>
        </w:rPr>
      </w:pPr>
      <w:r w:rsidRPr="00FA58B2">
        <w:rPr>
          <w:rtl/>
        </w:rPr>
        <w:t>29</w:t>
      </w:r>
      <w:r>
        <w:rPr>
          <w:rFonts w:ascii="Traditional Arabic"/>
          <w:szCs w:val="20"/>
          <w:rtl/>
        </w:rPr>
        <w:t>-</w:t>
      </w:r>
      <w:r>
        <w:rPr>
          <w:rtl/>
        </w:rPr>
        <w:tab/>
      </w:r>
      <w:r>
        <w:rPr>
          <w:b/>
          <w:bCs/>
          <w:rtl/>
        </w:rPr>
        <w:t>اختفاء أحد أفراد جماعة من السكان الأصليين قسراً.</w:t>
      </w:r>
      <w:r>
        <w:rPr>
          <w:rtl/>
        </w:rPr>
        <w:t xml:space="preserve"> خلال الفترة المشمولة بالتقرير، سجلت اللجنة أول طلب لاتخاذ الإجراءات العاجلة يتعلق ببوركينا فاسو. ويتعلق الطلب بادعاء اختفاء أحد أفراد إثنية البول قسراً بعد أن اعتقله عناصر من الدرك.</w:t>
      </w:r>
    </w:p>
    <w:p w14:paraId="54246A60" w14:textId="27B24DBC" w:rsidR="00971B29" w:rsidRPr="00D33CE2" w:rsidRDefault="00971B29" w:rsidP="00971B29">
      <w:pPr>
        <w:pStyle w:val="SingleTxtGA"/>
        <w:rPr>
          <w:szCs w:val="20"/>
          <w:lang w:val="ar-SA" w:eastAsia="zh-TW" w:bidi="en-GB"/>
        </w:rPr>
      </w:pPr>
      <w:r w:rsidRPr="00FA58B2">
        <w:rPr>
          <w:rtl/>
        </w:rPr>
        <w:t>30</w:t>
      </w:r>
      <w:r>
        <w:rPr>
          <w:rFonts w:ascii="Traditional Arabic"/>
          <w:szCs w:val="20"/>
          <w:rtl/>
        </w:rPr>
        <w:t>-</w:t>
      </w:r>
      <w:r>
        <w:rPr>
          <w:rtl/>
        </w:rPr>
        <w:tab/>
      </w:r>
      <w:r>
        <w:rPr>
          <w:b/>
          <w:bCs/>
          <w:rtl/>
        </w:rPr>
        <w:t>الاختفاء القسري في سياق قتال عصابات مسلحة.</w:t>
      </w:r>
      <w:r>
        <w:rPr>
          <w:rtl/>
        </w:rPr>
        <w:t xml:space="preserve"> سجلت اللجنة أيضا</w:t>
      </w:r>
      <w:r w:rsidR="00571D6E">
        <w:rPr>
          <w:rFonts w:hint="cs"/>
          <w:rtl/>
        </w:rPr>
        <w:t>ً</w:t>
      </w:r>
      <w:r>
        <w:rPr>
          <w:rtl/>
        </w:rPr>
        <w:t xml:space="preserve"> أول طلب لاتخاذ الإجراءات العاجلة يتعلق بباراغواي. ويتعلق الطلب بادعاء اختفاء فتاة قسراً في سياق عملية قادتها فرقة عمل مشتركة بين الشرطة والجيش أُنشئت لمكافحة منظمة "جيش شعب باراغواي"، وهي منظمة عصابات مسلحة. وأعربت اللجنة، في مذكرة المتابعة التي قدمتها، عن القلق إزاء عدم توفر معلومات عن أي تدابير ملموسة تكون قد اتُّخذت للبحث عن الفتاة وتحديد مكانها والتحقيق في اختفائها، بما في ذلك استكشاف إمكانية احتجازها على يد "جيش شعب باراغواي".</w:t>
      </w:r>
    </w:p>
    <w:p w14:paraId="1411B86C" w14:textId="6EBB6F86" w:rsidR="00971B29" w:rsidRPr="00D33CE2" w:rsidRDefault="00971B29" w:rsidP="00971B29">
      <w:pPr>
        <w:pStyle w:val="SingleTxtGA"/>
        <w:rPr>
          <w:szCs w:val="20"/>
          <w:lang w:val="ar-SA" w:eastAsia="zh-TW" w:bidi="en-GB"/>
        </w:rPr>
      </w:pPr>
      <w:r w:rsidRPr="00FA58B2">
        <w:rPr>
          <w:rtl/>
        </w:rPr>
        <w:t>31</w:t>
      </w:r>
      <w:r>
        <w:rPr>
          <w:rFonts w:ascii="Traditional Arabic"/>
          <w:szCs w:val="20"/>
          <w:rtl/>
        </w:rPr>
        <w:t>-</w:t>
      </w:r>
      <w:r>
        <w:rPr>
          <w:rtl/>
        </w:rPr>
        <w:tab/>
      </w:r>
      <w:r>
        <w:rPr>
          <w:b/>
          <w:bCs/>
          <w:rtl/>
        </w:rPr>
        <w:t>الاختفاء القسري في سياق تسليم مطلوبين للعدالة.</w:t>
      </w:r>
      <w:r>
        <w:rPr>
          <w:rtl/>
        </w:rPr>
        <w:t xml:space="preserve"> سجلت اللجنة </w:t>
      </w:r>
      <w:r w:rsidRPr="00FA58B2">
        <w:rPr>
          <w:rtl/>
        </w:rPr>
        <w:t>13</w:t>
      </w:r>
      <w:r>
        <w:rPr>
          <w:rtl/>
        </w:rPr>
        <w:t xml:space="preserve"> طلبا</w:t>
      </w:r>
      <w:r w:rsidR="00571D6E">
        <w:rPr>
          <w:rFonts w:hint="cs"/>
          <w:rtl/>
        </w:rPr>
        <w:t>ً</w:t>
      </w:r>
      <w:r>
        <w:rPr>
          <w:rtl/>
        </w:rPr>
        <w:t xml:space="preserve"> لاتخاذ الإجراءات العاجلة فيما يتعلق ببيرو. وتتعلق الطلبات بادعاء الاختفاء القسري لمشاركين في الاحتجاجات المناهضة للرئيس التي شهدتها ليما في تشرين الثاني/نوفمبر </w:t>
      </w:r>
      <w:r w:rsidRPr="00FA58B2">
        <w:rPr>
          <w:rtl/>
        </w:rPr>
        <w:t>2020</w:t>
      </w:r>
      <w:r>
        <w:rPr>
          <w:rFonts w:ascii="Traditional Arabic"/>
          <w:szCs w:val="20"/>
          <w:rtl/>
        </w:rPr>
        <w:t>.</w:t>
      </w:r>
      <w:r>
        <w:rPr>
          <w:rtl/>
        </w:rPr>
        <w:t xml:space="preserve"> وقد أغلقت هذه الحالات بعد تحديد مكان المحتجزين والإفراج عنهم (انظر الفقرة </w:t>
      </w:r>
      <w:r w:rsidRPr="00FA58B2">
        <w:rPr>
          <w:rtl/>
        </w:rPr>
        <w:t>37</w:t>
      </w:r>
      <w:r>
        <w:rPr>
          <w:rtl/>
        </w:rPr>
        <w:t xml:space="preserve"> أدناه).</w:t>
      </w:r>
    </w:p>
    <w:p w14:paraId="06DCCF05" w14:textId="37CA2386" w:rsidR="00971B29" w:rsidRPr="00F51BB9" w:rsidRDefault="00971B29" w:rsidP="00971B29">
      <w:pPr>
        <w:pStyle w:val="SingleTxtGA"/>
        <w:rPr>
          <w:szCs w:val="20"/>
          <w:lang w:val="ar-SA" w:eastAsia="zh-TW" w:bidi="en-GB"/>
        </w:rPr>
      </w:pPr>
      <w:r w:rsidRPr="00FA58B2">
        <w:rPr>
          <w:rtl/>
        </w:rPr>
        <w:t>32</w:t>
      </w:r>
      <w:r>
        <w:rPr>
          <w:rFonts w:ascii="Traditional Arabic"/>
          <w:szCs w:val="20"/>
          <w:rtl/>
        </w:rPr>
        <w:t>-</w:t>
      </w:r>
      <w:r>
        <w:rPr>
          <w:rtl/>
        </w:rPr>
        <w:tab/>
      </w:r>
      <w:r>
        <w:rPr>
          <w:b/>
          <w:bCs/>
          <w:rtl/>
        </w:rPr>
        <w:t>الاختفاء القسري في سياق تسليم مطلوبين للعدالة.</w:t>
      </w:r>
      <w:r>
        <w:rPr>
          <w:rtl/>
        </w:rPr>
        <w:t xml:space="preserve"> سجلت اللجنة طلبا</w:t>
      </w:r>
      <w:r w:rsidR="00571D6E">
        <w:rPr>
          <w:rFonts w:hint="cs"/>
          <w:rtl/>
        </w:rPr>
        <w:t>ً</w:t>
      </w:r>
      <w:r>
        <w:rPr>
          <w:rtl/>
        </w:rPr>
        <w:t xml:space="preserve"> لاتخاذ الإجراءات العاجلة بشأن اختفاء شخص كان قد سلَّمه المغرب إلى المملكة العربية السعودية ولم تكشف السلطات السعودية لأقاربه عن مكانه. وفي هذه الحالة، طلبت اللجنة إلى الدولة الطرف أن تتعاون مع السلطات السعودية لأجل تحديد مكان الشخص والتحقيق في اختفائه القسري المدعى، </w:t>
      </w:r>
      <w:r w:rsidR="00B33122">
        <w:rPr>
          <w:rtl/>
        </w:rPr>
        <w:t>وفقاً</w:t>
      </w:r>
      <w:r>
        <w:rPr>
          <w:rtl/>
        </w:rPr>
        <w:t xml:space="preserve"> لالتزاماتها بموجب المادتين </w:t>
      </w:r>
      <w:r w:rsidRPr="00FA58B2">
        <w:rPr>
          <w:rtl/>
        </w:rPr>
        <w:t>14</w:t>
      </w:r>
      <w:r>
        <w:rPr>
          <w:rtl/>
        </w:rPr>
        <w:t xml:space="preserve"> و</w:t>
      </w:r>
      <w:r w:rsidRPr="00FA58B2">
        <w:rPr>
          <w:rtl/>
        </w:rPr>
        <w:t>15</w:t>
      </w:r>
      <w:r>
        <w:rPr>
          <w:rtl/>
        </w:rPr>
        <w:t xml:space="preserve"> من الاتفاقية.</w:t>
      </w:r>
    </w:p>
    <w:p w14:paraId="5FFEA6BD" w14:textId="25C96EAC" w:rsidR="00971B29" w:rsidRPr="00F51BB9" w:rsidRDefault="00971B29" w:rsidP="00971B29">
      <w:pPr>
        <w:pStyle w:val="H1GA"/>
        <w:rPr>
          <w:szCs w:val="20"/>
          <w:lang w:val="ar-SA" w:eastAsia="zh-TW" w:bidi="en-GB"/>
        </w:rPr>
      </w:pPr>
      <w:r>
        <w:rPr>
          <w:rtl/>
        </w:rPr>
        <w:tab/>
        <w:t>دال-</w:t>
      </w:r>
      <w:r>
        <w:rPr>
          <w:rtl/>
        </w:rPr>
        <w:tab/>
        <w:t>طلبات الإجراءات العاجلة التي شُطبت أو أُغلقت أو لا تزال مفتوحة أو أُوقف النظر فيها لأجل حماية الأشخاص الذين اتُّخذت لأجلهم تدابير مؤقتة</w:t>
      </w:r>
    </w:p>
    <w:p w14:paraId="474F9C24" w14:textId="7EC6FEB1" w:rsidR="00971B29" w:rsidRPr="00F51BB9" w:rsidRDefault="00971B29" w:rsidP="00971B29">
      <w:pPr>
        <w:pStyle w:val="SingleTxtGA"/>
        <w:rPr>
          <w:szCs w:val="20"/>
          <w:lang w:val="ar-SA" w:eastAsia="zh-TW" w:bidi="en-GB"/>
        </w:rPr>
      </w:pPr>
      <w:r w:rsidRPr="00FA58B2">
        <w:rPr>
          <w:rtl/>
        </w:rPr>
        <w:t>33</w:t>
      </w:r>
      <w:r>
        <w:rPr>
          <w:rFonts w:ascii="Traditional Arabic"/>
          <w:szCs w:val="20"/>
          <w:rtl/>
        </w:rPr>
        <w:t>-</w:t>
      </w:r>
      <w:r>
        <w:rPr>
          <w:rtl/>
        </w:rPr>
        <w:tab/>
      </w:r>
      <w:r w:rsidR="00B33122">
        <w:rPr>
          <w:rtl/>
        </w:rPr>
        <w:t>وفقاً</w:t>
      </w:r>
      <w:r>
        <w:rPr>
          <w:rtl/>
        </w:rPr>
        <w:t xml:space="preserve"> للمعايير التي اعتمدتها اللجنة في جلسة عامة أثناء دورتها الثامنة:</w:t>
      </w:r>
    </w:p>
    <w:p w14:paraId="5425F81B" w14:textId="520E7A4F" w:rsidR="00971B29" w:rsidRPr="00F51BB9" w:rsidRDefault="009B31A5" w:rsidP="00971B29">
      <w:pPr>
        <w:pStyle w:val="SingleTxtGA"/>
        <w:rPr>
          <w:szCs w:val="20"/>
          <w:lang w:val="ar-SA" w:eastAsia="zh-TW" w:bidi="en-GB"/>
        </w:rPr>
      </w:pPr>
      <w:r>
        <w:rPr>
          <w:rtl/>
        </w:rPr>
        <w:lastRenderedPageBreak/>
        <w:tab/>
      </w:r>
      <w:r w:rsidR="00971B29">
        <w:rPr>
          <w:rtl/>
        </w:rPr>
        <w:t>(أ)</w:t>
      </w:r>
      <w:r w:rsidR="00971B29">
        <w:rPr>
          <w:rtl/>
        </w:rPr>
        <w:tab/>
        <w:t>يُشطب طلب اتخاذ الإجراءات العاجلة عندما يُحدَّد مكان الشخص المختفي ولكنه لا</w:t>
      </w:r>
      <w:r>
        <w:rPr>
          <w:rFonts w:hint="cs"/>
          <w:rtl/>
        </w:rPr>
        <w:t> </w:t>
      </w:r>
      <w:r w:rsidR="00971B29">
        <w:rPr>
          <w:rtl/>
        </w:rPr>
        <w:t>يزال رهن الاحتجاز؛ وسبب اتخاذ هذه الخطوة هو أن الشخص المعني يكون معرضا بصورة أشد لخطر الوقوع ضحية اختفاء قسري جديد والخروج من نطاق حماية القانون؛</w:t>
      </w:r>
    </w:p>
    <w:p w14:paraId="4FABF448" w14:textId="34961221" w:rsidR="00971B29" w:rsidRPr="00F51BB9" w:rsidRDefault="009B31A5" w:rsidP="00971B29">
      <w:pPr>
        <w:pStyle w:val="SingleTxtGA"/>
        <w:rPr>
          <w:szCs w:val="20"/>
          <w:lang w:val="ar-SA" w:eastAsia="zh-TW" w:bidi="en-GB"/>
        </w:rPr>
      </w:pPr>
      <w:r>
        <w:rPr>
          <w:rtl/>
        </w:rPr>
        <w:tab/>
      </w:r>
      <w:r w:rsidR="00971B29">
        <w:rPr>
          <w:rtl/>
        </w:rPr>
        <w:t>(ب)</w:t>
      </w:r>
      <w:r w:rsidR="00971B29">
        <w:rPr>
          <w:rtl/>
        </w:rPr>
        <w:tab/>
        <w:t>يغلَق طلب اتخاذ الإجراءات العاجلة متى عُثر على الشخص المختفي حراً طليقاً، أو متى عُثر عليه ثم أُفرج عنه، أو عُثر عليه ميتاً، شريطة ألا يطعن أفراد أسرته و/أو أصحاب الطلب في صحة هذه الوقائع؛</w:t>
      </w:r>
    </w:p>
    <w:p w14:paraId="12C74B25" w14:textId="3303D1D8" w:rsidR="00971B29" w:rsidRPr="00F51BB9" w:rsidRDefault="009B31A5" w:rsidP="00971B29">
      <w:pPr>
        <w:pStyle w:val="SingleTxtGA"/>
        <w:rPr>
          <w:szCs w:val="20"/>
          <w:lang w:val="ar-SA" w:eastAsia="zh-TW" w:bidi="en-GB"/>
        </w:rPr>
      </w:pPr>
      <w:r>
        <w:rPr>
          <w:rtl/>
        </w:rPr>
        <w:tab/>
      </w:r>
      <w:r w:rsidR="00971B29">
        <w:rPr>
          <w:rtl/>
        </w:rPr>
        <w:t>(ج)</w:t>
      </w:r>
      <w:r w:rsidR="00971B29">
        <w:rPr>
          <w:rtl/>
        </w:rPr>
        <w:tab/>
        <w:t>يبقى طلب اتخاذ الإجراءات العاجلة مفتوحاً إذا حُدد مكان الشخص المختفي ولكن لا يزال الأشخاص الذين اتُّخذت لأجلهم تدابير مؤقتة في سياق طلب اتخاذ الإجراءات العاجلة تحت التهديد؛ وفي هذه الحالات، يقتصر تدخل اللجنة على متابعة التدابير المؤقتة.</w:t>
      </w:r>
    </w:p>
    <w:p w14:paraId="029A8DE2" w14:textId="77777777" w:rsidR="00971B29" w:rsidRPr="009B31A5" w:rsidRDefault="00971B29" w:rsidP="00971B29">
      <w:pPr>
        <w:pStyle w:val="SingleTxtGA"/>
        <w:rPr>
          <w:szCs w:val="20"/>
          <w:lang w:val="en-US" w:eastAsia="zh-TW" w:bidi="en-GB"/>
        </w:rPr>
      </w:pPr>
      <w:r w:rsidRPr="00FA58B2">
        <w:rPr>
          <w:rtl/>
        </w:rPr>
        <w:t>34</w:t>
      </w:r>
      <w:r>
        <w:rPr>
          <w:rFonts w:ascii="Traditional Arabic"/>
          <w:szCs w:val="20"/>
          <w:rtl/>
        </w:rPr>
        <w:t>-</w:t>
      </w:r>
      <w:r>
        <w:rPr>
          <w:rtl/>
        </w:rPr>
        <w:tab/>
        <w:t>وبالإضافة إلى هذه المعايير، اعتمدت اللجنة في دورتها العشرين الفئة الجديدة التالية من الحالات:</w:t>
      </w:r>
    </w:p>
    <w:p w14:paraId="7E41B67E" w14:textId="4B0256D9" w:rsidR="00971B29" w:rsidRPr="00F51BB9" w:rsidRDefault="0049290E" w:rsidP="009B31A5">
      <w:pPr>
        <w:pStyle w:val="SingleTxtGA"/>
        <w:ind w:left="1928"/>
        <w:rPr>
          <w:szCs w:val="20"/>
          <w:lang w:val="ar-SA" w:eastAsia="zh-TW" w:bidi="en-GB"/>
        </w:rPr>
      </w:pPr>
      <w:r>
        <w:rPr>
          <w:rtl/>
        </w:rPr>
        <w:tab/>
      </w:r>
      <w:r w:rsidR="00971B29">
        <w:rPr>
          <w:rtl/>
        </w:rPr>
        <w:t>(د)</w:t>
      </w:r>
      <w:r w:rsidR="00971B29">
        <w:rPr>
          <w:rtl/>
        </w:rPr>
        <w:tab/>
        <w:t>يوقَف النظر في طلب اتخاذ الإجراءات العاجلة، وتوقَف متابعته من قِبل اللجنة، عندما يفقد صاحب طلب اتخاذ الإجراءات العاجلة سبل الاتصال بأفراد أسرة الشخص المختفي ويتعذر عليه منذ ذلك الوقت تقديم معلومات لأغراض المتابعة؛ ويجوز استئناف النظر في طلب لاتخاذ الإجراءات العاجلة كان قد أوقِف النظر فيه إذا أبلغ صاحبه اللجنة بأنه استأنف الاتصال بأفراد الأسرة.</w:t>
      </w:r>
    </w:p>
    <w:p w14:paraId="3A03041A" w14:textId="77777777" w:rsidR="00971B29" w:rsidRPr="00F51BB9" w:rsidRDefault="00971B29" w:rsidP="00971B29">
      <w:pPr>
        <w:pStyle w:val="SingleTxtGA"/>
        <w:rPr>
          <w:szCs w:val="20"/>
          <w:lang w:val="ar-SA" w:eastAsia="zh-TW" w:bidi="en-GB"/>
        </w:rPr>
      </w:pPr>
      <w:r w:rsidRPr="00FA58B2">
        <w:rPr>
          <w:rtl/>
        </w:rPr>
        <w:t>35</w:t>
      </w:r>
      <w:r>
        <w:rPr>
          <w:rFonts w:ascii="Traditional Arabic"/>
          <w:szCs w:val="20"/>
          <w:rtl/>
        </w:rPr>
        <w:t>-</w:t>
      </w:r>
      <w:r>
        <w:rPr>
          <w:rtl/>
        </w:rPr>
        <w:tab/>
        <w:t xml:space="preserve">وحتى </w:t>
      </w:r>
      <w:r w:rsidRPr="00FA58B2">
        <w:rPr>
          <w:rtl/>
        </w:rPr>
        <w:t>1</w:t>
      </w:r>
      <w:r>
        <w:rPr>
          <w:rtl/>
        </w:rPr>
        <w:t xml:space="preserve"> نيسان/أبريل </w:t>
      </w:r>
      <w:r w:rsidRPr="00FA58B2">
        <w:rPr>
          <w:rtl/>
        </w:rPr>
        <w:t>2021</w:t>
      </w:r>
      <w:r>
        <w:rPr>
          <w:rtl/>
        </w:rPr>
        <w:t xml:space="preserve">، كانت اللجنة قد أغلقت </w:t>
      </w:r>
      <w:r w:rsidRPr="00FA58B2">
        <w:rPr>
          <w:rtl/>
        </w:rPr>
        <w:t>89</w:t>
      </w:r>
      <w:r>
        <w:rPr>
          <w:rtl/>
        </w:rPr>
        <w:t xml:space="preserve"> حالة تنطوي على اتخاذ الإجراءات العاجلة وشطبت </w:t>
      </w:r>
      <w:r w:rsidRPr="00FA58B2">
        <w:rPr>
          <w:rtl/>
        </w:rPr>
        <w:t>15</w:t>
      </w:r>
      <w:r>
        <w:rPr>
          <w:rtl/>
        </w:rPr>
        <w:t xml:space="preserve"> حالة وأوقفت النظر في </w:t>
      </w:r>
      <w:r w:rsidRPr="00FA58B2">
        <w:rPr>
          <w:rtl/>
        </w:rPr>
        <w:t>96</w:t>
      </w:r>
      <w:r>
        <w:rPr>
          <w:rtl/>
        </w:rPr>
        <w:t xml:space="preserve"> حالة. وظل ما مجموعه </w:t>
      </w:r>
      <w:r w:rsidRPr="00FA58B2">
        <w:rPr>
          <w:rtl/>
        </w:rPr>
        <w:t>813</w:t>
      </w:r>
      <w:r>
        <w:rPr>
          <w:rtl/>
        </w:rPr>
        <w:t xml:space="preserve"> حالة من حالات الإجراءات العاجلة مفتوحة.</w:t>
      </w:r>
      <w:bookmarkStart w:id="0" w:name="_Hlk45551809"/>
    </w:p>
    <w:p w14:paraId="20C11B76" w14:textId="77777777" w:rsidR="00971B29" w:rsidRPr="00F51BB9" w:rsidRDefault="00971B29" w:rsidP="00971B29">
      <w:pPr>
        <w:pStyle w:val="SingleTxtGA"/>
        <w:rPr>
          <w:szCs w:val="20"/>
          <w:lang w:val="ar-SA" w:eastAsia="zh-TW" w:bidi="en-GB"/>
        </w:rPr>
      </w:pPr>
      <w:r w:rsidRPr="00FA58B2">
        <w:rPr>
          <w:rtl/>
        </w:rPr>
        <w:t>36</w:t>
      </w:r>
      <w:r>
        <w:rPr>
          <w:rFonts w:ascii="Traditional Arabic"/>
          <w:szCs w:val="20"/>
          <w:rtl/>
        </w:rPr>
        <w:t>-</w:t>
      </w:r>
      <w:r>
        <w:rPr>
          <w:rtl/>
        </w:rPr>
        <w:tab/>
        <w:t xml:space="preserve">وفي اثنتين من حالات الإجراءات العاجلة التي عُثر فيها على الأشخاص المختفين أمواتاً (الحالة رقم </w:t>
      </w:r>
      <w:r w:rsidRPr="00FA58B2">
        <w:t>2014</w:t>
      </w:r>
      <w:r>
        <w:rPr>
          <w:rFonts w:ascii="Traditional Arabic"/>
          <w:szCs w:val="20"/>
        </w:rPr>
        <w:t>/</w:t>
      </w:r>
      <w:r w:rsidRPr="00FA58B2">
        <w:t>12</w:t>
      </w:r>
      <w:r>
        <w:rPr>
          <w:rtl/>
        </w:rPr>
        <w:t xml:space="preserve"> المتعلقة بكولومبيا، ورقم </w:t>
      </w:r>
      <w:r w:rsidRPr="00FA58B2">
        <w:t>2013</w:t>
      </w:r>
      <w:r>
        <w:rPr>
          <w:rFonts w:ascii="Traditional Arabic"/>
          <w:szCs w:val="20"/>
        </w:rPr>
        <w:t>/</w:t>
      </w:r>
      <w:r w:rsidRPr="00FA58B2">
        <w:t>8</w:t>
      </w:r>
      <w:r>
        <w:rPr>
          <w:rtl/>
        </w:rPr>
        <w:t xml:space="preserve"> المتعلقة بالمكسيك)، ظلت الإجراءات العاجلة مفتوحة لأن الأشخاص الذين اتُخذت لصالحهم تدابير مؤقتة كانوا لا يزالون تحت التهديد.</w:t>
      </w:r>
      <w:bookmarkEnd w:id="0"/>
    </w:p>
    <w:p w14:paraId="2B473252" w14:textId="6FFBC3F9" w:rsidR="00971B29" w:rsidRPr="00F51BB9" w:rsidRDefault="00971B29" w:rsidP="00971B29">
      <w:pPr>
        <w:pStyle w:val="SingleTxtGA"/>
        <w:rPr>
          <w:szCs w:val="20"/>
          <w:lang w:val="ar-SA" w:eastAsia="zh-TW" w:bidi="en-GB"/>
        </w:rPr>
      </w:pPr>
      <w:r w:rsidRPr="00FA58B2">
        <w:rPr>
          <w:rtl/>
        </w:rPr>
        <w:t>37</w:t>
      </w:r>
      <w:r>
        <w:rPr>
          <w:rFonts w:ascii="Traditional Arabic"/>
          <w:szCs w:val="20"/>
          <w:rtl/>
        </w:rPr>
        <w:t>-</w:t>
      </w:r>
      <w:r>
        <w:rPr>
          <w:rtl/>
        </w:rPr>
        <w:tab/>
        <w:t xml:space="preserve">وترحب اللجنة بتحديد مكان </w:t>
      </w:r>
      <w:r w:rsidRPr="00FA58B2">
        <w:rPr>
          <w:rtl/>
        </w:rPr>
        <w:t>106</w:t>
      </w:r>
      <w:r>
        <w:rPr>
          <w:rtl/>
        </w:rPr>
        <w:t xml:space="preserve"> أشخاص مختفين، حتى الآن. وترحب اللجنة خاصةً بكون الأشخاص المعنيين لا يزالون على قيد الحياة في </w:t>
      </w:r>
      <w:r w:rsidRPr="00FA58B2">
        <w:rPr>
          <w:rtl/>
        </w:rPr>
        <w:t>82</w:t>
      </w:r>
      <w:r>
        <w:rPr>
          <w:rtl/>
        </w:rPr>
        <w:t xml:space="preserve"> حالة. وفي هذا الصدد، تود اللجنة أن تبرز النتائج الإيجابية التي لوحظت في طلبات اتخاذ الإجراءات العاجلة التي سُجلت خلال الفترة قيد الاستعراض فيما يتعلق بالحالات في بيرو وكمبوديا والمكسيك. وفيما يخص الطلب المتعلق بكمبوديا (رقم </w:t>
      </w:r>
      <w:r w:rsidRPr="00FA58B2">
        <w:t>2020</w:t>
      </w:r>
      <w:r>
        <w:rPr>
          <w:rFonts w:ascii="Traditional Arabic"/>
          <w:szCs w:val="20"/>
        </w:rPr>
        <w:t>/</w:t>
      </w:r>
      <w:r w:rsidRPr="00FA58B2">
        <w:t>782</w:t>
      </w:r>
      <w:r>
        <w:rPr>
          <w:rFonts w:ascii="Traditional Arabic"/>
          <w:szCs w:val="20"/>
          <w:rtl/>
        </w:rPr>
        <w:t>)</w:t>
      </w:r>
      <w:r>
        <w:rPr>
          <w:rtl/>
        </w:rPr>
        <w:t>، الذي حُدد مكان الشخص المعني به في تركيا حيث كان محتجزا</w:t>
      </w:r>
      <w:r w:rsidR="004E45B1">
        <w:rPr>
          <w:rFonts w:hint="cs"/>
          <w:rtl/>
        </w:rPr>
        <w:t>ً</w:t>
      </w:r>
      <w:r>
        <w:rPr>
          <w:rtl/>
        </w:rPr>
        <w:t>، تعرب اللجنة عن أسفها لعدم تعاون الدولة الطرف مع الدولة التي يحمل الشخص المختفي جنسيتها وهي المكسيك، بغية مساعدة الضحايا والبحث عن الشخص المختفي وتحديد مكانه وإطلاق سراحه، امتثالا</w:t>
      </w:r>
      <w:r w:rsidR="004E45B1">
        <w:rPr>
          <w:rFonts w:hint="cs"/>
          <w:rtl/>
        </w:rPr>
        <w:t>ً</w:t>
      </w:r>
      <w:r>
        <w:rPr>
          <w:rtl/>
        </w:rPr>
        <w:t xml:space="preserve"> للمادة </w:t>
      </w:r>
      <w:r w:rsidRPr="00FA58B2">
        <w:rPr>
          <w:rtl/>
        </w:rPr>
        <w:t>15</w:t>
      </w:r>
      <w:r>
        <w:rPr>
          <w:rtl/>
        </w:rPr>
        <w:t xml:space="preserve"> من الاتفاقية.</w:t>
      </w:r>
    </w:p>
    <w:p w14:paraId="65622CF5" w14:textId="77777777" w:rsidR="00971B29" w:rsidRDefault="00971B29" w:rsidP="00971B29">
      <w:pPr>
        <w:pStyle w:val="SingleTxtGA"/>
        <w:rPr>
          <w:szCs w:val="20"/>
          <w:lang w:val="ar-SA" w:eastAsia="zh-TW" w:bidi="en-GB"/>
        </w:rPr>
      </w:pPr>
      <w:r w:rsidRPr="00FA58B2">
        <w:rPr>
          <w:rtl/>
        </w:rPr>
        <w:t>38</w:t>
      </w:r>
      <w:r>
        <w:rPr>
          <w:rFonts w:ascii="Traditional Arabic"/>
          <w:szCs w:val="20"/>
          <w:rtl/>
        </w:rPr>
        <w:t>-</w:t>
      </w:r>
      <w:r>
        <w:rPr>
          <w:rtl/>
        </w:rPr>
        <w:tab/>
        <w:t xml:space="preserve">وفيما يتعلق بطلب اتخاذ الإجراءات العاجلة المتعلق بلتوانيا (رقم </w:t>
      </w:r>
      <w:r w:rsidRPr="00FA58B2">
        <w:t>2019</w:t>
      </w:r>
      <w:r>
        <w:rPr>
          <w:rFonts w:ascii="Traditional Arabic"/>
          <w:szCs w:val="20"/>
        </w:rPr>
        <w:t>/</w:t>
      </w:r>
      <w:r w:rsidRPr="00FA58B2">
        <w:t>569</w:t>
      </w:r>
      <w:r>
        <w:rPr>
          <w:rFonts w:ascii="Traditional Arabic"/>
          <w:szCs w:val="20"/>
          <w:rtl/>
        </w:rPr>
        <w:t>)</w:t>
      </w:r>
      <w:r>
        <w:rPr>
          <w:rtl/>
        </w:rPr>
        <w:t>، أبلغت السيدة التي قُدم طلب اتخاذ الإجراءات العاجلة نيابة عنها، ووالدها الوصي عليها، اللجنة بأنها تستفيد من برنامج لحماية الشهود، وبأن مكانها معروف، وبأنها لا ترغب في أن يمثلها صاحب طلب اتخاذ الإجراءات العاجلة. ولذلك أُغلقت هذه الحالات وأُبلغت الأطراف المعنية جميعها بذلك.</w:t>
      </w:r>
    </w:p>
    <w:p w14:paraId="0263A38D" w14:textId="77777777" w:rsidR="00971B29" w:rsidRPr="00594946" w:rsidRDefault="00971B29" w:rsidP="00971B29">
      <w:pPr>
        <w:spacing w:before="240"/>
        <w:jc w:val="center"/>
        <w:rPr>
          <w:u w:val="single"/>
        </w:rPr>
      </w:pPr>
      <w:r w:rsidRPr="00594946">
        <w:rPr>
          <w:u w:val="single"/>
        </w:rPr>
        <w:tab/>
      </w:r>
      <w:r w:rsidRPr="00594946">
        <w:rPr>
          <w:u w:val="single"/>
        </w:rPr>
        <w:tab/>
      </w:r>
      <w:r w:rsidRPr="00594946">
        <w:rPr>
          <w:u w:val="single"/>
        </w:rPr>
        <w:tab/>
      </w:r>
    </w:p>
    <w:sectPr w:rsidR="00971B29" w:rsidRPr="00594946" w:rsidSect="00432855">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310DE" w14:textId="77777777" w:rsidR="008A0642" w:rsidRPr="002901D9" w:rsidRDefault="008A0642" w:rsidP="00DF5E71">
      <w:pPr>
        <w:spacing w:after="60" w:line="240" w:lineRule="auto"/>
        <w:ind w:left="57"/>
        <w:rPr>
          <w:i/>
          <w:iCs/>
        </w:rPr>
      </w:pPr>
      <w:r>
        <w:rPr>
          <w:rFonts w:hint="cs"/>
          <w:i/>
          <w:iCs/>
          <w:rtl/>
        </w:rPr>
        <w:t>الحواشي</w:t>
      </w:r>
    </w:p>
  </w:endnote>
  <w:endnote w:type="continuationSeparator" w:id="0">
    <w:p w14:paraId="28C65839" w14:textId="77777777" w:rsidR="008A0642" w:rsidRDefault="008A064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A3327" w14:textId="77777777" w:rsidR="008A0642" w:rsidRPr="00894ADC" w:rsidRDefault="008A0642" w:rsidP="00894ADC">
    <w:pPr>
      <w:pStyle w:val="Footer"/>
      <w:tabs>
        <w:tab w:val="right" w:pos="9638"/>
      </w:tabs>
      <w:rPr>
        <w:b/>
        <w:sz w:val="18"/>
        <w:lang w:val="en-US"/>
      </w:rPr>
    </w:pPr>
    <w:r>
      <w:rPr>
        <w:lang w:val="en-US"/>
      </w:rPr>
      <w:t>GE.21-06993</w:t>
    </w:r>
    <w:r>
      <w:rPr>
        <w:lang w:val="en-US"/>
      </w:rPr>
      <w:tab/>
    </w:r>
    <w:r w:rsidRPr="00894ADC">
      <w:rPr>
        <w:b/>
        <w:sz w:val="18"/>
        <w:lang w:val="en-US"/>
      </w:rPr>
      <w:fldChar w:fldCharType="begin"/>
    </w:r>
    <w:r w:rsidRPr="00894ADC">
      <w:rPr>
        <w:b/>
        <w:sz w:val="18"/>
        <w:lang w:val="en-US"/>
      </w:rPr>
      <w:instrText xml:space="preserve"> PAGE  \* MERGEFORMAT </w:instrText>
    </w:r>
    <w:r w:rsidRPr="00894ADC">
      <w:rPr>
        <w:b/>
        <w:sz w:val="18"/>
        <w:lang w:val="en-US"/>
      </w:rPr>
      <w:fldChar w:fldCharType="separate"/>
    </w:r>
    <w:r w:rsidRPr="00894ADC">
      <w:rPr>
        <w:b/>
        <w:noProof/>
        <w:sz w:val="18"/>
        <w:lang w:val="en-US"/>
      </w:rPr>
      <w:t>2</w:t>
    </w:r>
    <w:r w:rsidRPr="00894ADC">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234A" w14:textId="77777777" w:rsidR="008A0642" w:rsidRPr="00894ADC" w:rsidRDefault="008A0642" w:rsidP="00894ADC">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GE.21-06993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F7412" w14:textId="77777777" w:rsidR="008A0642" w:rsidRPr="00894ADC" w:rsidRDefault="008A0642" w:rsidP="00894ADC">
    <w:pPr>
      <w:pStyle w:val="Footer"/>
      <w:spacing w:before="600"/>
      <w:ind w:left="567"/>
      <w:jc w:val="right"/>
      <w:rPr>
        <w:sz w:val="20"/>
        <w:lang w:val="en-US"/>
      </w:rPr>
    </w:pPr>
    <w:r>
      <w:rPr>
        <w:sz w:val="20"/>
        <w:lang w:val="en-US"/>
      </w:rPr>
      <w:t>GE.</w:t>
    </w:r>
    <w:r>
      <w:rPr>
        <w:noProof/>
      </w:rPr>
      <w:drawing>
        <wp:anchor distT="0" distB="0" distL="114300" distR="114300" simplePos="0" relativeHeight="251659264" behindDoc="1" locked="1" layoutInCell="0" allowOverlap="1" wp14:anchorId="18026D4D" wp14:editId="3027E2F6">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21-06993 (A)</w:t>
    </w:r>
    <w:r>
      <w:rPr>
        <w:noProof/>
        <w:sz w:val="20"/>
        <w:lang w:val="en-US"/>
      </w:rPr>
      <w:drawing>
        <wp:anchor distT="0" distB="0" distL="114300" distR="114300" simplePos="0" relativeHeight="251660288" behindDoc="0" locked="0" layoutInCell="1" allowOverlap="1" wp14:anchorId="053AD5DB" wp14:editId="3D2AE7E8">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61141" w14:textId="77777777" w:rsidR="008A0642" w:rsidRPr="00CB28F9" w:rsidRDefault="008A0642" w:rsidP="00317B22">
      <w:pPr>
        <w:pStyle w:val="Footer"/>
        <w:bidi/>
        <w:spacing w:after="80" w:line="200" w:lineRule="exact"/>
        <w:ind w:left="680"/>
      </w:pPr>
      <w:r>
        <w:rPr>
          <w:rtl/>
        </w:rPr>
        <w:t>__________</w:t>
      </w:r>
    </w:p>
  </w:footnote>
  <w:footnote w:type="continuationSeparator" w:id="0">
    <w:p w14:paraId="0558A6FC" w14:textId="77777777" w:rsidR="008A0642" w:rsidRDefault="008A0642" w:rsidP="00656392">
      <w:pPr>
        <w:spacing w:line="240" w:lineRule="auto"/>
      </w:pPr>
      <w:r>
        <w:continuationSeparator/>
      </w:r>
    </w:p>
  </w:footnote>
  <w:footnote w:id="1">
    <w:p w14:paraId="438604F4" w14:textId="77A625AC" w:rsidR="008A0642" w:rsidRPr="00CF6215" w:rsidRDefault="008A0642" w:rsidP="00B650CB">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CF6215">
        <w:rPr>
          <w:rFonts w:ascii="Simplified Arabic" w:hAnsi="Simplified Arabic"/>
          <w:szCs w:val="18"/>
        </w:rPr>
        <w:t>*</w:t>
      </w:r>
      <w:r w:rsidRPr="00CF6215">
        <w:rPr>
          <w:rFonts w:ascii="Simplified Arabic" w:hAnsi="Simplified Arabic"/>
          <w:szCs w:val="18"/>
          <w:rtl/>
        </w:rPr>
        <w:tab/>
        <w:t>اعتمدتها اللجنة في دورتها العشرين (12 نيسان/أبريل - 7 أيار/مايو 2021).</w:t>
      </w:r>
    </w:p>
  </w:footnote>
  <w:footnote w:id="2">
    <w:p w14:paraId="56D13548" w14:textId="16112941" w:rsidR="00BB5F1C" w:rsidRPr="00CF6215" w:rsidRDefault="00BB5F1C" w:rsidP="00B650CB">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CF6215">
        <w:rPr>
          <w:rStyle w:val="FootnoteReference"/>
          <w:rFonts w:ascii="Simplified Arabic" w:hAnsi="Simplified Arabic"/>
          <w:vertAlign w:val="baseline"/>
          <w:rtl/>
        </w:rPr>
        <w:t>(</w:t>
      </w:r>
      <w:r w:rsidRPr="00CF6215">
        <w:rPr>
          <w:rStyle w:val="FootnoteReference"/>
          <w:rFonts w:ascii="Simplified Arabic" w:hAnsi="Simplified Arabic"/>
          <w:vertAlign w:val="baseline"/>
          <w:rtl/>
        </w:rPr>
        <w:footnoteRef/>
      </w:r>
      <w:r w:rsidRPr="00CF6215">
        <w:rPr>
          <w:rStyle w:val="FootnoteReference"/>
          <w:rFonts w:ascii="Simplified Arabic" w:hAnsi="Simplified Arabic"/>
          <w:vertAlign w:val="baseline"/>
          <w:rtl/>
        </w:rPr>
        <w:t>)</w:t>
      </w:r>
      <w:r w:rsidRPr="00CF6215">
        <w:rPr>
          <w:rFonts w:ascii="Simplified Arabic" w:hAnsi="Simplified Arabic"/>
          <w:szCs w:val="18"/>
          <w:rtl/>
        </w:rPr>
        <w:tab/>
      </w:r>
      <w:r w:rsidRPr="00CF6215">
        <w:rPr>
          <w:rFonts w:ascii="Simplified Arabic" w:hAnsi="Simplified Arabic"/>
          <w:szCs w:val="18"/>
        </w:rPr>
        <w:t>CED/C/19/2</w:t>
      </w:r>
      <w:r w:rsidRPr="00CF6215">
        <w:rPr>
          <w:rFonts w:ascii="Simplified Arabic" w:hAnsi="Simplified Arabic"/>
          <w:szCs w:val="18"/>
          <w:rtl/>
        </w:rPr>
        <w:t>.</w:t>
      </w:r>
    </w:p>
  </w:footnote>
  <w:footnote w:id="3">
    <w:p w14:paraId="6140F2DB" w14:textId="78BDBF8B" w:rsidR="00BB5F1C" w:rsidRPr="00CF6215" w:rsidRDefault="00BB5F1C" w:rsidP="00B650CB">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CF6215">
        <w:rPr>
          <w:rStyle w:val="FootnoteReference"/>
          <w:rFonts w:ascii="Simplified Arabic" w:hAnsi="Simplified Arabic"/>
          <w:vertAlign w:val="baseline"/>
          <w:rtl/>
        </w:rPr>
        <w:t>(</w:t>
      </w:r>
      <w:r w:rsidRPr="00CF6215">
        <w:rPr>
          <w:rStyle w:val="FootnoteReference"/>
          <w:rFonts w:ascii="Simplified Arabic" w:hAnsi="Simplified Arabic"/>
          <w:vertAlign w:val="baseline"/>
          <w:rtl/>
        </w:rPr>
        <w:footnoteRef/>
      </w:r>
      <w:r w:rsidRPr="00CF6215">
        <w:rPr>
          <w:rStyle w:val="FootnoteReference"/>
          <w:rFonts w:ascii="Simplified Arabic" w:hAnsi="Simplified Arabic"/>
          <w:vertAlign w:val="baseline"/>
          <w:rtl/>
        </w:rPr>
        <w:t>)</w:t>
      </w:r>
      <w:r w:rsidRPr="00CF6215">
        <w:rPr>
          <w:rFonts w:ascii="Simplified Arabic" w:hAnsi="Simplified Arabic"/>
          <w:szCs w:val="18"/>
          <w:rtl/>
        </w:rPr>
        <w:tab/>
        <w:t>CED/C/11/3, CED/C/12/2, CED/C/13/3, CED/C/14/2, CED/C/15/3, CED/C/16/3, CED/C/17/2</w:t>
      </w:r>
      <w:r w:rsidR="009041C9" w:rsidRPr="00CF6215">
        <w:rPr>
          <w:rFonts w:ascii="Simplified Arabic" w:hAnsi="Simplified Arabic"/>
          <w:szCs w:val="18"/>
          <w:rtl/>
        </w:rPr>
        <w:t xml:space="preserve"> </w:t>
      </w:r>
      <w:r w:rsidRPr="00CF6215">
        <w:rPr>
          <w:rFonts w:ascii="Simplified Arabic" w:hAnsi="Simplified Arabic"/>
          <w:szCs w:val="18"/>
          <w:rtl/>
        </w:rPr>
        <w:t>و</w:t>
      </w:r>
      <w:r w:rsidRPr="00CF6215">
        <w:rPr>
          <w:rFonts w:ascii="Simplified Arabic" w:hAnsi="Simplified Arabic"/>
          <w:szCs w:val="18"/>
        </w:rPr>
        <w:t>CED/C/19/2</w:t>
      </w:r>
      <w:r w:rsidRPr="00CF6215">
        <w:rPr>
          <w:rFonts w:ascii="Simplified Arabic" w:hAnsi="Simplified Arabic"/>
          <w:szCs w:val="18"/>
          <w:rtl/>
        </w:rPr>
        <w:t>.</w:t>
      </w:r>
    </w:p>
  </w:footnote>
  <w:footnote w:id="4">
    <w:p w14:paraId="03008D92" w14:textId="2D5E3B56" w:rsidR="00BB5F1C" w:rsidRPr="00CF6215" w:rsidRDefault="00BB5F1C" w:rsidP="00B650CB">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CF6215">
        <w:rPr>
          <w:rStyle w:val="FootnoteReference"/>
          <w:rFonts w:ascii="Simplified Arabic" w:hAnsi="Simplified Arabic"/>
          <w:vertAlign w:val="baseline"/>
          <w:rtl/>
        </w:rPr>
        <w:t>(</w:t>
      </w:r>
      <w:r w:rsidRPr="00CF6215">
        <w:rPr>
          <w:rStyle w:val="FootnoteReference"/>
          <w:rFonts w:ascii="Simplified Arabic" w:hAnsi="Simplified Arabic"/>
          <w:vertAlign w:val="baseline"/>
          <w:rtl/>
        </w:rPr>
        <w:footnoteRef/>
      </w:r>
      <w:r w:rsidRPr="00CF6215">
        <w:rPr>
          <w:rStyle w:val="FootnoteReference"/>
          <w:rFonts w:ascii="Simplified Arabic" w:hAnsi="Simplified Arabic"/>
          <w:vertAlign w:val="baseline"/>
          <w:rtl/>
        </w:rPr>
        <w:t>)</w:t>
      </w:r>
      <w:r w:rsidRPr="00CF6215">
        <w:rPr>
          <w:rFonts w:ascii="Simplified Arabic" w:hAnsi="Simplified Arabic"/>
          <w:szCs w:val="18"/>
          <w:rtl/>
        </w:rPr>
        <w:tab/>
      </w:r>
      <w:r w:rsidRPr="00CF6215">
        <w:rPr>
          <w:rFonts w:ascii="Simplified Arabic" w:hAnsi="Simplified Arabic"/>
          <w:szCs w:val="18"/>
        </w:rPr>
        <w:t>A/73/56</w:t>
      </w:r>
      <w:r w:rsidRPr="00CF6215">
        <w:rPr>
          <w:rFonts w:ascii="Simplified Arabic" w:hAnsi="Simplified Arabic"/>
          <w:szCs w:val="18"/>
          <w:rtl/>
        </w:rPr>
        <w:t xml:space="preserve">، </w:t>
      </w:r>
      <w:r w:rsidRPr="00CF6215">
        <w:rPr>
          <w:rFonts w:ascii="Simplified Arabic" w:hAnsi="Simplified Arabic"/>
          <w:szCs w:val="18"/>
        </w:rPr>
        <w:t>A/74/56</w:t>
      </w:r>
      <w:r w:rsidRPr="00CF6215">
        <w:rPr>
          <w:rFonts w:ascii="Simplified Arabic" w:hAnsi="Simplified Arabic"/>
          <w:szCs w:val="18"/>
          <w:rtl/>
        </w:rPr>
        <w:t xml:space="preserve"> و</w:t>
      </w:r>
      <w:r w:rsidRPr="00CF6215">
        <w:rPr>
          <w:rFonts w:ascii="Simplified Arabic" w:hAnsi="Simplified Arabic"/>
          <w:szCs w:val="18"/>
        </w:rPr>
        <w:t>A/75/56</w:t>
      </w:r>
      <w:r w:rsidRPr="00CF6215">
        <w:rPr>
          <w:rFonts w:ascii="Simplified Arabic" w:hAnsi="Simplified Arabic"/>
          <w:szCs w:val="18"/>
          <w:rtl/>
        </w:rPr>
        <w:t>.</w:t>
      </w:r>
    </w:p>
  </w:footnote>
  <w:footnote w:id="5">
    <w:p w14:paraId="20E3A06C" w14:textId="2193394B" w:rsidR="00BB5F1C" w:rsidRPr="00CF6215" w:rsidRDefault="00BB5F1C" w:rsidP="00B650CB">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CF6215">
        <w:rPr>
          <w:rStyle w:val="FootnoteReference"/>
          <w:rFonts w:ascii="Simplified Arabic" w:hAnsi="Simplified Arabic"/>
          <w:vertAlign w:val="baseline"/>
          <w:rtl/>
        </w:rPr>
        <w:t>(</w:t>
      </w:r>
      <w:r w:rsidRPr="00CF6215">
        <w:rPr>
          <w:rStyle w:val="FootnoteReference"/>
          <w:rFonts w:ascii="Simplified Arabic" w:hAnsi="Simplified Arabic"/>
          <w:vertAlign w:val="baseline"/>
          <w:rtl/>
        </w:rPr>
        <w:footnoteRef/>
      </w:r>
      <w:r w:rsidRPr="00CF6215">
        <w:rPr>
          <w:rStyle w:val="FootnoteReference"/>
          <w:rFonts w:ascii="Simplified Arabic" w:hAnsi="Simplified Arabic"/>
          <w:vertAlign w:val="baseline"/>
          <w:rtl/>
        </w:rPr>
        <w:t>)</w:t>
      </w:r>
      <w:r w:rsidRPr="00CF6215">
        <w:rPr>
          <w:rFonts w:ascii="Simplified Arabic" w:hAnsi="Simplified Arabic"/>
          <w:szCs w:val="18"/>
          <w:rtl/>
        </w:rPr>
        <w:tab/>
      </w:r>
      <w:r w:rsidRPr="00CF6215">
        <w:rPr>
          <w:rFonts w:ascii="Simplified Arabic" w:hAnsi="Simplified Arabic"/>
          <w:szCs w:val="18"/>
        </w:rPr>
        <w:t>CED/C/IRQ/AI/1</w:t>
      </w:r>
      <w:r w:rsidRPr="00CF6215">
        <w:rPr>
          <w:rFonts w:ascii="Simplified Arabic" w:hAnsi="Simplified Arabic"/>
          <w:szCs w:val="18"/>
          <w:rtl/>
        </w:rPr>
        <w:t>.</w:t>
      </w:r>
    </w:p>
  </w:footnote>
  <w:footnote w:id="6">
    <w:p w14:paraId="38039D97" w14:textId="337493D5" w:rsidR="00BB5F1C" w:rsidRPr="00CF6215" w:rsidRDefault="00BB5F1C" w:rsidP="00B650CB">
      <w:pPr>
        <w:pStyle w:val="FootnoteText"/>
        <w:tabs>
          <w:tab w:val="clear" w:pos="1021"/>
        </w:tabs>
        <w:bidi/>
        <w:spacing w:after="60" w:line="280" w:lineRule="exact"/>
        <w:ind w:left="1247" w:right="1247" w:hanging="567"/>
        <w:jc w:val="lowKashida"/>
        <w:textDirection w:val="tbRlV"/>
        <w:rPr>
          <w:rFonts w:ascii="Simplified Arabic" w:hAnsi="Simplified Arabic"/>
          <w:szCs w:val="18"/>
          <w:lang w:eastAsia="zh-TW" w:bidi="en-GB"/>
        </w:rPr>
      </w:pPr>
      <w:r w:rsidRPr="00CF6215">
        <w:rPr>
          <w:rStyle w:val="FootnoteReference"/>
          <w:rFonts w:ascii="Simplified Arabic" w:hAnsi="Simplified Arabic"/>
          <w:vertAlign w:val="baseline"/>
          <w:rtl/>
        </w:rPr>
        <w:t>(</w:t>
      </w:r>
      <w:r w:rsidRPr="00CF6215">
        <w:rPr>
          <w:rStyle w:val="FootnoteReference"/>
          <w:rFonts w:ascii="Simplified Arabic" w:hAnsi="Simplified Arabic"/>
          <w:vertAlign w:val="baseline"/>
          <w:rtl/>
        </w:rPr>
        <w:footnoteRef/>
      </w:r>
      <w:r w:rsidRPr="00CF6215">
        <w:rPr>
          <w:rStyle w:val="FootnoteReference"/>
          <w:rFonts w:ascii="Simplified Arabic" w:hAnsi="Simplified Arabic"/>
          <w:vertAlign w:val="baseline"/>
          <w:rtl/>
        </w:rPr>
        <w:t>)</w:t>
      </w:r>
      <w:r w:rsidRPr="00CF6215">
        <w:rPr>
          <w:rFonts w:ascii="Simplified Arabic" w:hAnsi="Simplified Arabic"/>
          <w:szCs w:val="18"/>
          <w:rtl/>
        </w:rPr>
        <w:tab/>
      </w:r>
      <w:r w:rsidRPr="00CF6215">
        <w:rPr>
          <w:rFonts w:ascii="Simplified Arabic" w:hAnsi="Simplified Arabic"/>
          <w:szCs w:val="18"/>
        </w:rPr>
        <w:t>CED/C/7</w:t>
      </w:r>
      <w:r w:rsidRPr="00CF6215">
        <w:rPr>
          <w:rFonts w:ascii="Simplified Arabic" w:hAnsi="Simplified Arabic"/>
          <w:szCs w:val="18"/>
          <w:rtl/>
        </w:rPr>
        <w:t>، المرفق.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AF940" w14:textId="2454D8B8" w:rsidR="008A0642" w:rsidRPr="00894ADC" w:rsidRDefault="008A0642" w:rsidP="00894ADC">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C4B37">
      <w:t>CED/C/20/2</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42709" w14:textId="487B7BB3" w:rsidR="008A0642" w:rsidRPr="00894ADC" w:rsidRDefault="008A0642" w:rsidP="00894ADC">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C4B37">
      <w:t>CED/C/20/2</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B6"/>
    <w:rsid w:val="00001E1B"/>
    <w:rsid w:val="000076D5"/>
    <w:rsid w:val="00027F2D"/>
    <w:rsid w:val="00043663"/>
    <w:rsid w:val="000505CF"/>
    <w:rsid w:val="00061556"/>
    <w:rsid w:val="000A1B1A"/>
    <w:rsid w:val="000D701C"/>
    <w:rsid w:val="000E2A71"/>
    <w:rsid w:val="000F4E15"/>
    <w:rsid w:val="0010772C"/>
    <w:rsid w:val="00160263"/>
    <w:rsid w:val="00176DB4"/>
    <w:rsid w:val="00181F96"/>
    <w:rsid w:val="001A1371"/>
    <w:rsid w:val="001A5338"/>
    <w:rsid w:val="001B346A"/>
    <w:rsid w:val="001C283F"/>
    <w:rsid w:val="001D7E49"/>
    <w:rsid w:val="001E1CAD"/>
    <w:rsid w:val="001E290D"/>
    <w:rsid w:val="002144FA"/>
    <w:rsid w:val="0021768C"/>
    <w:rsid w:val="0023469A"/>
    <w:rsid w:val="00243C8A"/>
    <w:rsid w:val="002456E8"/>
    <w:rsid w:val="00267A0E"/>
    <w:rsid w:val="002901D9"/>
    <w:rsid w:val="002976C2"/>
    <w:rsid w:val="002A000F"/>
    <w:rsid w:val="002C11AF"/>
    <w:rsid w:val="00317B22"/>
    <w:rsid w:val="003260FF"/>
    <w:rsid w:val="003404D2"/>
    <w:rsid w:val="00343D95"/>
    <w:rsid w:val="00374341"/>
    <w:rsid w:val="003B054F"/>
    <w:rsid w:val="003D1062"/>
    <w:rsid w:val="003D667F"/>
    <w:rsid w:val="00420D7B"/>
    <w:rsid w:val="00424F1F"/>
    <w:rsid w:val="00432855"/>
    <w:rsid w:val="00450B21"/>
    <w:rsid w:val="00453B63"/>
    <w:rsid w:val="00455780"/>
    <w:rsid w:val="00471961"/>
    <w:rsid w:val="0049290E"/>
    <w:rsid w:val="004B0A1C"/>
    <w:rsid w:val="004D298E"/>
    <w:rsid w:val="004E1586"/>
    <w:rsid w:val="004E45B1"/>
    <w:rsid w:val="00534020"/>
    <w:rsid w:val="0054472E"/>
    <w:rsid w:val="005662A9"/>
    <w:rsid w:val="00571D6E"/>
    <w:rsid w:val="005827D4"/>
    <w:rsid w:val="00592195"/>
    <w:rsid w:val="0059622A"/>
    <w:rsid w:val="005C5878"/>
    <w:rsid w:val="005C7CEA"/>
    <w:rsid w:val="005D3A89"/>
    <w:rsid w:val="005D3C0B"/>
    <w:rsid w:val="005E5217"/>
    <w:rsid w:val="005E55D0"/>
    <w:rsid w:val="005E67F5"/>
    <w:rsid w:val="005F0FA4"/>
    <w:rsid w:val="005F2681"/>
    <w:rsid w:val="005F30EE"/>
    <w:rsid w:val="0060473A"/>
    <w:rsid w:val="006129EA"/>
    <w:rsid w:val="00634537"/>
    <w:rsid w:val="00656392"/>
    <w:rsid w:val="0068721A"/>
    <w:rsid w:val="0068781D"/>
    <w:rsid w:val="00691EEE"/>
    <w:rsid w:val="006959B0"/>
    <w:rsid w:val="006A69CA"/>
    <w:rsid w:val="006B3E27"/>
    <w:rsid w:val="006B6507"/>
    <w:rsid w:val="006C104C"/>
    <w:rsid w:val="006D39EA"/>
    <w:rsid w:val="006D698E"/>
    <w:rsid w:val="0072522F"/>
    <w:rsid w:val="007311FE"/>
    <w:rsid w:val="00733704"/>
    <w:rsid w:val="00774AF4"/>
    <w:rsid w:val="0078071A"/>
    <w:rsid w:val="007C727D"/>
    <w:rsid w:val="007F55ED"/>
    <w:rsid w:val="00807312"/>
    <w:rsid w:val="008313E3"/>
    <w:rsid w:val="008358DB"/>
    <w:rsid w:val="00852A9A"/>
    <w:rsid w:val="00865AC0"/>
    <w:rsid w:val="00894ADC"/>
    <w:rsid w:val="008A0642"/>
    <w:rsid w:val="008C2897"/>
    <w:rsid w:val="008C6E7E"/>
    <w:rsid w:val="008D6989"/>
    <w:rsid w:val="008F49E1"/>
    <w:rsid w:val="008F729B"/>
    <w:rsid w:val="0090370F"/>
    <w:rsid w:val="009041C9"/>
    <w:rsid w:val="009269D2"/>
    <w:rsid w:val="009305F0"/>
    <w:rsid w:val="00942135"/>
    <w:rsid w:val="009521B0"/>
    <w:rsid w:val="00957740"/>
    <w:rsid w:val="00971B29"/>
    <w:rsid w:val="00980103"/>
    <w:rsid w:val="00987935"/>
    <w:rsid w:val="00994130"/>
    <w:rsid w:val="009A7E9F"/>
    <w:rsid w:val="009B31A5"/>
    <w:rsid w:val="009E5018"/>
    <w:rsid w:val="009F515B"/>
    <w:rsid w:val="00A12B37"/>
    <w:rsid w:val="00A20FF4"/>
    <w:rsid w:val="00A4027E"/>
    <w:rsid w:val="00A8667E"/>
    <w:rsid w:val="00AB4F93"/>
    <w:rsid w:val="00AB6758"/>
    <w:rsid w:val="00B13614"/>
    <w:rsid w:val="00B13763"/>
    <w:rsid w:val="00B27391"/>
    <w:rsid w:val="00B33122"/>
    <w:rsid w:val="00B33568"/>
    <w:rsid w:val="00B40C02"/>
    <w:rsid w:val="00B477A4"/>
    <w:rsid w:val="00B54045"/>
    <w:rsid w:val="00B62784"/>
    <w:rsid w:val="00B650CB"/>
    <w:rsid w:val="00B65387"/>
    <w:rsid w:val="00BB449E"/>
    <w:rsid w:val="00BB5F1C"/>
    <w:rsid w:val="00BD2E35"/>
    <w:rsid w:val="00C05EA5"/>
    <w:rsid w:val="00C438D7"/>
    <w:rsid w:val="00C81B50"/>
    <w:rsid w:val="00C8294A"/>
    <w:rsid w:val="00C92253"/>
    <w:rsid w:val="00CA23C4"/>
    <w:rsid w:val="00CB28F9"/>
    <w:rsid w:val="00CC276B"/>
    <w:rsid w:val="00CD1801"/>
    <w:rsid w:val="00CF6215"/>
    <w:rsid w:val="00CF7E4E"/>
    <w:rsid w:val="00D10EF1"/>
    <w:rsid w:val="00D140B6"/>
    <w:rsid w:val="00D42810"/>
    <w:rsid w:val="00D914A7"/>
    <w:rsid w:val="00DB36B6"/>
    <w:rsid w:val="00DB4A6E"/>
    <w:rsid w:val="00DC4B37"/>
    <w:rsid w:val="00DC5C0E"/>
    <w:rsid w:val="00DD13C3"/>
    <w:rsid w:val="00DD596E"/>
    <w:rsid w:val="00DD621E"/>
    <w:rsid w:val="00DF0575"/>
    <w:rsid w:val="00DF5E71"/>
    <w:rsid w:val="00E5388D"/>
    <w:rsid w:val="00E70E04"/>
    <w:rsid w:val="00E76499"/>
    <w:rsid w:val="00E85773"/>
    <w:rsid w:val="00E866BF"/>
    <w:rsid w:val="00EB6F59"/>
    <w:rsid w:val="00EC05A7"/>
    <w:rsid w:val="00EC4B6B"/>
    <w:rsid w:val="00EE2A27"/>
    <w:rsid w:val="00EF1EE5"/>
    <w:rsid w:val="00F156CA"/>
    <w:rsid w:val="00F52C23"/>
    <w:rsid w:val="00F5775F"/>
    <w:rsid w:val="00F66675"/>
    <w:rsid w:val="00F6781A"/>
    <w:rsid w:val="00F763B4"/>
    <w:rsid w:val="00F900C3"/>
    <w:rsid w:val="00FA58B2"/>
    <w:rsid w:val="00FD3946"/>
    <w:rsid w:val="00FF2AB2"/>
    <w:rsid w:val="00FF4EA6"/>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0F95B6"/>
  <w15:docId w15:val="{FBDA296C-5529-4FF9-B81B-5BE39A5D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1AF"/>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2C11AF"/>
    <w:pPr>
      <w:bidi w:val="0"/>
      <w:outlineLvl w:val="0"/>
    </w:pPr>
  </w:style>
  <w:style w:type="paragraph" w:styleId="Heading2">
    <w:name w:val="heading 2"/>
    <w:basedOn w:val="Normal"/>
    <w:next w:val="Normal"/>
    <w:link w:val="Heading2Char"/>
    <w:uiPriority w:val="9"/>
    <w:unhideWhenUsed/>
    <w:rsid w:val="002C11A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2C11AF"/>
    <w:pPr>
      <w:keepNext/>
      <w:keepLines/>
      <w:spacing w:before="200"/>
      <w:outlineLvl w:val="2"/>
    </w:pPr>
    <w:rPr>
      <w:b/>
      <w:bCs/>
      <w:color w:val="4F81BD"/>
    </w:rPr>
  </w:style>
  <w:style w:type="paragraph" w:styleId="Heading4">
    <w:name w:val="heading 4"/>
    <w:basedOn w:val="Normal"/>
    <w:next w:val="Normal"/>
    <w:link w:val="Heading4Char"/>
    <w:uiPriority w:val="9"/>
    <w:unhideWhenUsed/>
    <w:rsid w:val="002C11A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2C11AF"/>
    <w:pPr>
      <w:keepNext/>
      <w:keepLines/>
      <w:spacing w:before="200"/>
      <w:outlineLvl w:val="4"/>
    </w:pPr>
    <w:rPr>
      <w:color w:val="243F60"/>
    </w:rPr>
  </w:style>
  <w:style w:type="paragraph" w:styleId="Heading6">
    <w:name w:val="heading 6"/>
    <w:basedOn w:val="Normal"/>
    <w:next w:val="Normal"/>
    <w:link w:val="Heading6Char"/>
    <w:uiPriority w:val="9"/>
    <w:unhideWhenUsed/>
    <w:rsid w:val="002C11AF"/>
    <w:pPr>
      <w:keepNext/>
      <w:keepLines/>
      <w:spacing w:before="200"/>
      <w:outlineLvl w:val="5"/>
    </w:pPr>
    <w:rPr>
      <w:i/>
      <w:iCs/>
      <w:color w:val="243F60"/>
    </w:rPr>
  </w:style>
  <w:style w:type="paragraph" w:styleId="Heading7">
    <w:name w:val="heading 7"/>
    <w:basedOn w:val="Normal"/>
    <w:next w:val="Normal"/>
    <w:link w:val="Heading7Char"/>
    <w:uiPriority w:val="9"/>
    <w:unhideWhenUsed/>
    <w:rsid w:val="002C11AF"/>
    <w:pPr>
      <w:keepNext/>
      <w:keepLines/>
      <w:spacing w:before="200"/>
      <w:outlineLvl w:val="6"/>
    </w:pPr>
    <w:rPr>
      <w:i/>
      <w:iCs/>
      <w:color w:val="404040"/>
    </w:rPr>
  </w:style>
  <w:style w:type="paragraph" w:styleId="Heading8">
    <w:name w:val="heading 8"/>
    <w:basedOn w:val="Normal"/>
    <w:next w:val="Normal"/>
    <w:link w:val="Heading8Char"/>
    <w:uiPriority w:val="9"/>
    <w:unhideWhenUsed/>
    <w:rsid w:val="002C11A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2C11AF"/>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2C11AF"/>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2C11AF"/>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qFormat/>
    <w:rsid w:val="002C11AF"/>
    <w:rPr>
      <w:szCs w:val="18"/>
      <w:vertAlign w:val="superscript"/>
    </w:rPr>
  </w:style>
  <w:style w:type="paragraph" w:customStyle="1" w:styleId="HMGA">
    <w:name w:val="_ H __M_GA"/>
    <w:basedOn w:val="Normal"/>
    <w:next w:val="SingleTxtGA"/>
    <w:qFormat/>
    <w:rsid w:val="002C11A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2C11A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2C11A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2C11A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2C11A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2C11A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2C11A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2C11A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2C11A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2C11A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2C11A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2C11A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2C11A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2C11AF"/>
    <w:pPr>
      <w:numPr>
        <w:numId w:val="5"/>
      </w:numPr>
      <w:bidi w:val="0"/>
    </w:pPr>
    <w:rPr>
      <w:lang w:val="en-US"/>
    </w:rPr>
  </w:style>
  <w:style w:type="paragraph" w:customStyle="1" w:styleId="Roman1GA">
    <w:name w:val="_Roman 1_GA"/>
    <w:basedOn w:val="Bullet1GA"/>
    <w:qFormat/>
    <w:rsid w:val="002C11AF"/>
    <w:pPr>
      <w:numPr>
        <w:numId w:val="6"/>
      </w:numPr>
      <w:tabs>
        <w:tab w:val="clear" w:pos="2310"/>
        <w:tab w:val="left" w:pos="2486"/>
      </w:tabs>
      <w:ind w:left="2486" w:hanging="378"/>
    </w:pPr>
  </w:style>
  <w:style w:type="paragraph" w:customStyle="1" w:styleId="Roman2GA">
    <w:name w:val="_Roman 2_GA"/>
    <w:basedOn w:val="Bullet2GA"/>
    <w:qFormat/>
    <w:rsid w:val="002C11A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2C11A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2C11AF"/>
    <w:rPr>
      <w:rFonts w:ascii="Times New Roman" w:eastAsia="PMingLiU" w:hAnsi="Times New Roman" w:cs="Simplified Arabic"/>
      <w:sz w:val="18"/>
      <w:szCs w:val="20"/>
      <w:lang w:val="en-GB"/>
    </w:rPr>
  </w:style>
  <w:style w:type="character" w:customStyle="1" w:styleId="EndtnoteReference">
    <w:name w:val="Endtnote Reference"/>
    <w:aliases w:val="1_GA"/>
    <w:qFormat/>
    <w:rsid w:val="002C11A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2C11AF"/>
    <w:pPr>
      <w:suppressAutoHyphens/>
      <w:bidi w:val="0"/>
      <w:spacing w:line="240" w:lineRule="auto"/>
    </w:pPr>
    <w:rPr>
      <w:sz w:val="16"/>
      <w:lang w:val="en-GB"/>
    </w:rPr>
  </w:style>
  <w:style w:type="character" w:customStyle="1" w:styleId="FooterChar">
    <w:name w:val="Footer Char"/>
    <w:aliases w:val="3_GA Char,3_G Char"/>
    <w:link w:val="Footer"/>
    <w:rsid w:val="002C11AF"/>
    <w:rPr>
      <w:rFonts w:ascii="Times New Roman" w:eastAsia="PMingLiU" w:hAnsi="Times New Roman" w:cs="Simplified Arabic"/>
      <w:sz w:val="16"/>
      <w:lang w:val="en-GB"/>
    </w:rPr>
  </w:style>
  <w:style w:type="paragraph" w:customStyle="1" w:styleId="FootnoteText1">
    <w:name w:val="Footnote Text1"/>
    <w:aliases w:val="5_GA"/>
    <w:basedOn w:val="Normal"/>
    <w:qFormat/>
    <w:rsid w:val="002C11A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2C11AF"/>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2C11AF"/>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2C11AF"/>
    <w:rPr>
      <w:rFonts w:ascii="Times New Roman" w:eastAsia="PMingLiU" w:hAnsi="Times New Roman" w:cs="Simplified Arabic"/>
      <w:lang w:val="en-GB"/>
    </w:rPr>
  </w:style>
  <w:style w:type="character" w:styleId="PageNumber">
    <w:name w:val="page number"/>
    <w:aliases w:val="7_GA,7_G"/>
    <w:qFormat/>
    <w:rsid w:val="002C11AF"/>
    <w:rPr>
      <w:rFonts w:ascii="Times New Roman Bold" w:hAnsi="Times New Roman Bold"/>
      <w:b/>
      <w:i w:val="0"/>
      <w:sz w:val="18"/>
      <w:szCs w:val="18"/>
    </w:rPr>
  </w:style>
  <w:style w:type="paragraph" w:customStyle="1" w:styleId="XXLargeGA">
    <w:name w:val="XXLarge_GA"/>
    <w:basedOn w:val="Normal"/>
    <w:next w:val="SingleTxtGA"/>
    <w:qFormat/>
    <w:rsid w:val="002C11AF"/>
    <w:pPr>
      <w:suppressAutoHyphens/>
      <w:spacing w:line="820" w:lineRule="exact"/>
    </w:pPr>
    <w:rPr>
      <w:spacing w:val="-8"/>
      <w:w w:val="96"/>
      <w:sz w:val="57"/>
      <w:szCs w:val="86"/>
      <w:lang w:val="en-GB"/>
    </w:rPr>
  </w:style>
  <w:style w:type="character" w:customStyle="1" w:styleId="Heading2Char">
    <w:name w:val="Heading 2 Char"/>
    <w:link w:val="Heading2"/>
    <w:uiPriority w:val="9"/>
    <w:rsid w:val="002C11AF"/>
    <w:rPr>
      <w:rFonts w:ascii="Times New Roman" w:eastAsia="PMingLiU" w:hAnsi="Times New Roman" w:cs="Simplified Arabic"/>
      <w:b/>
      <w:bCs/>
      <w:color w:val="4F81BD"/>
      <w:sz w:val="26"/>
      <w:szCs w:val="26"/>
    </w:rPr>
  </w:style>
  <w:style w:type="character" w:styleId="BookTitle">
    <w:name w:val="Book Title"/>
    <w:uiPriority w:val="33"/>
    <w:rsid w:val="002C11AF"/>
    <w:rPr>
      <w:b/>
      <w:bCs/>
      <w:smallCaps/>
      <w:spacing w:val="5"/>
    </w:rPr>
  </w:style>
  <w:style w:type="character" w:customStyle="1" w:styleId="Heading3Char">
    <w:name w:val="Heading 3 Char"/>
    <w:link w:val="Heading3"/>
    <w:uiPriority w:val="9"/>
    <w:rsid w:val="002C11AF"/>
    <w:rPr>
      <w:rFonts w:ascii="Times New Roman" w:eastAsia="PMingLiU" w:hAnsi="Times New Roman" w:cs="Simplified Arabic"/>
      <w:b/>
      <w:bCs/>
      <w:color w:val="4F81BD"/>
      <w:sz w:val="20"/>
    </w:rPr>
  </w:style>
  <w:style w:type="character" w:customStyle="1" w:styleId="Heading4Char">
    <w:name w:val="Heading 4 Char"/>
    <w:link w:val="Heading4"/>
    <w:uiPriority w:val="9"/>
    <w:rsid w:val="002C11AF"/>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2C11AF"/>
    <w:rPr>
      <w:rFonts w:ascii="Times New Roman" w:eastAsia="PMingLiU" w:hAnsi="Times New Roman" w:cs="Simplified Arabic"/>
      <w:color w:val="243F60"/>
      <w:sz w:val="20"/>
    </w:rPr>
  </w:style>
  <w:style w:type="character" w:customStyle="1" w:styleId="Heading6Char">
    <w:name w:val="Heading 6 Char"/>
    <w:link w:val="Heading6"/>
    <w:uiPriority w:val="9"/>
    <w:rsid w:val="002C11AF"/>
    <w:rPr>
      <w:rFonts w:ascii="Times New Roman" w:eastAsia="PMingLiU" w:hAnsi="Times New Roman" w:cs="Simplified Arabic"/>
      <w:i/>
      <w:iCs/>
      <w:color w:val="243F60"/>
      <w:sz w:val="20"/>
    </w:rPr>
  </w:style>
  <w:style w:type="character" w:customStyle="1" w:styleId="Heading7Char">
    <w:name w:val="Heading 7 Char"/>
    <w:link w:val="Heading7"/>
    <w:uiPriority w:val="9"/>
    <w:rsid w:val="002C11AF"/>
    <w:rPr>
      <w:rFonts w:ascii="Times New Roman" w:eastAsia="PMingLiU" w:hAnsi="Times New Roman" w:cs="Simplified Arabic"/>
      <w:i/>
      <w:iCs/>
      <w:color w:val="404040"/>
      <w:sz w:val="20"/>
    </w:rPr>
  </w:style>
  <w:style w:type="character" w:customStyle="1" w:styleId="Heading8Char">
    <w:name w:val="Heading 8 Char"/>
    <w:link w:val="Heading8"/>
    <w:uiPriority w:val="9"/>
    <w:rsid w:val="002C11AF"/>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2C11AF"/>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2C11A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2C11AF"/>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2C11AF"/>
    <w:pPr>
      <w:numPr>
        <w:ilvl w:val="1"/>
      </w:numPr>
    </w:pPr>
    <w:rPr>
      <w:i/>
      <w:iCs/>
      <w:color w:val="4F81BD"/>
      <w:spacing w:val="15"/>
      <w:sz w:val="24"/>
      <w:szCs w:val="24"/>
    </w:rPr>
  </w:style>
  <w:style w:type="character" w:customStyle="1" w:styleId="SubtitleChar">
    <w:name w:val="Subtitle Char"/>
    <w:link w:val="Subtitle"/>
    <w:uiPriority w:val="11"/>
    <w:rsid w:val="002C11AF"/>
    <w:rPr>
      <w:rFonts w:ascii="Times New Roman" w:eastAsia="PMingLiU" w:hAnsi="Times New Roman" w:cs="Simplified Arabic"/>
      <w:i/>
      <w:iCs/>
      <w:color w:val="4F81BD"/>
      <w:spacing w:val="15"/>
      <w:sz w:val="24"/>
      <w:szCs w:val="24"/>
    </w:rPr>
  </w:style>
  <w:style w:type="character" w:styleId="SubtleEmphasis">
    <w:name w:val="Subtle Emphasis"/>
    <w:uiPriority w:val="19"/>
    <w:rsid w:val="002C11AF"/>
    <w:rPr>
      <w:i/>
      <w:iCs/>
      <w:color w:val="808080"/>
    </w:rPr>
  </w:style>
  <w:style w:type="table" w:styleId="ColorfulGrid-Accent6">
    <w:name w:val="Colorful Grid Accent 6"/>
    <w:basedOn w:val="TableNormal"/>
    <w:uiPriority w:val="73"/>
    <w:rsid w:val="002C11AF"/>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2C11AF"/>
    <w:rPr>
      <w:i/>
      <w:iCs/>
    </w:rPr>
  </w:style>
  <w:style w:type="character" w:styleId="IntenseEmphasis">
    <w:name w:val="Intense Emphasis"/>
    <w:uiPriority w:val="21"/>
    <w:rsid w:val="002C11AF"/>
    <w:rPr>
      <w:b/>
      <w:bCs/>
      <w:i/>
      <w:iCs/>
      <w:color w:val="4F81BD"/>
    </w:rPr>
  </w:style>
  <w:style w:type="character" w:styleId="Strong">
    <w:name w:val="Strong"/>
    <w:uiPriority w:val="22"/>
    <w:rsid w:val="002C11AF"/>
    <w:rPr>
      <w:b/>
      <w:bCs/>
    </w:rPr>
  </w:style>
  <w:style w:type="paragraph" w:styleId="Quote">
    <w:name w:val="Quote"/>
    <w:basedOn w:val="Normal"/>
    <w:next w:val="Normal"/>
    <w:link w:val="QuoteChar"/>
    <w:uiPriority w:val="29"/>
    <w:rsid w:val="002C11AF"/>
    <w:rPr>
      <w:i/>
      <w:iCs/>
      <w:color w:val="000000"/>
    </w:rPr>
  </w:style>
  <w:style w:type="character" w:customStyle="1" w:styleId="QuoteChar">
    <w:name w:val="Quote Char"/>
    <w:link w:val="Quote"/>
    <w:uiPriority w:val="29"/>
    <w:rsid w:val="002C11AF"/>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2C11A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C11AF"/>
    <w:rPr>
      <w:rFonts w:ascii="Times New Roman" w:eastAsia="PMingLiU" w:hAnsi="Times New Roman" w:cs="Simplified Arabic"/>
      <w:b/>
      <w:bCs/>
      <w:i/>
      <w:iCs/>
      <w:color w:val="4F81BD"/>
      <w:sz w:val="20"/>
    </w:rPr>
  </w:style>
  <w:style w:type="character" w:styleId="SubtleReference">
    <w:name w:val="Subtle Reference"/>
    <w:uiPriority w:val="31"/>
    <w:rsid w:val="002C11AF"/>
    <w:rPr>
      <w:smallCaps/>
      <w:color w:val="C0504D"/>
      <w:u w:val="single"/>
    </w:rPr>
  </w:style>
  <w:style w:type="character" w:styleId="IntenseReference">
    <w:name w:val="Intense Reference"/>
    <w:uiPriority w:val="32"/>
    <w:rsid w:val="002C11AF"/>
    <w:rPr>
      <w:b/>
      <w:bCs/>
      <w:smallCaps/>
      <w:color w:val="C0504D"/>
      <w:spacing w:val="5"/>
      <w:u w:val="single"/>
    </w:rPr>
  </w:style>
  <w:style w:type="paragraph" w:styleId="ListParagraph">
    <w:name w:val="List Paragraph"/>
    <w:basedOn w:val="Normal"/>
    <w:uiPriority w:val="34"/>
    <w:rsid w:val="002C11AF"/>
    <w:pPr>
      <w:ind w:left="720"/>
      <w:contextualSpacing/>
    </w:pPr>
  </w:style>
  <w:style w:type="table" w:styleId="MediumShading1-Accent4">
    <w:name w:val="Medium Shading 1 Accent 4"/>
    <w:basedOn w:val="TableNormal"/>
    <w:uiPriority w:val="63"/>
    <w:rsid w:val="002C11AF"/>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2C11AF"/>
    <w:rPr>
      <w:rFonts w:eastAsia="MS Mincho"/>
      <w:sz w:val="18"/>
      <w:vertAlign w:val="superscript"/>
    </w:rPr>
  </w:style>
  <w:style w:type="table" w:styleId="TableGrid">
    <w:name w:val="Table Grid"/>
    <w:basedOn w:val="TableNormal"/>
    <w:rsid w:val="002C11AF"/>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11AF"/>
    <w:pPr>
      <w:spacing w:line="240" w:lineRule="auto"/>
    </w:pPr>
    <w:rPr>
      <w:sz w:val="16"/>
      <w:szCs w:val="16"/>
    </w:rPr>
  </w:style>
  <w:style w:type="character" w:customStyle="1" w:styleId="BalloonTextChar">
    <w:name w:val="Balloon Text Char"/>
    <w:link w:val="BalloonText"/>
    <w:uiPriority w:val="99"/>
    <w:semiHidden/>
    <w:rsid w:val="002C11AF"/>
    <w:rPr>
      <w:rFonts w:ascii="Times New Roman" w:eastAsia="PMingLiU" w:hAnsi="Times New Roman" w:cs="Simplified Arabic"/>
      <w:sz w:val="16"/>
      <w:szCs w:val="16"/>
    </w:rPr>
  </w:style>
  <w:style w:type="character" w:styleId="Hyperlink">
    <w:name w:val="Hyperlink"/>
    <w:uiPriority w:val="99"/>
    <w:unhideWhenUsed/>
    <w:rsid w:val="002C11AF"/>
    <w:rPr>
      <w:color w:val="0000FF"/>
      <w:u w:val="none"/>
    </w:rPr>
  </w:style>
  <w:style w:type="paragraph" w:styleId="TOC1">
    <w:name w:val="toc 1"/>
    <w:basedOn w:val="Normal"/>
    <w:link w:val="TOC1Char"/>
    <w:autoRedefine/>
    <w:uiPriority w:val="39"/>
    <w:unhideWhenUsed/>
    <w:rsid w:val="002C11A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2C11A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2C11A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2C11AF"/>
    <w:rPr>
      <w:rFonts w:eastAsia="DengXian"/>
      <w:color w:val="auto"/>
      <w:sz w:val="20"/>
      <w:szCs w:val="20"/>
      <w:u w:val="none"/>
      <w:lang w:eastAsia="zh-CN" w:bidi="ar-EG"/>
    </w:rPr>
  </w:style>
  <w:style w:type="paragraph" w:styleId="TOC4">
    <w:name w:val="toc 4"/>
    <w:basedOn w:val="Normal"/>
    <w:link w:val="TOC4Char"/>
    <w:autoRedefine/>
    <w:uiPriority w:val="39"/>
    <w:unhideWhenUsed/>
    <w:rsid w:val="002C11A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2C11A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2C11AF"/>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2C11AF"/>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2C11A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2C11AF"/>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2C11AF"/>
    <w:rPr>
      <w:color w:val="605E5C"/>
      <w:shd w:val="clear" w:color="auto" w:fill="E1DFDD"/>
    </w:rPr>
  </w:style>
  <w:style w:type="character" w:customStyle="1" w:styleId="TOC1Char">
    <w:name w:val="TOC 1 Char"/>
    <w:basedOn w:val="DefaultParagraphFont"/>
    <w:link w:val="TOC1"/>
    <w:uiPriority w:val="39"/>
    <w:rsid w:val="002C11AF"/>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2C11AF"/>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2C11AF"/>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2C11AF"/>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2C11AF"/>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2C11AF"/>
    <w:rPr>
      <w:rFonts w:ascii="Times New Roman" w:eastAsia="PMingLiU" w:hAnsi="Times New Roman" w:cs="Simplified Arabic"/>
      <w:sz w:val="20"/>
      <w:szCs w:val="20"/>
      <w:lang w:val="en-GB"/>
    </w:rPr>
  </w:style>
  <w:style w:type="paragraph" w:customStyle="1" w:styleId="SessionDate">
    <w:name w:val="Session_Date"/>
    <w:basedOn w:val="Normal"/>
    <w:qFormat/>
    <w:rsid w:val="002C11AF"/>
    <w:pPr>
      <w:spacing w:before="240" w:after="240" w:line="460" w:lineRule="exact"/>
      <w:ind w:left="1247"/>
    </w:pPr>
    <w:rPr>
      <w:b/>
      <w:bCs/>
      <w:sz w:val="32"/>
      <w:szCs w:val="44"/>
    </w:rPr>
  </w:style>
  <w:style w:type="paragraph" w:customStyle="1" w:styleId="SessionNumber">
    <w:name w:val="Session_Number"/>
    <w:basedOn w:val="Normal"/>
    <w:qFormat/>
    <w:rsid w:val="002C11AF"/>
    <w:pPr>
      <w:spacing w:line="480" w:lineRule="exact"/>
      <w:ind w:left="1247"/>
    </w:pPr>
    <w:rPr>
      <w:b/>
      <w:bCs/>
      <w:sz w:val="28"/>
      <w:szCs w:val="38"/>
    </w:rPr>
  </w:style>
  <w:style w:type="paragraph" w:customStyle="1" w:styleId="CityandYear">
    <w:name w:val="City and Year"/>
    <w:basedOn w:val="SingleTxtGA"/>
    <w:qFormat/>
    <w:rsid w:val="002C11AF"/>
    <w:pPr>
      <w:spacing w:line="480" w:lineRule="exact"/>
    </w:pPr>
    <w:rPr>
      <w:b/>
      <w:bCs/>
      <w:sz w:val="30"/>
      <w:szCs w:val="38"/>
      <w:lang w:eastAsia="ar-SA"/>
    </w:rPr>
  </w:style>
  <w:style w:type="paragraph" w:customStyle="1" w:styleId="NormalA">
    <w:name w:val="Normal_A"/>
    <w:basedOn w:val="Normal"/>
    <w:qFormat/>
    <w:rsid w:val="002C11AF"/>
  </w:style>
  <w:style w:type="paragraph" w:customStyle="1" w:styleId="H1G">
    <w:name w:val="_ H_1_G"/>
    <w:basedOn w:val="Normal"/>
    <w:next w:val="Normal"/>
    <w:qFormat/>
    <w:rsid w:val="002C11AF"/>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2C11AF"/>
    <w:pPr>
      <w:suppressAutoHyphens/>
      <w:bidi w:val="0"/>
      <w:spacing w:after="120"/>
      <w:ind w:left="1134" w:right="1134"/>
      <w:jc w:val="both"/>
    </w:pPr>
    <w:rPr>
      <w:szCs w:val="20"/>
      <w:lang w:val="en-GB"/>
    </w:rPr>
  </w:style>
  <w:style w:type="paragraph" w:customStyle="1" w:styleId="HChG">
    <w:name w:val="_ H _Ch_G"/>
    <w:basedOn w:val="Normal"/>
    <w:next w:val="Normal"/>
    <w:qFormat/>
    <w:rsid w:val="002C11AF"/>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2C11AF"/>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2C11AF"/>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2C11A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2C11AF"/>
    <w:rPr>
      <w:sz w:val="44"/>
      <w:szCs w:val="44"/>
      <w:lang w:val="en-US" w:bidi="ar-DZ"/>
    </w:rPr>
  </w:style>
  <w:style w:type="paragraph" w:customStyle="1" w:styleId="FootnoteGA0">
    <w:name w:val="Footnote_GA"/>
    <w:basedOn w:val="Normal"/>
    <w:qFormat/>
    <w:rsid w:val="002C11AF"/>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2C11AF"/>
    <w:pPr>
      <w:keepNext/>
      <w:keepLines/>
      <w:spacing w:after="120" w:line="400" w:lineRule="exact"/>
      <w:outlineLvl w:val="0"/>
    </w:pPr>
    <w:rPr>
      <w:b/>
      <w:bCs/>
      <w:kern w:val="14"/>
      <w:sz w:val="24"/>
      <w:szCs w:val="32"/>
    </w:rPr>
  </w:style>
  <w:style w:type="paragraph" w:customStyle="1" w:styleId="HCh">
    <w:name w:val="_ H _Ch"/>
    <w:basedOn w:val="H1"/>
    <w:next w:val="SingleTxt"/>
    <w:qFormat/>
    <w:rsid w:val="002C11AF"/>
    <w:pPr>
      <w:spacing w:line="440" w:lineRule="exact"/>
    </w:pPr>
    <w:rPr>
      <w:spacing w:val="-2"/>
      <w:sz w:val="28"/>
      <w:szCs w:val="36"/>
    </w:rPr>
  </w:style>
  <w:style w:type="character" w:styleId="CommentReference">
    <w:name w:val="annotation reference"/>
    <w:uiPriority w:val="99"/>
    <w:semiHidden/>
    <w:rsid w:val="002C11AF"/>
    <w:rPr>
      <w:sz w:val="6"/>
      <w:szCs w:val="9"/>
    </w:rPr>
  </w:style>
  <w:style w:type="paragraph" w:customStyle="1" w:styleId="HM">
    <w:name w:val="_ H __M"/>
    <w:basedOn w:val="HCh"/>
    <w:next w:val="Normal"/>
    <w:qFormat/>
    <w:rsid w:val="002C11AF"/>
    <w:pPr>
      <w:suppressAutoHyphens/>
      <w:spacing w:line="520" w:lineRule="exact"/>
    </w:pPr>
    <w:rPr>
      <w:spacing w:val="-3"/>
      <w:sz w:val="34"/>
      <w:szCs w:val="48"/>
    </w:rPr>
  </w:style>
  <w:style w:type="paragraph" w:customStyle="1" w:styleId="SingleTxt">
    <w:name w:val="__Single Txt"/>
    <w:basedOn w:val="Normal"/>
    <w:qFormat/>
    <w:rsid w:val="002C11AF"/>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2C11AF"/>
    <w:pPr>
      <w:suppressAutoHyphens/>
      <w:spacing w:line="360" w:lineRule="exact"/>
      <w:outlineLvl w:val="1"/>
    </w:pPr>
    <w:rPr>
      <w:spacing w:val="2"/>
      <w:sz w:val="20"/>
      <w:szCs w:val="28"/>
    </w:rPr>
  </w:style>
  <w:style w:type="paragraph" w:customStyle="1" w:styleId="H4">
    <w:name w:val="_ H_4"/>
    <w:basedOn w:val="Normal"/>
    <w:next w:val="Normal"/>
    <w:qFormat/>
    <w:rsid w:val="002C11AF"/>
    <w:pPr>
      <w:keepNext/>
      <w:keepLines/>
      <w:spacing w:after="120" w:line="360" w:lineRule="exact"/>
      <w:outlineLvl w:val="3"/>
    </w:pPr>
    <w:rPr>
      <w:i/>
      <w:iCs/>
      <w:kern w:val="14"/>
      <w:szCs w:val="28"/>
    </w:rPr>
  </w:style>
  <w:style w:type="paragraph" w:customStyle="1" w:styleId="H56">
    <w:name w:val="_ H_5/6"/>
    <w:basedOn w:val="Normal"/>
    <w:next w:val="Normal"/>
    <w:qFormat/>
    <w:rsid w:val="002C11AF"/>
    <w:pPr>
      <w:keepNext/>
      <w:keepLines/>
      <w:spacing w:after="120" w:line="360" w:lineRule="exact"/>
      <w:outlineLvl w:val="4"/>
    </w:pPr>
    <w:rPr>
      <w:kern w:val="14"/>
      <w:szCs w:val="28"/>
    </w:rPr>
  </w:style>
  <w:style w:type="paragraph" w:customStyle="1" w:styleId="DualTxt">
    <w:name w:val="__Dual Txt"/>
    <w:basedOn w:val="Normal"/>
    <w:qFormat/>
    <w:rsid w:val="002C11AF"/>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2C11AF"/>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2C11AF"/>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2C11AF"/>
    <w:pPr>
      <w:spacing w:after="120" w:line="440" w:lineRule="exact"/>
      <w:jc w:val="center"/>
    </w:pPr>
    <w:rPr>
      <w:b/>
      <w:bCs/>
      <w:sz w:val="25"/>
      <w:szCs w:val="38"/>
    </w:rPr>
  </w:style>
  <w:style w:type="paragraph" w:customStyle="1" w:styleId="JH1">
    <w:name w:val="J_H_1"/>
    <w:basedOn w:val="JCH"/>
    <w:qFormat/>
    <w:rsid w:val="002C11AF"/>
    <w:pPr>
      <w:spacing w:line="420" w:lineRule="exact"/>
    </w:pPr>
    <w:rPr>
      <w:sz w:val="23"/>
      <w:szCs w:val="34"/>
    </w:rPr>
  </w:style>
  <w:style w:type="paragraph" w:customStyle="1" w:styleId="JH2">
    <w:name w:val="J_H_2"/>
    <w:basedOn w:val="JH1"/>
    <w:qFormat/>
    <w:rsid w:val="002C11AF"/>
    <w:pPr>
      <w:spacing w:line="400" w:lineRule="exact"/>
    </w:pPr>
    <w:rPr>
      <w:sz w:val="20"/>
      <w:szCs w:val="30"/>
    </w:rPr>
  </w:style>
  <w:style w:type="paragraph" w:customStyle="1" w:styleId="JSmall">
    <w:name w:val="J_Small"/>
    <w:basedOn w:val="JSingleTxt"/>
    <w:next w:val="JSingleTxt"/>
    <w:qFormat/>
    <w:rsid w:val="002C11A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2C11AF"/>
    <w:pPr>
      <w:tabs>
        <w:tab w:val="right" w:leader="dot" w:pos="360"/>
      </w:tabs>
      <w:spacing w:line="310" w:lineRule="exact"/>
      <w:jc w:val="right"/>
    </w:pPr>
    <w:rPr>
      <w:spacing w:val="5"/>
      <w:w w:val="104"/>
      <w:kern w:val="14"/>
      <w:sz w:val="17"/>
      <w:szCs w:val="25"/>
    </w:rPr>
  </w:style>
  <w:style w:type="character" w:styleId="LineNumber">
    <w:name w:val="line number"/>
    <w:qFormat/>
    <w:rsid w:val="002C11AF"/>
    <w:rPr>
      <w:sz w:val="14"/>
      <w:szCs w:val="16"/>
    </w:rPr>
  </w:style>
  <w:style w:type="paragraph" w:customStyle="1" w:styleId="SmallX">
    <w:name w:val="SmallX"/>
    <w:basedOn w:val="Small"/>
    <w:next w:val="Normal"/>
    <w:qFormat/>
    <w:rsid w:val="002C11AF"/>
    <w:pPr>
      <w:spacing w:line="240" w:lineRule="exact"/>
    </w:pPr>
    <w:rPr>
      <w:spacing w:val="6"/>
      <w:w w:val="106"/>
      <w:sz w:val="14"/>
      <w:szCs w:val="21"/>
    </w:rPr>
  </w:style>
  <w:style w:type="paragraph" w:customStyle="1" w:styleId="XLarge">
    <w:name w:val="XLarge"/>
    <w:basedOn w:val="HM"/>
    <w:qFormat/>
    <w:rsid w:val="002C11A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2C11AF"/>
    <w:pPr>
      <w:spacing w:line="820" w:lineRule="exact"/>
    </w:pPr>
    <w:rPr>
      <w:spacing w:val="-8"/>
      <w:w w:val="96"/>
      <w:sz w:val="57"/>
      <w:szCs w:val="86"/>
    </w:rPr>
  </w:style>
  <w:style w:type="paragraph" w:customStyle="1" w:styleId="Distribution">
    <w:name w:val="Distribution"/>
    <w:basedOn w:val="Normal"/>
    <w:next w:val="Normal"/>
    <w:qFormat/>
    <w:rsid w:val="002C11AF"/>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2C11AF"/>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2C11AF"/>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2C11AF"/>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2C11AF"/>
    <w:pPr>
      <w:tabs>
        <w:tab w:val="left" w:pos="662"/>
        <w:tab w:val="left" w:pos="1267"/>
        <w:tab w:val="left" w:pos="1987"/>
        <w:tab w:val="left" w:pos="2650"/>
      </w:tabs>
      <w:spacing w:after="0"/>
      <w:ind w:left="662" w:hanging="662"/>
    </w:pPr>
  </w:style>
  <w:style w:type="paragraph" w:customStyle="1" w:styleId="Committee">
    <w:name w:val="Committee"/>
    <w:basedOn w:val="H1"/>
    <w:qFormat/>
    <w:rsid w:val="002C11AF"/>
    <w:pPr>
      <w:tabs>
        <w:tab w:val="left" w:pos="662"/>
        <w:tab w:val="left" w:pos="1267"/>
        <w:tab w:val="left" w:pos="1987"/>
        <w:tab w:val="left" w:pos="2650"/>
      </w:tabs>
      <w:ind w:right="1264"/>
    </w:pPr>
  </w:style>
  <w:style w:type="paragraph" w:customStyle="1" w:styleId="AgendaItemNormal">
    <w:name w:val="Agenda_Item_Normal"/>
    <w:next w:val="Normal"/>
    <w:qFormat/>
    <w:rsid w:val="002C11AF"/>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2C11A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2C11A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2C11A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2C11A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2C11AF"/>
    <w:rPr>
      <w:i w:val="0"/>
      <w:color w:val="0000FF"/>
      <w:u w:val="none"/>
    </w:rPr>
  </w:style>
  <w:style w:type="paragraph" w:customStyle="1" w:styleId="Bullet1">
    <w:name w:val="Bullet 1"/>
    <w:basedOn w:val="Normal"/>
    <w:qFormat/>
    <w:rsid w:val="002C11AF"/>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2C11AF"/>
    <w:pPr>
      <w:numPr>
        <w:numId w:val="14"/>
      </w:numPr>
      <w:spacing w:after="120" w:line="360" w:lineRule="exact"/>
      <w:ind w:right="1264"/>
    </w:pPr>
    <w:rPr>
      <w:kern w:val="14"/>
      <w:szCs w:val="28"/>
    </w:rPr>
  </w:style>
  <w:style w:type="paragraph" w:customStyle="1" w:styleId="Bullet3">
    <w:name w:val="Bullet 3"/>
    <w:basedOn w:val="SingleTxt"/>
    <w:qFormat/>
    <w:rsid w:val="002C11AF"/>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2C11AF"/>
    <w:pPr>
      <w:ind w:right="5760"/>
      <w:outlineLvl w:val="1"/>
    </w:pPr>
    <w:rPr>
      <w:spacing w:val="2"/>
      <w:sz w:val="20"/>
      <w:szCs w:val="28"/>
    </w:rPr>
  </w:style>
  <w:style w:type="paragraph" w:customStyle="1" w:styleId="STitleM">
    <w:name w:val="S_Title_M"/>
    <w:basedOn w:val="Normal"/>
    <w:next w:val="Normal"/>
    <w:qFormat/>
    <w:rsid w:val="002C11AF"/>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2C11AF"/>
    <w:pPr>
      <w:spacing w:line="600" w:lineRule="exact"/>
      <w:ind w:left="1267" w:right="1267"/>
    </w:pPr>
    <w:rPr>
      <w:w w:val="103"/>
      <w:sz w:val="60"/>
      <w:szCs w:val="60"/>
    </w:rPr>
  </w:style>
  <w:style w:type="paragraph" w:customStyle="1" w:styleId="STitleL">
    <w:name w:val="S_Title_L"/>
    <w:basedOn w:val="XLarge"/>
    <w:next w:val="Normal"/>
    <w:qFormat/>
    <w:rsid w:val="002C11AF"/>
    <w:rPr>
      <w:spacing w:val="-8"/>
      <w:w w:val="96"/>
      <w:sz w:val="57"/>
    </w:rPr>
  </w:style>
  <w:style w:type="paragraph" w:styleId="CommentText">
    <w:name w:val="annotation text"/>
    <w:basedOn w:val="Normal"/>
    <w:link w:val="CommentTextChar"/>
    <w:uiPriority w:val="99"/>
    <w:semiHidden/>
    <w:unhideWhenUsed/>
    <w:rsid w:val="002C11AF"/>
    <w:pPr>
      <w:spacing w:line="240" w:lineRule="auto"/>
    </w:pPr>
    <w:rPr>
      <w:kern w:val="14"/>
    </w:rPr>
  </w:style>
  <w:style w:type="character" w:customStyle="1" w:styleId="CommentTextChar">
    <w:name w:val="Comment Text Char"/>
    <w:basedOn w:val="DefaultParagraphFont"/>
    <w:link w:val="CommentText"/>
    <w:uiPriority w:val="99"/>
    <w:semiHidden/>
    <w:rsid w:val="002C11AF"/>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2C11AF"/>
    <w:rPr>
      <w:b/>
      <w:bCs/>
    </w:rPr>
  </w:style>
  <w:style w:type="character" w:customStyle="1" w:styleId="CommentSubjectChar">
    <w:name w:val="Comment Subject Char"/>
    <w:basedOn w:val="CommentTextChar"/>
    <w:link w:val="CommentSubject"/>
    <w:uiPriority w:val="99"/>
    <w:semiHidden/>
    <w:rsid w:val="002C11AF"/>
    <w:rPr>
      <w:rFonts w:ascii="Times New Roman" w:eastAsia="PMingLiU" w:hAnsi="Times New Roman" w:cs="Simplified Arabic"/>
      <w:b/>
      <w:bCs/>
      <w:kern w:val="14"/>
      <w:sz w:val="20"/>
    </w:rPr>
  </w:style>
  <w:style w:type="paragraph" w:customStyle="1" w:styleId="Bullet1G">
    <w:name w:val="_Bullet 1_G"/>
    <w:basedOn w:val="Normal"/>
    <w:qFormat/>
    <w:rsid w:val="002C11AF"/>
    <w:pPr>
      <w:numPr>
        <w:numId w:val="16"/>
      </w:numPr>
      <w:bidi w:val="0"/>
      <w:spacing w:after="120"/>
      <w:ind w:right="1134"/>
      <w:jc w:val="both"/>
    </w:pPr>
    <w:rPr>
      <w:sz w:val="22"/>
    </w:rPr>
  </w:style>
  <w:style w:type="character" w:customStyle="1" w:styleId="SingleTxtGChar">
    <w:name w:val="_ Single Txt_G Char"/>
    <w:link w:val="SingleTxtG"/>
    <w:rsid w:val="002C11AF"/>
    <w:rPr>
      <w:rFonts w:ascii="Times New Roman" w:eastAsia="PMingLiU" w:hAnsi="Times New Roman" w:cs="Simplified Arabic"/>
      <w:sz w:val="20"/>
      <w:szCs w:val="20"/>
      <w:lang w:val="en-GB"/>
    </w:rPr>
  </w:style>
  <w:style w:type="paragraph" w:customStyle="1" w:styleId="Preparedby">
    <w:name w:val="Prepared by:"/>
    <w:basedOn w:val="H23GA"/>
    <w:qFormat/>
    <w:rsid w:val="002C11AF"/>
    <w:rPr>
      <w:sz w:val="32"/>
      <w:szCs w:val="32"/>
    </w:rPr>
  </w:style>
  <w:style w:type="paragraph" w:customStyle="1" w:styleId="ParaNoG">
    <w:name w:val="_ParaNo._G"/>
    <w:basedOn w:val="SingleTxtG"/>
    <w:rsid w:val="002C11AF"/>
    <w:pPr>
      <w:numPr>
        <w:numId w:val="23"/>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2C11AF"/>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2C11AF"/>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2C11AF"/>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2C11A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2C11AF"/>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2C11A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2C11AF"/>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2C11AF"/>
    <w:pPr>
      <w:spacing w:after="0" w:line="240" w:lineRule="auto"/>
    </w:pPr>
    <w:rPr>
      <w:rFonts w:eastAsiaTheme="minorEastAsia"/>
      <w:sz w:val="24"/>
      <w:szCs w:val="24"/>
      <w:lang w:val="fr-FR" w:eastAsia="fr-FR"/>
    </w:rPr>
  </w:style>
  <w:style w:type="paragraph" w:customStyle="1" w:styleId="Default">
    <w:name w:val="Default"/>
    <w:semiHidden/>
    <w:rsid w:val="002C11AF"/>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2C11AF"/>
  </w:style>
  <w:style w:type="character" w:customStyle="1" w:styleId="preferred">
    <w:name w:val="preferred"/>
    <w:basedOn w:val="DefaultParagraphFont"/>
    <w:rsid w:val="002C11AF"/>
  </w:style>
  <w:style w:type="character" w:customStyle="1" w:styleId="admitted">
    <w:name w:val="admitted"/>
    <w:basedOn w:val="DefaultParagraphFont"/>
    <w:rsid w:val="002C1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7E432-8F8A-425D-9D7B-28C6F19F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3550</Words>
  <Characters>17184</Characters>
  <Application>Microsoft Office Word</Application>
  <DocSecurity>0</DocSecurity>
  <Lines>554</Lines>
  <Paragraphs>441</Paragraphs>
  <ScaleCrop>false</ScaleCrop>
  <HeadingPairs>
    <vt:vector size="2" baseType="variant">
      <vt:variant>
        <vt:lpstr>Title</vt:lpstr>
      </vt:variant>
      <vt:variant>
        <vt:i4>1</vt:i4>
      </vt:variant>
    </vt:vector>
  </HeadingPairs>
  <TitlesOfParts>
    <vt:vector size="1" baseType="lpstr">
      <vt:lpstr>CED/C/20/2</vt:lpstr>
    </vt:vector>
  </TitlesOfParts>
  <Company>DCM</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CED/C/20/2</dc:title>
  <dc:subject>GE.2106993(A)</dc:subject>
  <dc:creator>Ihab RIZ - </dc:creator>
  <cp:keywords>GE.2111461(A)</cp:keywords>
  <dc:description>General_x000d_
_x000d_
Arabic_x000d_
English</dc:description>
  <cp:lastModifiedBy>Jamela CHEDAD</cp:lastModifiedBy>
  <cp:revision>3</cp:revision>
  <cp:lastPrinted>2021-06-10T06:36:00Z</cp:lastPrinted>
  <dcterms:created xsi:type="dcterms:W3CDTF">2021-06-10T06:36:00Z</dcterms:created>
  <dcterms:modified xsi:type="dcterms:W3CDTF">2021-06-10T06:43:00Z</dcterms:modified>
</cp:coreProperties>
</file>