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42237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160603    160603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73711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 "Введите символ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CERD/C/62/Dec/2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 "Введите дату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3 June 2003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r>
        <w:t>КОМИТЕТ ПО ЛИКВИДАЦИИ</w:t>
      </w:r>
    </w:p>
    <w:p w:rsidR="00000000" w:rsidRDefault="00000000">
      <w:r>
        <w:t>РАСОВОЙ ДИСКРИМИНАЦИИ</w:t>
      </w:r>
    </w:p>
    <w:p w:rsidR="00000000" w:rsidRDefault="00000000">
      <w:r>
        <w:t>Шестьдесят вторая сессия</w:t>
      </w:r>
    </w:p>
    <w:p w:rsidR="00000000" w:rsidRDefault="00000000">
      <w:r>
        <w:t>3-21 марта 2003 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ПРЕДОТВРАЩЕНИЕ РАСОВОЙ ДИСКРИМИНАЦИИ, ВКЛЮЧАЯ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МЕРЫ РАННЕГО ПРЕДУПРЕЖДЕНИЯ И ПРОЦЕДУРЫ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НЕЗАМЕДЛИТЕЛЬНЫХ ДЕЙСТВИЙ</w:t>
      </w:r>
      <w:r>
        <w:rPr>
          <w:rStyle w:val="FootnoteReference"/>
          <w:b w:val="0"/>
          <w:bCs/>
        </w:rPr>
        <w:footnoteReference w:customMarkFollows="1" w:id="1"/>
        <w:sym w:font="Symbol" w:char="F02A"/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Решение 2 (62)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Гайана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по ликвидации расовой дискриминации, принимая к сведению тот факт, что Гайана представила второй периодический доклад Комитету по правам человека и первоначальный доклад Комитету по ликвидации дискриминации в отношении женщин, с сожалением отмечает, что Гайана, ратифицировавшая Международную конвенцию о ликвидации всех форм расовой дискриминации в 1977 году, пока еще не представила никакого доклада Комитету по ликвидации расовой дискриминации.</w:t>
      </w:r>
    </w:p>
    <w:p w:rsidR="00000000" w:rsidRDefault="00000000"/>
    <w:p w:rsidR="00000000" w:rsidRDefault="00000000">
      <w:r>
        <w:t>2.</w:t>
      </w:r>
      <w:r>
        <w:tab/>
        <w:t>Комитет напоминает, что цель системы представления докладов государствами-участниками заключается в установлении и поддержании с Комитетом диалога относительно принятых мер, достигнутого прогресса и трудностей в соблюдении обязательств, вытекающих из Конвенции.  Он также отмечает, что невыполнение государством-участником своих обязательств по представлению докладов в соответствии со статьей 9 Конвенции является серьезным препятствием, мешающим эффективному функционированию созданной на основе Конвенции системы мониторинга.</w:t>
      </w:r>
    </w:p>
    <w:p w:rsidR="00000000" w:rsidRDefault="00000000"/>
    <w:p w:rsidR="00000000" w:rsidRDefault="00000000">
      <w:r>
        <w:t>3.</w:t>
      </w:r>
      <w:r>
        <w:tab/>
        <w:t>Комитет обращает внимание государства-участника на положения Декларации и Программы действий Всемирной конференции по борьбе против расизма, расовой дискриминации, ксенофобии и связанной с ними нетерпимости, в соответствии с которыми Международная конвенция о ликвидации всех форм расовой дискриминации является главным международным инструментом, направленным на ликвидацию расизма,  расовой дискриминации, ксенофобии и связанной с ними нетерпимости, и государствам настоятельно рекомендуется сотрудничать с Комитетом в целях содействия эффективному осуществлению Конвенции.</w:t>
      </w:r>
    </w:p>
    <w:p w:rsidR="00000000" w:rsidRDefault="00000000"/>
    <w:p w:rsidR="00000000" w:rsidRDefault="00000000">
      <w:r>
        <w:t>4.</w:t>
      </w:r>
      <w:r>
        <w:tab/>
        <w:t>Комитет признает сложные экономические и социальные условия, в которых находится Гайана, и по</w:t>
      </w:r>
      <w:r>
        <w:noBreakHyphen/>
        <w:t>прежнему испытывает глубокую обеспокоенность по поводу широкомасштабных политических и этнических конфликтов, которые привели к ухудшению положения в стране и серьезным столкновениям.</w:t>
      </w:r>
    </w:p>
    <w:p w:rsidR="00000000" w:rsidRDefault="00000000"/>
    <w:p w:rsidR="00000000" w:rsidRDefault="00000000">
      <w:r>
        <w:t>5.</w:t>
      </w:r>
      <w:r>
        <w:tab/>
        <w:t>Многие межправительственные и неправительственные организации и учреждения Организации Объединенных Наций разделяют мнение о том, что порочный круг, связанный с состоянием политической и этнической напряженности, стал причиной возникновения в Гайане политической нестабильности, которая отрицательно сказалась на правах человека, ослабила гражданское общество, повлекла за собой рост насилия на расовой почве, нищеты и отчуждения групп коренного населения, а также оказалась фактором, препятствующим отправлению правосудия и применению стандартов в области прав человека.</w:t>
      </w:r>
    </w:p>
    <w:p w:rsidR="00000000" w:rsidRDefault="00000000"/>
    <w:p w:rsidR="00000000" w:rsidRDefault="00000000">
      <w:r>
        <w:t>6.</w:t>
      </w:r>
      <w:r>
        <w:tab/>
        <w:t>Хотя Комитет удовлетворил просьбу государства-участника, касающуюся представления им своего первоначального доклада в марте 2004 года, Комитет хотел бы подчеркнуть, что с учетом неотложного характера вышеизложенных проблем он, возможно, решит запросить и обсудить информацию о положении дел с расовой дискриминацией в Гайане в соответствии со своей процедурой раннего предупреждения и незамедлительных действий на более раннем этапе.</w:t>
      </w:r>
    </w:p>
    <w:p w:rsidR="00000000" w:rsidRDefault="00000000"/>
    <w:p w:rsidR="00000000" w:rsidRDefault="00000000">
      <w:pPr>
        <w:jc w:val="right"/>
        <w:rPr>
          <w:i/>
          <w:iCs/>
        </w:rPr>
      </w:pPr>
      <w:r>
        <w:rPr>
          <w:i/>
          <w:iCs/>
        </w:rPr>
        <w:t>1582-е заседание</w:t>
      </w:r>
    </w:p>
    <w:p w:rsidR="00000000" w:rsidRDefault="00000000">
      <w:pPr>
        <w:jc w:val="right"/>
        <w:rPr>
          <w:i/>
          <w:iCs/>
        </w:rPr>
      </w:pPr>
      <w:r>
        <w:rPr>
          <w:i/>
          <w:iCs/>
        </w:rPr>
        <w:t>21 марта 2003 года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-------</w:t>
      </w: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sym w:font="Symbol" w:char="F02A"/>
      </w:r>
      <w:r>
        <w:t xml:space="preserve"> </w:t>
      </w:r>
      <w:r>
        <w:tab/>
        <w:t xml:space="preserve">Просьба иметь в виду, что отныне решения, принятые Комитетом, будут распространяться под условным обозначением 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Session</w:t>
      </w:r>
      <w:r>
        <w:t xml:space="preserve"> </w:t>
      </w:r>
      <w:r>
        <w:rPr>
          <w:lang w:val="en-US"/>
        </w:rPr>
        <w:t>No</w:t>
      </w:r>
      <w:r>
        <w:t>./</w:t>
      </w:r>
      <w:r>
        <w:rPr>
          <w:lang w:val="en-US"/>
        </w:rPr>
        <w:t>Dec</w:t>
      </w:r>
      <w:r>
        <w:t>.</w:t>
      </w:r>
      <w:r>
        <w:rPr>
          <w:lang w:val="en-US"/>
        </w:rPr>
        <w:t>No</w:t>
      </w:r>
      <w:r>
        <w:t>.</w:t>
      </w:r>
    </w:p>
    <w:p w:rsidR="00000000" w:rsidRDefault="00000000">
      <w:pPr>
        <w:pStyle w:val="FootnoteText"/>
      </w:pPr>
    </w:p>
    <w:p w:rsidR="00000000" w:rsidRDefault="000000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CERD/C/62/Dec/2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CERD/C/62/Dec/2</w:t>
    </w:r>
  </w:p>
  <w:p w:rsidR="00000000" w:rsidRDefault="00000000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2</TotalTime>
  <Pages>1</Pages>
  <Words>509</Words>
  <Characters>2904</Characters>
  <Application>Microsoft Office Word</Application>
  <DocSecurity>4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0342237.doc</vt:lpstr>
    </vt:vector>
  </TitlesOfParts>
  <Company> 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0342237.doc</dc:title>
  <dc:subject>Kouzmenko</dc:subject>
  <dc:creator>Dmitrieva T.</dc:creator>
  <cp:keywords/>
  <dc:description/>
  <cp:lastModifiedBy>Dmitrieva T.</cp:lastModifiedBy>
  <cp:revision>3</cp:revision>
  <cp:lastPrinted>2003-06-16T09:38:00Z</cp:lastPrinted>
  <dcterms:created xsi:type="dcterms:W3CDTF">2003-06-16T09:38:00Z</dcterms:created>
  <dcterms:modified xsi:type="dcterms:W3CDTF">2003-06-16T09:38:00Z</dcterms:modified>
</cp:coreProperties>
</file>