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C97C7A" w:rsidP="00C97C7A">
            <w:pPr>
              <w:bidi w:val="0"/>
              <w:spacing w:after="20"/>
              <w:jc w:val="left"/>
              <w:rPr>
                <w:szCs w:val="20"/>
              </w:rPr>
            </w:pPr>
            <w:r w:rsidRPr="00C97C7A">
              <w:rPr>
                <w:sz w:val="40"/>
                <w:szCs w:val="20"/>
              </w:rPr>
              <w:t>CCPR</w:t>
            </w:r>
            <w:r>
              <w:rPr>
                <w:szCs w:val="20"/>
              </w:rPr>
              <w:t>/C/KWT/CO/2</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C97C7A" w:rsidRDefault="00C97C7A" w:rsidP="00C97C7A">
            <w:pPr>
              <w:bidi w:val="0"/>
              <w:spacing w:before="240"/>
              <w:jc w:val="left"/>
            </w:pPr>
            <w:r>
              <w:t>Distr.: General</w:t>
            </w:r>
          </w:p>
          <w:p w:rsidR="00C97C7A" w:rsidRDefault="00C97C7A" w:rsidP="00C97C7A">
            <w:pPr>
              <w:bidi w:val="0"/>
              <w:jc w:val="left"/>
            </w:pPr>
            <w:r>
              <w:t>18 November 2011</w:t>
            </w:r>
          </w:p>
          <w:p w:rsidR="00C97C7A" w:rsidRDefault="00C97C7A" w:rsidP="00C97C7A">
            <w:pPr>
              <w:bidi w:val="0"/>
              <w:jc w:val="left"/>
            </w:pPr>
            <w:r>
              <w:t>Arabic</w:t>
            </w:r>
          </w:p>
          <w:p w:rsidR="00257225" w:rsidRPr="008B4BC6" w:rsidRDefault="00C97C7A" w:rsidP="00C97C7A">
            <w:pPr>
              <w:bidi w:val="0"/>
              <w:jc w:val="left"/>
            </w:pPr>
            <w:r>
              <w:t>Original: English</w:t>
            </w:r>
          </w:p>
        </w:tc>
      </w:tr>
    </w:tbl>
    <w:p w:rsidR="00C97C7A" w:rsidRPr="00511DD6" w:rsidRDefault="00C97C7A" w:rsidP="00C97C7A">
      <w:pPr>
        <w:spacing w:before="120" w:line="380" w:lineRule="exact"/>
        <w:jc w:val="left"/>
        <w:rPr>
          <w:rFonts w:hint="cs"/>
          <w:rtl/>
        </w:rPr>
      </w:pPr>
      <w:r w:rsidRPr="00511DD6">
        <w:rPr>
          <w:rFonts w:hint="cs"/>
          <w:b/>
          <w:bCs/>
          <w:sz w:val="36"/>
          <w:szCs w:val="36"/>
          <w:rtl/>
        </w:rPr>
        <w:t>ال</w:t>
      </w:r>
      <w:r w:rsidRPr="00511DD6">
        <w:rPr>
          <w:b/>
          <w:bCs/>
          <w:sz w:val="36"/>
          <w:szCs w:val="36"/>
          <w:rtl/>
        </w:rPr>
        <w:t>ل</w:t>
      </w:r>
      <w:r w:rsidRPr="00511DD6">
        <w:rPr>
          <w:rFonts w:hint="cs"/>
          <w:b/>
          <w:bCs/>
          <w:sz w:val="36"/>
          <w:szCs w:val="36"/>
          <w:rtl/>
        </w:rPr>
        <w:t>جن</w:t>
      </w:r>
      <w:r w:rsidRPr="00511DD6">
        <w:rPr>
          <w:b/>
          <w:bCs/>
          <w:sz w:val="36"/>
          <w:szCs w:val="36"/>
          <w:rtl/>
        </w:rPr>
        <w:t xml:space="preserve">ة </w:t>
      </w:r>
      <w:r w:rsidRPr="00511DD6">
        <w:rPr>
          <w:rFonts w:hint="cs"/>
          <w:b/>
          <w:bCs/>
          <w:sz w:val="36"/>
          <w:szCs w:val="36"/>
          <w:rtl/>
        </w:rPr>
        <w:t>المعنية بحقوق الإنسان</w:t>
      </w:r>
    </w:p>
    <w:p w:rsidR="00C97C7A" w:rsidRPr="00511DD6" w:rsidRDefault="00C97C7A" w:rsidP="00C97C7A">
      <w:pPr>
        <w:spacing w:line="380" w:lineRule="exact"/>
        <w:jc w:val="both"/>
        <w:rPr>
          <w:rFonts w:hint="cs"/>
          <w:b/>
          <w:bCs/>
          <w:rtl/>
        </w:rPr>
      </w:pPr>
      <w:r w:rsidRPr="00511DD6">
        <w:rPr>
          <w:rFonts w:hint="cs"/>
          <w:b/>
          <w:bCs/>
          <w:sz w:val="30"/>
          <w:rtl/>
        </w:rPr>
        <w:t>الدورة</w:t>
      </w:r>
      <w:r w:rsidRPr="00511DD6">
        <w:rPr>
          <w:rFonts w:hint="cs"/>
          <w:b/>
          <w:bCs/>
          <w:rtl/>
        </w:rPr>
        <w:t xml:space="preserve"> الثالثة بعد المائة </w:t>
      </w:r>
    </w:p>
    <w:p w:rsidR="00C97C7A" w:rsidRPr="00511DD6" w:rsidRDefault="00C97C7A" w:rsidP="00201CBF">
      <w:pPr>
        <w:spacing w:line="380" w:lineRule="exact"/>
        <w:jc w:val="both"/>
        <w:rPr>
          <w:rFonts w:hint="cs"/>
          <w:rtl/>
        </w:rPr>
      </w:pPr>
      <w:r w:rsidRPr="00511DD6">
        <w:rPr>
          <w:rFonts w:hint="cs"/>
          <w:rtl/>
        </w:rPr>
        <w:t>17</w:t>
      </w:r>
      <w:r w:rsidR="002716CA">
        <w:rPr>
          <w:rFonts w:hint="cs"/>
          <w:rtl/>
        </w:rPr>
        <w:t xml:space="preserve"> </w:t>
      </w:r>
      <w:r w:rsidRPr="00511DD6">
        <w:rPr>
          <w:rFonts w:hint="cs"/>
          <w:rtl/>
        </w:rPr>
        <w:t>تشرين الأول/أكتوبر</w:t>
      </w:r>
      <w:r w:rsidR="00136941">
        <w:rPr>
          <w:rFonts w:hint="cs"/>
          <w:rtl/>
        </w:rPr>
        <w:t xml:space="preserve"> </w:t>
      </w:r>
      <w:r w:rsidRPr="00511DD6">
        <w:rPr>
          <w:rFonts w:hint="cs"/>
          <w:rtl/>
        </w:rPr>
        <w:t>- 4 تشرين الثاني/نوفمبر 2011</w:t>
      </w:r>
    </w:p>
    <w:p w:rsidR="00C97C7A" w:rsidRPr="00511DD6" w:rsidRDefault="00B35FB7" w:rsidP="00201CBF">
      <w:pPr>
        <w:pStyle w:val="HChGA"/>
        <w:rPr>
          <w:rFonts w:hint="cs"/>
          <w:rtl/>
        </w:rPr>
      </w:pPr>
      <w:r>
        <w:rPr>
          <w:rFonts w:hint="cs"/>
          <w:rtl/>
        </w:rPr>
        <w:tab/>
      </w:r>
      <w:r>
        <w:rPr>
          <w:rFonts w:hint="cs"/>
          <w:rtl/>
        </w:rPr>
        <w:tab/>
      </w:r>
      <w:r w:rsidR="00C97C7A" w:rsidRPr="00511DD6">
        <w:rPr>
          <w:rFonts w:hint="cs"/>
          <w:rtl/>
        </w:rPr>
        <w:t>النظر في التقارير المقدمة من الدول الأطراف بموجب المادة 40 من</w:t>
      </w:r>
      <w:r w:rsidR="00201CBF">
        <w:rPr>
          <w:rFonts w:hint="eastAsia"/>
          <w:rtl/>
        </w:rPr>
        <w:t> </w:t>
      </w:r>
      <w:r w:rsidR="00C97C7A" w:rsidRPr="00511DD6">
        <w:rPr>
          <w:rFonts w:hint="cs"/>
          <w:rtl/>
        </w:rPr>
        <w:t>العهد</w:t>
      </w:r>
    </w:p>
    <w:p w:rsidR="00C97C7A" w:rsidRPr="00511DD6" w:rsidRDefault="00B35FB7" w:rsidP="00B35FB7">
      <w:pPr>
        <w:pStyle w:val="H1GA"/>
        <w:rPr>
          <w:rFonts w:hint="cs"/>
          <w:rtl/>
        </w:rPr>
      </w:pPr>
      <w:r>
        <w:rPr>
          <w:rFonts w:hint="cs"/>
          <w:rtl/>
        </w:rPr>
        <w:tab/>
      </w:r>
      <w:r w:rsidR="00C97C7A" w:rsidRPr="00511DD6">
        <w:rPr>
          <w:rFonts w:hint="cs"/>
          <w:rtl/>
        </w:rPr>
        <w:tab/>
        <w:t>الملاحظات الختامية للجنة المعنية بحقوق الإنسان</w:t>
      </w:r>
    </w:p>
    <w:p w:rsidR="00C97C7A" w:rsidRDefault="00B35FB7" w:rsidP="00B35FB7">
      <w:pPr>
        <w:pStyle w:val="HChGA"/>
        <w:rPr>
          <w:rFonts w:hint="cs"/>
          <w:rtl/>
        </w:rPr>
      </w:pPr>
      <w:r>
        <w:rPr>
          <w:rFonts w:hint="cs"/>
          <w:rtl/>
        </w:rPr>
        <w:tab/>
      </w:r>
      <w:r w:rsidR="00C97C7A" w:rsidRPr="00511DD6">
        <w:rPr>
          <w:rFonts w:hint="cs"/>
          <w:rtl/>
        </w:rPr>
        <w:tab/>
        <w:t>الكويت</w:t>
      </w:r>
    </w:p>
    <w:p w:rsidR="00384023" w:rsidRPr="00CB6804" w:rsidRDefault="00384023" w:rsidP="00B04B81">
      <w:pPr>
        <w:pStyle w:val="SingleTxtGA"/>
        <w:rPr>
          <w:rFonts w:hint="cs"/>
          <w:spacing w:val="-4"/>
          <w:rtl/>
        </w:rPr>
      </w:pPr>
      <w:r w:rsidRPr="00CB6804">
        <w:rPr>
          <w:spacing w:val="-4"/>
          <w:rtl/>
        </w:rPr>
        <w:t>1-</w:t>
      </w:r>
      <w:r w:rsidRPr="00CB6804">
        <w:rPr>
          <w:spacing w:val="-4"/>
          <w:rtl/>
        </w:rPr>
        <w:tab/>
        <w:t>نظرت اللجنة المعنية بحقوق الإنسان في التقرير الدوري الثاني المقدم من الكويت (</w:t>
      </w:r>
      <w:r w:rsidRPr="00CB6804">
        <w:rPr>
          <w:spacing w:val="-4"/>
        </w:rPr>
        <w:t>CCPR/C/KWT/2</w:t>
      </w:r>
      <w:r w:rsidRPr="00CB6804">
        <w:rPr>
          <w:spacing w:val="-4"/>
          <w:rtl/>
        </w:rPr>
        <w:t>) في جلساتها 2040 و2041 و2042 (</w:t>
      </w:r>
      <w:r w:rsidRPr="00CB6804">
        <w:rPr>
          <w:spacing w:val="-4"/>
        </w:rPr>
        <w:t>CCPR/C/SR.2040</w:t>
      </w:r>
      <w:r w:rsidRPr="00CB6804">
        <w:rPr>
          <w:spacing w:val="-4"/>
          <w:rtl/>
        </w:rPr>
        <w:t xml:space="preserve"> و2041 و2042</w:t>
      </w:r>
      <w:r w:rsidR="00B04B81">
        <w:rPr>
          <w:rFonts w:hint="cs"/>
          <w:spacing w:val="-4"/>
          <w:rtl/>
        </w:rPr>
        <w:t>)</w:t>
      </w:r>
      <w:r w:rsidRPr="00CB6804">
        <w:rPr>
          <w:spacing w:val="-4"/>
          <w:rtl/>
        </w:rPr>
        <w:t>، المعقودة في 19 و20 تشرين الأول/أكتوبر 2011، واعتمدت في جلستيها</w:t>
      </w:r>
      <w:r w:rsidR="00CB6804" w:rsidRPr="00CB6804">
        <w:rPr>
          <w:rFonts w:hint="cs"/>
          <w:spacing w:val="-4"/>
          <w:rtl/>
        </w:rPr>
        <w:t> </w:t>
      </w:r>
      <w:r w:rsidRPr="00CB6804">
        <w:rPr>
          <w:spacing w:val="-4"/>
          <w:rtl/>
        </w:rPr>
        <w:t>2856 و2857</w:t>
      </w:r>
      <w:r w:rsidR="004E0074" w:rsidRPr="00CB6804">
        <w:rPr>
          <w:spacing w:val="-4"/>
          <w:rtl/>
        </w:rPr>
        <w:t xml:space="preserve"> </w:t>
      </w:r>
      <w:r w:rsidR="00B04B81">
        <w:rPr>
          <w:rFonts w:hint="cs"/>
          <w:spacing w:val="-4"/>
          <w:rtl/>
        </w:rPr>
        <w:t>(</w:t>
      </w:r>
      <w:r w:rsidRPr="00CB6804">
        <w:rPr>
          <w:spacing w:val="-4"/>
        </w:rPr>
        <w:t>CCPR/C/SR.2856</w:t>
      </w:r>
      <w:r w:rsidR="00B04B81">
        <w:rPr>
          <w:rFonts w:hint="cs"/>
          <w:spacing w:val="-4"/>
          <w:rtl/>
        </w:rPr>
        <w:t xml:space="preserve"> </w:t>
      </w:r>
      <w:r w:rsidR="00B04B81">
        <w:rPr>
          <w:spacing w:val="-4"/>
          <w:rtl/>
        </w:rPr>
        <w:t>و</w:t>
      </w:r>
      <w:r w:rsidRPr="00CB6804">
        <w:rPr>
          <w:spacing w:val="-4"/>
        </w:rPr>
        <w:t>CCPR/C/SR.2857</w:t>
      </w:r>
      <w:r w:rsidR="00B04B81">
        <w:rPr>
          <w:rFonts w:hint="cs"/>
          <w:spacing w:val="-4"/>
          <w:rtl/>
        </w:rPr>
        <w:t>)</w:t>
      </w:r>
      <w:r w:rsidRPr="00CB6804">
        <w:rPr>
          <w:spacing w:val="-4"/>
          <w:rtl/>
        </w:rPr>
        <w:t>، المعقودتين في 1 و2 تشرين الثاني/</w:t>
      </w:r>
      <w:r w:rsidR="00CB6804">
        <w:rPr>
          <w:rFonts w:hint="cs"/>
          <w:spacing w:val="-4"/>
          <w:rtl/>
        </w:rPr>
        <w:t xml:space="preserve">            </w:t>
      </w:r>
      <w:r w:rsidRPr="00CB6804">
        <w:rPr>
          <w:spacing w:val="-4"/>
          <w:rtl/>
        </w:rPr>
        <w:t>نوفمبر 2011، الملاحظات الختامية التالية.</w:t>
      </w:r>
      <w:r w:rsidR="00D4368C" w:rsidRPr="00CB6804">
        <w:rPr>
          <w:rFonts w:hint="cs"/>
          <w:spacing w:val="-4"/>
          <w:rtl/>
        </w:rPr>
        <w:t xml:space="preserve"> </w:t>
      </w:r>
    </w:p>
    <w:p w:rsidR="00384023" w:rsidRDefault="00384023" w:rsidP="00B35FB7">
      <w:pPr>
        <w:pStyle w:val="H1GA"/>
        <w:rPr>
          <w:rtl/>
        </w:rPr>
      </w:pPr>
      <w:r>
        <w:rPr>
          <w:rtl/>
        </w:rPr>
        <w:tab/>
        <w:t>ألف</w:t>
      </w:r>
      <w:r w:rsidR="00B35FB7">
        <w:rPr>
          <w:rFonts w:hint="cs"/>
          <w:rtl/>
        </w:rPr>
        <w:t xml:space="preserve"> </w:t>
      </w:r>
      <w:r>
        <w:rPr>
          <w:rtl/>
        </w:rPr>
        <w:t>-</w:t>
      </w:r>
      <w:r>
        <w:rPr>
          <w:rtl/>
        </w:rPr>
        <w:tab/>
        <w:t>مقدمة</w:t>
      </w:r>
    </w:p>
    <w:p w:rsidR="00384023" w:rsidRDefault="00384023" w:rsidP="00CB6804">
      <w:pPr>
        <w:pStyle w:val="SingleTxtGA"/>
        <w:rPr>
          <w:rtl/>
        </w:rPr>
      </w:pPr>
      <w:r>
        <w:rPr>
          <w:rtl/>
        </w:rPr>
        <w:t>2-</w:t>
      </w:r>
      <w:r>
        <w:rPr>
          <w:rtl/>
        </w:rPr>
        <w:tab/>
        <w:t xml:space="preserve">ترحب اللجنة بتقديم </w:t>
      </w:r>
      <w:r w:rsidR="00CB6804">
        <w:rPr>
          <w:rtl/>
        </w:rPr>
        <w:t xml:space="preserve">الكويت </w:t>
      </w:r>
      <w:r>
        <w:rPr>
          <w:rtl/>
        </w:rPr>
        <w:t>تقرير</w:t>
      </w:r>
      <w:r w:rsidR="00CB6804">
        <w:rPr>
          <w:rFonts w:hint="cs"/>
          <w:rtl/>
        </w:rPr>
        <w:t>ها</w:t>
      </w:r>
      <w:r>
        <w:rPr>
          <w:rtl/>
        </w:rPr>
        <w:t xml:space="preserve"> </w:t>
      </w:r>
      <w:r w:rsidR="00CB6804">
        <w:rPr>
          <w:rtl/>
        </w:rPr>
        <w:t xml:space="preserve">الدوري الثاني </w:t>
      </w:r>
      <w:r w:rsidR="00CB6804">
        <w:rPr>
          <w:rFonts w:hint="cs"/>
          <w:rtl/>
        </w:rPr>
        <w:t xml:space="preserve">كما ترحب </w:t>
      </w:r>
      <w:r>
        <w:rPr>
          <w:rtl/>
        </w:rPr>
        <w:t xml:space="preserve">بالمعلومات المقدمة فيه. وتعرب عن تقديرها </w:t>
      </w:r>
      <w:r w:rsidR="00CB6804">
        <w:rPr>
          <w:rFonts w:hint="cs"/>
          <w:rtl/>
        </w:rPr>
        <w:t>لإتاحة ا</w:t>
      </w:r>
      <w:r>
        <w:rPr>
          <w:rtl/>
        </w:rPr>
        <w:t xml:space="preserve">لفرصة </w:t>
      </w:r>
      <w:r w:rsidR="00CB6804">
        <w:rPr>
          <w:rFonts w:hint="cs"/>
          <w:rtl/>
        </w:rPr>
        <w:t>ل</w:t>
      </w:r>
      <w:r>
        <w:rPr>
          <w:rtl/>
        </w:rPr>
        <w:t xml:space="preserve">تجديد الحوار البنَّاء مع الوفد الرفيع المستوى </w:t>
      </w:r>
      <w:r w:rsidR="00CB6804">
        <w:rPr>
          <w:rFonts w:hint="cs"/>
          <w:rtl/>
        </w:rPr>
        <w:t xml:space="preserve">بشأن </w:t>
      </w:r>
      <w:r>
        <w:rPr>
          <w:rtl/>
        </w:rPr>
        <w:t>التدابير التي اتخذتها الدولة الطرف خلال الفترة المشمولة بالتقرير من أجل تنفيذ أحكام العهد. كما تقدّر اللجنة الردود الخطية (</w:t>
      </w:r>
      <w:r>
        <w:t>CCPR/C/KWT/Q/2/Add.1</w:t>
      </w:r>
      <w:r>
        <w:rPr>
          <w:rtl/>
        </w:rPr>
        <w:t xml:space="preserve">) على قائمة المسائل والتي استُكملت بالردود الشفوية التي قدمها الوفد. </w:t>
      </w:r>
    </w:p>
    <w:p w:rsidR="00384023" w:rsidRDefault="00B35FB7" w:rsidP="00CB6804">
      <w:pPr>
        <w:pStyle w:val="H1GA"/>
        <w:spacing w:before="120"/>
        <w:rPr>
          <w:rtl/>
        </w:rPr>
      </w:pPr>
      <w:r>
        <w:rPr>
          <w:rFonts w:hint="cs"/>
          <w:rtl/>
        </w:rPr>
        <w:tab/>
      </w:r>
      <w:r w:rsidR="00384023">
        <w:rPr>
          <w:rtl/>
        </w:rPr>
        <w:t>باء</w:t>
      </w:r>
      <w:r>
        <w:rPr>
          <w:rFonts w:hint="cs"/>
          <w:rtl/>
        </w:rPr>
        <w:t xml:space="preserve"> </w:t>
      </w:r>
      <w:r w:rsidR="00384023">
        <w:rPr>
          <w:rtl/>
        </w:rPr>
        <w:t>-</w:t>
      </w:r>
      <w:r w:rsidR="00384023">
        <w:rPr>
          <w:rtl/>
        </w:rPr>
        <w:tab/>
        <w:t>الجوانب الإيجابية</w:t>
      </w:r>
    </w:p>
    <w:p w:rsidR="00384023" w:rsidRPr="00CB6804" w:rsidRDefault="00384023" w:rsidP="00B04B81">
      <w:pPr>
        <w:pStyle w:val="SingleTxtGA"/>
        <w:rPr>
          <w:rtl/>
        </w:rPr>
      </w:pPr>
      <w:r w:rsidRPr="00CB6804">
        <w:rPr>
          <w:rtl/>
        </w:rPr>
        <w:t>3-</w:t>
      </w:r>
      <w:r w:rsidRPr="00CB6804">
        <w:rPr>
          <w:rtl/>
        </w:rPr>
        <w:tab/>
        <w:t xml:space="preserve">ترحب اللجنة </w:t>
      </w:r>
      <w:r w:rsidR="00CB6804">
        <w:rPr>
          <w:rFonts w:hint="cs"/>
          <w:rtl/>
        </w:rPr>
        <w:t>بالإجراءات</w:t>
      </w:r>
      <w:r w:rsidRPr="00CB6804">
        <w:rPr>
          <w:rtl/>
        </w:rPr>
        <w:t xml:space="preserve"> التشريعية والمؤسسية التالية التي اتخذتها الدولة الطرف:</w:t>
      </w:r>
    </w:p>
    <w:p w:rsidR="00384023" w:rsidRDefault="00384023" w:rsidP="00CB6804">
      <w:pPr>
        <w:pStyle w:val="Bullet1GA"/>
        <w:bidi/>
        <w:rPr>
          <w:rtl/>
        </w:rPr>
      </w:pPr>
      <w:r w:rsidRPr="00CB6804">
        <w:rPr>
          <w:spacing w:val="-2"/>
          <w:rtl/>
        </w:rPr>
        <w:t xml:space="preserve">اعتماد القانون رقم 17 لعام 2005 الذي يعطي المرأة الحق في الانتخاب وفي الترشّح، </w:t>
      </w:r>
      <w:r w:rsidR="00CB6804" w:rsidRPr="00CB6804">
        <w:rPr>
          <w:rFonts w:hint="cs"/>
          <w:spacing w:val="-2"/>
          <w:rtl/>
        </w:rPr>
        <w:t>و</w:t>
      </w:r>
      <w:r w:rsidRPr="00CB6804">
        <w:rPr>
          <w:spacing w:val="-2"/>
          <w:rtl/>
        </w:rPr>
        <w:t xml:space="preserve">انتخاب نساء </w:t>
      </w:r>
      <w:r w:rsidR="00CB6804" w:rsidRPr="00CB6804">
        <w:rPr>
          <w:rFonts w:hint="cs"/>
          <w:spacing w:val="-2"/>
          <w:rtl/>
        </w:rPr>
        <w:t xml:space="preserve">لعضوية </w:t>
      </w:r>
      <w:r w:rsidRPr="00CB6804">
        <w:rPr>
          <w:spacing w:val="-2"/>
          <w:rtl/>
        </w:rPr>
        <w:t>البرلمان في عام 2009</w:t>
      </w:r>
      <w:r w:rsidR="00CB6804" w:rsidRPr="00CB6804">
        <w:rPr>
          <w:rFonts w:hint="cs"/>
          <w:spacing w:val="-2"/>
          <w:rtl/>
        </w:rPr>
        <w:t xml:space="preserve"> نتيجة لاعتماد هذا القانون</w:t>
      </w:r>
      <w:r>
        <w:rPr>
          <w:rtl/>
        </w:rPr>
        <w:t>.</w:t>
      </w:r>
    </w:p>
    <w:p w:rsidR="00384023" w:rsidRDefault="00384023" w:rsidP="00384023">
      <w:pPr>
        <w:pStyle w:val="SingleTxtGA"/>
        <w:rPr>
          <w:rtl/>
        </w:rPr>
      </w:pPr>
      <w:r>
        <w:rPr>
          <w:rtl/>
        </w:rPr>
        <w:t>4-</w:t>
      </w:r>
      <w:r>
        <w:rPr>
          <w:rtl/>
        </w:rPr>
        <w:tab/>
        <w:t>وترحب اللجنة بتصديق الدولة الطرف على الصكوك الدولية التالية:</w:t>
      </w:r>
    </w:p>
    <w:p w:rsidR="00384023" w:rsidRDefault="00384023" w:rsidP="00384023">
      <w:pPr>
        <w:pStyle w:val="SingleTxtGA"/>
        <w:rPr>
          <w:rtl/>
        </w:rPr>
      </w:pPr>
      <w:r>
        <w:rPr>
          <w:rtl/>
        </w:rPr>
        <w:tab/>
        <w:t>(أ)</w:t>
      </w:r>
      <w:r>
        <w:rPr>
          <w:rtl/>
        </w:rPr>
        <w:tab/>
        <w:t xml:space="preserve">البروتوكولان الاختياريان الملحقان باتفاقية حقوق الطفل بشأن اشتراك الأطفال في المنازعات المسلحة وبشأن بيع الأطفال واستغلال الأطفال في البغاء وفي المواد الإباحية، في عام 2004؛ </w:t>
      </w:r>
    </w:p>
    <w:p w:rsidR="00384023" w:rsidRPr="00CB6804" w:rsidRDefault="00384023" w:rsidP="00CB6804">
      <w:pPr>
        <w:pStyle w:val="SingleTxtGA"/>
        <w:rPr>
          <w:spacing w:val="-2"/>
          <w:rtl/>
        </w:rPr>
      </w:pPr>
      <w:r w:rsidRPr="00CB6804">
        <w:rPr>
          <w:spacing w:val="-2"/>
          <w:rtl/>
        </w:rPr>
        <w:tab/>
        <w:t>(ب)</w:t>
      </w:r>
      <w:r w:rsidRPr="00CB6804">
        <w:rPr>
          <w:spacing w:val="-2"/>
          <w:rtl/>
        </w:rPr>
        <w:tab/>
        <w:t xml:space="preserve">بروتوكول منع الاتجار بالأشخاص، وبخاصة النساء والأطفال، </w:t>
      </w:r>
      <w:r w:rsidR="00CB6804" w:rsidRPr="00CB6804">
        <w:rPr>
          <w:rFonts w:hint="cs"/>
          <w:spacing w:val="-2"/>
          <w:rtl/>
        </w:rPr>
        <w:t xml:space="preserve">وقمعه </w:t>
      </w:r>
      <w:r w:rsidR="00CB6804" w:rsidRPr="00CB6804">
        <w:rPr>
          <w:rFonts w:hint="cs"/>
          <w:spacing w:val="-3"/>
          <w:rtl/>
        </w:rPr>
        <w:t>والمعاقبة</w:t>
      </w:r>
      <w:r w:rsidR="00CB6804" w:rsidRPr="00CB6804">
        <w:rPr>
          <w:rFonts w:hint="eastAsia"/>
          <w:spacing w:val="-3"/>
          <w:rtl/>
        </w:rPr>
        <w:t> </w:t>
      </w:r>
      <w:r w:rsidR="00CB6804" w:rsidRPr="00CB6804">
        <w:rPr>
          <w:rFonts w:hint="cs"/>
          <w:spacing w:val="-3"/>
          <w:rtl/>
        </w:rPr>
        <w:t xml:space="preserve">عليه </w:t>
      </w:r>
      <w:r w:rsidRPr="00CB6804">
        <w:rPr>
          <w:spacing w:val="-3"/>
          <w:rtl/>
        </w:rPr>
        <w:t>المكمِّل لاتفاقية الأمم المتحدة لمكافحة الجريمة المنظمة عبر الوطنية، في عام 2006.</w:t>
      </w:r>
    </w:p>
    <w:p w:rsidR="00384023" w:rsidRDefault="00B35FB7" w:rsidP="00B35FB7">
      <w:pPr>
        <w:pStyle w:val="H1GA"/>
        <w:rPr>
          <w:rtl/>
        </w:rPr>
      </w:pPr>
      <w:r>
        <w:rPr>
          <w:rFonts w:hint="cs"/>
          <w:rtl/>
        </w:rPr>
        <w:tab/>
      </w:r>
      <w:r w:rsidR="00384023">
        <w:rPr>
          <w:rtl/>
        </w:rPr>
        <w:t>جيم</w:t>
      </w:r>
      <w:r>
        <w:rPr>
          <w:rFonts w:hint="cs"/>
          <w:rtl/>
        </w:rPr>
        <w:t xml:space="preserve"> </w:t>
      </w:r>
      <w:r w:rsidR="00384023">
        <w:rPr>
          <w:rtl/>
        </w:rPr>
        <w:t>-</w:t>
      </w:r>
      <w:r w:rsidR="00384023">
        <w:rPr>
          <w:rtl/>
        </w:rPr>
        <w:tab/>
        <w:t>دواعي القلق الرئيسية والتوصيات</w:t>
      </w:r>
    </w:p>
    <w:p w:rsidR="00384023" w:rsidRDefault="00384023" w:rsidP="006A7CAA">
      <w:pPr>
        <w:pStyle w:val="SingleTxtGA"/>
        <w:rPr>
          <w:rtl/>
        </w:rPr>
      </w:pPr>
      <w:r>
        <w:rPr>
          <w:rtl/>
        </w:rPr>
        <w:t>5</w:t>
      </w:r>
      <w:r w:rsidRPr="006A7CAA">
        <w:rPr>
          <w:spacing w:val="-2"/>
          <w:rtl/>
        </w:rPr>
        <w:t>-</w:t>
      </w:r>
      <w:r w:rsidRPr="006A7CAA">
        <w:rPr>
          <w:spacing w:val="-2"/>
          <w:rtl/>
        </w:rPr>
        <w:tab/>
        <w:t>ترحب اللجنة بالقرار الوزاري رقم 77 لعام 2011 المنشِئ للجنة خاصة تُعنى بصياغة</w:t>
      </w:r>
      <w:r w:rsidR="006A7CAA">
        <w:rPr>
          <w:rFonts w:hint="cs"/>
          <w:spacing w:val="-2"/>
          <w:rtl/>
        </w:rPr>
        <w:t> </w:t>
      </w:r>
      <w:r w:rsidRPr="006A7CAA">
        <w:rPr>
          <w:spacing w:val="-2"/>
          <w:rtl/>
        </w:rPr>
        <w:t xml:space="preserve">مشروع قانون بشأن إنشاء مؤسسة وطنية لحقوق الإنسان، وبالتدابير التي اتخذتها الدولة الطرف ضماناً لامتثال هذه المؤسسة لمعايير </w:t>
      </w:r>
      <w:r w:rsidR="00D4368C" w:rsidRPr="006A7CAA">
        <w:rPr>
          <w:rFonts w:hint="cs"/>
          <w:spacing w:val="-2"/>
          <w:rtl/>
        </w:rPr>
        <w:t>‘</w:t>
      </w:r>
      <w:r w:rsidRPr="006A7CAA">
        <w:rPr>
          <w:spacing w:val="-2"/>
          <w:rtl/>
        </w:rPr>
        <w:t>المركز ألف‘ على الصعيد الدولي. بيْد أن</w:t>
      </w:r>
      <w:r w:rsidR="008E44F9" w:rsidRPr="006A7CAA">
        <w:rPr>
          <w:rFonts w:hint="cs"/>
          <w:spacing w:val="-2"/>
          <w:rtl/>
        </w:rPr>
        <w:t>ها</w:t>
      </w:r>
      <w:r w:rsidRPr="006A7CAA">
        <w:rPr>
          <w:spacing w:val="-2"/>
          <w:rtl/>
        </w:rPr>
        <w:t xml:space="preserve"> </w:t>
      </w:r>
      <w:r w:rsidR="008E44F9" w:rsidRPr="006A7CAA">
        <w:rPr>
          <w:rFonts w:hint="cs"/>
          <w:spacing w:val="-2"/>
          <w:rtl/>
        </w:rPr>
        <w:t xml:space="preserve">قلقة </w:t>
      </w:r>
      <w:r w:rsidRPr="006A7CAA">
        <w:rPr>
          <w:spacing w:val="-2"/>
          <w:rtl/>
        </w:rPr>
        <w:t>بشأن أسباب التأخير في إنشاء هذه المؤسسة، وبشأن الموارد التي ستزوَّد بها لتضطلع بمهامها.</w:t>
      </w:r>
    </w:p>
    <w:p w:rsidR="00384023" w:rsidRPr="00D4368C" w:rsidRDefault="00D4368C" w:rsidP="007A4883">
      <w:pPr>
        <w:pStyle w:val="SingleTxtGA"/>
        <w:rPr>
          <w:rFonts w:hint="cs"/>
          <w:b/>
          <w:bCs/>
          <w:rtl/>
        </w:rPr>
      </w:pPr>
      <w:r w:rsidRPr="00D4368C">
        <w:rPr>
          <w:rFonts w:hint="cs"/>
          <w:b/>
          <w:bCs/>
          <w:rtl/>
        </w:rPr>
        <w:tab/>
      </w:r>
      <w:r w:rsidR="007A4883">
        <w:rPr>
          <w:rFonts w:hint="cs"/>
          <w:b/>
          <w:bCs/>
          <w:rtl/>
        </w:rPr>
        <w:t>ينبغي ل</w:t>
      </w:r>
      <w:r w:rsidR="00384023" w:rsidRPr="00D4368C">
        <w:rPr>
          <w:b/>
          <w:bCs/>
          <w:rtl/>
        </w:rPr>
        <w:t xml:space="preserve">لدولة الطرف (أ) أن </w:t>
      </w:r>
      <w:r w:rsidR="007A4883">
        <w:rPr>
          <w:rFonts w:hint="cs"/>
          <w:b/>
          <w:bCs/>
          <w:rtl/>
        </w:rPr>
        <w:t xml:space="preserve">تمضي قدماً في عزمها على </w:t>
      </w:r>
      <w:r w:rsidR="00384023" w:rsidRPr="00D4368C">
        <w:rPr>
          <w:b/>
          <w:bCs/>
          <w:rtl/>
        </w:rPr>
        <w:t>إنشاء مؤسسة وطنية ل</w:t>
      </w:r>
      <w:r w:rsidR="007A4883">
        <w:rPr>
          <w:b/>
          <w:bCs/>
          <w:rtl/>
        </w:rPr>
        <w:t xml:space="preserve">حقوق الإنسان في أقرب وقت ممكن؛ </w:t>
      </w:r>
      <w:r w:rsidR="00384023" w:rsidRPr="00D4368C">
        <w:rPr>
          <w:b/>
          <w:bCs/>
          <w:rtl/>
        </w:rPr>
        <w:t xml:space="preserve">(ب) </w:t>
      </w:r>
      <w:r w:rsidR="007A4883">
        <w:rPr>
          <w:rFonts w:hint="cs"/>
          <w:b/>
          <w:bCs/>
          <w:rtl/>
        </w:rPr>
        <w:t xml:space="preserve">وأن </w:t>
      </w:r>
      <w:r w:rsidR="00384023" w:rsidRPr="00D4368C">
        <w:rPr>
          <w:b/>
          <w:bCs/>
          <w:rtl/>
        </w:rPr>
        <w:t xml:space="preserve">تضمن امتثال هذه المؤسسة </w:t>
      </w:r>
      <w:r w:rsidR="007A4883">
        <w:rPr>
          <w:rFonts w:hint="cs"/>
          <w:b/>
          <w:bCs/>
          <w:rtl/>
        </w:rPr>
        <w:t xml:space="preserve">امتثالاً كاملاً </w:t>
      </w:r>
      <w:r w:rsidR="00384023" w:rsidRPr="00D4368C">
        <w:rPr>
          <w:b/>
          <w:bCs/>
          <w:rtl/>
        </w:rPr>
        <w:t xml:space="preserve">للمبادئ المتعلقة بمركز المؤسسات الوطنية لتعزيز وحماية حقوق الإنسان (مبادئ باريس)، بما في ذلك ضمان </w:t>
      </w:r>
      <w:r w:rsidR="007A4883">
        <w:rPr>
          <w:rFonts w:hint="cs"/>
          <w:b/>
          <w:bCs/>
          <w:rtl/>
        </w:rPr>
        <w:t>تخصيص ال</w:t>
      </w:r>
      <w:r w:rsidR="00384023" w:rsidRPr="00D4368C">
        <w:rPr>
          <w:b/>
          <w:bCs/>
          <w:rtl/>
        </w:rPr>
        <w:t xml:space="preserve">اعتمادات </w:t>
      </w:r>
      <w:r w:rsidR="007A4883">
        <w:rPr>
          <w:rFonts w:hint="cs"/>
          <w:b/>
          <w:bCs/>
          <w:rtl/>
        </w:rPr>
        <w:t xml:space="preserve">اللازمة </w:t>
      </w:r>
      <w:r w:rsidR="00384023" w:rsidRPr="00D4368C">
        <w:rPr>
          <w:b/>
          <w:bCs/>
          <w:rtl/>
        </w:rPr>
        <w:t xml:space="preserve">لهذه المؤسسة الوطنية </w:t>
      </w:r>
      <w:r w:rsidR="007A4883">
        <w:rPr>
          <w:rFonts w:hint="cs"/>
          <w:b/>
          <w:bCs/>
          <w:rtl/>
        </w:rPr>
        <w:t xml:space="preserve">بما يمكنها من </w:t>
      </w:r>
      <w:r w:rsidR="000D6989">
        <w:rPr>
          <w:b/>
          <w:bCs/>
          <w:rtl/>
        </w:rPr>
        <w:t>الاضطلاع بمهامها بفعالية.</w:t>
      </w:r>
    </w:p>
    <w:p w:rsidR="00384023" w:rsidRDefault="00384023" w:rsidP="00DF34A1">
      <w:pPr>
        <w:pStyle w:val="SingleTxtGA"/>
        <w:rPr>
          <w:rFonts w:hint="cs"/>
          <w:rtl/>
        </w:rPr>
      </w:pPr>
      <w:r>
        <w:rPr>
          <w:rtl/>
        </w:rPr>
        <w:t>6-</w:t>
      </w:r>
      <w:r>
        <w:rPr>
          <w:rtl/>
        </w:rPr>
        <w:tab/>
        <w:t>وتشير اللجنة إلى التزام الدولة الطرف بمواصلة تحسين تشريعاتها وسياساتها من أجل الوفاء التام</w:t>
      </w:r>
      <w:r w:rsidR="004E0074">
        <w:rPr>
          <w:rtl/>
        </w:rPr>
        <w:t xml:space="preserve"> </w:t>
      </w:r>
      <w:r>
        <w:rPr>
          <w:rtl/>
        </w:rPr>
        <w:t>ب</w:t>
      </w:r>
      <w:r w:rsidR="006E44A0">
        <w:rPr>
          <w:rtl/>
        </w:rPr>
        <w:t>التزاماتها بموجب العهد. بيْد أن</w:t>
      </w:r>
      <w:r w:rsidR="006E44A0">
        <w:rPr>
          <w:rFonts w:hint="cs"/>
          <w:rtl/>
        </w:rPr>
        <w:t>ها تشعر بالقلق إزاء عدم تقديم معلومات تبين ب</w:t>
      </w:r>
      <w:r>
        <w:rPr>
          <w:rtl/>
        </w:rPr>
        <w:t xml:space="preserve">وضوح أولوية العهد على التشريعات الوطنية </w:t>
      </w:r>
      <w:r w:rsidR="006E44A0">
        <w:rPr>
          <w:rFonts w:hint="cs"/>
          <w:rtl/>
        </w:rPr>
        <w:t xml:space="preserve">التي تتعارض </w:t>
      </w:r>
      <w:r>
        <w:rPr>
          <w:rtl/>
        </w:rPr>
        <w:t xml:space="preserve">أو </w:t>
      </w:r>
      <w:r w:rsidR="006E44A0">
        <w:rPr>
          <w:rFonts w:hint="cs"/>
          <w:rtl/>
        </w:rPr>
        <w:t>تتناقض مع أحكام العهد</w:t>
      </w:r>
      <w:r>
        <w:rPr>
          <w:rtl/>
        </w:rPr>
        <w:t>، بما</w:t>
      </w:r>
      <w:r w:rsidR="006E44A0">
        <w:rPr>
          <w:rFonts w:hint="cs"/>
          <w:rtl/>
        </w:rPr>
        <w:t> </w:t>
      </w:r>
      <w:r>
        <w:rPr>
          <w:rtl/>
        </w:rPr>
        <w:t xml:space="preserve">في ذلك </w:t>
      </w:r>
      <w:r w:rsidR="006E44A0">
        <w:rPr>
          <w:rFonts w:hint="cs"/>
          <w:rtl/>
        </w:rPr>
        <w:t xml:space="preserve">على </w:t>
      </w:r>
      <w:r>
        <w:rPr>
          <w:rtl/>
        </w:rPr>
        <w:t xml:space="preserve">أحكام الشريعة والمسائل التي لا تستند </w:t>
      </w:r>
      <w:r w:rsidR="006E44A0">
        <w:rPr>
          <w:rFonts w:hint="cs"/>
          <w:rtl/>
        </w:rPr>
        <w:t>إلى الشريعة</w:t>
      </w:r>
      <w:r>
        <w:rPr>
          <w:rtl/>
        </w:rPr>
        <w:t xml:space="preserve">. كما تأسف اللجنة </w:t>
      </w:r>
      <w:r w:rsidR="000161E9">
        <w:rPr>
          <w:rFonts w:hint="cs"/>
          <w:rtl/>
        </w:rPr>
        <w:t xml:space="preserve">لقلة </w:t>
      </w:r>
      <w:r>
        <w:rPr>
          <w:rtl/>
        </w:rPr>
        <w:t>المعلومات المقدمة عن قرارات المحاكم المحلية التي ت</w:t>
      </w:r>
      <w:r w:rsidR="000D6989">
        <w:rPr>
          <w:rtl/>
        </w:rPr>
        <w:t>شير إلى أحكام العهد. (المادة 2)</w:t>
      </w:r>
    </w:p>
    <w:p w:rsidR="00384023" w:rsidRPr="00105123" w:rsidRDefault="00105123" w:rsidP="00403CE9">
      <w:pPr>
        <w:pStyle w:val="SingleTxtGA"/>
        <w:rPr>
          <w:b/>
          <w:bCs/>
          <w:rtl/>
        </w:rPr>
      </w:pPr>
      <w:r w:rsidRPr="00105123">
        <w:rPr>
          <w:rFonts w:hint="cs"/>
          <w:b/>
          <w:bCs/>
          <w:rtl/>
        </w:rPr>
        <w:tab/>
      </w:r>
      <w:r w:rsidR="00403CE9">
        <w:rPr>
          <w:rFonts w:hint="cs"/>
          <w:b/>
          <w:bCs/>
          <w:rtl/>
        </w:rPr>
        <w:t>ينبغي ل</w:t>
      </w:r>
      <w:r w:rsidR="00384023" w:rsidRPr="00105123">
        <w:rPr>
          <w:b/>
          <w:bCs/>
          <w:rtl/>
        </w:rPr>
        <w:t xml:space="preserve">لدولة الطرف أن </w:t>
      </w:r>
      <w:r w:rsidR="00403CE9">
        <w:rPr>
          <w:rFonts w:hint="cs"/>
          <w:b/>
          <w:bCs/>
          <w:rtl/>
        </w:rPr>
        <w:t xml:space="preserve">تكفل تنفيذ </w:t>
      </w:r>
      <w:r w:rsidR="00384023" w:rsidRPr="00105123">
        <w:rPr>
          <w:b/>
          <w:bCs/>
          <w:rtl/>
        </w:rPr>
        <w:t xml:space="preserve">التزاماتها بموجب العهد </w:t>
      </w:r>
      <w:r w:rsidR="00403CE9">
        <w:rPr>
          <w:rFonts w:hint="cs"/>
          <w:b/>
          <w:bCs/>
          <w:rtl/>
        </w:rPr>
        <w:t xml:space="preserve">تنفيذاً كاملاً </w:t>
      </w:r>
      <w:r w:rsidR="00384023" w:rsidRPr="00105123">
        <w:rPr>
          <w:b/>
          <w:bCs/>
          <w:rtl/>
        </w:rPr>
        <w:t xml:space="preserve">ضمن الإطار القانوني الوطني. </w:t>
      </w:r>
      <w:r w:rsidR="00403CE9">
        <w:rPr>
          <w:rFonts w:hint="cs"/>
          <w:b/>
          <w:bCs/>
          <w:rtl/>
        </w:rPr>
        <w:t xml:space="preserve">وفي سبيل ذلك، ينبغي للدولة </w:t>
      </w:r>
      <w:r w:rsidR="00384023" w:rsidRPr="00105123">
        <w:rPr>
          <w:b/>
          <w:bCs/>
          <w:rtl/>
        </w:rPr>
        <w:t xml:space="preserve">الطرف أن تتخذ تدابير ملائمة </w:t>
      </w:r>
      <w:r w:rsidR="00403CE9">
        <w:rPr>
          <w:rFonts w:hint="cs"/>
          <w:b/>
          <w:bCs/>
          <w:rtl/>
        </w:rPr>
        <w:t xml:space="preserve">تكفل </w:t>
      </w:r>
      <w:r w:rsidR="00384023" w:rsidRPr="00105123">
        <w:rPr>
          <w:b/>
          <w:bCs/>
          <w:rtl/>
        </w:rPr>
        <w:t>تفسير وتطبيق القوانين الداخلية، بما فيها تلك القائمة على أحكام الشريعة، بما</w:t>
      </w:r>
      <w:r w:rsidR="00403CE9">
        <w:rPr>
          <w:rFonts w:hint="cs"/>
          <w:b/>
          <w:bCs/>
          <w:rtl/>
        </w:rPr>
        <w:t> </w:t>
      </w:r>
      <w:r w:rsidR="00384023" w:rsidRPr="00105123">
        <w:rPr>
          <w:b/>
          <w:bCs/>
          <w:rtl/>
        </w:rPr>
        <w:t xml:space="preserve">يتوافق مع التزاماتها بموجب العهد. </w:t>
      </w:r>
      <w:r w:rsidR="00403CE9">
        <w:rPr>
          <w:rFonts w:hint="cs"/>
          <w:b/>
          <w:bCs/>
          <w:rtl/>
        </w:rPr>
        <w:t xml:space="preserve">وينبغي للدولة </w:t>
      </w:r>
      <w:r w:rsidR="00384023" w:rsidRPr="00105123">
        <w:rPr>
          <w:b/>
          <w:bCs/>
          <w:rtl/>
        </w:rPr>
        <w:t xml:space="preserve">الطرف </w:t>
      </w:r>
      <w:r w:rsidR="00403CE9">
        <w:rPr>
          <w:rFonts w:hint="cs"/>
          <w:b/>
          <w:bCs/>
          <w:rtl/>
        </w:rPr>
        <w:t xml:space="preserve">أيضاً إذكاء وعي القضاة وموظفي القضاء </w:t>
      </w:r>
      <w:r w:rsidR="00384023" w:rsidRPr="00105123">
        <w:rPr>
          <w:b/>
          <w:bCs/>
          <w:rtl/>
        </w:rPr>
        <w:t xml:space="preserve">بالعهد </w:t>
      </w:r>
      <w:r w:rsidR="00403CE9">
        <w:rPr>
          <w:rFonts w:hint="cs"/>
          <w:b/>
          <w:bCs/>
          <w:rtl/>
        </w:rPr>
        <w:t xml:space="preserve">وبانطباقه </w:t>
      </w:r>
      <w:r w:rsidR="00384023" w:rsidRPr="00105123">
        <w:rPr>
          <w:b/>
          <w:bCs/>
          <w:rtl/>
        </w:rPr>
        <w:t xml:space="preserve">في القانون الداخلي. </w:t>
      </w:r>
    </w:p>
    <w:p w:rsidR="00384023" w:rsidRDefault="00384023" w:rsidP="00B04B81">
      <w:pPr>
        <w:pStyle w:val="SingleTxtGA"/>
        <w:rPr>
          <w:rtl/>
        </w:rPr>
      </w:pPr>
      <w:r>
        <w:rPr>
          <w:rtl/>
        </w:rPr>
        <w:t>7-</w:t>
      </w:r>
      <w:r w:rsidR="00B35FB7">
        <w:rPr>
          <w:rFonts w:hint="cs"/>
          <w:rtl/>
        </w:rPr>
        <w:tab/>
      </w:r>
      <w:r>
        <w:rPr>
          <w:rtl/>
        </w:rPr>
        <w:t xml:space="preserve">وتأسف اللجنة </w:t>
      </w:r>
      <w:r w:rsidR="005675B0">
        <w:rPr>
          <w:rFonts w:hint="cs"/>
          <w:rtl/>
        </w:rPr>
        <w:t xml:space="preserve">لاحتفاظ </w:t>
      </w:r>
      <w:r>
        <w:rPr>
          <w:rtl/>
        </w:rPr>
        <w:t xml:space="preserve">الدولة الطرف </w:t>
      </w:r>
      <w:r w:rsidR="005675B0">
        <w:rPr>
          <w:rFonts w:hint="cs"/>
          <w:rtl/>
        </w:rPr>
        <w:t>ب</w:t>
      </w:r>
      <w:r>
        <w:rPr>
          <w:rtl/>
        </w:rPr>
        <w:t>إعلانها التفسيري المتعلق بالفقرة</w:t>
      </w:r>
      <w:r w:rsidR="00105123">
        <w:rPr>
          <w:rFonts w:hint="cs"/>
          <w:rtl/>
        </w:rPr>
        <w:t> </w:t>
      </w:r>
      <w:r>
        <w:rPr>
          <w:rtl/>
        </w:rPr>
        <w:t>1 من المادة</w:t>
      </w:r>
      <w:r w:rsidR="005675B0">
        <w:rPr>
          <w:rFonts w:hint="cs"/>
          <w:rtl/>
        </w:rPr>
        <w:t> </w:t>
      </w:r>
      <w:r>
        <w:rPr>
          <w:rtl/>
        </w:rPr>
        <w:t xml:space="preserve">2 والمادة 3 من العهد، </w:t>
      </w:r>
      <w:r w:rsidR="005675B0">
        <w:rPr>
          <w:rFonts w:hint="cs"/>
          <w:rtl/>
        </w:rPr>
        <w:t xml:space="preserve">والذي سبق </w:t>
      </w:r>
      <w:r>
        <w:rPr>
          <w:rtl/>
        </w:rPr>
        <w:t xml:space="preserve">للجنة </w:t>
      </w:r>
      <w:r w:rsidR="005675B0">
        <w:rPr>
          <w:rFonts w:hint="cs"/>
          <w:rtl/>
        </w:rPr>
        <w:t xml:space="preserve">أن رأت، </w:t>
      </w:r>
      <w:r>
        <w:rPr>
          <w:rtl/>
        </w:rPr>
        <w:t>في</w:t>
      </w:r>
      <w:r w:rsidR="005675B0">
        <w:rPr>
          <w:rtl/>
        </w:rPr>
        <w:t xml:space="preserve"> </w:t>
      </w:r>
      <w:r w:rsidR="005675B0" w:rsidRPr="00DF34A1">
        <w:rPr>
          <w:rtl/>
        </w:rPr>
        <w:t xml:space="preserve">ملاحظاتها </w:t>
      </w:r>
      <w:r w:rsidR="00DF34A1">
        <w:rPr>
          <w:rFonts w:hint="cs"/>
          <w:rtl/>
        </w:rPr>
        <w:t>ال</w:t>
      </w:r>
      <w:r w:rsidR="005675B0" w:rsidRPr="00DF34A1">
        <w:rPr>
          <w:rtl/>
        </w:rPr>
        <w:t xml:space="preserve">ختامية </w:t>
      </w:r>
      <w:r w:rsidR="00DF34A1">
        <w:rPr>
          <w:rFonts w:hint="cs"/>
          <w:rtl/>
        </w:rPr>
        <w:t>ال</w:t>
      </w:r>
      <w:r w:rsidRPr="00DF34A1">
        <w:rPr>
          <w:rtl/>
        </w:rPr>
        <w:t>سابقة</w:t>
      </w:r>
      <w:r w:rsidR="005675B0" w:rsidRPr="00DF34A1">
        <w:rPr>
          <w:rFonts w:hint="cs"/>
          <w:rtl/>
        </w:rPr>
        <w:t>،</w:t>
      </w:r>
      <w:r>
        <w:rPr>
          <w:rtl/>
        </w:rPr>
        <w:t xml:space="preserve"> أنه لا</w:t>
      </w:r>
      <w:r w:rsidR="005675B0">
        <w:rPr>
          <w:rFonts w:hint="cs"/>
          <w:rtl/>
        </w:rPr>
        <w:t> </w:t>
      </w:r>
      <w:r>
        <w:rPr>
          <w:rtl/>
        </w:rPr>
        <w:t>يتوافق مع هدف العهد ومقصده</w:t>
      </w:r>
      <w:r w:rsidR="00B04B81">
        <w:rPr>
          <w:rFonts w:hint="cs"/>
          <w:rtl/>
        </w:rPr>
        <w:t xml:space="preserve"> (</w:t>
      </w:r>
      <w:r>
        <w:t>CCPR/CO/69/KWT</w:t>
      </w:r>
      <w:r w:rsidR="004E0074">
        <w:rPr>
          <w:rtl/>
        </w:rPr>
        <w:t>،</w:t>
      </w:r>
      <w:r>
        <w:rPr>
          <w:rtl/>
        </w:rPr>
        <w:t xml:space="preserve"> الفقرة 4)، فضلاً عن إبقائها على إعلانها التفسيري المتعلق بالمادة 23، وعلى تحفظاتها على المادة 25(ب) من العهد. (المادة 2) </w:t>
      </w:r>
    </w:p>
    <w:p w:rsidR="00384023" w:rsidRPr="002C59CC" w:rsidRDefault="002C59CC" w:rsidP="005675B0">
      <w:pPr>
        <w:pStyle w:val="SingleTxtGA"/>
        <w:rPr>
          <w:b/>
          <w:bCs/>
          <w:rtl/>
        </w:rPr>
      </w:pPr>
      <w:r w:rsidRPr="002C59CC">
        <w:rPr>
          <w:rFonts w:hint="cs"/>
          <w:b/>
          <w:bCs/>
          <w:rtl/>
        </w:rPr>
        <w:tab/>
      </w:r>
      <w:r w:rsidR="005675B0">
        <w:rPr>
          <w:rFonts w:hint="cs"/>
          <w:b/>
          <w:bCs/>
          <w:rtl/>
        </w:rPr>
        <w:t>ينبغي</w:t>
      </w:r>
      <w:r w:rsidR="005675B0">
        <w:rPr>
          <w:b/>
          <w:bCs/>
          <w:rtl/>
        </w:rPr>
        <w:t xml:space="preserve"> </w:t>
      </w:r>
      <w:r w:rsidR="005675B0">
        <w:rPr>
          <w:rFonts w:hint="cs"/>
          <w:b/>
          <w:bCs/>
          <w:rtl/>
        </w:rPr>
        <w:t>ل</w:t>
      </w:r>
      <w:r w:rsidR="00384023" w:rsidRPr="002C59CC">
        <w:rPr>
          <w:b/>
          <w:bCs/>
          <w:rtl/>
        </w:rPr>
        <w:t>لدولة الطرف أن تسحب رسمياً إعلانها التفسيري المتعلق بالفقرة 1 من المادة 2 والمادة 3 من العهد، و</w:t>
      </w:r>
      <w:r w:rsidR="005675B0">
        <w:rPr>
          <w:rFonts w:hint="cs"/>
          <w:b/>
          <w:bCs/>
          <w:rtl/>
        </w:rPr>
        <w:t xml:space="preserve">ينبغي لها </w:t>
      </w:r>
      <w:r w:rsidR="00384023" w:rsidRPr="002C59CC">
        <w:rPr>
          <w:b/>
          <w:bCs/>
          <w:rtl/>
        </w:rPr>
        <w:t>أن تنظر في سحب إعلانها التفسيري المتعلق بال</w:t>
      </w:r>
      <w:r>
        <w:rPr>
          <w:b/>
          <w:bCs/>
          <w:rtl/>
        </w:rPr>
        <w:t>مادة</w:t>
      </w:r>
      <w:r w:rsidR="005675B0">
        <w:rPr>
          <w:rFonts w:hint="cs"/>
          <w:b/>
          <w:bCs/>
          <w:rtl/>
        </w:rPr>
        <w:t> </w:t>
      </w:r>
      <w:r w:rsidR="005675B0">
        <w:rPr>
          <w:b/>
          <w:bCs/>
          <w:rtl/>
        </w:rPr>
        <w:t>23 وتحفظ</w:t>
      </w:r>
      <w:r w:rsidR="005675B0">
        <w:rPr>
          <w:rFonts w:hint="cs"/>
          <w:b/>
          <w:bCs/>
          <w:rtl/>
        </w:rPr>
        <w:t>ه</w:t>
      </w:r>
      <w:r w:rsidR="00DF34A1">
        <w:rPr>
          <w:rFonts w:hint="cs"/>
          <w:b/>
          <w:bCs/>
          <w:rtl/>
        </w:rPr>
        <w:t>ا</w:t>
      </w:r>
      <w:r>
        <w:rPr>
          <w:b/>
          <w:bCs/>
          <w:rtl/>
        </w:rPr>
        <w:t xml:space="preserve"> على المادة 25</w:t>
      </w:r>
      <w:r w:rsidR="00384023" w:rsidRPr="002C59CC">
        <w:rPr>
          <w:b/>
          <w:bCs/>
          <w:rtl/>
        </w:rPr>
        <w:t xml:space="preserve">(ب) من العهد. </w:t>
      </w:r>
    </w:p>
    <w:p w:rsidR="00384023" w:rsidRDefault="00384023" w:rsidP="008E6066">
      <w:pPr>
        <w:pStyle w:val="SingleTxtGA"/>
        <w:rPr>
          <w:rFonts w:hint="cs"/>
          <w:rtl/>
        </w:rPr>
      </w:pPr>
      <w:r>
        <w:rPr>
          <w:rtl/>
        </w:rPr>
        <w:t>8-</w:t>
      </w:r>
      <w:r w:rsidR="004E0074">
        <w:rPr>
          <w:rFonts w:hint="cs"/>
          <w:rtl/>
        </w:rPr>
        <w:tab/>
      </w:r>
      <w:r>
        <w:rPr>
          <w:rtl/>
        </w:rPr>
        <w:t xml:space="preserve">وعلى الرغم من التقدم الذي أحرزته الدولة الطرف في ما يتعلق بمشاركة المرأة في الحياة السياسية، فلا تزال اللجنة قلقةً بشأن نقص مستوى تمثيلها في الهيئات التشريعية والتنفيذية، وخاصةً بشأن عدم وجود قاضيات. كما يساور اللجنة قلق بشأن </w:t>
      </w:r>
      <w:r w:rsidR="008E6066">
        <w:rPr>
          <w:rFonts w:hint="cs"/>
          <w:rtl/>
        </w:rPr>
        <w:t xml:space="preserve">استمرار </w:t>
      </w:r>
      <w:r w:rsidR="008E6066">
        <w:rPr>
          <w:rtl/>
        </w:rPr>
        <w:t xml:space="preserve">القوالب النمطية </w:t>
      </w:r>
      <w:r w:rsidR="008E6066">
        <w:rPr>
          <w:rFonts w:hint="cs"/>
          <w:rtl/>
        </w:rPr>
        <w:t xml:space="preserve">عن </w:t>
      </w:r>
      <w:r>
        <w:rPr>
          <w:rtl/>
        </w:rPr>
        <w:t>دور المرأة في الأسرة والمجتمع ككل (المواد 3 و25 و26).</w:t>
      </w:r>
    </w:p>
    <w:p w:rsidR="00384023" w:rsidRPr="002C59CC" w:rsidRDefault="002C59CC" w:rsidP="008E6066">
      <w:pPr>
        <w:pStyle w:val="SingleTxtGA"/>
        <w:rPr>
          <w:b/>
          <w:bCs/>
          <w:rtl/>
        </w:rPr>
      </w:pPr>
      <w:r w:rsidRPr="002C59CC">
        <w:rPr>
          <w:rFonts w:hint="cs"/>
          <w:b/>
          <w:bCs/>
          <w:rtl/>
        </w:rPr>
        <w:tab/>
      </w:r>
      <w:r w:rsidR="008E6066">
        <w:rPr>
          <w:rFonts w:hint="cs"/>
          <w:b/>
          <w:bCs/>
          <w:rtl/>
        </w:rPr>
        <w:t>ينبغي ل</w:t>
      </w:r>
      <w:r w:rsidR="00384023" w:rsidRPr="002C59CC">
        <w:rPr>
          <w:b/>
          <w:bCs/>
          <w:rtl/>
        </w:rPr>
        <w:t>لدولة الطرف أن تعزز جهودها الرامية إلى القضاء على القوالب النمطية الجنسانية</w:t>
      </w:r>
      <w:r w:rsidR="004E0074" w:rsidRPr="002C59CC">
        <w:rPr>
          <w:b/>
          <w:bCs/>
          <w:rtl/>
        </w:rPr>
        <w:t xml:space="preserve"> </w:t>
      </w:r>
      <w:r w:rsidR="00384023" w:rsidRPr="002C59CC">
        <w:rPr>
          <w:b/>
          <w:bCs/>
          <w:rtl/>
        </w:rPr>
        <w:t xml:space="preserve">المتعلقة بأدوار ومسؤوليات الرجل والمرأة في الأسرة والمجتمع، </w:t>
      </w:r>
      <w:r w:rsidR="008E6066">
        <w:rPr>
          <w:rFonts w:hint="cs"/>
          <w:b/>
          <w:bCs/>
          <w:rtl/>
        </w:rPr>
        <w:t>لا سيما ب</w:t>
      </w:r>
      <w:r w:rsidR="00384023" w:rsidRPr="002C59CC">
        <w:rPr>
          <w:b/>
          <w:bCs/>
          <w:rtl/>
        </w:rPr>
        <w:t xml:space="preserve">اعتماد تدابير خاصة مؤقتة، </w:t>
      </w:r>
      <w:r w:rsidR="008E6066">
        <w:rPr>
          <w:rFonts w:hint="cs"/>
          <w:b/>
          <w:bCs/>
          <w:rtl/>
        </w:rPr>
        <w:t>إذا لزم الأمر</w:t>
      </w:r>
      <w:r w:rsidR="00384023" w:rsidRPr="002C59CC">
        <w:rPr>
          <w:b/>
          <w:bCs/>
          <w:rtl/>
        </w:rPr>
        <w:t xml:space="preserve">، </w:t>
      </w:r>
      <w:r w:rsidR="008E6066">
        <w:rPr>
          <w:rFonts w:hint="cs"/>
          <w:b/>
          <w:bCs/>
          <w:rtl/>
        </w:rPr>
        <w:t>ل</w:t>
      </w:r>
      <w:r w:rsidR="00384023" w:rsidRPr="002C59CC">
        <w:rPr>
          <w:b/>
          <w:bCs/>
          <w:rtl/>
        </w:rPr>
        <w:t xml:space="preserve">زيادة </w:t>
      </w:r>
      <w:r w:rsidR="008E6066">
        <w:rPr>
          <w:rFonts w:hint="cs"/>
          <w:b/>
          <w:bCs/>
          <w:rtl/>
        </w:rPr>
        <w:t xml:space="preserve">تعزيز </w:t>
      </w:r>
      <w:r w:rsidR="00384023" w:rsidRPr="002C59CC">
        <w:rPr>
          <w:b/>
          <w:bCs/>
          <w:rtl/>
        </w:rPr>
        <w:t xml:space="preserve">مشاركة المرأة في الحياة العامة والسياسية، وكذلك في القطاع الخاص. </w:t>
      </w:r>
      <w:r w:rsidR="008E6066" w:rsidRPr="00DF34A1">
        <w:rPr>
          <w:rFonts w:hint="cs"/>
          <w:b/>
          <w:bCs/>
          <w:rtl/>
        </w:rPr>
        <w:t>وينبغي ل</w:t>
      </w:r>
      <w:r w:rsidR="00384023" w:rsidRPr="00DF34A1">
        <w:rPr>
          <w:b/>
          <w:bCs/>
          <w:rtl/>
        </w:rPr>
        <w:t xml:space="preserve">لدولة الطرف أن تتخذ خطوات فورية </w:t>
      </w:r>
      <w:r w:rsidR="008E6066" w:rsidRPr="00DF34A1">
        <w:rPr>
          <w:rFonts w:hint="cs"/>
          <w:b/>
          <w:bCs/>
          <w:rtl/>
        </w:rPr>
        <w:t xml:space="preserve">بما يكفل للمرأة </w:t>
      </w:r>
      <w:r w:rsidR="00384023" w:rsidRPr="00DF34A1">
        <w:rPr>
          <w:b/>
          <w:bCs/>
          <w:rtl/>
        </w:rPr>
        <w:t xml:space="preserve">إمكانية </w:t>
      </w:r>
      <w:r w:rsidR="008E6066" w:rsidRPr="00DF34A1">
        <w:rPr>
          <w:rFonts w:hint="cs"/>
          <w:b/>
          <w:bCs/>
          <w:rtl/>
        </w:rPr>
        <w:t>فعلية ل</w:t>
      </w:r>
      <w:r w:rsidR="00384023" w:rsidRPr="00DF34A1">
        <w:rPr>
          <w:b/>
          <w:bCs/>
          <w:rtl/>
        </w:rPr>
        <w:t>تولي منصب قاضية.</w:t>
      </w:r>
      <w:r w:rsidR="00384023" w:rsidRPr="002C59CC">
        <w:rPr>
          <w:b/>
          <w:bCs/>
          <w:rtl/>
        </w:rPr>
        <w:t xml:space="preserve"> </w:t>
      </w:r>
    </w:p>
    <w:p w:rsidR="00384023" w:rsidRDefault="00384023" w:rsidP="00E44AAA">
      <w:pPr>
        <w:pStyle w:val="SingleTxtGA"/>
        <w:rPr>
          <w:rtl/>
        </w:rPr>
      </w:pPr>
      <w:r>
        <w:rPr>
          <w:rtl/>
        </w:rPr>
        <w:t>9-</w:t>
      </w:r>
      <w:r w:rsidR="00B35FB7">
        <w:rPr>
          <w:rFonts w:hint="cs"/>
          <w:rtl/>
        </w:rPr>
        <w:tab/>
      </w:r>
      <w:r>
        <w:rPr>
          <w:rtl/>
        </w:rPr>
        <w:t xml:space="preserve">ويساور اللجنة </w:t>
      </w:r>
      <w:r w:rsidR="00E44AAA">
        <w:rPr>
          <w:rFonts w:hint="cs"/>
          <w:rtl/>
        </w:rPr>
        <w:t>ال</w:t>
      </w:r>
      <w:r>
        <w:rPr>
          <w:rtl/>
        </w:rPr>
        <w:t xml:space="preserve">قلق </w:t>
      </w:r>
      <w:r w:rsidR="00E44AAA">
        <w:rPr>
          <w:rFonts w:hint="cs"/>
          <w:rtl/>
        </w:rPr>
        <w:t xml:space="preserve">لأن الأحكام التمييزية التي احتفظ بها في التشريعات الحالية  تؤثر في </w:t>
      </w:r>
      <w:r>
        <w:rPr>
          <w:rtl/>
        </w:rPr>
        <w:t xml:space="preserve">حقوق المرأة. وتشير اللجنة، بوجه خاص، إلى رأيها أن تعدد الزوجات ينتهك كرامة المرأة (انظر الفقرة </w:t>
      </w:r>
      <w:r w:rsidR="00E44AAA">
        <w:rPr>
          <w:rtl/>
        </w:rPr>
        <w:t>24 من تعليق اللجنة العام رقم 28</w:t>
      </w:r>
      <w:r>
        <w:rPr>
          <w:rtl/>
        </w:rPr>
        <w:t xml:space="preserve">(2000))، ويشكّل انتهاكاً للمادة 3 من العهد. (المواد 2 و3 و26) </w:t>
      </w:r>
    </w:p>
    <w:p w:rsidR="00384023" w:rsidRPr="002C59CC" w:rsidRDefault="002C59CC" w:rsidP="00E66AE7">
      <w:pPr>
        <w:pStyle w:val="SingleTxtGA"/>
        <w:rPr>
          <w:b/>
          <w:bCs/>
          <w:rtl/>
        </w:rPr>
      </w:pPr>
      <w:r w:rsidRPr="002C59CC">
        <w:rPr>
          <w:rFonts w:hint="cs"/>
          <w:b/>
          <w:bCs/>
          <w:rtl/>
        </w:rPr>
        <w:tab/>
      </w:r>
      <w:r w:rsidR="00E66AE7">
        <w:rPr>
          <w:rFonts w:hint="cs"/>
          <w:b/>
          <w:bCs/>
          <w:rtl/>
        </w:rPr>
        <w:t>ينبغي ل</w:t>
      </w:r>
      <w:r w:rsidR="00384023" w:rsidRPr="002C59CC">
        <w:rPr>
          <w:b/>
          <w:bCs/>
          <w:rtl/>
        </w:rPr>
        <w:t>لدولة الطرف أن تضطلع بعملية إعادة نظر شاملة في القوانين القائمة من أجل إلغاء جميع الأحكام التمييزية التي تمس بتحقيق المساواة بين الجنسين. و</w:t>
      </w:r>
      <w:r w:rsidR="00E66AE7">
        <w:rPr>
          <w:rFonts w:hint="cs"/>
          <w:b/>
          <w:bCs/>
          <w:rtl/>
        </w:rPr>
        <w:t xml:space="preserve">ينبغي لها </w:t>
      </w:r>
      <w:r w:rsidR="00384023" w:rsidRPr="002C59CC">
        <w:rPr>
          <w:b/>
          <w:bCs/>
          <w:rtl/>
        </w:rPr>
        <w:t>أن تعكف على تنظيم حملات توعية رسمية ومنهجية من أجل القضاء على ممارسة تعدد الزوجات، إذ إنها شكل من أشكال التمييز ضد المرأة.</w:t>
      </w:r>
      <w:r w:rsidR="004E0074" w:rsidRPr="002C59CC">
        <w:rPr>
          <w:b/>
          <w:bCs/>
          <w:rtl/>
        </w:rPr>
        <w:t xml:space="preserve"> </w:t>
      </w:r>
    </w:p>
    <w:p w:rsidR="00384023" w:rsidRDefault="00384023" w:rsidP="00E66AE7">
      <w:pPr>
        <w:pStyle w:val="SingleTxtGA"/>
        <w:rPr>
          <w:rtl/>
        </w:rPr>
      </w:pPr>
      <w:r>
        <w:rPr>
          <w:rtl/>
        </w:rPr>
        <w:t>10-</w:t>
      </w:r>
      <w:r w:rsidR="004E0074">
        <w:rPr>
          <w:rFonts w:hint="cs"/>
          <w:rtl/>
        </w:rPr>
        <w:tab/>
      </w:r>
      <w:r>
        <w:rPr>
          <w:rtl/>
        </w:rPr>
        <w:t xml:space="preserve">ويساور اللجنة قلق إزاء شدة انخفاض الحد الأدنى لسن الزواج واختلافه </w:t>
      </w:r>
      <w:r w:rsidR="00E66AE7">
        <w:rPr>
          <w:rFonts w:hint="cs"/>
          <w:rtl/>
        </w:rPr>
        <w:t xml:space="preserve">بحسب </w:t>
      </w:r>
      <w:r>
        <w:rPr>
          <w:rtl/>
        </w:rPr>
        <w:t xml:space="preserve">نوع الجنس. كما يساور اللجنة قلق إزاء عدم اتخاذ الدولة الطرف تدابير فعالة لمنع الزواج المبكر الذي تمارسه بعض شرائح السكان. (المادتان 3 و23) </w:t>
      </w:r>
    </w:p>
    <w:p w:rsidR="00384023" w:rsidRPr="002C59CC" w:rsidRDefault="002C59CC" w:rsidP="00E66AE7">
      <w:pPr>
        <w:pStyle w:val="SingleTxtGA"/>
        <w:rPr>
          <w:rFonts w:hint="cs"/>
          <w:b/>
          <w:bCs/>
          <w:rtl/>
        </w:rPr>
      </w:pPr>
      <w:r w:rsidRPr="002C59CC">
        <w:rPr>
          <w:rFonts w:hint="cs"/>
          <w:b/>
          <w:bCs/>
          <w:rtl/>
        </w:rPr>
        <w:tab/>
      </w:r>
      <w:r w:rsidR="00E66AE7">
        <w:rPr>
          <w:b/>
          <w:bCs/>
          <w:rtl/>
        </w:rPr>
        <w:t xml:space="preserve">ينبغي للدولة </w:t>
      </w:r>
      <w:r w:rsidR="00384023" w:rsidRPr="002C59CC">
        <w:rPr>
          <w:b/>
          <w:bCs/>
          <w:rtl/>
        </w:rPr>
        <w:t>الطرف أن تقضي عل</w:t>
      </w:r>
      <w:r>
        <w:rPr>
          <w:b/>
          <w:bCs/>
          <w:rtl/>
        </w:rPr>
        <w:t xml:space="preserve">ى التمييز </w:t>
      </w:r>
      <w:r w:rsidR="00E66AE7">
        <w:rPr>
          <w:rFonts w:hint="cs"/>
          <w:b/>
          <w:bCs/>
          <w:rtl/>
        </w:rPr>
        <w:t xml:space="preserve">بين الرجل والمرأة </w:t>
      </w:r>
      <w:r>
        <w:rPr>
          <w:b/>
          <w:bCs/>
          <w:rtl/>
        </w:rPr>
        <w:t>في</w:t>
      </w:r>
      <w:r w:rsidR="00384023" w:rsidRPr="002C59CC">
        <w:rPr>
          <w:b/>
          <w:bCs/>
          <w:rtl/>
        </w:rPr>
        <w:t>ما</w:t>
      </w:r>
      <w:r>
        <w:rPr>
          <w:rFonts w:hint="cs"/>
          <w:b/>
          <w:bCs/>
          <w:rtl/>
        </w:rPr>
        <w:t> </w:t>
      </w:r>
      <w:r w:rsidR="00384023" w:rsidRPr="002C59CC">
        <w:rPr>
          <w:b/>
          <w:bCs/>
          <w:rtl/>
        </w:rPr>
        <w:t xml:space="preserve">يتعلق </w:t>
      </w:r>
      <w:r w:rsidR="00E66AE7">
        <w:rPr>
          <w:rFonts w:hint="cs"/>
          <w:b/>
          <w:bCs/>
          <w:rtl/>
        </w:rPr>
        <w:t>ب</w:t>
      </w:r>
      <w:r w:rsidR="00384023" w:rsidRPr="002C59CC">
        <w:rPr>
          <w:b/>
          <w:bCs/>
          <w:rtl/>
        </w:rPr>
        <w:t xml:space="preserve">الحد الأدنى لسن الزواج. </w:t>
      </w:r>
      <w:r w:rsidR="00E66AE7">
        <w:rPr>
          <w:rFonts w:hint="cs"/>
          <w:b/>
          <w:bCs/>
          <w:rtl/>
        </w:rPr>
        <w:t xml:space="preserve">وينبغي لها أيضاً ضمان مطابقة </w:t>
      </w:r>
      <w:r w:rsidR="00384023" w:rsidRPr="002C59CC">
        <w:rPr>
          <w:b/>
          <w:bCs/>
          <w:rtl/>
        </w:rPr>
        <w:t>الحد الأدنى لسن الزواج للمعايير الدولية و</w:t>
      </w:r>
      <w:r w:rsidR="00E66AE7">
        <w:rPr>
          <w:rFonts w:hint="cs"/>
          <w:b/>
          <w:bCs/>
          <w:rtl/>
        </w:rPr>
        <w:t xml:space="preserve">اتخاذ </w:t>
      </w:r>
      <w:r w:rsidR="00384023" w:rsidRPr="002C59CC">
        <w:rPr>
          <w:b/>
          <w:bCs/>
          <w:rtl/>
        </w:rPr>
        <w:t>تدابير فعال</w:t>
      </w:r>
      <w:r>
        <w:rPr>
          <w:b/>
          <w:bCs/>
          <w:rtl/>
        </w:rPr>
        <w:t xml:space="preserve">ة لمنع زواج البنات </w:t>
      </w:r>
      <w:r w:rsidR="00E66AE7">
        <w:rPr>
          <w:rFonts w:hint="cs"/>
          <w:b/>
          <w:bCs/>
          <w:rtl/>
        </w:rPr>
        <w:t>مبكّراً</w:t>
      </w:r>
      <w:r>
        <w:rPr>
          <w:b/>
          <w:bCs/>
          <w:rtl/>
        </w:rPr>
        <w:t>.</w:t>
      </w:r>
    </w:p>
    <w:p w:rsidR="00384023" w:rsidRDefault="00384023" w:rsidP="00E66AE7">
      <w:pPr>
        <w:pStyle w:val="SingleTxtGA"/>
        <w:rPr>
          <w:rFonts w:hint="cs"/>
          <w:rtl/>
        </w:rPr>
      </w:pPr>
      <w:r>
        <w:rPr>
          <w:rtl/>
        </w:rPr>
        <w:t>11-</w:t>
      </w:r>
      <w:r>
        <w:rPr>
          <w:rtl/>
        </w:rPr>
        <w:tab/>
        <w:t xml:space="preserve">ويساور اللجنة قلق </w:t>
      </w:r>
      <w:r w:rsidR="00E66AE7">
        <w:rPr>
          <w:rFonts w:hint="cs"/>
          <w:rtl/>
        </w:rPr>
        <w:t xml:space="preserve">لأن </w:t>
      </w:r>
      <w:r>
        <w:rPr>
          <w:rtl/>
        </w:rPr>
        <w:t xml:space="preserve">شهادة المرأة أمام المحاكم </w:t>
      </w:r>
      <w:r w:rsidR="00E66AE7">
        <w:rPr>
          <w:rFonts w:hint="cs"/>
          <w:rtl/>
        </w:rPr>
        <w:t xml:space="preserve">أقل قيمة من </w:t>
      </w:r>
      <w:r w:rsidR="00700671">
        <w:rPr>
          <w:rtl/>
        </w:rPr>
        <w:t xml:space="preserve">قيمة شهادة الرجل. (المواد 2 و3 </w:t>
      </w:r>
      <w:r>
        <w:rPr>
          <w:rtl/>
        </w:rPr>
        <w:t>و14 و26</w:t>
      </w:r>
      <w:r w:rsidR="00700671">
        <w:rPr>
          <w:rtl/>
        </w:rPr>
        <w:t>)</w:t>
      </w:r>
    </w:p>
    <w:p w:rsidR="00384023" w:rsidRPr="00E66AE7" w:rsidRDefault="00384023" w:rsidP="00E66AE7">
      <w:pPr>
        <w:pStyle w:val="SingleTxtGA"/>
        <w:rPr>
          <w:rFonts w:ascii="Times New Roman Bold" w:hAnsi="Times New Roman Bold"/>
          <w:b/>
          <w:bCs/>
          <w:spacing w:val="-2"/>
          <w:rtl/>
        </w:rPr>
      </w:pPr>
      <w:r w:rsidRPr="00E66AE7">
        <w:rPr>
          <w:rFonts w:ascii="Times New Roman Bold" w:hAnsi="Times New Roman Bold"/>
          <w:b/>
          <w:bCs/>
          <w:spacing w:val="-2"/>
          <w:rtl/>
        </w:rPr>
        <w:tab/>
      </w:r>
      <w:r w:rsidR="00E66AE7" w:rsidRPr="00E66AE7">
        <w:rPr>
          <w:rFonts w:ascii="Times New Roman Bold" w:hAnsi="Times New Roman Bold"/>
          <w:b/>
          <w:bCs/>
          <w:spacing w:val="-2"/>
          <w:rtl/>
        </w:rPr>
        <w:t xml:space="preserve">ينبغي للدولة </w:t>
      </w:r>
      <w:r w:rsidRPr="00E66AE7">
        <w:rPr>
          <w:rFonts w:ascii="Times New Roman Bold" w:hAnsi="Times New Roman Bold"/>
          <w:b/>
          <w:bCs/>
          <w:spacing w:val="-2"/>
          <w:rtl/>
        </w:rPr>
        <w:t xml:space="preserve">الطرف أن تعدِّل تشريعاتها وممارساتها </w:t>
      </w:r>
      <w:r w:rsidR="00E66AE7" w:rsidRPr="00E66AE7">
        <w:rPr>
          <w:rFonts w:ascii="Times New Roman Bold" w:hAnsi="Times New Roman Bold" w:hint="cs"/>
          <w:b/>
          <w:bCs/>
          <w:spacing w:val="-2"/>
          <w:rtl/>
        </w:rPr>
        <w:t xml:space="preserve">بما يكفل إيلاء </w:t>
      </w:r>
      <w:r w:rsidRPr="00E66AE7">
        <w:rPr>
          <w:rFonts w:ascii="Times New Roman Bold" w:hAnsi="Times New Roman Bold"/>
          <w:b/>
          <w:bCs/>
          <w:spacing w:val="-2"/>
          <w:rtl/>
        </w:rPr>
        <w:t xml:space="preserve">السلطات القضائية شهادة المرأة على الدوام القيمة القانونية والعملية ذاتها التي </w:t>
      </w:r>
      <w:r w:rsidR="00E66AE7" w:rsidRPr="00E66AE7">
        <w:rPr>
          <w:rFonts w:ascii="Times New Roman Bold" w:hAnsi="Times New Roman Bold" w:hint="cs"/>
          <w:b/>
          <w:bCs/>
          <w:spacing w:val="-2"/>
          <w:rtl/>
        </w:rPr>
        <w:t xml:space="preserve">توليها لشهادة </w:t>
      </w:r>
      <w:r w:rsidRPr="00E66AE7">
        <w:rPr>
          <w:rFonts w:ascii="Times New Roman Bold" w:hAnsi="Times New Roman Bold"/>
          <w:b/>
          <w:bCs/>
          <w:spacing w:val="-2"/>
          <w:rtl/>
        </w:rPr>
        <w:t>الرجل.</w:t>
      </w:r>
    </w:p>
    <w:p w:rsidR="00384023" w:rsidRDefault="00384023" w:rsidP="00B85B3F">
      <w:pPr>
        <w:pStyle w:val="SingleTxtGA"/>
        <w:rPr>
          <w:rFonts w:hint="cs"/>
          <w:rtl/>
        </w:rPr>
      </w:pPr>
      <w:r>
        <w:rPr>
          <w:rtl/>
        </w:rPr>
        <w:t>12-</w:t>
      </w:r>
      <w:r w:rsidR="00700671">
        <w:rPr>
          <w:rFonts w:hint="cs"/>
          <w:rtl/>
        </w:rPr>
        <w:tab/>
      </w:r>
      <w:r>
        <w:rPr>
          <w:rtl/>
        </w:rPr>
        <w:t>ويساور اللجنة قلق بشأن التمييز بين الرجل الكويتي والمرأة الكويتية في ما يتعلق بقدرتهما على نقل الجنسية الكويتية لأبنائهما، كما يساورها قلق بشأن احتمال عدم حصول الطفل المولود في الكويت من والدين من البدون على أي جنسية. ويساور اللجنة قلق أيضاً بشأن انعدام الشفافية في عملية الحصول على الجنسية الكويتية، ولا</w:t>
      </w:r>
      <w:r w:rsidR="00B04B81">
        <w:rPr>
          <w:rFonts w:hint="cs"/>
          <w:rtl/>
        </w:rPr>
        <w:t xml:space="preserve"> </w:t>
      </w:r>
      <w:r>
        <w:rPr>
          <w:rtl/>
        </w:rPr>
        <w:t>سيما فيما يتعلق بعدم الإبلاغ بأسباب رفض منح هذه الجنسية، وبشأن عدم إجراء عملية إعادة نظر في طلبات الجنسية، مما يعزز التعسّف في اتخاذ القرارات. (المواد 2 و3 و24 و26)</w:t>
      </w:r>
    </w:p>
    <w:p w:rsidR="00384023" w:rsidRPr="00700671" w:rsidRDefault="00700671" w:rsidP="00B04B81">
      <w:pPr>
        <w:pStyle w:val="SingleTxtGA"/>
        <w:rPr>
          <w:b/>
          <w:bCs/>
          <w:rtl/>
        </w:rPr>
      </w:pPr>
      <w:r w:rsidRPr="00700671">
        <w:rPr>
          <w:rFonts w:hint="cs"/>
          <w:b/>
          <w:bCs/>
          <w:rtl/>
        </w:rPr>
        <w:tab/>
      </w:r>
      <w:r w:rsidR="00E66AE7">
        <w:rPr>
          <w:b/>
          <w:bCs/>
          <w:rtl/>
        </w:rPr>
        <w:t xml:space="preserve">ينبغي للدولة </w:t>
      </w:r>
      <w:r w:rsidR="00384023" w:rsidRPr="00700671">
        <w:rPr>
          <w:b/>
          <w:bCs/>
          <w:rtl/>
        </w:rPr>
        <w:t>الطرف أن تكفل لكل طفل الحق في الحصول على جنسية، امتثالاً للفقرة 3 من المادة 24 من العهد، وأن تُنهي التمييز بين الرجل والمرأة في مسألة نقل الجنسية. و</w:t>
      </w:r>
      <w:r w:rsidR="00E66AE7">
        <w:rPr>
          <w:b/>
          <w:bCs/>
          <w:rtl/>
        </w:rPr>
        <w:t xml:space="preserve">ينبغي للدولة </w:t>
      </w:r>
      <w:r w:rsidR="00384023" w:rsidRPr="00700671">
        <w:rPr>
          <w:b/>
          <w:bCs/>
          <w:rtl/>
        </w:rPr>
        <w:t xml:space="preserve">الطرف أن تضمن إعلام المتقدمين بطلبات الحصول على الجنسية </w:t>
      </w:r>
      <w:r w:rsidR="00384023" w:rsidRPr="00DF34A1">
        <w:rPr>
          <w:b/>
          <w:bCs/>
          <w:rtl/>
        </w:rPr>
        <w:t xml:space="preserve">الكويتية </w:t>
      </w:r>
      <w:r w:rsidR="00B04B81">
        <w:rPr>
          <w:rFonts w:hint="cs"/>
          <w:b/>
          <w:bCs/>
          <w:rtl/>
        </w:rPr>
        <w:t>رسمياً</w:t>
      </w:r>
      <w:r w:rsidR="002564C4" w:rsidRPr="00DF34A1">
        <w:rPr>
          <w:rFonts w:hint="cs"/>
          <w:b/>
          <w:bCs/>
          <w:rtl/>
        </w:rPr>
        <w:t xml:space="preserve"> </w:t>
      </w:r>
      <w:r w:rsidR="002564C4" w:rsidRPr="00DF34A1">
        <w:rPr>
          <w:b/>
          <w:bCs/>
          <w:rtl/>
        </w:rPr>
        <w:t>بأسباب رفض منحهم إياها</w:t>
      </w:r>
      <w:r w:rsidR="00384023" w:rsidRPr="00DF34A1">
        <w:rPr>
          <w:b/>
          <w:bCs/>
          <w:rtl/>
        </w:rPr>
        <w:t>،</w:t>
      </w:r>
      <w:r w:rsidR="00384023" w:rsidRPr="00700671">
        <w:rPr>
          <w:b/>
          <w:bCs/>
          <w:rtl/>
        </w:rPr>
        <w:t xml:space="preserve"> كما </w:t>
      </w:r>
      <w:r w:rsidR="002564C4">
        <w:rPr>
          <w:rFonts w:hint="cs"/>
          <w:b/>
          <w:bCs/>
          <w:rtl/>
        </w:rPr>
        <w:t xml:space="preserve">ينبغي لها إرساء </w:t>
      </w:r>
      <w:r w:rsidR="00384023" w:rsidRPr="00700671">
        <w:rPr>
          <w:b/>
          <w:bCs/>
          <w:rtl/>
        </w:rPr>
        <w:t xml:space="preserve">إجراء إعادة </w:t>
      </w:r>
      <w:r w:rsidR="002564C4">
        <w:rPr>
          <w:rFonts w:hint="cs"/>
          <w:b/>
          <w:bCs/>
          <w:rtl/>
        </w:rPr>
        <w:t>ال</w:t>
      </w:r>
      <w:r w:rsidR="00384023" w:rsidRPr="00700671">
        <w:rPr>
          <w:b/>
          <w:bCs/>
          <w:rtl/>
        </w:rPr>
        <w:t>نظر في هذه الطلبات.</w:t>
      </w:r>
    </w:p>
    <w:p w:rsidR="00384023" w:rsidRDefault="00700671" w:rsidP="002564C4">
      <w:pPr>
        <w:pStyle w:val="SingleTxtGA"/>
        <w:rPr>
          <w:rFonts w:hint="cs"/>
          <w:rtl/>
        </w:rPr>
      </w:pPr>
      <w:r>
        <w:rPr>
          <w:rtl/>
        </w:rPr>
        <w:t>13-</w:t>
      </w:r>
      <w:r>
        <w:rPr>
          <w:rFonts w:hint="cs"/>
          <w:rtl/>
        </w:rPr>
        <w:tab/>
      </w:r>
      <w:r w:rsidR="00384023">
        <w:rPr>
          <w:rtl/>
        </w:rPr>
        <w:t xml:space="preserve">وفيما تحيط اللجنة علماً بإنشاء جهاز مركزي في تشرين الثاني/نوفمبر 2010 </w:t>
      </w:r>
      <w:r w:rsidR="002564C4">
        <w:rPr>
          <w:rFonts w:hint="cs"/>
          <w:rtl/>
        </w:rPr>
        <w:t xml:space="preserve">للبحث عن </w:t>
      </w:r>
      <w:r w:rsidR="00384023">
        <w:rPr>
          <w:rtl/>
        </w:rPr>
        <w:t xml:space="preserve">حلٍّ لوضع البدون الذين تعتبرهم الدولة الطرف حالياً </w:t>
      </w:r>
      <w:r w:rsidR="002564C4">
        <w:rPr>
          <w:rFonts w:hint="cs"/>
          <w:rtl/>
        </w:rPr>
        <w:t xml:space="preserve">فئة من </w:t>
      </w:r>
      <w:r w:rsidR="00384023">
        <w:rPr>
          <w:rtl/>
        </w:rPr>
        <w:t xml:space="preserve">"المقيمين بصورة غير قانونية"، فلا تزال اللجنة قلقةً بشأن ما </w:t>
      </w:r>
      <w:r w:rsidR="00DF34A1">
        <w:rPr>
          <w:rFonts w:hint="cs"/>
          <w:rtl/>
        </w:rPr>
        <w:t xml:space="preserve">تعانيه </w:t>
      </w:r>
      <w:r w:rsidR="002564C4">
        <w:rPr>
          <w:rFonts w:hint="cs"/>
          <w:rtl/>
        </w:rPr>
        <w:t xml:space="preserve">هذه الفئة من </w:t>
      </w:r>
      <w:r w:rsidR="00384023">
        <w:rPr>
          <w:rtl/>
        </w:rPr>
        <w:t xml:space="preserve">تنميط وتمييز </w:t>
      </w:r>
      <w:r w:rsidR="002564C4">
        <w:rPr>
          <w:rFonts w:hint="cs"/>
          <w:rtl/>
        </w:rPr>
        <w:t xml:space="preserve">على نطاق </w:t>
      </w:r>
      <w:r w:rsidR="00384023">
        <w:rPr>
          <w:rtl/>
        </w:rPr>
        <w:t>واسع. كما يساور</w:t>
      </w:r>
      <w:r w:rsidR="002564C4">
        <w:rPr>
          <w:rFonts w:hint="cs"/>
          <w:rtl/>
        </w:rPr>
        <w:t>ها</w:t>
      </w:r>
      <w:r w:rsidR="00384023">
        <w:rPr>
          <w:rtl/>
        </w:rPr>
        <w:t xml:space="preserve"> </w:t>
      </w:r>
      <w:r w:rsidR="002564C4">
        <w:rPr>
          <w:rFonts w:hint="cs"/>
          <w:rtl/>
        </w:rPr>
        <w:t>ال</w:t>
      </w:r>
      <w:r w:rsidR="00384023">
        <w:rPr>
          <w:rtl/>
        </w:rPr>
        <w:t>قلق بشأن الممارسة المتمثلة في الامتناع عن إصدار وثائق لهم، تشمل بعض الشهادات التي يحق لجميع الأشخاص الذين يولدون أو يتزوجون في إقليم الدولة الطرف الحصول عليها. ويساورها قلق أيضاً بشأن ما وردها من بلاغات بالتعسّف في تطبيق قانون الجنسية الكويتي على البدون. (المو</w:t>
      </w:r>
      <w:r>
        <w:rPr>
          <w:rtl/>
        </w:rPr>
        <w:t>اد 2 و23 و24 و26 و27)</w:t>
      </w:r>
    </w:p>
    <w:p w:rsidR="00384023" w:rsidRPr="00700671" w:rsidRDefault="00700671" w:rsidP="00B04B81">
      <w:pPr>
        <w:pStyle w:val="SingleTxtGA"/>
        <w:rPr>
          <w:b/>
          <w:bCs/>
          <w:rtl/>
        </w:rPr>
      </w:pPr>
      <w:r w:rsidRPr="00700671">
        <w:rPr>
          <w:rFonts w:hint="cs"/>
          <w:b/>
          <w:bCs/>
          <w:rtl/>
        </w:rPr>
        <w:tab/>
      </w:r>
      <w:r w:rsidR="00E66AE7">
        <w:rPr>
          <w:b/>
          <w:bCs/>
          <w:rtl/>
        </w:rPr>
        <w:t xml:space="preserve">ينبغي للدولة </w:t>
      </w:r>
      <w:r w:rsidR="00384023" w:rsidRPr="00700671">
        <w:rPr>
          <w:b/>
          <w:bCs/>
          <w:rtl/>
        </w:rPr>
        <w:t xml:space="preserve">الطرف أن تضع </w:t>
      </w:r>
      <w:r w:rsidR="00B04B81">
        <w:rPr>
          <w:rFonts w:hint="cs"/>
          <w:b/>
          <w:bCs/>
          <w:rtl/>
        </w:rPr>
        <w:t>حداً</w:t>
      </w:r>
      <w:r w:rsidR="00384023" w:rsidRPr="00700671">
        <w:rPr>
          <w:b/>
          <w:bCs/>
          <w:rtl/>
        </w:rPr>
        <w:t xml:space="preserve"> لممارسة التمييز ضد البدون، بما في ذلك ما يتعلق بتنفيذ قانون الجنسية لديها، </w:t>
      </w:r>
      <w:r w:rsidR="0009179C">
        <w:rPr>
          <w:rFonts w:hint="cs"/>
          <w:b/>
          <w:bCs/>
          <w:rtl/>
        </w:rPr>
        <w:t>وينبغي لها</w:t>
      </w:r>
      <w:r w:rsidR="00384023" w:rsidRPr="00700671">
        <w:rPr>
          <w:b/>
          <w:bCs/>
          <w:rtl/>
        </w:rPr>
        <w:t xml:space="preserve"> أن تضمن تمتع جميع الأشخاص الموجودين في إقليمها</w:t>
      </w:r>
      <w:r w:rsidR="00B04B81">
        <w:rPr>
          <w:rFonts w:hint="cs"/>
          <w:b/>
          <w:bCs/>
          <w:rtl/>
        </w:rPr>
        <w:t xml:space="preserve"> </w:t>
      </w:r>
      <w:r w:rsidR="00384023" w:rsidRPr="00700671">
        <w:rPr>
          <w:b/>
          <w:bCs/>
          <w:rtl/>
        </w:rPr>
        <w:t>بالحقوق المحددة في العهد.</w:t>
      </w:r>
    </w:p>
    <w:p w:rsidR="00384023" w:rsidRDefault="00384023" w:rsidP="0009179C">
      <w:pPr>
        <w:pStyle w:val="SingleTxtGA"/>
        <w:rPr>
          <w:rtl/>
        </w:rPr>
      </w:pPr>
      <w:r>
        <w:rPr>
          <w:rtl/>
        </w:rPr>
        <w:t>14-</w:t>
      </w:r>
      <w:r w:rsidR="00700671">
        <w:rPr>
          <w:rFonts w:hint="cs"/>
          <w:rtl/>
        </w:rPr>
        <w:tab/>
      </w:r>
      <w:r>
        <w:rPr>
          <w:rtl/>
        </w:rPr>
        <w:t xml:space="preserve">وتلاحظ اللجنة </w:t>
      </w:r>
      <w:r w:rsidR="0009179C">
        <w:rPr>
          <w:rFonts w:hint="cs"/>
          <w:rtl/>
        </w:rPr>
        <w:t>تطبيق</w:t>
      </w:r>
      <w:r>
        <w:rPr>
          <w:rtl/>
        </w:rPr>
        <w:t xml:space="preserve"> الوقف الفعلي لعمليات الإعدام في الدولة الطرف منذ عام</w:t>
      </w:r>
      <w:r w:rsidR="00700671">
        <w:rPr>
          <w:rFonts w:hint="cs"/>
          <w:rtl/>
        </w:rPr>
        <w:t> </w:t>
      </w:r>
      <w:r>
        <w:rPr>
          <w:rtl/>
        </w:rPr>
        <w:t>2007. غير أن قلقاً يساورها بشأن ما يلي:</w:t>
      </w:r>
    </w:p>
    <w:p w:rsidR="00384023" w:rsidRDefault="00384023" w:rsidP="00B04B81">
      <w:pPr>
        <w:pStyle w:val="SingleTxtGA"/>
        <w:rPr>
          <w:rtl/>
        </w:rPr>
      </w:pPr>
      <w:r>
        <w:rPr>
          <w:rtl/>
        </w:rPr>
        <w:tab/>
        <w:t>(أ)</w:t>
      </w:r>
      <w:r>
        <w:rPr>
          <w:rtl/>
        </w:rPr>
        <w:tab/>
        <w:t xml:space="preserve">ارتفاع عدد الأشخاص الذين ما زالوا </w:t>
      </w:r>
      <w:r w:rsidRPr="00DF34A1">
        <w:rPr>
          <w:rtl/>
        </w:rPr>
        <w:t xml:space="preserve">في </w:t>
      </w:r>
      <w:r w:rsidR="00B04B81">
        <w:rPr>
          <w:rFonts w:hint="cs"/>
          <w:rtl/>
        </w:rPr>
        <w:t>عنبر</w:t>
      </w:r>
      <w:r w:rsidRPr="00DF34A1">
        <w:rPr>
          <w:rtl/>
        </w:rPr>
        <w:t xml:space="preserve"> المحكوم عليهم بالإعدام</w:t>
      </w:r>
      <w:r>
        <w:rPr>
          <w:rtl/>
        </w:rPr>
        <w:t>؛</w:t>
      </w:r>
    </w:p>
    <w:p w:rsidR="00384023" w:rsidRDefault="001B29BE" w:rsidP="00384023">
      <w:pPr>
        <w:pStyle w:val="SingleTxtGA"/>
        <w:rPr>
          <w:rFonts w:hint="cs"/>
          <w:rtl/>
        </w:rPr>
      </w:pPr>
      <w:r>
        <w:rPr>
          <w:rtl/>
        </w:rPr>
        <w:tab/>
        <w:t>(ب)</w:t>
      </w:r>
      <w:r>
        <w:rPr>
          <w:rtl/>
        </w:rPr>
        <w:tab/>
      </w:r>
      <w:r w:rsidR="00384023">
        <w:rPr>
          <w:rtl/>
        </w:rPr>
        <w:t xml:space="preserve">كثرة عدد الجرائم التي يجوز فيها فرض عقوبة الإعدام، </w:t>
      </w:r>
      <w:r w:rsidR="00B04B81">
        <w:rPr>
          <w:rFonts w:hint="cs"/>
          <w:rtl/>
        </w:rPr>
        <w:t>و</w:t>
      </w:r>
      <w:r w:rsidR="00384023">
        <w:rPr>
          <w:rtl/>
        </w:rPr>
        <w:t>تشمل جرائم غير واضحة تتعلق بالأمن الداخلي والخارجي وجرائم تتعلق بالمخدرات.</w:t>
      </w:r>
      <w:r>
        <w:rPr>
          <w:rFonts w:hint="cs"/>
          <w:rtl/>
        </w:rPr>
        <w:t xml:space="preserve"> (المادة 6)</w:t>
      </w:r>
    </w:p>
    <w:p w:rsidR="00384023" w:rsidRPr="009E7971" w:rsidRDefault="009E7971" w:rsidP="001B29BE">
      <w:pPr>
        <w:pStyle w:val="SingleTxtGA"/>
        <w:rPr>
          <w:b/>
          <w:bCs/>
          <w:rtl/>
        </w:rPr>
      </w:pPr>
      <w:r w:rsidRPr="009E7971">
        <w:rPr>
          <w:rFonts w:hint="cs"/>
          <w:b/>
          <w:bCs/>
          <w:rtl/>
        </w:rPr>
        <w:tab/>
      </w:r>
      <w:r w:rsidR="00E66AE7">
        <w:rPr>
          <w:b/>
          <w:bCs/>
          <w:rtl/>
        </w:rPr>
        <w:t xml:space="preserve">ينبغي للدولة </w:t>
      </w:r>
      <w:r w:rsidR="00384023" w:rsidRPr="009E7971">
        <w:rPr>
          <w:b/>
          <w:bCs/>
          <w:rtl/>
        </w:rPr>
        <w:t xml:space="preserve">الطرف أن تقضي على انتهاكات الفقرة 2 من المادة 6 المتمثلة في </w:t>
      </w:r>
      <w:r w:rsidR="001B29BE">
        <w:rPr>
          <w:rFonts w:hint="cs"/>
          <w:b/>
          <w:bCs/>
          <w:rtl/>
        </w:rPr>
        <w:t xml:space="preserve">الاحتفاظ في </w:t>
      </w:r>
      <w:r w:rsidR="00384023" w:rsidRPr="009E7971">
        <w:rPr>
          <w:b/>
          <w:bCs/>
          <w:rtl/>
        </w:rPr>
        <w:t xml:space="preserve">تشريعاتها على عقوبة الإعدام على جرائم لا يمكن اعتبارها أخطر الجرائم بالمعنى المقصود في العهد. </w:t>
      </w:r>
      <w:r w:rsidR="001B29BE">
        <w:rPr>
          <w:rFonts w:hint="cs"/>
          <w:b/>
          <w:bCs/>
          <w:rtl/>
        </w:rPr>
        <w:t>و</w:t>
      </w:r>
      <w:r w:rsidR="00E66AE7">
        <w:rPr>
          <w:b/>
          <w:bCs/>
          <w:rtl/>
        </w:rPr>
        <w:t xml:space="preserve">ينبغي للدولة </w:t>
      </w:r>
      <w:r w:rsidR="00384023" w:rsidRPr="009E7971">
        <w:rPr>
          <w:b/>
          <w:bCs/>
          <w:rtl/>
        </w:rPr>
        <w:t xml:space="preserve">الطرف </w:t>
      </w:r>
      <w:r w:rsidR="001B29BE">
        <w:rPr>
          <w:rFonts w:hint="cs"/>
          <w:b/>
          <w:bCs/>
          <w:rtl/>
        </w:rPr>
        <w:t xml:space="preserve">أيضاً </w:t>
      </w:r>
      <w:r w:rsidR="00384023" w:rsidRPr="009E7971">
        <w:rPr>
          <w:b/>
          <w:bCs/>
          <w:rtl/>
        </w:rPr>
        <w:t>أن تضفيَ صفةً رسمية على الوقف الفعلي الحالي لعقوبة الإعدام، وتنضم إلى البروتوكول الاختياري الثاني الملحق بالعهد.</w:t>
      </w:r>
    </w:p>
    <w:p w:rsidR="00384023" w:rsidRDefault="009E7971" w:rsidP="001B29BE">
      <w:pPr>
        <w:pStyle w:val="SingleTxtGA"/>
        <w:rPr>
          <w:rtl/>
        </w:rPr>
      </w:pPr>
      <w:r>
        <w:rPr>
          <w:rtl/>
        </w:rPr>
        <w:t>15-</w:t>
      </w:r>
      <w:r>
        <w:rPr>
          <w:rFonts w:hint="cs"/>
          <w:rtl/>
        </w:rPr>
        <w:tab/>
      </w:r>
      <w:r w:rsidR="00384023">
        <w:rPr>
          <w:rtl/>
        </w:rPr>
        <w:t>ويساور اللجنة قلق بشأن الافتقار إلى بيانات إحصائية عن حالات العنف المنزلي والجنسي، و</w:t>
      </w:r>
      <w:r w:rsidR="001B29BE">
        <w:rPr>
          <w:rFonts w:hint="cs"/>
          <w:rtl/>
        </w:rPr>
        <w:t xml:space="preserve">بشأن </w:t>
      </w:r>
      <w:r w:rsidR="00384023">
        <w:rPr>
          <w:rtl/>
        </w:rPr>
        <w:t xml:space="preserve">خلوْ قانون الجزاء من أحكام تجرِّم العنف المنزلي والجنسي ضد المرأة </w:t>
      </w:r>
      <w:r w:rsidR="001B29BE">
        <w:rPr>
          <w:rFonts w:hint="cs"/>
          <w:rtl/>
        </w:rPr>
        <w:t xml:space="preserve">داخل </w:t>
      </w:r>
      <w:r w:rsidR="00384023">
        <w:rPr>
          <w:rtl/>
        </w:rPr>
        <w:t>الأسرة أو في مكان العمل. كما يساور اللجنة قلق بشأن عدم تجريم الاغتصاب الزوجي. (المواد 2 و6 و7)</w:t>
      </w:r>
    </w:p>
    <w:p w:rsidR="00384023" w:rsidRPr="001B29BE" w:rsidRDefault="00384023" w:rsidP="001B29BE">
      <w:pPr>
        <w:pStyle w:val="SingleTxtGA"/>
        <w:rPr>
          <w:rFonts w:ascii="Times New Roman Bold" w:hAnsi="Times New Roman Bold"/>
          <w:b/>
          <w:bCs/>
          <w:spacing w:val="-4"/>
          <w:rtl/>
        </w:rPr>
      </w:pPr>
      <w:r w:rsidRPr="001B29BE">
        <w:rPr>
          <w:rFonts w:ascii="Times New Roman Bold" w:hAnsi="Times New Roman Bold"/>
          <w:b/>
          <w:bCs/>
          <w:spacing w:val="-4"/>
          <w:rtl/>
        </w:rPr>
        <w:tab/>
      </w:r>
      <w:r w:rsidR="00E66AE7" w:rsidRPr="001B29BE">
        <w:rPr>
          <w:rFonts w:ascii="Times New Roman Bold" w:hAnsi="Times New Roman Bold"/>
          <w:b/>
          <w:bCs/>
          <w:spacing w:val="-4"/>
          <w:rtl/>
        </w:rPr>
        <w:t xml:space="preserve">ينبغي للدولة </w:t>
      </w:r>
      <w:r w:rsidRPr="001B29BE">
        <w:rPr>
          <w:rFonts w:ascii="Times New Roman Bold" w:hAnsi="Times New Roman Bold"/>
          <w:b/>
          <w:bCs/>
          <w:spacing w:val="-4"/>
          <w:rtl/>
        </w:rPr>
        <w:t>الطرف أن تجرِّم أعمال العنف المنزلي والجنسي، بما في ذلك</w:t>
      </w:r>
      <w:r w:rsidR="001B29BE" w:rsidRPr="001B29BE">
        <w:rPr>
          <w:rFonts w:ascii="Times New Roman Bold" w:hAnsi="Times New Roman Bold"/>
          <w:b/>
          <w:bCs/>
          <w:spacing w:val="-4"/>
          <w:rtl/>
        </w:rPr>
        <w:t xml:space="preserve"> الاغتصاب الزوجي. كما</w:t>
      </w:r>
      <w:r w:rsidR="001B29BE" w:rsidRPr="001B29BE">
        <w:rPr>
          <w:rFonts w:ascii="Times New Roman Bold" w:hAnsi="Times New Roman Bold" w:hint="cs"/>
          <w:b/>
          <w:bCs/>
          <w:spacing w:val="-4"/>
          <w:rtl/>
        </w:rPr>
        <w:t xml:space="preserve"> ينبغي ل</w:t>
      </w:r>
      <w:r w:rsidRPr="001B29BE">
        <w:rPr>
          <w:rFonts w:ascii="Times New Roman Bold" w:hAnsi="Times New Roman Bold"/>
          <w:b/>
          <w:bCs/>
          <w:spacing w:val="-4"/>
          <w:rtl/>
        </w:rPr>
        <w:t xml:space="preserve">ها إنشاء قاعدة بيانات لجمع معلومات وافية عن حالات العنف المنزلي والجنسي المبلّغ عنها، وعن التحقيقات الجنائية التي أُجريت فيها والمقاضاة الجنائية عليها، والعقوبات المفروضة على مرتكبي هذه الأفعال، </w:t>
      </w:r>
      <w:r w:rsidR="001B29BE" w:rsidRPr="001B29BE">
        <w:rPr>
          <w:rFonts w:ascii="Times New Roman Bold" w:hAnsi="Times New Roman Bold" w:hint="cs"/>
          <w:b/>
          <w:bCs/>
          <w:spacing w:val="-4"/>
          <w:rtl/>
        </w:rPr>
        <w:t>والتعويضات التي منحت</w:t>
      </w:r>
      <w:r w:rsidRPr="001B29BE">
        <w:rPr>
          <w:rFonts w:ascii="Times New Roman Bold" w:hAnsi="Times New Roman Bold"/>
          <w:b/>
          <w:bCs/>
          <w:spacing w:val="-4"/>
          <w:rtl/>
        </w:rPr>
        <w:t xml:space="preserve"> للضحايا.</w:t>
      </w:r>
    </w:p>
    <w:p w:rsidR="00384023" w:rsidRDefault="009E7971" w:rsidP="00B04B81">
      <w:pPr>
        <w:pStyle w:val="SingleTxtGA"/>
        <w:rPr>
          <w:rtl/>
        </w:rPr>
      </w:pPr>
      <w:r>
        <w:rPr>
          <w:rtl/>
        </w:rPr>
        <w:t>16-</w:t>
      </w:r>
      <w:r>
        <w:rPr>
          <w:rFonts w:hint="cs"/>
          <w:rtl/>
        </w:rPr>
        <w:tab/>
      </w:r>
      <w:r w:rsidR="00384023">
        <w:rPr>
          <w:rtl/>
        </w:rPr>
        <w:t>وتأسف اللجنة لعدم وجود تشريعات تجرِّم التعذيب وغيره من ضروب المعاملة القاسية أو اللاإنسانية أو المهينة وفقاً للمعايير الدولية. (المادة 7)</w:t>
      </w:r>
    </w:p>
    <w:p w:rsidR="00384023" w:rsidRPr="009E7971" w:rsidRDefault="00384023" w:rsidP="001B29BE">
      <w:pPr>
        <w:pStyle w:val="SingleTxtGA"/>
        <w:rPr>
          <w:rFonts w:hint="cs"/>
          <w:b/>
          <w:bCs/>
          <w:rtl/>
        </w:rPr>
      </w:pPr>
      <w:r w:rsidRPr="009E7971">
        <w:rPr>
          <w:b/>
          <w:bCs/>
          <w:rtl/>
        </w:rPr>
        <w:tab/>
      </w:r>
      <w:r w:rsidR="00E66AE7">
        <w:rPr>
          <w:b/>
          <w:bCs/>
          <w:rtl/>
        </w:rPr>
        <w:t xml:space="preserve">ينبغي للدولة </w:t>
      </w:r>
      <w:r w:rsidRPr="009E7971">
        <w:rPr>
          <w:b/>
          <w:bCs/>
          <w:rtl/>
        </w:rPr>
        <w:t xml:space="preserve">الطرف أن تعتمد في تشريعاتها تعريفاً للتعذيب </w:t>
      </w:r>
      <w:r w:rsidR="001B29BE">
        <w:rPr>
          <w:rFonts w:hint="cs"/>
          <w:b/>
          <w:bCs/>
          <w:rtl/>
        </w:rPr>
        <w:t>يكون مطابقاً</w:t>
      </w:r>
      <w:r w:rsidRPr="009E7971">
        <w:rPr>
          <w:b/>
          <w:bCs/>
          <w:rtl/>
        </w:rPr>
        <w:t xml:space="preserve"> ت</w:t>
      </w:r>
      <w:r w:rsidR="00B04B81">
        <w:rPr>
          <w:rFonts w:hint="cs"/>
          <w:b/>
          <w:bCs/>
          <w:rtl/>
        </w:rPr>
        <w:t>م</w:t>
      </w:r>
      <w:r w:rsidRPr="009E7971">
        <w:rPr>
          <w:b/>
          <w:bCs/>
          <w:rtl/>
        </w:rPr>
        <w:t>اماً للمادتين 1 و4 من اتفاقية مناهضة التعذيب، و</w:t>
      </w:r>
      <w:r w:rsidR="001B29BE">
        <w:rPr>
          <w:b/>
          <w:bCs/>
          <w:rtl/>
        </w:rPr>
        <w:t>المادة 7 من العهد. و</w:t>
      </w:r>
      <w:r w:rsidR="001B29BE">
        <w:rPr>
          <w:rFonts w:hint="cs"/>
          <w:b/>
          <w:bCs/>
          <w:rtl/>
        </w:rPr>
        <w:t>ينبغي ل</w:t>
      </w:r>
      <w:r w:rsidRPr="009E7971">
        <w:rPr>
          <w:b/>
          <w:bCs/>
          <w:rtl/>
        </w:rPr>
        <w:t>لدولة الطرف أن تضمن المقاضاة والمعاقبة على ارتكاب أي فعل من أفعال التعذيب أو المعاملة القاسية أو اللاإنسانية أو ال</w:t>
      </w:r>
      <w:r w:rsidR="009E7971">
        <w:rPr>
          <w:b/>
          <w:bCs/>
          <w:rtl/>
        </w:rPr>
        <w:t>مهينة بما يتناسب وخطورة الفعل.</w:t>
      </w:r>
    </w:p>
    <w:p w:rsidR="00384023" w:rsidRDefault="00384023" w:rsidP="001B29BE">
      <w:pPr>
        <w:pStyle w:val="SingleTxtGA"/>
        <w:rPr>
          <w:rtl/>
        </w:rPr>
      </w:pPr>
      <w:r>
        <w:rPr>
          <w:rtl/>
        </w:rPr>
        <w:t>17-</w:t>
      </w:r>
      <w:r>
        <w:rPr>
          <w:rtl/>
        </w:rPr>
        <w:tab/>
        <w:t xml:space="preserve">ويساور اللجنة قلق لأن القوانين الجزائية الحالية للدولة الطرف لا تشمل جميع أشكال الاتجار بالأشخاص. ويساورها قلق أيضاً </w:t>
      </w:r>
      <w:r w:rsidR="001B29BE">
        <w:rPr>
          <w:rFonts w:hint="cs"/>
          <w:rtl/>
        </w:rPr>
        <w:t>ل</w:t>
      </w:r>
      <w:r>
        <w:rPr>
          <w:rtl/>
        </w:rPr>
        <w:t>عدم توفر معلومات إحصائية عن جريمة الاتجار بالأشخاص. (المادة 8)</w:t>
      </w:r>
    </w:p>
    <w:p w:rsidR="00384023" w:rsidRPr="00B04B81" w:rsidRDefault="00384023" w:rsidP="00B04B81">
      <w:pPr>
        <w:pStyle w:val="SingleTxtGA"/>
        <w:rPr>
          <w:b/>
          <w:bCs/>
          <w:rtl/>
        </w:rPr>
      </w:pPr>
      <w:r w:rsidRPr="00B04B81">
        <w:rPr>
          <w:b/>
          <w:bCs/>
          <w:rtl/>
        </w:rPr>
        <w:tab/>
      </w:r>
      <w:r w:rsidR="00E66AE7" w:rsidRPr="00B04B81">
        <w:rPr>
          <w:b/>
          <w:bCs/>
          <w:rtl/>
        </w:rPr>
        <w:t xml:space="preserve">ينبغي للدولة </w:t>
      </w:r>
      <w:r w:rsidRPr="00B04B81">
        <w:rPr>
          <w:b/>
          <w:bCs/>
          <w:rtl/>
        </w:rPr>
        <w:t xml:space="preserve">الطرف أن تسنّ تشريعات لمكافحة الاتجار بالأشخاص، مع ضمان </w:t>
      </w:r>
      <w:r w:rsidR="001B29BE" w:rsidRPr="00B04B81">
        <w:rPr>
          <w:rFonts w:hint="cs"/>
          <w:b/>
          <w:bCs/>
          <w:rtl/>
        </w:rPr>
        <w:t xml:space="preserve">مطابقتها الكاملة </w:t>
      </w:r>
      <w:r w:rsidRPr="00B04B81">
        <w:rPr>
          <w:b/>
          <w:bCs/>
          <w:rtl/>
        </w:rPr>
        <w:t>لمبادئ العهد. و</w:t>
      </w:r>
      <w:r w:rsidR="00E66AE7" w:rsidRPr="00B04B81">
        <w:rPr>
          <w:b/>
          <w:bCs/>
          <w:rtl/>
        </w:rPr>
        <w:t xml:space="preserve">ينبغي </w:t>
      </w:r>
      <w:r w:rsidR="001B29BE" w:rsidRPr="00B04B81">
        <w:rPr>
          <w:rFonts w:hint="cs"/>
          <w:b/>
          <w:bCs/>
          <w:rtl/>
        </w:rPr>
        <w:t xml:space="preserve">لها </w:t>
      </w:r>
      <w:r w:rsidRPr="00B04B81">
        <w:rPr>
          <w:b/>
          <w:bCs/>
          <w:rtl/>
        </w:rPr>
        <w:t>أن تُنشئ قاعدة بيانات رسمية بشأن عدد حالات الاتجار بالأشخاص، وخصائصها، وكيفية تعامل السلطات القضائية معها، وسبل الانتصاف وأشكال الجبر المتاحة للضحايا.</w:t>
      </w:r>
    </w:p>
    <w:p w:rsidR="00384023" w:rsidRDefault="00384023" w:rsidP="00081E38">
      <w:pPr>
        <w:pStyle w:val="SingleTxtGA"/>
        <w:rPr>
          <w:rtl/>
        </w:rPr>
      </w:pPr>
      <w:r>
        <w:rPr>
          <w:rtl/>
        </w:rPr>
        <w:t>18-</w:t>
      </w:r>
      <w:r>
        <w:rPr>
          <w:rtl/>
        </w:rPr>
        <w:tab/>
        <w:t xml:space="preserve">ويساور اللجنة قلق بشأن المعاملة التمييزية واللاإنسانية التي يعانيها </w:t>
      </w:r>
      <w:r w:rsidR="00CD56CC">
        <w:rPr>
          <w:rFonts w:hint="cs"/>
          <w:rtl/>
        </w:rPr>
        <w:t xml:space="preserve">خدم المنازل من </w:t>
      </w:r>
      <w:r>
        <w:rPr>
          <w:rtl/>
        </w:rPr>
        <w:t xml:space="preserve">العمال </w:t>
      </w:r>
      <w:r w:rsidR="00CD56CC">
        <w:rPr>
          <w:rtl/>
        </w:rPr>
        <w:t>المهاجر</w:t>
      </w:r>
      <w:r w:rsidR="00CD56CC">
        <w:rPr>
          <w:rFonts w:hint="cs"/>
          <w:rtl/>
        </w:rPr>
        <w:t>ي</w:t>
      </w:r>
      <w:r>
        <w:rPr>
          <w:rtl/>
        </w:rPr>
        <w:t>ن. ويتفاقم هذا الوضع في ظل نظام الكفالة الذي ي</w:t>
      </w:r>
      <w:r w:rsidR="00CD56CC">
        <w:rPr>
          <w:rtl/>
        </w:rPr>
        <w:t>رهن حصول</w:t>
      </w:r>
      <w:r w:rsidR="00CD56CC">
        <w:rPr>
          <w:rFonts w:hint="cs"/>
          <w:rtl/>
        </w:rPr>
        <w:t xml:space="preserve"> هؤلاء </w:t>
      </w:r>
      <w:r>
        <w:rPr>
          <w:rtl/>
        </w:rPr>
        <w:t xml:space="preserve">على تصاريح عمل </w:t>
      </w:r>
      <w:r w:rsidR="00CD56CC">
        <w:rPr>
          <w:rFonts w:hint="cs"/>
          <w:rtl/>
        </w:rPr>
        <w:t xml:space="preserve">والبقاء </w:t>
      </w:r>
      <w:r>
        <w:rPr>
          <w:rtl/>
        </w:rPr>
        <w:t xml:space="preserve">في البلد </w:t>
      </w:r>
      <w:r w:rsidR="00CD56CC">
        <w:rPr>
          <w:rFonts w:hint="cs"/>
          <w:rtl/>
        </w:rPr>
        <w:t xml:space="preserve">بموافقة </w:t>
      </w:r>
      <w:r>
        <w:rPr>
          <w:rtl/>
        </w:rPr>
        <w:t xml:space="preserve">أرباب </w:t>
      </w:r>
      <w:r w:rsidR="00CD56CC">
        <w:rPr>
          <w:rFonts w:hint="cs"/>
          <w:rtl/>
        </w:rPr>
        <w:t>ال</w:t>
      </w:r>
      <w:r>
        <w:rPr>
          <w:rtl/>
        </w:rPr>
        <w:t xml:space="preserve">عمل </w:t>
      </w:r>
      <w:r w:rsidR="00CD56CC">
        <w:rPr>
          <w:rFonts w:hint="cs"/>
          <w:rtl/>
        </w:rPr>
        <w:t>الخواص</w:t>
      </w:r>
      <w:r>
        <w:rPr>
          <w:rtl/>
        </w:rPr>
        <w:t xml:space="preserve">. كما يساور اللجنة قلق بشأن استبعاد </w:t>
      </w:r>
      <w:r w:rsidR="00CD56CC">
        <w:rPr>
          <w:rFonts w:hint="cs"/>
          <w:rtl/>
        </w:rPr>
        <w:t xml:space="preserve">خدم المنازل </w:t>
      </w:r>
      <w:r>
        <w:rPr>
          <w:rtl/>
        </w:rPr>
        <w:t xml:space="preserve">من قانون العمل في </w:t>
      </w:r>
      <w:r w:rsidR="00081E38">
        <w:rPr>
          <w:rtl/>
        </w:rPr>
        <w:t xml:space="preserve">القطاع الأهلي الصادر عام 2010، </w:t>
      </w:r>
      <w:r>
        <w:rPr>
          <w:rtl/>
        </w:rPr>
        <w:t>ولأن</w:t>
      </w:r>
      <w:r w:rsidR="00081E38">
        <w:rPr>
          <w:rFonts w:hint="cs"/>
          <w:rtl/>
        </w:rPr>
        <w:t> </w:t>
      </w:r>
      <w:r>
        <w:rPr>
          <w:rtl/>
        </w:rPr>
        <w:t>التعديلات التي أُدخلت على نظام الكفالة لم تضمن احترام حقوقهم الإنسانية الأساسية. وتأسف اللجنة أيضاً لافتقار الدولة الطرف إلى آليات رقابة فعالة تضمن احترام أرباب العمل للوائح التوظيف. (المادتان 7 و8)</w:t>
      </w:r>
    </w:p>
    <w:p w:rsidR="00384023" w:rsidRPr="009E7971" w:rsidRDefault="00384023" w:rsidP="00B04B81">
      <w:pPr>
        <w:pStyle w:val="SingleTxtGA"/>
        <w:rPr>
          <w:b/>
          <w:bCs/>
          <w:rtl/>
        </w:rPr>
      </w:pPr>
      <w:r w:rsidRPr="009E7971">
        <w:rPr>
          <w:b/>
          <w:bCs/>
          <w:rtl/>
        </w:rPr>
        <w:tab/>
      </w:r>
      <w:r w:rsidR="00E66AE7">
        <w:rPr>
          <w:b/>
          <w:bCs/>
          <w:rtl/>
        </w:rPr>
        <w:t xml:space="preserve">ينبغي للدولة </w:t>
      </w:r>
      <w:r w:rsidRPr="009E7971">
        <w:rPr>
          <w:b/>
          <w:bCs/>
          <w:rtl/>
        </w:rPr>
        <w:t>الطرف أن تتخلى عن نظام الكفالة و</w:t>
      </w:r>
      <w:r w:rsidR="00F66810">
        <w:rPr>
          <w:rFonts w:hint="cs"/>
          <w:b/>
          <w:bCs/>
          <w:rtl/>
        </w:rPr>
        <w:t xml:space="preserve">أن </w:t>
      </w:r>
      <w:r w:rsidRPr="009E7971">
        <w:rPr>
          <w:b/>
          <w:bCs/>
          <w:rtl/>
        </w:rPr>
        <w:t xml:space="preserve">تضع إطاراً تشريعياً يكفل احترام حقوق </w:t>
      </w:r>
      <w:r w:rsidR="00F66810">
        <w:rPr>
          <w:rFonts w:hint="cs"/>
          <w:b/>
          <w:bCs/>
          <w:rtl/>
        </w:rPr>
        <w:t xml:space="preserve">خدم المنازل من العمال </w:t>
      </w:r>
      <w:r w:rsidRPr="009E7971">
        <w:rPr>
          <w:b/>
          <w:bCs/>
          <w:rtl/>
        </w:rPr>
        <w:t xml:space="preserve">المهاجرين. </w:t>
      </w:r>
      <w:r w:rsidR="00F66810">
        <w:rPr>
          <w:rFonts w:hint="cs"/>
          <w:b/>
          <w:bCs/>
          <w:rtl/>
        </w:rPr>
        <w:t>و</w:t>
      </w:r>
      <w:r w:rsidR="00E66AE7">
        <w:rPr>
          <w:b/>
          <w:bCs/>
          <w:rtl/>
        </w:rPr>
        <w:t xml:space="preserve">ينبغي </w:t>
      </w:r>
      <w:r w:rsidR="00F66810">
        <w:rPr>
          <w:rFonts w:hint="cs"/>
          <w:b/>
          <w:bCs/>
          <w:rtl/>
        </w:rPr>
        <w:t xml:space="preserve">لها أيضاً </w:t>
      </w:r>
      <w:r w:rsidRPr="009E7971">
        <w:rPr>
          <w:b/>
          <w:bCs/>
          <w:rtl/>
        </w:rPr>
        <w:t>أن تُنشئ آليةً تراقب بفعالية مدى احترام أرباب العمل للتشريعات واللوائح</w:t>
      </w:r>
      <w:r w:rsidR="00B04B81">
        <w:rPr>
          <w:rFonts w:hint="cs"/>
          <w:b/>
          <w:bCs/>
          <w:rtl/>
        </w:rPr>
        <w:t>،</w:t>
      </w:r>
      <w:r w:rsidRPr="009E7971">
        <w:rPr>
          <w:b/>
          <w:bCs/>
          <w:rtl/>
        </w:rPr>
        <w:t xml:space="preserve"> و</w:t>
      </w:r>
      <w:r w:rsidR="00F66810">
        <w:rPr>
          <w:rFonts w:hint="cs"/>
          <w:b/>
          <w:bCs/>
          <w:rtl/>
        </w:rPr>
        <w:t xml:space="preserve">أن </w:t>
      </w:r>
      <w:r w:rsidR="00F66810">
        <w:rPr>
          <w:b/>
          <w:bCs/>
          <w:rtl/>
        </w:rPr>
        <w:t>تحقق في انتهاكاته</w:t>
      </w:r>
      <w:r w:rsidR="00F66810">
        <w:rPr>
          <w:rFonts w:hint="cs"/>
          <w:b/>
          <w:bCs/>
          <w:rtl/>
        </w:rPr>
        <w:t>م</w:t>
      </w:r>
      <w:r w:rsidRPr="009E7971">
        <w:rPr>
          <w:b/>
          <w:bCs/>
          <w:rtl/>
        </w:rPr>
        <w:t xml:space="preserve"> وتعاقب عليها</w:t>
      </w:r>
      <w:r w:rsidR="00F66810">
        <w:rPr>
          <w:rFonts w:hint="cs"/>
          <w:b/>
          <w:bCs/>
          <w:rtl/>
        </w:rPr>
        <w:t xml:space="preserve">، وألا تعتمد هذه الآلية اعتماداً شديداً </w:t>
      </w:r>
      <w:r w:rsidR="00F66810">
        <w:rPr>
          <w:b/>
          <w:bCs/>
          <w:rtl/>
        </w:rPr>
        <w:t xml:space="preserve">على مبادرة العمال أنفسهم </w:t>
      </w:r>
      <w:r w:rsidR="00F66810">
        <w:rPr>
          <w:rFonts w:hint="cs"/>
          <w:b/>
          <w:bCs/>
          <w:rtl/>
        </w:rPr>
        <w:t>ل</w:t>
      </w:r>
      <w:r w:rsidRPr="009E7971">
        <w:rPr>
          <w:b/>
          <w:bCs/>
          <w:rtl/>
        </w:rPr>
        <w:t xml:space="preserve">لإبلاغ </w:t>
      </w:r>
      <w:r w:rsidR="00F66810">
        <w:rPr>
          <w:rFonts w:hint="cs"/>
          <w:b/>
          <w:bCs/>
          <w:rtl/>
        </w:rPr>
        <w:t>عن هذه الانتهاكات</w:t>
      </w:r>
      <w:r w:rsidRPr="009E7971">
        <w:rPr>
          <w:b/>
          <w:bCs/>
          <w:rtl/>
        </w:rPr>
        <w:t>.</w:t>
      </w:r>
    </w:p>
    <w:p w:rsidR="00384023" w:rsidRDefault="009E7971" w:rsidP="00354CC7">
      <w:pPr>
        <w:pStyle w:val="SingleTxtGA"/>
        <w:rPr>
          <w:rtl/>
        </w:rPr>
      </w:pPr>
      <w:r>
        <w:rPr>
          <w:rtl/>
        </w:rPr>
        <w:t>19-</w:t>
      </w:r>
      <w:r>
        <w:rPr>
          <w:rFonts w:hint="cs"/>
          <w:rtl/>
        </w:rPr>
        <w:tab/>
      </w:r>
      <w:r w:rsidR="00384023">
        <w:rPr>
          <w:rtl/>
        </w:rPr>
        <w:t>ويساور اللجنة قلق إزاء إمكانية بقاء الشخص المحتجَز لدى الشرطة مدة أربعة أيام قبل عرضه على موظف التحقيقات و</w:t>
      </w:r>
      <w:r w:rsidR="00354CC7">
        <w:rPr>
          <w:rFonts w:hint="cs"/>
          <w:rtl/>
        </w:rPr>
        <w:t xml:space="preserve">إزاء </w:t>
      </w:r>
      <w:r w:rsidR="00384023">
        <w:rPr>
          <w:rtl/>
        </w:rPr>
        <w:t xml:space="preserve">إمكانية تمديد هذه الفترة لتصل إلى 21 يوماً. ويساورها قلق أيضاً بشأن ما وردها من </w:t>
      </w:r>
      <w:r w:rsidR="00354CC7">
        <w:rPr>
          <w:rFonts w:hint="cs"/>
          <w:rtl/>
        </w:rPr>
        <w:t xml:space="preserve">ادعاءات تتحدث عن عدم </w:t>
      </w:r>
      <w:r w:rsidR="00384023">
        <w:rPr>
          <w:rtl/>
        </w:rPr>
        <w:t xml:space="preserve">إمكانية الشخص المحتجَز فوراً </w:t>
      </w:r>
      <w:r w:rsidR="00354CC7">
        <w:rPr>
          <w:rFonts w:hint="cs"/>
          <w:rtl/>
        </w:rPr>
        <w:t xml:space="preserve">من </w:t>
      </w:r>
      <w:r w:rsidR="00354CC7">
        <w:rPr>
          <w:rtl/>
        </w:rPr>
        <w:t xml:space="preserve">الاستعانة </w:t>
      </w:r>
      <w:r w:rsidR="00384023">
        <w:rPr>
          <w:rtl/>
        </w:rPr>
        <w:t xml:space="preserve">بمحامٍ والاتصال بأسرته. (المادة 9) </w:t>
      </w:r>
    </w:p>
    <w:p w:rsidR="00384023" w:rsidRPr="009E7971" w:rsidRDefault="00384023" w:rsidP="00DF34A1">
      <w:pPr>
        <w:pStyle w:val="SingleTxtGA"/>
        <w:rPr>
          <w:rFonts w:hint="cs"/>
          <w:b/>
          <w:bCs/>
          <w:rtl/>
        </w:rPr>
      </w:pPr>
      <w:r w:rsidRPr="009E7971">
        <w:rPr>
          <w:b/>
          <w:bCs/>
          <w:rtl/>
        </w:rPr>
        <w:tab/>
      </w:r>
      <w:r w:rsidR="00E66AE7">
        <w:rPr>
          <w:b/>
          <w:bCs/>
          <w:rtl/>
        </w:rPr>
        <w:t xml:space="preserve">ينبغي للدولة </w:t>
      </w:r>
      <w:r w:rsidRPr="009E7971">
        <w:rPr>
          <w:b/>
          <w:bCs/>
          <w:rtl/>
        </w:rPr>
        <w:t>الطرف أن تعتمد تشريعات ت</w:t>
      </w:r>
      <w:r w:rsidR="00354CC7">
        <w:rPr>
          <w:b/>
          <w:bCs/>
          <w:rtl/>
        </w:rPr>
        <w:t>كفل لأي شخص</w:t>
      </w:r>
      <w:r w:rsidR="00354CC7">
        <w:rPr>
          <w:rFonts w:hint="cs"/>
          <w:b/>
          <w:bCs/>
          <w:rtl/>
        </w:rPr>
        <w:t xml:space="preserve"> أُلقي عليه </w:t>
      </w:r>
      <w:r w:rsidRPr="009E7971">
        <w:rPr>
          <w:b/>
          <w:bCs/>
          <w:rtl/>
        </w:rPr>
        <w:t xml:space="preserve">القبض أو </w:t>
      </w:r>
      <w:r w:rsidR="00B7036E">
        <w:rPr>
          <w:rFonts w:hint="cs"/>
          <w:b/>
          <w:bCs/>
          <w:rtl/>
        </w:rPr>
        <w:t xml:space="preserve">احتُجز </w:t>
      </w:r>
      <w:r w:rsidRPr="009E7971">
        <w:rPr>
          <w:b/>
          <w:bCs/>
          <w:rtl/>
        </w:rPr>
        <w:t xml:space="preserve">بتهمة جنائية المثول أمام قاضٍ في غضون 48 ساعة. كما </w:t>
      </w:r>
      <w:r w:rsidR="00E66AE7">
        <w:rPr>
          <w:b/>
          <w:bCs/>
          <w:rtl/>
        </w:rPr>
        <w:t xml:space="preserve">ينبغي للدولة </w:t>
      </w:r>
      <w:r w:rsidRPr="009E7971">
        <w:rPr>
          <w:b/>
          <w:bCs/>
          <w:rtl/>
        </w:rPr>
        <w:t>الطرف أن ت</w:t>
      </w:r>
      <w:r w:rsidR="00B7036E">
        <w:rPr>
          <w:b/>
          <w:bCs/>
          <w:rtl/>
        </w:rPr>
        <w:t xml:space="preserve">ضمن مواءمة جميع الجوانب الأخرى </w:t>
      </w:r>
      <w:r w:rsidR="00B7036E">
        <w:rPr>
          <w:rFonts w:hint="cs"/>
          <w:b/>
          <w:bCs/>
          <w:rtl/>
        </w:rPr>
        <w:t xml:space="preserve">من </w:t>
      </w:r>
      <w:r w:rsidRPr="009E7971">
        <w:rPr>
          <w:b/>
          <w:bCs/>
          <w:rtl/>
        </w:rPr>
        <w:t xml:space="preserve">قوانينها وممارساتها المتعلقة بالاحتجاز على ذمة المحاكمة مع مقتضيات المادة 9 من العهد، </w:t>
      </w:r>
      <w:r w:rsidR="00B7036E">
        <w:rPr>
          <w:rFonts w:hint="cs"/>
          <w:b/>
          <w:bCs/>
          <w:rtl/>
        </w:rPr>
        <w:t xml:space="preserve">ومن ذلك بتمكين </w:t>
      </w:r>
      <w:r w:rsidRPr="009E7971">
        <w:rPr>
          <w:b/>
          <w:bCs/>
          <w:rtl/>
        </w:rPr>
        <w:t xml:space="preserve">الأشخاص </w:t>
      </w:r>
      <w:r w:rsidRPr="00DF34A1">
        <w:rPr>
          <w:b/>
          <w:bCs/>
          <w:rtl/>
        </w:rPr>
        <w:t xml:space="preserve">المحتجزين فوراً </w:t>
      </w:r>
      <w:r w:rsidR="00DF34A1" w:rsidRPr="00DF34A1">
        <w:rPr>
          <w:rFonts w:hint="cs"/>
          <w:b/>
          <w:bCs/>
          <w:rtl/>
        </w:rPr>
        <w:t xml:space="preserve">من إمكانية الاستعانة </w:t>
      </w:r>
      <w:r w:rsidRPr="00DF34A1">
        <w:rPr>
          <w:b/>
          <w:bCs/>
          <w:rtl/>
        </w:rPr>
        <w:t xml:space="preserve">بمحامين </w:t>
      </w:r>
      <w:r w:rsidR="00B7036E" w:rsidRPr="00DF34A1">
        <w:rPr>
          <w:rFonts w:hint="cs"/>
          <w:b/>
          <w:bCs/>
          <w:rtl/>
        </w:rPr>
        <w:t>ول</w:t>
      </w:r>
      <w:r w:rsidR="009E7971" w:rsidRPr="00DF34A1">
        <w:rPr>
          <w:b/>
          <w:bCs/>
          <w:rtl/>
        </w:rPr>
        <w:t>اتصالهم بأسرهم.</w:t>
      </w:r>
    </w:p>
    <w:p w:rsidR="00384023" w:rsidRDefault="00384023" w:rsidP="00B7036E">
      <w:pPr>
        <w:pStyle w:val="SingleTxtGA"/>
        <w:rPr>
          <w:rtl/>
        </w:rPr>
      </w:pPr>
      <w:r>
        <w:rPr>
          <w:rtl/>
        </w:rPr>
        <w:t>20-</w:t>
      </w:r>
      <w:r>
        <w:rPr>
          <w:rtl/>
        </w:rPr>
        <w:tab/>
        <w:t>ويساور اللجنة قلق بشأن عدم تحديد مدة قصوى لاحتجاز الأشخاص في انتظار ترحيلهم، وعدم توفر سبل انتصاف قضائية تمكِّن هؤلاء الأشخاص من التماس إعادة النظر في مدى قانونية احتجازهم. (المادة 9)</w:t>
      </w:r>
    </w:p>
    <w:p w:rsidR="00384023" w:rsidRPr="009E7971" w:rsidRDefault="00384023" w:rsidP="00B7036E">
      <w:pPr>
        <w:pStyle w:val="SingleTxtGA"/>
        <w:rPr>
          <w:b/>
          <w:bCs/>
          <w:rtl/>
        </w:rPr>
      </w:pPr>
      <w:r w:rsidRPr="009E7971">
        <w:rPr>
          <w:b/>
          <w:bCs/>
          <w:rtl/>
        </w:rPr>
        <w:tab/>
      </w:r>
      <w:r w:rsidR="00E66AE7">
        <w:rPr>
          <w:b/>
          <w:bCs/>
          <w:rtl/>
        </w:rPr>
        <w:t xml:space="preserve">ينبغي للدولة </w:t>
      </w:r>
      <w:r w:rsidRPr="009E7971">
        <w:rPr>
          <w:b/>
          <w:bCs/>
          <w:rtl/>
        </w:rPr>
        <w:t>الطرف أن تضمن</w:t>
      </w:r>
      <w:r w:rsidR="00B7036E">
        <w:rPr>
          <w:rFonts w:hint="cs"/>
          <w:b/>
          <w:bCs/>
          <w:rtl/>
        </w:rPr>
        <w:t xml:space="preserve"> عدم تجاوز</w:t>
      </w:r>
      <w:r w:rsidRPr="009E7971">
        <w:rPr>
          <w:b/>
          <w:bCs/>
          <w:rtl/>
        </w:rPr>
        <w:t xml:space="preserve"> احتجاز الأشخاص الذين هم في انتظار الترحيل فترة معقولة من الزمن، وتوفير سبل انتصاف قضائية لإعادة النظر في مدى قانونية احتجازهم. </w:t>
      </w:r>
    </w:p>
    <w:p w:rsidR="00384023" w:rsidRDefault="00384023" w:rsidP="00515BA0">
      <w:pPr>
        <w:pStyle w:val="SingleTxtGA"/>
        <w:rPr>
          <w:rtl/>
        </w:rPr>
      </w:pPr>
      <w:r>
        <w:rPr>
          <w:rtl/>
        </w:rPr>
        <w:t>21-</w:t>
      </w:r>
      <w:r>
        <w:rPr>
          <w:rtl/>
        </w:rPr>
        <w:tab/>
        <w:t>ويساور اللجنة قلق بشأن ما يُدّعى من تعرّض المحتجزين لدى الشرطة وفي مراكز الاحتجاز لممارسات تعذيب ومعاملة لا</w:t>
      </w:r>
      <w:r w:rsidR="00515BA0">
        <w:rPr>
          <w:rFonts w:hint="cs"/>
          <w:rtl/>
        </w:rPr>
        <w:t xml:space="preserve"> </w:t>
      </w:r>
      <w:r>
        <w:rPr>
          <w:rtl/>
        </w:rPr>
        <w:t xml:space="preserve">إنسانية أو مهينة. (المادتان 7 و10) </w:t>
      </w:r>
    </w:p>
    <w:p w:rsidR="00384023" w:rsidRPr="009E7971" w:rsidRDefault="00384023" w:rsidP="00B04B81">
      <w:pPr>
        <w:pStyle w:val="SingleTxtGA"/>
        <w:rPr>
          <w:rFonts w:hint="cs"/>
          <w:b/>
          <w:bCs/>
          <w:rtl/>
        </w:rPr>
      </w:pPr>
      <w:r w:rsidRPr="009E7971">
        <w:rPr>
          <w:b/>
          <w:bCs/>
          <w:rtl/>
        </w:rPr>
        <w:tab/>
      </w:r>
      <w:r w:rsidR="00E66AE7">
        <w:rPr>
          <w:b/>
          <w:bCs/>
          <w:rtl/>
        </w:rPr>
        <w:t xml:space="preserve">ينبغي للدولة </w:t>
      </w:r>
      <w:r w:rsidRPr="009E7971">
        <w:rPr>
          <w:b/>
          <w:bCs/>
          <w:rtl/>
        </w:rPr>
        <w:t>الطرف أن تضمن التحقيق المستقل والعاجل مع موظفي الدولة المسؤولين عن ما يُدّعى من أفعال تعذيب ومعاملة لا إنسانية أو مهينة ومقاضاتهم، وأن تمنح ضحايا هذه الأفعال ت</w:t>
      </w:r>
      <w:r w:rsidR="00F8217F">
        <w:rPr>
          <w:b/>
          <w:bCs/>
          <w:rtl/>
        </w:rPr>
        <w:t xml:space="preserve">عويضات. </w:t>
      </w:r>
      <w:r w:rsidR="00F8217F">
        <w:rPr>
          <w:rFonts w:hint="cs"/>
          <w:b/>
          <w:bCs/>
          <w:rtl/>
        </w:rPr>
        <w:t>و</w:t>
      </w:r>
      <w:r w:rsidR="00E66AE7">
        <w:rPr>
          <w:b/>
          <w:bCs/>
          <w:rtl/>
        </w:rPr>
        <w:t xml:space="preserve">ينبغي </w:t>
      </w:r>
      <w:r w:rsidR="00F8217F">
        <w:rPr>
          <w:rFonts w:hint="cs"/>
          <w:b/>
          <w:bCs/>
          <w:rtl/>
        </w:rPr>
        <w:t xml:space="preserve">لها أيضاً </w:t>
      </w:r>
      <w:r w:rsidR="00F8217F">
        <w:rPr>
          <w:b/>
          <w:bCs/>
          <w:rtl/>
        </w:rPr>
        <w:t xml:space="preserve">أن تكفل </w:t>
      </w:r>
      <w:r w:rsidRPr="009E7971">
        <w:rPr>
          <w:b/>
          <w:bCs/>
          <w:rtl/>
        </w:rPr>
        <w:t>احترام قواعد الأمم المتحدة النموذجية الدنيا لمعاملة السجناء</w:t>
      </w:r>
      <w:r w:rsidR="0013110D">
        <w:rPr>
          <w:rFonts w:hint="cs"/>
          <w:b/>
          <w:bCs/>
          <w:rtl/>
        </w:rPr>
        <w:t xml:space="preserve"> احتراماً كاملاً</w:t>
      </w:r>
      <w:r w:rsidR="00F21443">
        <w:rPr>
          <w:b/>
          <w:bCs/>
          <w:rtl/>
        </w:rPr>
        <w:t>.</w:t>
      </w:r>
    </w:p>
    <w:p w:rsidR="00384023" w:rsidRDefault="009E7971" w:rsidP="00594E3E">
      <w:pPr>
        <w:pStyle w:val="SingleTxtGA"/>
        <w:rPr>
          <w:rtl/>
        </w:rPr>
      </w:pPr>
      <w:r>
        <w:rPr>
          <w:rtl/>
        </w:rPr>
        <w:t>22-</w:t>
      </w:r>
      <w:r>
        <w:rPr>
          <w:rtl/>
        </w:rPr>
        <w:tab/>
      </w:r>
      <w:r w:rsidR="00384023">
        <w:rPr>
          <w:rtl/>
        </w:rPr>
        <w:t xml:space="preserve">ويساور اللجنة قلق لعدم اعتراف الدولة الطرف بحق الاستنكاف الضميري من أداء الخدمة العسكرية وعدم اعتزامها اعتماد أحكام </w:t>
      </w:r>
      <w:r w:rsidR="00594E3E">
        <w:rPr>
          <w:rFonts w:hint="cs"/>
          <w:rtl/>
        </w:rPr>
        <w:t>لإعمال</w:t>
      </w:r>
      <w:r w:rsidR="00384023">
        <w:rPr>
          <w:rtl/>
        </w:rPr>
        <w:t xml:space="preserve"> هذا الحق. (المادة 18)</w:t>
      </w:r>
    </w:p>
    <w:p w:rsidR="00384023" w:rsidRPr="009E7971" w:rsidRDefault="00384023" w:rsidP="00D761DE">
      <w:pPr>
        <w:pStyle w:val="SingleTxtGA"/>
        <w:rPr>
          <w:rFonts w:hint="cs"/>
          <w:b/>
          <w:bCs/>
          <w:rtl/>
        </w:rPr>
      </w:pPr>
      <w:r w:rsidRPr="009E7971">
        <w:rPr>
          <w:b/>
          <w:bCs/>
          <w:rtl/>
        </w:rPr>
        <w:tab/>
      </w:r>
      <w:r w:rsidR="00E66AE7">
        <w:rPr>
          <w:b/>
          <w:bCs/>
          <w:rtl/>
        </w:rPr>
        <w:t xml:space="preserve">ينبغي للدولة </w:t>
      </w:r>
      <w:r w:rsidRPr="009E7971">
        <w:rPr>
          <w:b/>
          <w:bCs/>
          <w:rtl/>
        </w:rPr>
        <w:t xml:space="preserve">الطرف أن تعتمد تشريعات تعترف بحق الاستنكاف الضميري من أداء الخدمة العسكرية، </w:t>
      </w:r>
      <w:r w:rsidR="00D761DE">
        <w:rPr>
          <w:rFonts w:hint="cs"/>
          <w:b/>
          <w:bCs/>
          <w:rtl/>
        </w:rPr>
        <w:t>وتوجد</w:t>
      </w:r>
      <w:r w:rsidRPr="009E7971">
        <w:rPr>
          <w:b/>
          <w:bCs/>
          <w:rtl/>
        </w:rPr>
        <w:t xml:space="preserve"> بديلاً للخدمة ا</w:t>
      </w:r>
      <w:r w:rsidR="009E7971">
        <w:rPr>
          <w:b/>
          <w:bCs/>
          <w:rtl/>
        </w:rPr>
        <w:t xml:space="preserve">لعسكرية </w:t>
      </w:r>
      <w:r w:rsidR="00D761DE">
        <w:rPr>
          <w:rFonts w:hint="cs"/>
          <w:b/>
          <w:bCs/>
          <w:rtl/>
        </w:rPr>
        <w:t xml:space="preserve">لا يكون </w:t>
      </w:r>
      <w:r w:rsidR="009E7971">
        <w:rPr>
          <w:b/>
          <w:bCs/>
          <w:rtl/>
        </w:rPr>
        <w:t>تأديبي</w:t>
      </w:r>
      <w:r w:rsidR="00D761DE">
        <w:rPr>
          <w:rFonts w:hint="cs"/>
          <w:b/>
          <w:bCs/>
          <w:rtl/>
        </w:rPr>
        <w:t>اً</w:t>
      </w:r>
      <w:r w:rsidR="009E7971">
        <w:rPr>
          <w:b/>
          <w:bCs/>
          <w:rtl/>
        </w:rPr>
        <w:t xml:space="preserve"> ولا تمييزي</w:t>
      </w:r>
      <w:r w:rsidR="00D761DE">
        <w:rPr>
          <w:rFonts w:hint="cs"/>
          <w:b/>
          <w:bCs/>
          <w:rtl/>
        </w:rPr>
        <w:t>اً</w:t>
      </w:r>
      <w:r w:rsidR="009E7971">
        <w:rPr>
          <w:b/>
          <w:bCs/>
          <w:rtl/>
        </w:rPr>
        <w:t>.</w:t>
      </w:r>
    </w:p>
    <w:p w:rsidR="00384023" w:rsidRDefault="009E7971" w:rsidP="00384023">
      <w:pPr>
        <w:pStyle w:val="SingleTxtGA"/>
        <w:rPr>
          <w:rtl/>
        </w:rPr>
      </w:pPr>
      <w:r>
        <w:rPr>
          <w:rtl/>
        </w:rPr>
        <w:t>23-</w:t>
      </w:r>
      <w:r>
        <w:rPr>
          <w:rtl/>
        </w:rPr>
        <w:tab/>
      </w:r>
      <w:r w:rsidR="00384023">
        <w:rPr>
          <w:rtl/>
        </w:rPr>
        <w:t>ويساور اللجنة قلق بشأن ممارسة الدولة الطرف التمييز بسبب الدين، ويشمل ذلك عدم أهلية غير المسلمين للتجنّس، وفرض قيود على بناء دور العبادة وإمكانية الوصول إليها، وخاصةً للهندوس والسيخ والبوذيين. (المادتان 18 و26)</w:t>
      </w:r>
    </w:p>
    <w:p w:rsidR="00384023" w:rsidRPr="009E7971" w:rsidRDefault="00384023" w:rsidP="00515BA0">
      <w:pPr>
        <w:pStyle w:val="SingleTxtGA"/>
        <w:rPr>
          <w:rFonts w:hint="cs"/>
          <w:b/>
          <w:bCs/>
          <w:rtl/>
        </w:rPr>
      </w:pPr>
      <w:r w:rsidRPr="009E7971">
        <w:rPr>
          <w:b/>
          <w:bCs/>
          <w:rtl/>
        </w:rPr>
        <w:tab/>
      </w:r>
      <w:r w:rsidR="00E66AE7">
        <w:rPr>
          <w:b/>
          <w:bCs/>
          <w:rtl/>
        </w:rPr>
        <w:t xml:space="preserve">ينبغي للدولة </w:t>
      </w:r>
      <w:r w:rsidRPr="009E7971">
        <w:rPr>
          <w:b/>
          <w:bCs/>
          <w:rtl/>
        </w:rPr>
        <w:t>الطرف أن تكفل لجميع الأشخاص الحق في ممارسة شعائرهم الدينية</w:t>
      </w:r>
      <w:r w:rsidR="00515BA0">
        <w:rPr>
          <w:rFonts w:hint="cs"/>
          <w:b/>
          <w:bCs/>
          <w:rtl/>
        </w:rPr>
        <w:t> </w:t>
      </w:r>
      <w:r w:rsidRPr="009E7971">
        <w:rPr>
          <w:b/>
          <w:bCs/>
          <w:rtl/>
        </w:rPr>
        <w:t xml:space="preserve">أو معتقداتهم في دور عبادة ملائمة، والحق في </w:t>
      </w:r>
      <w:r w:rsidR="00411711">
        <w:rPr>
          <w:rFonts w:hint="cs"/>
          <w:b/>
          <w:bCs/>
          <w:rtl/>
        </w:rPr>
        <w:t xml:space="preserve">أهلية طلب الجنسية </w:t>
      </w:r>
      <w:r w:rsidR="009E7971">
        <w:rPr>
          <w:b/>
          <w:bCs/>
          <w:rtl/>
        </w:rPr>
        <w:t>دون تمييز على أساس الدين.</w:t>
      </w:r>
    </w:p>
    <w:p w:rsidR="00384023" w:rsidRPr="00BA7FF4" w:rsidRDefault="00384023" w:rsidP="00291A70">
      <w:pPr>
        <w:pStyle w:val="SingleTxtGA"/>
        <w:rPr>
          <w:rtl/>
        </w:rPr>
      </w:pPr>
      <w:r w:rsidRPr="00BA7FF4">
        <w:rPr>
          <w:rtl/>
        </w:rPr>
        <w:t>24-</w:t>
      </w:r>
      <w:r w:rsidRPr="00BA7FF4">
        <w:rPr>
          <w:rtl/>
        </w:rPr>
        <w:tab/>
        <w:t xml:space="preserve">ويساور اللجنة قلق بشأن ارتفاع عدد القضايا التي </w:t>
      </w:r>
      <w:r w:rsidR="00411711" w:rsidRPr="00BA7FF4">
        <w:rPr>
          <w:rFonts w:hint="cs"/>
          <w:rtl/>
        </w:rPr>
        <w:t xml:space="preserve">رفعت إلى </w:t>
      </w:r>
      <w:r w:rsidRPr="00BA7FF4">
        <w:rPr>
          <w:rtl/>
        </w:rPr>
        <w:t>المحاكم بموجب قوانين</w:t>
      </w:r>
      <w:r w:rsidR="00BA7FF4">
        <w:rPr>
          <w:rFonts w:hint="cs"/>
          <w:rtl/>
        </w:rPr>
        <w:t> </w:t>
      </w:r>
      <w:r w:rsidRPr="00BA7FF4">
        <w:rPr>
          <w:rtl/>
        </w:rPr>
        <w:t xml:space="preserve">التجديف، التي لا تتوافق مع أحكام العهد باستثناء </w:t>
      </w:r>
      <w:r w:rsidR="00411711" w:rsidRPr="00BA7FF4">
        <w:rPr>
          <w:rFonts w:hint="cs"/>
          <w:rtl/>
        </w:rPr>
        <w:t xml:space="preserve">ما كان في إطار </w:t>
      </w:r>
      <w:r w:rsidRPr="00BA7FF4">
        <w:rPr>
          <w:rtl/>
        </w:rPr>
        <w:t>العمل بالفقرة 3 من المادة</w:t>
      </w:r>
      <w:r w:rsidR="00411711" w:rsidRPr="00BA7FF4">
        <w:rPr>
          <w:rFonts w:hint="cs"/>
          <w:rtl/>
        </w:rPr>
        <w:t> </w:t>
      </w:r>
      <w:r w:rsidRPr="00BA7FF4">
        <w:rPr>
          <w:rtl/>
        </w:rPr>
        <w:t>19، و</w:t>
      </w:r>
      <w:r w:rsidR="00BA7FF4" w:rsidRPr="00BA7FF4">
        <w:rPr>
          <w:rFonts w:hint="cs"/>
          <w:rtl/>
        </w:rPr>
        <w:t xml:space="preserve">في </w:t>
      </w:r>
      <w:r w:rsidR="00B04B81">
        <w:rPr>
          <w:rFonts w:hint="cs"/>
          <w:rtl/>
        </w:rPr>
        <w:t>ال</w:t>
      </w:r>
      <w:r w:rsidR="00291A70">
        <w:rPr>
          <w:rtl/>
        </w:rPr>
        <w:t xml:space="preserve">ظروف </w:t>
      </w:r>
      <w:r w:rsidR="00B04B81">
        <w:rPr>
          <w:rFonts w:hint="cs"/>
          <w:rtl/>
        </w:rPr>
        <w:t>ال</w:t>
      </w:r>
      <w:r w:rsidRPr="00BA7FF4">
        <w:rPr>
          <w:rtl/>
        </w:rPr>
        <w:t>محد</w:t>
      </w:r>
      <w:r w:rsidR="00BA7FF4" w:rsidRPr="00BA7FF4">
        <w:rPr>
          <w:rFonts w:hint="cs"/>
          <w:rtl/>
        </w:rPr>
        <w:t>َّ</w:t>
      </w:r>
      <w:r w:rsidRPr="00BA7FF4">
        <w:rPr>
          <w:rtl/>
        </w:rPr>
        <w:t>دة المتوخّاة في الفقرة 2 من المادة 20 منه. (المواد 2 و18 و19 و26)</w:t>
      </w:r>
    </w:p>
    <w:p w:rsidR="00384023" w:rsidRPr="009E7971" w:rsidRDefault="00384023" w:rsidP="00B04B81">
      <w:pPr>
        <w:pStyle w:val="SingleTxtGA"/>
        <w:rPr>
          <w:b/>
          <w:bCs/>
          <w:rtl/>
        </w:rPr>
      </w:pPr>
      <w:r w:rsidRPr="009E7971">
        <w:rPr>
          <w:b/>
          <w:bCs/>
          <w:rtl/>
        </w:rPr>
        <w:tab/>
      </w:r>
      <w:r w:rsidR="00E66AE7">
        <w:rPr>
          <w:b/>
          <w:bCs/>
          <w:rtl/>
        </w:rPr>
        <w:t xml:space="preserve">ينبغي للدولة </w:t>
      </w:r>
      <w:r w:rsidRPr="009E7971">
        <w:rPr>
          <w:b/>
          <w:bCs/>
          <w:rtl/>
        </w:rPr>
        <w:t>الطرف أن تعيد النظر في تشريعاتها المتعلقة بالتجديف والقوانين المتصلة بذلك</w:t>
      </w:r>
      <w:r w:rsidR="00E420D9">
        <w:rPr>
          <w:rFonts w:hint="cs"/>
          <w:b/>
          <w:bCs/>
          <w:rtl/>
        </w:rPr>
        <w:t>،</w:t>
      </w:r>
      <w:r w:rsidRPr="009E7971">
        <w:rPr>
          <w:b/>
          <w:bCs/>
          <w:rtl/>
        </w:rPr>
        <w:t xml:space="preserve"> وفي تطبيقها </w:t>
      </w:r>
      <w:r w:rsidR="00291A70">
        <w:rPr>
          <w:rFonts w:hint="cs"/>
          <w:b/>
          <w:bCs/>
          <w:rtl/>
        </w:rPr>
        <w:t xml:space="preserve">بحيث تكون </w:t>
      </w:r>
      <w:r w:rsidRPr="009E7971">
        <w:rPr>
          <w:b/>
          <w:bCs/>
          <w:rtl/>
        </w:rPr>
        <w:t xml:space="preserve">هذه التشريعات والقوانين </w:t>
      </w:r>
      <w:r w:rsidR="00B04B81">
        <w:rPr>
          <w:rFonts w:hint="cs"/>
          <w:b/>
          <w:bCs/>
          <w:rtl/>
        </w:rPr>
        <w:t>منسجمة</w:t>
      </w:r>
      <w:r w:rsidR="00291A70">
        <w:rPr>
          <w:rFonts w:hint="cs"/>
          <w:b/>
          <w:bCs/>
          <w:rtl/>
        </w:rPr>
        <w:t xml:space="preserve"> تماماً مع </w:t>
      </w:r>
      <w:r w:rsidRPr="009E7971">
        <w:rPr>
          <w:b/>
          <w:bCs/>
          <w:rtl/>
        </w:rPr>
        <w:t xml:space="preserve">أحكام العهد، </w:t>
      </w:r>
      <w:r w:rsidR="00291A70">
        <w:rPr>
          <w:rFonts w:hint="cs"/>
          <w:b/>
          <w:bCs/>
          <w:rtl/>
        </w:rPr>
        <w:t xml:space="preserve">مراعية في ذلك </w:t>
      </w:r>
      <w:r w:rsidR="00291A70">
        <w:rPr>
          <w:b/>
          <w:bCs/>
          <w:rtl/>
        </w:rPr>
        <w:t xml:space="preserve">أن حظر مظاهر عدم احترام </w:t>
      </w:r>
      <w:r w:rsidRPr="009E7971">
        <w:rPr>
          <w:b/>
          <w:bCs/>
          <w:rtl/>
        </w:rPr>
        <w:t xml:space="preserve">دين </w:t>
      </w:r>
      <w:r w:rsidR="00291A70">
        <w:rPr>
          <w:rFonts w:hint="cs"/>
          <w:b/>
          <w:bCs/>
          <w:rtl/>
        </w:rPr>
        <w:t xml:space="preserve">من الأديان </w:t>
      </w:r>
      <w:r w:rsidRPr="009E7971">
        <w:rPr>
          <w:b/>
          <w:bCs/>
          <w:rtl/>
        </w:rPr>
        <w:t xml:space="preserve">أو </w:t>
      </w:r>
      <w:r w:rsidR="00291A70">
        <w:rPr>
          <w:rFonts w:hint="cs"/>
          <w:b/>
          <w:bCs/>
          <w:rtl/>
        </w:rPr>
        <w:t>نظام عقائدي ما</w:t>
      </w:r>
      <w:r w:rsidRPr="009E7971">
        <w:rPr>
          <w:b/>
          <w:bCs/>
          <w:rtl/>
        </w:rPr>
        <w:t xml:space="preserve">، بما في ذلك قوانين التجديف، لا يتوافق مع أحكام العهد، باستثناء </w:t>
      </w:r>
      <w:r w:rsidR="00291A70">
        <w:rPr>
          <w:rFonts w:hint="cs"/>
          <w:b/>
          <w:bCs/>
          <w:rtl/>
        </w:rPr>
        <w:t xml:space="preserve">ما كان في إطار </w:t>
      </w:r>
      <w:r w:rsidRPr="009E7971">
        <w:rPr>
          <w:b/>
          <w:bCs/>
          <w:rtl/>
        </w:rPr>
        <w:t>العمل بالفقرة 3 من المادة 19، و</w:t>
      </w:r>
      <w:r w:rsidR="00291A70">
        <w:rPr>
          <w:rFonts w:hint="cs"/>
          <w:b/>
          <w:bCs/>
          <w:rtl/>
        </w:rPr>
        <w:t xml:space="preserve">في </w:t>
      </w:r>
      <w:r w:rsidRPr="009E7971">
        <w:rPr>
          <w:b/>
          <w:bCs/>
          <w:rtl/>
        </w:rPr>
        <w:t>الظروف المحد</w:t>
      </w:r>
      <w:r w:rsidR="00E420D9">
        <w:rPr>
          <w:rFonts w:hint="cs"/>
          <w:b/>
          <w:bCs/>
          <w:rtl/>
        </w:rPr>
        <w:t>َّ</w:t>
      </w:r>
      <w:r w:rsidRPr="009E7971">
        <w:rPr>
          <w:b/>
          <w:bCs/>
          <w:rtl/>
        </w:rPr>
        <w:t>دة المتوخّاة في الفقرة 2 من المادة</w:t>
      </w:r>
      <w:r w:rsidR="00B04B81">
        <w:rPr>
          <w:rFonts w:hint="cs"/>
          <w:b/>
          <w:bCs/>
          <w:rtl/>
        </w:rPr>
        <w:t> </w:t>
      </w:r>
      <w:r w:rsidRPr="009E7971">
        <w:rPr>
          <w:b/>
          <w:bCs/>
          <w:rtl/>
        </w:rPr>
        <w:t>20 منه (الفقرة 48 من تعليق اللجنة العام رقم 34).</w:t>
      </w:r>
    </w:p>
    <w:p w:rsidR="00384023" w:rsidRDefault="00384023" w:rsidP="00F14AD5">
      <w:pPr>
        <w:pStyle w:val="SingleTxtGA"/>
        <w:rPr>
          <w:rtl/>
        </w:rPr>
      </w:pPr>
      <w:r>
        <w:rPr>
          <w:rtl/>
        </w:rPr>
        <w:t>25-</w:t>
      </w:r>
      <w:r>
        <w:rPr>
          <w:rtl/>
        </w:rPr>
        <w:tab/>
        <w:t xml:space="preserve">ويساور اللجنة قلق </w:t>
      </w:r>
      <w:r w:rsidR="00291A70">
        <w:rPr>
          <w:rFonts w:hint="cs"/>
          <w:rtl/>
        </w:rPr>
        <w:t xml:space="preserve">إزاء فرض </w:t>
      </w:r>
      <w:r>
        <w:rPr>
          <w:rtl/>
        </w:rPr>
        <w:t xml:space="preserve">قيود </w:t>
      </w:r>
      <w:r w:rsidR="00291A70">
        <w:rPr>
          <w:rFonts w:hint="cs"/>
          <w:rtl/>
        </w:rPr>
        <w:t xml:space="preserve">مفرطة </w:t>
      </w:r>
      <w:r>
        <w:rPr>
          <w:rtl/>
        </w:rPr>
        <w:t>على حرية التعبير في قانون الصحافة والنشر و</w:t>
      </w:r>
      <w:r w:rsidR="00291A70">
        <w:rPr>
          <w:rFonts w:hint="cs"/>
          <w:rtl/>
        </w:rPr>
        <w:t xml:space="preserve">في </w:t>
      </w:r>
      <w:r>
        <w:rPr>
          <w:rtl/>
        </w:rPr>
        <w:t xml:space="preserve">التشريعات </w:t>
      </w:r>
      <w:r w:rsidR="00291A70">
        <w:rPr>
          <w:rFonts w:hint="cs"/>
          <w:rtl/>
        </w:rPr>
        <w:t>ذات الصلة</w:t>
      </w:r>
      <w:r>
        <w:rPr>
          <w:rtl/>
        </w:rPr>
        <w:t>، بما في ذلك حظر توجيه النقد المشروع إلى الموظفين الحكوميين وغيرهم من الشخصيات العامة. كما يساورها قلق بشأن ا</w:t>
      </w:r>
      <w:r w:rsidR="00F14AD5">
        <w:rPr>
          <w:rFonts w:hint="cs"/>
          <w:rtl/>
        </w:rPr>
        <w:t>لا</w:t>
      </w:r>
      <w:r>
        <w:rPr>
          <w:rtl/>
        </w:rPr>
        <w:t xml:space="preserve">دعاءات </w:t>
      </w:r>
      <w:r w:rsidR="00F14AD5">
        <w:rPr>
          <w:rFonts w:hint="cs"/>
          <w:rtl/>
        </w:rPr>
        <w:t xml:space="preserve">التي تتحدث عن </w:t>
      </w:r>
      <w:r>
        <w:rPr>
          <w:rtl/>
        </w:rPr>
        <w:t xml:space="preserve">القبض على الأشخاص الذين يمارسون حقهم في حرية الرأي والتعبير عبر وسائط الإعلام وعبر الإنترنت واحتجازهم ومحاكمتهم وترحيلهم على نحو تعسفي. (المادة 19) </w:t>
      </w:r>
    </w:p>
    <w:p w:rsidR="00384023" w:rsidRPr="009E7971" w:rsidRDefault="009E7971" w:rsidP="00F14AD5">
      <w:pPr>
        <w:pStyle w:val="SingleTxtGA"/>
        <w:rPr>
          <w:b/>
          <w:bCs/>
          <w:rtl/>
        </w:rPr>
      </w:pPr>
      <w:r w:rsidRPr="009E7971">
        <w:rPr>
          <w:rFonts w:hint="cs"/>
          <w:b/>
          <w:bCs/>
          <w:rtl/>
        </w:rPr>
        <w:tab/>
      </w:r>
      <w:r w:rsidR="00E66AE7">
        <w:rPr>
          <w:b/>
          <w:bCs/>
          <w:rtl/>
        </w:rPr>
        <w:t xml:space="preserve">ينبغي للدولة </w:t>
      </w:r>
      <w:r w:rsidR="00384023" w:rsidRPr="009E7971">
        <w:rPr>
          <w:b/>
          <w:bCs/>
          <w:rtl/>
        </w:rPr>
        <w:t xml:space="preserve">الطرف أن تنقّح قانون الصحافة والنشر والقوانين </w:t>
      </w:r>
      <w:r w:rsidR="00F14AD5">
        <w:rPr>
          <w:rFonts w:hint="cs"/>
          <w:b/>
          <w:bCs/>
          <w:rtl/>
        </w:rPr>
        <w:t xml:space="preserve">ذات الصلة </w:t>
      </w:r>
      <w:r w:rsidR="00384023" w:rsidRPr="009E7971">
        <w:rPr>
          <w:b/>
          <w:bCs/>
          <w:rtl/>
        </w:rPr>
        <w:t>و</w:t>
      </w:r>
      <w:r w:rsidR="00F14AD5">
        <w:rPr>
          <w:b/>
          <w:bCs/>
          <w:rtl/>
        </w:rPr>
        <w:t>فقاً لتعليق اللجنة العام رقم 34</w:t>
      </w:r>
      <w:r w:rsidR="00384023" w:rsidRPr="009E7971">
        <w:rPr>
          <w:b/>
          <w:bCs/>
          <w:rtl/>
        </w:rPr>
        <w:t xml:space="preserve">(2011) كي تكفل للأشخاص كافة ممارسة حقهم في حرية الرأي والتعبير ممارسةً كاملة. </w:t>
      </w:r>
      <w:r w:rsidR="00F14AD5">
        <w:rPr>
          <w:rFonts w:hint="cs"/>
          <w:b/>
          <w:bCs/>
          <w:rtl/>
        </w:rPr>
        <w:t xml:space="preserve">وينبغي أيضاً </w:t>
      </w:r>
      <w:r w:rsidR="00384023" w:rsidRPr="009E7971">
        <w:rPr>
          <w:b/>
          <w:bCs/>
          <w:rtl/>
        </w:rPr>
        <w:t>أن تحمي تعددية وسائط الإعلام، و</w:t>
      </w:r>
      <w:r w:rsidR="00F14AD5">
        <w:rPr>
          <w:rFonts w:hint="cs"/>
          <w:b/>
          <w:bCs/>
          <w:rtl/>
        </w:rPr>
        <w:t xml:space="preserve">أن </w:t>
      </w:r>
      <w:r w:rsidR="00384023" w:rsidRPr="009E7971">
        <w:rPr>
          <w:b/>
          <w:bCs/>
          <w:rtl/>
        </w:rPr>
        <w:t>تنظر في عدم تجريم التشهير.</w:t>
      </w:r>
    </w:p>
    <w:p w:rsidR="00384023" w:rsidRDefault="00384023" w:rsidP="00F14AD5">
      <w:pPr>
        <w:pStyle w:val="SingleTxtGA"/>
        <w:rPr>
          <w:rtl/>
        </w:rPr>
      </w:pPr>
      <w:r>
        <w:rPr>
          <w:rtl/>
        </w:rPr>
        <w:t>26-</w:t>
      </w:r>
      <w:r>
        <w:rPr>
          <w:rtl/>
        </w:rPr>
        <w:tab/>
        <w:t>ويساور اللجنة قلق بشأن نظام تعيين القضاة من جانب أمير البلاد، كما أنها قلقة حيال تأثّر استقلال</w:t>
      </w:r>
      <w:r w:rsidR="00F14AD5">
        <w:rPr>
          <w:rFonts w:hint="cs"/>
          <w:rtl/>
        </w:rPr>
        <w:t>ية</w:t>
      </w:r>
      <w:r>
        <w:rPr>
          <w:rtl/>
        </w:rPr>
        <w:t xml:space="preserve"> القضاء </w:t>
      </w:r>
      <w:r w:rsidR="00F14AD5">
        <w:rPr>
          <w:rFonts w:hint="cs"/>
          <w:rtl/>
        </w:rPr>
        <w:t xml:space="preserve">بسبب </w:t>
      </w:r>
      <w:r>
        <w:rPr>
          <w:rtl/>
        </w:rPr>
        <w:t>تبعي</w:t>
      </w:r>
      <w:r w:rsidR="00F14AD5">
        <w:rPr>
          <w:rFonts w:hint="cs"/>
          <w:rtl/>
        </w:rPr>
        <w:t>ته الشديدة</w:t>
      </w:r>
      <w:r w:rsidR="00F14AD5">
        <w:rPr>
          <w:rtl/>
        </w:rPr>
        <w:t xml:space="preserve"> </w:t>
      </w:r>
      <w:r w:rsidR="00F14AD5">
        <w:rPr>
          <w:rFonts w:hint="cs"/>
          <w:rtl/>
        </w:rPr>
        <w:t>ل</w:t>
      </w:r>
      <w:r>
        <w:rPr>
          <w:rtl/>
        </w:rPr>
        <w:t xml:space="preserve">لمجلس الأعلى للقضاء </w:t>
      </w:r>
      <w:r w:rsidR="00F14AD5">
        <w:rPr>
          <w:rFonts w:hint="cs"/>
          <w:rtl/>
        </w:rPr>
        <w:t xml:space="preserve">التابع </w:t>
      </w:r>
      <w:r>
        <w:rPr>
          <w:rtl/>
        </w:rPr>
        <w:t>لوزارة العدل، وب</w:t>
      </w:r>
      <w:r w:rsidR="00F14AD5">
        <w:rPr>
          <w:rFonts w:hint="cs"/>
          <w:rtl/>
        </w:rPr>
        <w:t xml:space="preserve">سبب </w:t>
      </w:r>
      <w:r>
        <w:rPr>
          <w:rtl/>
        </w:rPr>
        <w:t>عدم وضوح مركز القضاة الأجانب المعيَّنين في الدولة الطرف و</w:t>
      </w:r>
      <w:r w:rsidR="00F14AD5">
        <w:rPr>
          <w:rFonts w:hint="cs"/>
          <w:rtl/>
        </w:rPr>
        <w:t xml:space="preserve">انعدام استقرارهم </w:t>
      </w:r>
      <w:r>
        <w:rPr>
          <w:rtl/>
        </w:rPr>
        <w:t xml:space="preserve">الوظيفي. (المادة 14) </w:t>
      </w:r>
    </w:p>
    <w:p w:rsidR="00384023" w:rsidRPr="009E7971" w:rsidRDefault="00384023" w:rsidP="00B04B81">
      <w:pPr>
        <w:pStyle w:val="SingleTxtGA"/>
        <w:rPr>
          <w:b/>
          <w:bCs/>
          <w:rtl/>
        </w:rPr>
      </w:pPr>
      <w:r w:rsidRPr="009E7971">
        <w:rPr>
          <w:b/>
          <w:bCs/>
          <w:rtl/>
        </w:rPr>
        <w:tab/>
      </w:r>
      <w:r w:rsidR="00E66AE7">
        <w:rPr>
          <w:b/>
          <w:bCs/>
          <w:rtl/>
        </w:rPr>
        <w:t xml:space="preserve">ينبغي للدولة </w:t>
      </w:r>
      <w:r w:rsidRPr="009E7971">
        <w:rPr>
          <w:b/>
          <w:bCs/>
          <w:rtl/>
        </w:rPr>
        <w:t>الطرف أن تكفل استقلال القضاء بإصلاح آليات تعيين القضاة وترقيتهم وتقييمهم، وإلغاء علاقة التبعية بين المجلس الأعلى للقضاء ووزارة العدل. و</w:t>
      </w:r>
      <w:r w:rsidR="00130040">
        <w:rPr>
          <w:rFonts w:hint="cs"/>
          <w:b/>
          <w:bCs/>
          <w:rtl/>
        </w:rPr>
        <w:t>ينبغي ل</w:t>
      </w:r>
      <w:r w:rsidRPr="009E7971">
        <w:rPr>
          <w:b/>
          <w:bCs/>
          <w:rtl/>
        </w:rPr>
        <w:t xml:space="preserve">لدولة الطرف أيضاً أن تعيد النظر في طرائق تعيين القضاة الأجانب وتحديد مدة خدمتهم </w:t>
      </w:r>
      <w:r w:rsidR="00130040">
        <w:rPr>
          <w:rFonts w:hint="cs"/>
          <w:b/>
          <w:bCs/>
          <w:rtl/>
        </w:rPr>
        <w:t xml:space="preserve">بحيث تكفل </w:t>
      </w:r>
      <w:r w:rsidRPr="009E7971">
        <w:rPr>
          <w:b/>
          <w:bCs/>
          <w:rtl/>
        </w:rPr>
        <w:t xml:space="preserve">استقلاليتهم </w:t>
      </w:r>
      <w:r w:rsidR="00B04B81">
        <w:rPr>
          <w:rFonts w:hint="cs"/>
          <w:b/>
          <w:bCs/>
          <w:rtl/>
        </w:rPr>
        <w:t>واكتفاءهم</w:t>
      </w:r>
      <w:r w:rsidRPr="009E7971">
        <w:rPr>
          <w:b/>
          <w:bCs/>
          <w:rtl/>
        </w:rPr>
        <w:t xml:space="preserve"> الذاتي ونزاهتهم</w:t>
      </w:r>
      <w:r w:rsidR="00130040">
        <w:rPr>
          <w:rFonts w:hint="cs"/>
          <w:b/>
          <w:bCs/>
          <w:rtl/>
        </w:rPr>
        <w:t xml:space="preserve"> بصورة كاملة</w:t>
      </w:r>
      <w:r w:rsidRPr="009E7971">
        <w:rPr>
          <w:b/>
          <w:bCs/>
          <w:rtl/>
        </w:rPr>
        <w:t>.</w:t>
      </w:r>
    </w:p>
    <w:p w:rsidR="00384023" w:rsidRDefault="009E7971" w:rsidP="003B7C1D">
      <w:pPr>
        <w:pStyle w:val="SingleTxtGA"/>
        <w:rPr>
          <w:rtl/>
        </w:rPr>
      </w:pPr>
      <w:r>
        <w:rPr>
          <w:rtl/>
        </w:rPr>
        <w:t>27-</w:t>
      </w:r>
      <w:r>
        <w:rPr>
          <w:rFonts w:hint="cs"/>
          <w:rtl/>
        </w:rPr>
        <w:tab/>
      </w:r>
      <w:r w:rsidR="00384023">
        <w:rPr>
          <w:rtl/>
        </w:rPr>
        <w:t xml:space="preserve">ويساور اللجنة قلق بشأن الافتقار إلى إحصائيات بخصوص عدد الأشخاص الذين أُدينوا من </w:t>
      </w:r>
      <w:r w:rsidR="003B7C1D">
        <w:rPr>
          <w:rFonts w:hint="cs"/>
          <w:rtl/>
        </w:rPr>
        <w:t xml:space="preserve">قبل </w:t>
      </w:r>
      <w:r w:rsidR="00384023">
        <w:rPr>
          <w:rtl/>
        </w:rPr>
        <w:t xml:space="preserve">محاكم عسكرية في عام 1991 ولا يزالون محتجَزين على الرغم من قضائهم مدد عقوباتهم. كما يساورها قلق </w:t>
      </w:r>
      <w:r w:rsidR="003B7C1D">
        <w:rPr>
          <w:rFonts w:hint="cs"/>
          <w:rtl/>
        </w:rPr>
        <w:t>ل</w:t>
      </w:r>
      <w:r w:rsidR="00384023">
        <w:rPr>
          <w:rtl/>
        </w:rPr>
        <w:t xml:space="preserve">عدم </w:t>
      </w:r>
      <w:r w:rsidR="003B7C1D">
        <w:rPr>
          <w:rFonts w:hint="cs"/>
          <w:rtl/>
        </w:rPr>
        <w:t xml:space="preserve">عرض </w:t>
      </w:r>
      <w:r w:rsidR="00384023">
        <w:rPr>
          <w:rtl/>
        </w:rPr>
        <w:t xml:space="preserve">هذه الحالات </w:t>
      </w:r>
      <w:r w:rsidR="003B7C1D">
        <w:rPr>
          <w:rFonts w:hint="cs"/>
          <w:rtl/>
        </w:rPr>
        <w:t xml:space="preserve">على </w:t>
      </w:r>
      <w:r w:rsidR="00384023">
        <w:rPr>
          <w:rtl/>
        </w:rPr>
        <w:t xml:space="preserve">هيئة مستقلة </w:t>
      </w:r>
      <w:r w:rsidR="003B7C1D">
        <w:rPr>
          <w:rFonts w:hint="cs"/>
          <w:rtl/>
        </w:rPr>
        <w:t>و</w:t>
      </w:r>
      <w:r w:rsidR="00384023">
        <w:rPr>
          <w:rtl/>
        </w:rPr>
        <w:t>نزيهة</w:t>
      </w:r>
      <w:r w:rsidR="003B7C1D">
        <w:rPr>
          <w:rFonts w:hint="cs"/>
          <w:rtl/>
        </w:rPr>
        <w:t xml:space="preserve"> ل</w:t>
      </w:r>
      <w:r w:rsidR="003B7C1D">
        <w:rPr>
          <w:rtl/>
        </w:rPr>
        <w:t>إعادة النظر</w:t>
      </w:r>
      <w:r w:rsidR="00B04B81">
        <w:rPr>
          <w:rFonts w:hint="cs"/>
          <w:rtl/>
        </w:rPr>
        <w:t xml:space="preserve"> فيها</w:t>
      </w:r>
      <w:r w:rsidR="00384023">
        <w:rPr>
          <w:rtl/>
        </w:rPr>
        <w:t>. (المادتان 9 و14)</w:t>
      </w:r>
    </w:p>
    <w:p w:rsidR="00384023" w:rsidRPr="00515BA0" w:rsidRDefault="00384023" w:rsidP="00515BA0">
      <w:pPr>
        <w:pStyle w:val="SingleTxtGA"/>
        <w:rPr>
          <w:rFonts w:ascii="Times New Roman Bold" w:hAnsi="Times New Roman Bold"/>
          <w:b/>
          <w:bCs/>
          <w:spacing w:val="2"/>
          <w:rtl/>
        </w:rPr>
      </w:pPr>
      <w:r w:rsidRPr="00515BA0">
        <w:rPr>
          <w:rFonts w:ascii="Times New Roman Bold" w:hAnsi="Times New Roman Bold"/>
          <w:b/>
          <w:bCs/>
          <w:spacing w:val="2"/>
          <w:rtl/>
        </w:rPr>
        <w:tab/>
      </w:r>
      <w:r w:rsidR="00E66AE7" w:rsidRPr="00515BA0">
        <w:rPr>
          <w:rFonts w:ascii="Times New Roman Bold" w:hAnsi="Times New Roman Bold"/>
          <w:b/>
          <w:bCs/>
          <w:spacing w:val="2"/>
          <w:rtl/>
        </w:rPr>
        <w:t xml:space="preserve">ينبغي للدولة </w:t>
      </w:r>
      <w:r w:rsidRPr="00515BA0">
        <w:rPr>
          <w:rFonts w:ascii="Times New Roman Bold" w:hAnsi="Times New Roman Bold"/>
          <w:b/>
          <w:bCs/>
          <w:spacing w:val="2"/>
          <w:rtl/>
        </w:rPr>
        <w:t>الطرف أن تضمن إعادة النظر في حالات الأشخاص المحتجزين بموجب أحكام السجن التي أصدرتها المحاكم العسكرية في عام 1991، والإفراج الفوري كذلك عن أي</w:t>
      </w:r>
      <w:r w:rsidR="00B32A13" w:rsidRPr="00515BA0">
        <w:rPr>
          <w:rFonts w:ascii="Times New Roman Bold" w:hAnsi="Times New Roman Bold" w:hint="cs"/>
          <w:b/>
          <w:bCs/>
          <w:spacing w:val="2"/>
          <w:rtl/>
        </w:rPr>
        <w:t>ِّ</w:t>
      </w:r>
      <w:r w:rsidRPr="00515BA0">
        <w:rPr>
          <w:rFonts w:ascii="Times New Roman Bold" w:hAnsi="Times New Roman Bold"/>
          <w:b/>
          <w:bCs/>
          <w:spacing w:val="2"/>
          <w:rtl/>
        </w:rPr>
        <w:t xml:space="preserve"> </w:t>
      </w:r>
      <w:r w:rsidR="00B32A13" w:rsidRPr="00515BA0">
        <w:rPr>
          <w:rFonts w:ascii="Times New Roman Bold" w:hAnsi="Times New Roman Bold" w:hint="cs"/>
          <w:b/>
          <w:bCs/>
          <w:spacing w:val="2"/>
          <w:rtl/>
        </w:rPr>
        <w:t>من هؤلاء ال</w:t>
      </w:r>
      <w:r w:rsidRPr="00515BA0">
        <w:rPr>
          <w:rFonts w:ascii="Times New Roman Bold" w:hAnsi="Times New Roman Bold"/>
          <w:b/>
          <w:bCs/>
          <w:spacing w:val="2"/>
          <w:rtl/>
        </w:rPr>
        <w:t xml:space="preserve">أشخاص </w:t>
      </w:r>
      <w:r w:rsidR="00B32A13" w:rsidRPr="00515BA0">
        <w:rPr>
          <w:rFonts w:ascii="Times New Roman Bold" w:hAnsi="Times New Roman Bold" w:hint="cs"/>
          <w:b/>
          <w:bCs/>
          <w:spacing w:val="2"/>
          <w:rtl/>
        </w:rPr>
        <w:t xml:space="preserve">الذين </w:t>
      </w:r>
      <w:r w:rsidRPr="00515BA0">
        <w:rPr>
          <w:rFonts w:ascii="Times New Roman Bold" w:hAnsi="Times New Roman Bold"/>
          <w:b/>
          <w:bCs/>
          <w:spacing w:val="2"/>
          <w:rtl/>
        </w:rPr>
        <w:t>لا يزالون محتجزين بعد قضائهم مدد</w:t>
      </w:r>
      <w:r w:rsidR="00515BA0">
        <w:rPr>
          <w:rFonts w:ascii="Times New Roman Bold" w:hAnsi="Times New Roman Bold" w:hint="eastAsia"/>
          <w:b/>
          <w:bCs/>
          <w:spacing w:val="2"/>
          <w:rtl/>
        </w:rPr>
        <w:t> </w:t>
      </w:r>
      <w:r w:rsidRPr="00515BA0">
        <w:rPr>
          <w:rFonts w:ascii="Times New Roman Bold" w:hAnsi="Times New Roman Bold"/>
          <w:b/>
          <w:bCs/>
          <w:spacing w:val="2"/>
          <w:rtl/>
        </w:rPr>
        <w:t xml:space="preserve">عقوباتهم. </w:t>
      </w:r>
    </w:p>
    <w:p w:rsidR="00384023" w:rsidRDefault="00384023" w:rsidP="00F01EB8">
      <w:pPr>
        <w:pStyle w:val="SingleTxtGA"/>
        <w:rPr>
          <w:rtl/>
        </w:rPr>
      </w:pPr>
      <w:r>
        <w:rPr>
          <w:rtl/>
        </w:rPr>
        <w:t>28-</w:t>
      </w:r>
      <w:r>
        <w:rPr>
          <w:rtl/>
        </w:rPr>
        <w:tab/>
        <w:t xml:space="preserve">ويساور اللجنة قلق بشأن استمرار </w:t>
      </w:r>
      <w:r w:rsidR="00F01EB8">
        <w:rPr>
          <w:rFonts w:hint="cs"/>
          <w:rtl/>
        </w:rPr>
        <w:t>ورود معلومات تفيد بأن</w:t>
      </w:r>
      <w:r>
        <w:rPr>
          <w:rtl/>
        </w:rPr>
        <w:t xml:space="preserve"> سلطات الدولة الطرف </w:t>
      </w:r>
      <w:r w:rsidR="00F01EB8">
        <w:rPr>
          <w:rFonts w:hint="cs"/>
          <w:rtl/>
        </w:rPr>
        <w:t xml:space="preserve">ترفض </w:t>
      </w:r>
      <w:r>
        <w:rPr>
          <w:rtl/>
        </w:rPr>
        <w:t xml:space="preserve">منح </w:t>
      </w:r>
      <w:r w:rsidR="00F01EB8">
        <w:rPr>
          <w:rFonts w:hint="cs"/>
          <w:rtl/>
        </w:rPr>
        <w:t xml:space="preserve">تراخيص </w:t>
      </w:r>
      <w:r>
        <w:rPr>
          <w:rtl/>
        </w:rPr>
        <w:t xml:space="preserve">بالتظاهر لأسباب غير معقولة وإفراطها في استخدام القوة لتفريق المظاهرات السلمية، مما يقيّد حق الأفراد في حرية التجمّع السلمي. (المادة 21) </w:t>
      </w:r>
    </w:p>
    <w:p w:rsidR="00384023" w:rsidRPr="009E7971" w:rsidRDefault="00384023" w:rsidP="00F01EB8">
      <w:pPr>
        <w:pStyle w:val="SingleTxtGA"/>
        <w:rPr>
          <w:b/>
          <w:bCs/>
          <w:rtl/>
        </w:rPr>
      </w:pPr>
      <w:r w:rsidRPr="009E7971">
        <w:rPr>
          <w:b/>
          <w:bCs/>
          <w:rtl/>
        </w:rPr>
        <w:tab/>
      </w:r>
      <w:r w:rsidR="00E66AE7">
        <w:rPr>
          <w:b/>
          <w:bCs/>
          <w:rtl/>
        </w:rPr>
        <w:t xml:space="preserve">ينبغي للدولة </w:t>
      </w:r>
      <w:r w:rsidRPr="009E7971">
        <w:rPr>
          <w:b/>
          <w:bCs/>
          <w:rtl/>
        </w:rPr>
        <w:t xml:space="preserve">الطرف أن تنقّح تشريعاتها </w:t>
      </w:r>
      <w:r w:rsidR="00F01EB8">
        <w:rPr>
          <w:rFonts w:hint="cs"/>
          <w:b/>
          <w:bCs/>
          <w:rtl/>
        </w:rPr>
        <w:t xml:space="preserve">وسياساتها </w:t>
      </w:r>
      <w:r w:rsidRPr="009E7971">
        <w:rPr>
          <w:b/>
          <w:bCs/>
          <w:rtl/>
        </w:rPr>
        <w:t>وممارساتها، و</w:t>
      </w:r>
      <w:r w:rsidR="00F01EB8">
        <w:rPr>
          <w:rFonts w:hint="cs"/>
          <w:b/>
          <w:bCs/>
          <w:rtl/>
        </w:rPr>
        <w:t xml:space="preserve">أن تكفل </w:t>
      </w:r>
      <w:r w:rsidRPr="009E7971">
        <w:rPr>
          <w:b/>
          <w:bCs/>
          <w:rtl/>
        </w:rPr>
        <w:t>تمتع جميع الأفراد الخاضعين لولايتها تمتعاً كاملاً بحقوقهم بموجب المادة 21 من العهد. و</w:t>
      </w:r>
      <w:r w:rsidR="00F01EB8">
        <w:rPr>
          <w:rFonts w:hint="cs"/>
          <w:b/>
          <w:bCs/>
          <w:rtl/>
        </w:rPr>
        <w:t xml:space="preserve">ينبغي لها </w:t>
      </w:r>
      <w:r w:rsidRPr="009E7971">
        <w:rPr>
          <w:b/>
          <w:bCs/>
          <w:rtl/>
        </w:rPr>
        <w:t>أن تضمن عدم إخضاع ممارسة هذا الحق لأي قيود غير تلك التي يُجيزها العهد.</w:t>
      </w:r>
    </w:p>
    <w:p w:rsidR="00384023" w:rsidRDefault="00384023" w:rsidP="00F01EB8">
      <w:pPr>
        <w:pStyle w:val="SingleTxtGA"/>
        <w:rPr>
          <w:rtl/>
        </w:rPr>
      </w:pPr>
      <w:r>
        <w:rPr>
          <w:rtl/>
        </w:rPr>
        <w:t>29-</w:t>
      </w:r>
      <w:r>
        <w:rPr>
          <w:rtl/>
        </w:rPr>
        <w:tab/>
        <w:t xml:space="preserve">ويساور اللجنة </w:t>
      </w:r>
      <w:r w:rsidR="00F01EB8">
        <w:rPr>
          <w:rFonts w:hint="cs"/>
          <w:rtl/>
        </w:rPr>
        <w:t>ال</w:t>
      </w:r>
      <w:r>
        <w:rPr>
          <w:rtl/>
        </w:rPr>
        <w:t xml:space="preserve">قلق </w:t>
      </w:r>
      <w:r w:rsidR="00F01EB8">
        <w:rPr>
          <w:rFonts w:hint="cs"/>
          <w:rtl/>
        </w:rPr>
        <w:t>ل</w:t>
      </w:r>
      <w:r>
        <w:rPr>
          <w:rtl/>
        </w:rPr>
        <w:t>افتقار الدولة الطرف إلى إطار قا</w:t>
      </w:r>
      <w:r w:rsidR="00F01EB8">
        <w:rPr>
          <w:rtl/>
        </w:rPr>
        <w:t>نوني ينظم وجود الأحزاب السياسية</w:t>
      </w:r>
      <w:r w:rsidR="00F01EB8">
        <w:rPr>
          <w:rFonts w:hint="cs"/>
          <w:rtl/>
        </w:rPr>
        <w:t xml:space="preserve">، الأمر الذي يعوق </w:t>
      </w:r>
      <w:r>
        <w:rPr>
          <w:rtl/>
        </w:rPr>
        <w:t xml:space="preserve">الجماعات السياسية عن تنظيم </w:t>
      </w:r>
      <w:r w:rsidR="00F01EB8">
        <w:rPr>
          <w:rFonts w:hint="cs"/>
          <w:rtl/>
        </w:rPr>
        <w:t xml:space="preserve">تظاهرات </w:t>
      </w:r>
      <w:r>
        <w:rPr>
          <w:rtl/>
        </w:rPr>
        <w:t xml:space="preserve">تستلزم الحصول على إذن رسمي لعقدها، وعن </w:t>
      </w:r>
      <w:r w:rsidR="00F01EB8">
        <w:rPr>
          <w:rFonts w:hint="cs"/>
          <w:rtl/>
        </w:rPr>
        <w:t>السعي للحصول على التمويل</w:t>
      </w:r>
      <w:r>
        <w:rPr>
          <w:rtl/>
        </w:rPr>
        <w:t>، و</w:t>
      </w:r>
      <w:r w:rsidR="00F01EB8">
        <w:rPr>
          <w:rFonts w:hint="cs"/>
          <w:rtl/>
        </w:rPr>
        <w:t xml:space="preserve">عن </w:t>
      </w:r>
      <w:r>
        <w:rPr>
          <w:rtl/>
        </w:rPr>
        <w:t>المشاركة الفعالة في الحياة السياسية للدولة الطرف. (المادتان 22 و25)</w:t>
      </w:r>
    </w:p>
    <w:p w:rsidR="00384023" w:rsidRPr="009E7971" w:rsidRDefault="00384023" w:rsidP="00384023">
      <w:pPr>
        <w:pStyle w:val="SingleTxtGA"/>
        <w:rPr>
          <w:rFonts w:hint="cs"/>
          <w:b/>
          <w:bCs/>
          <w:rtl/>
        </w:rPr>
      </w:pPr>
      <w:r w:rsidRPr="009E7971">
        <w:rPr>
          <w:b/>
          <w:bCs/>
          <w:rtl/>
        </w:rPr>
        <w:tab/>
      </w:r>
      <w:r w:rsidR="00E66AE7">
        <w:rPr>
          <w:b/>
          <w:bCs/>
          <w:rtl/>
        </w:rPr>
        <w:t xml:space="preserve">ينبغي للدولة </w:t>
      </w:r>
      <w:r w:rsidRPr="009E7971">
        <w:rPr>
          <w:b/>
          <w:bCs/>
          <w:rtl/>
        </w:rPr>
        <w:t>الطرف أن تعتمد إطاراً قانونياً ينظم وجود الأحزاب السياسية، ويمكّنها من المشاركة الفعالة والرسمي</w:t>
      </w:r>
      <w:r w:rsidR="009E7971">
        <w:rPr>
          <w:b/>
          <w:bCs/>
          <w:rtl/>
        </w:rPr>
        <w:t>ة في الحياة السياسية الكويتية.</w:t>
      </w:r>
    </w:p>
    <w:p w:rsidR="00384023" w:rsidRPr="004E4F7D" w:rsidRDefault="00384023" w:rsidP="00B04B81">
      <w:pPr>
        <w:pStyle w:val="SingleTxtGA"/>
        <w:rPr>
          <w:spacing w:val="2"/>
          <w:rtl/>
        </w:rPr>
      </w:pPr>
      <w:r w:rsidRPr="004E4F7D">
        <w:rPr>
          <w:spacing w:val="2"/>
          <w:rtl/>
        </w:rPr>
        <w:t>30-</w:t>
      </w:r>
      <w:r w:rsidRPr="004E4F7D">
        <w:rPr>
          <w:spacing w:val="2"/>
          <w:rtl/>
        </w:rPr>
        <w:tab/>
        <w:t>ويساور اللجنة قلق بشأن تجريم العلاقة الجنسية بالتراضي بين البالغين من نفس</w:t>
      </w:r>
      <w:r w:rsidR="00B04B81">
        <w:rPr>
          <w:rFonts w:hint="cs"/>
          <w:spacing w:val="2"/>
          <w:rtl/>
        </w:rPr>
        <w:t xml:space="preserve"> </w:t>
      </w:r>
      <w:r w:rsidRPr="004E4F7D">
        <w:rPr>
          <w:spacing w:val="2"/>
          <w:rtl/>
        </w:rPr>
        <w:t xml:space="preserve">الجنس، وكذلك بشأن </w:t>
      </w:r>
      <w:r w:rsidR="00D85B2F">
        <w:rPr>
          <w:rFonts w:hint="cs"/>
          <w:spacing w:val="2"/>
          <w:rtl/>
        </w:rPr>
        <w:t>وجود توصيف جنائي</w:t>
      </w:r>
      <w:r w:rsidR="00D85B2F">
        <w:rPr>
          <w:spacing w:val="2"/>
          <w:rtl/>
        </w:rPr>
        <w:t xml:space="preserve"> </w:t>
      </w:r>
      <w:r w:rsidRPr="004E4F7D">
        <w:rPr>
          <w:spacing w:val="2"/>
          <w:rtl/>
        </w:rPr>
        <w:t xml:space="preserve">جديد </w:t>
      </w:r>
      <w:r w:rsidR="00D85B2F">
        <w:rPr>
          <w:rFonts w:hint="cs"/>
          <w:spacing w:val="2"/>
          <w:rtl/>
        </w:rPr>
        <w:t xml:space="preserve">هو </w:t>
      </w:r>
      <w:r w:rsidRPr="004E4F7D">
        <w:rPr>
          <w:spacing w:val="2"/>
          <w:rtl/>
        </w:rPr>
        <w:t>"التشبّه بالجنس الآخر". كما</w:t>
      </w:r>
      <w:r w:rsidR="00654372" w:rsidRPr="004E4F7D">
        <w:rPr>
          <w:rFonts w:hint="cs"/>
          <w:spacing w:val="2"/>
          <w:rtl/>
        </w:rPr>
        <w:t> </w:t>
      </w:r>
      <w:r w:rsidRPr="004E4F7D">
        <w:rPr>
          <w:spacing w:val="2"/>
          <w:rtl/>
        </w:rPr>
        <w:t xml:space="preserve">يساورها قلق بشأن ما وردها من بلاغات بارتكاب أعمال عنف ضد المثليات والمثليين جنسياً ومزدوجي الميل الجنسي ومغايري الهوية الجنسية، </w:t>
      </w:r>
      <w:r w:rsidR="00934077">
        <w:rPr>
          <w:rFonts w:hint="cs"/>
          <w:spacing w:val="2"/>
          <w:rtl/>
        </w:rPr>
        <w:t>ولا سيما ا</w:t>
      </w:r>
      <w:r w:rsidRPr="004E4F7D">
        <w:rPr>
          <w:spacing w:val="2"/>
          <w:rtl/>
        </w:rPr>
        <w:t>لمضايقات، و</w:t>
      </w:r>
      <w:r w:rsidR="00934077">
        <w:rPr>
          <w:rFonts w:hint="cs"/>
          <w:spacing w:val="2"/>
          <w:rtl/>
        </w:rPr>
        <w:t xml:space="preserve">الاعتقال والاحتجاز </w:t>
      </w:r>
      <w:r w:rsidRPr="004E4F7D">
        <w:rPr>
          <w:spacing w:val="2"/>
          <w:rtl/>
        </w:rPr>
        <w:t xml:space="preserve">تعسفاً، </w:t>
      </w:r>
      <w:r w:rsidR="00934077">
        <w:rPr>
          <w:rFonts w:hint="cs"/>
          <w:spacing w:val="2"/>
          <w:rtl/>
        </w:rPr>
        <w:t>والإيذاء</w:t>
      </w:r>
      <w:r w:rsidRPr="004E4F7D">
        <w:rPr>
          <w:spacing w:val="2"/>
          <w:rtl/>
        </w:rPr>
        <w:t xml:space="preserve">، </w:t>
      </w:r>
      <w:r w:rsidR="00934077">
        <w:rPr>
          <w:rFonts w:hint="cs"/>
          <w:spacing w:val="2"/>
          <w:rtl/>
        </w:rPr>
        <w:t>وا</w:t>
      </w:r>
      <w:r w:rsidR="00934077">
        <w:rPr>
          <w:spacing w:val="2"/>
          <w:rtl/>
        </w:rPr>
        <w:t>لتعذيب، و</w:t>
      </w:r>
      <w:r w:rsidR="00934077">
        <w:rPr>
          <w:rFonts w:hint="cs"/>
          <w:spacing w:val="2"/>
          <w:rtl/>
        </w:rPr>
        <w:t>ا</w:t>
      </w:r>
      <w:r w:rsidRPr="004E4F7D">
        <w:rPr>
          <w:spacing w:val="2"/>
          <w:rtl/>
        </w:rPr>
        <w:t xml:space="preserve">لاعتداء والتحرّش الجنسيين على أساس </w:t>
      </w:r>
      <w:r w:rsidR="00934077">
        <w:rPr>
          <w:rFonts w:hint="cs"/>
          <w:spacing w:val="2"/>
          <w:rtl/>
        </w:rPr>
        <w:t xml:space="preserve">الميل الجنسي </w:t>
      </w:r>
      <w:r w:rsidRPr="004E4F7D">
        <w:rPr>
          <w:spacing w:val="2"/>
          <w:rtl/>
        </w:rPr>
        <w:t xml:space="preserve">أو </w:t>
      </w:r>
      <w:r w:rsidR="00934077">
        <w:rPr>
          <w:rFonts w:hint="cs"/>
          <w:spacing w:val="2"/>
          <w:rtl/>
        </w:rPr>
        <w:t xml:space="preserve">الهوية </w:t>
      </w:r>
      <w:r w:rsidRPr="004E4F7D">
        <w:rPr>
          <w:spacing w:val="2"/>
          <w:rtl/>
        </w:rPr>
        <w:t xml:space="preserve">الجنسانية. (المادتان 2 و26) </w:t>
      </w:r>
    </w:p>
    <w:p w:rsidR="00384023" w:rsidRPr="009E7971" w:rsidRDefault="00384023" w:rsidP="00934077">
      <w:pPr>
        <w:pStyle w:val="SingleTxtGA"/>
        <w:rPr>
          <w:b/>
          <w:bCs/>
          <w:rtl/>
        </w:rPr>
      </w:pPr>
      <w:r w:rsidRPr="009E7971">
        <w:rPr>
          <w:b/>
          <w:bCs/>
          <w:rtl/>
        </w:rPr>
        <w:tab/>
      </w:r>
      <w:r w:rsidR="00E66AE7">
        <w:rPr>
          <w:b/>
          <w:bCs/>
          <w:rtl/>
        </w:rPr>
        <w:t xml:space="preserve">ينبغي للدولة </w:t>
      </w:r>
      <w:r w:rsidRPr="009E7971">
        <w:rPr>
          <w:b/>
          <w:bCs/>
          <w:rtl/>
        </w:rPr>
        <w:t xml:space="preserve">الطرف </w:t>
      </w:r>
      <w:r w:rsidR="00934077">
        <w:rPr>
          <w:rFonts w:hint="cs"/>
          <w:b/>
          <w:bCs/>
          <w:rtl/>
        </w:rPr>
        <w:t xml:space="preserve">أن تتخلى عن </w:t>
      </w:r>
      <w:r w:rsidR="00B04B81">
        <w:rPr>
          <w:rFonts w:hint="cs"/>
          <w:b/>
          <w:bCs/>
          <w:rtl/>
        </w:rPr>
        <w:t xml:space="preserve">تجريم </w:t>
      </w:r>
      <w:r w:rsidRPr="009E7971">
        <w:rPr>
          <w:b/>
          <w:bCs/>
          <w:rtl/>
        </w:rPr>
        <w:t xml:space="preserve">العلاقة الجنسية بالتراضي بين البالغين من نفس الجنس، وأن تلغي جريمة التشبّه بالجنس الآخر، من أجل مواءمة تشريعاتها مع العهد. </w:t>
      </w:r>
      <w:r w:rsidR="00934077">
        <w:rPr>
          <w:rFonts w:hint="cs"/>
          <w:b/>
          <w:bCs/>
          <w:rtl/>
        </w:rPr>
        <w:t xml:space="preserve">وينبغي لها </w:t>
      </w:r>
      <w:r w:rsidRPr="009E7971">
        <w:rPr>
          <w:b/>
          <w:bCs/>
          <w:rtl/>
        </w:rPr>
        <w:t xml:space="preserve">أن تتخذ </w:t>
      </w:r>
      <w:r w:rsidR="00934077">
        <w:rPr>
          <w:rFonts w:hint="cs"/>
          <w:b/>
          <w:bCs/>
          <w:rtl/>
        </w:rPr>
        <w:t xml:space="preserve">الإجراءات </w:t>
      </w:r>
      <w:r w:rsidRPr="009E7971">
        <w:rPr>
          <w:b/>
          <w:bCs/>
          <w:rtl/>
        </w:rPr>
        <w:t xml:space="preserve">اللازمة لوضع حد لوصم المثلية الجنسية اجتماعياً وأن </w:t>
      </w:r>
      <w:r w:rsidR="00934077">
        <w:rPr>
          <w:rFonts w:hint="cs"/>
          <w:b/>
          <w:bCs/>
          <w:rtl/>
        </w:rPr>
        <w:t xml:space="preserve">تبيّن بشكل واضح </w:t>
      </w:r>
      <w:r w:rsidRPr="009E7971">
        <w:rPr>
          <w:b/>
          <w:bCs/>
          <w:rtl/>
        </w:rPr>
        <w:t>أنها ترفض جميع أشكال المضايقة أو التمييز أو العنف الت</w:t>
      </w:r>
      <w:r w:rsidR="00934077">
        <w:rPr>
          <w:b/>
          <w:bCs/>
          <w:rtl/>
        </w:rPr>
        <w:t>ي تُمارس ضد الأشخاص على أساس ميلهم الجنسي أو هوي</w:t>
      </w:r>
      <w:r w:rsidRPr="009E7971">
        <w:rPr>
          <w:b/>
          <w:bCs/>
          <w:rtl/>
        </w:rPr>
        <w:t>تهم الجنسانية.</w:t>
      </w:r>
    </w:p>
    <w:p w:rsidR="00384023" w:rsidRDefault="00384023" w:rsidP="00384023">
      <w:pPr>
        <w:pStyle w:val="SingleTxtGA"/>
        <w:rPr>
          <w:rtl/>
        </w:rPr>
      </w:pPr>
      <w:r>
        <w:rPr>
          <w:rtl/>
        </w:rPr>
        <w:t>31-</w:t>
      </w:r>
      <w:r>
        <w:rPr>
          <w:rtl/>
        </w:rPr>
        <w:tab/>
        <w:t>ويساور اللجنة قلق بشأن عدم حماية الرعايا الأجانب المنتمين إلى أقليات عرقية أو دينية أو لغوية تعيش في الدولة الطرف. (المادة 27)</w:t>
      </w:r>
    </w:p>
    <w:p w:rsidR="00384023" w:rsidRPr="009E7971" w:rsidRDefault="00384023" w:rsidP="004E2FB0">
      <w:pPr>
        <w:pStyle w:val="SingleTxtGA"/>
        <w:rPr>
          <w:b/>
          <w:bCs/>
          <w:rtl/>
        </w:rPr>
      </w:pPr>
      <w:r w:rsidRPr="009E7971">
        <w:rPr>
          <w:b/>
          <w:bCs/>
          <w:rtl/>
        </w:rPr>
        <w:tab/>
      </w:r>
      <w:r w:rsidR="00E66AE7">
        <w:rPr>
          <w:b/>
          <w:bCs/>
          <w:rtl/>
        </w:rPr>
        <w:t xml:space="preserve">ينبغي للدولة </w:t>
      </w:r>
      <w:r w:rsidRPr="009E7971">
        <w:rPr>
          <w:b/>
          <w:bCs/>
          <w:rtl/>
        </w:rPr>
        <w:t xml:space="preserve">الطرف أن </w:t>
      </w:r>
      <w:r w:rsidR="004E2FB0">
        <w:rPr>
          <w:b/>
          <w:bCs/>
          <w:rtl/>
        </w:rPr>
        <w:t xml:space="preserve">تعترف رسمياً بالأقليات العرقية والدينية </w:t>
      </w:r>
      <w:r w:rsidR="004E2FB0">
        <w:rPr>
          <w:rFonts w:hint="cs"/>
          <w:b/>
          <w:bCs/>
          <w:rtl/>
        </w:rPr>
        <w:t>و</w:t>
      </w:r>
      <w:r w:rsidRPr="009E7971">
        <w:rPr>
          <w:b/>
          <w:bCs/>
          <w:rtl/>
        </w:rPr>
        <w:t xml:space="preserve">اللغوية </w:t>
      </w:r>
      <w:r w:rsidR="004E2FB0">
        <w:rPr>
          <w:rFonts w:hint="cs"/>
          <w:b/>
          <w:bCs/>
          <w:rtl/>
        </w:rPr>
        <w:t xml:space="preserve">بصفتها تلك </w:t>
      </w:r>
      <w:r w:rsidRPr="009E7971">
        <w:rPr>
          <w:b/>
          <w:bCs/>
          <w:rtl/>
        </w:rPr>
        <w:t>و</w:t>
      </w:r>
      <w:r w:rsidR="004E2FB0">
        <w:rPr>
          <w:rFonts w:hint="cs"/>
          <w:b/>
          <w:bCs/>
          <w:rtl/>
        </w:rPr>
        <w:t xml:space="preserve">أن </w:t>
      </w:r>
      <w:r w:rsidRPr="009E7971">
        <w:rPr>
          <w:b/>
          <w:bCs/>
          <w:rtl/>
        </w:rPr>
        <w:t>تكفل حماية حقوقها وتعزيزها امتثالاً لأحكام المادة 27 من العهد.</w:t>
      </w:r>
    </w:p>
    <w:p w:rsidR="00384023" w:rsidRDefault="00ED17E1" w:rsidP="00384023">
      <w:pPr>
        <w:pStyle w:val="SingleTxtGA"/>
        <w:rPr>
          <w:rtl/>
        </w:rPr>
      </w:pPr>
      <w:r>
        <w:rPr>
          <w:rFonts w:hint="cs"/>
          <w:rtl/>
        </w:rPr>
        <w:t>3</w:t>
      </w:r>
      <w:r w:rsidR="00384023">
        <w:rPr>
          <w:rtl/>
        </w:rPr>
        <w:t>2-</w:t>
      </w:r>
      <w:r w:rsidR="00384023">
        <w:rPr>
          <w:rtl/>
        </w:rPr>
        <w:tab/>
        <w:t>و</w:t>
      </w:r>
      <w:r w:rsidR="00E66AE7">
        <w:rPr>
          <w:rtl/>
        </w:rPr>
        <w:t xml:space="preserve">ينبغي للدولة </w:t>
      </w:r>
      <w:r w:rsidR="00384023">
        <w:rPr>
          <w:rtl/>
        </w:rPr>
        <w:t>الطرف أن تنشر على نطاق واسع العهد، ونص التقرير الدوري الثاني، والردود الخطية التي قدمتها على قائمة المسائل التي وضعتها اللجنة، وهذه الملاحظات الختامية في أوساط السلطات القضائية والتشريعية والإدارية والمجتمع المدني والمنظمات غير الحكومية العاملة في البلد، وكذلك في صفوف الجمهور العام.</w:t>
      </w:r>
    </w:p>
    <w:p w:rsidR="00384023" w:rsidRDefault="00384023" w:rsidP="00E521F6">
      <w:pPr>
        <w:pStyle w:val="SingleTxtGA"/>
        <w:rPr>
          <w:rtl/>
        </w:rPr>
      </w:pPr>
      <w:r>
        <w:rPr>
          <w:rtl/>
        </w:rPr>
        <w:t>33-</w:t>
      </w:r>
      <w:r>
        <w:rPr>
          <w:rtl/>
        </w:rPr>
        <w:tab/>
        <w:t xml:space="preserve">ووفقاً للفقرة 5 من المادة 17 من النظام الداخلي للجنة، </w:t>
      </w:r>
      <w:r w:rsidR="00794EEA">
        <w:rPr>
          <w:rFonts w:hint="cs"/>
          <w:rtl/>
        </w:rPr>
        <w:t>ينبغي ل</w:t>
      </w:r>
      <w:r>
        <w:rPr>
          <w:rtl/>
        </w:rPr>
        <w:t>لدولة الطرف أن تقدم، في غضون سنة واحدة، معلومات ذات صلة بتنفيذ توصيات اللجنة المقدمة في الفقرات</w:t>
      </w:r>
      <w:r w:rsidR="00E521F6">
        <w:rPr>
          <w:rFonts w:hint="cs"/>
          <w:rtl/>
        </w:rPr>
        <w:t> </w:t>
      </w:r>
      <w:r>
        <w:rPr>
          <w:rtl/>
        </w:rPr>
        <w:t>18 و19 و25 أعلاه.</w:t>
      </w:r>
    </w:p>
    <w:p w:rsidR="00384023" w:rsidRDefault="00384023" w:rsidP="00B04B81">
      <w:pPr>
        <w:pStyle w:val="SingleTxtGA"/>
        <w:rPr>
          <w:rFonts w:hint="cs"/>
          <w:rtl/>
        </w:rPr>
      </w:pPr>
      <w:r>
        <w:rPr>
          <w:rtl/>
        </w:rPr>
        <w:t>34-</w:t>
      </w:r>
      <w:r>
        <w:rPr>
          <w:rtl/>
        </w:rPr>
        <w:tab/>
        <w:t>وتدعو اللجنة الدولة الطرف، التي لم تقدّم بعد وثيقتها الأساسية، إلى أن تقدّم تلك الوثيقة وفقاً للمبادئ التوجيهية المنسَّقة لتقديم التقارير في إطار المعاهدات الدولية لحقوق الإنسان، التي اعتُمدت في الاجتماع الخامس المشترك بين اللجان لهيئات معاهدات حقوق الإنسان الذي عُقد في حزيران/يونيه 2006</w:t>
      </w:r>
      <w:r w:rsidR="00ED17E1">
        <w:rPr>
          <w:rFonts w:hint="cs"/>
          <w:rtl/>
        </w:rPr>
        <w:t xml:space="preserve"> </w:t>
      </w:r>
      <w:r>
        <w:rPr>
          <w:rtl/>
        </w:rPr>
        <w:t>(</w:t>
      </w:r>
      <w:r>
        <w:t>HRI/GEN/2/Rev.4</w:t>
      </w:r>
      <w:r>
        <w:rPr>
          <w:rtl/>
        </w:rPr>
        <w:t>)</w:t>
      </w:r>
      <w:r w:rsidR="00B04B81">
        <w:rPr>
          <w:rFonts w:hint="cs"/>
          <w:rtl/>
        </w:rPr>
        <w:t>.</w:t>
      </w:r>
    </w:p>
    <w:p w:rsidR="00384023" w:rsidRDefault="00384023" w:rsidP="00794EEA">
      <w:pPr>
        <w:pStyle w:val="SingleTxtGA"/>
        <w:rPr>
          <w:rFonts w:hint="cs"/>
          <w:rtl/>
        </w:rPr>
      </w:pPr>
      <w:r>
        <w:rPr>
          <w:rtl/>
        </w:rPr>
        <w:t>35-</w:t>
      </w:r>
      <w:r>
        <w:rPr>
          <w:rtl/>
        </w:rPr>
        <w:tab/>
        <w:t>وتطلب اللجنة إلى الدولة الطرف أن تقدم، في تقريرها الدوري الثالث، الذي يحين موعد تقديمه في 2 تشرين الثاني/نوفمبر 2014، معلومات محددة محدثة عن تنفيذ جميع توصيات اللجنة وعن العهد ككل. كما تطلب اللجنة إلى الدولة الطرف أن تتشاور</w:t>
      </w:r>
      <w:r w:rsidR="00794EEA">
        <w:rPr>
          <w:rFonts w:hint="cs"/>
          <w:rtl/>
        </w:rPr>
        <w:t xml:space="preserve"> </w:t>
      </w:r>
      <w:r w:rsidR="00794EEA">
        <w:rPr>
          <w:rtl/>
        </w:rPr>
        <w:t>على نطاق واسع</w:t>
      </w:r>
      <w:r>
        <w:rPr>
          <w:rtl/>
        </w:rPr>
        <w:t xml:space="preserve">، عند إعداد تقريرها الدوري الثالث، مع منظمات المجتمع المدني والمنظمات غير الحكومية العاملة في البلد وتُشركهما في إعداده. </w:t>
      </w:r>
    </w:p>
    <w:p w:rsidR="00384023" w:rsidRPr="00384023" w:rsidRDefault="00384023" w:rsidP="00384023">
      <w:pPr>
        <w:pStyle w:val="SingleTxtGA"/>
        <w:jc w:val="center"/>
        <w:rPr>
          <w:rFonts w:hint="cs"/>
          <w:u w:val="single"/>
          <w:rtl/>
        </w:rPr>
      </w:pPr>
      <w:r>
        <w:rPr>
          <w:rFonts w:hint="cs"/>
          <w:u w:val="single"/>
          <w:rtl/>
        </w:rPr>
        <w:tab/>
      </w:r>
      <w:r>
        <w:rPr>
          <w:rFonts w:hint="cs"/>
          <w:u w:val="single"/>
          <w:rtl/>
        </w:rPr>
        <w:tab/>
      </w:r>
      <w:r>
        <w:rPr>
          <w:rFonts w:hint="cs"/>
          <w:u w:val="single"/>
          <w:rtl/>
        </w:rPr>
        <w:tab/>
      </w:r>
    </w:p>
    <w:sectPr w:rsidR="00384023" w:rsidRPr="0038402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45" w:rsidRPr="00FE6865" w:rsidRDefault="00515945" w:rsidP="00FE6865">
      <w:pPr>
        <w:pStyle w:val="Footer"/>
      </w:pPr>
    </w:p>
  </w:endnote>
  <w:endnote w:type="continuationSeparator" w:id="0">
    <w:p w:rsidR="00515945" w:rsidRDefault="0051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23" w:rsidRPr="00C97C7A" w:rsidRDefault="00384023" w:rsidP="00C97C7A">
    <w:pPr>
      <w:pStyle w:val="Footer"/>
      <w:tabs>
        <w:tab w:val="right" w:pos="9598"/>
      </w:tabs>
    </w:pPr>
    <w:r>
      <w:t>GE.11-47150</w:t>
    </w:r>
    <w:r>
      <w:tab/>
    </w:r>
    <w:r w:rsidRPr="00C97C7A">
      <w:rPr>
        <w:b/>
        <w:sz w:val="18"/>
      </w:rPr>
      <w:fldChar w:fldCharType="begin"/>
    </w:r>
    <w:r w:rsidRPr="00C97C7A">
      <w:rPr>
        <w:b/>
        <w:sz w:val="18"/>
      </w:rPr>
      <w:instrText xml:space="preserve"> PAGE  \* MERGEFORMAT </w:instrText>
    </w:r>
    <w:r w:rsidRPr="00C97C7A">
      <w:rPr>
        <w:b/>
        <w:sz w:val="18"/>
      </w:rPr>
      <w:fldChar w:fldCharType="separate"/>
    </w:r>
    <w:r w:rsidR="00F77658">
      <w:rPr>
        <w:b/>
        <w:noProof/>
        <w:sz w:val="18"/>
      </w:rPr>
      <w:t>8</w:t>
    </w:r>
    <w:r w:rsidRPr="00C97C7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23" w:rsidRPr="00C97C7A" w:rsidRDefault="00384023" w:rsidP="00C97C7A">
    <w:pPr>
      <w:pStyle w:val="Footer"/>
      <w:tabs>
        <w:tab w:val="right" w:pos="9598"/>
      </w:tabs>
      <w:rPr>
        <w:b/>
        <w:sz w:val="18"/>
      </w:rPr>
    </w:pPr>
    <w:r w:rsidRPr="00C97C7A">
      <w:rPr>
        <w:b/>
        <w:sz w:val="18"/>
      </w:rPr>
      <w:fldChar w:fldCharType="begin"/>
    </w:r>
    <w:r w:rsidRPr="00C97C7A">
      <w:rPr>
        <w:b/>
        <w:sz w:val="18"/>
      </w:rPr>
      <w:instrText xml:space="preserve"> PAGE  \* MERGEFORMAT </w:instrText>
    </w:r>
    <w:r w:rsidRPr="00C97C7A">
      <w:rPr>
        <w:b/>
        <w:sz w:val="18"/>
      </w:rPr>
      <w:fldChar w:fldCharType="separate"/>
    </w:r>
    <w:r w:rsidR="00F77658">
      <w:rPr>
        <w:b/>
        <w:noProof/>
        <w:sz w:val="18"/>
      </w:rPr>
      <w:t>9</w:t>
    </w:r>
    <w:r w:rsidRPr="00C97C7A">
      <w:rPr>
        <w:b/>
        <w:sz w:val="18"/>
      </w:rPr>
      <w:fldChar w:fldCharType="end"/>
    </w:r>
    <w:r>
      <w:rPr>
        <w:b/>
        <w:sz w:val="18"/>
      </w:rPr>
      <w:tab/>
    </w:r>
    <w:r>
      <w:t>GE.11-47150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23" w:rsidRDefault="00384023" w:rsidP="00C97C7A">
    <w:pPr>
      <w:pStyle w:val="Footer"/>
      <w:jc w:val="right"/>
    </w:pPr>
    <w:r>
      <w:rPr>
        <w:sz w:val="20"/>
      </w:rPr>
      <w:t>(A)   GE.11-47150</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D4368C">
      <w:rPr>
        <w:sz w:val="20"/>
      </w:rPr>
      <w:t xml:space="preserve">    141211    151211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45" w:rsidRDefault="00515945" w:rsidP="007E4686">
      <w:pPr>
        <w:pStyle w:val="Footer"/>
        <w:bidi/>
        <w:spacing w:after="80" w:line="200" w:lineRule="exact"/>
        <w:ind w:left="680"/>
      </w:pPr>
      <w:r>
        <w:rPr>
          <w:rFonts w:hint="cs"/>
          <w:rtl/>
        </w:rPr>
        <w:t>__________</w:t>
      </w:r>
    </w:p>
  </w:footnote>
  <w:footnote w:type="continuationSeparator" w:id="0">
    <w:p w:rsidR="00515945" w:rsidRDefault="00515945"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23" w:rsidRPr="00C97C7A" w:rsidRDefault="00384023" w:rsidP="00C97C7A">
    <w:pPr>
      <w:pStyle w:val="Header"/>
      <w:jc w:val="right"/>
    </w:pPr>
    <w:r w:rsidRPr="00C97C7A">
      <w:t>CCPR/C/KWT/CO/2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23" w:rsidRPr="00C97C7A" w:rsidRDefault="00384023" w:rsidP="00C97C7A">
    <w:pPr>
      <w:pStyle w:val="Header"/>
      <w:jc w:val="left"/>
    </w:pPr>
    <w:r w:rsidRPr="00C97C7A">
      <w:t>CCPR/C/KWT/CO/2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23" w:rsidRDefault="00384023"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384023" w:rsidRPr="008F6743" w:rsidRDefault="00384023"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1C0C7658"/>
    <w:lvl w:ilvl="0" w:tplc="A9F816B8">
      <w:start w:val="1"/>
      <w:numFmt w:val="bullet"/>
      <w:pStyle w:val="Bullet1GA"/>
      <w:lvlText w:val=""/>
      <w:lvlJc w:val="left"/>
      <w:pPr>
        <w:tabs>
          <w:tab w:val="num" w:pos="2041"/>
        </w:tabs>
        <w:ind w:left="2041" w:hanging="397"/>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8A20999"/>
    <w:multiLevelType w:val="hybridMultilevel"/>
    <w:tmpl w:val="B548371A"/>
    <w:lvl w:ilvl="0" w:tplc="6A62CE44">
      <w:start w:val="1"/>
      <w:numFmt w:val="decimal"/>
      <w:lvlText w:val="%1-"/>
      <w:lvlJc w:val="left"/>
      <w:pPr>
        <w:tabs>
          <w:tab w:val="num" w:pos="1359"/>
        </w:tabs>
        <w:ind w:left="1359" w:hanging="645"/>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19B"/>
    <w:rsid w:val="000161E9"/>
    <w:rsid w:val="00040E25"/>
    <w:rsid w:val="00042149"/>
    <w:rsid w:val="000648EA"/>
    <w:rsid w:val="00081E38"/>
    <w:rsid w:val="0009179C"/>
    <w:rsid w:val="000957C8"/>
    <w:rsid w:val="00097049"/>
    <w:rsid w:val="000A04D5"/>
    <w:rsid w:val="000B52F2"/>
    <w:rsid w:val="000D0EAE"/>
    <w:rsid w:val="000D5380"/>
    <w:rsid w:val="000D6654"/>
    <w:rsid w:val="000D6989"/>
    <w:rsid w:val="000E103D"/>
    <w:rsid w:val="000F0264"/>
    <w:rsid w:val="000F2EBF"/>
    <w:rsid w:val="000F3A9F"/>
    <w:rsid w:val="000F5FF6"/>
    <w:rsid w:val="001022B5"/>
    <w:rsid w:val="00105123"/>
    <w:rsid w:val="00113FA5"/>
    <w:rsid w:val="00130040"/>
    <w:rsid w:val="0013110D"/>
    <w:rsid w:val="00136941"/>
    <w:rsid w:val="001455A0"/>
    <w:rsid w:val="001602A3"/>
    <w:rsid w:val="001A5161"/>
    <w:rsid w:val="001A60BD"/>
    <w:rsid w:val="001B29BE"/>
    <w:rsid w:val="001C6D53"/>
    <w:rsid w:val="00201CBF"/>
    <w:rsid w:val="00232277"/>
    <w:rsid w:val="0023736D"/>
    <w:rsid w:val="002564C4"/>
    <w:rsid w:val="00257225"/>
    <w:rsid w:val="002716CA"/>
    <w:rsid w:val="00291A70"/>
    <w:rsid w:val="002C59CC"/>
    <w:rsid w:val="00310160"/>
    <w:rsid w:val="00341A8C"/>
    <w:rsid w:val="003519E6"/>
    <w:rsid w:val="00354CC7"/>
    <w:rsid w:val="00355F81"/>
    <w:rsid w:val="00384023"/>
    <w:rsid w:val="00390840"/>
    <w:rsid w:val="003B4356"/>
    <w:rsid w:val="003B7C1D"/>
    <w:rsid w:val="003F08A8"/>
    <w:rsid w:val="003F35C2"/>
    <w:rsid w:val="00403CE9"/>
    <w:rsid w:val="00411711"/>
    <w:rsid w:val="004250E3"/>
    <w:rsid w:val="00472A81"/>
    <w:rsid w:val="004A20A6"/>
    <w:rsid w:val="004B1737"/>
    <w:rsid w:val="004B2C92"/>
    <w:rsid w:val="004D6A3A"/>
    <w:rsid w:val="004E0074"/>
    <w:rsid w:val="004E2FB0"/>
    <w:rsid w:val="004E4F7D"/>
    <w:rsid w:val="004F4AD7"/>
    <w:rsid w:val="00515945"/>
    <w:rsid w:val="00515BA0"/>
    <w:rsid w:val="0055213E"/>
    <w:rsid w:val="00557CD3"/>
    <w:rsid w:val="005675B0"/>
    <w:rsid w:val="00571432"/>
    <w:rsid w:val="005732A2"/>
    <w:rsid w:val="005762A5"/>
    <w:rsid w:val="00590BA3"/>
    <w:rsid w:val="00594E3E"/>
    <w:rsid w:val="005B46D9"/>
    <w:rsid w:val="005B7AE0"/>
    <w:rsid w:val="005E23F5"/>
    <w:rsid w:val="005F146F"/>
    <w:rsid w:val="005F71B6"/>
    <w:rsid w:val="00603E33"/>
    <w:rsid w:val="00654372"/>
    <w:rsid w:val="00654786"/>
    <w:rsid w:val="00660FD4"/>
    <w:rsid w:val="00665BE4"/>
    <w:rsid w:val="006A4425"/>
    <w:rsid w:val="006A7CAA"/>
    <w:rsid w:val="006B00A4"/>
    <w:rsid w:val="006B4669"/>
    <w:rsid w:val="006D3CFA"/>
    <w:rsid w:val="006E44A0"/>
    <w:rsid w:val="006F6BF8"/>
    <w:rsid w:val="00700671"/>
    <w:rsid w:val="00707BDF"/>
    <w:rsid w:val="00710727"/>
    <w:rsid w:val="00715F45"/>
    <w:rsid w:val="0072608F"/>
    <w:rsid w:val="00731815"/>
    <w:rsid w:val="00731B84"/>
    <w:rsid w:val="00734AE7"/>
    <w:rsid w:val="0079344E"/>
    <w:rsid w:val="00794EEA"/>
    <w:rsid w:val="007A4883"/>
    <w:rsid w:val="007E197F"/>
    <w:rsid w:val="007E2786"/>
    <w:rsid w:val="007E4686"/>
    <w:rsid w:val="007F68C4"/>
    <w:rsid w:val="008153DE"/>
    <w:rsid w:val="00852A10"/>
    <w:rsid w:val="00862634"/>
    <w:rsid w:val="00866C59"/>
    <w:rsid w:val="00877306"/>
    <w:rsid w:val="00885524"/>
    <w:rsid w:val="008A6242"/>
    <w:rsid w:val="008B4BC6"/>
    <w:rsid w:val="008D072E"/>
    <w:rsid w:val="008E44F9"/>
    <w:rsid w:val="008E6066"/>
    <w:rsid w:val="008F6743"/>
    <w:rsid w:val="00901E57"/>
    <w:rsid w:val="009070DF"/>
    <w:rsid w:val="00934077"/>
    <w:rsid w:val="00935F0E"/>
    <w:rsid w:val="0095208F"/>
    <w:rsid w:val="00977B3F"/>
    <w:rsid w:val="009814AE"/>
    <w:rsid w:val="009901D3"/>
    <w:rsid w:val="00996BBE"/>
    <w:rsid w:val="009B2C03"/>
    <w:rsid w:val="009D17B9"/>
    <w:rsid w:val="009D1DD5"/>
    <w:rsid w:val="009E7971"/>
    <w:rsid w:val="009F722C"/>
    <w:rsid w:val="00A26157"/>
    <w:rsid w:val="00A265C3"/>
    <w:rsid w:val="00A43F9A"/>
    <w:rsid w:val="00A53F38"/>
    <w:rsid w:val="00A543D4"/>
    <w:rsid w:val="00AD0014"/>
    <w:rsid w:val="00AD4CF2"/>
    <w:rsid w:val="00AF0BBA"/>
    <w:rsid w:val="00B04B81"/>
    <w:rsid w:val="00B25159"/>
    <w:rsid w:val="00B30468"/>
    <w:rsid w:val="00B32A13"/>
    <w:rsid w:val="00B35FB7"/>
    <w:rsid w:val="00B44E31"/>
    <w:rsid w:val="00B7036E"/>
    <w:rsid w:val="00B85B3F"/>
    <w:rsid w:val="00BA4F7E"/>
    <w:rsid w:val="00BA7FF4"/>
    <w:rsid w:val="00BB2C41"/>
    <w:rsid w:val="00BC55C8"/>
    <w:rsid w:val="00BC5C10"/>
    <w:rsid w:val="00BE2964"/>
    <w:rsid w:val="00C21623"/>
    <w:rsid w:val="00C24FBD"/>
    <w:rsid w:val="00C3219B"/>
    <w:rsid w:val="00C473BA"/>
    <w:rsid w:val="00C611ED"/>
    <w:rsid w:val="00C6490A"/>
    <w:rsid w:val="00C64FE1"/>
    <w:rsid w:val="00C726D2"/>
    <w:rsid w:val="00C74296"/>
    <w:rsid w:val="00C8345E"/>
    <w:rsid w:val="00C97C7A"/>
    <w:rsid w:val="00CA5F7C"/>
    <w:rsid w:val="00CB6804"/>
    <w:rsid w:val="00CD56CC"/>
    <w:rsid w:val="00D2291B"/>
    <w:rsid w:val="00D4368C"/>
    <w:rsid w:val="00D51067"/>
    <w:rsid w:val="00D75657"/>
    <w:rsid w:val="00D761DE"/>
    <w:rsid w:val="00D85B2F"/>
    <w:rsid w:val="00D960AD"/>
    <w:rsid w:val="00DA0E0E"/>
    <w:rsid w:val="00DB0885"/>
    <w:rsid w:val="00DB0C39"/>
    <w:rsid w:val="00DB7679"/>
    <w:rsid w:val="00DF1702"/>
    <w:rsid w:val="00DF34A1"/>
    <w:rsid w:val="00DF4DD8"/>
    <w:rsid w:val="00DF668E"/>
    <w:rsid w:val="00E04826"/>
    <w:rsid w:val="00E14D2B"/>
    <w:rsid w:val="00E20DBA"/>
    <w:rsid w:val="00E420D9"/>
    <w:rsid w:val="00E44AAA"/>
    <w:rsid w:val="00E521F6"/>
    <w:rsid w:val="00E6524A"/>
    <w:rsid w:val="00E660D6"/>
    <w:rsid w:val="00E66AE7"/>
    <w:rsid w:val="00E771AB"/>
    <w:rsid w:val="00EA796F"/>
    <w:rsid w:val="00EB077B"/>
    <w:rsid w:val="00EC50B9"/>
    <w:rsid w:val="00ED17E1"/>
    <w:rsid w:val="00ED26A0"/>
    <w:rsid w:val="00F01EB8"/>
    <w:rsid w:val="00F14AD5"/>
    <w:rsid w:val="00F1727A"/>
    <w:rsid w:val="00F21443"/>
    <w:rsid w:val="00F34764"/>
    <w:rsid w:val="00F54E3C"/>
    <w:rsid w:val="00F66810"/>
    <w:rsid w:val="00F77658"/>
    <w:rsid w:val="00F8217F"/>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SingleTxtGAChar">
    <w:name w:val="_ Single Txt_GA Char"/>
    <w:link w:val="SingleTxtGA"/>
    <w:rsid w:val="00C97C7A"/>
    <w:rPr>
      <w:rFonts w:cs="Traditional Arabic"/>
      <w:szCs w:val="30"/>
      <w:lang w:val="en-US" w:eastAsia="en-US" w:bidi="ar-SA"/>
    </w:rPr>
  </w:style>
  <w:style w:type="paragraph" w:customStyle="1" w:styleId="SingleTxt">
    <w:name w:val="__Single Txt"/>
    <w:basedOn w:val="Normal"/>
    <w:rsid w:val="00C97C7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9</Pages>
  <Words>2659</Words>
  <Characters>15161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CCPR/C/KWT/CO/2</vt:lpstr>
    </vt:vector>
  </TitlesOfParts>
  <Company>CSD</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CCPR/C/KWT/CO/2</dc:title>
  <dc:subject>MONA ALY/SEDIKI</dc:subject>
  <dc:creator>GAMAL</dc:creator>
  <cp:keywords/>
  <dc:description>Morcos</dc:description>
  <cp:lastModifiedBy>GAMAL</cp:lastModifiedBy>
  <cp:revision>2</cp:revision>
  <cp:lastPrinted>2011-12-14T15:30:00Z</cp:lastPrinted>
  <dcterms:created xsi:type="dcterms:W3CDTF">2011-12-15T10:01:00Z</dcterms:created>
  <dcterms:modified xsi:type="dcterms:W3CDTF">2011-12-15T10:01:00Z</dcterms:modified>
</cp:coreProperties>
</file>