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rFonts w:hint="eastAsia"/>
        </w:rPr>
      </w:pPr>
      <w:r>
        <w:rPr>
          <w:rFonts w:hint="eastAsia"/>
        </w:rPr>
        <w:t>人权事务委员会</w:t>
      </w:r>
    </w:p>
    <w:p w:rsidR="00000000" w:rsidRDefault="00000000">
      <w:pPr>
        <w:rPr>
          <w:rFonts w:hint="eastAsia"/>
        </w:rPr>
      </w:pPr>
      <w:r>
        <w:rPr>
          <w:rFonts w:hint="eastAsia"/>
        </w:rPr>
        <w:t>第八十九届会议</w:t>
      </w:r>
    </w:p>
    <w:p w:rsidR="00000000" w:rsidRDefault="00000000">
      <w:pPr>
        <w:rPr>
          <w:rFonts w:hint="eastAsia"/>
        </w:rPr>
      </w:pPr>
      <w:r>
        <w:rPr>
          <w:rFonts w:hint="eastAsia"/>
        </w:rPr>
        <w:t>2007</w:t>
      </w:r>
      <w:r>
        <w:rPr>
          <w:rFonts w:hint="eastAsia"/>
        </w:rPr>
        <w:t>年</w:t>
      </w:r>
      <w:r>
        <w:rPr>
          <w:rFonts w:hint="eastAsia"/>
        </w:rPr>
        <w:t>3</w:t>
      </w:r>
      <w:r>
        <w:rPr>
          <w:rFonts w:hint="eastAsia"/>
        </w:rPr>
        <w:t>月</w:t>
      </w:r>
      <w:r>
        <w:rPr>
          <w:rFonts w:hint="eastAsia"/>
        </w:rPr>
        <w:t>12</w:t>
      </w:r>
      <w:r>
        <w:rPr>
          <w:rFonts w:hint="eastAsia"/>
        </w:rPr>
        <w:t>日至</w:t>
      </w:r>
      <w:r>
        <w:rPr>
          <w:rFonts w:hint="eastAsia"/>
        </w:rPr>
        <w:t>30</w:t>
      </w:r>
      <w:r>
        <w:rPr>
          <w:rFonts w:hint="eastAsia"/>
        </w:rPr>
        <w:t>日，纽约</w:t>
      </w:r>
    </w:p>
    <w:p w:rsidR="00000000" w:rsidRDefault="00000000">
      <w:pPr>
        <w:rPr>
          <w:rFonts w:hint="eastAsia"/>
        </w:rPr>
      </w:pPr>
    </w:p>
    <w:p w:rsidR="00000000" w:rsidRDefault="00000000">
      <w:pPr>
        <w:pStyle w:val="Heading2"/>
        <w:rPr>
          <w:rFonts w:ascii="Time New Roman" w:eastAsia="SimHei" w:hAnsi="Time New Roman" w:hint="eastAsia"/>
        </w:rPr>
      </w:pPr>
      <w:r>
        <w:rPr>
          <w:rFonts w:ascii="Time New Roman" w:eastAsia="SimHei" w:hAnsi="Time New Roman" w:hint="eastAsia"/>
        </w:rPr>
        <w:t>审议缔约国根据《公约》第四十条提交的报告</w:t>
      </w:r>
    </w:p>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人权事务委员会的结论性意见</w:t>
      </w:r>
    </w:p>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马达加斯加</w:t>
      </w:r>
    </w:p>
    <w:p w:rsidR="00000000" w:rsidRDefault="00000000">
      <w:pPr>
        <w:spacing w:after="320"/>
        <w:ind w:firstLine="510"/>
        <w:rPr>
          <w:rFonts w:hint="eastAsia"/>
          <w:color w:val="000000"/>
          <w:lang w:val="fr-FR"/>
        </w:rPr>
      </w:pPr>
      <w:r>
        <w:rPr>
          <w:rFonts w:hint="eastAsia"/>
        </w:rPr>
        <w:t>1</w:t>
      </w:r>
      <w:r>
        <w:t>.</w:t>
      </w:r>
      <w:r>
        <w:rPr>
          <w:rFonts w:hint="eastAsia"/>
        </w:rPr>
        <w:t xml:space="preserve">  </w:t>
      </w:r>
      <w:r>
        <w:rPr>
          <w:rFonts w:hint="eastAsia"/>
        </w:rPr>
        <w:t>委员会分别在</w:t>
      </w:r>
      <w:r>
        <w:rPr>
          <w:rFonts w:hint="eastAsia"/>
        </w:rPr>
        <w:t>2007</w:t>
      </w:r>
      <w:r>
        <w:rPr>
          <w:rFonts w:hint="eastAsia"/>
        </w:rPr>
        <w:t>年</w:t>
      </w:r>
      <w:r>
        <w:rPr>
          <w:rFonts w:hint="eastAsia"/>
        </w:rPr>
        <w:t>3</w:t>
      </w:r>
      <w:r>
        <w:rPr>
          <w:rFonts w:hint="eastAsia"/>
        </w:rPr>
        <w:t>月</w:t>
      </w:r>
      <w:r>
        <w:rPr>
          <w:rFonts w:hint="eastAsia"/>
        </w:rPr>
        <w:t>12</w:t>
      </w:r>
      <w:r>
        <w:rPr>
          <w:rFonts w:hint="eastAsia"/>
        </w:rPr>
        <w:t>日和</w:t>
      </w:r>
      <w:r>
        <w:rPr>
          <w:rFonts w:hint="eastAsia"/>
        </w:rPr>
        <w:t>13</w:t>
      </w:r>
      <w:r>
        <w:rPr>
          <w:rFonts w:hint="eastAsia"/>
        </w:rPr>
        <w:t>日举行的第</w:t>
      </w:r>
      <w:r>
        <w:rPr>
          <w:rFonts w:hint="eastAsia"/>
        </w:rPr>
        <w:t>2425</w:t>
      </w:r>
      <w:r>
        <w:rPr>
          <w:rFonts w:hint="eastAsia"/>
        </w:rPr>
        <w:t>次和</w:t>
      </w:r>
      <w:r>
        <w:rPr>
          <w:rFonts w:hint="eastAsia"/>
        </w:rPr>
        <w:t>2426</w:t>
      </w:r>
      <w:r>
        <w:rPr>
          <w:rFonts w:hint="eastAsia"/>
        </w:rPr>
        <w:t>次会议</w:t>
      </w:r>
      <w:r>
        <w:rPr>
          <w:color w:val="000000"/>
        </w:rPr>
        <w:t>(CCPR/C/SR.2425</w:t>
      </w:r>
      <w:r>
        <w:rPr>
          <w:rFonts w:hint="eastAsia"/>
          <w:color w:val="000000"/>
        </w:rPr>
        <w:t>和</w:t>
      </w:r>
      <w:r>
        <w:rPr>
          <w:color w:val="000000"/>
        </w:rPr>
        <w:t>CCPR/C/SR.2426)</w:t>
      </w:r>
      <w:r>
        <w:rPr>
          <w:rFonts w:hint="eastAsia"/>
          <w:color w:val="000000"/>
        </w:rPr>
        <w:t>上审议了马达加斯加的第三次定期报告</w:t>
      </w:r>
      <w:r>
        <w:rPr>
          <w:color w:val="000000"/>
          <w:lang w:val="fr-FR"/>
        </w:rPr>
        <w:t>(CCPR/C/MDG/2005/3)</w:t>
      </w:r>
      <w:r>
        <w:rPr>
          <w:rFonts w:hint="eastAsia"/>
          <w:color w:val="000000"/>
          <w:lang w:val="fr-FR"/>
        </w:rPr>
        <w:t>，</w:t>
      </w:r>
      <w:r>
        <w:rPr>
          <w:rFonts w:hint="eastAsia"/>
          <w:color w:val="000000"/>
          <w:spacing w:val="4"/>
          <w:lang w:val="fr-FR"/>
        </w:rPr>
        <w:t>并在</w:t>
      </w:r>
      <w:r>
        <w:rPr>
          <w:rFonts w:hint="eastAsia"/>
          <w:color w:val="000000"/>
          <w:spacing w:val="4"/>
          <w:lang w:val="fr-FR"/>
        </w:rPr>
        <w:t>2007</w:t>
      </w:r>
      <w:r>
        <w:rPr>
          <w:rFonts w:hint="eastAsia"/>
          <w:color w:val="000000"/>
          <w:spacing w:val="4"/>
          <w:lang w:val="fr-FR"/>
        </w:rPr>
        <w:t>年</w:t>
      </w:r>
      <w:r>
        <w:rPr>
          <w:rFonts w:hint="eastAsia"/>
          <w:color w:val="000000"/>
          <w:spacing w:val="4"/>
          <w:lang w:val="fr-FR"/>
        </w:rPr>
        <w:t>3</w:t>
      </w:r>
      <w:r>
        <w:rPr>
          <w:rFonts w:hint="eastAsia"/>
          <w:color w:val="000000"/>
          <w:spacing w:val="4"/>
          <w:lang w:val="fr-FR"/>
        </w:rPr>
        <w:t>月</w:t>
      </w:r>
      <w:r>
        <w:rPr>
          <w:rFonts w:hint="eastAsia"/>
          <w:color w:val="000000"/>
          <w:spacing w:val="4"/>
          <w:lang w:val="fr-FR"/>
        </w:rPr>
        <w:t>23</w:t>
      </w:r>
      <w:r>
        <w:rPr>
          <w:rFonts w:hint="eastAsia"/>
          <w:color w:val="000000"/>
          <w:spacing w:val="4"/>
          <w:lang w:val="fr-FR"/>
        </w:rPr>
        <w:t>日的第</w:t>
      </w:r>
      <w:r>
        <w:rPr>
          <w:rFonts w:hint="eastAsia"/>
          <w:color w:val="000000"/>
          <w:spacing w:val="4"/>
          <w:lang w:val="fr-FR"/>
        </w:rPr>
        <w:t>2442</w:t>
      </w:r>
      <w:r>
        <w:rPr>
          <w:rFonts w:hint="eastAsia"/>
          <w:color w:val="000000"/>
          <w:spacing w:val="4"/>
          <w:lang w:val="fr-FR"/>
        </w:rPr>
        <w:t>次会议</w:t>
      </w:r>
      <w:r>
        <w:rPr>
          <w:color w:val="000000"/>
          <w:spacing w:val="4"/>
          <w:lang w:val="fr-FR"/>
        </w:rPr>
        <w:t>(</w:t>
      </w:r>
      <w:r>
        <w:rPr>
          <w:color w:val="000000"/>
          <w:lang w:val="fr-FR"/>
        </w:rPr>
        <w:t>CCPR/C/SR.2442)</w:t>
      </w:r>
      <w:r>
        <w:rPr>
          <w:rFonts w:hint="eastAsia"/>
          <w:color w:val="000000"/>
          <w:lang w:val="fr-FR"/>
        </w:rPr>
        <w:t>上通过了以下结论性意见。</w:t>
      </w:r>
    </w:p>
    <w:p w:rsidR="00000000" w:rsidRDefault="00000000">
      <w:pPr>
        <w:pStyle w:val="Heading3"/>
        <w:rPr>
          <w:rFonts w:ascii="Time New Roman" w:eastAsia="SimHei" w:hAnsi="Time New Roman" w:hint="eastAsia"/>
          <w:u w:val="none"/>
          <w:lang w:val="fr-FR"/>
        </w:rPr>
      </w:pPr>
      <w:r>
        <w:rPr>
          <w:rFonts w:ascii="Time New Roman" w:eastAsia="SimHei" w:hAnsi="Time New Roman" w:hint="eastAsia"/>
          <w:b/>
          <w:u w:val="none"/>
          <w:lang w:val="fr-FR"/>
        </w:rPr>
        <w:t>A</w:t>
      </w:r>
      <w:r>
        <w:rPr>
          <w:rFonts w:ascii="Time New Roman" w:eastAsia="SimHei" w:hAnsi="Time New Roman" w:hint="eastAsia"/>
          <w:u w:val="none"/>
          <w:lang w:val="fr-FR"/>
        </w:rPr>
        <w:t xml:space="preserve">.  </w:t>
      </w:r>
      <w:r>
        <w:rPr>
          <w:rFonts w:ascii="Time New Roman" w:eastAsia="SimHei" w:hAnsi="Time New Roman" w:hint="eastAsia"/>
          <w:u w:val="none"/>
          <w:lang w:val="fr-FR"/>
        </w:rPr>
        <w:t>导</w:t>
      </w:r>
      <w:r>
        <w:rPr>
          <w:rFonts w:ascii="Time New Roman" w:eastAsia="SimHei" w:hAnsi="Time New Roman" w:hint="eastAsia"/>
          <w:u w:val="none"/>
          <w:lang w:val="fr-FR"/>
        </w:rPr>
        <w:t xml:space="preserve">  </w:t>
      </w:r>
      <w:r>
        <w:rPr>
          <w:rFonts w:ascii="Time New Roman" w:eastAsia="SimHei" w:hAnsi="Time New Roman" w:hint="eastAsia"/>
          <w:u w:val="none"/>
          <w:lang w:val="fr-FR"/>
        </w:rPr>
        <w:t>言</w:t>
      </w:r>
    </w:p>
    <w:p w:rsidR="00000000" w:rsidRDefault="00000000">
      <w:pPr>
        <w:spacing w:after="320"/>
        <w:ind w:firstLine="510"/>
        <w:rPr>
          <w:rFonts w:hint="eastAsia"/>
          <w:color w:val="000000"/>
          <w:lang w:val="fr-FR"/>
        </w:rPr>
      </w:pPr>
      <w:r>
        <w:rPr>
          <w:rFonts w:hint="eastAsia"/>
        </w:rPr>
        <w:t>2</w:t>
      </w:r>
      <w:r>
        <w:t>.</w:t>
      </w:r>
      <w:r>
        <w:rPr>
          <w:rFonts w:hint="eastAsia"/>
        </w:rPr>
        <w:t xml:space="preserve">  </w:t>
      </w:r>
      <w:r>
        <w:rPr>
          <w:rFonts w:hint="eastAsia"/>
        </w:rPr>
        <w:t>委员会很高兴在上一次报告</w:t>
      </w:r>
      <w:r>
        <w:rPr>
          <w:color w:val="000000"/>
          <w:lang w:val="fr-FR"/>
        </w:rPr>
        <w:t>(CCPR/C/28/</w:t>
      </w:r>
      <w:r>
        <w:rPr>
          <w:color w:val="000000"/>
        </w:rPr>
        <w:t>Add.13</w:t>
      </w:r>
      <w:r>
        <w:rPr>
          <w:color w:val="000000"/>
          <w:lang w:val="fr-FR"/>
        </w:rPr>
        <w:t>)</w:t>
      </w:r>
      <w:r>
        <w:rPr>
          <w:rFonts w:hint="eastAsia"/>
          <w:color w:val="000000"/>
          <w:lang w:val="fr-FR"/>
        </w:rPr>
        <w:t>的审查过了</w:t>
      </w:r>
      <w:r>
        <w:rPr>
          <w:rFonts w:hint="eastAsia"/>
          <w:color w:val="000000"/>
          <w:lang w:val="fr-FR"/>
        </w:rPr>
        <w:t>15</w:t>
      </w:r>
      <w:r>
        <w:rPr>
          <w:rFonts w:hint="eastAsia"/>
          <w:color w:val="000000"/>
          <w:lang w:val="fr-FR"/>
        </w:rPr>
        <w:t>年以后重新与缔约国开展对话。它注意到，缔约国提交的报告不仅在国内立法方面，而且还在第二次定期报告审查以来某些司法和体制领域的演进方面载有有用的资料。委员会欢迎与代表团的对话，并感兴趣地注意到对它提出的问题作出的口头和书面答复。</w:t>
      </w:r>
    </w:p>
    <w:p w:rsidR="00000000" w:rsidRDefault="00000000">
      <w:pPr>
        <w:pStyle w:val="Heading3"/>
        <w:rPr>
          <w:rFonts w:ascii="Time New Roman" w:eastAsia="SimHei" w:hAnsi="Time New Roman" w:hint="eastAsia"/>
          <w:u w:val="none"/>
          <w:lang w:val="fr-FR"/>
        </w:rPr>
      </w:pPr>
      <w:r>
        <w:rPr>
          <w:rFonts w:ascii="Time New Roman" w:eastAsia="SimHei" w:hAnsi="Time New Roman" w:hint="eastAsia"/>
          <w:b/>
          <w:u w:val="none"/>
          <w:lang w:val="fr-FR"/>
        </w:rPr>
        <w:t>B</w:t>
      </w:r>
      <w:r>
        <w:rPr>
          <w:rFonts w:ascii="Time New Roman" w:eastAsia="SimHei" w:hAnsi="Time New Roman" w:hint="eastAsia"/>
          <w:u w:val="none"/>
          <w:lang w:val="fr-FR"/>
        </w:rPr>
        <w:t xml:space="preserve">.  </w:t>
      </w:r>
      <w:r>
        <w:rPr>
          <w:rFonts w:ascii="Time New Roman" w:eastAsia="SimHei" w:hAnsi="Time New Roman" w:hint="eastAsia"/>
          <w:u w:val="none"/>
          <w:lang w:val="fr-FR"/>
        </w:rPr>
        <w:t>积极方面</w:t>
      </w:r>
    </w:p>
    <w:p w:rsidR="00000000" w:rsidRDefault="00000000">
      <w:pPr>
        <w:ind w:firstLine="510"/>
        <w:rPr>
          <w:rFonts w:hint="eastAsia"/>
        </w:rPr>
      </w:pPr>
      <w:r>
        <w:rPr>
          <w:rFonts w:hint="eastAsia"/>
        </w:rPr>
        <w:t>3</w:t>
      </w:r>
      <w:r>
        <w:t>.</w:t>
      </w:r>
      <w:r>
        <w:rPr>
          <w:rFonts w:hint="eastAsia"/>
        </w:rPr>
        <w:t xml:space="preserve">  </w:t>
      </w:r>
      <w:r>
        <w:rPr>
          <w:rFonts w:hint="eastAsia"/>
        </w:rPr>
        <w:t>委员会欢迎缔约国为改善某几类弱势群体，特别是艾滋病毒感染者和艾滋病患者以及残疾人的情况而作出的努力。</w:t>
      </w:r>
    </w:p>
    <w:p w:rsidR="00000000" w:rsidRDefault="00000000">
      <w:pPr>
        <w:spacing w:after="320"/>
        <w:ind w:firstLine="510"/>
        <w:rPr>
          <w:rFonts w:hint="eastAsia"/>
          <w:lang w:val="fr-CH"/>
        </w:rPr>
      </w:pPr>
      <w:r>
        <w:rPr>
          <w:rFonts w:hint="eastAsia"/>
        </w:rPr>
        <w:t>4</w:t>
      </w:r>
      <w:r>
        <w:t>.</w:t>
      </w:r>
      <w:r>
        <w:rPr>
          <w:rFonts w:hint="eastAsia"/>
        </w:rPr>
        <w:t xml:space="preserve">  </w:t>
      </w:r>
      <w:r>
        <w:rPr>
          <w:rFonts w:hint="eastAsia"/>
        </w:rPr>
        <w:t>委员会感兴趣地注意到，缔约国努力加强司法机构的运作，并强调根据《班加罗尔司法伦理原则》</w:t>
      </w:r>
      <w:r>
        <w:rPr>
          <w:color w:val="000000"/>
          <w:lang w:val="fr-FR"/>
        </w:rPr>
        <w:t>(</w:t>
      </w:r>
      <w:r>
        <w:rPr>
          <w:lang w:val="fr-CH"/>
        </w:rPr>
        <w:t>E/CN.4/2003/65</w:t>
      </w:r>
      <w:r>
        <w:rPr>
          <w:rFonts w:hint="eastAsia"/>
          <w:lang w:val="fr-CH"/>
        </w:rPr>
        <w:t>，附件</w:t>
      </w:r>
      <w:r>
        <w:rPr>
          <w:lang w:val="fr-CH"/>
        </w:rPr>
        <w:t>)</w:t>
      </w:r>
      <w:r>
        <w:rPr>
          <w:rFonts w:hint="eastAsia"/>
          <w:lang w:val="fr-CH"/>
        </w:rPr>
        <w:t>制订的《道德守则》的重要性。</w:t>
      </w:r>
    </w:p>
    <w:p w:rsidR="00000000" w:rsidRDefault="00000000">
      <w:pPr>
        <w:pStyle w:val="Heading3"/>
        <w:rPr>
          <w:rFonts w:ascii="Time New Roman" w:eastAsia="SimHei" w:hAnsi="Time New Roman" w:hint="eastAsia"/>
          <w:u w:val="none"/>
        </w:rPr>
      </w:pPr>
      <w:r>
        <w:rPr>
          <w:rFonts w:ascii="Time New Roman" w:eastAsia="SimHei" w:hAnsi="Time New Roman" w:hint="eastAsia"/>
          <w:b/>
          <w:u w:val="none"/>
        </w:rPr>
        <w:t>C</w:t>
      </w:r>
      <w:r>
        <w:rPr>
          <w:rFonts w:ascii="Time New Roman" w:eastAsia="SimHei" w:hAnsi="Time New Roman"/>
          <w:u w:val="none"/>
        </w:rPr>
        <w:t>.</w:t>
      </w:r>
      <w:r>
        <w:rPr>
          <w:rFonts w:ascii="Time New Roman" w:eastAsia="SimHei" w:hAnsi="Time New Roman" w:hint="eastAsia"/>
          <w:u w:val="none"/>
        </w:rPr>
        <w:t xml:space="preserve">  </w:t>
      </w:r>
      <w:r>
        <w:rPr>
          <w:rFonts w:ascii="Time New Roman" w:eastAsia="SimHei" w:hAnsi="Time New Roman" w:hint="eastAsia"/>
          <w:u w:val="none"/>
        </w:rPr>
        <w:t>关注的主要问题和建议</w:t>
      </w:r>
    </w:p>
    <w:p w:rsidR="00000000" w:rsidRDefault="00000000">
      <w:pPr>
        <w:ind w:firstLine="510"/>
        <w:rPr>
          <w:rFonts w:hint="eastAsia"/>
        </w:rPr>
      </w:pPr>
      <w:r>
        <w:rPr>
          <w:rFonts w:hint="eastAsia"/>
        </w:rPr>
        <w:t>5</w:t>
      </w:r>
      <w:r>
        <w:t>.</w:t>
      </w:r>
      <w:r>
        <w:rPr>
          <w:rFonts w:hint="eastAsia"/>
        </w:rPr>
        <w:t xml:space="preserve">  </w:t>
      </w:r>
      <w:r>
        <w:rPr>
          <w:rFonts w:hint="eastAsia"/>
        </w:rPr>
        <w:t>委员会表示遗憾，缔约国对《公约》在其法制中的确切地位没有提供确切的资料。它还表示遗憾，在执行《公约》及其为保护个人权利而提供的机会方面没有重要的判例</w:t>
      </w:r>
      <w:r>
        <w:rPr>
          <w:rFonts w:hint="eastAsia"/>
        </w:rPr>
        <w:t>(</w:t>
      </w:r>
      <w:r>
        <w:rPr>
          <w:rFonts w:hint="eastAsia"/>
        </w:rPr>
        <w:t>第二条</w:t>
      </w:r>
      <w:r>
        <w:rPr>
          <w:rFonts w:hint="eastAsia"/>
        </w:rPr>
        <w:t>)</w:t>
      </w:r>
      <w:r>
        <w:rPr>
          <w:rFonts w:hint="eastAsia"/>
        </w:rPr>
        <w:t>。</w:t>
      </w:r>
    </w:p>
    <w:p w:rsidR="00000000" w:rsidRDefault="00000000">
      <w:pPr>
        <w:ind w:left="1020" w:firstLine="510"/>
        <w:rPr>
          <w:rFonts w:ascii="Time New Roman" w:eastAsia="SimHei" w:hAnsi="Time New Roman" w:hint="eastAsia"/>
        </w:rPr>
      </w:pPr>
      <w:r>
        <w:rPr>
          <w:rFonts w:ascii="Time New Roman" w:eastAsia="SimHei" w:hAnsi="Time New Roman" w:hint="eastAsia"/>
        </w:rPr>
        <w:t>缔约国应确保《公约》享有其《宪法》序言部分及其条款给予的地位，并确保法庭能有效地援引并实施《公约》。</w:t>
      </w:r>
    </w:p>
    <w:p w:rsidR="00000000" w:rsidRDefault="00000000">
      <w:pPr>
        <w:ind w:firstLine="510"/>
        <w:rPr>
          <w:rFonts w:hint="eastAsia"/>
        </w:rPr>
      </w:pPr>
      <w:r>
        <w:rPr>
          <w:rFonts w:hint="eastAsia"/>
        </w:rPr>
        <w:t xml:space="preserve">6.  </w:t>
      </w:r>
      <w:r>
        <w:rPr>
          <w:rFonts w:hint="eastAsia"/>
        </w:rPr>
        <w:t>委员会注意到缔约国表明：在《宪法》第</w:t>
      </w:r>
      <w:r>
        <w:rPr>
          <w:rFonts w:hint="eastAsia"/>
        </w:rPr>
        <w:t>8</w:t>
      </w:r>
      <w:r>
        <w:rPr>
          <w:rFonts w:hint="eastAsia"/>
        </w:rPr>
        <w:t>条的英文本和法文本中，它只禁止歧视自己的国民，而在马达加斯加语的文本中则将这条禁令适用于缔约国管辖下的所有人。英文本和法文本有可能引起违反《公约》的规定的情况。</w:t>
      </w:r>
    </w:p>
    <w:p w:rsidR="00000000" w:rsidRDefault="00000000">
      <w:pPr>
        <w:ind w:left="1020" w:firstLine="510"/>
        <w:rPr>
          <w:rFonts w:ascii="Time New Roman" w:eastAsia="SimHei" w:hAnsi="Time New Roman" w:hint="eastAsia"/>
        </w:rPr>
      </w:pPr>
      <w:r>
        <w:rPr>
          <w:rFonts w:ascii="Time New Roman" w:eastAsia="SimHei" w:hAnsi="Time New Roman" w:hint="eastAsia"/>
        </w:rPr>
        <w:t>缔约国应确保各文本在语言上的一致，以限制歧视的可能性，并为它管辖下所有人的利益落实《公约》的规定。</w:t>
      </w:r>
    </w:p>
    <w:p w:rsidR="00000000" w:rsidRDefault="00000000">
      <w:pPr>
        <w:ind w:firstLine="510"/>
        <w:rPr>
          <w:rFonts w:hint="eastAsia"/>
        </w:rPr>
      </w:pPr>
      <w:r>
        <w:rPr>
          <w:rFonts w:hint="eastAsia"/>
        </w:rPr>
        <w:t>7</w:t>
      </w:r>
      <w:r>
        <w:t>.</w:t>
      </w:r>
      <w:r>
        <w:rPr>
          <w:rFonts w:hint="eastAsia"/>
        </w:rPr>
        <w:t xml:space="preserve">  </w:t>
      </w:r>
      <w:r>
        <w:rPr>
          <w:rFonts w:hint="eastAsia"/>
        </w:rPr>
        <w:t>委员会感兴趣地注意到，</w:t>
      </w:r>
      <w:r>
        <w:rPr>
          <w:rFonts w:hint="eastAsia"/>
        </w:rPr>
        <w:t>1996</w:t>
      </w:r>
      <w:r>
        <w:rPr>
          <w:rFonts w:hint="eastAsia"/>
        </w:rPr>
        <w:t>年设立了一个国家人权委员会。但它也注意到，该委员会的组成没有更新，其成员的任期没有延长。现在该委员会没有发挥作用，不能审理个人提交的申诉</w:t>
      </w:r>
      <w:r>
        <w:rPr>
          <w:rFonts w:hint="eastAsia"/>
        </w:rPr>
        <w:t>(</w:t>
      </w:r>
      <w:r>
        <w:rPr>
          <w:rFonts w:hint="eastAsia"/>
        </w:rPr>
        <w:t>第二条</w:t>
      </w:r>
      <w:r>
        <w:rPr>
          <w:rFonts w:hint="eastAsia"/>
        </w:rPr>
        <w:t>)</w:t>
      </w:r>
      <w:r>
        <w:rPr>
          <w:rFonts w:hint="eastAsia"/>
        </w:rPr>
        <w:t>。</w:t>
      </w:r>
    </w:p>
    <w:p w:rsidR="00000000" w:rsidRDefault="00000000">
      <w:pPr>
        <w:ind w:left="1020" w:firstLine="510"/>
        <w:rPr>
          <w:rFonts w:ascii="Time New Roman" w:eastAsia="SimHei" w:hAnsi="Time New Roman" w:hint="eastAsia"/>
        </w:rPr>
      </w:pPr>
      <w:r>
        <w:rPr>
          <w:rFonts w:ascii="Time New Roman" w:eastAsia="SimHei" w:hAnsi="Time New Roman" w:hint="eastAsia"/>
        </w:rPr>
        <w:t>缔约国应采取必要措施，根据《关于增进和保护人权的国家机构的地位的巴黎原则》</w:t>
      </w:r>
      <w:r>
        <w:rPr>
          <w:rFonts w:ascii="Time New Roman" w:eastAsia="SimHei" w:hAnsi="Time New Roman" w:hint="eastAsia"/>
        </w:rPr>
        <w:t>(</w:t>
      </w:r>
      <w:r>
        <w:rPr>
          <w:rFonts w:ascii="Time New Roman" w:eastAsia="SimHei" w:hAnsi="Time New Roman" w:hint="eastAsia"/>
        </w:rPr>
        <w:t>大会第</w:t>
      </w:r>
      <w:r>
        <w:rPr>
          <w:rFonts w:ascii="Time New Roman" w:eastAsia="SimHei" w:hAnsi="Time New Roman" w:hint="eastAsia"/>
          <w:b/>
        </w:rPr>
        <w:t>48</w:t>
      </w:r>
      <w:r>
        <w:rPr>
          <w:rFonts w:ascii="Time New Roman" w:eastAsia="SimHei" w:hAnsi="Time New Roman" w:hint="eastAsia"/>
        </w:rPr>
        <w:t>/</w:t>
      </w:r>
      <w:r>
        <w:rPr>
          <w:rFonts w:ascii="Time New Roman" w:eastAsia="SimHei" w:hAnsi="Time New Roman" w:hint="eastAsia"/>
          <w:b/>
        </w:rPr>
        <w:t>134</w:t>
      </w:r>
      <w:r>
        <w:rPr>
          <w:rFonts w:ascii="Time New Roman" w:eastAsia="SimHei" w:hAnsi="Time New Roman" w:hint="eastAsia"/>
        </w:rPr>
        <w:t>号决议，附件</w:t>
      </w:r>
      <w:r>
        <w:rPr>
          <w:rFonts w:ascii="Time New Roman" w:eastAsia="SimHei" w:hAnsi="Time New Roman" w:hint="eastAsia"/>
        </w:rPr>
        <w:t>)</w:t>
      </w:r>
      <w:r>
        <w:rPr>
          <w:rFonts w:ascii="Time New Roman" w:eastAsia="SimHei" w:hAnsi="Time New Roman" w:hint="eastAsia"/>
        </w:rPr>
        <w:t>确保委员会恢复工作。还请缔约国向它提供充分的资源，使它能够有效、充分并正常地发挥作用。</w:t>
      </w:r>
    </w:p>
    <w:p w:rsidR="00000000" w:rsidRDefault="00000000">
      <w:pPr>
        <w:ind w:firstLine="510"/>
        <w:rPr>
          <w:rFonts w:hint="eastAsia"/>
        </w:rPr>
      </w:pPr>
      <w:r>
        <w:rPr>
          <w:rFonts w:hint="eastAsia"/>
        </w:rPr>
        <w:t>8</w:t>
      </w:r>
      <w:r>
        <w:t>.</w:t>
      </w:r>
      <w:r>
        <w:rPr>
          <w:rFonts w:hint="eastAsia"/>
        </w:rPr>
        <w:t xml:space="preserve">  </w:t>
      </w:r>
      <w:r>
        <w:rPr>
          <w:rFonts w:hint="eastAsia"/>
        </w:rPr>
        <w:t>委员会关注对促进男女真正平等以及提高妇女地位和保护妇女的努力形成阻碍的风俗习惯</w:t>
      </w:r>
      <w:r>
        <w:rPr>
          <w:rFonts w:hint="eastAsia"/>
        </w:rPr>
        <w:t>(</w:t>
      </w:r>
      <w:r>
        <w:rPr>
          <w:rFonts w:hint="eastAsia"/>
        </w:rPr>
        <w:t>第三条</w:t>
      </w:r>
      <w:r>
        <w:rPr>
          <w:rFonts w:hint="eastAsia"/>
        </w:rPr>
        <w:t>)</w:t>
      </w:r>
      <w:r>
        <w:rPr>
          <w:rFonts w:hint="eastAsia"/>
        </w:rPr>
        <w:t>。</w:t>
      </w:r>
    </w:p>
    <w:p w:rsidR="00000000" w:rsidRDefault="00000000">
      <w:pPr>
        <w:ind w:left="1020" w:firstLine="510"/>
        <w:rPr>
          <w:rFonts w:ascii="Time New Roman" w:eastAsia="SimHei" w:hAnsi="Time New Roman" w:hint="eastAsia"/>
        </w:rPr>
      </w:pPr>
      <w:r>
        <w:rPr>
          <w:rFonts w:ascii="Time New Roman" w:eastAsia="SimHei" w:hAnsi="Time New Roman" w:hint="eastAsia"/>
        </w:rPr>
        <w:t>缔约国应加强教育和培训方面的努力，以确保男女真正平等，并促进观念和态度的改变，以利于有效遵守《公约》的规定。</w:t>
      </w:r>
    </w:p>
    <w:p w:rsidR="00000000" w:rsidRDefault="00000000">
      <w:pPr>
        <w:ind w:firstLine="510"/>
        <w:rPr>
          <w:rFonts w:hint="eastAsia"/>
        </w:rPr>
      </w:pPr>
      <w:r>
        <w:rPr>
          <w:rFonts w:hint="eastAsia"/>
        </w:rPr>
        <w:t>9</w:t>
      </w:r>
      <w:r>
        <w:t>.</w:t>
      </w:r>
      <w:r>
        <w:rPr>
          <w:rFonts w:hint="eastAsia"/>
        </w:rPr>
        <w:t xml:space="preserve">  </w:t>
      </w:r>
      <w:r>
        <w:rPr>
          <w:rFonts w:hint="eastAsia"/>
        </w:rPr>
        <w:t>委员会注意到，尽管在男女平等方面有所进展，但妇女在公共部门和私人部门中担任管理职位的比率仍然很低。它还对男女报酬的差距表示关注。妇女对政治生活的参与不充分</w:t>
      </w:r>
      <w:r>
        <w:rPr>
          <w:rFonts w:hint="eastAsia"/>
        </w:rPr>
        <w:t>(</w:t>
      </w:r>
      <w:r>
        <w:rPr>
          <w:rFonts w:hint="eastAsia"/>
        </w:rPr>
        <w:t>第三条和第二十六条</w:t>
      </w:r>
      <w:r>
        <w:rPr>
          <w:rFonts w:hint="eastAsia"/>
        </w:rPr>
        <w:t>)</w:t>
      </w:r>
      <w:r>
        <w:rPr>
          <w:rFonts w:hint="eastAsia"/>
        </w:rPr>
        <w:t>。</w:t>
      </w:r>
    </w:p>
    <w:p w:rsidR="00000000" w:rsidRDefault="00000000">
      <w:pPr>
        <w:ind w:left="1020" w:firstLine="510"/>
        <w:rPr>
          <w:rFonts w:ascii="Time New Roman" w:eastAsia="SimHei" w:hAnsi="Time New Roman" w:hint="eastAsia"/>
        </w:rPr>
      </w:pPr>
      <w:r>
        <w:rPr>
          <w:rFonts w:ascii="Time New Roman" w:eastAsia="SimHei" w:hAnsi="Time New Roman" w:hint="eastAsia"/>
        </w:rPr>
        <w:t>缔约国应拟订具体方案，采取有针对性的措施，使妇女能够平等进入公共和私人部门的就业市场，包括担任管理职位，并实现同工同酬。还应切实采取措施鼓励并加强妇女参加政治生活。</w:t>
      </w:r>
    </w:p>
    <w:p w:rsidR="00000000" w:rsidRDefault="00000000">
      <w:pPr>
        <w:ind w:firstLine="510"/>
        <w:rPr>
          <w:rFonts w:hint="eastAsia"/>
        </w:rPr>
      </w:pPr>
      <w:r>
        <w:rPr>
          <w:rFonts w:hint="eastAsia"/>
        </w:rPr>
        <w:t>10</w:t>
      </w:r>
      <w:r>
        <w:t>.</w:t>
      </w:r>
      <w:r>
        <w:rPr>
          <w:rFonts w:hint="eastAsia"/>
        </w:rPr>
        <w:t xml:space="preserve">  </w:t>
      </w:r>
      <w:r>
        <w:rPr>
          <w:rFonts w:hint="eastAsia"/>
        </w:rPr>
        <w:t>委员会对妇女财产继承权方面的不平等仍然表示关注</w:t>
      </w:r>
      <w:r>
        <w:rPr>
          <w:rFonts w:hint="eastAsia"/>
        </w:rPr>
        <w:t>(</w:t>
      </w:r>
      <w:r>
        <w:rPr>
          <w:rFonts w:hint="eastAsia"/>
        </w:rPr>
        <w:t>第三条和第二十六条</w:t>
      </w:r>
      <w:r>
        <w:rPr>
          <w:rFonts w:hint="eastAsia"/>
        </w:rPr>
        <w:t>)</w:t>
      </w:r>
      <w:r>
        <w:rPr>
          <w:rFonts w:hint="eastAsia"/>
        </w:rPr>
        <w:t>。</w:t>
      </w:r>
    </w:p>
    <w:p w:rsidR="00000000" w:rsidRDefault="00000000">
      <w:pPr>
        <w:ind w:left="1020" w:firstLine="510"/>
        <w:rPr>
          <w:rFonts w:ascii="Time New Roman" w:eastAsia="SimHei" w:hAnsi="Time New Roman" w:hint="eastAsia"/>
        </w:rPr>
      </w:pPr>
      <w:r>
        <w:rPr>
          <w:rFonts w:ascii="Time New Roman" w:eastAsia="SimHei" w:hAnsi="Time New Roman" w:hint="eastAsia"/>
        </w:rPr>
        <w:t>缔约国应在这方面采取适当措施，使妇女能够与男性继承人一样继承财产。</w:t>
      </w:r>
    </w:p>
    <w:p w:rsidR="00000000" w:rsidRDefault="00000000">
      <w:pPr>
        <w:ind w:firstLine="510"/>
        <w:rPr>
          <w:rFonts w:hint="eastAsia"/>
        </w:rPr>
      </w:pPr>
      <w:r>
        <w:rPr>
          <w:rFonts w:hint="eastAsia"/>
        </w:rPr>
        <w:t>11</w:t>
      </w:r>
      <w:r>
        <w:t>.</w:t>
      </w:r>
      <w:r>
        <w:rPr>
          <w:rFonts w:hint="eastAsia"/>
        </w:rPr>
        <w:t xml:space="preserve">  </w:t>
      </w:r>
      <w:r>
        <w:rPr>
          <w:rFonts w:hint="eastAsia"/>
        </w:rPr>
        <w:t>委员会对提到许多家庭暴力案件的资料表示关注。这种暴力的受害者主要是由于受到社会和家庭的限制而没有提出申诉</w:t>
      </w:r>
      <w:r>
        <w:rPr>
          <w:rFonts w:hint="eastAsia"/>
        </w:rPr>
        <w:t>(</w:t>
      </w:r>
      <w:r>
        <w:rPr>
          <w:rFonts w:hint="eastAsia"/>
        </w:rPr>
        <w:t>第三条和第七条</w:t>
      </w:r>
      <w:r>
        <w:rPr>
          <w:rFonts w:hint="eastAsia"/>
        </w:rPr>
        <w:t>)</w:t>
      </w:r>
      <w:r>
        <w:rPr>
          <w:rFonts w:hint="eastAsia"/>
        </w:rPr>
        <w:t>。</w:t>
      </w:r>
    </w:p>
    <w:p w:rsidR="00000000" w:rsidRDefault="00000000">
      <w:pPr>
        <w:ind w:left="1020" w:firstLine="510"/>
        <w:rPr>
          <w:rFonts w:ascii="Time New Roman" w:eastAsia="SimHei" w:hAnsi="Time New Roman" w:hint="eastAsia"/>
        </w:rPr>
      </w:pPr>
      <w:r>
        <w:rPr>
          <w:rFonts w:ascii="Time New Roman" w:eastAsia="SimHei" w:hAnsi="Time New Roman" w:hint="eastAsia"/>
        </w:rPr>
        <w:t>缔约国应确保更好地保护妇女，加强预防措施，制裁对妇女与儿童的家庭暴力，根除妇女容易受害的原因，包括在经济上对配偶的依赖。它还应该建立支持受害者的机构，制订提高认识的方案，其中包括对执法者的培训。</w:t>
      </w:r>
    </w:p>
    <w:p w:rsidR="00000000" w:rsidRDefault="00000000">
      <w:pPr>
        <w:ind w:firstLine="510"/>
        <w:rPr>
          <w:rFonts w:hint="eastAsia"/>
        </w:rPr>
      </w:pPr>
      <w:r>
        <w:rPr>
          <w:rFonts w:hint="eastAsia"/>
        </w:rPr>
        <w:t>12</w:t>
      </w:r>
      <w:r>
        <w:t>.</w:t>
      </w:r>
      <w:r>
        <w:rPr>
          <w:rFonts w:hint="eastAsia"/>
        </w:rPr>
        <w:t xml:space="preserve">  </w:t>
      </w:r>
      <w:r>
        <w:rPr>
          <w:rFonts w:hint="eastAsia"/>
        </w:rPr>
        <w:t>委员会表示遗憾，尽管《刑法》禁止一夫多妻制，但在某些地区，这种情况仍然存在，这有损妇女的尊严</w:t>
      </w:r>
      <w:r>
        <w:rPr>
          <w:rFonts w:hint="eastAsia"/>
        </w:rPr>
        <w:t>(</w:t>
      </w:r>
      <w:r>
        <w:rPr>
          <w:rFonts w:hint="eastAsia"/>
        </w:rPr>
        <w:t>第三条和第二十六条</w:t>
      </w:r>
      <w:r>
        <w:rPr>
          <w:rFonts w:hint="eastAsia"/>
        </w:rPr>
        <w:t>)</w:t>
      </w:r>
      <w:r>
        <w:rPr>
          <w:rFonts w:hint="eastAsia"/>
        </w:rPr>
        <w:t>。</w:t>
      </w:r>
    </w:p>
    <w:p w:rsidR="00000000" w:rsidRDefault="00000000">
      <w:pPr>
        <w:ind w:left="1020" w:firstLine="510"/>
        <w:rPr>
          <w:rFonts w:ascii="Time New Roman" w:eastAsia="SimHei" w:hAnsi="Time New Roman" w:hint="eastAsia"/>
        </w:rPr>
      </w:pPr>
      <w:r>
        <w:rPr>
          <w:rFonts w:ascii="Time New Roman" w:eastAsia="SimHei" w:hAnsi="Time New Roman" w:hint="eastAsia"/>
        </w:rPr>
        <w:t>缔约国应确保在它整个领土上毫无保留地实施《刑法》的有关规定，以结束这种做法，并确保遵守《公约》。</w:t>
      </w:r>
    </w:p>
    <w:p w:rsidR="00000000" w:rsidRDefault="00000000">
      <w:pPr>
        <w:ind w:firstLine="510"/>
        <w:rPr>
          <w:rFonts w:hint="eastAsia"/>
        </w:rPr>
      </w:pPr>
      <w:r>
        <w:rPr>
          <w:rFonts w:hint="eastAsia"/>
        </w:rPr>
        <w:t>13</w:t>
      </w:r>
      <w:r>
        <w:t>.</w:t>
      </w:r>
      <w:r>
        <w:rPr>
          <w:rFonts w:hint="eastAsia"/>
        </w:rPr>
        <w:t xml:space="preserve">  </w:t>
      </w:r>
      <w:r>
        <w:rPr>
          <w:rFonts w:hint="eastAsia"/>
        </w:rPr>
        <w:t>委员会表示遗憾，紧急状态法没有具体说明可能会对《公约》的规定带来的克减，也没有规定在实行这种克减方面的保障措施</w:t>
      </w:r>
      <w:r>
        <w:rPr>
          <w:rFonts w:hint="eastAsia"/>
        </w:rPr>
        <w:t>(</w:t>
      </w:r>
      <w:r>
        <w:rPr>
          <w:rFonts w:hint="eastAsia"/>
        </w:rPr>
        <w:t>第四条</w:t>
      </w:r>
      <w:r>
        <w:rPr>
          <w:rFonts w:hint="eastAsia"/>
        </w:rPr>
        <w:t>)</w:t>
      </w:r>
      <w:r>
        <w:rPr>
          <w:rFonts w:hint="eastAsia"/>
        </w:rPr>
        <w:t>。</w:t>
      </w:r>
    </w:p>
    <w:p w:rsidR="00000000" w:rsidRDefault="00000000">
      <w:pPr>
        <w:ind w:left="1020" w:firstLine="510"/>
        <w:rPr>
          <w:rFonts w:ascii="Time New Roman" w:eastAsia="SimHei" w:hAnsi="Time New Roman" w:hint="eastAsia"/>
        </w:rPr>
      </w:pPr>
      <w:r>
        <w:rPr>
          <w:rFonts w:ascii="Time New Roman" w:eastAsia="SimHei" w:hAnsi="Time New Roman" w:hint="eastAsia"/>
        </w:rPr>
        <w:t>缔约国应修订它的立法规定，使之充分符合《公约》第四条。委员会还回顾，根据《公约》第四条第</w:t>
      </w:r>
      <w:r>
        <w:rPr>
          <w:rFonts w:ascii="Time New Roman" w:eastAsia="SimHei" w:hAnsi="Time New Roman" w:hint="eastAsia"/>
          <w:b/>
        </w:rPr>
        <w:t>3</w:t>
      </w:r>
      <w:r>
        <w:rPr>
          <w:rFonts w:ascii="Time New Roman" w:eastAsia="SimHei" w:hAnsi="Time New Roman" w:hint="eastAsia"/>
        </w:rPr>
        <w:t>款，缔约国每一次宣布紧急状态法，它应该通过秘书长通知所有缔约国。</w:t>
      </w:r>
    </w:p>
    <w:p w:rsidR="00000000" w:rsidRDefault="00000000">
      <w:pPr>
        <w:ind w:firstLine="510"/>
        <w:rPr>
          <w:rFonts w:hint="eastAsia"/>
        </w:rPr>
      </w:pPr>
      <w:r>
        <w:rPr>
          <w:rFonts w:hint="eastAsia"/>
        </w:rPr>
        <w:t>14</w:t>
      </w:r>
      <w:r>
        <w:t>.</w:t>
      </w:r>
      <w:r>
        <w:rPr>
          <w:rFonts w:hint="eastAsia"/>
        </w:rPr>
        <w:t xml:space="preserve">  </w:t>
      </w:r>
      <w:r>
        <w:rPr>
          <w:rFonts w:hint="eastAsia"/>
        </w:rPr>
        <w:t>委员会对人工流产，特别是如果母亲的生命受到威胁时的立法表示关注</w:t>
      </w:r>
      <w:r>
        <w:rPr>
          <w:rFonts w:hint="eastAsia"/>
        </w:rPr>
        <w:t>(</w:t>
      </w:r>
      <w:r>
        <w:rPr>
          <w:rFonts w:hint="eastAsia"/>
        </w:rPr>
        <w:t>第六条</w:t>
      </w:r>
      <w:r>
        <w:rPr>
          <w:rFonts w:hint="eastAsia"/>
        </w:rPr>
        <w:t>)</w:t>
      </w:r>
      <w:r>
        <w:rPr>
          <w:rFonts w:hint="eastAsia"/>
        </w:rPr>
        <w:t>。</w:t>
      </w:r>
    </w:p>
    <w:p w:rsidR="00000000" w:rsidRDefault="00000000">
      <w:pPr>
        <w:ind w:left="1020" w:firstLine="510"/>
        <w:rPr>
          <w:rFonts w:ascii="Time New Roman" w:eastAsia="SimHei" w:hAnsi="Time New Roman" w:hint="eastAsia"/>
        </w:rPr>
      </w:pPr>
      <w:r>
        <w:rPr>
          <w:rFonts w:ascii="Time New Roman" w:eastAsia="SimHei" w:hAnsi="Time New Roman" w:hint="eastAsia"/>
        </w:rPr>
        <w:t>缔约国应修订立法，以帮助妇女避免意外怀孕和求助于可能危及其生命的秘密流产方式。它还应该考虑修订关于流产的立法，使它符合《公约》。</w:t>
      </w:r>
    </w:p>
    <w:p w:rsidR="00000000" w:rsidRDefault="00000000">
      <w:pPr>
        <w:ind w:firstLine="510"/>
        <w:rPr>
          <w:rFonts w:hint="eastAsia"/>
        </w:rPr>
      </w:pPr>
      <w:r>
        <w:rPr>
          <w:rFonts w:hint="eastAsia"/>
        </w:rPr>
        <w:t>15</w:t>
      </w:r>
      <w:r>
        <w:t>.</w:t>
      </w:r>
      <w:r>
        <w:rPr>
          <w:rFonts w:hint="eastAsia"/>
        </w:rPr>
        <w:t xml:space="preserve">  </w:t>
      </w:r>
      <w:r>
        <w:rPr>
          <w:rFonts w:hint="eastAsia"/>
        </w:rPr>
        <w:t>委员会关注地注意到，《刑法》列出了大量可判处死刑的罪行，其中包括偷牛。它注意到缔约国的保证，即，实际的判决总是改为终身监禁</w:t>
      </w:r>
      <w:r>
        <w:rPr>
          <w:rFonts w:hint="eastAsia"/>
        </w:rPr>
        <w:t>(</w:t>
      </w:r>
      <w:r>
        <w:rPr>
          <w:rFonts w:hint="eastAsia"/>
        </w:rPr>
        <w:t>第六条</w:t>
      </w:r>
      <w:r>
        <w:rPr>
          <w:rFonts w:hint="eastAsia"/>
        </w:rPr>
        <w:t>)</w:t>
      </w:r>
      <w:r>
        <w:rPr>
          <w:rFonts w:hint="eastAsia"/>
        </w:rPr>
        <w:t>。</w:t>
      </w:r>
    </w:p>
    <w:p w:rsidR="00000000" w:rsidRDefault="00000000">
      <w:pPr>
        <w:ind w:left="1020" w:firstLine="510"/>
        <w:rPr>
          <w:rFonts w:ascii="Time New Roman" w:eastAsia="SimHei" w:hAnsi="Time New Roman" w:hint="eastAsia"/>
        </w:rPr>
      </w:pPr>
      <w:r>
        <w:rPr>
          <w:rFonts w:ascii="Time New Roman" w:eastAsia="SimHei" w:hAnsi="Time New Roman" w:hint="eastAsia"/>
        </w:rPr>
        <w:t>委员会请缔约国正式废除死刑。还请缔约国批准《公约第二项任择议定书》。</w:t>
      </w:r>
    </w:p>
    <w:p w:rsidR="00000000" w:rsidRDefault="00000000">
      <w:pPr>
        <w:ind w:firstLine="510"/>
        <w:rPr>
          <w:rFonts w:hint="eastAsia"/>
        </w:rPr>
      </w:pPr>
      <w:r>
        <w:rPr>
          <w:rFonts w:hint="eastAsia"/>
        </w:rPr>
        <w:t>16</w:t>
      </w:r>
      <w:r>
        <w:t>.</w:t>
      </w:r>
      <w:r>
        <w:rPr>
          <w:rFonts w:hint="eastAsia"/>
        </w:rPr>
        <w:t xml:space="preserve">  </w:t>
      </w:r>
      <w:r>
        <w:rPr>
          <w:rFonts w:hint="eastAsia"/>
        </w:rPr>
        <w:t>委员会对习惯司法制度</w:t>
      </w:r>
      <w:r>
        <w:rPr>
          <w:rFonts w:hint="eastAsia"/>
        </w:rPr>
        <w:t>(</w:t>
      </w:r>
      <w:r>
        <w:rPr>
          <w:rFonts w:hint="eastAsia"/>
        </w:rPr>
        <w:t>迪纳</w:t>
      </w:r>
      <w:r>
        <w:rPr>
          <w:rFonts w:hint="eastAsia"/>
        </w:rPr>
        <w:t>)</w:t>
      </w:r>
      <w:r>
        <w:rPr>
          <w:rFonts w:hint="eastAsia"/>
        </w:rPr>
        <w:t>的存在表示关注，这种司法制度有时不能确保公正审判。它遗憾的是，由于迪纳作的判决而发生了即决处决的情况。它注意到缔约国保证迪纳只能对轻罪干预，而且必须在司法监督下进行</w:t>
      </w:r>
      <w:r>
        <w:rPr>
          <w:rFonts w:hint="eastAsia"/>
        </w:rPr>
        <w:t>(</w:t>
      </w:r>
      <w:r>
        <w:rPr>
          <w:rFonts w:hint="eastAsia"/>
        </w:rPr>
        <w:t>第六条和第十四条</w:t>
      </w:r>
      <w:r>
        <w:rPr>
          <w:rFonts w:hint="eastAsia"/>
        </w:rPr>
        <w:t>)</w:t>
      </w:r>
      <w:r>
        <w:rPr>
          <w:rFonts w:hint="eastAsia"/>
        </w:rPr>
        <w:t>。</w:t>
      </w:r>
    </w:p>
    <w:p w:rsidR="00000000" w:rsidRDefault="00000000">
      <w:pPr>
        <w:ind w:left="1020" w:firstLine="510"/>
        <w:rPr>
          <w:rFonts w:ascii="Time New Roman" w:eastAsia="SimHei" w:hAnsi="Time New Roman" w:hint="eastAsia"/>
        </w:rPr>
      </w:pPr>
      <w:r>
        <w:rPr>
          <w:rFonts w:ascii="Time New Roman" w:eastAsia="SimHei" w:hAnsi="Time New Roman" w:hint="eastAsia"/>
        </w:rPr>
        <w:t>缔约国应确保迪纳在国家法院的监督下管理公正的司法制度。还请缔约国确保不再发生由于迪纳作的判决而施行即决处决的情况，所有被告人都能得到《公约》所载的所有保障。</w:t>
      </w:r>
    </w:p>
    <w:p w:rsidR="00000000" w:rsidRDefault="00000000">
      <w:pPr>
        <w:ind w:firstLine="510"/>
        <w:rPr>
          <w:rFonts w:hint="eastAsia"/>
        </w:rPr>
      </w:pPr>
      <w:r>
        <w:rPr>
          <w:rFonts w:hint="eastAsia"/>
        </w:rPr>
        <w:t>17</w:t>
      </w:r>
      <w:r>
        <w:t>.</w:t>
      </w:r>
      <w:r>
        <w:rPr>
          <w:rFonts w:hint="eastAsia"/>
        </w:rPr>
        <w:t xml:space="preserve">  </w:t>
      </w:r>
      <w:r>
        <w:rPr>
          <w:rFonts w:hint="eastAsia"/>
        </w:rPr>
        <w:t>委员会表示关注，在该岛东南部地区，双胞胎的出生被认为是“凶兆”</w:t>
      </w:r>
      <w:r>
        <w:rPr>
          <w:lang w:val="fr-FR"/>
        </w:rPr>
        <w:t>(CCPR/C/MDG/2005/3</w:t>
      </w:r>
      <w:r>
        <w:rPr>
          <w:rFonts w:hint="eastAsia"/>
          <w:lang w:val="fr-FR"/>
        </w:rPr>
        <w:t>，第</w:t>
      </w:r>
      <w:r>
        <w:rPr>
          <w:lang w:val="fr-FR"/>
        </w:rPr>
        <w:t>86</w:t>
      </w:r>
      <w:r>
        <w:rPr>
          <w:rFonts w:hint="eastAsia"/>
          <w:lang w:val="fr-FR"/>
        </w:rPr>
        <w:t>段</w:t>
      </w:r>
      <w:r>
        <w:rPr>
          <w:lang w:val="fr-FR"/>
        </w:rPr>
        <w:t>)</w:t>
      </w:r>
      <w:r>
        <w:rPr>
          <w:rFonts w:hint="eastAsia"/>
          <w:lang w:val="fr-FR"/>
        </w:rPr>
        <w:t>，因此这个家庭只能在两个新儿中留下一个，而另一个则自动遗弃</w:t>
      </w:r>
      <w:r>
        <w:rPr>
          <w:rFonts w:hint="eastAsia"/>
          <w:lang w:val="fr-FR"/>
        </w:rPr>
        <w:t>(</w:t>
      </w:r>
      <w:r>
        <w:rPr>
          <w:rFonts w:hint="eastAsia"/>
          <w:lang w:val="fr-FR"/>
        </w:rPr>
        <w:t>第六条和第二十四条</w:t>
      </w:r>
      <w:r>
        <w:rPr>
          <w:rFonts w:hint="eastAsia"/>
          <w:lang w:val="fr-FR"/>
        </w:rPr>
        <w:t>)</w:t>
      </w:r>
      <w:r>
        <w:rPr>
          <w:rFonts w:hint="eastAsia"/>
          <w:lang w:val="fr-FR"/>
        </w:rPr>
        <w:t>。</w:t>
      </w:r>
    </w:p>
    <w:p w:rsidR="00000000" w:rsidRDefault="00000000">
      <w:pPr>
        <w:ind w:left="1020" w:firstLine="510"/>
        <w:rPr>
          <w:rFonts w:ascii="Time New Roman" w:eastAsia="SimHei" w:hAnsi="Time New Roman" w:hint="eastAsia"/>
        </w:rPr>
      </w:pPr>
      <w:r>
        <w:rPr>
          <w:rFonts w:ascii="Time New Roman" w:eastAsia="SimHei" w:hAnsi="Time New Roman" w:hint="eastAsia"/>
        </w:rPr>
        <w:t>委员会注意到缔约国在这方面所作的解释，但还是请它适当采取积极、充分和强制性的措施，根除这种做法，确保双胞胎在家庭中得到保护，以使所有儿童能够获益于有效保护的措施。</w:t>
      </w:r>
    </w:p>
    <w:p w:rsidR="00000000" w:rsidRDefault="00000000">
      <w:pPr>
        <w:ind w:firstLine="510"/>
        <w:rPr>
          <w:rFonts w:hint="eastAsia"/>
        </w:rPr>
      </w:pPr>
      <w:r>
        <w:rPr>
          <w:rFonts w:hint="eastAsia"/>
        </w:rPr>
        <w:t xml:space="preserve">18.  </w:t>
      </w:r>
      <w:r>
        <w:rPr>
          <w:rFonts w:hint="eastAsia"/>
        </w:rPr>
        <w:t>委员会注意到，对于要求缔约国提供资料说明据称它在逮捕或拘留期间实行酷刑以及残忍、不人道或有辱人格的待遇的作法，缔约国还没有作出答复。</w:t>
      </w:r>
    </w:p>
    <w:p w:rsidR="00000000" w:rsidRDefault="00000000">
      <w:pPr>
        <w:ind w:left="1020" w:firstLine="510"/>
        <w:rPr>
          <w:rFonts w:eastAsia="SimHei" w:hint="eastAsia"/>
        </w:rPr>
      </w:pPr>
      <w:r>
        <w:rPr>
          <w:rFonts w:eastAsia="SimHei" w:hint="eastAsia"/>
        </w:rPr>
        <w:t>缔约国应提供资料说明为了防止酷刑和虐待而采取的现有措施，并且说明在这种虐待方面收到的申诉数量以及对此采取的行动。</w:t>
      </w:r>
    </w:p>
    <w:p w:rsidR="00000000" w:rsidRDefault="00000000">
      <w:pPr>
        <w:ind w:firstLine="510"/>
        <w:rPr>
          <w:rFonts w:hint="eastAsia"/>
        </w:rPr>
      </w:pPr>
      <w:r>
        <w:rPr>
          <w:rFonts w:hint="eastAsia"/>
        </w:rPr>
        <w:t xml:space="preserve">19.  </w:t>
      </w:r>
      <w:r>
        <w:rPr>
          <w:rFonts w:hint="eastAsia"/>
        </w:rPr>
        <w:t>委员会注意到缔约国批准了《禁止酷刑和其他残忍、不人道或有辱人格的待遇或处罚公约》，但仍然关注，国家立法没有对酷刑下定义，没有将其作为单独的违法行为</w:t>
      </w:r>
      <w:r>
        <w:rPr>
          <w:rFonts w:hint="eastAsia"/>
        </w:rPr>
        <w:t>(</w:t>
      </w:r>
      <w:r>
        <w:rPr>
          <w:rFonts w:hint="eastAsia"/>
        </w:rPr>
        <w:t>第七条</w:t>
      </w:r>
      <w:r>
        <w:rPr>
          <w:rFonts w:hint="eastAsia"/>
        </w:rPr>
        <w:t>)</w:t>
      </w:r>
      <w:r>
        <w:rPr>
          <w:rFonts w:hint="eastAsia"/>
        </w:rPr>
        <w:t>。</w:t>
      </w:r>
    </w:p>
    <w:p w:rsidR="00000000" w:rsidRDefault="00000000">
      <w:pPr>
        <w:ind w:left="1020" w:firstLine="510"/>
        <w:rPr>
          <w:rFonts w:eastAsia="SimHei" w:hint="eastAsia"/>
        </w:rPr>
      </w:pPr>
      <w:r>
        <w:rPr>
          <w:rFonts w:eastAsia="SimHei" w:hint="eastAsia"/>
        </w:rPr>
        <w:t>缔约国应结合国际既定规范，在立法中对酷刑下定义，将其作为一个单独的违法行为，给予适当制裁。</w:t>
      </w:r>
    </w:p>
    <w:p w:rsidR="00000000" w:rsidRDefault="00000000">
      <w:pPr>
        <w:ind w:firstLine="510"/>
        <w:rPr>
          <w:rFonts w:hint="eastAsia"/>
        </w:rPr>
      </w:pPr>
      <w:r>
        <w:rPr>
          <w:rFonts w:hint="eastAsia"/>
        </w:rPr>
        <w:t xml:space="preserve">20.  </w:t>
      </w:r>
      <w:r>
        <w:rPr>
          <w:rFonts w:hint="eastAsia"/>
        </w:rPr>
        <w:t>委员会注意到，即使根据现行国家立法，被捕的人都有权会见一名律师，但实际上，这一权利并不总是能获得尊重。此外，司法援助只向有可能被判</w:t>
      </w:r>
      <w:r>
        <w:rPr>
          <w:rFonts w:hint="eastAsia"/>
        </w:rPr>
        <w:t>5</w:t>
      </w:r>
      <w:r>
        <w:rPr>
          <w:rFonts w:hint="eastAsia"/>
        </w:rPr>
        <w:t>年以上徒刑的人提供</w:t>
      </w:r>
      <w:r>
        <w:rPr>
          <w:rFonts w:hint="eastAsia"/>
        </w:rPr>
        <w:t>(</w:t>
      </w:r>
      <w:r>
        <w:rPr>
          <w:rFonts w:hint="eastAsia"/>
        </w:rPr>
        <w:t>第七、第九、第十和第十四条</w:t>
      </w:r>
      <w:r>
        <w:rPr>
          <w:rFonts w:hint="eastAsia"/>
        </w:rPr>
        <w:t>)</w:t>
      </w:r>
      <w:r>
        <w:rPr>
          <w:rFonts w:hint="eastAsia"/>
        </w:rPr>
        <w:t>。</w:t>
      </w:r>
    </w:p>
    <w:p w:rsidR="00000000" w:rsidRDefault="00000000">
      <w:pPr>
        <w:ind w:left="1020" w:firstLine="510"/>
        <w:rPr>
          <w:rFonts w:eastAsia="SimHei" w:hint="eastAsia"/>
        </w:rPr>
      </w:pPr>
      <w:r>
        <w:rPr>
          <w:rFonts w:eastAsia="SimHei" w:hint="eastAsia"/>
        </w:rPr>
        <w:t>缔约国应修改立法和习例，以保证被捕的人，尤其是支付不起私人辩护律师的人在被捕的一刻起能获得有效的司法援助。</w:t>
      </w:r>
    </w:p>
    <w:p w:rsidR="00000000" w:rsidRDefault="00000000">
      <w:pPr>
        <w:ind w:firstLine="510"/>
        <w:rPr>
          <w:rFonts w:hint="eastAsia"/>
        </w:rPr>
      </w:pPr>
      <w:r>
        <w:rPr>
          <w:rFonts w:hint="eastAsia"/>
        </w:rPr>
        <w:t xml:space="preserve">21.  </w:t>
      </w:r>
      <w:r>
        <w:rPr>
          <w:rFonts w:hint="eastAsia"/>
        </w:rPr>
        <w:t>委员会注意到关于儿童经常被雇用作家庭帮佣的报告，而且雇用条件常常与奴隶一样，容易受到各种虐待，这违反《公约》第八和第二十四条。</w:t>
      </w:r>
    </w:p>
    <w:p w:rsidR="00000000" w:rsidRDefault="00000000">
      <w:pPr>
        <w:ind w:left="1020" w:firstLine="510"/>
        <w:rPr>
          <w:rFonts w:eastAsia="SimHei" w:hint="eastAsia"/>
        </w:rPr>
      </w:pPr>
      <w:r>
        <w:rPr>
          <w:rFonts w:eastAsia="SimHei" w:hint="eastAsia"/>
        </w:rPr>
        <w:t>缔约国应发起宣传运动，采取必要措施，以制止这种作法，并确保遵守《公约》第八和第二十四条的规定。</w:t>
      </w:r>
    </w:p>
    <w:p w:rsidR="00000000" w:rsidRDefault="00000000">
      <w:pPr>
        <w:ind w:firstLine="510"/>
        <w:rPr>
          <w:rFonts w:hint="eastAsia"/>
        </w:rPr>
      </w:pPr>
      <w:r>
        <w:rPr>
          <w:rFonts w:hint="eastAsia"/>
        </w:rPr>
        <w:t xml:space="preserve">22.  </w:t>
      </w:r>
      <w:r>
        <w:rPr>
          <w:rFonts w:hint="eastAsia"/>
        </w:rPr>
        <w:t>委员会表示遗憾，即使最近建造了一些新的监狱设施，对现有的监狱也作了修缮，但监狱依然过于拥挤。拘留条件非常糟糕，被拘留者吃不饱。委员会表示关注，被告人常常没有与已判刑的人分开，未成年人与成年人关押在一起</w:t>
      </w:r>
      <w:r>
        <w:rPr>
          <w:rFonts w:hint="eastAsia"/>
        </w:rPr>
        <w:t>(</w:t>
      </w:r>
      <w:r>
        <w:rPr>
          <w:rFonts w:hint="eastAsia"/>
        </w:rPr>
        <w:t>第九和第十条</w:t>
      </w:r>
      <w:r>
        <w:rPr>
          <w:rFonts w:hint="eastAsia"/>
        </w:rPr>
        <w:t>)</w:t>
      </w:r>
      <w:r>
        <w:rPr>
          <w:rFonts w:hint="eastAsia"/>
        </w:rPr>
        <w:t>。</w:t>
      </w:r>
    </w:p>
    <w:p w:rsidR="00000000" w:rsidRDefault="00000000">
      <w:pPr>
        <w:ind w:left="1020" w:firstLine="510"/>
        <w:rPr>
          <w:rFonts w:eastAsia="SimHei" w:hint="eastAsia"/>
        </w:rPr>
      </w:pPr>
      <w:r>
        <w:rPr>
          <w:rFonts w:eastAsia="SimHei" w:hint="eastAsia"/>
        </w:rPr>
        <w:t>缔约国应继续努力改善其境内的拘留条件，在这方面确保遵守《公约》的规定。它尤其应制订监狱改造方案，确立将被告人与已判刑者分开，将未成年人与其他被拘留者分开的制度。</w:t>
      </w:r>
    </w:p>
    <w:p w:rsidR="00000000" w:rsidRDefault="00000000">
      <w:pPr>
        <w:ind w:firstLine="510"/>
        <w:rPr>
          <w:rFonts w:hint="eastAsia"/>
        </w:rPr>
      </w:pPr>
      <w:r>
        <w:rPr>
          <w:rFonts w:hint="eastAsia"/>
        </w:rPr>
        <w:t xml:space="preserve">23.  </w:t>
      </w:r>
      <w:r>
        <w:rPr>
          <w:rFonts w:hint="eastAsia"/>
        </w:rPr>
        <w:t>委员会仍然关注警察拘留和还押拘留的期限过长，造成长期，有时无期限的拘留</w:t>
      </w:r>
      <w:r>
        <w:rPr>
          <w:rFonts w:hint="eastAsia"/>
        </w:rPr>
        <w:t>(</w:t>
      </w:r>
      <w:r>
        <w:rPr>
          <w:rFonts w:hint="eastAsia"/>
        </w:rPr>
        <w:t>第九和第十条</w:t>
      </w:r>
      <w:r>
        <w:rPr>
          <w:rFonts w:hint="eastAsia"/>
        </w:rPr>
        <w:t>)</w:t>
      </w:r>
      <w:r>
        <w:rPr>
          <w:rFonts w:hint="eastAsia"/>
        </w:rPr>
        <w:t>。</w:t>
      </w:r>
    </w:p>
    <w:p w:rsidR="00000000" w:rsidRDefault="00000000">
      <w:pPr>
        <w:ind w:left="1020" w:firstLine="510"/>
        <w:rPr>
          <w:rFonts w:eastAsia="SimHei" w:hint="eastAsia"/>
        </w:rPr>
      </w:pPr>
      <w:r>
        <w:rPr>
          <w:rFonts w:eastAsia="SimHei" w:hint="eastAsia"/>
        </w:rPr>
        <w:t>缔约国应使其立法和习例符合《公约》的规定，并采取积极措施限制警察拘留和还押拘留的期限《刑事诉讼法》也应据此作修订。</w:t>
      </w:r>
    </w:p>
    <w:p w:rsidR="00000000" w:rsidRDefault="00000000">
      <w:pPr>
        <w:ind w:firstLine="510"/>
        <w:rPr>
          <w:rFonts w:hint="eastAsia"/>
        </w:rPr>
      </w:pPr>
      <w:r>
        <w:rPr>
          <w:rFonts w:hint="eastAsia"/>
        </w:rPr>
        <w:t xml:space="preserve">24.  </w:t>
      </w:r>
      <w:r>
        <w:rPr>
          <w:rFonts w:hint="eastAsia"/>
        </w:rPr>
        <w:t>委员会仍然对缔约国司法制度的某些运作失灵表示关注。许多司法文件可能丢失或者管理不善</w:t>
      </w:r>
      <w:r>
        <w:rPr>
          <w:rFonts w:hint="eastAsia"/>
        </w:rPr>
        <w:t>(</w:t>
      </w:r>
      <w:r>
        <w:rPr>
          <w:rFonts w:hint="eastAsia"/>
        </w:rPr>
        <w:t>第九和第十四条</w:t>
      </w:r>
      <w:r>
        <w:rPr>
          <w:rFonts w:hint="eastAsia"/>
        </w:rPr>
        <w:t>)</w:t>
      </w:r>
      <w:r>
        <w:rPr>
          <w:rFonts w:hint="eastAsia"/>
        </w:rPr>
        <w:t>。</w:t>
      </w:r>
    </w:p>
    <w:p w:rsidR="00000000" w:rsidRDefault="00000000">
      <w:pPr>
        <w:ind w:left="1020" w:firstLine="510"/>
        <w:rPr>
          <w:rFonts w:eastAsia="SimHei" w:hint="eastAsia"/>
        </w:rPr>
      </w:pPr>
      <w:r>
        <w:rPr>
          <w:rFonts w:ascii="Time New Roman" w:eastAsia="SimHei" w:hAnsi="Time New Roman" w:hint="eastAsia"/>
        </w:rPr>
        <w:t>缔约国应确保司法机构根据《公约》和关于法制的原则来正确行使职能。司法当局应有充分的资源来进行良好的运作。被拘留者，凡是没有卷宗</w:t>
      </w:r>
      <w:r>
        <w:rPr>
          <w:rFonts w:eastAsia="SimHei" w:hint="eastAsia"/>
        </w:rPr>
        <w:t>的，均应立即释放。</w:t>
      </w:r>
    </w:p>
    <w:p w:rsidR="00000000" w:rsidRDefault="00000000">
      <w:pPr>
        <w:ind w:firstLine="510"/>
        <w:rPr>
          <w:rFonts w:hint="eastAsia"/>
        </w:rPr>
      </w:pPr>
      <w:r>
        <w:rPr>
          <w:rFonts w:hint="eastAsia"/>
        </w:rPr>
        <w:t xml:space="preserve">25.  </w:t>
      </w:r>
      <w:r>
        <w:rPr>
          <w:rFonts w:hint="eastAsia"/>
        </w:rPr>
        <w:t>委员会关注地注意到，代表团提到有一名囚犯自</w:t>
      </w:r>
      <w:r>
        <w:rPr>
          <w:rFonts w:hint="eastAsia"/>
        </w:rPr>
        <w:t>1978</w:t>
      </w:r>
      <w:r>
        <w:rPr>
          <w:rFonts w:hint="eastAsia"/>
        </w:rPr>
        <w:t>年以来上诉一直没有得到审理</w:t>
      </w:r>
      <w:r>
        <w:rPr>
          <w:rFonts w:hint="eastAsia"/>
        </w:rPr>
        <w:t>(</w:t>
      </w:r>
      <w:r>
        <w:rPr>
          <w:rFonts w:hint="eastAsia"/>
        </w:rPr>
        <w:t>根据缔约国的书面答复，上诉申请是</w:t>
      </w:r>
      <w:r>
        <w:rPr>
          <w:rFonts w:hint="eastAsia"/>
        </w:rPr>
        <w:t>1979</w:t>
      </w:r>
      <w:r>
        <w:rPr>
          <w:rFonts w:hint="eastAsia"/>
        </w:rPr>
        <w:t>年</w:t>
      </w:r>
      <w:r>
        <w:rPr>
          <w:rFonts w:hint="eastAsia"/>
        </w:rPr>
        <w:t>6</w:t>
      </w:r>
      <w:r>
        <w:rPr>
          <w:rFonts w:hint="eastAsia"/>
        </w:rPr>
        <w:t>月</w:t>
      </w:r>
      <w:r>
        <w:rPr>
          <w:rFonts w:hint="eastAsia"/>
        </w:rPr>
        <w:t>21</w:t>
      </w:r>
      <w:r>
        <w:rPr>
          <w:rFonts w:hint="eastAsia"/>
        </w:rPr>
        <w:t>日提出的</w:t>
      </w:r>
      <w:r>
        <w:rPr>
          <w:rFonts w:hint="eastAsia"/>
        </w:rPr>
        <w:t>)</w:t>
      </w:r>
      <w:r>
        <w:rPr>
          <w:rFonts w:hint="eastAsia"/>
        </w:rPr>
        <w:t>。这也许不是孤立的案件</w:t>
      </w:r>
      <w:r>
        <w:rPr>
          <w:rFonts w:hint="eastAsia"/>
        </w:rPr>
        <w:t>(</w:t>
      </w:r>
      <w:r>
        <w:rPr>
          <w:rFonts w:hint="eastAsia"/>
        </w:rPr>
        <w:t>第九和第十四条</w:t>
      </w:r>
      <w:r>
        <w:rPr>
          <w:rFonts w:hint="eastAsia"/>
        </w:rPr>
        <w:t>)</w:t>
      </w:r>
      <w:r>
        <w:rPr>
          <w:rFonts w:hint="eastAsia"/>
        </w:rPr>
        <w:t>。</w:t>
      </w:r>
    </w:p>
    <w:p w:rsidR="00000000" w:rsidRDefault="00000000">
      <w:pPr>
        <w:ind w:left="1020" w:firstLine="510"/>
        <w:rPr>
          <w:rFonts w:ascii="Time New Roman" w:eastAsia="SimHei" w:hAnsi="Time New Roman" w:hint="eastAsia"/>
        </w:rPr>
      </w:pPr>
      <w:r>
        <w:rPr>
          <w:rFonts w:ascii="Time New Roman" w:eastAsia="SimHei" w:hAnsi="Time New Roman" w:hint="eastAsia"/>
        </w:rPr>
        <w:t>缔约国应根据《公约》第</w:t>
      </w:r>
      <w:r>
        <w:rPr>
          <w:rFonts w:ascii="Time New Roman" w:eastAsia="SimHei" w:hAnsi="Time New Roman" w:hint="eastAsia"/>
          <w:bCs/>
        </w:rPr>
        <w:t>十四</w:t>
      </w:r>
      <w:r>
        <w:rPr>
          <w:rFonts w:ascii="Time New Roman" w:eastAsia="SimHei" w:hAnsi="Time New Roman" w:hint="eastAsia"/>
        </w:rPr>
        <w:t>条第</w:t>
      </w:r>
      <w:r>
        <w:rPr>
          <w:rFonts w:ascii="Time New Roman" w:eastAsia="SimHei" w:hAnsi="Time New Roman" w:hint="eastAsia"/>
          <w:b/>
        </w:rPr>
        <w:t>3</w:t>
      </w:r>
      <w:r>
        <w:rPr>
          <w:rFonts w:ascii="Time New Roman" w:eastAsia="SimHei" w:hAnsi="Time New Roman" w:hint="eastAsia"/>
        </w:rPr>
        <w:t>款</w:t>
      </w:r>
      <w:r>
        <w:rPr>
          <w:rFonts w:ascii="Time New Roman" w:eastAsia="SimHei" w:hAnsi="Time New Roman" w:hint="eastAsia"/>
        </w:rPr>
        <w:t>(</w:t>
      </w:r>
      <w:r>
        <w:rPr>
          <w:rFonts w:ascii="Time New Roman" w:eastAsia="SimHei" w:hAnsi="Time New Roman" w:hint="eastAsia"/>
        </w:rPr>
        <w:t>丙</w:t>
      </w:r>
      <w:r>
        <w:rPr>
          <w:rFonts w:ascii="Time New Roman" w:eastAsia="SimHei" w:hAnsi="Time New Roman" w:hint="eastAsia"/>
        </w:rPr>
        <w:t>)</w:t>
      </w:r>
      <w:r>
        <w:rPr>
          <w:rFonts w:ascii="Time New Roman" w:eastAsia="SimHei" w:hAnsi="Time New Roman" w:hint="eastAsia"/>
        </w:rPr>
        <w:t>项对登记的所有案件作审理，不应延误太久。</w:t>
      </w:r>
    </w:p>
    <w:p w:rsidR="00000000" w:rsidRDefault="00000000">
      <w:pPr>
        <w:ind w:firstLine="510"/>
        <w:rPr>
          <w:rFonts w:hint="eastAsia"/>
        </w:rPr>
      </w:pPr>
      <w:r>
        <w:rPr>
          <w:rFonts w:hint="eastAsia"/>
        </w:rPr>
        <w:t xml:space="preserve">26.  </w:t>
      </w:r>
      <w:r>
        <w:rPr>
          <w:rFonts w:hint="eastAsia"/>
        </w:rPr>
        <w:t>委员会对司法机构最高理事会成员的任命方面的现行程序仍然表示关注，因为该理事会拥有广泛的权利，特别是在法官的任免和晋升方面。在阻止行政对司法事务可能的干预方面没有机制</w:t>
      </w:r>
      <w:r>
        <w:rPr>
          <w:rFonts w:hint="eastAsia"/>
        </w:rPr>
        <w:t>(</w:t>
      </w:r>
      <w:r>
        <w:rPr>
          <w:rFonts w:hint="eastAsia"/>
        </w:rPr>
        <w:t>第十四条</w:t>
      </w:r>
      <w:r>
        <w:rPr>
          <w:rFonts w:hint="eastAsia"/>
        </w:rPr>
        <w:t>)</w:t>
      </w:r>
      <w:r>
        <w:rPr>
          <w:rFonts w:hint="eastAsia"/>
        </w:rPr>
        <w:t>。</w:t>
      </w:r>
    </w:p>
    <w:p w:rsidR="00000000" w:rsidRDefault="00000000">
      <w:pPr>
        <w:ind w:left="1020" w:firstLine="510"/>
        <w:rPr>
          <w:rFonts w:ascii="Time New Roman" w:eastAsia="SimHei" w:hAnsi="Time New Roman" w:hint="eastAsia"/>
        </w:rPr>
      </w:pPr>
      <w:r>
        <w:rPr>
          <w:rFonts w:ascii="Time New Roman" w:eastAsia="SimHei" w:hAnsi="Time New Roman" w:hint="eastAsia"/>
        </w:rPr>
        <w:t>缔约国应对任命司法机构最高理事会成员的机制作改革，并保证司法机构的充分独立和公正。</w:t>
      </w:r>
    </w:p>
    <w:p w:rsidR="00000000" w:rsidRDefault="00000000">
      <w:pPr>
        <w:ind w:firstLine="510"/>
        <w:rPr>
          <w:rFonts w:hint="eastAsia"/>
        </w:rPr>
      </w:pPr>
      <w:r>
        <w:rPr>
          <w:rFonts w:hint="eastAsia"/>
        </w:rPr>
        <w:t xml:space="preserve">27.  </w:t>
      </w:r>
      <w:r>
        <w:rPr>
          <w:rFonts w:hint="eastAsia"/>
        </w:rPr>
        <w:t>缔约国应广泛传播它的第三次定期报告和本总结性意见。</w:t>
      </w:r>
    </w:p>
    <w:p w:rsidR="00000000" w:rsidRDefault="00000000">
      <w:pPr>
        <w:ind w:firstLine="510"/>
        <w:rPr>
          <w:rFonts w:hint="eastAsia"/>
        </w:rPr>
      </w:pPr>
      <w:r>
        <w:rPr>
          <w:rFonts w:hint="eastAsia"/>
        </w:rPr>
        <w:t xml:space="preserve">28.  </w:t>
      </w:r>
      <w:r>
        <w:rPr>
          <w:rFonts w:hint="eastAsia"/>
        </w:rPr>
        <w:t>根据《委员会议事规则》第</w:t>
      </w:r>
      <w:r>
        <w:rPr>
          <w:rFonts w:hint="eastAsia"/>
        </w:rPr>
        <w:t>71</w:t>
      </w:r>
      <w:r>
        <w:rPr>
          <w:rFonts w:hint="eastAsia"/>
        </w:rPr>
        <w:t>条第</w:t>
      </w:r>
      <w:r>
        <w:rPr>
          <w:rFonts w:hint="eastAsia"/>
        </w:rPr>
        <w:t>5</w:t>
      </w:r>
      <w:r>
        <w:rPr>
          <w:rFonts w:hint="eastAsia"/>
        </w:rPr>
        <w:t>款，缔约国应在一年之内提交补充资料，说明局势和落实第</w:t>
      </w:r>
      <w:r>
        <w:rPr>
          <w:rFonts w:hint="eastAsia"/>
        </w:rPr>
        <w:t>7</w:t>
      </w:r>
      <w:r>
        <w:rPr>
          <w:rFonts w:hint="eastAsia"/>
        </w:rPr>
        <w:t>、</w:t>
      </w:r>
      <w:r>
        <w:rPr>
          <w:rFonts w:hint="eastAsia"/>
        </w:rPr>
        <w:t>24</w:t>
      </w:r>
      <w:r>
        <w:rPr>
          <w:rFonts w:hint="eastAsia"/>
        </w:rPr>
        <w:t>和</w:t>
      </w:r>
      <w:r>
        <w:rPr>
          <w:rFonts w:hint="eastAsia"/>
        </w:rPr>
        <w:t>25</w:t>
      </w:r>
      <w:r>
        <w:rPr>
          <w:rFonts w:hint="eastAsia"/>
        </w:rPr>
        <w:t>段所列委员会建议的情况。委员会请缔约国在定于</w:t>
      </w:r>
      <w:r>
        <w:rPr>
          <w:rFonts w:hint="eastAsia"/>
        </w:rPr>
        <w:t>2011</w:t>
      </w:r>
      <w:r>
        <w:rPr>
          <w:rFonts w:hint="eastAsia"/>
        </w:rPr>
        <w:t>年</w:t>
      </w:r>
      <w:r>
        <w:rPr>
          <w:rFonts w:hint="eastAsia"/>
        </w:rPr>
        <w:t>3</w:t>
      </w:r>
      <w:r>
        <w:rPr>
          <w:rFonts w:hint="eastAsia"/>
        </w:rPr>
        <w:t>月</w:t>
      </w:r>
      <w:r>
        <w:rPr>
          <w:rFonts w:hint="eastAsia"/>
        </w:rPr>
        <w:t>23</w:t>
      </w:r>
      <w:r>
        <w:rPr>
          <w:rFonts w:hint="eastAsia"/>
        </w:rPr>
        <w:t>日提交的下次报告中提供资料说明其他建议以及对整个《公约》的执行情况。</w:t>
      </w:r>
    </w:p>
    <w:p w:rsidR="00000000" w:rsidRDefault="00000000">
      <w:pPr>
        <w:ind w:firstLine="510"/>
        <w:rPr>
          <w:rFonts w:hint="eastAsia"/>
        </w:rPr>
      </w:pPr>
    </w:p>
    <w:p w:rsidR="00000000" w:rsidRDefault="00000000">
      <w:pPr>
        <w:ind w:firstLine="510"/>
        <w:rPr>
          <w:rFonts w:hint="eastAsia"/>
        </w:rPr>
      </w:pPr>
    </w:p>
    <w:p w:rsidR="00000000" w:rsidRDefault="00000000">
      <w:pPr>
        <w:ind w:firstLine="510"/>
        <w:rPr>
          <w:rFonts w:hint="eastAsia"/>
          <w:lang w:val="fr-FR"/>
        </w:rPr>
      </w:pPr>
    </w:p>
    <w:p w:rsidR="00000000" w:rsidRDefault="00000000">
      <w:pPr>
        <w:jc w:val="center"/>
      </w:pPr>
      <w:r>
        <w:t>--  --  --  --  --</w:t>
      </w:r>
    </w:p>
    <w:p w:rsidR="00000000" w:rsidRDefault="00000000">
      <w:pPr>
        <w:ind w:firstLine="510"/>
        <w:rPr>
          <w:rFonts w:hint="eastAsia"/>
          <w:lang w:val="fr-FR"/>
        </w:rPr>
      </w:pPr>
    </w:p>
    <w:sectPr w:rsidR="00000000">
      <w:headerReference w:type="even" r:id="rId7"/>
      <w:headerReference w:type="default" r:id="rId8"/>
      <w:headerReference w:type="first" r:id="rId9"/>
      <w:footerReference w:type="first" r:id="rId10"/>
      <w:endnotePr>
        <w:numFmt w:val="decimal"/>
      </w:endnotePr>
      <w:pgSz w:w="11907" w:h="16840" w:code="9"/>
      <w:pgMar w:top="1985" w:right="851" w:bottom="1985" w:left="1701" w:header="794" w:footer="1191"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keepNext/>
        <w:spacing w:before="320" w:after="240"/>
        <w:jc w:val="center"/>
      </w:pPr>
      <w:r>
        <w:rPr>
          <w:rFonts w:hint="eastAsia"/>
          <w:u w:val="single"/>
        </w:rPr>
        <w:t>注</w:t>
      </w:r>
    </w:p>
  </w:endnote>
  <w:endnote w:type="continuationSeparator" w:id="0">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Time New Roman">
    <w:altName w:val="Times New Roman"/>
    <w:panose1 w:val="00000000000000000000"/>
    <w:charset w:val="00"/>
    <w:family w:val="roman"/>
    <w:notTrueType/>
    <w:pitch w:val="default"/>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rFonts w:ascii="Courier" w:hAnsi="Courier"/>
      </w:rPr>
    </w:pPr>
  </w:p>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07-41958 (C)</w:t>
          </w:r>
        </w:p>
      </w:tc>
      <w:tc>
        <w:tcPr>
          <w:tcW w:w="1050" w:type="dxa"/>
        </w:tcPr>
        <w:p w:rsidR="00000000" w:rsidRDefault="00000000">
          <w:pPr>
            <w:pStyle w:val="Footer"/>
          </w:pPr>
          <w:r>
            <w:rPr>
              <w:rFonts w:hint="eastAsia"/>
              <w:lang w:eastAsia="zh-CN"/>
            </w:rPr>
            <w:t>2106</w:t>
          </w:r>
          <w:r>
            <w:t>07</w:t>
          </w:r>
        </w:p>
      </w:tc>
      <w:tc>
        <w:tcPr>
          <w:tcW w:w="6061" w:type="dxa"/>
        </w:tcPr>
        <w:p w:rsidR="00000000" w:rsidRDefault="00000000">
          <w:pPr>
            <w:pStyle w:val="Footer"/>
          </w:pPr>
          <w:r>
            <w:rPr>
              <w:rFonts w:hint="eastAsia"/>
              <w:lang w:eastAsia="zh-CN"/>
            </w:rPr>
            <w:t>2</w:t>
          </w:r>
          <w:r>
            <w:rPr>
              <w:lang w:eastAsia="zh-CN"/>
            </w:rPr>
            <w:t>5</w:t>
          </w:r>
          <w:r>
            <w:t>0</w:t>
          </w:r>
          <w:r>
            <w:rPr>
              <w:rFonts w:hint="eastAsia"/>
              <w:lang w:eastAsia="zh-CN"/>
            </w:rPr>
            <w:t>6</w:t>
          </w:r>
          <w:r>
            <w:t>07</w:t>
          </w:r>
        </w:p>
      </w:tc>
    </w:tr>
  </w:tbl>
  <w:p w:rsidR="00000000" w:rsidRDefault="00000000">
    <w:pPr>
      <w:pStyle w:val="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both"/>
      <w:rPr>
        <w:lang w:val="en-US" w:eastAsia="zh-CN"/>
      </w:rPr>
    </w:pPr>
    <w:r>
      <w:t>CCPR/</w:t>
    </w:r>
    <w:r>
      <w:rPr>
        <w:lang w:val="en-US" w:eastAsia="zh-CN"/>
      </w:rPr>
      <w:t>C/MDG/CO/3</w:t>
    </w:r>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both"/>
      <w:rPr>
        <w:lang w:val="en-US" w:eastAsia="zh-CN"/>
      </w:rPr>
    </w:pPr>
    <w:r>
      <w:tab/>
    </w:r>
    <w:r>
      <w:tab/>
    </w:r>
    <w:r>
      <w:tab/>
    </w:r>
    <w:r>
      <w:tab/>
      <w:t>CCPR/</w:t>
    </w:r>
    <w:r>
      <w:rPr>
        <w:lang w:val="en-US" w:eastAsia="zh-CN"/>
      </w:rPr>
      <w:t>C/MDG/CO/3</w:t>
    </w:r>
  </w:p>
  <w:p w:rsidR="00000000" w:rsidRDefault="00000000">
    <w:pPr>
      <w:pStyle w:val="Header"/>
    </w:pP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a1"/>
      <w:spacing w:after="160"/>
    </w:pPr>
    <w:r>
      <w:fldChar w:fldCharType="begin"/>
    </w:r>
    <w:r>
      <w:instrText xml:space="preserve">PRIVATE </w:instrText>
    </w:r>
    <w:r>
      <w:fldChar w:fldCharType="end"/>
    </w:r>
  </w:p>
  <w:tbl>
    <w:tblPr>
      <w:tblpPr w:leftFromText="180" w:rightFromText="180" w:vertAnchor="page" w:horzAnchor="margin" w:tblpY="99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160"/>
      <w:gridCol w:w="2636"/>
    </w:tblGrid>
    <w:tr w:rsidR="00000000">
      <w:tblPrEx>
        <w:tblCellMar>
          <w:top w:w="0" w:type="dxa"/>
          <w:bottom w:w="0" w:type="dxa"/>
        </w:tblCellMar>
      </w:tblPrEx>
      <w:tc>
        <w:tcPr>
          <w:tcW w:w="1668" w:type="dxa"/>
          <w:tcBorders>
            <w:top w:val="nil"/>
            <w:left w:val="nil"/>
            <w:bottom w:val="single" w:sz="8" w:space="0" w:color="auto"/>
            <w:right w:val="nil"/>
          </w:tcBorders>
          <w:vAlign w:val="center"/>
        </w:tcPr>
        <w:p w:rsidR="00000000" w:rsidRDefault="00000000">
          <w:pPr>
            <w:pStyle w:val="1L"/>
            <w:framePr w:w="0" w:hRule="auto" w:hSpace="0" w:wrap="auto" w:vAnchor="margin" w:hAnchor="text" w:xAlign="left" w:yAlign="inline"/>
            <w:rPr>
              <w:rFonts w:ascii="Time New Roman" w:hAnsi="Time New Roman"/>
              <w:b/>
            </w:rPr>
          </w:pPr>
          <w:r>
            <w:rPr>
              <w:rFonts w:hint="eastAsia"/>
            </w:rPr>
            <w:t>联合国</w:t>
          </w:r>
        </w:p>
      </w:tc>
      <w:tc>
        <w:tcPr>
          <w:tcW w:w="5160" w:type="dxa"/>
          <w:tcBorders>
            <w:top w:val="nil"/>
            <w:left w:val="nil"/>
            <w:bottom w:val="single" w:sz="8" w:space="0" w:color="auto"/>
            <w:right w:val="nil"/>
          </w:tcBorders>
        </w:tcPr>
        <w:p w:rsidR="00000000" w:rsidRDefault="00000000">
          <w:pPr>
            <w:pStyle w:val="1L"/>
            <w:framePr w:w="0" w:hRule="auto" w:hSpace="0" w:wrap="auto" w:vAnchor="margin" w:hAnchor="text" w:xAlign="left" w:yAlign="inline"/>
          </w:pPr>
        </w:p>
      </w:tc>
      <w:tc>
        <w:tcPr>
          <w:tcW w:w="2636" w:type="dxa"/>
          <w:tcBorders>
            <w:top w:val="nil"/>
            <w:left w:val="nil"/>
            <w:bottom w:val="single" w:sz="8" w:space="0" w:color="auto"/>
            <w:right w:val="nil"/>
          </w:tcBorders>
          <w:vAlign w:val="bottom"/>
        </w:tcPr>
        <w:p w:rsidR="00000000" w:rsidRDefault="00000000">
          <w:pPr>
            <w:pStyle w:val="1R1"/>
            <w:jc w:val="right"/>
            <w:rPr>
              <w:rFonts w:ascii="Univers" w:hAnsi="Univers"/>
              <w:b w:val="0"/>
              <w:sz w:val="72"/>
            </w:rPr>
          </w:pPr>
          <w:r>
            <w:t>CCPR</w:t>
          </w:r>
        </w:p>
      </w:tc>
    </w:tr>
    <w:bookmarkStart w:id="0" w:name="_MON_992683020"/>
    <w:bookmarkStart w:id="1" w:name="_MON_1114339969"/>
    <w:bookmarkEnd w:id="0"/>
    <w:bookmarkEnd w:id="1"/>
    <w:tr w:rsidR="00000000">
      <w:tblPrEx>
        <w:tblCellMar>
          <w:top w:w="0" w:type="dxa"/>
          <w:bottom w:w="0" w:type="dxa"/>
        </w:tblCellMar>
      </w:tblPrEx>
      <w:tc>
        <w:tcPr>
          <w:tcW w:w="1668" w:type="dxa"/>
          <w:tcBorders>
            <w:top w:val="single" w:sz="8" w:space="0" w:color="auto"/>
            <w:left w:val="nil"/>
            <w:bottom w:val="single" w:sz="24"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393244289" r:id="rId2"/>
            </w:object>
          </w:r>
        </w:p>
      </w:tc>
      <w:tc>
        <w:tcPr>
          <w:tcW w:w="5160" w:type="dxa"/>
          <w:tcBorders>
            <w:top w:val="single" w:sz="8" w:space="0" w:color="auto"/>
            <w:left w:val="nil"/>
            <w:bottom w:val="single" w:sz="24" w:space="0" w:color="auto"/>
            <w:right w:val="nil"/>
          </w:tcBorders>
        </w:tcPr>
        <w:p w:rsidR="00000000" w:rsidRDefault="00000000">
          <w:pPr>
            <w:pStyle w:val="1m1"/>
            <w:rPr>
              <w:spacing w:val="30"/>
              <w:sz w:val="20"/>
            </w:rPr>
          </w:pPr>
        </w:p>
        <w:p w:rsidR="00000000" w:rsidRDefault="00000000">
          <w:pPr>
            <w:pStyle w:val="1m1"/>
            <w:spacing w:line="240" w:lineRule="auto"/>
            <w:rPr>
              <w:spacing w:val="20"/>
            </w:rPr>
          </w:pPr>
          <w:r>
            <w:rPr>
              <w:rFonts w:hint="eastAsia"/>
              <w:spacing w:val="20"/>
            </w:rPr>
            <w:t>公民权利和政治权利</w:t>
          </w:r>
        </w:p>
        <w:p w:rsidR="00000000" w:rsidRDefault="00000000">
          <w:pPr>
            <w:pStyle w:val="1m1"/>
            <w:spacing w:line="240" w:lineRule="auto"/>
            <w:rPr>
              <w:spacing w:val="20"/>
            </w:rPr>
          </w:pPr>
          <w:r>
            <w:rPr>
              <w:rFonts w:hint="eastAsia"/>
              <w:spacing w:val="20"/>
            </w:rPr>
            <w:t>国际公约</w:t>
          </w:r>
        </w:p>
        <w:p w:rsidR="00000000" w:rsidRDefault="00000000">
          <w:pPr>
            <w:pStyle w:val="1m1"/>
            <w:spacing w:before="480"/>
          </w:pPr>
        </w:p>
      </w:tc>
      <w:tc>
        <w:tcPr>
          <w:tcW w:w="2636" w:type="dxa"/>
          <w:tcBorders>
            <w:top w:val="single" w:sz="8" w:space="0" w:color="auto"/>
            <w:left w:val="nil"/>
            <w:bottom w:val="single" w:sz="24" w:space="0" w:color="auto"/>
            <w:right w:val="nil"/>
          </w:tcBorders>
        </w:tcPr>
        <w:p w:rsidR="00000000" w:rsidRDefault="00000000">
          <w:pPr>
            <w:pStyle w:val="Header"/>
            <w:rPr>
              <w:lang w:eastAsia="zh-CN"/>
            </w:rPr>
          </w:pPr>
        </w:p>
        <w:p w:rsidR="00000000" w:rsidRDefault="00000000">
          <w:pPr>
            <w:pStyle w:val="Header"/>
          </w:pPr>
          <w:r>
            <w:t>Distr.</w:t>
          </w:r>
        </w:p>
        <w:p w:rsidR="00000000" w:rsidRDefault="00000000">
          <w:pPr>
            <w:pStyle w:val="Header"/>
            <w:jc w:val="both"/>
            <w:rPr>
              <w:rFonts w:hint="eastAsia"/>
              <w:lang w:val="en-US" w:eastAsia="zh-CN"/>
            </w:rPr>
          </w:pPr>
          <w:r>
            <w:rPr>
              <w:lang w:val="en-US"/>
            </w:rPr>
            <w:t>GENERAL</w:t>
          </w:r>
        </w:p>
        <w:p w:rsidR="00000000" w:rsidRDefault="00000000">
          <w:pPr>
            <w:pStyle w:val="Header"/>
          </w:pPr>
        </w:p>
        <w:p w:rsidR="00000000" w:rsidRDefault="00000000">
          <w:pPr>
            <w:pStyle w:val="Header"/>
            <w:jc w:val="both"/>
            <w:rPr>
              <w:lang w:val="en-US" w:eastAsia="zh-CN"/>
            </w:rPr>
          </w:pPr>
          <w:r>
            <w:t>CCPR/</w:t>
          </w:r>
          <w:r>
            <w:rPr>
              <w:lang w:val="en-US" w:eastAsia="zh-CN"/>
            </w:rPr>
            <w:t>C/MDG/CO/3</w:t>
          </w:r>
        </w:p>
        <w:p w:rsidR="00000000" w:rsidRDefault="00000000">
          <w:pPr>
            <w:pStyle w:val="Header"/>
          </w:pPr>
          <w:r>
            <w:rPr>
              <w:rFonts w:hint="eastAsia"/>
              <w:lang w:eastAsia="zh-CN"/>
            </w:rPr>
            <w:t>11 M</w:t>
          </w:r>
          <w:r>
            <w:rPr>
              <w:lang w:val="en-US" w:eastAsia="zh-CN"/>
            </w:rPr>
            <w:t>ay</w:t>
          </w:r>
          <w:r>
            <w:t xml:space="preserve"> 2007</w:t>
          </w:r>
        </w:p>
        <w:p w:rsidR="00000000" w:rsidRDefault="00000000">
          <w:pPr>
            <w:pStyle w:val="Header"/>
          </w:pPr>
        </w:p>
        <w:p w:rsidR="00000000" w:rsidRDefault="00000000">
          <w:pPr>
            <w:pStyle w:val="Header"/>
          </w:pPr>
          <w:r>
            <w:t>CHINESE</w:t>
          </w:r>
        </w:p>
        <w:p w:rsidR="00000000" w:rsidRDefault="00000000">
          <w:pPr>
            <w:pStyle w:val="Header"/>
            <w:tabs>
              <w:tab w:val="clear" w:pos="992"/>
              <w:tab w:val="left" w:pos="993"/>
            </w:tabs>
          </w:pPr>
          <w:r>
            <w:t>Original:</w:t>
          </w:r>
          <w:r>
            <w:tab/>
            <w:t>FRENCH</w:t>
          </w:r>
        </w:p>
        <w:p w:rsidR="00000000" w:rsidRDefault="00000000">
          <w:pPr>
            <w:pStyle w:val="Header"/>
          </w:pPr>
        </w:p>
      </w:tc>
    </w:tr>
    <w:tr w:rsidR="00000000">
      <w:tblPrEx>
        <w:tblCellMar>
          <w:top w:w="0" w:type="dxa"/>
          <w:bottom w:w="0" w:type="dxa"/>
        </w:tblCellMar>
      </w:tblPrEx>
      <w:trPr>
        <w:cantSplit/>
        <w:trHeight w:val="293"/>
      </w:trPr>
      <w:tc>
        <w:tcPr>
          <w:tcW w:w="1668" w:type="dxa"/>
          <w:tcBorders>
            <w:top w:val="single" w:sz="24" w:space="0" w:color="auto"/>
            <w:left w:val="nil"/>
            <w:bottom w:val="nil"/>
            <w:right w:val="nil"/>
          </w:tcBorders>
          <w:noWrap/>
        </w:tcPr>
        <w:p w:rsidR="00000000" w:rsidRDefault="00000000">
          <w:pPr>
            <w:rPr>
              <w:sz w:val="16"/>
            </w:rPr>
          </w:pPr>
        </w:p>
      </w:tc>
      <w:tc>
        <w:tcPr>
          <w:tcW w:w="5160" w:type="dxa"/>
          <w:tcBorders>
            <w:top w:val="single" w:sz="24" w:space="0" w:color="auto"/>
            <w:left w:val="nil"/>
            <w:bottom w:val="nil"/>
            <w:right w:val="nil"/>
          </w:tcBorders>
          <w:noWrap/>
        </w:tcPr>
        <w:p w:rsidR="00000000" w:rsidRDefault="00000000">
          <w:pPr>
            <w:pStyle w:val="1m1"/>
            <w:spacing w:line="240" w:lineRule="auto"/>
            <w:rPr>
              <w:rFonts w:hint="eastAsia"/>
              <w:sz w:val="16"/>
            </w:rPr>
          </w:pPr>
        </w:p>
      </w:tc>
      <w:tc>
        <w:tcPr>
          <w:tcW w:w="2636" w:type="dxa"/>
          <w:tcBorders>
            <w:top w:val="single" w:sz="24" w:space="0" w:color="auto"/>
            <w:left w:val="nil"/>
            <w:bottom w:val="nil"/>
            <w:right w:val="nil"/>
          </w:tcBorders>
          <w:noWrap/>
        </w:tcPr>
        <w:p w:rsidR="00000000" w:rsidRDefault="00000000">
          <w:pPr>
            <w:rPr>
              <w:sz w:val="16"/>
            </w:rPr>
          </w:pPr>
        </w:p>
      </w:tc>
    </w:tr>
  </w:tbl>
  <w:p w:rsidR="00000000" w:rsidRDefault="00000000">
    <w:pPr>
      <w:pStyle w:val="a1"/>
    </w:pPr>
  </w:p>
  <w:p w:rsidR="00000000" w:rsidRDefault="00000000">
    <w:pPr>
      <w:pStyle w:val="a1"/>
    </w:pPr>
  </w:p>
  <w:p w:rsidR="00000000" w:rsidRDefault="00000000">
    <w:pPr>
      <w:pStyle w:val="a1"/>
    </w:pPr>
  </w:p>
  <w:p w:rsidR="00000000" w:rsidRDefault="00000000">
    <w:pPr>
      <w:pStyle w:val="a1"/>
    </w:pPr>
  </w:p>
  <w:p w:rsidR="00000000" w:rsidRDefault="00000000">
    <w:pPr>
      <w:pStyle w:val="a1"/>
    </w:pPr>
  </w:p>
  <w:p w:rsidR="00000000" w:rsidRDefault="00000000">
    <w:pPr>
      <w:pStyle w:val="a1"/>
    </w:pPr>
  </w:p>
  <w:p w:rsidR="00000000" w:rsidRDefault="00000000">
    <w:pPr>
      <w:pStyle w:val="a1"/>
    </w:pPr>
  </w:p>
  <w:p w:rsidR="00000000" w:rsidRDefault="00000000">
    <w:pPr>
      <w:pStyle w:val="a1"/>
    </w:pPr>
    <w:r>
      <w:fldChar w:fldCharType="begin"/>
    </w:r>
    <w:r>
      <w:instrText>ADVANCE \Y 252.30</w:instrText>
    </w:r>
    <w:r>
      <w:fldChar w:fldCharType="end"/>
    </w:r>
  </w:p>
  <w:p w:rsidR="00000000" w:rsidRDefault="00000000">
    <w:pPr>
      <w:pStyle w:val="a1"/>
    </w:pPr>
  </w:p>
  <w:p w:rsidR="00000000" w:rsidRDefault="00000000">
    <w:pPr>
      <w:pStyle w:val="a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0562"/>
    <w:multiLevelType w:val="singleLevel"/>
    <w:tmpl w:val="F6A2464C"/>
    <w:lvl w:ilvl="0">
      <w:start w:val="1"/>
      <w:numFmt w:val="lowerLetter"/>
      <w:lvlText w:val="(%1)"/>
      <w:lvlJc w:val="left"/>
      <w:pPr>
        <w:tabs>
          <w:tab w:val="num" w:pos="1531"/>
        </w:tabs>
        <w:ind w:left="1531" w:hanging="510"/>
      </w:pPr>
      <w:rPr>
        <w:rFonts w:hint="eastAsia"/>
      </w:rPr>
    </w:lvl>
  </w:abstractNum>
  <w:abstractNum w:abstractNumId="1">
    <w:nsid w:val="22E44274"/>
    <w:multiLevelType w:val="hybridMultilevel"/>
    <w:tmpl w:val="AFD2814C"/>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D95CC5"/>
    <w:multiLevelType w:val="singleLevel"/>
    <w:tmpl w:val="7E1C8126"/>
    <w:lvl w:ilvl="0">
      <w:start w:val="1"/>
      <w:numFmt w:val="lowerLetter"/>
      <w:lvlText w:val="(%1)"/>
      <w:lvlJc w:val="left"/>
      <w:pPr>
        <w:tabs>
          <w:tab w:val="num" w:pos="1446"/>
        </w:tabs>
        <w:ind w:left="1446" w:hanging="425"/>
      </w:pPr>
      <w:rPr>
        <w:rFonts w:ascii="Times New Roman" w:hAnsi="Times New Roman" w:hint="default"/>
        <w:b w:val="0"/>
        <w:i w:val="0"/>
        <w:sz w:val="24"/>
      </w:rPr>
    </w:lvl>
  </w:abstractNum>
  <w:abstractNum w:abstractNumId="3">
    <w:nsid w:val="33BF5892"/>
    <w:multiLevelType w:val="singleLevel"/>
    <w:tmpl w:val="2892C674"/>
    <w:lvl w:ilvl="0">
      <w:start w:val="1"/>
      <w:numFmt w:val="chineseCountingThousand"/>
      <w:lvlText w:val="(%1)"/>
      <w:lvlJc w:val="left"/>
      <w:pPr>
        <w:tabs>
          <w:tab w:val="num" w:pos="1021"/>
        </w:tabs>
        <w:ind w:left="1021" w:hanging="511"/>
      </w:pPr>
      <w:rPr>
        <w:rFonts w:hint="eastAsia"/>
        <w:sz w:val="21"/>
      </w:rPr>
    </w:lvl>
  </w:abstractNum>
  <w:abstractNum w:abstractNumId="4">
    <w:nsid w:val="39D90235"/>
    <w:multiLevelType w:val="singleLevel"/>
    <w:tmpl w:val="2910B574"/>
    <w:lvl w:ilvl="0">
      <w:start w:val="1"/>
      <w:numFmt w:val="bullet"/>
      <w:pStyle w:val="a"/>
      <w:lvlText w:val=""/>
      <w:lvlJc w:val="left"/>
      <w:pPr>
        <w:tabs>
          <w:tab w:val="num" w:pos="510"/>
        </w:tabs>
        <w:ind w:left="510" w:hanging="510"/>
      </w:pPr>
      <w:rPr>
        <w:rFonts w:ascii="Symbol" w:hAnsi="Symbol" w:hint="default"/>
      </w:rPr>
    </w:lvl>
  </w:abstractNum>
  <w:abstractNum w:abstractNumId="5">
    <w:nsid w:val="507317FD"/>
    <w:multiLevelType w:val="singleLevel"/>
    <w:tmpl w:val="4540114E"/>
    <w:lvl w:ilvl="0">
      <w:start w:val="1"/>
      <w:numFmt w:val="bullet"/>
      <w:pStyle w:val="a0"/>
      <w:lvlText w:val=""/>
      <w:lvlJc w:val="left"/>
      <w:pPr>
        <w:tabs>
          <w:tab w:val="num" w:pos="510"/>
        </w:tabs>
        <w:ind w:left="510" w:hanging="510"/>
      </w:pPr>
      <w:rPr>
        <w:rFonts w:ascii="Symbol" w:hAnsi="Symbol" w:hint="default"/>
        <w:sz w:val="16"/>
      </w:rPr>
    </w:lvl>
  </w:abstractNum>
  <w:abstractNum w:abstractNumId="6">
    <w:nsid w:val="77350EFD"/>
    <w:multiLevelType w:val="hybridMultilevel"/>
    <w:tmpl w:val="B90A2736"/>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2"/>
  </w:num>
  <w:num w:numId="5">
    <w:abstractNumId w:val="3"/>
  </w:num>
  <w:num w:numId="6">
    <w:abstractNumId w:val="5"/>
  </w:num>
  <w:num w:numId="7">
    <w:abstractNumId w:val="4"/>
  </w:num>
  <w:num w:numId="8">
    <w:abstractNumId w:val="2"/>
  </w:num>
  <w:num w:numId="9">
    <w:abstractNumId w:val="3"/>
  </w:num>
  <w:num w:numId="10">
    <w:abstractNumId w:val="5"/>
  </w:num>
  <w:num w:numId="11">
    <w:abstractNumId w:val="4"/>
  </w:num>
  <w:num w:numId="12">
    <w:abstractNumId w:val="2"/>
  </w:num>
  <w:num w:numId="13">
    <w:abstractNumId w:val="3"/>
  </w:num>
  <w:num w:numId="14">
    <w:abstractNumId w:val="5"/>
  </w:num>
  <w:num w:numId="15">
    <w:abstractNumId w:val="4"/>
  </w:num>
  <w:num w:numId="16">
    <w:abstractNumId w:val="2"/>
  </w:num>
  <w:num w:numId="17">
    <w:abstractNumId w:val="3"/>
  </w:num>
  <w:num w:numId="18">
    <w:abstractNumId w:val="5"/>
  </w:num>
  <w:num w:numId="19">
    <w:abstractNumId w:val="4"/>
  </w:num>
  <w:num w:numId="20">
    <w:abstractNumId w:val="0"/>
  </w:num>
  <w:num w:numId="21">
    <w:abstractNumId w:val="5"/>
  </w:num>
  <w:num w:numId="22">
    <w:abstractNumId w:val="4"/>
  </w:num>
  <w:num w:numId="23">
    <w:abstractNumId w:val="6"/>
  </w:num>
  <w:num w:numId="24">
    <w:abstractNumId w:val="1"/>
  </w:num>
  <w:num w:numId="25">
    <w:abstractNumId w:val="1"/>
  </w:num>
  <w:num w:numId="26">
    <w:abstractNumId w:val="1"/>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doNotTrackMoves/>
  <w:defaultTabStop w:val="510"/>
  <w:evenAndOddHeaders/>
  <w:drawingGridHorizontalSpacing w:val="120"/>
  <w:drawingGridVerticalSpacing w:val="104"/>
  <w:displayHorizontalDrawingGridEvery w:val="0"/>
  <w:displayVerticalDrawingGridEvery w:val="3"/>
  <w:noPunctuationKerning/>
  <w:characterSpacingControl w:val="doNotCompres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color w:val="000000"/>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color w:val="000000"/>
      <w:kern w:val="28"/>
      <w:sz w:val="28"/>
    </w:rPr>
  </w:style>
  <w:style w:type="paragraph" w:styleId="Heading3">
    <w:name w:val="heading 3"/>
    <w:basedOn w:val="Normal"/>
    <w:next w:val="Normal"/>
    <w:qFormat/>
    <w:pPr>
      <w:keepNext/>
      <w:keepLines/>
      <w:widowControl w:val="0"/>
      <w:spacing w:after="320"/>
      <w:jc w:val="center"/>
      <w:outlineLvl w:val="2"/>
    </w:pPr>
    <w:rPr>
      <w:snapToGrid/>
      <w:color w:val="000000"/>
      <w:kern w:val="28"/>
      <w:u w:val="single"/>
    </w:rPr>
  </w:style>
  <w:style w:type="paragraph" w:styleId="Heading4">
    <w:name w:val="heading 4"/>
    <w:basedOn w:val="Normal"/>
    <w:next w:val="Normal"/>
    <w:qFormat/>
    <w:pPr>
      <w:keepNext/>
      <w:keepLines/>
      <w:widowControl w:val="0"/>
      <w:spacing w:after="240"/>
      <w:jc w:val="left"/>
      <w:outlineLvl w:val="3"/>
    </w:pPr>
    <w:rPr>
      <w:snapToGrid/>
      <w:color w:val="000000"/>
      <w:u w:val="single"/>
    </w:rPr>
  </w:style>
  <w:style w:type="paragraph" w:styleId="Heading5">
    <w:name w:val="heading 5"/>
    <w:basedOn w:val="Normal"/>
    <w:next w:val="Normal"/>
    <w:qFormat/>
    <w:pPr>
      <w:keepNext/>
      <w:keepLines/>
      <w:widowControl w:val="0"/>
      <w:tabs>
        <w:tab w:val="left" w:pos="1021"/>
        <w:tab w:val="left" w:pos="1531"/>
        <w:tab w:val="left" w:pos="2041"/>
        <w:tab w:val="left" w:pos="2552"/>
      </w:tabs>
      <w:adjustRightInd/>
      <w:snapToGrid/>
      <w:spacing w:after="240"/>
      <w:outlineLvl w:val="4"/>
    </w:pPr>
    <w:rPr>
      <w:rFonts w:eastAsia="SimHei"/>
      <w:spacing w:val="0"/>
      <w:kern w:val="2"/>
    </w:rPr>
  </w:style>
  <w:style w:type="paragraph" w:styleId="Heading6">
    <w:name w:val="heading 6"/>
    <w:basedOn w:val="Normal"/>
    <w:next w:val="Normal"/>
    <w:qFormat/>
    <w:pPr>
      <w:keepNext/>
      <w:keepLines/>
      <w:widowControl w:val="0"/>
      <w:tabs>
        <w:tab w:val="left" w:pos="510"/>
      </w:tabs>
      <w:adjustRightInd/>
      <w:snapToGrid/>
      <w:spacing w:after="240"/>
      <w:outlineLvl w:val="5"/>
    </w:pPr>
    <w:rPr>
      <w:spacing w:val="0"/>
      <w:kern w:val="2"/>
    </w:rPr>
  </w:style>
  <w:style w:type="paragraph" w:styleId="Heading7">
    <w:name w:val="heading 7"/>
    <w:basedOn w:val="Normal"/>
    <w:next w:val="Normal"/>
    <w:qFormat/>
    <w:pPr>
      <w:keepNext/>
      <w:keepLines/>
      <w:widowControl w:val="0"/>
      <w:tabs>
        <w:tab w:val="left" w:pos="1021"/>
        <w:tab w:val="left" w:pos="1191"/>
      </w:tabs>
      <w:adjustRightInd/>
      <w:snapToGrid/>
      <w:spacing w:after="200"/>
      <w:outlineLvl w:val="6"/>
    </w:pPr>
    <w:rPr>
      <w:spacing w:val="0"/>
      <w:kern w:val="2"/>
      <w:u w:val="single"/>
    </w:rPr>
  </w:style>
  <w:style w:type="paragraph" w:styleId="Heading8">
    <w:name w:val="heading 8"/>
    <w:basedOn w:val="Normal"/>
    <w:next w:val="Normal"/>
    <w:qFormat/>
    <w:pPr>
      <w:keepNext/>
      <w:keepLines/>
      <w:spacing w:after="160" w:line="288" w:lineRule="auto"/>
      <w:outlineLvl w:val="7"/>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semiHidden/>
    <w:pPr>
      <w:overflowPunct/>
      <w:spacing w:line="240" w:lineRule="auto"/>
      <w:jc w:val="left"/>
    </w:pPr>
    <w:rPr>
      <w:rFonts w:eastAsia="KaiTi_GB2312"/>
      <w:spacing w:val="0"/>
      <w:lang w:val="en-GB" w:eastAsia="en-US"/>
    </w:rPr>
  </w:style>
  <w:style w:type="character" w:styleId="PageNumber">
    <w:name w:val="page number"/>
    <w:semiHidden/>
    <w:rPr>
      <w:rFonts w:ascii="Times New Roman" w:hAnsi="Times New Roman"/>
      <w:spacing w:val="0"/>
      <w:kern w:val="0"/>
      <w:sz w:val="24"/>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1">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NormalIndent">
    <w:name w:val="Normal Indent"/>
    <w:basedOn w:val="Normal"/>
    <w:semiHidden/>
    <w:pPr>
      <w:widowControl w:val="0"/>
      <w:ind w:firstLine="510"/>
    </w:pPr>
  </w:style>
  <w:style w:type="paragraph" w:customStyle="1" w:styleId="a2">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1L">
    <w:name w:val="页眉1L"/>
    <w:basedOn w:val="Normal"/>
    <w:pPr>
      <w:framePr w:w="1542" w:h="627" w:hSpace="180" w:wrap="around" w:vAnchor="page" w:hAnchor="page" w:x="1469" w:y="1390"/>
      <w:spacing w:line="240" w:lineRule="auto"/>
    </w:pPr>
    <w:rPr>
      <w:rFonts w:ascii="SimHei" w:eastAsia="SimHei"/>
      <w:spacing w:val="60"/>
      <w:sz w:val="32"/>
    </w:rPr>
  </w:style>
  <w:style w:type="paragraph" w:customStyle="1" w:styleId="1R1">
    <w:name w:val="页眉1R1"/>
    <w:basedOn w:val="Normal"/>
    <w:pPr>
      <w:suppressAutoHyphens/>
      <w:spacing w:line="240" w:lineRule="auto"/>
    </w:pPr>
    <w:rPr>
      <w:rFonts w:ascii="Univers (WN)" w:hAnsi="Univers (WN)"/>
      <w:b/>
      <w:sz w:val="60"/>
    </w:rPr>
  </w:style>
  <w:style w:type="paragraph" w:customStyle="1" w:styleId="1m2">
    <w:name w:val="页眉1m2"/>
    <w:basedOn w:val="Normal"/>
    <w:pPr>
      <w:suppressAutoHyphens/>
      <w:spacing w:line="360" w:lineRule="auto"/>
    </w:pPr>
    <w:rPr>
      <w:rFonts w:ascii="SimHei" w:eastAsia="SimHei"/>
      <w:spacing w:val="60"/>
      <w:sz w:val="40"/>
    </w:rPr>
  </w:style>
  <w:style w:type="paragraph" w:customStyle="1" w:styleId="1m1">
    <w:name w:val="页眉1m1"/>
    <w:basedOn w:val="Normal"/>
    <w:pPr>
      <w:suppressAutoHyphens/>
      <w:spacing w:line="360" w:lineRule="auto"/>
    </w:pPr>
    <w:rPr>
      <w:rFonts w:ascii="SimHei" w:eastAsia="SimHei"/>
      <w:spacing w:val="40"/>
      <w:sz w:val="40"/>
    </w:rPr>
  </w:style>
  <w:style w:type="paragraph" w:customStyle="1" w:styleId="a3">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UNLOGO">
    <w:name w:val="UNLOGO"/>
    <w:basedOn w:val="Normal"/>
    <w:pPr>
      <w:suppressAutoHyphen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EndnoteText">
    <w:name w:val="endnote text"/>
    <w:basedOn w:val="FootnoteText"/>
    <w:semiHidden/>
    <w:rPr>
      <w:snapToGrid w:val="0"/>
    </w:rPr>
  </w:style>
  <w:style w:type="paragraph" w:customStyle="1" w:styleId="a4">
    <w:name w:val="横眉"/>
    <w:basedOn w:val="Header"/>
    <w:autoRedefine/>
    <w:pPr>
      <w:widowControl w:val="0"/>
      <w:snapToGrid/>
      <w:spacing w:line="160" w:lineRule="exact"/>
    </w:pPr>
    <w:rPr>
      <w:snapToGrid/>
    </w:rPr>
  </w:style>
  <w:style w:type="paragraph" w:customStyle="1" w:styleId="a0">
    <w:name w:val="悬挂符号－"/>
    <w:basedOn w:val="a5"/>
    <w:pPr>
      <w:numPr>
        <w:numId w:val="27"/>
      </w:numPr>
      <w:tabs>
        <w:tab w:val="clear" w:pos="510"/>
      </w:tabs>
    </w:pPr>
  </w:style>
  <w:style w:type="paragraph" w:customStyle="1" w:styleId="a5">
    <w:name w:val="悬挂"/>
    <w:basedOn w:val="Normal"/>
    <w:pPr>
      <w:ind w:left="1531" w:hanging="510"/>
    </w:pPr>
  </w:style>
  <w:style w:type="paragraph" w:styleId="BodyText">
    <w:name w:val="Body Text"/>
    <w:basedOn w:val="Normal"/>
    <w:semiHidden/>
    <w:pPr>
      <w:widowControl w:val="0"/>
    </w:pPr>
    <w:rPr>
      <w:snapToGrid/>
    </w:rPr>
  </w:style>
  <w:style w:type="paragraph" w:customStyle="1" w:styleId="a">
    <w:name w:val="悬挂符号●"/>
    <w:basedOn w:val="Normal"/>
    <w:pPr>
      <w:numPr>
        <w:numId w:val="28"/>
      </w:numPr>
      <w:tabs>
        <w:tab w:val="clear" w:pos="510"/>
      </w:tabs>
    </w:p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12cm">
    <w:name w:val="12cm落款"/>
    <w:basedOn w:val="Normal"/>
    <w:pPr>
      <w:keepLines/>
      <w:widowControl w:val="0"/>
      <w:tabs>
        <w:tab w:val="left" w:pos="510"/>
      </w:tabs>
      <w:spacing w:before="160" w:after="280" w:line="288" w:lineRule="auto"/>
      <w:ind w:left="6804"/>
      <w:jc w:val="left"/>
    </w:pPr>
    <w:rPr>
      <w:snapToGrid/>
      <w:spacing w:val="0"/>
    </w:rPr>
  </w:style>
  <w:style w:type="paragraph" w:customStyle="1" w:styleId="cdL1">
    <w:name w:val="cdL1"/>
    <w:basedOn w:val="Normal"/>
    <w:pPr>
      <w:widowControl w:val="0"/>
      <w:tabs>
        <w:tab w:val="left" w:pos="510"/>
      </w:tabs>
    </w:pPr>
    <w:rPr>
      <w:snapToGrid/>
      <w:spacing w:val="0"/>
    </w:rPr>
  </w:style>
  <w:style w:type="paragraph" w:customStyle="1" w:styleId="9cm">
    <w:name w:val="9cm落款"/>
    <w:basedOn w:val="Normal"/>
    <w:pPr>
      <w:keepLines/>
      <w:widowControl w:val="0"/>
      <w:tabs>
        <w:tab w:val="left" w:pos="510"/>
      </w:tabs>
      <w:spacing w:before="160" w:after="280" w:line="288" w:lineRule="auto"/>
      <w:ind w:left="5103"/>
      <w:jc w:val="left"/>
    </w:pPr>
    <w:rPr>
      <w:snapToGrid/>
    </w:r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7">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8">
    <w:name w:val="楷体"/>
    <w:basedOn w:val="Normal"/>
    <w:pPr>
      <w:widowControl w:val="0"/>
    </w:pPr>
    <w:rPr>
      <w:rFonts w:eastAsia="KaiTi_GB2312"/>
      <w:snapToGrid/>
      <w:spacing w:val="0"/>
    </w:rPr>
  </w:style>
  <w:style w:type="paragraph" w:customStyle="1" w:styleId="a9">
    <w:name w:val="居中页眉"/>
    <w:basedOn w:val="Header"/>
    <w:pPr>
      <w:widowControl w:val="0"/>
      <w:snapToGrid/>
      <w:spacing w:line="288" w:lineRule="auto"/>
    </w:pPr>
    <w:rPr>
      <w:snapToGrid/>
    </w:rPr>
  </w:style>
  <w:style w:type="paragraph" w:customStyle="1" w:styleId="aa">
    <w:name w:val="目录"/>
    <w:basedOn w:val="Normal"/>
    <w:autoRedefine/>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b">
    <w:name w:val="表中文字"/>
    <w:basedOn w:val="Normal"/>
    <w:pPr>
      <w:spacing w:line="320" w:lineRule="exact"/>
    </w:pPr>
    <w:rPr>
      <w:spacing w:val="0"/>
      <w:sz w:val="21"/>
    </w:rPr>
  </w:style>
  <w:style w:type="paragraph" w:customStyle="1" w:styleId="ac">
    <w:name w:val="正文缩进"/>
    <w:basedOn w:val="Normal"/>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Template>
  <TotalTime>0</TotalTime>
  <Pages>6</Pages>
  <Words>553</Words>
  <Characters>3154</Characters>
  <Application>Microsoft Office Word</Application>
  <DocSecurity>4</DocSecurity>
  <Lines>26</Lines>
  <Paragraphs>6</Paragraphs>
  <ScaleCrop>false</ScaleCrop>
  <HeadingPairs>
    <vt:vector size="4" baseType="variant">
      <vt:variant>
        <vt:lpstr>题目</vt:lpstr>
      </vt:variant>
      <vt:variant>
        <vt:i4>1</vt:i4>
      </vt:variant>
      <vt:variant>
        <vt:lpstr>标题</vt:lpstr>
      </vt:variant>
      <vt:variant>
        <vt:i4>6</vt:i4>
      </vt:variant>
    </vt:vector>
  </HeadingPairs>
  <TitlesOfParts>
    <vt:vector size="7" baseType="lpstr">
      <vt:lpstr>人权事务委员会</vt:lpstr>
      <vt:lpstr>    审议缔约国根据《公约》第四十条提交的报告</vt:lpstr>
      <vt:lpstr>        人权事务委员会的结论性意见</vt:lpstr>
      <vt:lpstr>        马达加斯加</vt:lpstr>
      <vt:lpstr>        A.  导  言</vt:lpstr>
      <vt:lpstr>        B.  积极方面</vt:lpstr>
      <vt:lpstr>        C.  关注的主要问题和建议</vt:lpstr>
    </vt:vector>
  </TitlesOfParts>
  <Company>Chinese Unit - GE</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人权事务委员会</dc:title>
  <dc:subject/>
  <dc:creator>WUJS</dc:creator>
  <cp:keywords/>
  <dc:description>公民权利和政治权利国际公约</dc:description>
  <cp:lastModifiedBy>TIAN</cp:lastModifiedBy>
  <cp:revision>2</cp:revision>
  <cp:lastPrinted>2007-06-25T14:16:00Z</cp:lastPrinted>
  <dcterms:created xsi:type="dcterms:W3CDTF">2007-06-25T14:17:00Z</dcterms:created>
  <dcterms:modified xsi:type="dcterms:W3CDTF">2007-06-25T14:17:00Z</dcterms:modified>
  <cp:category>CCPR意见.dot</cp:category>
</cp:coreProperties>
</file>