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00F83CA8">
              <w:rPr>
                <w:sz w:val="20"/>
              </w:rPr>
              <w:t>/</w:t>
            </w:r>
            <w:r w:rsidR="00927BB5">
              <w:rPr>
                <w:rFonts w:hint="eastAsia"/>
                <w:sz w:val="20"/>
              </w:rPr>
              <w:t>C</w:t>
            </w:r>
            <w:r w:rsidR="00F83CA8">
              <w:rPr>
                <w:rFonts w:hint="eastAsia"/>
                <w:sz w:val="20"/>
              </w:rPr>
              <w:t>/</w:t>
            </w:r>
            <w:r w:rsidR="00927BB5">
              <w:rPr>
                <w:rFonts w:hint="eastAsia"/>
                <w:sz w:val="20"/>
              </w:rPr>
              <w:t>104</w:t>
            </w:r>
            <w:r w:rsidR="00F83CA8">
              <w:rPr>
                <w:rFonts w:hint="eastAsia"/>
                <w:sz w:val="20"/>
              </w:rPr>
              <w:t>/</w:t>
            </w:r>
            <w:r w:rsidR="00927BB5">
              <w:rPr>
                <w:rFonts w:hint="eastAsia"/>
                <w:sz w:val="20"/>
              </w:rPr>
              <w:t>3</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F83CA8" w:rsidP="00BB67F9">
            <w:pPr>
              <w:spacing w:before="240" w:line="240" w:lineRule="atLeast"/>
              <w:rPr>
                <w:sz w:val="20"/>
              </w:rPr>
            </w:pPr>
            <w:r>
              <w:rPr>
                <w:sz w:val="20"/>
              </w:rPr>
              <w:t xml:space="preserve">Distr.: </w:t>
            </w:r>
            <w:r w:rsidR="00927BB5" w:rsidRPr="00927BB5">
              <w:rPr>
                <w:sz w:val="20"/>
              </w:rPr>
              <w:t>General</w:t>
            </w:r>
          </w:p>
          <w:p w:rsidR="00C7462D" w:rsidRPr="00BB67F9" w:rsidRDefault="00927BB5" w:rsidP="00BB67F9">
            <w:pPr>
              <w:spacing w:line="240" w:lineRule="atLeast"/>
              <w:rPr>
                <w:rFonts w:hint="eastAsia"/>
                <w:sz w:val="20"/>
              </w:rPr>
            </w:pPr>
            <w:r>
              <w:rPr>
                <w:sz w:val="20"/>
              </w:rPr>
              <w:t xml:space="preserve">4 </w:t>
            </w:r>
            <w:r w:rsidRPr="00927BB5">
              <w:rPr>
                <w:sz w:val="20"/>
              </w:rPr>
              <w:t>June</w:t>
            </w:r>
            <w:r w:rsidR="00911A84">
              <w:rPr>
                <w:sz w:val="20"/>
              </w:rPr>
              <w:t xml:space="preserve"> 20</w:t>
            </w:r>
            <w:r w:rsidR="00911A84">
              <w:rPr>
                <w:rFonts w:hint="eastAsia"/>
                <w:sz w:val="20"/>
              </w:rPr>
              <w:t>1</w:t>
            </w:r>
            <w:r w:rsidR="005C365E">
              <w:rPr>
                <w:rFonts w:hint="eastAsia"/>
                <w:sz w:val="20"/>
              </w:rPr>
              <w:t>2</w:t>
            </w:r>
          </w:p>
          <w:p w:rsidR="00C7462D" w:rsidRPr="00BB67F9" w:rsidRDefault="00C7462D" w:rsidP="00BB67F9">
            <w:pPr>
              <w:spacing w:line="240" w:lineRule="atLeast"/>
              <w:rPr>
                <w:sz w:val="20"/>
              </w:rPr>
            </w:pPr>
            <w:r w:rsidRPr="00BB67F9">
              <w:rPr>
                <w:sz w:val="20"/>
              </w:rPr>
              <w:t xml:space="preserve">Chinese </w:t>
            </w:r>
          </w:p>
          <w:p w:rsidR="00C7462D" w:rsidRPr="00BB67F9" w:rsidRDefault="00F83CA8"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C7462D">
      <w:pPr>
        <w:rPr>
          <w:rFonts w:eastAsia="SimHei" w:hint="eastAsia"/>
        </w:rPr>
      </w:pPr>
      <w:r w:rsidRPr="00BE01D0">
        <w:rPr>
          <w:rFonts w:eastAsia="SimHei" w:hint="eastAsia"/>
        </w:rPr>
        <w:t>第</w:t>
      </w:r>
      <w:r w:rsidR="00927BB5">
        <w:rPr>
          <w:rFonts w:eastAsia="SimHei" w:hint="eastAsia"/>
        </w:rPr>
        <w:t>一</w:t>
      </w:r>
      <w:r w:rsidR="00927BB5" w:rsidRPr="00927BB5">
        <w:rPr>
          <w:rFonts w:ascii="SimSun" w:eastAsia="SimHei" w:hAnsi="SimSun" w:hint="eastAsia"/>
        </w:rPr>
        <w:t>〇</w:t>
      </w:r>
      <w:r w:rsidR="00927BB5">
        <w:rPr>
          <w:rFonts w:eastAsia="SimHei" w:hint="eastAsia"/>
        </w:rPr>
        <w:t>四</w:t>
      </w:r>
      <w:r w:rsidRPr="00BE01D0">
        <w:rPr>
          <w:rFonts w:eastAsia="SimHei" w:hint="eastAsia"/>
        </w:rPr>
        <w:t>届会议</w:t>
      </w:r>
    </w:p>
    <w:p w:rsidR="00BE01D0" w:rsidRDefault="00911A84">
      <w:pPr>
        <w:rPr>
          <w:rFonts w:hint="eastAsia"/>
          <w:snapToGrid/>
        </w:rPr>
      </w:pPr>
      <w:r>
        <w:rPr>
          <w:rFonts w:hint="eastAsia"/>
          <w:snapToGrid/>
        </w:rPr>
        <w:t>20</w:t>
      </w:r>
      <w:r w:rsidR="00927BB5">
        <w:rPr>
          <w:rFonts w:hint="eastAsia"/>
          <w:snapToGrid/>
        </w:rPr>
        <w:t>12</w:t>
      </w:r>
      <w:r w:rsidR="009E146E">
        <w:rPr>
          <w:rFonts w:hint="eastAsia"/>
          <w:snapToGrid/>
        </w:rPr>
        <w:t>年</w:t>
      </w:r>
      <w:r w:rsidR="00927BB5">
        <w:rPr>
          <w:rFonts w:hint="eastAsia"/>
          <w:snapToGrid/>
        </w:rPr>
        <w:t>3</w:t>
      </w:r>
      <w:r w:rsidR="009E146E">
        <w:rPr>
          <w:rFonts w:hint="eastAsia"/>
          <w:snapToGrid/>
        </w:rPr>
        <w:t>月</w:t>
      </w:r>
      <w:r w:rsidR="00927BB5">
        <w:rPr>
          <w:rFonts w:hint="eastAsia"/>
          <w:snapToGrid/>
        </w:rPr>
        <w:t>12</w:t>
      </w:r>
      <w:r w:rsidR="009E146E">
        <w:rPr>
          <w:rFonts w:hint="eastAsia"/>
          <w:snapToGrid/>
        </w:rPr>
        <w:t>日至</w:t>
      </w:r>
      <w:r w:rsidR="00927BB5">
        <w:rPr>
          <w:rFonts w:hint="eastAsia"/>
          <w:snapToGrid/>
        </w:rPr>
        <w:t>30</w:t>
      </w:r>
      <w:r w:rsidR="009E146E">
        <w:rPr>
          <w:rFonts w:hint="eastAsia"/>
          <w:snapToGrid/>
        </w:rPr>
        <w:t>日</w:t>
      </w:r>
      <w:r w:rsidR="00F83CA8">
        <w:rPr>
          <w:rFonts w:hint="eastAsia"/>
          <w:snapToGrid/>
        </w:rPr>
        <w:t>，</w:t>
      </w:r>
      <w:r w:rsidR="00927BB5">
        <w:rPr>
          <w:rFonts w:hint="eastAsia"/>
          <w:snapToGrid/>
        </w:rPr>
        <w:t>纽约</w:t>
      </w:r>
    </w:p>
    <w:p w:rsidR="00927BB5" w:rsidRDefault="00927BB5">
      <w:pPr>
        <w:rPr>
          <w:rFonts w:hint="eastAsia"/>
          <w:snapToGrid/>
        </w:rPr>
      </w:pPr>
    </w:p>
    <w:p w:rsidR="00927BB5" w:rsidRPr="002C4A41" w:rsidRDefault="00927BB5" w:rsidP="00927BB5">
      <w:pPr>
        <w:pStyle w:val="HChGC"/>
      </w:pPr>
      <w:r>
        <w:rPr>
          <w:rFonts w:hint="eastAsia"/>
        </w:rPr>
        <w:tab/>
      </w:r>
      <w:r>
        <w:rPr>
          <w:rFonts w:hint="eastAsia"/>
        </w:rPr>
        <w:tab/>
      </w:r>
      <w:r>
        <w:rPr>
          <w:rFonts w:hint="eastAsia"/>
        </w:rPr>
        <w:t>人权事务委员会与非政府组织的关系</w:t>
      </w:r>
    </w:p>
    <w:p w:rsidR="00927BB5" w:rsidRPr="003C2B6B" w:rsidRDefault="00F83CA8" w:rsidP="00927BB5">
      <w:pPr>
        <w:pStyle w:val="SingleTxtGC"/>
      </w:pPr>
      <w:r>
        <w:t>1.</w:t>
      </w:r>
      <w:r w:rsidR="0064597C">
        <w:rPr>
          <w:rFonts w:hint="eastAsia"/>
        </w:rPr>
        <w:tab/>
      </w:r>
      <w:r w:rsidR="00927BB5" w:rsidRPr="003C2B6B">
        <w:t>人权事务委员会</w:t>
      </w:r>
      <w:r>
        <w:t>(</w:t>
      </w:r>
      <w:r w:rsidR="00927BB5" w:rsidRPr="003C2B6B">
        <w:rPr>
          <w:rFonts w:hint="eastAsia"/>
        </w:rPr>
        <w:t>下称“委员会”</w:t>
      </w:r>
      <w:r>
        <w:rPr>
          <w:rFonts w:hint="eastAsia"/>
        </w:rPr>
        <w:t>)</w:t>
      </w:r>
      <w:r w:rsidR="00927BB5" w:rsidRPr="003C2B6B">
        <w:rPr>
          <w:rFonts w:hint="eastAsia"/>
        </w:rPr>
        <w:t>认为</w:t>
      </w:r>
      <w:r>
        <w:rPr>
          <w:rFonts w:hint="eastAsia"/>
        </w:rPr>
        <w:t>，</w:t>
      </w:r>
      <w:r w:rsidR="00927BB5" w:rsidRPr="003C2B6B">
        <w:rPr>
          <w:rFonts w:hint="eastAsia"/>
        </w:rPr>
        <w:t>从事增进和保护人权工作的国内和国际非政府组织与委员会之间的合作</w:t>
      </w:r>
      <w:r>
        <w:rPr>
          <w:rFonts w:hint="eastAsia"/>
        </w:rPr>
        <w:t>，</w:t>
      </w:r>
      <w:r w:rsidR="00927BB5" w:rsidRPr="003C2B6B">
        <w:rPr>
          <w:rFonts w:hint="eastAsia"/>
        </w:rPr>
        <w:t>对于促进和执行《公民权利和政治权利国际公约》</w:t>
      </w:r>
      <w:r>
        <w:t>(</w:t>
      </w:r>
      <w:r w:rsidR="00927BB5" w:rsidRPr="003C2B6B">
        <w:rPr>
          <w:rFonts w:hint="eastAsia"/>
        </w:rPr>
        <w:t>下称《公约》</w:t>
      </w:r>
      <w:r>
        <w:rPr>
          <w:rFonts w:hint="eastAsia"/>
        </w:rPr>
        <w:t>)</w:t>
      </w:r>
      <w:r w:rsidR="00927BB5" w:rsidRPr="003C2B6B">
        <w:rPr>
          <w:rFonts w:hint="eastAsia"/>
        </w:rPr>
        <w:t>及其各项任择议定书至关重要。</w:t>
      </w:r>
    </w:p>
    <w:p w:rsidR="00927BB5" w:rsidRPr="003C2B6B" w:rsidRDefault="00F83CA8" w:rsidP="00927BB5">
      <w:pPr>
        <w:pStyle w:val="SingleTxtGC"/>
      </w:pPr>
      <w:r>
        <w:t>2.</w:t>
      </w:r>
      <w:r w:rsidR="0064597C">
        <w:rPr>
          <w:rFonts w:hint="eastAsia"/>
        </w:rPr>
        <w:tab/>
      </w:r>
      <w:r w:rsidR="00927BB5" w:rsidRPr="003C2B6B">
        <w:rPr>
          <w:rFonts w:hint="eastAsia"/>
        </w:rPr>
        <w:t>本文件的目的是</w:t>
      </w:r>
      <w:r w:rsidR="00927BB5">
        <w:rPr>
          <w:rFonts w:hint="eastAsia"/>
        </w:rPr>
        <w:t>阐明和巩固</w:t>
      </w:r>
      <w:r w:rsidR="00927BB5" w:rsidRPr="003C2B6B">
        <w:rPr>
          <w:rFonts w:hint="eastAsia"/>
        </w:rPr>
        <w:t>委员会与非政府组织的关系</w:t>
      </w:r>
      <w:r>
        <w:rPr>
          <w:rFonts w:hint="eastAsia"/>
        </w:rPr>
        <w:t>，</w:t>
      </w:r>
      <w:r w:rsidR="00927BB5" w:rsidRPr="003C2B6B">
        <w:rPr>
          <w:rFonts w:hint="eastAsia"/>
        </w:rPr>
        <w:t>以及</w:t>
      </w:r>
      <w:r w:rsidR="00927BB5">
        <w:rPr>
          <w:rFonts w:hint="eastAsia"/>
        </w:rPr>
        <w:t>加强</w:t>
      </w:r>
      <w:r w:rsidR="00927BB5" w:rsidRPr="003C2B6B">
        <w:rPr>
          <w:rFonts w:hint="eastAsia"/>
        </w:rPr>
        <w:t>非政府组织</w:t>
      </w:r>
      <w:r w:rsidR="00927BB5">
        <w:rPr>
          <w:rFonts w:hint="eastAsia"/>
        </w:rPr>
        <w:t>对于</w:t>
      </w:r>
      <w:r w:rsidR="00927BB5" w:rsidRPr="003C2B6B">
        <w:rPr>
          <w:rFonts w:hint="eastAsia"/>
        </w:rPr>
        <w:t>推动在国家一级执行《公约》的</w:t>
      </w:r>
      <w:r w:rsidR="00927BB5">
        <w:rPr>
          <w:rFonts w:hint="eastAsia"/>
        </w:rPr>
        <w:t>贡献</w:t>
      </w:r>
      <w:r w:rsidR="00927BB5" w:rsidRPr="003C2B6B">
        <w:rPr>
          <w:rFonts w:hint="eastAsia"/>
        </w:rPr>
        <w:t>。</w:t>
      </w:r>
    </w:p>
    <w:p w:rsidR="00927BB5" w:rsidRPr="003C2B6B" w:rsidRDefault="00F83CA8" w:rsidP="00927BB5">
      <w:pPr>
        <w:pStyle w:val="SingleTxtGC"/>
        <w:rPr>
          <w:rFonts w:hint="eastAsia"/>
        </w:rPr>
      </w:pPr>
      <w:r>
        <w:t>3.</w:t>
      </w:r>
      <w:r w:rsidR="0064597C">
        <w:rPr>
          <w:rFonts w:hint="eastAsia"/>
        </w:rPr>
        <w:tab/>
      </w:r>
      <w:r w:rsidR="00927BB5" w:rsidRPr="003C2B6B">
        <w:rPr>
          <w:rFonts w:hint="eastAsia"/>
        </w:rPr>
        <w:t>自</w:t>
      </w:r>
      <w:r w:rsidR="00927BB5" w:rsidRPr="003C2B6B">
        <w:rPr>
          <w:rFonts w:hint="eastAsia"/>
        </w:rPr>
        <w:t>1980</w:t>
      </w:r>
      <w:r w:rsidR="00927BB5" w:rsidRPr="003C2B6B">
        <w:rPr>
          <w:rFonts w:hint="eastAsia"/>
        </w:rPr>
        <w:t>年代初以来</w:t>
      </w:r>
      <w:r>
        <w:rPr>
          <w:rFonts w:hint="eastAsia"/>
        </w:rPr>
        <w:t>，</w:t>
      </w:r>
      <w:r w:rsidR="00927BB5" w:rsidRPr="003C2B6B">
        <w:rPr>
          <w:rFonts w:hint="eastAsia"/>
        </w:rPr>
        <w:t>非政府组织在执行《公约》方面一直发挥着重要作用</w:t>
      </w:r>
      <w:r>
        <w:rPr>
          <w:rFonts w:hint="eastAsia"/>
        </w:rPr>
        <w:t>，</w:t>
      </w:r>
      <w:r w:rsidR="00927BB5" w:rsidRPr="003C2B6B">
        <w:rPr>
          <w:rFonts w:hint="eastAsia"/>
        </w:rPr>
        <w:t>在委员会活动的所有阶段均做出了贡献。非政府组织一直在提交与缔约国报告和结论性意见后续程序相关的替代</w:t>
      </w:r>
      <w:r>
        <w:rPr>
          <w:rFonts w:hint="eastAsia"/>
        </w:rPr>
        <w:t>/</w:t>
      </w:r>
      <w:r w:rsidR="00927BB5" w:rsidRPr="003C2B6B">
        <w:rPr>
          <w:rFonts w:hint="eastAsia"/>
        </w:rPr>
        <w:t>影子报告供委员会审议</w:t>
      </w:r>
      <w:r>
        <w:rPr>
          <w:rFonts w:hint="eastAsia"/>
        </w:rPr>
        <w:t>，</w:t>
      </w:r>
      <w:r w:rsidR="00927BB5" w:rsidRPr="003C2B6B">
        <w:rPr>
          <w:rFonts w:hint="eastAsia"/>
        </w:rPr>
        <w:t>协助提交人提交个人来文</w:t>
      </w:r>
      <w:r>
        <w:rPr>
          <w:rFonts w:hint="eastAsia"/>
        </w:rPr>
        <w:t>，</w:t>
      </w:r>
      <w:r w:rsidR="00927BB5" w:rsidRPr="003C2B6B">
        <w:rPr>
          <w:rFonts w:hint="eastAsia"/>
        </w:rPr>
        <w:t>在届会期间向委员会提供</w:t>
      </w:r>
      <w:r w:rsidR="00927BB5">
        <w:rPr>
          <w:rFonts w:hint="eastAsia"/>
        </w:rPr>
        <w:t>情况介绍并</w:t>
      </w:r>
      <w:r w:rsidR="00927BB5" w:rsidRPr="003C2B6B">
        <w:rPr>
          <w:rFonts w:hint="eastAsia"/>
        </w:rPr>
        <w:t>全面提升委员会及其活动的可见度。总体而言</w:t>
      </w:r>
      <w:r>
        <w:rPr>
          <w:rFonts w:hint="eastAsia"/>
        </w:rPr>
        <w:t>，</w:t>
      </w:r>
      <w:r w:rsidR="00927BB5" w:rsidRPr="003C2B6B">
        <w:rPr>
          <w:rFonts w:hint="eastAsia"/>
        </w:rPr>
        <w:t>它们</w:t>
      </w:r>
      <w:r w:rsidR="00927BB5">
        <w:rPr>
          <w:rFonts w:hint="eastAsia"/>
        </w:rPr>
        <w:t>就</w:t>
      </w:r>
      <w:r w:rsidR="00927BB5" w:rsidRPr="003C2B6B">
        <w:rPr>
          <w:rFonts w:hint="eastAsia"/>
        </w:rPr>
        <w:t>委员会开展</w:t>
      </w:r>
      <w:r w:rsidR="00927BB5">
        <w:rPr>
          <w:rFonts w:hint="eastAsia"/>
        </w:rPr>
        <w:t>的</w:t>
      </w:r>
      <w:r w:rsidR="00927BB5" w:rsidRPr="003C2B6B">
        <w:rPr>
          <w:rFonts w:hint="eastAsia"/>
        </w:rPr>
        <w:t>活动提供了重要资料</w:t>
      </w:r>
      <w:r>
        <w:rPr>
          <w:rFonts w:hint="eastAsia"/>
        </w:rPr>
        <w:t>，</w:t>
      </w:r>
      <w:r w:rsidR="00927BB5" w:rsidRPr="003C2B6B">
        <w:rPr>
          <w:rFonts w:hint="eastAsia"/>
        </w:rPr>
        <w:t>并在加强在国家一级执行《公约》方面发挥了促进作用。</w:t>
      </w:r>
    </w:p>
    <w:p w:rsidR="00927BB5" w:rsidRPr="003C2B6B" w:rsidRDefault="00927BB5" w:rsidP="00927BB5">
      <w:pPr>
        <w:pStyle w:val="H1GC"/>
      </w:pPr>
      <w:r w:rsidRPr="003C2B6B">
        <w:tab/>
        <w:t>A.</w:t>
      </w:r>
      <w:r w:rsidRPr="003C2B6B">
        <w:tab/>
      </w:r>
      <w:r w:rsidRPr="003C2B6B">
        <w:rPr>
          <w:rFonts w:hint="eastAsia"/>
        </w:rPr>
        <w:t>非政府组织在《公约》</w:t>
      </w:r>
      <w:r>
        <w:rPr>
          <w:rFonts w:hint="eastAsia"/>
        </w:rPr>
        <w:t>规定</w:t>
      </w:r>
      <w:r w:rsidRPr="003C2B6B">
        <w:rPr>
          <w:rFonts w:hint="eastAsia"/>
        </w:rPr>
        <w:t>的报告进程中的作用</w:t>
      </w:r>
    </w:p>
    <w:p w:rsidR="00927BB5" w:rsidRPr="003C2B6B" w:rsidRDefault="00F83CA8" w:rsidP="00927BB5">
      <w:pPr>
        <w:pStyle w:val="SingleTxtGC"/>
      </w:pPr>
      <w:r>
        <w:t>4.</w:t>
      </w:r>
      <w:r w:rsidR="0064597C">
        <w:rPr>
          <w:rFonts w:hint="eastAsia"/>
        </w:rPr>
        <w:tab/>
      </w:r>
      <w:r w:rsidR="00927BB5">
        <w:rPr>
          <w:rFonts w:hint="eastAsia"/>
        </w:rPr>
        <w:t>多年来</w:t>
      </w:r>
      <w:r>
        <w:rPr>
          <w:rFonts w:hint="eastAsia"/>
        </w:rPr>
        <w:t>，</w:t>
      </w:r>
      <w:r w:rsidR="00927BB5">
        <w:rPr>
          <w:rFonts w:hint="eastAsia"/>
        </w:rPr>
        <w:t>委员会为</w:t>
      </w:r>
      <w:r w:rsidR="00927BB5" w:rsidRPr="00E45D9F">
        <w:rPr>
          <w:rFonts w:hint="eastAsia"/>
        </w:rPr>
        <w:t>非政府组织在报告</w:t>
      </w:r>
      <w:r w:rsidR="00927BB5">
        <w:rPr>
          <w:rFonts w:hint="eastAsia"/>
        </w:rPr>
        <w:t>进</w:t>
      </w:r>
      <w:r w:rsidR="00927BB5" w:rsidRPr="00E45D9F">
        <w:rPr>
          <w:rFonts w:hint="eastAsia"/>
        </w:rPr>
        <w:t>程和委员会审查缔约国履行《公约》义务方面发挥建设性作用创造了空间。</w:t>
      </w:r>
    </w:p>
    <w:p w:rsidR="00927BB5" w:rsidRPr="003C2B6B" w:rsidRDefault="00F83CA8" w:rsidP="0064597C">
      <w:pPr>
        <w:pStyle w:val="SingleTxtGC"/>
      </w:pPr>
      <w:r>
        <w:t>5.</w:t>
      </w:r>
      <w:r w:rsidR="0064597C">
        <w:rPr>
          <w:rFonts w:hint="eastAsia"/>
        </w:rPr>
        <w:tab/>
      </w:r>
      <w:r w:rsidR="00927BB5" w:rsidRPr="00E45D9F">
        <w:rPr>
          <w:rFonts w:hint="eastAsia"/>
        </w:rPr>
        <w:t>鉴于委员会</w:t>
      </w:r>
      <w:r w:rsidR="00C70961">
        <w:rPr>
          <w:rFonts w:hint="eastAsia"/>
        </w:rPr>
        <w:t>对缔约国报告的审议</w:t>
      </w:r>
      <w:r w:rsidR="00927BB5" w:rsidRPr="00E45D9F">
        <w:rPr>
          <w:rFonts w:hint="eastAsia"/>
        </w:rPr>
        <w:t>以与缔约国的建设性对话为基础</w:t>
      </w:r>
      <w:r>
        <w:rPr>
          <w:rFonts w:hint="eastAsia"/>
        </w:rPr>
        <w:t>，</w:t>
      </w:r>
      <w:r w:rsidR="00927BB5" w:rsidRPr="00E45D9F">
        <w:rPr>
          <w:rFonts w:hint="eastAsia"/>
        </w:rPr>
        <w:t>委员会认为</w:t>
      </w:r>
      <w:r>
        <w:rPr>
          <w:rFonts w:hint="eastAsia"/>
        </w:rPr>
        <w:t>，</w:t>
      </w:r>
      <w:r w:rsidR="00927BB5" w:rsidRPr="00E45D9F">
        <w:rPr>
          <w:rFonts w:hint="eastAsia"/>
        </w:rPr>
        <w:t>为确保</w:t>
      </w:r>
      <w:r w:rsidR="00C70961">
        <w:rPr>
          <w:rFonts w:hint="eastAsia"/>
        </w:rPr>
        <w:t>知情和</w:t>
      </w:r>
      <w:r w:rsidR="00C70961" w:rsidRPr="00E45D9F">
        <w:rPr>
          <w:rFonts w:hint="eastAsia"/>
        </w:rPr>
        <w:t>建设性</w:t>
      </w:r>
      <w:r w:rsidR="00927BB5" w:rsidRPr="00E45D9F">
        <w:rPr>
          <w:rFonts w:hint="eastAsia"/>
        </w:rPr>
        <w:t>对话</w:t>
      </w:r>
      <w:r>
        <w:rPr>
          <w:rFonts w:hint="eastAsia"/>
        </w:rPr>
        <w:t>，</w:t>
      </w:r>
      <w:r w:rsidR="00927BB5" w:rsidRPr="00E45D9F">
        <w:rPr>
          <w:rFonts w:hint="eastAsia"/>
        </w:rPr>
        <w:t>对话</w:t>
      </w:r>
      <w:r w:rsidR="00C70961">
        <w:rPr>
          <w:rFonts w:hint="eastAsia"/>
        </w:rPr>
        <w:t>就</w:t>
      </w:r>
      <w:r w:rsidR="00927BB5" w:rsidRPr="00E45D9F">
        <w:rPr>
          <w:rFonts w:hint="eastAsia"/>
        </w:rPr>
        <w:t>不仅要以缔约国、联合国实体和各国人权机构提供的资料为基础</w:t>
      </w:r>
      <w:r>
        <w:rPr>
          <w:rFonts w:hint="eastAsia"/>
        </w:rPr>
        <w:t>，</w:t>
      </w:r>
      <w:r w:rsidR="00C70961">
        <w:rPr>
          <w:rFonts w:hint="eastAsia"/>
        </w:rPr>
        <w:t>而且</w:t>
      </w:r>
      <w:r w:rsidR="00927BB5" w:rsidRPr="00E45D9F">
        <w:rPr>
          <w:rFonts w:hint="eastAsia"/>
        </w:rPr>
        <w:t>还要以非政府组织提供的资料为基础。</w:t>
      </w:r>
    </w:p>
    <w:p w:rsidR="00927BB5" w:rsidRPr="003C2B6B" w:rsidRDefault="00F83CA8" w:rsidP="0064597C">
      <w:pPr>
        <w:pStyle w:val="SingleTxtGC"/>
      </w:pPr>
      <w:r>
        <w:t>6.</w:t>
      </w:r>
      <w:r w:rsidR="00927BB5">
        <w:t xml:space="preserve">  </w:t>
      </w:r>
      <w:r w:rsidR="00927BB5">
        <w:rPr>
          <w:rFonts w:hint="eastAsia"/>
        </w:rPr>
        <w:t>因此</w:t>
      </w:r>
      <w:r>
        <w:rPr>
          <w:rFonts w:hint="eastAsia"/>
        </w:rPr>
        <w:t>，</w:t>
      </w:r>
      <w:r w:rsidR="00927BB5">
        <w:rPr>
          <w:rFonts w:hint="eastAsia"/>
        </w:rPr>
        <w:t>在拟定问题清单和就委员会结论性意见开展后续工作等所有阶段</w:t>
      </w:r>
      <w:r>
        <w:rPr>
          <w:rFonts w:hint="eastAsia"/>
        </w:rPr>
        <w:t>，</w:t>
      </w:r>
      <w:r w:rsidR="00927BB5">
        <w:rPr>
          <w:rFonts w:hint="eastAsia"/>
        </w:rPr>
        <w:t>非政府组织均</w:t>
      </w:r>
      <w:r w:rsidR="00C70961">
        <w:rPr>
          <w:rFonts w:hint="eastAsia"/>
        </w:rPr>
        <w:t>可</w:t>
      </w:r>
      <w:r w:rsidR="00927BB5">
        <w:rPr>
          <w:rFonts w:hint="eastAsia"/>
        </w:rPr>
        <w:t>发挥关键性的作用</w:t>
      </w:r>
      <w:r>
        <w:rPr>
          <w:rFonts w:hint="eastAsia"/>
        </w:rPr>
        <w:t>，</w:t>
      </w:r>
      <w:r w:rsidR="00927BB5">
        <w:rPr>
          <w:rFonts w:hint="eastAsia"/>
        </w:rPr>
        <w:t>为报告进程提供资料。</w:t>
      </w:r>
    </w:p>
    <w:p w:rsidR="00927BB5" w:rsidRPr="003C2B6B" w:rsidRDefault="00F83CA8" w:rsidP="00927BB5">
      <w:pPr>
        <w:pStyle w:val="SingleTxtGC"/>
        <w:rPr>
          <w:rFonts w:hint="eastAsia"/>
        </w:rPr>
      </w:pPr>
      <w:r>
        <w:t>7.</w:t>
      </w:r>
      <w:r w:rsidR="0064597C">
        <w:rPr>
          <w:rFonts w:hint="eastAsia"/>
        </w:rPr>
        <w:tab/>
      </w:r>
      <w:r w:rsidR="00927BB5">
        <w:rPr>
          <w:rFonts w:hint="eastAsia"/>
        </w:rPr>
        <w:t>委员会</w:t>
      </w:r>
      <w:r w:rsidR="00927BB5" w:rsidRPr="00B61239">
        <w:rPr>
          <w:rFonts w:hint="eastAsia"/>
        </w:rPr>
        <w:t>鼓励非政府组织</w:t>
      </w:r>
      <w:r w:rsidR="00927BB5">
        <w:rPr>
          <w:rFonts w:hint="eastAsia"/>
        </w:rPr>
        <w:t>提交替代报告</w:t>
      </w:r>
      <w:r>
        <w:rPr>
          <w:rFonts w:hint="eastAsia"/>
        </w:rPr>
        <w:t>，</w:t>
      </w:r>
      <w:r w:rsidR="00927BB5">
        <w:rPr>
          <w:rFonts w:hint="eastAsia"/>
        </w:rPr>
        <w:t>说明</w:t>
      </w:r>
      <w:r w:rsidR="00927BB5" w:rsidRPr="00B61239">
        <w:rPr>
          <w:rFonts w:hint="eastAsia"/>
        </w:rPr>
        <w:t>《公约》部分或全部规定的执行</w:t>
      </w:r>
      <w:r w:rsidR="00927BB5">
        <w:rPr>
          <w:rFonts w:hint="eastAsia"/>
        </w:rPr>
        <w:t>情况</w:t>
      </w:r>
      <w:r>
        <w:rPr>
          <w:rFonts w:hint="eastAsia"/>
        </w:rPr>
        <w:t>，</w:t>
      </w:r>
      <w:r w:rsidR="00927BB5">
        <w:rPr>
          <w:rFonts w:hint="eastAsia"/>
        </w:rPr>
        <w:t>对缔约国报告及缔约国对问题清单书面答复的意见</w:t>
      </w:r>
      <w:r>
        <w:rPr>
          <w:rFonts w:hint="eastAsia"/>
        </w:rPr>
        <w:t>，</w:t>
      </w:r>
      <w:r w:rsidR="00927BB5">
        <w:rPr>
          <w:rFonts w:hint="eastAsia"/>
        </w:rPr>
        <w:t>以及缔约国执行委员会以往结论性意见的情况</w:t>
      </w:r>
      <w:r w:rsidR="00927BB5" w:rsidRPr="00B61239">
        <w:rPr>
          <w:rFonts w:hint="eastAsia"/>
        </w:rPr>
        <w:t>。</w:t>
      </w:r>
      <w:r w:rsidR="00927BB5">
        <w:rPr>
          <w:rFonts w:hint="eastAsia"/>
        </w:rPr>
        <w:t>委员会鼓励</w:t>
      </w:r>
      <w:r w:rsidR="00C70961">
        <w:rPr>
          <w:rFonts w:hint="eastAsia"/>
        </w:rPr>
        <w:t>非政府组织</w:t>
      </w:r>
      <w:r w:rsidR="00927BB5">
        <w:rPr>
          <w:rFonts w:hint="eastAsia"/>
        </w:rPr>
        <w:t>确保在秘书处规定的最后期限之前尽早提交报告。</w:t>
      </w:r>
    </w:p>
    <w:p w:rsidR="00927BB5" w:rsidRPr="003C2B6B" w:rsidRDefault="00927BB5" w:rsidP="00927BB5">
      <w:pPr>
        <w:pStyle w:val="H23GC"/>
      </w:pPr>
      <w:r w:rsidRPr="003C2B6B">
        <w:tab/>
      </w:r>
      <w:r w:rsidR="00F83CA8">
        <w:t>1.</w:t>
      </w:r>
      <w:r w:rsidRPr="003C2B6B">
        <w:tab/>
      </w:r>
      <w:r w:rsidRPr="00B61239">
        <w:rPr>
          <w:rFonts w:hint="eastAsia"/>
        </w:rPr>
        <w:t>协商和对缔约国报告的投入</w:t>
      </w:r>
    </w:p>
    <w:p w:rsidR="00927BB5" w:rsidRPr="003C2B6B" w:rsidRDefault="00F83CA8" w:rsidP="00927BB5">
      <w:pPr>
        <w:pStyle w:val="SingleTxtGC"/>
      </w:pPr>
      <w:r>
        <w:t>8.</w:t>
      </w:r>
      <w:r w:rsidR="0064597C">
        <w:rPr>
          <w:rFonts w:hint="eastAsia"/>
        </w:rPr>
        <w:tab/>
      </w:r>
      <w:r w:rsidR="00927BB5">
        <w:rPr>
          <w:rFonts w:hint="eastAsia"/>
        </w:rPr>
        <w:t>非政府组织常常为缔约国报告</w:t>
      </w:r>
      <w:r w:rsidR="00927BB5" w:rsidRPr="00CD6424">
        <w:rPr>
          <w:rFonts w:hint="eastAsia"/>
        </w:rPr>
        <w:t>提供有益的投入</w:t>
      </w:r>
      <w:r w:rsidR="00927BB5">
        <w:rPr>
          <w:rFonts w:hint="eastAsia"/>
        </w:rPr>
        <w:t>。然而</w:t>
      </w:r>
      <w:r>
        <w:rPr>
          <w:rFonts w:hint="eastAsia"/>
        </w:rPr>
        <w:t>，</w:t>
      </w:r>
      <w:r w:rsidR="00927BB5">
        <w:rPr>
          <w:rFonts w:hint="eastAsia"/>
        </w:rPr>
        <w:t>报告总应该是缔约国的报告。此外</w:t>
      </w:r>
      <w:r>
        <w:rPr>
          <w:rFonts w:hint="eastAsia"/>
        </w:rPr>
        <w:t>，</w:t>
      </w:r>
      <w:r w:rsidR="00927BB5">
        <w:rPr>
          <w:rFonts w:hint="eastAsia"/>
        </w:rPr>
        <w:t>非政府组织在为缔约国报告提供资料方面发挥的作用不应排除提交一份替代报告的可能性。</w:t>
      </w:r>
    </w:p>
    <w:p w:rsidR="00927BB5" w:rsidRPr="003C2B6B" w:rsidRDefault="00927BB5" w:rsidP="00927BB5">
      <w:pPr>
        <w:pStyle w:val="H23GC"/>
      </w:pPr>
      <w:r w:rsidRPr="003C2B6B">
        <w:tab/>
      </w:r>
      <w:r w:rsidR="00F83CA8">
        <w:t>2.</w:t>
      </w:r>
      <w:r w:rsidRPr="003C2B6B">
        <w:tab/>
      </w:r>
      <w:r w:rsidRPr="00B61239">
        <w:rPr>
          <w:rFonts w:hint="eastAsia"/>
        </w:rPr>
        <w:t>非政府组织提交报告并</w:t>
      </w:r>
      <w:r>
        <w:rPr>
          <w:rFonts w:hint="eastAsia"/>
        </w:rPr>
        <w:t>为问题清单</w:t>
      </w:r>
      <w:r w:rsidRPr="00B61239">
        <w:rPr>
          <w:rFonts w:hint="eastAsia"/>
        </w:rPr>
        <w:t>提供口头资料</w:t>
      </w:r>
    </w:p>
    <w:p w:rsidR="00927BB5" w:rsidRPr="003C2B6B" w:rsidRDefault="00F83CA8" w:rsidP="00927BB5">
      <w:pPr>
        <w:pStyle w:val="SingleTxtGC"/>
      </w:pPr>
      <w:r>
        <w:t>9.</w:t>
      </w:r>
      <w:r w:rsidR="0064597C">
        <w:rPr>
          <w:rFonts w:hint="eastAsia"/>
        </w:rPr>
        <w:tab/>
      </w:r>
      <w:r w:rsidR="00927BB5" w:rsidRPr="00B61239">
        <w:rPr>
          <w:rFonts w:hint="eastAsia"/>
        </w:rPr>
        <w:t>委员会强调</w:t>
      </w:r>
      <w:r>
        <w:rPr>
          <w:rFonts w:hint="eastAsia"/>
        </w:rPr>
        <w:t>，</w:t>
      </w:r>
      <w:r w:rsidR="00927BB5" w:rsidRPr="00B61239">
        <w:rPr>
          <w:rFonts w:hint="eastAsia"/>
        </w:rPr>
        <w:t>非常希望</w:t>
      </w:r>
      <w:r w:rsidR="00927BB5">
        <w:rPr>
          <w:rFonts w:hint="eastAsia"/>
        </w:rPr>
        <w:t>在报告进程的早期阶段</w:t>
      </w:r>
      <w:r w:rsidR="00927BB5" w:rsidRPr="00B61239">
        <w:rPr>
          <w:rFonts w:hint="eastAsia"/>
        </w:rPr>
        <w:t>收到非政府组织的</w:t>
      </w:r>
      <w:r w:rsidR="00927BB5">
        <w:rPr>
          <w:rFonts w:hint="eastAsia"/>
        </w:rPr>
        <w:t>投入。为此</w:t>
      </w:r>
      <w:r>
        <w:rPr>
          <w:rFonts w:hint="eastAsia"/>
        </w:rPr>
        <w:t>，</w:t>
      </w:r>
      <w:r w:rsidR="00927BB5">
        <w:rPr>
          <w:rFonts w:hint="eastAsia"/>
        </w:rPr>
        <w:t>委员会提前通知</w:t>
      </w:r>
      <w:r w:rsidR="00C70961">
        <w:rPr>
          <w:rFonts w:hint="eastAsia"/>
        </w:rPr>
        <w:t>提交</w:t>
      </w:r>
      <w:r w:rsidR="00927BB5">
        <w:rPr>
          <w:rFonts w:hint="eastAsia"/>
        </w:rPr>
        <w:t>报告时间表。委员会还欢迎非政府组织在问题清单通过之前组织情况通报会。</w:t>
      </w:r>
    </w:p>
    <w:p w:rsidR="00927BB5" w:rsidRPr="003C2B6B" w:rsidRDefault="00927BB5" w:rsidP="00927BB5">
      <w:pPr>
        <w:pStyle w:val="H23GC"/>
      </w:pPr>
      <w:r w:rsidRPr="003C2B6B">
        <w:tab/>
      </w:r>
      <w:r w:rsidR="00F83CA8">
        <w:t>3.</w:t>
      </w:r>
      <w:r w:rsidRPr="003C2B6B">
        <w:tab/>
      </w:r>
      <w:r>
        <w:rPr>
          <w:rFonts w:hint="eastAsia"/>
        </w:rPr>
        <w:t>非政府组织的报告和提供口头资料</w:t>
      </w:r>
    </w:p>
    <w:p w:rsidR="00927BB5" w:rsidRDefault="00927BB5" w:rsidP="00927BB5">
      <w:pPr>
        <w:pStyle w:val="SingleTxtGC"/>
        <w:rPr>
          <w:rFonts w:hint="eastAsia"/>
        </w:rPr>
      </w:pPr>
      <w:r w:rsidRPr="003C2B6B">
        <w:t>1</w:t>
      </w:r>
      <w:r w:rsidR="00F83CA8">
        <w:t>0.</w:t>
      </w:r>
      <w:r>
        <w:t xml:space="preserve">  </w:t>
      </w:r>
      <w:r w:rsidRPr="002B6B37">
        <w:rPr>
          <w:rFonts w:hint="eastAsia"/>
        </w:rPr>
        <w:t>委员会欢迎非政府组织提交</w:t>
      </w:r>
      <w:r>
        <w:rPr>
          <w:rFonts w:hint="eastAsia"/>
        </w:rPr>
        <w:t>替代</w:t>
      </w:r>
      <w:r w:rsidRPr="002B6B37">
        <w:rPr>
          <w:rFonts w:hint="eastAsia"/>
        </w:rPr>
        <w:t>报告</w:t>
      </w:r>
      <w:r w:rsidR="00F83CA8">
        <w:rPr>
          <w:rFonts w:hint="eastAsia"/>
        </w:rPr>
        <w:t>，</w:t>
      </w:r>
      <w:r w:rsidRPr="002B6B37">
        <w:rPr>
          <w:rFonts w:hint="eastAsia"/>
        </w:rPr>
        <w:t>在届会期间作口头介绍</w:t>
      </w:r>
      <w:r w:rsidR="00F83CA8">
        <w:rPr>
          <w:rFonts w:hint="eastAsia"/>
        </w:rPr>
        <w:t>，</w:t>
      </w:r>
      <w:r w:rsidRPr="002B6B37">
        <w:rPr>
          <w:rFonts w:hint="eastAsia"/>
        </w:rPr>
        <w:t>并在委员会审查缔约国报告时以观察员身份出席。</w:t>
      </w:r>
      <w:r>
        <w:rPr>
          <w:rFonts w:hint="eastAsia"/>
        </w:rPr>
        <w:t>委员会忆及</w:t>
      </w:r>
      <w:r w:rsidR="00F83CA8">
        <w:rPr>
          <w:rFonts w:hint="eastAsia"/>
        </w:rPr>
        <w:t>，</w:t>
      </w:r>
      <w:r>
        <w:rPr>
          <w:rFonts w:hint="eastAsia"/>
        </w:rPr>
        <w:t>自第</w:t>
      </w:r>
      <w:r>
        <w:rPr>
          <w:rFonts w:hint="eastAsia"/>
        </w:rPr>
        <w:t>103</w:t>
      </w:r>
      <w:r>
        <w:rPr>
          <w:rFonts w:hint="eastAsia"/>
        </w:rPr>
        <w:t>届会议以来</w:t>
      </w:r>
      <w:r w:rsidR="00F83CA8">
        <w:rPr>
          <w:rFonts w:hint="eastAsia"/>
        </w:rPr>
        <w:t>，</w:t>
      </w:r>
      <w:r>
        <w:rPr>
          <w:rFonts w:hint="eastAsia"/>
        </w:rPr>
        <w:t>在审查缔约国报告之前的非公开正式会议期间</w:t>
      </w:r>
      <w:r w:rsidR="00F83CA8">
        <w:rPr>
          <w:rFonts w:hint="eastAsia"/>
        </w:rPr>
        <w:t>，</w:t>
      </w:r>
      <w:r>
        <w:rPr>
          <w:rFonts w:hint="eastAsia"/>
        </w:rPr>
        <w:t>非政府组织有时间接触委员会委员。这样非政府组织能够口头介绍和解释它们关注的主要</w:t>
      </w:r>
      <w:r w:rsidR="00C70961">
        <w:rPr>
          <w:rFonts w:hint="eastAsia"/>
        </w:rPr>
        <w:t>问</w:t>
      </w:r>
      <w:r>
        <w:rPr>
          <w:rFonts w:hint="eastAsia"/>
        </w:rPr>
        <w:t>题</w:t>
      </w:r>
      <w:r w:rsidR="00F83CA8">
        <w:rPr>
          <w:rFonts w:hint="eastAsia"/>
        </w:rPr>
        <w:t>，</w:t>
      </w:r>
      <w:r>
        <w:rPr>
          <w:rFonts w:hint="eastAsia"/>
        </w:rPr>
        <w:t>并回答委员的问题。在非正式通报会期间</w:t>
      </w:r>
      <w:r w:rsidR="00F83CA8">
        <w:rPr>
          <w:rFonts w:hint="eastAsia"/>
        </w:rPr>
        <w:t>，</w:t>
      </w:r>
      <w:r>
        <w:rPr>
          <w:rFonts w:hint="eastAsia"/>
        </w:rPr>
        <w:t>非政府组织还有其他机会向委员会提供详细资料。</w:t>
      </w:r>
    </w:p>
    <w:p w:rsidR="00927BB5" w:rsidRPr="003C2B6B" w:rsidRDefault="00927BB5" w:rsidP="00927BB5">
      <w:pPr>
        <w:pStyle w:val="H23GC"/>
      </w:pPr>
      <w:r w:rsidRPr="003C2B6B">
        <w:tab/>
      </w:r>
      <w:r w:rsidR="00F83CA8">
        <w:t>4.</w:t>
      </w:r>
      <w:r w:rsidRPr="003C2B6B">
        <w:tab/>
      </w:r>
      <w:r w:rsidRPr="00A438E0">
        <w:rPr>
          <w:rFonts w:hint="eastAsia"/>
        </w:rPr>
        <w:t>非政府组织根据委员会</w:t>
      </w:r>
      <w:r>
        <w:rPr>
          <w:rFonts w:hint="eastAsia"/>
        </w:rPr>
        <w:t>结论性意见</w:t>
      </w:r>
      <w:r w:rsidRPr="00A438E0">
        <w:rPr>
          <w:rFonts w:hint="eastAsia"/>
        </w:rPr>
        <w:t>后续程序提交的报告</w:t>
      </w:r>
    </w:p>
    <w:p w:rsidR="00927BB5" w:rsidRPr="003C2B6B" w:rsidRDefault="00927BB5" w:rsidP="00927BB5">
      <w:pPr>
        <w:pStyle w:val="SingleTxtGC"/>
      </w:pPr>
      <w:r w:rsidRPr="003C2B6B">
        <w:t>1</w:t>
      </w:r>
      <w:r w:rsidR="00F83CA8">
        <w:t>1.</w:t>
      </w:r>
      <w:r>
        <w:t xml:space="preserve">  </w:t>
      </w:r>
      <w:r>
        <w:rPr>
          <w:rFonts w:hint="eastAsia"/>
        </w:rPr>
        <w:t>委员会鼓励非政府组织为结论性意见后续程序提供资料。非政府组织可以向委员会提供书面资料</w:t>
      </w:r>
      <w:r w:rsidR="00F83CA8">
        <w:rPr>
          <w:rFonts w:hint="eastAsia"/>
        </w:rPr>
        <w:t>，</w:t>
      </w:r>
      <w:r>
        <w:rPr>
          <w:rFonts w:hint="eastAsia"/>
        </w:rPr>
        <w:t>包括评价缔约国委员会为后续程序选定的</w:t>
      </w:r>
      <w:r w:rsidR="00C70961">
        <w:rPr>
          <w:rFonts w:hint="eastAsia"/>
        </w:rPr>
        <w:t>为落实</w:t>
      </w:r>
      <w:r>
        <w:rPr>
          <w:rFonts w:hint="eastAsia"/>
        </w:rPr>
        <w:t>结论性意见而采取的措施。这些资料应在缔约国应提交后续报告之时</w:t>
      </w:r>
      <w:r w:rsidR="00F83CA8">
        <w:t>(</w:t>
      </w:r>
      <w:r>
        <w:rPr>
          <w:rFonts w:hint="eastAsia"/>
        </w:rPr>
        <w:t>即通过结论性意见一年后</w:t>
      </w:r>
      <w:r w:rsidR="00F83CA8">
        <w:t>)</w:t>
      </w:r>
      <w:r w:rsidR="00F83CA8">
        <w:rPr>
          <w:rFonts w:hint="eastAsia"/>
        </w:rPr>
        <w:t>，</w:t>
      </w:r>
      <w:r>
        <w:rPr>
          <w:rFonts w:hint="eastAsia"/>
        </w:rPr>
        <w:t>或缔约国公布后续报告之时提交。此类资料仅应涉及结论性意见中重点强调的建议的执行情况</w:t>
      </w:r>
      <w:r w:rsidR="00F83CA8">
        <w:rPr>
          <w:rFonts w:hint="eastAsia"/>
        </w:rPr>
        <w:t>，</w:t>
      </w:r>
      <w:r>
        <w:rPr>
          <w:rFonts w:hint="eastAsia"/>
        </w:rPr>
        <w:t>供在后续程序之下审议。</w:t>
      </w:r>
    </w:p>
    <w:p w:rsidR="00927BB5" w:rsidRPr="003C2B6B" w:rsidRDefault="00927BB5" w:rsidP="0064597C">
      <w:pPr>
        <w:pStyle w:val="H23GC"/>
      </w:pPr>
      <w:r w:rsidRPr="003C2B6B">
        <w:tab/>
      </w:r>
      <w:r w:rsidR="00F83CA8">
        <w:t>5.</w:t>
      </w:r>
      <w:r w:rsidRPr="003C2B6B">
        <w:tab/>
      </w:r>
      <w:r>
        <w:rPr>
          <w:rFonts w:hint="eastAsia"/>
        </w:rPr>
        <w:t>非政府组织根据审查程序提交的报告</w:t>
      </w:r>
      <w:r w:rsidR="00F83CA8">
        <w:t>(</w:t>
      </w:r>
      <w:r>
        <w:rPr>
          <w:rFonts w:hint="eastAsia"/>
        </w:rPr>
        <w:t>无缔约国报告情况下的审查</w:t>
      </w:r>
      <w:r w:rsidR="00F83CA8">
        <w:t>)</w:t>
      </w:r>
    </w:p>
    <w:p w:rsidR="00927BB5" w:rsidRPr="003C2B6B" w:rsidRDefault="00927BB5" w:rsidP="00927BB5">
      <w:pPr>
        <w:pStyle w:val="SingleTxtGC"/>
        <w:rPr>
          <w:rFonts w:hint="eastAsia"/>
        </w:rPr>
      </w:pPr>
      <w:r w:rsidRPr="003C2B6B">
        <w:t>1</w:t>
      </w:r>
      <w:r w:rsidR="00F83CA8">
        <w:t>2.</w:t>
      </w:r>
      <w:r>
        <w:t xml:space="preserve">  </w:t>
      </w:r>
      <w:r>
        <w:rPr>
          <w:rFonts w:hint="eastAsia"/>
        </w:rPr>
        <w:t>委员会鼓励非政府组织在委员会决定在无缔约国报告的情况下拟定问题清单并审查缔约国时提交替代报告。非政府组织将拥有与正常报告程序中相同的机会</w:t>
      </w:r>
      <w:r w:rsidR="00F83CA8">
        <w:rPr>
          <w:rFonts w:hint="eastAsia"/>
        </w:rPr>
        <w:t>，</w:t>
      </w:r>
      <w:r>
        <w:rPr>
          <w:rFonts w:hint="eastAsia"/>
        </w:rPr>
        <w:t>向委员会口头介绍情况。非政府组织应注意</w:t>
      </w:r>
      <w:r w:rsidR="00F83CA8">
        <w:rPr>
          <w:rFonts w:hint="eastAsia"/>
        </w:rPr>
        <w:t>，</w:t>
      </w:r>
      <w:r>
        <w:rPr>
          <w:rFonts w:hint="eastAsia"/>
        </w:rPr>
        <w:t>无报告情况下对缔约国的审查在公开会议中进行。</w:t>
      </w:r>
      <w:r w:rsidR="00F83CA8">
        <w:t>(</w:t>
      </w:r>
      <w:r>
        <w:rPr>
          <w:rFonts w:hint="eastAsia"/>
        </w:rPr>
        <w:t>见委员会议事规则第</w:t>
      </w:r>
      <w:r w:rsidRPr="003C2B6B">
        <w:t>68</w:t>
      </w:r>
      <w:r>
        <w:rPr>
          <w:rFonts w:hint="eastAsia"/>
        </w:rPr>
        <w:t>至</w:t>
      </w:r>
      <w:r w:rsidRPr="003C2B6B">
        <w:t>71</w:t>
      </w:r>
      <w:r>
        <w:rPr>
          <w:rFonts w:hint="eastAsia"/>
        </w:rPr>
        <w:t>条</w:t>
      </w:r>
      <w:bookmarkStart w:id="0" w:name="OLE_LINK1"/>
      <w:bookmarkStart w:id="1" w:name="OLE_LINK2"/>
      <w:r w:rsidR="00F83CA8">
        <w:rPr>
          <w:rFonts w:hint="eastAsia"/>
        </w:rPr>
        <w:t>，</w:t>
      </w:r>
      <w:r w:rsidRPr="003C2B6B">
        <w:t>CCPR</w:t>
      </w:r>
      <w:r w:rsidR="00F83CA8">
        <w:t>/</w:t>
      </w:r>
      <w:r w:rsidRPr="003C2B6B">
        <w:t>C</w:t>
      </w:r>
      <w:r w:rsidR="00F83CA8">
        <w:t>/</w:t>
      </w:r>
      <w:r w:rsidRPr="003C2B6B">
        <w:t>3</w:t>
      </w:r>
      <w:r w:rsidR="00F83CA8">
        <w:t>/</w:t>
      </w:r>
      <w:r w:rsidRPr="003C2B6B">
        <w:t>Rev.10</w:t>
      </w:r>
      <w:bookmarkEnd w:id="0"/>
      <w:bookmarkEnd w:id="1"/>
      <w:r w:rsidR="00F83CA8">
        <w:t>)</w:t>
      </w:r>
      <w:r>
        <w:rPr>
          <w:rFonts w:hint="eastAsia"/>
        </w:rPr>
        <w:t>。</w:t>
      </w:r>
    </w:p>
    <w:p w:rsidR="00927BB5" w:rsidRPr="003C2B6B" w:rsidRDefault="0064597C" w:rsidP="0064597C">
      <w:pPr>
        <w:pStyle w:val="H1GC"/>
        <w:keepNext w:val="0"/>
      </w:pPr>
      <w:r>
        <w:br w:type="page"/>
      </w:r>
      <w:r w:rsidR="00927BB5" w:rsidRPr="003C2B6B">
        <w:tab/>
        <w:t>B.</w:t>
      </w:r>
      <w:r w:rsidR="00927BB5" w:rsidRPr="003C2B6B">
        <w:tab/>
      </w:r>
      <w:r w:rsidR="00927BB5">
        <w:rPr>
          <w:rFonts w:hint="eastAsia"/>
        </w:rPr>
        <w:t>非政府组织在根据《任择议定书》提交个人来文程序方面的作用</w:t>
      </w:r>
    </w:p>
    <w:p w:rsidR="00927BB5" w:rsidRPr="003C2B6B" w:rsidRDefault="00927BB5" w:rsidP="0064597C">
      <w:pPr>
        <w:pStyle w:val="SingleTxtGC"/>
        <w:rPr>
          <w:rFonts w:hint="eastAsia"/>
        </w:rPr>
      </w:pPr>
      <w:r w:rsidRPr="003C2B6B">
        <w:t>1</w:t>
      </w:r>
      <w:r w:rsidR="00F83CA8">
        <w:t>3.</w:t>
      </w:r>
      <w:r>
        <w:t xml:space="preserve">  </w:t>
      </w:r>
      <w:r>
        <w:rPr>
          <w:rFonts w:hint="eastAsia"/>
        </w:rPr>
        <w:t>非政府组织发挥了重要作用</w:t>
      </w:r>
      <w:r w:rsidR="00F83CA8">
        <w:rPr>
          <w:rFonts w:hint="eastAsia"/>
        </w:rPr>
        <w:t>，</w:t>
      </w:r>
      <w:r>
        <w:rPr>
          <w:rFonts w:hint="eastAsia"/>
        </w:rPr>
        <w:t>帮助违反《公约》的侵犯人权行为的据称受害人根据《任择议定书》向委员会提交个人来文。委员会鼓励非政府组织就委员会意见的执行情况提交后续资料。</w:t>
      </w:r>
    </w:p>
    <w:p w:rsidR="00927BB5" w:rsidRPr="003C2B6B" w:rsidRDefault="00927BB5" w:rsidP="00927BB5">
      <w:pPr>
        <w:pStyle w:val="H1GC"/>
      </w:pPr>
      <w:r w:rsidRPr="003C2B6B">
        <w:tab/>
        <w:t>C.</w:t>
      </w:r>
      <w:r w:rsidRPr="003C2B6B">
        <w:tab/>
      </w:r>
      <w:r w:rsidRPr="003B3C17">
        <w:rPr>
          <w:rFonts w:hint="eastAsia"/>
        </w:rPr>
        <w:t>对拟订委员会一般性</w:t>
      </w:r>
      <w:r>
        <w:rPr>
          <w:rFonts w:hint="eastAsia"/>
        </w:rPr>
        <w:t>意见</w:t>
      </w:r>
      <w:r w:rsidRPr="003B3C17">
        <w:rPr>
          <w:rFonts w:hint="eastAsia"/>
        </w:rPr>
        <w:t>的投入和采用一般性建议</w:t>
      </w:r>
    </w:p>
    <w:p w:rsidR="00927BB5" w:rsidRPr="003C2B6B" w:rsidRDefault="00927BB5" w:rsidP="00927BB5">
      <w:pPr>
        <w:pStyle w:val="SingleTxtGC"/>
      </w:pPr>
      <w:r w:rsidRPr="003C2B6B">
        <w:t>1</w:t>
      </w:r>
      <w:r w:rsidR="00F83CA8">
        <w:t>4.</w:t>
      </w:r>
      <w:r>
        <w:t xml:space="preserve">  </w:t>
      </w:r>
      <w:r>
        <w:rPr>
          <w:rFonts w:hint="eastAsia"/>
        </w:rPr>
        <w:t>委员会鼓励非政府组织与其他利益攸关方一道</w:t>
      </w:r>
      <w:r w:rsidRPr="003B3C17">
        <w:rPr>
          <w:rFonts w:hint="eastAsia"/>
        </w:rPr>
        <w:t>为正在</w:t>
      </w:r>
      <w:r>
        <w:rPr>
          <w:rFonts w:hint="eastAsia"/>
        </w:rPr>
        <w:t>审议</w:t>
      </w:r>
      <w:r w:rsidRPr="003B3C17">
        <w:rPr>
          <w:rFonts w:hint="eastAsia"/>
        </w:rPr>
        <w:t>的一般性</w:t>
      </w:r>
      <w:r>
        <w:rPr>
          <w:rFonts w:hint="eastAsia"/>
        </w:rPr>
        <w:t>意见</w:t>
      </w:r>
      <w:r w:rsidRPr="003B3C17">
        <w:rPr>
          <w:rFonts w:hint="eastAsia"/>
        </w:rPr>
        <w:t>提供投入</w:t>
      </w:r>
      <w:r w:rsidR="00F83CA8">
        <w:rPr>
          <w:rFonts w:hint="eastAsia"/>
        </w:rPr>
        <w:t>，</w:t>
      </w:r>
      <w:r>
        <w:rPr>
          <w:rFonts w:hint="eastAsia"/>
        </w:rPr>
        <w:t>包括在所有一般性讨论日期间。委员会还鼓励非政府组织</w:t>
      </w:r>
      <w:r w:rsidRPr="003B3C17">
        <w:rPr>
          <w:rFonts w:hint="eastAsia"/>
        </w:rPr>
        <w:t>在其宣传工作中采用委员会一般性</w:t>
      </w:r>
      <w:r>
        <w:rPr>
          <w:rFonts w:hint="eastAsia"/>
        </w:rPr>
        <w:t>意见</w:t>
      </w:r>
      <w:r w:rsidRPr="003B3C17">
        <w:rPr>
          <w:rFonts w:hint="eastAsia"/>
        </w:rPr>
        <w:t>。</w:t>
      </w:r>
    </w:p>
    <w:p w:rsidR="00927BB5" w:rsidRPr="003C2B6B" w:rsidRDefault="00927BB5" w:rsidP="00927BB5">
      <w:pPr>
        <w:pStyle w:val="H1GC"/>
      </w:pPr>
      <w:r w:rsidRPr="003C2B6B">
        <w:tab/>
        <w:t>D.</w:t>
      </w:r>
      <w:r w:rsidRPr="003C2B6B">
        <w:tab/>
      </w:r>
      <w:r w:rsidRPr="003B3C17">
        <w:rPr>
          <w:rFonts w:hint="eastAsia"/>
        </w:rPr>
        <w:t>加强全球影响力</w:t>
      </w:r>
    </w:p>
    <w:p w:rsidR="00927BB5" w:rsidRPr="003C2B6B" w:rsidRDefault="00927BB5" w:rsidP="00927BB5">
      <w:pPr>
        <w:pStyle w:val="SingleTxtGC"/>
        <w:rPr>
          <w:rFonts w:hint="eastAsia"/>
        </w:rPr>
      </w:pPr>
      <w:r w:rsidRPr="003C2B6B">
        <w:t>1</w:t>
      </w:r>
      <w:r w:rsidR="00F83CA8">
        <w:t>5.</w:t>
      </w:r>
      <w:r>
        <w:t xml:space="preserve">  </w:t>
      </w:r>
      <w:r>
        <w:rPr>
          <w:rFonts w:hint="eastAsia"/>
        </w:rPr>
        <w:t>委员会欢迎国内和国际非政府组织的合作和投入</w:t>
      </w:r>
      <w:r w:rsidR="00F83CA8">
        <w:rPr>
          <w:rFonts w:hint="eastAsia"/>
        </w:rPr>
        <w:t>，</w:t>
      </w:r>
      <w:r w:rsidRPr="00263C0B">
        <w:rPr>
          <w:rFonts w:hint="eastAsia"/>
        </w:rPr>
        <w:t>并注意到由于后勤和财政方面的制约因素</w:t>
      </w:r>
      <w:r w:rsidR="00F83CA8">
        <w:rPr>
          <w:rFonts w:hint="eastAsia"/>
        </w:rPr>
        <w:t>，</w:t>
      </w:r>
      <w:r w:rsidRPr="00263C0B">
        <w:rPr>
          <w:rFonts w:hint="eastAsia"/>
        </w:rPr>
        <w:t>非政府组织出席委员会在日内瓦或纽约举行的会议并非总是可行。因此</w:t>
      </w:r>
      <w:r w:rsidR="00F83CA8">
        <w:rPr>
          <w:rFonts w:hint="eastAsia"/>
        </w:rPr>
        <w:t>，</w:t>
      </w:r>
      <w:r w:rsidRPr="00263C0B">
        <w:rPr>
          <w:rFonts w:hint="eastAsia"/>
        </w:rPr>
        <w:t>委员会欢迎在届会期间使用视频</w:t>
      </w:r>
      <w:r>
        <w:rPr>
          <w:rFonts w:hint="eastAsia"/>
        </w:rPr>
        <w:t>或电话</w:t>
      </w:r>
      <w:r w:rsidRPr="00263C0B">
        <w:rPr>
          <w:rFonts w:hint="eastAsia"/>
        </w:rPr>
        <w:t>会议连接和网络直播等新技术</w:t>
      </w:r>
      <w:r w:rsidR="00F83CA8">
        <w:rPr>
          <w:rFonts w:hint="eastAsia"/>
        </w:rPr>
        <w:t>，</w:t>
      </w:r>
      <w:r w:rsidRPr="00263C0B">
        <w:rPr>
          <w:rFonts w:hint="eastAsia"/>
        </w:rPr>
        <w:t>以</w:t>
      </w:r>
      <w:r>
        <w:rPr>
          <w:rFonts w:hint="eastAsia"/>
        </w:rPr>
        <w:t>扩大</w:t>
      </w:r>
      <w:r w:rsidRPr="00263C0B">
        <w:rPr>
          <w:rFonts w:hint="eastAsia"/>
        </w:rPr>
        <w:t>各个地区</w:t>
      </w:r>
      <w:r>
        <w:rPr>
          <w:rFonts w:hint="eastAsia"/>
        </w:rPr>
        <w:t>的贡献</w:t>
      </w:r>
      <w:r w:rsidRPr="00263C0B">
        <w:rPr>
          <w:rFonts w:hint="eastAsia"/>
        </w:rPr>
        <w:t>。</w:t>
      </w:r>
    </w:p>
    <w:p w:rsidR="00927BB5" w:rsidRPr="003C2B6B" w:rsidRDefault="00927BB5" w:rsidP="00927BB5">
      <w:pPr>
        <w:pStyle w:val="SingleTxtGC"/>
      </w:pPr>
      <w:r w:rsidRPr="003C2B6B">
        <w:t>1</w:t>
      </w:r>
      <w:r w:rsidR="00F83CA8">
        <w:t>6.</w:t>
      </w:r>
      <w:r>
        <w:t xml:space="preserve">  </w:t>
      </w:r>
      <w:r w:rsidRPr="003B3C17">
        <w:rPr>
          <w:rFonts w:hint="eastAsia"/>
        </w:rPr>
        <w:t>委员会还鼓励非政府组织</w:t>
      </w:r>
      <w:r>
        <w:rPr>
          <w:rFonts w:hint="eastAsia"/>
        </w:rPr>
        <w:t>自</w:t>
      </w:r>
      <w:r w:rsidR="00C70961">
        <w:rPr>
          <w:rFonts w:hint="eastAsia"/>
        </w:rPr>
        <w:t>己</w:t>
      </w:r>
      <w:r>
        <w:rPr>
          <w:rFonts w:hint="eastAsia"/>
        </w:rPr>
        <w:t>努力</w:t>
      </w:r>
      <w:r w:rsidRPr="003B3C17">
        <w:rPr>
          <w:rFonts w:hint="eastAsia"/>
        </w:rPr>
        <w:t>将委员会文件翻译成当地语文</w:t>
      </w:r>
      <w:r>
        <w:rPr>
          <w:rFonts w:hint="eastAsia"/>
        </w:rPr>
        <w:t>。</w:t>
      </w:r>
    </w:p>
    <w:p w:rsidR="00927BB5" w:rsidRDefault="00927BB5" w:rsidP="00927BB5">
      <w:pPr>
        <w:pStyle w:val="SingleTxtGC"/>
        <w:rPr>
          <w:rFonts w:hint="eastAsia"/>
        </w:rPr>
      </w:pPr>
      <w:r w:rsidRPr="003C2B6B">
        <w:t>1</w:t>
      </w:r>
      <w:r w:rsidR="00F83CA8">
        <w:t>7.</w:t>
      </w:r>
      <w:r>
        <w:t xml:space="preserve">  </w:t>
      </w:r>
      <w:r>
        <w:rPr>
          <w:rFonts w:hint="eastAsia"/>
        </w:rPr>
        <w:t>最后</w:t>
      </w:r>
      <w:r w:rsidR="00F83CA8">
        <w:rPr>
          <w:rFonts w:hint="eastAsia"/>
        </w:rPr>
        <w:t>，</w:t>
      </w:r>
      <w:r>
        <w:rPr>
          <w:rFonts w:hint="eastAsia"/>
        </w:rPr>
        <w:t>委员会欢迎并鼓励非政府组织努力加强对《公约》及其</w:t>
      </w:r>
      <w:r w:rsidRPr="003B3C17">
        <w:rPr>
          <w:rFonts w:hint="eastAsia"/>
        </w:rPr>
        <w:t>任择议定书</w:t>
      </w:r>
      <w:r>
        <w:rPr>
          <w:rFonts w:hint="eastAsia"/>
        </w:rPr>
        <w:t>、委员会结论性意见、意见和一般性意见</w:t>
      </w:r>
      <w:r w:rsidRPr="003B3C17">
        <w:rPr>
          <w:rFonts w:hint="eastAsia"/>
        </w:rPr>
        <w:t>的宣传和认识。</w:t>
      </w:r>
      <w:r>
        <w:rPr>
          <w:rFonts w:hint="eastAsia"/>
        </w:rPr>
        <w:t>公民权利和政治权利中心网络直播委员会届会</w:t>
      </w:r>
      <w:r w:rsidR="00F83CA8">
        <w:rPr>
          <w:rFonts w:hint="eastAsia"/>
        </w:rPr>
        <w:t>，</w:t>
      </w:r>
      <w:r>
        <w:rPr>
          <w:rFonts w:hint="eastAsia"/>
        </w:rPr>
        <w:t>便是提高对委员会活动的认识和加强宣传的一例良好做法。</w:t>
      </w:r>
    </w:p>
    <w:p w:rsidR="00927BB5" w:rsidRPr="002D6A9C" w:rsidRDefault="00927BB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27BB5" w:rsidRPr="00BE01D0" w:rsidRDefault="00927BB5" w:rsidP="00927BB5">
      <w:pPr>
        <w:pStyle w:val="SingleTxtGC"/>
        <w:rPr>
          <w:rFonts w:hint="eastAsia"/>
          <w:snapToGrid/>
        </w:rPr>
      </w:pPr>
    </w:p>
    <w:sectPr w:rsidR="00927BB5" w:rsidRPr="00BE01D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91" w:rsidRPr="008C40EB" w:rsidRDefault="006F4D91"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6F4D91" w:rsidRDefault="006F4D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8" w:rsidRPr="00927BB5" w:rsidRDefault="00A21E48"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D91031">
      <w:rPr>
        <w:rStyle w:val="PageNumber"/>
        <w:noProof/>
      </w:rPr>
      <w:t>2</w:t>
    </w:r>
    <w:r>
      <w:rPr>
        <w:rStyle w:val="PageNumber"/>
      </w:rPr>
      <w:fldChar w:fldCharType="end"/>
    </w:r>
    <w:r>
      <w:rPr>
        <w:rStyle w:val="PageNumber"/>
        <w:rFonts w:eastAsia="SimSun" w:hint="eastAsia"/>
        <w:lang w:eastAsia="zh-CN"/>
      </w:rPr>
      <w:tab/>
    </w:r>
    <w:r w:rsidRPr="00927BB5">
      <w:rPr>
        <w:rFonts w:eastAsia="SimSun"/>
      </w:rPr>
      <w:t>GE.12-43181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8" w:rsidRDefault="00A21E48">
    <w:pPr>
      <w:pStyle w:val="Footer"/>
      <w:tabs>
        <w:tab w:val="right" w:pos="9639"/>
      </w:tabs>
    </w:pPr>
    <w:r w:rsidRPr="00927BB5">
      <w:rPr>
        <w:rFonts w:eastAsia="SimSun"/>
      </w:rPr>
      <w:t>GE.12-43181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91031">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8" w:rsidRPr="00FA3CA8" w:rsidRDefault="00A21E48"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43181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150612</w:t>
    </w:r>
    <w:r>
      <w:rPr>
        <w:rFonts w:eastAsia="SimSun"/>
        <w:sz w:val="20"/>
        <w:lang w:eastAsia="zh-CN"/>
      </w:rPr>
      <w:tab/>
    </w:r>
    <w:r>
      <w:rPr>
        <w:rFonts w:eastAsia="SimSun" w:hint="eastAsia"/>
        <w:sz w:val="20"/>
        <w:lang w:eastAsia="zh-CN"/>
      </w:rPr>
      <w:t>210612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91" w:rsidRPr="005749F7" w:rsidRDefault="006F4D91"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6F4D91" w:rsidRPr="005749F7" w:rsidRDefault="006F4D91"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8" w:rsidRPr="00927BB5" w:rsidRDefault="00A21E48">
    <w:pPr>
      <w:pStyle w:val="Header"/>
    </w:pPr>
    <w:r w:rsidRPr="00927BB5">
      <w:t>CCPR/C/104/3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8" w:rsidRPr="00927BB5" w:rsidRDefault="00A21E48">
    <w:pPr>
      <w:pStyle w:val="Header"/>
      <w:jc w:val="right"/>
    </w:pPr>
    <w:r w:rsidRPr="00927BB5">
      <w:t>CCPR/C/104/3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8" w:rsidRDefault="00A21E48">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1B156C0"/>
    <w:multiLevelType w:val="hybridMultilevel"/>
    <w:tmpl w:val="E5E2CEEE"/>
    <w:styleLink w:val="ArticleSection1"/>
    <w:lvl w:ilvl="0" w:tplc="FFFFFFFF">
      <w:start w:val="17"/>
      <w:numFmt w:val="decimal"/>
      <w:lvlText w:val="%1."/>
      <w:lvlJc w:val="left"/>
      <w:pPr>
        <w:tabs>
          <w:tab w:val="num" w:pos="567"/>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1" w:tplc="FFFFFFFF" w:tentative="1">
      <w:start w:val="1"/>
      <w:numFmt w:val="lowerLetter"/>
      <w:lvlText w:val="%2."/>
      <w:lvlJc w:val="left"/>
      <w:pPr>
        <w:tabs>
          <w:tab w:val="num" w:pos="1440"/>
        </w:tabs>
        <w:ind w:left="1440" w:hanging="360"/>
      </w:pPr>
    </w:lvl>
    <w:lvl w:ilvl="2" w:tplc="FFFFFFFF">
      <w:start w:val="17"/>
      <w:numFmt w:val="decimal"/>
      <w:lvlText w:val="%3."/>
      <w:lvlJc w:val="left"/>
      <w:pPr>
        <w:tabs>
          <w:tab w:val="num" w:pos="567"/>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3" w:tplc="FFFFFFFF">
      <w:start w:val="20"/>
      <w:numFmt w:val="decimal"/>
      <w:lvlText w:val="%4."/>
      <w:lvlJc w:val="left"/>
      <w:pPr>
        <w:tabs>
          <w:tab w:val="num" w:pos="1701"/>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w w:val="100"/>
        <w:position w:val="0"/>
        <w:sz w:val="20"/>
        <w:szCs w:val="20"/>
        <w:u w:val="none"/>
        <w:vertAlign w:val="baseline"/>
        <w:em w:val="none"/>
      </w:rPr>
    </w:lvl>
    <w:lvl w:ilvl="4" w:tplc="FFFFFFFF">
      <w:start w:val="21"/>
      <w:numFmt w:val="decimal"/>
      <w:lvlText w:val="%5."/>
      <w:lvlJc w:val="left"/>
      <w:pPr>
        <w:tabs>
          <w:tab w:val="num" w:pos="1701"/>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w w:val="100"/>
        <w:position w:val="0"/>
        <w:sz w:val="20"/>
        <w:szCs w:val="20"/>
        <w:u w:val="none"/>
        <w:vertAlign w:val="baseline"/>
        <w:em w:val="none"/>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23"/>
  </w:num>
  <w:num w:numId="14">
    <w:abstractNumId w:val="12"/>
  </w:num>
  <w:num w:numId="15">
    <w:abstractNumId w:val="13"/>
  </w:num>
  <w:num w:numId="16">
    <w:abstractNumId w:val="25"/>
  </w:num>
  <w:num w:numId="17">
    <w:abstractNumId w:val="12"/>
  </w:num>
  <w:num w:numId="18">
    <w:abstractNumId w:val="12"/>
  </w:num>
  <w:num w:numId="19">
    <w:abstractNumId w:val="25"/>
  </w:num>
  <w:num w:numId="20">
    <w:abstractNumId w:val="13"/>
  </w:num>
  <w:num w:numId="21">
    <w:abstractNumId w:val="13"/>
  </w:num>
  <w:num w:numId="22">
    <w:abstractNumId w:val="18"/>
  </w:num>
  <w:num w:numId="23">
    <w:abstractNumId w:val="10"/>
  </w:num>
  <w:num w:numId="24">
    <w:abstractNumId w:val="16"/>
  </w:num>
  <w:num w:numId="25">
    <w:abstractNumId w:val="24"/>
  </w:num>
  <w:num w:numId="26">
    <w:abstractNumId w:val="17"/>
  </w:num>
  <w:num w:numId="27">
    <w:abstractNumId w:val="14"/>
  </w:num>
  <w:num w:numId="28">
    <w:abstractNumId w:val="18"/>
  </w:num>
  <w:num w:numId="29">
    <w:abstractNumId w:val="10"/>
  </w:num>
  <w:num w:numId="30">
    <w:abstractNumId w:val="16"/>
  </w:num>
  <w:num w:numId="31">
    <w:abstractNumId w:val="27"/>
  </w:num>
  <w:num w:numId="32">
    <w:abstractNumId w:val="24"/>
  </w:num>
  <w:num w:numId="33">
    <w:abstractNumId w:val="17"/>
  </w:num>
  <w:num w:numId="34">
    <w:abstractNumId w:val="14"/>
  </w:num>
  <w:num w:numId="35">
    <w:abstractNumId w:val="18"/>
  </w:num>
  <w:num w:numId="36">
    <w:abstractNumId w:val="10"/>
  </w:num>
  <w:num w:numId="37">
    <w:abstractNumId w:val="16"/>
  </w:num>
  <w:num w:numId="38">
    <w:abstractNumId w:val="27"/>
  </w:num>
  <w:num w:numId="39">
    <w:abstractNumId w:val="20"/>
  </w:num>
  <w:num w:numId="40">
    <w:abstractNumId w:val="15"/>
  </w:num>
  <w:num w:numId="41">
    <w:abstractNumId w:val="11"/>
  </w:num>
  <w:num w:numId="42">
    <w:abstractNumId w:val="26"/>
  </w:num>
  <w:num w:numId="43">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BB5"/>
    <w:rsid w:val="00020C87"/>
    <w:rsid w:val="00022C6D"/>
    <w:rsid w:val="00030AD2"/>
    <w:rsid w:val="000475C3"/>
    <w:rsid w:val="000511D6"/>
    <w:rsid w:val="00055382"/>
    <w:rsid w:val="0007052C"/>
    <w:rsid w:val="0007190F"/>
    <w:rsid w:val="00085DDB"/>
    <w:rsid w:val="000B5C2E"/>
    <w:rsid w:val="000C3594"/>
    <w:rsid w:val="000C6A2D"/>
    <w:rsid w:val="000E4FF4"/>
    <w:rsid w:val="000F04AE"/>
    <w:rsid w:val="00112244"/>
    <w:rsid w:val="0012413E"/>
    <w:rsid w:val="001259F1"/>
    <w:rsid w:val="00152893"/>
    <w:rsid w:val="00172BD1"/>
    <w:rsid w:val="001D0F8B"/>
    <w:rsid w:val="001D1874"/>
    <w:rsid w:val="001E0E36"/>
    <w:rsid w:val="001F2D62"/>
    <w:rsid w:val="002336D2"/>
    <w:rsid w:val="00251218"/>
    <w:rsid w:val="0026330B"/>
    <w:rsid w:val="00283897"/>
    <w:rsid w:val="002852DF"/>
    <w:rsid w:val="00295F1A"/>
    <w:rsid w:val="0029644C"/>
    <w:rsid w:val="002A77DF"/>
    <w:rsid w:val="002D7642"/>
    <w:rsid w:val="002E1CDE"/>
    <w:rsid w:val="003024F1"/>
    <w:rsid w:val="00327B3E"/>
    <w:rsid w:val="0033248F"/>
    <w:rsid w:val="00334EDE"/>
    <w:rsid w:val="0035477D"/>
    <w:rsid w:val="00360908"/>
    <w:rsid w:val="0038336D"/>
    <w:rsid w:val="00384758"/>
    <w:rsid w:val="003E130D"/>
    <w:rsid w:val="003F1942"/>
    <w:rsid w:val="003F546D"/>
    <w:rsid w:val="00411F1E"/>
    <w:rsid w:val="004303A9"/>
    <w:rsid w:val="00487142"/>
    <w:rsid w:val="00496D5F"/>
    <w:rsid w:val="004B208D"/>
    <w:rsid w:val="004B3CB5"/>
    <w:rsid w:val="005060D3"/>
    <w:rsid w:val="00511D61"/>
    <w:rsid w:val="00547E6A"/>
    <w:rsid w:val="00566A63"/>
    <w:rsid w:val="005749F7"/>
    <w:rsid w:val="0058774F"/>
    <w:rsid w:val="00587F08"/>
    <w:rsid w:val="005C3406"/>
    <w:rsid w:val="005C365E"/>
    <w:rsid w:val="005D73FB"/>
    <w:rsid w:val="0064597C"/>
    <w:rsid w:val="00666AB7"/>
    <w:rsid w:val="00676167"/>
    <w:rsid w:val="0068582B"/>
    <w:rsid w:val="00695381"/>
    <w:rsid w:val="006D1BB2"/>
    <w:rsid w:val="006F4D91"/>
    <w:rsid w:val="00700C0F"/>
    <w:rsid w:val="00704F21"/>
    <w:rsid w:val="007109CC"/>
    <w:rsid w:val="00741758"/>
    <w:rsid w:val="007471AC"/>
    <w:rsid w:val="0075219B"/>
    <w:rsid w:val="00756446"/>
    <w:rsid w:val="00794610"/>
    <w:rsid w:val="00796148"/>
    <w:rsid w:val="007A39CF"/>
    <w:rsid w:val="007E15C7"/>
    <w:rsid w:val="007F50A5"/>
    <w:rsid w:val="007F752C"/>
    <w:rsid w:val="0080101E"/>
    <w:rsid w:val="00833FBA"/>
    <w:rsid w:val="00834F13"/>
    <w:rsid w:val="00883F5B"/>
    <w:rsid w:val="008A4C1F"/>
    <w:rsid w:val="008C40EB"/>
    <w:rsid w:val="008E7C19"/>
    <w:rsid w:val="008F23EE"/>
    <w:rsid w:val="008F2A60"/>
    <w:rsid w:val="008F6D12"/>
    <w:rsid w:val="00911A84"/>
    <w:rsid w:val="0091645A"/>
    <w:rsid w:val="00927BB5"/>
    <w:rsid w:val="00932962"/>
    <w:rsid w:val="0096650C"/>
    <w:rsid w:val="00976169"/>
    <w:rsid w:val="00985AAE"/>
    <w:rsid w:val="009902E4"/>
    <w:rsid w:val="009B7C5E"/>
    <w:rsid w:val="009C62AD"/>
    <w:rsid w:val="009E146E"/>
    <w:rsid w:val="00A11BC5"/>
    <w:rsid w:val="00A21E48"/>
    <w:rsid w:val="00A235A0"/>
    <w:rsid w:val="00A328C0"/>
    <w:rsid w:val="00A43331"/>
    <w:rsid w:val="00A93A29"/>
    <w:rsid w:val="00AE65DA"/>
    <w:rsid w:val="00AF3863"/>
    <w:rsid w:val="00B03657"/>
    <w:rsid w:val="00B063C6"/>
    <w:rsid w:val="00B115C8"/>
    <w:rsid w:val="00B51E7A"/>
    <w:rsid w:val="00B676D5"/>
    <w:rsid w:val="00B77980"/>
    <w:rsid w:val="00BA27E0"/>
    <w:rsid w:val="00BB67F9"/>
    <w:rsid w:val="00BC1662"/>
    <w:rsid w:val="00BE01D0"/>
    <w:rsid w:val="00C157B9"/>
    <w:rsid w:val="00C53E8D"/>
    <w:rsid w:val="00C70961"/>
    <w:rsid w:val="00C7462D"/>
    <w:rsid w:val="00C80503"/>
    <w:rsid w:val="00C84DDE"/>
    <w:rsid w:val="00CC6B5C"/>
    <w:rsid w:val="00CE0E43"/>
    <w:rsid w:val="00CF59E4"/>
    <w:rsid w:val="00CF5A57"/>
    <w:rsid w:val="00CF7146"/>
    <w:rsid w:val="00D42589"/>
    <w:rsid w:val="00D42D2A"/>
    <w:rsid w:val="00D4597B"/>
    <w:rsid w:val="00D62149"/>
    <w:rsid w:val="00D769E5"/>
    <w:rsid w:val="00D91031"/>
    <w:rsid w:val="00D935F8"/>
    <w:rsid w:val="00DA74D3"/>
    <w:rsid w:val="00DB258F"/>
    <w:rsid w:val="00DD132F"/>
    <w:rsid w:val="00E12397"/>
    <w:rsid w:val="00E155E7"/>
    <w:rsid w:val="00E77525"/>
    <w:rsid w:val="00EA3661"/>
    <w:rsid w:val="00EA62B1"/>
    <w:rsid w:val="00EB6660"/>
    <w:rsid w:val="00EF093E"/>
    <w:rsid w:val="00F1312C"/>
    <w:rsid w:val="00F25F14"/>
    <w:rsid w:val="00F377B3"/>
    <w:rsid w:val="00F418CC"/>
    <w:rsid w:val="00F81CE4"/>
    <w:rsid w:val="00F83CA8"/>
    <w:rsid w:val="00F9137E"/>
    <w:rsid w:val="00FA3CA8"/>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numPr>
        <w:numId w:val="43"/>
      </w:numPr>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numPr>
        <w:ilvl w:val="1"/>
        <w:numId w:val="43"/>
      </w:numPr>
      <w:spacing w:after="320" w:line="288" w:lineRule="auto"/>
      <w:jc w:val="center"/>
      <w:outlineLvl w:val="1"/>
    </w:pPr>
    <w:rPr>
      <w:kern w:val="28"/>
      <w:sz w:val="28"/>
    </w:rPr>
  </w:style>
  <w:style w:type="paragraph" w:styleId="Heading3">
    <w:name w:val="heading 3"/>
    <w:basedOn w:val="Normal"/>
    <w:next w:val="Normal"/>
    <w:qFormat/>
    <w:pPr>
      <w:keepNext/>
      <w:keepLines/>
      <w:widowControl w:val="0"/>
      <w:numPr>
        <w:ilvl w:val="2"/>
        <w:numId w:val="43"/>
      </w:numPr>
      <w:spacing w:after="320"/>
      <w:jc w:val="center"/>
      <w:outlineLvl w:val="2"/>
    </w:pPr>
    <w:rPr>
      <w:kern w:val="28"/>
      <w:u w:val="single"/>
    </w:rPr>
  </w:style>
  <w:style w:type="paragraph" w:styleId="Heading4">
    <w:name w:val="heading 4"/>
    <w:basedOn w:val="Normal"/>
    <w:next w:val="Normal"/>
    <w:qFormat/>
    <w:pPr>
      <w:keepNext/>
      <w:keepLines/>
      <w:widowControl w:val="0"/>
      <w:numPr>
        <w:ilvl w:val="3"/>
        <w:numId w:val="43"/>
      </w:numPr>
      <w:spacing w:after="240"/>
      <w:outlineLvl w:val="3"/>
    </w:pPr>
    <w:rPr>
      <w:u w:val="single"/>
    </w:rPr>
  </w:style>
  <w:style w:type="paragraph" w:styleId="Heading5">
    <w:name w:val="heading 5"/>
    <w:basedOn w:val="Normal"/>
    <w:next w:val="Normal"/>
    <w:qFormat/>
    <w:pPr>
      <w:numPr>
        <w:ilvl w:val="4"/>
        <w:numId w:val="43"/>
      </w:numPr>
      <w:spacing w:after="240"/>
      <w:outlineLvl w:val="4"/>
    </w:pPr>
    <w:rPr>
      <w:rFonts w:eastAsia="SimHei"/>
      <w:bCs/>
      <w:szCs w:val="36"/>
    </w:rPr>
  </w:style>
  <w:style w:type="paragraph" w:styleId="Heading6">
    <w:name w:val="heading 6"/>
    <w:basedOn w:val="Normal"/>
    <w:next w:val="Normal"/>
    <w:qFormat/>
    <w:pPr>
      <w:keepNext/>
      <w:keepLines/>
      <w:numPr>
        <w:ilvl w:val="5"/>
        <w:numId w:val="43"/>
      </w:numPr>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numPr>
        <w:ilvl w:val="6"/>
        <w:numId w:val="43"/>
      </w:numPr>
      <w:spacing w:before="240" w:after="64" w:line="320" w:lineRule="auto"/>
      <w:outlineLvl w:val="6"/>
    </w:pPr>
    <w:rPr>
      <w:b/>
      <w:bCs/>
      <w:szCs w:val="24"/>
    </w:rPr>
  </w:style>
  <w:style w:type="paragraph" w:styleId="Heading8">
    <w:name w:val="heading 8"/>
    <w:basedOn w:val="Normal"/>
    <w:next w:val="Normal"/>
    <w:qFormat/>
    <w:pPr>
      <w:keepNext/>
      <w:keepLines/>
      <w:numPr>
        <w:ilvl w:val="7"/>
        <w:numId w:val="43"/>
      </w:numPr>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numPr>
        <w:ilvl w:val="8"/>
        <w:numId w:val="43"/>
      </w:numPr>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927BB5"/>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link w:val="HChGChar"/>
    <w:rsid w:val="00927BB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link w:val="H1GChar"/>
    <w:rsid w:val="00927BB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927BB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numbering" w:customStyle="1" w:styleId="ArticleSection1">
    <w:name w:val="Article / Section1"/>
    <w:basedOn w:val="NoList"/>
    <w:next w:val="ArticleSection"/>
    <w:semiHidden/>
    <w:rsid w:val="00927BB5"/>
    <w:pPr>
      <w:numPr>
        <w:numId w:val="43"/>
      </w:numPr>
    </w:pPr>
  </w:style>
  <w:style w:type="character" w:customStyle="1" w:styleId="SingleTxtGChar">
    <w:name w:val="_ Single Txt_G Char"/>
    <w:link w:val="SingleTxtG"/>
    <w:rsid w:val="00927BB5"/>
    <w:rPr>
      <w:rFonts w:eastAsia="SimSun"/>
      <w:lang w:val="en-GB" w:eastAsia="en-US" w:bidi="ar-SA"/>
    </w:rPr>
  </w:style>
  <w:style w:type="character" w:customStyle="1" w:styleId="H1GChar">
    <w:name w:val="_ H_1_G Char"/>
    <w:link w:val="H1G"/>
    <w:locked/>
    <w:rsid w:val="00927BB5"/>
    <w:rPr>
      <w:rFonts w:eastAsia="SimSun"/>
      <w:b/>
      <w:sz w:val="24"/>
      <w:lang w:val="en-GB" w:eastAsia="en-US" w:bidi="ar-SA"/>
    </w:rPr>
  </w:style>
  <w:style w:type="character" w:customStyle="1" w:styleId="H23GChar">
    <w:name w:val="_ H_2/3_G Char"/>
    <w:link w:val="H23G"/>
    <w:rsid w:val="00927BB5"/>
    <w:rPr>
      <w:rFonts w:eastAsia="SimSun"/>
      <w:b/>
      <w:lang w:val="en-GB" w:eastAsia="en-US" w:bidi="ar-SA"/>
    </w:rPr>
  </w:style>
  <w:style w:type="character" w:customStyle="1" w:styleId="HChGChar">
    <w:name w:val="_ H _Ch_G Char"/>
    <w:link w:val="HChG"/>
    <w:rsid w:val="00927BB5"/>
    <w:rPr>
      <w:rFonts w:eastAsia="SimSun"/>
      <w:b/>
      <w:sz w:val="28"/>
      <w:lang w:val="en-GB" w:eastAsia="en-US" w:bidi="ar-SA"/>
    </w:rPr>
  </w:style>
  <w:style w:type="numbering" w:styleId="ArticleSection">
    <w:name w:val="Outline List 3"/>
    <w:basedOn w:val="NoList"/>
    <w:rsid w:val="00927BB5"/>
    <w:pPr>
      <w:numPr>
        <w:numId w:val="43"/>
      </w:numPr>
    </w:p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1</TotalTime>
  <Pages>1</Pages>
  <Words>1055</Words>
  <Characters>1109</Characters>
  <Application>Microsoft Office Outlook</Application>
  <DocSecurity>4</DocSecurity>
  <Lines>46</Lines>
  <Paragraphs>38</Paragraphs>
  <ScaleCrop>false</ScaleCrop>
  <Company>CSD</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nie</cp:lastModifiedBy>
  <cp:revision>3</cp:revision>
  <cp:lastPrinted>2012-06-21T14:48:00Z</cp:lastPrinted>
  <dcterms:created xsi:type="dcterms:W3CDTF">2012-06-21T14:48:00Z</dcterms:created>
  <dcterms:modified xsi:type="dcterms:W3CDTF">2012-06-21T14:49:00Z</dcterms:modified>
</cp:coreProperties>
</file>