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57C3C" w:rsidP="00C57C3C">
            <w:pPr>
              <w:bidi w:val="0"/>
              <w:spacing w:after="20"/>
              <w:jc w:val="left"/>
              <w:rPr>
                <w:szCs w:val="20"/>
              </w:rPr>
            </w:pPr>
            <w:r w:rsidRPr="00C57C3C">
              <w:rPr>
                <w:sz w:val="40"/>
                <w:szCs w:val="20"/>
              </w:rPr>
              <w:t>CCPR</w:t>
            </w:r>
            <w:r>
              <w:rPr>
                <w:szCs w:val="20"/>
              </w:rPr>
              <w:t>/C/100/D/1636/2007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57C3C" w:rsidRDefault="00C57C3C" w:rsidP="00070BC4">
            <w:pPr>
              <w:bidi w:val="0"/>
              <w:spacing w:before="240" w:line="240" w:lineRule="exact"/>
              <w:jc w:val="left"/>
            </w:pPr>
            <w:r>
              <w:t>Distr.: Restricted</w:t>
            </w:r>
            <w:r w:rsidRPr="00C57C3C">
              <w:rPr>
                <w:rStyle w:val="FootnoteReference"/>
                <w:sz w:val="20"/>
                <w:vertAlign w:val="baseline"/>
                <w:rtl/>
              </w:rPr>
              <w:footnoteReference w:customMarkFollows="1" w:id="1"/>
              <w:t>*</w:t>
            </w:r>
          </w:p>
          <w:p w:rsidR="00C57C3C" w:rsidRDefault="00C57C3C" w:rsidP="00070BC4">
            <w:pPr>
              <w:bidi w:val="0"/>
              <w:spacing w:line="240" w:lineRule="exact"/>
              <w:jc w:val="left"/>
            </w:pPr>
            <w:r>
              <w:t>1 November 2010</w:t>
            </w:r>
          </w:p>
          <w:p w:rsidR="00C57C3C" w:rsidRDefault="00C57C3C" w:rsidP="00070BC4">
            <w:pPr>
              <w:bidi w:val="0"/>
              <w:spacing w:line="240" w:lineRule="exact"/>
              <w:jc w:val="left"/>
            </w:pPr>
            <w:r>
              <w:t>Arabic</w:t>
            </w:r>
          </w:p>
          <w:p w:rsidR="00257225" w:rsidRPr="008B4BC6" w:rsidRDefault="00C57C3C" w:rsidP="00070BC4">
            <w:pPr>
              <w:bidi w:val="0"/>
              <w:spacing w:line="240" w:lineRule="exact"/>
              <w:jc w:val="left"/>
            </w:pPr>
            <w:r>
              <w:t>Original: English</w:t>
            </w:r>
          </w:p>
        </w:tc>
      </w:tr>
    </w:tbl>
    <w:p w:rsidR="008B4BC6" w:rsidRPr="00C57C3C" w:rsidRDefault="00C57C3C" w:rsidP="00C57C3C">
      <w:pPr>
        <w:spacing w:before="120" w:line="380" w:lineRule="exact"/>
        <w:rPr>
          <w:rFonts w:hint="cs"/>
          <w:b/>
          <w:bCs/>
          <w:sz w:val="36"/>
          <w:szCs w:val="36"/>
          <w:rtl/>
        </w:rPr>
      </w:pPr>
      <w:r w:rsidRPr="00C57C3C">
        <w:rPr>
          <w:rFonts w:hint="cs"/>
          <w:b/>
          <w:bCs/>
          <w:sz w:val="36"/>
          <w:szCs w:val="36"/>
          <w:rtl/>
        </w:rPr>
        <w:t>اللجنة المعنية بحقوق الإنسان</w:t>
      </w:r>
    </w:p>
    <w:p w:rsidR="00C57C3C" w:rsidRPr="00C57C3C" w:rsidRDefault="00C57C3C" w:rsidP="00C57C3C">
      <w:pPr>
        <w:spacing w:line="380" w:lineRule="exact"/>
        <w:rPr>
          <w:b/>
          <w:bCs/>
          <w:lang w:val="es-ES"/>
        </w:rPr>
      </w:pPr>
      <w:r w:rsidRPr="00C57C3C">
        <w:rPr>
          <w:b/>
          <w:bCs/>
          <w:rtl/>
          <w:lang w:val="es-ES"/>
        </w:rPr>
        <w:t>الدورة المائة</w:t>
      </w:r>
    </w:p>
    <w:p w:rsidR="00C57C3C" w:rsidRPr="00C57C3C" w:rsidRDefault="00C57C3C" w:rsidP="00C57C3C">
      <w:pPr>
        <w:spacing w:line="380" w:lineRule="exact"/>
        <w:rPr>
          <w:lang w:val="es-ES"/>
        </w:rPr>
      </w:pPr>
      <w:r w:rsidRPr="00C57C3C">
        <w:rPr>
          <w:rtl/>
          <w:lang w:val="es-ES"/>
        </w:rPr>
        <w:t>11-29 تشرين الأول/أكتوبر 2010</w:t>
      </w:r>
    </w:p>
    <w:p w:rsidR="00C57C3C" w:rsidRPr="00C57C3C" w:rsidRDefault="00C57C3C" w:rsidP="00C57C3C">
      <w:pPr>
        <w:pStyle w:val="HChGA"/>
        <w:rPr>
          <w:lang w:val="es-ES"/>
        </w:rPr>
      </w:pPr>
      <w:r w:rsidRPr="00C57C3C">
        <w:rPr>
          <w:rtl/>
          <w:lang w:val="es-ES"/>
        </w:rPr>
        <w:tab/>
      </w:r>
      <w:r w:rsidRPr="00C57C3C">
        <w:rPr>
          <w:rtl/>
          <w:lang w:val="es-ES"/>
        </w:rPr>
        <w:tab/>
        <w:t>قرار</w:t>
      </w:r>
    </w:p>
    <w:p w:rsidR="00C57C3C" w:rsidRPr="00C57C3C" w:rsidRDefault="00C57C3C" w:rsidP="00C57C3C">
      <w:pPr>
        <w:pStyle w:val="H1GA"/>
        <w:rPr>
          <w:lang w:val="es-ES"/>
        </w:rPr>
      </w:pPr>
      <w:r w:rsidRPr="00C57C3C">
        <w:rPr>
          <w:rtl/>
          <w:lang w:val="es-ES"/>
        </w:rPr>
        <w:tab/>
      </w:r>
      <w:r w:rsidRPr="00C57C3C">
        <w:rPr>
          <w:rtl/>
          <w:lang w:val="es-ES"/>
        </w:rPr>
        <w:tab/>
        <w:t>البلاغ رقم 1636/2007</w:t>
      </w:r>
    </w:p>
    <w:p w:rsidR="00C57C3C" w:rsidRPr="00C57C3C" w:rsidRDefault="00C57C3C" w:rsidP="00C57C3C">
      <w:pPr>
        <w:pStyle w:val="SingleTxtGA"/>
        <w:tabs>
          <w:tab w:val="clear" w:pos="1928"/>
        </w:tabs>
        <w:ind w:left="1898"/>
        <w:rPr>
          <w:lang w:val="es-ES"/>
        </w:rPr>
      </w:pPr>
      <w:r w:rsidRPr="00C57C3C">
        <w:rPr>
          <w:i/>
          <w:iCs/>
          <w:rtl/>
          <w:lang w:val="es-ES"/>
        </w:rPr>
        <w:t>المقدم من</w:t>
      </w:r>
      <w:r w:rsidRPr="00C57C3C">
        <w:rPr>
          <w:rtl/>
          <w:lang w:val="es-ES"/>
        </w:rPr>
        <w:t>:</w:t>
      </w:r>
      <w:r w:rsidRPr="00C57C3C">
        <w:rPr>
          <w:rtl/>
          <w:lang w:val="es-ES"/>
        </w:rPr>
        <w:tab/>
      </w:r>
      <w:r>
        <w:rPr>
          <w:rFonts w:hint="cs"/>
          <w:rtl/>
          <w:lang w:val="es-ES"/>
        </w:rPr>
        <w:tab/>
      </w:r>
      <w:r>
        <w:rPr>
          <w:rFonts w:hint="cs"/>
          <w:rtl/>
          <w:lang w:val="es-ES"/>
        </w:rPr>
        <w:tab/>
      </w:r>
      <w:r w:rsidRPr="00C57C3C">
        <w:rPr>
          <w:rtl/>
          <w:lang w:val="es-ES"/>
        </w:rPr>
        <w:t>أندرياس أونوفريو (لا يمثله محام)</w:t>
      </w:r>
    </w:p>
    <w:p w:rsidR="00C57C3C" w:rsidRPr="00C57C3C" w:rsidRDefault="00C57C3C" w:rsidP="00C57C3C">
      <w:pPr>
        <w:pStyle w:val="SingleTxtGA"/>
        <w:tabs>
          <w:tab w:val="clear" w:pos="1928"/>
        </w:tabs>
        <w:ind w:left="1898"/>
        <w:rPr>
          <w:lang w:val="es-ES"/>
        </w:rPr>
      </w:pPr>
      <w:r w:rsidRPr="00C57C3C">
        <w:rPr>
          <w:i/>
          <w:iCs/>
          <w:rtl/>
          <w:lang w:val="es-ES"/>
        </w:rPr>
        <w:t>الشخص المدعى أنه ضحية</w:t>
      </w:r>
      <w:r w:rsidRPr="00C57C3C">
        <w:rPr>
          <w:rtl/>
          <w:lang w:val="es-ES"/>
        </w:rPr>
        <w:t>:</w:t>
      </w:r>
      <w:r w:rsidRPr="00C57C3C">
        <w:rPr>
          <w:rtl/>
          <w:lang w:val="es-ES"/>
        </w:rPr>
        <w:tab/>
        <w:t>صاحب البلاغ</w:t>
      </w:r>
    </w:p>
    <w:p w:rsidR="00C57C3C" w:rsidRPr="00C57C3C" w:rsidRDefault="00C57C3C" w:rsidP="00C57C3C">
      <w:pPr>
        <w:pStyle w:val="SingleTxtGA"/>
        <w:tabs>
          <w:tab w:val="clear" w:pos="1928"/>
        </w:tabs>
        <w:ind w:left="1898"/>
        <w:rPr>
          <w:lang w:val="es-ES"/>
        </w:rPr>
      </w:pPr>
      <w:r w:rsidRPr="00C57C3C">
        <w:rPr>
          <w:i/>
          <w:iCs/>
          <w:rtl/>
          <w:lang w:val="es-ES"/>
        </w:rPr>
        <w:t>الدولة الطرف</w:t>
      </w:r>
      <w:r w:rsidRPr="00C57C3C">
        <w:rPr>
          <w:rtl/>
          <w:lang w:val="es-ES"/>
        </w:rPr>
        <w:t>:</w:t>
      </w:r>
      <w:r>
        <w:rPr>
          <w:rFonts w:hint="cs"/>
          <w:rtl/>
          <w:lang w:val="es-ES"/>
        </w:rPr>
        <w:tab/>
      </w:r>
      <w:r>
        <w:rPr>
          <w:rFonts w:hint="cs"/>
          <w:rtl/>
          <w:lang w:val="es-ES"/>
        </w:rPr>
        <w:tab/>
      </w:r>
      <w:r w:rsidRPr="00C57C3C">
        <w:rPr>
          <w:rtl/>
          <w:lang w:val="es-ES"/>
        </w:rPr>
        <w:tab/>
        <w:t>جمهورية قبرص</w:t>
      </w:r>
    </w:p>
    <w:p w:rsidR="00C57C3C" w:rsidRPr="00C57C3C" w:rsidRDefault="00C57C3C" w:rsidP="00C57C3C">
      <w:pPr>
        <w:pStyle w:val="SingleTxtGA"/>
        <w:tabs>
          <w:tab w:val="clear" w:pos="1928"/>
        </w:tabs>
        <w:ind w:left="4649" w:hanging="2751"/>
        <w:rPr>
          <w:lang w:val="es-ES"/>
        </w:rPr>
      </w:pPr>
      <w:r w:rsidRPr="00C57C3C">
        <w:rPr>
          <w:i/>
          <w:iCs/>
          <w:rtl/>
          <w:lang w:val="es-ES"/>
        </w:rPr>
        <w:t>تاريخ تقديم البلاغ</w:t>
      </w:r>
      <w:r w:rsidRPr="00C57C3C">
        <w:rPr>
          <w:rtl/>
          <w:lang w:val="es-ES"/>
        </w:rPr>
        <w:t>:</w:t>
      </w:r>
      <w:r>
        <w:rPr>
          <w:rFonts w:hint="cs"/>
          <w:rtl/>
          <w:lang w:val="es-ES"/>
        </w:rPr>
        <w:tab/>
      </w:r>
      <w:r w:rsidRPr="00C57C3C">
        <w:rPr>
          <w:rtl/>
          <w:lang w:val="es-ES"/>
        </w:rPr>
        <w:tab/>
        <w:t>5 تشرين الأول/أكتوبر 2006 (تاريخ تقديم الرسالة الأولى)</w:t>
      </w:r>
    </w:p>
    <w:p w:rsidR="00C57C3C" w:rsidRPr="00C57C3C" w:rsidRDefault="00C57C3C" w:rsidP="00C57C3C">
      <w:pPr>
        <w:pStyle w:val="SingleTxtGA"/>
        <w:tabs>
          <w:tab w:val="clear" w:pos="1928"/>
        </w:tabs>
        <w:ind w:left="4649" w:hanging="2745"/>
        <w:rPr>
          <w:spacing w:val="-2"/>
          <w:lang w:val="es-ES"/>
        </w:rPr>
      </w:pPr>
      <w:r w:rsidRPr="00C57C3C">
        <w:rPr>
          <w:i/>
          <w:iCs/>
          <w:spacing w:val="-2"/>
          <w:rtl/>
          <w:lang w:val="es-ES"/>
        </w:rPr>
        <w:t>الوثائق المرجعية</w:t>
      </w:r>
      <w:r w:rsidRPr="00C57C3C">
        <w:rPr>
          <w:spacing w:val="-2"/>
          <w:rtl/>
          <w:lang w:val="es-ES"/>
        </w:rPr>
        <w:t>:</w:t>
      </w:r>
      <w:r w:rsidRPr="00C57C3C">
        <w:rPr>
          <w:rFonts w:hint="cs"/>
          <w:spacing w:val="-2"/>
          <w:rtl/>
          <w:lang w:val="es-ES"/>
        </w:rPr>
        <w:tab/>
      </w:r>
      <w:r w:rsidRPr="00C57C3C">
        <w:rPr>
          <w:rFonts w:hint="cs"/>
          <w:spacing w:val="-2"/>
          <w:rtl/>
          <w:lang w:val="es-ES"/>
        </w:rPr>
        <w:tab/>
      </w:r>
      <w:r w:rsidRPr="00C57C3C">
        <w:rPr>
          <w:spacing w:val="-2"/>
          <w:rtl/>
          <w:lang w:val="es-ES"/>
        </w:rPr>
        <w:tab/>
        <w:t>قرار المقرر الخاص المتخذ بموجب المادة 97 الذي أُحيل إلى الدولة الطرف في 5 كانون الأول/ديسمبر 2007 (لم يصدر في شكل وثيقة)</w:t>
      </w:r>
    </w:p>
    <w:p w:rsidR="00C57C3C" w:rsidRPr="00C57C3C" w:rsidRDefault="00C57C3C" w:rsidP="00C57C3C">
      <w:pPr>
        <w:pStyle w:val="SingleTxtGA"/>
        <w:tabs>
          <w:tab w:val="clear" w:pos="1928"/>
        </w:tabs>
        <w:ind w:left="1898"/>
        <w:rPr>
          <w:lang w:val="es-ES"/>
        </w:rPr>
      </w:pPr>
      <w:r w:rsidRPr="00C57C3C">
        <w:rPr>
          <w:i/>
          <w:iCs/>
          <w:rtl/>
          <w:lang w:val="es-ES"/>
        </w:rPr>
        <w:t>تاريخ اعتماد القرار</w:t>
      </w:r>
      <w:r w:rsidRPr="00C57C3C">
        <w:rPr>
          <w:rtl/>
          <w:lang w:val="es-ES"/>
        </w:rPr>
        <w:t>:</w:t>
      </w:r>
      <w:r>
        <w:rPr>
          <w:rFonts w:hint="cs"/>
          <w:rtl/>
          <w:lang w:val="es-ES"/>
        </w:rPr>
        <w:tab/>
      </w:r>
      <w:r w:rsidRPr="00C57C3C">
        <w:rPr>
          <w:rtl/>
          <w:lang w:val="es-ES"/>
        </w:rPr>
        <w:tab/>
        <w:t>25 تشرين الأول/أكتوبر 2010</w:t>
      </w:r>
    </w:p>
    <w:p w:rsidR="00C57C3C" w:rsidRPr="00C57C3C" w:rsidRDefault="00C57C3C" w:rsidP="00C57C3C">
      <w:pPr>
        <w:pStyle w:val="SingleTxtGA"/>
        <w:tabs>
          <w:tab w:val="clear" w:pos="1928"/>
        </w:tabs>
        <w:ind w:left="4643" w:hanging="2745"/>
        <w:rPr>
          <w:spacing w:val="4"/>
          <w:lang w:val="es-ES"/>
        </w:rPr>
      </w:pPr>
      <w:r w:rsidRPr="00C57C3C">
        <w:rPr>
          <w:i/>
          <w:iCs/>
          <w:spacing w:val="4"/>
          <w:rtl/>
          <w:lang w:val="es-ES"/>
        </w:rPr>
        <w:t>الموضوع</w:t>
      </w:r>
      <w:r w:rsidRPr="00C57C3C">
        <w:rPr>
          <w:spacing w:val="4"/>
          <w:rtl/>
          <w:lang w:val="es-ES"/>
        </w:rPr>
        <w:t xml:space="preserve">: </w:t>
      </w:r>
      <w:r w:rsidRPr="00C57C3C">
        <w:rPr>
          <w:rFonts w:hint="cs"/>
          <w:spacing w:val="4"/>
          <w:rtl/>
          <w:lang w:val="es-ES"/>
        </w:rPr>
        <w:tab/>
      </w:r>
      <w:r w:rsidRPr="00C57C3C">
        <w:rPr>
          <w:spacing w:val="4"/>
          <w:rtl/>
          <w:lang w:val="es-ES"/>
        </w:rPr>
        <w:tab/>
      </w:r>
      <w:r w:rsidRPr="00C57C3C">
        <w:rPr>
          <w:rFonts w:hint="cs"/>
          <w:spacing w:val="4"/>
          <w:rtl/>
          <w:lang w:val="es-ES"/>
        </w:rPr>
        <w:tab/>
      </w:r>
      <w:r w:rsidRPr="00C57C3C">
        <w:rPr>
          <w:spacing w:val="4"/>
          <w:rtl/>
          <w:lang w:val="es-ES"/>
        </w:rPr>
        <w:t xml:space="preserve">مدى قانونية محاكمة صاحب البلاغ والحكم عليه </w:t>
      </w:r>
      <w:r w:rsidRPr="00C57C3C">
        <w:rPr>
          <w:rFonts w:hint="cs"/>
          <w:spacing w:val="4"/>
          <w:rtl/>
          <w:lang w:val="es-ES"/>
        </w:rPr>
        <w:t xml:space="preserve">ﺑ </w:t>
      </w:r>
      <w:r w:rsidRPr="00C57C3C">
        <w:rPr>
          <w:spacing w:val="4"/>
          <w:rtl/>
          <w:lang w:val="es-ES"/>
        </w:rPr>
        <w:t>18 سنة سجنا</w:t>
      </w:r>
      <w:r>
        <w:rPr>
          <w:rFonts w:hint="cs"/>
          <w:spacing w:val="4"/>
          <w:rtl/>
          <w:lang w:val="es-ES"/>
        </w:rPr>
        <w:t>ً</w:t>
      </w:r>
      <w:r w:rsidRPr="00C57C3C">
        <w:rPr>
          <w:spacing w:val="4"/>
          <w:rtl/>
          <w:lang w:val="es-ES"/>
        </w:rPr>
        <w:t xml:space="preserve"> على محاولة قتل قاض وابنته</w:t>
      </w:r>
    </w:p>
    <w:p w:rsidR="00C57C3C" w:rsidRDefault="00C57C3C" w:rsidP="00C57C3C">
      <w:pPr>
        <w:pStyle w:val="SingleTxtGA"/>
        <w:tabs>
          <w:tab w:val="clear" w:pos="1928"/>
        </w:tabs>
        <w:ind w:left="4643" w:hanging="2745"/>
        <w:rPr>
          <w:rFonts w:hint="cs"/>
          <w:rtl/>
          <w:lang w:val="es-ES"/>
        </w:rPr>
      </w:pPr>
      <w:r w:rsidRPr="00C57C3C">
        <w:rPr>
          <w:i/>
          <w:iCs/>
          <w:rtl/>
          <w:lang w:val="es-ES"/>
        </w:rPr>
        <w:t>المسائل الإجرائية</w:t>
      </w:r>
      <w:r w:rsidRPr="00C57C3C">
        <w:rPr>
          <w:rtl/>
          <w:lang w:val="es-ES"/>
        </w:rPr>
        <w:t>:</w:t>
      </w:r>
      <w:r>
        <w:rPr>
          <w:rFonts w:hint="cs"/>
          <w:rtl/>
          <w:lang w:val="es-ES"/>
        </w:rPr>
        <w:tab/>
      </w:r>
      <w:r>
        <w:rPr>
          <w:rFonts w:hint="cs"/>
          <w:rtl/>
          <w:lang w:val="es-ES"/>
        </w:rPr>
        <w:tab/>
      </w:r>
      <w:r>
        <w:rPr>
          <w:rFonts w:hint="cs"/>
          <w:rtl/>
          <w:lang w:val="es-ES"/>
        </w:rPr>
        <w:tab/>
      </w:r>
      <w:r w:rsidRPr="00C57C3C">
        <w:rPr>
          <w:rtl/>
          <w:lang w:val="es-ES"/>
        </w:rPr>
        <w:t>عدم استنفاد سبل الانتصاف المحلية؛ وعدم تقديم أدلة على المزاعم</w:t>
      </w:r>
    </w:p>
    <w:p w:rsidR="00C57C3C" w:rsidRPr="00C57C3C" w:rsidRDefault="00C57C3C" w:rsidP="00C57C3C">
      <w:pPr>
        <w:pStyle w:val="SingleTxtGA"/>
        <w:tabs>
          <w:tab w:val="clear" w:pos="1928"/>
        </w:tabs>
        <w:ind w:left="4643" w:hanging="2745"/>
        <w:rPr>
          <w:lang w:val="es-ES"/>
        </w:rPr>
      </w:pPr>
      <w:r>
        <w:rPr>
          <w:rtl/>
          <w:lang w:val="es-ES"/>
        </w:rPr>
        <w:br w:type="page"/>
      </w:r>
      <w:r w:rsidRPr="00C57C3C">
        <w:rPr>
          <w:i/>
          <w:iCs/>
          <w:rtl/>
          <w:lang w:val="es-ES"/>
        </w:rPr>
        <w:t>المسائل الموضوعية</w:t>
      </w:r>
      <w:r w:rsidRPr="00C57C3C">
        <w:rPr>
          <w:rtl/>
          <w:lang w:val="es-ES"/>
        </w:rPr>
        <w:t>:</w:t>
      </w:r>
      <w:r>
        <w:rPr>
          <w:rFonts w:hint="cs"/>
          <w:rtl/>
          <w:lang w:val="es-ES"/>
        </w:rPr>
        <w:tab/>
      </w:r>
      <w:r w:rsidRPr="00C57C3C">
        <w:rPr>
          <w:rtl/>
          <w:lang w:val="es-ES"/>
        </w:rPr>
        <w:tab/>
        <w:t>محاكمة عادلة؛ وحظر التمييز</w:t>
      </w:r>
    </w:p>
    <w:p w:rsidR="00C57C3C" w:rsidRPr="00C57C3C" w:rsidRDefault="00C57C3C" w:rsidP="00C57C3C">
      <w:pPr>
        <w:pStyle w:val="SingleTxtGA"/>
        <w:tabs>
          <w:tab w:val="clear" w:pos="1928"/>
        </w:tabs>
        <w:ind w:left="4643" w:hanging="2745"/>
        <w:rPr>
          <w:lang w:val="es-ES"/>
        </w:rPr>
      </w:pPr>
      <w:r w:rsidRPr="00C57C3C">
        <w:rPr>
          <w:i/>
          <w:iCs/>
          <w:rtl/>
          <w:lang w:val="es-ES"/>
        </w:rPr>
        <w:t>مواد العهد</w:t>
      </w:r>
      <w:r w:rsidRPr="00C57C3C">
        <w:rPr>
          <w:rtl/>
          <w:lang w:val="es-ES"/>
        </w:rPr>
        <w:t xml:space="preserve">: </w:t>
      </w:r>
      <w:r>
        <w:rPr>
          <w:rFonts w:hint="cs"/>
          <w:rtl/>
          <w:lang w:val="es-ES"/>
        </w:rPr>
        <w:tab/>
      </w:r>
      <w:r>
        <w:rPr>
          <w:rFonts w:hint="cs"/>
          <w:rtl/>
          <w:lang w:val="es-ES"/>
        </w:rPr>
        <w:tab/>
      </w:r>
      <w:r w:rsidRPr="00C57C3C">
        <w:rPr>
          <w:rtl/>
          <w:lang w:val="es-ES"/>
        </w:rPr>
        <w:tab/>
      </w:r>
      <w:r>
        <w:rPr>
          <w:rFonts w:hint="cs"/>
          <w:rtl/>
          <w:lang w:val="es-ES"/>
        </w:rPr>
        <w:t>الفقرات الفرعية ‘3‘(ب) و‘3‘(د) و‘3‘</w:t>
      </w:r>
      <w:r w:rsidRPr="00C57C3C">
        <w:rPr>
          <w:rtl/>
          <w:lang w:val="es-ES"/>
        </w:rPr>
        <w:t>(</w:t>
      </w:r>
      <w:r>
        <w:rPr>
          <w:rFonts w:hint="cs"/>
          <w:rtl/>
          <w:lang w:val="es-ES"/>
        </w:rPr>
        <w:t>ﻫ</w:t>
      </w:r>
      <w:r w:rsidRPr="00C57C3C">
        <w:rPr>
          <w:rtl/>
          <w:lang w:val="es-ES"/>
        </w:rPr>
        <w:t>)</w:t>
      </w:r>
      <w:r>
        <w:rPr>
          <w:rFonts w:hint="cs"/>
          <w:rtl/>
          <w:lang w:val="es-ES"/>
        </w:rPr>
        <w:t xml:space="preserve"> من المادة 14؛ والمادتان </w:t>
      </w:r>
      <w:r w:rsidRPr="00C57C3C">
        <w:rPr>
          <w:rtl/>
          <w:lang w:val="es-ES"/>
        </w:rPr>
        <w:t>2؛ و26</w:t>
      </w:r>
    </w:p>
    <w:p w:rsidR="00C57C3C" w:rsidRPr="00C57C3C" w:rsidRDefault="00C57C3C" w:rsidP="00C57C3C">
      <w:pPr>
        <w:pStyle w:val="SingleTxtGA"/>
        <w:tabs>
          <w:tab w:val="clear" w:pos="1928"/>
        </w:tabs>
        <w:ind w:left="1898"/>
        <w:rPr>
          <w:lang w:val="es-ES"/>
        </w:rPr>
      </w:pPr>
      <w:r w:rsidRPr="00C57C3C">
        <w:rPr>
          <w:i/>
          <w:iCs/>
          <w:rtl/>
          <w:lang w:val="es-ES"/>
        </w:rPr>
        <w:t>مواد البروتوكول الاختياري</w:t>
      </w:r>
      <w:r w:rsidRPr="00C57C3C">
        <w:rPr>
          <w:rtl/>
          <w:lang w:val="es-ES"/>
        </w:rPr>
        <w:t>:</w:t>
      </w:r>
      <w:r w:rsidRPr="00C57C3C">
        <w:rPr>
          <w:rtl/>
          <w:lang w:val="es-ES"/>
        </w:rPr>
        <w:tab/>
        <w:t>المادة 2؛ والفقرة 2(ب) من المادة 5</w:t>
      </w:r>
    </w:p>
    <w:p w:rsidR="00C57C3C" w:rsidRPr="00C57C3C" w:rsidRDefault="00C57C3C" w:rsidP="00C57C3C">
      <w:pPr>
        <w:pStyle w:val="SingleTxtGA"/>
      </w:pPr>
      <w:r w:rsidRPr="00C57C3C">
        <w:rPr>
          <w:rtl/>
        </w:rPr>
        <w:t>[مرفق]</w:t>
      </w:r>
    </w:p>
    <w:p w:rsidR="00C57C3C" w:rsidRPr="00C57C3C" w:rsidRDefault="00C57C3C" w:rsidP="00C57C3C">
      <w:pPr>
        <w:pStyle w:val="HChGA"/>
        <w:spacing w:before="120"/>
        <w:rPr>
          <w:lang w:val="es-ES"/>
        </w:rPr>
      </w:pPr>
      <w:r>
        <w:rPr>
          <w:rtl/>
          <w:lang w:val="es-ES"/>
        </w:rPr>
        <w:br w:type="page"/>
      </w:r>
      <w:r w:rsidRPr="00C57C3C">
        <w:rPr>
          <w:rtl/>
          <w:lang w:val="es-ES"/>
        </w:rPr>
        <w:t>المرفق</w:t>
      </w:r>
    </w:p>
    <w:p w:rsidR="00C57C3C" w:rsidRPr="00C57C3C" w:rsidRDefault="00C57C3C" w:rsidP="00C57C3C">
      <w:pPr>
        <w:pStyle w:val="HChGA"/>
        <w:rPr>
          <w:lang w:val="es-ES"/>
        </w:rPr>
      </w:pPr>
      <w:r w:rsidRPr="00C57C3C">
        <w:rPr>
          <w:rtl/>
          <w:lang w:val="es-ES"/>
        </w:rPr>
        <w:tab/>
      </w:r>
      <w:r w:rsidRPr="00C57C3C">
        <w:rPr>
          <w:rtl/>
          <w:lang w:val="es-ES"/>
        </w:rPr>
        <w:tab/>
        <w:t xml:space="preserve">قرار اللجنة المعنية بحقوق الإنسان بموجب البروتوكول الاختياري الملحق بالعهد الدولي الخاص بالحقوق المدنية والسياسية </w:t>
      </w:r>
      <w:r w:rsidRPr="00070BC4">
        <w:rPr>
          <w:b w:val="0"/>
          <w:bCs w:val="0"/>
          <w:rtl/>
          <w:lang w:val="es-ES"/>
        </w:rPr>
        <w:t>(الدورة المائة)</w:t>
      </w:r>
    </w:p>
    <w:p w:rsidR="00C57C3C" w:rsidRPr="00C57C3C" w:rsidRDefault="00C57C3C" w:rsidP="00C57C3C">
      <w:pPr>
        <w:pStyle w:val="SingleTxtGA"/>
        <w:rPr>
          <w:lang w:val="es-ES"/>
        </w:rPr>
      </w:pPr>
      <w:r w:rsidRPr="00C57C3C">
        <w:rPr>
          <w:rtl/>
          <w:lang w:val="es-ES"/>
        </w:rPr>
        <w:t>بشأن</w:t>
      </w:r>
    </w:p>
    <w:p w:rsidR="00C57C3C" w:rsidRPr="00C57C3C" w:rsidRDefault="00C57C3C" w:rsidP="00C57C3C">
      <w:pPr>
        <w:pStyle w:val="H1GA"/>
        <w:rPr>
          <w:lang w:val="es-ES"/>
        </w:rPr>
      </w:pPr>
      <w:r w:rsidRPr="00C57C3C">
        <w:rPr>
          <w:rtl/>
          <w:lang w:val="es-ES"/>
        </w:rPr>
        <w:tab/>
      </w:r>
      <w:r w:rsidRPr="00C57C3C">
        <w:rPr>
          <w:rtl/>
          <w:lang w:val="es-ES"/>
        </w:rPr>
        <w:tab/>
        <w:t>البلاغ رقم 1636/2007</w:t>
      </w:r>
      <w:r w:rsidRPr="00C57C3C">
        <w:rPr>
          <w:rStyle w:val="FootnoteReference"/>
          <w:sz w:val="20"/>
          <w:vertAlign w:val="baseline"/>
          <w:rtl/>
          <w:lang w:val="es-ES"/>
        </w:rPr>
        <w:footnoteReference w:customMarkFollows="1" w:id="2"/>
        <w:t>**</w:t>
      </w:r>
    </w:p>
    <w:p w:rsidR="00C57C3C" w:rsidRPr="00C57C3C" w:rsidRDefault="00C57C3C" w:rsidP="00C57C3C">
      <w:pPr>
        <w:pStyle w:val="SingleTxtGA"/>
        <w:tabs>
          <w:tab w:val="clear" w:pos="1928"/>
        </w:tabs>
        <w:ind w:left="1898"/>
        <w:rPr>
          <w:lang w:val="es-ES"/>
        </w:rPr>
      </w:pPr>
      <w:r w:rsidRPr="00C57C3C">
        <w:rPr>
          <w:i/>
          <w:iCs/>
          <w:rtl/>
          <w:lang w:val="es-ES"/>
        </w:rPr>
        <w:t>المقدم من</w:t>
      </w:r>
      <w:r w:rsidRPr="00C57C3C">
        <w:rPr>
          <w:rtl/>
          <w:lang w:val="es-ES"/>
        </w:rPr>
        <w:t>:</w:t>
      </w:r>
      <w:r w:rsidRPr="00C57C3C">
        <w:rPr>
          <w:rtl/>
          <w:lang w:val="es-ES"/>
        </w:rPr>
        <w:tab/>
      </w:r>
      <w:r>
        <w:rPr>
          <w:rFonts w:hint="cs"/>
          <w:rtl/>
          <w:lang w:val="es-ES"/>
        </w:rPr>
        <w:tab/>
      </w:r>
      <w:r>
        <w:rPr>
          <w:rFonts w:hint="cs"/>
          <w:rtl/>
          <w:lang w:val="es-ES"/>
        </w:rPr>
        <w:tab/>
      </w:r>
      <w:r w:rsidRPr="00C57C3C">
        <w:rPr>
          <w:rtl/>
          <w:lang w:val="es-ES"/>
        </w:rPr>
        <w:t>أندرياس أونوفريو (لا يمثله محام)</w:t>
      </w:r>
    </w:p>
    <w:p w:rsidR="00C57C3C" w:rsidRPr="00C57C3C" w:rsidRDefault="00C57C3C" w:rsidP="00C57C3C">
      <w:pPr>
        <w:pStyle w:val="SingleTxtGA"/>
        <w:tabs>
          <w:tab w:val="clear" w:pos="1928"/>
        </w:tabs>
        <w:ind w:left="1898"/>
        <w:rPr>
          <w:lang w:val="es-ES"/>
        </w:rPr>
      </w:pPr>
      <w:r w:rsidRPr="00C57C3C">
        <w:rPr>
          <w:i/>
          <w:iCs/>
          <w:rtl/>
          <w:lang w:val="es-ES"/>
        </w:rPr>
        <w:t>الشخص المدعى أنه ضحية</w:t>
      </w:r>
      <w:r w:rsidRPr="00C57C3C">
        <w:rPr>
          <w:rtl/>
          <w:lang w:val="es-ES"/>
        </w:rPr>
        <w:t>:</w:t>
      </w:r>
      <w:r w:rsidRPr="00C57C3C">
        <w:rPr>
          <w:rtl/>
          <w:lang w:val="es-ES"/>
        </w:rPr>
        <w:tab/>
        <w:t>صاحب البلاغ</w:t>
      </w:r>
    </w:p>
    <w:p w:rsidR="00C57C3C" w:rsidRPr="00C57C3C" w:rsidRDefault="00C57C3C" w:rsidP="00C57C3C">
      <w:pPr>
        <w:pStyle w:val="SingleTxtGA"/>
        <w:tabs>
          <w:tab w:val="clear" w:pos="1928"/>
        </w:tabs>
        <w:ind w:left="1898"/>
        <w:rPr>
          <w:lang w:val="es-ES"/>
        </w:rPr>
      </w:pPr>
      <w:r w:rsidRPr="00C57C3C">
        <w:rPr>
          <w:i/>
          <w:iCs/>
          <w:rtl/>
          <w:lang w:val="es-ES"/>
        </w:rPr>
        <w:t>الدولة الطرف</w:t>
      </w:r>
      <w:r w:rsidRPr="00C57C3C">
        <w:rPr>
          <w:rtl/>
          <w:lang w:val="es-ES"/>
        </w:rPr>
        <w:t>:</w:t>
      </w:r>
      <w:r>
        <w:rPr>
          <w:rFonts w:hint="cs"/>
          <w:rtl/>
          <w:lang w:val="es-ES"/>
        </w:rPr>
        <w:tab/>
      </w:r>
      <w:r>
        <w:rPr>
          <w:rFonts w:hint="cs"/>
          <w:rtl/>
          <w:lang w:val="es-ES"/>
        </w:rPr>
        <w:tab/>
      </w:r>
      <w:r w:rsidRPr="00C57C3C">
        <w:rPr>
          <w:rtl/>
          <w:lang w:val="es-ES"/>
        </w:rPr>
        <w:tab/>
        <w:t>جمهورية قبرص</w:t>
      </w:r>
    </w:p>
    <w:p w:rsidR="00C57C3C" w:rsidRPr="00C57C3C" w:rsidRDefault="00C57C3C" w:rsidP="00C57C3C">
      <w:pPr>
        <w:pStyle w:val="SingleTxtGA"/>
        <w:tabs>
          <w:tab w:val="clear" w:pos="1928"/>
        </w:tabs>
        <w:ind w:left="4649" w:hanging="2751"/>
        <w:rPr>
          <w:lang w:val="es-ES"/>
        </w:rPr>
      </w:pPr>
      <w:r w:rsidRPr="00C57C3C">
        <w:rPr>
          <w:i/>
          <w:iCs/>
          <w:rtl/>
          <w:lang w:val="es-ES"/>
        </w:rPr>
        <w:t>تاريخ تقديم البلاغ</w:t>
      </w:r>
      <w:r w:rsidRPr="00C57C3C">
        <w:rPr>
          <w:rtl/>
          <w:lang w:val="es-ES"/>
        </w:rPr>
        <w:t>:</w:t>
      </w:r>
      <w:r>
        <w:rPr>
          <w:rFonts w:hint="cs"/>
          <w:rtl/>
          <w:lang w:val="es-ES"/>
        </w:rPr>
        <w:tab/>
      </w:r>
      <w:r w:rsidRPr="00C57C3C">
        <w:rPr>
          <w:rtl/>
          <w:lang w:val="es-ES"/>
        </w:rPr>
        <w:tab/>
        <w:t>5 تشرين الأول/أكتوبر 2006 (تاريخ تقديم الرسالة الأولى)</w:t>
      </w:r>
    </w:p>
    <w:p w:rsidR="00C57C3C" w:rsidRPr="00C57C3C" w:rsidRDefault="00C57C3C" w:rsidP="00C57C3C">
      <w:pPr>
        <w:pStyle w:val="SingleTxtGA"/>
        <w:rPr>
          <w:lang w:val="es-ES"/>
        </w:rPr>
      </w:pPr>
      <w:r w:rsidRPr="00C57C3C">
        <w:rPr>
          <w:rtl/>
          <w:lang w:val="es-ES"/>
        </w:rPr>
        <w:tab/>
      </w:r>
      <w:r w:rsidRPr="00C57C3C">
        <w:rPr>
          <w:i/>
          <w:iCs/>
          <w:rtl/>
          <w:lang w:val="es-ES"/>
        </w:rPr>
        <w:t>إن اللجنة المعنية بحقوق الإنسان</w:t>
      </w:r>
      <w:r w:rsidRPr="00C57C3C">
        <w:rPr>
          <w:rtl/>
          <w:lang w:val="es-ES"/>
        </w:rPr>
        <w:t xml:space="preserve">، المُنشأة بموجب المادة 28 من العهد الدولي الخاص بالحقوق المدنية والسياسية، </w:t>
      </w:r>
    </w:p>
    <w:p w:rsidR="00C57C3C" w:rsidRPr="00C57C3C" w:rsidRDefault="00C57C3C" w:rsidP="00C57C3C">
      <w:pPr>
        <w:pStyle w:val="SingleTxtGA"/>
        <w:rPr>
          <w:lang w:val="es-ES"/>
        </w:rPr>
      </w:pPr>
      <w:r w:rsidRPr="00C57C3C">
        <w:rPr>
          <w:rtl/>
          <w:lang w:val="es-ES"/>
        </w:rPr>
        <w:tab/>
      </w:r>
      <w:r w:rsidRPr="00C57C3C">
        <w:rPr>
          <w:i/>
          <w:iCs/>
          <w:rtl/>
          <w:lang w:val="es-ES"/>
        </w:rPr>
        <w:t>وقد اجتمعت</w:t>
      </w:r>
      <w:r w:rsidRPr="00C57C3C">
        <w:rPr>
          <w:rtl/>
          <w:lang w:val="es-ES"/>
        </w:rPr>
        <w:t xml:space="preserve"> في 25 تشرين الأول/أكتوبر 2010،</w:t>
      </w:r>
    </w:p>
    <w:p w:rsidR="00C57C3C" w:rsidRPr="00C57C3C" w:rsidRDefault="00C57C3C" w:rsidP="00C57C3C">
      <w:pPr>
        <w:pStyle w:val="SingleTxtGA"/>
        <w:rPr>
          <w:lang w:val="es-ES"/>
        </w:rPr>
      </w:pPr>
      <w:r w:rsidRPr="00C57C3C">
        <w:rPr>
          <w:rtl/>
          <w:lang w:val="es-ES"/>
        </w:rPr>
        <w:tab/>
      </w:r>
      <w:r w:rsidRPr="00C57C3C">
        <w:rPr>
          <w:i/>
          <w:iCs/>
          <w:rtl/>
          <w:lang w:val="es-ES"/>
        </w:rPr>
        <w:t>تعتمد</w:t>
      </w:r>
      <w:r w:rsidRPr="00C57C3C">
        <w:rPr>
          <w:rtl/>
          <w:lang w:val="es-ES"/>
        </w:rPr>
        <w:t xml:space="preserve"> ما يلي:</w:t>
      </w:r>
    </w:p>
    <w:p w:rsidR="00C57C3C" w:rsidRPr="00C57C3C" w:rsidRDefault="00C57C3C" w:rsidP="00C57C3C">
      <w:pPr>
        <w:pStyle w:val="H1GA"/>
        <w:rPr>
          <w:lang w:val="es-ES"/>
        </w:rPr>
      </w:pPr>
      <w:r w:rsidRPr="00C57C3C">
        <w:rPr>
          <w:rtl/>
          <w:lang w:val="es-ES"/>
        </w:rPr>
        <w:tab/>
      </w:r>
      <w:r w:rsidRPr="00C57C3C">
        <w:rPr>
          <w:rtl/>
          <w:lang w:val="es-ES"/>
        </w:rPr>
        <w:tab/>
        <w:t>قرار بشأن المقبولية</w:t>
      </w:r>
    </w:p>
    <w:p w:rsidR="00C57C3C" w:rsidRPr="00C57C3C" w:rsidRDefault="00C57C3C" w:rsidP="00F33514">
      <w:pPr>
        <w:pStyle w:val="SingleTxtGA"/>
        <w:rPr>
          <w:lang w:val="es-ES"/>
        </w:rPr>
      </w:pPr>
      <w:r w:rsidRPr="00C57C3C">
        <w:rPr>
          <w:rtl/>
          <w:lang w:val="es-ES"/>
        </w:rPr>
        <w:t>1-</w:t>
      </w:r>
      <w:r w:rsidRPr="00C57C3C">
        <w:rPr>
          <w:rtl/>
          <w:lang w:val="es-ES"/>
        </w:rPr>
        <w:tab/>
        <w:t xml:space="preserve">صاحب البلاغ المؤرخ 5 تشرين الأول/أكتوبر 2006 هو أندرياس أونوفريو، وهو </w:t>
      </w:r>
      <w:r w:rsidRPr="008C5D3F">
        <w:rPr>
          <w:spacing w:val="-2"/>
          <w:rtl/>
          <w:lang w:val="es-ES"/>
        </w:rPr>
        <w:t>مواطن قبرصي محتجز حاليا</w:t>
      </w:r>
      <w:r w:rsidR="008C5D3F" w:rsidRPr="008C5D3F">
        <w:rPr>
          <w:rFonts w:hint="cs"/>
          <w:spacing w:val="-2"/>
          <w:rtl/>
          <w:lang w:val="es-ES"/>
        </w:rPr>
        <w:t>ً</w:t>
      </w:r>
      <w:r w:rsidRPr="008C5D3F">
        <w:rPr>
          <w:spacing w:val="-2"/>
          <w:rtl/>
          <w:lang w:val="es-ES"/>
        </w:rPr>
        <w:t xml:space="preserve"> في سجن نيقوسيا المركزي لقضاء حكم بالسجن 18 عاما</w:t>
      </w:r>
      <w:r w:rsidR="008C5D3F" w:rsidRPr="008C5D3F">
        <w:rPr>
          <w:rFonts w:hint="cs"/>
          <w:spacing w:val="-2"/>
          <w:rtl/>
          <w:lang w:val="es-ES"/>
        </w:rPr>
        <w:t>ً</w:t>
      </w:r>
      <w:r w:rsidRPr="008C5D3F">
        <w:rPr>
          <w:spacing w:val="-2"/>
          <w:rtl/>
          <w:lang w:val="es-ES"/>
        </w:rPr>
        <w:t xml:space="preserve"> بعد إدانته بتهمتي محاولة قتل. ويدعي أنه ضحية لانتهاك جمهورية قبرص للفقر</w:t>
      </w:r>
      <w:r w:rsidR="00F33514">
        <w:rPr>
          <w:rFonts w:hint="cs"/>
          <w:spacing w:val="-2"/>
          <w:rtl/>
          <w:lang w:val="es-ES"/>
        </w:rPr>
        <w:t xml:space="preserve">ات الفرعية </w:t>
      </w:r>
      <w:r w:rsidRPr="008C5D3F">
        <w:rPr>
          <w:spacing w:val="-2"/>
          <w:rtl/>
          <w:lang w:val="es-ES"/>
        </w:rPr>
        <w:t>3(ب) و(د) و(</w:t>
      </w:r>
      <w:r w:rsidR="008C5D3F" w:rsidRPr="008C5D3F">
        <w:rPr>
          <w:rFonts w:hint="cs"/>
          <w:spacing w:val="-2"/>
          <w:rtl/>
          <w:lang w:val="es-ES"/>
        </w:rPr>
        <w:t>ﻫ</w:t>
      </w:r>
      <w:r w:rsidRPr="008C5D3F">
        <w:rPr>
          <w:spacing w:val="-2"/>
          <w:rtl/>
          <w:lang w:val="es-ES"/>
        </w:rPr>
        <w:t xml:space="preserve">) </w:t>
      </w:r>
      <w:r w:rsidRPr="00C57C3C">
        <w:rPr>
          <w:rtl/>
          <w:lang w:val="es-ES"/>
        </w:rPr>
        <w:t>من المادة 14، والمادتين 2 و26 من العهد الدولي الخاص بالحقوق المدنية والسياسية</w:t>
      </w:r>
      <w:r w:rsidR="008C5D3F">
        <w:rPr>
          <w:vertAlign w:val="superscript"/>
          <w:rtl/>
          <w:lang w:val="es-ES"/>
        </w:rPr>
        <w:t>(</w:t>
      </w:r>
      <w:r w:rsidR="008C5D3F">
        <w:rPr>
          <w:rStyle w:val="FootnoteReference"/>
          <w:rtl/>
          <w:lang w:val="es-ES"/>
        </w:rPr>
        <w:footnoteReference w:id="3"/>
      </w:r>
      <w:r w:rsidR="008C5D3F">
        <w:rPr>
          <w:vertAlign w:val="superscript"/>
          <w:rtl/>
          <w:lang w:val="es-ES"/>
        </w:rPr>
        <w:t>)</w:t>
      </w:r>
      <w:r w:rsidR="00F33514">
        <w:rPr>
          <w:rFonts w:hint="cs"/>
          <w:rtl/>
          <w:lang w:val="es-ES"/>
        </w:rPr>
        <w:t xml:space="preserve">. </w:t>
      </w:r>
      <w:r w:rsidRPr="00C57C3C">
        <w:rPr>
          <w:rtl/>
          <w:lang w:val="es-ES"/>
        </w:rPr>
        <w:t>ولا يمثله محام.</w:t>
      </w:r>
    </w:p>
    <w:p w:rsidR="00C57C3C" w:rsidRPr="00C57C3C" w:rsidRDefault="00C57C3C" w:rsidP="008C5D3F">
      <w:pPr>
        <w:pStyle w:val="H23GA"/>
        <w:rPr>
          <w:lang w:val="es-ES"/>
        </w:rPr>
      </w:pPr>
      <w:r w:rsidRPr="00C57C3C">
        <w:rPr>
          <w:rtl/>
          <w:lang w:val="es-ES"/>
        </w:rPr>
        <w:tab/>
      </w:r>
      <w:r w:rsidRPr="00C57C3C">
        <w:rPr>
          <w:rtl/>
          <w:lang w:val="es-ES"/>
        </w:rPr>
        <w:tab/>
        <w:t>الوقائع</w:t>
      </w:r>
    </w:p>
    <w:p w:rsidR="00C57C3C" w:rsidRPr="00C57C3C" w:rsidRDefault="00F33514" w:rsidP="00F33514">
      <w:pPr>
        <w:pStyle w:val="SingleTxtGA"/>
        <w:rPr>
          <w:lang w:val="es-ES"/>
        </w:rPr>
      </w:pPr>
      <w:r>
        <w:rPr>
          <w:rFonts w:hint="cs"/>
          <w:rtl/>
          <w:lang w:val="es-ES"/>
        </w:rPr>
        <w:t>2-1</w:t>
      </w:r>
      <w:r w:rsidR="00C57C3C" w:rsidRPr="00C57C3C">
        <w:rPr>
          <w:rtl/>
          <w:lang w:val="es-ES"/>
        </w:rPr>
        <w:tab/>
        <w:t>صاحب البلاغ مواطن قبرصي أدانته محكمة جنايات ليماسول في 5 آب/</w:t>
      </w:r>
      <w:r>
        <w:rPr>
          <w:rFonts w:hint="cs"/>
          <w:rtl/>
          <w:lang w:val="es-ES"/>
        </w:rPr>
        <w:t xml:space="preserve">              </w:t>
      </w:r>
      <w:r w:rsidR="00C57C3C" w:rsidRPr="00C57C3C">
        <w:rPr>
          <w:rtl/>
          <w:lang w:val="es-ES"/>
        </w:rPr>
        <w:t xml:space="preserve">أغسطس 1998 بمحاولة قتل قاضي محكمة محلية وابنته الصغرى. ففي صباح 29 تشرين الأول/أكتوبر 1996، كان القاضي م. م. يهم بالالتحاق بمقر عمله </w:t>
      </w:r>
      <w:r>
        <w:rPr>
          <w:rFonts w:hint="cs"/>
          <w:rtl/>
          <w:lang w:val="es-ES"/>
        </w:rPr>
        <w:t xml:space="preserve">مستقلاً سيارته ليودع في المسار </w:t>
      </w:r>
      <w:r w:rsidR="00C57C3C" w:rsidRPr="00C57C3C">
        <w:rPr>
          <w:rtl/>
          <w:lang w:val="es-ES"/>
        </w:rPr>
        <w:t>طفلته في</w:t>
      </w:r>
      <w:r w:rsidR="00C57C3C">
        <w:rPr>
          <w:rtl/>
          <w:lang w:val="es-ES"/>
        </w:rPr>
        <w:t xml:space="preserve"> </w:t>
      </w:r>
      <w:r w:rsidR="00C57C3C" w:rsidRPr="00C57C3C">
        <w:rPr>
          <w:rtl/>
          <w:lang w:val="es-ES"/>
        </w:rPr>
        <w:t xml:space="preserve">روضة الأطفال. </w:t>
      </w:r>
      <w:r>
        <w:rPr>
          <w:rFonts w:hint="cs"/>
          <w:rtl/>
          <w:lang w:val="es-ES"/>
        </w:rPr>
        <w:t>و</w:t>
      </w:r>
      <w:r w:rsidR="00C57C3C" w:rsidRPr="00C57C3C">
        <w:rPr>
          <w:rtl/>
          <w:lang w:val="es-ES"/>
        </w:rPr>
        <w:t>حرك في البداية سيارة زوجته</w:t>
      </w:r>
      <w:r>
        <w:rPr>
          <w:vertAlign w:val="superscript"/>
          <w:rtl/>
          <w:lang w:val="es-ES"/>
        </w:rPr>
        <w:t>(</w:t>
      </w:r>
      <w:r>
        <w:rPr>
          <w:rStyle w:val="FootnoteReference"/>
          <w:rtl/>
          <w:lang w:val="es-ES"/>
        </w:rPr>
        <w:footnoteReference w:id="4"/>
      </w:r>
      <w:r>
        <w:rPr>
          <w:vertAlign w:val="superscript"/>
          <w:rtl/>
          <w:lang w:val="es-ES"/>
        </w:rPr>
        <w:t>)</w:t>
      </w:r>
      <w:r>
        <w:rPr>
          <w:rFonts w:hint="cs"/>
          <w:rtl/>
          <w:lang w:val="es-ES"/>
        </w:rPr>
        <w:t xml:space="preserve"> </w:t>
      </w:r>
      <w:r w:rsidR="00C57C3C" w:rsidRPr="00C57C3C">
        <w:rPr>
          <w:rtl/>
          <w:lang w:val="es-ES"/>
        </w:rPr>
        <w:t>التي كانت مركونة في ممر الدخول خلف سيارته، ثم توجه إلى سيارته تتبعه طفلته. وعندما اقترب من العجلة الخلفية اليمنى للسيارة، حدث انفجار قوي طرحه أرضا</w:t>
      </w:r>
      <w:r>
        <w:rPr>
          <w:rFonts w:hint="cs"/>
          <w:rtl/>
          <w:lang w:val="es-ES"/>
        </w:rPr>
        <w:t>ً</w:t>
      </w:r>
      <w:r w:rsidR="00C57C3C" w:rsidRPr="00C57C3C">
        <w:rPr>
          <w:rtl/>
          <w:lang w:val="es-ES"/>
        </w:rPr>
        <w:t xml:space="preserve"> وتسبب له في جروح بليغة. واضطر لإجراء سلسلة من العمليات الجراحية، لكنه لا يزال يحمل تشوهات جسدية</w:t>
      </w:r>
      <w:r>
        <w:rPr>
          <w:vertAlign w:val="superscript"/>
          <w:rtl/>
          <w:lang w:val="es-ES"/>
        </w:rPr>
        <w:t>(</w:t>
      </w:r>
      <w:r>
        <w:rPr>
          <w:rStyle w:val="FootnoteReference"/>
          <w:rtl/>
          <w:lang w:val="es-ES"/>
        </w:rPr>
        <w:footnoteReference w:id="5"/>
      </w:r>
      <w:r>
        <w:rPr>
          <w:vertAlign w:val="superscript"/>
          <w:rtl/>
          <w:lang w:val="es-ES"/>
        </w:rPr>
        <w:t>)</w:t>
      </w:r>
      <w:r w:rsidR="00C57C3C" w:rsidRPr="00C57C3C">
        <w:rPr>
          <w:rtl/>
          <w:lang w:val="es-ES"/>
        </w:rPr>
        <w:t>. وتعرضت ابنته التي كانت بعيدة لحروق بسبب الانفجار، لكنها نجت من الجروح البليغة. وقد تسببت في الانفجار متفجرات يدوية الصنع مزودة بآلية تفجير وضعت قرب العجلة اليمنى للسيارة ويمكن تفجيرها إما بسلك بلاستيكي أو بأدنى حركة للسيارة.</w:t>
      </w:r>
    </w:p>
    <w:p w:rsidR="00C57C3C" w:rsidRPr="00F33514" w:rsidRDefault="00C57C3C" w:rsidP="00070BC4">
      <w:pPr>
        <w:pStyle w:val="SingleTxtGA"/>
        <w:rPr>
          <w:spacing w:val="-2"/>
          <w:lang w:val="es-ES"/>
        </w:rPr>
      </w:pPr>
      <w:r w:rsidRPr="00F33514">
        <w:rPr>
          <w:spacing w:val="-2"/>
          <w:rtl/>
          <w:lang w:val="es-ES"/>
        </w:rPr>
        <w:t>2-2</w:t>
      </w:r>
      <w:r w:rsidRPr="00F33514">
        <w:rPr>
          <w:spacing w:val="-2"/>
          <w:rtl/>
          <w:lang w:val="es-ES"/>
        </w:rPr>
        <w:tab/>
        <w:t>وخلال التحقيقات، استرعيَ انتباهُ الشرطة إلى دعوى قضائية قيد النظر كانت معروضة على القاضي م. م. وكان أحد طرفيها صاحب البلاغ بصفته مدعى عليه في قضية لاسترداد ديون بقي</w:t>
      </w:r>
      <w:r w:rsidR="00F33514" w:rsidRPr="00F33514">
        <w:rPr>
          <w:rFonts w:hint="cs"/>
          <w:spacing w:val="-2"/>
          <w:rtl/>
          <w:lang w:val="es-ES"/>
        </w:rPr>
        <w:t>م</w:t>
      </w:r>
      <w:r w:rsidRPr="00F33514">
        <w:rPr>
          <w:spacing w:val="-2"/>
          <w:rtl/>
          <w:lang w:val="es-ES"/>
        </w:rPr>
        <w:t xml:space="preserve">ة 000 5 جنيه </w:t>
      </w:r>
      <w:r w:rsidR="00F33514" w:rsidRPr="00F33514">
        <w:rPr>
          <w:rFonts w:hint="cs"/>
          <w:spacing w:val="-2"/>
          <w:rtl/>
          <w:lang w:val="es-ES"/>
        </w:rPr>
        <w:t>ا</w:t>
      </w:r>
      <w:r w:rsidRPr="00F33514">
        <w:rPr>
          <w:spacing w:val="-2"/>
          <w:rtl/>
          <w:lang w:val="es-ES"/>
        </w:rPr>
        <w:t xml:space="preserve">سترليني ترتبت على ذمته من ملكيته لعيادة طبية في ليماسول كان يريد تحويلها إلى مستشفى خاص. وعرضت القضية على القاضي م. م. في 16 تشرين الأول/أكتوبر 1996، وكانت هناك جلسة استماع مقررة يوم 21 تشرين الأول/أكتوبر </w:t>
      </w:r>
      <w:r w:rsidR="00070BC4">
        <w:rPr>
          <w:rFonts w:hint="cs"/>
          <w:spacing w:val="-2"/>
          <w:rtl/>
          <w:lang w:val="es-ES"/>
        </w:rPr>
        <w:t>1996</w:t>
      </w:r>
      <w:r w:rsidRPr="00F33514">
        <w:rPr>
          <w:spacing w:val="-2"/>
          <w:rtl/>
          <w:lang w:val="es-ES"/>
        </w:rPr>
        <w:t>. ويبدو من الإجراءات القضائية أن صاحب البلاغ اعتبر موقف القاضي م. م. عدائيا</w:t>
      </w:r>
      <w:r w:rsidR="00F33514" w:rsidRPr="00F33514">
        <w:rPr>
          <w:rFonts w:hint="cs"/>
          <w:spacing w:val="-2"/>
          <w:rtl/>
          <w:lang w:val="es-ES"/>
        </w:rPr>
        <w:t>ً</w:t>
      </w:r>
      <w:r w:rsidRPr="00F33514">
        <w:rPr>
          <w:spacing w:val="-2"/>
          <w:rtl/>
          <w:lang w:val="es-ES"/>
        </w:rPr>
        <w:t xml:space="preserve"> إزاء قضيته، وأنه أسرَّ إلى شاهد الإثبات رقم 63 بنيته قتل القاضي. كما توصلت محكمة جنايات ليماسول، استنادا</w:t>
      </w:r>
      <w:r w:rsidR="00F33514" w:rsidRPr="00F33514">
        <w:rPr>
          <w:rFonts w:hint="cs"/>
          <w:spacing w:val="-2"/>
          <w:rtl/>
          <w:lang w:val="es-ES"/>
        </w:rPr>
        <w:t>ً</w:t>
      </w:r>
      <w:r w:rsidRPr="00F33514">
        <w:rPr>
          <w:spacing w:val="-2"/>
          <w:rtl/>
          <w:lang w:val="es-ES"/>
        </w:rPr>
        <w:t xml:space="preserve"> إلى الأدلة التي لديها، إلى أن صاحب البلاغ كان قد اكتسب المعارف اللازمة لصنع مثل هذا الجهاز المتفجر خلال عمله في الحرس الوطني.</w:t>
      </w:r>
    </w:p>
    <w:p w:rsidR="00C57C3C" w:rsidRPr="00F33514" w:rsidRDefault="00C57C3C" w:rsidP="00070BC4">
      <w:pPr>
        <w:pStyle w:val="SingleTxtGA"/>
        <w:rPr>
          <w:spacing w:val="-2"/>
          <w:lang w:val="es-ES"/>
        </w:rPr>
      </w:pPr>
      <w:r w:rsidRPr="00F33514">
        <w:rPr>
          <w:spacing w:val="-2"/>
          <w:rtl/>
          <w:lang w:val="es-ES"/>
        </w:rPr>
        <w:t>2-3</w:t>
      </w:r>
      <w:r w:rsidRPr="00F33514">
        <w:rPr>
          <w:spacing w:val="-2"/>
          <w:rtl/>
          <w:lang w:val="es-ES"/>
        </w:rPr>
        <w:tab/>
      </w:r>
      <w:r w:rsidR="00F33514" w:rsidRPr="00F33514">
        <w:rPr>
          <w:rFonts w:hint="cs"/>
          <w:spacing w:val="-2"/>
          <w:rtl/>
          <w:lang w:val="es-ES"/>
        </w:rPr>
        <w:t>و</w:t>
      </w:r>
      <w:r w:rsidRPr="00F33514">
        <w:rPr>
          <w:spacing w:val="-2"/>
          <w:rtl/>
          <w:lang w:val="es-ES"/>
        </w:rPr>
        <w:t xml:space="preserve">يبدو من المعلومات المتضمنة في الملف المعروض على اللجنة أن صاحب البلاغ أكد، بعد ارتكاب الجريمة، لشاهد الإثبات رقم 63 أنه وضع القنبلة في بيت القاضي م. م. </w:t>
      </w:r>
      <w:r w:rsidR="00070BC4">
        <w:rPr>
          <w:rFonts w:hint="cs"/>
          <w:spacing w:val="-2"/>
          <w:rtl/>
          <w:lang w:val="es-ES"/>
        </w:rPr>
        <w:t xml:space="preserve">في </w:t>
      </w:r>
      <w:r w:rsidRPr="00F33514">
        <w:rPr>
          <w:spacing w:val="-2"/>
          <w:rtl/>
          <w:lang w:val="es-ES"/>
        </w:rPr>
        <w:t>29 تشرين الأول/أكتوبر 1996. وفي ليلة 29</w:t>
      </w:r>
      <w:r w:rsidR="00F33514" w:rsidRPr="00F33514">
        <w:rPr>
          <w:rFonts w:hint="cs"/>
          <w:spacing w:val="-2"/>
          <w:rtl/>
          <w:lang w:val="es-ES"/>
        </w:rPr>
        <w:t xml:space="preserve"> إلى </w:t>
      </w:r>
      <w:r w:rsidRPr="00F33514">
        <w:rPr>
          <w:spacing w:val="-2"/>
          <w:rtl/>
          <w:lang w:val="es-ES"/>
        </w:rPr>
        <w:t>30 تشرين الأول/أكتوبر 1996</w:t>
      </w:r>
      <w:r w:rsidR="00F33514" w:rsidRPr="00F33514">
        <w:rPr>
          <w:spacing w:val="-2"/>
          <w:vertAlign w:val="superscript"/>
          <w:rtl/>
          <w:lang w:val="es-ES"/>
        </w:rPr>
        <w:t>(</w:t>
      </w:r>
      <w:r w:rsidR="00F33514" w:rsidRPr="00F33514">
        <w:rPr>
          <w:rStyle w:val="FootnoteReference"/>
          <w:spacing w:val="-2"/>
          <w:rtl/>
          <w:lang w:val="es-ES"/>
        </w:rPr>
        <w:footnoteReference w:id="6"/>
      </w:r>
      <w:r w:rsidR="00F33514" w:rsidRPr="00F33514">
        <w:rPr>
          <w:spacing w:val="-2"/>
          <w:vertAlign w:val="superscript"/>
          <w:rtl/>
          <w:lang w:val="es-ES"/>
        </w:rPr>
        <w:t>)</w:t>
      </w:r>
      <w:r w:rsidRPr="00F33514">
        <w:rPr>
          <w:spacing w:val="-2"/>
          <w:rtl/>
          <w:lang w:val="es-ES"/>
        </w:rPr>
        <w:t>، سافر صاحب البلاغ جوا</w:t>
      </w:r>
      <w:r w:rsidR="00F33514" w:rsidRPr="00F33514">
        <w:rPr>
          <w:rFonts w:hint="cs"/>
          <w:spacing w:val="-2"/>
          <w:rtl/>
          <w:lang w:val="es-ES"/>
        </w:rPr>
        <w:t>ً</w:t>
      </w:r>
      <w:r w:rsidRPr="00F33514">
        <w:rPr>
          <w:spacing w:val="-2"/>
          <w:rtl/>
          <w:lang w:val="es-ES"/>
        </w:rPr>
        <w:t xml:space="preserve"> إلى إنكلترا حيث مكث إلى أن سلمته السلطات البريطانية إلى قبرص في 4 نيسان/أبريل 1997. ويدعي صاحب البلاغ بأنه سافر إلى </w:t>
      </w:r>
      <w:r w:rsidR="00F33514" w:rsidRPr="00F33514">
        <w:rPr>
          <w:rFonts w:hint="cs"/>
          <w:spacing w:val="-2"/>
          <w:rtl/>
          <w:lang w:val="es-ES"/>
        </w:rPr>
        <w:t>ا</w:t>
      </w:r>
      <w:r w:rsidRPr="00F33514">
        <w:rPr>
          <w:spacing w:val="-2"/>
          <w:rtl/>
          <w:lang w:val="es-ES"/>
        </w:rPr>
        <w:t>نكلترا ليتزوج صديقته الر</w:t>
      </w:r>
      <w:r w:rsidR="00F33514" w:rsidRPr="00F33514">
        <w:rPr>
          <w:rFonts w:hint="cs"/>
          <w:spacing w:val="-2"/>
          <w:rtl/>
          <w:lang w:val="es-ES"/>
        </w:rPr>
        <w:t>و</w:t>
      </w:r>
      <w:r w:rsidRPr="00F33514">
        <w:rPr>
          <w:spacing w:val="-2"/>
          <w:rtl/>
          <w:lang w:val="es-ES"/>
        </w:rPr>
        <w:t>مانية. ووفقاً لقرار المحكمة العليا الصادر في 17 تشرين الثاني/نوفمبر 2000، يبدو أن صاحب البلاغ هاتف مرارا</w:t>
      </w:r>
      <w:r w:rsidR="00F33514" w:rsidRPr="00F33514">
        <w:rPr>
          <w:rFonts w:hint="cs"/>
          <w:spacing w:val="-2"/>
          <w:rtl/>
          <w:lang w:val="es-ES"/>
        </w:rPr>
        <w:t>ً</w:t>
      </w:r>
      <w:r w:rsidRPr="00F33514">
        <w:rPr>
          <w:spacing w:val="-2"/>
          <w:rtl/>
          <w:lang w:val="es-ES"/>
        </w:rPr>
        <w:t xml:space="preserve">، عندما كان في </w:t>
      </w:r>
      <w:r w:rsidR="00F33514" w:rsidRPr="00F33514">
        <w:rPr>
          <w:rFonts w:hint="cs"/>
          <w:spacing w:val="-2"/>
          <w:rtl/>
          <w:lang w:val="es-ES"/>
        </w:rPr>
        <w:t>ا</w:t>
      </w:r>
      <w:r w:rsidRPr="00F33514">
        <w:rPr>
          <w:spacing w:val="-2"/>
          <w:rtl/>
          <w:lang w:val="es-ES"/>
        </w:rPr>
        <w:t>نكلترا، شاهد الإثبات رقم 63 ليطلب منه نقل أسلحة ومتفجرات ومفاتيح كهربائية من شقته في ليماسول إلى مستودع. وذُكر أنه عُثر في المستودع على سلك بلاستيكي شبي</w:t>
      </w:r>
      <w:r w:rsidR="00F33514">
        <w:rPr>
          <w:rFonts w:hint="cs"/>
          <w:spacing w:val="-2"/>
          <w:rtl/>
          <w:lang w:val="es-ES"/>
        </w:rPr>
        <w:t>ـ</w:t>
      </w:r>
      <w:r w:rsidRPr="00F33514">
        <w:rPr>
          <w:spacing w:val="-2"/>
          <w:rtl/>
          <w:lang w:val="es-ES"/>
        </w:rPr>
        <w:t>ه بالذي عثر علي</w:t>
      </w:r>
      <w:r w:rsidR="00F33514">
        <w:rPr>
          <w:rFonts w:hint="cs"/>
          <w:spacing w:val="-2"/>
          <w:rtl/>
          <w:lang w:val="es-ES"/>
        </w:rPr>
        <w:t>ـ</w:t>
      </w:r>
      <w:r w:rsidRPr="00F33514">
        <w:rPr>
          <w:spacing w:val="-2"/>
          <w:rtl/>
          <w:lang w:val="es-ES"/>
        </w:rPr>
        <w:t xml:space="preserve">ه في مسرح الجريمة، بعد نقله من شقة </w:t>
      </w:r>
      <w:r w:rsidR="00F33514">
        <w:rPr>
          <w:rFonts w:hint="cs"/>
          <w:spacing w:val="-2"/>
          <w:rtl/>
          <w:lang w:val="es-ES"/>
        </w:rPr>
        <w:t xml:space="preserve">       </w:t>
      </w:r>
      <w:r w:rsidRPr="00F33514">
        <w:rPr>
          <w:spacing w:val="-2"/>
          <w:rtl/>
          <w:lang w:val="es-ES"/>
        </w:rPr>
        <w:t>صاحب البلاغ.</w:t>
      </w:r>
    </w:p>
    <w:p w:rsidR="00C57C3C" w:rsidRPr="00C57C3C" w:rsidRDefault="00C57C3C" w:rsidP="00F33514">
      <w:pPr>
        <w:pStyle w:val="SingleTxtGA"/>
        <w:rPr>
          <w:lang w:val="es-ES"/>
        </w:rPr>
      </w:pPr>
      <w:r w:rsidRPr="00C57C3C">
        <w:rPr>
          <w:rtl/>
          <w:lang w:val="es-ES"/>
        </w:rPr>
        <w:t>2-4</w:t>
      </w:r>
      <w:r w:rsidRPr="00C57C3C">
        <w:rPr>
          <w:rtl/>
          <w:lang w:val="es-ES"/>
        </w:rPr>
        <w:tab/>
        <w:t xml:space="preserve">وفي 9 كانون الثاني/يناير 1997، ألقي القبض على صاحب البلاغ في المملكة المتحدة </w:t>
      </w:r>
      <w:r w:rsidR="00F33514">
        <w:rPr>
          <w:rFonts w:hint="cs"/>
          <w:rtl/>
          <w:lang w:val="es-ES"/>
        </w:rPr>
        <w:t>لحيازته</w:t>
      </w:r>
      <w:r w:rsidRPr="00C57C3C">
        <w:rPr>
          <w:rtl/>
          <w:lang w:val="es-ES"/>
        </w:rPr>
        <w:t xml:space="preserve"> متفجرات، وحبس احتياطيا</w:t>
      </w:r>
      <w:r w:rsidR="00F33514">
        <w:rPr>
          <w:rFonts w:hint="cs"/>
          <w:rtl/>
          <w:lang w:val="es-ES"/>
        </w:rPr>
        <w:t>ً</w:t>
      </w:r>
      <w:r w:rsidRPr="00C57C3C">
        <w:rPr>
          <w:rtl/>
          <w:lang w:val="es-ES"/>
        </w:rPr>
        <w:t xml:space="preserve"> في سجن بريكستون بعد تلقي طلب من السلطات القبرصية بتسليمه ليواجه تهم</w:t>
      </w:r>
      <w:r w:rsidR="00F33514">
        <w:rPr>
          <w:rFonts w:hint="cs"/>
          <w:rtl/>
          <w:lang w:val="es-ES"/>
        </w:rPr>
        <w:t>تي</w:t>
      </w:r>
      <w:r w:rsidRPr="00C57C3C">
        <w:rPr>
          <w:rtl/>
          <w:lang w:val="es-ES"/>
        </w:rPr>
        <w:t xml:space="preserve"> محاولة قتل القاضي م. م. وابنته. وبعد تسليم صاحب البلاغ، أدانته المحكمة المحلية لليماسول بمحاولة القتل في 11 نيسان/أبريل 1997 وأودع سجن نيقوسيا المركزي. وواجه صاحب البلاغ صعوبة جمة في ال</w:t>
      </w:r>
      <w:r w:rsidR="00F33514">
        <w:rPr>
          <w:rFonts w:hint="cs"/>
          <w:rtl/>
          <w:lang w:val="es-ES"/>
        </w:rPr>
        <w:t xml:space="preserve">حصول </w:t>
      </w:r>
      <w:r w:rsidRPr="00C57C3C">
        <w:rPr>
          <w:rtl/>
          <w:lang w:val="es-ES"/>
        </w:rPr>
        <w:t xml:space="preserve">على التمثيل القانوني. ويدعي أن ذلك يعود إلى الدعاية السلبية التي وجهتها وسائط الإعلام ضده وخوف المحامين من التعرض لضغوط </w:t>
      </w:r>
      <w:r w:rsidR="00F33514">
        <w:rPr>
          <w:rFonts w:hint="cs"/>
          <w:rtl/>
          <w:lang w:val="es-ES"/>
        </w:rPr>
        <w:t xml:space="preserve">إذا </w:t>
      </w:r>
      <w:r w:rsidRPr="00C57C3C">
        <w:rPr>
          <w:rtl/>
          <w:lang w:val="es-ES"/>
        </w:rPr>
        <w:t>قبلوا تمثيله، بالنظر إلى كون الضحية قاضيا</w:t>
      </w:r>
      <w:r w:rsidR="00F33514">
        <w:rPr>
          <w:rFonts w:hint="cs"/>
          <w:rtl/>
          <w:lang w:val="es-ES"/>
        </w:rPr>
        <w:t>ً</w:t>
      </w:r>
      <w:r w:rsidRPr="00C57C3C">
        <w:rPr>
          <w:rtl/>
          <w:lang w:val="es-ES"/>
        </w:rPr>
        <w:t>.</w:t>
      </w:r>
    </w:p>
    <w:p w:rsidR="00C57C3C" w:rsidRPr="00C57C3C" w:rsidRDefault="00C57C3C" w:rsidP="00F33514">
      <w:pPr>
        <w:pStyle w:val="SingleTxtGA"/>
        <w:rPr>
          <w:lang w:val="es-ES"/>
        </w:rPr>
      </w:pPr>
      <w:r w:rsidRPr="00C57C3C">
        <w:rPr>
          <w:rtl/>
          <w:lang w:val="es-ES"/>
        </w:rPr>
        <w:t>2-5</w:t>
      </w:r>
      <w:r w:rsidRPr="00C57C3C">
        <w:rPr>
          <w:rtl/>
          <w:lang w:val="es-ES"/>
        </w:rPr>
        <w:tab/>
        <w:t>وطلبت محكمة الجنايات المساعدة من نقابة المحامين في ليماسول التي تدبر رئيسها أمر ترشيح محاميين أبديا استعدادهما لتمثيل صاحب البلاغ. لكن صاحب البلاغ رفض العرض مصرا</w:t>
      </w:r>
      <w:r w:rsidR="00F33514">
        <w:rPr>
          <w:rFonts w:hint="cs"/>
          <w:rtl/>
          <w:lang w:val="es-ES"/>
        </w:rPr>
        <w:t>ً</w:t>
      </w:r>
      <w:r w:rsidRPr="00C57C3C">
        <w:rPr>
          <w:rtl/>
          <w:lang w:val="es-ES"/>
        </w:rPr>
        <w:t xml:space="preserve"> على أنه يريد محاميين بعينهما </w:t>
      </w:r>
      <w:r w:rsidR="00F33514">
        <w:rPr>
          <w:rFonts w:hint="cs"/>
          <w:rtl/>
          <w:lang w:val="es-ES"/>
        </w:rPr>
        <w:t xml:space="preserve">لكنهما </w:t>
      </w:r>
      <w:r w:rsidRPr="00C57C3C">
        <w:rPr>
          <w:rtl/>
          <w:lang w:val="es-ES"/>
        </w:rPr>
        <w:t>رفضا تمثيله</w:t>
      </w:r>
      <w:r w:rsidR="00F33514">
        <w:rPr>
          <w:vertAlign w:val="superscript"/>
          <w:rtl/>
          <w:lang w:val="es-ES"/>
        </w:rPr>
        <w:t>(</w:t>
      </w:r>
      <w:r w:rsidR="00F33514">
        <w:rPr>
          <w:rStyle w:val="FootnoteReference"/>
          <w:rtl/>
          <w:lang w:val="es-ES"/>
        </w:rPr>
        <w:footnoteReference w:id="7"/>
      </w:r>
      <w:r w:rsidR="00F33514">
        <w:rPr>
          <w:vertAlign w:val="superscript"/>
          <w:rtl/>
          <w:lang w:val="es-ES"/>
        </w:rPr>
        <w:t>)</w:t>
      </w:r>
      <w:r w:rsidRPr="00C57C3C">
        <w:rPr>
          <w:rtl/>
          <w:lang w:val="es-ES"/>
        </w:rPr>
        <w:t>. وانتدبت محكمة الجنايات في نهاية المطاف محاميا</w:t>
      </w:r>
      <w:r w:rsidR="00F33514">
        <w:rPr>
          <w:rFonts w:hint="cs"/>
          <w:rtl/>
          <w:lang w:val="es-ES"/>
        </w:rPr>
        <w:t>ً</w:t>
      </w:r>
      <w:r w:rsidRPr="00C57C3C">
        <w:rPr>
          <w:rtl/>
          <w:lang w:val="es-ES"/>
        </w:rPr>
        <w:t xml:space="preserve"> لتمثيل صاحب البلاغ، في شكل مساعدة قضائية، لأن هذا الأخير كان يفتقر إلى </w:t>
      </w:r>
      <w:r w:rsidR="00F33514">
        <w:rPr>
          <w:rFonts w:hint="cs"/>
          <w:rtl/>
          <w:lang w:val="es-ES"/>
        </w:rPr>
        <w:t xml:space="preserve">الوسائل </w:t>
      </w:r>
      <w:r w:rsidRPr="00C57C3C">
        <w:rPr>
          <w:rtl/>
          <w:lang w:val="es-ES"/>
        </w:rPr>
        <w:t>المالية لتوكيل محام بنفسه. بيد أن صاحب البلاغ أعفى هذا المحامي من مهامه</w:t>
      </w:r>
      <w:r w:rsidR="00F33514">
        <w:rPr>
          <w:rFonts w:hint="cs"/>
          <w:rtl/>
          <w:lang w:val="es-ES"/>
        </w:rPr>
        <w:t xml:space="preserve">     </w:t>
      </w:r>
      <w:r w:rsidRPr="00C57C3C">
        <w:rPr>
          <w:rtl/>
          <w:lang w:val="es-ES"/>
        </w:rPr>
        <w:t xml:space="preserve"> في 26 تشرين الثاني/نوفمبر 1997، خلال ثاني </w:t>
      </w:r>
      <w:r w:rsidR="00F33514">
        <w:rPr>
          <w:rFonts w:hint="cs"/>
          <w:rtl/>
          <w:lang w:val="es-ES"/>
        </w:rPr>
        <w:t xml:space="preserve">مثول </w:t>
      </w:r>
      <w:r w:rsidRPr="00C57C3C">
        <w:rPr>
          <w:rtl/>
          <w:lang w:val="es-ES"/>
        </w:rPr>
        <w:t>له أمام المحكمة، بعد أن طلب المحامي تأجيل الجلسة لأسباب صحية. وبعد ذلك، طلب صاحب البلاغ بأن يسمح له بالدفاع عن نفسه دون تمثيل قانوني.</w:t>
      </w:r>
    </w:p>
    <w:p w:rsidR="00C57C3C" w:rsidRPr="00C57C3C" w:rsidRDefault="00C57C3C" w:rsidP="00C82D07">
      <w:pPr>
        <w:pStyle w:val="SingleTxtGA"/>
        <w:rPr>
          <w:rFonts w:hint="cs"/>
          <w:lang w:val="es-ES"/>
        </w:rPr>
      </w:pPr>
      <w:r w:rsidRPr="00C57C3C">
        <w:rPr>
          <w:rtl/>
          <w:lang w:val="es-ES"/>
        </w:rPr>
        <w:t>2-6</w:t>
      </w:r>
      <w:r w:rsidRPr="00C57C3C">
        <w:rPr>
          <w:rtl/>
          <w:lang w:val="es-ES"/>
        </w:rPr>
        <w:tab/>
        <w:t>وتقدم صاحب البلاغ بطلب إفراج مشروط إلى محكمة جنايات ليماسول، قائلا</w:t>
      </w:r>
      <w:r w:rsidR="00C82D07">
        <w:rPr>
          <w:rFonts w:hint="cs"/>
          <w:rtl/>
          <w:lang w:val="es-ES"/>
        </w:rPr>
        <w:t>ً</w:t>
      </w:r>
      <w:r w:rsidRPr="00C57C3C">
        <w:rPr>
          <w:rtl/>
          <w:lang w:val="es-ES"/>
        </w:rPr>
        <w:t xml:space="preserve"> </w:t>
      </w:r>
      <w:r w:rsidR="00C82D07">
        <w:rPr>
          <w:rFonts w:hint="cs"/>
          <w:rtl/>
          <w:lang w:val="es-ES"/>
        </w:rPr>
        <w:t xml:space="preserve">    </w:t>
      </w:r>
      <w:r w:rsidRPr="00C57C3C">
        <w:rPr>
          <w:rtl/>
          <w:lang w:val="es-ES"/>
        </w:rPr>
        <w:t>بما أنه سيكون رهن الاحتجاز حتى تاريخ المحاكمة، فإنه لن يكون قادرا</w:t>
      </w:r>
      <w:r w:rsidR="00C82D07">
        <w:rPr>
          <w:rFonts w:hint="cs"/>
          <w:rtl/>
          <w:lang w:val="es-ES"/>
        </w:rPr>
        <w:t>ً</w:t>
      </w:r>
      <w:r w:rsidRPr="00C57C3C">
        <w:rPr>
          <w:rtl/>
          <w:lang w:val="es-ES"/>
        </w:rPr>
        <w:t xml:space="preserve"> على تنظيم دفاعه من السجن، سيما وأنه لا يمثله محام. ورفضت محكمة جنايات ليماسول هذا الطلب، في ضوء خطورة التهم الموجهة إليه وفي غياب ظروف محددة تبرر قرارا</w:t>
      </w:r>
      <w:r w:rsidR="00C82D07">
        <w:rPr>
          <w:rFonts w:hint="cs"/>
          <w:rtl/>
          <w:lang w:val="es-ES"/>
        </w:rPr>
        <w:t>ً</w:t>
      </w:r>
      <w:r w:rsidRPr="00C57C3C">
        <w:rPr>
          <w:rtl/>
          <w:lang w:val="es-ES"/>
        </w:rPr>
        <w:t xml:space="preserve"> غير ذلك</w:t>
      </w:r>
      <w:r w:rsidR="00C82D07">
        <w:rPr>
          <w:rFonts w:hint="cs"/>
          <w:rtl/>
          <w:lang w:val="es-ES"/>
        </w:rPr>
        <w:t>.</w:t>
      </w:r>
    </w:p>
    <w:p w:rsidR="00C57C3C" w:rsidRPr="00C57C3C" w:rsidRDefault="00C57C3C" w:rsidP="00C82D07">
      <w:pPr>
        <w:pStyle w:val="SingleTxtGA"/>
        <w:rPr>
          <w:rFonts w:hint="cs"/>
          <w:lang w:val="es-ES"/>
        </w:rPr>
      </w:pPr>
      <w:r w:rsidRPr="00C57C3C">
        <w:rPr>
          <w:rtl/>
          <w:lang w:val="es-ES"/>
        </w:rPr>
        <w:t>2-7</w:t>
      </w:r>
      <w:r w:rsidRPr="00C57C3C">
        <w:rPr>
          <w:rtl/>
          <w:lang w:val="es-ES"/>
        </w:rPr>
        <w:tab/>
        <w:t>وفي 4 آب/أغسطس 1998، أدانت محكمة الجنايات صاحب البلاغ بتهمتي محاولة قتل، وحكمت عليه</w:t>
      </w:r>
      <w:r>
        <w:rPr>
          <w:rtl/>
          <w:lang w:val="es-ES"/>
        </w:rPr>
        <w:t xml:space="preserve"> </w:t>
      </w:r>
      <w:r w:rsidRPr="00C57C3C">
        <w:rPr>
          <w:rtl/>
          <w:lang w:val="es-ES"/>
        </w:rPr>
        <w:t>في 7 آب/أغسطس 1998</w:t>
      </w:r>
      <w:r w:rsidR="00C82D07">
        <w:rPr>
          <w:rFonts w:hint="cs"/>
          <w:rtl/>
          <w:lang w:val="es-ES"/>
        </w:rPr>
        <w:t xml:space="preserve"> بما مجموعه 18 سنة سجناً</w:t>
      </w:r>
      <w:r w:rsidRPr="00C57C3C">
        <w:rPr>
          <w:rtl/>
          <w:lang w:val="es-ES"/>
        </w:rPr>
        <w:t>. وقدم طعنا</w:t>
      </w:r>
      <w:r w:rsidR="00C82D07">
        <w:rPr>
          <w:rFonts w:hint="cs"/>
          <w:rtl/>
          <w:lang w:val="es-ES"/>
        </w:rPr>
        <w:t>ً</w:t>
      </w:r>
      <w:r w:rsidRPr="00C57C3C">
        <w:rPr>
          <w:rtl/>
          <w:lang w:val="es-ES"/>
        </w:rPr>
        <w:t xml:space="preserve"> أمام المحكمة العليا أثار فيه القضايا التالية التي اعتبرها انتهاكا لحقوقه </w:t>
      </w:r>
      <w:r w:rsidR="00C82D07">
        <w:rPr>
          <w:rFonts w:hint="cs"/>
          <w:rtl/>
          <w:lang w:val="es-ES"/>
        </w:rPr>
        <w:t xml:space="preserve">وفقاً لأصول </w:t>
      </w:r>
      <w:r w:rsidRPr="00C57C3C">
        <w:rPr>
          <w:rtl/>
          <w:lang w:val="es-ES"/>
        </w:rPr>
        <w:t>المحاكمات:</w:t>
      </w:r>
      <w:r w:rsidR="00C82D07">
        <w:rPr>
          <w:rFonts w:hint="cs"/>
          <w:rtl/>
          <w:lang w:val="es-ES"/>
        </w:rPr>
        <w:t xml:space="preserve">     </w:t>
      </w:r>
      <w:r w:rsidRPr="00C57C3C">
        <w:rPr>
          <w:rtl/>
          <w:lang w:val="es-ES"/>
        </w:rPr>
        <w:t xml:space="preserve"> </w:t>
      </w:r>
      <w:r w:rsidR="00C82D07">
        <w:rPr>
          <w:rFonts w:hint="cs"/>
          <w:rtl/>
          <w:lang w:val="es-ES"/>
        </w:rPr>
        <w:t>‘1‘</w:t>
      </w:r>
      <w:r w:rsidRPr="00C57C3C">
        <w:rPr>
          <w:rtl/>
          <w:lang w:val="es-ES"/>
        </w:rPr>
        <w:t xml:space="preserve"> أن الادعاء لم يثبت أنه كان ينوي قتل القاضي م. م. وابنته؛ </w:t>
      </w:r>
      <w:r w:rsidR="00C82D07">
        <w:rPr>
          <w:rFonts w:hint="cs"/>
          <w:rtl/>
          <w:lang w:val="es-ES"/>
        </w:rPr>
        <w:t>‘2‘</w:t>
      </w:r>
      <w:r w:rsidRPr="00C57C3C">
        <w:rPr>
          <w:rtl/>
          <w:lang w:val="es-ES"/>
        </w:rPr>
        <w:t xml:space="preserve"> وأن تقييم الأدلة التي قدمها شاهد الإثبات رقم 63 لم </w:t>
      </w:r>
      <w:r w:rsidR="00C82D07">
        <w:rPr>
          <w:rFonts w:hint="cs"/>
          <w:rtl/>
          <w:lang w:val="es-ES"/>
        </w:rPr>
        <w:t>ي</w:t>
      </w:r>
      <w:r w:rsidRPr="00C57C3C">
        <w:rPr>
          <w:rtl/>
          <w:lang w:val="es-ES"/>
        </w:rPr>
        <w:t>كن مضبوط</w:t>
      </w:r>
      <w:r w:rsidR="00C82D07">
        <w:rPr>
          <w:rFonts w:hint="cs"/>
          <w:rtl/>
          <w:lang w:val="es-ES"/>
        </w:rPr>
        <w:t>اً</w:t>
      </w:r>
      <w:r w:rsidRPr="00C57C3C">
        <w:rPr>
          <w:rtl/>
          <w:lang w:val="es-ES"/>
        </w:rPr>
        <w:t xml:space="preserve"> وصحيح</w:t>
      </w:r>
      <w:r w:rsidR="00C82D07">
        <w:rPr>
          <w:rFonts w:hint="cs"/>
          <w:rtl/>
          <w:lang w:val="es-ES"/>
        </w:rPr>
        <w:t>اً</w:t>
      </w:r>
      <w:r w:rsidRPr="00C57C3C">
        <w:rPr>
          <w:rtl/>
          <w:lang w:val="es-ES"/>
        </w:rPr>
        <w:t xml:space="preserve">، </w:t>
      </w:r>
      <w:r w:rsidR="00C82D07">
        <w:rPr>
          <w:rFonts w:hint="cs"/>
          <w:rtl/>
          <w:lang w:val="es-ES"/>
        </w:rPr>
        <w:t>لأ</w:t>
      </w:r>
      <w:r w:rsidRPr="00C57C3C">
        <w:rPr>
          <w:rtl/>
          <w:lang w:val="es-ES"/>
        </w:rPr>
        <w:t xml:space="preserve">ن الادعاء لم يعط التناقضات الواردة في إفادة هذا الشاهد أمام الشرطة الأهمية التي تستحقها؛ </w:t>
      </w:r>
      <w:r w:rsidR="00C82D07">
        <w:rPr>
          <w:rFonts w:hint="cs"/>
          <w:rtl/>
          <w:lang w:val="es-ES"/>
        </w:rPr>
        <w:t>‘3‘</w:t>
      </w:r>
      <w:r w:rsidRPr="00C57C3C">
        <w:rPr>
          <w:rtl/>
          <w:lang w:val="es-ES"/>
        </w:rPr>
        <w:t xml:space="preserve"> وعدم مصداقية الأخصائي الذي عينته محكمة الجنايات لتحليل المواد المتفجرة المستخدمة في الجريمة؛</w:t>
      </w:r>
      <w:r w:rsidR="00C82D07">
        <w:rPr>
          <w:rFonts w:hint="cs"/>
          <w:rtl/>
          <w:lang w:val="es-ES"/>
        </w:rPr>
        <w:t xml:space="preserve">         </w:t>
      </w:r>
      <w:r w:rsidRPr="00C57C3C">
        <w:rPr>
          <w:rtl/>
          <w:lang w:val="es-ES"/>
        </w:rPr>
        <w:t xml:space="preserve"> ‘4’ وعدم سماح الشرطة لصاحب البلاغ بفحص سيارة الضحية؛ </w:t>
      </w:r>
      <w:r w:rsidR="00C82D07">
        <w:rPr>
          <w:rFonts w:hint="cs"/>
          <w:rtl/>
          <w:lang w:val="es-ES"/>
        </w:rPr>
        <w:t>‘5‘</w:t>
      </w:r>
      <w:r w:rsidRPr="00C57C3C">
        <w:rPr>
          <w:rtl/>
          <w:lang w:val="es-ES"/>
        </w:rPr>
        <w:t xml:space="preserve"> وعدم مد صاحب البلاغ بالإفادة الأصلية لشاهد الإثبات رقم 63 قبل المحاكمة أو خلالها؛ </w:t>
      </w:r>
      <w:r w:rsidR="00C82D07">
        <w:rPr>
          <w:rFonts w:hint="cs"/>
          <w:rtl/>
          <w:lang w:val="es-ES"/>
        </w:rPr>
        <w:t>‘6‘</w:t>
      </w:r>
      <w:r w:rsidRPr="00C57C3C">
        <w:rPr>
          <w:rtl/>
          <w:lang w:val="es-ES"/>
        </w:rPr>
        <w:t xml:space="preserve"> وحجز ما دوَّنه صاحب البلاغ في مذكرته التي أعدها لاستجواب شهود الخصم</w:t>
      </w:r>
      <w:r w:rsidR="00C82D07">
        <w:rPr>
          <w:rFonts w:hint="cs"/>
          <w:rtl/>
          <w:lang w:val="es-ES"/>
        </w:rPr>
        <w:t>.</w:t>
      </w:r>
    </w:p>
    <w:p w:rsidR="00C57C3C" w:rsidRPr="00C57C3C" w:rsidRDefault="00C57C3C" w:rsidP="00070BC4">
      <w:pPr>
        <w:pStyle w:val="SingleTxtGA"/>
        <w:rPr>
          <w:lang w:val="es-ES"/>
        </w:rPr>
      </w:pPr>
      <w:r w:rsidRPr="00C57C3C">
        <w:rPr>
          <w:rtl/>
          <w:lang w:val="es-ES"/>
        </w:rPr>
        <w:t>2-8</w:t>
      </w:r>
      <w:r w:rsidRPr="00C57C3C">
        <w:rPr>
          <w:rtl/>
          <w:lang w:val="es-ES"/>
        </w:rPr>
        <w:tab/>
        <w:t>وفي 17 تشرين الثاني/نوفمبر 2000، رفضت المحكمة العليا استئناف صاحب البلاغ. وفيما يتعلق بالوصول إلى سيارة الضحية، أشارت المحكمة إلى أنه اعتُبر أن</w:t>
      </w:r>
      <w:r w:rsidR="00C82D07">
        <w:rPr>
          <w:rFonts w:hint="cs"/>
          <w:rtl/>
          <w:lang w:val="es-ES"/>
        </w:rPr>
        <w:t xml:space="preserve"> من غير الضروري إلى الاحتفاظ بها ضمن الأحراز،</w:t>
      </w:r>
      <w:r w:rsidRPr="00C57C3C">
        <w:rPr>
          <w:rtl/>
          <w:lang w:val="es-ES"/>
        </w:rPr>
        <w:t xml:space="preserve"> بما أنها لم تكن لازمة من الناحية الموضوعية لإثبات الجريمة ولا كانت ذات أهمية للمسالك المحتملة لدفاع المتهم. </w:t>
      </w:r>
      <w:r w:rsidR="00C82D07">
        <w:rPr>
          <w:rFonts w:hint="cs"/>
          <w:rtl/>
          <w:lang w:val="es-ES"/>
        </w:rPr>
        <w:t>و</w:t>
      </w:r>
      <w:r w:rsidRPr="00C57C3C">
        <w:rPr>
          <w:rtl/>
          <w:lang w:val="es-ES"/>
        </w:rPr>
        <w:t>بدلا</w:t>
      </w:r>
      <w:r w:rsidR="00C82D07">
        <w:rPr>
          <w:rFonts w:hint="cs"/>
          <w:rtl/>
          <w:lang w:val="es-ES"/>
        </w:rPr>
        <w:t>ً</w:t>
      </w:r>
      <w:r w:rsidRPr="00C57C3C">
        <w:rPr>
          <w:rtl/>
          <w:lang w:val="es-ES"/>
        </w:rPr>
        <w:t xml:space="preserve"> من ذلك، أشارت المحكمة إلى أن</w:t>
      </w:r>
      <w:r w:rsidR="00C82D07">
        <w:rPr>
          <w:rFonts w:hint="cs"/>
          <w:rtl/>
          <w:lang w:val="es-ES"/>
        </w:rPr>
        <w:t xml:space="preserve"> ما </w:t>
      </w:r>
      <w:r w:rsidRPr="00C57C3C">
        <w:rPr>
          <w:rtl/>
          <w:lang w:val="es-ES"/>
        </w:rPr>
        <w:t>كان ضروري</w:t>
      </w:r>
      <w:r w:rsidR="00C82D07">
        <w:rPr>
          <w:rFonts w:hint="cs"/>
          <w:rtl/>
          <w:lang w:val="es-ES"/>
        </w:rPr>
        <w:t xml:space="preserve">اً للتحقيق هو جمع شظايا القنبلة، الذي </w:t>
      </w:r>
      <w:r w:rsidRPr="00C57C3C">
        <w:rPr>
          <w:rtl/>
          <w:lang w:val="es-ES"/>
        </w:rPr>
        <w:t>من شأنه أن يوضح بجلاء كيفية صنعها والجهاز المتفجر المستخدم وقوتها وطريقة تفجيرها. وشددت المحكمة على أن صاحب البلاغ لم يسع إلى الحصول على مثل هذه الأدلة.</w:t>
      </w:r>
    </w:p>
    <w:p w:rsidR="00C57C3C" w:rsidRPr="00C57C3C" w:rsidRDefault="00C57C3C" w:rsidP="0086541A">
      <w:pPr>
        <w:pStyle w:val="SingleTxtGA"/>
        <w:rPr>
          <w:lang w:val="es-ES"/>
        </w:rPr>
      </w:pPr>
      <w:r w:rsidRPr="00C57C3C">
        <w:rPr>
          <w:rtl/>
          <w:lang w:val="es-ES"/>
        </w:rPr>
        <w:t>2-9</w:t>
      </w:r>
      <w:r w:rsidRPr="00C57C3C">
        <w:rPr>
          <w:rtl/>
          <w:lang w:val="es-ES"/>
        </w:rPr>
        <w:tab/>
        <w:t>وقدم صاحب البلاغ عدة طلبات إلى المحكمة الأوروبية لحقوق الإنسان تقرر أن ثلاثة منها غير مقبولة</w:t>
      </w:r>
      <w:r w:rsidR="00C82D07">
        <w:rPr>
          <w:vertAlign w:val="superscript"/>
          <w:rtl/>
          <w:lang w:val="es-ES"/>
        </w:rPr>
        <w:t>(</w:t>
      </w:r>
      <w:r w:rsidR="00C82D07">
        <w:rPr>
          <w:rStyle w:val="FootnoteReference"/>
          <w:rtl/>
          <w:lang w:val="es-ES"/>
        </w:rPr>
        <w:footnoteReference w:id="8"/>
      </w:r>
      <w:r w:rsidR="00C82D07">
        <w:rPr>
          <w:vertAlign w:val="superscript"/>
          <w:rtl/>
          <w:lang w:val="es-ES"/>
        </w:rPr>
        <w:t>)</w:t>
      </w:r>
      <w:r w:rsidRPr="00C57C3C">
        <w:rPr>
          <w:rtl/>
          <w:lang w:val="es-ES"/>
        </w:rPr>
        <w:t>. وفي 7 كانون الثاني/يناير 2010، اعتمدت المحكمة الأوروبية قرارا</w:t>
      </w:r>
      <w:r w:rsidR="00C82D07">
        <w:rPr>
          <w:rFonts w:hint="cs"/>
          <w:rtl/>
          <w:lang w:val="es-ES"/>
        </w:rPr>
        <w:t>ً</w:t>
      </w:r>
      <w:r w:rsidR="00C82D07">
        <w:rPr>
          <w:vertAlign w:val="superscript"/>
          <w:rtl/>
          <w:lang w:val="es-ES"/>
        </w:rPr>
        <w:t>(</w:t>
      </w:r>
      <w:r w:rsidR="00C82D07">
        <w:rPr>
          <w:rStyle w:val="FootnoteReference"/>
          <w:rtl/>
          <w:lang w:val="es-ES"/>
        </w:rPr>
        <w:footnoteReference w:id="9"/>
      </w:r>
      <w:r w:rsidR="00C82D07">
        <w:rPr>
          <w:vertAlign w:val="superscript"/>
          <w:rtl/>
          <w:lang w:val="es-ES"/>
        </w:rPr>
        <w:t>)</w:t>
      </w:r>
      <w:r w:rsidR="00C82D07">
        <w:rPr>
          <w:rFonts w:hint="cs"/>
          <w:rtl/>
          <w:lang w:val="es-ES"/>
        </w:rPr>
        <w:t xml:space="preserve"> </w:t>
      </w:r>
      <w:r w:rsidRPr="00C57C3C">
        <w:rPr>
          <w:rtl/>
          <w:lang w:val="es-ES"/>
        </w:rPr>
        <w:t>خلصت فيه إلى أن الدولة الطرف انتهكت المادة 3 من الاتفاقية الأوروبية لحماية حقوق الإنسان والحريات الأساسية</w:t>
      </w:r>
      <w:r w:rsidR="00C82D07">
        <w:rPr>
          <w:vertAlign w:val="superscript"/>
          <w:rtl/>
          <w:lang w:val="es-ES"/>
        </w:rPr>
        <w:t>(</w:t>
      </w:r>
      <w:r w:rsidR="00C82D07">
        <w:rPr>
          <w:rStyle w:val="FootnoteReference"/>
          <w:rtl/>
          <w:lang w:val="es-ES"/>
        </w:rPr>
        <w:footnoteReference w:id="10"/>
      </w:r>
      <w:r w:rsidR="00C82D07">
        <w:rPr>
          <w:vertAlign w:val="superscript"/>
          <w:rtl/>
          <w:lang w:val="es-ES"/>
        </w:rPr>
        <w:t>)</w:t>
      </w:r>
      <w:r w:rsidRPr="00C57C3C">
        <w:rPr>
          <w:rtl/>
          <w:lang w:val="es-ES"/>
        </w:rPr>
        <w:t xml:space="preserve">، فيما يتعلق بظروف احتجاز صاحب البلاغ الذي أودع رهن الحبس الانفرادي في الفترة بين 21 أيلول/سبتمبر 2003 و7 تشرين الثاني/نوفمبر 2003 لعدم عودته إلى سجن نيقوسيا المركزي </w:t>
      </w:r>
      <w:r w:rsidR="0086541A">
        <w:rPr>
          <w:rFonts w:hint="cs"/>
          <w:rtl/>
          <w:lang w:val="es-ES"/>
        </w:rPr>
        <w:t xml:space="preserve">بعد انقضاء سراح مدته </w:t>
      </w:r>
      <w:r w:rsidRPr="00C57C3C">
        <w:rPr>
          <w:rtl/>
          <w:lang w:val="es-ES"/>
        </w:rPr>
        <w:t>24 ساعة.</w:t>
      </w:r>
    </w:p>
    <w:p w:rsidR="00C57C3C" w:rsidRPr="00C57C3C" w:rsidRDefault="00C57C3C" w:rsidP="0086541A">
      <w:pPr>
        <w:pStyle w:val="H23GA"/>
        <w:rPr>
          <w:lang w:val="es-ES"/>
        </w:rPr>
      </w:pPr>
      <w:r w:rsidRPr="00C57C3C">
        <w:rPr>
          <w:rtl/>
          <w:lang w:val="es-ES"/>
        </w:rPr>
        <w:tab/>
      </w:r>
      <w:r w:rsidRPr="00C57C3C">
        <w:rPr>
          <w:rtl/>
          <w:lang w:val="es-ES"/>
        </w:rPr>
        <w:tab/>
        <w:t>الشكوى</w:t>
      </w:r>
    </w:p>
    <w:p w:rsidR="00C57C3C" w:rsidRPr="00C57C3C" w:rsidRDefault="00C57C3C" w:rsidP="0086541A">
      <w:pPr>
        <w:pStyle w:val="SingleTxtGA"/>
        <w:rPr>
          <w:lang w:val="es-ES"/>
        </w:rPr>
      </w:pPr>
      <w:r w:rsidRPr="0086541A">
        <w:rPr>
          <w:spacing w:val="-2"/>
          <w:rtl/>
          <w:lang w:val="es-ES"/>
        </w:rPr>
        <w:t>3-1</w:t>
      </w:r>
      <w:r w:rsidRPr="0086541A">
        <w:rPr>
          <w:spacing w:val="-2"/>
          <w:rtl/>
          <w:lang w:val="es-ES"/>
        </w:rPr>
        <w:tab/>
        <w:t>يدعي صاحب البلاغ أن</w:t>
      </w:r>
      <w:r w:rsidR="0086541A" w:rsidRPr="0086541A">
        <w:rPr>
          <w:rFonts w:hint="cs"/>
          <w:spacing w:val="-2"/>
          <w:rtl/>
          <w:lang w:val="es-ES"/>
        </w:rPr>
        <w:t>ه</w:t>
      </w:r>
      <w:r w:rsidRPr="0086541A">
        <w:rPr>
          <w:spacing w:val="-2"/>
          <w:rtl/>
          <w:lang w:val="es-ES"/>
        </w:rPr>
        <w:t xml:space="preserve"> حوكم و</w:t>
      </w:r>
      <w:r w:rsidR="0086541A" w:rsidRPr="0086541A">
        <w:rPr>
          <w:rFonts w:hint="cs"/>
          <w:spacing w:val="-2"/>
          <w:rtl/>
          <w:lang w:val="es-ES"/>
        </w:rPr>
        <w:t xml:space="preserve">عوقب ﺑ </w:t>
      </w:r>
      <w:r w:rsidRPr="0086541A">
        <w:rPr>
          <w:spacing w:val="-2"/>
          <w:rtl/>
          <w:lang w:val="es-ES"/>
        </w:rPr>
        <w:t>18 سنة سجنا</w:t>
      </w:r>
      <w:r w:rsidR="0086541A" w:rsidRPr="0086541A">
        <w:rPr>
          <w:rFonts w:hint="cs"/>
          <w:spacing w:val="-2"/>
          <w:rtl/>
          <w:lang w:val="es-ES"/>
        </w:rPr>
        <w:t>ً</w:t>
      </w:r>
      <w:r w:rsidRPr="0086541A">
        <w:rPr>
          <w:spacing w:val="-2"/>
          <w:rtl/>
          <w:lang w:val="es-ES"/>
        </w:rPr>
        <w:t xml:space="preserve"> بصورة غير قانونية تنتهك المادة 14 من العهد. </w:t>
      </w:r>
      <w:r w:rsidR="0086541A" w:rsidRPr="0086541A">
        <w:rPr>
          <w:rFonts w:hint="cs"/>
          <w:spacing w:val="-2"/>
          <w:rtl/>
          <w:lang w:val="es-ES"/>
        </w:rPr>
        <w:t>و</w:t>
      </w:r>
      <w:r w:rsidRPr="0086541A">
        <w:rPr>
          <w:spacing w:val="-2"/>
          <w:rtl/>
          <w:lang w:val="es-ES"/>
        </w:rPr>
        <w:t xml:space="preserve">يزعم </w:t>
      </w:r>
      <w:r w:rsidR="0086541A" w:rsidRPr="0086541A">
        <w:rPr>
          <w:rFonts w:hint="cs"/>
          <w:spacing w:val="-2"/>
          <w:rtl/>
          <w:lang w:val="es-ES"/>
        </w:rPr>
        <w:t xml:space="preserve">أولاً </w:t>
      </w:r>
      <w:r w:rsidRPr="0086541A">
        <w:rPr>
          <w:spacing w:val="-2"/>
          <w:rtl/>
          <w:lang w:val="es-ES"/>
        </w:rPr>
        <w:t>أنه لاحظ بعد قراءة محاضر المداولات في محكمة جنايات ليماسول أنه كان ينقصها عدد من الصفحات</w:t>
      </w:r>
      <w:r w:rsidR="0086541A" w:rsidRPr="0086541A">
        <w:rPr>
          <w:spacing w:val="-2"/>
          <w:vertAlign w:val="superscript"/>
          <w:rtl/>
          <w:lang w:val="es-ES"/>
        </w:rPr>
        <w:t>(</w:t>
      </w:r>
      <w:r w:rsidR="0086541A" w:rsidRPr="0086541A">
        <w:rPr>
          <w:rStyle w:val="FootnoteReference"/>
          <w:spacing w:val="-2"/>
          <w:rtl/>
          <w:lang w:val="es-ES"/>
        </w:rPr>
        <w:footnoteReference w:id="11"/>
      </w:r>
      <w:r w:rsidR="0086541A" w:rsidRPr="0086541A">
        <w:rPr>
          <w:spacing w:val="-2"/>
          <w:vertAlign w:val="superscript"/>
          <w:rtl/>
          <w:lang w:val="es-ES"/>
        </w:rPr>
        <w:t>)</w:t>
      </w:r>
      <w:r w:rsidRPr="0086541A">
        <w:rPr>
          <w:spacing w:val="-2"/>
          <w:rtl/>
          <w:lang w:val="es-ES"/>
        </w:rPr>
        <w:t xml:space="preserve">. وفي 8 تشرين الثاني/نوفمبر 2000، كتب صاحب البلاغ إلى رئيس المحكمة العليا </w:t>
      </w:r>
      <w:r w:rsidR="0086541A" w:rsidRPr="0086541A">
        <w:rPr>
          <w:rFonts w:hint="cs"/>
          <w:spacing w:val="-2"/>
          <w:rtl/>
          <w:lang w:val="es-ES"/>
        </w:rPr>
        <w:t xml:space="preserve">لتوجيه نظره </w:t>
      </w:r>
      <w:r w:rsidRPr="0086541A">
        <w:rPr>
          <w:spacing w:val="-2"/>
          <w:rtl/>
          <w:lang w:val="es-ES"/>
        </w:rPr>
        <w:t>إلى المسألة. ويدعي</w:t>
      </w:r>
      <w:r w:rsidRPr="00C57C3C">
        <w:rPr>
          <w:rtl/>
          <w:lang w:val="es-ES"/>
        </w:rPr>
        <w:t xml:space="preserve"> صاحب البلاغ أنه لم يتلق ردا</w:t>
      </w:r>
      <w:r w:rsidR="0086541A">
        <w:rPr>
          <w:rFonts w:hint="cs"/>
          <w:rtl/>
          <w:lang w:val="es-ES"/>
        </w:rPr>
        <w:t>ً</w:t>
      </w:r>
      <w:r w:rsidRPr="00C57C3C">
        <w:rPr>
          <w:rtl/>
          <w:lang w:val="es-ES"/>
        </w:rPr>
        <w:t xml:space="preserve"> من أمين سجل المحكمة العليا إلا في آذار/مارس 2001 أنكر فيه فقدان الصفحات من سجلات المحكمة. وبما أن المحكمة العليا </w:t>
      </w:r>
      <w:r w:rsidR="0086541A">
        <w:rPr>
          <w:rFonts w:hint="cs"/>
          <w:rtl/>
          <w:lang w:val="es-ES"/>
        </w:rPr>
        <w:t>ر</w:t>
      </w:r>
      <w:r w:rsidR="00070BC4">
        <w:rPr>
          <w:rFonts w:hint="cs"/>
          <w:rtl/>
          <w:lang w:val="es-ES"/>
        </w:rPr>
        <w:t>ف</w:t>
      </w:r>
      <w:r w:rsidR="0086541A">
        <w:rPr>
          <w:rFonts w:hint="cs"/>
          <w:rtl/>
          <w:lang w:val="es-ES"/>
        </w:rPr>
        <w:t xml:space="preserve">ضت طعن صاحب البلاغ </w:t>
      </w:r>
      <w:r w:rsidRPr="00C57C3C">
        <w:rPr>
          <w:rtl/>
          <w:lang w:val="es-ES"/>
        </w:rPr>
        <w:t xml:space="preserve">في 17 تشرين الثاني/نوفمبر 2000، </w:t>
      </w:r>
      <w:r w:rsidR="0086541A">
        <w:rPr>
          <w:rFonts w:hint="cs"/>
          <w:rtl/>
          <w:lang w:val="es-ES"/>
        </w:rPr>
        <w:t xml:space="preserve">فإنه </w:t>
      </w:r>
      <w:r w:rsidRPr="00C57C3C">
        <w:rPr>
          <w:rtl/>
          <w:lang w:val="es-ES"/>
        </w:rPr>
        <w:t>يدعي أن لم يكن من المم</w:t>
      </w:r>
      <w:r w:rsidR="0086541A">
        <w:rPr>
          <w:rFonts w:hint="cs"/>
          <w:rtl/>
          <w:lang w:val="es-ES"/>
        </w:rPr>
        <w:t>ـ</w:t>
      </w:r>
      <w:r w:rsidRPr="00C57C3C">
        <w:rPr>
          <w:rtl/>
          <w:lang w:val="es-ES"/>
        </w:rPr>
        <w:t>كن التحقيق في المسألة ولا أن تنظر فيها محكمة.</w:t>
      </w:r>
    </w:p>
    <w:p w:rsidR="00C57C3C" w:rsidRPr="00F13EE4" w:rsidRDefault="00C57C3C" w:rsidP="00070BC4">
      <w:pPr>
        <w:pStyle w:val="SingleTxtGA"/>
        <w:rPr>
          <w:rFonts w:hint="cs"/>
          <w:spacing w:val="-2"/>
          <w:lang w:val="es-ES"/>
        </w:rPr>
      </w:pPr>
      <w:r w:rsidRPr="00F13EE4">
        <w:rPr>
          <w:spacing w:val="-2"/>
          <w:rtl/>
          <w:lang w:val="es-ES"/>
        </w:rPr>
        <w:t>3-2</w:t>
      </w:r>
      <w:r w:rsidRPr="00F13EE4">
        <w:rPr>
          <w:spacing w:val="-2"/>
          <w:rtl/>
          <w:lang w:val="es-ES"/>
        </w:rPr>
        <w:tab/>
        <w:t xml:space="preserve">ويدعي صاحب البلاغ كذلك أن محكمة جنايات ليماسول حرمته من الحق في المساعدة القانونية، </w:t>
      </w:r>
      <w:r w:rsidR="0086541A" w:rsidRPr="00F13EE4">
        <w:rPr>
          <w:rFonts w:hint="cs"/>
          <w:spacing w:val="-2"/>
          <w:rtl/>
          <w:lang w:val="es-ES"/>
        </w:rPr>
        <w:t>انتهاكاً لل</w:t>
      </w:r>
      <w:r w:rsidRPr="00F13EE4">
        <w:rPr>
          <w:spacing w:val="-2"/>
          <w:rtl/>
          <w:lang w:val="es-ES"/>
        </w:rPr>
        <w:t>مادة 14</w:t>
      </w:r>
      <w:r w:rsidR="0086541A" w:rsidRPr="00F13EE4">
        <w:rPr>
          <w:rFonts w:hint="cs"/>
          <w:spacing w:val="-2"/>
          <w:rtl/>
          <w:lang w:val="es-ES"/>
        </w:rPr>
        <w:t>‘3‘</w:t>
      </w:r>
      <w:r w:rsidRPr="00F13EE4">
        <w:rPr>
          <w:spacing w:val="-2"/>
          <w:rtl/>
          <w:lang w:val="es-ES"/>
        </w:rPr>
        <w:t xml:space="preserve">(د) من العهد. ويدعي أن نقابة المحامين رشحت، </w:t>
      </w:r>
      <w:r w:rsidR="0086541A" w:rsidRPr="00F13EE4">
        <w:rPr>
          <w:rFonts w:hint="cs"/>
          <w:spacing w:val="-2"/>
          <w:rtl/>
          <w:lang w:val="es-ES"/>
        </w:rPr>
        <w:t xml:space="preserve">بناء على </w:t>
      </w:r>
      <w:r w:rsidRPr="00F13EE4">
        <w:rPr>
          <w:spacing w:val="-2"/>
          <w:rtl/>
          <w:lang w:val="es-ES"/>
        </w:rPr>
        <w:t xml:space="preserve">طلب محكمة الجنايات، محاميين أبديا استعدادهما لتمثيله؛ بيد أن المحكمة، حسب صاحب البلاغ، </w:t>
      </w:r>
      <w:r w:rsidR="0086541A" w:rsidRPr="00F13EE4">
        <w:rPr>
          <w:rFonts w:hint="cs"/>
          <w:spacing w:val="-2"/>
          <w:rtl/>
          <w:lang w:val="es-ES"/>
        </w:rPr>
        <w:t xml:space="preserve">رفضت </w:t>
      </w:r>
      <w:r w:rsidRPr="00F13EE4">
        <w:rPr>
          <w:spacing w:val="-2"/>
          <w:rtl/>
          <w:lang w:val="es-ES"/>
        </w:rPr>
        <w:t xml:space="preserve">المحامي الأول </w:t>
      </w:r>
      <w:r w:rsidR="00070BC4">
        <w:rPr>
          <w:rFonts w:hint="cs"/>
          <w:spacing w:val="-2"/>
          <w:rtl/>
          <w:lang w:val="es-ES"/>
        </w:rPr>
        <w:t>ب</w:t>
      </w:r>
      <w:r w:rsidR="0086541A" w:rsidRPr="00F13EE4">
        <w:rPr>
          <w:rFonts w:hint="cs"/>
          <w:spacing w:val="-2"/>
          <w:rtl/>
          <w:lang w:val="es-ES"/>
        </w:rPr>
        <w:t xml:space="preserve">دعوى </w:t>
      </w:r>
      <w:r w:rsidRPr="00F13EE4">
        <w:rPr>
          <w:spacing w:val="-2"/>
          <w:rtl/>
          <w:lang w:val="es-ES"/>
        </w:rPr>
        <w:t>أن سنه صغير جدا</w:t>
      </w:r>
      <w:r w:rsidR="0086541A" w:rsidRPr="00F13EE4">
        <w:rPr>
          <w:rFonts w:hint="cs"/>
          <w:spacing w:val="-2"/>
          <w:rtl/>
          <w:lang w:val="es-ES"/>
        </w:rPr>
        <w:t>ً</w:t>
      </w:r>
      <w:r w:rsidRPr="00F13EE4">
        <w:rPr>
          <w:spacing w:val="-2"/>
          <w:rtl/>
          <w:lang w:val="es-ES"/>
        </w:rPr>
        <w:t xml:space="preserve">، في حين </w:t>
      </w:r>
      <w:r w:rsidR="0086541A" w:rsidRPr="00F13EE4">
        <w:rPr>
          <w:rFonts w:hint="cs"/>
          <w:spacing w:val="-2"/>
          <w:rtl/>
          <w:lang w:val="es-ES"/>
        </w:rPr>
        <w:t>أن الثاني وقع تحت تأثير التقارير الإعلامية عن القضية</w:t>
      </w:r>
      <w:r w:rsidR="0086541A" w:rsidRPr="00F13EE4">
        <w:rPr>
          <w:spacing w:val="-2"/>
          <w:vertAlign w:val="superscript"/>
          <w:rtl/>
          <w:lang w:val="es-ES"/>
        </w:rPr>
        <w:t>(</w:t>
      </w:r>
      <w:r w:rsidR="0086541A" w:rsidRPr="00F13EE4">
        <w:rPr>
          <w:rStyle w:val="FootnoteReference"/>
          <w:spacing w:val="-2"/>
          <w:rtl/>
          <w:lang w:val="es-ES"/>
        </w:rPr>
        <w:footnoteReference w:id="12"/>
      </w:r>
      <w:r w:rsidR="0086541A" w:rsidRPr="00F13EE4">
        <w:rPr>
          <w:spacing w:val="-2"/>
          <w:vertAlign w:val="superscript"/>
          <w:rtl/>
          <w:lang w:val="es-ES"/>
        </w:rPr>
        <w:t>)</w:t>
      </w:r>
      <w:r w:rsidR="00070BC4">
        <w:rPr>
          <w:rFonts w:hint="cs"/>
          <w:spacing w:val="-2"/>
          <w:rtl/>
          <w:lang w:val="es-ES"/>
        </w:rPr>
        <w:t xml:space="preserve">، حسب ذكره، </w:t>
      </w:r>
      <w:r w:rsidR="0086541A" w:rsidRPr="00F13EE4">
        <w:rPr>
          <w:rFonts w:hint="cs"/>
          <w:spacing w:val="-2"/>
          <w:rtl/>
          <w:lang w:val="es-ES"/>
        </w:rPr>
        <w:t>فطلب منه الاعتراف بأنه مذنب في تهمة محاولة القتل.</w:t>
      </w:r>
    </w:p>
    <w:p w:rsidR="00C57C3C" w:rsidRPr="00C57C3C" w:rsidRDefault="00C57C3C" w:rsidP="00F13EE4">
      <w:pPr>
        <w:pStyle w:val="SingleTxtGA"/>
        <w:rPr>
          <w:lang w:val="es-ES"/>
        </w:rPr>
      </w:pPr>
      <w:r w:rsidRPr="00C57C3C">
        <w:rPr>
          <w:rtl/>
          <w:lang w:val="es-ES"/>
        </w:rPr>
        <w:t>3-3</w:t>
      </w:r>
      <w:r w:rsidRPr="00C57C3C">
        <w:rPr>
          <w:rtl/>
          <w:lang w:val="es-ES"/>
        </w:rPr>
        <w:tab/>
        <w:t xml:space="preserve">ويدعي صاحب البلاغ </w:t>
      </w:r>
      <w:r>
        <w:rPr>
          <w:rtl/>
          <w:lang w:val="es-ES"/>
        </w:rPr>
        <w:t>أيضاً</w:t>
      </w:r>
      <w:r w:rsidRPr="00C57C3C">
        <w:rPr>
          <w:rtl/>
          <w:lang w:val="es-ES"/>
        </w:rPr>
        <w:t xml:space="preserve"> أن رفض محكمة جنايات ليماسول إطلاق سراحه بكفالة، لإعداد دفاعه </w:t>
      </w:r>
      <w:r w:rsidR="00F13EE4">
        <w:rPr>
          <w:rFonts w:hint="cs"/>
          <w:rtl/>
          <w:lang w:val="es-ES"/>
        </w:rPr>
        <w:t xml:space="preserve">بكفاية، انتهاك للمادة </w:t>
      </w:r>
      <w:r w:rsidRPr="00C57C3C">
        <w:rPr>
          <w:rtl/>
          <w:lang w:val="es-ES"/>
        </w:rPr>
        <w:t>14</w:t>
      </w:r>
      <w:r w:rsidR="00F13EE4">
        <w:rPr>
          <w:rFonts w:hint="cs"/>
          <w:rtl/>
          <w:lang w:val="es-ES"/>
        </w:rPr>
        <w:t>‘3‘</w:t>
      </w:r>
      <w:r w:rsidRPr="00C57C3C">
        <w:rPr>
          <w:rtl/>
          <w:lang w:val="es-ES"/>
        </w:rPr>
        <w:t>(ب) من العهد.</w:t>
      </w:r>
    </w:p>
    <w:p w:rsidR="00C57C3C" w:rsidRPr="00C57C3C" w:rsidRDefault="00C57C3C" w:rsidP="00F13EE4">
      <w:pPr>
        <w:pStyle w:val="SingleTxtGA"/>
        <w:rPr>
          <w:lang w:val="es-ES"/>
        </w:rPr>
      </w:pPr>
      <w:r w:rsidRPr="00C57C3C">
        <w:rPr>
          <w:rtl/>
          <w:lang w:val="es-ES"/>
        </w:rPr>
        <w:t>3-4</w:t>
      </w:r>
      <w:r w:rsidRPr="00C57C3C">
        <w:rPr>
          <w:rtl/>
          <w:lang w:val="es-ES"/>
        </w:rPr>
        <w:tab/>
        <w:t xml:space="preserve">ويقول صاحب البلاغ </w:t>
      </w:r>
      <w:r>
        <w:rPr>
          <w:rtl/>
          <w:lang w:val="es-ES"/>
        </w:rPr>
        <w:t>أيضاً</w:t>
      </w:r>
      <w:r w:rsidRPr="00C57C3C">
        <w:rPr>
          <w:rtl/>
          <w:lang w:val="es-ES"/>
        </w:rPr>
        <w:t xml:space="preserve"> إنه أُرغ</w:t>
      </w:r>
      <w:r w:rsidR="00F13EE4">
        <w:rPr>
          <w:rFonts w:hint="cs"/>
          <w:rtl/>
          <w:lang w:val="es-ES"/>
        </w:rPr>
        <w:t>ـ</w:t>
      </w:r>
      <w:r w:rsidRPr="00C57C3C">
        <w:rPr>
          <w:rtl/>
          <w:lang w:val="es-ES"/>
        </w:rPr>
        <w:t>م على قبول إفادة شاهد الإثبات رقم 63 الذي شكلت شهادته لوحدها أساس إدانت</w:t>
      </w:r>
      <w:r w:rsidR="00F13EE4">
        <w:rPr>
          <w:rFonts w:hint="cs"/>
          <w:rtl/>
          <w:lang w:val="es-ES"/>
        </w:rPr>
        <w:t>ـ</w:t>
      </w:r>
      <w:r w:rsidRPr="00C57C3C">
        <w:rPr>
          <w:rtl/>
          <w:lang w:val="es-ES"/>
        </w:rPr>
        <w:t xml:space="preserve">ه، وذلك </w:t>
      </w:r>
      <w:r w:rsidR="00F13EE4">
        <w:rPr>
          <w:rFonts w:hint="cs"/>
          <w:rtl/>
          <w:lang w:val="es-ES"/>
        </w:rPr>
        <w:t>انتهاكاً ل</w:t>
      </w:r>
      <w:r w:rsidRPr="00C57C3C">
        <w:rPr>
          <w:rtl/>
          <w:lang w:val="es-ES"/>
        </w:rPr>
        <w:t xml:space="preserve">حقوقه المكفولة بموجب </w:t>
      </w:r>
      <w:r w:rsidR="00F13EE4">
        <w:rPr>
          <w:rFonts w:hint="cs"/>
          <w:rtl/>
          <w:lang w:val="es-ES"/>
        </w:rPr>
        <w:t xml:space="preserve">        </w:t>
      </w:r>
      <w:r w:rsidRPr="00C57C3C">
        <w:rPr>
          <w:rtl/>
          <w:lang w:val="es-ES"/>
        </w:rPr>
        <w:t>المادة 14</w:t>
      </w:r>
      <w:r w:rsidR="00F13EE4">
        <w:rPr>
          <w:rFonts w:hint="cs"/>
          <w:rtl/>
          <w:lang w:val="es-ES"/>
        </w:rPr>
        <w:t>‘3‘</w:t>
      </w:r>
      <w:r w:rsidRPr="00C57C3C">
        <w:rPr>
          <w:rtl/>
          <w:lang w:val="es-ES"/>
        </w:rPr>
        <w:t>(ب) من العهد. ويزعم أن الادعاء عقد صفقة مع هذا الشاهد، حيث طلب منه الإدلاء بشهادة ضد صاحب البلاغ مقابل سحب عدد من التهم الموجهة إليه كشريك في نفس القضية.</w:t>
      </w:r>
    </w:p>
    <w:p w:rsidR="00C57C3C" w:rsidRPr="00C57C3C" w:rsidRDefault="00C57C3C" w:rsidP="00F13EE4">
      <w:pPr>
        <w:pStyle w:val="SingleTxtGA"/>
        <w:rPr>
          <w:lang w:val="es-ES"/>
        </w:rPr>
      </w:pPr>
      <w:r w:rsidRPr="00C57C3C">
        <w:rPr>
          <w:rtl/>
          <w:lang w:val="es-ES"/>
        </w:rPr>
        <w:t>3-5</w:t>
      </w:r>
      <w:r w:rsidRPr="00C57C3C">
        <w:rPr>
          <w:rtl/>
          <w:lang w:val="es-ES"/>
        </w:rPr>
        <w:tab/>
        <w:t xml:space="preserve">ويدعي صاحب البلاغ </w:t>
      </w:r>
      <w:r>
        <w:rPr>
          <w:rtl/>
          <w:lang w:val="es-ES"/>
        </w:rPr>
        <w:t>أيضاً</w:t>
      </w:r>
      <w:r w:rsidRPr="00C57C3C">
        <w:rPr>
          <w:rtl/>
          <w:lang w:val="es-ES"/>
        </w:rPr>
        <w:t xml:space="preserve"> أن الشرطة حرمته من إمكانية زيارة مسرح الجريمة وفحصه، وتحديدا</w:t>
      </w:r>
      <w:r w:rsidR="00F13EE4">
        <w:rPr>
          <w:rFonts w:hint="cs"/>
          <w:rtl/>
          <w:lang w:val="es-ES"/>
        </w:rPr>
        <w:t>ً</w:t>
      </w:r>
      <w:r w:rsidRPr="00C57C3C">
        <w:rPr>
          <w:rtl/>
          <w:lang w:val="es-ES"/>
        </w:rPr>
        <w:t xml:space="preserve"> سيارة الضحية، حيث وضعت القنبلة. ويعتبر أن هذا الرفض يصل إلى حد انتهاك حقوقه</w:t>
      </w:r>
      <w:r>
        <w:rPr>
          <w:rtl/>
          <w:lang w:val="es-ES"/>
        </w:rPr>
        <w:t xml:space="preserve"> </w:t>
      </w:r>
      <w:r w:rsidRPr="00C57C3C">
        <w:rPr>
          <w:rtl/>
          <w:lang w:val="es-ES"/>
        </w:rPr>
        <w:t>المكفولة بموجب المادة 14</w:t>
      </w:r>
      <w:r w:rsidR="00F13EE4">
        <w:rPr>
          <w:rFonts w:hint="cs"/>
          <w:rtl/>
          <w:lang w:val="es-ES"/>
        </w:rPr>
        <w:t>‘3‘(ﻫ)</w:t>
      </w:r>
      <w:r w:rsidRPr="00C57C3C">
        <w:rPr>
          <w:rtl/>
          <w:lang w:val="es-ES"/>
        </w:rPr>
        <w:t xml:space="preserve"> من العهد.</w:t>
      </w:r>
    </w:p>
    <w:p w:rsidR="00C57C3C" w:rsidRPr="00C57C3C" w:rsidRDefault="00C57C3C" w:rsidP="00F13EE4">
      <w:pPr>
        <w:pStyle w:val="SingleTxtGA"/>
        <w:rPr>
          <w:lang w:val="es-ES"/>
        </w:rPr>
      </w:pPr>
      <w:r w:rsidRPr="00C57C3C">
        <w:rPr>
          <w:rtl/>
          <w:lang w:val="es-ES"/>
        </w:rPr>
        <w:t>3-6</w:t>
      </w:r>
      <w:r w:rsidRPr="00C57C3C">
        <w:rPr>
          <w:rtl/>
          <w:lang w:val="es-ES"/>
        </w:rPr>
        <w:tab/>
        <w:t>وأخيرا</w:t>
      </w:r>
      <w:r w:rsidR="00F13EE4">
        <w:rPr>
          <w:rFonts w:hint="cs"/>
          <w:rtl/>
          <w:lang w:val="es-ES"/>
        </w:rPr>
        <w:t>ً</w:t>
      </w:r>
      <w:r w:rsidRPr="00C57C3C">
        <w:rPr>
          <w:rtl/>
          <w:lang w:val="es-ES"/>
        </w:rPr>
        <w:t>، يقول صاحب البلاغ إن محكمة الجنايات حرمته من حقه في أن تشهد صديقته الرومانية كشاهد نفي لصالحه. ويدعي بأنه جرى ترحيلها قسرا</w:t>
      </w:r>
      <w:r w:rsidR="00F13EE4">
        <w:rPr>
          <w:rFonts w:hint="cs"/>
          <w:rtl/>
          <w:lang w:val="es-ES"/>
        </w:rPr>
        <w:t>ً</w:t>
      </w:r>
      <w:r w:rsidRPr="00C57C3C">
        <w:rPr>
          <w:rtl/>
          <w:lang w:val="es-ES"/>
        </w:rPr>
        <w:t xml:space="preserve"> من قبرص، لكونها مواطنة أجنبية، وسجل اسمها في "قائمة الممنوعين من </w:t>
      </w:r>
      <w:r w:rsidR="00F13EE4">
        <w:rPr>
          <w:rFonts w:hint="cs"/>
          <w:rtl/>
          <w:lang w:val="es-ES"/>
        </w:rPr>
        <w:t>دخول البلاد</w:t>
      </w:r>
      <w:r w:rsidRPr="00C57C3C">
        <w:rPr>
          <w:rtl/>
          <w:lang w:val="es-ES"/>
        </w:rPr>
        <w:t>". ويدعي صاحب البلاغ أن هذا أدى إلى انتهاك حقوقه</w:t>
      </w:r>
      <w:r>
        <w:rPr>
          <w:rtl/>
          <w:lang w:val="es-ES"/>
        </w:rPr>
        <w:t xml:space="preserve"> </w:t>
      </w:r>
      <w:r w:rsidRPr="00C57C3C">
        <w:rPr>
          <w:rtl/>
          <w:lang w:val="es-ES"/>
        </w:rPr>
        <w:t xml:space="preserve">المكفولة بموجب المادة </w:t>
      </w:r>
      <w:r w:rsidR="00F13EE4" w:rsidRPr="00C57C3C">
        <w:rPr>
          <w:rtl/>
          <w:lang w:val="es-ES"/>
        </w:rPr>
        <w:t>14</w:t>
      </w:r>
      <w:r w:rsidR="00F13EE4">
        <w:rPr>
          <w:rFonts w:hint="cs"/>
          <w:rtl/>
          <w:lang w:val="es-ES"/>
        </w:rPr>
        <w:t xml:space="preserve">‘3‘(ﻫ) </w:t>
      </w:r>
      <w:r w:rsidRPr="00C57C3C">
        <w:rPr>
          <w:rtl/>
          <w:lang w:val="es-ES"/>
        </w:rPr>
        <w:t>من العهد.</w:t>
      </w:r>
    </w:p>
    <w:p w:rsidR="00C57C3C" w:rsidRPr="00C57C3C" w:rsidRDefault="00C57C3C" w:rsidP="00F13EE4">
      <w:pPr>
        <w:pStyle w:val="H23GA"/>
        <w:rPr>
          <w:lang w:val="es-ES"/>
        </w:rPr>
      </w:pPr>
      <w:r w:rsidRPr="00C57C3C">
        <w:rPr>
          <w:rtl/>
          <w:lang w:val="es-ES"/>
        </w:rPr>
        <w:tab/>
      </w:r>
      <w:r w:rsidRPr="00C57C3C">
        <w:rPr>
          <w:rtl/>
          <w:lang w:val="es-ES"/>
        </w:rPr>
        <w:tab/>
        <w:t>ملاحظات الدولة الطرف بشأن المقبولية والأسس الموضوعية</w:t>
      </w:r>
    </w:p>
    <w:p w:rsidR="00C57C3C" w:rsidRPr="00F13EE4" w:rsidRDefault="00C57C3C" w:rsidP="00F13EE4">
      <w:pPr>
        <w:pStyle w:val="SingleTxtGA"/>
        <w:rPr>
          <w:rFonts w:hint="cs"/>
          <w:spacing w:val="-2"/>
          <w:lang w:val="es-ES"/>
        </w:rPr>
      </w:pPr>
      <w:r w:rsidRPr="00F13EE4">
        <w:rPr>
          <w:spacing w:val="-2"/>
          <w:rtl/>
          <w:lang w:val="es-ES"/>
        </w:rPr>
        <w:t>4-1</w:t>
      </w:r>
      <w:r w:rsidRPr="00F13EE4">
        <w:rPr>
          <w:spacing w:val="-2"/>
          <w:rtl/>
          <w:lang w:val="es-ES"/>
        </w:rPr>
        <w:tab/>
        <w:t>قدمت الدول</w:t>
      </w:r>
      <w:r w:rsidR="00F13EE4">
        <w:rPr>
          <w:rFonts w:hint="cs"/>
          <w:spacing w:val="-2"/>
          <w:rtl/>
          <w:lang w:val="es-ES"/>
        </w:rPr>
        <w:t>ـ</w:t>
      </w:r>
      <w:r w:rsidRPr="00F13EE4">
        <w:rPr>
          <w:spacing w:val="-2"/>
          <w:rtl/>
          <w:lang w:val="es-ES"/>
        </w:rPr>
        <w:t>ة الطرف، في 22 أيار/ماي</w:t>
      </w:r>
      <w:r w:rsidR="00F13EE4">
        <w:rPr>
          <w:rFonts w:hint="cs"/>
          <w:spacing w:val="-2"/>
          <w:rtl/>
          <w:lang w:val="es-ES"/>
        </w:rPr>
        <w:t>ـ</w:t>
      </w:r>
      <w:r w:rsidRPr="00F13EE4">
        <w:rPr>
          <w:spacing w:val="-2"/>
          <w:rtl/>
          <w:lang w:val="es-ES"/>
        </w:rPr>
        <w:t>و 2008، ملاحظاتها بشأن مقبولي</w:t>
      </w:r>
      <w:r w:rsidR="00F13EE4">
        <w:rPr>
          <w:rFonts w:hint="cs"/>
          <w:spacing w:val="-2"/>
          <w:rtl/>
          <w:lang w:val="es-ES"/>
        </w:rPr>
        <w:t>ـ</w:t>
      </w:r>
      <w:r w:rsidRPr="00F13EE4">
        <w:rPr>
          <w:spacing w:val="-2"/>
          <w:rtl/>
          <w:lang w:val="es-ES"/>
        </w:rPr>
        <w:t xml:space="preserve">ة البلاغ وأسسه الموضوعية في الآن نفسه. </w:t>
      </w:r>
      <w:r w:rsidR="00F13EE4" w:rsidRPr="00F13EE4">
        <w:rPr>
          <w:rFonts w:hint="cs"/>
          <w:spacing w:val="-2"/>
          <w:rtl/>
          <w:lang w:val="es-ES"/>
        </w:rPr>
        <w:t>و</w:t>
      </w:r>
      <w:r w:rsidRPr="00F13EE4">
        <w:rPr>
          <w:spacing w:val="-2"/>
          <w:rtl/>
          <w:lang w:val="es-ES"/>
        </w:rPr>
        <w:t>قالت أولا</w:t>
      </w:r>
      <w:r w:rsidR="00F13EE4" w:rsidRPr="00F13EE4">
        <w:rPr>
          <w:rFonts w:hint="cs"/>
          <w:spacing w:val="-2"/>
          <w:rtl/>
          <w:lang w:val="es-ES"/>
        </w:rPr>
        <w:t>ً</w:t>
      </w:r>
      <w:r w:rsidRPr="00F13EE4">
        <w:rPr>
          <w:spacing w:val="-2"/>
          <w:rtl/>
          <w:lang w:val="es-ES"/>
        </w:rPr>
        <w:t xml:space="preserve"> إن شكوى صاحب البلاغ، بموجب </w:t>
      </w:r>
      <w:r w:rsidR="00F871F3">
        <w:rPr>
          <w:rFonts w:hint="cs"/>
          <w:spacing w:val="-2"/>
          <w:rtl/>
          <w:lang w:val="es-ES"/>
        </w:rPr>
        <w:t xml:space="preserve">  </w:t>
      </w:r>
      <w:r w:rsidRPr="00F13EE4">
        <w:rPr>
          <w:spacing w:val="-2"/>
          <w:rtl/>
          <w:lang w:val="es-ES"/>
        </w:rPr>
        <w:t xml:space="preserve">المادة </w:t>
      </w:r>
      <w:r w:rsidR="00F13EE4" w:rsidRPr="00F13EE4">
        <w:rPr>
          <w:spacing w:val="-2"/>
          <w:rtl/>
          <w:lang w:val="es-ES"/>
        </w:rPr>
        <w:t>14</w:t>
      </w:r>
      <w:r w:rsidR="00F13EE4" w:rsidRPr="00F13EE4">
        <w:rPr>
          <w:rFonts w:hint="cs"/>
          <w:spacing w:val="-2"/>
          <w:rtl/>
          <w:lang w:val="es-ES"/>
        </w:rPr>
        <w:t>‘3‘(ب)</w:t>
      </w:r>
      <w:r w:rsidRPr="00F13EE4">
        <w:rPr>
          <w:spacing w:val="-2"/>
          <w:rtl/>
          <w:lang w:val="es-ES"/>
        </w:rPr>
        <w:t>، بأنه حرم من حقه في الحصول على المساعدة القانونية لم يثر في الطعن أمام المحكمة العليا. وبذلك، تدعي الدولة الطرف أن هذا الجزء من البلاغ ينبغي اعتباره غير مقبول بموجب المادة 5</w:t>
      </w:r>
      <w:r w:rsidR="00F13EE4" w:rsidRPr="00F13EE4">
        <w:rPr>
          <w:rFonts w:hint="cs"/>
          <w:spacing w:val="-2"/>
          <w:rtl/>
          <w:lang w:val="es-ES"/>
        </w:rPr>
        <w:t>‘2‘</w:t>
      </w:r>
      <w:r w:rsidRPr="00F13EE4">
        <w:rPr>
          <w:spacing w:val="-2"/>
          <w:rtl/>
          <w:lang w:val="es-ES"/>
        </w:rPr>
        <w:t>(ب) من البروتوكول الاختياري لعدم استنفاد سبل الانتصاف المحلية</w:t>
      </w:r>
      <w:r w:rsidR="00F13EE4" w:rsidRPr="00F13EE4">
        <w:rPr>
          <w:rFonts w:hint="cs"/>
          <w:spacing w:val="-2"/>
          <w:rtl/>
          <w:lang w:val="es-ES"/>
        </w:rPr>
        <w:t>.</w:t>
      </w:r>
    </w:p>
    <w:p w:rsidR="00C57C3C" w:rsidRPr="00C57C3C" w:rsidRDefault="00C57C3C" w:rsidP="00F871F3">
      <w:pPr>
        <w:pStyle w:val="SingleTxtGA"/>
        <w:rPr>
          <w:lang w:val="es-ES"/>
        </w:rPr>
      </w:pPr>
      <w:r w:rsidRPr="00C57C3C">
        <w:rPr>
          <w:rtl/>
          <w:lang w:val="es-ES"/>
        </w:rPr>
        <w:t>4-2</w:t>
      </w:r>
      <w:r w:rsidRPr="00C57C3C">
        <w:rPr>
          <w:rtl/>
          <w:lang w:val="es-ES"/>
        </w:rPr>
        <w:tab/>
        <w:t>و</w:t>
      </w:r>
      <w:r w:rsidR="00F871F3">
        <w:rPr>
          <w:rFonts w:hint="cs"/>
          <w:rtl/>
          <w:lang w:val="es-ES"/>
        </w:rPr>
        <w:t>بالمثل</w:t>
      </w:r>
      <w:r w:rsidRPr="00C57C3C">
        <w:rPr>
          <w:rtl/>
          <w:lang w:val="es-ES"/>
        </w:rPr>
        <w:t>، تدعي الدولة الطرف أن ادعاء صاحب البلاغ بأن أحد شهود النفي مُنع من الإدلاء بشهادته لصالحه لم ي</w:t>
      </w:r>
      <w:r w:rsidR="00F871F3">
        <w:rPr>
          <w:rFonts w:hint="cs"/>
          <w:rtl/>
          <w:lang w:val="es-ES"/>
        </w:rPr>
        <w:t xml:space="preserve">عرض </w:t>
      </w:r>
      <w:r w:rsidRPr="00C57C3C">
        <w:rPr>
          <w:rtl/>
          <w:lang w:val="es-ES"/>
        </w:rPr>
        <w:t>أمام المحكمة العليا، ولذلك ينبغي اعتباره غير مقبول بموجب المادة 5</w:t>
      </w:r>
      <w:r w:rsidR="00F13EE4">
        <w:rPr>
          <w:rFonts w:hint="cs"/>
          <w:rtl/>
          <w:lang w:val="es-ES"/>
        </w:rPr>
        <w:t>‘2‘</w:t>
      </w:r>
      <w:r w:rsidRPr="00C57C3C">
        <w:rPr>
          <w:rtl/>
          <w:lang w:val="es-ES"/>
        </w:rPr>
        <w:t>(ب) من البروتوكول الاختياري.</w:t>
      </w:r>
    </w:p>
    <w:p w:rsidR="00C57C3C" w:rsidRPr="00C57C3C" w:rsidRDefault="00C57C3C" w:rsidP="00F871F3">
      <w:pPr>
        <w:pStyle w:val="SingleTxtGA"/>
        <w:rPr>
          <w:lang w:val="es-ES"/>
        </w:rPr>
      </w:pPr>
      <w:r w:rsidRPr="00C57C3C">
        <w:rPr>
          <w:rtl/>
          <w:lang w:val="es-ES"/>
        </w:rPr>
        <w:t>4-3</w:t>
      </w:r>
      <w:r w:rsidRPr="00C57C3C">
        <w:rPr>
          <w:rtl/>
          <w:lang w:val="es-ES"/>
        </w:rPr>
        <w:tab/>
        <w:t>وعلى نفس المنوال، تقول الدولة الطرف إن زع</w:t>
      </w:r>
      <w:r w:rsidR="00F871F3">
        <w:rPr>
          <w:rFonts w:hint="cs"/>
          <w:rtl/>
          <w:lang w:val="es-ES"/>
        </w:rPr>
        <w:t>ـ</w:t>
      </w:r>
      <w:r w:rsidRPr="00C57C3C">
        <w:rPr>
          <w:rtl/>
          <w:lang w:val="es-ES"/>
        </w:rPr>
        <w:t>م صاحب البلاغ بأنه حرم من حقه في إعداد دفاع</w:t>
      </w:r>
      <w:r w:rsidR="00F871F3">
        <w:rPr>
          <w:rFonts w:hint="cs"/>
          <w:rtl/>
          <w:lang w:val="es-ES"/>
        </w:rPr>
        <w:t>ـ</w:t>
      </w:r>
      <w:r w:rsidRPr="00C57C3C">
        <w:rPr>
          <w:rtl/>
          <w:lang w:val="es-ES"/>
        </w:rPr>
        <w:t>ه</w:t>
      </w:r>
      <w:r w:rsidR="00F871F3">
        <w:rPr>
          <w:rFonts w:hint="cs"/>
          <w:rtl/>
          <w:lang w:val="es-ES"/>
        </w:rPr>
        <w:t xml:space="preserve"> بكفاية</w:t>
      </w:r>
      <w:r w:rsidRPr="00C57C3C">
        <w:rPr>
          <w:rtl/>
          <w:lang w:val="es-ES"/>
        </w:rPr>
        <w:t>، بإطلاق سراح</w:t>
      </w:r>
      <w:r w:rsidR="00F871F3">
        <w:rPr>
          <w:rFonts w:hint="cs"/>
          <w:rtl/>
          <w:lang w:val="es-ES"/>
        </w:rPr>
        <w:t>ـ</w:t>
      </w:r>
      <w:r w:rsidRPr="00C57C3C">
        <w:rPr>
          <w:rtl/>
          <w:lang w:val="es-ES"/>
        </w:rPr>
        <w:t>ه في انتظار المحاكمة، غير مقبول بموجب المادة 5</w:t>
      </w:r>
      <w:r w:rsidR="00F871F3">
        <w:rPr>
          <w:rFonts w:hint="cs"/>
          <w:rtl/>
          <w:lang w:val="es-ES"/>
        </w:rPr>
        <w:t>‘2‘</w:t>
      </w:r>
      <w:r w:rsidRPr="00C57C3C">
        <w:rPr>
          <w:rtl/>
          <w:lang w:val="es-ES"/>
        </w:rPr>
        <w:t xml:space="preserve">(ب) من البروتوكول الاختياري، بما أنه لم يُثر أثناء </w:t>
      </w:r>
      <w:r w:rsidR="00F871F3">
        <w:rPr>
          <w:rFonts w:hint="cs"/>
          <w:rtl/>
          <w:lang w:val="es-ES"/>
        </w:rPr>
        <w:t>التعقيب</w:t>
      </w:r>
      <w:r w:rsidRPr="00C57C3C">
        <w:rPr>
          <w:rtl/>
          <w:lang w:val="es-ES"/>
        </w:rPr>
        <w:t xml:space="preserve"> أمام المحكمة العليا.</w:t>
      </w:r>
    </w:p>
    <w:p w:rsidR="00C57C3C" w:rsidRPr="00C57C3C" w:rsidRDefault="00C57C3C" w:rsidP="00F871F3">
      <w:pPr>
        <w:pStyle w:val="SingleTxtGA"/>
        <w:rPr>
          <w:lang w:val="es-ES"/>
        </w:rPr>
      </w:pPr>
      <w:r w:rsidRPr="00C57C3C">
        <w:rPr>
          <w:rtl/>
          <w:lang w:val="es-ES"/>
        </w:rPr>
        <w:t>4-4</w:t>
      </w:r>
      <w:r w:rsidRPr="00C57C3C">
        <w:rPr>
          <w:rtl/>
          <w:lang w:val="es-ES"/>
        </w:rPr>
        <w:tab/>
        <w:t>وفيما يتعلق بالأسس الموضوعية وبشكوى صاحب البلاغ بأنه حرم من حقه في المساعدة القانونية، تنازع الدولة الطرف بأن هذا الادعاء يفتقر إلى الأسس الواقعية. ويبين قرار محكمة جناي</w:t>
      </w:r>
      <w:r w:rsidR="00F871F3">
        <w:rPr>
          <w:rFonts w:hint="cs"/>
          <w:rtl/>
          <w:lang w:val="es-ES"/>
        </w:rPr>
        <w:t>ات</w:t>
      </w:r>
      <w:r w:rsidRPr="00C57C3C">
        <w:rPr>
          <w:rtl/>
          <w:lang w:val="es-ES"/>
        </w:rPr>
        <w:t xml:space="preserve"> ليماسول ومحاضر مداولات المحكمة أنه بالرغم من انتداب المحكمة لمحام لتمثيل صاحب البلاغ، فإنه أعفاه في ثاني </w:t>
      </w:r>
      <w:r w:rsidR="00F871F3">
        <w:rPr>
          <w:rFonts w:hint="cs"/>
          <w:rtl/>
          <w:lang w:val="es-ES"/>
        </w:rPr>
        <w:t xml:space="preserve">مثول </w:t>
      </w:r>
      <w:r w:rsidRPr="00C57C3C">
        <w:rPr>
          <w:rtl/>
          <w:lang w:val="es-ES"/>
        </w:rPr>
        <w:t>له أمام المحكمة. كما رفضت رسائل التذكير والتشجيع المتكررة الموجهة من المحكمة إلى صاحب البلاغ بأن يبحث عن محام آخر، اعتبارا</w:t>
      </w:r>
      <w:r w:rsidR="00F871F3">
        <w:rPr>
          <w:rFonts w:hint="cs"/>
          <w:rtl/>
          <w:lang w:val="es-ES"/>
        </w:rPr>
        <w:t>ً</w:t>
      </w:r>
      <w:r w:rsidRPr="00C57C3C">
        <w:rPr>
          <w:rtl/>
          <w:lang w:val="es-ES"/>
        </w:rPr>
        <w:t xml:space="preserve"> لكون </w:t>
      </w:r>
      <w:r w:rsidR="00F871F3">
        <w:rPr>
          <w:rFonts w:hint="cs"/>
          <w:rtl/>
          <w:lang w:val="es-ES"/>
        </w:rPr>
        <w:t xml:space="preserve">خدمات </w:t>
      </w:r>
      <w:r w:rsidRPr="00C57C3C">
        <w:rPr>
          <w:rtl/>
          <w:lang w:val="es-ES"/>
        </w:rPr>
        <w:t>المحامين الذين كان يرغب في أن يمثلوه غير متاح</w:t>
      </w:r>
      <w:r w:rsidR="00F871F3">
        <w:rPr>
          <w:rFonts w:hint="cs"/>
          <w:rtl/>
          <w:lang w:val="es-ES"/>
        </w:rPr>
        <w:t>ة</w:t>
      </w:r>
      <w:r w:rsidRPr="00C57C3C">
        <w:rPr>
          <w:rtl/>
          <w:lang w:val="es-ES"/>
        </w:rPr>
        <w:t xml:space="preserve"> بالرسوم التي تنص عليها أنظمة المساعدة القضائية. وأخيرا</w:t>
      </w:r>
      <w:r w:rsidR="00F871F3">
        <w:rPr>
          <w:rFonts w:hint="cs"/>
          <w:rtl/>
          <w:lang w:val="es-ES"/>
        </w:rPr>
        <w:t>ً</w:t>
      </w:r>
      <w:r w:rsidRPr="00C57C3C">
        <w:rPr>
          <w:rtl/>
          <w:lang w:val="es-ES"/>
        </w:rPr>
        <w:t>، ادعى صاحب البلاغ أنه كان يريد تمثيل نفسه</w:t>
      </w:r>
      <w:r>
        <w:rPr>
          <w:rtl/>
          <w:lang w:val="es-ES"/>
        </w:rPr>
        <w:t xml:space="preserve"> </w:t>
      </w:r>
      <w:r w:rsidRPr="00C57C3C">
        <w:rPr>
          <w:rtl/>
          <w:lang w:val="es-ES"/>
        </w:rPr>
        <w:t>بنفسه أمام المحكمة. وترى الدولة الطرف أن عدم وجود تمثيل قانون</w:t>
      </w:r>
      <w:r w:rsidR="00F871F3">
        <w:rPr>
          <w:rFonts w:hint="cs"/>
          <w:rtl/>
          <w:lang w:val="es-ES"/>
        </w:rPr>
        <w:t>ي</w:t>
      </w:r>
      <w:r w:rsidRPr="00C57C3C">
        <w:rPr>
          <w:rtl/>
          <w:lang w:val="es-ES"/>
        </w:rPr>
        <w:t xml:space="preserve"> لصاحب البلاغ، في ضوء ملابسات هذه القضية، ناتج عن اختياره هو ولم ينتهك المادة 14</w:t>
      </w:r>
      <w:r w:rsidR="00F871F3">
        <w:rPr>
          <w:rFonts w:hint="cs"/>
          <w:rtl/>
          <w:lang w:val="es-ES"/>
        </w:rPr>
        <w:t>‘3‘</w:t>
      </w:r>
      <w:r w:rsidRPr="00C57C3C">
        <w:rPr>
          <w:rtl/>
          <w:lang w:val="es-ES"/>
        </w:rPr>
        <w:t>(د) من العهد.</w:t>
      </w:r>
    </w:p>
    <w:p w:rsidR="00C57C3C" w:rsidRPr="00C57C3C" w:rsidRDefault="00C57C3C" w:rsidP="00F871F3">
      <w:pPr>
        <w:pStyle w:val="SingleTxtGA"/>
        <w:rPr>
          <w:lang w:val="es-ES"/>
        </w:rPr>
      </w:pPr>
      <w:r w:rsidRPr="00C57C3C">
        <w:rPr>
          <w:rtl/>
          <w:lang w:val="es-ES"/>
        </w:rPr>
        <w:t>4-5</w:t>
      </w:r>
      <w:r w:rsidRPr="00C57C3C">
        <w:rPr>
          <w:rtl/>
          <w:lang w:val="es-ES"/>
        </w:rPr>
        <w:tab/>
        <w:t xml:space="preserve">وفيما يتعلق بادعاء صاحب البلاغ أن صديقته الرومانية التي كان يرغب في أن تدلي بإفادتها كشاهد نفي كانت على "قائمة الممنوعين من </w:t>
      </w:r>
      <w:r w:rsidR="00F871F3">
        <w:rPr>
          <w:rFonts w:hint="cs"/>
          <w:rtl/>
          <w:lang w:val="es-ES"/>
        </w:rPr>
        <w:t>الدخول إلى البلاد</w:t>
      </w:r>
      <w:r w:rsidRPr="00C57C3C">
        <w:rPr>
          <w:rtl/>
          <w:lang w:val="es-ES"/>
        </w:rPr>
        <w:t>" ولم يكن بمقدورها السفر إلى قبرص، تنازع الدولة الطرف في تلك الواقعة مؤكدة أنها شطبت من تلك القائمة وبالتالي كان مسموحا</w:t>
      </w:r>
      <w:r w:rsidR="00F871F3">
        <w:rPr>
          <w:rFonts w:hint="cs"/>
          <w:rtl/>
          <w:lang w:val="es-ES"/>
        </w:rPr>
        <w:t>ً</w:t>
      </w:r>
      <w:r w:rsidRPr="00C57C3C">
        <w:rPr>
          <w:rtl/>
          <w:lang w:val="es-ES"/>
        </w:rPr>
        <w:t xml:space="preserve"> لها بالسفر إلى قبرص لكنها لم تمثل أبدا</w:t>
      </w:r>
      <w:r w:rsidR="00F871F3">
        <w:rPr>
          <w:rFonts w:hint="cs"/>
          <w:rtl/>
          <w:lang w:val="es-ES"/>
        </w:rPr>
        <w:t>ً</w:t>
      </w:r>
      <w:r w:rsidRPr="00C57C3C">
        <w:rPr>
          <w:rtl/>
          <w:lang w:val="es-ES"/>
        </w:rPr>
        <w:t xml:space="preserve"> أمام المحكمة</w:t>
      </w:r>
      <w:r w:rsidR="00F871F3">
        <w:rPr>
          <w:vertAlign w:val="superscript"/>
          <w:rtl/>
          <w:lang w:val="es-ES"/>
        </w:rPr>
        <w:t>(</w:t>
      </w:r>
      <w:r w:rsidR="00F871F3">
        <w:rPr>
          <w:rStyle w:val="FootnoteReference"/>
          <w:rtl/>
          <w:lang w:val="es-ES"/>
        </w:rPr>
        <w:footnoteReference w:id="13"/>
      </w:r>
      <w:r w:rsidR="00F871F3">
        <w:rPr>
          <w:vertAlign w:val="superscript"/>
          <w:rtl/>
          <w:lang w:val="es-ES"/>
        </w:rPr>
        <w:t>)</w:t>
      </w:r>
      <w:r w:rsidRPr="00C57C3C">
        <w:rPr>
          <w:rtl/>
          <w:lang w:val="es-ES"/>
        </w:rPr>
        <w:t xml:space="preserve">. ولهذا، </w:t>
      </w:r>
      <w:r w:rsidR="00F871F3">
        <w:rPr>
          <w:rFonts w:hint="cs"/>
          <w:rtl/>
          <w:lang w:val="es-ES"/>
        </w:rPr>
        <w:t xml:space="preserve">      </w:t>
      </w:r>
      <w:r w:rsidRPr="00C57C3C">
        <w:rPr>
          <w:rtl/>
          <w:lang w:val="es-ES"/>
        </w:rPr>
        <w:t>لا يمكن دعم ادعاء صاحب البلاغ بأن هذا أدى إلى انتهاك المادة 14</w:t>
      </w:r>
      <w:r w:rsidR="00F871F3">
        <w:rPr>
          <w:rFonts w:hint="cs"/>
          <w:rtl/>
          <w:lang w:val="es-ES"/>
        </w:rPr>
        <w:t>‘3‘(ﻫ)</w:t>
      </w:r>
      <w:r w:rsidRPr="00C57C3C">
        <w:rPr>
          <w:rtl/>
          <w:lang w:val="es-ES"/>
        </w:rPr>
        <w:t xml:space="preserve"> من العهد.</w:t>
      </w:r>
    </w:p>
    <w:p w:rsidR="00C57C3C" w:rsidRPr="00C57C3C" w:rsidRDefault="00C57C3C" w:rsidP="00070BC4">
      <w:pPr>
        <w:pStyle w:val="SingleTxtGA"/>
        <w:rPr>
          <w:lang w:val="es-ES"/>
        </w:rPr>
      </w:pPr>
      <w:r w:rsidRPr="00C57C3C">
        <w:rPr>
          <w:rtl/>
          <w:lang w:val="es-ES"/>
        </w:rPr>
        <w:t>4-6</w:t>
      </w:r>
      <w:r w:rsidRPr="00C57C3C">
        <w:rPr>
          <w:rtl/>
          <w:lang w:val="es-ES"/>
        </w:rPr>
        <w:tab/>
        <w:t>وعدم إعطاء صاحب البلاغ إمكانية الوصول إلى سيارة الضحية لم يؤد إلى أي إضرار بدفاعه عن نفسه ولا شكل انتهاكا</w:t>
      </w:r>
      <w:r w:rsidR="00F871F3">
        <w:rPr>
          <w:rFonts w:hint="cs"/>
          <w:rtl/>
          <w:lang w:val="es-ES"/>
        </w:rPr>
        <w:t>ً</w:t>
      </w:r>
      <w:r w:rsidRPr="00C57C3C">
        <w:rPr>
          <w:rtl/>
          <w:lang w:val="es-ES"/>
        </w:rPr>
        <w:t xml:space="preserve"> لحقوقه المكفولة</w:t>
      </w:r>
      <w:r>
        <w:rPr>
          <w:rtl/>
          <w:lang w:val="es-ES"/>
        </w:rPr>
        <w:t xml:space="preserve"> </w:t>
      </w:r>
      <w:r w:rsidRPr="00C57C3C">
        <w:rPr>
          <w:rtl/>
          <w:lang w:val="es-ES"/>
        </w:rPr>
        <w:t xml:space="preserve">بموجب المادة 14 من العهد. وإذ تذكر الدولة الطرف بأن هذه القضية نظرت فيها محكمة الجنايات والمحكمة العليا كلتاهما، تكرر التأكيد على أن سيارة الضحية لم يحتفظ </w:t>
      </w:r>
      <w:r w:rsidR="00F871F3">
        <w:rPr>
          <w:rFonts w:hint="cs"/>
          <w:rtl/>
          <w:lang w:val="es-ES"/>
        </w:rPr>
        <w:t>بها ضمن الأحراز</w:t>
      </w:r>
      <w:r w:rsidRPr="00C57C3C">
        <w:rPr>
          <w:rtl/>
          <w:lang w:val="es-ES"/>
        </w:rPr>
        <w:t>، لأن تقديمها اعتُبر غير ضروري للتحقيق ومن ثم لإثبات عناصر الجريمة وإذناب صاحب البلاغ. وبدلا</w:t>
      </w:r>
      <w:r w:rsidR="00F871F3">
        <w:rPr>
          <w:rFonts w:hint="cs"/>
          <w:rtl/>
          <w:lang w:val="es-ES"/>
        </w:rPr>
        <w:t>ً</w:t>
      </w:r>
      <w:r w:rsidRPr="00C57C3C">
        <w:rPr>
          <w:rtl/>
          <w:lang w:val="es-ES"/>
        </w:rPr>
        <w:t xml:space="preserve"> من ذلك، احتفظ بمجموعة من شظايا القنبلة وعناصر أخرى يمكن أن تكشف نوع المتفجرات المستخدمة وقوتها وطريق تفجيرها، وقد كانت عناصر أساسية في التحقيق. وتشير الدولة الطرف إلى أن صاحب البلاغ لم يطلب الحصول على هذ</w:t>
      </w:r>
      <w:r w:rsidR="00F871F3">
        <w:rPr>
          <w:rFonts w:hint="cs"/>
          <w:rtl/>
          <w:lang w:val="es-ES"/>
        </w:rPr>
        <w:t>ه الأدلة</w:t>
      </w:r>
      <w:r w:rsidRPr="00C57C3C">
        <w:rPr>
          <w:rtl/>
          <w:lang w:val="es-ES"/>
        </w:rPr>
        <w:t>. ولذلك</w:t>
      </w:r>
      <w:r w:rsidR="00F871F3">
        <w:rPr>
          <w:rFonts w:hint="cs"/>
          <w:rtl/>
          <w:lang w:val="es-ES"/>
        </w:rPr>
        <w:t>،</w:t>
      </w:r>
      <w:r w:rsidRPr="00C57C3C">
        <w:rPr>
          <w:rtl/>
          <w:lang w:val="es-ES"/>
        </w:rPr>
        <w:t xml:space="preserve"> تقول الدولة الطرف إنه لم يتعرض إلى أي ضرر في هذا الصدد فيما يتصل بالمادة 14.</w:t>
      </w:r>
    </w:p>
    <w:p w:rsidR="00C57C3C" w:rsidRPr="00C57C3C" w:rsidRDefault="00C57C3C" w:rsidP="003519F1">
      <w:pPr>
        <w:pStyle w:val="SingleTxtGA"/>
        <w:rPr>
          <w:lang w:val="es-ES"/>
        </w:rPr>
      </w:pPr>
      <w:r w:rsidRPr="00C57C3C">
        <w:rPr>
          <w:rtl/>
          <w:lang w:val="es-ES"/>
        </w:rPr>
        <w:t>4-7</w:t>
      </w:r>
      <w:r w:rsidRPr="00C57C3C">
        <w:rPr>
          <w:rtl/>
          <w:lang w:val="es-ES"/>
        </w:rPr>
        <w:tab/>
        <w:t>وفيما يتعلق بادعاء صاحب البلاغ بأن رفض محكمة الجنايات إطلاق سراحه بكفالة لإعداد دفاعه يرقى إلى انتهاك لحقوقه</w:t>
      </w:r>
      <w:r>
        <w:rPr>
          <w:rtl/>
          <w:lang w:val="es-ES"/>
        </w:rPr>
        <w:t xml:space="preserve"> </w:t>
      </w:r>
      <w:r w:rsidRPr="00C57C3C">
        <w:rPr>
          <w:rtl/>
          <w:lang w:val="es-ES"/>
        </w:rPr>
        <w:t>المكفولة بموجب المادة 14</w:t>
      </w:r>
      <w:r w:rsidR="003519F1">
        <w:rPr>
          <w:rFonts w:hint="cs"/>
          <w:rtl/>
          <w:lang w:val="es-ES"/>
        </w:rPr>
        <w:t>‘3‘</w:t>
      </w:r>
      <w:r w:rsidRPr="00C57C3C">
        <w:rPr>
          <w:rtl/>
          <w:lang w:val="es-ES"/>
        </w:rPr>
        <w:t>(ب)، تكرر الدولة الطرف التأكيد أن عدم تمثيل محام لصاحب البلاغ ناتج عن قراره هو وحده. والحق في إطلاق السراح بكفالة من أجل إعداد الدفاع غير مشمول بالمادة 14 من العهد، عندما يكون المتهم هو من اختار ألا يمثله محام. وتضيف الدولة الطرف أن صاحب البلاغ كان ممثلا</w:t>
      </w:r>
      <w:r w:rsidR="003519F1">
        <w:rPr>
          <w:rFonts w:hint="cs"/>
          <w:rtl/>
          <w:lang w:val="es-ES"/>
        </w:rPr>
        <w:t>ً</w:t>
      </w:r>
      <w:r w:rsidRPr="00C57C3C">
        <w:rPr>
          <w:rtl/>
          <w:lang w:val="es-ES"/>
        </w:rPr>
        <w:t xml:space="preserve"> بمحام لأغراض إجراءات المحكمة العليا.</w:t>
      </w:r>
    </w:p>
    <w:p w:rsidR="00C57C3C" w:rsidRPr="00C57C3C" w:rsidRDefault="00C57C3C" w:rsidP="003519F1">
      <w:pPr>
        <w:pStyle w:val="SingleTxtGA"/>
        <w:rPr>
          <w:lang w:val="es-ES"/>
        </w:rPr>
      </w:pPr>
      <w:r w:rsidRPr="00C57C3C">
        <w:rPr>
          <w:rtl/>
          <w:lang w:val="es-ES"/>
        </w:rPr>
        <w:t>4-8</w:t>
      </w:r>
      <w:r w:rsidRPr="00C57C3C">
        <w:rPr>
          <w:rtl/>
          <w:lang w:val="es-ES"/>
        </w:rPr>
        <w:tab/>
        <w:t>وفيما يتعلق بادعاءات صاحب البلاغ في إطار المادة 26، تشير الدولة الطرف إلى أن هذا الادعاء لم يقدم عليه دليل ولم يعرض على المحاكم الوطنية. وختاما</w:t>
      </w:r>
      <w:r w:rsidR="003519F1">
        <w:rPr>
          <w:rFonts w:hint="cs"/>
          <w:rtl/>
          <w:lang w:val="es-ES"/>
        </w:rPr>
        <w:t>ً</w:t>
      </w:r>
      <w:r w:rsidRPr="00C57C3C">
        <w:rPr>
          <w:rtl/>
          <w:lang w:val="es-ES"/>
        </w:rPr>
        <w:t>، تؤكد أن البلاغ غير مقبول جزئيا</w:t>
      </w:r>
      <w:r w:rsidR="003519F1">
        <w:rPr>
          <w:rFonts w:hint="cs"/>
          <w:rtl/>
          <w:lang w:val="es-ES"/>
        </w:rPr>
        <w:t>ً</w:t>
      </w:r>
      <w:r w:rsidRPr="00C57C3C">
        <w:rPr>
          <w:rtl/>
          <w:lang w:val="es-ES"/>
        </w:rPr>
        <w:t xml:space="preserve"> بموجب المادة 5</w:t>
      </w:r>
      <w:r w:rsidR="003519F1">
        <w:rPr>
          <w:rFonts w:hint="cs"/>
          <w:rtl/>
          <w:lang w:val="es-ES"/>
        </w:rPr>
        <w:t>‘2‘</w:t>
      </w:r>
      <w:r w:rsidRPr="00C57C3C">
        <w:rPr>
          <w:rtl/>
          <w:lang w:val="es-ES"/>
        </w:rPr>
        <w:t>(ب) من البروتوكول الاختياري، وأنه لم يكن هناك، فيما يتعلق بالأسس الموضوعية، انتهاك للمواد 14 و2 و26 من العهد فيما يتصل بصاحب البلاغ.</w:t>
      </w:r>
    </w:p>
    <w:p w:rsidR="00C57C3C" w:rsidRPr="00C57C3C" w:rsidRDefault="003519F1" w:rsidP="003519F1">
      <w:pPr>
        <w:pStyle w:val="H23GA"/>
        <w:rPr>
          <w:lang w:val="es-ES"/>
        </w:rPr>
      </w:pPr>
      <w:r>
        <w:rPr>
          <w:rFonts w:hint="cs"/>
          <w:rtl/>
          <w:lang w:val="es-ES"/>
        </w:rPr>
        <w:tab/>
      </w:r>
      <w:r>
        <w:rPr>
          <w:rFonts w:hint="cs"/>
          <w:rtl/>
          <w:lang w:val="es-ES"/>
        </w:rPr>
        <w:tab/>
      </w:r>
      <w:r w:rsidR="00C57C3C" w:rsidRPr="00C57C3C">
        <w:rPr>
          <w:rtl/>
          <w:lang w:val="es-ES"/>
        </w:rPr>
        <w:t>تعليقات صاحب البلاغ على ملاحظات الدولة الطرف</w:t>
      </w:r>
    </w:p>
    <w:p w:rsidR="00C57C3C" w:rsidRPr="00C57C3C" w:rsidRDefault="003519F1" w:rsidP="00470781">
      <w:pPr>
        <w:pStyle w:val="SingleTxtGA"/>
        <w:rPr>
          <w:lang w:val="es-ES"/>
        </w:rPr>
      </w:pPr>
      <w:r>
        <w:rPr>
          <w:rFonts w:hint="cs"/>
          <w:rtl/>
          <w:lang w:val="es-ES"/>
        </w:rPr>
        <w:t>5</w:t>
      </w:r>
      <w:r w:rsidR="00C57C3C" w:rsidRPr="00C57C3C">
        <w:rPr>
          <w:rtl/>
          <w:lang w:val="es-ES"/>
        </w:rPr>
        <w:t>-1</w:t>
      </w:r>
      <w:r w:rsidR="00C57C3C" w:rsidRPr="00C57C3C">
        <w:rPr>
          <w:rtl/>
          <w:lang w:val="es-ES"/>
        </w:rPr>
        <w:tab/>
        <w:t>يدعي صاحب البلاغ، في تعليقاته على ملاحظات الدولة الطرف في 26 تموز/</w:t>
      </w:r>
      <w:r w:rsidR="00070BC4">
        <w:rPr>
          <w:rFonts w:hint="cs"/>
          <w:rtl/>
          <w:lang w:val="es-ES"/>
        </w:rPr>
        <w:t xml:space="preserve">     </w:t>
      </w:r>
      <w:r w:rsidR="00C57C3C" w:rsidRPr="00C57C3C">
        <w:rPr>
          <w:rtl/>
          <w:lang w:val="es-ES"/>
        </w:rPr>
        <w:t>يوليه 2008،</w:t>
      </w:r>
      <w:r w:rsidR="00C57C3C">
        <w:rPr>
          <w:rtl/>
          <w:lang w:val="es-ES"/>
        </w:rPr>
        <w:t xml:space="preserve"> </w:t>
      </w:r>
      <w:r w:rsidR="00C57C3C" w:rsidRPr="00C57C3C">
        <w:rPr>
          <w:rtl/>
          <w:lang w:val="es-ES"/>
        </w:rPr>
        <w:t>أنه استنفد جميع سبل الانتصاف المحلية. ويؤكد أن احتج بجميع الأسس التي قدمها إلى اللجنة أمام المحاكم الوطنية، إما كتابة أو شفويا</w:t>
      </w:r>
      <w:r w:rsidR="00470781">
        <w:rPr>
          <w:rFonts w:hint="cs"/>
          <w:rtl/>
          <w:lang w:val="es-ES"/>
        </w:rPr>
        <w:t>ً</w:t>
      </w:r>
      <w:r w:rsidR="00470781">
        <w:rPr>
          <w:vertAlign w:val="superscript"/>
          <w:rtl/>
          <w:lang w:val="es-ES"/>
        </w:rPr>
        <w:t>(</w:t>
      </w:r>
      <w:r w:rsidR="00470781">
        <w:rPr>
          <w:rStyle w:val="FootnoteReference"/>
          <w:rtl/>
          <w:lang w:val="es-ES"/>
        </w:rPr>
        <w:footnoteReference w:id="14"/>
      </w:r>
      <w:r w:rsidR="00470781">
        <w:rPr>
          <w:vertAlign w:val="superscript"/>
          <w:rtl/>
          <w:lang w:val="es-ES"/>
        </w:rPr>
        <w:t>)</w:t>
      </w:r>
      <w:r w:rsidR="00C57C3C" w:rsidRPr="00C57C3C">
        <w:rPr>
          <w:rtl/>
          <w:lang w:val="es-ES"/>
        </w:rPr>
        <w:t xml:space="preserve">. ويدعي صاحب البلاغ، </w:t>
      </w:r>
      <w:r w:rsidR="00070BC4">
        <w:rPr>
          <w:rFonts w:hint="cs"/>
          <w:rtl/>
          <w:lang w:val="es-ES"/>
        </w:rPr>
        <w:t xml:space="preserve">       </w:t>
      </w:r>
      <w:r w:rsidR="00C57C3C" w:rsidRPr="00C57C3C">
        <w:rPr>
          <w:rtl/>
          <w:lang w:val="es-ES"/>
        </w:rPr>
        <w:t>فيما يتعلق بشهادة صديقته كشاهد نفي، أنه طلب في ثلاث مناسبات عام 1997</w:t>
      </w:r>
      <w:r w:rsidR="00470781">
        <w:rPr>
          <w:vertAlign w:val="superscript"/>
          <w:rtl/>
          <w:lang w:val="es-ES"/>
        </w:rPr>
        <w:t>(</w:t>
      </w:r>
      <w:r w:rsidR="00470781">
        <w:rPr>
          <w:rStyle w:val="FootnoteReference"/>
          <w:rtl/>
          <w:lang w:val="es-ES"/>
        </w:rPr>
        <w:footnoteReference w:id="15"/>
      </w:r>
      <w:r w:rsidR="00470781">
        <w:rPr>
          <w:vertAlign w:val="superscript"/>
          <w:rtl/>
          <w:lang w:val="es-ES"/>
        </w:rPr>
        <w:t>)</w:t>
      </w:r>
      <w:r w:rsidR="00C57C3C" w:rsidRPr="00C57C3C">
        <w:rPr>
          <w:rtl/>
          <w:lang w:val="es-ES"/>
        </w:rPr>
        <w:t xml:space="preserve"> من محكمة جنايات ليماسول شطب اسمها من "قائمة الممنوعين من </w:t>
      </w:r>
      <w:r w:rsidR="00470781">
        <w:rPr>
          <w:rFonts w:hint="cs"/>
          <w:rtl/>
          <w:lang w:val="es-ES"/>
        </w:rPr>
        <w:t>الدخول إلى البلاد</w:t>
      </w:r>
      <w:r w:rsidR="00C57C3C" w:rsidRPr="00C57C3C">
        <w:rPr>
          <w:rtl/>
          <w:lang w:val="es-ES"/>
        </w:rPr>
        <w:t>". وبعد أن قدم آخر طلب في 17 تشرين الأول/أكتوبر 1997، صدر قرار من المحكمة في هذا الصدد، لكن لم ينفذ أبدا</w:t>
      </w:r>
      <w:r w:rsidR="00470781">
        <w:rPr>
          <w:rFonts w:hint="cs"/>
          <w:rtl/>
          <w:lang w:val="es-ES"/>
        </w:rPr>
        <w:t>ً</w:t>
      </w:r>
      <w:r w:rsidR="00C57C3C" w:rsidRPr="00C57C3C">
        <w:rPr>
          <w:rtl/>
          <w:lang w:val="es-ES"/>
        </w:rPr>
        <w:t xml:space="preserve"> من النيابة العامة أو الشرطة. ويضيف أنه عندما بدأت المحاكمة، رُخص لصديقته بالقدوم إلى قبرص ليومين فقط، ولكن كان يستحيل عليها حضور المحاكمة بسبب تحديد مواعيد الرحلات الجوية</w:t>
      </w:r>
      <w:r w:rsidR="00470781">
        <w:rPr>
          <w:vertAlign w:val="superscript"/>
          <w:rtl/>
          <w:lang w:val="es-ES"/>
        </w:rPr>
        <w:t>(</w:t>
      </w:r>
      <w:r w:rsidR="00470781">
        <w:rPr>
          <w:rStyle w:val="FootnoteReference"/>
          <w:rtl/>
          <w:lang w:val="es-ES"/>
        </w:rPr>
        <w:footnoteReference w:id="16"/>
      </w:r>
      <w:r w:rsidR="00470781">
        <w:rPr>
          <w:vertAlign w:val="superscript"/>
          <w:rtl/>
          <w:lang w:val="es-ES"/>
        </w:rPr>
        <w:t>)</w:t>
      </w:r>
      <w:r w:rsidR="00C57C3C" w:rsidRPr="00C57C3C">
        <w:rPr>
          <w:rtl/>
          <w:lang w:val="es-ES"/>
        </w:rPr>
        <w:t>.</w:t>
      </w:r>
    </w:p>
    <w:p w:rsidR="00C57C3C" w:rsidRPr="00C57C3C" w:rsidRDefault="00C57C3C" w:rsidP="00C57C3C">
      <w:pPr>
        <w:pStyle w:val="SingleTxtGA"/>
        <w:rPr>
          <w:lang w:val="es-ES"/>
        </w:rPr>
      </w:pPr>
      <w:r w:rsidRPr="00C57C3C">
        <w:rPr>
          <w:rtl/>
          <w:lang w:val="es-ES"/>
        </w:rPr>
        <w:t>5-2</w:t>
      </w:r>
      <w:r w:rsidRPr="00C57C3C">
        <w:rPr>
          <w:rtl/>
          <w:lang w:val="es-ES"/>
        </w:rPr>
        <w:tab/>
        <w:t>ويؤكد صاحب البلاغ أنه كان يحتاج إلى الوصول إلى سيارة الضحية من أجل إثبات أن القنبلة وضعت خلف العجلة الخلفية اليمنى وأن الفاعل لم تكن له نية القتل، وإنما فقط الترهيب والتسبب في ضرر للسيارة.</w:t>
      </w:r>
    </w:p>
    <w:p w:rsidR="00C57C3C" w:rsidRPr="00C57C3C" w:rsidRDefault="00C57C3C" w:rsidP="00793349">
      <w:pPr>
        <w:pStyle w:val="SingleTxtGA"/>
        <w:rPr>
          <w:lang w:val="es-ES"/>
        </w:rPr>
      </w:pPr>
      <w:r w:rsidRPr="00C57C3C">
        <w:rPr>
          <w:rtl/>
          <w:lang w:val="es-ES"/>
        </w:rPr>
        <w:t>5-3</w:t>
      </w:r>
      <w:r w:rsidRPr="00C57C3C">
        <w:rPr>
          <w:rtl/>
          <w:lang w:val="es-ES"/>
        </w:rPr>
        <w:tab/>
        <w:t xml:space="preserve">وفيما يتعلق بعدم </w:t>
      </w:r>
      <w:r w:rsidR="00793349">
        <w:rPr>
          <w:rFonts w:hint="cs"/>
          <w:rtl/>
          <w:lang w:val="es-ES"/>
        </w:rPr>
        <w:t>التمثيل القانوني</w:t>
      </w:r>
      <w:r w:rsidRPr="00C57C3C">
        <w:rPr>
          <w:rtl/>
          <w:lang w:val="es-ES"/>
        </w:rPr>
        <w:t xml:space="preserve">، يكرر صاحب البلاغ التأكيد أن المحكمة </w:t>
      </w:r>
      <w:r w:rsidR="00793349">
        <w:rPr>
          <w:rFonts w:hint="cs"/>
          <w:rtl/>
          <w:lang w:val="es-ES"/>
        </w:rPr>
        <w:t xml:space="preserve">قضت بأن </w:t>
      </w:r>
      <w:r w:rsidRPr="00C57C3C">
        <w:rPr>
          <w:rtl/>
          <w:lang w:val="es-ES"/>
        </w:rPr>
        <w:t>أحد المحامييْن اللذين اقترحتهما عليه نقابة المحامين في ليماسول أصغر سنا</w:t>
      </w:r>
      <w:r w:rsidR="00793349">
        <w:rPr>
          <w:rFonts w:hint="cs"/>
          <w:rtl/>
          <w:lang w:val="es-ES"/>
        </w:rPr>
        <w:t>ً</w:t>
      </w:r>
      <w:r w:rsidRPr="00C57C3C">
        <w:rPr>
          <w:rtl/>
          <w:lang w:val="es-ES"/>
        </w:rPr>
        <w:t xml:space="preserve"> من أن يسمح له بالترافع، في حين طلب منه الثاني أن يعترف بأنه مذنب.</w:t>
      </w:r>
    </w:p>
    <w:p w:rsidR="00C57C3C" w:rsidRPr="00C57C3C" w:rsidRDefault="00793349" w:rsidP="00793349">
      <w:pPr>
        <w:pStyle w:val="SingleTxtGA"/>
        <w:rPr>
          <w:lang w:val="es-ES"/>
        </w:rPr>
      </w:pPr>
      <w:r>
        <w:rPr>
          <w:rFonts w:hint="cs"/>
          <w:rtl/>
          <w:lang w:val="es-ES"/>
        </w:rPr>
        <w:t>5-4</w:t>
      </w:r>
      <w:r w:rsidR="00C57C3C" w:rsidRPr="00C57C3C">
        <w:rPr>
          <w:rtl/>
          <w:lang w:val="es-ES"/>
        </w:rPr>
        <w:tab/>
        <w:t>وفيما يتعلق بزعمه فقدان صفحات من مداولات المحكمة، لاحظ صاحب البلاغ أن الدولة الطرف لم تنازع في هذا الادعاء ولذلك يحث اللجنة على قبول هذه الواقعة والخلوص إلى الاستنتاج الحتمي بأن محاكمته تمت بطريقة تنتهك المادة 14 من العهد.</w:t>
      </w:r>
    </w:p>
    <w:p w:rsidR="00C57C3C" w:rsidRPr="00C57C3C" w:rsidRDefault="00C57C3C" w:rsidP="00793349">
      <w:pPr>
        <w:pStyle w:val="H23GA"/>
        <w:rPr>
          <w:lang w:val="es-ES"/>
        </w:rPr>
      </w:pPr>
      <w:r w:rsidRPr="00C57C3C">
        <w:rPr>
          <w:rtl/>
          <w:lang w:val="es-ES"/>
        </w:rPr>
        <w:tab/>
      </w:r>
      <w:r w:rsidRPr="00C57C3C">
        <w:rPr>
          <w:rtl/>
          <w:lang w:val="es-ES"/>
        </w:rPr>
        <w:tab/>
        <w:t>المسائل والإجراءات المعروضة على اللجنة</w:t>
      </w:r>
    </w:p>
    <w:p w:rsidR="00C57C3C" w:rsidRPr="00C57C3C" w:rsidRDefault="00C57C3C" w:rsidP="00793349">
      <w:pPr>
        <w:pStyle w:val="H4GA"/>
        <w:rPr>
          <w:lang w:val="es-ES"/>
        </w:rPr>
      </w:pPr>
      <w:r w:rsidRPr="00C57C3C">
        <w:rPr>
          <w:rtl/>
          <w:lang w:val="es-ES"/>
        </w:rPr>
        <w:tab/>
      </w:r>
      <w:r w:rsidRPr="00C57C3C">
        <w:rPr>
          <w:rtl/>
          <w:lang w:val="es-ES"/>
        </w:rPr>
        <w:tab/>
        <w:t>النظر في المقبولية</w:t>
      </w:r>
    </w:p>
    <w:p w:rsidR="00C57C3C" w:rsidRPr="00C57C3C" w:rsidRDefault="00C57C3C" w:rsidP="00793349">
      <w:pPr>
        <w:pStyle w:val="SingleTxtGA"/>
        <w:rPr>
          <w:lang w:val="es-ES"/>
        </w:rPr>
      </w:pPr>
      <w:r w:rsidRPr="00C57C3C">
        <w:rPr>
          <w:rtl/>
          <w:lang w:val="es-ES"/>
        </w:rPr>
        <w:t>6-1</w:t>
      </w:r>
      <w:r w:rsidRPr="00C57C3C">
        <w:rPr>
          <w:rtl/>
          <w:lang w:val="es-ES"/>
        </w:rPr>
        <w:tab/>
        <w:t>قبل النظر في أي ادعاء يرد في بلاغ ما، يجب على اللجنة المعنية بحقوق الإنسان، وفقاً للمادة 93 من نظامها الداخلي، أن تبت في ما إذا كان البلاغ مقبولا</w:t>
      </w:r>
      <w:r w:rsidR="00793349">
        <w:rPr>
          <w:rFonts w:hint="cs"/>
          <w:rtl/>
          <w:lang w:val="es-ES"/>
        </w:rPr>
        <w:t>ً</w:t>
      </w:r>
      <w:r w:rsidRPr="00C57C3C">
        <w:rPr>
          <w:rtl/>
          <w:lang w:val="es-ES"/>
        </w:rPr>
        <w:t xml:space="preserve"> أم لا بموجب البروتوكول الاختياري الملحق بالعهد.</w:t>
      </w:r>
    </w:p>
    <w:p w:rsidR="00C57C3C" w:rsidRPr="00C57C3C" w:rsidRDefault="00C57C3C" w:rsidP="00793349">
      <w:pPr>
        <w:pStyle w:val="SingleTxtGA"/>
        <w:rPr>
          <w:lang w:val="es-ES"/>
        </w:rPr>
      </w:pPr>
      <w:r w:rsidRPr="00C57C3C">
        <w:rPr>
          <w:rtl/>
          <w:lang w:val="es-ES"/>
        </w:rPr>
        <w:t>6-2</w:t>
      </w:r>
      <w:r w:rsidR="00793349">
        <w:rPr>
          <w:rFonts w:hint="cs"/>
          <w:rtl/>
          <w:lang w:val="es-ES"/>
        </w:rPr>
        <w:tab/>
      </w:r>
      <w:r w:rsidRPr="00C57C3C">
        <w:rPr>
          <w:rtl/>
          <w:lang w:val="es-ES"/>
        </w:rPr>
        <w:t>وتيقنت اللجنة، وفق ما تقتضيه الفقرة 2(أ) من المادة 5 من البروتوكول الاختياري</w:t>
      </w:r>
      <w:r w:rsidR="00793349">
        <w:rPr>
          <w:vertAlign w:val="superscript"/>
          <w:rtl/>
          <w:lang w:val="es-ES"/>
        </w:rPr>
        <w:t>(</w:t>
      </w:r>
      <w:r w:rsidR="00793349">
        <w:rPr>
          <w:rStyle w:val="FootnoteReference"/>
          <w:rtl/>
          <w:lang w:val="es-ES"/>
        </w:rPr>
        <w:footnoteReference w:id="17"/>
      </w:r>
      <w:r w:rsidR="00793349">
        <w:rPr>
          <w:vertAlign w:val="superscript"/>
          <w:rtl/>
          <w:lang w:val="es-ES"/>
        </w:rPr>
        <w:t>)</w:t>
      </w:r>
      <w:r w:rsidRPr="00C57C3C">
        <w:rPr>
          <w:rtl/>
          <w:lang w:val="es-ES"/>
        </w:rPr>
        <w:t>، من أن المسألة نفسها ليست قيد البحث في إطار إجراء آخر للتحقيق أو التسوية الدولية.</w:t>
      </w:r>
    </w:p>
    <w:p w:rsidR="00C57C3C" w:rsidRPr="00C57C3C" w:rsidRDefault="00C57C3C" w:rsidP="00070BC4">
      <w:pPr>
        <w:pStyle w:val="SingleTxtGA"/>
        <w:rPr>
          <w:lang w:val="es-ES"/>
        </w:rPr>
      </w:pPr>
      <w:r w:rsidRPr="00C57C3C">
        <w:rPr>
          <w:rtl/>
          <w:lang w:val="es-ES"/>
        </w:rPr>
        <w:t>6-3</w:t>
      </w:r>
      <w:r w:rsidRPr="00C57C3C">
        <w:rPr>
          <w:rtl/>
          <w:lang w:val="es-ES"/>
        </w:rPr>
        <w:tab/>
        <w:t xml:space="preserve">وفيما يتعلق باستيفاء الشرط المنصوص عليه في الفقرة 2(ب) من المادة 5 من البروتوكول الاختياري، أشارت اللجنة إلى قول الدولة الطرف بأن صاحب البلاغ لم يستنفد سبل الانتصاف المحلية فيما يتصل </w:t>
      </w:r>
      <w:r w:rsidR="00793349">
        <w:rPr>
          <w:rFonts w:hint="cs"/>
          <w:rtl/>
          <w:lang w:val="es-ES"/>
        </w:rPr>
        <w:t>ﺑ ‘1‘</w:t>
      </w:r>
      <w:r w:rsidRPr="00C57C3C">
        <w:rPr>
          <w:rtl/>
          <w:lang w:val="es-ES"/>
        </w:rPr>
        <w:t xml:space="preserve"> ادعائه المقدم في إطار المادة 14</w:t>
      </w:r>
      <w:r w:rsidR="00793349">
        <w:rPr>
          <w:rFonts w:hint="cs"/>
          <w:rtl/>
          <w:lang w:val="es-ES"/>
        </w:rPr>
        <w:t>‘3‘</w:t>
      </w:r>
      <w:r w:rsidRPr="00C57C3C">
        <w:rPr>
          <w:rtl/>
          <w:lang w:val="es-ES"/>
        </w:rPr>
        <w:t xml:space="preserve">(د) من العهد بأن محكمة جنايات ليماسول حرمته من حقه في المساعدة القانونية؛ </w:t>
      </w:r>
      <w:r w:rsidR="00793349">
        <w:rPr>
          <w:rFonts w:hint="cs"/>
          <w:rtl/>
          <w:lang w:val="es-ES"/>
        </w:rPr>
        <w:t>‘2‘</w:t>
      </w:r>
      <w:r w:rsidRPr="00C57C3C">
        <w:rPr>
          <w:rtl/>
          <w:lang w:val="es-ES"/>
        </w:rPr>
        <w:t xml:space="preserve"> وبشكواه المقدمة في إطار المادة</w:t>
      </w:r>
      <w:r>
        <w:rPr>
          <w:rtl/>
          <w:lang w:val="es-ES"/>
        </w:rPr>
        <w:t xml:space="preserve"> </w:t>
      </w:r>
      <w:r w:rsidRPr="00C57C3C">
        <w:rPr>
          <w:rtl/>
          <w:lang w:val="es-ES"/>
        </w:rPr>
        <w:t>14</w:t>
      </w:r>
      <w:r w:rsidR="00793349">
        <w:rPr>
          <w:rFonts w:hint="cs"/>
          <w:rtl/>
          <w:lang w:val="es-ES"/>
        </w:rPr>
        <w:t>‘3‘</w:t>
      </w:r>
      <w:r w:rsidRPr="00C57C3C">
        <w:rPr>
          <w:rtl/>
          <w:lang w:val="es-ES"/>
        </w:rPr>
        <w:t>(ب) من العهد القائلة بما أن محكمة جنايات ليماسول رفضت إطلاق سراحه بكفالة، فإنه لم يكن قادرا</w:t>
      </w:r>
      <w:r w:rsidR="00793349">
        <w:rPr>
          <w:rFonts w:hint="cs"/>
          <w:rtl/>
          <w:lang w:val="es-ES"/>
        </w:rPr>
        <w:t>ً</w:t>
      </w:r>
      <w:r w:rsidRPr="00C57C3C">
        <w:rPr>
          <w:rtl/>
          <w:lang w:val="es-ES"/>
        </w:rPr>
        <w:t xml:space="preserve"> على إعداد دفاعه ب</w:t>
      </w:r>
      <w:r w:rsidR="00793349">
        <w:rPr>
          <w:rFonts w:hint="cs"/>
          <w:rtl/>
          <w:lang w:val="es-ES"/>
        </w:rPr>
        <w:t>كفاية</w:t>
      </w:r>
      <w:r w:rsidRPr="00C57C3C">
        <w:rPr>
          <w:rtl/>
          <w:lang w:val="es-ES"/>
        </w:rPr>
        <w:t xml:space="preserve">؛ </w:t>
      </w:r>
      <w:r w:rsidR="00793349">
        <w:rPr>
          <w:rFonts w:hint="cs"/>
          <w:rtl/>
          <w:lang w:val="es-ES"/>
        </w:rPr>
        <w:t>‘3‘</w:t>
      </w:r>
      <w:r w:rsidRPr="00C57C3C">
        <w:rPr>
          <w:rtl/>
          <w:lang w:val="es-ES"/>
        </w:rPr>
        <w:t xml:space="preserve"> وادعائه بأن إقدام محكمة الجنايات على حرمانه من حقه في أن تدلي صديقته بشهادة كشاهد نفي خلال المحاكمة وصل إلى حد انتهاك حقوقه التي تكفلها المادة</w:t>
      </w:r>
      <w:r>
        <w:rPr>
          <w:rtl/>
          <w:lang w:val="es-ES"/>
        </w:rPr>
        <w:t xml:space="preserve"> </w:t>
      </w:r>
      <w:r w:rsidRPr="00C57C3C">
        <w:rPr>
          <w:rtl/>
          <w:lang w:val="es-ES"/>
        </w:rPr>
        <w:t>14</w:t>
      </w:r>
      <w:r w:rsidR="00793349">
        <w:rPr>
          <w:rFonts w:hint="cs"/>
          <w:rtl/>
          <w:lang w:val="es-ES"/>
        </w:rPr>
        <w:t>‘3‘(ﻫ)</w:t>
      </w:r>
      <w:r w:rsidRPr="00C57C3C">
        <w:rPr>
          <w:rtl/>
          <w:lang w:val="es-ES"/>
        </w:rPr>
        <w:t xml:space="preserve"> من العهد.</w:t>
      </w:r>
    </w:p>
    <w:p w:rsidR="00C57C3C" w:rsidRPr="00C57C3C" w:rsidRDefault="00793349" w:rsidP="00793349">
      <w:pPr>
        <w:pStyle w:val="SingleTxtGA"/>
        <w:rPr>
          <w:lang w:val="es-ES"/>
        </w:rPr>
      </w:pPr>
      <w:r>
        <w:rPr>
          <w:rFonts w:hint="cs"/>
          <w:rtl/>
          <w:lang w:val="es-ES"/>
        </w:rPr>
        <w:t>6-4</w:t>
      </w:r>
      <w:r w:rsidR="00C57C3C" w:rsidRPr="00C57C3C">
        <w:rPr>
          <w:rtl/>
          <w:lang w:val="es-ES"/>
        </w:rPr>
        <w:tab/>
        <w:t>وتشير اللجنة إلى أن صاحب البلاغ أثار عددا</w:t>
      </w:r>
      <w:r>
        <w:rPr>
          <w:rFonts w:hint="cs"/>
          <w:rtl/>
          <w:lang w:val="es-ES"/>
        </w:rPr>
        <w:t>ً</w:t>
      </w:r>
      <w:r w:rsidR="00C57C3C" w:rsidRPr="00C57C3C">
        <w:rPr>
          <w:rtl/>
          <w:lang w:val="es-ES"/>
        </w:rPr>
        <w:t xml:space="preserve"> من الادعاءات الأخرى في الطعن الذي قدمه أمام المحكمة العليا، لكنه لم يوضح سبب عدم إثارته لهذه التهم الثلاث الإضافية أو سبب عدم لجوئه إلى أي تظلم مناسب آخر في هذا الصدد. وإذ تلاحظ اللجنة أن صاحب البلاغ لا يطعن في مدى فعالية سبل الانتصاف المتاحة له، ترى أن السعي إلى هذا الانتصاف كان سيوضح الوقائع، ولا سيما فيما يتعلق بقضية التمثيل القانوني والسماح بإدلاء صديقته بإفادتها كشاهدة نفي أثناء المحاكمة. وترى اللجنة، استنادا</w:t>
      </w:r>
      <w:r>
        <w:rPr>
          <w:rFonts w:hint="cs"/>
          <w:rtl/>
          <w:lang w:val="es-ES"/>
        </w:rPr>
        <w:t>ً</w:t>
      </w:r>
      <w:r w:rsidR="00C57C3C" w:rsidRPr="00C57C3C">
        <w:rPr>
          <w:rtl/>
          <w:lang w:val="es-ES"/>
        </w:rPr>
        <w:t xml:space="preserve"> إلى المواد المعروضة عليها،</w:t>
      </w:r>
      <w:r w:rsidR="00C57C3C">
        <w:rPr>
          <w:rtl/>
          <w:lang w:val="es-ES"/>
        </w:rPr>
        <w:t xml:space="preserve"> </w:t>
      </w:r>
      <w:r w:rsidR="00C57C3C" w:rsidRPr="00C57C3C">
        <w:rPr>
          <w:rtl/>
          <w:lang w:val="es-ES"/>
        </w:rPr>
        <w:t>أن صاحب البلاغ لم يستنفد سبل الانتصاف المحلية فيما يتعلق بهذه الادعاءات الثلاث</w:t>
      </w:r>
      <w:r>
        <w:rPr>
          <w:rFonts w:hint="cs"/>
          <w:rtl/>
          <w:lang w:val="es-ES"/>
        </w:rPr>
        <w:t>ة</w:t>
      </w:r>
      <w:r w:rsidR="00C57C3C" w:rsidRPr="00C57C3C">
        <w:rPr>
          <w:rtl/>
          <w:lang w:val="es-ES"/>
        </w:rPr>
        <w:t>، ومن ثم تعلن أن هذا الجزء من البلاغ غير مقبول بموجب الفقرة 2(ب) من المادة 5 من البروتوكول الاختياري.</w:t>
      </w:r>
    </w:p>
    <w:p w:rsidR="00C57C3C" w:rsidRPr="00C57C3C" w:rsidRDefault="00070BC4" w:rsidP="00070BC4">
      <w:pPr>
        <w:pStyle w:val="SingleTxtGA"/>
        <w:rPr>
          <w:lang w:val="es-ES"/>
        </w:rPr>
      </w:pPr>
      <w:r>
        <w:rPr>
          <w:rFonts w:hint="cs"/>
          <w:rtl/>
          <w:lang w:val="es-ES"/>
        </w:rPr>
        <w:t>6-5</w:t>
      </w:r>
      <w:r w:rsidR="00C57C3C" w:rsidRPr="00C57C3C">
        <w:rPr>
          <w:rtl/>
          <w:lang w:val="es-ES"/>
        </w:rPr>
        <w:tab/>
        <w:t>وفيما يتعلق بادعائه بأن محاضر محكمة جنايات ليماسول كان ينقصها عدد من الصفحات، تشير اللجنة إلى أن هذه الواقعة نفاها أمين سجل المحكمة العليا برسالة رسمية وجهها إلى صاحب البلاغ في 21 آذار/مارس 200</w:t>
      </w:r>
      <w:r>
        <w:rPr>
          <w:rFonts w:hint="cs"/>
          <w:rtl/>
          <w:lang w:val="es-ES"/>
        </w:rPr>
        <w:t>0</w:t>
      </w:r>
      <w:r w:rsidR="00C57C3C" w:rsidRPr="00C57C3C">
        <w:rPr>
          <w:rtl/>
          <w:lang w:val="es-ES"/>
        </w:rPr>
        <w:t xml:space="preserve">. وتشير </w:t>
      </w:r>
      <w:r w:rsidR="00C57C3C">
        <w:rPr>
          <w:rtl/>
          <w:lang w:val="es-ES"/>
        </w:rPr>
        <w:t>أيضاً</w:t>
      </w:r>
      <w:r w:rsidR="00C57C3C" w:rsidRPr="00C57C3C">
        <w:rPr>
          <w:rtl/>
          <w:lang w:val="es-ES"/>
        </w:rPr>
        <w:t xml:space="preserve"> إلى أن صاحب البلاغ لم يقدم تفاصيل عن محتويات هذه الرسالة. وبالرغم من أن الدولة الطرف لم تقدم معلومات عن هذه القضية، ترى اللجنة أن صاحب البلاغ لم يقدم أدلة على دعواه تفي بأغراض المقبولية. ونتيجة لذلك، تخلص اللجنة إلى أن هذا الجزء من البلاغ غير مقبول بموجب المادة 2 من البروتوكول الاختياري.</w:t>
      </w:r>
    </w:p>
    <w:p w:rsidR="00C57C3C" w:rsidRPr="00C57C3C" w:rsidRDefault="00C57C3C" w:rsidP="00793349">
      <w:pPr>
        <w:pStyle w:val="SingleTxtGA"/>
        <w:rPr>
          <w:lang w:val="es-ES"/>
        </w:rPr>
      </w:pPr>
      <w:r w:rsidRPr="00C57C3C">
        <w:rPr>
          <w:rtl/>
          <w:lang w:val="es-ES"/>
        </w:rPr>
        <w:t>6-6</w:t>
      </w:r>
      <w:r w:rsidRPr="00C57C3C">
        <w:rPr>
          <w:rtl/>
          <w:lang w:val="es-ES"/>
        </w:rPr>
        <w:tab/>
        <w:t>وفيما يتعلق بادعائه المقدم بموجب المادة 14</w:t>
      </w:r>
      <w:r w:rsidR="00793349">
        <w:rPr>
          <w:rFonts w:hint="cs"/>
          <w:rtl/>
          <w:lang w:val="es-ES"/>
        </w:rPr>
        <w:t>‘3‘</w:t>
      </w:r>
      <w:r w:rsidRPr="00C57C3C">
        <w:rPr>
          <w:rtl/>
          <w:lang w:val="es-ES"/>
        </w:rPr>
        <w:t>(ب) من العهد بأنه "أجبر على قبول" إفادة شاهد الإثبات رقم 63 التي شكلت أساس إدانته بمحاولة القتل، تذكِّر اللجنة بداية أن النظر في مثل هذا الادعاء ينطوي، في جوهره، على تقييم الوقائع والأدلة المدلى بها أثناء المحاكمة، وهي مسألة تقع مبدئيا</w:t>
      </w:r>
      <w:r w:rsidR="00793349">
        <w:rPr>
          <w:rFonts w:hint="cs"/>
          <w:rtl/>
          <w:lang w:val="es-ES"/>
        </w:rPr>
        <w:t>ً</w:t>
      </w:r>
      <w:r w:rsidRPr="00C57C3C">
        <w:rPr>
          <w:rtl/>
          <w:lang w:val="es-ES"/>
        </w:rPr>
        <w:t xml:space="preserve"> ضمن اختصاص المحاكم الوطنية ما لم يكن هذا التقييم متعسفا</w:t>
      </w:r>
      <w:r w:rsidR="00793349">
        <w:rPr>
          <w:rFonts w:hint="cs"/>
          <w:rtl/>
          <w:lang w:val="es-ES"/>
        </w:rPr>
        <w:t>ً</w:t>
      </w:r>
      <w:r w:rsidRPr="00C57C3C">
        <w:rPr>
          <w:rtl/>
          <w:lang w:val="es-ES"/>
        </w:rPr>
        <w:t xml:space="preserve"> بصورة واضحة أو شكل حرمانا</w:t>
      </w:r>
      <w:r w:rsidR="00793349">
        <w:rPr>
          <w:rFonts w:hint="cs"/>
          <w:rtl/>
          <w:lang w:val="es-ES"/>
        </w:rPr>
        <w:t>ً</w:t>
      </w:r>
      <w:r w:rsidRPr="00C57C3C">
        <w:rPr>
          <w:rtl/>
          <w:lang w:val="es-ES"/>
        </w:rPr>
        <w:t xml:space="preserve"> من العدالة</w:t>
      </w:r>
      <w:r w:rsidR="00793349">
        <w:rPr>
          <w:vertAlign w:val="superscript"/>
          <w:rtl/>
          <w:lang w:val="es-ES"/>
        </w:rPr>
        <w:t>(</w:t>
      </w:r>
      <w:r w:rsidR="00793349">
        <w:rPr>
          <w:rStyle w:val="FootnoteReference"/>
          <w:rtl/>
          <w:lang w:val="es-ES"/>
        </w:rPr>
        <w:footnoteReference w:id="18"/>
      </w:r>
      <w:r w:rsidR="00793349">
        <w:rPr>
          <w:vertAlign w:val="superscript"/>
          <w:rtl/>
          <w:lang w:val="es-ES"/>
        </w:rPr>
        <w:t>)</w:t>
      </w:r>
      <w:r w:rsidRPr="00C57C3C">
        <w:rPr>
          <w:rtl/>
          <w:lang w:val="es-ES"/>
        </w:rPr>
        <w:t>.</w:t>
      </w:r>
    </w:p>
    <w:p w:rsidR="00C57C3C" w:rsidRPr="00C57C3C" w:rsidRDefault="00C57C3C" w:rsidP="00793349">
      <w:pPr>
        <w:pStyle w:val="SingleTxtGA"/>
        <w:rPr>
          <w:lang w:val="es-ES"/>
        </w:rPr>
      </w:pPr>
      <w:r w:rsidRPr="00C57C3C">
        <w:rPr>
          <w:rtl/>
          <w:lang w:val="es-ES"/>
        </w:rPr>
        <w:t>6-7</w:t>
      </w:r>
      <w:r w:rsidRPr="00C57C3C">
        <w:rPr>
          <w:rtl/>
          <w:lang w:val="es-ES"/>
        </w:rPr>
        <w:tab/>
        <w:t>واستنادا</w:t>
      </w:r>
      <w:r w:rsidR="00793349">
        <w:rPr>
          <w:rFonts w:hint="cs"/>
          <w:rtl/>
          <w:lang w:val="es-ES"/>
        </w:rPr>
        <w:t>ً</w:t>
      </w:r>
      <w:r w:rsidRPr="00C57C3C">
        <w:rPr>
          <w:rtl/>
          <w:lang w:val="es-ES"/>
        </w:rPr>
        <w:t xml:space="preserve"> إلى المواد المعروضة على اللجنة، ولا سيما حكم المحكمة العليا الصادر </w:t>
      </w:r>
      <w:r w:rsidR="00793349">
        <w:rPr>
          <w:rFonts w:hint="cs"/>
          <w:rtl/>
          <w:lang w:val="es-ES"/>
        </w:rPr>
        <w:t xml:space="preserve">        </w:t>
      </w:r>
      <w:r w:rsidRPr="00C57C3C">
        <w:rPr>
          <w:rtl/>
          <w:lang w:val="es-ES"/>
        </w:rPr>
        <w:t>في 17 تشرين الثاني/نوفمبر 2000، فإنها تلاحظ أن الادعاء وجه الدعوة إلى 5 شهود آخرين على الأقل، إضافة إلى الشاهد رقم 63، للإدلاء بشهادتهم أمام محكمة جنايات ليماسول. واستنادا</w:t>
      </w:r>
      <w:r w:rsidR="00793349">
        <w:rPr>
          <w:rFonts w:hint="cs"/>
          <w:rtl/>
          <w:lang w:val="es-ES"/>
        </w:rPr>
        <w:t>ً</w:t>
      </w:r>
      <w:r w:rsidRPr="00C57C3C">
        <w:rPr>
          <w:rtl/>
          <w:lang w:val="es-ES"/>
        </w:rPr>
        <w:t xml:space="preserve"> إلى سجلات المداولات وقرارات المحاكم، تلاحظ اللجنة كذلك أن الادعاء أثبت إدانة صاحب البلاغ بناء على قرائن ظرفية استخدمتها المحكمة كأدلة متطابقة مع إفادات شهود الإثبات.</w:t>
      </w:r>
    </w:p>
    <w:p w:rsidR="00C57C3C" w:rsidRPr="00C57C3C" w:rsidRDefault="00C57C3C" w:rsidP="00C57C3C">
      <w:pPr>
        <w:pStyle w:val="SingleTxtGA"/>
        <w:rPr>
          <w:lang w:val="es-ES"/>
        </w:rPr>
      </w:pPr>
      <w:r w:rsidRPr="00C57C3C">
        <w:rPr>
          <w:rtl/>
          <w:lang w:val="es-ES"/>
        </w:rPr>
        <w:t>6-8</w:t>
      </w:r>
      <w:r w:rsidRPr="00C57C3C">
        <w:rPr>
          <w:rtl/>
          <w:lang w:val="es-ES"/>
        </w:rPr>
        <w:tab/>
        <w:t>وفي ضوء ملابسات القضية، ترى اللجنة أن صاحب البلاغ لم يثبت، لأغراض المقبولية، أنه أُرغم على قبول الإفادات المدينة التي أدلى بها شاهد الإثبات. كما لم يثبت أن تقييم المحكمة للأدلة كان تعسفيا</w:t>
      </w:r>
      <w:r w:rsidR="00070BC4">
        <w:rPr>
          <w:rFonts w:hint="cs"/>
          <w:rtl/>
          <w:lang w:val="es-ES"/>
        </w:rPr>
        <w:t>ً</w:t>
      </w:r>
      <w:r w:rsidRPr="00C57C3C">
        <w:rPr>
          <w:rtl/>
          <w:lang w:val="es-ES"/>
        </w:rPr>
        <w:t xml:space="preserve"> أو أنه وصل إلى حد الحرمان من العدالة. ونتيجة لذلك، تعتبر اللجنة هذا الجزء من البلاغ غير مقبول بدوره بموجب المادة 2 من البروتوكول الاختياري. </w:t>
      </w:r>
    </w:p>
    <w:p w:rsidR="00C57C3C" w:rsidRPr="00C57C3C" w:rsidRDefault="00C57C3C" w:rsidP="00C57C3C">
      <w:pPr>
        <w:pStyle w:val="SingleTxtGA"/>
        <w:rPr>
          <w:lang w:val="es-ES"/>
        </w:rPr>
      </w:pPr>
      <w:r w:rsidRPr="00C57C3C">
        <w:rPr>
          <w:rtl/>
          <w:lang w:val="es-ES"/>
        </w:rPr>
        <w:t>6-9</w:t>
      </w:r>
      <w:r w:rsidRPr="00C57C3C">
        <w:rPr>
          <w:rtl/>
          <w:lang w:val="es-ES"/>
        </w:rPr>
        <w:tab/>
        <w:t xml:space="preserve">وفيما يتعلق بالمادتين 2 و26 من العهد، تعتبر اللجنة أن صاحب البلاغ لم يقدم أدلة على أي ادعاء مقدم بمقتضى هذه الأحكام. ولذلك، تخلص اللجنة </w:t>
      </w:r>
      <w:r>
        <w:rPr>
          <w:rtl/>
          <w:lang w:val="es-ES"/>
        </w:rPr>
        <w:t>أيضاً</w:t>
      </w:r>
      <w:r w:rsidRPr="00C57C3C">
        <w:rPr>
          <w:rtl/>
          <w:lang w:val="es-ES"/>
        </w:rPr>
        <w:t xml:space="preserve"> إلى أن هذا الجزء من البلاغ غير مقبول بدوره بموجب المادة 2 من البروتوكول الاختياري.</w:t>
      </w:r>
    </w:p>
    <w:p w:rsidR="00C57C3C" w:rsidRPr="00C57C3C" w:rsidRDefault="00C57C3C" w:rsidP="00793349">
      <w:pPr>
        <w:pStyle w:val="SingleTxtGA"/>
        <w:rPr>
          <w:lang w:val="es-ES"/>
        </w:rPr>
      </w:pPr>
      <w:r w:rsidRPr="00C57C3C">
        <w:rPr>
          <w:rtl/>
          <w:lang w:val="es-ES"/>
        </w:rPr>
        <w:t>6-10</w:t>
      </w:r>
      <w:r w:rsidRPr="00C57C3C">
        <w:rPr>
          <w:rtl/>
          <w:lang w:val="es-ES"/>
        </w:rPr>
        <w:tab/>
        <w:t>وتحيط اللجنة علما بادعاء صاحب البلاغ المقدم في إطار المادة 14</w:t>
      </w:r>
      <w:r w:rsidR="00793349">
        <w:rPr>
          <w:rFonts w:hint="cs"/>
          <w:rtl/>
          <w:lang w:val="es-ES"/>
        </w:rPr>
        <w:t>‘3‘(ﻫ)</w:t>
      </w:r>
      <w:r w:rsidRPr="00C57C3C">
        <w:rPr>
          <w:rtl/>
          <w:lang w:val="es-ES"/>
        </w:rPr>
        <w:t xml:space="preserve"> بأن الشرطة حرمته من إمكانية </w:t>
      </w:r>
      <w:r w:rsidR="00793349">
        <w:rPr>
          <w:rFonts w:hint="cs"/>
          <w:rtl/>
          <w:lang w:val="es-ES"/>
        </w:rPr>
        <w:t xml:space="preserve">فحص </w:t>
      </w:r>
      <w:r w:rsidRPr="00C57C3C">
        <w:rPr>
          <w:rtl/>
          <w:lang w:val="es-ES"/>
        </w:rPr>
        <w:t>مسرح الجريمة، وبخاصة سيارة الضحية التي وضعت القنبلة فيها أو بج</w:t>
      </w:r>
      <w:r w:rsidR="00793349">
        <w:rPr>
          <w:rFonts w:hint="cs"/>
          <w:rtl/>
          <w:lang w:val="es-ES"/>
        </w:rPr>
        <w:t>ـ</w:t>
      </w:r>
      <w:r w:rsidRPr="00C57C3C">
        <w:rPr>
          <w:rtl/>
          <w:lang w:val="es-ES"/>
        </w:rPr>
        <w:t>وارها. وإذ تلاحظ اللجن</w:t>
      </w:r>
      <w:r w:rsidR="00793349">
        <w:rPr>
          <w:rFonts w:hint="cs"/>
          <w:rtl/>
          <w:lang w:val="es-ES"/>
        </w:rPr>
        <w:t>ـ</w:t>
      </w:r>
      <w:r w:rsidRPr="00C57C3C">
        <w:rPr>
          <w:rtl/>
          <w:lang w:val="es-ES"/>
        </w:rPr>
        <w:t>ة أن صاحب البلاغ لم يق</w:t>
      </w:r>
      <w:r w:rsidR="00793349">
        <w:rPr>
          <w:rFonts w:hint="cs"/>
          <w:rtl/>
          <w:lang w:val="es-ES"/>
        </w:rPr>
        <w:t>ـ</w:t>
      </w:r>
      <w:r w:rsidRPr="00C57C3C">
        <w:rPr>
          <w:rtl/>
          <w:lang w:val="es-ES"/>
        </w:rPr>
        <w:t>دم أدلة على ادعائه المقدم في إطار الم</w:t>
      </w:r>
      <w:r w:rsidR="00793349">
        <w:rPr>
          <w:rFonts w:hint="cs"/>
          <w:rtl/>
          <w:lang w:val="es-ES"/>
        </w:rPr>
        <w:t>ـ</w:t>
      </w:r>
      <w:r w:rsidRPr="00C57C3C">
        <w:rPr>
          <w:rtl/>
          <w:lang w:val="es-ES"/>
        </w:rPr>
        <w:t xml:space="preserve">ادة </w:t>
      </w:r>
      <w:r w:rsidR="00793349" w:rsidRPr="00C57C3C">
        <w:rPr>
          <w:rtl/>
          <w:lang w:val="es-ES"/>
        </w:rPr>
        <w:t>14</w:t>
      </w:r>
      <w:r w:rsidR="00793349">
        <w:rPr>
          <w:rFonts w:hint="cs"/>
          <w:rtl/>
          <w:lang w:val="es-ES"/>
        </w:rPr>
        <w:t>‘3‘(ﻫ)</w:t>
      </w:r>
      <w:r w:rsidRPr="00C57C3C">
        <w:rPr>
          <w:rtl/>
          <w:lang w:val="es-ES"/>
        </w:rPr>
        <w:t xml:space="preserve"> لأغراض المقبولية، فإنها تخلص إلى أنه ق</w:t>
      </w:r>
      <w:r w:rsidR="00793349">
        <w:rPr>
          <w:rFonts w:hint="cs"/>
          <w:rtl/>
          <w:lang w:val="es-ES"/>
        </w:rPr>
        <w:t>ـ</w:t>
      </w:r>
      <w:r w:rsidRPr="00C57C3C">
        <w:rPr>
          <w:rtl/>
          <w:lang w:val="es-ES"/>
        </w:rPr>
        <w:t xml:space="preserve">د </w:t>
      </w:r>
      <w:r w:rsidR="00793349">
        <w:rPr>
          <w:rFonts w:hint="cs"/>
          <w:rtl/>
          <w:lang w:val="es-ES"/>
        </w:rPr>
        <w:t>ي</w:t>
      </w:r>
      <w:r w:rsidRPr="00C57C3C">
        <w:rPr>
          <w:rtl/>
          <w:lang w:val="es-ES"/>
        </w:rPr>
        <w:t xml:space="preserve">ثير قضايا بموجب المادة </w:t>
      </w:r>
      <w:r w:rsidR="00793349" w:rsidRPr="00C57C3C">
        <w:rPr>
          <w:rtl/>
          <w:lang w:val="es-ES"/>
        </w:rPr>
        <w:t>14</w:t>
      </w:r>
      <w:r w:rsidR="00793349">
        <w:rPr>
          <w:rFonts w:hint="cs"/>
          <w:rtl/>
          <w:lang w:val="es-ES"/>
        </w:rPr>
        <w:t xml:space="preserve">‘3‘(ب) </w:t>
      </w:r>
      <w:r w:rsidRPr="00C57C3C">
        <w:rPr>
          <w:rtl/>
          <w:lang w:val="es-ES"/>
        </w:rPr>
        <w:t>من العهد، وتشير إلى أن صاحب البلاغ قد استنفد سبل الانتصاف المحلية فيما يتعلق بهذ</w:t>
      </w:r>
      <w:r w:rsidR="00793349">
        <w:rPr>
          <w:rFonts w:hint="cs"/>
          <w:rtl/>
          <w:lang w:val="es-ES"/>
        </w:rPr>
        <w:t>ا الادعاء</w:t>
      </w:r>
      <w:r w:rsidRPr="00C57C3C">
        <w:rPr>
          <w:rtl/>
          <w:lang w:val="es-ES"/>
        </w:rPr>
        <w:t>.</w:t>
      </w:r>
    </w:p>
    <w:p w:rsidR="00C57C3C" w:rsidRPr="00C57C3C" w:rsidRDefault="00C57C3C" w:rsidP="00070BC4">
      <w:pPr>
        <w:pStyle w:val="SingleTxtGA"/>
        <w:rPr>
          <w:lang w:val="es-ES"/>
        </w:rPr>
      </w:pPr>
      <w:r w:rsidRPr="00C57C3C">
        <w:rPr>
          <w:rtl/>
          <w:lang w:val="es-ES"/>
        </w:rPr>
        <w:t>6-11</w:t>
      </w:r>
      <w:r w:rsidRPr="00C57C3C">
        <w:rPr>
          <w:rtl/>
          <w:lang w:val="es-ES"/>
        </w:rPr>
        <w:tab/>
      </w:r>
      <w:r w:rsidR="00793349">
        <w:rPr>
          <w:rFonts w:hint="cs"/>
          <w:rtl/>
          <w:lang w:val="es-ES"/>
        </w:rPr>
        <w:t xml:space="preserve"> </w:t>
      </w:r>
      <w:r w:rsidRPr="00C57C3C">
        <w:rPr>
          <w:rtl/>
          <w:lang w:val="es-ES"/>
        </w:rPr>
        <w:t>وتكرر اللجنة التأكيد أن تقييم الوقائع والأدلة المدلى بها خلال المحكمة مسألة تقع مبدئيا</w:t>
      </w:r>
      <w:r w:rsidR="00793349">
        <w:rPr>
          <w:rFonts w:hint="cs"/>
          <w:rtl/>
          <w:lang w:val="es-ES"/>
        </w:rPr>
        <w:t>ً</w:t>
      </w:r>
      <w:r w:rsidRPr="00C57C3C">
        <w:rPr>
          <w:rtl/>
          <w:lang w:val="es-ES"/>
        </w:rPr>
        <w:t xml:space="preserve"> ضمن اختصاص المحاكم الوطنية ما لم يكن هذا التقييم متعسفا</w:t>
      </w:r>
      <w:r w:rsidR="00793349">
        <w:rPr>
          <w:rFonts w:hint="cs"/>
          <w:rtl/>
          <w:lang w:val="es-ES"/>
        </w:rPr>
        <w:t>ً</w:t>
      </w:r>
      <w:r w:rsidRPr="00C57C3C">
        <w:rPr>
          <w:rtl/>
          <w:lang w:val="es-ES"/>
        </w:rPr>
        <w:t xml:space="preserve"> بصورة واضحة أو شكل حرمانا</w:t>
      </w:r>
      <w:r w:rsidR="00793349">
        <w:rPr>
          <w:rFonts w:hint="cs"/>
          <w:rtl/>
          <w:lang w:val="es-ES"/>
        </w:rPr>
        <w:t>ً</w:t>
      </w:r>
      <w:r w:rsidRPr="00C57C3C">
        <w:rPr>
          <w:rtl/>
          <w:lang w:val="es-ES"/>
        </w:rPr>
        <w:t xml:space="preserve"> من العدالة</w:t>
      </w:r>
      <w:r w:rsidR="00793349">
        <w:rPr>
          <w:vertAlign w:val="superscript"/>
          <w:rtl/>
          <w:lang w:val="es-ES"/>
        </w:rPr>
        <w:t>(</w:t>
      </w:r>
      <w:r w:rsidR="00793349">
        <w:rPr>
          <w:rStyle w:val="FootnoteReference"/>
          <w:rtl/>
          <w:lang w:val="es-ES"/>
        </w:rPr>
        <w:footnoteReference w:id="19"/>
      </w:r>
      <w:r w:rsidR="00793349">
        <w:rPr>
          <w:vertAlign w:val="superscript"/>
          <w:rtl/>
          <w:lang w:val="es-ES"/>
        </w:rPr>
        <w:t>)</w:t>
      </w:r>
      <w:r w:rsidRPr="00C57C3C">
        <w:rPr>
          <w:rtl/>
          <w:lang w:val="es-ES"/>
        </w:rPr>
        <w:t xml:space="preserve">. وتذكِّر </w:t>
      </w:r>
      <w:r>
        <w:rPr>
          <w:rtl/>
          <w:lang w:val="es-ES"/>
        </w:rPr>
        <w:t>أيضاً</w:t>
      </w:r>
      <w:r w:rsidRPr="00C57C3C">
        <w:rPr>
          <w:rtl/>
          <w:lang w:val="es-ES"/>
        </w:rPr>
        <w:t xml:space="preserve"> بأن "التسهيلات </w:t>
      </w:r>
      <w:r w:rsidR="00793349">
        <w:rPr>
          <w:rFonts w:hint="cs"/>
          <w:rtl/>
          <w:lang w:val="es-ES"/>
        </w:rPr>
        <w:t>الكافية</w:t>
      </w:r>
      <w:r w:rsidRPr="00C57C3C">
        <w:rPr>
          <w:rtl/>
          <w:lang w:val="es-ES"/>
        </w:rPr>
        <w:t>" لإعداد الدفاع تشمل، ضمن مفهوم المادة 14</w:t>
      </w:r>
      <w:r w:rsidR="00793349">
        <w:rPr>
          <w:rFonts w:hint="cs"/>
          <w:rtl/>
          <w:lang w:val="es-ES"/>
        </w:rPr>
        <w:t>‘3‘</w:t>
      </w:r>
      <w:r w:rsidRPr="00C57C3C">
        <w:rPr>
          <w:rtl/>
          <w:lang w:val="es-ES"/>
        </w:rPr>
        <w:t>(ب) من العهد، إمكانية الوصول إلى جميع مواد الإثبات أو النفي التي يعتزم الادعاء تقديمها إلى المحكمة ضد المتهم</w:t>
      </w:r>
      <w:r w:rsidR="00793349">
        <w:rPr>
          <w:vertAlign w:val="superscript"/>
          <w:rtl/>
          <w:lang w:val="es-ES"/>
        </w:rPr>
        <w:t>(</w:t>
      </w:r>
      <w:r w:rsidR="00793349">
        <w:rPr>
          <w:rStyle w:val="FootnoteReference"/>
          <w:rtl/>
          <w:lang w:val="es-ES"/>
        </w:rPr>
        <w:footnoteReference w:id="20"/>
      </w:r>
      <w:r w:rsidR="00793349">
        <w:rPr>
          <w:vertAlign w:val="superscript"/>
          <w:rtl/>
          <w:lang w:val="es-ES"/>
        </w:rPr>
        <w:t>)</w:t>
      </w:r>
      <w:r w:rsidRPr="00C57C3C">
        <w:rPr>
          <w:rtl/>
          <w:lang w:val="es-ES"/>
        </w:rPr>
        <w:t xml:space="preserve">. ويجب فهم نطاق الحماية التي يكفلها هذا </w:t>
      </w:r>
      <w:r w:rsidR="00793349">
        <w:rPr>
          <w:rFonts w:hint="cs"/>
          <w:rtl/>
          <w:lang w:val="es-ES"/>
        </w:rPr>
        <w:t xml:space="preserve">النص </w:t>
      </w:r>
      <w:r w:rsidRPr="00C57C3C">
        <w:rPr>
          <w:rtl/>
          <w:lang w:val="es-ES"/>
        </w:rPr>
        <w:t>بأنه من السعة بحيث يضمن عدم إدانة أشخاص بناء على أدلة ليس لهم، أو لمن يمثلهم، إمكانية الوصول إليها بشكل كامل</w:t>
      </w:r>
      <w:r w:rsidR="004A76C4">
        <w:rPr>
          <w:vertAlign w:val="superscript"/>
          <w:rtl/>
          <w:lang w:val="es-ES"/>
        </w:rPr>
        <w:t>(</w:t>
      </w:r>
      <w:r w:rsidR="004A76C4">
        <w:rPr>
          <w:rStyle w:val="FootnoteReference"/>
          <w:rtl/>
          <w:lang w:val="es-ES"/>
        </w:rPr>
        <w:footnoteReference w:id="21"/>
      </w:r>
      <w:r w:rsidR="004A76C4">
        <w:rPr>
          <w:vertAlign w:val="superscript"/>
          <w:rtl/>
          <w:lang w:val="es-ES"/>
        </w:rPr>
        <w:t>)</w:t>
      </w:r>
      <w:r w:rsidRPr="00C57C3C">
        <w:rPr>
          <w:rtl/>
          <w:lang w:val="es-ES"/>
        </w:rPr>
        <w:t>.</w:t>
      </w:r>
    </w:p>
    <w:p w:rsidR="00C57C3C" w:rsidRDefault="00C57C3C" w:rsidP="00070BC4">
      <w:pPr>
        <w:pStyle w:val="SingleTxtGA"/>
        <w:rPr>
          <w:rFonts w:hint="cs"/>
          <w:rtl/>
          <w:lang w:val="es-ES"/>
        </w:rPr>
      </w:pPr>
      <w:r w:rsidRPr="00C57C3C">
        <w:rPr>
          <w:rtl/>
          <w:lang w:val="es-ES"/>
        </w:rPr>
        <w:t>6-12</w:t>
      </w:r>
      <w:r w:rsidRPr="00C57C3C">
        <w:rPr>
          <w:rtl/>
          <w:lang w:val="es-ES"/>
        </w:rPr>
        <w:tab/>
      </w:r>
      <w:r w:rsidR="004A76C4">
        <w:rPr>
          <w:rFonts w:hint="cs"/>
          <w:rtl/>
          <w:lang w:val="es-ES"/>
        </w:rPr>
        <w:t xml:space="preserve"> </w:t>
      </w:r>
      <w:r w:rsidRPr="00C57C3C">
        <w:rPr>
          <w:rtl/>
          <w:lang w:val="es-ES"/>
        </w:rPr>
        <w:t xml:space="preserve">وتلاحظ اللجنة أن التحقيق لم يحتفظ، في القضية قيد النظر، بسيارة الضحية </w:t>
      </w:r>
      <w:r w:rsidR="004A76C4">
        <w:rPr>
          <w:rFonts w:hint="cs"/>
          <w:rtl/>
          <w:lang w:val="es-ES"/>
        </w:rPr>
        <w:t xml:space="preserve">كدليل </w:t>
      </w:r>
      <w:r w:rsidRPr="00C57C3C">
        <w:rPr>
          <w:rtl/>
          <w:lang w:val="es-ES"/>
        </w:rPr>
        <w:t>مادي لإثبات عناصر الجريمة، ومن ثم لإدانة صاحب البلاغ، وإنما استند إلى عناصر إثبات أخرى من مثل شظايا الجهاز المتفجر وغيره من العينات. وأشارت اللجنة إلى ادعاء الدولة الطرف بأن تظلم صاحب البلاغ في هذا الصدد غير مبرر وأنه لم يسع أبدا</w:t>
      </w:r>
      <w:r w:rsidR="004A76C4">
        <w:rPr>
          <w:rFonts w:hint="cs"/>
          <w:rtl/>
          <w:lang w:val="es-ES"/>
        </w:rPr>
        <w:t>ً</w:t>
      </w:r>
      <w:r w:rsidRPr="00C57C3C">
        <w:rPr>
          <w:rtl/>
          <w:lang w:val="es-ES"/>
        </w:rPr>
        <w:t xml:space="preserve"> إلى الوصول إلى هذا الدليل. ولم ينازع صاحب البلاغ في هذا. وفي ضوء ملابسات القضية، تخلص اللجنة إلى أن صاحب البلاغ لم يثبت، لأغراض المقبولية، انتهاك حقوقه التي تكفلها المادة 14</w:t>
      </w:r>
      <w:r w:rsidR="004A76C4">
        <w:rPr>
          <w:rFonts w:hint="cs"/>
          <w:rtl/>
          <w:lang w:val="es-ES"/>
        </w:rPr>
        <w:t>‘3‘</w:t>
      </w:r>
      <w:r w:rsidRPr="00C57C3C">
        <w:rPr>
          <w:rtl/>
          <w:lang w:val="es-ES"/>
        </w:rPr>
        <w:t>(ب) من العهد. ونتيجة لذلك، فإن هذا الجزء من البلاغ غير مقبول بدوره بموجب المادة 2 من البروتوكول الاختياري.</w:t>
      </w:r>
    </w:p>
    <w:p w:rsidR="00C57C3C" w:rsidRPr="00C57C3C" w:rsidRDefault="004A76C4" w:rsidP="004A76C4">
      <w:pPr>
        <w:pStyle w:val="SingleTxtGA"/>
        <w:rPr>
          <w:rFonts w:hint="cs"/>
          <w:lang w:val="es-ES"/>
        </w:rPr>
      </w:pPr>
      <w:r>
        <w:rPr>
          <w:rtl/>
          <w:lang w:val="es-ES"/>
        </w:rPr>
        <w:br w:type="page"/>
      </w:r>
      <w:r w:rsidR="00C57C3C" w:rsidRPr="00C57C3C">
        <w:rPr>
          <w:rtl/>
          <w:lang w:val="es-ES"/>
        </w:rPr>
        <w:t>7-</w:t>
      </w:r>
      <w:r w:rsidR="00C57C3C" w:rsidRPr="00C57C3C">
        <w:rPr>
          <w:rtl/>
          <w:lang w:val="es-ES"/>
        </w:rPr>
        <w:tab/>
        <w:t>ولذلك تقرر اللجنة المعنية بحقوق الإنسان ما يلي</w:t>
      </w:r>
      <w:r>
        <w:rPr>
          <w:rFonts w:hint="cs"/>
          <w:rtl/>
          <w:lang w:val="es-ES"/>
        </w:rPr>
        <w:t>:</w:t>
      </w:r>
    </w:p>
    <w:p w:rsidR="00C57C3C" w:rsidRPr="00C57C3C" w:rsidRDefault="004A76C4" w:rsidP="004A76C4">
      <w:pPr>
        <w:pStyle w:val="SingleTxtGA"/>
        <w:rPr>
          <w:lang w:val="es-ES"/>
        </w:rPr>
      </w:pPr>
      <w:r>
        <w:rPr>
          <w:rFonts w:hint="cs"/>
          <w:rtl/>
          <w:lang w:val="es-ES"/>
        </w:rPr>
        <w:tab/>
      </w:r>
      <w:r w:rsidR="00C57C3C" w:rsidRPr="00C57C3C">
        <w:rPr>
          <w:rtl/>
          <w:lang w:val="es-ES"/>
        </w:rPr>
        <w:t>(أ)</w:t>
      </w:r>
      <w:r w:rsidR="00C57C3C" w:rsidRPr="00C57C3C">
        <w:rPr>
          <w:rtl/>
          <w:lang w:val="es-ES"/>
        </w:rPr>
        <w:tab/>
        <w:t>أن البلاغ غير مقبول بموجب المادتين 2 و5</w:t>
      </w:r>
      <w:r>
        <w:rPr>
          <w:rFonts w:hint="cs"/>
          <w:rtl/>
          <w:lang w:val="es-ES"/>
        </w:rPr>
        <w:t>‘2‘</w:t>
      </w:r>
      <w:r w:rsidR="00C57C3C" w:rsidRPr="00C57C3C">
        <w:rPr>
          <w:rtl/>
          <w:lang w:val="es-ES"/>
        </w:rPr>
        <w:t>(ب) من البروتوكول الاختياري؛</w:t>
      </w:r>
    </w:p>
    <w:p w:rsidR="00C57C3C" w:rsidRPr="00C57C3C" w:rsidRDefault="004A76C4" w:rsidP="004A76C4">
      <w:pPr>
        <w:pStyle w:val="SingleTxtGA"/>
        <w:rPr>
          <w:lang w:val="es-ES"/>
        </w:rPr>
      </w:pPr>
      <w:r>
        <w:rPr>
          <w:rFonts w:hint="cs"/>
          <w:rtl/>
          <w:lang w:val="es-ES"/>
        </w:rPr>
        <w:tab/>
      </w:r>
      <w:r w:rsidR="00C57C3C" w:rsidRPr="00C57C3C">
        <w:rPr>
          <w:rtl/>
          <w:lang w:val="es-ES"/>
        </w:rPr>
        <w:t>(ب)</w:t>
      </w:r>
      <w:r w:rsidR="00C57C3C" w:rsidRPr="00C57C3C">
        <w:rPr>
          <w:rtl/>
          <w:lang w:val="es-ES"/>
        </w:rPr>
        <w:tab/>
        <w:t>إحالة هذا القرار إلى الدولة الطرف وإلى صاحب البلاغ.</w:t>
      </w:r>
    </w:p>
    <w:p w:rsidR="00C57C3C" w:rsidRPr="00C57C3C" w:rsidRDefault="00C57C3C" w:rsidP="00070BC4">
      <w:pPr>
        <w:pStyle w:val="SingleTxtGA"/>
        <w:rPr>
          <w:lang w:val="es-ES"/>
        </w:rPr>
      </w:pPr>
      <w:r w:rsidRPr="00C57C3C">
        <w:rPr>
          <w:rtl/>
          <w:lang w:val="es-ES"/>
        </w:rPr>
        <w:t>[اعتُمد بالإسبانية والإنكليزية والفرنسية، علماً بأن النص الإنكليزي هو النص الأصلي. وس</w:t>
      </w:r>
      <w:r w:rsidR="00070BC4">
        <w:rPr>
          <w:rFonts w:hint="cs"/>
          <w:rtl/>
          <w:lang w:val="es-ES"/>
        </w:rPr>
        <w:t>ي</w:t>
      </w:r>
      <w:r w:rsidRPr="00C57C3C">
        <w:rPr>
          <w:rtl/>
          <w:lang w:val="es-ES"/>
        </w:rPr>
        <w:t>صدر لاحقاً بالروسية والصينية والعربية كجزء من تقرير اللجنة السنوي إلى الجمعية العامة.]</w:t>
      </w:r>
    </w:p>
    <w:p w:rsidR="00C57C3C" w:rsidRPr="004A76C4" w:rsidRDefault="004A76C4" w:rsidP="004A76C4">
      <w:pPr>
        <w:spacing w:before="120"/>
        <w:jc w:val="center"/>
        <w:rPr>
          <w:u w:val="single"/>
          <w:lang w:val="es-ES"/>
        </w:rPr>
      </w:pPr>
      <w:r>
        <w:rPr>
          <w:u w:val="single"/>
          <w:rtl/>
          <w:lang w:val="es-ES"/>
        </w:rPr>
        <w:tab/>
      </w:r>
      <w:r>
        <w:rPr>
          <w:u w:val="single"/>
          <w:rtl/>
          <w:lang w:val="es-ES"/>
        </w:rPr>
        <w:tab/>
      </w:r>
      <w:r>
        <w:rPr>
          <w:u w:val="single"/>
          <w:rtl/>
          <w:lang w:val="es-ES"/>
        </w:rPr>
        <w:tab/>
      </w:r>
    </w:p>
    <w:p w:rsidR="00C57C3C" w:rsidRPr="00C57C3C" w:rsidRDefault="00C57C3C" w:rsidP="00C57C3C">
      <w:pPr>
        <w:pStyle w:val="SingleTxtGA"/>
        <w:rPr>
          <w:rFonts w:hint="cs"/>
          <w:rtl/>
          <w:lang w:val="es-ES"/>
        </w:rPr>
      </w:pPr>
    </w:p>
    <w:sectPr w:rsidR="00C57C3C" w:rsidRPr="00C57C3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F4" w:rsidRPr="00FE6865" w:rsidRDefault="00E544F4" w:rsidP="00FE6865">
      <w:pPr>
        <w:pStyle w:val="Footer"/>
      </w:pPr>
    </w:p>
  </w:endnote>
  <w:endnote w:type="continuationSeparator" w:id="0">
    <w:p w:rsidR="00E544F4" w:rsidRDefault="00E5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3C" w:rsidRPr="00C57C3C" w:rsidRDefault="00C57C3C" w:rsidP="00C57C3C">
    <w:pPr>
      <w:pStyle w:val="Footer"/>
      <w:tabs>
        <w:tab w:val="right" w:pos="9598"/>
      </w:tabs>
    </w:pPr>
    <w:r>
      <w:t>GE.10-46148</w:t>
    </w:r>
    <w:r>
      <w:tab/>
    </w:r>
    <w:r w:rsidRPr="00C57C3C">
      <w:rPr>
        <w:b/>
        <w:sz w:val="18"/>
      </w:rPr>
      <w:fldChar w:fldCharType="begin"/>
    </w:r>
    <w:r w:rsidRPr="00C57C3C">
      <w:rPr>
        <w:b/>
        <w:sz w:val="18"/>
      </w:rPr>
      <w:instrText xml:space="preserve"> PAGE  \* MERGEFORMAT </w:instrText>
    </w:r>
    <w:r w:rsidRPr="00C57C3C">
      <w:rPr>
        <w:b/>
        <w:sz w:val="18"/>
      </w:rPr>
      <w:fldChar w:fldCharType="separate"/>
    </w:r>
    <w:r w:rsidR="00A17961">
      <w:rPr>
        <w:b/>
        <w:noProof/>
        <w:sz w:val="18"/>
      </w:rPr>
      <w:t>12</w:t>
    </w:r>
    <w:r w:rsidRPr="00C57C3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3C" w:rsidRPr="00C57C3C" w:rsidRDefault="00C57C3C" w:rsidP="00C57C3C">
    <w:pPr>
      <w:pStyle w:val="Footer"/>
      <w:tabs>
        <w:tab w:val="right" w:pos="9598"/>
      </w:tabs>
      <w:rPr>
        <w:b/>
        <w:sz w:val="18"/>
      </w:rPr>
    </w:pPr>
    <w:r w:rsidRPr="00C57C3C">
      <w:rPr>
        <w:b/>
        <w:sz w:val="18"/>
      </w:rPr>
      <w:fldChar w:fldCharType="begin"/>
    </w:r>
    <w:r w:rsidRPr="00C57C3C">
      <w:rPr>
        <w:b/>
        <w:sz w:val="18"/>
      </w:rPr>
      <w:instrText xml:space="preserve"> PAGE  \* MERGEFORMAT </w:instrText>
    </w:r>
    <w:r w:rsidRPr="00C57C3C">
      <w:rPr>
        <w:b/>
        <w:sz w:val="18"/>
      </w:rPr>
      <w:fldChar w:fldCharType="separate"/>
    </w:r>
    <w:r w:rsidR="00A17961">
      <w:rPr>
        <w:b/>
        <w:noProof/>
        <w:sz w:val="18"/>
      </w:rPr>
      <w:t>13</w:t>
    </w:r>
    <w:r w:rsidRPr="00C57C3C">
      <w:rPr>
        <w:b/>
        <w:sz w:val="18"/>
      </w:rPr>
      <w:fldChar w:fldCharType="end"/>
    </w:r>
    <w:r>
      <w:rPr>
        <w:b/>
        <w:sz w:val="18"/>
      </w:rPr>
      <w:tab/>
    </w:r>
    <w:r>
      <w:t>GE.10-46148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3C" w:rsidRDefault="00C57C3C" w:rsidP="00070BC4">
    <w:pPr>
      <w:pStyle w:val="Footer"/>
      <w:jc w:val="right"/>
    </w:pPr>
    <w:r>
      <w:rPr>
        <w:sz w:val="20"/>
      </w:rPr>
      <w:t>(A)   GE.10-46148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300311    3</w:t>
    </w:r>
    <w:r w:rsidR="00070BC4">
      <w:rPr>
        <w:sz w:val="20"/>
      </w:rPr>
      <w:t>1</w:t>
    </w:r>
    <w:r>
      <w:rPr>
        <w:sz w:val="20"/>
      </w:rPr>
      <w:t>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F4" w:rsidRDefault="00E544F4" w:rsidP="007E4686">
      <w:pPr>
        <w:pStyle w:val="Footer"/>
        <w:bidi/>
        <w:spacing w:after="80" w:line="200" w:lineRule="exact"/>
        <w:ind w:left="680"/>
      </w:pPr>
      <w:r>
        <w:rPr>
          <w:rFonts w:hint="cs"/>
          <w:rtl/>
        </w:rPr>
        <w:t>__________</w:t>
      </w:r>
    </w:p>
  </w:footnote>
  <w:footnote w:type="continuationSeparator" w:id="0">
    <w:p w:rsidR="00E544F4" w:rsidRDefault="00E544F4" w:rsidP="007E4686">
      <w:pPr>
        <w:pStyle w:val="Footer"/>
        <w:bidi/>
        <w:spacing w:after="80" w:line="200" w:lineRule="exact"/>
        <w:ind w:left="680"/>
      </w:pPr>
      <w:r>
        <w:rPr>
          <w:rFonts w:hint="cs"/>
          <w:rtl/>
        </w:rPr>
        <w:t>__________</w:t>
      </w:r>
    </w:p>
  </w:footnote>
  <w:footnote w:id="1">
    <w:p w:rsidR="00C57C3C" w:rsidRPr="00C57C3C" w:rsidRDefault="00C57C3C" w:rsidP="00C57C3C">
      <w:pPr>
        <w:pStyle w:val="footnoteText0"/>
        <w:rPr>
          <w:rFonts w:hint="cs"/>
        </w:rPr>
      </w:pPr>
      <w:r>
        <w:rPr>
          <w:rtl/>
        </w:rPr>
        <w:tab/>
      </w:r>
      <w:r w:rsidRPr="00C57C3C">
        <w:rPr>
          <w:rStyle w:val="FootnoteReference"/>
          <w:sz w:val="20"/>
          <w:vertAlign w:val="baseline"/>
          <w:rtl/>
        </w:rPr>
        <w:t>*</w:t>
      </w:r>
      <w:r>
        <w:rPr>
          <w:rtl/>
        </w:rPr>
        <w:tab/>
      </w:r>
      <w:r>
        <w:rPr>
          <w:rFonts w:hint="cs"/>
          <w:rtl/>
        </w:rPr>
        <w:t>أصبحت هذه الوثيقة علنية بقرار من اللجنة المعنية بحقوق الإنسان.</w:t>
      </w:r>
    </w:p>
  </w:footnote>
  <w:footnote w:id="2">
    <w:p w:rsidR="00C57C3C" w:rsidRPr="00070BC4" w:rsidRDefault="00C57C3C" w:rsidP="00070BC4">
      <w:pPr>
        <w:pStyle w:val="footnoteText0"/>
        <w:tabs>
          <w:tab w:val="left" w:pos="1239"/>
        </w:tabs>
        <w:rPr>
          <w:rFonts w:hint="cs"/>
          <w:rtl/>
        </w:rPr>
      </w:pPr>
      <w:r>
        <w:rPr>
          <w:rtl/>
        </w:rPr>
        <w:tab/>
      </w:r>
      <w:r w:rsidRPr="00C57C3C">
        <w:rPr>
          <w:rStyle w:val="FootnoteReference"/>
          <w:sz w:val="20"/>
          <w:vertAlign w:val="baseline"/>
          <w:rtl/>
        </w:rPr>
        <w:t>**</w:t>
      </w:r>
      <w:r>
        <w:rPr>
          <w:rtl/>
        </w:rPr>
        <w:tab/>
      </w:r>
      <w:bookmarkStart w:id="0" w:name="OLE_LINK1"/>
      <w:bookmarkStart w:id="1" w:name="OLE_LINK2"/>
      <w:r w:rsidRPr="00070BC4">
        <w:rPr>
          <w:sz w:val="24"/>
          <w:rtl/>
          <w:lang w:bidi="ar-MA"/>
        </w:rPr>
        <w:t>شارك أعضاء اللجنة التالية أسماؤهم في بحث هذا البلاغ:</w:t>
      </w:r>
      <w:r w:rsidR="00070BC4" w:rsidRPr="00070BC4">
        <w:rPr>
          <w:rFonts w:hint="cs"/>
          <w:sz w:val="24"/>
          <w:rtl/>
          <w:lang w:bidi="ar-MA"/>
        </w:rPr>
        <w:t xml:space="preserve"> </w:t>
      </w:r>
      <w:r w:rsidRPr="00070BC4">
        <w:rPr>
          <w:sz w:val="24"/>
          <w:rtl/>
          <w:lang w:bidi="ar-MA"/>
        </w:rPr>
        <w:t>السيد عبد الفتاح عمر، والسيد برافولاتشاندرا ناتوارلال باغواتي، والسيد الأزهري بوزيد، والسيدة كريستين شانيه، والسيد محجو</w:t>
      </w:r>
      <w:r w:rsidR="00070BC4" w:rsidRPr="00070BC4">
        <w:rPr>
          <w:rFonts w:hint="cs"/>
          <w:sz w:val="24"/>
          <w:rtl/>
          <w:lang w:bidi="ar-MA"/>
        </w:rPr>
        <w:t>ب</w:t>
      </w:r>
      <w:r w:rsidRPr="00070BC4">
        <w:rPr>
          <w:sz w:val="24"/>
          <w:rtl/>
          <w:lang w:bidi="ar-MA"/>
        </w:rPr>
        <w:t xml:space="preserve"> الهيبة، والسيد أحمد أمين فتح الله، والسيد يوغي إيواساوا، والسيدة هيلين كيلر، والسيد راجسومر لالاه، والسيدة زونكي زانيلي ماجودينا، والسيدة يوليا أنطوانيلا موتوك، والسيد مايكل أوفلاهرتي، والسيد رافائيل ريفاس بوسادا، والسير نايجل رودلي، والسيد فابيان عمر سالفيولي، والسيد كريستر تيلين.</w:t>
      </w:r>
      <w:bookmarkEnd w:id="0"/>
      <w:bookmarkEnd w:id="1"/>
    </w:p>
  </w:footnote>
  <w:footnote w:id="3">
    <w:p w:rsidR="008C5D3F" w:rsidRPr="00C82D07" w:rsidRDefault="008C5D3F" w:rsidP="00F33514">
      <w:pPr>
        <w:pStyle w:val="FootnoteText"/>
        <w:numPr>
          <w:ilvl w:val="0"/>
          <w:numId w:val="40"/>
        </w:numPr>
        <w:tabs>
          <w:tab w:val="clear" w:pos="1299"/>
          <w:tab w:val="left" w:pos="1239"/>
        </w:tabs>
        <w:spacing w:after="60" w:line="300" w:lineRule="exact"/>
        <w:ind w:left="1247" w:right="1247" w:hanging="274"/>
        <w:rPr>
          <w:rFonts w:hint="cs"/>
          <w:sz w:val="18"/>
          <w:szCs w:val="26"/>
        </w:rPr>
      </w:pPr>
      <w:r w:rsidRPr="00C82D07">
        <w:rPr>
          <w:sz w:val="18"/>
          <w:szCs w:val="26"/>
          <w:rtl/>
          <w:lang w:bidi="ar-MA"/>
        </w:rPr>
        <w:t xml:space="preserve">دخل العهد والبروتوكول الاختياري الملحق به حيز النفاذ في الدولة الطرف </w:t>
      </w:r>
      <w:r w:rsidR="00F33514" w:rsidRPr="00C82D07">
        <w:rPr>
          <w:rFonts w:hint="cs"/>
          <w:sz w:val="18"/>
          <w:szCs w:val="26"/>
          <w:rtl/>
          <w:lang w:bidi="ar-MA"/>
        </w:rPr>
        <w:t xml:space="preserve">على التوالي </w:t>
      </w:r>
      <w:r w:rsidRPr="00C82D07">
        <w:rPr>
          <w:sz w:val="18"/>
          <w:szCs w:val="26"/>
          <w:rtl/>
          <w:lang w:bidi="ar-MA"/>
        </w:rPr>
        <w:t>في 2 نيسان/</w:t>
      </w:r>
      <w:r w:rsidR="00F33514" w:rsidRPr="00C82D07">
        <w:rPr>
          <w:rFonts w:hint="cs"/>
          <w:sz w:val="18"/>
          <w:szCs w:val="26"/>
          <w:rtl/>
          <w:lang w:bidi="ar-MA"/>
        </w:rPr>
        <w:t xml:space="preserve">      </w:t>
      </w:r>
      <w:r w:rsidRPr="00C82D07">
        <w:rPr>
          <w:sz w:val="18"/>
          <w:szCs w:val="26"/>
          <w:rtl/>
          <w:lang w:bidi="ar-MA"/>
        </w:rPr>
        <w:t>أبريل 1969 و15 نيسان/أبريل 1992.</w:t>
      </w:r>
    </w:p>
  </w:footnote>
  <w:footnote w:id="4">
    <w:p w:rsidR="00F33514" w:rsidRPr="00C82D07" w:rsidRDefault="00F33514" w:rsidP="00F33514">
      <w:pPr>
        <w:pStyle w:val="FootnoteText"/>
        <w:numPr>
          <w:ilvl w:val="0"/>
          <w:numId w:val="40"/>
        </w:numPr>
        <w:tabs>
          <w:tab w:val="clear" w:pos="1299"/>
          <w:tab w:val="left" w:pos="1239"/>
        </w:tabs>
        <w:spacing w:after="60" w:line="300" w:lineRule="exact"/>
        <w:ind w:left="1247" w:right="1247" w:hanging="274"/>
        <w:rPr>
          <w:rFonts w:hint="cs"/>
          <w:sz w:val="18"/>
          <w:szCs w:val="26"/>
        </w:rPr>
      </w:pPr>
      <w:r w:rsidRPr="00C82D07">
        <w:rPr>
          <w:sz w:val="18"/>
          <w:szCs w:val="26"/>
          <w:rtl/>
          <w:lang w:bidi="ar-MA"/>
        </w:rPr>
        <w:t>يطعن صاحب البلاغ في هذه الواقعة.</w:t>
      </w:r>
    </w:p>
  </w:footnote>
  <w:footnote w:id="5">
    <w:p w:rsidR="00F33514" w:rsidRPr="00C82D07" w:rsidRDefault="00F33514" w:rsidP="00F33514">
      <w:pPr>
        <w:pStyle w:val="FootnoteText"/>
        <w:numPr>
          <w:ilvl w:val="0"/>
          <w:numId w:val="40"/>
        </w:numPr>
        <w:tabs>
          <w:tab w:val="clear" w:pos="1299"/>
          <w:tab w:val="left" w:pos="1239"/>
        </w:tabs>
        <w:spacing w:after="60" w:line="300" w:lineRule="exact"/>
        <w:ind w:left="1247" w:right="1247" w:hanging="274"/>
        <w:rPr>
          <w:rFonts w:hint="cs"/>
          <w:sz w:val="18"/>
          <w:szCs w:val="26"/>
        </w:rPr>
      </w:pPr>
      <w:r w:rsidRPr="00C82D07">
        <w:rPr>
          <w:sz w:val="18"/>
          <w:szCs w:val="26"/>
          <w:rtl/>
          <w:lang w:bidi="ar-MA"/>
        </w:rPr>
        <w:t>يذكر أن القاضي فقد</w:t>
      </w:r>
      <w:r w:rsidRPr="00C82D07">
        <w:rPr>
          <w:rFonts w:hint="cs"/>
          <w:sz w:val="18"/>
          <w:szCs w:val="26"/>
          <w:rtl/>
          <w:lang w:bidi="ar-MA"/>
        </w:rPr>
        <w:t xml:space="preserve"> إحدى</w:t>
      </w:r>
      <w:r w:rsidRPr="00C82D07">
        <w:rPr>
          <w:sz w:val="18"/>
          <w:szCs w:val="26"/>
          <w:rtl/>
          <w:lang w:bidi="ar-MA"/>
        </w:rPr>
        <w:t xml:space="preserve"> بنان</w:t>
      </w:r>
      <w:r w:rsidRPr="00C82D07">
        <w:rPr>
          <w:rFonts w:hint="cs"/>
          <w:sz w:val="18"/>
          <w:szCs w:val="26"/>
          <w:rtl/>
          <w:lang w:bidi="ar-MA"/>
        </w:rPr>
        <w:t>ه</w:t>
      </w:r>
      <w:r w:rsidRPr="00C82D07">
        <w:rPr>
          <w:sz w:val="18"/>
          <w:szCs w:val="26"/>
          <w:rtl/>
          <w:lang w:bidi="ar-MA"/>
        </w:rPr>
        <w:t xml:space="preserve"> في الانفجار.</w:t>
      </w:r>
    </w:p>
  </w:footnote>
  <w:footnote w:id="6">
    <w:p w:rsidR="00F33514" w:rsidRPr="00C82D07" w:rsidRDefault="00F33514" w:rsidP="00F33514">
      <w:pPr>
        <w:pStyle w:val="FootnoteText"/>
        <w:numPr>
          <w:ilvl w:val="0"/>
          <w:numId w:val="40"/>
        </w:numPr>
        <w:tabs>
          <w:tab w:val="clear" w:pos="1299"/>
          <w:tab w:val="left" w:pos="1239"/>
        </w:tabs>
        <w:spacing w:after="60" w:line="300" w:lineRule="exact"/>
        <w:ind w:left="1247" w:right="1247" w:hanging="274"/>
        <w:rPr>
          <w:rFonts w:hint="cs"/>
          <w:sz w:val="18"/>
          <w:szCs w:val="26"/>
        </w:rPr>
      </w:pPr>
      <w:r w:rsidRPr="00C82D07">
        <w:rPr>
          <w:sz w:val="18"/>
          <w:szCs w:val="26"/>
          <w:rtl/>
          <w:lang w:bidi="ar-MA"/>
        </w:rPr>
        <w:t>أي يوم ارتكاب الجريمة.</w:t>
      </w:r>
    </w:p>
  </w:footnote>
  <w:footnote w:id="7">
    <w:p w:rsidR="00F33514" w:rsidRPr="00C82D07" w:rsidRDefault="00C82D07" w:rsidP="00C82D07">
      <w:pPr>
        <w:pStyle w:val="FootnoteText"/>
        <w:numPr>
          <w:ilvl w:val="0"/>
          <w:numId w:val="40"/>
        </w:numPr>
        <w:tabs>
          <w:tab w:val="clear" w:pos="1299"/>
          <w:tab w:val="left" w:pos="1239"/>
        </w:tabs>
        <w:spacing w:after="60" w:line="300" w:lineRule="exact"/>
        <w:ind w:left="1247" w:right="1247" w:hanging="274"/>
        <w:rPr>
          <w:rFonts w:hint="cs"/>
          <w:sz w:val="18"/>
          <w:szCs w:val="26"/>
        </w:rPr>
      </w:pPr>
      <w:r w:rsidRPr="00C82D07">
        <w:rPr>
          <w:sz w:val="18"/>
          <w:szCs w:val="26"/>
          <w:rtl/>
          <w:lang w:bidi="ar-MA"/>
        </w:rPr>
        <w:t>هذه المعلومة مستقاة من محاضر مداولات محكمة جنايات ليماسول (جلسة استماع</w:t>
      </w:r>
      <w:r w:rsidRPr="00C82D07">
        <w:rPr>
          <w:rFonts w:hint="cs"/>
          <w:sz w:val="18"/>
          <w:szCs w:val="26"/>
          <w:rtl/>
        </w:rPr>
        <w:t xml:space="preserve"> يوم</w:t>
      </w:r>
      <w:r w:rsidRPr="00C82D07">
        <w:rPr>
          <w:sz w:val="18"/>
          <w:szCs w:val="26"/>
          <w:rtl/>
          <w:lang w:bidi="ar-MA"/>
        </w:rPr>
        <w:t xml:space="preserve"> 18 حزيران/</w:t>
      </w:r>
      <w:r>
        <w:rPr>
          <w:rFonts w:hint="cs"/>
          <w:sz w:val="18"/>
          <w:szCs w:val="26"/>
          <w:rtl/>
          <w:lang w:bidi="ar-MA"/>
        </w:rPr>
        <w:t xml:space="preserve">       </w:t>
      </w:r>
      <w:r w:rsidRPr="00C82D07">
        <w:rPr>
          <w:sz w:val="18"/>
          <w:szCs w:val="26"/>
          <w:rtl/>
          <w:lang w:bidi="ar-MA"/>
        </w:rPr>
        <w:t>يونيه 1997).</w:t>
      </w:r>
    </w:p>
  </w:footnote>
  <w:footnote w:id="8">
    <w:p w:rsidR="00C82D07" w:rsidRPr="0086541A" w:rsidRDefault="0086541A" w:rsidP="00070BC4">
      <w:pPr>
        <w:pStyle w:val="FootnoteText"/>
        <w:numPr>
          <w:ilvl w:val="0"/>
          <w:numId w:val="40"/>
        </w:numPr>
        <w:tabs>
          <w:tab w:val="clear" w:pos="1299"/>
          <w:tab w:val="left" w:pos="1239"/>
        </w:tabs>
        <w:spacing w:after="60" w:line="300" w:lineRule="exact"/>
        <w:ind w:left="1247" w:right="1247" w:hanging="272"/>
        <w:rPr>
          <w:rFonts w:hint="cs"/>
          <w:sz w:val="26"/>
          <w:szCs w:val="26"/>
        </w:rPr>
      </w:pPr>
      <w:r w:rsidRPr="0086541A">
        <w:rPr>
          <w:sz w:val="26"/>
          <w:szCs w:val="26"/>
          <w:rtl/>
          <w:lang w:bidi="ar-MA"/>
        </w:rPr>
        <w:t xml:space="preserve">الطلبات رقم 14171/04 و26844/06 و10181/07. ولا توجد </w:t>
      </w:r>
      <w:r w:rsidR="00070BC4">
        <w:rPr>
          <w:rFonts w:hint="cs"/>
          <w:sz w:val="26"/>
          <w:szCs w:val="26"/>
          <w:rtl/>
          <w:lang w:bidi="ar-MA"/>
        </w:rPr>
        <w:t>في الملف</w:t>
      </w:r>
      <w:r w:rsidRPr="0086541A">
        <w:rPr>
          <w:sz w:val="26"/>
          <w:szCs w:val="26"/>
          <w:rtl/>
          <w:lang w:bidi="ar-MA"/>
        </w:rPr>
        <w:t xml:space="preserve"> طلبات صاحب البلاغ إلى المحكمة الأوروبية لحقوق الإنسان المتعلقة بهذه القرارات، ومن ثم فإن مزاعمه المعروضة على المحكمة الأوروبية لحقوق الإنسان بشأن هذه الشكاوى غير معروفة.</w:t>
      </w:r>
    </w:p>
  </w:footnote>
  <w:footnote w:id="9">
    <w:p w:rsidR="00C82D07" w:rsidRPr="0086541A" w:rsidRDefault="0086541A" w:rsidP="0086541A">
      <w:pPr>
        <w:pStyle w:val="FootnoteText"/>
        <w:numPr>
          <w:ilvl w:val="0"/>
          <w:numId w:val="40"/>
        </w:numPr>
        <w:tabs>
          <w:tab w:val="clear" w:pos="1299"/>
          <w:tab w:val="left" w:pos="1239"/>
        </w:tabs>
        <w:spacing w:after="60" w:line="300" w:lineRule="exact"/>
        <w:ind w:left="1247" w:right="1247" w:hanging="272"/>
        <w:rPr>
          <w:rFonts w:hint="cs"/>
          <w:sz w:val="26"/>
          <w:szCs w:val="26"/>
        </w:rPr>
      </w:pPr>
      <w:r w:rsidRPr="0086541A">
        <w:rPr>
          <w:i/>
          <w:iCs/>
          <w:sz w:val="26"/>
          <w:szCs w:val="26"/>
          <w:rtl/>
          <w:lang w:bidi="ar-MA"/>
        </w:rPr>
        <w:t>أونوفريو ضد قبرص</w:t>
      </w:r>
      <w:r w:rsidRPr="0086541A">
        <w:rPr>
          <w:sz w:val="26"/>
          <w:szCs w:val="26"/>
          <w:rtl/>
          <w:lang w:bidi="ar-MA"/>
        </w:rPr>
        <w:t>، الطلب رقم 24407/04، الحكم الصادر في 7 كانون الثاني/يناير 2010 (الحكم النهائي في 7 نيسان/أبريل 2010).</w:t>
      </w:r>
    </w:p>
  </w:footnote>
  <w:footnote w:id="10">
    <w:p w:rsidR="00C82D07" w:rsidRPr="0086541A" w:rsidRDefault="0086541A" w:rsidP="0086541A">
      <w:pPr>
        <w:pStyle w:val="FootnoteText"/>
        <w:numPr>
          <w:ilvl w:val="0"/>
          <w:numId w:val="40"/>
        </w:numPr>
        <w:tabs>
          <w:tab w:val="clear" w:pos="1299"/>
          <w:tab w:val="left" w:pos="1239"/>
        </w:tabs>
        <w:spacing w:after="60" w:line="300" w:lineRule="exact"/>
        <w:ind w:left="1247" w:right="1247" w:hanging="272"/>
        <w:rPr>
          <w:rFonts w:hint="cs"/>
          <w:sz w:val="26"/>
          <w:szCs w:val="26"/>
        </w:rPr>
      </w:pPr>
      <w:r w:rsidRPr="0086541A">
        <w:rPr>
          <w:sz w:val="26"/>
          <w:szCs w:val="26"/>
          <w:rtl/>
          <w:lang w:bidi="ar-MA"/>
        </w:rPr>
        <w:t>حظر التعذيب والمعاملة أو العقوبة اللاإنسانية أو المهينة.</w:t>
      </w:r>
    </w:p>
  </w:footnote>
  <w:footnote w:id="11">
    <w:p w:rsidR="0086541A" w:rsidRPr="0086541A" w:rsidRDefault="0086541A" w:rsidP="0086541A">
      <w:pPr>
        <w:pStyle w:val="FootnoteText"/>
        <w:numPr>
          <w:ilvl w:val="0"/>
          <w:numId w:val="40"/>
        </w:numPr>
        <w:tabs>
          <w:tab w:val="clear" w:pos="1299"/>
          <w:tab w:val="left" w:pos="1239"/>
        </w:tabs>
        <w:spacing w:after="60" w:line="300" w:lineRule="exact"/>
        <w:ind w:left="1247" w:right="1247" w:hanging="272"/>
        <w:rPr>
          <w:rFonts w:hint="cs"/>
          <w:sz w:val="26"/>
          <w:szCs w:val="26"/>
        </w:rPr>
      </w:pPr>
      <w:r w:rsidRPr="0086541A">
        <w:rPr>
          <w:sz w:val="26"/>
          <w:szCs w:val="26"/>
          <w:rtl/>
          <w:lang w:bidi="ar-MA"/>
        </w:rPr>
        <w:t>يدعي صاحب البلاغ أن المحاضر كانت تنقصها الصفحات التي تستنسخ استجواب الادعاء لشاهد النفي رقم 4، في إطار استجواب شهود الخصم، واستجواب شاهد النفي رقم 5.</w:t>
      </w:r>
      <w:r>
        <w:rPr>
          <w:rFonts w:hint="cs"/>
          <w:sz w:val="26"/>
          <w:szCs w:val="26"/>
          <w:rtl/>
          <w:lang w:bidi="ar-MA"/>
        </w:rPr>
        <w:t xml:space="preserve"> </w:t>
      </w:r>
      <w:r w:rsidRPr="0086541A">
        <w:rPr>
          <w:sz w:val="26"/>
          <w:szCs w:val="26"/>
          <w:rtl/>
          <w:lang w:bidi="ar-MA"/>
        </w:rPr>
        <w:t>ولا يقدم صاحب البلاغ تفاصيل عن محتويات ال</w:t>
      </w:r>
      <w:r w:rsidRPr="0086541A">
        <w:rPr>
          <w:rFonts w:hint="cs"/>
          <w:sz w:val="26"/>
          <w:szCs w:val="26"/>
          <w:rtl/>
          <w:lang w:bidi="ar-MA"/>
        </w:rPr>
        <w:t xml:space="preserve">إفادات </w:t>
      </w:r>
      <w:r w:rsidRPr="0086541A">
        <w:rPr>
          <w:sz w:val="26"/>
          <w:szCs w:val="26"/>
          <w:rtl/>
          <w:lang w:bidi="ar-MA"/>
        </w:rPr>
        <w:t>ذات الصلة ولا أثرها على حقه في الدفاع.</w:t>
      </w:r>
    </w:p>
  </w:footnote>
  <w:footnote w:id="12">
    <w:p w:rsidR="0086541A" w:rsidRPr="0086541A" w:rsidRDefault="0086541A" w:rsidP="00070BC4">
      <w:pPr>
        <w:pStyle w:val="FootnoteText"/>
        <w:numPr>
          <w:ilvl w:val="0"/>
          <w:numId w:val="40"/>
        </w:numPr>
        <w:tabs>
          <w:tab w:val="clear" w:pos="1299"/>
          <w:tab w:val="left" w:pos="1239"/>
        </w:tabs>
        <w:spacing w:after="60" w:line="300" w:lineRule="exact"/>
        <w:ind w:left="1247" w:right="1247" w:hanging="272"/>
        <w:rPr>
          <w:rFonts w:hint="cs"/>
          <w:sz w:val="26"/>
          <w:szCs w:val="26"/>
        </w:rPr>
      </w:pPr>
      <w:r w:rsidRPr="0086541A">
        <w:rPr>
          <w:sz w:val="26"/>
          <w:szCs w:val="26"/>
          <w:rtl/>
          <w:lang w:bidi="ar-MA"/>
        </w:rPr>
        <w:t xml:space="preserve">يتناقض </w:t>
      </w:r>
      <w:r>
        <w:rPr>
          <w:rFonts w:hint="cs"/>
          <w:sz w:val="26"/>
          <w:szCs w:val="26"/>
          <w:rtl/>
          <w:lang w:bidi="ar-MA"/>
        </w:rPr>
        <w:t xml:space="preserve">هذا </w:t>
      </w:r>
      <w:r w:rsidRPr="0086541A">
        <w:rPr>
          <w:sz w:val="26"/>
          <w:szCs w:val="26"/>
          <w:rtl/>
          <w:lang w:bidi="ar-MA"/>
        </w:rPr>
        <w:t>مع سجلات مداولات محكمة جنايات ليماسول التي ت</w:t>
      </w:r>
      <w:r w:rsidRPr="0086541A">
        <w:rPr>
          <w:rFonts w:hint="cs"/>
          <w:sz w:val="26"/>
          <w:szCs w:val="26"/>
          <w:rtl/>
          <w:lang w:bidi="ar-MA"/>
        </w:rPr>
        <w:t xml:space="preserve">بين </w:t>
      </w:r>
      <w:r w:rsidRPr="0086541A">
        <w:rPr>
          <w:sz w:val="26"/>
          <w:szCs w:val="26"/>
          <w:rtl/>
          <w:lang w:bidi="ar-MA"/>
        </w:rPr>
        <w:t>أن صاحب البلاغ لم يقبل أيا</w:t>
      </w:r>
      <w:r>
        <w:rPr>
          <w:rFonts w:hint="cs"/>
          <w:sz w:val="26"/>
          <w:szCs w:val="26"/>
          <w:rtl/>
          <w:lang w:bidi="ar-MA"/>
        </w:rPr>
        <w:t>ً</w:t>
      </w:r>
      <w:r w:rsidRPr="0086541A">
        <w:rPr>
          <w:sz w:val="26"/>
          <w:szCs w:val="26"/>
          <w:rtl/>
          <w:lang w:bidi="ar-MA"/>
        </w:rPr>
        <w:t xml:space="preserve"> من المحاميي</w:t>
      </w:r>
      <w:r w:rsidRPr="0086541A">
        <w:rPr>
          <w:rFonts w:hint="cs"/>
          <w:sz w:val="26"/>
          <w:szCs w:val="26"/>
          <w:rtl/>
          <w:lang w:bidi="ar-MA"/>
        </w:rPr>
        <w:t>ْ</w:t>
      </w:r>
      <w:r w:rsidRPr="0086541A">
        <w:rPr>
          <w:sz w:val="26"/>
          <w:szCs w:val="26"/>
          <w:rtl/>
          <w:lang w:bidi="ar-MA"/>
        </w:rPr>
        <w:t xml:space="preserve">ن الذين </w:t>
      </w:r>
      <w:r w:rsidRPr="0086541A">
        <w:rPr>
          <w:rFonts w:hint="cs"/>
          <w:sz w:val="26"/>
          <w:szCs w:val="26"/>
          <w:rtl/>
          <w:lang w:bidi="ar-MA"/>
        </w:rPr>
        <w:t xml:space="preserve">رشحتهما </w:t>
      </w:r>
      <w:r w:rsidRPr="0086541A">
        <w:rPr>
          <w:sz w:val="26"/>
          <w:szCs w:val="26"/>
          <w:rtl/>
          <w:lang w:bidi="ar-MA"/>
        </w:rPr>
        <w:t>نقابة المحامين.</w:t>
      </w:r>
      <w:r w:rsidR="00070BC4">
        <w:rPr>
          <w:rFonts w:hint="cs"/>
          <w:sz w:val="26"/>
          <w:szCs w:val="26"/>
          <w:rtl/>
          <w:lang w:bidi="ar-MA"/>
        </w:rPr>
        <w:t xml:space="preserve"> </w:t>
      </w:r>
      <w:r w:rsidRPr="0086541A">
        <w:rPr>
          <w:sz w:val="26"/>
          <w:szCs w:val="26"/>
          <w:rtl/>
          <w:lang w:bidi="ar-MA"/>
        </w:rPr>
        <w:t>كما ي</w:t>
      </w:r>
      <w:r w:rsidR="00F13EE4">
        <w:rPr>
          <w:rFonts w:hint="cs"/>
          <w:sz w:val="26"/>
          <w:szCs w:val="26"/>
          <w:rtl/>
          <w:lang w:bidi="ar-MA"/>
        </w:rPr>
        <w:t xml:space="preserve">ُستشف </w:t>
      </w:r>
      <w:r w:rsidRPr="0086541A">
        <w:rPr>
          <w:sz w:val="26"/>
          <w:szCs w:val="26"/>
          <w:rtl/>
          <w:lang w:bidi="ar-MA"/>
        </w:rPr>
        <w:t>من سجلات مداولات المحكمة أنها انتدبت في نهاية</w:t>
      </w:r>
      <w:r w:rsidRPr="0086541A">
        <w:rPr>
          <w:rFonts w:hint="cs"/>
          <w:sz w:val="26"/>
          <w:szCs w:val="26"/>
          <w:rtl/>
          <w:lang w:bidi="ar-MA"/>
        </w:rPr>
        <w:t xml:space="preserve"> المطاف</w:t>
      </w:r>
      <w:r w:rsidRPr="0086541A">
        <w:rPr>
          <w:sz w:val="26"/>
          <w:szCs w:val="26"/>
          <w:rtl/>
          <w:lang w:bidi="ar-MA"/>
        </w:rPr>
        <w:t xml:space="preserve"> محاميا</w:t>
      </w:r>
      <w:r w:rsidR="00F13EE4">
        <w:rPr>
          <w:rFonts w:hint="cs"/>
          <w:sz w:val="26"/>
          <w:szCs w:val="26"/>
          <w:rtl/>
          <w:lang w:bidi="ar-MA"/>
        </w:rPr>
        <w:t>ً</w:t>
      </w:r>
      <w:r w:rsidRPr="0086541A">
        <w:rPr>
          <w:sz w:val="26"/>
          <w:szCs w:val="26"/>
          <w:rtl/>
          <w:lang w:bidi="ar-MA"/>
        </w:rPr>
        <w:t xml:space="preserve"> لصاحب البلاغ، لكن هذا الأخير رفضه في ثاني </w:t>
      </w:r>
      <w:r w:rsidR="00F13EE4">
        <w:rPr>
          <w:rFonts w:hint="cs"/>
          <w:sz w:val="26"/>
          <w:szCs w:val="26"/>
          <w:rtl/>
          <w:lang w:bidi="ar-MA"/>
        </w:rPr>
        <w:t xml:space="preserve">مثول </w:t>
      </w:r>
      <w:r w:rsidRPr="0086541A">
        <w:rPr>
          <w:sz w:val="26"/>
          <w:szCs w:val="26"/>
          <w:rtl/>
          <w:lang w:bidi="ar-MA"/>
        </w:rPr>
        <w:t xml:space="preserve">له </w:t>
      </w:r>
      <w:r w:rsidRPr="0086541A">
        <w:rPr>
          <w:rFonts w:hint="cs"/>
          <w:sz w:val="26"/>
          <w:szCs w:val="26"/>
          <w:rtl/>
          <w:lang w:bidi="ar-MA"/>
        </w:rPr>
        <w:t xml:space="preserve">أمام </w:t>
      </w:r>
      <w:r w:rsidRPr="0086541A">
        <w:rPr>
          <w:sz w:val="26"/>
          <w:szCs w:val="26"/>
          <w:rtl/>
          <w:lang w:bidi="ar-MA"/>
        </w:rPr>
        <w:t>المحكمة، بعد أن طلب المحامي تأجيل الجلسة لأسباب صحية.</w:t>
      </w:r>
      <w:r w:rsidRPr="0086541A">
        <w:rPr>
          <w:rFonts w:hint="cs"/>
          <w:sz w:val="26"/>
          <w:szCs w:val="26"/>
          <w:rtl/>
          <w:lang w:bidi="ar-MA"/>
        </w:rPr>
        <w:t xml:space="preserve"> (</w:t>
      </w:r>
      <w:r w:rsidRPr="0086541A">
        <w:rPr>
          <w:sz w:val="26"/>
          <w:szCs w:val="26"/>
          <w:rtl/>
          <w:lang w:bidi="ar-MA"/>
        </w:rPr>
        <w:t>انظر أعلاه، الفقرة 2-5)</w:t>
      </w:r>
      <w:r w:rsidRPr="0086541A">
        <w:rPr>
          <w:rFonts w:hint="cs"/>
          <w:sz w:val="26"/>
          <w:szCs w:val="26"/>
          <w:rtl/>
          <w:lang w:bidi="ar-MA"/>
        </w:rPr>
        <w:t>.</w:t>
      </w:r>
    </w:p>
  </w:footnote>
  <w:footnote w:id="13">
    <w:p w:rsidR="00F871F3" w:rsidRPr="003519F1" w:rsidRDefault="003519F1" w:rsidP="004A76C4">
      <w:pPr>
        <w:pStyle w:val="FootnoteText"/>
        <w:numPr>
          <w:ilvl w:val="0"/>
          <w:numId w:val="40"/>
        </w:numPr>
        <w:tabs>
          <w:tab w:val="clear" w:pos="1299"/>
          <w:tab w:val="left" w:pos="1239"/>
        </w:tabs>
        <w:spacing w:after="60" w:line="300" w:lineRule="exact"/>
        <w:ind w:left="1247" w:right="1247" w:hanging="272"/>
        <w:rPr>
          <w:rFonts w:hint="cs"/>
          <w:sz w:val="26"/>
          <w:szCs w:val="26"/>
        </w:rPr>
      </w:pPr>
      <w:r w:rsidRPr="003519F1">
        <w:rPr>
          <w:sz w:val="26"/>
          <w:szCs w:val="26"/>
          <w:rtl/>
          <w:lang w:bidi="ar-MA"/>
        </w:rPr>
        <w:t xml:space="preserve">تشير الدولة الطرف إلى محضر محكمة الجنايات لمداولات يوم 9 كانون الثاني/يناير 1998 الذي يبين أن النائب العام لجمهورية قبرص أكد أن هذا الشخص شطب من قائمة الممنوعين من </w:t>
      </w:r>
      <w:r>
        <w:rPr>
          <w:rFonts w:hint="cs"/>
          <w:sz w:val="26"/>
          <w:szCs w:val="26"/>
          <w:rtl/>
          <w:lang w:bidi="ar-MA"/>
        </w:rPr>
        <w:t xml:space="preserve">الدخول إلى البلاد بأمر من </w:t>
      </w:r>
      <w:r w:rsidRPr="003519F1">
        <w:rPr>
          <w:sz w:val="26"/>
          <w:szCs w:val="26"/>
          <w:rtl/>
          <w:lang w:bidi="ar-MA"/>
        </w:rPr>
        <w:t>محكمة الجنايات.</w:t>
      </w:r>
    </w:p>
  </w:footnote>
  <w:footnote w:id="14">
    <w:p w:rsidR="00470781" w:rsidRPr="00470781" w:rsidRDefault="00470781" w:rsidP="004A76C4">
      <w:pPr>
        <w:pStyle w:val="FootnoteText"/>
        <w:numPr>
          <w:ilvl w:val="0"/>
          <w:numId w:val="40"/>
        </w:numPr>
        <w:tabs>
          <w:tab w:val="clear" w:pos="1299"/>
          <w:tab w:val="left" w:pos="1239"/>
        </w:tabs>
        <w:spacing w:after="60" w:line="300" w:lineRule="exact"/>
        <w:ind w:left="1247" w:right="1247" w:hanging="272"/>
        <w:rPr>
          <w:rFonts w:hint="cs"/>
          <w:sz w:val="18"/>
          <w:szCs w:val="26"/>
          <w:lang w:bidi="ar-MA"/>
        </w:rPr>
      </w:pPr>
      <w:r w:rsidRPr="00470781">
        <w:rPr>
          <w:sz w:val="18"/>
          <w:szCs w:val="26"/>
          <w:rtl/>
        </w:rPr>
        <w:t>لا يقدم صاحب البلاغ مزيدا</w:t>
      </w:r>
      <w:r>
        <w:rPr>
          <w:rFonts w:hint="cs"/>
          <w:sz w:val="18"/>
          <w:szCs w:val="26"/>
          <w:rtl/>
        </w:rPr>
        <w:t>ً</w:t>
      </w:r>
      <w:r w:rsidRPr="00470781">
        <w:rPr>
          <w:sz w:val="18"/>
          <w:szCs w:val="26"/>
          <w:rtl/>
        </w:rPr>
        <w:t xml:space="preserve"> من التفاصيل.</w:t>
      </w:r>
    </w:p>
  </w:footnote>
  <w:footnote w:id="15">
    <w:p w:rsidR="00470781" w:rsidRPr="00470781" w:rsidRDefault="00470781" w:rsidP="004A76C4">
      <w:pPr>
        <w:pStyle w:val="FootnoteText"/>
        <w:numPr>
          <w:ilvl w:val="0"/>
          <w:numId w:val="40"/>
        </w:numPr>
        <w:tabs>
          <w:tab w:val="clear" w:pos="1299"/>
          <w:tab w:val="left" w:pos="1239"/>
        </w:tabs>
        <w:spacing w:after="60" w:line="300" w:lineRule="exact"/>
        <w:ind w:left="1247" w:right="1247" w:hanging="272"/>
        <w:rPr>
          <w:rFonts w:hint="cs"/>
          <w:sz w:val="18"/>
          <w:szCs w:val="26"/>
          <w:lang w:bidi="ar-MA"/>
        </w:rPr>
      </w:pPr>
      <w:r w:rsidRPr="00470781">
        <w:rPr>
          <w:noProof/>
          <w:sz w:val="18"/>
          <w:szCs w:val="26"/>
          <w:rtl/>
        </w:rPr>
        <w:t>6 حزيران/يونيه 1997 و11 حزيران/يونيه 1997 و17 تشرين الأول/أكتوبر 1997.</w:t>
      </w:r>
    </w:p>
  </w:footnote>
  <w:footnote w:id="16">
    <w:p w:rsidR="00470781" w:rsidRPr="00470781" w:rsidRDefault="00470781" w:rsidP="004A76C4">
      <w:pPr>
        <w:pStyle w:val="FootnoteText"/>
        <w:numPr>
          <w:ilvl w:val="0"/>
          <w:numId w:val="40"/>
        </w:numPr>
        <w:tabs>
          <w:tab w:val="clear" w:pos="1299"/>
          <w:tab w:val="left" w:pos="1239"/>
        </w:tabs>
        <w:spacing w:after="60" w:line="300" w:lineRule="exact"/>
        <w:ind w:left="1247" w:right="1247" w:hanging="272"/>
        <w:rPr>
          <w:rFonts w:hint="cs"/>
          <w:sz w:val="18"/>
          <w:szCs w:val="26"/>
          <w:lang w:bidi="ar-MA"/>
        </w:rPr>
      </w:pPr>
      <w:r w:rsidRPr="004A76C4">
        <w:rPr>
          <w:sz w:val="26"/>
          <w:szCs w:val="26"/>
          <w:rtl/>
          <w:lang w:bidi="ar-MA"/>
        </w:rPr>
        <w:t>يزعم</w:t>
      </w:r>
      <w:r w:rsidRPr="00470781">
        <w:rPr>
          <w:sz w:val="18"/>
          <w:szCs w:val="26"/>
          <w:rtl/>
        </w:rPr>
        <w:t xml:space="preserve"> صاحب البلاغ أن شركة الخطوط الجوية الرومانية</w:t>
      </w:r>
      <w:r w:rsidRPr="00470781">
        <w:rPr>
          <w:rFonts w:hint="cs"/>
          <w:sz w:val="18"/>
          <w:szCs w:val="26"/>
          <w:rtl/>
        </w:rPr>
        <w:t xml:space="preserve"> (</w:t>
      </w:r>
      <w:r w:rsidRPr="00470781">
        <w:rPr>
          <w:noProof/>
          <w:sz w:val="18"/>
          <w:szCs w:val="26"/>
        </w:rPr>
        <w:t>Tarom</w:t>
      </w:r>
      <w:r w:rsidRPr="00470781">
        <w:rPr>
          <w:rFonts w:hint="cs"/>
          <w:sz w:val="18"/>
          <w:szCs w:val="26"/>
          <w:rtl/>
        </w:rPr>
        <w:t>)</w:t>
      </w:r>
      <w:r w:rsidRPr="00470781">
        <w:rPr>
          <w:sz w:val="18"/>
          <w:szCs w:val="26"/>
          <w:rtl/>
        </w:rPr>
        <w:t xml:space="preserve"> ليست لها رحلات جوية إلى قبرص إلا في يومين من أيام الأسبوع.</w:t>
      </w:r>
    </w:p>
  </w:footnote>
  <w:footnote w:id="17">
    <w:p w:rsidR="00793349" w:rsidRPr="004A76C4" w:rsidRDefault="004A76C4" w:rsidP="00070BC4">
      <w:pPr>
        <w:pStyle w:val="FootnoteText"/>
        <w:numPr>
          <w:ilvl w:val="0"/>
          <w:numId w:val="40"/>
        </w:numPr>
        <w:tabs>
          <w:tab w:val="clear" w:pos="1299"/>
          <w:tab w:val="left" w:pos="1239"/>
        </w:tabs>
        <w:spacing w:after="60" w:line="300" w:lineRule="exact"/>
        <w:ind w:left="1247" w:right="1247" w:hanging="272"/>
        <w:rPr>
          <w:rFonts w:hint="cs"/>
          <w:sz w:val="18"/>
          <w:szCs w:val="26"/>
        </w:rPr>
      </w:pPr>
      <w:r w:rsidRPr="004A76C4">
        <w:rPr>
          <w:sz w:val="18"/>
          <w:szCs w:val="26"/>
          <w:rtl/>
          <w:lang w:bidi="ar-MA"/>
        </w:rPr>
        <w:t>اعتمدت المحكمة الأوروبية لحقوق الإنسان أربعة قرارات في قضية صاحب البلاغ، اعت</w:t>
      </w:r>
      <w:r w:rsidR="00070BC4">
        <w:rPr>
          <w:rFonts w:hint="cs"/>
          <w:sz w:val="18"/>
          <w:szCs w:val="26"/>
          <w:rtl/>
          <w:lang w:bidi="ar-MA"/>
        </w:rPr>
        <w:t>ُ</w:t>
      </w:r>
      <w:r w:rsidRPr="004A76C4">
        <w:rPr>
          <w:sz w:val="18"/>
          <w:szCs w:val="26"/>
          <w:rtl/>
          <w:lang w:bidi="ar-MA"/>
        </w:rPr>
        <w:t xml:space="preserve">برت </w:t>
      </w:r>
      <w:r w:rsidR="00070BC4">
        <w:rPr>
          <w:rFonts w:hint="cs"/>
          <w:sz w:val="18"/>
          <w:szCs w:val="26"/>
          <w:rtl/>
          <w:lang w:bidi="ar-MA"/>
        </w:rPr>
        <w:t xml:space="preserve">القضية في </w:t>
      </w:r>
      <w:r w:rsidRPr="004A76C4">
        <w:rPr>
          <w:sz w:val="18"/>
          <w:szCs w:val="26"/>
          <w:rtl/>
          <w:lang w:bidi="ar-MA"/>
        </w:rPr>
        <w:t xml:space="preserve">ثلاث منها غير مقبولة، في حين بت </w:t>
      </w:r>
      <w:r w:rsidRPr="004A76C4">
        <w:rPr>
          <w:rFonts w:hint="cs"/>
          <w:sz w:val="18"/>
          <w:szCs w:val="26"/>
          <w:rtl/>
          <w:lang w:bidi="ar-MA"/>
        </w:rPr>
        <w:t>واحد من</w:t>
      </w:r>
      <w:r w:rsidRPr="004A76C4">
        <w:rPr>
          <w:sz w:val="18"/>
          <w:szCs w:val="26"/>
          <w:rtl/>
          <w:lang w:bidi="ar-MA"/>
        </w:rPr>
        <w:t xml:space="preserve">ها </w:t>
      </w:r>
      <w:r w:rsidR="00070BC4">
        <w:rPr>
          <w:rFonts w:hint="cs"/>
          <w:sz w:val="18"/>
          <w:szCs w:val="26"/>
          <w:rtl/>
          <w:lang w:bidi="ar-MA"/>
        </w:rPr>
        <w:t>في</w:t>
      </w:r>
      <w:r w:rsidRPr="004A76C4">
        <w:rPr>
          <w:sz w:val="18"/>
          <w:szCs w:val="26"/>
          <w:rtl/>
          <w:lang w:bidi="ar-MA"/>
        </w:rPr>
        <w:t xml:space="preserve"> حيث الأسس الموضوعية، وتعلق بقضية مختلفة عن القضايا التي </w:t>
      </w:r>
      <w:r w:rsidRPr="004A76C4">
        <w:rPr>
          <w:rFonts w:hint="cs"/>
          <w:sz w:val="18"/>
          <w:szCs w:val="26"/>
          <w:rtl/>
          <w:lang w:bidi="ar-MA"/>
        </w:rPr>
        <w:t>عرض</w:t>
      </w:r>
      <w:r w:rsidRPr="004A76C4">
        <w:rPr>
          <w:sz w:val="18"/>
          <w:szCs w:val="26"/>
          <w:rtl/>
          <w:lang w:bidi="ar-MA"/>
        </w:rPr>
        <w:t xml:space="preserve">ها صاحب البلاغ </w:t>
      </w:r>
      <w:r w:rsidRPr="004A76C4">
        <w:rPr>
          <w:rFonts w:hint="cs"/>
          <w:sz w:val="18"/>
          <w:szCs w:val="26"/>
          <w:rtl/>
          <w:lang w:bidi="ar-MA"/>
        </w:rPr>
        <w:t xml:space="preserve">على </w:t>
      </w:r>
      <w:r w:rsidRPr="004A76C4">
        <w:rPr>
          <w:sz w:val="18"/>
          <w:szCs w:val="26"/>
          <w:rtl/>
          <w:lang w:bidi="ar-MA"/>
        </w:rPr>
        <w:t>اللجنة.</w:t>
      </w:r>
      <w:r w:rsidRPr="004A76C4">
        <w:rPr>
          <w:sz w:val="18"/>
          <w:szCs w:val="26"/>
        </w:rPr>
        <w:t xml:space="preserve"> </w:t>
      </w:r>
      <w:r w:rsidRPr="004A76C4">
        <w:rPr>
          <w:sz w:val="18"/>
          <w:szCs w:val="26"/>
          <w:rtl/>
          <w:lang w:bidi="ar-MA"/>
        </w:rPr>
        <w:t>انظر أعلاه، الفقرة</w:t>
      </w:r>
      <w:r w:rsidRPr="004A76C4">
        <w:rPr>
          <w:rFonts w:hint="cs"/>
          <w:sz w:val="18"/>
          <w:szCs w:val="26"/>
          <w:rtl/>
        </w:rPr>
        <w:t xml:space="preserve"> 2-9.</w:t>
      </w:r>
    </w:p>
  </w:footnote>
  <w:footnote w:id="18">
    <w:p w:rsidR="00793349" w:rsidRPr="004A76C4" w:rsidRDefault="004A76C4" w:rsidP="00070BC4">
      <w:pPr>
        <w:pStyle w:val="FootnoteText"/>
        <w:numPr>
          <w:ilvl w:val="0"/>
          <w:numId w:val="40"/>
        </w:numPr>
        <w:tabs>
          <w:tab w:val="clear" w:pos="1299"/>
          <w:tab w:val="left" w:pos="1239"/>
        </w:tabs>
        <w:spacing w:after="60" w:line="300" w:lineRule="exact"/>
        <w:ind w:left="1247" w:right="1247" w:hanging="272"/>
        <w:rPr>
          <w:rFonts w:hint="cs"/>
          <w:sz w:val="18"/>
          <w:szCs w:val="26"/>
        </w:rPr>
      </w:pPr>
      <w:r w:rsidRPr="004A76C4">
        <w:rPr>
          <w:sz w:val="18"/>
          <w:szCs w:val="26"/>
          <w:rtl/>
          <w:lang w:bidi="ar-MA"/>
        </w:rPr>
        <w:t xml:space="preserve">انظر التعليق العام رقم 32: الحق في المساواة أمام المحاكم والهيئات القضائية وفي محاكمة عادلة (المادة 14)، </w:t>
      </w:r>
      <w:r w:rsidRPr="004A76C4">
        <w:rPr>
          <w:sz w:val="18"/>
          <w:szCs w:val="26"/>
        </w:rPr>
        <w:t>CCPR/C/G/32</w:t>
      </w:r>
      <w:r w:rsidRPr="004A76C4">
        <w:rPr>
          <w:rFonts w:hint="cs"/>
          <w:sz w:val="18"/>
          <w:szCs w:val="26"/>
          <w:rtl/>
          <w:lang w:bidi="ar-MA"/>
        </w:rPr>
        <w:t xml:space="preserve"> </w:t>
      </w:r>
      <w:r w:rsidRPr="004A76C4">
        <w:rPr>
          <w:sz w:val="18"/>
          <w:szCs w:val="26"/>
          <w:rtl/>
          <w:lang w:bidi="ar-MA"/>
        </w:rPr>
        <w:t xml:space="preserve">(2007) الفقرة </w:t>
      </w:r>
      <w:r w:rsidRPr="004A76C4">
        <w:rPr>
          <w:rFonts w:hint="cs"/>
          <w:sz w:val="18"/>
          <w:szCs w:val="26"/>
          <w:rtl/>
          <w:lang w:bidi="ar-MA"/>
        </w:rPr>
        <w:t xml:space="preserve">26. </w:t>
      </w:r>
      <w:r w:rsidRPr="004A76C4">
        <w:rPr>
          <w:sz w:val="18"/>
          <w:szCs w:val="26"/>
          <w:rtl/>
          <w:lang w:bidi="ar-MA"/>
        </w:rPr>
        <w:t xml:space="preserve">وانظر، في جملة بلاغات أخرى، البلاغ رقم 541/1993، </w:t>
      </w:r>
      <w:r w:rsidRPr="004A76C4">
        <w:rPr>
          <w:i/>
          <w:iCs/>
          <w:sz w:val="18"/>
          <w:szCs w:val="26"/>
          <w:rtl/>
          <w:lang w:bidi="ar-MA"/>
        </w:rPr>
        <w:t>إيرول سيمس ضد جامايكا</w:t>
      </w:r>
      <w:r w:rsidRPr="004A76C4">
        <w:rPr>
          <w:sz w:val="18"/>
          <w:szCs w:val="26"/>
          <w:rtl/>
          <w:lang w:bidi="ar-MA"/>
        </w:rPr>
        <w:t>، قرار عدم المقبولية المعتمد في 3 نيسان/أبريل 1995، الفقرة 6-2؛</w:t>
      </w:r>
      <w:r w:rsidRPr="004A76C4">
        <w:rPr>
          <w:sz w:val="18"/>
          <w:szCs w:val="26"/>
        </w:rPr>
        <w:t xml:space="preserve"> </w:t>
      </w:r>
      <w:r w:rsidRPr="004A76C4">
        <w:rPr>
          <w:sz w:val="18"/>
          <w:szCs w:val="26"/>
          <w:rtl/>
          <w:lang w:bidi="ar-MA"/>
        </w:rPr>
        <w:t xml:space="preserve">والبلاغ رقم 1138/2002، </w:t>
      </w:r>
      <w:r w:rsidRPr="004A76C4">
        <w:rPr>
          <w:i/>
          <w:iCs/>
          <w:sz w:val="18"/>
          <w:szCs w:val="26"/>
          <w:rtl/>
          <w:lang w:bidi="ar-MA"/>
        </w:rPr>
        <w:t>آرنز ضد ألمانيا</w:t>
      </w:r>
      <w:r w:rsidRPr="004A76C4">
        <w:rPr>
          <w:sz w:val="18"/>
          <w:szCs w:val="26"/>
          <w:rtl/>
          <w:lang w:bidi="ar-MA"/>
        </w:rPr>
        <w:t xml:space="preserve">، </w:t>
      </w:r>
      <w:r w:rsidRPr="004A76C4">
        <w:rPr>
          <w:rFonts w:hint="cs"/>
          <w:sz w:val="18"/>
          <w:szCs w:val="26"/>
          <w:rtl/>
          <w:lang w:bidi="ar-MA"/>
        </w:rPr>
        <w:t>ال</w:t>
      </w:r>
      <w:r w:rsidRPr="004A76C4">
        <w:rPr>
          <w:sz w:val="18"/>
          <w:szCs w:val="26"/>
          <w:rtl/>
          <w:lang w:bidi="ar-MA"/>
        </w:rPr>
        <w:t>قرار المعتمد في 24 آذار/مارس 2004، الفقرة 8-6؛</w:t>
      </w:r>
      <w:r w:rsidRPr="004A76C4">
        <w:rPr>
          <w:sz w:val="18"/>
          <w:szCs w:val="26"/>
        </w:rPr>
        <w:t xml:space="preserve"> </w:t>
      </w:r>
      <w:r w:rsidRPr="004A76C4">
        <w:rPr>
          <w:rFonts w:hint="cs"/>
          <w:sz w:val="18"/>
          <w:szCs w:val="26"/>
          <w:rtl/>
          <w:lang w:bidi="ar-MA"/>
        </w:rPr>
        <w:t>و</w:t>
      </w:r>
      <w:r w:rsidRPr="004A76C4">
        <w:rPr>
          <w:sz w:val="18"/>
          <w:szCs w:val="26"/>
          <w:rtl/>
          <w:lang w:bidi="ar-MA"/>
        </w:rPr>
        <w:t xml:space="preserve">البلاغ رقم 1167/2003، </w:t>
      </w:r>
      <w:r w:rsidRPr="004A76C4">
        <w:rPr>
          <w:i/>
          <w:iCs/>
          <w:sz w:val="18"/>
          <w:szCs w:val="26"/>
          <w:rtl/>
          <w:lang w:bidi="ar-MA"/>
        </w:rPr>
        <w:t>راميل رايوس ضد الفلبين</w:t>
      </w:r>
      <w:r w:rsidRPr="004A76C4">
        <w:rPr>
          <w:sz w:val="18"/>
          <w:szCs w:val="26"/>
          <w:rtl/>
          <w:lang w:bidi="ar-MA"/>
        </w:rPr>
        <w:t>، الآراء المعتمدة في 27 تموز/يوليه 2004، الفقرة 6-7؛</w:t>
      </w:r>
      <w:r w:rsidR="00070BC4">
        <w:rPr>
          <w:rFonts w:hint="cs"/>
          <w:sz w:val="18"/>
          <w:szCs w:val="26"/>
          <w:rtl/>
          <w:lang w:bidi="ar-MA"/>
        </w:rPr>
        <w:t xml:space="preserve"> </w:t>
      </w:r>
      <w:r w:rsidRPr="004A76C4">
        <w:rPr>
          <w:sz w:val="18"/>
          <w:szCs w:val="26"/>
          <w:rtl/>
          <w:lang w:bidi="ar-MA"/>
        </w:rPr>
        <w:t xml:space="preserve">والبلاغ رقم 1399/2005، </w:t>
      </w:r>
      <w:r w:rsidRPr="004A76C4">
        <w:rPr>
          <w:i/>
          <w:iCs/>
          <w:sz w:val="18"/>
          <w:szCs w:val="26"/>
          <w:rtl/>
          <w:lang w:bidi="ar-MA"/>
        </w:rPr>
        <w:t>كوارتيرو كاسادو ضد إسبانيا</w:t>
      </w:r>
      <w:r w:rsidRPr="004A76C4">
        <w:rPr>
          <w:sz w:val="18"/>
          <w:szCs w:val="26"/>
          <w:rtl/>
          <w:lang w:bidi="ar-MA"/>
        </w:rPr>
        <w:t>، القرار المعتمد في 25 تموز/يوليه 2005، الفقر 4-3؛</w:t>
      </w:r>
      <w:r w:rsidR="00070BC4">
        <w:rPr>
          <w:rFonts w:hint="cs"/>
          <w:sz w:val="18"/>
          <w:szCs w:val="26"/>
          <w:rtl/>
          <w:lang w:bidi="ar-MA"/>
        </w:rPr>
        <w:t xml:space="preserve"> </w:t>
      </w:r>
      <w:r w:rsidRPr="004A76C4">
        <w:rPr>
          <w:sz w:val="18"/>
          <w:szCs w:val="26"/>
          <w:rtl/>
          <w:lang w:bidi="ar-MA"/>
        </w:rPr>
        <w:t xml:space="preserve">والبلاغ رقم 1771/2008، </w:t>
      </w:r>
      <w:r w:rsidRPr="004A76C4">
        <w:rPr>
          <w:i/>
          <w:iCs/>
          <w:sz w:val="18"/>
          <w:szCs w:val="26"/>
          <w:rtl/>
          <w:lang w:bidi="ar-MA"/>
        </w:rPr>
        <w:t>غبوندو ضد ألمانيا</w:t>
      </w:r>
      <w:r w:rsidRPr="004A76C4">
        <w:rPr>
          <w:sz w:val="18"/>
          <w:szCs w:val="26"/>
          <w:rtl/>
          <w:lang w:bidi="ar-MA"/>
        </w:rPr>
        <w:t>، قرار عدم المقبولية المعتمد في 28 تموز/</w:t>
      </w:r>
      <w:r>
        <w:rPr>
          <w:rFonts w:hint="cs"/>
          <w:sz w:val="18"/>
          <w:szCs w:val="26"/>
          <w:rtl/>
          <w:lang w:bidi="ar-MA"/>
        </w:rPr>
        <w:t xml:space="preserve">      </w:t>
      </w:r>
      <w:r w:rsidRPr="004A76C4">
        <w:rPr>
          <w:sz w:val="18"/>
          <w:szCs w:val="26"/>
          <w:rtl/>
          <w:lang w:bidi="ar-MA"/>
        </w:rPr>
        <w:t>يوليه 2009، الفقرة 6-4</w:t>
      </w:r>
      <w:r w:rsidRPr="004A76C4">
        <w:rPr>
          <w:rFonts w:hint="cs"/>
          <w:sz w:val="18"/>
          <w:szCs w:val="26"/>
          <w:rtl/>
          <w:lang w:bidi="ar-MA"/>
        </w:rPr>
        <w:t>.</w:t>
      </w:r>
    </w:p>
  </w:footnote>
  <w:footnote w:id="19">
    <w:p w:rsidR="00793349" w:rsidRPr="004A76C4" w:rsidRDefault="004A76C4" w:rsidP="004A76C4">
      <w:pPr>
        <w:pStyle w:val="FootnoteText"/>
        <w:numPr>
          <w:ilvl w:val="0"/>
          <w:numId w:val="40"/>
        </w:numPr>
        <w:tabs>
          <w:tab w:val="clear" w:pos="1299"/>
          <w:tab w:val="left" w:pos="1239"/>
        </w:tabs>
        <w:spacing w:after="60" w:line="300" w:lineRule="exact"/>
        <w:ind w:left="1247" w:right="1247" w:hanging="272"/>
        <w:rPr>
          <w:rFonts w:hint="cs"/>
          <w:sz w:val="18"/>
          <w:szCs w:val="26"/>
          <w:lang w:bidi="ar-MA"/>
        </w:rPr>
      </w:pPr>
      <w:r w:rsidRPr="004A76C4">
        <w:rPr>
          <w:sz w:val="18"/>
          <w:szCs w:val="26"/>
          <w:rtl/>
          <w:lang w:bidi="ar-MA"/>
        </w:rPr>
        <w:t>انظر أعلاه، الفقرة 6-6.</w:t>
      </w:r>
    </w:p>
  </w:footnote>
  <w:footnote w:id="20">
    <w:p w:rsidR="00793349" w:rsidRPr="004A76C4" w:rsidRDefault="004A76C4" w:rsidP="004A76C4">
      <w:pPr>
        <w:pStyle w:val="FootnoteText"/>
        <w:numPr>
          <w:ilvl w:val="0"/>
          <w:numId w:val="40"/>
        </w:numPr>
        <w:tabs>
          <w:tab w:val="clear" w:pos="1299"/>
          <w:tab w:val="left" w:pos="1239"/>
        </w:tabs>
        <w:spacing w:after="60" w:line="300" w:lineRule="exact"/>
        <w:ind w:left="1247" w:right="1247" w:hanging="272"/>
        <w:rPr>
          <w:rFonts w:hint="cs"/>
          <w:sz w:val="18"/>
          <w:szCs w:val="26"/>
          <w:lang w:bidi="ar-MA"/>
        </w:rPr>
      </w:pPr>
      <w:r w:rsidRPr="004A76C4">
        <w:rPr>
          <w:sz w:val="18"/>
          <w:szCs w:val="26"/>
          <w:rtl/>
          <w:lang w:bidi="ar-MA"/>
        </w:rPr>
        <w:t>التعليق العام رقم 32، الإشارة المرجعية 25، الفقرة 33</w:t>
      </w:r>
      <w:r w:rsidRPr="004A76C4">
        <w:rPr>
          <w:rFonts w:hint="cs"/>
          <w:sz w:val="18"/>
          <w:szCs w:val="26"/>
          <w:rtl/>
        </w:rPr>
        <w:t>.</w:t>
      </w:r>
    </w:p>
  </w:footnote>
  <w:footnote w:id="21">
    <w:p w:rsidR="004A76C4" w:rsidRPr="00070BC4" w:rsidRDefault="004A76C4" w:rsidP="004A76C4">
      <w:pPr>
        <w:pStyle w:val="FootnoteText"/>
        <w:numPr>
          <w:ilvl w:val="0"/>
          <w:numId w:val="40"/>
        </w:numPr>
        <w:tabs>
          <w:tab w:val="clear" w:pos="1299"/>
          <w:tab w:val="left" w:pos="1239"/>
        </w:tabs>
        <w:spacing w:after="60" w:line="300" w:lineRule="exact"/>
        <w:ind w:left="1247" w:right="1247" w:hanging="272"/>
        <w:rPr>
          <w:rFonts w:hint="cs"/>
          <w:sz w:val="18"/>
          <w:szCs w:val="26"/>
          <w:lang w:bidi="ar-MA"/>
        </w:rPr>
      </w:pPr>
      <w:r w:rsidRPr="00070BC4">
        <w:rPr>
          <w:sz w:val="18"/>
          <w:szCs w:val="26"/>
          <w:rtl/>
          <w:lang w:bidi="ar-MA"/>
        </w:rPr>
        <w:t xml:space="preserve">انظر الملاحظات الختامية بشأن تقرير كندا، </w:t>
      </w:r>
      <w:r w:rsidRPr="00070BC4">
        <w:rPr>
          <w:sz w:val="18"/>
          <w:szCs w:val="26"/>
        </w:rPr>
        <w:t>CCPR/C/CAN/CO/5</w:t>
      </w:r>
      <w:r w:rsidRPr="00070BC4">
        <w:rPr>
          <w:sz w:val="18"/>
          <w:szCs w:val="26"/>
          <w:rtl/>
          <w:lang w:bidi="ar-MA"/>
        </w:rPr>
        <w:t xml:space="preserve"> (2005)، الفقرة 13</w:t>
      </w:r>
      <w:r w:rsidRPr="00070BC4">
        <w:rPr>
          <w:rFonts w:hint="cs"/>
          <w:sz w:val="18"/>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3C" w:rsidRPr="00C57C3C" w:rsidRDefault="00C57C3C" w:rsidP="00C57C3C">
    <w:pPr>
      <w:pStyle w:val="Header"/>
      <w:jc w:val="right"/>
    </w:pPr>
    <w:r w:rsidRPr="00C57C3C">
      <w:t>CCPR/C/100/D/1636/2007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3C" w:rsidRPr="00C57C3C" w:rsidRDefault="00C57C3C" w:rsidP="00C57C3C">
    <w:pPr>
      <w:pStyle w:val="Header"/>
      <w:jc w:val="left"/>
    </w:pPr>
    <w:r w:rsidRPr="00C57C3C">
      <w:t>CCPR/C/100/D/1636/2007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3C" w:rsidRDefault="00C57C3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C57C3C" w:rsidRPr="008F6743" w:rsidRDefault="00C57C3C"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F64A0E"/>
    <w:multiLevelType w:val="hybridMultilevel"/>
    <w:tmpl w:val="34B0CC58"/>
    <w:lvl w:ilvl="0" w:tplc="93F0EE5E">
      <w:start w:val="1"/>
      <w:numFmt w:val="decimal"/>
      <w:lvlRestart w:val="0"/>
      <w:lvlText w:val="(%1)"/>
      <w:lvlJc w:val="right"/>
      <w:pPr>
        <w:tabs>
          <w:tab w:val="num" w:pos="1299"/>
        </w:tabs>
        <w:ind w:left="1299" w:hanging="227"/>
      </w:pPr>
      <w:rPr>
        <w:rFonts w:ascii="Traditional Arabic" w:hAnsi="Traditional Arabic" w:cs="Traditional Arabic" w:hint="default"/>
        <w:sz w:val="26"/>
        <w:szCs w:val="26"/>
      </w:rPr>
    </w:lvl>
    <w:lvl w:ilvl="1" w:tplc="283CE2F2">
      <w:start w:val="1"/>
      <w:numFmt w:val="decimal"/>
      <w:lvlRestart w:val="0"/>
      <w:lvlText w:val="(%2)"/>
      <w:lvlJc w:val="right"/>
      <w:pPr>
        <w:tabs>
          <w:tab w:val="num" w:pos="1359"/>
        </w:tabs>
        <w:ind w:left="1359" w:hanging="227"/>
      </w:pPr>
      <w:rPr>
        <w:rFonts w:ascii="Times New Roman" w:hAnsi="Times New Roman" w:cs="Traditional Arabic" w:hint="default"/>
        <w:sz w:val="18"/>
        <w:szCs w:val="26"/>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2D8"/>
    <w:rsid w:val="00040E25"/>
    <w:rsid w:val="00042149"/>
    <w:rsid w:val="000648EA"/>
    <w:rsid w:val="00070BC4"/>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252D8"/>
    <w:rsid w:val="001455A0"/>
    <w:rsid w:val="001602A3"/>
    <w:rsid w:val="001A5161"/>
    <w:rsid w:val="001A60BD"/>
    <w:rsid w:val="001C6D53"/>
    <w:rsid w:val="00232277"/>
    <w:rsid w:val="0023736D"/>
    <w:rsid w:val="00257225"/>
    <w:rsid w:val="00310160"/>
    <w:rsid w:val="00341A8C"/>
    <w:rsid w:val="003519E6"/>
    <w:rsid w:val="003519F1"/>
    <w:rsid w:val="00355F81"/>
    <w:rsid w:val="003B4356"/>
    <w:rsid w:val="003F08A8"/>
    <w:rsid w:val="004250E3"/>
    <w:rsid w:val="00470781"/>
    <w:rsid w:val="00472A81"/>
    <w:rsid w:val="004A20A6"/>
    <w:rsid w:val="004A76C4"/>
    <w:rsid w:val="004B2C92"/>
    <w:rsid w:val="004D6A3A"/>
    <w:rsid w:val="004F4AD7"/>
    <w:rsid w:val="00557CD3"/>
    <w:rsid w:val="00571432"/>
    <w:rsid w:val="005732A2"/>
    <w:rsid w:val="005762A5"/>
    <w:rsid w:val="00587DAC"/>
    <w:rsid w:val="00590BA3"/>
    <w:rsid w:val="005B46D9"/>
    <w:rsid w:val="005B7AE0"/>
    <w:rsid w:val="005E23F5"/>
    <w:rsid w:val="005F146F"/>
    <w:rsid w:val="005F71B6"/>
    <w:rsid w:val="00654786"/>
    <w:rsid w:val="00660FD4"/>
    <w:rsid w:val="00665BE4"/>
    <w:rsid w:val="006A4425"/>
    <w:rsid w:val="006B00A4"/>
    <w:rsid w:val="006B3E1A"/>
    <w:rsid w:val="006B4669"/>
    <w:rsid w:val="006D3CFA"/>
    <w:rsid w:val="006F6BF8"/>
    <w:rsid w:val="00707BDF"/>
    <w:rsid w:val="00710727"/>
    <w:rsid w:val="00715F45"/>
    <w:rsid w:val="0072608F"/>
    <w:rsid w:val="00731815"/>
    <w:rsid w:val="00731B84"/>
    <w:rsid w:val="00734AE7"/>
    <w:rsid w:val="00793349"/>
    <w:rsid w:val="0079344E"/>
    <w:rsid w:val="007E197F"/>
    <w:rsid w:val="007E2786"/>
    <w:rsid w:val="007E4686"/>
    <w:rsid w:val="007F68C4"/>
    <w:rsid w:val="008153DE"/>
    <w:rsid w:val="00852A10"/>
    <w:rsid w:val="00862634"/>
    <w:rsid w:val="0086541A"/>
    <w:rsid w:val="00866C59"/>
    <w:rsid w:val="00877306"/>
    <w:rsid w:val="00885524"/>
    <w:rsid w:val="008A6242"/>
    <w:rsid w:val="008B4BC6"/>
    <w:rsid w:val="008C5D3F"/>
    <w:rsid w:val="008F6743"/>
    <w:rsid w:val="00901E57"/>
    <w:rsid w:val="009070DF"/>
    <w:rsid w:val="00935F0E"/>
    <w:rsid w:val="0095208F"/>
    <w:rsid w:val="00977B3F"/>
    <w:rsid w:val="009814AE"/>
    <w:rsid w:val="009901D3"/>
    <w:rsid w:val="00996BBE"/>
    <w:rsid w:val="009A1E25"/>
    <w:rsid w:val="009B2C03"/>
    <w:rsid w:val="009D17B9"/>
    <w:rsid w:val="009D1DD5"/>
    <w:rsid w:val="009F722C"/>
    <w:rsid w:val="00A17961"/>
    <w:rsid w:val="00A26157"/>
    <w:rsid w:val="00A265C3"/>
    <w:rsid w:val="00A43F9A"/>
    <w:rsid w:val="00A53F38"/>
    <w:rsid w:val="00A543D4"/>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57C3C"/>
    <w:rsid w:val="00C611ED"/>
    <w:rsid w:val="00C6490A"/>
    <w:rsid w:val="00C64FE1"/>
    <w:rsid w:val="00C726D2"/>
    <w:rsid w:val="00C74296"/>
    <w:rsid w:val="00C82D07"/>
    <w:rsid w:val="00C8345E"/>
    <w:rsid w:val="00CA5F7C"/>
    <w:rsid w:val="00D51067"/>
    <w:rsid w:val="00D75657"/>
    <w:rsid w:val="00D960AD"/>
    <w:rsid w:val="00DA0E0E"/>
    <w:rsid w:val="00DB0885"/>
    <w:rsid w:val="00DB0C39"/>
    <w:rsid w:val="00DB7679"/>
    <w:rsid w:val="00DF1702"/>
    <w:rsid w:val="00DF4DD8"/>
    <w:rsid w:val="00DF668E"/>
    <w:rsid w:val="00E04826"/>
    <w:rsid w:val="00E14D2B"/>
    <w:rsid w:val="00E20DBA"/>
    <w:rsid w:val="00E544F4"/>
    <w:rsid w:val="00E6524A"/>
    <w:rsid w:val="00E660D6"/>
    <w:rsid w:val="00E771AB"/>
    <w:rsid w:val="00EA796F"/>
    <w:rsid w:val="00EB077B"/>
    <w:rsid w:val="00EC50B9"/>
    <w:rsid w:val="00ED26A0"/>
    <w:rsid w:val="00F13EE4"/>
    <w:rsid w:val="00F1727A"/>
    <w:rsid w:val="00F33514"/>
    <w:rsid w:val="00F34764"/>
    <w:rsid w:val="00F54E3C"/>
    <w:rsid w:val="00F871F3"/>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13</Pages>
  <Words>2936</Words>
  <Characters>16741</Characters>
  <Application>Microsoft Office Word</Application>
  <DocSecurity>4</DocSecurity>
  <Lines>139</Lines>
  <Paragraphs>39</Paragraphs>
  <ScaleCrop>false</ScaleCrop>
  <HeadingPairs>
    <vt:vector size="2" baseType="variant">
      <vt:variant>
        <vt:lpstr>العنوان</vt:lpstr>
      </vt:variant>
      <vt:variant>
        <vt:i4>1</vt:i4>
      </vt:variant>
    </vt:vector>
  </HeadingPairs>
  <TitlesOfParts>
    <vt:vector size="1" baseType="lpstr">
      <vt:lpstr>CCPR/C/100/D/1636/2007</vt:lpstr>
    </vt:vector>
  </TitlesOfParts>
  <Company>CSD</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CCPR/C/100/D/1636/2007</dc:title>
  <dc:subject>GHAILAN/OULDMAMAOUN</dc:subject>
  <dc:creator>HAMOUDA</dc:creator>
  <cp:keywords/>
  <dc:description/>
  <cp:lastModifiedBy>HAMOUDA</cp:lastModifiedBy>
  <cp:revision>2</cp:revision>
  <cp:lastPrinted>2011-03-30T15:56:00Z</cp:lastPrinted>
  <dcterms:created xsi:type="dcterms:W3CDTF">2011-03-31T11:31:00Z</dcterms:created>
  <dcterms:modified xsi:type="dcterms:W3CDTF">2011-03-31T11:31:00Z</dcterms:modified>
</cp:coreProperties>
</file>