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17B31" w:rsidRPr="00DB58B5" w:rsidTr="00B17B3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B17B31" w:rsidRPr="00DB58B5" w:rsidRDefault="00B17B31" w:rsidP="00B17B3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17B31" w:rsidRPr="00DB58B5" w:rsidRDefault="00B17B31" w:rsidP="00B17B31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17B31" w:rsidRPr="00DB58B5" w:rsidRDefault="00210DED" w:rsidP="00210DED">
            <w:pPr>
              <w:jc w:val="right"/>
            </w:pPr>
            <w:r w:rsidRPr="00210DED">
              <w:rPr>
                <w:sz w:val="40"/>
              </w:rPr>
              <w:t>CCPR</w:t>
            </w:r>
            <w:r>
              <w:t>/C/109/D/1795/2008</w:t>
            </w:r>
          </w:p>
        </w:tc>
      </w:tr>
      <w:tr w:rsidR="00B17B31" w:rsidRPr="00DB58B5" w:rsidTr="00B17B3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17B31" w:rsidRPr="00DB58B5" w:rsidRDefault="00B17B31" w:rsidP="00B17B31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17B31" w:rsidRPr="009717AD" w:rsidRDefault="00B17B31" w:rsidP="00B17B31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9717AD">
              <w:rPr>
                <w:b/>
                <w:sz w:val="34"/>
                <w:szCs w:val="34"/>
              </w:rPr>
              <w:t>Pacte international relatif</w:t>
            </w:r>
            <w:r w:rsidRPr="009717AD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10DED" w:rsidRDefault="00B17B31" w:rsidP="00B17B31">
            <w:pPr>
              <w:spacing w:before="240"/>
            </w:pPr>
            <w:r w:rsidRPr="00DB58B5">
              <w:t xml:space="preserve">Distr. </w:t>
            </w:r>
            <w:r w:rsidR="0025063E">
              <w:t>générale</w:t>
            </w:r>
          </w:p>
          <w:p w:rsidR="00210DED" w:rsidRDefault="00210DED" w:rsidP="00210DED">
            <w:pPr>
              <w:spacing w:line="240" w:lineRule="exact"/>
            </w:pPr>
            <w:r>
              <w:t>2 décembre 2013</w:t>
            </w:r>
          </w:p>
          <w:p w:rsidR="00210DED" w:rsidRDefault="00210DED" w:rsidP="00210DED">
            <w:pPr>
              <w:spacing w:line="240" w:lineRule="exact"/>
            </w:pPr>
            <w:r>
              <w:t>Français</w:t>
            </w:r>
          </w:p>
          <w:p w:rsidR="00B17B31" w:rsidRPr="00DB58B5" w:rsidRDefault="00210DED" w:rsidP="00210DED">
            <w:pPr>
              <w:spacing w:line="240" w:lineRule="exact"/>
            </w:pPr>
            <w:r>
              <w:t>Original: anglais</w:t>
            </w:r>
          </w:p>
        </w:tc>
      </w:tr>
    </w:tbl>
    <w:p w:rsidR="00642728" w:rsidRPr="00FD511F" w:rsidRDefault="00642728" w:rsidP="00FD511F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>C</w:t>
      </w:r>
      <w:r w:rsidR="00FD511F" w:rsidRPr="00FD511F">
        <w:rPr>
          <w:b/>
          <w:sz w:val="24"/>
          <w:szCs w:val="24"/>
        </w:rPr>
        <w:t>omité des droits de l’homme</w:t>
      </w:r>
    </w:p>
    <w:p w:rsidR="00B153ED" w:rsidRPr="009F7F79" w:rsidRDefault="00B153ED" w:rsidP="00B153ED">
      <w:pPr>
        <w:pStyle w:val="HChG"/>
      </w:pPr>
      <w:r>
        <w:tab/>
      </w:r>
      <w:r>
        <w:tab/>
        <w:t>Communication n</w:t>
      </w:r>
      <w:r>
        <w:rPr>
          <w:vertAlign w:val="superscript"/>
        </w:rPr>
        <w:t>o</w:t>
      </w:r>
      <w:r>
        <w:t> </w:t>
      </w:r>
      <w:r w:rsidR="00210DED">
        <w:t>1795/2008</w:t>
      </w:r>
    </w:p>
    <w:p w:rsidR="00642728" w:rsidRPr="009F7F79" w:rsidRDefault="00FD511F" w:rsidP="00B153ED">
      <w:pPr>
        <w:pStyle w:val="H1G"/>
      </w:pPr>
      <w:r>
        <w:tab/>
      </w:r>
      <w:r>
        <w:tab/>
      </w:r>
      <w:r w:rsidR="00642728">
        <w:t>C</w:t>
      </w:r>
      <w:r w:rsidR="00B57784">
        <w:t>onstatations</w:t>
      </w:r>
      <w:r w:rsidR="00B153ED">
        <w:t xml:space="preserve"> adoptées par le Comité à sa 10</w:t>
      </w:r>
      <w:r w:rsidR="00210DED">
        <w:t>9</w:t>
      </w:r>
      <w:r w:rsidR="00B153ED" w:rsidRPr="00B153ED">
        <w:rPr>
          <w:vertAlign w:val="superscript"/>
        </w:rPr>
        <w:t>e</w:t>
      </w:r>
      <w:r w:rsidR="00B153ED">
        <w:t xml:space="preserve"> session</w:t>
      </w:r>
      <w:r w:rsidR="00B153ED">
        <w:br/>
        <w:t>(</w:t>
      </w:r>
      <w:r w:rsidR="00210DED">
        <w:t>14 octobre-1</w:t>
      </w:r>
      <w:r w:rsidR="00210DED" w:rsidRPr="00210DED">
        <w:rPr>
          <w:vertAlign w:val="superscript"/>
        </w:rPr>
        <w:t>er</w:t>
      </w:r>
      <w:r w:rsidR="00210DED">
        <w:t xml:space="preserve"> novembre </w:t>
      </w:r>
      <w:r w:rsidR="00B153ED">
        <w:t>201</w:t>
      </w:r>
      <w:r w:rsidR="00210DED">
        <w:t>3</w:t>
      </w:r>
      <w:r w:rsidR="00B153ED">
        <w:t>)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119"/>
        <w:gridCol w:w="3686"/>
      </w:tblGrid>
      <w:tr w:rsidR="00210DED" w:rsidTr="00BD58B2">
        <w:tc>
          <w:tcPr>
            <w:tcW w:w="3119" w:type="dxa"/>
          </w:tcPr>
          <w:p w:rsidR="00210DED" w:rsidRPr="00EC6E49" w:rsidRDefault="00210DED" w:rsidP="00EC6E49">
            <w:r>
              <w:rPr>
                <w:i/>
              </w:rPr>
              <w:t>Communication p</w:t>
            </w:r>
            <w:r w:rsidRPr="00EC6E49">
              <w:rPr>
                <w:i/>
              </w:rPr>
              <w:t>résentée par</w:t>
            </w:r>
            <w:r w:rsidRPr="00CC25DC">
              <w:t>:</w:t>
            </w:r>
          </w:p>
        </w:tc>
        <w:tc>
          <w:tcPr>
            <w:tcW w:w="3686" w:type="dxa"/>
          </w:tcPr>
          <w:p w:rsidR="00210DED" w:rsidRPr="007E188B" w:rsidRDefault="00210DED" w:rsidP="005B69DE">
            <w:pPr>
              <w:spacing w:after="120"/>
            </w:pPr>
            <w:r>
              <w:t>Oleg Anatolevich Zhirnov (</w:t>
            </w:r>
            <w:r>
              <w:rPr>
                <w:lang w:val="fr-FR"/>
              </w:rPr>
              <w:t xml:space="preserve">non représenté </w:t>
            </w:r>
            <w:r>
              <w:rPr>
                <w:lang w:val="fr-FR"/>
              </w:rPr>
              <w:br/>
              <w:t>par un conseil</w:t>
            </w:r>
            <w:r>
              <w:t>)</w:t>
            </w:r>
          </w:p>
        </w:tc>
      </w:tr>
      <w:tr w:rsidR="00210DED" w:rsidTr="00BD58B2">
        <w:tc>
          <w:tcPr>
            <w:tcW w:w="3119" w:type="dxa"/>
          </w:tcPr>
          <w:p w:rsidR="00210DED" w:rsidRPr="00EC6E49" w:rsidRDefault="00210DED" w:rsidP="00EC6E49">
            <w:r w:rsidRPr="00EC6E49">
              <w:rPr>
                <w:i/>
              </w:rPr>
              <w:t>Au nom de</w:t>
            </w:r>
            <w:r w:rsidRPr="00CC25DC">
              <w:t>:</w:t>
            </w:r>
          </w:p>
        </w:tc>
        <w:tc>
          <w:tcPr>
            <w:tcW w:w="3686" w:type="dxa"/>
          </w:tcPr>
          <w:p w:rsidR="00210DED" w:rsidRPr="007E188B" w:rsidRDefault="00210DED" w:rsidP="005B69DE">
            <w:pPr>
              <w:spacing w:after="120"/>
            </w:pPr>
            <w:r>
              <w:t>L’auteur</w:t>
            </w:r>
          </w:p>
        </w:tc>
      </w:tr>
      <w:tr w:rsidR="00210DED" w:rsidTr="00BD58B2">
        <w:tc>
          <w:tcPr>
            <w:tcW w:w="3119" w:type="dxa"/>
          </w:tcPr>
          <w:p w:rsidR="00210DED" w:rsidRPr="00EC6E49" w:rsidRDefault="00210DED" w:rsidP="00EC6E49">
            <w:r w:rsidRPr="00EC6E49">
              <w:rPr>
                <w:i/>
              </w:rPr>
              <w:t>État partie</w:t>
            </w:r>
            <w:r w:rsidRPr="00CC25DC">
              <w:t>:</w:t>
            </w:r>
          </w:p>
        </w:tc>
        <w:tc>
          <w:tcPr>
            <w:tcW w:w="3686" w:type="dxa"/>
          </w:tcPr>
          <w:p w:rsidR="00210DED" w:rsidRPr="007E188B" w:rsidRDefault="00210DED" w:rsidP="005B69DE">
            <w:pPr>
              <w:spacing w:after="120"/>
            </w:pPr>
            <w:r>
              <w:rPr>
                <w:lang w:val="fr-FR"/>
              </w:rPr>
              <w:t>Fédération de Russie</w:t>
            </w:r>
          </w:p>
        </w:tc>
      </w:tr>
      <w:tr w:rsidR="00210DED" w:rsidTr="00BD58B2">
        <w:tc>
          <w:tcPr>
            <w:tcW w:w="3119" w:type="dxa"/>
          </w:tcPr>
          <w:p w:rsidR="00210DED" w:rsidRPr="00EC6E49" w:rsidRDefault="00210DED" w:rsidP="00EC6E49">
            <w:r w:rsidRPr="00EC6E49">
              <w:rPr>
                <w:i/>
              </w:rPr>
              <w:t>Date de la communication</w:t>
            </w:r>
            <w:r w:rsidRPr="00CC25DC">
              <w:t>:</w:t>
            </w:r>
          </w:p>
        </w:tc>
        <w:tc>
          <w:tcPr>
            <w:tcW w:w="3686" w:type="dxa"/>
          </w:tcPr>
          <w:p w:rsidR="00210DED" w:rsidRPr="007E188B" w:rsidRDefault="00210DED" w:rsidP="005B69DE">
            <w:pPr>
              <w:spacing w:after="120"/>
            </w:pPr>
            <w:r>
              <w:t>3</w:t>
            </w:r>
            <w:r w:rsidR="00E411E2">
              <w:t> </w:t>
            </w:r>
            <w:r>
              <w:t>septembre 2004 (</w:t>
            </w:r>
            <w:r>
              <w:rPr>
                <w:lang w:val="fr-FR"/>
              </w:rPr>
              <w:t>date de la lettre initiale</w:t>
            </w:r>
            <w:r>
              <w:t>)</w:t>
            </w:r>
          </w:p>
        </w:tc>
      </w:tr>
      <w:tr w:rsidR="005D29C8" w:rsidTr="00BD58B2">
        <w:tc>
          <w:tcPr>
            <w:tcW w:w="3119" w:type="dxa"/>
          </w:tcPr>
          <w:p w:rsidR="005D29C8" w:rsidRPr="00EC6E49" w:rsidRDefault="005D29C8" w:rsidP="00EC6E49">
            <w:r w:rsidRPr="00EC6E49">
              <w:rPr>
                <w:i/>
              </w:rPr>
              <w:t>Références</w:t>
            </w:r>
            <w:r w:rsidR="00CC25DC" w:rsidRPr="00CC25DC">
              <w:t>:</w:t>
            </w:r>
          </w:p>
        </w:tc>
        <w:tc>
          <w:tcPr>
            <w:tcW w:w="3686" w:type="dxa"/>
          </w:tcPr>
          <w:p w:rsidR="005D29C8" w:rsidRDefault="00BD58B2" w:rsidP="00EC6E49">
            <w:pPr>
              <w:spacing w:after="120"/>
            </w:pPr>
            <w:r>
              <w:rPr>
                <w:lang w:val="fr-FR"/>
              </w:rPr>
              <w:t>Décision prise par le Rapporteur spécial en application de l’article 97 du Règlement intérieur, communiquée à l’État partie le</w:t>
            </w:r>
            <w:r>
              <w:t> 1</w:t>
            </w:r>
            <w:r>
              <w:rPr>
                <w:vertAlign w:val="superscript"/>
              </w:rPr>
              <w:t>er</w:t>
            </w:r>
            <w:r>
              <w:t> juillet 2008 (</w:t>
            </w:r>
            <w:r>
              <w:rPr>
                <w:lang w:val="fr-FR"/>
              </w:rPr>
              <w:t>non publiée sous forme de document</w:t>
            </w:r>
            <w:r>
              <w:t>)</w:t>
            </w:r>
          </w:p>
        </w:tc>
      </w:tr>
      <w:tr w:rsidR="005D29C8" w:rsidTr="00BD58B2">
        <w:tc>
          <w:tcPr>
            <w:tcW w:w="3119" w:type="dxa"/>
          </w:tcPr>
          <w:p w:rsidR="005D29C8" w:rsidRPr="00EC6E49" w:rsidRDefault="00424FEB" w:rsidP="00EC6E49">
            <w:r>
              <w:rPr>
                <w:i/>
              </w:rPr>
              <w:t>Date de l’adoption</w:t>
            </w:r>
            <w:r w:rsidR="00065ECB" w:rsidRPr="00EC6E49">
              <w:rPr>
                <w:i/>
              </w:rPr>
              <w:t xml:space="preserve"> </w:t>
            </w:r>
            <w:r w:rsidR="005D29C8" w:rsidRPr="00EC6E49">
              <w:rPr>
                <w:i/>
              </w:rPr>
              <w:t>des</w:t>
            </w:r>
            <w:r w:rsidR="00210DED">
              <w:rPr>
                <w:i/>
              </w:rPr>
              <w:t xml:space="preserve"> </w:t>
            </w:r>
            <w:r w:rsidR="005D29C8" w:rsidRPr="00EC6E49">
              <w:rPr>
                <w:i/>
              </w:rPr>
              <w:t>constatations</w:t>
            </w:r>
            <w:r w:rsidR="00CC25DC" w:rsidRPr="00CC25DC">
              <w:t>:</w:t>
            </w:r>
          </w:p>
        </w:tc>
        <w:tc>
          <w:tcPr>
            <w:tcW w:w="3686" w:type="dxa"/>
            <w:vAlign w:val="bottom"/>
          </w:tcPr>
          <w:p w:rsidR="005D29C8" w:rsidRDefault="00210DED" w:rsidP="00EC6E49">
            <w:pPr>
              <w:spacing w:after="120"/>
            </w:pPr>
            <w:r>
              <w:t>28</w:t>
            </w:r>
            <w:r w:rsidR="00E411E2">
              <w:t> </w:t>
            </w:r>
            <w:r>
              <w:rPr>
                <w:lang w:val="fr-FR"/>
              </w:rPr>
              <w:t xml:space="preserve">octobre </w:t>
            </w:r>
            <w:r>
              <w:t>2013</w:t>
            </w:r>
          </w:p>
        </w:tc>
      </w:tr>
      <w:tr w:rsidR="00552A38" w:rsidTr="00BD58B2">
        <w:tc>
          <w:tcPr>
            <w:tcW w:w="3119" w:type="dxa"/>
          </w:tcPr>
          <w:p w:rsidR="00552A38" w:rsidRPr="00EC6E49" w:rsidRDefault="00552A38" w:rsidP="00EC6E49">
            <w:r w:rsidRPr="00EC6E49">
              <w:rPr>
                <w:i/>
                <w:iCs/>
              </w:rPr>
              <w:t>Objet</w:t>
            </w:r>
            <w:r w:rsidRPr="00CC25DC">
              <w:t>:</w:t>
            </w:r>
          </w:p>
        </w:tc>
        <w:tc>
          <w:tcPr>
            <w:tcW w:w="3686" w:type="dxa"/>
          </w:tcPr>
          <w:p w:rsidR="00552A38" w:rsidRPr="007E188B" w:rsidRDefault="00552A38" w:rsidP="005B69DE">
            <w:pPr>
              <w:spacing w:after="120"/>
            </w:pPr>
            <w:r>
              <w:t>Procès inéquitable</w:t>
            </w:r>
          </w:p>
        </w:tc>
      </w:tr>
      <w:tr w:rsidR="00552A38" w:rsidTr="00BD58B2">
        <w:tc>
          <w:tcPr>
            <w:tcW w:w="3119" w:type="dxa"/>
          </w:tcPr>
          <w:p w:rsidR="00552A38" w:rsidRPr="00EC6E49" w:rsidRDefault="00552A38" w:rsidP="00EC6E49">
            <w:r w:rsidRPr="00EC6E49">
              <w:rPr>
                <w:i/>
                <w:iCs/>
              </w:rPr>
              <w:t xml:space="preserve">Questions de </w:t>
            </w:r>
            <w:r w:rsidR="003A3CB4">
              <w:rPr>
                <w:i/>
                <w:iCs/>
              </w:rPr>
              <w:t>fond</w:t>
            </w:r>
            <w:r w:rsidRPr="00CC25DC">
              <w:t>:</w:t>
            </w:r>
          </w:p>
        </w:tc>
        <w:tc>
          <w:tcPr>
            <w:tcW w:w="3686" w:type="dxa"/>
          </w:tcPr>
          <w:p w:rsidR="00552A38" w:rsidRPr="007E188B" w:rsidRDefault="00552A38" w:rsidP="005B69DE">
            <w:pPr>
              <w:spacing w:after="120"/>
            </w:pPr>
            <w:r>
              <w:t xml:space="preserve">Droit de disposer du temps et des facilités nécessaires à la préparation de sa défense, de communiquer avec le conseil de son choix et de se voir attribuer d’office un défenseur chaque fois que l’intérêt de la justice l’exige </w:t>
            </w:r>
          </w:p>
        </w:tc>
      </w:tr>
      <w:tr w:rsidR="00552A38" w:rsidTr="00BD58B2">
        <w:tc>
          <w:tcPr>
            <w:tcW w:w="3119" w:type="dxa"/>
          </w:tcPr>
          <w:p w:rsidR="00552A38" w:rsidRPr="00EC6E49" w:rsidRDefault="00552A38" w:rsidP="00EC6E49">
            <w:r w:rsidRPr="00EC6E49">
              <w:rPr>
                <w:i/>
                <w:iCs/>
              </w:rPr>
              <w:t xml:space="preserve">Questions de </w:t>
            </w:r>
            <w:r w:rsidR="003A3CB4">
              <w:rPr>
                <w:i/>
                <w:iCs/>
              </w:rPr>
              <w:t>procédure</w:t>
            </w:r>
            <w:r w:rsidRPr="00CC25DC">
              <w:t>:</w:t>
            </w:r>
          </w:p>
        </w:tc>
        <w:tc>
          <w:tcPr>
            <w:tcW w:w="3686" w:type="dxa"/>
          </w:tcPr>
          <w:p w:rsidR="00552A38" w:rsidRDefault="00552A38" w:rsidP="005B69DE">
            <w:pPr>
              <w:spacing w:after="120"/>
            </w:pPr>
            <w:r>
              <w:rPr>
                <w:iCs/>
              </w:rPr>
              <w:t>Néant</w:t>
            </w:r>
          </w:p>
        </w:tc>
      </w:tr>
      <w:tr w:rsidR="00552A38" w:rsidTr="00BD58B2">
        <w:tc>
          <w:tcPr>
            <w:tcW w:w="3119" w:type="dxa"/>
          </w:tcPr>
          <w:p w:rsidR="00552A38" w:rsidRPr="00EC6E49" w:rsidRDefault="00765CD2" w:rsidP="00EC6E49">
            <w:r>
              <w:rPr>
                <w:i/>
                <w:iCs/>
              </w:rPr>
              <w:t>Articles</w:t>
            </w:r>
            <w:r w:rsidR="00552A38" w:rsidRPr="00EC6E49">
              <w:rPr>
                <w:i/>
                <w:iCs/>
              </w:rPr>
              <w:t xml:space="preserve"> du Pacte</w:t>
            </w:r>
            <w:r w:rsidR="00552A38" w:rsidRPr="00CC25DC">
              <w:t>:</w:t>
            </w:r>
          </w:p>
        </w:tc>
        <w:tc>
          <w:tcPr>
            <w:tcW w:w="3686" w:type="dxa"/>
          </w:tcPr>
          <w:p w:rsidR="00552A38" w:rsidRPr="007E188B" w:rsidRDefault="00765CD2" w:rsidP="005B69DE">
            <w:pPr>
              <w:spacing w:after="120"/>
            </w:pPr>
            <w:r>
              <w:t>14 (par. </w:t>
            </w:r>
            <w:r w:rsidR="00552A38">
              <w:t>3</w:t>
            </w:r>
            <w:r>
              <w:t> b) et </w:t>
            </w:r>
            <w:r w:rsidR="00552A38">
              <w:t>d))</w:t>
            </w:r>
          </w:p>
        </w:tc>
      </w:tr>
      <w:tr w:rsidR="00552A38" w:rsidTr="00BD58B2">
        <w:tc>
          <w:tcPr>
            <w:tcW w:w="3119" w:type="dxa"/>
          </w:tcPr>
          <w:p w:rsidR="00552A38" w:rsidRPr="00EC6E49" w:rsidRDefault="00765CD2" w:rsidP="00EC6E49">
            <w:r>
              <w:rPr>
                <w:i/>
                <w:iCs/>
              </w:rPr>
              <w:t>Article</w:t>
            </w:r>
            <w:r w:rsidR="00552A38" w:rsidRPr="00EC6E49">
              <w:rPr>
                <w:i/>
                <w:iCs/>
              </w:rPr>
              <w:t xml:space="preserve"> du Protocole facultatif</w:t>
            </w:r>
            <w:r w:rsidR="00552A38" w:rsidRPr="00CC25DC">
              <w:t>:</w:t>
            </w:r>
          </w:p>
        </w:tc>
        <w:tc>
          <w:tcPr>
            <w:tcW w:w="3686" w:type="dxa"/>
          </w:tcPr>
          <w:p w:rsidR="00552A38" w:rsidRPr="007E188B" w:rsidRDefault="00552A38" w:rsidP="005B69DE">
            <w:pPr>
              <w:spacing w:after="120"/>
            </w:pPr>
            <w:r>
              <w:rPr>
                <w:iCs/>
              </w:rPr>
              <w:t>Néant</w:t>
            </w:r>
          </w:p>
        </w:tc>
      </w:tr>
    </w:tbl>
    <w:p w:rsidR="00642728" w:rsidRDefault="007B0586" w:rsidP="007B0586">
      <w:pPr>
        <w:pStyle w:val="HChG"/>
      </w:pPr>
      <w:r>
        <w:br w:type="page"/>
      </w:r>
      <w:r w:rsidR="00642728">
        <w:t>A</w:t>
      </w:r>
      <w:r w:rsidR="00B57784">
        <w:t>nnexe</w:t>
      </w:r>
    </w:p>
    <w:p w:rsidR="00642728" w:rsidRDefault="00B57784" w:rsidP="00757D82">
      <w:pPr>
        <w:pStyle w:val="HChG"/>
      </w:pPr>
      <w:r>
        <w:tab/>
      </w:r>
      <w:r>
        <w:tab/>
        <w:t xml:space="preserve">Constatations du </w:t>
      </w:r>
      <w:r w:rsidR="00572B3F">
        <w:t>C</w:t>
      </w:r>
      <w:r>
        <w:t>omité des droits de l’homme au titre du paragraphe</w:t>
      </w:r>
      <w:r w:rsidR="00E411E2">
        <w:t> </w:t>
      </w:r>
      <w:r>
        <w:t>4 de l’article</w:t>
      </w:r>
      <w:r w:rsidR="00E411E2">
        <w:t> </w:t>
      </w:r>
      <w:r>
        <w:t xml:space="preserve">5 du </w:t>
      </w:r>
      <w:r w:rsidR="00572B3F">
        <w:t>P</w:t>
      </w:r>
      <w:r>
        <w:t>rotocole facultatif</w:t>
      </w:r>
      <w:r w:rsidR="008F7C94">
        <w:br/>
        <w:t xml:space="preserve">se </w:t>
      </w:r>
      <w:r>
        <w:t xml:space="preserve">rapportant au </w:t>
      </w:r>
      <w:r w:rsidR="00572B3F">
        <w:t>P</w:t>
      </w:r>
      <w:r>
        <w:t>acte international relatif aux droits</w:t>
      </w:r>
      <w:r w:rsidR="008F7C94">
        <w:br/>
        <w:t xml:space="preserve">civils et </w:t>
      </w:r>
      <w:r>
        <w:t>politiques (</w:t>
      </w:r>
      <w:r w:rsidR="008F7C94">
        <w:t>10</w:t>
      </w:r>
      <w:r w:rsidR="00552A38">
        <w:t>9</w:t>
      </w:r>
      <w:r w:rsidR="008F7C94" w:rsidRPr="008F7C94">
        <w:rPr>
          <w:vertAlign w:val="superscript"/>
        </w:rPr>
        <w:t>e</w:t>
      </w:r>
      <w:r w:rsidR="00E411E2">
        <w:t> </w:t>
      </w:r>
      <w:r w:rsidR="00642728">
        <w:t>session</w:t>
      </w:r>
      <w:r>
        <w:t>)</w:t>
      </w:r>
    </w:p>
    <w:p w:rsidR="00642728" w:rsidRDefault="00642728" w:rsidP="00BA405E">
      <w:pPr>
        <w:pStyle w:val="SingleTxtG"/>
      </w:pPr>
      <w:r>
        <w:t>concernant la</w:t>
      </w:r>
    </w:p>
    <w:p w:rsidR="00642728" w:rsidRDefault="00B57784" w:rsidP="00757D82">
      <w:pPr>
        <w:pStyle w:val="H1G"/>
      </w:pPr>
      <w:r>
        <w:tab/>
      </w:r>
      <w:r>
        <w:tab/>
      </w:r>
      <w:r w:rsidR="00642728">
        <w:t xml:space="preserve">Communication </w:t>
      </w:r>
      <w:r w:rsidR="00642728">
        <w:rPr>
          <w:rFonts w:eastAsia="MS Mincho"/>
        </w:rPr>
        <w:t>n</w:t>
      </w:r>
      <w:r w:rsidR="00642728">
        <w:rPr>
          <w:rFonts w:eastAsia="MS Mincho"/>
          <w:vertAlign w:val="superscript"/>
        </w:rPr>
        <w:t>o</w:t>
      </w:r>
      <w:r w:rsidR="00552A38">
        <w:t> </w:t>
      </w:r>
      <w:r w:rsidR="00552A38" w:rsidRPr="005B6C2F">
        <w:t>1795/2008</w:t>
      </w:r>
      <w:r w:rsidR="005D29C8" w:rsidRPr="005D29C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11198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410"/>
        <w:gridCol w:w="4394"/>
        <w:gridCol w:w="4394"/>
      </w:tblGrid>
      <w:tr w:rsidR="00552A38" w:rsidRPr="005D29C8" w:rsidTr="00552A38">
        <w:tc>
          <w:tcPr>
            <w:tcW w:w="2410" w:type="dxa"/>
          </w:tcPr>
          <w:p w:rsidR="00552A38" w:rsidRPr="005D29C8" w:rsidRDefault="00552A38" w:rsidP="005D29C8">
            <w:pPr>
              <w:spacing w:after="120"/>
              <w:rPr>
                <w:i/>
              </w:rPr>
            </w:pPr>
            <w:r w:rsidRPr="005D29C8">
              <w:rPr>
                <w:i/>
              </w:rPr>
              <w:t>Présentée par</w:t>
            </w:r>
            <w:r w:rsidRPr="00CC25DC">
              <w:t>:</w:t>
            </w:r>
          </w:p>
        </w:tc>
        <w:tc>
          <w:tcPr>
            <w:tcW w:w="4394" w:type="dxa"/>
          </w:tcPr>
          <w:p w:rsidR="00552A38" w:rsidRPr="005D29C8" w:rsidRDefault="00552A38" w:rsidP="005B69DE">
            <w:pPr>
              <w:spacing w:after="120"/>
            </w:pPr>
            <w:r>
              <w:t>Oleg Anatolevich Zhirnov (</w:t>
            </w:r>
            <w:r>
              <w:rPr>
                <w:szCs w:val="24"/>
                <w:lang w:val="fr-FR"/>
              </w:rPr>
              <w:t xml:space="preserve">non représenté </w:t>
            </w:r>
            <w:r>
              <w:rPr>
                <w:szCs w:val="24"/>
                <w:lang w:val="fr-FR"/>
              </w:rPr>
              <w:br/>
              <w:t>par un conseil</w:t>
            </w:r>
            <w:r>
              <w:t>)</w:t>
            </w:r>
          </w:p>
        </w:tc>
        <w:tc>
          <w:tcPr>
            <w:tcW w:w="4394" w:type="dxa"/>
          </w:tcPr>
          <w:p w:rsidR="00552A38" w:rsidRPr="005D29C8" w:rsidRDefault="00552A38" w:rsidP="005D29C8">
            <w:pPr>
              <w:spacing w:after="120"/>
            </w:pPr>
          </w:p>
        </w:tc>
      </w:tr>
      <w:tr w:rsidR="00552A38" w:rsidRPr="005D29C8" w:rsidTr="00552A38">
        <w:tc>
          <w:tcPr>
            <w:tcW w:w="2410" w:type="dxa"/>
          </w:tcPr>
          <w:p w:rsidR="00552A38" w:rsidRPr="005D29C8" w:rsidRDefault="00552A38" w:rsidP="005D29C8">
            <w:pPr>
              <w:spacing w:after="120"/>
              <w:rPr>
                <w:i/>
              </w:rPr>
            </w:pPr>
            <w:r w:rsidRPr="005D29C8">
              <w:rPr>
                <w:i/>
              </w:rPr>
              <w:t>Au nom de</w:t>
            </w:r>
            <w:r w:rsidRPr="00CC25DC">
              <w:t>:</w:t>
            </w:r>
          </w:p>
        </w:tc>
        <w:tc>
          <w:tcPr>
            <w:tcW w:w="4394" w:type="dxa"/>
          </w:tcPr>
          <w:p w:rsidR="00552A38" w:rsidRPr="005D29C8" w:rsidRDefault="00552A38" w:rsidP="005B69DE">
            <w:pPr>
              <w:spacing w:after="120"/>
            </w:pPr>
            <w:r>
              <w:t>L’auteur</w:t>
            </w:r>
          </w:p>
        </w:tc>
        <w:tc>
          <w:tcPr>
            <w:tcW w:w="4394" w:type="dxa"/>
          </w:tcPr>
          <w:p w:rsidR="00552A38" w:rsidRPr="005D29C8" w:rsidRDefault="00552A38" w:rsidP="005D29C8">
            <w:pPr>
              <w:spacing w:after="120"/>
            </w:pPr>
          </w:p>
        </w:tc>
      </w:tr>
      <w:tr w:rsidR="00552A38" w:rsidRPr="005D29C8" w:rsidTr="00552A38">
        <w:tc>
          <w:tcPr>
            <w:tcW w:w="2410" w:type="dxa"/>
          </w:tcPr>
          <w:p w:rsidR="00552A38" w:rsidRPr="005D29C8" w:rsidRDefault="00552A38" w:rsidP="005D29C8">
            <w:pPr>
              <w:spacing w:after="120"/>
              <w:rPr>
                <w:i/>
              </w:rPr>
            </w:pPr>
            <w:r w:rsidRPr="005D29C8">
              <w:rPr>
                <w:i/>
              </w:rPr>
              <w:t>État partie</w:t>
            </w:r>
            <w:r w:rsidRPr="00CC25DC">
              <w:t>:</w:t>
            </w:r>
          </w:p>
        </w:tc>
        <w:tc>
          <w:tcPr>
            <w:tcW w:w="4394" w:type="dxa"/>
          </w:tcPr>
          <w:p w:rsidR="00552A38" w:rsidRPr="005D29C8" w:rsidRDefault="00552A38" w:rsidP="005B69DE">
            <w:pPr>
              <w:spacing w:after="120"/>
            </w:pPr>
            <w:r>
              <w:rPr>
                <w:lang w:val="fr-FR"/>
              </w:rPr>
              <w:t>Fédération de Russie</w:t>
            </w:r>
          </w:p>
        </w:tc>
        <w:tc>
          <w:tcPr>
            <w:tcW w:w="4394" w:type="dxa"/>
          </w:tcPr>
          <w:p w:rsidR="00552A38" w:rsidRPr="005D29C8" w:rsidRDefault="00552A38" w:rsidP="005D29C8">
            <w:pPr>
              <w:spacing w:after="120"/>
            </w:pPr>
          </w:p>
        </w:tc>
      </w:tr>
      <w:tr w:rsidR="00552A38" w:rsidRPr="005D29C8" w:rsidTr="00552A38">
        <w:tc>
          <w:tcPr>
            <w:tcW w:w="2410" w:type="dxa"/>
          </w:tcPr>
          <w:p w:rsidR="00552A38" w:rsidRPr="005D29C8" w:rsidRDefault="00552A38" w:rsidP="00C17857">
            <w:pPr>
              <w:spacing w:after="240"/>
              <w:rPr>
                <w:i/>
              </w:rPr>
            </w:pPr>
            <w:r w:rsidRPr="005D29C8">
              <w:rPr>
                <w:i/>
              </w:rPr>
              <w:t>Date de la communication</w:t>
            </w:r>
            <w:r w:rsidRPr="00CC25DC">
              <w:t>:</w:t>
            </w:r>
          </w:p>
        </w:tc>
        <w:tc>
          <w:tcPr>
            <w:tcW w:w="4394" w:type="dxa"/>
          </w:tcPr>
          <w:p w:rsidR="00552A38" w:rsidRPr="005D29C8" w:rsidRDefault="00552A38" w:rsidP="005B69DE">
            <w:pPr>
              <w:spacing w:after="240"/>
            </w:pPr>
            <w:r>
              <w:t>3</w:t>
            </w:r>
            <w:r w:rsidR="00E411E2">
              <w:t> </w:t>
            </w:r>
            <w:r>
              <w:t>septembre 2004 (</w:t>
            </w:r>
            <w:r>
              <w:rPr>
                <w:szCs w:val="24"/>
                <w:lang w:val="fr-FR"/>
              </w:rPr>
              <w:t>date de la lettre initiale</w:t>
            </w:r>
            <w:r>
              <w:t>)</w:t>
            </w:r>
          </w:p>
        </w:tc>
        <w:tc>
          <w:tcPr>
            <w:tcW w:w="4394" w:type="dxa"/>
          </w:tcPr>
          <w:p w:rsidR="00552A38" w:rsidRPr="005D29C8" w:rsidRDefault="00552A38" w:rsidP="00C17857">
            <w:pPr>
              <w:spacing w:after="240"/>
            </w:pPr>
          </w:p>
        </w:tc>
      </w:tr>
    </w:tbl>
    <w:p w:rsidR="00642728" w:rsidRDefault="00642728" w:rsidP="000D75B9">
      <w:pPr>
        <w:pStyle w:val="SingleTxtG"/>
        <w:spacing w:before="120"/>
        <w:ind w:firstLine="567"/>
      </w:pPr>
      <w:r w:rsidRPr="00B57784">
        <w:rPr>
          <w:i/>
        </w:rPr>
        <w:t>Le Comité des droits de l’homme</w:t>
      </w:r>
      <w:r>
        <w:t>, institué en vertu de l’article 28 du Pacte international relatif aux droits civils et politiques,</w:t>
      </w:r>
    </w:p>
    <w:p w:rsidR="00642728" w:rsidRDefault="00642728" w:rsidP="00BA405E">
      <w:pPr>
        <w:pStyle w:val="SingleTxtG"/>
        <w:ind w:firstLine="567"/>
      </w:pPr>
      <w:r w:rsidRPr="00B57784">
        <w:rPr>
          <w:i/>
        </w:rPr>
        <w:t>Réuni</w:t>
      </w:r>
      <w:r w:rsidRPr="00736E0B">
        <w:rPr>
          <w:i/>
          <w:iCs/>
        </w:rPr>
        <w:t xml:space="preserve"> le</w:t>
      </w:r>
      <w:r w:rsidRPr="00875324">
        <w:t xml:space="preserve"> </w:t>
      </w:r>
      <w:r w:rsidR="00552A38" w:rsidRPr="002806B2">
        <w:rPr>
          <w:lang w:val="fr-FR"/>
        </w:rPr>
        <w:t>28</w:t>
      </w:r>
      <w:r w:rsidR="0052362E">
        <w:rPr>
          <w:lang w:val="fr-FR"/>
        </w:rPr>
        <w:t> </w:t>
      </w:r>
      <w:r w:rsidR="00552A38" w:rsidRPr="002806B2">
        <w:rPr>
          <w:lang w:val="fr-FR"/>
        </w:rPr>
        <w:t>octobre 2013</w:t>
      </w:r>
      <w:r>
        <w:t>,</w:t>
      </w:r>
    </w:p>
    <w:p w:rsidR="00642728" w:rsidRDefault="00642728" w:rsidP="00BA405E">
      <w:pPr>
        <w:pStyle w:val="SingleTxtG"/>
        <w:ind w:firstLine="567"/>
      </w:pPr>
      <w:r w:rsidRPr="00B57784">
        <w:rPr>
          <w:i/>
        </w:rPr>
        <w:t>Ayant achevé</w:t>
      </w:r>
      <w:r>
        <w:t xml:space="preserve"> l’examen de la communication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="00552A38" w:rsidRPr="002806B2">
        <w:t>1795/2008</w:t>
      </w:r>
      <w:r w:rsidR="00552A38">
        <w:t xml:space="preserve"> </w:t>
      </w:r>
      <w:r>
        <w:t xml:space="preserve">présentée </w:t>
      </w:r>
      <w:r w:rsidR="00552A38">
        <w:t xml:space="preserve">par </w:t>
      </w:r>
      <w:r w:rsidR="00552A38" w:rsidRPr="002806B2">
        <w:rPr>
          <w:lang w:val="fr-FR"/>
        </w:rPr>
        <w:t>M.</w:t>
      </w:r>
      <w:r w:rsidR="00552A38">
        <w:t> </w:t>
      </w:r>
      <w:r w:rsidR="00552A38" w:rsidRPr="002806B2">
        <w:t xml:space="preserve">Oleg Anatolevich Zhinov </w:t>
      </w:r>
      <w:r>
        <w:t>en vertu du Protocole facultatif se rapportant au Pacte international relatif aux droits civils et politiques,</w:t>
      </w:r>
    </w:p>
    <w:p w:rsidR="00642728" w:rsidRDefault="00642728" w:rsidP="00BA405E">
      <w:pPr>
        <w:pStyle w:val="SingleTxtG"/>
        <w:ind w:firstLine="567"/>
      </w:pPr>
      <w:r w:rsidRPr="00B57784">
        <w:rPr>
          <w:i/>
        </w:rPr>
        <w:t>Ayant tenu compte</w:t>
      </w:r>
      <w:r>
        <w:t xml:space="preserve"> de toutes les informations écrites qui lui ont été communiquées par l’auteur de la communication et l’État partie,</w:t>
      </w:r>
    </w:p>
    <w:p w:rsidR="00642728" w:rsidRDefault="00642728" w:rsidP="00BA405E">
      <w:pPr>
        <w:pStyle w:val="SingleTxtG"/>
        <w:ind w:firstLine="567"/>
      </w:pPr>
      <w:r w:rsidRPr="00B57784">
        <w:rPr>
          <w:i/>
        </w:rPr>
        <w:t>Adopte</w:t>
      </w:r>
      <w:r>
        <w:t xml:space="preserve"> ce qui suit:</w:t>
      </w:r>
    </w:p>
    <w:p w:rsidR="00642728" w:rsidRDefault="00B57784" w:rsidP="00757D82">
      <w:pPr>
        <w:pStyle w:val="H1G"/>
      </w:pPr>
      <w:r>
        <w:tab/>
      </w:r>
      <w:r>
        <w:tab/>
      </w:r>
      <w:r w:rsidR="00642728">
        <w:t>Constatations au titre du paragraphe</w:t>
      </w:r>
      <w:r w:rsidR="0052362E">
        <w:t> </w:t>
      </w:r>
      <w:r w:rsidR="00642728">
        <w:t>4 de l’article</w:t>
      </w:r>
      <w:r w:rsidR="0052362E">
        <w:t> </w:t>
      </w:r>
      <w:r w:rsidR="00642728">
        <w:t>5</w:t>
      </w:r>
      <w:r w:rsidR="00D43288">
        <w:br/>
      </w:r>
      <w:r w:rsidR="00642728">
        <w:t>du Protocole facultatif</w:t>
      </w:r>
    </w:p>
    <w:p w:rsidR="009F0CE2" w:rsidRPr="002806B2" w:rsidRDefault="009F0CE2" w:rsidP="009F0CE2">
      <w:pPr>
        <w:pStyle w:val="SingleTxtG"/>
      </w:pPr>
      <w:r w:rsidRPr="002806B2">
        <w:t>1.</w:t>
      </w:r>
      <w:r w:rsidRPr="002806B2">
        <w:tab/>
        <w:t>L</w:t>
      </w:r>
      <w:r>
        <w:t>’</w:t>
      </w:r>
      <w:r w:rsidRPr="002806B2">
        <w:t>au</w:t>
      </w:r>
      <w:r w:rsidR="00A71211">
        <w:t>teur de la communication est M. </w:t>
      </w:r>
      <w:r w:rsidRPr="002806B2">
        <w:t xml:space="preserve">Oleg Anatolevich Zhirnov, </w:t>
      </w:r>
      <w:r w:rsidRPr="002806B2">
        <w:rPr>
          <w:lang w:val="fr-FR"/>
        </w:rPr>
        <w:t>de nationalité russe, né en</w:t>
      </w:r>
      <w:r w:rsidR="0052362E">
        <w:t> </w:t>
      </w:r>
      <w:r w:rsidRPr="002806B2">
        <w:t xml:space="preserve">1972, </w:t>
      </w:r>
      <w:r>
        <w:t xml:space="preserve">qui était </w:t>
      </w:r>
      <w:r w:rsidRPr="002806B2">
        <w:t>incarcéré en Fédération de Russie</w:t>
      </w:r>
      <w:r>
        <w:t xml:space="preserve"> au moment de la soumission de la communication</w:t>
      </w:r>
      <w:r w:rsidRPr="002806B2">
        <w:t xml:space="preserve">. </w:t>
      </w:r>
      <w:r w:rsidRPr="002806B2">
        <w:rPr>
          <w:lang w:val="fr-FR"/>
        </w:rPr>
        <w:t>Il se dit victime d</w:t>
      </w:r>
      <w:r>
        <w:rPr>
          <w:lang w:val="fr-FR"/>
        </w:rPr>
        <w:t>’</w:t>
      </w:r>
      <w:r w:rsidRPr="002806B2">
        <w:rPr>
          <w:lang w:val="fr-FR"/>
        </w:rPr>
        <w:t>une violation par</w:t>
      </w:r>
      <w:r w:rsidRPr="002806B2">
        <w:t xml:space="preserve"> l</w:t>
      </w:r>
      <w:r>
        <w:t>’</w:t>
      </w:r>
      <w:r w:rsidRPr="002806B2">
        <w:t>État partie</w:t>
      </w:r>
      <w:r w:rsidRPr="0052362E">
        <w:rPr>
          <w:rStyle w:val="FootnoteReference"/>
        </w:rPr>
        <w:footnoteReference w:id="3"/>
      </w:r>
      <w:r w:rsidRPr="002806B2">
        <w:t xml:space="preserve"> </w:t>
      </w:r>
      <w:r w:rsidRPr="002806B2">
        <w:rPr>
          <w:lang w:val="fr-FR"/>
        </w:rPr>
        <w:t>des droits qu</w:t>
      </w:r>
      <w:r>
        <w:rPr>
          <w:lang w:val="fr-FR"/>
        </w:rPr>
        <w:t>’</w:t>
      </w:r>
      <w:r w:rsidRPr="002806B2">
        <w:rPr>
          <w:lang w:val="fr-FR"/>
        </w:rPr>
        <w:t xml:space="preserve">il tient </w:t>
      </w:r>
      <w:r>
        <w:rPr>
          <w:lang w:val="fr-FR"/>
        </w:rPr>
        <w:t>du</w:t>
      </w:r>
      <w:r w:rsidRPr="002806B2">
        <w:rPr>
          <w:lang w:val="fr-FR"/>
        </w:rPr>
        <w:t xml:space="preserve"> </w:t>
      </w:r>
      <w:r w:rsidRPr="002806B2">
        <w:t>paragraphe</w:t>
      </w:r>
      <w:r>
        <w:t> 3 </w:t>
      </w:r>
      <w:r w:rsidRPr="002806B2">
        <w:t>b) et</w:t>
      </w:r>
      <w:r>
        <w:t> </w:t>
      </w:r>
      <w:r w:rsidRPr="002806B2">
        <w:t>d) de l</w:t>
      </w:r>
      <w:r>
        <w:t>’</w:t>
      </w:r>
      <w:r w:rsidRPr="002806B2">
        <w:t>article</w:t>
      </w:r>
      <w:r>
        <w:t> </w:t>
      </w:r>
      <w:r w:rsidRPr="002806B2">
        <w:t xml:space="preserve">14 </w:t>
      </w:r>
      <w:r w:rsidRPr="002806B2">
        <w:rPr>
          <w:lang w:val="fr-FR"/>
        </w:rPr>
        <w:t>du Pacte international relatif aux droits civils et politiques</w:t>
      </w:r>
      <w:r w:rsidRPr="002806B2">
        <w:t xml:space="preserve">. </w:t>
      </w:r>
      <w:r w:rsidRPr="002806B2">
        <w:rPr>
          <w:lang w:val="fr-FR"/>
        </w:rPr>
        <w:t>Il n</w:t>
      </w:r>
      <w:r>
        <w:rPr>
          <w:lang w:val="fr-FR"/>
        </w:rPr>
        <w:t>’</w:t>
      </w:r>
      <w:r w:rsidRPr="002806B2">
        <w:rPr>
          <w:lang w:val="fr-FR"/>
        </w:rPr>
        <w:t>est pas représenté par un conseil.</w:t>
      </w:r>
      <w:r w:rsidRPr="002806B2">
        <w:t xml:space="preserve"> </w:t>
      </w:r>
    </w:p>
    <w:p w:rsidR="009F0CE2" w:rsidRPr="002806B2" w:rsidRDefault="009F0CE2" w:rsidP="009F0CE2">
      <w:pPr>
        <w:pStyle w:val="H23G"/>
      </w:pPr>
      <w:r w:rsidRPr="002806B2">
        <w:tab/>
      </w:r>
      <w:r w:rsidRPr="002806B2">
        <w:tab/>
        <w:t>Exposé des faits</w:t>
      </w:r>
    </w:p>
    <w:p w:rsidR="009F0CE2" w:rsidRPr="002806B2" w:rsidRDefault="009F0CE2" w:rsidP="009F0CE2">
      <w:pPr>
        <w:pStyle w:val="SingleTxtG"/>
      </w:pPr>
      <w:r w:rsidRPr="002806B2">
        <w:t>2.1</w:t>
      </w:r>
      <w:r w:rsidRPr="002806B2">
        <w:tab/>
        <w:t>L</w:t>
      </w:r>
      <w:r>
        <w:t>’</w:t>
      </w:r>
      <w:r w:rsidRPr="002806B2">
        <w:t>auteur indique avoir été, à une date non précisée, arrêté et inculpé de meurtre, d</w:t>
      </w:r>
      <w:r>
        <w:t>’</w:t>
      </w:r>
      <w:r w:rsidRPr="002806B2">
        <w:t>extorsion et d</w:t>
      </w:r>
      <w:r>
        <w:t>’</w:t>
      </w:r>
      <w:r w:rsidRPr="002806B2">
        <w:t>enlèvement. Il ajoute que lo</w:t>
      </w:r>
      <w:r w:rsidR="00A71211">
        <w:t>rsque, en juillet 2000, M. </w:t>
      </w:r>
      <w:r w:rsidRPr="002806B2">
        <w:t xml:space="preserve">Vasyaev, enquêteur du Bureau du Procureur du district de Volzhskaya, </w:t>
      </w:r>
      <w:r w:rsidRPr="002806B2" w:rsidDel="000114DE">
        <w:t>dans la région de</w:t>
      </w:r>
      <w:r w:rsidRPr="002806B2">
        <w:t xml:space="preserve"> Samara, lui a officiellement présenté les preuves </w:t>
      </w:r>
      <w:r>
        <w:t>retenues</w:t>
      </w:r>
      <w:r w:rsidRPr="002806B2">
        <w:t xml:space="preserve"> contre lui (procédure dite de «prise de connaissance de l</w:t>
      </w:r>
      <w:r>
        <w:t>’</w:t>
      </w:r>
      <w:r w:rsidRPr="002806B2">
        <w:t>affaire pénale»), c</w:t>
      </w:r>
      <w:r>
        <w:t xml:space="preserve">’était </w:t>
      </w:r>
      <w:r w:rsidRPr="002806B2">
        <w:t>en l</w:t>
      </w:r>
      <w:r>
        <w:t>’</w:t>
      </w:r>
      <w:r w:rsidRPr="002806B2">
        <w:t>absence de son premier conseil, M</w:t>
      </w:r>
      <w:r w:rsidRPr="000114DE">
        <w:rPr>
          <w:vertAlign w:val="superscript"/>
        </w:rPr>
        <w:t>me</w:t>
      </w:r>
      <w:r>
        <w:t> </w:t>
      </w:r>
      <w:r w:rsidRPr="002806B2">
        <w:t>Gordeeva. Il fait valoir que lui-même et son avocate ont été informés séparément du contenu du dossier le concernant, alors qu</w:t>
      </w:r>
      <w:r>
        <w:t>’</w:t>
      </w:r>
      <w:r w:rsidRPr="002806B2">
        <w:t xml:space="preserve">il avait expressément demandé que cette procédure se déroule en présence de son conseil. Il </w:t>
      </w:r>
      <w:r>
        <w:t xml:space="preserve">déclare qu’il y avait là violation du paragraphe 5 </w:t>
      </w:r>
      <w:r w:rsidRPr="002806B2">
        <w:t>de l</w:t>
      </w:r>
      <w:r>
        <w:t>’</w:t>
      </w:r>
      <w:r w:rsidRPr="002806B2">
        <w:t>article</w:t>
      </w:r>
      <w:r>
        <w:t> </w:t>
      </w:r>
      <w:r w:rsidRPr="002806B2">
        <w:t>49 du Code de procédure pénale alors en vigueur, en vertu duquel il est obligatoire qu</w:t>
      </w:r>
      <w:r>
        <w:t>’</w:t>
      </w:r>
      <w:r w:rsidRPr="002806B2">
        <w:t xml:space="preserve">un avocat participe à la procédure pénale </w:t>
      </w:r>
      <w:r>
        <w:t xml:space="preserve">chaque fois qu’un individu est </w:t>
      </w:r>
      <w:r w:rsidRPr="002806B2">
        <w:t>inculpé d</w:t>
      </w:r>
      <w:r>
        <w:t>’</w:t>
      </w:r>
      <w:r w:rsidRPr="002806B2">
        <w:t>un</w:t>
      </w:r>
      <w:r>
        <w:t xml:space="preserve"> crime </w:t>
      </w:r>
      <w:r w:rsidRPr="002806B2">
        <w:t>passible de la peine de mort. L</w:t>
      </w:r>
      <w:r>
        <w:t>’</w:t>
      </w:r>
      <w:r w:rsidRPr="002806B2">
        <w:t xml:space="preserve">auteur </w:t>
      </w:r>
      <w:r>
        <w:t xml:space="preserve">était accusé, </w:t>
      </w:r>
      <w:r w:rsidRPr="002806B2">
        <w:t>entre autres, d</w:t>
      </w:r>
      <w:r w:rsidR="00CE345B">
        <w:t>’un </w:t>
      </w:r>
      <w:r>
        <w:t xml:space="preserve">crime </w:t>
      </w:r>
      <w:r w:rsidRPr="002806B2">
        <w:t>visé à l</w:t>
      </w:r>
      <w:r>
        <w:t>’</w:t>
      </w:r>
      <w:r w:rsidRPr="002806B2">
        <w:t>article</w:t>
      </w:r>
      <w:r>
        <w:t> </w:t>
      </w:r>
      <w:r w:rsidRPr="002806B2">
        <w:t>102 du Code pénal (meurtre avec préméditation et circonstances aggravantes) qui était à l</w:t>
      </w:r>
      <w:r>
        <w:t>’</w:t>
      </w:r>
      <w:r w:rsidRPr="002806B2">
        <w:t xml:space="preserve">époque passible de la peine de mort. </w:t>
      </w:r>
    </w:p>
    <w:p w:rsidR="009F0CE2" w:rsidRPr="002806B2" w:rsidRDefault="009F0CE2" w:rsidP="009F0CE2">
      <w:pPr>
        <w:pStyle w:val="SingleTxtG"/>
      </w:pPr>
      <w:r w:rsidRPr="002806B2">
        <w:t>2.2</w:t>
      </w:r>
      <w:r>
        <w:tab/>
      </w:r>
      <w:r w:rsidRPr="002806B2">
        <w:t>À une date non précisée, l</w:t>
      </w:r>
      <w:r>
        <w:t>’</w:t>
      </w:r>
      <w:r w:rsidRPr="002806B2">
        <w:t xml:space="preserve">auteur, </w:t>
      </w:r>
      <w:r>
        <w:t xml:space="preserve">ainsi </w:t>
      </w:r>
      <w:r w:rsidRPr="002806B2">
        <w:t>que d</w:t>
      </w:r>
      <w:r>
        <w:t>’</w:t>
      </w:r>
      <w:r w:rsidRPr="002806B2">
        <w:t>autres co</w:t>
      </w:r>
      <w:r>
        <w:t>accusés</w:t>
      </w:r>
      <w:r w:rsidRPr="002806B2">
        <w:t xml:space="preserve">, </w:t>
      </w:r>
      <w:r>
        <w:t xml:space="preserve">ont saisi </w:t>
      </w:r>
      <w:r w:rsidRPr="002806B2">
        <w:t>la Division criminelle du tribunal régional de Saratov et demandé le renvoi de l</w:t>
      </w:r>
      <w:r>
        <w:t>’</w:t>
      </w:r>
      <w:r w:rsidRPr="002806B2">
        <w:t>affaire pour complément d</w:t>
      </w:r>
      <w:r>
        <w:t>’</w:t>
      </w:r>
      <w:r w:rsidRPr="002806B2">
        <w:t>enquête</w:t>
      </w:r>
      <w:r w:rsidRPr="0052362E">
        <w:rPr>
          <w:rStyle w:val="FootnoteReference"/>
        </w:rPr>
        <w:footnoteReference w:id="4"/>
      </w:r>
      <w:r w:rsidRPr="002806B2">
        <w:t xml:space="preserve">. </w:t>
      </w:r>
      <w:r>
        <w:t>L’auteur</w:t>
      </w:r>
      <w:r w:rsidRPr="002806B2">
        <w:t xml:space="preserve"> a également demandé, entre autres, que lui-même et son deuxième conseil, M</w:t>
      </w:r>
      <w:r w:rsidRPr="000114DE">
        <w:rPr>
          <w:vertAlign w:val="superscript"/>
        </w:rPr>
        <w:t>m</w:t>
      </w:r>
      <w:r w:rsidRPr="002806B2">
        <w:rPr>
          <w:vertAlign w:val="superscript"/>
        </w:rPr>
        <w:t>e</w:t>
      </w:r>
      <w:r>
        <w:t> </w:t>
      </w:r>
      <w:r w:rsidRPr="002806B2">
        <w:t xml:space="preserve">Abramova, </w:t>
      </w:r>
      <w:r>
        <w:t xml:space="preserve">à qui il n’avait confié sa défense que le 6 mai 2000, aient accès à </w:t>
      </w:r>
      <w:r w:rsidRPr="002806B2">
        <w:t xml:space="preserve">tous les éléments </w:t>
      </w:r>
      <w:r>
        <w:t xml:space="preserve">versés au </w:t>
      </w:r>
      <w:r w:rsidRPr="002806B2">
        <w:t>dossier</w:t>
      </w:r>
      <w:r>
        <w:t>. Le 12 </w:t>
      </w:r>
      <w:r w:rsidRPr="002806B2">
        <w:t>mai 2000, la Division criminelle du tribunal régional de Saratov a conclu que d</w:t>
      </w:r>
      <w:r>
        <w:t>’</w:t>
      </w:r>
      <w:r w:rsidRPr="002806B2">
        <w:t>importantes violations d</w:t>
      </w:r>
      <w:r>
        <w:t xml:space="preserve">u droit de </w:t>
      </w:r>
      <w:r w:rsidRPr="002806B2">
        <w:t>procédure pénale avaient été commises par les autorités chargées de</w:t>
      </w:r>
      <w:r>
        <w:t xml:space="preserve"> l’</w:t>
      </w:r>
      <w:r w:rsidRPr="002806B2">
        <w:t>enquête et que l</w:t>
      </w:r>
      <w:r>
        <w:t>’</w:t>
      </w:r>
      <w:r w:rsidRPr="002806B2">
        <w:t>affaire devait être renvoyée pour complément d</w:t>
      </w:r>
      <w:r>
        <w:t>’</w:t>
      </w:r>
      <w:r w:rsidRPr="002806B2">
        <w:t xml:space="preserve">enquête afin de remédier aux </w:t>
      </w:r>
      <w:r>
        <w:t xml:space="preserve">vices </w:t>
      </w:r>
      <w:r w:rsidRPr="002806B2">
        <w:t>de procédure recensés. Le tribunal a indiqué expressément que dans les affaires où un avocat participe à la procédure pénale, l</w:t>
      </w:r>
      <w:r>
        <w:t>’</w:t>
      </w:r>
      <w:r w:rsidRPr="002806B2">
        <w:t xml:space="preserve">enquêteur doit présenter tous les éléments du dossier </w:t>
      </w:r>
      <w:r>
        <w:t xml:space="preserve">au prévenu </w:t>
      </w:r>
      <w:r w:rsidRPr="002806B2">
        <w:t xml:space="preserve">et à son conseil, </w:t>
      </w:r>
      <w:r>
        <w:t xml:space="preserve">à moins que </w:t>
      </w:r>
      <w:r w:rsidRPr="002806B2">
        <w:t>l</w:t>
      </w:r>
      <w:r>
        <w:t>’</w:t>
      </w:r>
      <w:r w:rsidRPr="002806B2">
        <w:t>un ou l</w:t>
      </w:r>
      <w:r>
        <w:t>’</w:t>
      </w:r>
      <w:r w:rsidRPr="002806B2">
        <w:t xml:space="preserve">autre </w:t>
      </w:r>
      <w:r>
        <w:t xml:space="preserve">ne </w:t>
      </w:r>
      <w:r w:rsidRPr="002806B2">
        <w:t>demande</w:t>
      </w:r>
      <w:r>
        <w:t>nt</w:t>
      </w:r>
      <w:r w:rsidRPr="002806B2">
        <w:t xml:space="preserve"> à </w:t>
      </w:r>
      <w:r>
        <w:t xml:space="preserve">prendre connaissance </w:t>
      </w:r>
      <w:r w:rsidRPr="002806B2">
        <w:t>du contenu du dossier</w:t>
      </w:r>
      <w:r>
        <w:t xml:space="preserve"> séparément</w:t>
      </w:r>
      <w:r w:rsidRPr="002806B2">
        <w:t>.</w:t>
      </w:r>
    </w:p>
    <w:p w:rsidR="009F0CE2" w:rsidRPr="002806B2" w:rsidRDefault="009F0CE2" w:rsidP="009F0CE2">
      <w:pPr>
        <w:pStyle w:val="SingleTxtG"/>
      </w:pPr>
      <w:r w:rsidRPr="002806B2">
        <w:t>2.3</w:t>
      </w:r>
      <w:r>
        <w:tab/>
      </w:r>
      <w:r w:rsidRPr="002806B2">
        <w:t>Le compléme</w:t>
      </w:r>
      <w:r>
        <w:t>nt d’enquête a été achevé le 20 </w:t>
      </w:r>
      <w:r w:rsidRPr="002806B2">
        <w:t>juin 2000. L</w:t>
      </w:r>
      <w:r>
        <w:t>’</w:t>
      </w:r>
      <w:r w:rsidRPr="002806B2">
        <w:t>auteur affirme que, contrairement à la décision de la Division criminelle du tribunal régional de Saratov en date du 12</w:t>
      </w:r>
      <w:r w:rsidR="00A71211">
        <w:t> </w:t>
      </w:r>
      <w:r w:rsidRPr="002806B2">
        <w:t>mai 2000, il a de nouveau pris connaissance d</w:t>
      </w:r>
      <w:r>
        <w:t>’</w:t>
      </w:r>
      <w:r w:rsidRPr="002806B2">
        <w:t>une partie des éléments du dossier en l</w:t>
      </w:r>
      <w:r>
        <w:t>’</w:t>
      </w:r>
      <w:r w:rsidRPr="002806B2">
        <w:t>absence de son avocat. À une date non précisée, en juillet 2000, le deuxième conseil de l</w:t>
      </w:r>
      <w:r>
        <w:t>’</w:t>
      </w:r>
      <w:r w:rsidRPr="002806B2">
        <w:t>auteur, M</w:t>
      </w:r>
      <w:r w:rsidRPr="000114DE">
        <w:rPr>
          <w:vertAlign w:val="superscript"/>
        </w:rPr>
        <w:t>m</w:t>
      </w:r>
      <w:r w:rsidRPr="002806B2">
        <w:rPr>
          <w:vertAlign w:val="superscript"/>
        </w:rPr>
        <w:t>e</w:t>
      </w:r>
      <w:r w:rsidRPr="002806B2">
        <w:t xml:space="preserve"> Abramova, a </w:t>
      </w:r>
      <w:r>
        <w:t xml:space="preserve">été reçue à l’examen de magistrat et n’a pas pu </w:t>
      </w:r>
      <w:r w:rsidRPr="002806B2">
        <w:t>continuer à assurer sa défense. Bien que l</w:t>
      </w:r>
      <w:r>
        <w:t>’</w:t>
      </w:r>
      <w:r w:rsidRPr="002806B2">
        <w:t>auteur ait présenté de nombreuses requêtes orales afin qu</w:t>
      </w:r>
      <w:r>
        <w:t>’</w:t>
      </w:r>
      <w:r w:rsidRPr="002806B2">
        <w:t xml:space="preserve">un nouvel avocat lui soit </w:t>
      </w:r>
      <w:r>
        <w:t xml:space="preserve">attribué </w:t>
      </w:r>
      <w:r w:rsidRPr="002806B2">
        <w:t xml:space="preserve">ou que la procédure de prise de connaissance </w:t>
      </w:r>
      <w:r>
        <w:t xml:space="preserve">du dossier </w:t>
      </w:r>
      <w:r w:rsidRPr="002806B2">
        <w:t>soit reportée</w:t>
      </w:r>
      <w:r w:rsidRPr="006F1824">
        <w:rPr>
          <w:rStyle w:val="FootnoteReference"/>
        </w:rPr>
        <w:footnoteReference w:id="5"/>
      </w:r>
      <w:r w:rsidRPr="002806B2">
        <w:t>, l</w:t>
      </w:r>
      <w:r>
        <w:t>’</w:t>
      </w:r>
      <w:r w:rsidRPr="002806B2">
        <w:t>enquêteur chargé de l</w:t>
      </w:r>
      <w:r>
        <w:t>’</w:t>
      </w:r>
      <w:r w:rsidRPr="002806B2">
        <w:t>affaire a continué à lui présenter officiellement le dossier en l</w:t>
      </w:r>
      <w:r>
        <w:t>’</w:t>
      </w:r>
      <w:r w:rsidRPr="002806B2">
        <w:t>absence d</w:t>
      </w:r>
      <w:r>
        <w:t>’</w:t>
      </w:r>
      <w:r w:rsidRPr="002806B2">
        <w:t>un conseil. Plus précisémen</w:t>
      </w:r>
      <w:r>
        <w:t>t, les</w:t>
      </w:r>
      <w:r w:rsidR="0052362E">
        <w:t> </w:t>
      </w:r>
      <w:r>
        <w:t>18, 19, 20 et 21 juillet</w:t>
      </w:r>
      <w:r w:rsidRPr="002806B2">
        <w:t>, l</w:t>
      </w:r>
      <w:r>
        <w:t>’</w:t>
      </w:r>
      <w:r w:rsidRPr="002806B2">
        <w:t>auteur s</w:t>
      </w:r>
      <w:r>
        <w:t>’</w:t>
      </w:r>
      <w:r w:rsidRPr="002806B2">
        <w:t>est vu présenter plusieurs parties des volumes</w:t>
      </w:r>
      <w:r>
        <w:t> </w:t>
      </w:r>
      <w:r w:rsidRPr="002806B2">
        <w:t>6 et 7 de son dossier, ainsi que les volumes</w:t>
      </w:r>
      <w:r>
        <w:t> </w:t>
      </w:r>
      <w:r w:rsidRPr="002806B2">
        <w:t>12, 13 et</w:t>
      </w:r>
      <w:r w:rsidR="0052362E">
        <w:t> </w:t>
      </w:r>
      <w:r w:rsidRPr="002806B2">
        <w:t>14, en l</w:t>
      </w:r>
      <w:r>
        <w:t>’</w:t>
      </w:r>
      <w:r w:rsidRPr="002806B2">
        <w:t>absence d</w:t>
      </w:r>
      <w:r>
        <w:t>’</w:t>
      </w:r>
      <w:r w:rsidRPr="002806B2">
        <w:t>un avocat. Le 21</w:t>
      </w:r>
      <w:r>
        <w:t> </w:t>
      </w:r>
      <w:r w:rsidRPr="002806B2">
        <w:t xml:space="preserve">juillet 2000, </w:t>
      </w:r>
      <w:r>
        <w:t xml:space="preserve">il a pris </w:t>
      </w:r>
      <w:r w:rsidRPr="002806B2">
        <w:t xml:space="preserve">un troisième </w:t>
      </w:r>
      <w:r>
        <w:t>avocat</w:t>
      </w:r>
      <w:r w:rsidRPr="002806B2">
        <w:t>, M.</w:t>
      </w:r>
      <w:r>
        <w:t> </w:t>
      </w:r>
      <w:r w:rsidRPr="002806B2">
        <w:t>Nekhoroshev</w:t>
      </w:r>
      <w:r>
        <w:t>. Le 24 </w:t>
      </w:r>
      <w:r w:rsidRPr="002806B2">
        <w:t xml:space="preserve">juillet 2000, il a </w:t>
      </w:r>
      <w:r>
        <w:t>pris connaissance du contenu du volume </w:t>
      </w:r>
      <w:r w:rsidRPr="002806B2">
        <w:t>15 de son dossier en l</w:t>
      </w:r>
      <w:r>
        <w:t>’</w:t>
      </w:r>
      <w:r w:rsidRPr="002806B2">
        <w:t>absence de M.</w:t>
      </w:r>
      <w:r>
        <w:t> </w:t>
      </w:r>
      <w:r w:rsidRPr="002806B2">
        <w:t>Nekhoroshev. En outre, l</w:t>
      </w:r>
      <w:r>
        <w:t>’</w:t>
      </w:r>
      <w:r w:rsidRPr="002806B2">
        <w:t>enquêteur n</w:t>
      </w:r>
      <w:r>
        <w:t>’</w:t>
      </w:r>
      <w:r w:rsidRPr="002806B2">
        <w:t>a pas présenté à l</w:t>
      </w:r>
      <w:r>
        <w:t>’</w:t>
      </w:r>
      <w:r w:rsidRPr="002806B2">
        <w:t>auteur une vidéo qui faisait partie des éléments de preuve, malgré les nombreuses requêtes orales que celui-ci avait présentées afin de pouvoir la visionner avec son avocat. En conséquence, ce n</w:t>
      </w:r>
      <w:r>
        <w:t>’</w:t>
      </w:r>
      <w:r w:rsidRPr="002806B2">
        <w:t>est qu</w:t>
      </w:r>
      <w:r>
        <w:t>’</w:t>
      </w:r>
      <w:r w:rsidRPr="002806B2">
        <w:t>au cours des audiences que l</w:t>
      </w:r>
      <w:r>
        <w:t>’</w:t>
      </w:r>
      <w:r w:rsidRPr="002806B2">
        <w:t>auteur a vu cette vidéo pour la première fois. Le</w:t>
      </w:r>
      <w:r w:rsidR="0052362E">
        <w:t> </w:t>
      </w:r>
      <w:r w:rsidRPr="002806B2">
        <w:t>tribunal a considéré que les transcriptions de la vidéo étaient des éléments de preuve recevables.</w:t>
      </w:r>
    </w:p>
    <w:p w:rsidR="009F0CE2" w:rsidRPr="002806B2" w:rsidRDefault="009F0CE2" w:rsidP="009F0CE2">
      <w:pPr>
        <w:pStyle w:val="SingleTxtG"/>
      </w:pPr>
      <w:r w:rsidRPr="002806B2">
        <w:t>2.4</w:t>
      </w:r>
      <w:r>
        <w:tab/>
      </w:r>
      <w:r w:rsidRPr="002806B2">
        <w:t>Le 29</w:t>
      </w:r>
      <w:r>
        <w:t> </w:t>
      </w:r>
      <w:r w:rsidRPr="002806B2">
        <w:t>aoû</w:t>
      </w:r>
      <w:r>
        <w:t>t 2000, au cours d’une audience</w:t>
      </w:r>
      <w:r w:rsidRPr="002806B2">
        <w:t>, l</w:t>
      </w:r>
      <w:r>
        <w:t>’</w:t>
      </w:r>
      <w:r w:rsidRPr="002806B2">
        <w:t>auteur s</w:t>
      </w:r>
      <w:r>
        <w:t>’</w:t>
      </w:r>
      <w:r w:rsidRPr="002806B2">
        <w:t xml:space="preserve">est plaint </w:t>
      </w:r>
      <w:r>
        <w:t xml:space="preserve">à ce sujet </w:t>
      </w:r>
      <w:r w:rsidRPr="002806B2">
        <w:t>auprès de la Division criminelle du tribunal régional de Saratov</w:t>
      </w:r>
      <w:r w:rsidRPr="006F1824">
        <w:rPr>
          <w:rStyle w:val="FootnoteReference"/>
        </w:rPr>
        <w:footnoteReference w:id="6"/>
      </w:r>
      <w:r w:rsidRPr="002806B2">
        <w:t>. Son troisième avocat, M.</w:t>
      </w:r>
      <w:r>
        <w:t> </w:t>
      </w:r>
      <w:r w:rsidRPr="002806B2">
        <w:t xml:space="preserve">Nekhoroshev, a ajouté que chacun des </w:t>
      </w:r>
      <w:r>
        <w:t>avocats</w:t>
      </w:r>
      <w:r w:rsidRPr="002806B2">
        <w:t xml:space="preserve"> précédents avait représenté son client à différents stades de la procédure et qu</w:t>
      </w:r>
      <w:r>
        <w:t>’</w:t>
      </w:r>
      <w:r w:rsidRPr="002806B2">
        <w:t>il avait lui-même pris connaissance de la totalité des éléments versés au dossier, alors que l</w:t>
      </w:r>
      <w:r>
        <w:t>’</w:t>
      </w:r>
      <w:r w:rsidRPr="002806B2">
        <w:t>auteur ne s</w:t>
      </w:r>
      <w:r>
        <w:t>’</w:t>
      </w:r>
      <w:r w:rsidRPr="002806B2">
        <w:t>était vu présenter qu</w:t>
      </w:r>
      <w:r>
        <w:t>’</w:t>
      </w:r>
      <w:r w:rsidRPr="002806B2">
        <w:t>une partie du dossier, et ce en son absence. L</w:t>
      </w:r>
      <w:r>
        <w:t>’</w:t>
      </w:r>
      <w:r w:rsidRPr="002806B2">
        <w:t>auteur a indiqué au tribunal que son dossier devait contenir une attestation en date du 13</w:t>
      </w:r>
      <w:r>
        <w:t> </w:t>
      </w:r>
      <w:r w:rsidRPr="002806B2">
        <w:t>août 2000 confirmant que son avocate précédente, M</w:t>
      </w:r>
      <w:r w:rsidRPr="000114DE">
        <w:rPr>
          <w:vertAlign w:val="superscript"/>
        </w:rPr>
        <w:t>m</w:t>
      </w:r>
      <w:r w:rsidRPr="002806B2">
        <w:rPr>
          <w:vertAlign w:val="superscript"/>
        </w:rPr>
        <w:t>e</w:t>
      </w:r>
      <w:r>
        <w:t> </w:t>
      </w:r>
      <w:r w:rsidRPr="002806B2">
        <w:t xml:space="preserve">Abramova, avait </w:t>
      </w:r>
      <w:r>
        <w:t>été reçue à l’examen de magistrat,</w:t>
      </w:r>
      <w:r w:rsidRPr="002806B2">
        <w:t xml:space="preserve"> et </w:t>
      </w:r>
      <w:r>
        <w:t xml:space="preserve">qu’il </w:t>
      </w:r>
      <w:r w:rsidRPr="002806B2">
        <w:t>avait</w:t>
      </w:r>
      <w:r>
        <w:t xml:space="preserve"> ensuite confié </w:t>
      </w:r>
      <w:r w:rsidRPr="002806B2">
        <w:t>sa défense à M.</w:t>
      </w:r>
      <w:r>
        <w:t> </w:t>
      </w:r>
      <w:r w:rsidRPr="002806B2">
        <w:t xml:space="preserve">Nekhoroshev. </w:t>
      </w:r>
      <w:r>
        <w:t>Commentant</w:t>
      </w:r>
      <w:r w:rsidRPr="002806B2">
        <w:t xml:space="preserve"> l</w:t>
      </w:r>
      <w:r>
        <w:t>’</w:t>
      </w:r>
      <w:r w:rsidRPr="002806B2">
        <w:t>intervention de l</w:t>
      </w:r>
      <w:r>
        <w:t>’</w:t>
      </w:r>
      <w:r w:rsidRPr="002806B2">
        <w:t xml:space="preserve">auteur, </w:t>
      </w:r>
      <w:r>
        <w:t xml:space="preserve">le procureur a déclaré </w:t>
      </w:r>
      <w:r w:rsidRPr="002806B2">
        <w:t>que rien ne confirmait que M</w:t>
      </w:r>
      <w:r w:rsidRPr="000114DE">
        <w:rPr>
          <w:vertAlign w:val="superscript"/>
        </w:rPr>
        <w:t>m</w:t>
      </w:r>
      <w:r w:rsidRPr="002806B2">
        <w:rPr>
          <w:vertAlign w:val="superscript"/>
        </w:rPr>
        <w:t>e</w:t>
      </w:r>
      <w:r w:rsidRPr="002806B2">
        <w:t xml:space="preserve"> Abramova avait </w:t>
      </w:r>
      <w:r>
        <w:t>effectivement été nommée juge. Le </w:t>
      </w:r>
      <w:r w:rsidRPr="002806B2">
        <w:t xml:space="preserve">tribunal a ajourné la requête </w:t>
      </w:r>
      <w:r>
        <w:t xml:space="preserve">de </w:t>
      </w:r>
      <w:r w:rsidRPr="002806B2">
        <w:t>l</w:t>
      </w:r>
      <w:r>
        <w:t>’</w:t>
      </w:r>
      <w:r w:rsidRPr="002806B2">
        <w:t xml:space="preserve">auteur qui </w:t>
      </w:r>
      <w:r>
        <w:t xml:space="preserve">demandait à prendre connaissance </w:t>
      </w:r>
      <w:r w:rsidRPr="002806B2">
        <w:t>du contenu du dossier en présence de M.</w:t>
      </w:r>
      <w:r>
        <w:t> </w:t>
      </w:r>
      <w:r w:rsidRPr="002806B2">
        <w:t xml:space="preserve">Nekhoroshev, </w:t>
      </w:r>
      <w:r>
        <w:t xml:space="preserve">en attendant de vérifier les </w:t>
      </w:r>
      <w:r w:rsidRPr="002806B2">
        <w:t>informations concernant M</w:t>
      </w:r>
      <w:r w:rsidRPr="000114DE">
        <w:rPr>
          <w:vertAlign w:val="superscript"/>
        </w:rPr>
        <w:t>m</w:t>
      </w:r>
      <w:r w:rsidRPr="002806B2">
        <w:rPr>
          <w:vertAlign w:val="superscript"/>
        </w:rPr>
        <w:t>e</w:t>
      </w:r>
      <w:r>
        <w:t> </w:t>
      </w:r>
      <w:r w:rsidRPr="002806B2">
        <w:t>Abramova. Finalement, la Division criminelle du tribunal régional de Saratov ne s</w:t>
      </w:r>
      <w:r>
        <w:t>’</w:t>
      </w:r>
      <w:r w:rsidRPr="002806B2">
        <w:t>est jamais prononcée sur la question</w:t>
      </w:r>
      <w:r w:rsidRPr="006F1824">
        <w:rPr>
          <w:rStyle w:val="FootnoteReference"/>
        </w:rPr>
        <w:footnoteReference w:id="7"/>
      </w:r>
      <w:r w:rsidRPr="002806B2">
        <w:t>.</w:t>
      </w:r>
    </w:p>
    <w:p w:rsidR="009F0CE2" w:rsidRPr="002806B2" w:rsidRDefault="009F0CE2" w:rsidP="009F0CE2">
      <w:pPr>
        <w:pStyle w:val="SingleTxtG"/>
      </w:pPr>
      <w:r w:rsidRPr="002806B2">
        <w:t>2.5</w:t>
      </w:r>
      <w:r>
        <w:tab/>
      </w:r>
      <w:r w:rsidRPr="002806B2">
        <w:t>Le 1</w:t>
      </w:r>
      <w:r w:rsidRPr="002806B2">
        <w:rPr>
          <w:vertAlign w:val="superscript"/>
        </w:rPr>
        <w:t>er</w:t>
      </w:r>
      <w:r>
        <w:t> </w:t>
      </w:r>
      <w:r w:rsidRPr="002806B2">
        <w:t>novembre 2000, l</w:t>
      </w:r>
      <w:r>
        <w:t>’</w:t>
      </w:r>
      <w:r w:rsidRPr="002806B2">
        <w:t xml:space="preserve">auteur a été reconnu coupable </w:t>
      </w:r>
      <w:r>
        <w:t>de meurtre avec préméditation et circonstances aggravantes (art. </w:t>
      </w:r>
      <w:r w:rsidRPr="002806B2">
        <w:t xml:space="preserve">102 du Code pénal) et de trois autres chefs visés aux </w:t>
      </w:r>
      <w:r>
        <w:t>paragraphes 2 et 3 de l’article </w:t>
      </w:r>
      <w:r w:rsidRPr="002806B2">
        <w:t xml:space="preserve">146, </w:t>
      </w:r>
      <w:r w:rsidRPr="002806B2" w:rsidDel="000114DE">
        <w:t>au</w:t>
      </w:r>
      <w:r w:rsidRPr="002806B2">
        <w:t xml:space="preserve"> paragraphe</w:t>
      </w:r>
      <w:r>
        <w:t> 2 de l’article </w:t>
      </w:r>
      <w:r w:rsidRPr="002806B2">
        <w:t xml:space="preserve">126 et </w:t>
      </w:r>
      <w:r w:rsidRPr="002806B2" w:rsidDel="000114DE">
        <w:t>au</w:t>
      </w:r>
      <w:r w:rsidRPr="002806B2">
        <w:t xml:space="preserve"> </w:t>
      </w:r>
      <w:r>
        <w:t>paragraphe 2 de l’article </w:t>
      </w:r>
      <w:r w:rsidRPr="002806B2">
        <w:t xml:space="preserve">148 du Code pénal, par le tribunal régional de Saratov et condamné à </w:t>
      </w:r>
      <w:r>
        <w:t xml:space="preserve">onze </w:t>
      </w:r>
      <w:r w:rsidRPr="002806B2">
        <w:t>ans de réclusion. Le recours en cassation formé par l</w:t>
      </w:r>
      <w:r>
        <w:t>’</w:t>
      </w:r>
      <w:r w:rsidRPr="002806B2">
        <w:t>auteur a été rejeté par la Division crim</w:t>
      </w:r>
      <w:r>
        <w:t>inelle de la Cour suprême le 25 </w:t>
      </w:r>
      <w:r w:rsidRPr="002806B2">
        <w:t>avril 2001. L</w:t>
      </w:r>
      <w:r>
        <w:t>’</w:t>
      </w:r>
      <w:r w:rsidRPr="002806B2">
        <w:t>auteur a été débouté de sa demande de contrôle de la dé</w:t>
      </w:r>
      <w:r>
        <w:t>cision de la Cour suprême le 17 </w:t>
      </w:r>
      <w:r w:rsidRPr="002806B2">
        <w:t>juillet 2003. La Cour suprême a indiqué qu</w:t>
      </w:r>
      <w:r>
        <w:t>’</w:t>
      </w:r>
      <w:r w:rsidRPr="002806B2">
        <w:t>elle n</w:t>
      </w:r>
      <w:r>
        <w:t>’</w:t>
      </w:r>
      <w:r w:rsidRPr="002806B2">
        <w:t>avait constaté aucune violation des dispositions du droit procédural justifiant une modification du jugement rendu en première instance. Le recours formé par l</w:t>
      </w:r>
      <w:r>
        <w:t>’</w:t>
      </w:r>
      <w:r w:rsidRPr="002806B2">
        <w:t>auteur contre la décision de la Cour suprême en date du 17</w:t>
      </w:r>
      <w:r>
        <w:t> </w:t>
      </w:r>
      <w:r w:rsidRPr="002806B2">
        <w:t>juillet 2003 a été rejeté par le</w:t>
      </w:r>
      <w:r w:rsidR="0052362E">
        <w:t> </w:t>
      </w:r>
      <w:r w:rsidRPr="002806B2">
        <w:t>Vice-Président de la Cour suprême le 12 novembre 2003.</w:t>
      </w:r>
    </w:p>
    <w:p w:rsidR="009F0CE2" w:rsidRPr="002806B2" w:rsidRDefault="009F0CE2" w:rsidP="009F0CE2">
      <w:pPr>
        <w:pStyle w:val="H23G"/>
      </w:pPr>
      <w:r w:rsidRPr="002806B2">
        <w:tab/>
      </w:r>
      <w:r w:rsidRPr="002806B2">
        <w:tab/>
        <w:t>Teneur de la plainte</w:t>
      </w:r>
    </w:p>
    <w:p w:rsidR="009F0CE2" w:rsidRPr="002806B2" w:rsidRDefault="009F0CE2" w:rsidP="009F0CE2">
      <w:pPr>
        <w:pStyle w:val="SingleTxtG"/>
      </w:pPr>
      <w:r w:rsidRPr="002806B2">
        <w:t>3.1</w:t>
      </w:r>
      <w:r>
        <w:tab/>
      </w:r>
      <w:r w:rsidRPr="002806B2">
        <w:t>L</w:t>
      </w:r>
      <w:r>
        <w:t>’</w:t>
      </w:r>
      <w:r w:rsidRPr="002806B2">
        <w:t>auteur invoque une violation des droits qu</w:t>
      </w:r>
      <w:r>
        <w:t>’</w:t>
      </w:r>
      <w:r w:rsidR="00A71211">
        <w:t>il tient du paragraphe </w:t>
      </w:r>
      <w:r w:rsidRPr="002806B2">
        <w:t>3</w:t>
      </w:r>
      <w:r>
        <w:t> </w:t>
      </w:r>
      <w:r w:rsidRPr="002806B2">
        <w:t>b) et</w:t>
      </w:r>
      <w:r w:rsidR="0052362E">
        <w:t> </w:t>
      </w:r>
      <w:r w:rsidRPr="002806B2">
        <w:t>d) de l</w:t>
      </w:r>
      <w:r>
        <w:t>’</w:t>
      </w:r>
      <w:r w:rsidRPr="002806B2">
        <w:t>article</w:t>
      </w:r>
      <w:r>
        <w:t> </w:t>
      </w:r>
      <w:r w:rsidRPr="002806B2">
        <w:t>14, à savoir le droit de disposer du temps et des facilités nécessaires à la préparation de sa défense, de communiquer avec le conseil de son choix et de se voir attribuer d</w:t>
      </w:r>
      <w:r>
        <w:t>’</w:t>
      </w:r>
      <w:r w:rsidRPr="002806B2">
        <w:t>office un défenseur chaque fois que l</w:t>
      </w:r>
      <w:r>
        <w:t>’</w:t>
      </w:r>
      <w:r w:rsidRPr="002806B2">
        <w:t>intérêt de la justice l</w:t>
      </w:r>
      <w:r>
        <w:t>’</w:t>
      </w:r>
      <w:r w:rsidRPr="002806B2">
        <w:t>exige. L</w:t>
      </w:r>
      <w:r>
        <w:t xml:space="preserve">e </w:t>
      </w:r>
      <w:r w:rsidRPr="002806B2">
        <w:t xml:space="preserve">dossier était constitué de </w:t>
      </w:r>
      <w:r>
        <w:t>19 </w:t>
      </w:r>
      <w:r w:rsidRPr="002806B2">
        <w:t>volumes, dont beaucoup comptaient plus de 200</w:t>
      </w:r>
      <w:r>
        <w:t> </w:t>
      </w:r>
      <w:r w:rsidRPr="002806B2">
        <w:t xml:space="preserve">pages. Conformément aux dispositions </w:t>
      </w:r>
      <w:r>
        <w:t>du paragraphe 6 de l’article </w:t>
      </w:r>
      <w:r w:rsidRPr="002806B2">
        <w:t>201 du Code de procédure pénale en vigueur à l</w:t>
      </w:r>
      <w:r>
        <w:t>’</w:t>
      </w:r>
      <w:r w:rsidRPr="002806B2">
        <w:t>époque, l</w:t>
      </w:r>
      <w:r>
        <w:t>’</w:t>
      </w:r>
      <w:r w:rsidRPr="002806B2">
        <w:t>enquêteur a</w:t>
      </w:r>
      <w:r>
        <w:t xml:space="preserve">vait fixé </w:t>
      </w:r>
      <w:r w:rsidRPr="002806B2">
        <w:t>un calendrier serré, ne laissant à l</w:t>
      </w:r>
      <w:r>
        <w:t>’</w:t>
      </w:r>
      <w:r w:rsidRPr="002806B2">
        <w:t>auteur qu</w:t>
      </w:r>
      <w:r>
        <w:t>’</w:t>
      </w:r>
      <w:r w:rsidRPr="002806B2">
        <w:t>un seul jour par volume (à raison de</w:t>
      </w:r>
      <w:r w:rsidR="0052362E">
        <w:t> </w:t>
      </w:r>
      <w:r>
        <w:t xml:space="preserve">quatre </w:t>
      </w:r>
      <w:r w:rsidRPr="002806B2">
        <w:t xml:space="preserve">ou </w:t>
      </w:r>
      <w:r>
        <w:t>cinq</w:t>
      </w:r>
      <w:r w:rsidR="0052362E">
        <w:t> </w:t>
      </w:r>
      <w:r w:rsidRPr="002806B2">
        <w:t xml:space="preserve">heures de consultation par jour) pour prendre connaissance du dossier. Après le retrait de </w:t>
      </w:r>
      <w:r w:rsidDel="000114DE">
        <w:t>s</w:t>
      </w:r>
      <w:r>
        <w:t xml:space="preserve">on </w:t>
      </w:r>
      <w:r w:rsidRPr="002806B2">
        <w:t>deuxième conseil, l</w:t>
      </w:r>
      <w:r>
        <w:t>’</w:t>
      </w:r>
      <w:r w:rsidRPr="002806B2">
        <w:t>auteur a</w:t>
      </w:r>
      <w:r>
        <w:t>vait</w:t>
      </w:r>
      <w:r w:rsidRPr="002806B2">
        <w:t xml:space="preserve"> dû examiner seul certains </w:t>
      </w:r>
      <w:r>
        <w:t>volumes, les</w:t>
      </w:r>
      <w:r w:rsidR="0052362E">
        <w:t> </w:t>
      </w:r>
      <w:r>
        <w:t>18, 19, 20, 21 et 24 </w:t>
      </w:r>
      <w:r w:rsidRPr="002806B2">
        <w:t xml:space="preserve">juillet 2000. Par la suite, après avoir </w:t>
      </w:r>
      <w:r>
        <w:t xml:space="preserve">pris </w:t>
      </w:r>
      <w:r w:rsidRPr="002806B2">
        <w:t>un autre avocat, il a</w:t>
      </w:r>
      <w:r>
        <w:t>vait</w:t>
      </w:r>
      <w:r w:rsidRPr="002806B2">
        <w:t xml:space="preserve"> demandé à réexaminer, cette fois</w:t>
      </w:r>
      <w:r>
        <w:t xml:space="preserve"> </w:t>
      </w:r>
      <w:r w:rsidRPr="002806B2">
        <w:t>en présence de son conseil, les éléments du dossier qu</w:t>
      </w:r>
      <w:r>
        <w:t>’</w:t>
      </w:r>
      <w:r w:rsidRPr="002806B2">
        <w:t>il avait déjà consultés, mais sa demande avait été rejetée.</w:t>
      </w:r>
    </w:p>
    <w:p w:rsidR="009F0CE2" w:rsidRPr="002806B2" w:rsidRDefault="009F0CE2" w:rsidP="009F0CE2">
      <w:pPr>
        <w:pStyle w:val="SingleTxtG"/>
      </w:pPr>
      <w:r w:rsidRPr="002806B2">
        <w:t>3.2</w:t>
      </w:r>
      <w:r>
        <w:tab/>
      </w:r>
      <w:r w:rsidRPr="002806B2">
        <w:t>L</w:t>
      </w:r>
      <w:r>
        <w:t>’</w:t>
      </w:r>
      <w:r w:rsidRPr="002806B2">
        <w:t>auteur soutient que, faute d</w:t>
      </w:r>
      <w:r>
        <w:t>’</w:t>
      </w:r>
      <w:r w:rsidRPr="002806B2">
        <w:t>avocat, il n</w:t>
      </w:r>
      <w:r>
        <w:t>’</w:t>
      </w:r>
      <w:r w:rsidRPr="002806B2">
        <w:t>a pas pu bénéficier d</w:t>
      </w:r>
      <w:r>
        <w:t>’</w:t>
      </w:r>
      <w:r w:rsidRPr="002806B2">
        <w:t>un</w:t>
      </w:r>
      <w:r>
        <w:t xml:space="preserve">e assistance </w:t>
      </w:r>
      <w:r w:rsidRPr="002806B2">
        <w:t>juridique spécialisé</w:t>
      </w:r>
      <w:r>
        <w:t>e</w:t>
      </w:r>
      <w:r w:rsidRPr="002806B2">
        <w:t xml:space="preserve"> sur le contenu du dossier </w:t>
      </w:r>
      <w:r>
        <w:t xml:space="preserve">aussitôt </w:t>
      </w:r>
      <w:r w:rsidRPr="002806B2">
        <w:t>après en avoir pris connaissance. De</w:t>
      </w:r>
      <w:r>
        <w:t> </w:t>
      </w:r>
      <w:r w:rsidRPr="002806B2">
        <w:t xml:space="preserve">plus, </w:t>
      </w:r>
      <w:r>
        <w:t xml:space="preserve">il </w:t>
      </w:r>
      <w:r w:rsidRPr="002806B2">
        <w:t>n</w:t>
      </w:r>
      <w:r>
        <w:t>’</w:t>
      </w:r>
      <w:r w:rsidRPr="002806B2">
        <w:t xml:space="preserve">a pas pu respecter le calendrier serré </w:t>
      </w:r>
      <w:r>
        <w:t>imposé par l’enquêteur car il n’a pas été autorisé à faire des copies du dossier mais a dû prendre des notes manuscrites et, le 2 </w:t>
      </w:r>
      <w:r w:rsidRPr="002806B2">
        <w:t xml:space="preserve">août 2000, il a dû signer un </w:t>
      </w:r>
      <w:r>
        <w:t>procès-verbal</w:t>
      </w:r>
      <w:r w:rsidRPr="002806B2">
        <w:t xml:space="preserve"> d</w:t>
      </w:r>
      <w:r>
        <w:t>’</w:t>
      </w:r>
      <w:r w:rsidRPr="002806B2">
        <w:t>«achèvement de la prise de connaissance du dossier» sans avoir pu, en réalité, prendre connaissance de la totalité des éléments à charge. L</w:t>
      </w:r>
      <w:r>
        <w:t>’</w:t>
      </w:r>
      <w:r w:rsidRPr="002806B2">
        <w:t xml:space="preserve">auteur a noté, dans ce </w:t>
      </w:r>
      <w:r>
        <w:t xml:space="preserve">procès-verbal, </w:t>
      </w:r>
      <w:r w:rsidRPr="002806B2">
        <w:t>le nombre de volumes qu</w:t>
      </w:r>
      <w:r>
        <w:t>’</w:t>
      </w:r>
      <w:r w:rsidRPr="002806B2">
        <w:t xml:space="preserve">il avait examinés en présence de son avocat et </w:t>
      </w:r>
      <w:r>
        <w:t xml:space="preserve">le nombre de ceux </w:t>
      </w:r>
      <w:r w:rsidRPr="002806B2">
        <w:t>qu</w:t>
      </w:r>
      <w:r>
        <w:t>’</w:t>
      </w:r>
      <w:r w:rsidRPr="002806B2">
        <w:t>il n</w:t>
      </w:r>
      <w:r>
        <w:t>’</w:t>
      </w:r>
      <w:r w:rsidRPr="002806B2">
        <w:t xml:space="preserve">avait pas </w:t>
      </w:r>
      <w:r>
        <w:t xml:space="preserve">pu </w:t>
      </w:r>
      <w:r w:rsidRPr="002806B2">
        <w:t>consult</w:t>
      </w:r>
      <w:r>
        <w:t>er</w:t>
      </w:r>
      <w:r w:rsidRPr="002806B2">
        <w:t>. Il affirme avoir été privé du droit d</w:t>
      </w:r>
      <w:r>
        <w:t>’</w:t>
      </w:r>
      <w:r w:rsidRPr="002806B2">
        <w:t>obtenir un</w:t>
      </w:r>
      <w:r>
        <w:t xml:space="preserve">e assistance </w:t>
      </w:r>
      <w:r w:rsidRPr="002806B2">
        <w:t>juridique spécialisé</w:t>
      </w:r>
      <w:r>
        <w:t>e</w:t>
      </w:r>
      <w:r w:rsidRPr="002806B2">
        <w:t xml:space="preserve"> sur le contenu de certains éléments du dossier avant le procès, et de </w:t>
      </w:r>
      <w:r>
        <w:t xml:space="preserve">la possibilité, </w:t>
      </w:r>
      <w:r w:rsidRPr="002806B2">
        <w:t xml:space="preserve">conjointement avec son avocat, </w:t>
      </w:r>
      <w:r>
        <w:t xml:space="preserve">de </w:t>
      </w:r>
      <w:r w:rsidRPr="002806B2">
        <w:t xml:space="preserve">déposer en temps utile des requêtes concernant des questions essentielles </w:t>
      </w:r>
      <w:r>
        <w:t xml:space="preserve">à </w:t>
      </w:r>
      <w:r w:rsidRPr="002806B2">
        <w:t>sa défense et déterminantes pour l</w:t>
      </w:r>
      <w:r>
        <w:t>’</w:t>
      </w:r>
      <w:r w:rsidRPr="002806B2">
        <w:t>issue du procès (par exemple, pour demander que d</w:t>
      </w:r>
      <w:r>
        <w:t xml:space="preserve">’autres </w:t>
      </w:r>
      <w:r w:rsidRPr="002806B2">
        <w:t>témoins soient cités et que des experts médico-légaux supplémentaires soient nommés). L</w:t>
      </w:r>
      <w:r>
        <w:t>’</w:t>
      </w:r>
      <w:r w:rsidRPr="002806B2">
        <w:t xml:space="preserve">auteur conclut que la violation de son droit à la défense a eu des incidences négatives sur la légalité et la validité de sa peine, car il a été privé de la possibilité de se défendre par tous les moyens </w:t>
      </w:r>
      <w:r>
        <w:t>légaux</w:t>
      </w:r>
      <w:r w:rsidRPr="002806B2">
        <w:t>.</w:t>
      </w:r>
    </w:p>
    <w:p w:rsidR="009F0CE2" w:rsidRPr="002806B2" w:rsidRDefault="009F0CE2" w:rsidP="009F0CE2">
      <w:pPr>
        <w:pStyle w:val="H23G"/>
      </w:pPr>
      <w:r w:rsidRPr="002806B2">
        <w:tab/>
      </w:r>
      <w:r w:rsidRPr="002806B2">
        <w:tab/>
      </w:r>
      <w:r w:rsidRPr="002806B2">
        <w:rPr>
          <w:lang w:val="fr-FR"/>
        </w:rPr>
        <w:t>Observations de l</w:t>
      </w:r>
      <w:r>
        <w:rPr>
          <w:lang w:val="fr-FR"/>
        </w:rPr>
        <w:t>’</w:t>
      </w:r>
      <w:r w:rsidRPr="002806B2">
        <w:rPr>
          <w:lang w:val="fr-FR"/>
        </w:rPr>
        <w:t>État partie sur le fond</w:t>
      </w:r>
    </w:p>
    <w:p w:rsidR="009F0CE2" w:rsidRPr="002806B2" w:rsidRDefault="009F0CE2" w:rsidP="009F0CE2">
      <w:pPr>
        <w:pStyle w:val="SingleTxtG"/>
      </w:pPr>
      <w:r w:rsidRPr="002806B2">
        <w:t>4.1</w:t>
      </w:r>
      <w:r>
        <w:tab/>
      </w:r>
      <w:r w:rsidRPr="002806B2">
        <w:t>Par lettre du 29</w:t>
      </w:r>
      <w:r>
        <w:t> </w:t>
      </w:r>
      <w:r w:rsidRPr="002806B2">
        <w:t>octobre 2008, l</w:t>
      </w:r>
      <w:r>
        <w:t>’</w:t>
      </w:r>
      <w:r w:rsidRPr="002806B2">
        <w:t>État partie fait valoir que les griefs de l</w:t>
      </w:r>
      <w:r>
        <w:t>’</w:t>
      </w:r>
      <w:r w:rsidRPr="002806B2">
        <w:t>auteur au sujet de la violation de ses droits procéduraux en matière de défense ont été examinés à de nombreuses reprises par le Bureau du Procureur général et qu</w:t>
      </w:r>
      <w:r>
        <w:t>’</w:t>
      </w:r>
      <w:r w:rsidRPr="002806B2">
        <w:t>aucune violation n</w:t>
      </w:r>
      <w:r>
        <w:t>’</w:t>
      </w:r>
      <w:r w:rsidRPr="002806B2">
        <w:t xml:space="preserve">a été constatée. </w:t>
      </w:r>
      <w:r>
        <w:t xml:space="preserve">Il ajoute </w:t>
      </w:r>
      <w:r w:rsidRPr="002806B2">
        <w:t>que l</w:t>
      </w:r>
      <w:r>
        <w:t>’</w:t>
      </w:r>
      <w:r w:rsidRPr="002806B2">
        <w:t xml:space="preserve">affaire a été </w:t>
      </w:r>
      <w:r>
        <w:t xml:space="preserve">examinée </w:t>
      </w:r>
      <w:r w:rsidRPr="002806B2">
        <w:t>par toutes les insta</w:t>
      </w:r>
      <w:r>
        <w:t>nces judiciaires compétentes, y </w:t>
      </w:r>
      <w:r w:rsidRPr="002806B2">
        <w:t>compris la Cour constitutionnelle, et qu</w:t>
      </w:r>
      <w:r>
        <w:t>’</w:t>
      </w:r>
      <w:r w:rsidRPr="002806B2">
        <w:t>aucune d</w:t>
      </w:r>
      <w:r>
        <w:t>’</w:t>
      </w:r>
      <w:r w:rsidRPr="002806B2">
        <w:t>elles n</w:t>
      </w:r>
      <w:r>
        <w:t>’</w:t>
      </w:r>
      <w:r w:rsidRPr="002806B2">
        <w:t xml:space="preserve">a constaté de violation de ces droits. Il ajoute </w:t>
      </w:r>
      <w:r>
        <w:t xml:space="preserve">également </w:t>
      </w:r>
      <w:r w:rsidRPr="002806B2">
        <w:t>que l</w:t>
      </w:r>
      <w:r>
        <w:t>’</w:t>
      </w:r>
      <w:r w:rsidRPr="002806B2">
        <w:t>affirmation de l</w:t>
      </w:r>
      <w:r>
        <w:t>’</w:t>
      </w:r>
      <w:r w:rsidRPr="002806B2">
        <w:t xml:space="preserve">auteur </w:t>
      </w:r>
      <w:r>
        <w:t xml:space="preserve">qui dit avoir </w:t>
      </w:r>
      <w:r w:rsidRPr="002806B2">
        <w:t>dû prendre connaissance du dossier en l</w:t>
      </w:r>
      <w:r>
        <w:t>’</w:t>
      </w:r>
      <w:r w:rsidRPr="002806B2">
        <w:t xml:space="preserve">absence de son avocat ne concorde pas avec les faits. Selon un </w:t>
      </w:r>
      <w:r>
        <w:t>procès-verbal</w:t>
      </w:r>
      <w:r w:rsidRPr="002806B2">
        <w:t xml:space="preserve"> du 21</w:t>
      </w:r>
      <w:r>
        <w:t> </w:t>
      </w:r>
      <w:r w:rsidRPr="002806B2">
        <w:t xml:space="preserve">juin 2000, </w:t>
      </w:r>
      <w:r>
        <w:t>le prévenu</w:t>
      </w:r>
      <w:r w:rsidRPr="002806B2">
        <w:t xml:space="preserve"> a été informé de l</w:t>
      </w:r>
      <w:r>
        <w:t>’</w:t>
      </w:r>
      <w:r w:rsidRPr="002806B2">
        <w:t>achèvement de l</w:t>
      </w:r>
      <w:r>
        <w:t>’</w:t>
      </w:r>
      <w:r w:rsidRPr="002806B2">
        <w:t xml:space="preserve">enquête préliminaire et il lui a été </w:t>
      </w:r>
      <w:r>
        <w:t>précisé,</w:t>
      </w:r>
      <w:r w:rsidRPr="002806B2">
        <w:t xml:space="preserve"> en présence de son conseil, M</w:t>
      </w:r>
      <w:r w:rsidRPr="000114DE">
        <w:rPr>
          <w:vertAlign w:val="superscript"/>
        </w:rPr>
        <w:t>m</w:t>
      </w:r>
      <w:r w:rsidRPr="002806B2">
        <w:rPr>
          <w:vertAlign w:val="superscript"/>
        </w:rPr>
        <w:t>e</w:t>
      </w:r>
      <w:r>
        <w:t> </w:t>
      </w:r>
      <w:r w:rsidRPr="002806B2">
        <w:t>Abramova</w:t>
      </w:r>
      <w:r>
        <w:t xml:space="preserve">, </w:t>
      </w:r>
      <w:r w:rsidRPr="002806B2">
        <w:t>qu</w:t>
      </w:r>
      <w:r>
        <w:t>’</w:t>
      </w:r>
      <w:r w:rsidRPr="002806B2">
        <w:t>il avait le droit d</w:t>
      </w:r>
      <w:r>
        <w:t>’</w:t>
      </w:r>
      <w:r w:rsidRPr="002806B2">
        <w:t>examiner le dossier seul et avec son avocat. L</w:t>
      </w:r>
      <w:r>
        <w:t>’</w:t>
      </w:r>
      <w:r w:rsidRPr="002806B2">
        <w:t>examen du dossier par l</w:t>
      </w:r>
      <w:r>
        <w:t>’</w:t>
      </w:r>
      <w:r w:rsidRPr="002806B2">
        <w:t xml:space="preserve">auteur et </w:t>
      </w:r>
      <w:r>
        <w:t>son avocat a débuté le 22 juin 2000. Le 30 </w:t>
      </w:r>
      <w:r w:rsidRPr="002806B2">
        <w:t>juin 2000, l</w:t>
      </w:r>
      <w:r>
        <w:t>’</w:t>
      </w:r>
      <w:r w:rsidRPr="002806B2">
        <w:t>auteur a été averti par écrit par l</w:t>
      </w:r>
      <w:r>
        <w:t>’</w:t>
      </w:r>
      <w:r w:rsidRPr="002806B2">
        <w:t>enquêteur qu</w:t>
      </w:r>
      <w:r>
        <w:t>’</w:t>
      </w:r>
      <w:r w:rsidRPr="002806B2">
        <w:t xml:space="preserve">il était </w:t>
      </w:r>
      <w:r>
        <w:t xml:space="preserve">exclu de prolonger </w:t>
      </w:r>
      <w:r w:rsidRPr="002806B2">
        <w:t>l</w:t>
      </w:r>
      <w:r>
        <w:t>’</w:t>
      </w:r>
      <w:r w:rsidRPr="002806B2">
        <w:t>examen du dossier. Estimant que l</w:t>
      </w:r>
      <w:r>
        <w:t>’</w:t>
      </w:r>
      <w:r w:rsidRPr="002806B2">
        <w:t>auteur prolongeait délibérém</w:t>
      </w:r>
      <w:r>
        <w:t xml:space="preserve">ent </w:t>
      </w:r>
      <w:r w:rsidDel="00F91D1B">
        <w:t xml:space="preserve">cet </w:t>
      </w:r>
      <w:r>
        <w:t>examen, l’enquêteur</w:t>
      </w:r>
      <w:r w:rsidRPr="002806B2">
        <w:t xml:space="preserve"> a pris </w:t>
      </w:r>
      <w:r>
        <w:t>le 6 </w:t>
      </w:r>
      <w:r w:rsidRPr="002806B2">
        <w:t xml:space="preserve">juillet 2000 une décision </w:t>
      </w:r>
      <w:r>
        <w:t xml:space="preserve">laissant à </w:t>
      </w:r>
      <w:r w:rsidRPr="002806B2">
        <w:t>l</w:t>
      </w:r>
      <w:r>
        <w:t>’</w:t>
      </w:r>
      <w:r w:rsidRPr="002806B2">
        <w:t>auteur jusqu</w:t>
      </w:r>
      <w:r>
        <w:t xml:space="preserve">’au </w:t>
      </w:r>
      <w:r w:rsidRPr="002806B2">
        <w:t>28</w:t>
      </w:r>
      <w:r>
        <w:t> </w:t>
      </w:r>
      <w:r w:rsidRPr="002806B2">
        <w:t>ju</w:t>
      </w:r>
      <w:r>
        <w:t xml:space="preserve">illet 2000, dernier délai, </w:t>
      </w:r>
      <w:r w:rsidRPr="002806B2">
        <w:t xml:space="preserve">pour </w:t>
      </w:r>
      <w:r>
        <w:t>prendre connaissance du dossier. Le 18 </w:t>
      </w:r>
      <w:r w:rsidRPr="002806B2">
        <w:t>juillet 2000, l</w:t>
      </w:r>
      <w:r>
        <w:t>’</w:t>
      </w:r>
      <w:r w:rsidRPr="002806B2">
        <w:t xml:space="preserve">auteur a demandé à être </w:t>
      </w:r>
      <w:r>
        <w:t>représenté</w:t>
      </w:r>
      <w:r w:rsidRPr="002806B2">
        <w:t xml:space="preserve"> par un autre conseil, M.</w:t>
      </w:r>
      <w:r>
        <w:t> </w:t>
      </w:r>
      <w:r w:rsidRPr="002806B2">
        <w:t>Nekhoroshev, et l</w:t>
      </w:r>
      <w:r>
        <w:t>’</w:t>
      </w:r>
      <w:r w:rsidRPr="002806B2">
        <w:t>examen du dossier s</w:t>
      </w:r>
      <w:r>
        <w:t>’</w:t>
      </w:r>
      <w:r w:rsidRPr="002806B2">
        <w:t>est poursuivi en conséquence</w:t>
      </w:r>
      <w:r>
        <w:t xml:space="preserve"> </w:t>
      </w:r>
      <w:r w:rsidRPr="002806B2">
        <w:t>avec ledit conseil.</w:t>
      </w:r>
    </w:p>
    <w:p w:rsidR="009F0CE2" w:rsidRDefault="009F0CE2" w:rsidP="00A71211">
      <w:pPr>
        <w:pStyle w:val="SingleTxtG"/>
        <w:keepNext/>
        <w:keepLines/>
      </w:pPr>
      <w:r w:rsidRPr="002806B2">
        <w:t>4.2</w:t>
      </w:r>
      <w:r>
        <w:tab/>
      </w:r>
      <w:r w:rsidRPr="002806B2">
        <w:t>L</w:t>
      </w:r>
      <w:r>
        <w:t>’</w:t>
      </w:r>
      <w:r w:rsidRPr="002806B2">
        <w:t>État partie affirme en outre que, le 29</w:t>
      </w:r>
      <w:r w:rsidR="00475965">
        <w:t> </w:t>
      </w:r>
      <w:r w:rsidRPr="002806B2">
        <w:t>août 2000, le tribunal a rejeté la requête formée par l</w:t>
      </w:r>
      <w:r>
        <w:t>’</w:t>
      </w:r>
      <w:r w:rsidRPr="002806B2">
        <w:t>auteur en vue d</w:t>
      </w:r>
      <w:r>
        <w:t>’</w:t>
      </w:r>
      <w:r w:rsidRPr="002806B2">
        <w:t>obtenir le renvoi de l</w:t>
      </w:r>
      <w:r>
        <w:t>’</w:t>
      </w:r>
      <w:r w:rsidRPr="002806B2">
        <w:t>affaire pour complément d</w:t>
      </w:r>
      <w:r>
        <w:t>’</w:t>
      </w:r>
      <w:r w:rsidRPr="002806B2">
        <w:t>enquête au motif qu</w:t>
      </w:r>
      <w:r>
        <w:t>’</w:t>
      </w:r>
      <w:r w:rsidRPr="002806B2">
        <w:t>il y avait eu violation de son droit de prendre connaissance du dossier. Il soutient donc qu</w:t>
      </w:r>
      <w:r>
        <w:t>’</w:t>
      </w:r>
      <w:r w:rsidRPr="002806B2">
        <w:t>il n</w:t>
      </w:r>
      <w:r>
        <w:t>’</w:t>
      </w:r>
      <w:r w:rsidRPr="002806B2">
        <w:t>y a pas eu violation des droits que l</w:t>
      </w:r>
      <w:r>
        <w:t>’</w:t>
      </w:r>
      <w:r w:rsidRPr="002806B2">
        <w:t>auteur tient du paragraphe</w:t>
      </w:r>
      <w:r>
        <w:t> </w:t>
      </w:r>
      <w:r w:rsidRPr="002806B2">
        <w:t>3</w:t>
      </w:r>
      <w:r>
        <w:t> </w:t>
      </w:r>
      <w:r w:rsidRPr="002806B2">
        <w:t>d) de l</w:t>
      </w:r>
      <w:r>
        <w:t>’</w:t>
      </w:r>
      <w:r w:rsidRPr="002806B2">
        <w:t>article</w:t>
      </w:r>
      <w:r>
        <w:t> </w:t>
      </w:r>
      <w:r w:rsidRPr="002806B2">
        <w:t>14 du Pacte.</w:t>
      </w:r>
    </w:p>
    <w:p w:rsidR="009F0CE2" w:rsidRPr="005B6C2F" w:rsidRDefault="009F0CE2" w:rsidP="009F0CE2">
      <w:pPr>
        <w:pStyle w:val="H23G"/>
      </w:pPr>
      <w:r>
        <w:rPr>
          <w:lang w:val="fr-FR" w:eastAsia="zh-CN"/>
        </w:rPr>
        <w:tab/>
      </w:r>
      <w:r>
        <w:rPr>
          <w:lang w:val="fr-FR" w:eastAsia="zh-CN"/>
        </w:rPr>
        <w:tab/>
      </w:r>
      <w:r w:rsidRPr="00271242">
        <w:rPr>
          <w:lang w:val="fr-FR" w:eastAsia="zh-CN"/>
        </w:rPr>
        <w:t>Commentaires de l</w:t>
      </w:r>
      <w:r>
        <w:rPr>
          <w:lang w:val="fr-FR" w:eastAsia="zh-CN"/>
        </w:rPr>
        <w:t>’</w:t>
      </w:r>
      <w:r w:rsidRPr="00271242">
        <w:rPr>
          <w:lang w:val="fr-FR" w:eastAsia="zh-CN"/>
        </w:rPr>
        <w:t>auteur sur les observations de l</w:t>
      </w:r>
      <w:r>
        <w:rPr>
          <w:lang w:val="fr-FR" w:eastAsia="zh-CN"/>
        </w:rPr>
        <w:t>’</w:t>
      </w:r>
      <w:r w:rsidRPr="00271242">
        <w:rPr>
          <w:lang w:val="fr-FR" w:eastAsia="zh-CN"/>
        </w:rPr>
        <w:t>État partie</w:t>
      </w:r>
    </w:p>
    <w:p w:rsidR="009F0CE2" w:rsidRPr="005B6C2F" w:rsidRDefault="009F0CE2" w:rsidP="009F0CE2">
      <w:pPr>
        <w:pStyle w:val="ParNoG"/>
        <w:numPr>
          <w:ilvl w:val="0"/>
          <w:numId w:val="12"/>
        </w:numPr>
      </w:pPr>
      <w:r>
        <w:t>Dans une communication du 28 </w:t>
      </w:r>
      <w:r w:rsidRPr="009C46FC">
        <w:t>novembre 2008, l</w:t>
      </w:r>
      <w:r>
        <w:t>’</w:t>
      </w:r>
      <w:r w:rsidRPr="009C46FC">
        <w:t xml:space="preserve">auteur </w:t>
      </w:r>
      <w:r>
        <w:t xml:space="preserve">indique </w:t>
      </w:r>
      <w:r w:rsidRPr="009C46FC">
        <w:t>qu</w:t>
      </w:r>
      <w:r>
        <w:t>’</w:t>
      </w:r>
      <w:r w:rsidRPr="009C46FC">
        <w:t xml:space="preserve">il a commencé à examiner le dossier et </w:t>
      </w:r>
      <w:r>
        <w:t>à</w:t>
      </w:r>
      <w:r w:rsidRPr="009C46FC">
        <w:t xml:space="preserve"> p</w:t>
      </w:r>
      <w:r>
        <w:t xml:space="preserve">réparer </w:t>
      </w:r>
      <w:r w:rsidRPr="009C46FC">
        <w:t xml:space="preserve">sa défense </w:t>
      </w:r>
      <w:r>
        <w:t>avec son conseil</w:t>
      </w:r>
      <w:r w:rsidRPr="009C46FC">
        <w:t xml:space="preserve">, </w:t>
      </w:r>
      <w:r>
        <w:t>M</w:t>
      </w:r>
      <w:r w:rsidRPr="00F91D1B">
        <w:rPr>
          <w:vertAlign w:val="superscript"/>
        </w:rPr>
        <w:t>m</w:t>
      </w:r>
      <w:r w:rsidRPr="00286781">
        <w:rPr>
          <w:vertAlign w:val="superscript"/>
        </w:rPr>
        <w:t>e</w:t>
      </w:r>
      <w:r>
        <w:t> </w:t>
      </w:r>
      <w:r w:rsidRPr="009C46FC">
        <w:t>Abramova</w:t>
      </w:r>
      <w:r>
        <w:t>, le 22 </w:t>
      </w:r>
      <w:r w:rsidRPr="009C46FC">
        <w:t xml:space="preserve">juin 2000. </w:t>
      </w:r>
      <w:r>
        <w:t>À cette fin,</w:t>
      </w:r>
      <w:r w:rsidRPr="009C46FC">
        <w:t xml:space="preserve"> </w:t>
      </w:r>
      <w:r>
        <w:t xml:space="preserve">tous deux </w:t>
      </w:r>
      <w:r w:rsidRPr="00500F94">
        <w:t>ont pris des notes et copié</w:t>
      </w:r>
      <w:r>
        <w:t xml:space="preserve"> </w:t>
      </w:r>
      <w:r w:rsidDel="00F91D1B">
        <w:t>l</w:t>
      </w:r>
      <w:r>
        <w:t xml:space="preserve">es </w:t>
      </w:r>
      <w:r w:rsidRPr="00855F59">
        <w:t xml:space="preserve">déclarations </w:t>
      </w:r>
      <w:r>
        <w:t>des témoins à charge</w:t>
      </w:r>
      <w:r w:rsidRPr="009C46FC">
        <w:t xml:space="preserve"> </w:t>
      </w:r>
      <w:r>
        <w:t xml:space="preserve">et </w:t>
      </w:r>
      <w:r w:rsidDel="00F91D1B">
        <w:t>l</w:t>
      </w:r>
      <w:r w:rsidRPr="009C46FC">
        <w:t xml:space="preserve">es </w:t>
      </w:r>
      <w:r>
        <w:t>procès</w:t>
      </w:r>
      <w:r>
        <w:noBreakHyphen/>
        <w:t>verbaux</w:t>
      </w:r>
      <w:r w:rsidRPr="009C46FC">
        <w:t xml:space="preserve"> </w:t>
      </w:r>
      <w:r>
        <w:t>d’interrogatoire. Le 30 </w:t>
      </w:r>
      <w:r w:rsidRPr="009C46FC">
        <w:t>juin 2000, l</w:t>
      </w:r>
      <w:r>
        <w:t>’</w:t>
      </w:r>
      <w:r w:rsidRPr="009C46FC">
        <w:t xml:space="preserve">enquêteur a </w:t>
      </w:r>
      <w:r>
        <w:t xml:space="preserve">averti </w:t>
      </w:r>
      <w:r w:rsidRPr="009C46FC">
        <w:t>l</w:t>
      </w:r>
      <w:r>
        <w:t>’</w:t>
      </w:r>
      <w:r w:rsidRPr="009C46FC">
        <w:t xml:space="preserve">auteur </w:t>
      </w:r>
      <w:r>
        <w:t>qu’</w:t>
      </w:r>
      <w:r w:rsidRPr="009C46FC">
        <w:t xml:space="preserve">il </w:t>
      </w:r>
      <w:r>
        <w:t>était exclu de</w:t>
      </w:r>
      <w:r w:rsidRPr="009C46FC">
        <w:t xml:space="preserve"> </w:t>
      </w:r>
      <w:r>
        <w:t>faire durer l’examen du dossier</w:t>
      </w:r>
      <w:r w:rsidRPr="009C46FC">
        <w:t>. L</w:t>
      </w:r>
      <w:r>
        <w:t>’</w:t>
      </w:r>
      <w:r w:rsidRPr="009C46FC">
        <w:t xml:space="preserve">auteur </w:t>
      </w:r>
      <w:r>
        <w:t>a répondu qu’il souffrait</w:t>
      </w:r>
      <w:r w:rsidRPr="009C46FC">
        <w:t xml:space="preserve"> de myopie et qu</w:t>
      </w:r>
      <w:r>
        <w:t>’</w:t>
      </w:r>
      <w:r w:rsidRPr="009C46FC">
        <w:t xml:space="preserve">un médecin lui avait conseillé </w:t>
      </w:r>
      <w:r>
        <w:t xml:space="preserve">d’interrompre sa lecture </w:t>
      </w:r>
      <w:r w:rsidRPr="009C46FC">
        <w:t>toutes les heures</w:t>
      </w:r>
      <w:r>
        <w:t xml:space="preserve"> pour faire une pause de quinze minutes</w:t>
      </w:r>
      <w:r w:rsidRPr="009C46FC">
        <w:t xml:space="preserve">, </w:t>
      </w:r>
      <w:r>
        <w:t xml:space="preserve">que </w:t>
      </w:r>
      <w:r w:rsidRPr="00500F94">
        <w:t xml:space="preserve">copier des </w:t>
      </w:r>
      <w:r>
        <w:t>procès</w:t>
      </w:r>
      <w:r>
        <w:noBreakHyphen/>
        <w:t>verbaux</w:t>
      </w:r>
      <w:r w:rsidRPr="009C46FC">
        <w:t xml:space="preserve"> </w:t>
      </w:r>
      <w:r>
        <w:t>prenait</w:t>
      </w:r>
      <w:r w:rsidRPr="009C46FC">
        <w:t xml:space="preserve"> du temps et qu</w:t>
      </w:r>
      <w:r>
        <w:t>’</w:t>
      </w:r>
      <w:r w:rsidRPr="009C46FC">
        <w:t>il n</w:t>
      </w:r>
      <w:r>
        <w:t>’</w:t>
      </w:r>
      <w:r w:rsidRPr="009C46FC">
        <w:t xml:space="preserve">avait </w:t>
      </w:r>
      <w:r>
        <w:t>aucunement</w:t>
      </w:r>
      <w:r w:rsidRPr="009C46FC">
        <w:t xml:space="preserve"> l</w:t>
      </w:r>
      <w:r>
        <w:t>’</w:t>
      </w:r>
      <w:r w:rsidRPr="009C46FC">
        <w:t xml:space="preserve">intention de </w:t>
      </w:r>
      <w:r>
        <w:t>faire durer l’</w:t>
      </w:r>
      <w:r w:rsidRPr="009C46FC">
        <w:t>examen</w:t>
      </w:r>
      <w:r>
        <w:t xml:space="preserve"> du dossier</w:t>
      </w:r>
      <w:r w:rsidRPr="009C46FC">
        <w:t xml:space="preserve">. </w:t>
      </w:r>
      <w:r>
        <w:t>Malgré ces explications, le</w:t>
      </w:r>
      <w:r w:rsidR="0052362E">
        <w:t> </w:t>
      </w:r>
      <w:r>
        <w:t>6 </w:t>
      </w:r>
      <w:r w:rsidRPr="009C46FC">
        <w:t>juillet 2000, l</w:t>
      </w:r>
      <w:r>
        <w:t>’</w:t>
      </w:r>
      <w:r w:rsidRPr="009C46FC">
        <w:t xml:space="preserve">enquêteur a </w:t>
      </w:r>
      <w:r>
        <w:t xml:space="preserve">fixé au </w:t>
      </w:r>
      <w:r w:rsidRPr="009C46FC">
        <w:t>2</w:t>
      </w:r>
      <w:r>
        <w:t>8 juillet 2000 la date limite pour</w:t>
      </w:r>
      <w:r w:rsidRPr="009C46FC">
        <w:t xml:space="preserve"> examiner </w:t>
      </w:r>
      <w:r w:rsidDel="00F91D1B">
        <w:t>le</w:t>
      </w:r>
      <w:r>
        <w:t xml:space="preserve"> dossier. L’auteur rappelle</w:t>
      </w:r>
      <w:r w:rsidRPr="009C46FC">
        <w:t xml:space="preserve"> </w:t>
      </w:r>
      <w:r>
        <w:t>qu’il avait en moyenne 200 </w:t>
      </w:r>
      <w:r w:rsidRPr="009C46FC">
        <w:t xml:space="preserve">pages </w:t>
      </w:r>
      <w:r>
        <w:t>à examiner par jour</w:t>
      </w:r>
      <w:r w:rsidRPr="009C46FC">
        <w:t xml:space="preserve"> et qu</w:t>
      </w:r>
      <w:r>
        <w:t>’</w:t>
      </w:r>
      <w:r w:rsidRPr="009C46FC">
        <w:t xml:space="preserve">il </w:t>
      </w:r>
      <w:r>
        <w:t>lui était impossible de</w:t>
      </w:r>
      <w:r w:rsidRPr="009C46FC">
        <w:t xml:space="preserve"> préparer </w:t>
      </w:r>
      <w:r>
        <w:t xml:space="preserve">correctement </w:t>
      </w:r>
      <w:r w:rsidRPr="009C46FC">
        <w:t xml:space="preserve">sa défense </w:t>
      </w:r>
      <w:r>
        <w:t>dans le</w:t>
      </w:r>
      <w:r w:rsidRPr="009C46FC">
        <w:t xml:space="preserve"> court laps de temps imparti. Il</w:t>
      </w:r>
      <w:r w:rsidR="0052362E">
        <w:t> </w:t>
      </w:r>
      <w:r w:rsidRPr="00500F94">
        <w:t>rappelle</w:t>
      </w:r>
      <w:r>
        <w:t xml:space="preserve"> également que</w:t>
      </w:r>
      <w:r w:rsidR="0052362E">
        <w:t>,</w:t>
      </w:r>
      <w:r>
        <w:t xml:space="preserve"> le 29 </w:t>
      </w:r>
      <w:r w:rsidRPr="009C46FC">
        <w:t>août 2000</w:t>
      </w:r>
      <w:r>
        <w:t>,</w:t>
      </w:r>
      <w:r w:rsidRPr="009C46FC">
        <w:t xml:space="preserve"> au cours de l</w:t>
      </w:r>
      <w:r>
        <w:t>’</w:t>
      </w:r>
      <w:r w:rsidRPr="009C46FC">
        <w:t>audience</w:t>
      </w:r>
      <w:r>
        <w:t>,</w:t>
      </w:r>
      <w:r w:rsidRPr="009C46FC">
        <w:t xml:space="preserve"> </w:t>
      </w:r>
      <w:r>
        <w:t>il a</w:t>
      </w:r>
      <w:r w:rsidRPr="009C46FC">
        <w:t xml:space="preserve"> soumis une requête </w:t>
      </w:r>
      <w:r>
        <w:t>faisant valoir qu’il y avait eu violation de son droit de prendre connaissance du</w:t>
      </w:r>
      <w:r w:rsidRPr="009C46FC">
        <w:t xml:space="preserve"> do</w:t>
      </w:r>
      <w:r>
        <w:t>ssier en présence de son avocat</w:t>
      </w:r>
      <w:r w:rsidRPr="009C46FC">
        <w:t xml:space="preserve">, mais que </w:t>
      </w:r>
      <w:r>
        <w:t>le tribunal</w:t>
      </w:r>
      <w:r w:rsidRPr="009C46FC">
        <w:t xml:space="preserve"> </w:t>
      </w:r>
      <w:r>
        <w:t>n’a</w:t>
      </w:r>
      <w:r w:rsidRPr="009C46FC">
        <w:t xml:space="preserve"> jamais statué sur c</w:t>
      </w:r>
      <w:r>
        <w:t>ette requête.</w:t>
      </w:r>
    </w:p>
    <w:p w:rsidR="009F0CE2" w:rsidRPr="005B6C2F" w:rsidRDefault="009F0CE2" w:rsidP="009F0CE2">
      <w:pPr>
        <w:pStyle w:val="H23G"/>
      </w:pPr>
      <w:r>
        <w:tab/>
      </w:r>
      <w:r>
        <w:tab/>
      </w:r>
      <w:r w:rsidRPr="00271242">
        <w:rPr>
          <w:lang w:val="fr-FR"/>
        </w:rPr>
        <w:t xml:space="preserve">Observations </w:t>
      </w:r>
      <w:r w:rsidRPr="00F548A0">
        <w:t>complémentaires</w:t>
      </w:r>
      <w:r w:rsidRPr="00271242">
        <w:rPr>
          <w:lang w:val="fr-FR"/>
        </w:rPr>
        <w:t xml:space="preserve"> de l</w:t>
      </w:r>
      <w:r>
        <w:rPr>
          <w:lang w:val="fr-FR"/>
        </w:rPr>
        <w:t>’</w:t>
      </w:r>
      <w:r w:rsidRPr="00271242">
        <w:rPr>
          <w:lang w:val="fr-FR"/>
        </w:rPr>
        <w:t>État partie</w:t>
      </w:r>
      <w:r>
        <w:rPr>
          <w:lang w:val="fr-FR"/>
        </w:rPr>
        <w:t xml:space="preserve"> sur le fond</w:t>
      </w:r>
    </w:p>
    <w:p w:rsidR="009F0CE2" w:rsidRDefault="009F0CE2" w:rsidP="009F0CE2">
      <w:pPr>
        <w:pStyle w:val="SingleTxtG"/>
      </w:pPr>
      <w:r>
        <w:t>6.1</w:t>
      </w:r>
      <w:r>
        <w:tab/>
        <w:t>Dans une communication du 9 </w:t>
      </w:r>
      <w:r w:rsidRPr="0003390A">
        <w:t>juin 2009, l</w:t>
      </w:r>
      <w:r>
        <w:t>’</w:t>
      </w:r>
      <w:r w:rsidRPr="0003390A">
        <w:t>État par</w:t>
      </w:r>
      <w:r>
        <w:t xml:space="preserve">tie fait </w:t>
      </w:r>
      <w:r w:rsidRPr="00F548A0">
        <w:t>valoir</w:t>
      </w:r>
      <w:r>
        <w:t xml:space="preserve"> que la réponse de l’auteur en date du 28 </w:t>
      </w:r>
      <w:r w:rsidRPr="0003390A">
        <w:t xml:space="preserve">novembre 2008 ne contient aucune information nouvelle. Il </w:t>
      </w:r>
      <w:r>
        <w:t>ajoute</w:t>
      </w:r>
      <w:r w:rsidRPr="0003390A">
        <w:t xml:space="preserve"> que </w:t>
      </w:r>
      <w:r>
        <w:t>l’affaire a été examinée</w:t>
      </w:r>
      <w:r w:rsidRPr="0003390A">
        <w:t xml:space="preserve"> par </w:t>
      </w:r>
      <w:r>
        <w:t xml:space="preserve">le tribunal et renvoyée </w:t>
      </w:r>
      <w:r w:rsidRPr="0003390A">
        <w:t>pour complément d</w:t>
      </w:r>
      <w:r>
        <w:t>’</w:t>
      </w:r>
      <w:r w:rsidRPr="0003390A">
        <w:t>enquête</w:t>
      </w:r>
      <w:r>
        <w:t xml:space="preserve"> par deux fois,</w:t>
      </w:r>
      <w:r w:rsidRPr="0003390A">
        <w:t xml:space="preserve"> et que l</w:t>
      </w:r>
      <w:r>
        <w:t>’</w:t>
      </w:r>
      <w:r w:rsidRPr="0003390A">
        <w:t>auteur a</w:t>
      </w:r>
      <w:r>
        <w:t xml:space="preserve"> </w:t>
      </w:r>
      <w:r w:rsidRPr="0003390A">
        <w:t xml:space="preserve">eu la possibilité de </w:t>
      </w:r>
      <w:r>
        <w:t>prendre connaissance du</w:t>
      </w:r>
      <w:r w:rsidRPr="0003390A">
        <w:t xml:space="preserve"> dossier à deux</w:t>
      </w:r>
      <w:r>
        <w:t xml:space="preserve"> reprises, d’abord du 1</w:t>
      </w:r>
      <w:r w:rsidRPr="004404A4">
        <w:rPr>
          <w:vertAlign w:val="superscript"/>
        </w:rPr>
        <w:t>er</w:t>
      </w:r>
      <w:r>
        <w:t> </w:t>
      </w:r>
      <w:r w:rsidRPr="0003390A">
        <w:t xml:space="preserve">février </w:t>
      </w:r>
      <w:r>
        <w:t>au</w:t>
      </w:r>
      <w:r w:rsidRPr="0003390A">
        <w:t xml:space="preserve"> 12</w:t>
      </w:r>
      <w:r>
        <w:t> </w:t>
      </w:r>
      <w:r w:rsidRPr="0003390A">
        <w:t>avril 1999</w:t>
      </w:r>
      <w:r>
        <w:t>, puis du 6 </w:t>
      </w:r>
      <w:r w:rsidRPr="0003390A">
        <w:t xml:space="preserve">janvier </w:t>
      </w:r>
      <w:r>
        <w:t>au 7 </w:t>
      </w:r>
      <w:r w:rsidRPr="0003390A">
        <w:t xml:space="preserve">avril 2000. </w:t>
      </w:r>
      <w:r>
        <w:t>L’</w:t>
      </w:r>
      <w:r w:rsidRPr="0003390A">
        <w:t xml:space="preserve">auteur </w:t>
      </w:r>
      <w:r>
        <w:t xml:space="preserve">a pu consulter </w:t>
      </w:r>
      <w:r w:rsidRPr="0003390A">
        <w:t xml:space="preserve">le dossier </w:t>
      </w:r>
      <w:r>
        <w:t>une troisième fois entre le 22 </w:t>
      </w:r>
      <w:r w:rsidRPr="0003390A">
        <w:t xml:space="preserve">juin </w:t>
      </w:r>
      <w:r>
        <w:t>et le 28 </w:t>
      </w:r>
      <w:r w:rsidRPr="0003390A">
        <w:t xml:space="preserve">juillet 2000. </w:t>
      </w:r>
      <w:r w:rsidR="00A71211">
        <w:t>Cette fois</w:t>
      </w:r>
      <w:r w:rsidR="00A71211">
        <w:noBreakHyphen/>
      </w:r>
      <w:r>
        <w:t>là,</w:t>
      </w:r>
      <w:r w:rsidRPr="0003390A">
        <w:t xml:space="preserve"> l</w:t>
      </w:r>
      <w:r>
        <w:t>’</w:t>
      </w:r>
      <w:r w:rsidRPr="0003390A">
        <w:t xml:space="preserve">examen du </w:t>
      </w:r>
      <w:r>
        <w:t>dossier</w:t>
      </w:r>
      <w:r w:rsidRPr="0003390A">
        <w:t xml:space="preserve"> a commencé avec un avocat et </w:t>
      </w:r>
      <w:r>
        <w:t>s’est achevé avec un autre</w:t>
      </w:r>
      <w:r w:rsidRPr="0003390A">
        <w:t>, parce que l</w:t>
      </w:r>
      <w:r>
        <w:t>’</w:t>
      </w:r>
      <w:r w:rsidRPr="0003390A">
        <w:t xml:space="preserve">auteur </w:t>
      </w:r>
      <w:r>
        <w:t xml:space="preserve">a </w:t>
      </w:r>
      <w:r w:rsidRPr="0003390A">
        <w:t xml:space="preserve">refusé </w:t>
      </w:r>
      <w:r>
        <w:t>les services de M</w:t>
      </w:r>
      <w:r w:rsidRPr="00F91D1B">
        <w:rPr>
          <w:vertAlign w:val="superscript"/>
        </w:rPr>
        <w:t>m</w:t>
      </w:r>
      <w:r w:rsidRPr="00D013E2">
        <w:rPr>
          <w:vertAlign w:val="superscript"/>
        </w:rPr>
        <w:t>e</w:t>
      </w:r>
      <w:r>
        <w:t> </w:t>
      </w:r>
      <w:r w:rsidRPr="0003390A">
        <w:t>Abramova. L</w:t>
      </w:r>
      <w:r>
        <w:t>’</w:t>
      </w:r>
      <w:r w:rsidRPr="0003390A">
        <w:t xml:space="preserve">État partie </w:t>
      </w:r>
      <w:r>
        <w:t xml:space="preserve">soutient </w:t>
      </w:r>
      <w:r w:rsidRPr="0003390A">
        <w:t>que l</w:t>
      </w:r>
      <w:r>
        <w:t>’affirmation de l’auteur qui dit avoir examiné des éléments de son dossier les</w:t>
      </w:r>
      <w:r w:rsidR="00AA2AEF">
        <w:t> </w:t>
      </w:r>
      <w:r>
        <w:t>13, 20, 21 et 24 </w:t>
      </w:r>
      <w:r w:rsidRPr="0003390A">
        <w:t>juillet 2000</w:t>
      </w:r>
      <w:r>
        <w:t xml:space="preserve"> en l’absence de </w:t>
      </w:r>
      <w:r w:rsidRPr="0003390A">
        <w:t xml:space="preserve">son avocat </w:t>
      </w:r>
      <w:r>
        <w:t>est</w:t>
      </w:r>
      <w:r w:rsidRPr="0003390A">
        <w:t xml:space="preserve"> en contradiction avec les informations contenues dans le </w:t>
      </w:r>
      <w:r w:rsidRPr="0049609F">
        <w:t>calendrier d</w:t>
      </w:r>
      <w:r>
        <w:t>’</w:t>
      </w:r>
      <w:r w:rsidRPr="0049609F">
        <w:t>examen du dossier</w:t>
      </w:r>
      <w:r>
        <w:rPr>
          <w:rStyle w:val="FootnoteReference"/>
        </w:rPr>
        <w:footnoteReference w:id="8"/>
      </w:r>
      <w:r>
        <w:t>.</w:t>
      </w:r>
    </w:p>
    <w:p w:rsidR="009F0CE2" w:rsidRPr="0003390A" w:rsidRDefault="009F0CE2" w:rsidP="009F0CE2">
      <w:pPr>
        <w:pStyle w:val="SingleTxtG"/>
      </w:pPr>
      <w:r>
        <w:t>6.2</w:t>
      </w:r>
      <w:r>
        <w:tab/>
        <w:t>En ce qui c</w:t>
      </w:r>
      <w:r w:rsidRPr="0003390A">
        <w:t xml:space="preserve">oncerne </w:t>
      </w:r>
      <w:r w:rsidRPr="00B4522A">
        <w:t>l</w:t>
      </w:r>
      <w:r>
        <w:t>’</w:t>
      </w:r>
      <w:r w:rsidRPr="00B4522A">
        <w:t>allégation</w:t>
      </w:r>
      <w:r w:rsidRPr="0003390A">
        <w:t xml:space="preserve"> de l</w:t>
      </w:r>
      <w:r>
        <w:t>’auteur qui fait valoir qu’il n’a</w:t>
      </w:r>
      <w:r w:rsidRPr="0003390A">
        <w:t xml:space="preserve"> pas </w:t>
      </w:r>
      <w:r>
        <w:t>disposé de</w:t>
      </w:r>
      <w:r w:rsidRPr="0003390A">
        <w:t xml:space="preserve"> </w:t>
      </w:r>
      <w:r>
        <w:t>suffisamment</w:t>
      </w:r>
      <w:r w:rsidRPr="0003390A">
        <w:t xml:space="preserve"> de temps pour </w:t>
      </w:r>
      <w:r>
        <w:t>prendre connaissance du</w:t>
      </w:r>
      <w:r w:rsidRPr="0003390A">
        <w:t xml:space="preserve"> dossier, l</w:t>
      </w:r>
      <w:r>
        <w:t>’</w:t>
      </w:r>
      <w:r w:rsidRPr="0003390A">
        <w:t>État partie indique que, conformém</w:t>
      </w:r>
      <w:r>
        <w:t>ent à l’article 201 du Code de procédure p</w:t>
      </w:r>
      <w:r w:rsidRPr="0003390A">
        <w:t>énale</w:t>
      </w:r>
      <w:r>
        <w:t xml:space="preserve"> </w:t>
      </w:r>
      <w:r w:rsidRPr="0003390A">
        <w:t>en vigueur à l</w:t>
      </w:r>
      <w:r>
        <w:t>’</w:t>
      </w:r>
      <w:r w:rsidRPr="0003390A">
        <w:t>époque, l</w:t>
      </w:r>
      <w:r>
        <w:t>’</w:t>
      </w:r>
      <w:r w:rsidRPr="0003390A">
        <w:t xml:space="preserve">enquêteur </w:t>
      </w:r>
      <w:r>
        <w:t>était habilité à décider, avec l’aval du</w:t>
      </w:r>
      <w:r w:rsidRPr="0003390A">
        <w:t xml:space="preserve"> procureur,</w:t>
      </w:r>
      <w:r>
        <w:t xml:space="preserve"> de fixer </w:t>
      </w:r>
      <w:r w:rsidRPr="0003390A">
        <w:t xml:space="preserve">une date limite pour </w:t>
      </w:r>
      <w:r>
        <w:t>l’examen du dossier si, à l’évidence, le prévenu et son avocat faisaient durer les choses</w:t>
      </w:r>
      <w:r w:rsidRPr="0003390A">
        <w:t>. L</w:t>
      </w:r>
      <w:r>
        <w:t>’</w:t>
      </w:r>
      <w:r w:rsidRPr="0003390A">
        <w:t xml:space="preserve">État </w:t>
      </w:r>
      <w:r>
        <w:t xml:space="preserve">partie soutient qu’il était évident </w:t>
      </w:r>
      <w:r w:rsidRPr="0003390A">
        <w:t xml:space="preserve">que </w:t>
      </w:r>
      <w:r>
        <w:t>le prévenu faisait durer l’étude</w:t>
      </w:r>
      <w:r w:rsidRPr="0003390A">
        <w:t xml:space="preserve"> du </w:t>
      </w:r>
      <w:r>
        <w:t>dossier</w:t>
      </w:r>
      <w:r w:rsidRPr="00AA2AEF">
        <w:rPr>
          <w:rStyle w:val="FootnoteReference"/>
        </w:rPr>
        <w:footnoteReference w:id="9"/>
      </w:r>
      <w:r w:rsidRPr="0003390A">
        <w:t xml:space="preserve"> et que, contrairement à </w:t>
      </w:r>
      <w:r>
        <w:t>ses allégations</w:t>
      </w:r>
      <w:r w:rsidRPr="002661C7">
        <w:t>, le</w:t>
      </w:r>
      <w:r>
        <w:t xml:space="preserve"> 29</w:t>
      </w:r>
      <w:r w:rsidR="00475965">
        <w:t> </w:t>
      </w:r>
      <w:r>
        <w:t xml:space="preserve">août 2000, le tribunal </w:t>
      </w:r>
      <w:r w:rsidRPr="0003390A">
        <w:t>a</w:t>
      </w:r>
      <w:r>
        <w:t>vait</w:t>
      </w:r>
      <w:r w:rsidRPr="0003390A">
        <w:t xml:space="preserve"> e</w:t>
      </w:r>
      <w:r>
        <w:t xml:space="preserve">xaminé et rejeté sa requête faisant valoir qu’il y avait eu violation de </w:t>
      </w:r>
      <w:r w:rsidRPr="0003390A">
        <w:t xml:space="preserve">son droit </w:t>
      </w:r>
      <w:r>
        <w:t>de prendre connaissance</w:t>
      </w:r>
      <w:r w:rsidR="00BD58B2">
        <w:t xml:space="preserve"> du </w:t>
      </w:r>
      <w:r w:rsidRPr="0003390A">
        <w:t>dossi</w:t>
      </w:r>
      <w:r>
        <w:t>er.</w:t>
      </w:r>
    </w:p>
    <w:p w:rsidR="009F0CE2" w:rsidRPr="005B6C2F" w:rsidRDefault="009F0CE2" w:rsidP="009F0CE2">
      <w:pPr>
        <w:pStyle w:val="H23G"/>
      </w:pPr>
      <w:r>
        <w:tab/>
      </w:r>
      <w:r>
        <w:tab/>
      </w:r>
      <w:r w:rsidRPr="0049609F">
        <w:rPr>
          <w:lang w:val="fr-FR"/>
        </w:rPr>
        <w:t xml:space="preserve">Commentaires supplémentaires de </w:t>
      </w:r>
      <w:r w:rsidRPr="00FF6BE3">
        <w:t>l</w:t>
      </w:r>
      <w:r>
        <w:t>’</w:t>
      </w:r>
      <w:r w:rsidRPr="00FF6BE3">
        <w:t>auteur</w:t>
      </w:r>
    </w:p>
    <w:p w:rsidR="009F0CE2" w:rsidRPr="00825A48" w:rsidRDefault="009F0CE2" w:rsidP="009F0CE2">
      <w:pPr>
        <w:pStyle w:val="ParNoG"/>
        <w:numPr>
          <w:ilvl w:val="0"/>
          <w:numId w:val="10"/>
        </w:numPr>
        <w:rPr>
          <w:lang w:val="fr-FR"/>
        </w:rPr>
      </w:pPr>
      <w:r>
        <w:rPr>
          <w:lang w:val="fr-FR"/>
        </w:rPr>
        <w:t>Le 6 </w:t>
      </w:r>
      <w:r w:rsidRPr="00825A48">
        <w:rPr>
          <w:lang w:val="fr-FR"/>
        </w:rPr>
        <w:t>décembre 2009, l</w:t>
      </w:r>
      <w:r>
        <w:rPr>
          <w:lang w:val="fr-FR"/>
        </w:rPr>
        <w:t>’</w:t>
      </w:r>
      <w:r w:rsidRPr="00825A48">
        <w:rPr>
          <w:lang w:val="fr-FR"/>
        </w:rPr>
        <w:t xml:space="preserve">auteur </w:t>
      </w:r>
      <w:r>
        <w:rPr>
          <w:lang w:val="fr-FR"/>
        </w:rPr>
        <w:t xml:space="preserve">a adressé </w:t>
      </w:r>
      <w:r w:rsidRPr="00825A48">
        <w:rPr>
          <w:lang w:val="fr-FR"/>
        </w:rPr>
        <w:t xml:space="preserve">au Comité des copies de la dernière page du </w:t>
      </w:r>
      <w:r>
        <w:rPr>
          <w:lang w:val="fr-FR"/>
        </w:rPr>
        <w:t>procès</w:t>
      </w:r>
      <w:r>
        <w:rPr>
          <w:lang w:val="fr-FR"/>
        </w:rPr>
        <w:noBreakHyphen/>
        <w:t xml:space="preserve">verbal relatif à l’achèvement </w:t>
      </w:r>
      <w:r w:rsidRPr="00825A48">
        <w:rPr>
          <w:lang w:val="fr-FR"/>
        </w:rPr>
        <w:t>de l</w:t>
      </w:r>
      <w:r>
        <w:rPr>
          <w:lang w:val="fr-FR"/>
        </w:rPr>
        <w:t>’</w:t>
      </w:r>
      <w:r w:rsidRPr="00825A48">
        <w:rPr>
          <w:lang w:val="fr-FR"/>
        </w:rPr>
        <w:t xml:space="preserve">examen du dossier, </w:t>
      </w:r>
      <w:r>
        <w:rPr>
          <w:lang w:val="fr-FR"/>
        </w:rPr>
        <w:t>de certaines parties du</w:t>
      </w:r>
      <w:r w:rsidRPr="00825A48">
        <w:rPr>
          <w:lang w:val="fr-FR"/>
        </w:rPr>
        <w:t xml:space="preserve"> calendrier d</w:t>
      </w:r>
      <w:r>
        <w:rPr>
          <w:lang w:val="fr-FR"/>
        </w:rPr>
        <w:t>’</w:t>
      </w:r>
      <w:r w:rsidRPr="00825A48">
        <w:rPr>
          <w:lang w:val="fr-FR"/>
        </w:rPr>
        <w:t xml:space="preserve">examen </w:t>
      </w:r>
      <w:r>
        <w:rPr>
          <w:lang w:val="fr-FR"/>
        </w:rPr>
        <w:t xml:space="preserve">du dossier </w:t>
      </w:r>
      <w:r w:rsidRPr="00825A48">
        <w:rPr>
          <w:lang w:val="fr-FR"/>
        </w:rPr>
        <w:t>établi par l</w:t>
      </w:r>
      <w:r>
        <w:rPr>
          <w:lang w:val="fr-FR"/>
        </w:rPr>
        <w:t>’</w:t>
      </w:r>
      <w:r w:rsidRPr="00825A48">
        <w:rPr>
          <w:lang w:val="fr-FR"/>
        </w:rPr>
        <w:t xml:space="preserve">enquêteur et </w:t>
      </w:r>
      <w:r>
        <w:rPr>
          <w:lang w:val="fr-FR"/>
        </w:rPr>
        <w:t xml:space="preserve">de </w:t>
      </w:r>
      <w:r w:rsidRPr="00825A48">
        <w:rPr>
          <w:lang w:val="fr-FR"/>
        </w:rPr>
        <w:t>certaines parties de la décision de l</w:t>
      </w:r>
      <w:r>
        <w:rPr>
          <w:lang w:val="fr-FR"/>
        </w:rPr>
        <w:t>’</w:t>
      </w:r>
      <w:r w:rsidRPr="00825A48">
        <w:rPr>
          <w:lang w:val="fr-FR"/>
        </w:rPr>
        <w:t xml:space="preserve">enquêteur </w:t>
      </w:r>
      <w:r>
        <w:rPr>
          <w:lang w:val="fr-FR"/>
        </w:rPr>
        <w:t>lui fixant</w:t>
      </w:r>
      <w:r w:rsidRPr="00825A48">
        <w:rPr>
          <w:lang w:val="fr-FR"/>
        </w:rPr>
        <w:t xml:space="preserve"> </w:t>
      </w:r>
      <w:r>
        <w:rPr>
          <w:lang w:val="fr-FR"/>
        </w:rPr>
        <w:t>un</w:t>
      </w:r>
      <w:r w:rsidRPr="00825A48">
        <w:rPr>
          <w:lang w:val="fr-FR"/>
        </w:rPr>
        <w:t xml:space="preserve"> </w:t>
      </w:r>
      <w:r>
        <w:rPr>
          <w:lang w:val="fr-FR"/>
        </w:rPr>
        <w:t xml:space="preserve">délai </w:t>
      </w:r>
      <w:r w:rsidRPr="00825A48">
        <w:rPr>
          <w:lang w:val="fr-FR"/>
        </w:rPr>
        <w:t>pour l</w:t>
      </w:r>
      <w:r>
        <w:rPr>
          <w:lang w:val="fr-FR"/>
        </w:rPr>
        <w:t>’</w:t>
      </w:r>
      <w:r w:rsidRPr="00825A48">
        <w:rPr>
          <w:lang w:val="fr-FR"/>
        </w:rPr>
        <w:t xml:space="preserve">examen du dossier. </w:t>
      </w:r>
      <w:r>
        <w:rPr>
          <w:lang w:val="fr-FR"/>
        </w:rPr>
        <w:t>La copie</w:t>
      </w:r>
      <w:r w:rsidRPr="00825A48">
        <w:rPr>
          <w:lang w:val="fr-FR"/>
        </w:rPr>
        <w:t xml:space="preserve"> du </w:t>
      </w:r>
      <w:r>
        <w:rPr>
          <w:lang w:val="fr-FR"/>
        </w:rPr>
        <w:t>procès</w:t>
      </w:r>
      <w:r>
        <w:rPr>
          <w:lang w:val="fr-FR"/>
        </w:rPr>
        <w:noBreakHyphen/>
        <w:t xml:space="preserve">verbal contient </w:t>
      </w:r>
      <w:r w:rsidRPr="00825A48">
        <w:rPr>
          <w:lang w:val="fr-FR"/>
        </w:rPr>
        <w:t>une note</w:t>
      </w:r>
      <w:r>
        <w:rPr>
          <w:lang w:val="fr-FR"/>
        </w:rPr>
        <w:t xml:space="preserve"> </w:t>
      </w:r>
      <w:r w:rsidRPr="00825A48">
        <w:rPr>
          <w:lang w:val="fr-FR"/>
        </w:rPr>
        <w:t xml:space="preserve">de </w:t>
      </w:r>
      <w:r>
        <w:rPr>
          <w:lang w:val="fr-FR"/>
        </w:rPr>
        <w:t>l’auteur indiquant qu’il n’a</w:t>
      </w:r>
      <w:r w:rsidRPr="00825A48">
        <w:rPr>
          <w:lang w:val="fr-FR"/>
        </w:rPr>
        <w:t xml:space="preserve"> pas </w:t>
      </w:r>
      <w:r>
        <w:rPr>
          <w:lang w:val="fr-FR"/>
        </w:rPr>
        <w:t>pris entièrement connaissance du</w:t>
      </w:r>
      <w:r w:rsidRPr="00825A48">
        <w:rPr>
          <w:lang w:val="fr-FR"/>
        </w:rPr>
        <w:t xml:space="preserve"> </w:t>
      </w:r>
      <w:r>
        <w:rPr>
          <w:lang w:val="fr-FR"/>
        </w:rPr>
        <w:t>dossier, que les</w:t>
      </w:r>
      <w:r w:rsidR="00AA2AEF">
        <w:rPr>
          <w:lang w:val="fr-FR"/>
        </w:rPr>
        <w:t> </w:t>
      </w:r>
      <w:r>
        <w:rPr>
          <w:lang w:val="fr-FR"/>
        </w:rPr>
        <w:t>13, 20 et 21 </w:t>
      </w:r>
      <w:r w:rsidRPr="00825A48">
        <w:rPr>
          <w:lang w:val="fr-FR"/>
        </w:rPr>
        <w:t>juillet 2000, son avocat n</w:t>
      </w:r>
      <w:r>
        <w:rPr>
          <w:lang w:val="fr-FR"/>
        </w:rPr>
        <w:t>’</w:t>
      </w:r>
      <w:r w:rsidRPr="00825A48">
        <w:rPr>
          <w:lang w:val="fr-FR"/>
        </w:rPr>
        <w:t>était pas présent et qu</w:t>
      </w:r>
      <w:r>
        <w:rPr>
          <w:lang w:val="fr-FR"/>
        </w:rPr>
        <w:t>’</w:t>
      </w:r>
      <w:r w:rsidRPr="00825A48">
        <w:rPr>
          <w:lang w:val="fr-FR"/>
        </w:rPr>
        <w:t xml:space="preserve">il souhaitait examiner la </w:t>
      </w:r>
      <w:r w:rsidRPr="002806B2">
        <w:t>vidéo qui faisait partie des éléments de preuve</w:t>
      </w:r>
      <w:r w:rsidRPr="00825A48">
        <w:rPr>
          <w:lang w:val="fr-FR"/>
        </w:rPr>
        <w:t xml:space="preserve"> en présence de son avocat. </w:t>
      </w:r>
      <w:r>
        <w:rPr>
          <w:lang w:val="fr-FR"/>
        </w:rPr>
        <w:t>U</w:t>
      </w:r>
      <w:r w:rsidRPr="00825A48">
        <w:rPr>
          <w:lang w:val="fr-FR"/>
        </w:rPr>
        <w:t>ne</w:t>
      </w:r>
      <w:r w:rsidR="00AA2AEF">
        <w:rPr>
          <w:lang w:val="fr-FR"/>
        </w:rPr>
        <w:t> </w:t>
      </w:r>
      <w:r w:rsidRPr="00825A48">
        <w:rPr>
          <w:lang w:val="fr-FR"/>
        </w:rPr>
        <w:t xml:space="preserve">note </w:t>
      </w:r>
      <w:r>
        <w:rPr>
          <w:lang w:val="fr-FR"/>
        </w:rPr>
        <w:t>de l’avocat, M. </w:t>
      </w:r>
      <w:r w:rsidRPr="00825A48">
        <w:rPr>
          <w:lang w:val="fr-FR"/>
        </w:rPr>
        <w:t xml:space="preserve">Nekhoroshev, </w:t>
      </w:r>
      <w:r>
        <w:rPr>
          <w:lang w:val="fr-FR"/>
        </w:rPr>
        <w:t>indique qu’il avait lu</w:t>
      </w:r>
      <w:r w:rsidRPr="00825A48">
        <w:rPr>
          <w:lang w:val="fr-FR"/>
        </w:rPr>
        <w:t xml:space="preserve"> </w:t>
      </w:r>
      <w:r>
        <w:rPr>
          <w:lang w:val="fr-FR"/>
        </w:rPr>
        <w:t>la totalité</w:t>
      </w:r>
      <w:r w:rsidRPr="00825A48">
        <w:rPr>
          <w:lang w:val="fr-FR"/>
        </w:rPr>
        <w:t xml:space="preserve"> du dossier.</w:t>
      </w:r>
    </w:p>
    <w:p w:rsidR="009F0CE2" w:rsidRPr="005B6C2F" w:rsidRDefault="009F0CE2" w:rsidP="009F0CE2">
      <w:pPr>
        <w:pStyle w:val="H23G"/>
      </w:pPr>
      <w:r>
        <w:tab/>
      </w:r>
      <w:r>
        <w:tab/>
      </w:r>
      <w:r w:rsidRPr="00271242">
        <w:rPr>
          <w:lang w:val="fr-FR"/>
        </w:rPr>
        <w:t xml:space="preserve">Observations </w:t>
      </w:r>
      <w:r w:rsidRPr="000179F1">
        <w:t>complémentaires</w:t>
      </w:r>
      <w:r w:rsidRPr="00271242">
        <w:rPr>
          <w:lang w:val="fr-FR"/>
        </w:rPr>
        <w:t xml:space="preserve"> de l</w:t>
      </w:r>
      <w:r>
        <w:rPr>
          <w:lang w:val="fr-FR"/>
        </w:rPr>
        <w:t>’</w:t>
      </w:r>
      <w:r w:rsidRPr="00271242">
        <w:rPr>
          <w:lang w:val="fr-FR"/>
        </w:rPr>
        <w:t>État partie</w:t>
      </w:r>
      <w:r>
        <w:rPr>
          <w:lang w:val="fr-FR"/>
        </w:rPr>
        <w:t xml:space="preserve"> sur le fond</w:t>
      </w:r>
    </w:p>
    <w:p w:rsidR="009F0CE2" w:rsidRPr="005B6C2F" w:rsidRDefault="009F0CE2" w:rsidP="009F0CE2">
      <w:pPr>
        <w:pStyle w:val="ParNoG"/>
      </w:pPr>
      <w:r w:rsidRPr="002806B2">
        <w:t xml:space="preserve">Par lettre du </w:t>
      </w:r>
      <w:r w:rsidRPr="006946A6">
        <w:t>13</w:t>
      </w:r>
      <w:r>
        <w:t> </w:t>
      </w:r>
      <w:r w:rsidRPr="006946A6">
        <w:t>août 2010, l</w:t>
      </w:r>
      <w:r>
        <w:t>’</w:t>
      </w:r>
      <w:r w:rsidRPr="006946A6">
        <w:t>État parti</w:t>
      </w:r>
      <w:r>
        <w:t xml:space="preserve">e renvoie à ses observations précédentes et fait valoir </w:t>
      </w:r>
      <w:r w:rsidRPr="006946A6">
        <w:t>que le calendrier d</w:t>
      </w:r>
      <w:r>
        <w:t>’</w:t>
      </w:r>
      <w:r w:rsidRPr="006946A6">
        <w:t xml:space="preserve">examen du </w:t>
      </w:r>
      <w:r>
        <w:t>dossier</w:t>
      </w:r>
      <w:r w:rsidRPr="006946A6">
        <w:t xml:space="preserve"> porte la signature de l</w:t>
      </w:r>
      <w:r>
        <w:t>’</w:t>
      </w:r>
      <w:r w:rsidRPr="006946A6">
        <w:t>auteur</w:t>
      </w:r>
      <w:r>
        <w:t>,</w:t>
      </w:r>
      <w:r w:rsidRPr="006946A6">
        <w:t xml:space="preserve"> </w:t>
      </w:r>
      <w:r>
        <w:t>comme celle de</w:t>
      </w:r>
      <w:r w:rsidRPr="006946A6">
        <w:t xml:space="preserve"> ses avocats</w:t>
      </w:r>
      <w:r>
        <w:t>,</w:t>
      </w:r>
      <w:r w:rsidRPr="006946A6">
        <w:t xml:space="preserve"> </w:t>
      </w:r>
      <w:r>
        <w:t>ce qui est en contradiction avec la note portée par l’auteur</w:t>
      </w:r>
      <w:r w:rsidRPr="006946A6">
        <w:t xml:space="preserve"> à la fin </w:t>
      </w:r>
      <w:r>
        <w:t>du procès</w:t>
      </w:r>
      <w:r>
        <w:noBreakHyphen/>
        <w:t xml:space="preserve">verbal relatif à </w:t>
      </w:r>
      <w:r w:rsidRPr="004D06E2">
        <w:t>l</w:t>
      </w:r>
      <w:r>
        <w:t>’</w:t>
      </w:r>
      <w:r w:rsidRPr="004D06E2">
        <w:t>achèvement</w:t>
      </w:r>
      <w:r w:rsidRPr="006946A6">
        <w:t xml:space="preserve"> de l</w:t>
      </w:r>
      <w:r>
        <w:t>’</w:t>
      </w:r>
      <w:r w:rsidRPr="006946A6">
        <w:t>e</w:t>
      </w:r>
      <w:r>
        <w:t>xamen du dossier.</w:t>
      </w:r>
    </w:p>
    <w:p w:rsidR="009F0CE2" w:rsidRPr="005B6C2F" w:rsidRDefault="009F0CE2" w:rsidP="009F0CE2">
      <w:pPr>
        <w:pStyle w:val="H23G"/>
      </w:pPr>
      <w:r>
        <w:tab/>
      </w:r>
      <w:r>
        <w:tab/>
      </w:r>
      <w:r w:rsidRPr="00271242">
        <w:rPr>
          <w:lang w:val="fr-FR"/>
        </w:rPr>
        <w:t>Délibérations du Comité</w:t>
      </w:r>
    </w:p>
    <w:p w:rsidR="009F0CE2" w:rsidRPr="005B6C2F" w:rsidRDefault="009F0CE2" w:rsidP="009F0CE2">
      <w:pPr>
        <w:pStyle w:val="H4G"/>
      </w:pPr>
      <w:r w:rsidRPr="005B6C2F">
        <w:tab/>
      </w:r>
      <w:r w:rsidRPr="005B6C2F">
        <w:tab/>
      </w:r>
      <w:r w:rsidRPr="00271242">
        <w:rPr>
          <w:lang w:val="fr-FR"/>
        </w:rPr>
        <w:t xml:space="preserve">Examen de la </w:t>
      </w:r>
      <w:r w:rsidRPr="000179F1">
        <w:t>recevabilité</w:t>
      </w:r>
    </w:p>
    <w:p w:rsidR="009F0CE2" w:rsidRPr="00143CD2" w:rsidRDefault="009F0CE2" w:rsidP="009F0CE2">
      <w:pPr>
        <w:pStyle w:val="SingleTxtG"/>
      </w:pPr>
      <w:r w:rsidRPr="005B6C2F">
        <w:t>9.1</w:t>
      </w:r>
      <w:r w:rsidRPr="005B6C2F">
        <w:tab/>
      </w:r>
      <w:r w:rsidRPr="00143CD2">
        <w:t>Avant d</w:t>
      </w:r>
      <w:r>
        <w:t>’</w:t>
      </w:r>
      <w:r w:rsidRPr="00143CD2">
        <w:t>examiner toute plainte soumise dans une communication, le Comité des droits de l</w:t>
      </w:r>
      <w:r>
        <w:t>’</w:t>
      </w:r>
      <w:r w:rsidRPr="00143CD2">
        <w:t>homme doit, conformément à l</w:t>
      </w:r>
      <w:r>
        <w:t>’article </w:t>
      </w:r>
      <w:r w:rsidRPr="00143CD2">
        <w:t>93 de son règlement intérieur, déterminer si la communication est recevable en vertu du Protocole facultatif se rapportant au Pacte.</w:t>
      </w:r>
    </w:p>
    <w:p w:rsidR="009F0CE2" w:rsidRPr="005B6C2F" w:rsidRDefault="009F0CE2" w:rsidP="009F0CE2">
      <w:pPr>
        <w:pStyle w:val="SingleTxtG"/>
        <w:rPr>
          <w:bCs/>
        </w:rPr>
      </w:pPr>
      <w:r w:rsidRPr="005B6C2F">
        <w:rPr>
          <w:bCs/>
        </w:rPr>
        <w:t>9.2</w:t>
      </w:r>
      <w:r w:rsidRPr="005B6C2F">
        <w:rPr>
          <w:bCs/>
        </w:rPr>
        <w:tab/>
      </w:r>
      <w:r>
        <w:t>Le Comité s’est assuré, comme il est tenu de le faire conformément aux dispositions du paragraphe 2 a) de l’article 5 du Protocole facultatif, que la même question n’était pas en cours d’examen devant une autre instance internationale d’enquête ou de règlement.</w:t>
      </w:r>
    </w:p>
    <w:p w:rsidR="009F0CE2" w:rsidRPr="005B6C2F" w:rsidRDefault="009F0CE2" w:rsidP="009F0CE2">
      <w:pPr>
        <w:pStyle w:val="SingleTxtG"/>
        <w:rPr>
          <w:lang w:val="en-US"/>
        </w:rPr>
      </w:pPr>
      <w:r w:rsidRPr="005B6C2F">
        <w:rPr>
          <w:bCs/>
        </w:rPr>
        <w:t>9.3</w:t>
      </w:r>
      <w:r w:rsidRPr="005B6C2F">
        <w:rPr>
          <w:bCs/>
        </w:rPr>
        <w:tab/>
      </w:r>
      <w:r>
        <w:rPr>
          <w:bCs/>
        </w:rPr>
        <w:t xml:space="preserve">Le Comité </w:t>
      </w:r>
      <w:r w:rsidRPr="000179F1">
        <w:t>note</w:t>
      </w:r>
      <w:r>
        <w:rPr>
          <w:bCs/>
        </w:rPr>
        <w:t xml:space="preserve"> que l’État partie n’a pas soulevé d’objections quant à la recevabilité de la</w:t>
      </w:r>
      <w:r w:rsidRPr="005B6C2F">
        <w:rPr>
          <w:bCs/>
        </w:rPr>
        <w:t xml:space="preserve"> communication. </w:t>
      </w:r>
      <w:r w:rsidRPr="00B20CFA">
        <w:rPr>
          <w:lang w:val="fr-FR"/>
        </w:rPr>
        <w:t>Il déclare la communication recevable</w:t>
      </w:r>
      <w:r w:rsidRPr="005B6C2F">
        <w:rPr>
          <w:bCs/>
        </w:rPr>
        <w:t xml:space="preserve"> </w:t>
      </w:r>
      <w:r>
        <w:t>dans la mesure où elle semble soulever des questions au titre des dispositions du paragraphe </w:t>
      </w:r>
      <w:r>
        <w:rPr>
          <w:bCs/>
        </w:rPr>
        <w:t>3 b) et</w:t>
      </w:r>
      <w:r w:rsidR="00F41030">
        <w:rPr>
          <w:bCs/>
        </w:rPr>
        <w:t> </w:t>
      </w:r>
      <w:r>
        <w:rPr>
          <w:bCs/>
        </w:rPr>
        <w:t>d) de l’article 14</w:t>
      </w:r>
      <w:r w:rsidRPr="005B6C2F">
        <w:rPr>
          <w:bCs/>
        </w:rPr>
        <w:t xml:space="preserve"> </w:t>
      </w:r>
      <w:r>
        <w:rPr>
          <w:bCs/>
        </w:rPr>
        <w:t>du Pacte</w:t>
      </w:r>
      <w:r w:rsidRPr="005B6C2F">
        <w:rPr>
          <w:bCs/>
        </w:rPr>
        <w:t xml:space="preserve">, </w:t>
      </w:r>
      <w:r w:rsidRPr="00B20CFA">
        <w:rPr>
          <w:lang w:val="fr-FR"/>
        </w:rPr>
        <w:t>et procède à son examen quant au fond.</w:t>
      </w:r>
    </w:p>
    <w:p w:rsidR="009F0CE2" w:rsidRPr="005B6C2F" w:rsidRDefault="009F0CE2" w:rsidP="009F0CE2">
      <w:pPr>
        <w:pStyle w:val="H4G"/>
      </w:pPr>
      <w:r w:rsidRPr="005B6C2F">
        <w:tab/>
      </w:r>
      <w:r w:rsidRPr="005B6C2F">
        <w:tab/>
      </w:r>
      <w:r w:rsidRPr="00271242">
        <w:rPr>
          <w:lang w:val="fr-FR"/>
        </w:rPr>
        <w:t xml:space="preserve">Examen </w:t>
      </w:r>
      <w:r w:rsidRPr="000179F1">
        <w:t>au</w:t>
      </w:r>
      <w:r w:rsidRPr="00271242">
        <w:rPr>
          <w:lang w:val="fr-FR"/>
        </w:rPr>
        <w:t xml:space="preserve"> fond</w:t>
      </w:r>
    </w:p>
    <w:p w:rsidR="009F0CE2" w:rsidRPr="001D30F7" w:rsidRDefault="009F0CE2" w:rsidP="009F0CE2">
      <w:pPr>
        <w:pStyle w:val="SingleTxtG"/>
      </w:pPr>
      <w:r w:rsidRPr="005B6C2F">
        <w:rPr>
          <w:lang w:val="en-US"/>
        </w:rPr>
        <w:t>10.1</w:t>
      </w:r>
      <w:r w:rsidRPr="005B6C2F">
        <w:rPr>
          <w:lang w:val="en-US"/>
        </w:rPr>
        <w:tab/>
      </w:r>
      <w:r w:rsidRPr="004631E1">
        <w:t xml:space="preserve">Conformément au </w:t>
      </w:r>
      <w:r w:rsidRPr="000179F1">
        <w:t>paragraphe</w:t>
      </w:r>
      <w:r>
        <w:t> </w:t>
      </w:r>
      <w:r w:rsidRPr="004631E1">
        <w:t>1 de l</w:t>
      </w:r>
      <w:r>
        <w:t>’article </w:t>
      </w:r>
      <w:r w:rsidRPr="004631E1">
        <w:t>5 du Protocole facultatif, le Comité des droits de l</w:t>
      </w:r>
      <w:r>
        <w:t>’</w:t>
      </w:r>
      <w:r w:rsidRPr="004631E1">
        <w:t>homme a examiné la présente communication en tenant compte de toutes les informations qui lui ont été communiquées.</w:t>
      </w:r>
    </w:p>
    <w:p w:rsidR="009F0CE2" w:rsidRDefault="009F0CE2" w:rsidP="009F0CE2">
      <w:pPr>
        <w:pStyle w:val="SingleTxtG"/>
      </w:pPr>
      <w:r>
        <w:t>10.2</w:t>
      </w:r>
      <w:r>
        <w:tab/>
        <w:t>L</w:t>
      </w:r>
      <w:r w:rsidRPr="00152222">
        <w:t xml:space="preserve">e Comité prend note des allégations de </w:t>
      </w:r>
      <w:r w:rsidRPr="000179F1">
        <w:t>l</w:t>
      </w:r>
      <w:r>
        <w:t>’</w:t>
      </w:r>
      <w:r w:rsidRPr="000179F1">
        <w:t>auteur</w:t>
      </w:r>
      <w:r w:rsidRPr="00152222">
        <w:t xml:space="preserve"> </w:t>
      </w:r>
      <w:r>
        <w:t>qui affirme qu’il n’a pas</w:t>
      </w:r>
      <w:r w:rsidRPr="00152222">
        <w:t xml:space="preserve"> </w:t>
      </w:r>
      <w:r>
        <w:t>disposé</w:t>
      </w:r>
      <w:r w:rsidRPr="00152222">
        <w:t xml:space="preserve"> du temps et des facilités nécessaires à la </w:t>
      </w:r>
      <w:r>
        <w:t xml:space="preserve">préparation de sa défense et n’a </w:t>
      </w:r>
      <w:r w:rsidRPr="00152222">
        <w:t xml:space="preserve">pas </w:t>
      </w:r>
      <w:r>
        <w:t xml:space="preserve">pu </w:t>
      </w:r>
      <w:r w:rsidRPr="00152222">
        <w:t xml:space="preserve">communiquer avec le conseil de son choix, </w:t>
      </w:r>
      <w:r w:rsidDel="00F91D1B">
        <w:t xml:space="preserve">car </w:t>
      </w:r>
      <w:r>
        <w:t>il a dû examiner</w:t>
      </w:r>
      <w:r w:rsidRPr="00152222">
        <w:t xml:space="preserve"> l</w:t>
      </w:r>
      <w:r>
        <w:t>a totalité</w:t>
      </w:r>
      <w:r w:rsidRPr="00152222">
        <w:t xml:space="preserve"> </w:t>
      </w:r>
      <w:r>
        <w:t>du dossier</w:t>
      </w:r>
      <w:r w:rsidRPr="00152222">
        <w:t xml:space="preserve">, </w:t>
      </w:r>
      <w:r>
        <w:t>soit 19 volumes (plus de 4 000 pages),</w:t>
      </w:r>
      <w:r w:rsidRPr="00152222">
        <w:t xml:space="preserve"> </w:t>
      </w:r>
      <w:r>
        <w:t>en trente-sept</w:t>
      </w:r>
      <w:r w:rsidR="00F41030">
        <w:t> </w:t>
      </w:r>
      <w:r>
        <w:t>jours</w:t>
      </w:r>
      <w:r w:rsidRPr="00152222">
        <w:t>, n</w:t>
      </w:r>
      <w:r>
        <w:t>’</w:t>
      </w:r>
      <w:r w:rsidRPr="00152222">
        <w:t xml:space="preserve">a pas </w:t>
      </w:r>
      <w:r>
        <w:t>pu consulter</w:t>
      </w:r>
      <w:r w:rsidRPr="00152222">
        <w:t xml:space="preserve"> toutes les pièces du dossier et </w:t>
      </w:r>
      <w:r>
        <w:t xml:space="preserve">n’a pas été autorisé à prendre connaissance de certains éléments du </w:t>
      </w:r>
      <w:r w:rsidRPr="00152222">
        <w:t xml:space="preserve">dossier </w:t>
      </w:r>
      <w:r>
        <w:t>en</w:t>
      </w:r>
      <w:r w:rsidRPr="00152222">
        <w:t xml:space="preserve"> présence de son</w:t>
      </w:r>
      <w:r>
        <w:t xml:space="preserve"> (ses)</w:t>
      </w:r>
      <w:r w:rsidRPr="00152222">
        <w:t xml:space="preserve"> avocat</w:t>
      </w:r>
      <w:r>
        <w:t>(s)</w:t>
      </w:r>
      <w:r w:rsidRPr="00152222">
        <w:t xml:space="preserve">. Le Comité prend également note </w:t>
      </w:r>
      <w:r w:rsidRPr="00152222" w:rsidDel="00F91D1B">
        <w:t xml:space="preserve">de </w:t>
      </w:r>
      <w:r w:rsidRPr="00152222">
        <w:t>l</w:t>
      </w:r>
      <w:r>
        <w:t>’</w:t>
      </w:r>
      <w:r w:rsidRPr="00152222">
        <w:t>observation de l</w:t>
      </w:r>
      <w:r>
        <w:t>’</w:t>
      </w:r>
      <w:r w:rsidRPr="00152222">
        <w:t xml:space="preserve">État partie </w:t>
      </w:r>
      <w:r>
        <w:t xml:space="preserve">qui indique </w:t>
      </w:r>
      <w:r w:rsidRPr="00152222">
        <w:t xml:space="preserve">que </w:t>
      </w:r>
      <w:r>
        <w:t xml:space="preserve">la présence des </w:t>
      </w:r>
      <w:r w:rsidRPr="00152222">
        <w:t xml:space="preserve">signatures </w:t>
      </w:r>
      <w:r>
        <w:t>de l’auteur et de son avocat contredit les allégations de l’auteur, qui soutient qu’il a dû</w:t>
      </w:r>
      <w:r w:rsidRPr="00152222">
        <w:t xml:space="preserve"> examiner certaines parties du </w:t>
      </w:r>
      <w:r>
        <w:t>dossier</w:t>
      </w:r>
      <w:r w:rsidRPr="00152222">
        <w:t xml:space="preserve"> en l</w:t>
      </w:r>
      <w:r>
        <w:t>’</w:t>
      </w:r>
      <w:r w:rsidRPr="00152222">
        <w:t>absence de son avocat</w:t>
      </w:r>
      <w:r>
        <w:t>.</w:t>
      </w:r>
      <w:r w:rsidRPr="00152222">
        <w:t xml:space="preserve"> Le C</w:t>
      </w:r>
      <w:r>
        <w:t>omité</w:t>
      </w:r>
      <w:r w:rsidRPr="00152222">
        <w:t xml:space="preserve"> relève cependant</w:t>
      </w:r>
      <w:r>
        <w:t xml:space="preserve"> que l’auteur a porté à la fin du </w:t>
      </w:r>
      <w:r w:rsidRPr="00825A48">
        <w:rPr>
          <w:lang w:val="fr-FR"/>
        </w:rPr>
        <w:t>calendrier d</w:t>
      </w:r>
      <w:r>
        <w:rPr>
          <w:lang w:val="fr-FR"/>
        </w:rPr>
        <w:t>’</w:t>
      </w:r>
      <w:r w:rsidRPr="00825A48">
        <w:rPr>
          <w:lang w:val="fr-FR"/>
        </w:rPr>
        <w:t xml:space="preserve">examen </w:t>
      </w:r>
      <w:r>
        <w:rPr>
          <w:lang w:val="fr-FR"/>
        </w:rPr>
        <w:t>du dossier</w:t>
      </w:r>
      <w:r>
        <w:t xml:space="preserve"> une note indiquant qu’il n’avait pas pu examiner la totalité du dossier</w:t>
      </w:r>
      <w:r>
        <w:rPr>
          <w:lang w:val="fr-FR"/>
        </w:rPr>
        <w:t>. Il constate également</w:t>
      </w:r>
      <w:r>
        <w:t xml:space="preserve"> qu’il ressort du</w:t>
      </w:r>
      <w:r w:rsidRPr="00152222">
        <w:t xml:space="preserve"> </w:t>
      </w:r>
      <w:r w:rsidRPr="004D06E2">
        <w:t>procès-verbal</w:t>
      </w:r>
      <w:r w:rsidRPr="00152222">
        <w:t xml:space="preserve"> de l</w:t>
      </w:r>
      <w:r>
        <w:t>’</w:t>
      </w:r>
      <w:r w:rsidRPr="00152222">
        <w:t>audience d</w:t>
      </w:r>
      <w:r>
        <w:t>u 29 août 2000 devant le tribunal r</w:t>
      </w:r>
      <w:r w:rsidRPr="00152222">
        <w:t xml:space="preserve">égional de Saratov </w:t>
      </w:r>
      <w:r>
        <w:t>que le conseil de l’auteur</w:t>
      </w:r>
      <w:r w:rsidRPr="00152222">
        <w:t xml:space="preserve"> a confirmé que, comme l</w:t>
      </w:r>
      <w:r>
        <w:t>’</w:t>
      </w:r>
      <w:r w:rsidRPr="00152222">
        <w:t>affirmait son client, celui-ci n</w:t>
      </w:r>
      <w:r>
        <w:t>’</w:t>
      </w:r>
      <w:r w:rsidRPr="00152222">
        <w:t xml:space="preserve">avait pas eu assez de temps pour examiner la totalité du dossier. </w:t>
      </w:r>
    </w:p>
    <w:p w:rsidR="009F0CE2" w:rsidRDefault="009F0CE2" w:rsidP="00A71211">
      <w:pPr>
        <w:pStyle w:val="SingleTxtG"/>
        <w:keepNext/>
        <w:keepLines/>
      </w:pPr>
      <w:r>
        <w:t>10.3</w:t>
      </w:r>
      <w:r>
        <w:tab/>
        <w:t>L</w:t>
      </w:r>
      <w:r w:rsidRPr="00152222">
        <w:t xml:space="preserve">e Comité </w:t>
      </w:r>
      <w:r w:rsidRPr="007A1A16">
        <w:t>rappelle</w:t>
      </w:r>
      <w:r w:rsidRPr="00152222">
        <w:t xml:space="preserve"> </w:t>
      </w:r>
      <w:r>
        <w:t>que, en vertu du paragraphe 3 b) de l’article 14,</w:t>
      </w:r>
      <w:r w:rsidRPr="00152222">
        <w:t xml:space="preserve"> </w:t>
      </w:r>
      <w:r>
        <w:t>l’accusé</w:t>
      </w:r>
      <w:r w:rsidRPr="00152222">
        <w:t xml:space="preserve"> doit disposer du temps et des facilités nécessaires à la préparation de sa défense et </w:t>
      </w:r>
      <w:r>
        <w:t xml:space="preserve">pouvoir </w:t>
      </w:r>
      <w:r w:rsidRPr="00152222">
        <w:t>communiquer avec le conseil de son choix. Cette disposition est un élément important de la gar</w:t>
      </w:r>
      <w:r>
        <w:t>antie d’un procès équitable et</w:t>
      </w:r>
      <w:r w:rsidRPr="00152222">
        <w:t xml:space="preserve"> une application du principe de l</w:t>
      </w:r>
      <w:r>
        <w:t>’</w:t>
      </w:r>
      <w:r w:rsidRPr="00152222">
        <w:t>égalité des armes</w:t>
      </w:r>
      <w:r>
        <w:rPr>
          <w:rStyle w:val="FootnoteReference"/>
        </w:rPr>
        <w:footnoteReference w:id="10"/>
      </w:r>
      <w:r w:rsidRPr="00152222">
        <w:t>. Le</w:t>
      </w:r>
      <w:r>
        <w:t> </w:t>
      </w:r>
      <w:r w:rsidRPr="00152222">
        <w:t>Comité note en outre que</w:t>
      </w:r>
      <w:r>
        <w:t xml:space="preserve"> le tribunal r</w:t>
      </w:r>
      <w:r w:rsidRPr="00152222">
        <w:t xml:space="preserve">égional de Saratov, dans </w:t>
      </w:r>
      <w:r>
        <w:t>son jugement du 12 mai 2000,</w:t>
      </w:r>
      <w:r w:rsidRPr="00152222">
        <w:t xml:space="preserve"> a</w:t>
      </w:r>
      <w:r>
        <w:t>vait</w:t>
      </w:r>
      <w:r w:rsidRPr="00152222">
        <w:t xml:space="preserve"> estimé que le fait que certaines pièces du dossier</w:t>
      </w:r>
      <w:r>
        <w:t xml:space="preserve"> avaient été présentées à </w:t>
      </w:r>
      <w:r w:rsidRPr="00152222">
        <w:t>l</w:t>
      </w:r>
      <w:r>
        <w:t>’</w:t>
      </w:r>
      <w:r w:rsidRPr="00152222">
        <w:t>auteur en l</w:t>
      </w:r>
      <w:r>
        <w:t>’</w:t>
      </w:r>
      <w:r w:rsidRPr="00152222">
        <w:t xml:space="preserve">absence de son avocat constituait une </w:t>
      </w:r>
      <w:r w:rsidRPr="004D06E2">
        <w:t>violation</w:t>
      </w:r>
      <w:r w:rsidRPr="00152222">
        <w:t xml:space="preserve"> </w:t>
      </w:r>
      <w:r>
        <w:t>de la procédure</w:t>
      </w:r>
      <w:r w:rsidRPr="004D06E2">
        <w:t xml:space="preserve"> pénale interne</w:t>
      </w:r>
      <w:r w:rsidRPr="00152222">
        <w:t xml:space="preserve"> et</w:t>
      </w:r>
      <w:r>
        <w:t xml:space="preserve"> qu’il avait, </w:t>
      </w:r>
      <w:r w:rsidRPr="004D06E2">
        <w:t>pour ce motif</w:t>
      </w:r>
      <w:r>
        <w:t>,</w:t>
      </w:r>
      <w:r w:rsidRPr="00152222">
        <w:t xml:space="preserve"> </w:t>
      </w:r>
      <w:r>
        <w:t xml:space="preserve">décidé de renvoyer </w:t>
      </w:r>
      <w:r w:rsidRPr="00152222">
        <w:t>l</w:t>
      </w:r>
      <w:r>
        <w:t>’</w:t>
      </w:r>
      <w:r w:rsidRPr="00152222">
        <w:t xml:space="preserve">affaire </w:t>
      </w:r>
      <w:r>
        <w:t>pour</w:t>
      </w:r>
      <w:r w:rsidRPr="00152222">
        <w:t xml:space="preserve"> complément d</w:t>
      </w:r>
      <w:r>
        <w:t>’</w:t>
      </w:r>
      <w:r w:rsidRPr="00152222">
        <w:t>enquête. Le</w:t>
      </w:r>
      <w:r w:rsidR="00F41030">
        <w:t> </w:t>
      </w:r>
      <w:r w:rsidRPr="00152222">
        <w:t xml:space="preserve">Comité </w:t>
      </w:r>
      <w:r>
        <w:t xml:space="preserve">relève également qu’il ressort </w:t>
      </w:r>
      <w:r w:rsidRPr="000A49B2">
        <w:t>du procès-verbal</w:t>
      </w:r>
      <w:r w:rsidRPr="00152222">
        <w:t xml:space="preserve"> du procès </w:t>
      </w:r>
      <w:r>
        <w:t>ultérieur</w:t>
      </w:r>
      <w:r w:rsidRPr="00152222">
        <w:t xml:space="preserve"> que ce même tribunal </w:t>
      </w:r>
      <w:r>
        <w:t>avait omis de statuer</w:t>
      </w:r>
      <w:r w:rsidRPr="00152222">
        <w:t xml:space="preserve"> sur </w:t>
      </w:r>
      <w:r>
        <w:t>une requête identique et</w:t>
      </w:r>
      <w:r w:rsidRPr="00152222">
        <w:t xml:space="preserve"> </w:t>
      </w:r>
      <w:r>
        <w:t>avait condamné</w:t>
      </w:r>
      <w:r w:rsidRPr="00152222">
        <w:t xml:space="preserve"> l</w:t>
      </w:r>
      <w:r>
        <w:t>’</w:t>
      </w:r>
      <w:r w:rsidRPr="00152222">
        <w:t>auteur. Le</w:t>
      </w:r>
      <w:r w:rsidR="00F41030">
        <w:t> </w:t>
      </w:r>
      <w:r w:rsidRPr="00152222">
        <w:t xml:space="preserve">Comité note en outre </w:t>
      </w:r>
      <w:r>
        <w:t xml:space="preserve">que </w:t>
      </w:r>
      <w:r w:rsidRPr="00152222">
        <w:t>l</w:t>
      </w:r>
      <w:r>
        <w:t>’</w:t>
      </w:r>
      <w:r w:rsidRPr="00152222">
        <w:t xml:space="preserve">État partie </w:t>
      </w:r>
      <w:r>
        <w:t>affirme que le tribunal</w:t>
      </w:r>
      <w:r w:rsidRPr="00152222">
        <w:t xml:space="preserve"> a</w:t>
      </w:r>
      <w:r>
        <w:t>vait</w:t>
      </w:r>
      <w:r w:rsidRPr="00152222">
        <w:t xml:space="preserve"> rejeté </w:t>
      </w:r>
      <w:r>
        <w:t>cette</w:t>
      </w:r>
      <w:r w:rsidRPr="00152222">
        <w:t xml:space="preserve"> requête, mais n</w:t>
      </w:r>
      <w:r>
        <w:t>’</w:t>
      </w:r>
      <w:r w:rsidRPr="00152222">
        <w:t xml:space="preserve">a pas fourni de </w:t>
      </w:r>
      <w:r>
        <w:t>document étayant</w:t>
      </w:r>
      <w:r w:rsidRPr="00152222">
        <w:t xml:space="preserve"> </w:t>
      </w:r>
      <w:r>
        <w:t>cette affirmation.</w:t>
      </w:r>
    </w:p>
    <w:p w:rsidR="009F0CE2" w:rsidRDefault="009F0CE2" w:rsidP="009F0CE2">
      <w:pPr>
        <w:pStyle w:val="SingleTxtG"/>
      </w:pPr>
      <w:r>
        <w:t>10.4</w:t>
      </w:r>
      <w:r>
        <w:tab/>
        <w:t>L</w:t>
      </w:r>
      <w:r w:rsidRPr="00BA5D7F">
        <w:t>e Comité constate que l</w:t>
      </w:r>
      <w:r>
        <w:t>’</w:t>
      </w:r>
      <w:r w:rsidRPr="00BA5D7F">
        <w:t xml:space="preserve">auteur </w:t>
      </w:r>
      <w:r>
        <w:t>n’a pas bénéficié de</w:t>
      </w:r>
      <w:r w:rsidRPr="00BA5D7F">
        <w:t xml:space="preserve"> la possibilité de faire des copies des pièces versées </w:t>
      </w:r>
      <w:r w:rsidDel="00F91D1B">
        <w:t>a</w:t>
      </w:r>
      <w:r>
        <w:t>u dossier et que le temps limité dont il a disposé pour examiner celui-ci ne lui a pas permis de prendre des notes manuscrites</w:t>
      </w:r>
      <w:r w:rsidRPr="00BA5D7F">
        <w:t>. En outre, l</w:t>
      </w:r>
      <w:r>
        <w:t>’</w:t>
      </w:r>
      <w:r w:rsidRPr="00BA5D7F">
        <w:t>auteur n</w:t>
      </w:r>
      <w:r>
        <w:t>’</w:t>
      </w:r>
      <w:r w:rsidRPr="00BA5D7F">
        <w:t>a eu aucune occasion d</w:t>
      </w:r>
      <w:r>
        <w:t>’</w:t>
      </w:r>
      <w:r w:rsidRPr="00BA5D7F">
        <w:t xml:space="preserve">examiner certaines parties du dossier en présence de son avocat, notamment une vidéo </w:t>
      </w:r>
      <w:r w:rsidRPr="002806B2">
        <w:t>qui faisait partie des éléments de preuve</w:t>
      </w:r>
      <w:r w:rsidRPr="00825A48">
        <w:rPr>
          <w:lang w:val="fr-FR"/>
        </w:rPr>
        <w:t xml:space="preserve"> et dont il a pris connaissance pour la première fois pendant le procès. Le Comité note aussi que les</w:t>
      </w:r>
      <w:r w:rsidR="00EA69E6">
        <w:rPr>
          <w:lang w:val="fr-FR"/>
        </w:rPr>
        <w:t> </w:t>
      </w:r>
      <w:r w:rsidRPr="00825A48">
        <w:rPr>
          <w:lang w:val="fr-FR"/>
        </w:rPr>
        <w:t>13, 20 et 21</w:t>
      </w:r>
      <w:r w:rsidR="00A71211">
        <w:rPr>
          <w:lang w:val="fr-FR"/>
        </w:rPr>
        <w:t> </w:t>
      </w:r>
      <w:r w:rsidRPr="00825A48">
        <w:rPr>
          <w:lang w:val="fr-FR"/>
        </w:rPr>
        <w:t>juillet 2013, l</w:t>
      </w:r>
      <w:r>
        <w:rPr>
          <w:lang w:val="fr-FR"/>
        </w:rPr>
        <w:t>’</w:t>
      </w:r>
      <w:r w:rsidRPr="00825A48">
        <w:rPr>
          <w:lang w:val="fr-FR"/>
        </w:rPr>
        <w:t>auteur s</w:t>
      </w:r>
      <w:r>
        <w:rPr>
          <w:lang w:val="fr-FR"/>
        </w:rPr>
        <w:t>’</w:t>
      </w:r>
      <w:r w:rsidRPr="00825A48">
        <w:rPr>
          <w:lang w:val="fr-FR"/>
        </w:rPr>
        <w:t>est vu refuser la possibilité d</w:t>
      </w:r>
      <w:r>
        <w:rPr>
          <w:lang w:val="fr-FR"/>
        </w:rPr>
        <w:t>’</w:t>
      </w:r>
      <w:r w:rsidRPr="00825A48">
        <w:rPr>
          <w:lang w:val="fr-FR"/>
        </w:rPr>
        <w:t>examiner certaines parties du dossier en présence de son avocat, contrairement aux dispositions du droit procédural</w:t>
      </w:r>
      <w:r w:rsidRPr="00F91D1B">
        <w:rPr>
          <w:lang w:val="fr-FR"/>
        </w:rPr>
        <w:t xml:space="preserve"> </w:t>
      </w:r>
      <w:r w:rsidRPr="00825A48">
        <w:rPr>
          <w:lang w:val="fr-FR"/>
        </w:rPr>
        <w:t xml:space="preserve">interne. </w:t>
      </w:r>
      <w:r w:rsidRPr="00BA5D7F">
        <w:t>Compte tenu de la gravité de</w:t>
      </w:r>
      <w:r>
        <w:t>s</w:t>
      </w:r>
      <w:r w:rsidRPr="00BA5D7F">
        <w:t xml:space="preserve"> </w:t>
      </w:r>
      <w:r w:rsidRPr="00173875">
        <w:t xml:space="preserve">charges </w:t>
      </w:r>
      <w:r>
        <w:t>retenues</w:t>
      </w:r>
      <w:r w:rsidRPr="00BA5D7F">
        <w:t xml:space="preserve">, </w:t>
      </w:r>
      <w:r>
        <w:t xml:space="preserve">dont </w:t>
      </w:r>
      <w:r w:rsidRPr="00173875">
        <w:t xml:space="preserve">une </w:t>
      </w:r>
      <w:r>
        <w:t>était</w:t>
      </w:r>
      <w:r w:rsidRPr="00BA5D7F">
        <w:t xml:space="preserve"> passible de la peine de mort </w:t>
      </w:r>
      <w:r>
        <w:t>à l’époque</w:t>
      </w:r>
      <w:r w:rsidRPr="00BA5D7F">
        <w:t xml:space="preserve"> du</w:t>
      </w:r>
      <w:r>
        <w:t xml:space="preserve"> procès, le Comité considère que l’auteur n’a pas disposé du temps et des facilités nécessaires </w:t>
      </w:r>
      <w:r w:rsidRPr="00152222">
        <w:t>à la préparation de sa défense et qu</w:t>
      </w:r>
      <w:r>
        <w:t>’il y a donc eu violation d</w:t>
      </w:r>
      <w:r w:rsidRPr="00BA5D7F">
        <w:t xml:space="preserve">es droits </w:t>
      </w:r>
      <w:r>
        <w:t>garantis au paragraphe 3 </w:t>
      </w:r>
      <w:r w:rsidRPr="00BA5D7F">
        <w:t>b) d</w:t>
      </w:r>
      <w:r>
        <w:t>e l’article 14 du Pacte.</w:t>
      </w:r>
    </w:p>
    <w:p w:rsidR="009F0CE2" w:rsidRPr="00F91D1B" w:rsidRDefault="009F0CE2" w:rsidP="009F0CE2">
      <w:pPr>
        <w:pStyle w:val="SingleTxtG"/>
      </w:pPr>
      <w:r w:rsidRPr="00F91D1B">
        <w:t>10.5</w:t>
      </w:r>
      <w:r w:rsidRPr="00F91D1B">
        <w:tab/>
        <w:t>Compte tenu de la constatation ci-dessus, le Comité décide de ne pas examiner le gri</w:t>
      </w:r>
      <w:r w:rsidR="00A71211">
        <w:t>ef de violation du paragraphe 3 </w:t>
      </w:r>
      <w:r w:rsidRPr="00F91D1B">
        <w:t>d) de l</w:t>
      </w:r>
      <w:r>
        <w:t>’</w:t>
      </w:r>
      <w:r w:rsidR="00A71211">
        <w:t>article </w:t>
      </w:r>
      <w:r w:rsidRPr="00F91D1B">
        <w:t>14 du Pacte.</w:t>
      </w:r>
    </w:p>
    <w:p w:rsidR="009F0CE2" w:rsidRPr="005B6C2F" w:rsidRDefault="009F0CE2" w:rsidP="009F0CE2">
      <w:pPr>
        <w:pStyle w:val="ParNoG"/>
        <w:numPr>
          <w:ilvl w:val="0"/>
          <w:numId w:val="11"/>
        </w:numPr>
      </w:pPr>
      <w:r w:rsidRPr="005C2489">
        <w:rPr>
          <w:lang w:val="fr-FR"/>
        </w:rPr>
        <w:t>Le Comité des droits de l</w:t>
      </w:r>
      <w:r>
        <w:rPr>
          <w:lang w:val="fr-FR"/>
        </w:rPr>
        <w:t>’</w:t>
      </w:r>
      <w:r w:rsidRPr="005C2489">
        <w:rPr>
          <w:lang w:val="fr-FR"/>
        </w:rPr>
        <w:t xml:space="preserve">homme, </w:t>
      </w:r>
      <w:r>
        <w:rPr>
          <w:lang w:val="fr-FR"/>
        </w:rPr>
        <w:t>agissant en vertu du paragraphe </w:t>
      </w:r>
      <w:r w:rsidRPr="005C2489">
        <w:rPr>
          <w:lang w:val="fr-FR"/>
        </w:rPr>
        <w:t>4 de l</w:t>
      </w:r>
      <w:r>
        <w:rPr>
          <w:lang w:val="fr-FR"/>
        </w:rPr>
        <w:t>’article </w:t>
      </w:r>
      <w:r w:rsidRPr="005C2489">
        <w:rPr>
          <w:lang w:val="fr-FR"/>
        </w:rPr>
        <w:t>5 du Protocole facultatif se rapportant au Pacte, constate que les faits dont il est saisi font apparaître une violation</w:t>
      </w:r>
      <w:r w:rsidRPr="005B6C2F">
        <w:t xml:space="preserve"> </w:t>
      </w:r>
      <w:r>
        <w:t xml:space="preserve">par l’État partie </w:t>
      </w:r>
      <w:r w:rsidRPr="005C2489">
        <w:rPr>
          <w:lang w:val="fr-FR"/>
        </w:rPr>
        <w:t>des droits que l</w:t>
      </w:r>
      <w:r>
        <w:rPr>
          <w:lang w:val="fr-FR"/>
        </w:rPr>
        <w:t xml:space="preserve">’auteur tient du </w:t>
      </w:r>
      <w:r>
        <w:t>paragraphe 3 b) de l’article 14</w:t>
      </w:r>
      <w:r w:rsidRPr="005B6C2F">
        <w:t xml:space="preserve"> </w:t>
      </w:r>
      <w:r>
        <w:t>du Pacte</w:t>
      </w:r>
      <w:r w:rsidRPr="005B6C2F">
        <w:t>.</w:t>
      </w:r>
    </w:p>
    <w:p w:rsidR="009F0CE2" w:rsidRPr="005B6C2F" w:rsidRDefault="009F0CE2" w:rsidP="009F0CE2">
      <w:pPr>
        <w:pStyle w:val="ParNoG"/>
        <w:tabs>
          <w:tab w:val="clear" w:pos="1701"/>
        </w:tabs>
      </w:pPr>
      <w:r>
        <w:rPr>
          <w:lang w:val="fr-FR"/>
        </w:rPr>
        <w:t>En vertu du paragraphe 3 </w:t>
      </w:r>
      <w:r w:rsidRPr="006643C8">
        <w:rPr>
          <w:lang w:val="fr-FR"/>
        </w:rPr>
        <w:t>a) de l</w:t>
      </w:r>
      <w:r>
        <w:rPr>
          <w:lang w:val="fr-FR"/>
        </w:rPr>
        <w:t>’article </w:t>
      </w:r>
      <w:r w:rsidRPr="006643C8">
        <w:rPr>
          <w:lang w:val="fr-FR"/>
        </w:rPr>
        <w:t>2 du Pacte, l</w:t>
      </w:r>
      <w:r>
        <w:rPr>
          <w:lang w:val="fr-FR"/>
        </w:rPr>
        <w:t>’</w:t>
      </w:r>
      <w:r w:rsidRPr="006643C8">
        <w:rPr>
          <w:lang w:val="fr-FR"/>
        </w:rPr>
        <w:t>État partie est tenu d</w:t>
      </w:r>
      <w:r>
        <w:rPr>
          <w:lang w:val="fr-FR"/>
        </w:rPr>
        <w:t>’</w:t>
      </w:r>
      <w:r w:rsidRPr="006643C8">
        <w:rPr>
          <w:lang w:val="fr-FR"/>
        </w:rPr>
        <w:t>assurer à l</w:t>
      </w:r>
      <w:r>
        <w:rPr>
          <w:lang w:val="fr-FR"/>
        </w:rPr>
        <w:t>’</w:t>
      </w:r>
      <w:r w:rsidRPr="006643C8">
        <w:rPr>
          <w:lang w:val="fr-FR"/>
        </w:rPr>
        <w:t>auteur un recours utile, notamment sous la forme d</w:t>
      </w:r>
      <w:r>
        <w:rPr>
          <w:lang w:val="fr-FR"/>
        </w:rPr>
        <w:t>’</w:t>
      </w:r>
      <w:r w:rsidRPr="006643C8">
        <w:rPr>
          <w:lang w:val="fr-FR"/>
        </w:rPr>
        <w:t>une indemnisation</w:t>
      </w:r>
      <w:r>
        <w:rPr>
          <w:lang w:val="fr-FR"/>
        </w:rPr>
        <w:t xml:space="preserve"> appropriée.</w:t>
      </w:r>
      <w:r w:rsidRPr="005B6C2F">
        <w:t xml:space="preserve"> </w:t>
      </w:r>
      <w:r w:rsidRPr="006643C8">
        <w:rPr>
          <w:lang w:val="fr-FR"/>
        </w:rPr>
        <w:t>L</w:t>
      </w:r>
      <w:r>
        <w:rPr>
          <w:lang w:val="fr-FR"/>
        </w:rPr>
        <w:t>’</w:t>
      </w:r>
      <w:r w:rsidRPr="006643C8">
        <w:rPr>
          <w:lang w:val="fr-FR"/>
        </w:rPr>
        <w:t>État partie est en outre tenu de veiller à ce que des violations analogues ne se reproduisent pas.</w:t>
      </w:r>
    </w:p>
    <w:p w:rsidR="009F0CE2" w:rsidRDefault="009F0CE2" w:rsidP="009F0CE2">
      <w:pPr>
        <w:pStyle w:val="ParNoG"/>
        <w:tabs>
          <w:tab w:val="clear" w:pos="1701"/>
        </w:tabs>
      </w:pPr>
      <w:r w:rsidRPr="004631E1">
        <w:t>Étant donné qu</w:t>
      </w:r>
      <w:r>
        <w:t>’</w:t>
      </w:r>
      <w:r w:rsidRPr="004631E1">
        <w:t>en adhérant au Protocole facultatif l</w:t>
      </w:r>
      <w:r>
        <w:t>’</w:t>
      </w:r>
      <w:r w:rsidRPr="004631E1">
        <w:t>État partie a reconnu que le</w:t>
      </w:r>
      <w:r w:rsidR="00EA69E6">
        <w:t> </w:t>
      </w:r>
      <w:r w:rsidRPr="004631E1">
        <w:t>Comité avait compétence pour déterminer s</w:t>
      </w:r>
      <w:r>
        <w:t>’</w:t>
      </w:r>
      <w:r w:rsidRPr="004631E1">
        <w:t>il y avait eu ou non violation du Pacte et que, conform</w:t>
      </w:r>
      <w:r>
        <w:t>ément à l’article 2 du Pacte, il</w:t>
      </w:r>
      <w:r w:rsidRPr="004631E1">
        <w:t xml:space="preserve"> s</w:t>
      </w:r>
      <w:r>
        <w:t>’</w:t>
      </w:r>
      <w:r w:rsidRPr="004631E1">
        <w:t>est engagé à garantir à tous les individus se trouvant sur son territoire ou relevant de sa juridiction les droits reconnus dans le Pacte et à</w:t>
      </w:r>
      <w:r w:rsidR="00EA69E6">
        <w:t> </w:t>
      </w:r>
      <w:r w:rsidRPr="004631E1">
        <w:t>assurer un recours utile et exécutoire lorsqu</w:t>
      </w:r>
      <w:r>
        <w:t>’</w:t>
      </w:r>
      <w:r w:rsidRPr="004631E1">
        <w:t>une violation a été établie, le Comité souhaite recevoir de l</w:t>
      </w:r>
      <w:r>
        <w:t>’</w:t>
      </w:r>
      <w:r w:rsidRPr="004631E1">
        <w:t xml:space="preserve">État partie, dans un délai de cent quatre-vingts jours, des renseignements sur les mesures prises pour donner effet à ses constatations. </w:t>
      </w:r>
      <w:r w:rsidRPr="00CE5643">
        <w:rPr>
          <w:lang w:val="fr-FR"/>
        </w:rPr>
        <w:t>L</w:t>
      </w:r>
      <w:r>
        <w:rPr>
          <w:lang w:val="fr-FR"/>
        </w:rPr>
        <w:t>’</w:t>
      </w:r>
      <w:r w:rsidRPr="00CE5643">
        <w:rPr>
          <w:lang w:val="fr-FR"/>
        </w:rPr>
        <w:t>État partie est invité en outre à rendre publiques les présentes constatations et à les diffuser largement dans la langue officielle.</w:t>
      </w:r>
    </w:p>
    <w:p w:rsidR="009F0CE2" w:rsidRDefault="009F0CE2" w:rsidP="009F0CE2">
      <w:pPr>
        <w:pStyle w:val="SingleTxtG"/>
        <w:rPr>
          <w:lang w:val="fr-FR"/>
        </w:rPr>
      </w:pPr>
      <w:r w:rsidRPr="00271242">
        <w:rPr>
          <w:lang w:val="fr-FR"/>
        </w:rPr>
        <w:t>[Adopté en anglais (version originale), en espagnol et en français. Paraîtra ultérieurement en arabe, en chinois et en russe dans le rapport annuel du Comité à l</w:t>
      </w:r>
      <w:r>
        <w:rPr>
          <w:lang w:val="fr-FR"/>
        </w:rPr>
        <w:t>’</w:t>
      </w:r>
      <w:r w:rsidRPr="00271242">
        <w:rPr>
          <w:lang w:val="fr-FR"/>
        </w:rPr>
        <w:t>Assemblée générale.]</w:t>
      </w:r>
    </w:p>
    <w:p w:rsidR="00E849E1" w:rsidRPr="009F0CE2" w:rsidRDefault="009F0CE2" w:rsidP="009F0CE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849E1" w:rsidRPr="009F0CE2" w:rsidSect="00210D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DE" w:rsidRDefault="005B69DE"/>
  </w:endnote>
  <w:endnote w:type="continuationSeparator" w:id="0">
    <w:p w:rsidR="005B69DE" w:rsidRDefault="005B69DE"/>
  </w:endnote>
  <w:endnote w:type="continuationNotice" w:id="1">
    <w:p w:rsidR="005B69DE" w:rsidRPr="001252D7" w:rsidRDefault="005B69DE" w:rsidP="001252D7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ED" w:rsidRPr="00210DED" w:rsidRDefault="00210DED" w:rsidP="00210DED">
    <w:pPr>
      <w:pStyle w:val="Footer"/>
      <w:tabs>
        <w:tab w:val="right" w:pos="9638"/>
      </w:tabs>
    </w:pPr>
    <w:r w:rsidRPr="00210DED">
      <w:rPr>
        <w:b/>
        <w:sz w:val="18"/>
      </w:rPr>
      <w:fldChar w:fldCharType="begin"/>
    </w:r>
    <w:r w:rsidRPr="00210DED">
      <w:rPr>
        <w:b/>
        <w:sz w:val="18"/>
      </w:rPr>
      <w:instrText xml:space="preserve"> PAGE  \* MERGEFORMAT </w:instrText>
    </w:r>
    <w:r w:rsidRPr="00210DED">
      <w:rPr>
        <w:b/>
        <w:sz w:val="18"/>
      </w:rPr>
      <w:fldChar w:fldCharType="separate"/>
    </w:r>
    <w:r w:rsidR="005C4BAC">
      <w:rPr>
        <w:b/>
        <w:noProof/>
        <w:sz w:val="18"/>
      </w:rPr>
      <w:t>2</w:t>
    </w:r>
    <w:r w:rsidRPr="00210DED">
      <w:rPr>
        <w:b/>
        <w:sz w:val="18"/>
      </w:rPr>
      <w:fldChar w:fldCharType="end"/>
    </w:r>
    <w:r>
      <w:rPr>
        <w:b/>
        <w:sz w:val="18"/>
      </w:rPr>
      <w:tab/>
    </w:r>
    <w:r>
      <w:t>GE.13-49308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ED" w:rsidRPr="00210DED" w:rsidRDefault="00210DED" w:rsidP="00210DED">
    <w:pPr>
      <w:pStyle w:val="Footer"/>
      <w:tabs>
        <w:tab w:val="right" w:pos="9638"/>
      </w:tabs>
      <w:rPr>
        <w:b/>
        <w:sz w:val="18"/>
      </w:rPr>
    </w:pPr>
    <w:r>
      <w:t>GE.13-49308</w:t>
    </w:r>
    <w:r>
      <w:tab/>
    </w:r>
    <w:r w:rsidRPr="00210DED">
      <w:rPr>
        <w:b/>
        <w:sz w:val="18"/>
      </w:rPr>
      <w:fldChar w:fldCharType="begin"/>
    </w:r>
    <w:r w:rsidRPr="00210DED">
      <w:rPr>
        <w:b/>
        <w:sz w:val="18"/>
      </w:rPr>
      <w:instrText xml:space="preserve"> PAGE  \* MERGEFORMAT </w:instrText>
    </w:r>
    <w:r w:rsidRPr="00210DED">
      <w:rPr>
        <w:b/>
        <w:sz w:val="18"/>
      </w:rPr>
      <w:fldChar w:fldCharType="separate"/>
    </w:r>
    <w:r w:rsidR="005C4BAC">
      <w:rPr>
        <w:b/>
        <w:noProof/>
        <w:sz w:val="18"/>
      </w:rPr>
      <w:t>3</w:t>
    </w:r>
    <w:r w:rsidRPr="00210DED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A6" w:rsidRDefault="00210DED" w:rsidP="00210DED">
    <w:pPr>
      <w:pStyle w:val="Footer"/>
      <w:spacing w:before="120"/>
    </w:pPr>
    <w:r>
      <w:rPr>
        <w:sz w:val="20"/>
      </w:rPr>
      <w:t>GE.13-49308</w:t>
    </w:r>
    <w:r w:rsidR="002B6BA6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6.95pt;height:18.35pt;z-index:1;mso-position-horizontal-relative:margin;mso-position-vertical-relative:margin">
          <v:imagedata r:id="rId1" o:title="recycle_French"/>
          <w10:wrap anchorx="margin" anchory="margin"/>
        </v:shape>
      </w:pict>
    </w:r>
    <w:r>
      <w:rPr>
        <w:sz w:val="20"/>
      </w:rPr>
      <w:t xml:space="preserve">  (F)</w:t>
    </w:r>
    <w:r w:rsidR="00E411E2">
      <w:rPr>
        <w:sz w:val="20"/>
      </w:rPr>
      <w:t xml:space="preserve">    111213    121213</w:t>
    </w:r>
    <w:r>
      <w:rPr>
        <w:sz w:val="20"/>
      </w:rPr>
      <w:br/>
    </w:r>
    <w:r w:rsidRPr="00210DED">
      <w:rPr>
        <w:rFonts w:ascii="C39T30Lfz" w:hAnsi="C39T30Lfz"/>
        <w:sz w:val="56"/>
      </w:rPr>
      <w:t></w:t>
    </w:r>
    <w:r w:rsidRPr="00210DED">
      <w:rPr>
        <w:rFonts w:ascii="C39T30Lfz" w:hAnsi="C39T30Lfz"/>
        <w:sz w:val="56"/>
      </w:rPr>
      <w:t></w:t>
    </w:r>
    <w:r w:rsidRPr="00210DED">
      <w:rPr>
        <w:rFonts w:ascii="C39T30Lfz" w:hAnsi="C39T30Lfz"/>
        <w:sz w:val="56"/>
      </w:rPr>
      <w:t></w:t>
    </w:r>
    <w:r w:rsidRPr="00210DED">
      <w:rPr>
        <w:rFonts w:ascii="C39T30Lfz" w:hAnsi="C39T30Lfz"/>
        <w:sz w:val="56"/>
      </w:rPr>
      <w:t></w:t>
    </w:r>
    <w:r w:rsidRPr="00210DED">
      <w:rPr>
        <w:rFonts w:ascii="C39T30Lfz" w:hAnsi="C39T30Lfz"/>
        <w:sz w:val="56"/>
      </w:rPr>
      <w:t></w:t>
    </w:r>
    <w:r w:rsidRPr="00210DED">
      <w:rPr>
        <w:rFonts w:ascii="C39T30Lfz" w:hAnsi="C39T30Lfz"/>
        <w:sz w:val="56"/>
      </w:rPr>
      <w:t></w:t>
    </w:r>
    <w:r w:rsidRPr="00210DED">
      <w:rPr>
        <w:rFonts w:ascii="C39T30Lfz" w:hAnsi="C39T30Lfz"/>
        <w:sz w:val="56"/>
      </w:rPr>
      <w:t></w:t>
    </w:r>
    <w:r w:rsidRPr="00210DED">
      <w:rPr>
        <w:rFonts w:ascii="C39T30Lfz" w:hAnsi="C39T30Lfz"/>
        <w:sz w:val="56"/>
      </w:rPr>
      <w:t></w:t>
    </w:r>
    <w:r w:rsidRPr="00210DED">
      <w:rPr>
        <w:rFonts w:ascii="C39T30Lfz" w:hAnsi="C39T30Lfz"/>
        <w:sz w:val="56"/>
      </w:rPr>
      <w:t></w:t>
    </w:r>
    <w:r>
      <w:rPr>
        <w:noProof/>
        <w:lang w:val="fr-FR" w:eastAsia="fr-FR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2008&amp;Size=2&amp;Lang=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DE" w:rsidRPr="00D27D5E" w:rsidRDefault="005B69D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69DE" w:rsidRDefault="005B69DE" w:rsidP="00C84D9A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Notice" w:id="1">
    <w:p w:rsidR="005B69DE" w:rsidRPr="001252D7" w:rsidRDefault="005B69DE" w:rsidP="001252D7">
      <w:pPr>
        <w:spacing w:line="240" w:lineRule="auto"/>
        <w:rPr>
          <w:sz w:val="2"/>
          <w:szCs w:val="2"/>
        </w:rPr>
      </w:pPr>
    </w:p>
  </w:footnote>
  <w:footnote w:id="2">
    <w:p w:rsidR="002B6BA6" w:rsidRPr="005D29C8" w:rsidRDefault="002B6BA6" w:rsidP="001252D7">
      <w:pPr>
        <w:pStyle w:val="FootnoteText"/>
      </w:pPr>
      <w:r>
        <w:tab/>
      </w:r>
      <w:r w:rsidRPr="005D29C8">
        <w:rPr>
          <w:rStyle w:val="FootnoteReference"/>
          <w:sz w:val="20"/>
          <w:vertAlign w:val="baseline"/>
        </w:rPr>
        <w:t>*</w:t>
      </w:r>
      <w:r>
        <w:tab/>
        <w:t>Les membres du Comité dont le nom suit ont participé à l’examen de la communication:</w:t>
      </w:r>
      <w:r w:rsidR="000D75B9">
        <w:t xml:space="preserve"> </w:t>
      </w:r>
      <w:r w:rsidR="000D75B9" w:rsidRPr="005F622A">
        <w:rPr>
          <w:szCs w:val="18"/>
        </w:rPr>
        <w:t xml:space="preserve">M. Yadh Ben Achour, </w:t>
      </w:r>
      <w:r w:rsidR="000D75B9" w:rsidRPr="005F622A">
        <w:rPr>
          <w:bCs/>
          <w:szCs w:val="18"/>
        </w:rPr>
        <w:t>M. Ahmad Amin Fathalla, M. Kheshoe Parsad Matadeen</w:t>
      </w:r>
      <w:r w:rsidR="000D75B9" w:rsidRPr="005F622A">
        <w:rPr>
          <w:bCs/>
          <w:szCs w:val="18"/>
          <w:lang w:val="en-US"/>
        </w:rPr>
        <w:t xml:space="preserve">, </w:t>
      </w:r>
      <w:r w:rsidR="000D75B9" w:rsidRPr="005F622A">
        <w:rPr>
          <w:bCs/>
          <w:szCs w:val="18"/>
        </w:rPr>
        <w:t xml:space="preserve">Sir Nigel Rodley, </w:t>
      </w:r>
      <w:r w:rsidR="000D75B9" w:rsidRPr="005F622A">
        <w:rPr>
          <w:bCs/>
          <w:szCs w:val="18"/>
          <w:lang w:val="en-US"/>
        </w:rPr>
        <w:t>M. Fabián Omar Salvioli, M. Yuval Shany,</w:t>
      </w:r>
      <w:r w:rsidR="000D75B9">
        <w:rPr>
          <w:bCs/>
          <w:szCs w:val="18"/>
          <w:lang w:val="en-US"/>
        </w:rPr>
        <w:t xml:space="preserve"> </w:t>
      </w:r>
      <w:r w:rsidR="000D75B9" w:rsidRPr="005F622A">
        <w:rPr>
          <w:bCs/>
          <w:szCs w:val="18"/>
          <w:lang w:val="en-US"/>
        </w:rPr>
        <w:t>M. Konstantine Vardzelashvili</w:t>
      </w:r>
      <w:r w:rsidR="000D75B9">
        <w:rPr>
          <w:bCs/>
          <w:szCs w:val="18"/>
          <w:lang w:val="en-US"/>
        </w:rPr>
        <w:t xml:space="preserve">, </w:t>
      </w:r>
      <w:r w:rsidR="000D75B9">
        <w:t xml:space="preserve">M. Lazhari Bouzid, </w:t>
      </w:r>
      <w:r w:rsidR="000D75B9">
        <w:rPr>
          <w:bCs/>
          <w:szCs w:val="18"/>
        </w:rPr>
        <w:t>M. Walter Kälin, M. Yuji Iwasawa,</w:t>
      </w:r>
      <w:r w:rsidR="000D75B9">
        <w:t xml:space="preserve"> M. Cornelis Flinterman, M</w:t>
      </w:r>
      <w:r w:rsidR="000D75B9" w:rsidRPr="00D91DA2">
        <w:rPr>
          <w:vertAlign w:val="superscript"/>
        </w:rPr>
        <w:t>me</w:t>
      </w:r>
      <w:r w:rsidR="000D75B9">
        <w:t> Zonke Zanele Majodina, M. Gerald L. Neuman, M. Victor Manuel Rodríguez-Rescia, M</w:t>
      </w:r>
      <w:r w:rsidR="000D75B9" w:rsidRPr="00D91DA2">
        <w:rPr>
          <w:vertAlign w:val="superscript"/>
        </w:rPr>
        <w:t>me</w:t>
      </w:r>
      <w:r w:rsidR="000D75B9">
        <w:t> Anja Seibert-Fohr et M</w:t>
      </w:r>
      <w:r w:rsidR="000D75B9" w:rsidRPr="00D91DA2">
        <w:rPr>
          <w:vertAlign w:val="superscript"/>
        </w:rPr>
        <w:t>me</w:t>
      </w:r>
      <w:r w:rsidR="000D75B9">
        <w:t> Margo Waterval.</w:t>
      </w:r>
    </w:p>
  </w:footnote>
  <w:footnote w:id="3">
    <w:p w:rsidR="009F0CE2" w:rsidRPr="00855F59" w:rsidRDefault="009F0CE2" w:rsidP="009F0CE2">
      <w:pPr>
        <w:pStyle w:val="FootnoteText"/>
        <w:rPr>
          <w:szCs w:val="18"/>
        </w:rPr>
      </w:pPr>
      <w:r w:rsidRPr="003F4773">
        <w:rPr>
          <w:sz w:val="22"/>
          <w:szCs w:val="22"/>
        </w:rPr>
        <w:tab/>
      </w:r>
      <w:r w:rsidRPr="00855F59">
        <w:rPr>
          <w:rStyle w:val="FootnoteReference"/>
        </w:rPr>
        <w:footnoteRef/>
      </w:r>
      <w:r w:rsidRPr="003F4773">
        <w:rPr>
          <w:sz w:val="22"/>
          <w:szCs w:val="22"/>
        </w:rPr>
        <w:tab/>
      </w:r>
      <w:r w:rsidRPr="00855F59">
        <w:rPr>
          <w:szCs w:val="18"/>
        </w:rPr>
        <w:t>Le Protocole facultatif est entré en vigueur pour la Fédération de Russie le 1</w:t>
      </w:r>
      <w:r w:rsidRPr="00855F59">
        <w:rPr>
          <w:szCs w:val="18"/>
          <w:vertAlign w:val="superscript"/>
        </w:rPr>
        <w:t>er</w:t>
      </w:r>
      <w:r>
        <w:rPr>
          <w:szCs w:val="18"/>
        </w:rPr>
        <w:t> </w:t>
      </w:r>
      <w:r w:rsidRPr="00855F59">
        <w:rPr>
          <w:szCs w:val="18"/>
        </w:rPr>
        <w:t>janvier 1992.</w:t>
      </w:r>
    </w:p>
  </w:footnote>
  <w:footnote w:id="4">
    <w:p w:rsidR="009F0CE2" w:rsidRPr="00855F59" w:rsidRDefault="009F0CE2" w:rsidP="009F0CE2">
      <w:pPr>
        <w:pStyle w:val="FootnoteText"/>
        <w:rPr>
          <w:szCs w:val="18"/>
        </w:rPr>
      </w:pPr>
      <w:r w:rsidRPr="003F4773">
        <w:rPr>
          <w:sz w:val="22"/>
          <w:szCs w:val="22"/>
        </w:rPr>
        <w:tab/>
      </w:r>
      <w:r w:rsidRPr="00855F59">
        <w:rPr>
          <w:rStyle w:val="FootnoteReference"/>
        </w:rPr>
        <w:footnoteRef/>
      </w:r>
      <w:r w:rsidRPr="003F4773">
        <w:rPr>
          <w:sz w:val="22"/>
          <w:szCs w:val="22"/>
        </w:rPr>
        <w:tab/>
      </w:r>
      <w:r w:rsidRPr="00855F59">
        <w:rPr>
          <w:szCs w:val="18"/>
        </w:rPr>
        <w:t>Il ressort de la décision de procédure de la Division criminelle du trib</w:t>
      </w:r>
      <w:r w:rsidR="00A71211">
        <w:rPr>
          <w:szCs w:val="18"/>
        </w:rPr>
        <w:t>unal régional de Saratov que la </w:t>
      </w:r>
      <w:r w:rsidRPr="00855F59">
        <w:rPr>
          <w:szCs w:val="18"/>
        </w:rPr>
        <w:t>requête de l</w:t>
      </w:r>
      <w:r>
        <w:rPr>
          <w:szCs w:val="18"/>
        </w:rPr>
        <w:t>’</w:t>
      </w:r>
      <w:r w:rsidRPr="00855F59">
        <w:rPr>
          <w:szCs w:val="18"/>
        </w:rPr>
        <w:t>auteur a</w:t>
      </w:r>
      <w:r>
        <w:rPr>
          <w:szCs w:val="18"/>
        </w:rPr>
        <w:t xml:space="preserve">vait reçu </w:t>
      </w:r>
      <w:r w:rsidRPr="00855F59">
        <w:rPr>
          <w:szCs w:val="18"/>
        </w:rPr>
        <w:t>l</w:t>
      </w:r>
      <w:r>
        <w:rPr>
          <w:szCs w:val="18"/>
        </w:rPr>
        <w:t>’</w:t>
      </w:r>
      <w:r w:rsidRPr="00855F59">
        <w:rPr>
          <w:szCs w:val="18"/>
        </w:rPr>
        <w:t>appui du ministère public.</w:t>
      </w:r>
    </w:p>
  </w:footnote>
  <w:footnote w:id="5">
    <w:p w:rsidR="009F0CE2" w:rsidRPr="003F4773" w:rsidRDefault="009F0CE2" w:rsidP="009F0CE2">
      <w:pPr>
        <w:pStyle w:val="FootnoteText"/>
      </w:pPr>
      <w:r w:rsidRPr="003F4773">
        <w:tab/>
      </w:r>
      <w:r w:rsidRPr="00855F59">
        <w:rPr>
          <w:rStyle w:val="FootnoteReference"/>
        </w:rPr>
        <w:footnoteRef/>
      </w:r>
      <w:r w:rsidRPr="003F4773">
        <w:tab/>
      </w:r>
      <w:r>
        <w:t>L’auteur renvoie au</w:t>
      </w:r>
      <w:r w:rsidRPr="003F4773">
        <w:t xml:space="preserve"> </w:t>
      </w:r>
      <w:r w:rsidRPr="00F93C79">
        <w:t xml:space="preserve">quatrième </w:t>
      </w:r>
      <w:r>
        <w:t>paragraphe de l’article 49 du Code de procédure pénale.</w:t>
      </w:r>
    </w:p>
  </w:footnote>
  <w:footnote w:id="6">
    <w:p w:rsidR="009F0CE2" w:rsidRPr="003F4773" w:rsidRDefault="000D75B9" w:rsidP="009F0CE2">
      <w:pPr>
        <w:pStyle w:val="FootnoteText"/>
      </w:pPr>
      <w:r>
        <w:tab/>
      </w:r>
      <w:r w:rsidR="009F0CE2" w:rsidRPr="00855F59">
        <w:rPr>
          <w:rStyle w:val="FootnoteReference"/>
        </w:rPr>
        <w:footnoteRef/>
      </w:r>
      <w:r>
        <w:tab/>
      </w:r>
      <w:r w:rsidR="009F0CE2" w:rsidRPr="003F4773">
        <w:t>Il ressort</w:t>
      </w:r>
      <w:r w:rsidR="009F0CE2">
        <w:t xml:space="preserve"> du compte rendu d’audience que</w:t>
      </w:r>
      <w:r w:rsidR="009F0CE2" w:rsidRPr="003F4773">
        <w:t xml:space="preserve"> la Division criminelle du tribunal régional de Saratov </w:t>
      </w:r>
      <w:r w:rsidR="009F0CE2">
        <w:t xml:space="preserve">n’était pas composée des mêmes membres </w:t>
      </w:r>
      <w:r w:rsidR="00A71211">
        <w:t>le 29 </w:t>
      </w:r>
      <w:r w:rsidR="009F0CE2" w:rsidRPr="003F4773">
        <w:t>août</w:t>
      </w:r>
      <w:r w:rsidR="009F0CE2">
        <w:t xml:space="preserve"> 2000 et</w:t>
      </w:r>
      <w:r w:rsidR="009F0CE2" w:rsidRPr="003F4773">
        <w:t xml:space="preserve"> </w:t>
      </w:r>
      <w:r w:rsidR="00A71211">
        <w:t>le 12 </w:t>
      </w:r>
      <w:r w:rsidR="009F0CE2">
        <w:t>mai 2000.</w:t>
      </w:r>
    </w:p>
  </w:footnote>
  <w:footnote w:id="7">
    <w:p w:rsidR="009F0CE2" w:rsidRPr="003F4773" w:rsidRDefault="009F0CE2" w:rsidP="009F0CE2">
      <w:pPr>
        <w:pStyle w:val="FootnoteText"/>
      </w:pPr>
      <w:r w:rsidRPr="003F4773">
        <w:tab/>
      </w:r>
      <w:r w:rsidRPr="00855F59">
        <w:rPr>
          <w:rStyle w:val="FootnoteReference"/>
        </w:rPr>
        <w:footnoteRef/>
      </w:r>
      <w:r w:rsidRPr="003F4773">
        <w:tab/>
      </w:r>
      <w:r>
        <w:t xml:space="preserve">Le </w:t>
      </w:r>
      <w:r w:rsidRPr="003F4773">
        <w:t>compte rendu d</w:t>
      </w:r>
      <w:r>
        <w:t>’</w:t>
      </w:r>
      <w:r w:rsidRPr="003F4773">
        <w:t>audienc</w:t>
      </w:r>
      <w:r>
        <w:t xml:space="preserve">e que l’auteur a soumis à titre de preuve confirme les </w:t>
      </w:r>
      <w:r w:rsidRPr="003F4773">
        <w:t xml:space="preserve">informations </w:t>
      </w:r>
      <w:r>
        <w:t>qui figure</w:t>
      </w:r>
      <w:r w:rsidRPr="003F4773">
        <w:t>nt dans ce paragraphe, notamment le fait que le tribunal de première instance ne s</w:t>
      </w:r>
      <w:r>
        <w:t>’</w:t>
      </w:r>
      <w:r w:rsidRPr="003F4773">
        <w:t>est jamais prononcé sur la requête</w:t>
      </w:r>
      <w:r>
        <w:t>.</w:t>
      </w:r>
    </w:p>
  </w:footnote>
  <w:footnote w:id="8">
    <w:p w:rsidR="009F0CE2" w:rsidRDefault="009F0CE2" w:rsidP="009F0CE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3F4773">
        <w:t>L</w:t>
      </w:r>
      <w:r>
        <w:t>’</w:t>
      </w:r>
      <w:r w:rsidRPr="003F4773">
        <w:t>Éta</w:t>
      </w:r>
      <w:r>
        <w:t>t partie soutient que, d’après c</w:t>
      </w:r>
      <w:r w:rsidRPr="003F4773">
        <w:t xml:space="preserve">e </w:t>
      </w:r>
      <w:r w:rsidRPr="0049609F">
        <w:t>calendrier</w:t>
      </w:r>
      <w:r>
        <w:t>, le 13 </w:t>
      </w:r>
      <w:r w:rsidRPr="003F4773">
        <w:t>juillet 2000, l</w:t>
      </w:r>
      <w:r>
        <w:t>’</w:t>
      </w:r>
      <w:r w:rsidRPr="003F4773">
        <w:t xml:space="preserve">auteur et son </w:t>
      </w:r>
      <w:r>
        <w:t>premier conseil ont</w:t>
      </w:r>
      <w:r w:rsidRPr="003F4773">
        <w:t xml:space="preserve"> examiné le volume</w:t>
      </w:r>
      <w:r>
        <w:t> 11</w:t>
      </w:r>
      <w:r w:rsidRPr="003F4773">
        <w:t xml:space="preserve"> du d</w:t>
      </w:r>
      <w:r>
        <w:t>ossier, que les</w:t>
      </w:r>
      <w:r w:rsidR="00AA2AEF">
        <w:t> </w:t>
      </w:r>
      <w:r>
        <w:t>20, 21 et 24 </w:t>
      </w:r>
      <w:r w:rsidRPr="003F4773">
        <w:t>juillet 2000, l</w:t>
      </w:r>
      <w:r>
        <w:t>’</w:t>
      </w:r>
      <w:r w:rsidRPr="003F4773">
        <w:t xml:space="preserve">auteur et son </w:t>
      </w:r>
      <w:r>
        <w:t>deuxième conseil</w:t>
      </w:r>
      <w:r w:rsidRPr="003F4773">
        <w:t xml:space="preserve"> ont examiné le</w:t>
      </w:r>
      <w:r>
        <w:t>s</w:t>
      </w:r>
      <w:r w:rsidRPr="003F4773">
        <w:t xml:space="preserve"> volume</w:t>
      </w:r>
      <w:r>
        <w:t>s 12</w:t>
      </w:r>
      <w:r w:rsidRPr="003F4773">
        <w:t>, 14 et</w:t>
      </w:r>
      <w:r w:rsidR="00AA2AEF">
        <w:t> </w:t>
      </w:r>
      <w:r w:rsidRPr="003F4773">
        <w:t>15 du dossier</w:t>
      </w:r>
      <w:r>
        <w:t>,</w:t>
      </w:r>
      <w:r w:rsidRPr="003F4773">
        <w:t xml:space="preserve"> </w:t>
      </w:r>
      <w:r>
        <w:t>ce que confirme la signature</w:t>
      </w:r>
      <w:r w:rsidRPr="003F4773">
        <w:t xml:space="preserve"> </w:t>
      </w:r>
      <w:r>
        <w:t>de l’auteur et de ses conseils.</w:t>
      </w:r>
      <w:r w:rsidRPr="003F4773">
        <w:t xml:space="preserve"> </w:t>
      </w:r>
      <w:r>
        <w:t>L’</w:t>
      </w:r>
      <w:r w:rsidRPr="003F4773">
        <w:t xml:space="preserve">État partie </w:t>
      </w:r>
      <w:r>
        <w:t xml:space="preserve">n’a pas soumis de copie du </w:t>
      </w:r>
      <w:r w:rsidRPr="0049609F">
        <w:t>calendrier</w:t>
      </w:r>
      <w:r>
        <w:t>.</w:t>
      </w:r>
    </w:p>
  </w:footnote>
  <w:footnote w:id="9">
    <w:p w:rsidR="009F0CE2" w:rsidRDefault="009F0CE2" w:rsidP="009F0CE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3F4773">
        <w:t>L</w:t>
      </w:r>
      <w:r>
        <w:t>’</w:t>
      </w:r>
      <w:r w:rsidRPr="003F4773">
        <w:t>État partie fait valoir que</w:t>
      </w:r>
      <w:r>
        <w:t xml:space="preserve"> l’auteur, les 26, 27, 28, 29 et 30 </w:t>
      </w:r>
      <w:r w:rsidRPr="003F4773">
        <w:t>juin</w:t>
      </w:r>
      <w:r>
        <w:t xml:space="preserve">, </w:t>
      </w:r>
      <w:r w:rsidRPr="003F4773">
        <w:t>a examiné 22</w:t>
      </w:r>
      <w:r>
        <w:t>,</w:t>
      </w:r>
      <w:r w:rsidRPr="003F4773">
        <w:t xml:space="preserve"> 9, 16 et 31</w:t>
      </w:r>
      <w:r>
        <w:t> pages respectivement</w:t>
      </w:r>
      <w:r w:rsidRPr="00855F59">
        <w:t xml:space="preserve"> </w:t>
      </w:r>
      <w:r>
        <w:t>et les</w:t>
      </w:r>
      <w:r w:rsidRPr="003F4773">
        <w:t xml:space="preserve"> quatre jours</w:t>
      </w:r>
      <w:r>
        <w:t xml:space="preserve"> suivants, 26,</w:t>
      </w:r>
      <w:r w:rsidRPr="003F4773">
        <w:t xml:space="preserve"> 68</w:t>
      </w:r>
      <w:r>
        <w:t>,</w:t>
      </w:r>
      <w:r w:rsidRPr="003F4773">
        <w:t xml:space="preserve"> 18 et 2 </w:t>
      </w:r>
      <w:r>
        <w:t>respectivement.</w:t>
      </w:r>
    </w:p>
  </w:footnote>
  <w:footnote w:id="10">
    <w:p w:rsidR="009F0CE2" w:rsidRDefault="009F0CE2" w:rsidP="009F0CE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B12912">
        <w:t xml:space="preserve">Observation générale </w:t>
      </w:r>
      <w:r w:rsidRPr="00C14D2A">
        <w:t>n</w:t>
      </w:r>
      <w:r w:rsidRPr="00C14D2A">
        <w:rPr>
          <w:vertAlign w:val="superscript"/>
        </w:rPr>
        <w:t>o</w:t>
      </w:r>
      <w:r>
        <w:t> </w:t>
      </w:r>
      <w:r w:rsidRPr="007A1A16">
        <w:t>32</w:t>
      </w:r>
      <w:r w:rsidRPr="00B12912">
        <w:t xml:space="preserve"> du Comité des droits de l</w:t>
      </w:r>
      <w:r>
        <w:t>’</w:t>
      </w:r>
      <w:r w:rsidRPr="00B12912">
        <w:t xml:space="preserve">homme sur le </w:t>
      </w:r>
      <w:r w:rsidRPr="00B12912" w:rsidDel="00F91D1B">
        <w:t>d</w:t>
      </w:r>
      <w:r w:rsidRPr="00B12912">
        <w:t>roit à l</w:t>
      </w:r>
      <w:r>
        <w:t>’</w:t>
      </w:r>
      <w:r w:rsidRPr="00B12912">
        <w:t xml:space="preserve">égalité devant les tribunaux et les cours de justice et à un procès équitable, par. 32, </w:t>
      </w:r>
      <w:r w:rsidRPr="00F91D1B">
        <w:rPr>
          <w:i/>
        </w:rPr>
        <w:t>Documents officiels de l’Assemblée générale, soixante-deuxième session, Supplément n° 40</w:t>
      </w:r>
      <w:r w:rsidR="00A71211">
        <w:t>, vol. I (A/62/40 (</w:t>
      </w:r>
      <w:r w:rsidR="00EA69E6">
        <w:t>v</w:t>
      </w:r>
      <w:r w:rsidR="00A71211">
        <w:t>ol. I)), annexe </w:t>
      </w:r>
      <w:r w:rsidRPr="00B12912">
        <w:t>VI.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ED" w:rsidRPr="00210DED" w:rsidRDefault="00210DED">
    <w:pPr>
      <w:pStyle w:val="Header"/>
    </w:pPr>
    <w:r>
      <w:t>CCPR/C/109/D/1795/2008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ED" w:rsidRPr="00210DED" w:rsidRDefault="00210DED" w:rsidP="00210DED">
    <w:pPr>
      <w:pStyle w:val="Header"/>
      <w:jc w:val="right"/>
    </w:pPr>
    <w:r>
      <w:t>CCPR/C/109/D/1795/2008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2"/>
  </w:num>
  <w:num w:numId="8">
    <w:abstractNumId w:val="1"/>
  </w:num>
  <w:num w:numId="9">
    <w:abstractNumId w:val="0"/>
  </w:num>
  <w:num w:numId="10">
    <w:abstractNumId w:val="0"/>
    <w:lvlOverride w:ilvl="0">
      <w:startOverride w:val="7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BA6"/>
    <w:rsid w:val="00016AC5"/>
    <w:rsid w:val="0004719E"/>
    <w:rsid w:val="00065ECB"/>
    <w:rsid w:val="0007545B"/>
    <w:rsid w:val="000830D2"/>
    <w:rsid w:val="000C461C"/>
    <w:rsid w:val="000D680E"/>
    <w:rsid w:val="000D75B9"/>
    <w:rsid w:val="000F41F2"/>
    <w:rsid w:val="001252D7"/>
    <w:rsid w:val="001472B7"/>
    <w:rsid w:val="00160540"/>
    <w:rsid w:val="00170070"/>
    <w:rsid w:val="00192EEB"/>
    <w:rsid w:val="001A20FB"/>
    <w:rsid w:val="001C16FD"/>
    <w:rsid w:val="001C4EEA"/>
    <w:rsid w:val="001E3FEB"/>
    <w:rsid w:val="001E4A02"/>
    <w:rsid w:val="001F4675"/>
    <w:rsid w:val="00210DED"/>
    <w:rsid w:val="00225E54"/>
    <w:rsid w:val="0024293A"/>
    <w:rsid w:val="0025063E"/>
    <w:rsid w:val="002659F1"/>
    <w:rsid w:val="00277892"/>
    <w:rsid w:val="00287E79"/>
    <w:rsid w:val="002928F9"/>
    <w:rsid w:val="002A5D07"/>
    <w:rsid w:val="002B2F34"/>
    <w:rsid w:val="002B6BA6"/>
    <w:rsid w:val="003016B7"/>
    <w:rsid w:val="003101C6"/>
    <w:rsid w:val="0031186B"/>
    <w:rsid w:val="00314737"/>
    <w:rsid w:val="00332F05"/>
    <w:rsid w:val="003374D4"/>
    <w:rsid w:val="0034214E"/>
    <w:rsid w:val="003515AA"/>
    <w:rsid w:val="0036726B"/>
    <w:rsid w:val="00374106"/>
    <w:rsid w:val="0038474B"/>
    <w:rsid w:val="00385399"/>
    <w:rsid w:val="003976D5"/>
    <w:rsid w:val="003A3CB4"/>
    <w:rsid w:val="003B4CBD"/>
    <w:rsid w:val="003B7C09"/>
    <w:rsid w:val="003C6783"/>
    <w:rsid w:val="003D6C68"/>
    <w:rsid w:val="003E67CD"/>
    <w:rsid w:val="003F5551"/>
    <w:rsid w:val="00410AD1"/>
    <w:rsid w:val="00414794"/>
    <w:rsid w:val="004159D0"/>
    <w:rsid w:val="00424FEB"/>
    <w:rsid w:val="004649A7"/>
    <w:rsid w:val="00475965"/>
    <w:rsid w:val="004811D3"/>
    <w:rsid w:val="00481EC5"/>
    <w:rsid w:val="004C52E8"/>
    <w:rsid w:val="004C777F"/>
    <w:rsid w:val="004F2C80"/>
    <w:rsid w:val="0052362E"/>
    <w:rsid w:val="00552A38"/>
    <w:rsid w:val="00571F41"/>
    <w:rsid w:val="00572B3F"/>
    <w:rsid w:val="005753C4"/>
    <w:rsid w:val="005B69DE"/>
    <w:rsid w:val="005C4BAC"/>
    <w:rsid w:val="005D29C8"/>
    <w:rsid w:val="005E5D1F"/>
    <w:rsid w:val="00612D48"/>
    <w:rsid w:val="00616B45"/>
    <w:rsid w:val="006312C9"/>
    <w:rsid w:val="00631953"/>
    <w:rsid w:val="00642728"/>
    <w:rsid w:val="006439EC"/>
    <w:rsid w:val="00644659"/>
    <w:rsid w:val="00663CB6"/>
    <w:rsid w:val="006B4590"/>
    <w:rsid w:val="006C340C"/>
    <w:rsid w:val="006F45AB"/>
    <w:rsid w:val="0070347C"/>
    <w:rsid w:val="00736E0B"/>
    <w:rsid w:val="00757D82"/>
    <w:rsid w:val="00765CD2"/>
    <w:rsid w:val="00782637"/>
    <w:rsid w:val="007B0586"/>
    <w:rsid w:val="007E7CC1"/>
    <w:rsid w:val="0081795A"/>
    <w:rsid w:val="00817A26"/>
    <w:rsid w:val="00844750"/>
    <w:rsid w:val="00875324"/>
    <w:rsid w:val="00886128"/>
    <w:rsid w:val="00886D12"/>
    <w:rsid w:val="008D20CB"/>
    <w:rsid w:val="008E7FAE"/>
    <w:rsid w:val="008F7C94"/>
    <w:rsid w:val="009033FB"/>
    <w:rsid w:val="00911BF7"/>
    <w:rsid w:val="009717AD"/>
    <w:rsid w:val="00977EC8"/>
    <w:rsid w:val="009A04DA"/>
    <w:rsid w:val="009B4252"/>
    <w:rsid w:val="009D3A8C"/>
    <w:rsid w:val="009E7956"/>
    <w:rsid w:val="009F0CE2"/>
    <w:rsid w:val="009F7F79"/>
    <w:rsid w:val="00A149D1"/>
    <w:rsid w:val="00A2492E"/>
    <w:rsid w:val="00A71211"/>
    <w:rsid w:val="00A85799"/>
    <w:rsid w:val="00AA2AEF"/>
    <w:rsid w:val="00AC2A67"/>
    <w:rsid w:val="00AC7977"/>
    <w:rsid w:val="00AD41FE"/>
    <w:rsid w:val="00AE352C"/>
    <w:rsid w:val="00B00515"/>
    <w:rsid w:val="00B153ED"/>
    <w:rsid w:val="00B17B31"/>
    <w:rsid w:val="00B22B0B"/>
    <w:rsid w:val="00B32E2D"/>
    <w:rsid w:val="00B510C0"/>
    <w:rsid w:val="00B57784"/>
    <w:rsid w:val="00B61990"/>
    <w:rsid w:val="00B77F7F"/>
    <w:rsid w:val="00B955CB"/>
    <w:rsid w:val="00BA405E"/>
    <w:rsid w:val="00BB6E96"/>
    <w:rsid w:val="00BD58B2"/>
    <w:rsid w:val="00BF0556"/>
    <w:rsid w:val="00C17857"/>
    <w:rsid w:val="00C261F8"/>
    <w:rsid w:val="00C475CA"/>
    <w:rsid w:val="00C84D9A"/>
    <w:rsid w:val="00CB2BAF"/>
    <w:rsid w:val="00CC207F"/>
    <w:rsid w:val="00CC25DC"/>
    <w:rsid w:val="00CD1A71"/>
    <w:rsid w:val="00CD1FBB"/>
    <w:rsid w:val="00CE345B"/>
    <w:rsid w:val="00D016B5"/>
    <w:rsid w:val="00D034F1"/>
    <w:rsid w:val="00D27D5E"/>
    <w:rsid w:val="00D43288"/>
    <w:rsid w:val="00D652C8"/>
    <w:rsid w:val="00D77E85"/>
    <w:rsid w:val="00D80BC5"/>
    <w:rsid w:val="00DB681C"/>
    <w:rsid w:val="00DC2F07"/>
    <w:rsid w:val="00DE3E9A"/>
    <w:rsid w:val="00DE6D90"/>
    <w:rsid w:val="00DF002F"/>
    <w:rsid w:val="00DF5248"/>
    <w:rsid w:val="00DF5D80"/>
    <w:rsid w:val="00E0244D"/>
    <w:rsid w:val="00E02B22"/>
    <w:rsid w:val="00E411E2"/>
    <w:rsid w:val="00E50BEB"/>
    <w:rsid w:val="00E5485D"/>
    <w:rsid w:val="00E65FF7"/>
    <w:rsid w:val="00E81E94"/>
    <w:rsid w:val="00E82607"/>
    <w:rsid w:val="00E849E1"/>
    <w:rsid w:val="00EA5BC9"/>
    <w:rsid w:val="00EA69E6"/>
    <w:rsid w:val="00EB3164"/>
    <w:rsid w:val="00EC181F"/>
    <w:rsid w:val="00EC6E49"/>
    <w:rsid w:val="00F41030"/>
    <w:rsid w:val="00FA5A79"/>
    <w:rsid w:val="00FB0BFE"/>
    <w:rsid w:val="00FB40E3"/>
    <w:rsid w:val="00FB439B"/>
    <w:rsid w:val="00FB4C51"/>
    <w:rsid w:val="00FD511F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E54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25E5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25E54"/>
    <w:pPr>
      <w:outlineLvl w:val="1"/>
    </w:pPr>
  </w:style>
  <w:style w:type="paragraph" w:styleId="Heading3">
    <w:name w:val="heading 3"/>
    <w:basedOn w:val="Normal"/>
    <w:next w:val="Normal"/>
    <w:qFormat/>
    <w:rsid w:val="00225E54"/>
    <w:pPr>
      <w:outlineLvl w:val="2"/>
    </w:pPr>
  </w:style>
  <w:style w:type="paragraph" w:styleId="Heading4">
    <w:name w:val="heading 4"/>
    <w:basedOn w:val="Normal"/>
    <w:next w:val="Normal"/>
    <w:qFormat/>
    <w:rsid w:val="00225E54"/>
    <w:pPr>
      <w:outlineLvl w:val="3"/>
    </w:pPr>
  </w:style>
  <w:style w:type="paragraph" w:styleId="Heading5">
    <w:name w:val="heading 5"/>
    <w:basedOn w:val="Normal"/>
    <w:next w:val="Normal"/>
    <w:qFormat/>
    <w:rsid w:val="00225E54"/>
    <w:pPr>
      <w:outlineLvl w:val="4"/>
    </w:pPr>
  </w:style>
  <w:style w:type="paragraph" w:styleId="Heading6">
    <w:name w:val="heading 6"/>
    <w:basedOn w:val="Normal"/>
    <w:next w:val="Normal"/>
    <w:qFormat/>
    <w:rsid w:val="00225E54"/>
    <w:pPr>
      <w:outlineLvl w:val="5"/>
    </w:pPr>
  </w:style>
  <w:style w:type="paragraph" w:styleId="Heading7">
    <w:name w:val="heading 7"/>
    <w:basedOn w:val="Normal"/>
    <w:next w:val="Normal"/>
    <w:qFormat/>
    <w:rsid w:val="00225E54"/>
    <w:pPr>
      <w:outlineLvl w:val="6"/>
    </w:pPr>
  </w:style>
  <w:style w:type="paragraph" w:styleId="Heading8">
    <w:name w:val="heading 8"/>
    <w:basedOn w:val="Normal"/>
    <w:next w:val="Normal"/>
    <w:qFormat/>
    <w:rsid w:val="00225E54"/>
    <w:pPr>
      <w:outlineLvl w:val="7"/>
    </w:pPr>
  </w:style>
  <w:style w:type="paragraph" w:styleId="Heading9">
    <w:name w:val="heading 9"/>
    <w:basedOn w:val="Normal"/>
    <w:next w:val="Normal"/>
    <w:qFormat/>
    <w:rsid w:val="00225E54"/>
    <w:pPr>
      <w:outlineLvl w:val="8"/>
    </w:pPr>
  </w:style>
  <w:style w:type="character" w:default="1" w:styleId="DefaultParagraphFont">
    <w:name w:val="Default Paragraph Font"/>
    <w:semiHidden/>
    <w:rsid w:val="00225E5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25E54"/>
  </w:style>
  <w:style w:type="paragraph" w:customStyle="1" w:styleId="HMG">
    <w:name w:val="_ H __M_G"/>
    <w:basedOn w:val="Normal"/>
    <w:next w:val="Normal"/>
    <w:rsid w:val="00225E5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225E5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225E5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225E5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225E5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225E5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225E5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225E5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225E5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225E5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225E5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225E54"/>
    <w:pPr>
      <w:numPr>
        <w:numId w:val="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225E54"/>
    <w:pPr>
      <w:numPr>
        <w:numId w:val="8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225E5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225E54"/>
  </w:style>
  <w:style w:type="paragraph" w:styleId="FootnoteText">
    <w:name w:val="footnote text"/>
    <w:aliases w:val="5_G"/>
    <w:basedOn w:val="Normal"/>
    <w:rsid w:val="00225E5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225E54"/>
  </w:style>
  <w:style w:type="character" w:styleId="PageNumber">
    <w:name w:val="page number"/>
    <w:aliases w:val="7_G"/>
    <w:basedOn w:val="DefaultParagraphFont"/>
    <w:rsid w:val="00225E54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225E54"/>
    <w:pPr>
      <w:spacing w:line="240" w:lineRule="auto"/>
    </w:pPr>
    <w:rPr>
      <w:sz w:val="16"/>
    </w:rPr>
  </w:style>
  <w:style w:type="paragraph" w:customStyle="1" w:styleId="ParNoG">
    <w:name w:val="_ParNo_G"/>
    <w:basedOn w:val="SingleTxtG"/>
    <w:rsid w:val="001C16FD"/>
    <w:pPr>
      <w:numPr>
        <w:numId w:val="9"/>
      </w:numPr>
    </w:pPr>
  </w:style>
  <w:style w:type="paragraph" w:styleId="Header">
    <w:name w:val="header"/>
    <w:aliases w:val="6_G"/>
    <w:basedOn w:val="Normal"/>
    <w:next w:val="Normal"/>
    <w:rsid w:val="00225E5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225E5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225E5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225E54"/>
    <w:rPr>
      <w:color w:val="auto"/>
      <w:u w:val="none"/>
    </w:rPr>
  </w:style>
  <w:style w:type="character" w:customStyle="1" w:styleId="SingleTxtGChar">
    <w:name w:val="_ Single Txt_G Char"/>
    <w:link w:val="SingleTxtG"/>
    <w:locked/>
    <w:rsid w:val="009F0CE2"/>
    <w:rPr>
      <w:lang w:val="fr-CH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CCPR2.dot</Template>
  <TotalTime>0</TotalTime>
  <Pages>8</Pages>
  <Words>3789</Words>
  <Characters>19177</Characters>
  <Application>Microsoft Office Outlook</Application>
  <DocSecurity>4</DocSecurity>
  <Lines>330</Lines>
  <Paragraphs>103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CCPR/C/109/D/1795/2008</vt:lpstr>
    </vt:vector>
  </TitlesOfParts>
  <Company>CSD</Company>
  <LinksUpToDate>false</LinksUpToDate>
  <CharactersWithSpaces>22863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CCPR/C/109/D/1795/2008</dc:title>
  <dc:subject/>
  <dc:creator>e.bourion</dc:creator>
  <cp:keywords/>
  <dc:description/>
  <cp:lastModifiedBy>Bourion</cp:lastModifiedBy>
  <cp:revision>2</cp:revision>
  <cp:lastPrinted>2013-12-12T09:00:00Z</cp:lastPrinted>
  <dcterms:created xsi:type="dcterms:W3CDTF">2013-12-12T12:55:00Z</dcterms:created>
  <dcterms:modified xsi:type="dcterms:W3CDTF">2013-12-12T12:55:00Z</dcterms:modified>
</cp:coreProperties>
</file>