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42BBD" w:rsidP="00C42BBD">
            <w:pPr>
              <w:bidi w:val="0"/>
              <w:spacing w:after="20"/>
              <w:jc w:val="left"/>
              <w:rPr>
                <w:szCs w:val="20"/>
              </w:rPr>
            </w:pPr>
            <w:r w:rsidRPr="00C42BBD">
              <w:rPr>
                <w:sz w:val="40"/>
                <w:szCs w:val="20"/>
              </w:rPr>
              <w:t>CCPR</w:t>
            </w:r>
            <w:r>
              <w:rPr>
                <w:szCs w:val="20"/>
              </w:rPr>
              <w:t>/C/109/D/1910/2009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42BBD" w:rsidRDefault="00C42BBD" w:rsidP="00C42BBD">
            <w:pPr>
              <w:bidi w:val="0"/>
              <w:spacing w:before="240"/>
              <w:jc w:val="left"/>
            </w:pPr>
            <w:r>
              <w:t>Distr.: General</w:t>
            </w:r>
          </w:p>
          <w:p w:rsidR="00C42BBD" w:rsidRDefault="00C42BBD" w:rsidP="00C42BBD">
            <w:pPr>
              <w:bidi w:val="0"/>
              <w:jc w:val="left"/>
            </w:pPr>
            <w:r>
              <w:t>2 December 2013</w:t>
            </w:r>
          </w:p>
          <w:p w:rsidR="00C42BBD" w:rsidRDefault="00C42BBD" w:rsidP="00C42BBD">
            <w:pPr>
              <w:bidi w:val="0"/>
              <w:jc w:val="left"/>
            </w:pPr>
            <w:r>
              <w:t>Arabic</w:t>
            </w:r>
          </w:p>
          <w:p w:rsidR="00257225" w:rsidRPr="008B4BC6" w:rsidRDefault="00C42BBD" w:rsidP="00C42BBD">
            <w:pPr>
              <w:bidi w:val="0"/>
              <w:jc w:val="left"/>
            </w:pPr>
            <w:r>
              <w:t>Original: English</w:t>
            </w:r>
          </w:p>
        </w:tc>
      </w:tr>
    </w:tbl>
    <w:p w:rsidR="00D61C1B" w:rsidRPr="00D61C1B" w:rsidRDefault="00D61C1B" w:rsidP="00D61C1B">
      <w:pPr>
        <w:spacing w:before="120" w:line="380" w:lineRule="exact"/>
        <w:rPr>
          <w:rFonts w:hint="cs"/>
          <w:b/>
          <w:bCs/>
          <w:sz w:val="26"/>
          <w:szCs w:val="36"/>
          <w:rtl/>
          <w:lang w:bidi="ar-SY"/>
        </w:rPr>
      </w:pPr>
      <w:r w:rsidRPr="00D61C1B">
        <w:rPr>
          <w:rFonts w:hint="cs"/>
          <w:b/>
          <w:bCs/>
          <w:sz w:val="26"/>
          <w:szCs w:val="36"/>
          <w:rtl/>
          <w:lang w:bidi="ar-SY"/>
        </w:rPr>
        <w:t>اللجنة المعنية بحقوق الإنسان</w:t>
      </w:r>
    </w:p>
    <w:p w:rsidR="006B19DF" w:rsidRDefault="006B19DF" w:rsidP="00CC3EBC">
      <w:pPr>
        <w:pStyle w:val="HChGA"/>
        <w:rPr>
          <w:rFonts w:hint="cs"/>
          <w:rtl/>
          <w:lang w:bidi="ar-SY"/>
        </w:rPr>
      </w:pPr>
      <w:r>
        <w:rPr>
          <w:rFonts w:hint="cs"/>
          <w:rtl/>
          <w:lang w:bidi="ar-SY"/>
        </w:rPr>
        <w:tab/>
      </w:r>
      <w:r>
        <w:rPr>
          <w:rFonts w:hint="cs"/>
          <w:rtl/>
          <w:lang w:bidi="ar-SY"/>
        </w:rPr>
        <w:tab/>
        <w:t>البلاغ رقم 1910/2009</w:t>
      </w:r>
    </w:p>
    <w:p w:rsidR="00D61C1B" w:rsidRDefault="00D61C1B" w:rsidP="00CC3EBC">
      <w:pPr>
        <w:pStyle w:val="H1GA"/>
        <w:rPr>
          <w:rFonts w:hint="cs"/>
          <w:rtl/>
          <w:lang w:bidi="ar-SY"/>
        </w:rPr>
      </w:pPr>
      <w:r>
        <w:rPr>
          <w:rFonts w:hint="cs"/>
          <w:rtl/>
          <w:lang w:bidi="ar-SY"/>
        </w:rPr>
        <w:tab/>
      </w:r>
      <w:r>
        <w:rPr>
          <w:rFonts w:hint="cs"/>
          <w:rtl/>
          <w:lang w:bidi="ar-SY"/>
        </w:rPr>
        <w:tab/>
      </w:r>
      <w:r w:rsidRPr="00FA1F41">
        <w:rPr>
          <w:rFonts w:hint="cs"/>
          <w:rtl/>
          <w:lang w:bidi="ar-SY"/>
        </w:rPr>
        <w:t>آراء اعتمدتها اللجنة في دورتها التاسعة بعد المائة (14 تشرين الأول/أكتوبر -</w:t>
      </w:r>
      <w:r w:rsidR="00592A23">
        <w:rPr>
          <w:rFonts w:hint="cs"/>
          <w:rtl/>
          <w:lang w:bidi="ar-SY"/>
        </w:rPr>
        <w:t xml:space="preserve"> </w:t>
      </w:r>
      <w:r w:rsidRPr="00FA1F41">
        <w:rPr>
          <w:rFonts w:hint="cs"/>
          <w:rtl/>
          <w:lang w:bidi="ar-SY"/>
        </w:rPr>
        <w:t>1 تشرين الثاني/نوفمبر 2013)</w:t>
      </w:r>
    </w:p>
    <w:p w:rsidR="00A048F5" w:rsidRPr="002F680A" w:rsidRDefault="00A048F5" w:rsidP="00AA3D89">
      <w:pPr>
        <w:pStyle w:val="SingleTxtGA"/>
        <w:ind w:left="4649" w:hanging="2721"/>
        <w:rPr>
          <w:rtl/>
          <w:lang w:bidi="ar-SY"/>
        </w:rPr>
      </w:pPr>
      <w:r w:rsidRPr="002F680A">
        <w:rPr>
          <w:i/>
          <w:iCs/>
          <w:rtl/>
          <w:lang w:bidi="ar-SY"/>
        </w:rPr>
        <w:t>المقدم من:</w:t>
      </w:r>
      <w:r w:rsidR="00D50301">
        <w:rPr>
          <w:rFonts w:hint="cs"/>
          <w:i/>
          <w:iCs/>
          <w:rtl/>
          <w:lang w:bidi="ar-SY"/>
        </w:rPr>
        <w:tab/>
      </w:r>
      <w:r>
        <w:rPr>
          <w:rFonts w:hint="cs"/>
          <w:i/>
          <w:iCs/>
          <w:rtl/>
          <w:lang w:bidi="ar-SY"/>
        </w:rPr>
        <w:tab/>
      </w:r>
      <w:r>
        <w:rPr>
          <w:rFonts w:hint="cs"/>
          <w:i/>
          <w:iCs/>
          <w:rtl/>
          <w:lang w:bidi="ar-SY"/>
        </w:rPr>
        <w:tab/>
      </w:r>
      <w:proofErr w:type="spellStart"/>
      <w:r w:rsidRPr="002F680A">
        <w:rPr>
          <w:rtl/>
          <w:lang w:bidi="ar-SY"/>
        </w:rPr>
        <w:t>سفيتلانا</w:t>
      </w:r>
      <w:proofErr w:type="spellEnd"/>
      <w:r w:rsidR="008967CA">
        <w:rPr>
          <w:rtl/>
          <w:lang w:bidi="ar-SY"/>
        </w:rPr>
        <w:t xml:space="preserve"> جوك (تمثله</w:t>
      </w:r>
      <w:r w:rsidR="008967CA">
        <w:rPr>
          <w:rFonts w:hint="cs"/>
          <w:rtl/>
          <w:lang w:bidi="ar-SY"/>
        </w:rPr>
        <w:t>ا</w:t>
      </w:r>
      <w:r w:rsidRPr="002F680A">
        <w:rPr>
          <w:rtl/>
          <w:lang w:bidi="ar-SY"/>
        </w:rPr>
        <w:t xml:space="preserve"> المحامية </w:t>
      </w:r>
      <w:proofErr w:type="spellStart"/>
      <w:r w:rsidRPr="002F680A">
        <w:rPr>
          <w:rtl/>
          <w:lang w:bidi="ar-SY"/>
        </w:rPr>
        <w:t>رامان</w:t>
      </w:r>
      <w:proofErr w:type="spellEnd"/>
      <w:r w:rsidRPr="002F680A">
        <w:rPr>
          <w:rtl/>
          <w:lang w:bidi="ar-SY"/>
        </w:rPr>
        <w:t xml:space="preserve"> </w:t>
      </w:r>
      <w:proofErr w:type="spellStart"/>
      <w:r w:rsidRPr="002F680A">
        <w:rPr>
          <w:rtl/>
          <w:lang w:bidi="ar-SY"/>
        </w:rPr>
        <w:t>كيسيلياك</w:t>
      </w:r>
      <w:proofErr w:type="spellEnd"/>
      <w:r w:rsidRPr="002F680A">
        <w:rPr>
          <w:rtl/>
          <w:lang w:bidi="ar-SY"/>
        </w:rPr>
        <w:t>)</w:t>
      </w:r>
    </w:p>
    <w:p w:rsidR="00A048F5" w:rsidRPr="002F680A" w:rsidRDefault="00A048F5" w:rsidP="00AA3D89">
      <w:pPr>
        <w:pStyle w:val="SingleTxtGA"/>
        <w:ind w:left="4649" w:hanging="2721"/>
        <w:rPr>
          <w:rFonts w:hint="cs"/>
          <w:i/>
          <w:iCs/>
          <w:rtl/>
          <w:lang w:bidi="ar-SY"/>
        </w:rPr>
      </w:pPr>
      <w:r w:rsidRPr="002F680A">
        <w:rPr>
          <w:i/>
          <w:iCs/>
          <w:rtl/>
          <w:lang w:bidi="ar-SY"/>
        </w:rPr>
        <w:t>الشخص المدعي أنه ضحية:</w:t>
      </w:r>
      <w:r w:rsidR="00D50301">
        <w:rPr>
          <w:rFonts w:hint="cs"/>
          <w:rtl/>
          <w:lang w:bidi="ar-SY"/>
        </w:rPr>
        <w:tab/>
      </w:r>
      <w:r w:rsidRPr="002F680A">
        <w:rPr>
          <w:rtl/>
          <w:lang w:bidi="ar-SY"/>
        </w:rPr>
        <w:t>أندريه جوك (ابن صاحبة البلاغ</w:t>
      </w:r>
      <w:r w:rsidR="008967CA">
        <w:rPr>
          <w:rFonts w:hint="cs"/>
          <w:rtl/>
          <w:lang w:bidi="ar-SY"/>
        </w:rPr>
        <w:t>)</w:t>
      </w:r>
    </w:p>
    <w:p w:rsidR="00A048F5" w:rsidRPr="002F680A" w:rsidRDefault="00A048F5" w:rsidP="00AA3D89">
      <w:pPr>
        <w:pStyle w:val="SingleTxtGA"/>
        <w:ind w:left="4649" w:hanging="2721"/>
        <w:rPr>
          <w:rtl/>
          <w:lang w:bidi="ar-SY"/>
        </w:rPr>
      </w:pPr>
      <w:r w:rsidRPr="008967CA">
        <w:rPr>
          <w:i/>
          <w:iCs/>
          <w:rtl/>
          <w:lang w:bidi="ar-SY"/>
        </w:rPr>
        <w:t>الدولة الطرف:</w:t>
      </w:r>
      <w:r w:rsidRPr="002F680A">
        <w:rPr>
          <w:rtl/>
          <w:lang w:bidi="ar-SY"/>
        </w:rPr>
        <w:tab/>
      </w:r>
      <w:r w:rsidR="00D50301">
        <w:rPr>
          <w:rtl/>
          <w:lang w:bidi="ar-SY"/>
        </w:rPr>
        <w:tab/>
      </w:r>
      <w:r>
        <w:rPr>
          <w:rFonts w:hint="cs"/>
          <w:rtl/>
          <w:lang w:bidi="ar-SY"/>
        </w:rPr>
        <w:tab/>
      </w:r>
      <w:r w:rsidRPr="002F680A">
        <w:rPr>
          <w:rtl/>
          <w:lang w:bidi="ar-SY"/>
        </w:rPr>
        <w:t>بيلاروس</w:t>
      </w:r>
    </w:p>
    <w:p w:rsidR="00A048F5" w:rsidRPr="002F680A" w:rsidRDefault="00A048F5" w:rsidP="00AA3D89">
      <w:pPr>
        <w:pStyle w:val="SingleTxtGA"/>
        <w:ind w:left="4649" w:hanging="2721"/>
        <w:rPr>
          <w:rtl/>
          <w:lang w:bidi="ar-SY"/>
        </w:rPr>
      </w:pPr>
      <w:r w:rsidRPr="002F680A">
        <w:rPr>
          <w:i/>
          <w:iCs/>
          <w:rtl/>
          <w:lang w:bidi="ar-SY"/>
        </w:rPr>
        <w:t>تا</w:t>
      </w:r>
      <w:r w:rsidRPr="002F680A">
        <w:rPr>
          <w:i/>
          <w:iCs/>
          <w:rtl/>
        </w:rPr>
        <w:t>ر</w:t>
      </w:r>
      <w:r w:rsidRPr="002F680A">
        <w:rPr>
          <w:i/>
          <w:iCs/>
          <w:rtl/>
          <w:lang w:bidi="ar-SY"/>
        </w:rPr>
        <w:t>يخ تقديم البلاغ:</w:t>
      </w:r>
      <w:r w:rsidRPr="002F680A">
        <w:rPr>
          <w:rtl/>
          <w:lang w:bidi="ar-SY"/>
        </w:rPr>
        <w:tab/>
      </w:r>
      <w:r>
        <w:rPr>
          <w:rFonts w:hint="cs"/>
          <w:rtl/>
          <w:lang w:bidi="ar-SY"/>
        </w:rPr>
        <w:tab/>
      </w:r>
      <w:r w:rsidRPr="002F680A">
        <w:rPr>
          <w:rtl/>
          <w:lang w:bidi="ar-SY"/>
        </w:rPr>
        <w:t>27 تشرين الأول/أكتوبر 2009 (تاريخ تقديم الرسالة الأولى)</w:t>
      </w:r>
    </w:p>
    <w:p w:rsidR="00A048F5" w:rsidRPr="002F680A" w:rsidRDefault="00A048F5" w:rsidP="008967CA">
      <w:pPr>
        <w:pStyle w:val="SingleTxtGA"/>
        <w:ind w:left="4649" w:hanging="2721"/>
        <w:rPr>
          <w:rtl/>
          <w:lang w:bidi="ar-SY"/>
        </w:rPr>
      </w:pPr>
      <w:r w:rsidRPr="002F680A">
        <w:rPr>
          <w:i/>
          <w:iCs/>
          <w:rtl/>
        </w:rPr>
        <w:t>الوثائق</w:t>
      </w:r>
      <w:r w:rsidRPr="002F680A">
        <w:rPr>
          <w:i/>
          <w:iCs/>
          <w:rtl/>
          <w:lang w:bidi="ar-SY"/>
        </w:rPr>
        <w:t xml:space="preserve"> المرجعية:</w:t>
      </w:r>
      <w:r>
        <w:rPr>
          <w:rFonts w:hint="cs"/>
          <w:i/>
          <w:iCs/>
          <w:rtl/>
          <w:lang w:bidi="ar-SY"/>
        </w:rPr>
        <w:tab/>
      </w:r>
      <w:r w:rsidRPr="002F680A">
        <w:rPr>
          <w:rtl/>
          <w:lang w:bidi="ar-SY"/>
        </w:rPr>
        <w:tab/>
      </w:r>
      <w:r w:rsidR="00D50301">
        <w:rPr>
          <w:rFonts w:hint="cs"/>
          <w:rtl/>
          <w:lang w:bidi="ar-SY"/>
        </w:rPr>
        <w:tab/>
      </w:r>
      <w:r w:rsidRPr="002F680A">
        <w:rPr>
          <w:rtl/>
          <w:lang w:bidi="ar-SY"/>
        </w:rPr>
        <w:t>ق</w:t>
      </w:r>
      <w:r w:rsidRPr="002F680A">
        <w:rPr>
          <w:rtl/>
        </w:rPr>
        <w:t>رار المقرر الخاص بموجب المادتين 92</w:t>
      </w:r>
      <w:r w:rsidR="00592A23">
        <w:rPr>
          <w:rtl/>
        </w:rPr>
        <w:t xml:space="preserve"> و</w:t>
      </w:r>
      <w:r w:rsidRPr="002F680A">
        <w:rPr>
          <w:rtl/>
        </w:rPr>
        <w:t xml:space="preserve">97 من النظام الداخلي، الذي أحيل </w:t>
      </w:r>
      <w:r>
        <w:rPr>
          <w:rtl/>
        </w:rPr>
        <w:t>إلى الدولة الطرف في</w:t>
      </w:r>
      <w:r w:rsidR="008D614F">
        <w:rPr>
          <w:rFonts w:hint="cs"/>
          <w:rtl/>
        </w:rPr>
        <w:t xml:space="preserve"> </w:t>
      </w:r>
      <w:r w:rsidRPr="002F680A">
        <w:rPr>
          <w:rtl/>
        </w:rPr>
        <w:t xml:space="preserve">30 تشرين </w:t>
      </w:r>
      <w:r w:rsidR="008967CA">
        <w:rPr>
          <w:rFonts w:hint="cs"/>
          <w:rtl/>
        </w:rPr>
        <w:t>الأول</w:t>
      </w:r>
      <w:r w:rsidRPr="002F680A">
        <w:rPr>
          <w:rtl/>
        </w:rPr>
        <w:t>/</w:t>
      </w:r>
      <w:r w:rsidR="008967CA">
        <w:rPr>
          <w:rFonts w:hint="cs"/>
          <w:rtl/>
        </w:rPr>
        <w:t xml:space="preserve">أكتوبر </w:t>
      </w:r>
      <w:r w:rsidRPr="002F680A">
        <w:rPr>
          <w:rtl/>
        </w:rPr>
        <w:t>2009 (لم يصدر في شكل وثيقة)</w:t>
      </w:r>
    </w:p>
    <w:p w:rsidR="00A048F5" w:rsidRPr="002F680A" w:rsidRDefault="00A048F5" w:rsidP="00AA3D89">
      <w:pPr>
        <w:pStyle w:val="SingleTxtGA"/>
        <w:ind w:left="4649" w:hanging="2721"/>
        <w:rPr>
          <w:rtl/>
          <w:lang w:val="ar-SA"/>
        </w:rPr>
      </w:pPr>
      <w:r w:rsidRPr="002F680A">
        <w:rPr>
          <w:i/>
          <w:iCs/>
          <w:rtl/>
          <w:lang w:val="ar-SA"/>
        </w:rPr>
        <w:t>تاريخ اعتماد الآراء:</w:t>
      </w:r>
      <w:r w:rsidRPr="002F680A">
        <w:rPr>
          <w:rtl/>
          <w:lang w:val="ar-SA"/>
        </w:rPr>
        <w:tab/>
      </w:r>
      <w:r w:rsidR="00D50301">
        <w:rPr>
          <w:rFonts w:hint="cs"/>
          <w:rtl/>
          <w:lang w:val="ar-SA"/>
        </w:rPr>
        <w:tab/>
      </w:r>
      <w:r w:rsidRPr="002F680A">
        <w:rPr>
          <w:rtl/>
          <w:lang w:val="ar-SA"/>
        </w:rPr>
        <w:t>30 تشرين الأول/أكتوبر 2013</w:t>
      </w:r>
    </w:p>
    <w:p w:rsidR="00A048F5" w:rsidRPr="002F680A" w:rsidRDefault="00A048F5" w:rsidP="00AA3D89">
      <w:pPr>
        <w:pStyle w:val="SingleTxtGA"/>
        <w:ind w:left="4649" w:hanging="2721"/>
        <w:rPr>
          <w:rtl/>
          <w:lang w:val="ar-SA"/>
        </w:rPr>
      </w:pPr>
      <w:r w:rsidRPr="002F680A">
        <w:rPr>
          <w:i/>
          <w:iCs/>
          <w:rtl/>
          <w:lang w:val="ar-SA"/>
        </w:rPr>
        <w:t xml:space="preserve">الموضوع: </w:t>
      </w:r>
      <w:r w:rsidRPr="002F680A">
        <w:rPr>
          <w:i/>
          <w:iCs/>
          <w:rtl/>
          <w:lang w:val="ar-SA"/>
        </w:rPr>
        <w:tab/>
      </w:r>
      <w:r w:rsidR="00D50301">
        <w:rPr>
          <w:rFonts w:hint="cs"/>
          <w:i/>
          <w:iCs/>
          <w:rtl/>
          <w:lang w:val="ar-SA"/>
        </w:rPr>
        <w:tab/>
      </w:r>
      <w:r w:rsidR="008D614F">
        <w:rPr>
          <w:rFonts w:hint="cs"/>
          <w:i/>
          <w:iCs/>
          <w:rtl/>
          <w:lang w:val="ar-SA"/>
        </w:rPr>
        <w:tab/>
      </w:r>
      <w:r w:rsidRPr="002F680A">
        <w:rPr>
          <w:rtl/>
          <w:lang w:val="ar-SA"/>
        </w:rPr>
        <w:t xml:space="preserve">صدور حكم بالإعدام بعد محاكمة غير عادلة </w:t>
      </w:r>
    </w:p>
    <w:p w:rsidR="00A048F5" w:rsidRPr="002F680A" w:rsidRDefault="008D614F" w:rsidP="00AA3D89">
      <w:pPr>
        <w:pStyle w:val="SingleTxtGA"/>
        <w:ind w:left="4649" w:hanging="2721"/>
        <w:rPr>
          <w:rtl/>
          <w:lang w:val="ar-SA"/>
        </w:rPr>
      </w:pPr>
      <w:r>
        <w:rPr>
          <w:rtl/>
          <w:lang w:val="ar-SA"/>
        </w:rPr>
        <w:t>المسائل الإجرائية:</w:t>
      </w:r>
      <w:r>
        <w:rPr>
          <w:rFonts w:hint="cs"/>
          <w:rtl/>
          <w:lang w:val="ar-SA"/>
        </w:rPr>
        <w:tab/>
      </w:r>
      <w:r>
        <w:rPr>
          <w:rFonts w:hint="cs"/>
          <w:rtl/>
          <w:lang w:val="ar-SA"/>
        </w:rPr>
        <w:tab/>
      </w:r>
      <w:r w:rsidR="00A048F5" w:rsidRPr="002F680A">
        <w:rPr>
          <w:rtl/>
          <w:lang w:val="ar-SA"/>
        </w:rPr>
        <w:tab/>
        <w:t>عدم تعاون الدولة الطرف وعدم احترام طلب اللجنة اتخاذ تدابير مؤقتة؛ إساءة استعمال الحق في تقديم أدلة الإثبات، وعدم كفاية الطلبات؛ وعدم استنفاد سبل الانتصاف المحلية.</w:t>
      </w:r>
    </w:p>
    <w:p w:rsidR="00A048F5" w:rsidRPr="002F680A" w:rsidRDefault="00A048F5" w:rsidP="00AA3D89">
      <w:pPr>
        <w:pStyle w:val="SingleTxtGA"/>
        <w:ind w:left="4649" w:hanging="2721"/>
        <w:rPr>
          <w:rFonts w:hint="cs"/>
          <w:rtl/>
          <w:lang w:val="ar-SA"/>
        </w:rPr>
      </w:pPr>
      <w:r w:rsidRPr="002F680A">
        <w:rPr>
          <w:i/>
          <w:iCs/>
          <w:rtl/>
          <w:lang w:val="ar-SA"/>
        </w:rPr>
        <w:t>المسائل الموضوعية:</w:t>
      </w:r>
      <w:r w:rsidR="00D50301">
        <w:rPr>
          <w:rFonts w:hint="cs"/>
          <w:i/>
          <w:iCs/>
          <w:rtl/>
          <w:lang w:val="ar-SA"/>
        </w:rPr>
        <w:tab/>
      </w:r>
      <w:r w:rsidRPr="002F680A">
        <w:rPr>
          <w:i/>
          <w:iCs/>
          <w:rtl/>
          <w:lang w:val="ar-SA"/>
        </w:rPr>
        <w:tab/>
      </w:r>
      <w:r w:rsidRPr="002F680A">
        <w:rPr>
          <w:rtl/>
          <w:lang w:val="ar-SA"/>
        </w:rPr>
        <w:t>الحرمان التعسفي من الحياة؛ والتعذيب وسوء المعاملة؛ والحرمان التعسفي من الحرية؛ ومن الحق في المثول أمام قاض دون تأخير؛ والحق في محاكمة عادلة تجريها محكمة مستقلة ومحايدة؛ والحق في افتراض البراءة؛ والحق في الحصول على ما يكفي من الوقت والتسهيلات لإعداد دفاعه والتخاطب مع المحامي؛ والحق في ألا يجبر على أن يشهد ضد نفسه أو على الاعتراف بالذنب؛ ومن اتخاذ تدابير مؤقتة لتلافي وقوع ضرر</w:t>
      </w:r>
      <w:r w:rsidR="00211F2A">
        <w:rPr>
          <w:rtl/>
          <w:lang w:val="ar-SA"/>
        </w:rPr>
        <w:t xml:space="preserve"> لا </w:t>
      </w:r>
      <w:r w:rsidRPr="002F680A">
        <w:rPr>
          <w:rtl/>
          <w:lang w:val="ar-SA"/>
        </w:rPr>
        <w:t>يمكن إصلاحه على الضحية المزعومة؛ وانتهاك الالتزاما</w:t>
      </w:r>
      <w:r w:rsidR="00013DDA">
        <w:rPr>
          <w:rtl/>
          <w:lang w:val="ar-SA"/>
        </w:rPr>
        <w:t>ت بموجب البروتوكول الاختياري</w:t>
      </w:r>
    </w:p>
    <w:p w:rsidR="00A048F5" w:rsidRPr="002F680A" w:rsidRDefault="00A048F5" w:rsidP="00AA3D89">
      <w:pPr>
        <w:pStyle w:val="SingleTxtGA"/>
        <w:ind w:left="4649" w:hanging="2721"/>
        <w:rPr>
          <w:rtl/>
          <w:lang w:val="ar-SA"/>
        </w:rPr>
      </w:pPr>
      <w:r w:rsidRPr="002F680A">
        <w:rPr>
          <w:i/>
          <w:iCs/>
          <w:rtl/>
          <w:lang w:val="ar-SA"/>
        </w:rPr>
        <w:t>مواد العهد:</w:t>
      </w:r>
      <w:r w:rsidRPr="002F680A">
        <w:rPr>
          <w:rtl/>
          <w:lang w:val="ar-SA"/>
        </w:rPr>
        <w:tab/>
      </w:r>
      <w:r w:rsidR="008D614F">
        <w:rPr>
          <w:rFonts w:hint="cs"/>
          <w:rtl/>
          <w:lang w:val="ar-SA"/>
        </w:rPr>
        <w:tab/>
      </w:r>
      <w:r w:rsidR="00D50301">
        <w:rPr>
          <w:rFonts w:hint="cs"/>
          <w:rtl/>
          <w:lang w:val="ar-SA"/>
        </w:rPr>
        <w:tab/>
      </w:r>
      <w:r w:rsidRPr="002F680A">
        <w:rPr>
          <w:rtl/>
          <w:lang w:val="ar-SA"/>
        </w:rPr>
        <w:t xml:space="preserve">المادة </w:t>
      </w:r>
      <w:r w:rsidR="00211F2A" w:rsidRPr="002F680A">
        <w:rPr>
          <w:rtl/>
          <w:lang w:val="ar-SA"/>
        </w:rPr>
        <w:t>6 (</w:t>
      </w:r>
      <w:r w:rsidRPr="002F680A">
        <w:rPr>
          <w:rtl/>
          <w:lang w:val="ar-SA"/>
        </w:rPr>
        <w:t>الفقرتان 1</w:t>
      </w:r>
      <w:r w:rsidR="00592A23">
        <w:rPr>
          <w:rtl/>
          <w:lang w:val="ar-SA"/>
        </w:rPr>
        <w:t xml:space="preserve"> و</w:t>
      </w:r>
      <w:r w:rsidRPr="002F680A">
        <w:rPr>
          <w:rtl/>
          <w:lang w:val="ar-SA"/>
        </w:rPr>
        <w:t>2) والمادتا</w:t>
      </w:r>
      <w:r w:rsidR="00CD573C">
        <w:rPr>
          <w:rtl/>
          <w:lang w:val="ar-SA"/>
        </w:rPr>
        <w:t>ن 7</w:t>
      </w:r>
      <w:r w:rsidR="00592A23">
        <w:rPr>
          <w:rtl/>
          <w:lang w:val="ar-SA"/>
        </w:rPr>
        <w:t xml:space="preserve"> و</w:t>
      </w:r>
      <w:r w:rsidR="00CD573C">
        <w:rPr>
          <w:rtl/>
          <w:lang w:val="ar-SA"/>
        </w:rPr>
        <w:t>9 (الفقرة 3) والمادة 14 (الفقرات 1</w:t>
      </w:r>
      <w:r w:rsidR="00592A23">
        <w:rPr>
          <w:rtl/>
          <w:lang w:val="ar-SA"/>
        </w:rPr>
        <w:t xml:space="preserve"> و</w:t>
      </w:r>
      <w:r w:rsidR="00CD573C">
        <w:rPr>
          <w:rtl/>
          <w:lang w:val="ar-SA"/>
        </w:rPr>
        <w:t>2</w:t>
      </w:r>
      <w:r w:rsidR="00592A23">
        <w:rPr>
          <w:rtl/>
          <w:lang w:val="ar-SA"/>
        </w:rPr>
        <w:t xml:space="preserve"> و</w:t>
      </w:r>
      <w:r w:rsidR="00CD573C">
        <w:rPr>
          <w:rtl/>
          <w:lang w:val="ar-SA"/>
        </w:rPr>
        <w:t>3(ب) و(د) و</w:t>
      </w:r>
      <w:r w:rsidRPr="002F680A">
        <w:rPr>
          <w:rtl/>
          <w:lang w:val="ar-SA"/>
        </w:rPr>
        <w:t>(ز))</w:t>
      </w:r>
    </w:p>
    <w:p w:rsidR="00A048F5" w:rsidRPr="002F680A" w:rsidRDefault="00A048F5" w:rsidP="00AA3D89">
      <w:pPr>
        <w:pStyle w:val="SingleTxtGA"/>
        <w:ind w:left="4649" w:hanging="2721"/>
        <w:rPr>
          <w:rtl/>
          <w:lang w:val="ar-SA"/>
        </w:rPr>
      </w:pPr>
      <w:r w:rsidRPr="00013DDA">
        <w:rPr>
          <w:i/>
          <w:iCs/>
          <w:rtl/>
          <w:lang w:val="ar-SA"/>
        </w:rPr>
        <w:t>مواد البروتوكول الاختياري:</w:t>
      </w:r>
      <w:r w:rsidRPr="002F680A">
        <w:rPr>
          <w:rtl/>
          <w:lang w:val="ar-SA"/>
        </w:rPr>
        <w:tab/>
        <w:t>المواد 1</w:t>
      </w:r>
      <w:r w:rsidR="00592A23">
        <w:rPr>
          <w:rtl/>
          <w:lang w:val="ar-SA"/>
        </w:rPr>
        <w:t xml:space="preserve"> و</w:t>
      </w:r>
      <w:r w:rsidRPr="002F680A">
        <w:rPr>
          <w:rtl/>
          <w:lang w:val="ar-SA"/>
        </w:rPr>
        <w:t>2</w:t>
      </w:r>
      <w:r w:rsidR="00592A23">
        <w:rPr>
          <w:rtl/>
          <w:lang w:val="ar-SA"/>
        </w:rPr>
        <w:t xml:space="preserve"> و</w:t>
      </w:r>
      <w:r w:rsidRPr="002F680A">
        <w:rPr>
          <w:rtl/>
          <w:lang w:val="ar-SA"/>
        </w:rPr>
        <w:t>3، و</w:t>
      </w:r>
      <w:r w:rsidR="00211F2A">
        <w:rPr>
          <w:rFonts w:hint="cs"/>
          <w:rtl/>
          <w:lang w:val="ar-SA"/>
        </w:rPr>
        <w:t>ال</w:t>
      </w:r>
      <w:r w:rsidRPr="002F680A">
        <w:rPr>
          <w:rtl/>
          <w:lang w:val="ar-SA"/>
        </w:rPr>
        <w:t>مادة</w:t>
      </w:r>
      <w:r w:rsidR="00211F2A">
        <w:rPr>
          <w:rFonts w:hint="cs"/>
          <w:rtl/>
          <w:lang w:val="ar-SA"/>
        </w:rPr>
        <w:t xml:space="preserve"> </w:t>
      </w:r>
      <w:r w:rsidRPr="002F680A">
        <w:rPr>
          <w:rtl/>
          <w:lang w:val="ar-SA"/>
        </w:rPr>
        <w:t>5 (الفقرة 2(ب))</w:t>
      </w:r>
    </w:p>
    <w:p w:rsidR="00A048F5" w:rsidRPr="002F680A" w:rsidRDefault="00A048F5" w:rsidP="00AC4022">
      <w:pPr>
        <w:pStyle w:val="HChGA"/>
        <w:spacing w:before="120"/>
        <w:rPr>
          <w:rtl/>
          <w:lang w:val="ar-SA"/>
        </w:rPr>
      </w:pPr>
      <w:r w:rsidRPr="002F680A">
        <w:rPr>
          <w:rtl/>
          <w:lang w:val="ar-SA"/>
        </w:rPr>
        <w:br w:type="page"/>
        <w:t>المرفق</w:t>
      </w:r>
    </w:p>
    <w:p w:rsidR="00A048F5" w:rsidRPr="002F680A" w:rsidRDefault="00AC4022" w:rsidP="00AC4022">
      <w:pPr>
        <w:pStyle w:val="HChGA"/>
        <w:rPr>
          <w:rtl/>
          <w:lang w:val="ar-SA"/>
        </w:rPr>
      </w:pPr>
      <w:r>
        <w:rPr>
          <w:rFonts w:hint="cs"/>
          <w:rtl/>
          <w:lang w:val="ar-SA"/>
        </w:rPr>
        <w:tab/>
      </w:r>
      <w:r>
        <w:rPr>
          <w:rFonts w:hint="cs"/>
          <w:rtl/>
          <w:lang w:val="ar-SA"/>
        </w:rPr>
        <w:tab/>
      </w:r>
      <w:r w:rsidR="00A048F5" w:rsidRPr="002F680A">
        <w:rPr>
          <w:rtl/>
          <w:lang w:val="ar-SA"/>
        </w:rPr>
        <w:t>آراء اللجنة المعنية بحقوق الإنسان بموجب الفقرة 4 من المادة 5 من البروتوكول الاختياري الملحق بالعهد الدولي الخاص بالحقوق المدنية والسي</w:t>
      </w:r>
      <w:r w:rsidR="00C74CCF">
        <w:rPr>
          <w:rtl/>
          <w:lang w:val="ar-SA"/>
        </w:rPr>
        <w:t xml:space="preserve">اسية </w:t>
      </w:r>
      <w:r w:rsidR="00C74CCF" w:rsidRPr="007C134B">
        <w:rPr>
          <w:b w:val="0"/>
          <w:bCs w:val="0"/>
          <w:rtl/>
          <w:lang w:val="ar-SA"/>
        </w:rPr>
        <w:t>(الدورة التاسعة بعد المائة</w:t>
      </w:r>
      <w:r w:rsidR="00A048F5" w:rsidRPr="007C134B">
        <w:rPr>
          <w:b w:val="0"/>
          <w:bCs w:val="0"/>
          <w:rtl/>
          <w:cs/>
          <w:lang w:val="ar-SA"/>
        </w:rPr>
        <w:t>‎</w:t>
      </w:r>
      <w:r w:rsidR="00A048F5" w:rsidRPr="007C134B">
        <w:rPr>
          <w:b w:val="0"/>
          <w:bCs w:val="0"/>
          <w:rtl/>
          <w:lang w:val="ar-SA"/>
        </w:rPr>
        <w:t>)</w:t>
      </w:r>
    </w:p>
    <w:p w:rsidR="00A048F5" w:rsidRPr="002F680A" w:rsidRDefault="00A048F5" w:rsidP="00AC4022">
      <w:pPr>
        <w:pStyle w:val="SingleTxtGA"/>
        <w:rPr>
          <w:b/>
          <w:bCs/>
          <w:rtl/>
          <w:lang w:val="ar-SA"/>
        </w:rPr>
      </w:pPr>
      <w:r w:rsidRPr="002F680A">
        <w:rPr>
          <w:rtl/>
          <w:lang w:val="ar-SA"/>
        </w:rPr>
        <w:t>بشأن</w:t>
      </w:r>
    </w:p>
    <w:p w:rsidR="00A048F5" w:rsidRPr="002F680A" w:rsidRDefault="00A048F5" w:rsidP="009D197E">
      <w:pPr>
        <w:pStyle w:val="H1GA"/>
        <w:rPr>
          <w:rFonts w:hint="cs"/>
          <w:rtl/>
          <w:lang w:val="ar-SA"/>
        </w:rPr>
      </w:pPr>
      <w:r w:rsidRPr="002F680A">
        <w:rPr>
          <w:rtl/>
          <w:lang w:val="ar-SA"/>
        </w:rPr>
        <w:tab/>
      </w:r>
      <w:r w:rsidRPr="002F680A">
        <w:rPr>
          <w:rtl/>
          <w:lang w:val="ar-SA"/>
        </w:rPr>
        <w:tab/>
        <w:t>البلاغ رقم 1910/2009</w:t>
      </w:r>
      <w:r w:rsidR="009D197E" w:rsidRPr="00CB6E17">
        <w:rPr>
          <w:rStyle w:val="FootnoteReference"/>
          <w:b/>
          <w:bCs w:val="0"/>
          <w:sz w:val="20"/>
          <w:vertAlign w:val="baseline"/>
          <w:rtl/>
          <w:lang w:val="ar-SA"/>
        </w:rPr>
        <w:footnoteReference w:customMarkFollows="1" w:id="1"/>
        <w:t>*</w:t>
      </w:r>
    </w:p>
    <w:p w:rsidR="00AC4022" w:rsidRPr="002F680A" w:rsidRDefault="00AC4022" w:rsidP="00AC4022">
      <w:pPr>
        <w:pStyle w:val="SingleTxtGA"/>
        <w:ind w:left="4649" w:hanging="2721"/>
        <w:rPr>
          <w:rtl/>
          <w:lang w:bidi="ar-SY"/>
        </w:rPr>
      </w:pPr>
      <w:r w:rsidRPr="002F680A">
        <w:rPr>
          <w:i/>
          <w:iCs/>
          <w:rtl/>
          <w:lang w:bidi="ar-SY"/>
        </w:rPr>
        <w:t>المقدم من:</w:t>
      </w:r>
      <w:r>
        <w:rPr>
          <w:rFonts w:hint="cs"/>
          <w:i/>
          <w:iCs/>
          <w:rtl/>
          <w:lang w:bidi="ar-SY"/>
        </w:rPr>
        <w:tab/>
      </w:r>
      <w:r>
        <w:rPr>
          <w:rFonts w:hint="cs"/>
          <w:i/>
          <w:iCs/>
          <w:rtl/>
          <w:lang w:bidi="ar-SY"/>
        </w:rPr>
        <w:tab/>
      </w:r>
      <w:r>
        <w:rPr>
          <w:rFonts w:hint="cs"/>
          <w:i/>
          <w:iCs/>
          <w:rtl/>
          <w:lang w:bidi="ar-SY"/>
        </w:rPr>
        <w:tab/>
      </w:r>
      <w:proofErr w:type="spellStart"/>
      <w:r w:rsidR="005607DD">
        <w:rPr>
          <w:rtl/>
          <w:lang w:bidi="ar-SY"/>
        </w:rPr>
        <w:t>سفيتلانا</w:t>
      </w:r>
      <w:proofErr w:type="spellEnd"/>
      <w:r w:rsidR="005607DD">
        <w:rPr>
          <w:rtl/>
          <w:lang w:bidi="ar-SY"/>
        </w:rPr>
        <w:t xml:space="preserve"> جوك (تمثله</w:t>
      </w:r>
      <w:r w:rsidR="005607DD">
        <w:rPr>
          <w:rFonts w:hint="cs"/>
          <w:rtl/>
          <w:lang w:bidi="ar-SY"/>
        </w:rPr>
        <w:t>ا</w:t>
      </w:r>
      <w:r w:rsidRPr="002F680A">
        <w:rPr>
          <w:rtl/>
          <w:lang w:bidi="ar-SY"/>
        </w:rPr>
        <w:t xml:space="preserve"> المحامية </w:t>
      </w:r>
      <w:proofErr w:type="spellStart"/>
      <w:r w:rsidRPr="002F680A">
        <w:rPr>
          <w:rtl/>
          <w:lang w:bidi="ar-SY"/>
        </w:rPr>
        <w:t>رامان</w:t>
      </w:r>
      <w:proofErr w:type="spellEnd"/>
      <w:r w:rsidRPr="002F680A">
        <w:rPr>
          <w:rtl/>
          <w:lang w:bidi="ar-SY"/>
        </w:rPr>
        <w:t xml:space="preserve"> </w:t>
      </w:r>
      <w:proofErr w:type="spellStart"/>
      <w:r w:rsidRPr="002F680A">
        <w:rPr>
          <w:rtl/>
          <w:lang w:bidi="ar-SY"/>
        </w:rPr>
        <w:t>كيسيلياك</w:t>
      </w:r>
      <w:proofErr w:type="spellEnd"/>
      <w:r w:rsidRPr="002F680A">
        <w:rPr>
          <w:rtl/>
          <w:lang w:bidi="ar-SY"/>
        </w:rPr>
        <w:t>)</w:t>
      </w:r>
    </w:p>
    <w:p w:rsidR="00AC4022" w:rsidRPr="002F680A" w:rsidRDefault="00AC4022" w:rsidP="00AC4022">
      <w:pPr>
        <w:pStyle w:val="SingleTxtGA"/>
        <w:ind w:left="4649" w:hanging="2721"/>
        <w:rPr>
          <w:rFonts w:hint="cs"/>
          <w:i/>
          <w:iCs/>
          <w:rtl/>
          <w:lang w:bidi="ar-SY"/>
        </w:rPr>
      </w:pPr>
      <w:r w:rsidRPr="002F680A">
        <w:rPr>
          <w:i/>
          <w:iCs/>
          <w:rtl/>
          <w:lang w:bidi="ar-SY"/>
        </w:rPr>
        <w:t>الشخص المدعي أنه ضحية:</w:t>
      </w:r>
      <w:r>
        <w:rPr>
          <w:rFonts w:hint="cs"/>
          <w:rtl/>
          <w:lang w:bidi="ar-SY"/>
        </w:rPr>
        <w:tab/>
      </w:r>
      <w:r w:rsidRPr="002F680A">
        <w:rPr>
          <w:rtl/>
          <w:lang w:bidi="ar-SY"/>
        </w:rPr>
        <w:t>أندريه جوك (ابن صاحبة البلاغ</w:t>
      </w:r>
      <w:r w:rsidR="00D7242C">
        <w:rPr>
          <w:rFonts w:hint="cs"/>
          <w:rtl/>
          <w:lang w:bidi="ar-SY"/>
        </w:rPr>
        <w:t>)</w:t>
      </w:r>
    </w:p>
    <w:p w:rsidR="00AC4022" w:rsidRPr="002F680A" w:rsidRDefault="00AC4022" w:rsidP="00AC4022">
      <w:pPr>
        <w:pStyle w:val="SingleTxtGA"/>
        <w:ind w:left="4649" w:hanging="2721"/>
        <w:rPr>
          <w:rtl/>
          <w:lang w:bidi="ar-SY"/>
        </w:rPr>
      </w:pPr>
      <w:r w:rsidRPr="005607DD">
        <w:rPr>
          <w:i/>
          <w:iCs/>
          <w:rtl/>
          <w:lang w:bidi="ar-SY"/>
        </w:rPr>
        <w:t>الدولة الطرف:</w:t>
      </w:r>
      <w:r w:rsidRPr="002F680A">
        <w:rPr>
          <w:rtl/>
          <w:lang w:bidi="ar-SY"/>
        </w:rPr>
        <w:tab/>
      </w:r>
      <w:r>
        <w:rPr>
          <w:rtl/>
          <w:lang w:bidi="ar-SY"/>
        </w:rPr>
        <w:tab/>
      </w:r>
      <w:r>
        <w:rPr>
          <w:rFonts w:hint="cs"/>
          <w:rtl/>
          <w:lang w:bidi="ar-SY"/>
        </w:rPr>
        <w:tab/>
      </w:r>
      <w:r w:rsidRPr="002F680A">
        <w:rPr>
          <w:rtl/>
          <w:lang w:bidi="ar-SY"/>
        </w:rPr>
        <w:t>بيلاروس</w:t>
      </w:r>
    </w:p>
    <w:p w:rsidR="00AC4022" w:rsidRPr="002F680A" w:rsidRDefault="00AC4022" w:rsidP="00AC4022">
      <w:pPr>
        <w:pStyle w:val="SingleTxtGA"/>
        <w:ind w:left="4649" w:hanging="2721"/>
        <w:rPr>
          <w:rtl/>
          <w:lang w:bidi="ar-SY"/>
        </w:rPr>
      </w:pPr>
      <w:r w:rsidRPr="002F680A">
        <w:rPr>
          <w:i/>
          <w:iCs/>
          <w:rtl/>
          <w:lang w:bidi="ar-SY"/>
        </w:rPr>
        <w:t>تا</w:t>
      </w:r>
      <w:r w:rsidRPr="002F680A">
        <w:rPr>
          <w:i/>
          <w:iCs/>
          <w:rtl/>
        </w:rPr>
        <w:t>ر</w:t>
      </w:r>
      <w:r w:rsidRPr="002F680A">
        <w:rPr>
          <w:i/>
          <w:iCs/>
          <w:rtl/>
          <w:lang w:bidi="ar-SY"/>
        </w:rPr>
        <w:t>يخ تقديم البلاغ:</w:t>
      </w:r>
      <w:r w:rsidRPr="002F680A">
        <w:rPr>
          <w:rtl/>
          <w:lang w:bidi="ar-SY"/>
        </w:rPr>
        <w:tab/>
      </w:r>
      <w:r>
        <w:rPr>
          <w:rFonts w:hint="cs"/>
          <w:rtl/>
          <w:lang w:bidi="ar-SY"/>
        </w:rPr>
        <w:tab/>
      </w:r>
      <w:r w:rsidRPr="002F680A">
        <w:rPr>
          <w:rtl/>
          <w:lang w:bidi="ar-SY"/>
        </w:rPr>
        <w:t>27 تشرين الأول/أكتوبر 2009 (تاريخ تقديم الرسالة الأولى)</w:t>
      </w:r>
    </w:p>
    <w:p w:rsidR="00A048F5" w:rsidRPr="002F680A" w:rsidRDefault="00A048F5" w:rsidP="00CF407D">
      <w:pPr>
        <w:pStyle w:val="SingleTxtGA"/>
        <w:rPr>
          <w:rtl/>
          <w:lang w:val="ar-SA"/>
        </w:rPr>
      </w:pPr>
      <w:r w:rsidRPr="002F680A">
        <w:rPr>
          <w:rtl/>
          <w:lang w:val="ar-SA"/>
        </w:rPr>
        <w:tab/>
      </w:r>
      <w:r w:rsidRPr="002F680A">
        <w:rPr>
          <w:i/>
          <w:iCs/>
          <w:rtl/>
          <w:lang w:val="ar-SA"/>
        </w:rPr>
        <w:t>إن اللجنة المعنية بحقوق الإنسان</w:t>
      </w:r>
      <w:r w:rsidRPr="002F680A">
        <w:rPr>
          <w:rtl/>
          <w:lang w:val="ar-SA"/>
        </w:rPr>
        <w:t xml:space="preserve">، المنشأة بموجب المادة 28 من العهد الدولي الخاص بالحقوق المدنية والسياسية، </w:t>
      </w:r>
    </w:p>
    <w:p w:rsidR="00A048F5" w:rsidRPr="002F680A" w:rsidRDefault="00A048F5" w:rsidP="00CF407D">
      <w:pPr>
        <w:pStyle w:val="SingleTxtGA"/>
        <w:rPr>
          <w:rFonts w:hint="cs"/>
          <w:rtl/>
          <w:lang w:val="ar-SA"/>
        </w:rPr>
      </w:pPr>
      <w:r w:rsidRPr="002F680A">
        <w:rPr>
          <w:rtl/>
          <w:lang w:val="ar-SA"/>
        </w:rPr>
        <w:tab/>
      </w:r>
      <w:r w:rsidRPr="002F680A">
        <w:rPr>
          <w:i/>
          <w:iCs/>
          <w:rtl/>
          <w:lang w:val="ar-SA"/>
        </w:rPr>
        <w:t>المجتمعة</w:t>
      </w:r>
      <w:r w:rsidRPr="002F680A">
        <w:rPr>
          <w:rtl/>
          <w:lang w:val="ar-SA"/>
        </w:rPr>
        <w:t xml:space="preserve"> في 30 تشرين الأول/أكتوبر 2013</w:t>
      </w:r>
      <w:r w:rsidR="005607DD">
        <w:rPr>
          <w:rFonts w:hint="cs"/>
          <w:rtl/>
          <w:lang w:val="ar-SA"/>
        </w:rPr>
        <w:t>،</w:t>
      </w:r>
    </w:p>
    <w:p w:rsidR="00A048F5" w:rsidRPr="002F680A" w:rsidRDefault="00A048F5" w:rsidP="00CF407D">
      <w:pPr>
        <w:pStyle w:val="SingleTxtGA"/>
        <w:rPr>
          <w:rtl/>
          <w:lang w:val="ar-SA"/>
        </w:rPr>
      </w:pPr>
      <w:r w:rsidRPr="002F680A">
        <w:rPr>
          <w:rtl/>
          <w:lang w:val="ar-SA"/>
        </w:rPr>
        <w:tab/>
      </w:r>
      <w:r w:rsidRPr="002F680A">
        <w:rPr>
          <w:i/>
          <w:iCs/>
          <w:rtl/>
          <w:lang w:val="ar-SA"/>
        </w:rPr>
        <w:t>وقد اختتمت</w:t>
      </w:r>
      <w:r w:rsidRPr="002F680A">
        <w:rPr>
          <w:rtl/>
          <w:lang w:val="ar-SA"/>
        </w:rPr>
        <w:t xml:space="preserve"> نظرها في البلاغ رقم 1910/2009 المقدم إلى اللجنة المعنية بحقوق الإنسان من </w:t>
      </w:r>
      <w:proofErr w:type="spellStart"/>
      <w:r w:rsidRPr="002F680A">
        <w:rPr>
          <w:rtl/>
          <w:lang w:val="ar-SA"/>
        </w:rPr>
        <w:t>سفيتلانا</w:t>
      </w:r>
      <w:proofErr w:type="spellEnd"/>
      <w:r w:rsidRPr="002F680A">
        <w:rPr>
          <w:rtl/>
          <w:lang w:val="ar-SA"/>
        </w:rPr>
        <w:t xml:space="preserve"> جوك نيابة عن ابنها، أندريه جوك، بموجب البروتوكول الاختياري الملحق بالعهد الدولي الخاص بالحقوق المدنية والسياسية،</w:t>
      </w:r>
    </w:p>
    <w:p w:rsidR="00A048F5" w:rsidRPr="002F680A" w:rsidRDefault="00A048F5" w:rsidP="00CF407D">
      <w:pPr>
        <w:pStyle w:val="SingleTxtGA"/>
        <w:rPr>
          <w:rtl/>
          <w:lang w:val="ar-SA"/>
        </w:rPr>
      </w:pPr>
      <w:r w:rsidRPr="002F680A">
        <w:rPr>
          <w:rtl/>
          <w:lang w:val="ar-SA"/>
        </w:rPr>
        <w:tab/>
      </w:r>
      <w:r w:rsidRPr="002F680A">
        <w:rPr>
          <w:i/>
          <w:iCs/>
          <w:rtl/>
          <w:lang w:val="ar-SA"/>
        </w:rPr>
        <w:t>وقد وضعت في اعتبارها</w:t>
      </w:r>
      <w:r w:rsidRPr="002F680A">
        <w:rPr>
          <w:rtl/>
          <w:lang w:val="ar-SA"/>
        </w:rPr>
        <w:t xml:space="preserve"> جميع المعلومات الخطية التي أتاحها لها صاحب البلاغ والدولة الطرف،</w:t>
      </w:r>
    </w:p>
    <w:p w:rsidR="00A048F5" w:rsidRPr="002F680A" w:rsidRDefault="00A048F5" w:rsidP="00CF407D">
      <w:pPr>
        <w:pStyle w:val="SingleTxtGA"/>
        <w:rPr>
          <w:rtl/>
          <w:lang w:val="ar-SA"/>
        </w:rPr>
      </w:pPr>
      <w:r w:rsidRPr="002F680A">
        <w:rPr>
          <w:rtl/>
          <w:lang w:val="ar-SA"/>
        </w:rPr>
        <w:tab/>
      </w:r>
      <w:r w:rsidRPr="002F680A">
        <w:rPr>
          <w:i/>
          <w:iCs/>
          <w:rtl/>
          <w:lang w:val="ar-SA"/>
        </w:rPr>
        <w:t>تعتمد</w:t>
      </w:r>
      <w:r w:rsidRPr="002F680A">
        <w:rPr>
          <w:rtl/>
          <w:lang w:val="ar-SA"/>
        </w:rPr>
        <w:t xml:space="preserve"> ما يلي:</w:t>
      </w:r>
    </w:p>
    <w:p w:rsidR="00A048F5" w:rsidRPr="002F680A" w:rsidRDefault="00A048F5" w:rsidP="009D197E">
      <w:pPr>
        <w:pStyle w:val="H1GA"/>
        <w:rPr>
          <w:rtl/>
          <w:lang w:val="ar-SA"/>
        </w:rPr>
      </w:pPr>
      <w:r w:rsidRPr="002F680A">
        <w:rPr>
          <w:rtl/>
          <w:lang w:val="ar-SA"/>
        </w:rPr>
        <w:tab/>
      </w:r>
      <w:r w:rsidRPr="002F680A">
        <w:rPr>
          <w:rtl/>
          <w:lang w:val="ar-SA"/>
        </w:rPr>
        <w:tab/>
        <w:t>الآراء بموجب الفقرة 4 من المادة 5 من البروتوكول الاختياري</w:t>
      </w:r>
    </w:p>
    <w:p w:rsidR="00A048F5" w:rsidRPr="002F680A" w:rsidRDefault="00CF407D" w:rsidP="00592A23">
      <w:pPr>
        <w:pStyle w:val="SingleTxtGA"/>
        <w:rPr>
          <w:rtl/>
          <w:lang w:val="ar-SA"/>
        </w:rPr>
      </w:pPr>
      <w:r>
        <w:rPr>
          <w:rtl/>
          <w:lang w:val="ar-SA"/>
        </w:rPr>
        <w:t>1-1</w:t>
      </w:r>
      <w:r>
        <w:rPr>
          <w:rFonts w:hint="cs"/>
          <w:rtl/>
          <w:lang w:val="ar-SA"/>
        </w:rPr>
        <w:tab/>
      </w:r>
      <w:r w:rsidR="00A048F5" w:rsidRPr="002F680A">
        <w:rPr>
          <w:rtl/>
          <w:lang w:val="ar-SA"/>
        </w:rPr>
        <w:t xml:space="preserve">صاحبة البلاغ هي </w:t>
      </w:r>
      <w:proofErr w:type="spellStart"/>
      <w:r w:rsidR="00A048F5" w:rsidRPr="002F680A">
        <w:rPr>
          <w:rtl/>
          <w:lang w:val="ar-SA"/>
        </w:rPr>
        <w:t>سفيتلانا</w:t>
      </w:r>
      <w:proofErr w:type="spellEnd"/>
      <w:r w:rsidR="00A048F5" w:rsidRPr="002F680A">
        <w:rPr>
          <w:rtl/>
          <w:lang w:val="ar-SA"/>
        </w:rPr>
        <w:t xml:space="preserve"> جوك.</w:t>
      </w:r>
      <w:r w:rsidR="00F7131B">
        <w:rPr>
          <w:rtl/>
          <w:lang w:val="ar-SA"/>
        </w:rPr>
        <w:t xml:space="preserve"> </w:t>
      </w:r>
      <w:r w:rsidR="00A048F5" w:rsidRPr="002F680A">
        <w:rPr>
          <w:rtl/>
          <w:lang w:val="ar-SA"/>
        </w:rPr>
        <w:t xml:space="preserve">وقد قدمت البلاغ باسم ابنها، أندريه جوك، وهو مواطن </w:t>
      </w:r>
      <w:proofErr w:type="spellStart"/>
      <w:r w:rsidR="00A048F5" w:rsidRPr="002F680A">
        <w:rPr>
          <w:rtl/>
          <w:lang w:val="ar-SA"/>
        </w:rPr>
        <w:t>بيلاروسي</w:t>
      </w:r>
      <w:proofErr w:type="spellEnd"/>
      <w:r w:rsidR="00A048F5" w:rsidRPr="002F680A">
        <w:rPr>
          <w:rtl/>
          <w:lang w:val="ar-SA"/>
        </w:rPr>
        <w:t xml:space="preserve"> مولود في عام 1983، كان وقت تقديم البلاغ محتجز</w:t>
      </w:r>
      <w:r w:rsidR="00220FB8">
        <w:rPr>
          <w:rtl/>
          <w:lang w:val="ar-SA"/>
        </w:rPr>
        <w:t xml:space="preserve">اً </w:t>
      </w:r>
      <w:r w:rsidR="00A048F5" w:rsidRPr="002F680A">
        <w:rPr>
          <w:rtl/>
          <w:lang w:val="ar-SA"/>
        </w:rPr>
        <w:t xml:space="preserve">ضمن المحكوم عليهم بالإعدام في سجن بمدينة </w:t>
      </w:r>
      <w:proofErr w:type="spellStart"/>
      <w:r w:rsidR="00A048F5" w:rsidRPr="002F680A">
        <w:rPr>
          <w:rtl/>
          <w:lang w:val="ar-SA"/>
        </w:rPr>
        <w:t>مينسك</w:t>
      </w:r>
      <w:proofErr w:type="spellEnd"/>
      <w:r w:rsidR="00A048F5" w:rsidRPr="002F680A">
        <w:rPr>
          <w:rtl/>
          <w:lang w:val="ar-SA"/>
        </w:rPr>
        <w:t xml:space="preserve">، بعد أن حكم عليه بالإعدام من قبل الشعبة الجنائية بمحكمة </w:t>
      </w:r>
      <w:proofErr w:type="spellStart"/>
      <w:r w:rsidR="00A048F5" w:rsidRPr="002F680A">
        <w:rPr>
          <w:rtl/>
          <w:lang w:val="ar-SA"/>
        </w:rPr>
        <w:t>مينسك</w:t>
      </w:r>
      <w:proofErr w:type="spellEnd"/>
      <w:r w:rsidR="00A048F5" w:rsidRPr="002F680A">
        <w:rPr>
          <w:rtl/>
          <w:lang w:val="ar-SA"/>
        </w:rPr>
        <w:t xml:space="preserve"> الإقليمية، في 17 تموز/يوليه 2009. وتدعي صاحبة البلاغ أن ابنها ضحية انتهاكات ارتكبتها بيلاروس لحقوقه بمقتضى المادة 6 (الفقرتان 1</w:t>
      </w:r>
      <w:r w:rsidR="00592A23">
        <w:rPr>
          <w:rtl/>
          <w:lang w:val="ar-SA"/>
        </w:rPr>
        <w:t xml:space="preserve"> و</w:t>
      </w:r>
      <w:r w:rsidR="00A048F5" w:rsidRPr="002F680A">
        <w:rPr>
          <w:rtl/>
          <w:lang w:val="ar-SA"/>
        </w:rPr>
        <w:t>2) والمادة 7، والمادة 9 (الفقرة 3) والمادة 14 (الفقرات 1</w:t>
      </w:r>
      <w:r w:rsidR="00592A23">
        <w:rPr>
          <w:rtl/>
          <w:lang w:val="ar-SA"/>
        </w:rPr>
        <w:t xml:space="preserve"> و</w:t>
      </w:r>
      <w:r w:rsidR="00A048F5" w:rsidRPr="002F680A">
        <w:rPr>
          <w:rtl/>
          <w:lang w:val="ar-SA"/>
        </w:rPr>
        <w:t>2</w:t>
      </w:r>
      <w:r w:rsidR="00592A23">
        <w:rPr>
          <w:rtl/>
          <w:lang w:val="ar-SA"/>
        </w:rPr>
        <w:t xml:space="preserve"> و</w:t>
      </w:r>
      <w:r w:rsidR="00A048F5" w:rsidRPr="002F680A">
        <w:rPr>
          <w:rtl/>
          <w:lang w:val="ar-SA"/>
        </w:rPr>
        <w:t>3(ب)</w:t>
      </w:r>
      <w:r w:rsidR="00592A23">
        <w:rPr>
          <w:rtl/>
          <w:lang w:val="ar-SA"/>
        </w:rPr>
        <w:t xml:space="preserve"> و</w:t>
      </w:r>
      <w:r w:rsidR="00A048F5" w:rsidRPr="002F680A">
        <w:rPr>
          <w:rtl/>
          <w:lang w:val="ar-SA"/>
        </w:rPr>
        <w:t>(د)</w:t>
      </w:r>
      <w:r w:rsidR="00592A23">
        <w:rPr>
          <w:rtl/>
          <w:lang w:val="ar-SA"/>
        </w:rPr>
        <w:t xml:space="preserve"> و</w:t>
      </w:r>
      <w:r w:rsidR="00A048F5" w:rsidRPr="002F680A">
        <w:rPr>
          <w:rtl/>
          <w:lang w:val="ar-SA"/>
        </w:rPr>
        <w:t>(ز))، من العهد الدولي الخاص بالحقوق المدنية والسياسية</w:t>
      </w:r>
      <w:r w:rsidR="003A249F">
        <w:rPr>
          <w:vertAlign w:val="superscript"/>
          <w:rtl/>
          <w:lang w:val="ar-SA"/>
        </w:rPr>
        <w:t>(</w:t>
      </w:r>
      <w:r w:rsidR="003A249F">
        <w:rPr>
          <w:rStyle w:val="FootnoteReference"/>
          <w:rtl/>
          <w:lang w:val="ar-SA"/>
        </w:rPr>
        <w:footnoteReference w:id="2"/>
      </w:r>
      <w:r w:rsidR="003A249F">
        <w:rPr>
          <w:vertAlign w:val="superscript"/>
          <w:rtl/>
          <w:lang w:val="ar-SA"/>
        </w:rPr>
        <w:t>)</w:t>
      </w:r>
      <w:r w:rsidR="00A048F5" w:rsidRPr="002F680A">
        <w:rPr>
          <w:rtl/>
          <w:lang w:val="ar-SA"/>
        </w:rPr>
        <w:t>.</w:t>
      </w:r>
      <w:r w:rsidR="003A249F">
        <w:rPr>
          <w:rFonts w:hint="cs"/>
          <w:rtl/>
          <w:lang w:val="ar-SA"/>
        </w:rPr>
        <w:t xml:space="preserve"> </w:t>
      </w:r>
      <w:r w:rsidR="00A048F5" w:rsidRPr="002F680A">
        <w:rPr>
          <w:rtl/>
          <w:lang w:val="ar-SA"/>
        </w:rPr>
        <w:t xml:space="preserve">ويمثل صاحبة البلاغ المحامي </w:t>
      </w:r>
      <w:proofErr w:type="spellStart"/>
      <w:r w:rsidR="00A048F5" w:rsidRPr="002F680A">
        <w:rPr>
          <w:rtl/>
          <w:lang w:val="ar-SA"/>
        </w:rPr>
        <w:t>رامان</w:t>
      </w:r>
      <w:proofErr w:type="spellEnd"/>
      <w:r w:rsidR="00A048F5" w:rsidRPr="002F680A">
        <w:rPr>
          <w:rtl/>
          <w:lang w:val="ar-SA"/>
        </w:rPr>
        <w:t xml:space="preserve"> </w:t>
      </w:r>
      <w:proofErr w:type="spellStart"/>
      <w:r w:rsidR="005607DD">
        <w:rPr>
          <w:rtl/>
          <w:lang w:val="ar-SA"/>
        </w:rPr>
        <w:t>كيسيلياك</w:t>
      </w:r>
      <w:proofErr w:type="spellEnd"/>
      <w:r w:rsidR="00A048F5" w:rsidRPr="002F680A">
        <w:rPr>
          <w:rtl/>
          <w:lang w:val="ar-SA"/>
        </w:rPr>
        <w:t xml:space="preserve">. </w:t>
      </w:r>
    </w:p>
    <w:p w:rsidR="00A048F5" w:rsidRPr="002F680A" w:rsidRDefault="00CF407D" w:rsidP="005607DD">
      <w:pPr>
        <w:pStyle w:val="SingleTxtGA"/>
        <w:rPr>
          <w:rtl/>
          <w:lang w:val="ar-SA"/>
        </w:rPr>
      </w:pPr>
      <w:r>
        <w:rPr>
          <w:rtl/>
          <w:lang w:val="ar-SA"/>
        </w:rPr>
        <w:t>1-2</w:t>
      </w:r>
      <w:r>
        <w:rPr>
          <w:rFonts w:hint="cs"/>
          <w:rtl/>
          <w:lang w:val="ar-SA"/>
        </w:rPr>
        <w:tab/>
      </w:r>
      <w:r w:rsidR="00A048F5" w:rsidRPr="002F680A">
        <w:rPr>
          <w:rtl/>
          <w:lang w:val="ar-SA"/>
        </w:rPr>
        <w:t>وعند تسجيل البلاغ، في 30 تشرين الأول/أكتوبر 2009، طلبت اللجنة إلى الدولة الطرف، عن طريق مقررها الخاص المعني بالبلاغات الجديدة والتدابير المؤقتة، ووفق</w:t>
      </w:r>
      <w:r w:rsidR="00220FB8">
        <w:rPr>
          <w:rtl/>
          <w:lang w:val="ar-SA"/>
        </w:rPr>
        <w:t xml:space="preserve">اً </w:t>
      </w:r>
      <w:r w:rsidR="00A048F5" w:rsidRPr="002F680A">
        <w:rPr>
          <w:rtl/>
          <w:lang w:val="ar-SA"/>
        </w:rPr>
        <w:t>للمادة</w:t>
      </w:r>
      <w:r>
        <w:rPr>
          <w:rFonts w:hint="cs"/>
          <w:rtl/>
          <w:lang w:val="ar-SA"/>
        </w:rPr>
        <w:t> </w:t>
      </w:r>
      <w:r w:rsidR="00A048F5" w:rsidRPr="002F680A">
        <w:rPr>
          <w:rtl/>
          <w:lang w:val="ar-SA"/>
        </w:rPr>
        <w:t>92 من نظامها الداخلي، بأن توقف تنفيذ حكم الإعدام</w:t>
      </w:r>
      <w:r>
        <w:rPr>
          <w:rtl/>
          <w:lang w:val="ar-SA"/>
        </w:rPr>
        <w:t xml:space="preserve"> على السيد جوك خلال فترة نظرها </w:t>
      </w:r>
      <w:r w:rsidR="00A048F5" w:rsidRPr="002F680A">
        <w:rPr>
          <w:rtl/>
          <w:lang w:val="ar-SA"/>
        </w:rPr>
        <w:t xml:space="preserve">في حالته. وفي 7 كانون الأول/ديسمبر 2009، كررت اللجنة طلبها المذكور. </w:t>
      </w:r>
    </w:p>
    <w:p w:rsidR="00A048F5" w:rsidRPr="002F680A" w:rsidRDefault="00CF407D" w:rsidP="00AC032F">
      <w:pPr>
        <w:pStyle w:val="SingleTxtGA"/>
        <w:rPr>
          <w:rtl/>
          <w:lang w:val="ar-SA"/>
        </w:rPr>
      </w:pPr>
      <w:r>
        <w:rPr>
          <w:rtl/>
          <w:lang w:val="ar-SA"/>
        </w:rPr>
        <w:t>1-3</w:t>
      </w:r>
      <w:r>
        <w:rPr>
          <w:rFonts w:hint="cs"/>
          <w:rtl/>
          <w:lang w:val="ar-SA"/>
        </w:rPr>
        <w:tab/>
      </w:r>
      <w:r w:rsidR="00A048F5" w:rsidRPr="002F680A">
        <w:rPr>
          <w:rtl/>
          <w:lang w:val="ar-SA"/>
        </w:rPr>
        <w:t>وفي 23 آذار/مارس 2010، تلقت اللجنة معلومات تفيد بأن ابن صاحبة البلاغ قد أعدم بالرغم من طلب التدابير المؤقتة. وفي التاريخ نفسه، طلبت اللجنة إلى الدولة الطرف تقديم إيضاح عاجل عن تلك المسألة، ووجهت انتباهها إلى أن عدم احترام التدابير المؤقتة يشكل انتهاك</w:t>
      </w:r>
      <w:r w:rsidR="00220FB8">
        <w:rPr>
          <w:rtl/>
          <w:lang w:val="ar-SA"/>
        </w:rPr>
        <w:t xml:space="preserve">اً </w:t>
      </w:r>
      <w:r w:rsidR="00A048F5" w:rsidRPr="002F680A">
        <w:rPr>
          <w:rtl/>
          <w:lang w:val="ar-SA"/>
        </w:rPr>
        <w:t>لالتزامات الدول الأطراف بشأن التعاون بحسن نية بموجب البروتوكول الاختياري الملحق بالعهد. ولم تستلم اللجنة رد</w:t>
      </w:r>
      <w:r w:rsidR="00220FB8">
        <w:rPr>
          <w:rtl/>
          <w:lang w:val="ar-SA"/>
        </w:rPr>
        <w:t xml:space="preserve">اً </w:t>
      </w:r>
      <w:r w:rsidR="00A048F5" w:rsidRPr="002F680A">
        <w:rPr>
          <w:rtl/>
          <w:lang w:val="ar-SA"/>
        </w:rPr>
        <w:t>قبل انقضاء الفترة الزمنية المحددة.</w:t>
      </w:r>
      <w:r w:rsidR="00F7131B">
        <w:rPr>
          <w:rtl/>
          <w:lang w:val="ar-SA"/>
        </w:rPr>
        <w:t xml:space="preserve"> </w:t>
      </w:r>
      <w:r w:rsidR="00A048F5" w:rsidRPr="002F680A">
        <w:rPr>
          <w:rtl/>
          <w:lang w:val="ar-SA"/>
        </w:rPr>
        <w:t xml:space="preserve">وفي 30 آذار/مارس 2010، أصدرت اللجنة نشرة صحفية شجبت فيها تنفيذ حكم الإعدام. </w:t>
      </w:r>
    </w:p>
    <w:p w:rsidR="00A048F5" w:rsidRPr="002F680A" w:rsidRDefault="00A048F5" w:rsidP="00AC032F">
      <w:pPr>
        <w:pStyle w:val="H23GA"/>
        <w:rPr>
          <w:rtl/>
          <w:lang w:val="ar-SA"/>
        </w:rPr>
      </w:pPr>
      <w:r w:rsidRPr="002F680A">
        <w:rPr>
          <w:rtl/>
          <w:lang w:val="ar-SA"/>
        </w:rPr>
        <w:tab/>
      </w:r>
      <w:r w:rsidRPr="002F680A">
        <w:rPr>
          <w:rtl/>
          <w:lang w:val="ar-SA"/>
        </w:rPr>
        <w:tab/>
        <w:t>الوقائع كما عرضتها صاحبة البلاغ</w:t>
      </w:r>
    </w:p>
    <w:p w:rsidR="00A048F5" w:rsidRPr="002F680A" w:rsidRDefault="00AC032F" w:rsidP="0045153F">
      <w:pPr>
        <w:pStyle w:val="SingleTxtGA"/>
        <w:rPr>
          <w:rtl/>
          <w:lang w:val="ar-SA"/>
        </w:rPr>
      </w:pPr>
      <w:r>
        <w:rPr>
          <w:rtl/>
          <w:lang w:val="ar-SA"/>
        </w:rPr>
        <w:t>2-1</w:t>
      </w:r>
      <w:r>
        <w:rPr>
          <w:rFonts w:hint="cs"/>
          <w:rtl/>
          <w:lang w:val="ar-SA"/>
        </w:rPr>
        <w:tab/>
      </w:r>
      <w:r w:rsidR="00A048F5" w:rsidRPr="002F680A">
        <w:rPr>
          <w:rtl/>
          <w:lang w:val="ar-SA"/>
        </w:rPr>
        <w:t xml:space="preserve">أفادت صاحبة البلاغ بأن ابنها قد ألقي القبض عليه في إحدى حانات </w:t>
      </w:r>
      <w:proofErr w:type="spellStart"/>
      <w:r w:rsidR="00A048F5" w:rsidRPr="002F680A">
        <w:rPr>
          <w:rtl/>
          <w:lang w:val="ar-SA"/>
        </w:rPr>
        <w:t>سوليغورسك</w:t>
      </w:r>
      <w:proofErr w:type="spellEnd"/>
      <w:r w:rsidR="00A048F5" w:rsidRPr="002F680A">
        <w:rPr>
          <w:rtl/>
          <w:lang w:val="ar-SA"/>
        </w:rPr>
        <w:t>، حوالي الساعة 00/20 من يوم 1 آذار/مارس 2009، من قبل أفراد تابعين لوزارة الداخلية، للشك في أنه اعتدى على رجل وامرأة، كانا يحملان مبلغ</w:t>
      </w:r>
      <w:r w:rsidR="00220FB8">
        <w:rPr>
          <w:rtl/>
          <w:lang w:val="ar-SA"/>
        </w:rPr>
        <w:t xml:space="preserve">اً </w:t>
      </w:r>
      <w:r w:rsidR="00A048F5" w:rsidRPr="002F680A">
        <w:rPr>
          <w:rtl/>
          <w:lang w:val="ar-SA"/>
        </w:rPr>
        <w:t>مالي</w:t>
      </w:r>
      <w:r w:rsidR="00220FB8">
        <w:rPr>
          <w:rtl/>
          <w:lang w:val="ar-SA"/>
        </w:rPr>
        <w:t xml:space="preserve">اً </w:t>
      </w:r>
      <w:r w:rsidR="00A048F5" w:rsidRPr="002F680A">
        <w:rPr>
          <w:rtl/>
          <w:lang w:val="ar-SA"/>
        </w:rPr>
        <w:t>لصرف مرتبات موظفي الشركة التي يعملان فيها، وقتلهما، في 27 شباط/فبراير 2009. وأنه كان تحت تأثير مادة مخدرة في وقت اعتقاله. واقتيد في الساعة 30/21 من اليوم نفسه إلى شعبة الشؤون الداخلية بالمقاطعة حيث طلب على الفور تمثيله عن طريق محام. وسمح لابن صاحبة البلاغ بمقابلة محام لمدة خمس دقائق فقط (من الساعة</w:t>
      </w:r>
      <w:r w:rsidR="0045153F">
        <w:rPr>
          <w:rFonts w:hint="cs"/>
          <w:rtl/>
          <w:lang w:val="ar-SA"/>
        </w:rPr>
        <w:t xml:space="preserve"> </w:t>
      </w:r>
      <w:r w:rsidR="00A048F5" w:rsidRPr="002F680A">
        <w:rPr>
          <w:rtl/>
          <w:lang w:val="ar-SA"/>
        </w:rPr>
        <w:t xml:space="preserve">02/22 إلى الساعة </w:t>
      </w:r>
      <w:r w:rsidR="0045153F">
        <w:rPr>
          <w:rFonts w:hint="cs"/>
          <w:rtl/>
          <w:lang w:val="ar-SA"/>
        </w:rPr>
        <w:t>07</w:t>
      </w:r>
      <w:r w:rsidR="00A048F5" w:rsidRPr="002F680A">
        <w:rPr>
          <w:rtl/>
          <w:lang w:val="ar-SA"/>
        </w:rPr>
        <w:t xml:space="preserve">/22) عند بدء الاستجواب الأول الذي استمر حتى الساعة 37/00 من صباح 2 آذار/مارس 2009. وتدعي صاحبة البلاغ أن ابنها لم يكن في حالة تمكنه من فهم خطورة تلك الإجراءات، وأنه قد </w:t>
      </w:r>
      <w:r w:rsidR="00996734">
        <w:rPr>
          <w:rFonts w:hint="cs"/>
          <w:rtl/>
          <w:lang w:val="ar-SA"/>
        </w:rPr>
        <w:t xml:space="preserve">أسيئت </w:t>
      </w:r>
      <w:r w:rsidR="00A048F5" w:rsidRPr="002F680A">
        <w:rPr>
          <w:rtl/>
          <w:lang w:val="ar-SA"/>
        </w:rPr>
        <w:t>معاملته وأكره على الاعتراف بأنه يملك السلاح الذي ارتكبت به الجريمة، وعلى المشاركة في إعادة تمثيل مسرح الجريمة وتجريم نفسه. وتدعي أيض</w:t>
      </w:r>
      <w:r w:rsidR="00220FB8">
        <w:rPr>
          <w:rtl/>
          <w:lang w:val="ar-SA"/>
        </w:rPr>
        <w:t xml:space="preserve">اً </w:t>
      </w:r>
      <w:r w:rsidR="00A048F5" w:rsidRPr="002F680A">
        <w:rPr>
          <w:rtl/>
          <w:lang w:val="ar-SA"/>
        </w:rPr>
        <w:t>أنه حرم من التمثيل القانوني أثناء تنفيذ الإجراءات المذكورة أعلاه، على الرغم من أن</w:t>
      </w:r>
      <w:r w:rsidR="0045153F">
        <w:rPr>
          <w:rFonts w:hint="cs"/>
          <w:rtl/>
          <w:lang w:val="ar-SA"/>
        </w:rPr>
        <w:t>ه</w:t>
      </w:r>
      <w:r w:rsidR="00A048F5" w:rsidRPr="002F680A">
        <w:rPr>
          <w:rtl/>
          <w:lang w:val="ar-SA"/>
        </w:rPr>
        <w:t xml:space="preserve"> طلب توفير خدمات محام.</w:t>
      </w:r>
    </w:p>
    <w:p w:rsidR="00A048F5" w:rsidRPr="002F680A" w:rsidRDefault="00AC032F" w:rsidP="0045153F">
      <w:pPr>
        <w:pStyle w:val="SingleTxtGA"/>
        <w:rPr>
          <w:rFonts w:hint="cs"/>
          <w:rtl/>
          <w:lang w:val="ar-SA"/>
        </w:rPr>
      </w:pPr>
      <w:r>
        <w:rPr>
          <w:rtl/>
          <w:lang w:val="ar-SA"/>
        </w:rPr>
        <w:t>2-2</w:t>
      </w:r>
      <w:r>
        <w:rPr>
          <w:rFonts w:hint="cs"/>
          <w:rtl/>
          <w:lang w:val="ar-SA"/>
        </w:rPr>
        <w:tab/>
      </w:r>
      <w:r w:rsidR="00A048F5" w:rsidRPr="002F680A">
        <w:rPr>
          <w:rtl/>
          <w:lang w:val="ar-SA"/>
        </w:rPr>
        <w:t>وألقي القبض على ابن صاحبة البلاغ في 1 آذار/مارس 2009، لكن ممثل النيابة لم</w:t>
      </w:r>
      <w:r w:rsidR="0045153F">
        <w:rPr>
          <w:rFonts w:hint="cs"/>
          <w:rtl/>
          <w:lang w:val="ar-SA"/>
        </w:rPr>
        <w:t> </w:t>
      </w:r>
      <w:r w:rsidR="00A048F5" w:rsidRPr="002F680A">
        <w:rPr>
          <w:rtl/>
          <w:lang w:val="ar-SA"/>
        </w:rPr>
        <w:t>يصدر أمر احتجازه رهن التحقيق حتى 10 آذار/مارس 2009. وأصدر ممثل النيابة أمر الاحتجاز دون مجرد أن يلتقي بالمحتجز. ولم يمثُل السيد جوك أمام قاض بغرض استعراض أمر احتجازه حتى يوم 6 حزيران/يونيه 2009، أي بعد ثلاثة أشهر وخمسة أيام من تاريخ القبض عليه. وتفيد صاحبة البلاغ أن ما ذكر أعلاه يشكل انتهاك</w:t>
      </w:r>
      <w:r w:rsidR="00220FB8">
        <w:rPr>
          <w:rtl/>
          <w:lang w:val="ar-SA"/>
        </w:rPr>
        <w:t xml:space="preserve">اً </w:t>
      </w:r>
      <w:r w:rsidR="00A048F5" w:rsidRPr="002F680A">
        <w:rPr>
          <w:rtl/>
          <w:lang w:val="ar-SA"/>
        </w:rPr>
        <w:t>لأحكام قانون الإجراءات الجنائية المحلي</w:t>
      </w:r>
      <w:r w:rsidR="00FC1C44">
        <w:rPr>
          <w:vertAlign w:val="superscript"/>
          <w:rtl/>
          <w:lang w:val="ar-SA"/>
        </w:rPr>
        <w:t>(</w:t>
      </w:r>
      <w:r w:rsidR="00FC1C44">
        <w:rPr>
          <w:rStyle w:val="FootnoteReference"/>
          <w:rtl/>
          <w:lang w:val="ar-SA"/>
        </w:rPr>
        <w:footnoteReference w:id="3"/>
      </w:r>
      <w:r w:rsidR="00FC1C44">
        <w:rPr>
          <w:vertAlign w:val="superscript"/>
          <w:rtl/>
          <w:lang w:val="ar-SA"/>
        </w:rPr>
        <w:t>)</w:t>
      </w:r>
      <w:r w:rsidR="00FC1C44">
        <w:rPr>
          <w:rtl/>
          <w:lang w:val="ar-SA"/>
        </w:rPr>
        <w:t xml:space="preserve"> </w:t>
      </w:r>
      <w:r w:rsidR="00A048F5" w:rsidRPr="002F680A">
        <w:rPr>
          <w:rtl/>
          <w:lang w:val="ar-SA"/>
        </w:rPr>
        <w:t>ولحقوق ابنها بموجب الفقرة 3 من المادة 9 من العهد، وتشير إلى اجتهاد اللجنة في هذا الصدد</w:t>
      </w:r>
      <w:r w:rsidR="00C56958">
        <w:rPr>
          <w:vertAlign w:val="superscript"/>
          <w:rtl/>
          <w:lang w:val="ar-SA"/>
        </w:rPr>
        <w:t>(</w:t>
      </w:r>
      <w:r w:rsidR="00C56958">
        <w:rPr>
          <w:rStyle w:val="FootnoteReference"/>
          <w:rtl/>
          <w:lang w:val="ar-SA"/>
        </w:rPr>
        <w:footnoteReference w:id="4"/>
      </w:r>
      <w:r w:rsidR="00C56958">
        <w:rPr>
          <w:vertAlign w:val="superscript"/>
          <w:rtl/>
          <w:lang w:val="ar-SA"/>
        </w:rPr>
        <w:t>)</w:t>
      </w:r>
      <w:r w:rsidR="003E1328">
        <w:rPr>
          <w:rtl/>
          <w:lang w:val="ar-SA"/>
        </w:rPr>
        <w:t>.</w:t>
      </w:r>
    </w:p>
    <w:p w:rsidR="00A048F5" w:rsidRPr="00DC75E1" w:rsidRDefault="00AC032F" w:rsidP="00220FB8">
      <w:pPr>
        <w:pStyle w:val="SingleTxtGA"/>
        <w:rPr>
          <w:sz w:val="18"/>
          <w:rtl/>
          <w:lang w:val="ar-SA"/>
        </w:rPr>
      </w:pPr>
      <w:r w:rsidRPr="00DC75E1">
        <w:rPr>
          <w:sz w:val="18"/>
          <w:rtl/>
          <w:lang w:val="ar-SA"/>
        </w:rPr>
        <w:t>2-3</w:t>
      </w:r>
      <w:r w:rsidRPr="00DC75E1">
        <w:rPr>
          <w:rFonts w:hint="cs"/>
          <w:sz w:val="18"/>
          <w:rtl/>
          <w:lang w:val="ar-SA"/>
        </w:rPr>
        <w:tab/>
      </w:r>
      <w:r w:rsidR="00A048F5" w:rsidRPr="00DC75E1">
        <w:rPr>
          <w:sz w:val="18"/>
          <w:rtl/>
          <w:lang w:val="ar-SA"/>
        </w:rPr>
        <w:t xml:space="preserve">وفي 17 تموز/يوليه 2009، أدانت الشعبة الجنائية بمحكمة </w:t>
      </w:r>
      <w:proofErr w:type="spellStart"/>
      <w:r w:rsidR="00A048F5" w:rsidRPr="00DC75E1">
        <w:rPr>
          <w:sz w:val="18"/>
          <w:rtl/>
          <w:lang w:val="ar-SA"/>
        </w:rPr>
        <w:t>مينسك</w:t>
      </w:r>
      <w:proofErr w:type="spellEnd"/>
      <w:r w:rsidR="00A048F5" w:rsidRPr="00DC75E1">
        <w:rPr>
          <w:sz w:val="18"/>
          <w:rtl/>
          <w:lang w:val="ar-SA"/>
        </w:rPr>
        <w:t xml:space="preserve"> الإقليمية ابن صاحبة البلاغ بموجب المادة 139 (الفقرات 1</w:t>
      </w:r>
      <w:r w:rsidR="00592A23">
        <w:rPr>
          <w:sz w:val="18"/>
          <w:rtl/>
          <w:lang w:val="ar-SA"/>
        </w:rPr>
        <w:t xml:space="preserve"> و</w:t>
      </w:r>
      <w:r w:rsidR="00A048F5" w:rsidRPr="00DC75E1">
        <w:rPr>
          <w:sz w:val="18"/>
          <w:rtl/>
          <w:lang w:val="ar-SA"/>
        </w:rPr>
        <w:t>12</w:t>
      </w:r>
      <w:r w:rsidR="00592A23">
        <w:rPr>
          <w:sz w:val="18"/>
          <w:rtl/>
          <w:lang w:val="ar-SA"/>
        </w:rPr>
        <w:t xml:space="preserve"> و</w:t>
      </w:r>
      <w:r w:rsidR="00A048F5" w:rsidRPr="00DC75E1">
        <w:rPr>
          <w:sz w:val="18"/>
          <w:rtl/>
          <w:lang w:val="ar-SA"/>
        </w:rPr>
        <w:t xml:space="preserve">15)، والمادة 205 (الفقرة 2)، والمادة 207 (الفقرة 3) والمادة 294 (الفقرة 3)، والمادة 328 (الفقرة 1) من القانون الجنائي، وحكمت عليه بالإعدام وبمصادرة أمواله. وترى صاحبة البلاغ أن حق ابنها في افتراض براءته قد انتهك لأنه وضع في قفص وظل مكبل اليدين في قاعة المحكمة طوال فترة نظر المحكمة الابتدائية في القضية الجنائية. وترى صاحبة البلاغ أن ما ذكر يوضح أن ابنها </w:t>
      </w:r>
      <w:proofErr w:type="spellStart"/>
      <w:r w:rsidR="00A048F5" w:rsidRPr="00DC75E1">
        <w:rPr>
          <w:sz w:val="18"/>
          <w:rtl/>
          <w:lang w:val="ar-SA"/>
        </w:rPr>
        <w:t>عومل</w:t>
      </w:r>
      <w:proofErr w:type="spellEnd"/>
      <w:r w:rsidR="00A048F5" w:rsidRPr="00DC75E1">
        <w:rPr>
          <w:sz w:val="18"/>
          <w:rtl/>
          <w:lang w:val="ar-SA"/>
        </w:rPr>
        <w:t xml:space="preserve"> باعتباره مجرم</w:t>
      </w:r>
      <w:r w:rsidR="00220FB8">
        <w:rPr>
          <w:sz w:val="18"/>
          <w:rtl/>
          <w:lang w:val="ar-SA"/>
        </w:rPr>
        <w:t xml:space="preserve">اً </w:t>
      </w:r>
      <w:r w:rsidR="00A048F5" w:rsidRPr="00DC75E1">
        <w:rPr>
          <w:sz w:val="18"/>
          <w:rtl/>
          <w:lang w:val="ar-SA"/>
        </w:rPr>
        <w:t>خطير</w:t>
      </w:r>
      <w:r w:rsidR="00220FB8">
        <w:rPr>
          <w:sz w:val="18"/>
          <w:rtl/>
          <w:lang w:val="ar-SA"/>
        </w:rPr>
        <w:t xml:space="preserve">اً </w:t>
      </w:r>
      <w:r w:rsidR="00A048F5" w:rsidRPr="00DC75E1">
        <w:rPr>
          <w:sz w:val="18"/>
          <w:rtl/>
          <w:lang w:val="ar-SA"/>
        </w:rPr>
        <w:t xml:space="preserve">حتى قبل صدور الحكم بإدانته. وبالإضافة إلى ذلك، دأبت وسائط الإعلام التي تديرها الدولة، بما في ذلك القناة التليفزيونية الرئيسية </w:t>
      </w:r>
      <w:r w:rsidR="00DC75E1">
        <w:rPr>
          <w:sz w:val="18"/>
        </w:rPr>
        <w:t>ONT</w:t>
      </w:r>
      <w:r w:rsidR="00A048F5" w:rsidRPr="00DC75E1">
        <w:rPr>
          <w:sz w:val="18"/>
          <w:rtl/>
          <w:lang w:val="ar-SA"/>
        </w:rPr>
        <w:t xml:space="preserve">، على الإشارة إلى ابن صاحبة البلاغ باعتباره </w:t>
      </w:r>
      <w:r w:rsidR="00220FB8">
        <w:rPr>
          <w:rFonts w:hint="cs"/>
          <w:rtl/>
          <w:lang w:val="ar-SA"/>
        </w:rPr>
        <w:t>"</w:t>
      </w:r>
      <w:r w:rsidR="00A048F5" w:rsidRPr="00DC75E1">
        <w:rPr>
          <w:sz w:val="18"/>
          <w:rtl/>
          <w:lang w:val="ar-SA"/>
        </w:rPr>
        <w:t>مجرما</w:t>
      </w:r>
      <w:r w:rsidR="00917529">
        <w:rPr>
          <w:rFonts w:hint="cs"/>
          <w:sz w:val="18"/>
          <w:rtl/>
          <w:lang w:val="ar-SA"/>
        </w:rPr>
        <w:t>ً</w:t>
      </w:r>
      <w:r w:rsidR="00220FB8">
        <w:rPr>
          <w:rFonts w:hint="cs"/>
          <w:rtl/>
          <w:lang w:val="ar-SA"/>
        </w:rPr>
        <w:t>"</w:t>
      </w:r>
      <w:r w:rsidR="00A048F5" w:rsidRPr="00DC75E1">
        <w:rPr>
          <w:sz w:val="18"/>
          <w:rtl/>
          <w:lang w:val="ar-SA"/>
        </w:rPr>
        <w:t xml:space="preserve"> منذ بدء التحقيق. وذكرت صاحبة البلاغ على وجه التحديد مقابلة شخصية أجريت مع وزير الشؤون الداخلية، السيد </w:t>
      </w:r>
      <w:proofErr w:type="spellStart"/>
      <w:r w:rsidR="00A048F5" w:rsidRPr="00DC75E1">
        <w:rPr>
          <w:sz w:val="18"/>
          <w:rtl/>
          <w:lang w:val="ar-SA"/>
        </w:rPr>
        <w:t>ناعوموف</w:t>
      </w:r>
      <w:proofErr w:type="spellEnd"/>
      <w:r w:rsidR="00A048F5" w:rsidRPr="00DC75E1">
        <w:rPr>
          <w:sz w:val="18"/>
          <w:rtl/>
          <w:lang w:val="ar-SA"/>
        </w:rPr>
        <w:t>، في</w:t>
      </w:r>
      <w:r w:rsidRPr="00DC75E1">
        <w:rPr>
          <w:rFonts w:hint="cs"/>
          <w:sz w:val="18"/>
          <w:rtl/>
          <w:lang w:val="ar-SA"/>
        </w:rPr>
        <w:t> </w:t>
      </w:r>
      <w:r w:rsidR="00A048F5" w:rsidRPr="00DC75E1">
        <w:rPr>
          <w:sz w:val="18"/>
          <w:rtl/>
          <w:lang w:val="ar-SA"/>
        </w:rPr>
        <w:t>2 آذار/</w:t>
      </w:r>
      <w:r w:rsidR="00EF1126">
        <w:rPr>
          <w:rFonts w:hint="cs"/>
          <w:sz w:val="18"/>
          <w:rtl/>
          <w:lang w:val="ar-SA"/>
        </w:rPr>
        <w:t xml:space="preserve"> </w:t>
      </w:r>
      <w:r w:rsidR="00A048F5" w:rsidRPr="00DC75E1">
        <w:rPr>
          <w:sz w:val="18"/>
          <w:rtl/>
          <w:lang w:val="ar-SA"/>
        </w:rPr>
        <w:t xml:space="preserve">مارس 2009، حيث نعت ابنها والمتهمين معه بصفة </w:t>
      </w:r>
      <w:r w:rsidR="00220FB8">
        <w:rPr>
          <w:sz w:val="18"/>
          <w:rtl/>
          <w:lang w:val="ar-SA"/>
        </w:rPr>
        <w:t>‏</w:t>
      </w:r>
      <w:r w:rsidR="00220FB8">
        <w:rPr>
          <w:rFonts w:hint="cs"/>
          <w:rtl/>
          <w:lang w:val="ar-SA"/>
        </w:rPr>
        <w:t>"</w:t>
      </w:r>
      <w:r w:rsidR="00220FB8">
        <w:rPr>
          <w:sz w:val="18"/>
          <w:rtl/>
          <w:lang w:val="ar-SA"/>
        </w:rPr>
        <w:t>‏</w:t>
      </w:r>
      <w:r w:rsidR="00A048F5" w:rsidRPr="00DC75E1">
        <w:rPr>
          <w:sz w:val="18"/>
          <w:rtl/>
          <w:lang w:val="ar-SA"/>
        </w:rPr>
        <w:t>المجرمين</w:t>
      </w:r>
      <w:r w:rsidR="00220FB8">
        <w:rPr>
          <w:rFonts w:hint="cs"/>
          <w:rtl/>
          <w:lang w:val="ar-SA"/>
        </w:rPr>
        <w:t>"</w:t>
      </w:r>
      <w:r w:rsidR="00A048F5" w:rsidRPr="00DC75E1">
        <w:rPr>
          <w:sz w:val="18"/>
          <w:rtl/>
          <w:lang w:val="ar-SA"/>
        </w:rPr>
        <w:t xml:space="preserve"> قبل إدانتهم.</w:t>
      </w:r>
    </w:p>
    <w:p w:rsidR="00A048F5" w:rsidRPr="002F680A" w:rsidRDefault="00AC032F" w:rsidP="00AC032F">
      <w:pPr>
        <w:pStyle w:val="SingleTxtGA"/>
        <w:rPr>
          <w:rtl/>
          <w:lang w:val="ar-SA"/>
        </w:rPr>
      </w:pPr>
      <w:r>
        <w:rPr>
          <w:rtl/>
          <w:lang w:val="ar-SA"/>
        </w:rPr>
        <w:t>2-4</w:t>
      </w:r>
      <w:r>
        <w:rPr>
          <w:rFonts w:hint="cs"/>
          <w:rtl/>
          <w:lang w:val="ar-SA"/>
        </w:rPr>
        <w:tab/>
      </w:r>
      <w:r w:rsidR="00A048F5" w:rsidRPr="002F680A">
        <w:rPr>
          <w:rtl/>
          <w:lang w:val="ar-SA"/>
        </w:rPr>
        <w:t>وأفادت صاحبة البلاغ أيض</w:t>
      </w:r>
      <w:r w:rsidR="00220FB8">
        <w:rPr>
          <w:rtl/>
          <w:lang w:val="ar-SA"/>
        </w:rPr>
        <w:t xml:space="preserve">اً </w:t>
      </w:r>
      <w:r w:rsidR="00A048F5" w:rsidRPr="002F680A">
        <w:rPr>
          <w:rtl/>
          <w:lang w:val="ar-SA"/>
        </w:rPr>
        <w:t>بأن المحكمة الابتدائية كانت متحيزة ضد ابنها تحت تأثير وسائط الإعلام ومسؤولين حكوميين رفيعي المستوى، كانوا قد أصدروا حكمهم بإدانته مسبق</w:t>
      </w:r>
      <w:r w:rsidR="00594D6C">
        <w:rPr>
          <w:rtl/>
          <w:lang w:val="ar-SA"/>
        </w:rPr>
        <w:t>اً.</w:t>
      </w:r>
      <w:r w:rsidR="00A048F5" w:rsidRPr="002F680A">
        <w:rPr>
          <w:rtl/>
          <w:lang w:val="ar-SA"/>
        </w:rPr>
        <w:t xml:space="preserve"> وتقول إنه، بينما وجه الادعاء إلى ابنها تهمة نية ارتكاب سطو مسلح، فقد أدانته المحكمة بجريمة القتل العمد، وهي جريمة أشد خطورة ولم تتح له إمكانية الاستعداد للدفاع ضد اتهامه بها. </w:t>
      </w:r>
    </w:p>
    <w:p w:rsidR="00A048F5" w:rsidRPr="009D2058" w:rsidRDefault="007E17DB" w:rsidP="00C8357E">
      <w:pPr>
        <w:pStyle w:val="SingleTxtGA"/>
        <w:rPr>
          <w:rFonts w:hint="cs"/>
          <w:spacing w:val="-1"/>
          <w:rtl/>
          <w:lang w:val="ar-SA"/>
        </w:rPr>
      </w:pPr>
      <w:r w:rsidRPr="009D2058">
        <w:rPr>
          <w:spacing w:val="-1"/>
          <w:rtl/>
          <w:lang w:val="ar-SA"/>
        </w:rPr>
        <w:t>2-5</w:t>
      </w:r>
      <w:r w:rsidRPr="009D2058">
        <w:rPr>
          <w:rFonts w:hint="cs"/>
          <w:spacing w:val="-1"/>
          <w:rtl/>
          <w:lang w:val="ar-SA"/>
        </w:rPr>
        <w:tab/>
      </w:r>
      <w:r w:rsidR="00A048F5" w:rsidRPr="009D2058">
        <w:rPr>
          <w:spacing w:val="-1"/>
          <w:rtl/>
          <w:lang w:val="ar-SA"/>
        </w:rPr>
        <w:t xml:space="preserve">وفي 21 تشرين الأول/أكتوبر 2009، تقدم محام يمثل ابن صاحبة البلاغ أمام الدائرة الجنائية بالمحكمة العليا، بطلب إلى وحدة الحبس الاحتياطي رقم 1 التابعة لوزارة الداخلية من أجل تزويده بنسخة من السجلات الطبية لموكله منذ لحظة نقل السيد جوك ووضعه في الحبس بالسجن رقم 8، في </w:t>
      </w:r>
      <w:proofErr w:type="spellStart"/>
      <w:r w:rsidR="00A048F5" w:rsidRPr="009D2058">
        <w:rPr>
          <w:spacing w:val="-1"/>
          <w:rtl/>
          <w:lang w:val="ar-SA"/>
        </w:rPr>
        <w:t>جودينو</w:t>
      </w:r>
      <w:proofErr w:type="spellEnd"/>
      <w:r w:rsidR="00A048F5" w:rsidRPr="009D2058">
        <w:rPr>
          <w:spacing w:val="-1"/>
          <w:rtl/>
          <w:lang w:val="ar-SA"/>
        </w:rPr>
        <w:t xml:space="preserve">. وفي 26 تشرين الأول/أكتوبر 2009، تلقى المحامي نسخة من شهادة طبية تبين أنه وجدت آثار إصابات على بدن ابن صاحبة البلاغ </w:t>
      </w:r>
      <w:r w:rsidR="00CD573C">
        <w:rPr>
          <w:spacing w:val="-1"/>
          <w:rtl/>
          <w:lang w:val="ar-SA"/>
        </w:rPr>
        <w:t>(</w:t>
      </w:r>
      <w:r w:rsidR="00A048F5" w:rsidRPr="009D2058">
        <w:rPr>
          <w:spacing w:val="-1"/>
          <w:rtl/>
          <w:lang w:val="ar-SA"/>
        </w:rPr>
        <w:t>في هيئة كدمات زرقاء داكنة)، خلال الفحص الطبي الذي أجري عليه في 16 آذار/</w:t>
      </w:r>
      <w:r w:rsidRPr="009D2058">
        <w:rPr>
          <w:rFonts w:hint="cs"/>
          <w:spacing w:val="-1"/>
          <w:rtl/>
          <w:lang w:val="ar-SA"/>
        </w:rPr>
        <w:t xml:space="preserve"> </w:t>
      </w:r>
      <w:r w:rsidR="00A048F5" w:rsidRPr="009D2058">
        <w:rPr>
          <w:spacing w:val="-1"/>
          <w:rtl/>
          <w:lang w:val="ar-SA"/>
        </w:rPr>
        <w:t>مارس</w:t>
      </w:r>
      <w:r w:rsidRPr="009D2058">
        <w:rPr>
          <w:rFonts w:hint="cs"/>
          <w:spacing w:val="-1"/>
          <w:rtl/>
          <w:lang w:val="ar-SA"/>
        </w:rPr>
        <w:t> </w:t>
      </w:r>
      <w:r w:rsidR="00A048F5" w:rsidRPr="009D2058">
        <w:rPr>
          <w:spacing w:val="-1"/>
          <w:rtl/>
          <w:lang w:val="ar-SA"/>
        </w:rPr>
        <w:t>2009. وعرض المحامي الشهادة الطبية على محكمة النقض وأرفقها بشكوى من أن ابن صاحبة البلاغ قد أسيئت معاملته في 1 آذار/مارس 2009، أثناء فترة الاحتجاز السابق للمحاكمة. وأفادت صاحبة البلاغ بأن المسائل المتعلقة بانتهاكات حقوق ابنها بموجب المادة</w:t>
      </w:r>
      <w:r w:rsidR="00C8357E" w:rsidRPr="009D2058">
        <w:rPr>
          <w:rFonts w:hint="cs"/>
          <w:spacing w:val="-1"/>
          <w:rtl/>
          <w:lang w:val="ar-SA"/>
        </w:rPr>
        <w:t> </w:t>
      </w:r>
      <w:r w:rsidR="00A048F5" w:rsidRPr="009D2058">
        <w:rPr>
          <w:spacing w:val="-1"/>
          <w:rtl/>
          <w:lang w:val="ar-SA"/>
        </w:rPr>
        <w:t>7، والفقرة 3(ز) من المادة 14، قد أثيرت في تلك الشك</w:t>
      </w:r>
      <w:r w:rsidR="00C8357E" w:rsidRPr="009D2058">
        <w:rPr>
          <w:spacing w:val="-1"/>
          <w:rtl/>
          <w:lang w:val="ar-SA"/>
        </w:rPr>
        <w:t>وى. التي رفضتها المحكمة العليا.</w:t>
      </w:r>
    </w:p>
    <w:p w:rsidR="00A048F5" w:rsidRPr="002F680A" w:rsidRDefault="005E3B2F" w:rsidP="00A048F5">
      <w:pPr>
        <w:pStyle w:val="SingleTxtGA"/>
        <w:rPr>
          <w:rtl/>
          <w:lang w:val="ar-SA"/>
        </w:rPr>
      </w:pPr>
      <w:r>
        <w:rPr>
          <w:rtl/>
          <w:lang w:val="ar-SA"/>
        </w:rPr>
        <w:t>2-6</w:t>
      </w:r>
      <w:r>
        <w:rPr>
          <w:rFonts w:hint="cs"/>
          <w:rtl/>
          <w:lang w:val="ar-SA"/>
        </w:rPr>
        <w:tab/>
      </w:r>
      <w:r w:rsidR="00A048F5" w:rsidRPr="002F680A">
        <w:rPr>
          <w:rtl/>
          <w:lang w:val="ar-SA"/>
        </w:rPr>
        <w:t>وفي 27 تشرين الأول/أكتوبر 2009، رفضت الدائرة الجنائية بالمحكمة العليا استئناف صاحبة البلاغ المتعلق بنقض الحكم وأيدت حكم الإعدام الصادر بحقه. وأفادت صاحبة البلاغ بأن ابنها قد أثار المسائل المتعلقة بانتهاكات حقوقه بمقتضى المادة 6، والمادة 9 (الفقرة 3) والمادة 14 من العهد، في الاستئناف المتعلق بنقض الحكم.</w:t>
      </w:r>
      <w:r w:rsidR="00F7131B">
        <w:rPr>
          <w:rtl/>
          <w:lang w:val="ar-SA"/>
        </w:rPr>
        <w:t xml:space="preserve"> </w:t>
      </w:r>
      <w:r w:rsidR="00A048F5" w:rsidRPr="002F680A">
        <w:rPr>
          <w:rtl/>
          <w:lang w:val="ar-SA"/>
        </w:rPr>
        <w:t xml:space="preserve">وتقول صاحبة البلاغ إن جميع سبل الانتصاف المحلية قد استنفدت في ذلك الصدد. </w:t>
      </w:r>
    </w:p>
    <w:p w:rsidR="00A048F5" w:rsidRPr="002F680A" w:rsidRDefault="005E3B2F" w:rsidP="005E3B2F">
      <w:pPr>
        <w:pStyle w:val="H23GA"/>
        <w:rPr>
          <w:rFonts w:hint="cs"/>
          <w:rtl/>
          <w:lang w:val="ar-SA"/>
        </w:rPr>
      </w:pPr>
      <w:r>
        <w:rPr>
          <w:rtl/>
          <w:lang w:val="ar-SA"/>
        </w:rPr>
        <w:tab/>
      </w:r>
      <w:r>
        <w:rPr>
          <w:rtl/>
          <w:lang w:val="ar-SA"/>
        </w:rPr>
        <w:tab/>
        <w:t>الشكوى</w:t>
      </w:r>
    </w:p>
    <w:p w:rsidR="00A048F5" w:rsidRPr="002F680A" w:rsidRDefault="005E3B2F" w:rsidP="005E3B2F">
      <w:pPr>
        <w:pStyle w:val="SingleTxtGA"/>
        <w:rPr>
          <w:rtl/>
          <w:lang w:val="ar-SA"/>
        </w:rPr>
      </w:pPr>
      <w:r>
        <w:rPr>
          <w:rtl/>
          <w:lang w:val="ar-SA"/>
        </w:rPr>
        <w:t>3-</w:t>
      </w:r>
      <w:r>
        <w:rPr>
          <w:rFonts w:hint="cs"/>
          <w:rtl/>
          <w:lang w:val="ar-SA"/>
        </w:rPr>
        <w:tab/>
      </w:r>
      <w:r w:rsidR="00A048F5" w:rsidRPr="002F680A">
        <w:rPr>
          <w:rtl/>
          <w:lang w:val="ar-SA"/>
        </w:rPr>
        <w:t>ترى صاحبة البلاغ أن حقوق ابنها بموجب المادة 6 (الفقرتان 1</w:t>
      </w:r>
      <w:r w:rsidR="00592A23">
        <w:rPr>
          <w:rtl/>
          <w:lang w:val="ar-SA"/>
        </w:rPr>
        <w:t xml:space="preserve"> و</w:t>
      </w:r>
      <w:r w:rsidR="00A048F5" w:rsidRPr="002F680A">
        <w:rPr>
          <w:rtl/>
          <w:lang w:val="ar-SA"/>
        </w:rPr>
        <w:t>2)، والمادة 7، والمادة 9 (الفقرة 3)، والمادة 14 (الفقرات 1</w:t>
      </w:r>
      <w:r w:rsidR="00592A23">
        <w:rPr>
          <w:rtl/>
          <w:lang w:val="ar-SA"/>
        </w:rPr>
        <w:t xml:space="preserve"> و</w:t>
      </w:r>
      <w:r w:rsidR="00A048F5" w:rsidRPr="002F680A">
        <w:rPr>
          <w:rtl/>
          <w:lang w:val="ar-SA"/>
        </w:rPr>
        <w:t>2</w:t>
      </w:r>
      <w:r w:rsidR="00592A23">
        <w:rPr>
          <w:rtl/>
          <w:lang w:val="ar-SA"/>
        </w:rPr>
        <w:t xml:space="preserve"> و3</w:t>
      </w:r>
      <w:r w:rsidR="00A048F5" w:rsidRPr="002F680A">
        <w:rPr>
          <w:rtl/>
          <w:lang w:val="ar-SA"/>
        </w:rPr>
        <w:t>(ب)،</w:t>
      </w:r>
      <w:r w:rsidR="00592A23">
        <w:rPr>
          <w:rtl/>
          <w:lang w:val="ar-SA"/>
        </w:rPr>
        <w:t xml:space="preserve"> و</w:t>
      </w:r>
      <w:r w:rsidR="00A048F5" w:rsidRPr="002F680A">
        <w:rPr>
          <w:rtl/>
          <w:lang w:val="ar-SA"/>
        </w:rPr>
        <w:t>(د)</w:t>
      </w:r>
      <w:r w:rsidR="00592A23">
        <w:rPr>
          <w:rtl/>
          <w:lang w:val="ar-SA"/>
        </w:rPr>
        <w:t xml:space="preserve"> و</w:t>
      </w:r>
      <w:r w:rsidR="00A048F5" w:rsidRPr="002F680A">
        <w:rPr>
          <w:rtl/>
          <w:lang w:val="ar-SA"/>
        </w:rPr>
        <w:t>(ز))، من العهد قد انتهكت من قبل الدولة الطرف، لأنه تعرض للاعتقال التعسفي، وإلى سوء المعاملة بعد توقيفه، والحكم عليه بالإعدام بعد محاكمة غير عادلة.</w:t>
      </w:r>
    </w:p>
    <w:p w:rsidR="00A048F5" w:rsidRPr="002F680A" w:rsidRDefault="00A048F5" w:rsidP="005E3B2F">
      <w:pPr>
        <w:pStyle w:val="H23GA"/>
        <w:rPr>
          <w:rtl/>
          <w:lang w:val="ar-SA"/>
        </w:rPr>
      </w:pPr>
      <w:r w:rsidRPr="002F680A">
        <w:rPr>
          <w:rtl/>
          <w:lang w:val="ar-SA"/>
        </w:rPr>
        <w:tab/>
      </w:r>
      <w:r w:rsidRPr="002F680A">
        <w:rPr>
          <w:rtl/>
          <w:lang w:val="ar-SA"/>
        </w:rPr>
        <w:tab/>
        <w:t>ملاحظات الدولة الطرف بشأن مقبولية البلاغ والتدابير المؤقتة</w:t>
      </w:r>
    </w:p>
    <w:p w:rsidR="00A048F5" w:rsidRPr="002F680A" w:rsidRDefault="005E3B2F" w:rsidP="002E64AA">
      <w:pPr>
        <w:pStyle w:val="SingleTxtGA"/>
        <w:rPr>
          <w:rtl/>
          <w:lang w:val="ar-SA"/>
        </w:rPr>
      </w:pPr>
      <w:r>
        <w:rPr>
          <w:rtl/>
          <w:lang w:val="ar-SA"/>
        </w:rPr>
        <w:t>4-1</w:t>
      </w:r>
      <w:r>
        <w:rPr>
          <w:rFonts w:hint="cs"/>
          <w:rtl/>
          <w:lang w:val="ar-SA"/>
        </w:rPr>
        <w:tab/>
      </w:r>
      <w:r w:rsidR="00A048F5" w:rsidRPr="002F680A">
        <w:rPr>
          <w:rtl/>
          <w:lang w:val="ar-SA"/>
        </w:rPr>
        <w:t xml:space="preserve">في 1 كانون الأول/ديسمبر 2009، أفادت الدولة الطرف بعدم قبولها لاستعراض حالة صاحب البلاغ من قبل اللجنة، لأن الشروع في إجراء بشأنه أمام اللجنة </w:t>
      </w:r>
      <w:r w:rsidR="00220FB8">
        <w:rPr>
          <w:rFonts w:hint="cs"/>
          <w:rtl/>
          <w:lang w:val="ar-SA"/>
        </w:rPr>
        <w:t>"</w:t>
      </w:r>
      <w:r w:rsidR="00A048F5" w:rsidRPr="002F680A">
        <w:rPr>
          <w:rtl/>
          <w:lang w:val="ar-SA"/>
        </w:rPr>
        <w:t>ليس له أساس قانوني</w:t>
      </w:r>
      <w:r w:rsidR="001B4D98">
        <w:rPr>
          <w:rFonts w:hint="cs"/>
          <w:rtl/>
          <w:lang w:val="ar-SA"/>
        </w:rPr>
        <w:t>"</w:t>
      </w:r>
      <w:r w:rsidR="00220FB8">
        <w:rPr>
          <w:rtl/>
          <w:lang w:val="ar-SA"/>
        </w:rPr>
        <w:t>‏</w:t>
      </w:r>
      <w:r w:rsidR="00A048F5" w:rsidRPr="002F680A">
        <w:rPr>
          <w:rtl/>
          <w:lang w:val="ar-SA"/>
        </w:rPr>
        <w:t xml:space="preserve"> وفق</w:t>
      </w:r>
      <w:r w:rsidR="00592A23">
        <w:rPr>
          <w:rtl/>
          <w:lang w:val="ar-SA"/>
        </w:rPr>
        <w:t xml:space="preserve">اً </w:t>
      </w:r>
      <w:r w:rsidR="004F312F">
        <w:rPr>
          <w:rtl/>
          <w:lang w:val="ar-SA"/>
        </w:rPr>
        <w:t>للمادة 2 والمادة 5 (الفقرة 2</w:t>
      </w:r>
      <w:r w:rsidR="00A048F5" w:rsidRPr="002F680A">
        <w:rPr>
          <w:rtl/>
          <w:lang w:val="ar-SA"/>
        </w:rPr>
        <w:t>(ب)) من البروتوكول الاختياري، وذلك تحديد</w:t>
      </w:r>
      <w:r w:rsidR="00592A23">
        <w:rPr>
          <w:rtl/>
          <w:lang w:val="ar-SA"/>
        </w:rPr>
        <w:t xml:space="preserve">اً </w:t>
      </w:r>
      <w:r w:rsidR="00A048F5" w:rsidRPr="002F680A">
        <w:rPr>
          <w:rtl/>
          <w:lang w:val="ar-SA"/>
        </w:rPr>
        <w:t>لأن ابن صاحبة البلاغ لم يستنفد سبل الانتصاف القانوني المحلية، إذ لم يتقدم بطلب مراجعة رقابية لدى المحكمة العليا. وقالت الدولة الطرف إن ما قامت به صاحبة البلاغ يشكل إساءة لاستعمال الحق في تقديم البلاغات بموجب المادة 3 من البروتوكول الاختياري، لأن ابنها لم</w:t>
      </w:r>
      <w:r w:rsidR="002E64AA">
        <w:rPr>
          <w:rFonts w:hint="cs"/>
          <w:rtl/>
          <w:lang w:val="ar-SA"/>
        </w:rPr>
        <w:t> </w:t>
      </w:r>
      <w:r w:rsidR="00A048F5" w:rsidRPr="002F680A">
        <w:rPr>
          <w:rtl/>
          <w:lang w:val="ar-SA"/>
        </w:rPr>
        <w:t>يقدم إلى المحكمة العليا طلب</w:t>
      </w:r>
      <w:r w:rsidR="00592A23">
        <w:rPr>
          <w:rtl/>
          <w:lang w:val="ar-SA"/>
        </w:rPr>
        <w:t xml:space="preserve">اً </w:t>
      </w:r>
      <w:r w:rsidR="00A048F5" w:rsidRPr="002F680A">
        <w:rPr>
          <w:rtl/>
          <w:lang w:val="ar-SA"/>
        </w:rPr>
        <w:t>من أجل إجراء مراجعة رقابية.</w:t>
      </w:r>
    </w:p>
    <w:p w:rsidR="00A048F5" w:rsidRPr="002F680A" w:rsidRDefault="005E3B2F" w:rsidP="005E3B2F">
      <w:pPr>
        <w:pStyle w:val="SingleTxtGA"/>
        <w:rPr>
          <w:rtl/>
          <w:lang w:val="ar-SA"/>
        </w:rPr>
      </w:pPr>
      <w:r>
        <w:rPr>
          <w:rtl/>
          <w:lang w:val="ar-SA"/>
        </w:rPr>
        <w:t>4-2</w:t>
      </w:r>
      <w:r>
        <w:rPr>
          <w:rFonts w:hint="cs"/>
          <w:rtl/>
          <w:lang w:val="ar-SA"/>
        </w:rPr>
        <w:tab/>
      </w:r>
      <w:r w:rsidR="00A048F5" w:rsidRPr="002F680A">
        <w:rPr>
          <w:rtl/>
          <w:lang w:val="ar-SA"/>
        </w:rPr>
        <w:t>وأفادت الدولة الطرف كذلك، بأن الانتهاكات المزعومة لحقوق ابن صاحبة البلاغ</w:t>
      </w:r>
      <w:r w:rsidR="00211F2A">
        <w:rPr>
          <w:rtl/>
          <w:lang w:val="ar-SA"/>
        </w:rPr>
        <w:t xml:space="preserve"> لا </w:t>
      </w:r>
      <w:r w:rsidR="00A048F5" w:rsidRPr="002F680A">
        <w:rPr>
          <w:rtl/>
          <w:lang w:val="ar-SA"/>
        </w:rPr>
        <w:t>تدعمها أدلة</w:t>
      </w:r>
      <w:r w:rsidR="00211F2A">
        <w:rPr>
          <w:rtl/>
          <w:lang w:val="ar-SA"/>
        </w:rPr>
        <w:t xml:space="preserve"> ولا </w:t>
      </w:r>
      <w:r w:rsidR="00A048F5" w:rsidRPr="002F680A">
        <w:rPr>
          <w:rtl/>
          <w:lang w:val="ar-SA"/>
        </w:rPr>
        <w:t>تطابق الواقع. وأضافت أن جرمه قد أثبت بما</w:t>
      </w:r>
      <w:r w:rsidR="00211F2A">
        <w:rPr>
          <w:rtl/>
          <w:lang w:val="ar-SA"/>
        </w:rPr>
        <w:t xml:space="preserve"> لا </w:t>
      </w:r>
      <w:r w:rsidR="00A048F5" w:rsidRPr="002F680A">
        <w:rPr>
          <w:rtl/>
          <w:lang w:val="ar-SA"/>
        </w:rPr>
        <w:t>يدع مجال</w:t>
      </w:r>
      <w:r w:rsidR="00592A23">
        <w:rPr>
          <w:rtl/>
          <w:lang w:val="ar-SA"/>
        </w:rPr>
        <w:t xml:space="preserve">اً </w:t>
      </w:r>
      <w:r w:rsidR="00A048F5" w:rsidRPr="002F680A">
        <w:rPr>
          <w:rtl/>
          <w:lang w:val="ar-SA"/>
        </w:rPr>
        <w:t>للشك وفق</w:t>
      </w:r>
      <w:r w:rsidR="00592A23">
        <w:rPr>
          <w:rtl/>
          <w:lang w:val="ar-SA"/>
        </w:rPr>
        <w:t xml:space="preserve">اً </w:t>
      </w:r>
      <w:r w:rsidR="00A048F5" w:rsidRPr="002F680A">
        <w:rPr>
          <w:rtl/>
          <w:lang w:val="ar-SA"/>
        </w:rPr>
        <w:t>للإجراءات الجنائية المحلية والقانون الجنائي المحلي. وقالت الدولة الطرف إن ادعاءات صاحبة البلاغ بموجب المادة 6 من العهد</w:t>
      </w:r>
      <w:r w:rsidR="00211F2A">
        <w:rPr>
          <w:rtl/>
          <w:lang w:val="ar-SA"/>
        </w:rPr>
        <w:t xml:space="preserve"> لا </w:t>
      </w:r>
      <w:r w:rsidR="00A048F5" w:rsidRPr="002F680A">
        <w:rPr>
          <w:rtl/>
          <w:lang w:val="ar-SA"/>
        </w:rPr>
        <w:t>أساس لها من الصحة، لأن تلك المادة تجيز عقوبة الإعدام، مع تقييدها فقط بأنها</w:t>
      </w:r>
      <w:r w:rsidR="00211F2A">
        <w:rPr>
          <w:rtl/>
          <w:lang w:val="ar-SA"/>
        </w:rPr>
        <w:t xml:space="preserve"> لا </w:t>
      </w:r>
      <w:r w:rsidR="00A048F5" w:rsidRPr="002F680A">
        <w:rPr>
          <w:rtl/>
          <w:lang w:val="ar-SA"/>
        </w:rPr>
        <w:t>تطبق على الجرائم التي يرتكبها أشخاص دون الثامنة عشرة من العمر،</w:t>
      </w:r>
      <w:r w:rsidR="00211F2A">
        <w:rPr>
          <w:rtl/>
          <w:lang w:val="ar-SA"/>
        </w:rPr>
        <w:t xml:space="preserve"> ولا </w:t>
      </w:r>
      <w:r w:rsidR="00A048F5" w:rsidRPr="002F680A">
        <w:rPr>
          <w:rtl/>
          <w:lang w:val="ar-SA"/>
        </w:rPr>
        <w:t xml:space="preserve">تنفذ على النساء الحوامل. وأشارت الدولة الطرف إلى أن تشريعاتها تقيد استخدام عقوبة الإعدام إلى مدى يتجاوز ما يفرضه العهد، لأنها تطبق فقط على الجرائم الأشد خطورة </w:t>
      </w:r>
      <w:r w:rsidR="00592A23">
        <w:rPr>
          <w:rtl/>
          <w:lang w:val="ar-SA"/>
        </w:rPr>
        <w:t>-</w:t>
      </w:r>
      <w:r w:rsidR="00A048F5" w:rsidRPr="002F680A">
        <w:rPr>
          <w:rtl/>
          <w:lang w:val="ar-SA"/>
        </w:rPr>
        <w:t xml:space="preserve"> مثل جريمة القتل العمد مع الظروف المشددة </w:t>
      </w:r>
      <w:r w:rsidR="00592A23">
        <w:rPr>
          <w:rtl/>
          <w:lang w:val="ar-SA"/>
        </w:rPr>
        <w:t>-</w:t>
      </w:r>
      <w:r w:rsidR="00211F2A">
        <w:rPr>
          <w:rtl/>
          <w:lang w:val="ar-SA"/>
        </w:rPr>
        <w:t xml:space="preserve"> ولا </w:t>
      </w:r>
      <w:r w:rsidR="00A048F5" w:rsidRPr="002F680A">
        <w:rPr>
          <w:rtl/>
          <w:lang w:val="ar-SA"/>
        </w:rPr>
        <w:t>يمكن تطبيقها على النساء والأشخاص القاصرين والرجال الذين تزيد أعمارهم عن 65 سنة. وأفادت بأن المحكمة</w:t>
      </w:r>
      <w:r w:rsidR="00F7131B">
        <w:rPr>
          <w:rtl/>
          <w:lang w:val="ar-SA"/>
        </w:rPr>
        <w:t xml:space="preserve"> </w:t>
      </w:r>
      <w:r w:rsidR="00A048F5" w:rsidRPr="002F680A">
        <w:rPr>
          <w:rtl/>
          <w:lang w:val="ar-SA"/>
        </w:rPr>
        <w:t>أخذت في اعتبارها، عندما أدانت</w:t>
      </w:r>
      <w:r w:rsidR="00F7131B">
        <w:rPr>
          <w:rtl/>
          <w:lang w:val="ar-SA"/>
        </w:rPr>
        <w:t xml:space="preserve"> </w:t>
      </w:r>
      <w:r w:rsidR="00A048F5" w:rsidRPr="002F680A">
        <w:rPr>
          <w:rtl/>
          <w:lang w:val="ar-SA"/>
        </w:rPr>
        <w:t>ابن صاحبة البلاغ، شخصيته وقسوة جرائم القتل والجرائم الخطيرة الأخرى التي اقترفها.</w:t>
      </w:r>
    </w:p>
    <w:p w:rsidR="00A048F5" w:rsidRPr="002F680A" w:rsidRDefault="005E3B2F" w:rsidP="005E3B2F">
      <w:pPr>
        <w:pStyle w:val="SingleTxtGA"/>
        <w:rPr>
          <w:rtl/>
          <w:lang w:val="ar-SA"/>
        </w:rPr>
      </w:pPr>
      <w:r>
        <w:rPr>
          <w:rtl/>
          <w:lang w:val="ar-SA"/>
        </w:rPr>
        <w:t>4-3</w:t>
      </w:r>
      <w:r>
        <w:rPr>
          <w:rFonts w:hint="cs"/>
          <w:rtl/>
          <w:lang w:val="ar-SA"/>
        </w:rPr>
        <w:tab/>
      </w:r>
      <w:r w:rsidR="00A048F5" w:rsidRPr="002F680A">
        <w:rPr>
          <w:rtl/>
          <w:lang w:val="ar-SA"/>
        </w:rPr>
        <w:t>وأفادت الدولة الطرف أيض</w:t>
      </w:r>
      <w:r w:rsidR="00594D6C">
        <w:rPr>
          <w:rtl/>
          <w:lang w:val="ar-SA"/>
        </w:rPr>
        <w:t>اً،</w:t>
      </w:r>
      <w:r w:rsidR="00A048F5" w:rsidRPr="002F680A">
        <w:rPr>
          <w:rtl/>
          <w:lang w:val="ar-SA"/>
        </w:rPr>
        <w:t xml:space="preserve"> بأن جميع القضايا التي يحكم فيها بالإعدام تستعرض فوق ذلك من قبل لجنة العفو الرئاسية، ثم من قبل الرئيس نفسه.</w:t>
      </w:r>
    </w:p>
    <w:p w:rsidR="00A048F5" w:rsidRPr="002F680A" w:rsidRDefault="005E3B2F" w:rsidP="001B4D98">
      <w:pPr>
        <w:pStyle w:val="SingleTxtGA"/>
        <w:rPr>
          <w:rtl/>
          <w:lang w:val="ar-SA"/>
        </w:rPr>
      </w:pPr>
      <w:r>
        <w:rPr>
          <w:rtl/>
          <w:lang w:val="ar-SA"/>
        </w:rPr>
        <w:t>4-4</w:t>
      </w:r>
      <w:r>
        <w:rPr>
          <w:rFonts w:hint="cs"/>
          <w:rtl/>
          <w:lang w:val="ar-SA"/>
        </w:rPr>
        <w:tab/>
      </w:r>
      <w:r w:rsidR="00A048F5" w:rsidRPr="002F680A">
        <w:rPr>
          <w:rtl/>
          <w:lang w:val="ar-SA"/>
        </w:rPr>
        <w:t>وفي 21 نيسان/أبريل 2010، أفادت الدولة الطرف، رد</w:t>
      </w:r>
      <w:r w:rsidR="00592A23">
        <w:rPr>
          <w:rtl/>
          <w:lang w:val="ar-SA"/>
        </w:rPr>
        <w:t xml:space="preserve">اً </w:t>
      </w:r>
      <w:r w:rsidR="00A048F5" w:rsidRPr="002F680A">
        <w:rPr>
          <w:rtl/>
          <w:lang w:val="ar-SA"/>
        </w:rPr>
        <w:t>على النشرة الصحفية التي أصدرتها اللجنة في 30 آذار/مارس 2010، بأن نشر المعلومات المتعلقة بالحالة من قبل اللجنة يتناقض مع أحكام الفقرة 3 من المادة 5 من البروتوكول الاختياري. وأفادت الدولة الطرف بأنها لم تخرق التزاماتها بموجب العهد والبروتوكول الاختياري الملحق به، لأن عقوبة الإعدام غير محظورة في القانون الدولي، وهي ليست طرف</w:t>
      </w:r>
      <w:r w:rsidR="00592A23">
        <w:rPr>
          <w:rtl/>
          <w:lang w:val="ar-SA"/>
        </w:rPr>
        <w:t xml:space="preserve">اً </w:t>
      </w:r>
      <w:r w:rsidR="00A048F5" w:rsidRPr="002F680A">
        <w:rPr>
          <w:rtl/>
          <w:lang w:val="ar-SA"/>
        </w:rPr>
        <w:t xml:space="preserve">في البروتوكول الاختياري الثاني للعهد، الهادف إلى إلغاء عقوبة الإعدام. وأفادت الدولة الطرف كذلك بأنها قد اعترفت باختصاص اللجنة بموجب المادة 1 من البروتوكول الاختياري، لكن </w:t>
      </w:r>
      <w:r w:rsidR="001B4D98">
        <w:rPr>
          <w:rFonts w:hint="cs"/>
          <w:rtl/>
          <w:lang w:val="ar-SA"/>
        </w:rPr>
        <w:t>"</w:t>
      </w:r>
      <w:r w:rsidR="00A048F5" w:rsidRPr="002F680A">
        <w:rPr>
          <w:rtl/>
          <w:lang w:val="ar-SA"/>
        </w:rPr>
        <w:t>محاولات اللجنة الرامية إلى فرض نظامها الداخلي باعتباره التزامات دولية على الدول الأطراف ... غير مقبولة على الإطلاق</w:t>
      </w:r>
      <w:r w:rsidR="00220FB8">
        <w:rPr>
          <w:rtl/>
          <w:lang w:val="ar-SA"/>
        </w:rPr>
        <w:t>‏</w:t>
      </w:r>
      <w:r w:rsidR="001B4D98">
        <w:rPr>
          <w:rFonts w:hint="cs"/>
          <w:rtl/>
          <w:lang w:val="ar-SA"/>
        </w:rPr>
        <w:t>"</w:t>
      </w:r>
      <w:r w:rsidR="00220FB8">
        <w:rPr>
          <w:rtl/>
          <w:lang w:val="ar-SA"/>
        </w:rPr>
        <w:t>‏</w:t>
      </w:r>
      <w:r w:rsidR="00A048F5" w:rsidRPr="002F680A">
        <w:rPr>
          <w:rtl/>
          <w:lang w:val="ar-SA"/>
        </w:rPr>
        <w:t>. وأكدت من جديد أنها لم تنتهك المادة 1 من البروتوكول الاختياري: لأن تلك المادة تعترف باختصاص اللجنة بتلقي البلاغات التي ترد مباشرة من الأفراد الذين يدعون أنهم ضحية الحرمان من حق والنظر في تلك البلاغات، لكن ليس تلقي بلاغات من طرف ثالث، كما أنها تعاونت مع اللجنة بنية حسنة وزودتها بجميع المعلومات ذات الصلة بتلك القضية. وأضافت أن التشريعات المحلية تلزم محاكم البلد بأن تنفذ فور</w:t>
      </w:r>
      <w:r w:rsidR="00592A23">
        <w:rPr>
          <w:rtl/>
          <w:lang w:val="ar-SA"/>
        </w:rPr>
        <w:t xml:space="preserve">اً </w:t>
      </w:r>
      <w:r w:rsidR="00A048F5" w:rsidRPr="002F680A">
        <w:rPr>
          <w:rtl/>
          <w:lang w:val="ar-SA"/>
        </w:rPr>
        <w:t>الأحكام التي تدخل حيز النفاذ، وأن البروتوكول الاختياري</w:t>
      </w:r>
      <w:r w:rsidR="00211F2A">
        <w:rPr>
          <w:rtl/>
          <w:lang w:val="ar-SA"/>
        </w:rPr>
        <w:t xml:space="preserve"> لا </w:t>
      </w:r>
      <w:r w:rsidR="00A048F5" w:rsidRPr="002F680A">
        <w:rPr>
          <w:rtl/>
          <w:lang w:val="ar-SA"/>
        </w:rPr>
        <w:t>يتضمن أحكام</w:t>
      </w:r>
      <w:r w:rsidR="00592A23">
        <w:rPr>
          <w:rtl/>
          <w:lang w:val="ar-SA"/>
        </w:rPr>
        <w:t xml:space="preserve">اً </w:t>
      </w:r>
      <w:r w:rsidR="00A048F5" w:rsidRPr="002F680A">
        <w:rPr>
          <w:rtl/>
          <w:lang w:val="ar-SA"/>
        </w:rPr>
        <w:t>تلزم الدول الأطراف بوقف تنفيذ عقوبة الإعدام إلى حين اكتمال استعراض اللجنة للشكاوى المقدمة من المدان. وأكدت الدولة الطرف أن موقف اللجنة القاضي بوقف عمليات الإعدام في مثل تلك الحالات ليس ملزم</w:t>
      </w:r>
      <w:r w:rsidR="00592A23">
        <w:rPr>
          <w:rtl/>
          <w:lang w:val="ar-SA"/>
        </w:rPr>
        <w:t xml:space="preserve">اً </w:t>
      </w:r>
      <w:r w:rsidR="00A048F5" w:rsidRPr="002F680A">
        <w:rPr>
          <w:rtl/>
          <w:lang w:val="ar-SA"/>
        </w:rPr>
        <w:t xml:space="preserve">وله </w:t>
      </w:r>
      <w:r w:rsidR="00220FB8">
        <w:rPr>
          <w:rFonts w:hint="cs"/>
          <w:rtl/>
          <w:lang w:val="ar-SA"/>
        </w:rPr>
        <w:t>"</w:t>
      </w:r>
      <w:r w:rsidR="00A048F5" w:rsidRPr="002F680A">
        <w:rPr>
          <w:rtl/>
          <w:lang w:val="ar-SA"/>
        </w:rPr>
        <w:t>طابع التوصية</w:t>
      </w:r>
      <w:r w:rsidR="00220FB8">
        <w:rPr>
          <w:rFonts w:hint="cs"/>
          <w:rtl/>
          <w:lang w:val="ar-SA"/>
        </w:rPr>
        <w:t>"</w:t>
      </w:r>
      <w:r w:rsidR="00A048F5" w:rsidRPr="002F680A">
        <w:rPr>
          <w:rtl/>
          <w:lang w:val="ar-SA"/>
        </w:rPr>
        <w:t>. وأضافت أن تلك المسألة يمكن حلها عن طريق تعديل البروتوكول الاختياري. وأفادت الدولة الطرف كذلك بأنها تفرض عقوبة الإعدام وتنفذها في حالات نادرة للغاية، وأن تلك المسألة تجري مناقشتها حالي</w:t>
      </w:r>
      <w:r w:rsidR="00592A23">
        <w:rPr>
          <w:rtl/>
          <w:lang w:val="ar-SA"/>
        </w:rPr>
        <w:t xml:space="preserve">اً </w:t>
      </w:r>
      <w:r w:rsidR="00A048F5" w:rsidRPr="002F680A">
        <w:rPr>
          <w:rtl/>
          <w:lang w:val="ar-SA"/>
        </w:rPr>
        <w:t xml:space="preserve">في البرلمان. </w:t>
      </w:r>
    </w:p>
    <w:p w:rsidR="00A048F5" w:rsidRPr="002F680A" w:rsidRDefault="00A048F5" w:rsidP="005E3B2F">
      <w:pPr>
        <w:pStyle w:val="H23GA"/>
        <w:rPr>
          <w:rtl/>
          <w:lang w:val="ar-SA"/>
        </w:rPr>
      </w:pPr>
      <w:r w:rsidRPr="002F680A">
        <w:rPr>
          <w:rtl/>
          <w:lang w:val="ar-SA"/>
        </w:rPr>
        <w:tab/>
      </w:r>
      <w:r w:rsidRPr="002F680A">
        <w:rPr>
          <w:rtl/>
          <w:lang w:val="ar-SA"/>
        </w:rPr>
        <w:tab/>
        <w:t>تعليقات صاحبة البلاغ على ملاحظات الدولة الطرف</w:t>
      </w:r>
    </w:p>
    <w:p w:rsidR="00A048F5" w:rsidRPr="002F680A" w:rsidRDefault="005E3B2F" w:rsidP="00592A23">
      <w:pPr>
        <w:pStyle w:val="SingleTxtGA"/>
        <w:rPr>
          <w:rtl/>
          <w:lang w:val="ar-SA"/>
        </w:rPr>
      </w:pPr>
      <w:r>
        <w:rPr>
          <w:rtl/>
          <w:lang w:val="ar-SA"/>
        </w:rPr>
        <w:t>5-1</w:t>
      </w:r>
      <w:r>
        <w:rPr>
          <w:rFonts w:hint="cs"/>
          <w:rtl/>
          <w:lang w:val="ar-SA"/>
        </w:rPr>
        <w:tab/>
      </w:r>
      <w:r w:rsidR="00A048F5" w:rsidRPr="002F680A">
        <w:rPr>
          <w:rtl/>
          <w:lang w:val="ar-SA"/>
        </w:rPr>
        <w:t>في 11 تموز/يوليه 2012، أفادت صاحبة البلاغ بأن كلا مسألتي تقديم طلب للحصول على عفو رئاسي وطلب إجراء مراجعة رقابية لدى المحكمة العليا في بيلاروس</w:t>
      </w:r>
      <w:r w:rsidR="00211F2A">
        <w:rPr>
          <w:rtl/>
          <w:lang w:val="ar-SA"/>
        </w:rPr>
        <w:t xml:space="preserve"> لا </w:t>
      </w:r>
      <w:r w:rsidR="00A048F5" w:rsidRPr="002F680A">
        <w:rPr>
          <w:rtl/>
          <w:lang w:val="ar-SA"/>
        </w:rPr>
        <w:t>يمكن اعتبارهما من وسائل الانتصاف المحلية الفعالة بموجب البروتوكول الاختياري. وفيما</w:t>
      </w:r>
      <w:r w:rsidR="00592A23">
        <w:rPr>
          <w:rFonts w:hint="cs"/>
          <w:rtl/>
          <w:lang w:val="ar-SA"/>
        </w:rPr>
        <w:t> </w:t>
      </w:r>
      <w:r w:rsidR="00A048F5" w:rsidRPr="002F680A">
        <w:rPr>
          <w:rtl/>
          <w:lang w:val="ar-SA"/>
        </w:rPr>
        <w:t>يتعلق بالعفو الرئاسي، تدفع صاحبة البلاغ بأنه</w:t>
      </w:r>
      <w:r w:rsidR="00211F2A">
        <w:rPr>
          <w:rtl/>
          <w:lang w:val="ar-SA"/>
        </w:rPr>
        <w:t xml:space="preserve"> لا </w:t>
      </w:r>
      <w:r w:rsidR="00A048F5" w:rsidRPr="002F680A">
        <w:rPr>
          <w:rtl/>
          <w:lang w:val="ar-SA"/>
        </w:rPr>
        <w:t>يمثل وسيلة انتصاف محلية فعالة يتعين استنفادها قبل تقديم البلاغات إلى اللجنة المعنية بحقوق الإنسان، لأنه من التدابير ذات الطابع الإنساني وليس من سبل الانتصاف القانونية</w:t>
      </w:r>
      <w:r w:rsidR="003E1328">
        <w:rPr>
          <w:vertAlign w:val="superscript"/>
          <w:rtl/>
          <w:lang w:val="ar-SA"/>
        </w:rPr>
        <w:t>(</w:t>
      </w:r>
      <w:r w:rsidR="003E1328">
        <w:rPr>
          <w:rStyle w:val="FootnoteReference"/>
          <w:rtl/>
          <w:lang w:val="ar-SA"/>
        </w:rPr>
        <w:footnoteReference w:id="5"/>
      </w:r>
      <w:r w:rsidR="003E1328">
        <w:rPr>
          <w:vertAlign w:val="superscript"/>
          <w:rtl/>
          <w:lang w:val="ar-SA"/>
        </w:rPr>
        <w:t>)</w:t>
      </w:r>
      <w:r w:rsidR="003E1328">
        <w:rPr>
          <w:rtl/>
          <w:lang w:val="ar-SA"/>
        </w:rPr>
        <w:t>.</w:t>
      </w:r>
      <w:r w:rsidR="003E1328">
        <w:rPr>
          <w:rFonts w:hint="cs"/>
          <w:rtl/>
          <w:lang w:val="ar-SA"/>
        </w:rPr>
        <w:t xml:space="preserve"> </w:t>
      </w:r>
      <w:r w:rsidR="00A048F5" w:rsidRPr="002F680A">
        <w:rPr>
          <w:rtl/>
          <w:lang w:val="ar-SA"/>
        </w:rPr>
        <w:t>وقالت صاحبة البلاغ كذلك، قياس</w:t>
      </w:r>
      <w:r w:rsidR="00592A23">
        <w:rPr>
          <w:rtl/>
          <w:lang w:val="ar-SA"/>
        </w:rPr>
        <w:t xml:space="preserve">اً </w:t>
      </w:r>
      <w:r w:rsidR="00A048F5" w:rsidRPr="002F680A">
        <w:rPr>
          <w:rtl/>
          <w:lang w:val="ar-SA"/>
        </w:rPr>
        <w:t>إلى السوابق القانونية التي أخذت بها اللجنة، إن المراجعة الرقابية ليست من وسائل الانتصاف المحلية الفعالة التي يتعين استنفادها على النحو المطلوب بموجب البروتوكول الاختياري، وأضافت أن الاستئناف المقدم في إطار ذلك الإجراء</w:t>
      </w:r>
      <w:r w:rsidR="00211F2A">
        <w:rPr>
          <w:rtl/>
          <w:lang w:val="ar-SA"/>
        </w:rPr>
        <w:t xml:space="preserve"> لا </w:t>
      </w:r>
      <w:r w:rsidR="00A048F5" w:rsidRPr="002F680A">
        <w:rPr>
          <w:rtl/>
          <w:lang w:val="ar-SA"/>
        </w:rPr>
        <w:t>يؤدي تلقائي</w:t>
      </w:r>
      <w:r w:rsidR="00592A23">
        <w:rPr>
          <w:rtl/>
          <w:lang w:val="ar-SA"/>
        </w:rPr>
        <w:t xml:space="preserve">اً </w:t>
      </w:r>
      <w:r w:rsidR="00A048F5" w:rsidRPr="002F680A">
        <w:rPr>
          <w:rtl/>
          <w:lang w:val="ar-SA"/>
        </w:rPr>
        <w:t>إلى النظر في فحواه. وعوض</w:t>
      </w:r>
      <w:r w:rsidR="00592A23">
        <w:rPr>
          <w:rtl/>
          <w:lang w:val="ar-SA"/>
        </w:rPr>
        <w:t xml:space="preserve">اً </w:t>
      </w:r>
      <w:r w:rsidR="00A048F5" w:rsidRPr="002F680A">
        <w:rPr>
          <w:rtl/>
          <w:lang w:val="ar-SA"/>
        </w:rPr>
        <w:t>عن ذلك، قد يقوم شخص مسؤول في الخدمة العامة، على مستوى رئيس محكمة في العادة، بالنظر في المسألة من طرف واحد، وقد يرفض الطلب.</w:t>
      </w:r>
      <w:r w:rsidR="00F7131B">
        <w:rPr>
          <w:rtl/>
          <w:lang w:val="ar-SA"/>
        </w:rPr>
        <w:t xml:space="preserve"> </w:t>
      </w:r>
      <w:r w:rsidR="00A048F5" w:rsidRPr="002F680A">
        <w:rPr>
          <w:rtl/>
          <w:lang w:val="ar-SA"/>
        </w:rPr>
        <w:t>وترى صاحبة البلاغ أن الاستعراض من طرف واحد، والذي</w:t>
      </w:r>
      <w:r w:rsidR="00211F2A">
        <w:rPr>
          <w:rtl/>
          <w:lang w:val="ar-SA"/>
        </w:rPr>
        <w:t xml:space="preserve"> لا </w:t>
      </w:r>
      <w:r w:rsidR="00A048F5" w:rsidRPr="002F680A">
        <w:rPr>
          <w:rtl/>
          <w:lang w:val="ar-SA"/>
        </w:rPr>
        <w:t>يشمل جلسة استماع علنية،</w:t>
      </w:r>
      <w:r w:rsidR="00211F2A">
        <w:rPr>
          <w:rtl/>
          <w:lang w:val="ar-SA"/>
        </w:rPr>
        <w:t xml:space="preserve"> لا </w:t>
      </w:r>
      <w:r w:rsidR="00A048F5" w:rsidRPr="002F680A">
        <w:rPr>
          <w:rtl/>
          <w:lang w:val="ar-SA"/>
        </w:rPr>
        <w:t>يسمح بأن تدرج المراجعة الرقابية ضمن وسائل الانتصاف.</w:t>
      </w:r>
    </w:p>
    <w:p w:rsidR="00A048F5" w:rsidRPr="002F680A" w:rsidRDefault="005E3B2F" w:rsidP="002E64AA">
      <w:pPr>
        <w:pStyle w:val="SingleTxtGA"/>
        <w:rPr>
          <w:rtl/>
          <w:lang w:val="ar-SA"/>
        </w:rPr>
      </w:pPr>
      <w:r>
        <w:rPr>
          <w:rtl/>
          <w:lang w:val="ar-SA"/>
        </w:rPr>
        <w:t>5-2</w:t>
      </w:r>
      <w:r>
        <w:rPr>
          <w:rFonts w:hint="cs"/>
          <w:rtl/>
          <w:lang w:val="ar-SA"/>
        </w:rPr>
        <w:tab/>
      </w:r>
      <w:r w:rsidR="00A048F5" w:rsidRPr="002F680A">
        <w:rPr>
          <w:rtl/>
          <w:lang w:val="ar-SA"/>
        </w:rPr>
        <w:t xml:space="preserve">وتقول صاحبة البلاغ كذلك </w:t>
      </w:r>
      <w:r w:rsidR="002E64AA">
        <w:rPr>
          <w:rFonts w:hint="cs"/>
          <w:rtl/>
          <w:lang w:val="ar-SA"/>
        </w:rPr>
        <w:t>إ</w:t>
      </w:r>
      <w:r w:rsidR="00A048F5" w:rsidRPr="002F680A">
        <w:rPr>
          <w:rtl/>
          <w:lang w:val="ar-SA"/>
        </w:rPr>
        <w:t>نه على الرغم من أن التشريعات تنص على إمكانية تقديم طلبات الحصول على المراجعة الرقابية والعفو الرئاسي، فهي</w:t>
      </w:r>
      <w:r w:rsidR="00211F2A">
        <w:rPr>
          <w:rtl/>
          <w:lang w:val="ar-SA"/>
        </w:rPr>
        <w:t xml:space="preserve"> لا </w:t>
      </w:r>
      <w:r w:rsidR="00A048F5" w:rsidRPr="002F680A">
        <w:rPr>
          <w:rtl/>
          <w:lang w:val="ar-SA"/>
        </w:rPr>
        <w:t>تحدد فترة زمنية لهذه الإجراءات، كما</w:t>
      </w:r>
      <w:r w:rsidR="00211F2A">
        <w:rPr>
          <w:rtl/>
          <w:lang w:val="ar-SA"/>
        </w:rPr>
        <w:t xml:space="preserve"> لا </w:t>
      </w:r>
      <w:r w:rsidR="00A048F5" w:rsidRPr="002F680A">
        <w:rPr>
          <w:rtl/>
          <w:lang w:val="ar-SA"/>
        </w:rPr>
        <w:t>تنص على إجراء بشأن إطلاع مقدمي الطلبات على نتائجها. والواقع أن الطلبات المتعلقة بحالات الإعدام</w:t>
      </w:r>
      <w:r w:rsidR="00211F2A">
        <w:rPr>
          <w:rtl/>
          <w:lang w:val="ar-SA"/>
        </w:rPr>
        <w:t xml:space="preserve"> لا </w:t>
      </w:r>
      <w:r w:rsidR="00A048F5" w:rsidRPr="002F680A">
        <w:rPr>
          <w:rtl/>
          <w:lang w:val="ar-SA"/>
        </w:rPr>
        <w:t>يفاد مقدموها برفض طلباتهم سوى قبل دقائق فقط من تنفيذ العقوبة عليهم. وتُخفى نتائج تلك الطلبات أيض</w:t>
      </w:r>
      <w:r w:rsidR="00592A23">
        <w:rPr>
          <w:rtl/>
          <w:lang w:val="ar-SA"/>
        </w:rPr>
        <w:t xml:space="preserve">اً </w:t>
      </w:r>
      <w:r w:rsidR="00A048F5" w:rsidRPr="002F680A">
        <w:rPr>
          <w:rtl/>
          <w:lang w:val="ar-SA"/>
        </w:rPr>
        <w:t>عن المحامين وأسر الأشخاص المدانين. وقالت صاحبة البلاغ أيض</w:t>
      </w:r>
      <w:r w:rsidR="00592A23">
        <w:rPr>
          <w:rtl/>
          <w:lang w:val="ar-SA"/>
        </w:rPr>
        <w:t xml:space="preserve">اً </w:t>
      </w:r>
      <w:r w:rsidR="00A048F5" w:rsidRPr="002F680A">
        <w:rPr>
          <w:rtl/>
          <w:lang w:val="ar-SA"/>
        </w:rPr>
        <w:t>إن عقوبة الإعدام تنفذ بشكل سري في بيلاروس،</w:t>
      </w:r>
      <w:r w:rsidR="00211F2A">
        <w:rPr>
          <w:rtl/>
          <w:lang w:val="ar-SA"/>
        </w:rPr>
        <w:t xml:space="preserve"> ولا </w:t>
      </w:r>
      <w:r w:rsidR="00A048F5" w:rsidRPr="002F680A">
        <w:rPr>
          <w:rtl/>
          <w:lang w:val="ar-SA"/>
        </w:rPr>
        <w:t>يفاد المحكوم عليه أو محاميه أو أسرته بتاريخ التنفيذ بشكل مسبق. وبذلك</w:t>
      </w:r>
      <w:r w:rsidR="00211F2A">
        <w:rPr>
          <w:rtl/>
          <w:lang w:val="ar-SA"/>
        </w:rPr>
        <w:t xml:space="preserve"> لا </w:t>
      </w:r>
      <w:r w:rsidR="00A048F5" w:rsidRPr="002F680A">
        <w:rPr>
          <w:rtl/>
          <w:lang w:val="ar-SA"/>
        </w:rPr>
        <w:t>تتاح للشخص المحكوم عليه بالإعدام إمكانية حقيقية لتقديم بلاغ إلى اللجنة بعد رفض طلبه للحصول على المراجعة الرقابية أو العفو الرئاسي.</w:t>
      </w:r>
    </w:p>
    <w:p w:rsidR="00A048F5" w:rsidRPr="002F680A" w:rsidRDefault="005E3B2F" w:rsidP="005E3B2F">
      <w:pPr>
        <w:pStyle w:val="SingleTxtGA"/>
        <w:rPr>
          <w:rtl/>
          <w:lang w:val="ar-SA"/>
        </w:rPr>
      </w:pPr>
      <w:r>
        <w:rPr>
          <w:rtl/>
          <w:lang w:val="ar-SA"/>
        </w:rPr>
        <w:t>5-3</w:t>
      </w:r>
      <w:r>
        <w:rPr>
          <w:rFonts w:hint="cs"/>
          <w:rtl/>
          <w:lang w:val="ar-SA"/>
        </w:rPr>
        <w:tab/>
      </w:r>
      <w:r w:rsidR="00A048F5" w:rsidRPr="002F680A">
        <w:rPr>
          <w:rtl/>
          <w:lang w:val="ar-SA"/>
        </w:rPr>
        <w:t>وأفادت صاحبة البلاغ بأن ابنها قدم طلب</w:t>
      </w:r>
      <w:r w:rsidR="00592A23">
        <w:rPr>
          <w:rtl/>
          <w:lang w:val="ar-SA"/>
        </w:rPr>
        <w:t xml:space="preserve">اً </w:t>
      </w:r>
      <w:r w:rsidR="00A048F5" w:rsidRPr="002F680A">
        <w:rPr>
          <w:rtl/>
          <w:lang w:val="ar-SA"/>
        </w:rPr>
        <w:t>للحصول على عفو رئاسي في 13 تشرين الثاني/نوفمبر 2009. وقالت إن ذلك الطلب قد رفض على الأرجح، وقدمت سرد</w:t>
      </w:r>
      <w:r w:rsidR="00592A23">
        <w:rPr>
          <w:rtl/>
          <w:lang w:val="ar-SA"/>
        </w:rPr>
        <w:t xml:space="preserve">اً </w:t>
      </w:r>
      <w:r w:rsidR="00A048F5" w:rsidRPr="002F680A">
        <w:rPr>
          <w:rtl/>
          <w:lang w:val="ar-SA"/>
        </w:rPr>
        <w:t>تفصيلي</w:t>
      </w:r>
      <w:r w:rsidR="00592A23">
        <w:rPr>
          <w:rtl/>
          <w:lang w:val="ar-SA"/>
        </w:rPr>
        <w:t xml:space="preserve">اً </w:t>
      </w:r>
      <w:r w:rsidR="00A048F5" w:rsidRPr="002F680A">
        <w:rPr>
          <w:rtl/>
          <w:lang w:val="ar-SA"/>
        </w:rPr>
        <w:t>للمحاولات العديدة غير الناجحة التي قامت بها من أجل الحصول على معلومات عن مكان وجود ابنها وما إذا كان الحكم قد نفذ فيه، ابتداء من 19 آذار/مارس 2010. وأفادت بأن وزير الشؤون الداخلية أقر بتنفيذ حكم الإعدام على ابنها، في نشرته الصحفية الصادرة في 2 نيسان/أبريل 2010.</w:t>
      </w:r>
    </w:p>
    <w:p w:rsidR="00A048F5" w:rsidRPr="002F680A" w:rsidRDefault="00A048F5" w:rsidP="00AE2FBF">
      <w:pPr>
        <w:pStyle w:val="SingleTxtGA"/>
        <w:rPr>
          <w:rtl/>
          <w:lang w:val="ar-SA"/>
        </w:rPr>
      </w:pPr>
      <w:r w:rsidRPr="002F680A">
        <w:rPr>
          <w:rtl/>
          <w:lang w:val="ar-SA"/>
        </w:rPr>
        <w:t>5</w:t>
      </w:r>
      <w:r w:rsidR="005E3B2F">
        <w:rPr>
          <w:rtl/>
          <w:lang w:val="ar-SA"/>
        </w:rPr>
        <w:t>-4</w:t>
      </w:r>
      <w:r w:rsidR="005E3B2F">
        <w:rPr>
          <w:rFonts w:hint="cs"/>
          <w:rtl/>
          <w:lang w:val="ar-SA"/>
        </w:rPr>
        <w:tab/>
      </w:r>
      <w:r w:rsidRPr="002F680A">
        <w:rPr>
          <w:rtl/>
          <w:lang w:val="ar-SA"/>
        </w:rPr>
        <w:t>وقالت أيض</w:t>
      </w:r>
      <w:r w:rsidR="00592A23">
        <w:rPr>
          <w:rtl/>
          <w:lang w:val="ar-SA"/>
        </w:rPr>
        <w:t xml:space="preserve">اً </w:t>
      </w:r>
      <w:r w:rsidRPr="002F680A">
        <w:rPr>
          <w:rtl/>
          <w:lang w:val="ar-SA"/>
        </w:rPr>
        <w:t xml:space="preserve">إن رسالة الدولة الطرف اشتملت على </w:t>
      </w:r>
      <w:r w:rsidRPr="002F680A">
        <w:rPr>
          <w:i/>
          <w:iCs/>
          <w:rtl/>
          <w:lang w:val="ar-SA"/>
        </w:rPr>
        <w:t>وقائع مجردة</w:t>
      </w:r>
      <w:r w:rsidRPr="002F680A">
        <w:rPr>
          <w:rtl/>
          <w:lang w:val="ar-SA"/>
        </w:rPr>
        <w:t>، ولم تعترض على مضمون معظم ادعاءات صاحبة البلاغ. وفيما يتعلق بحجة الدولة الطرف بأن إثارة صاحبة البلاغ لمسألة الانتهاك المزعوم للمادة 6 من العهد ادعاء</w:t>
      </w:r>
      <w:r w:rsidR="00211F2A">
        <w:rPr>
          <w:rtl/>
          <w:lang w:val="ar-SA"/>
        </w:rPr>
        <w:t xml:space="preserve"> لا </w:t>
      </w:r>
      <w:r w:rsidRPr="002F680A">
        <w:rPr>
          <w:rtl/>
          <w:lang w:val="ar-SA"/>
        </w:rPr>
        <w:t>أساس له، أشارت صاحبة البلاغ إلى أن فقه اللجنة يصنف صدور حكم بالإعدام في نهاية محاكمة لم تحترم فيها أحكام العهد على أنه يشكل حرمان</w:t>
      </w:r>
      <w:r w:rsidR="00592A23">
        <w:rPr>
          <w:rtl/>
          <w:lang w:val="ar-SA"/>
        </w:rPr>
        <w:t xml:space="preserve">اً </w:t>
      </w:r>
      <w:r w:rsidRPr="002F680A">
        <w:rPr>
          <w:rtl/>
          <w:lang w:val="ar-SA"/>
        </w:rPr>
        <w:t>تعسفي</w:t>
      </w:r>
      <w:r w:rsidR="00592A23">
        <w:rPr>
          <w:rtl/>
          <w:lang w:val="ar-SA"/>
        </w:rPr>
        <w:t xml:space="preserve">اً </w:t>
      </w:r>
      <w:r w:rsidRPr="002F680A">
        <w:rPr>
          <w:rtl/>
          <w:lang w:val="ar-SA"/>
        </w:rPr>
        <w:t>من الحياة. ولاحظت صاحبة البلاغ أن الدولة الطرف لم</w:t>
      </w:r>
      <w:r w:rsidR="00AE2FBF">
        <w:rPr>
          <w:rFonts w:hint="cs"/>
          <w:rtl/>
          <w:lang w:val="ar-SA"/>
        </w:rPr>
        <w:t> </w:t>
      </w:r>
      <w:r w:rsidRPr="002F680A">
        <w:rPr>
          <w:rtl/>
          <w:lang w:val="ar-SA"/>
        </w:rPr>
        <w:t xml:space="preserve">تطعن في الادعاءات التي أثارتها في إطار المادة 9 (الفقرة 3) والمادة 7، والمادة 14 من العهد. </w:t>
      </w:r>
    </w:p>
    <w:p w:rsidR="00A048F5" w:rsidRPr="002F680A" w:rsidRDefault="005E3B2F" w:rsidP="00220FB8">
      <w:pPr>
        <w:pStyle w:val="SingleTxtGA"/>
        <w:rPr>
          <w:rtl/>
          <w:lang w:val="ar-SA"/>
        </w:rPr>
      </w:pPr>
      <w:r>
        <w:rPr>
          <w:rtl/>
          <w:lang w:val="ar-SA"/>
        </w:rPr>
        <w:t>5-5</w:t>
      </w:r>
      <w:r>
        <w:rPr>
          <w:rFonts w:hint="cs"/>
          <w:rtl/>
          <w:lang w:val="ar-SA"/>
        </w:rPr>
        <w:tab/>
      </w:r>
      <w:r w:rsidR="00A048F5" w:rsidRPr="002F680A">
        <w:rPr>
          <w:rtl/>
          <w:lang w:val="ar-SA"/>
        </w:rPr>
        <w:t>وقدمت صاحبة البلاغ أيض</w:t>
      </w:r>
      <w:r w:rsidR="00592A23">
        <w:rPr>
          <w:rtl/>
          <w:lang w:val="ar-SA"/>
        </w:rPr>
        <w:t xml:space="preserve">اً </w:t>
      </w:r>
      <w:r w:rsidR="00A048F5" w:rsidRPr="002F680A">
        <w:rPr>
          <w:rtl/>
          <w:lang w:val="ar-SA"/>
        </w:rPr>
        <w:t>نسخ</w:t>
      </w:r>
      <w:r w:rsidR="00592A23">
        <w:rPr>
          <w:rtl/>
          <w:lang w:val="ar-SA"/>
        </w:rPr>
        <w:t xml:space="preserve">اً </w:t>
      </w:r>
      <w:r w:rsidR="00A048F5" w:rsidRPr="002F680A">
        <w:rPr>
          <w:rtl/>
          <w:lang w:val="ar-SA"/>
        </w:rPr>
        <w:t>من المقابلات الشخصية التي أجريت مع الرئيس السابق وحدة الحبس الاحتياطي رقم 1، التي أورد فيها وصف</w:t>
      </w:r>
      <w:r w:rsidR="00592A23">
        <w:rPr>
          <w:rtl/>
          <w:lang w:val="ar-SA"/>
        </w:rPr>
        <w:t xml:space="preserve">اً </w:t>
      </w:r>
      <w:r w:rsidR="00A048F5" w:rsidRPr="002F680A">
        <w:rPr>
          <w:rtl/>
          <w:lang w:val="ar-SA"/>
        </w:rPr>
        <w:t>تفصيلي</w:t>
      </w:r>
      <w:r w:rsidR="00592A23">
        <w:rPr>
          <w:rtl/>
          <w:lang w:val="ar-SA"/>
        </w:rPr>
        <w:t xml:space="preserve">اً </w:t>
      </w:r>
      <w:r w:rsidR="00A048F5" w:rsidRPr="002F680A">
        <w:rPr>
          <w:rtl/>
          <w:lang w:val="ar-SA"/>
        </w:rPr>
        <w:t>لكيفية تنفيذ أحكام الإعدام؛ ومع وزير الشؤون الداخلية، الذي ذكر في جملة أمور</w:t>
      </w:r>
      <w:r w:rsidR="005C7473">
        <w:rPr>
          <w:rFonts w:hint="cs"/>
          <w:rtl/>
          <w:lang w:val="ar-SA"/>
        </w:rPr>
        <w:t xml:space="preserve"> </w:t>
      </w:r>
      <w:r w:rsidR="00A048F5" w:rsidRPr="002F680A">
        <w:rPr>
          <w:rtl/>
          <w:lang w:val="ar-SA"/>
        </w:rPr>
        <w:t xml:space="preserve">أن التشريعات المحلية تعلو على </w:t>
      </w:r>
      <w:r w:rsidR="00220FB8">
        <w:rPr>
          <w:rFonts w:hint="cs"/>
          <w:rtl/>
          <w:lang w:val="ar-SA"/>
        </w:rPr>
        <w:t>"</w:t>
      </w:r>
      <w:r w:rsidR="00A048F5" w:rsidRPr="002F680A">
        <w:rPr>
          <w:rtl/>
          <w:lang w:val="ar-SA"/>
        </w:rPr>
        <w:t>المعايير المستوردة من أماكن أخرى</w:t>
      </w:r>
      <w:r w:rsidR="00220FB8">
        <w:rPr>
          <w:rFonts w:hint="cs"/>
          <w:rtl/>
          <w:lang w:val="ar-SA"/>
        </w:rPr>
        <w:t>"</w:t>
      </w:r>
      <w:r w:rsidR="00A048F5" w:rsidRPr="002F680A">
        <w:rPr>
          <w:rtl/>
          <w:lang w:val="ar-SA"/>
        </w:rPr>
        <w:t xml:space="preserve">؛ والقاضي السابق بمحكمة </w:t>
      </w:r>
      <w:proofErr w:type="spellStart"/>
      <w:r w:rsidR="00A048F5" w:rsidRPr="002F680A">
        <w:rPr>
          <w:rtl/>
          <w:lang w:val="ar-SA"/>
        </w:rPr>
        <w:t>مينسك</w:t>
      </w:r>
      <w:proofErr w:type="spellEnd"/>
      <w:r w:rsidR="00A048F5" w:rsidRPr="002F680A">
        <w:rPr>
          <w:rtl/>
          <w:lang w:val="ar-SA"/>
        </w:rPr>
        <w:t xml:space="preserve"> الإقليمية، الذي شارك في النظر في قضية ابنها، والذي وصف كيفية ارتهان قرار السلطة القضائية للأوامر التي تتلقاها من مكتب الرئيس.</w:t>
      </w:r>
    </w:p>
    <w:p w:rsidR="00A048F5" w:rsidRPr="002F680A" w:rsidRDefault="00A048F5" w:rsidP="005E3B2F">
      <w:pPr>
        <w:pStyle w:val="H23GA"/>
        <w:rPr>
          <w:rtl/>
          <w:lang w:val="ar-SA"/>
        </w:rPr>
      </w:pPr>
      <w:r w:rsidRPr="002F680A">
        <w:rPr>
          <w:rtl/>
          <w:lang w:val="ar-SA"/>
        </w:rPr>
        <w:tab/>
      </w:r>
      <w:r w:rsidRPr="002F680A">
        <w:rPr>
          <w:rtl/>
          <w:lang w:val="ar-SA"/>
        </w:rPr>
        <w:tab/>
        <w:t>المسائل والإجراءات المعروضة على اللجنة</w:t>
      </w:r>
    </w:p>
    <w:p w:rsidR="00A048F5" w:rsidRPr="002F680A" w:rsidRDefault="00A048F5" w:rsidP="005E3B2F">
      <w:pPr>
        <w:pStyle w:val="H4GA"/>
        <w:rPr>
          <w:rtl/>
          <w:lang w:val="ar-SA"/>
        </w:rPr>
      </w:pPr>
      <w:r w:rsidRPr="002F680A">
        <w:rPr>
          <w:rtl/>
          <w:lang w:val="ar-SA"/>
        </w:rPr>
        <w:tab/>
      </w:r>
      <w:r w:rsidRPr="002F680A">
        <w:rPr>
          <w:rtl/>
          <w:lang w:val="ar-SA"/>
        </w:rPr>
        <w:tab/>
        <w:t xml:space="preserve">عدم تعاون الدولة الطرف وعدم احترامها لطلب اللجنة المتعلق باتخاذ تدابير مؤقتة </w:t>
      </w:r>
    </w:p>
    <w:p w:rsidR="00A048F5" w:rsidRPr="002F680A" w:rsidRDefault="005E3B2F" w:rsidP="005E3B2F">
      <w:pPr>
        <w:pStyle w:val="SingleTxtGA"/>
        <w:rPr>
          <w:rtl/>
          <w:lang w:val="ar-SA"/>
        </w:rPr>
      </w:pPr>
      <w:r>
        <w:rPr>
          <w:rtl/>
          <w:lang w:val="ar-SA"/>
        </w:rPr>
        <w:t>6-1</w:t>
      </w:r>
      <w:r>
        <w:rPr>
          <w:rFonts w:hint="cs"/>
          <w:rtl/>
          <w:lang w:val="ar-SA"/>
        </w:rPr>
        <w:tab/>
      </w:r>
      <w:r w:rsidR="00A048F5" w:rsidRPr="002F680A">
        <w:rPr>
          <w:rtl/>
          <w:lang w:val="ar-SA"/>
        </w:rPr>
        <w:t>تلاحظ اللجنة ما ذكرته الدولة الطرف من أنه</w:t>
      </w:r>
      <w:r w:rsidR="00211F2A">
        <w:rPr>
          <w:rtl/>
          <w:lang w:val="ar-SA"/>
        </w:rPr>
        <w:t xml:space="preserve"> لا </w:t>
      </w:r>
      <w:r w:rsidR="00A048F5" w:rsidRPr="002F680A">
        <w:rPr>
          <w:rtl/>
          <w:lang w:val="ar-SA"/>
        </w:rPr>
        <w:t>توجد أسس قانونية للنظر في هذا البلاغ من حيث أن تسجيله يشكل انتهاك</w:t>
      </w:r>
      <w:r w:rsidR="00592A23">
        <w:rPr>
          <w:rtl/>
          <w:lang w:val="ar-SA"/>
        </w:rPr>
        <w:t xml:space="preserve">اً </w:t>
      </w:r>
      <w:r w:rsidR="004F312F">
        <w:rPr>
          <w:rtl/>
          <w:lang w:val="ar-SA"/>
        </w:rPr>
        <w:t>للمادة 2، والمادة 5 (الفقرة 2</w:t>
      </w:r>
      <w:r w:rsidR="00A048F5" w:rsidRPr="002F680A">
        <w:rPr>
          <w:rtl/>
          <w:lang w:val="ar-SA"/>
        </w:rPr>
        <w:t xml:space="preserve">(ب)) من البروتوكول الاختياري، لأن الشخص المدعى أنه ضحية لم يقدم البلاغ بنفسه، ولم يستنفد سبل الانتصاف المحلية؛ وأن الدولة الطرف ليست لديها التزامات فيما يتعلق بالاعتراف بالنظام الداخلي للجنة وتفسير اللجنة لأحكام البروتوكول الاختياري؛ وقولها إنها غير ملزمة باحترام طلبات اللجنة المتعلقة باتخاذ تدابير مؤقتة. </w:t>
      </w:r>
    </w:p>
    <w:p w:rsidR="00A048F5" w:rsidRPr="002F680A" w:rsidRDefault="005E3B2F" w:rsidP="0037231E">
      <w:pPr>
        <w:pStyle w:val="SingleTxtGA"/>
        <w:rPr>
          <w:rtl/>
          <w:lang w:val="ar-SA"/>
        </w:rPr>
      </w:pPr>
      <w:r>
        <w:rPr>
          <w:rtl/>
          <w:lang w:val="ar-SA"/>
        </w:rPr>
        <w:t>6-2</w:t>
      </w:r>
      <w:r>
        <w:rPr>
          <w:rFonts w:hint="cs"/>
          <w:rtl/>
          <w:lang w:val="ar-SA"/>
        </w:rPr>
        <w:tab/>
      </w:r>
      <w:r w:rsidR="00A048F5" w:rsidRPr="002F680A">
        <w:rPr>
          <w:rtl/>
          <w:lang w:val="ar-SA"/>
        </w:rPr>
        <w:t>وتشير اللجنة إلى أن الفقرة 2 من المادة 39 من العهد الدولي الخاص بالحقوق المدنية والسياسية تجيز لها وضع نظام داخلي خاص بها، وهي مسألة وافقت الدول الأطراف على الاعتراف بها.</w:t>
      </w:r>
      <w:r w:rsidR="00F7131B">
        <w:rPr>
          <w:rtl/>
          <w:lang w:val="ar-SA"/>
        </w:rPr>
        <w:t xml:space="preserve"> </w:t>
      </w:r>
      <w:r w:rsidR="00A048F5" w:rsidRPr="002F680A">
        <w:rPr>
          <w:rtl/>
          <w:lang w:val="ar-SA"/>
        </w:rPr>
        <w:t>وتلاحظ اللجنة كذلك أن التزام الدولة الطرف بالبروتوكول يشكل اعتراف</w:t>
      </w:r>
      <w:r w:rsidR="00592A23">
        <w:rPr>
          <w:rtl/>
          <w:lang w:val="ar-SA"/>
        </w:rPr>
        <w:t xml:space="preserve">اً </w:t>
      </w:r>
      <w:r w:rsidR="00A048F5" w:rsidRPr="002F680A">
        <w:rPr>
          <w:rtl/>
          <w:lang w:val="ar-SA"/>
        </w:rPr>
        <w:t>بأن اللجنة المعنية بحقوق الإنسان تملك صلاحية استلام بلاغات من أفراد والنظر، في دائر اختصاصها، في ادعاءاتهم بأنهم ضحايا لانتهاك أي حق من حقوقهم المنصوص عليها في العهد</w:t>
      </w:r>
      <w:r w:rsidR="00011A0F">
        <w:rPr>
          <w:vertAlign w:val="superscript"/>
          <w:rtl/>
          <w:lang w:val="ar-SA"/>
        </w:rPr>
        <w:t>(</w:t>
      </w:r>
      <w:r w:rsidR="00011A0F">
        <w:rPr>
          <w:rStyle w:val="FootnoteReference"/>
          <w:rtl/>
          <w:lang w:val="ar-SA"/>
        </w:rPr>
        <w:footnoteReference w:id="6"/>
      </w:r>
      <w:r w:rsidR="00011A0F">
        <w:rPr>
          <w:vertAlign w:val="superscript"/>
          <w:rtl/>
          <w:lang w:val="ar-SA"/>
        </w:rPr>
        <w:t>)</w:t>
      </w:r>
      <w:r w:rsidR="00A048F5" w:rsidRPr="002F680A">
        <w:rPr>
          <w:rtl/>
          <w:lang w:val="ar-SA"/>
        </w:rPr>
        <w:t>.</w:t>
      </w:r>
      <w:r w:rsidR="00011A0F">
        <w:rPr>
          <w:rFonts w:hint="cs"/>
          <w:rtl/>
          <w:lang w:val="ar-SA"/>
        </w:rPr>
        <w:t xml:space="preserve"> </w:t>
      </w:r>
      <w:r w:rsidR="00A048F5" w:rsidRPr="002F680A">
        <w:rPr>
          <w:rtl/>
          <w:lang w:val="ar-SA"/>
        </w:rPr>
        <w:t>وينطوي التزام الدولة بالبروتوكول الاختياري على تعهد بالتعاون مع اللجنة في إطار من حسن النوايا، على نحو يسمح للجنة ويمكنها من النظر في مثل تلك البلاغات، وإحالة آرائها من ثم إلى الدولة الطرف وإلى الشخص المعني</w:t>
      </w:r>
      <w:r w:rsidR="00011A0F">
        <w:rPr>
          <w:vertAlign w:val="superscript"/>
          <w:rtl/>
          <w:lang w:val="ar-SA"/>
        </w:rPr>
        <w:t>(</w:t>
      </w:r>
      <w:r w:rsidR="00011A0F">
        <w:rPr>
          <w:rStyle w:val="FootnoteReference"/>
          <w:rtl/>
          <w:lang w:val="ar-SA"/>
        </w:rPr>
        <w:footnoteReference w:id="7"/>
      </w:r>
      <w:r w:rsidR="00011A0F">
        <w:rPr>
          <w:vertAlign w:val="superscript"/>
          <w:rtl/>
          <w:lang w:val="ar-SA"/>
        </w:rPr>
        <w:t>)</w:t>
      </w:r>
      <w:r w:rsidR="00A048F5" w:rsidRPr="002F680A">
        <w:rPr>
          <w:rtl/>
          <w:lang w:val="ar-SA"/>
        </w:rPr>
        <w:t>.</w:t>
      </w:r>
      <w:r w:rsidR="00011A0F">
        <w:rPr>
          <w:rFonts w:hint="cs"/>
          <w:rtl/>
          <w:lang w:val="ar-SA"/>
        </w:rPr>
        <w:t xml:space="preserve"> </w:t>
      </w:r>
      <w:r w:rsidR="00A048F5" w:rsidRPr="002F680A">
        <w:rPr>
          <w:rtl/>
          <w:lang w:val="ar-SA"/>
        </w:rPr>
        <w:t>ويتعارض مع الالتزامات المنصوص عليها في المادة 1 من البروتوكول الاختياري اتخاذ أية دولة طرف لأي إجراء من شأنه أن يمنع أو يحبط نظر اللجنة في البلاغ المعني وفحصه، وإعرابها عن آرائها</w:t>
      </w:r>
      <w:r w:rsidR="00011A0F">
        <w:rPr>
          <w:vertAlign w:val="superscript"/>
          <w:rtl/>
          <w:lang w:val="ar-SA"/>
        </w:rPr>
        <w:t>(</w:t>
      </w:r>
      <w:r w:rsidR="00011A0F">
        <w:rPr>
          <w:rStyle w:val="FootnoteReference"/>
          <w:rtl/>
          <w:lang w:val="ar-SA"/>
        </w:rPr>
        <w:footnoteReference w:id="8"/>
      </w:r>
      <w:r w:rsidR="00011A0F">
        <w:rPr>
          <w:vertAlign w:val="superscript"/>
          <w:rtl/>
          <w:lang w:val="ar-SA"/>
        </w:rPr>
        <w:t>)</w:t>
      </w:r>
      <w:r w:rsidR="00A048F5" w:rsidRPr="002F680A">
        <w:rPr>
          <w:rtl/>
          <w:lang w:val="ar-SA"/>
        </w:rPr>
        <w:t>.</w:t>
      </w:r>
    </w:p>
    <w:p w:rsidR="00A048F5" w:rsidRPr="002F680A" w:rsidRDefault="00A048F5" w:rsidP="005E3B2F">
      <w:pPr>
        <w:pStyle w:val="SingleTxtGA"/>
        <w:rPr>
          <w:rtl/>
          <w:lang w:val="ar-SA"/>
        </w:rPr>
      </w:pPr>
      <w:r w:rsidRPr="002F680A">
        <w:rPr>
          <w:rtl/>
          <w:lang w:val="ar-SA"/>
        </w:rPr>
        <w:t>6</w:t>
      </w:r>
      <w:r w:rsidR="005E3B2F">
        <w:rPr>
          <w:rtl/>
          <w:lang w:val="ar-SA"/>
        </w:rPr>
        <w:t>-3</w:t>
      </w:r>
      <w:r w:rsidR="005E3B2F">
        <w:rPr>
          <w:rFonts w:hint="cs"/>
          <w:rtl/>
          <w:lang w:val="ar-SA"/>
        </w:rPr>
        <w:tab/>
      </w:r>
      <w:r w:rsidRPr="002F680A">
        <w:rPr>
          <w:rtl/>
          <w:lang w:val="ar-SA"/>
        </w:rPr>
        <w:t>وتلاحظ اللجنة في هذه الحالة، أن صاحبة البلاغ أفادت اللجنة عند تقديمها للبلاغ، في 27 تشرين الأول/أكتوبر 2009، بأن ابنها محتجز في انتظار تنفيذ حكم بالإعدام. وفي</w:t>
      </w:r>
      <w:r w:rsidR="005E3B2F">
        <w:rPr>
          <w:rFonts w:hint="cs"/>
          <w:rtl/>
          <w:lang w:val="ar-SA"/>
        </w:rPr>
        <w:t> </w:t>
      </w:r>
      <w:r w:rsidRPr="002F680A">
        <w:rPr>
          <w:rtl/>
          <w:lang w:val="ar-SA"/>
        </w:rPr>
        <w:t>30 تشرين الأول/أكتوبر 2009، وجهت اللجنة إلى الدولة الطرف طلب</w:t>
      </w:r>
      <w:r w:rsidR="00592A23">
        <w:rPr>
          <w:rtl/>
          <w:lang w:val="ar-SA"/>
        </w:rPr>
        <w:t xml:space="preserve">اً </w:t>
      </w:r>
      <w:r w:rsidRPr="002F680A">
        <w:rPr>
          <w:rtl/>
          <w:lang w:val="ar-SA"/>
        </w:rPr>
        <w:t>بألا تنفذ فيه حكم الإعدام ريثما تنظر اللجنة في حالته. وفي 7 كانون الأول/ديسمبر 2009، كررت اللجنة طلبها. وفي 23 آذار/مارس 2010، تلقت اللجنة معلومات تفيد بأن ابن صاحبة البلاغ قد أعدم بالرغم من طلب التدابير المؤقتة.</w:t>
      </w:r>
      <w:r w:rsidR="00F7131B">
        <w:rPr>
          <w:rtl/>
          <w:lang w:val="ar-SA"/>
        </w:rPr>
        <w:t xml:space="preserve"> </w:t>
      </w:r>
      <w:r w:rsidRPr="002F680A">
        <w:rPr>
          <w:rtl/>
          <w:lang w:val="ar-SA"/>
        </w:rPr>
        <w:t>وتلاحظ اللجنة أنه</w:t>
      </w:r>
      <w:r w:rsidR="00211F2A">
        <w:rPr>
          <w:rtl/>
          <w:lang w:val="ar-SA"/>
        </w:rPr>
        <w:t xml:space="preserve"> لا </w:t>
      </w:r>
      <w:r w:rsidRPr="002F680A">
        <w:rPr>
          <w:rtl/>
          <w:lang w:val="ar-SA"/>
        </w:rPr>
        <w:t>جدال في مسألة تنفيذ حكم الإعدام المذكور على الرغم من أن طلب اتخاذ تدابير مؤقتة بغرض الحماية قد قدم على النحو الواجب إلى الدولة الطرف وكرر تقديمه.</w:t>
      </w:r>
    </w:p>
    <w:p w:rsidR="00A048F5" w:rsidRPr="002F680A" w:rsidRDefault="005E3B2F" w:rsidP="007C1321">
      <w:pPr>
        <w:pStyle w:val="SingleTxtGA"/>
        <w:rPr>
          <w:rtl/>
          <w:lang w:val="ar-SA"/>
        </w:rPr>
      </w:pPr>
      <w:r>
        <w:rPr>
          <w:rtl/>
          <w:lang w:val="ar-SA"/>
        </w:rPr>
        <w:t>6-4</w:t>
      </w:r>
      <w:r>
        <w:rPr>
          <w:rFonts w:hint="cs"/>
          <w:rtl/>
          <w:lang w:val="ar-SA"/>
        </w:rPr>
        <w:tab/>
      </w:r>
      <w:r w:rsidR="00A048F5" w:rsidRPr="002F680A">
        <w:rPr>
          <w:rtl/>
          <w:lang w:val="ar-SA"/>
        </w:rPr>
        <w:t>وبالإضافة إلى العثور على أي انتهاك للعهد من قبل الدولة الطرف في بلاغ ما، فإن الدولة الطرف ترتكب خروق</w:t>
      </w:r>
      <w:r w:rsidR="00592A23">
        <w:rPr>
          <w:rtl/>
          <w:lang w:val="ar-SA"/>
        </w:rPr>
        <w:t xml:space="preserve">اً </w:t>
      </w:r>
      <w:r w:rsidR="00A048F5" w:rsidRPr="002F680A">
        <w:rPr>
          <w:rtl/>
          <w:lang w:val="ar-SA"/>
        </w:rPr>
        <w:t>جسيمة لالتزاماتها بموجب البروتوكول الاختياري إذا عملت على منع أو إحباط نظر ال</w:t>
      </w:r>
      <w:r w:rsidR="006841A8">
        <w:rPr>
          <w:rtl/>
          <w:lang w:val="ar-SA"/>
        </w:rPr>
        <w:t>لجنة في البلاغ الذي يدع</w:t>
      </w:r>
      <w:r w:rsidR="006841A8">
        <w:rPr>
          <w:rFonts w:hint="cs"/>
          <w:rtl/>
          <w:lang w:val="ar-SA"/>
        </w:rPr>
        <w:t>ي</w:t>
      </w:r>
      <w:r w:rsidR="00A048F5" w:rsidRPr="002F680A">
        <w:rPr>
          <w:rtl/>
          <w:lang w:val="ar-SA"/>
        </w:rPr>
        <w:t xml:space="preserve"> حدوث انتهاك للعهد، أو تجريد فحص اللجنة للحالة من معناه أو جعل آرائها بشأن تنفيذ الدولة الطرف لالتزاماتها بموجب العهد عديمة الجدوى</w:t>
      </w:r>
      <w:r w:rsidR="000A3878">
        <w:rPr>
          <w:vertAlign w:val="superscript"/>
          <w:rtl/>
          <w:lang w:val="ar-SA"/>
        </w:rPr>
        <w:t>(</w:t>
      </w:r>
      <w:r w:rsidR="000A3878">
        <w:rPr>
          <w:rStyle w:val="FootnoteReference"/>
          <w:rtl/>
          <w:lang w:val="ar-SA"/>
        </w:rPr>
        <w:footnoteReference w:id="9"/>
      </w:r>
      <w:r w:rsidR="000A3878">
        <w:rPr>
          <w:vertAlign w:val="superscript"/>
          <w:rtl/>
          <w:lang w:val="ar-SA"/>
        </w:rPr>
        <w:t>)</w:t>
      </w:r>
      <w:r w:rsidR="00A048F5" w:rsidRPr="002F680A">
        <w:rPr>
          <w:rtl/>
          <w:lang w:val="ar-SA"/>
        </w:rPr>
        <w:t>. وفي هذه الحالة، تدعي صاحبة البلاغ أن ابنها قد حرم من حقوقه المنصوص عليها في مواد مختلفة من العهد.</w:t>
      </w:r>
      <w:r w:rsidR="00F7131B">
        <w:rPr>
          <w:rtl/>
          <w:lang w:val="ar-SA"/>
        </w:rPr>
        <w:t xml:space="preserve"> </w:t>
      </w:r>
      <w:r w:rsidR="00A048F5" w:rsidRPr="002F680A">
        <w:rPr>
          <w:rtl/>
          <w:lang w:val="ar-SA"/>
        </w:rPr>
        <w:t>وإذ تلقت الدولة الطرف إشعار</w:t>
      </w:r>
      <w:r w:rsidR="00592A23">
        <w:rPr>
          <w:rtl/>
          <w:lang w:val="ar-SA"/>
        </w:rPr>
        <w:t xml:space="preserve">اً </w:t>
      </w:r>
      <w:r w:rsidR="00A048F5" w:rsidRPr="002F680A">
        <w:rPr>
          <w:rtl/>
          <w:lang w:val="ar-SA"/>
        </w:rPr>
        <w:t>باستلام البلاغ وطلب</w:t>
      </w:r>
      <w:r w:rsidR="00592A23">
        <w:rPr>
          <w:rtl/>
          <w:lang w:val="ar-SA"/>
        </w:rPr>
        <w:t xml:space="preserve">اً </w:t>
      </w:r>
      <w:r w:rsidR="00A048F5" w:rsidRPr="002F680A">
        <w:rPr>
          <w:rtl/>
          <w:lang w:val="ar-SA"/>
        </w:rPr>
        <w:t xml:space="preserve">من اللجنة لاتخاذ تدابير مؤقتة، فقد خرقت التزاماتها بموجب البروتوكول الاختياري بإعدامها الشخص المدعى أنه ضحية قبل اكتمال نظر اللجنة في البلاغ. </w:t>
      </w:r>
    </w:p>
    <w:p w:rsidR="00A048F5" w:rsidRPr="002F680A" w:rsidRDefault="005E3B2F" w:rsidP="00407B88">
      <w:pPr>
        <w:pStyle w:val="SingleTxtGA"/>
        <w:rPr>
          <w:rtl/>
          <w:lang w:val="ar-SA"/>
        </w:rPr>
      </w:pPr>
      <w:r>
        <w:rPr>
          <w:rtl/>
          <w:lang w:val="ar-SA"/>
        </w:rPr>
        <w:t>6-5</w:t>
      </w:r>
      <w:r>
        <w:rPr>
          <w:rFonts w:hint="cs"/>
          <w:rtl/>
          <w:lang w:val="ar-SA"/>
        </w:rPr>
        <w:tab/>
      </w:r>
      <w:r w:rsidR="00A048F5" w:rsidRPr="002F680A">
        <w:rPr>
          <w:rtl/>
          <w:lang w:val="ar-SA"/>
        </w:rPr>
        <w:t>وتشير اللجنة كذلك إلى أن التدابير المؤقتة بموجب المادة 92 من نظامها الداخلي، الذي اعتمد وفق</w:t>
      </w:r>
      <w:r w:rsidR="00592A23">
        <w:rPr>
          <w:rtl/>
          <w:lang w:val="ar-SA"/>
        </w:rPr>
        <w:t xml:space="preserve">اً </w:t>
      </w:r>
      <w:r w:rsidR="00A048F5" w:rsidRPr="002F680A">
        <w:rPr>
          <w:rtl/>
          <w:lang w:val="ar-SA"/>
        </w:rPr>
        <w:t>للمادة 39 من العهد،</w:t>
      </w:r>
      <w:r w:rsidR="00211F2A">
        <w:rPr>
          <w:rtl/>
          <w:lang w:val="ar-SA"/>
        </w:rPr>
        <w:t xml:space="preserve"> لا </w:t>
      </w:r>
      <w:r w:rsidR="00A048F5" w:rsidRPr="002F680A">
        <w:rPr>
          <w:rtl/>
          <w:lang w:val="ar-SA"/>
        </w:rPr>
        <w:t>غنى عنها في أداء دور اللجنة بموجب البروتوكول الاختياري، من أجل تلافي إلحاق ضرر</w:t>
      </w:r>
      <w:r w:rsidR="00211F2A">
        <w:rPr>
          <w:rtl/>
          <w:lang w:val="ar-SA"/>
        </w:rPr>
        <w:t xml:space="preserve"> لا </w:t>
      </w:r>
      <w:r w:rsidR="00A048F5" w:rsidRPr="002F680A">
        <w:rPr>
          <w:rtl/>
          <w:lang w:val="ar-SA"/>
        </w:rPr>
        <w:t>يمكن إصلاحه بالشخص المدعى أنه ضحية ذلك الانتهاك. ويؤدي انتهاك تلك القاعدة، وبخاصة من خلال تدابير</w:t>
      </w:r>
      <w:r w:rsidR="00211F2A">
        <w:rPr>
          <w:rtl/>
          <w:lang w:val="ar-SA"/>
        </w:rPr>
        <w:t xml:space="preserve"> لا </w:t>
      </w:r>
      <w:r w:rsidR="00A048F5" w:rsidRPr="002F680A">
        <w:rPr>
          <w:rtl/>
          <w:lang w:val="ar-SA"/>
        </w:rPr>
        <w:t>رجعة فيها، كما حدث في هذه الحالة المتعلقة بإعدام السيد جوك، إلى تقويض مبدأ حماية الحقوق من خلال البروتوكول الاختياري</w:t>
      </w:r>
      <w:r w:rsidR="00F151C9">
        <w:rPr>
          <w:vertAlign w:val="superscript"/>
          <w:rtl/>
          <w:lang w:val="ar-SA"/>
        </w:rPr>
        <w:t>(</w:t>
      </w:r>
      <w:r w:rsidR="00F151C9">
        <w:rPr>
          <w:rStyle w:val="FootnoteReference"/>
          <w:rtl/>
          <w:lang w:val="ar-SA"/>
        </w:rPr>
        <w:footnoteReference w:id="10"/>
      </w:r>
      <w:r w:rsidR="00F151C9">
        <w:rPr>
          <w:vertAlign w:val="superscript"/>
          <w:rtl/>
          <w:lang w:val="ar-SA"/>
        </w:rPr>
        <w:t>)</w:t>
      </w:r>
      <w:r w:rsidR="00A048F5" w:rsidRPr="002F680A">
        <w:rPr>
          <w:rtl/>
          <w:lang w:val="ar-SA"/>
        </w:rPr>
        <w:t>.</w:t>
      </w:r>
    </w:p>
    <w:p w:rsidR="00A048F5" w:rsidRPr="002F680A" w:rsidRDefault="005E3B2F" w:rsidP="003B3C1F">
      <w:pPr>
        <w:pStyle w:val="SingleTxtGA"/>
        <w:rPr>
          <w:rtl/>
          <w:lang w:val="ar-SA"/>
        </w:rPr>
      </w:pPr>
      <w:r>
        <w:rPr>
          <w:rtl/>
          <w:lang w:val="ar-SA"/>
        </w:rPr>
        <w:t>6-6</w:t>
      </w:r>
      <w:r>
        <w:rPr>
          <w:rFonts w:hint="cs"/>
          <w:rtl/>
          <w:lang w:val="ar-SA"/>
        </w:rPr>
        <w:tab/>
      </w:r>
      <w:r w:rsidR="00A048F5" w:rsidRPr="002F680A">
        <w:rPr>
          <w:rtl/>
          <w:lang w:val="ar-SA"/>
        </w:rPr>
        <w:t>وتلاحظ اللجنة رسالة الدولة الطرف التي ذكرت فيها أن اللجنة نشرت معلومات تتعلق بالحالة، مما يتعارض مع الفقرة 3 من المادة 5 من البروتوكول الاختياري، من خلال نشرتها الصحفية المؤرخة 30 آذار/مارس 2010، التي نددت فيها بإعدام الشخص المدعى أنه ضحية على الرغم من طلبها اتخاذ تدابير مؤقتة.</w:t>
      </w:r>
      <w:r w:rsidR="00F7131B">
        <w:rPr>
          <w:rtl/>
          <w:lang w:val="ar-SA"/>
        </w:rPr>
        <w:t xml:space="preserve"> </w:t>
      </w:r>
      <w:r w:rsidR="00A048F5" w:rsidRPr="002F680A">
        <w:rPr>
          <w:rtl/>
          <w:lang w:val="ar-SA"/>
        </w:rPr>
        <w:t>وتلاحظ اللجنة ما جاء في الفقرة المعنية من أنه يتعين على اللجنة عقد جلسات لدى فحصها البلاغات التي تتلقاها.</w:t>
      </w:r>
      <w:r w:rsidR="00211F2A">
        <w:rPr>
          <w:rtl/>
          <w:lang w:val="ar-SA"/>
        </w:rPr>
        <w:t xml:space="preserve"> ولا </w:t>
      </w:r>
      <w:r w:rsidR="00A048F5" w:rsidRPr="002F680A">
        <w:rPr>
          <w:rtl/>
          <w:lang w:val="ar-SA"/>
        </w:rPr>
        <w:t>تمنع تلك الفقرة اللجنة من الكشف عن معلومات فيما يتعلق بعدم تعاون الدول الأطراف معها في تنفيذ البروتوكول الاختياري.</w:t>
      </w:r>
      <w:r w:rsidR="00F7131B">
        <w:rPr>
          <w:rtl/>
          <w:lang w:val="ar-SA"/>
        </w:rPr>
        <w:t xml:space="preserve"> </w:t>
      </w:r>
    </w:p>
    <w:p w:rsidR="00A048F5" w:rsidRPr="002F680A" w:rsidRDefault="00A048F5" w:rsidP="005E3B2F">
      <w:pPr>
        <w:pStyle w:val="H4GA"/>
        <w:rPr>
          <w:rtl/>
          <w:lang w:val="ar-SA"/>
        </w:rPr>
      </w:pPr>
      <w:r w:rsidRPr="002F680A">
        <w:rPr>
          <w:rtl/>
          <w:lang w:val="ar-SA"/>
        </w:rPr>
        <w:tab/>
      </w:r>
      <w:r w:rsidRPr="002F680A">
        <w:rPr>
          <w:rtl/>
          <w:lang w:val="ar-SA"/>
        </w:rPr>
        <w:tab/>
        <w:t xml:space="preserve">النظر في </w:t>
      </w:r>
      <w:proofErr w:type="spellStart"/>
      <w:r w:rsidRPr="002F680A">
        <w:rPr>
          <w:rtl/>
          <w:lang w:val="ar-SA"/>
        </w:rPr>
        <w:t>المقبولية</w:t>
      </w:r>
      <w:proofErr w:type="spellEnd"/>
    </w:p>
    <w:p w:rsidR="00A048F5" w:rsidRPr="002F680A" w:rsidRDefault="005E3B2F" w:rsidP="005E3B2F">
      <w:pPr>
        <w:pStyle w:val="SingleTxtGA"/>
        <w:rPr>
          <w:rtl/>
          <w:lang w:val="ar-SA"/>
        </w:rPr>
      </w:pPr>
      <w:r>
        <w:rPr>
          <w:rtl/>
          <w:lang w:val="ar-SA"/>
        </w:rPr>
        <w:t>7-1</w:t>
      </w:r>
      <w:r>
        <w:rPr>
          <w:rFonts w:hint="cs"/>
          <w:rtl/>
          <w:lang w:val="ar-SA"/>
        </w:rPr>
        <w:tab/>
      </w:r>
      <w:r w:rsidR="00A048F5" w:rsidRPr="002F680A">
        <w:rPr>
          <w:rtl/>
          <w:lang w:val="ar-SA"/>
        </w:rPr>
        <w:t>يجب على اللجنة المعنية بحقوق الإنسان، قبل أن تنظر في أية ادعاءات واردة في بلاغ ما، أن تقرر، وفق</w:t>
      </w:r>
      <w:r w:rsidR="00592A23">
        <w:rPr>
          <w:rtl/>
          <w:lang w:val="ar-SA"/>
        </w:rPr>
        <w:t xml:space="preserve">اً </w:t>
      </w:r>
      <w:r w:rsidR="00A048F5" w:rsidRPr="002F680A">
        <w:rPr>
          <w:rtl/>
          <w:lang w:val="ar-SA"/>
        </w:rPr>
        <w:t>للمادة 93 من نظامها الداخلي، ما إذا كان البلاغ مقبول</w:t>
      </w:r>
      <w:r w:rsidR="00592A23">
        <w:rPr>
          <w:rtl/>
          <w:lang w:val="ar-SA"/>
        </w:rPr>
        <w:t xml:space="preserve">اً </w:t>
      </w:r>
      <w:r w:rsidR="00A048F5" w:rsidRPr="002F680A">
        <w:rPr>
          <w:rtl/>
          <w:lang w:val="ar-SA"/>
        </w:rPr>
        <w:t>أم غير مقبول في إطار البروتوكول الاختياري الملحق بالعهد.</w:t>
      </w:r>
    </w:p>
    <w:p w:rsidR="00A048F5" w:rsidRPr="002F680A" w:rsidRDefault="005E3B2F" w:rsidP="005E3B2F">
      <w:pPr>
        <w:pStyle w:val="SingleTxtGA"/>
        <w:rPr>
          <w:rtl/>
          <w:lang w:val="ar-SA"/>
        </w:rPr>
      </w:pPr>
      <w:r>
        <w:rPr>
          <w:rtl/>
          <w:lang w:val="ar-SA"/>
        </w:rPr>
        <w:t>7-2</w:t>
      </w:r>
      <w:r>
        <w:rPr>
          <w:rFonts w:hint="cs"/>
          <w:rtl/>
          <w:lang w:val="ar-SA"/>
        </w:rPr>
        <w:tab/>
      </w:r>
      <w:r w:rsidR="00A048F5" w:rsidRPr="002F680A">
        <w:rPr>
          <w:rtl/>
          <w:lang w:val="ar-SA"/>
        </w:rPr>
        <w:t>وقد تأكدت اللجنة، ع</w:t>
      </w:r>
      <w:r w:rsidR="00594D6C">
        <w:rPr>
          <w:rtl/>
          <w:lang w:val="ar-SA"/>
        </w:rPr>
        <w:t>لى النحو المطلوب بموجب الفقرة 2</w:t>
      </w:r>
      <w:r w:rsidR="00A048F5" w:rsidRPr="002F680A">
        <w:rPr>
          <w:rtl/>
          <w:lang w:val="ar-SA"/>
        </w:rPr>
        <w:t>(أ) من المادة 5 من البروتوكول الاختياري، من أن المسألة ذاتها ليست موضع بحث بموجب إجراء آخر من إجراءات التحقيقات أو التسويات الدولية.</w:t>
      </w:r>
    </w:p>
    <w:p w:rsidR="00A048F5" w:rsidRPr="002F680A" w:rsidRDefault="005E3B2F" w:rsidP="008A61DA">
      <w:pPr>
        <w:pStyle w:val="SingleTxtGA"/>
        <w:rPr>
          <w:rtl/>
          <w:lang w:val="ar-SA"/>
        </w:rPr>
      </w:pPr>
      <w:r>
        <w:rPr>
          <w:rtl/>
          <w:lang w:val="ar-SA"/>
        </w:rPr>
        <w:t>7-3</w:t>
      </w:r>
      <w:r>
        <w:rPr>
          <w:rFonts w:hint="cs"/>
          <w:rtl/>
          <w:lang w:val="ar-SA"/>
        </w:rPr>
        <w:tab/>
      </w:r>
      <w:r w:rsidR="00A048F5" w:rsidRPr="002F680A">
        <w:rPr>
          <w:rtl/>
          <w:lang w:val="ar-SA"/>
        </w:rPr>
        <w:t>وتحيط اللجنة علم</w:t>
      </w:r>
      <w:r w:rsidR="00592A23">
        <w:rPr>
          <w:rtl/>
          <w:lang w:val="ar-SA"/>
        </w:rPr>
        <w:t xml:space="preserve">اً </w:t>
      </w:r>
      <w:r w:rsidR="00A048F5" w:rsidRPr="002F680A">
        <w:rPr>
          <w:rtl/>
          <w:lang w:val="ar-SA"/>
        </w:rPr>
        <w:t>بما احتجت به الدولة الطرف من أن البلاغ غير مقبول لأنه قدم إلى اللجنة من قبل أطراف ثالثة وليس من قبل الشخص المدعى أنه ضحية. وفي هذا الصد</w:t>
      </w:r>
      <w:r w:rsidR="00592A23">
        <w:rPr>
          <w:rtl/>
          <w:lang w:val="ar-SA"/>
        </w:rPr>
        <w:t>د، تشير اللجنة إلى أن المادة 96</w:t>
      </w:r>
      <w:r w:rsidR="00A048F5" w:rsidRPr="002F680A">
        <w:rPr>
          <w:rtl/>
          <w:lang w:val="ar-SA"/>
        </w:rPr>
        <w:t>(ب) من نظامها الداخلي تنص على أنه يتعين في العادة تقديم البلاغ من قبل الفرد المعني شخصي</w:t>
      </w:r>
      <w:r w:rsidR="00592A23">
        <w:rPr>
          <w:rtl/>
          <w:lang w:val="ar-SA"/>
        </w:rPr>
        <w:t xml:space="preserve">اً </w:t>
      </w:r>
      <w:r w:rsidR="00A048F5" w:rsidRPr="002F680A">
        <w:rPr>
          <w:rtl/>
          <w:lang w:val="ar-SA"/>
        </w:rPr>
        <w:t>أو عن طريق ممثل لذلك الشخص، غير أنه يجوز قبول البلاغات المقدمة نيابة عمن يدعى أنهم ضحايا، إذا بدا أن الشخص المعني</w:t>
      </w:r>
      <w:r w:rsidR="00211F2A">
        <w:rPr>
          <w:rtl/>
          <w:lang w:val="ar-SA"/>
        </w:rPr>
        <w:t xml:space="preserve"> لا </w:t>
      </w:r>
      <w:r w:rsidR="00A048F5" w:rsidRPr="002F680A">
        <w:rPr>
          <w:rtl/>
          <w:lang w:val="ar-SA"/>
        </w:rPr>
        <w:t>يستطيع تقديم البلاغ بنفسه</w:t>
      </w:r>
      <w:r w:rsidR="001C5D04">
        <w:rPr>
          <w:vertAlign w:val="superscript"/>
          <w:rtl/>
          <w:lang w:val="ar-SA"/>
        </w:rPr>
        <w:t>(</w:t>
      </w:r>
      <w:r w:rsidR="001C5D04">
        <w:rPr>
          <w:rStyle w:val="FootnoteReference"/>
          <w:rtl/>
          <w:lang w:val="ar-SA"/>
        </w:rPr>
        <w:footnoteReference w:id="11"/>
      </w:r>
      <w:r w:rsidR="001C5D04">
        <w:rPr>
          <w:vertAlign w:val="superscript"/>
          <w:rtl/>
          <w:lang w:val="ar-SA"/>
        </w:rPr>
        <w:t>)</w:t>
      </w:r>
      <w:r w:rsidR="00A048F5" w:rsidRPr="002F680A">
        <w:rPr>
          <w:rtl/>
          <w:lang w:val="ar-SA"/>
        </w:rPr>
        <w:t>. وتلاحظ اللجنة في هذه الحالة أن الشخص المدعى أنه ضحية كان في وقت تقديم البلاغ محتجز</w:t>
      </w:r>
      <w:r w:rsidR="00592A23">
        <w:rPr>
          <w:rtl/>
          <w:lang w:val="ar-SA"/>
        </w:rPr>
        <w:t xml:space="preserve">اً </w:t>
      </w:r>
      <w:r w:rsidR="00A048F5" w:rsidRPr="002F680A">
        <w:rPr>
          <w:rtl/>
          <w:lang w:val="ar-SA"/>
        </w:rPr>
        <w:t>في ا</w:t>
      </w:r>
      <w:r w:rsidR="00592A23">
        <w:rPr>
          <w:rFonts w:hint="cs"/>
          <w:rtl/>
          <w:lang w:val="ar-SA"/>
        </w:rPr>
        <w:t>ن</w:t>
      </w:r>
      <w:r w:rsidR="00A048F5" w:rsidRPr="002F680A">
        <w:rPr>
          <w:rtl/>
          <w:lang w:val="ar-SA"/>
        </w:rPr>
        <w:t>تظار تنفيذ حكم الإعدام؛ وأن البلاغ قدم نيابة عنه عن طريق والدته ومحاميه، اللذين قدما رسالة موقعة على النحو الواجب تأذن لهما بذلك وتمنح المحامي توكيل</w:t>
      </w:r>
      <w:r w:rsidR="00592A23">
        <w:rPr>
          <w:rtl/>
          <w:lang w:val="ar-SA"/>
        </w:rPr>
        <w:t xml:space="preserve">اً </w:t>
      </w:r>
      <w:r w:rsidR="00A048F5" w:rsidRPr="002F680A">
        <w:rPr>
          <w:rtl/>
          <w:lang w:val="ar-SA"/>
        </w:rPr>
        <w:t>شرعي</w:t>
      </w:r>
      <w:r w:rsidR="00592A23">
        <w:rPr>
          <w:rtl/>
          <w:lang w:val="ar-SA"/>
        </w:rPr>
        <w:t xml:space="preserve">اً </w:t>
      </w:r>
      <w:r w:rsidR="00A048F5" w:rsidRPr="002F680A">
        <w:rPr>
          <w:rtl/>
          <w:lang w:val="ar-SA"/>
        </w:rPr>
        <w:t>من قبل الشخص المدعى أنه ضحية ليمثله أمام اللجنة. وبناء على ذلك،</w:t>
      </w:r>
      <w:r w:rsidR="00211F2A">
        <w:rPr>
          <w:rtl/>
          <w:lang w:val="ar-SA"/>
        </w:rPr>
        <w:t xml:space="preserve"> لا </w:t>
      </w:r>
      <w:r w:rsidR="00A048F5" w:rsidRPr="002F680A">
        <w:rPr>
          <w:rtl/>
          <w:lang w:val="ar-SA"/>
        </w:rPr>
        <w:t>يوجد ما يمنع اللجنة من فحص البلاغ وفق</w:t>
      </w:r>
      <w:r w:rsidR="00592A23">
        <w:rPr>
          <w:rtl/>
          <w:lang w:val="ar-SA"/>
        </w:rPr>
        <w:t xml:space="preserve">اً </w:t>
      </w:r>
      <w:r w:rsidR="00A048F5" w:rsidRPr="002F680A">
        <w:rPr>
          <w:rtl/>
          <w:lang w:val="ar-SA"/>
        </w:rPr>
        <w:t xml:space="preserve">لأحكام المادة 1 من البروتوكول الاختياري. </w:t>
      </w:r>
    </w:p>
    <w:p w:rsidR="00A048F5" w:rsidRPr="007D3725" w:rsidRDefault="005E3B2F" w:rsidP="003B3C1F">
      <w:pPr>
        <w:pStyle w:val="SingleTxtGA"/>
        <w:rPr>
          <w:spacing w:val="-1"/>
          <w:rtl/>
          <w:lang w:val="ar-SA"/>
        </w:rPr>
      </w:pPr>
      <w:r w:rsidRPr="007D3725">
        <w:rPr>
          <w:spacing w:val="-1"/>
          <w:rtl/>
          <w:lang w:val="ar-SA"/>
        </w:rPr>
        <w:t>7-4</w:t>
      </w:r>
      <w:r w:rsidRPr="007D3725">
        <w:rPr>
          <w:rFonts w:hint="cs"/>
          <w:spacing w:val="-1"/>
          <w:rtl/>
          <w:lang w:val="ar-SA"/>
        </w:rPr>
        <w:tab/>
      </w:r>
      <w:r w:rsidR="00A048F5" w:rsidRPr="007D3725">
        <w:rPr>
          <w:spacing w:val="-1"/>
          <w:rtl/>
          <w:lang w:val="ar-SA"/>
        </w:rPr>
        <w:t xml:space="preserve">وقالت الدولة الطرف إن صاحبة البلاغ </w:t>
      </w:r>
      <w:r w:rsidR="003B3C1F">
        <w:rPr>
          <w:rFonts w:hint="cs"/>
          <w:spacing w:val="-1"/>
          <w:rtl/>
          <w:lang w:val="ar-SA"/>
        </w:rPr>
        <w:t>أ</w:t>
      </w:r>
      <w:r w:rsidR="00A048F5" w:rsidRPr="007D3725">
        <w:rPr>
          <w:spacing w:val="-1"/>
          <w:rtl/>
          <w:lang w:val="ar-SA"/>
        </w:rPr>
        <w:t>ساءت استعمال الحق في تقديم البلاغات حينما قدمت البلاغ إلى اللجنة قبل أن يقدم ابنها طلب إجراء مراجعة رقابية إلى المحكمة العليا. وبالنظر إلى ظروف هذه الحالة، وما أعقب ذلك من تنفيذ حكم الإعدام في الشخص المدعى أنه ضحية،</w:t>
      </w:r>
      <w:r w:rsidR="00211F2A" w:rsidRPr="007D3725">
        <w:rPr>
          <w:spacing w:val="-1"/>
          <w:rtl/>
          <w:lang w:val="ar-SA"/>
        </w:rPr>
        <w:t xml:space="preserve"> لا </w:t>
      </w:r>
      <w:r w:rsidR="00A048F5" w:rsidRPr="007D3725">
        <w:rPr>
          <w:spacing w:val="-1"/>
          <w:rtl/>
          <w:lang w:val="ar-SA"/>
        </w:rPr>
        <w:t xml:space="preserve">ترى اللجنة أن البلاغ يشكل إساءة استعمال للحق في تقديم البلاغات. وتلاحظ اللجنة كذلك أن هذه الحجة </w:t>
      </w:r>
      <w:r w:rsidR="004F312F" w:rsidRPr="007D3725">
        <w:rPr>
          <w:spacing w:val="-1"/>
          <w:rtl/>
          <w:lang w:val="ar-SA"/>
        </w:rPr>
        <w:t>تتعلق بالأحرى بمتطلبات الفقرة 2</w:t>
      </w:r>
      <w:r w:rsidR="00A048F5" w:rsidRPr="007D3725">
        <w:rPr>
          <w:spacing w:val="-1"/>
          <w:rtl/>
          <w:lang w:val="ar-SA"/>
        </w:rPr>
        <w:t>(ب) من المادة 5 من البروتوكول الاختياري. ونظر</w:t>
      </w:r>
      <w:r w:rsidR="00592A23" w:rsidRPr="007D3725">
        <w:rPr>
          <w:spacing w:val="-1"/>
          <w:rtl/>
          <w:lang w:val="ar-SA"/>
        </w:rPr>
        <w:t xml:space="preserve">اً </w:t>
      </w:r>
      <w:r w:rsidR="00A048F5" w:rsidRPr="007D3725">
        <w:rPr>
          <w:spacing w:val="-1"/>
          <w:rtl/>
          <w:lang w:val="ar-SA"/>
        </w:rPr>
        <w:t>لعدم تقديم أي سبب وجيه يعلل اعتبار أن هذا البلاغ يشكل إساءة لاستعمال الحق في تقديم البلاغات، ترى اللجنة أن الحالة غير مقبولة على هذا الأساس.</w:t>
      </w:r>
    </w:p>
    <w:p w:rsidR="00A048F5" w:rsidRPr="002F680A" w:rsidRDefault="005E3B2F" w:rsidP="00E742F7">
      <w:pPr>
        <w:pStyle w:val="SingleTxtGA"/>
        <w:rPr>
          <w:rtl/>
          <w:lang w:val="ar-SA"/>
        </w:rPr>
      </w:pPr>
      <w:r>
        <w:rPr>
          <w:rtl/>
          <w:lang w:val="ar-SA"/>
        </w:rPr>
        <w:t>7-5</w:t>
      </w:r>
      <w:r>
        <w:rPr>
          <w:rFonts w:hint="cs"/>
          <w:rtl/>
          <w:lang w:val="ar-SA"/>
        </w:rPr>
        <w:tab/>
      </w:r>
      <w:r w:rsidR="00A048F5" w:rsidRPr="002F680A">
        <w:rPr>
          <w:rtl/>
          <w:lang w:val="ar-SA"/>
        </w:rPr>
        <w:t>وتحيط اللجنة علم</w:t>
      </w:r>
      <w:r w:rsidR="00592A23">
        <w:rPr>
          <w:rtl/>
          <w:lang w:val="ar-SA"/>
        </w:rPr>
        <w:t xml:space="preserve">اً </w:t>
      </w:r>
      <w:r w:rsidR="00A048F5" w:rsidRPr="002F680A">
        <w:rPr>
          <w:rtl/>
          <w:lang w:val="ar-SA"/>
        </w:rPr>
        <w:t>بحجة الدولة الطرف بأن السيد جوك لم يستنفد جميع سبل الانتصاف المحلية في وقت تقديم البلاغ، نظر</w:t>
      </w:r>
      <w:r w:rsidR="00592A23">
        <w:rPr>
          <w:rtl/>
          <w:lang w:val="ar-SA"/>
        </w:rPr>
        <w:t xml:space="preserve">اً </w:t>
      </w:r>
      <w:r w:rsidR="00A048F5" w:rsidRPr="002F680A">
        <w:rPr>
          <w:rtl/>
          <w:lang w:val="ar-SA"/>
        </w:rPr>
        <w:t>إلى أنه لم يقدم طلب</w:t>
      </w:r>
      <w:r w:rsidR="00592A23">
        <w:rPr>
          <w:rtl/>
          <w:lang w:val="ar-SA"/>
        </w:rPr>
        <w:t xml:space="preserve">اً </w:t>
      </w:r>
      <w:r w:rsidR="00A048F5" w:rsidRPr="002F680A">
        <w:rPr>
          <w:rtl/>
          <w:lang w:val="ar-SA"/>
        </w:rPr>
        <w:t>لإجراء مراجعة رقابية.</w:t>
      </w:r>
      <w:r w:rsidR="00F7131B">
        <w:rPr>
          <w:rtl/>
          <w:lang w:val="ar-SA"/>
        </w:rPr>
        <w:t xml:space="preserve"> </w:t>
      </w:r>
      <w:r w:rsidR="00A048F5" w:rsidRPr="002F680A">
        <w:rPr>
          <w:rtl/>
          <w:lang w:val="ar-SA"/>
        </w:rPr>
        <w:t>وفي هذا الصدد، تؤكد اللجنة مجدد</w:t>
      </w:r>
      <w:r w:rsidR="00592A23">
        <w:rPr>
          <w:rtl/>
          <w:lang w:val="ar-SA"/>
        </w:rPr>
        <w:t xml:space="preserve">اً </w:t>
      </w:r>
      <w:r w:rsidR="00A048F5" w:rsidRPr="002F680A">
        <w:rPr>
          <w:rtl/>
          <w:lang w:val="ar-SA"/>
        </w:rPr>
        <w:t>فتواها السابقة، التي تفيد بأن إجراء الدولة الطرف للمراجعة الرقابية مسألة تقديرية</w:t>
      </w:r>
      <w:r w:rsidR="003F718D">
        <w:rPr>
          <w:vertAlign w:val="superscript"/>
          <w:rtl/>
          <w:lang w:val="ar-SA"/>
        </w:rPr>
        <w:t>(</w:t>
      </w:r>
      <w:r w:rsidR="003F718D">
        <w:rPr>
          <w:rStyle w:val="FootnoteReference"/>
          <w:rtl/>
          <w:lang w:val="ar-SA"/>
        </w:rPr>
        <w:footnoteReference w:id="12"/>
      </w:r>
      <w:r w:rsidR="003F718D">
        <w:rPr>
          <w:vertAlign w:val="superscript"/>
          <w:rtl/>
          <w:lang w:val="ar-SA"/>
        </w:rPr>
        <w:t>)</w:t>
      </w:r>
      <w:r w:rsidR="003F718D">
        <w:rPr>
          <w:rtl/>
          <w:lang w:val="ar-SA"/>
        </w:rPr>
        <w:t xml:space="preserve"> </w:t>
      </w:r>
      <w:r w:rsidR="00A048F5" w:rsidRPr="002F680A">
        <w:rPr>
          <w:rtl/>
          <w:lang w:val="ar-SA"/>
        </w:rPr>
        <w:t>ومن ثم</w:t>
      </w:r>
      <w:r w:rsidR="00211F2A">
        <w:rPr>
          <w:rtl/>
          <w:lang w:val="ar-SA"/>
        </w:rPr>
        <w:t xml:space="preserve"> لا </w:t>
      </w:r>
      <w:r w:rsidR="00A048F5" w:rsidRPr="002F680A">
        <w:rPr>
          <w:rtl/>
          <w:lang w:val="ar-SA"/>
        </w:rPr>
        <w:t>تشكل وسيلة انتص</w:t>
      </w:r>
      <w:r w:rsidR="00E742F7">
        <w:rPr>
          <w:rtl/>
          <w:lang w:val="ar-SA"/>
        </w:rPr>
        <w:t>اف فعالة وفق</w:t>
      </w:r>
      <w:r w:rsidR="00592A23">
        <w:rPr>
          <w:rtl/>
          <w:lang w:val="ar-SA"/>
        </w:rPr>
        <w:t xml:space="preserve">اً </w:t>
      </w:r>
      <w:r w:rsidR="00E742F7">
        <w:rPr>
          <w:rtl/>
          <w:lang w:val="ar-SA"/>
        </w:rPr>
        <w:t>لمتطلبات الفقرة</w:t>
      </w:r>
      <w:r w:rsidR="00E742F7">
        <w:rPr>
          <w:rFonts w:hint="cs"/>
          <w:rtl/>
          <w:lang w:val="ar-SA"/>
        </w:rPr>
        <w:t> </w:t>
      </w:r>
      <w:r w:rsidR="00E742F7">
        <w:rPr>
          <w:rtl/>
          <w:lang w:val="ar-SA"/>
        </w:rPr>
        <w:t>2</w:t>
      </w:r>
      <w:r w:rsidR="00A048F5" w:rsidRPr="002F680A">
        <w:rPr>
          <w:rtl/>
          <w:lang w:val="ar-SA"/>
        </w:rPr>
        <w:t>(ب) من المادة 5 من البروتوكول الاختياري. وبالتالي،</w:t>
      </w:r>
      <w:r w:rsidR="00211F2A">
        <w:rPr>
          <w:rtl/>
          <w:lang w:val="ar-SA"/>
        </w:rPr>
        <w:t xml:space="preserve"> لا </w:t>
      </w:r>
      <w:r w:rsidR="00A048F5" w:rsidRPr="002F680A">
        <w:rPr>
          <w:rtl/>
          <w:lang w:val="ar-SA"/>
        </w:rPr>
        <w:t>يوجد ما يمنع اللجنة من النظر في البلاغ وفق</w:t>
      </w:r>
      <w:r w:rsidR="00592A23">
        <w:rPr>
          <w:rtl/>
          <w:lang w:val="ar-SA"/>
        </w:rPr>
        <w:t xml:space="preserve">اً </w:t>
      </w:r>
      <w:r w:rsidR="004F312F">
        <w:rPr>
          <w:rtl/>
          <w:lang w:val="ar-SA"/>
        </w:rPr>
        <w:t>لأحكام الفقرة 2</w:t>
      </w:r>
      <w:r w:rsidR="00A048F5" w:rsidRPr="002F680A">
        <w:rPr>
          <w:rtl/>
          <w:lang w:val="ar-SA"/>
        </w:rPr>
        <w:t xml:space="preserve">(ب) من المادة 5 </w:t>
      </w:r>
      <w:r w:rsidR="009F4D67">
        <w:rPr>
          <w:rFonts w:hint="cs"/>
          <w:rtl/>
          <w:lang w:val="ar-SA"/>
        </w:rPr>
        <w:t xml:space="preserve">من </w:t>
      </w:r>
      <w:r w:rsidR="00A048F5" w:rsidRPr="002F680A">
        <w:rPr>
          <w:rtl/>
          <w:lang w:val="ar-SA"/>
        </w:rPr>
        <w:t>البروتوكول الاختياري.</w:t>
      </w:r>
    </w:p>
    <w:p w:rsidR="00A048F5" w:rsidRPr="002F680A" w:rsidRDefault="005E3B2F" w:rsidP="00592A23">
      <w:pPr>
        <w:pStyle w:val="SingleTxtGA"/>
        <w:rPr>
          <w:rtl/>
          <w:lang w:val="ar-SA"/>
        </w:rPr>
      </w:pPr>
      <w:r>
        <w:rPr>
          <w:rtl/>
          <w:lang w:val="ar-SA"/>
        </w:rPr>
        <w:t>7-6</w:t>
      </w:r>
      <w:r>
        <w:rPr>
          <w:rFonts w:hint="cs"/>
          <w:rtl/>
          <w:lang w:val="ar-SA"/>
        </w:rPr>
        <w:tab/>
      </w:r>
      <w:r w:rsidR="00A048F5" w:rsidRPr="002F680A">
        <w:rPr>
          <w:rtl/>
          <w:lang w:val="ar-SA"/>
        </w:rPr>
        <w:t>وترى اللجنة أن ادعاءات صاحبة البلاغ بموجب المادة 6 (الفقرتان 1 و2)، والمادة</w:t>
      </w:r>
      <w:r>
        <w:rPr>
          <w:rFonts w:hint="cs"/>
          <w:rtl/>
          <w:lang w:val="ar-SA"/>
        </w:rPr>
        <w:t> </w:t>
      </w:r>
      <w:r w:rsidR="00A048F5" w:rsidRPr="002F680A">
        <w:rPr>
          <w:rtl/>
          <w:lang w:val="ar-SA"/>
        </w:rPr>
        <w:t>7، والمادة 9 (الفقرة 3)، والمادة 14 (الفقرات 1</w:t>
      </w:r>
      <w:r w:rsidR="00592A23">
        <w:rPr>
          <w:rtl/>
          <w:lang w:val="ar-SA"/>
        </w:rPr>
        <w:t xml:space="preserve"> و</w:t>
      </w:r>
      <w:r w:rsidR="00A048F5" w:rsidRPr="002F680A">
        <w:rPr>
          <w:rtl/>
          <w:lang w:val="ar-SA"/>
        </w:rPr>
        <w:t>2</w:t>
      </w:r>
      <w:r w:rsidR="00592A23">
        <w:rPr>
          <w:rtl/>
          <w:lang w:val="ar-SA"/>
        </w:rPr>
        <w:t xml:space="preserve"> و</w:t>
      </w:r>
      <w:r w:rsidR="00A048F5" w:rsidRPr="002F680A">
        <w:rPr>
          <w:rtl/>
          <w:lang w:val="ar-SA"/>
        </w:rPr>
        <w:t>3(ب)</w:t>
      </w:r>
      <w:r w:rsidR="00592A23">
        <w:rPr>
          <w:rtl/>
          <w:lang w:val="ar-SA"/>
        </w:rPr>
        <w:t xml:space="preserve"> و</w:t>
      </w:r>
      <w:r w:rsidR="00A048F5" w:rsidRPr="002F680A">
        <w:rPr>
          <w:rtl/>
          <w:lang w:val="ar-SA"/>
        </w:rPr>
        <w:t>(د)</w:t>
      </w:r>
      <w:r w:rsidR="00592A23">
        <w:rPr>
          <w:rtl/>
          <w:lang w:val="ar-SA"/>
        </w:rPr>
        <w:t xml:space="preserve"> و</w:t>
      </w:r>
      <w:r w:rsidR="00A048F5" w:rsidRPr="002F680A">
        <w:rPr>
          <w:rtl/>
          <w:lang w:val="ar-SA"/>
        </w:rPr>
        <w:t xml:space="preserve">(ز)) من العهد، فيما يتعلق بابنها، مدعومة بأدلة كافية لأغراض </w:t>
      </w:r>
      <w:proofErr w:type="spellStart"/>
      <w:r w:rsidR="00A048F5" w:rsidRPr="002F680A">
        <w:rPr>
          <w:rtl/>
          <w:lang w:val="ar-SA"/>
        </w:rPr>
        <w:t>المقبولية</w:t>
      </w:r>
      <w:proofErr w:type="spellEnd"/>
      <w:r w:rsidR="00A048F5" w:rsidRPr="002F680A">
        <w:rPr>
          <w:rtl/>
          <w:lang w:val="ar-SA"/>
        </w:rPr>
        <w:t>، وتنتقل من ثم إلى النظر في أسسها الموضوعية.</w:t>
      </w:r>
    </w:p>
    <w:p w:rsidR="00A048F5" w:rsidRPr="002F680A" w:rsidRDefault="00A048F5" w:rsidP="005E3B2F">
      <w:pPr>
        <w:pStyle w:val="H4GA"/>
        <w:rPr>
          <w:rtl/>
          <w:lang w:val="ar-SA"/>
        </w:rPr>
      </w:pPr>
      <w:r w:rsidRPr="002F680A">
        <w:rPr>
          <w:rtl/>
          <w:lang w:val="ar-SA"/>
        </w:rPr>
        <w:tab/>
      </w:r>
      <w:r w:rsidRPr="002F680A">
        <w:rPr>
          <w:rtl/>
          <w:lang w:val="ar-SA"/>
        </w:rPr>
        <w:tab/>
        <w:t>النظر في الأسس الموضوعية</w:t>
      </w:r>
    </w:p>
    <w:p w:rsidR="00A048F5" w:rsidRPr="002F680A" w:rsidRDefault="005E3B2F" w:rsidP="005E3B2F">
      <w:pPr>
        <w:pStyle w:val="SingleTxtGA"/>
        <w:rPr>
          <w:rtl/>
          <w:lang w:val="ar-SA"/>
        </w:rPr>
      </w:pPr>
      <w:r>
        <w:rPr>
          <w:rtl/>
          <w:lang w:val="ar-SA"/>
        </w:rPr>
        <w:t>8-1</w:t>
      </w:r>
      <w:r>
        <w:rPr>
          <w:rFonts w:hint="cs"/>
          <w:rtl/>
          <w:lang w:val="ar-SA"/>
        </w:rPr>
        <w:tab/>
      </w:r>
      <w:r w:rsidR="00A048F5" w:rsidRPr="002F680A">
        <w:rPr>
          <w:rtl/>
          <w:lang w:val="ar-SA"/>
        </w:rPr>
        <w:t>نظرت اللجنة المعنية بحقوق الإنسان في هذا البلاغ في ضوء جميع المعلومات الواردة، وفق</w:t>
      </w:r>
      <w:r w:rsidR="00592A23">
        <w:rPr>
          <w:rtl/>
          <w:lang w:val="ar-SA"/>
        </w:rPr>
        <w:t xml:space="preserve">اً </w:t>
      </w:r>
      <w:r w:rsidR="00A048F5" w:rsidRPr="002F680A">
        <w:rPr>
          <w:rtl/>
          <w:lang w:val="ar-SA"/>
        </w:rPr>
        <w:t xml:space="preserve">للفقرة 1 من المادة 5 من البروتوكول الاختياري. </w:t>
      </w:r>
    </w:p>
    <w:p w:rsidR="00A048F5" w:rsidRPr="002F680A" w:rsidRDefault="005E3B2F" w:rsidP="00116477">
      <w:pPr>
        <w:pStyle w:val="SingleTxtGA"/>
        <w:rPr>
          <w:rFonts w:hint="cs"/>
          <w:rtl/>
          <w:lang w:val="ar-SA"/>
        </w:rPr>
      </w:pPr>
      <w:r>
        <w:rPr>
          <w:rtl/>
          <w:lang w:val="ar-SA"/>
        </w:rPr>
        <w:t>8-2</w:t>
      </w:r>
      <w:r>
        <w:rPr>
          <w:rFonts w:hint="cs"/>
          <w:rtl/>
          <w:lang w:val="ar-SA"/>
        </w:rPr>
        <w:tab/>
      </w:r>
      <w:r w:rsidR="00A048F5" w:rsidRPr="002F680A">
        <w:rPr>
          <w:rtl/>
          <w:lang w:val="ar-SA"/>
        </w:rPr>
        <w:t>وتحيط اللجنة علم</w:t>
      </w:r>
      <w:r w:rsidR="00592A23">
        <w:rPr>
          <w:rtl/>
          <w:lang w:val="ar-SA"/>
        </w:rPr>
        <w:t xml:space="preserve">اً </w:t>
      </w:r>
      <w:r w:rsidR="00A048F5" w:rsidRPr="002F680A">
        <w:rPr>
          <w:rtl/>
          <w:lang w:val="ar-SA"/>
        </w:rPr>
        <w:t xml:space="preserve">بادعاءات صاحبة </w:t>
      </w:r>
      <w:r w:rsidR="004F312F">
        <w:rPr>
          <w:rtl/>
          <w:lang w:val="ar-SA"/>
        </w:rPr>
        <w:t>البلاغ بموجب المادة 7 والفقرة 3</w:t>
      </w:r>
      <w:r w:rsidR="00A048F5" w:rsidRPr="002F680A">
        <w:rPr>
          <w:rtl/>
          <w:lang w:val="ar-SA"/>
        </w:rPr>
        <w:t>(ز) من المادة</w:t>
      </w:r>
      <w:r w:rsidR="004F312F">
        <w:rPr>
          <w:rFonts w:hint="cs"/>
          <w:rtl/>
          <w:lang w:val="ar-SA"/>
        </w:rPr>
        <w:t> </w:t>
      </w:r>
      <w:r w:rsidR="00A048F5" w:rsidRPr="002F680A">
        <w:rPr>
          <w:rtl/>
          <w:lang w:val="ar-SA"/>
        </w:rPr>
        <w:t>14 من العهد، بأن السيد جوك تعرض لضغوط بدنية ونفسية بغرض انتزاع اعترافه بالذنب، وأن ذلك الاعتراف كان هو الأساس الذي استند إليه الحكم بإدانته. وتلاحظ اللجنة أيض</w:t>
      </w:r>
      <w:r w:rsidR="00592A23">
        <w:rPr>
          <w:rtl/>
          <w:lang w:val="ar-SA"/>
        </w:rPr>
        <w:t xml:space="preserve">اً </w:t>
      </w:r>
      <w:r w:rsidR="00A048F5" w:rsidRPr="002F680A">
        <w:rPr>
          <w:rtl/>
          <w:lang w:val="ar-SA"/>
        </w:rPr>
        <w:t>أن الدولة الطرف لم تدحض</w:t>
      </w:r>
      <w:r w:rsidR="00F7131B">
        <w:rPr>
          <w:rtl/>
          <w:lang w:val="ar-SA"/>
        </w:rPr>
        <w:t xml:space="preserve"> </w:t>
      </w:r>
      <w:r w:rsidR="00A048F5" w:rsidRPr="002F680A">
        <w:rPr>
          <w:rtl/>
          <w:lang w:val="ar-SA"/>
        </w:rPr>
        <w:t>هذه الادعاءات. وفي هذا الصدد، تشير اللجنة إلى أنه ما أن تُقدم شكوى عن سوء المعاملة بشكل يتنافى مع المادة 7، فإنه يتعين على الدولة الطرف أن تحقق فيها فور</w:t>
      </w:r>
      <w:r w:rsidR="00592A23">
        <w:rPr>
          <w:rtl/>
          <w:lang w:val="ar-SA"/>
        </w:rPr>
        <w:t xml:space="preserve">اً </w:t>
      </w:r>
      <w:r w:rsidR="00A048F5" w:rsidRPr="002F680A">
        <w:rPr>
          <w:rtl/>
          <w:lang w:val="ar-SA"/>
        </w:rPr>
        <w:t>وبنزاهة</w:t>
      </w:r>
      <w:r w:rsidR="00E742F7">
        <w:rPr>
          <w:vertAlign w:val="superscript"/>
          <w:rtl/>
          <w:lang w:val="ar-SA"/>
        </w:rPr>
        <w:t>(</w:t>
      </w:r>
      <w:r w:rsidR="00E742F7">
        <w:rPr>
          <w:rStyle w:val="FootnoteReference"/>
          <w:rtl/>
          <w:lang w:val="ar-SA"/>
        </w:rPr>
        <w:footnoteReference w:id="13"/>
      </w:r>
      <w:r w:rsidR="00E742F7">
        <w:rPr>
          <w:vertAlign w:val="superscript"/>
          <w:rtl/>
          <w:lang w:val="ar-SA"/>
        </w:rPr>
        <w:t>)</w:t>
      </w:r>
      <w:r w:rsidR="00A048F5" w:rsidRPr="002F680A">
        <w:rPr>
          <w:rtl/>
          <w:lang w:val="ar-SA"/>
        </w:rPr>
        <w:t>. وتشير كذلك إلى أن ال</w:t>
      </w:r>
      <w:r w:rsidR="00E742F7">
        <w:rPr>
          <w:rtl/>
          <w:lang w:val="ar-SA"/>
        </w:rPr>
        <w:t>حماية المنصوص عليها في الفقرة 3</w:t>
      </w:r>
      <w:r w:rsidR="00A048F5" w:rsidRPr="002F680A">
        <w:rPr>
          <w:rtl/>
          <w:lang w:val="ar-SA"/>
        </w:rPr>
        <w:t>(ز) من المادة 14 من العهد، يجب فهمها على أنها تعني عدم وجود أية ضغوط بدنية مباشرة أو غير مباشرة أو ضغط نفسي</w:t>
      </w:r>
      <w:r w:rsidR="00211F2A">
        <w:rPr>
          <w:rtl/>
          <w:lang w:val="ar-SA"/>
        </w:rPr>
        <w:t xml:space="preserve"> لا </w:t>
      </w:r>
      <w:r w:rsidR="00A048F5" w:rsidRPr="002F680A">
        <w:rPr>
          <w:rtl/>
          <w:lang w:val="ar-SA"/>
        </w:rPr>
        <w:t>مبرر له على المتهم من قبل سلطات التحقيق، بهدف الحصول على اعتراف بالذنب</w:t>
      </w:r>
      <w:r w:rsidR="005D76F0">
        <w:rPr>
          <w:vertAlign w:val="superscript"/>
          <w:rtl/>
          <w:lang w:val="ar-SA"/>
        </w:rPr>
        <w:t>(</w:t>
      </w:r>
      <w:r w:rsidR="005D76F0">
        <w:rPr>
          <w:rStyle w:val="FootnoteReference"/>
          <w:rtl/>
          <w:lang w:val="ar-SA"/>
        </w:rPr>
        <w:footnoteReference w:id="14"/>
      </w:r>
      <w:r w:rsidR="005D76F0">
        <w:rPr>
          <w:vertAlign w:val="superscript"/>
          <w:rtl/>
          <w:lang w:val="ar-SA"/>
        </w:rPr>
        <w:t>)</w:t>
      </w:r>
      <w:r w:rsidR="00A048F5" w:rsidRPr="002F680A">
        <w:rPr>
          <w:rtl/>
          <w:lang w:val="ar-SA"/>
        </w:rPr>
        <w:t>. وتلاحظ اللجنة أنه على الرغم من الشهادة الطبية التي قدمها محامي الدفاع خلال إجراءات النقض، والتي تثبت وجود إصابات على جسد ابن صاحبة البلاغ</w:t>
      </w:r>
      <w:r w:rsidR="00CD573C">
        <w:rPr>
          <w:rtl/>
          <w:lang w:val="ar-SA"/>
        </w:rPr>
        <w:t>،</w:t>
      </w:r>
      <w:r w:rsidR="00A048F5" w:rsidRPr="002F680A">
        <w:rPr>
          <w:rtl/>
          <w:lang w:val="ar-SA"/>
        </w:rPr>
        <w:t xml:space="preserve"> فإن الدولة الطرف لم تقدم أية معلومات توضح أنها أجرت أي تحقيق في ادعاءات سوء المعاملة. وفي ظل هذه الظروف،</w:t>
      </w:r>
      <w:r w:rsidR="00211F2A">
        <w:rPr>
          <w:rtl/>
          <w:lang w:val="ar-SA"/>
        </w:rPr>
        <w:t xml:space="preserve"> لا </w:t>
      </w:r>
      <w:r w:rsidR="00A048F5" w:rsidRPr="002F680A">
        <w:rPr>
          <w:rtl/>
          <w:lang w:val="ar-SA"/>
        </w:rPr>
        <w:t>بد من إيلاء الاعتبار الواجب لادعاءات صاحبة البلاغ، وتخلص اللجنة إلى أن الوقائع المعروضة عليها تكشف عن حدوث انتهاك لحقوق السيد جوك، وفق</w:t>
      </w:r>
      <w:r w:rsidR="00592A23">
        <w:rPr>
          <w:rtl/>
          <w:lang w:val="ar-SA"/>
        </w:rPr>
        <w:t xml:space="preserve">اً </w:t>
      </w:r>
      <w:r w:rsidR="00116477">
        <w:rPr>
          <w:rFonts w:hint="cs"/>
          <w:rtl/>
          <w:lang w:val="ar-SA"/>
        </w:rPr>
        <w:t>ل</w:t>
      </w:r>
      <w:r w:rsidR="00A048F5" w:rsidRPr="002F680A">
        <w:rPr>
          <w:rtl/>
          <w:lang w:val="ar-SA"/>
        </w:rPr>
        <w:t>لمادة 7 والفقرة</w:t>
      </w:r>
      <w:r w:rsidR="00F7131B">
        <w:rPr>
          <w:rtl/>
          <w:lang w:val="ar-SA"/>
        </w:rPr>
        <w:t xml:space="preserve"> </w:t>
      </w:r>
      <w:r w:rsidR="00A048F5" w:rsidRPr="002F680A">
        <w:rPr>
          <w:rtl/>
          <w:lang w:val="ar-SA"/>
        </w:rPr>
        <w:t>3(ز)) من المادة 14 من العهد</w:t>
      </w:r>
      <w:r w:rsidR="003F7C72">
        <w:rPr>
          <w:vertAlign w:val="superscript"/>
          <w:rtl/>
          <w:lang w:val="ar-SA"/>
        </w:rPr>
        <w:t>(</w:t>
      </w:r>
      <w:r w:rsidR="003F7C72">
        <w:rPr>
          <w:rStyle w:val="FootnoteReference"/>
          <w:rtl/>
          <w:lang w:val="ar-SA"/>
        </w:rPr>
        <w:footnoteReference w:id="15"/>
      </w:r>
      <w:r w:rsidR="003F7C72">
        <w:rPr>
          <w:vertAlign w:val="superscript"/>
          <w:rtl/>
          <w:lang w:val="ar-SA"/>
        </w:rPr>
        <w:t>)</w:t>
      </w:r>
      <w:r w:rsidR="00483ABC">
        <w:rPr>
          <w:rtl/>
          <w:lang w:val="ar-SA"/>
        </w:rPr>
        <w:t>.</w:t>
      </w:r>
    </w:p>
    <w:p w:rsidR="00A048F5" w:rsidRPr="002F680A" w:rsidRDefault="005E3B2F" w:rsidP="00FE7860">
      <w:pPr>
        <w:pStyle w:val="SingleTxtGA"/>
        <w:rPr>
          <w:rtl/>
          <w:lang w:val="ar-SA"/>
        </w:rPr>
      </w:pPr>
      <w:r>
        <w:rPr>
          <w:rtl/>
          <w:lang w:val="ar-SA"/>
        </w:rPr>
        <w:t>8-3</w:t>
      </w:r>
      <w:r>
        <w:rPr>
          <w:rFonts w:hint="cs"/>
          <w:rtl/>
          <w:lang w:val="ar-SA"/>
        </w:rPr>
        <w:tab/>
      </w:r>
      <w:r w:rsidR="00A048F5" w:rsidRPr="002F680A">
        <w:rPr>
          <w:rtl/>
          <w:lang w:val="ar-SA"/>
        </w:rPr>
        <w:t>وفيما يتعلق بادعاء صاحبة البلاغ أنه تم إلقاء القبض على السيد جوك في 1 آذار/</w:t>
      </w:r>
      <w:r>
        <w:rPr>
          <w:rFonts w:hint="cs"/>
          <w:rtl/>
          <w:lang w:val="ar-SA"/>
        </w:rPr>
        <w:t xml:space="preserve"> </w:t>
      </w:r>
      <w:r w:rsidR="00A048F5" w:rsidRPr="002F680A">
        <w:rPr>
          <w:rtl/>
          <w:lang w:val="ar-SA"/>
        </w:rPr>
        <w:t xml:space="preserve">مارس 2009، لكنه لم يمثل أمام القضاء بغرض استعراض مسألة احتجازه حتى يوم 6 حزيران/يونيه 2009، أي بعد ثلاثة أشهر وخمسة أيام من القبض عليه، تلاحظ اللجنة أن الدولة الطرف لم تتطرق إلى هذه الادعاءات. وعلى الرغم من أن معنى عبارة </w:t>
      </w:r>
      <w:r w:rsidR="00220FB8">
        <w:rPr>
          <w:rFonts w:hint="cs"/>
          <w:rtl/>
          <w:lang w:val="ar-SA"/>
        </w:rPr>
        <w:t>"</w:t>
      </w:r>
      <w:r w:rsidR="00A048F5" w:rsidRPr="002F680A">
        <w:rPr>
          <w:rtl/>
          <w:lang w:val="ar-SA"/>
        </w:rPr>
        <w:t>على وجه السرعة</w:t>
      </w:r>
      <w:r w:rsidR="00220FB8">
        <w:rPr>
          <w:rFonts w:hint="cs"/>
          <w:rtl/>
          <w:lang w:val="ar-SA"/>
        </w:rPr>
        <w:t>"</w:t>
      </w:r>
      <w:r w:rsidR="00A048F5" w:rsidRPr="002F680A">
        <w:rPr>
          <w:rtl/>
          <w:lang w:val="ar-SA"/>
        </w:rPr>
        <w:t xml:space="preserve"> الواردة في الفقرة 3 من المادة 9، يجب أن يتحدد وفق كل حالة على حدة، تشير</w:t>
      </w:r>
      <w:r w:rsidR="003B24BB">
        <w:rPr>
          <w:rtl/>
          <w:lang w:val="ar-SA"/>
        </w:rPr>
        <w:t xml:space="preserve"> اللجنة إلى تعليقها العام رقم 8</w:t>
      </w:r>
      <w:r w:rsidR="00A048F5" w:rsidRPr="002F680A">
        <w:rPr>
          <w:rtl/>
          <w:lang w:val="ar-SA"/>
        </w:rPr>
        <w:t>(1982) بشأن</w:t>
      </w:r>
      <w:r w:rsidR="00F7131B">
        <w:rPr>
          <w:rtl/>
          <w:lang w:val="ar-SA"/>
        </w:rPr>
        <w:t xml:space="preserve"> </w:t>
      </w:r>
      <w:r w:rsidR="00A048F5" w:rsidRPr="002F680A">
        <w:rPr>
          <w:rtl/>
          <w:lang w:val="ar-SA"/>
        </w:rPr>
        <w:t>حق كل شخص في الحرية وفي الأمان على شخصه</w:t>
      </w:r>
      <w:r w:rsidR="00B46FD0">
        <w:rPr>
          <w:vertAlign w:val="superscript"/>
          <w:rtl/>
          <w:lang w:val="ar-SA"/>
        </w:rPr>
        <w:t>(</w:t>
      </w:r>
      <w:r w:rsidR="00B46FD0">
        <w:rPr>
          <w:rStyle w:val="FootnoteReference"/>
          <w:rtl/>
          <w:lang w:val="ar-SA"/>
        </w:rPr>
        <w:footnoteReference w:id="16"/>
      </w:r>
      <w:r w:rsidR="00B46FD0">
        <w:rPr>
          <w:vertAlign w:val="superscript"/>
          <w:rtl/>
          <w:lang w:val="ar-SA"/>
        </w:rPr>
        <w:t>)</w:t>
      </w:r>
      <w:r w:rsidR="00A048F5" w:rsidRPr="002F680A">
        <w:rPr>
          <w:rtl/>
          <w:lang w:val="ar-SA"/>
        </w:rPr>
        <w:t>، وإلى فتواها</w:t>
      </w:r>
      <w:r w:rsidR="00B46FD0">
        <w:rPr>
          <w:vertAlign w:val="superscript"/>
          <w:rtl/>
          <w:lang w:val="ar-SA"/>
        </w:rPr>
        <w:t>(</w:t>
      </w:r>
      <w:r w:rsidR="00B46FD0">
        <w:rPr>
          <w:rStyle w:val="FootnoteReference"/>
          <w:rtl/>
          <w:lang w:val="ar-SA"/>
        </w:rPr>
        <w:footnoteReference w:id="17"/>
      </w:r>
      <w:r w:rsidR="00B46FD0">
        <w:rPr>
          <w:vertAlign w:val="superscript"/>
          <w:rtl/>
          <w:lang w:val="ar-SA"/>
        </w:rPr>
        <w:t>)</w:t>
      </w:r>
      <w:r w:rsidR="00A048F5" w:rsidRPr="002F680A">
        <w:rPr>
          <w:rtl/>
          <w:lang w:val="ar-SA"/>
        </w:rPr>
        <w:t>، التي تنص على أن التأخير يجب ألا يتجاوز بضعة أيام. وتشير اللجنة كذلك إلى أنها قد أوصت في العديد من المناسبات، في سياق النظر في تقارير الدول الأطراف المقدمة بموجب المادة 40 من العهد، كفالة ألا تتجاوز فترة الاحتجاز لدى الشرطة قبل مثول الشخص المحتجز أمام القاضي مدة 48 ساعة</w:t>
      </w:r>
      <w:r w:rsidR="00FB52B5">
        <w:rPr>
          <w:vertAlign w:val="superscript"/>
          <w:rtl/>
          <w:lang w:val="ar-SA"/>
        </w:rPr>
        <w:t>(</w:t>
      </w:r>
      <w:r w:rsidR="00FB52B5">
        <w:rPr>
          <w:rStyle w:val="FootnoteReference"/>
          <w:rtl/>
          <w:lang w:val="ar-SA"/>
        </w:rPr>
        <w:footnoteReference w:id="18"/>
      </w:r>
      <w:r w:rsidR="00FB52B5">
        <w:rPr>
          <w:vertAlign w:val="superscript"/>
          <w:rtl/>
          <w:lang w:val="ar-SA"/>
        </w:rPr>
        <w:t>)</w:t>
      </w:r>
      <w:r w:rsidR="00A048F5" w:rsidRPr="002F680A">
        <w:rPr>
          <w:rtl/>
          <w:lang w:val="ar-SA"/>
        </w:rPr>
        <w:t>. وتتطلب أية فترة تأخير أطول من ذلك تبرير</w:t>
      </w:r>
      <w:r w:rsidR="00592A23">
        <w:rPr>
          <w:rtl/>
          <w:lang w:val="ar-SA"/>
        </w:rPr>
        <w:t xml:space="preserve">اً </w:t>
      </w:r>
      <w:r w:rsidR="00A048F5" w:rsidRPr="002F680A">
        <w:rPr>
          <w:rtl/>
          <w:lang w:val="ar-SA"/>
        </w:rPr>
        <w:t>خاص</w:t>
      </w:r>
      <w:r w:rsidR="00592A23">
        <w:rPr>
          <w:rtl/>
          <w:lang w:val="ar-SA"/>
        </w:rPr>
        <w:t xml:space="preserve">اً </w:t>
      </w:r>
      <w:r w:rsidR="00A048F5" w:rsidRPr="002F680A">
        <w:rPr>
          <w:rtl/>
          <w:lang w:val="ar-SA"/>
        </w:rPr>
        <w:t>يتفق مع الفقرة 3 من المادة 9 من العهد</w:t>
      </w:r>
      <w:r w:rsidR="00FE7860">
        <w:rPr>
          <w:vertAlign w:val="superscript"/>
          <w:rtl/>
          <w:lang w:val="ar-SA"/>
        </w:rPr>
        <w:t>(</w:t>
      </w:r>
      <w:r w:rsidR="00FE7860">
        <w:rPr>
          <w:rStyle w:val="FootnoteReference"/>
          <w:rtl/>
          <w:lang w:val="ar-SA"/>
        </w:rPr>
        <w:footnoteReference w:id="19"/>
      </w:r>
      <w:r w:rsidR="00FE7860">
        <w:rPr>
          <w:vertAlign w:val="superscript"/>
          <w:rtl/>
          <w:lang w:val="ar-SA"/>
        </w:rPr>
        <w:t>)</w:t>
      </w:r>
      <w:r w:rsidR="00A048F5" w:rsidRPr="002F680A">
        <w:rPr>
          <w:rtl/>
          <w:lang w:val="ar-SA"/>
        </w:rPr>
        <w:t>. ولذلك ترى اللجنة أن التأخير لمدة تزيد عن ثلاثة أشهر قبل مثول السيد جوك أمام القاضي يتعارض مع شرط السرعة المنصوص عليه في الفقرة 3 من المادة 9 من العهد، ويشكل بالتالي انتهاك</w:t>
      </w:r>
      <w:r w:rsidR="00592A23">
        <w:rPr>
          <w:rtl/>
          <w:lang w:val="ar-SA"/>
        </w:rPr>
        <w:t xml:space="preserve">اً </w:t>
      </w:r>
      <w:r w:rsidR="00A048F5" w:rsidRPr="002F680A">
        <w:rPr>
          <w:rtl/>
          <w:lang w:val="ar-SA"/>
        </w:rPr>
        <w:t>لحقوق السيد جوك بموجب أحكام هذه المادة.</w:t>
      </w:r>
    </w:p>
    <w:p w:rsidR="00A048F5" w:rsidRPr="00701F90" w:rsidRDefault="004050F9" w:rsidP="005B4AFB">
      <w:pPr>
        <w:pStyle w:val="SingleTxtGA"/>
        <w:rPr>
          <w:spacing w:val="-2"/>
          <w:rtl/>
          <w:lang w:val="ar-SA"/>
        </w:rPr>
      </w:pPr>
      <w:r w:rsidRPr="00701F90">
        <w:rPr>
          <w:spacing w:val="-2"/>
          <w:rtl/>
          <w:lang w:val="ar-SA"/>
        </w:rPr>
        <w:t>8-4</w:t>
      </w:r>
      <w:r w:rsidRPr="00701F90">
        <w:rPr>
          <w:rFonts w:hint="cs"/>
          <w:spacing w:val="-2"/>
          <w:rtl/>
          <w:lang w:val="ar-SA"/>
        </w:rPr>
        <w:tab/>
      </w:r>
      <w:r w:rsidR="00A048F5" w:rsidRPr="00701F90">
        <w:rPr>
          <w:spacing w:val="-2"/>
          <w:rtl/>
          <w:lang w:val="ar-SA"/>
        </w:rPr>
        <w:t>وتلاحظ اللجنة أيض</w:t>
      </w:r>
      <w:r w:rsidR="00592A23" w:rsidRPr="00701F90">
        <w:rPr>
          <w:spacing w:val="-2"/>
          <w:rtl/>
          <w:lang w:val="ar-SA"/>
        </w:rPr>
        <w:t xml:space="preserve">اً </w:t>
      </w:r>
      <w:r w:rsidR="00A048F5" w:rsidRPr="00701F90">
        <w:rPr>
          <w:spacing w:val="-2"/>
          <w:rtl/>
          <w:lang w:val="ar-SA"/>
        </w:rPr>
        <w:t xml:space="preserve">ادعاءات صاحبة البلاغ بأن مبدأ افتراض البراءة لم يحترم، لأن العديد من المسؤولين الحكوميين أدلوا ببيانات علنية تفيد بأن ابنها مذنب قبل إدانته من قبل المحكمة، ولأن وسائط الإعلام </w:t>
      </w:r>
      <w:r w:rsidR="005B4AFB" w:rsidRPr="00701F90">
        <w:rPr>
          <w:rFonts w:hint="cs"/>
          <w:spacing w:val="-2"/>
          <w:rtl/>
          <w:lang w:val="ar-SA"/>
        </w:rPr>
        <w:t>أ</w:t>
      </w:r>
      <w:r w:rsidR="00A048F5" w:rsidRPr="00701F90">
        <w:rPr>
          <w:spacing w:val="-2"/>
          <w:rtl/>
          <w:lang w:val="ar-SA"/>
        </w:rPr>
        <w:t>تاحت مواد التحقيق الأولي للجمهور بصفة عامة قبل أن تنظر المحكمة في قضيته. وعلاوة على ذلك، احتجز ابنها في قفص معدني طوال فترة المحاكمة ونشرت صوره الفوتوغرافية وهو وراء القضبان في قاعة المحكمة عبر وسائط الإعلام المحلية. وتلاحظ اللجنة أيض</w:t>
      </w:r>
      <w:r w:rsidR="00592A23" w:rsidRPr="00701F90">
        <w:rPr>
          <w:spacing w:val="-2"/>
          <w:rtl/>
          <w:lang w:val="ar-SA"/>
        </w:rPr>
        <w:t xml:space="preserve">اً </w:t>
      </w:r>
      <w:r w:rsidR="00A048F5" w:rsidRPr="00701F90">
        <w:rPr>
          <w:spacing w:val="-2"/>
          <w:rtl/>
          <w:lang w:val="ar-SA"/>
        </w:rPr>
        <w:t>أن الدولة الطرف لم تدحض هذه الادعاءات. وفي هذا الصدد، تشير اللجنة إلى فتواها</w:t>
      </w:r>
      <w:r w:rsidR="001B359C" w:rsidRPr="00701F90">
        <w:rPr>
          <w:spacing w:val="-2"/>
          <w:vertAlign w:val="superscript"/>
          <w:rtl/>
          <w:lang w:val="ar-SA"/>
        </w:rPr>
        <w:t>(</w:t>
      </w:r>
      <w:r w:rsidR="001B359C" w:rsidRPr="00701F90">
        <w:rPr>
          <w:rStyle w:val="FootnoteReference"/>
          <w:spacing w:val="-2"/>
          <w:rtl/>
          <w:lang w:val="ar-SA"/>
        </w:rPr>
        <w:footnoteReference w:id="20"/>
      </w:r>
      <w:r w:rsidR="001B359C" w:rsidRPr="00701F90">
        <w:rPr>
          <w:spacing w:val="-2"/>
          <w:vertAlign w:val="superscript"/>
          <w:rtl/>
          <w:lang w:val="ar-SA"/>
        </w:rPr>
        <w:t>)</w:t>
      </w:r>
      <w:r w:rsidR="001B359C" w:rsidRPr="00701F90">
        <w:rPr>
          <w:spacing w:val="-2"/>
          <w:rtl/>
          <w:lang w:val="ar-SA"/>
        </w:rPr>
        <w:t xml:space="preserve"> </w:t>
      </w:r>
      <w:r w:rsidR="00A048F5" w:rsidRPr="00701F90">
        <w:rPr>
          <w:spacing w:val="-2"/>
          <w:rtl/>
          <w:lang w:val="ar-SA"/>
        </w:rPr>
        <w:t>في صيغتها</w:t>
      </w:r>
      <w:r w:rsidR="003B24BB" w:rsidRPr="00701F90">
        <w:rPr>
          <w:spacing w:val="-2"/>
          <w:rtl/>
          <w:lang w:val="ar-SA"/>
        </w:rPr>
        <w:t xml:space="preserve"> الواردة في تعليقها العام رقم</w:t>
      </w:r>
      <w:r w:rsidR="000A759E">
        <w:rPr>
          <w:rFonts w:hint="cs"/>
          <w:spacing w:val="-2"/>
          <w:rtl/>
          <w:lang w:val="ar-SA"/>
        </w:rPr>
        <w:t xml:space="preserve"> </w:t>
      </w:r>
      <w:r w:rsidR="003B24BB" w:rsidRPr="00701F90">
        <w:rPr>
          <w:spacing w:val="-2"/>
          <w:rtl/>
          <w:lang w:val="ar-SA"/>
        </w:rPr>
        <w:t>32</w:t>
      </w:r>
      <w:r w:rsidR="00A048F5" w:rsidRPr="00701F90">
        <w:rPr>
          <w:spacing w:val="-2"/>
          <w:rtl/>
          <w:lang w:val="ar-SA"/>
        </w:rPr>
        <w:t xml:space="preserve">(2007) بشأن الحق في المساواة أمام المحاكم والهيئات القضائية وفي محاكمة عادلة، التي تنص على أن </w:t>
      </w:r>
      <w:r w:rsidR="00220FB8" w:rsidRPr="00701F90">
        <w:rPr>
          <w:rFonts w:hint="cs"/>
          <w:spacing w:val="-2"/>
          <w:rtl/>
          <w:lang w:val="ar-SA"/>
        </w:rPr>
        <w:t>"</w:t>
      </w:r>
      <w:r w:rsidR="00A048F5" w:rsidRPr="00701F90">
        <w:rPr>
          <w:spacing w:val="-2"/>
          <w:rtl/>
          <w:lang w:val="ar-SA"/>
        </w:rPr>
        <w:t xml:space="preserve">ﺍﻓﺘﺮﺍﺽ </w:t>
      </w:r>
      <w:r w:rsidRPr="00701F90">
        <w:rPr>
          <w:rFonts w:hint="cs"/>
          <w:spacing w:val="-2"/>
          <w:rtl/>
          <w:lang w:val="ar-SA"/>
        </w:rPr>
        <w:t>البراءة</w:t>
      </w:r>
      <w:r w:rsidR="00A048F5" w:rsidRPr="00701F90">
        <w:rPr>
          <w:spacing w:val="-2"/>
          <w:rtl/>
          <w:lang w:val="ar-SA"/>
        </w:rPr>
        <w:t>، ﻭﻫﻮ ﺃﺳﺎﺳﻲ لحماية ﺣﻘﻮﻕ ﺍﻹ</w:t>
      </w:r>
      <w:proofErr w:type="spellStart"/>
      <w:r w:rsidR="00A048F5" w:rsidRPr="00701F90">
        <w:rPr>
          <w:spacing w:val="-2"/>
          <w:rtl/>
          <w:lang w:val="ar-SA"/>
        </w:rPr>
        <w:t>ﻧﺴﺎﻥ</w:t>
      </w:r>
      <w:proofErr w:type="spellEnd"/>
      <w:r w:rsidR="00A048F5" w:rsidRPr="00701F90">
        <w:rPr>
          <w:spacing w:val="-2"/>
          <w:rtl/>
          <w:lang w:val="ar-SA"/>
        </w:rPr>
        <w:t>، ﻳﻔﺮﺽ ﻋﻠﻰ ﺍﻹﺩﻋﺎﺀ ﻋﺐﺀ ﺇﺛﺒﺎﺕ الاتهام، ﻭﻳﻜﻔﻞ ﻋﺪﻡ ﺍﻓﺘﺮﺍﺽ ﺍﻹ</w:t>
      </w:r>
      <w:proofErr w:type="spellStart"/>
      <w:r w:rsidR="00A048F5" w:rsidRPr="00701F90">
        <w:rPr>
          <w:spacing w:val="-2"/>
          <w:rtl/>
          <w:lang w:val="ar-SA"/>
        </w:rPr>
        <w:t>ﺩﺍﻧﺔ</w:t>
      </w:r>
      <w:proofErr w:type="spellEnd"/>
      <w:r w:rsidR="00A048F5" w:rsidRPr="00701F90">
        <w:rPr>
          <w:spacing w:val="-2"/>
          <w:rtl/>
          <w:lang w:val="ar-SA"/>
        </w:rPr>
        <w:t xml:space="preserve"> إلى ﺃﻥ ﻳﺜﺒﺖ الاتهام بما ﻻ ﻳﺪﻉ مجال</w:t>
      </w:r>
      <w:r w:rsidR="00592A23" w:rsidRPr="00701F90">
        <w:rPr>
          <w:spacing w:val="-2"/>
          <w:rtl/>
          <w:lang w:val="ar-SA"/>
        </w:rPr>
        <w:t xml:space="preserve">اً </w:t>
      </w:r>
      <w:r w:rsidR="00A048F5" w:rsidRPr="00701F90">
        <w:rPr>
          <w:spacing w:val="-2"/>
          <w:rtl/>
          <w:lang w:val="ar-SA"/>
        </w:rPr>
        <w:t>ﻟﻠﺸﻚ، ﻭﻳﻘﺘﻀﻲ ﻣﻌﺎﻣﻠﺔ المتهمين بجرائم جنائية وفق</w:t>
      </w:r>
      <w:r w:rsidR="00592A23" w:rsidRPr="00701F90">
        <w:rPr>
          <w:spacing w:val="-2"/>
          <w:rtl/>
          <w:lang w:val="ar-SA"/>
        </w:rPr>
        <w:t xml:space="preserve">اً </w:t>
      </w:r>
      <w:r w:rsidR="00A048F5" w:rsidRPr="00701F90">
        <w:rPr>
          <w:spacing w:val="-2"/>
          <w:rtl/>
          <w:lang w:val="ar-SA"/>
        </w:rPr>
        <w:t>لهذا المبدأ</w:t>
      </w:r>
      <w:r w:rsidR="00220FB8" w:rsidRPr="00701F90">
        <w:rPr>
          <w:rFonts w:hint="cs"/>
          <w:spacing w:val="-2"/>
          <w:rtl/>
          <w:lang w:val="ar-SA"/>
        </w:rPr>
        <w:t>"</w:t>
      </w:r>
      <w:r w:rsidR="004478B5" w:rsidRPr="00701F90">
        <w:rPr>
          <w:spacing w:val="-2"/>
          <w:vertAlign w:val="superscript"/>
          <w:rtl/>
          <w:lang w:val="ar-SA"/>
        </w:rPr>
        <w:t>(</w:t>
      </w:r>
      <w:r w:rsidR="004478B5" w:rsidRPr="00701F90">
        <w:rPr>
          <w:rStyle w:val="FootnoteReference"/>
          <w:spacing w:val="-2"/>
          <w:rtl/>
          <w:lang w:val="ar-SA"/>
        </w:rPr>
        <w:footnoteReference w:id="21"/>
      </w:r>
      <w:r w:rsidR="004478B5" w:rsidRPr="00701F90">
        <w:rPr>
          <w:spacing w:val="-2"/>
          <w:vertAlign w:val="superscript"/>
          <w:rtl/>
          <w:lang w:val="ar-SA"/>
        </w:rPr>
        <w:t>)</w:t>
      </w:r>
      <w:r w:rsidR="00A048F5" w:rsidRPr="00701F90">
        <w:rPr>
          <w:spacing w:val="-2"/>
          <w:rtl/>
          <w:lang w:val="ar-SA"/>
        </w:rPr>
        <w:t>. ويشير التعليق العام نفسه إلى ﻭﺍﺟﺐ جميع السلطات</w:t>
      </w:r>
      <w:r w:rsidR="00F7131B" w:rsidRPr="00701F90">
        <w:rPr>
          <w:spacing w:val="-2"/>
          <w:rtl/>
          <w:lang w:val="ar-SA"/>
        </w:rPr>
        <w:t xml:space="preserve"> </w:t>
      </w:r>
      <w:r w:rsidR="00A048F5" w:rsidRPr="00701F90">
        <w:rPr>
          <w:spacing w:val="-2"/>
          <w:rtl/>
          <w:lang w:val="ar-SA"/>
        </w:rPr>
        <w:t>ﺍ</w:t>
      </w:r>
      <w:r w:rsidR="00F7131B" w:rsidRPr="00701F90">
        <w:rPr>
          <w:spacing w:val="-2"/>
          <w:rtl/>
          <w:lang w:val="ar-SA"/>
        </w:rPr>
        <w:t>ﻟﻌﺎﻣﺔ ﺍﻻ</w:t>
      </w:r>
      <w:proofErr w:type="spellStart"/>
      <w:r w:rsidR="00A048F5" w:rsidRPr="00701F90">
        <w:rPr>
          <w:spacing w:val="-2"/>
          <w:rtl/>
          <w:lang w:val="ar-SA"/>
        </w:rPr>
        <w:t>ﻣﺘﻨﺎﻉ</w:t>
      </w:r>
      <w:proofErr w:type="spellEnd"/>
      <w:r w:rsidR="00A048F5" w:rsidRPr="00701F90">
        <w:rPr>
          <w:spacing w:val="-2"/>
          <w:rtl/>
          <w:lang w:val="ar-SA"/>
        </w:rPr>
        <w:t xml:space="preserve"> ﻋﻦ ﺇﺻﺪﺍﺭ ﺃﺣﻜﺎﻡ ﻣﺴﺒﻘﺔ ﻋﻦ محاكمة ﻣﺎ، نحو الامتناع عن الإدلاء بتصريحات عامة تؤكد إدانة المتهم</w:t>
      </w:r>
      <w:r w:rsidR="00276254" w:rsidRPr="00701F90">
        <w:rPr>
          <w:spacing w:val="-2"/>
          <w:vertAlign w:val="superscript"/>
          <w:rtl/>
          <w:lang w:val="ar-SA"/>
        </w:rPr>
        <w:t>(</w:t>
      </w:r>
      <w:r w:rsidR="00276254" w:rsidRPr="00701F90">
        <w:rPr>
          <w:rStyle w:val="FootnoteReference"/>
          <w:spacing w:val="-2"/>
          <w:rtl/>
          <w:lang w:val="ar-SA"/>
        </w:rPr>
        <w:footnoteReference w:id="22"/>
      </w:r>
      <w:r w:rsidR="00276254" w:rsidRPr="00701F90">
        <w:rPr>
          <w:spacing w:val="-2"/>
          <w:vertAlign w:val="superscript"/>
          <w:rtl/>
          <w:lang w:val="ar-SA"/>
        </w:rPr>
        <w:t>)</w:t>
      </w:r>
      <w:r w:rsidR="00A048F5" w:rsidRPr="00701F90">
        <w:rPr>
          <w:spacing w:val="-2"/>
          <w:rtl/>
          <w:lang w:val="ar-SA"/>
        </w:rPr>
        <w:t>؛ وجاء في التعليق كذل</w:t>
      </w:r>
      <w:r w:rsidR="000A759E">
        <w:rPr>
          <w:spacing w:val="-2"/>
          <w:rtl/>
          <w:lang w:val="ar-SA"/>
        </w:rPr>
        <w:t>ك أنه ﻋﺎﺩﺓ ﻻ ﻳﻨﺒﻐﻲ ﺗﻜﺒﻴﻞ المتهم</w:t>
      </w:r>
      <w:r w:rsidR="00CD573C" w:rsidRPr="00701F90">
        <w:rPr>
          <w:rFonts w:hint="cs"/>
          <w:spacing w:val="-2"/>
          <w:rtl/>
          <w:lang w:val="ar-SA"/>
        </w:rPr>
        <w:t>ي</w:t>
      </w:r>
      <w:r w:rsidR="00A048F5" w:rsidRPr="00701F90">
        <w:rPr>
          <w:spacing w:val="-2"/>
          <w:rtl/>
          <w:lang w:val="ar-SA"/>
        </w:rPr>
        <w:t>ن ﺃﻭ ﻭﺿﻌﻬﻢ في</w:t>
      </w:r>
      <w:r w:rsidR="00F7131B" w:rsidRPr="00701F90">
        <w:rPr>
          <w:spacing w:val="-2"/>
          <w:rtl/>
          <w:lang w:val="ar-SA"/>
        </w:rPr>
        <w:t xml:space="preserve"> </w:t>
      </w:r>
      <w:r w:rsidR="00A048F5" w:rsidRPr="00701F90">
        <w:rPr>
          <w:spacing w:val="-2"/>
          <w:rtl/>
          <w:lang w:val="ar-SA"/>
        </w:rPr>
        <w:t>ﺃﻗﻔﺎﺹ ﺧﻼﻝ المحاكمات ﺃﻭ تقديمهم إلى المحكمة ﺑﺄﻱ ﻃﺮﻳﻘﺔ ﺃﺧﺮﻯ ﺗﻮﺣﻲ ﺑﺄنهم مجرمين خطيرين</w:t>
      </w:r>
      <w:r w:rsidR="00CD573C" w:rsidRPr="00701F90">
        <w:rPr>
          <w:spacing w:val="-2"/>
          <w:rtl/>
          <w:lang w:val="ar-SA"/>
        </w:rPr>
        <w:t>.</w:t>
      </w:r>
      <w:r w:rsidR="00A048F5" w:rsidRPr="00701F90">
        <w:rPr>
          <w:spacing w:val="-2"/>
          <w:rtl/>
          <w:lang w:val="ar-SA"/>
        </w:rPr>
        <w:t xml:space="preserve"> ﻭيتعين</w:t>
      </w:r>
      <w:r w:rsidR="00CD573C" w:rsidRPr="00701F90">
        <w:rPr>
          <w:spacing w:val="-2"/>
          <w:rtl/>
          <w:lang w:val="ar-SA"/>
        </w:rPr>
        <w:t xml:space="preserve"> ﻋﻠﻰ ﻭﺳﺎﺋﻂ ﺍﻹﻋﻼﻡ تجنب ﺍﻟﺘﻐﻄﻴﺔ ﺍ</w:t>
      </w:r>
      <w:r w:rsidR="00CD573C" w:rsidRPr="00701F90">
        <w:rPr>
          <w:rFonts w:hint="cs"/>
          <w:spacing w:val="-2"/>
          <w:rtl/>
          <w:lang w:val="ar-SA"/>
        </w:rPr>
        <w:t>لإ</w:t>
      </w:r>
      <w:r w:rsidR="00A048F5" w:rsidRPr="00701F90">
        <w:rPr>
          <w:spacing w:val="-2"/>
          <w:rtl/>
          <w:lang w:val="ar-SA"/>
        </w:rPr>
        <w:t xml:space="preserve">ﺧﺒﺎﺭﻳﺔ التي ﺗﻨﺎﻝ ﻣﻦ ﺍﻓﺘﺮﺍﺽ البراءة. على أساس المعلومات المعروضة عليها وفي غياب أي رد من الدولة الطرف، ترى اللجنة أن حق السيد جوك في افتراض البراءة، المكفول بموجب الفقرة 2 من المادة 14 من العهد، قد انتهك. </w:t>
      </w:r>
    </w:p>
    <w:p w:rsidR="00A048F5" w:rsidRPr="002F680A" w:rsidRDefault="004050F9" w:rsidP="004E5A0D">
      <w:pPr>
        <w:pStyle w:val="SingleTxtGA"/>
        <w:rPr>
          <w:rtl/>
          <w:lang w:val="ar-SA"/>
        </w:rPr>
      </w:pPr>
      <w:r>
        <w:rPr>
          <w:rtl/>
          <w:lang w:val="ar-SA"/>
        </w:rPr>
        <w:t>8-5</w:t>
      </w:r>
      <w:r>
        <w:rPr>
          <w:rFonts w:hint="cs"/>
          <w:rtl/>
          <w:lang w:val="ar-SA"/>
        </w:rPr>
        <w:tab/>
      </w:r>
      <w:r w:rsidR="00A048F5" w:rsidRPr="002F680A">
        <w:rPr>
          <w:rtl/>
          <w:lang w:val="ar-SA"/>
        </w:rPr>
        <w:t>وتلاحظ اللجنة أيض</w:t>
      </w:r>
      <w:r w:rsidR="00592A23">
        <w:rPr>
          <w:rtl/>
          <w:lang w:val="ar-SA"/>
        </w:rPr>
        <w:t xml:space="preserve">اً </w:t>
      </w:r>
      <w:r w:rsidR="00A048F5" w:rsidRPr="002F680A">
        <w:rPr>
          <w:rtl/>
          <w:lang w:val="ar-SA"/>
        </w:rPr>
        <w:t>ادعاءات صاحبة البلاغ أن ابنها لم يسمح له بمقابلة المحامي سوى لمدة خمس دقائق، وأنه حرم فعلي</w:t>
      </w:r>
      <w:r w:rsidR="00592A23">
        <w:rPr>
          <w:rtl/>
          <w:lang w:val="ar-SA"/>
        </w:rPr>
        <w:t xml:space="preserve">اً </w:t>
      </w:r>
      <w:r w:rsidR="00A048F5" w:rsidRPr="002F680A">
        <w:rPr>
          <w:rtl/>
          <w:lang w:val="ar-SA"/>
        </w:rPr>
        <w:t>من المساعدة القانونية خلال المراحل الأولية من إجراءات التحقيق وأرغم على المشاركة في إجراءات التحقيق دون أن يحصل على مشورة قانونية، وذلك على الرغم من طلبه أن توفر له خدمات محام، مما يشكل مخالفة للإجراءات الجنائية المحلية. وتلاحظ اللجنة أيض</w:t>
      </w:r>
      <w:r w:rsidR="00592A23">
        <w:rPr>
          <w:rtl/>
          <w:lang w:val="ar-SA"/>
        </w:rPr>
        <w:t xml:space="preserve">اً </w:t>
      </w:r>
      <w:r w:rsidR="00A048F5" w:rsidRPr="002F680A">
        <w:rPr>
          <w:rtl/>
          <w:lang w:val="ar-SA"/>
        </w:rPr>
        <w:t>أن الدولة الطرف لم تدحض هذه الادعاءا</w:t>
      </w:r>
      <w:r w:rsidR="003B24BB">
        <w:rPr>
          <w:rtl/>
          <w:lang w:val="ar-SA"/>
        </w:rPr>
        <w:t>ت. وتشير اللجنة إلى أن الفقرة 3</w:t>
      </w:r>
      <w:r w:rsidR="00A048F5" w:rsidRPr="002F680A">
        <w:rPr>
          <w:rtl/>
          <w:lang w:val="ar-SA"/>
        </w:rPr>
        <w:t>(ب) من المادة 14 من العهد تنص على أن يعطى المتهم من الوقت ومن التسهيلات ما يكفيه لإعداد دفاعه وللاتصال بمحام يختاره بنفسه. ويشكل هذا الحكم عنصر</w:t>
      </w:r>
      <w:r w:rsidR="00592A23">
        <w:rPr>
          <w:rtl/>
          <w:lang w:val="ar-SA"/>
        </w:rPr>
        <w:t xml:space="preserve">اً </w:t>
      </w:r>
      <w:r w:rsidR="00A048F5" w:rsidRPr="002F680A">
        <w:rPr>
          <w:rtl/>
          <w:lang w:val="ar-SA"/>
        </w:rPr>
        <w:t>هام</w:t>
      </w:r>
      <w:r w:rsidR="00592A23">
        <w:rPr>
          <w:rtl/>
          <w:lang w:val="ar-SA"/>
        </w:rPr>
        <w:t xml:space="preserve">اً </w:t>
      </w:r>
      <w:r w:rsidR="00A048F5" w:rsidRPr="002F680A">
        <w:rPr>
          <w:rtl/>
          <w:lang w:val="ar-SA"/>
        </w:rPr>
        <w:t>في كفالة الحصول على محاكمة عادلة وتطبيق مبدأ تكافؤ الفرص بين الاتهام والدفاع</w:t>
      </w:r>
      <w:r w:rsidR="00CB6578">
        <w:rPr>
          <w:vertAlign w:val="superscript"/>
          <w:rtl/>
          <w:lang w:val="ar-SA"/>
        </w:rPr>
        <w:t>(</w:t>
      </w:r>
      <w:r w:rsidR="00CB6578">
        <w:rPr>
          <w:rStyle w:val="FootnoteReference"/>
          <w:rtl/>
          <w:lang w:val="ar-SA"/>
        </w:rPr>
        <w:footnoteReference w:id="23"/>
      </w:r>
      <w:r w:rsidR="00CB6578">
        <w:rPr>
          <w:vertAlign w:val="superscript"/>
          <w:rtl/>
          <w:lang w:val="ar-SA"/>
        </w:rPr>
        <w:t>)</w:t>
      </w:r>
      <w:r w:rsidR="00A048F5" w:rsidRPr="002F680A">
        <w:rPr>
          <w:rtl/>
          <w:lang w:val="ar-SA"/>
        </w:rPr>
        <w:t>. وتشير كذلك إلى أن حق جميع المتهمين بتهم جنائية في أن يدافعوا عن أنفسهم</w:t>
      </w:r>
      <w:r w:rsidR="00F7131B">
        <w:rPr>
          <w:rtl/>
          <w:lang w:val="ar-SA"/>
        </w:rPr>
        <w:t xml:space="preserve"> </w:t>
      </w:r>
      <w:r w:rsidR="00A048F5" w:rsidRPr="002F680A">
        <w:rPr>
          <w:rtl/>
          <w:lang w:val="ar-SA"/>
        </w:rPr>
        <w:t>شخصي</w:t>
      </w:r>
      <w:r w:rsidR="00592A23">
        <w:rPr>
          <w:rtl/>
          <w:lang w:val="ar-SA"/>
        </w:rPr>
        <w:t xml:space="preserve">اً </w:t>
      </w:r>
      <w:r w:rsidR="00A048F5" w:rsidRPr="002F680A">
        <w:rPr>
          <w:rtl/>
          <w:lang w:val="ar-SA"/>
        </w:rPr>
        <w:t>أو بواسطة محام من اختيارهم، وأن تزودهم المحكمة، كلما كانت مصلحة العدالة تقتضي ذلك، بمحام يدافع عنهم دون تحميلهم أجر</w:t>
      </w:r>
      <w:r w:rsidR="00592A23">
        <w:rPr>
          <w:rtl/>
          <w:lang w:val="ar-SA"/>
        </w:rPr>
        <w:t xml:space="preserve">اً </w:t>
      </w:r>
      <w:r w:rsidR="00A048F5" w:rsidRPr="002F680A">
        <w:rPr>
          <w:rtl/>
          <w:lang w:val="ar-SA"/>
        </w:rPr>
        <w:t>على ذلك، منصوص عليه في الفقرة</w:t>
      </w:r>
      <w:r w:rsidR="00ED45B8">
        <w:rPr>
          <w:rFonts w:hint="cs"/>
          <w:rtl/>
          <w:lang w:val="ar-SA"/>
        </w:rPr>
        <w:t> </w:t>
      </w:r>
      <w:r w:rsidR="00A048F5" w:rsidRPr="002F680A">
        <w:rPr>
          <w:rtl/>
          <w:lang w:val="ar-SA"/>
        </w:rPr>
        <w:t xml:space="preserve">3(د) </w:t>
      </w:r>
      <w:r w:rsidR="004E5A0D">
        <w:rPr>
          <w:rFonts w:hint="cs"/>
          <w:rtl/>
          <w:lang w:val="ar-SA"/>
        </w:rPr>
        <w:t xml:space="preserve">من </w:t>
      </w:r>
      <w:r w:rsidR="00A048F5" w:rsidRPr="002F680A">
        <w:rPr>
          <w:rtl/>
          <w:lang w:val="ar-SA"/>
        </w:rPr>
        <w:t>المادة 14</w:t>
      </w:r>
      <w:r w:rsidR="009366FC">
        <w:rPr>
          <w:vertAlign w:val="superscript"/>
          <w:rtl/>
          <w:lang w:val="ar-SA"/>
        </w:rPr>
        <w:t>(</w:t>
      </w:r>
      <w:r w:rsidR="009366FC">
        <w:rPr>
          <w:rStyle w:val="FootnoteReference"/>
          <w:rtl/>
          <w:lang w:val="ar-SA"/>
        </w:rPr>
        <w:footnoteReference w:id="24"/>
      </w:r>
      <w:r w:rsidR="009366FC">
        <w:rPr>
          <w:vertAlign w:val="superscript"/>
          <w:rtl/>
          <w:lang w:val="ar-SA"/>
        </w:rPr>
        <w:t>)</w:t>
      </w:r>
      <w:r w:rsidR="00A048F5" w:rsidRPr="002F680A">
        <w:rPr>
          <w:rtl/>
          <w:lang w:val="ar-SA"/>
        </w:rPr>
        <w:t>. ونظر</w:t>
      </w:r>
      <w:r w:rsidR="00592A23">
        <w:rPr>
          <w:rtl/>
          <w:lang w:val="ar-SA"/>
        </w:rPr>
        <w:t xml:space="preserve">اً </w:t>
      </w:r>
      <w:r w:rsidR="00A048F5" w:rsidRPr="002F680A">
        <w:rPr>
          <w:rtl/>
          <w:lang w:val="ar-SA"/>
        </w:rPr>
        <w:t xml:space="preserve">إلى عدم وجود أية ملاحظات من الدولة الطرف على الوقائع التي </w:t>
      </w:r>
      <w:r w:rsidR="00592A23" w:rsidRPr="002F680A">
        <w:rPr>
          <w:rFonts w:hint="cs"/>
          <w:rtl/>
          <w:lang w:val="ar-SA"/>
        </w:rPr>
        <w:t>عرضتها</w:t>
      </w:r>
      <w:r w:rsidR="00A048F5" w:rsidRPr="002F680A">
        <w:rPr>
          <w:rtl/>
          <w:lang w:val="ar-SA"/>
        </w:rPr>
        <w:t xml:space="preserve"> صاحبة البلاغ، خلصت اللجنة إلى أن حرمان السيد جوك من </w:t>
      </w:r>
      <w:r w:rsidR="004E5A0D">
        <w:rPr>
          <w:rFonts w:hint="cs"/>
          <w:rtl/>
          <w:lang w:val="ar-SA"/>
        </w:rPr>
        <w:t xml:space="preserve">الوصول </w:t>
      </w:r>
      <w:r w:rsidR="00A048F5" w:rsidRPr="002F680A">
        <w:rPr>
          <w:rtl/>
          <w:lang w:val="ar-SA"/>
        </w:rPr>
        <w:t>إلى محام من اختياره أثناء المرحلة الأولية الحاسمة من الإجراءات التمهيدية شكل انتهاك</w:t>
      </w:r>
      <w:r w:rsidR="00592A23">
        <w:rPr>
          <w:rtl/>
          <w:lang w:val="ar-SA"/>
        </w:rPr>
        <w:t xml:space="preserve">اً </w:t>
      </w:r>
      <w:r w:rsidR="00A048F5" w:rsidRPr="002F680A">
        <w:rPr>
          <w:rtl/>
          <w:lang w:val="ar-SA"/>
        </w:rPr>
        <w:t>لح</w:t>
      </w:r>
      <w:r w:rsidR="00592A23">
        <w:rPr>
          <w:rtl/>
          <w:lang w:val="ar-SA"/>
        </w:rPr>
        <w:t>قوقه المنصوص عليها في الفقرات 3</w:t>
      </w:r>
      <w:r w:rsidR="00A048F5" w:rsidRPr="002F680A">
        <w:rPr>
          <w:rtl/>
          <w:lang w:val="ar-SA"/>
        </w:rPr>
        <w:t>(ب)</w:t>
      </w:r>
      <w:r w:rsidR="00592A23">
        <w:rPr>
          <w:rtl/>
          <w:lang w:val="ar-SA"/>
        </w:rPr>
        <w:t xml:space="preserve"> و</w:t>
      </w:r>
      <w:r w:rsidR="00A048F5" w:rsidRPr="002F680A">
        <w:rPr>
          <w:rtl/>
          <w:lang w:val="ar-SA"/>
        </w:rPr>
        <w:t xml:space="preserve">(د) من المادة 14 من العهد. </w:t>
      </w:r>
    </w:p>
    <w:p w:rsidR="00A048F5" w:rsidRPr="002F680A" w:rsidRDefault="004050F9" w:rsidP="004050F9">
      <w:pPr>
        <w:pStyle w:val="SingleTxtGA"/>
        <w:rPr>
          <w:rtl/>
          <w:lang w:val="ar-SA"/>
        </w:rPr>
      </w:pPr>
      <w:r>
        <w:rPr>
          <w:rtl/>
          <w:lang w:val="ar-SA"/>
        </w:rPr>
        <w:t>8-6</w:t>
      </w:r>
      <w:r>
        <w:rPr>
          <w:rFonts w:hint="cs"/>
          <w:rtl/>
          <w:lang w:val="ar-SA"/>
        </w:rPr>
        <w:tab/>
      </w:r>
      <w:r w:rsidR="00A048F5" w:rsidRPr="002F680A">
        <w:rPr>
          <w:rtl/>
          <w:lang w:val="ar-SA"/>
        </w:rPr>
        <w:t>وتحيط اللجنة علم</w:t>
      </w:r>
      <w:r w:rsidR="00592A23">
        <w:rPr>
          <w:rtl/>
          <w:lang w:val="ar-SA"/>
        </w:rPr>
        <w:t xml:space="preserve">اً </w:t>
      </w:r>
      <w:r w:rsidR="00A048F5" w:rsidRPr="002F680A">
        <w:rPr>
          <w:rtl/>
          <w:lang w:val="ar-SA"/>
        </w:rPr>
        <w:t>بادعاء صاحبة البلاغ أن حقوق ابنها بموجب الفقرة 1 من المادة</w:t>
      </w:r>
      <w:r>
        <w:rPr>
          <w:rFonts w:hint="cs"/>
          <w:rtl/>
          <w:lang w:val="ar-SA"/>
        </w:rPr>
        <w:t> </w:t>
      </w:r>
      <w:r w:rsidR="00A048F5" w:rsidRPr="002F680A">
        <w:rPr>
          <w:rtl/>
          <w:lang w:val="ar-SA"/>
        </w:rPr>
        <w:t>14 قد انتهكت. وتلاحظ اللجنة أيض</w:t>
      </w:r>
      <w:r w:rsidR="00592A23">
        <w:rPr>
          <w:rtl/>
          <w:lang w:val="ar-SA"/>
        </w:rPr>
        <w:t xml:space="preserve">اً </w:t>
      </w:r>
      <w:r w:rsidR="00A048F5" w:rsidRPr="002F680A">
        <w:rPr>
          <w:rtl/>
          <w:lang w:val="ar-SA"/>
        </w:rPr>
        <w:t>أن الدولة الطرف لم تدحض هذا الادعاء.</w:t>
      </w:r>
      <w:r w:rsidR="00F7131B">
        <w:rPr>
          <w:rtl/>
          <w:lang w:val="ar-SA"/>
        </w:rPr>
        <w:t xml:space="preserve"> </w:t>
      </w:r>
      <w:r w:rsidR="00A048F5" w:rsidRPr="002F680A">
        <w:rPr>
          <w:rtl/>
          <w:lang w:val="ar-SA"/>
        </w:rPr>
        <w:t>وفي ضوء الاستنتاجات التي خلصت إليها اللجنة بأن الدولة الطرف لم تتقيد بالضمانات التي تكفل الحصول على محاكمة عادلة وفق</w:t>
      </w:r>
      <w:r w:rsidR="00592A23">
        <w:rPr>
          <w:rtl/>
          <w:lang w:val="ar-SA"/>
        </w:rPr>
        <w:t xml:space="preserve">اً </w:t>
      </w:r>
      <w:r w:rsidR="00A048F5" w:rsidRPr="002F680A">
        <w:rPr>
          <w:rtl/>
          <w:lang w:val="ar-SA"/>
        </w:rPr>
        <w:t>لأحكام</w:t>
      </w:r>
      <w:r w:rsidR="00F7131B">
        <w:rPr>
          <w:rtl/>
          <w:lang w:val="ar-SA"/>
        </w:rPr>
        <w:t xml:space="preserve"> </w:t>
      </w:r>
      <w:r w:rsidR="00592A23">
        <w:rPr>
          <w:rtl/>
          <w:lang w:val="ar-SA"/>
        </w:rPr>
        <w:t>الفقرة 2 والفقرة 3</w:t>
      </w:r>
      <w:r w:rsidR="00A048F5" w:rsidRPr="002F680A">
        <w:rPr>
          <w:rtl/>
          <w:lang w:val="ar-SA"/>
        </w:rPr>
        <w:t>(ب)</w:t>
      </w:r>
      <w:r w:rsidR="00592A23">
        <w:rPr>
          <w:rtl/>
          <w:lang w:val="ar-SA"/>
        </w:rPr>
        <w:t xml:space="preserve"> و</w:t>
      </w:r>
      <w:r w:rsidR="00A048F5" w:rsidRPr="002F680A">
        <w:rPr>
          <w:rtl/>
          <w:lang w:val="ar-SA"/>
        </w:rPr>
        <w:t>(د)</w:t>
      </w:r>
      <w:r w:rsidR="00592A23">
        <w:rPr>
          <w:rtl/>
          <w:lang w:val="ar-SA"/>
        </w:rPr>
        <w:t xml:space="preserve"> و</w:t>
      </w:r>
      <w:r w:rsidR="00A048F5" w:rsidRPr="002F680A">
        <w:rPr>
          <w:rtl/>
          <w:lang w:val="ar-SA"/>
        </w:rPr>
        <w:t xml:space="preserve">(ز) من العهد، ترى اللجنة أن محاكمة السيد جوك قد اكتنفتها جوانب قصور تشكل مخالفة لأحكام الفقرة 1 من المادة 14 من العهد، إذا ما أخذت مجتمعة. </w:t>
      </w:r>
    </w:p>
    <w:p w:rsidR="00A048F5" w:rsidRPr="002F680A" w:rsidRDefault="004050F9" w:rsidP="0089171F">
      <w:pPr>
        <w:pStyle w:val="SingleTxtGA"/>
        <w:rPr>
          <w:rtl/>
          <w:lang w:val="ar-SA"/>
        </w:rPr>
      </w:pPr>
      <w:r>
        <w:rPr>
          <w:rtl/>
          <w:lang w:val="ar-SA"/>
        </w:rPr>
        <w:t>8-7</w:t>
      </w:r>
      <w:r>
        <w:rPr>
          <w:rFonts w:hint="cs"/>
          <w:rtl/>
          <w:lang w:val="ar-SA"/>
        </w:rPr>
        <w:tab/>
      </w:r>
      <w:r w:rsidR="00A048F5" w:rsidRPr="002F680A">
        <w:rPr>
          <w:rtl/>
          <w:lang w:val="ar-SA"/>
        </w:rPr>
        <w:t>وتدعي صاحبة البلاغ أيض</w:t>
      </w:r>
      <w:r w:rsidR="00592A23">
        <w:rPr>
          <w:rtl/>
          <w:lang w:val="ar-SA"/>
        </w:rPr>
        <w:t xml:space="preserve">اً </w:t>
      </w:r>
      <w:r w:rsidR="00A048F5" w:rsidRPr="002F680A">
        <w:rPr>
          <w:rtl/>
          <w:lang w:val="ar-SA"/>
        </w:rPr>
        <w:t>حدوث انتهاك لحق السيد جوك في الحياة بموجب المادة</w:t>
      </w:r>
      <w:r>
        <w:rPr>
          <w:rFonts w:hint="cs"/>
          <w:rtl/>
          <w:lang w:val="ar-SA"/>
        </w:rPr>
        <w:t> </w:t>
      </w:r>
      <w:r w:rsidR="00A048F5" w:rsidRPr="002F680A">
        <w:rPr>
          <w:rtl/>
          <w:lang w:val="ar-SA"/>
        </w:rPr>
        <w:t xml:space="preserve">6 من العهد، لأنه حكم عليه بالإعدام إثر محاكمة غير عادلة. وتلاحظ اللجنة أن الدولة الطرف قد قالت، بالإشارة إلى الفقرة 2 من المادة 6 من العهد، </w:t>
      </w:r>
      <w:r w:rsidR="0089171F">
        <w:rPr>
          <w:rFonts w:hint="cs"/>
          <w:rtl/>
          <w:lang w:val="ar-SA"/>
        </w:rPr>
        <w:t>إ</w:t>
      </w:r>
      <w:r w:rsidR="00A048F5" w:rsidRPr="002F680A">
        <w:rPr>
          <w:rtl/>
          <w:lang w:val="ar-SA"/>
        </w:rPr>
        <w:t>ن عقوبة الإعدام صدرت بحق السيد جوك في أعقاب الحكم الذي أصدرته المحاكم، وفق</w:t>
      </w:r>
      <w:r w:rsidR="00592A23">
        <w:rPr>
          <w:rtl/>
          <w:lang w:val="ar-SA"/>
        </w:rPr>
        <w:t xml:space="preserve">اً </w:t>
      </w:r>
      <w:r w:rsidR="00A048F5" w:rsidRPr="002F680A">
        <w:rPr>
          <w:rtl/>
          <w:lang w:val="ar-SA"/>
        </w:rPr>
        <w:t xml:space="preserve">للدستور والقانون الجنائي وقانون الإجراءات الجنائية </w:t>
      </w:r>
      <w:proofErr w:type="spellStart"/>
      <w:r w:rsidR="00A048F5" w:rsidRPr="002F680A">
        <w:rPr>
          <w:rtl/>
          <w:lang w:val="ar-SA"/>
        </w:rPr>
        <w:t>لبيلاروس</w:t>
      </w:r>
      <w:proofErr w:type="spellEnd"/>
      <w:r w:rsidR="00A048F5" w:rsidRPr="002F680A">
        <w:rPr>
          <w:rtl/>
          <w:lang w:val="ar-SA"/>
        </w:rPr>
        <w:t>، و</w:t>
      </w:r>
      <w:r w:rsidR="0089171F">
        <w:rPr>
          <w:rFonts w:hint="cs"/>
          <w:rtl/>
          <w:lang w:val="ar-SA"/>
        </w:rPr>
        <w:t>إ</w:t>
      </w:r>
      <w:r w:rsidR="00A048F5" w:rsidRPr="002F680A">
        <w:rPr>
          <w:rtl/>
          <w:lang w:val="ar-SA"/>
        </w:rPr>
        <w:t>نها</w:t>
      </w:r>
      <w:r w:rsidR="00211F2A">
        <w:rPr>
          <w:rtl/>
          <w:lang w:val="ar-SA"/>
        </w:rPr>
        <w:t xml:space="preserve"> لا </w:t>
      </w:r>
      <w:r w:rsidR="00A048F5" w:rsidRPr="002F680A">
        <w:rPr>
          <w:rtl/>
          <w:lang w:val="ar-SA"/>
        </w:rPr>
        <w:t>تتعارض مع الصكوك الدولية التي تدخل بيلاروس طرف</w:t>
      </w:r>
      <w:r w:rsidR="00592A23">
        <w:rPr>
          <w:rtl/>
          <w:lang w:val="ar-SA"/>
        </w:rPr>
        <w:t xml:space="preserve">اً </w:t>
      </w:r>
      <w:r w:rsidR="00A048F5" w:rsidRPr="002F680A">
        <w:rPr>
          <w:rtl/>
          <w:lang w:val="ar-SA"/>
        </w:rPr>
        <w:t xml:space="preserve">فيها. وفي هذا الصدد، تشير اللجنة إلى تعليقها </w:t>
      </w:r>
      <w:r w:rsidR="0089171F">
        <w:rPr>
          <w:rtl/>
          <w:lang w:val="ar-SA"/>
        </w:rPr>
        <w:t>العام رقم 6</w:t>
      </w:r>
      <w:r w:rsidR="0089171F" w:rsidRPr="002F680A">
        <w:rPr>
          <w:rtl/>
          <w:lang w:val="ar-SA"/>
        </w:rPr>
        <w:t>(1982)</w:t>
      </w:r>
      <w:r w:rsidR="0089171F">
        <w:rPr>
          <w:rtl/>
          <w:lang w:val="ar-SA"/>
        </w:rPr>
        <w:t xml:space="preserve"> بشأن الحق في الحياة</w:t>
      </w:r>
      <w:r w:rsidR="00A048F5" w:rsidRPr="002F680A">
        <w:rPr>
          <w:rtl/>
          <w:lang w:val="ar-SA"/>
        </w:rPr>
        <w:t>، حيث أشارت إلى أنه</w:t>
      </w:r>
      <w:r w:rsidR="00211F2A">
        <w:rPr>
          <w:rtl/>
          <w:lang w:val="ar-SA"/>
        </w:rPr>
        <w:t xml:space="preserve"> لا </w:t>
      </w:r>
      <w:r w:rsidR="00A048F5" w:rsidRPr="002F680A">
        <w:rPr>
          <w:rtl/>
          <w:lang w:val="ar-SA"/>
        </w:rPr>
        <w:t>يمكن فرض عقوبة الإعدام إلا وفق</w:t>
      </w:r>
      <w:r w:rsidR="00592A23">
        <w:rPr>
          <w:rtl/>
          <w:lang w:val="ar-SA"/>
        </w:rPr>
        <w:t xml:space="preserve">اً </w:t>
      </w:r>
      <w:r w:rsidR="00A048F5" w:rsidRPr="002F680A">
        <w:rPr>
          <w:rtl/>
          <w:lang w:val="ar-SA"/>
        </w:rPr>
        <w:t xml:space="preserve">للقوانين التي تكون سارية عند ارتكاب الجريمة وغير مخالفة لأحكام العهد. وأنه </w:t>
      </w:r>
      <w:r w:rsidR="00220FB8">
        <w:rPr>
          <w:rFonts w:hint="cs"/>
          <w:rtl/>
          <w:lang w:val="ar-SA"/>
        </w:rPr>
        <w:t>"</w:t>
      </w:r>
      <w:r w:rsidR="00A048F5" w:rsidRPr="002F680A">
        <w:rPr>
          <w:rtl/>
          <w:lang w:val="ar-SA"/>
        </w:rPr>
        <w:t>ينبغي احترام الضمانات الإجرائية الوارد وصفها في العهد بما في ذلك الحق في جلسات استماع عادلة من قبل محكمة مستقلة، وافتراض البراءة، والضمانات الأدنى للدفاع، والحق في إعادة النظر في العقوبة من جانب محكمة أعلى</w:t>
      </w:r>
      <w:r w:rsidR="00220FB8">
        <w:rPr>
          <w:rFonts w:hint="cs"/>
          <w:rtl/>
          <w:lang w:val="ar-SA"/>
        </w:rPr>
        <w:t>"</w:t>
      </w:r>
      <w:r w:rsidR="009366FC">
        <w:rPr>
          <w:vertAlign w:val="superscript"/>
          <w:rtl/>
          <w:lang w:val="ar-SA"/>
        </w:rPr>
        <w:t>(</w:t>
      </w:r>
      <w:r w:rsidR="009366FC">
        <w:rPr>
          <w:rStyle w:val="FootnoteReference"/>
          <w:rtl/>
          <w:lang w:val="ar-SA"/>
        </w:rPr>
        <w:footnoteReference w:id="25"/>
      </w:r>
      <w:r w:rsidR="009366FC">
        <w:rPr>
          <w:vertAlign w:val="superscript"/>
          <w:rtl/>
          <w:lang w:val="ar-SA"/>
        </w:rPr>
        <w:t>)</w:t>
      </w:r>
      <w:r w:rsidR="00A048F5" w:rsidRPr="002F680A">
        <w:rPr>
          <w:rtl/>
          <w:lang w:val="ar-SA"/>
        </w:rPr>
        <w:t>. وفي هذا السياق نفسه، تكرر اللجنة تأكيد فتواها بأن توقيع عقوبة الإعدام إثر محاكمة</w:t>
      </w:r>
      <w:r w:rsidR="00211F2A">
        <w:rPr>
          <w:rtl/>
          <w:lang w:val="ar-SA"/>
        </w:rPr>
        <w:t xml:space="preserve"> لا </w:t>
      </w:r>
      <w:r w:rsidR="00A048F5" w:rsidRPr="002F680A">
        <w:rPr>
          <w:rtl/>
          <w:lang w:val="ar-SA"/>
        </w:rPr>
        <w:t>تحترم فيها أحكام المادة 14 من العهد يشكل مخالفة لأحكام المادة 6 منه</w:t>
      </w:r>
      <w:r w:rsidR="00F969DE">
        <w:rPr>
          <w:vertAlign w:val="superscript"/>
          <w:rtl/>
          <w:lang w:val="ar-SA"/>
        </w:rPr>
        <w:t>(</w:t>
      </w:r>
      <w:r w:rsidR="00F969DE">
        <w:rPr>
          <w:rStyle w:val="FootnoteReference"/>
          <w:rtl/>
          <w:lang w:val="ar-SA"/>
        </w:rPr>
        <w:footnoteReference w:id="26"/>
      </w:r>
      <w:r w:rsidR="00F969DE">
        <w:rPr>
          <w:vertAlign w:val="superscript"/>
          <w:rtl/>
          <w:lang w:val="ar-SA"/>
        </w:rPr>
        <w:t>)</w:t>
      </w:r>
      <w:r w:rsidR="00A048F5" w:rsidRPr="002F680A">
        <w:rPr>
          <w:rtl/>
          <w:lang w:val="ar-SA"/>
        </w:rPr>
        <w:t>. وفي ضوء استنتاجات اللجنة بأنه حدثت مخا</w:t>
      </w:r>
      <w:r w:rsidR="00592A23">
        <w:rPr>
          <w:rFonts w:hint="cs"/>
          <w:rtl/>
          <w:lang w:val="ar-SA"/>
        </w:rPr>
        <w:t>ل</w:t>
      </w:r>
      <w:r w:rsidR="00A048F5" w:rsidRPr="002F680A">
        <w:rPr>
          <w:rtl/>
          <w:lang w:val="ar-SA"/>
        </w:rPr>
        <w:t>فا</w:t>
      </w:r>
      <w:r w:rsidR="0023761D">
        <w:rPr>
          <w:rtl/>
          <w:lang w:val="ar-SA"/>
        </w:rPr>
        <w:t>ت لأحكام الفقرا</w:t>
      </w:r>
      <w:r w:rsidR="00592A23">
        <w:rPr>
          <w:rFonts w:hint="cs"/>
          <w:rtl/>
          <w:lang w:val="ar-SA"/>
        </w:rPr>
        <w:t>ت</w:t>
      </w:r>
      <w:r w:rsidR="0023761D">
        <w:rPr>
          <w:rtl/>
          <w:lang w:val="ar-SA"/>
        </w:rPr>
        <w:t xml:space="preserve"> 1</w:t>
      </w:r>
      <w:r w:rsidR="00592A23">
        <w:rPr>
          <w:rtl/>
          <w:lang w:val="ar-SA"/>
        </w:rPr>
        <w:t xml:space="preserve"> و</w:t>
      </w:r>
      <w:r w:rsidR="0023761D">
        <w:rPr>
          <w:rtl/>
          <w:lang w:val="ar-SA"/>
        </w:rPr>
        <w:t>2</w:t>
      </w:r>
      <w:r w:rsidR="00592A23">
        <w:rPr>
          <w:rtl/>
          <w:lang w:val="ar-SA"/>
        </w:rPr>
        <w:t xml:space="preserve"> و</w:t>
      </w:r>
      <w:r w:rsidR="0023761D">
        <w:rPr>
          <w:rtl/>
          <w:lang w:val="ar-SA"/>
        </w:rPr>
        <w:t>3</w:t>
      </w:r>
      <w:r>
        <w:rPr>
          <w:rtl/>
          <w:lang w:val="ar-SA"/>
        </w:rPr>
        <w:t>(ب) و(د) و</w:t>
      </w:r>
      <w:r w:rsidR="00A048F5" w:rsidRPr="002F680A">
        <w:rPr>
          <w:rtl/>
          <w:lang w:val="ar-SA"/>
        </w:rPr>
        <w:t>(ز) من المادة 14 من العهد، فإنها تخلص إلى أن صدور الحكم النهائي بإعدام السيد جوك وتنفيذ ذلك الحكم عليه كان غير مستوف للشروط المنصوص عليها في المادة 14، وأنه نتيجة لذلك حدث انتهاك لحقه في الحياة وفق</w:t>
      </w:r>
      <w:r w:rsidR="00592A23">
        <w:rPr>
          <w:rtl/>
          <w:lang w:val="ar-SA"/>
        </w:rPr>
        <w:t xml:space="preserve">اً </w:t>
      </w:r>
      <w:r w:rsidR="00A048F5" w:rsidRPr="002F680A">
        <w:rPr>
          <w:rtl/>
          <w:lang w:val="ar-SA"/>
        </w:rPr>
        <w:t>لأحكام المادة 6 من العهد.</w:t>
      </w:r>
    </w:p>
    <w:p w:rsidR="00A048F5" w:rsidRPr="002F680A" w:rsidRDefault="00A048F5" w:rsidP="00595E0F">
      <w:pPr>
        <w:pStyle w:val="SingleTxtGA"/>
        <w:rPr>
          <w:rtl/>
          <w:lang w:val="ar-SA"/>
        </w:rPr>
      </w:pPr>
      <w:r w:rsidRPr="002F680A">
        <w:rPr>
          <w:rtl/>
          <w:lang w:val="ar-SA"/>
        </w:rPr>
        <w:t>9-</w:t>
      </w:r>
      <w:r w:rsidRPr="002F680A">
        <w:rPr>
          <w:rtl/>
          <w:lang w:val="ar-SA"/>
        </w:rPr>
        <w:tab/>
        <w:t>واللجنة المعنية بحقوق الإنسان، إذ تتصرف وفقاً للفقرة 4 من المادة 5 من البروتوكول الاختياري الملحق بالعهد، ترى أن المعلومات المعروضة عليها تكشف عن حدوث انتهاك لحقوق السيد جوك بموجب المادة 6، والمادة 7، والمادة 9 (الفقرة 3) والمادة</w:t>
      </w:r>
      <w:r w:rsidR="00595E0F">
        <w:rPr>
          <w:rFonts w:hint="cs"/>
          <w:rtl/>
          <w:lang w:val="ar-SA"/>
        </w:rPr>
        <w:t> </w:t>
      </w:r>
      <w:r w:rsidR="00595E0F">
        <w:rPr>
          <w:rtl/>
          <w:lang w:val="ar-SA"/>
        </w:rPr>
        <w:t>14 (الفقرات 1</w:t>
      </w:r>
      <w:r w:rsidR="00592A23">
        <w:rPr>
          <w:rtl/>
          <w:lang w:val="ar-SA"/>
        </w:rPr>
        <w:t xml:space="preserve"> و</w:t>
      </w:r>
      <w:r w:rsidR="00595E0F">
        <w:rPr>
          <w:rtl/>
          <w:lang w:val="ar-SA"/>
        </w:rPr>
        <w:t>2</w:t>
      </w:r>
      <w:r w:rsidR="00592A23">
        <w:rPr>
          <w:rtl/>
          <w:lang w:val="ar-SA"/>
        </w:rPr>
        <w:t xml:space="preserve"> و</w:t>
      </w:r>
      <w:r w:rsidR="00595E0F">
        <w:rPr>
          <w:rtl/>
          <w:lang w:val="ar-SA"/>
        </w:rPr>
        <w:t>3(ب) و(د) و</w:t>
      </w:r>
      <w:r w:rsidRPr="002F680A">
        <w:rPr>
          <w:rtl/>
          <w:lang w:val="ar-SA"/>
        </w:rPr>
        <w:t>(ز)) من العهد.</w:t>
      </w:r>
      <w:r w:rsidR="00F7131B">
        <w:rPr>
          <w:rtl/>
          <w:lang w:val="ar-SA"/>
        </w:rPr>
        <w:t xml:space="preserve"> </w:t>
      </w:r>
      <w:r w:rsidRPr="002F680A">
        <w:rPr>
          <w:rtl/>
          <w:lang w:val="ar-SA"/>
        </w:rPr>
        <w:t>وخرقت الدولة الطرف أيض</w:t>
      </w:r>
      <w:r w:rsidR="00592A23">
        <w:rPr>
          <w:rtl/>
          <w:lang w:val="ar-SA"/>
        </w:rPr>
        <w:t xml:space="preserve">اً </w:t>
      </w:r>
      <w:r w:rsidRPr="002F680A">
        <w:rPr>
          <w:rtl/>
          <w:lang w:val="ar-SA"/>
        </w:rPr>
        <w:t xml:space="preserve">التزاماتها بموجب المادة 1 من البروتوكول الاختياري الملحق بالعهد. </w:t>
      </w:r>
    </w:p>
    <w:p w:rsidR="00A048F5" w:rsidRPr="002F680A" w:rsidRDefault="00A048F5" w:rsidP="003F2ED6">
      <w:pPr>
        <w:pStyle w:val="SingleTxtGA"/>
        <w:rPr>
          <w:rtl/>
          <w:lang w:val="ar-SA"/>
        </w:rPr>
      </w:pPr>
      <w:r w:rsidRPr="002F680A">
        <w:rPr>
          <w:rtl/>
          <w:lang w:val="ar-SA"/>
        </w:rPr>
        <w:t>10-</w:t>
      </w:r>
      <w:r w:rsidRPr="002F680A">
        <w:rPr>
          <w:rtl/>
          <w:lang w:val="ar-SA"/>
        </w:rPr>
        <w:tab/>
        <w:t xml:space="preserve"> والدولة الطرف ملزمة، وفق</w:t>
      </w:r>
      <w:r w:rsidR="00592A23">
        <w:rPr>
          <w:rtl/>
          <w:lang w:val="ar-SA"/>
        </w:rPr>
        <w:t xml:space="preserve">اً </w:t>
      </w:r>
      <w:r w:rsidRPr="002F680A">
        <w:rPr>
          <w:rtl/>
          <w:lang w:val="ar-SA"/>
        </w:rPr>
        <w:t xml:space="preserve">للفقرة </w:t>
      </w:r>
      <w:r w:rsidR="00594D6C">
        <w:rPr>
          <w:rtl/>
          <w:lang w:val="ar-SA"/>
        </w:rPr>
        <w:t>3</w:t>
      </w:r>
      <w:r w:rsidRPr="002F680A">
        <w:rPr>
          <w:rtl/>
          <w:lang w:val="ar-SA"/>
        </w:rPr>
        <w:t>(أ) من المادة 2 من العهد، بتقديم تعويض مناسب إلى صاحبة البلاغ، بما في ذلك سداد التكاليف المتكبدة. والدولة الطرف ملزمة أيض</w:t>
      </w:r>
      <w:r w:rsidR="00592A23">
        <w:rPr>
          <w:rtl/>
          <w:lang w:val="ar-SA"/>
        </w:rPr>
        <w:t xml:space="preserve">اً </w:t>
      </w:r>
      <w:r w:rsidRPr="002F680A">
        <w:rPr>
          <w:rtl/>
          <w:lang w:val="ar-SA"/>
        </w:rPr>
        <w:t>بمنع حدوث انتهاكات مماثلة في المستقبل، وملزمة، في ضوء التزامات الدولة الطرف بموجب البروتوكول الاختياري، بالتعاون بحسن نية مع اللجنة، وبخاصة من خلال الاستجابة لطلبات اللجنة المتعلقة باتخاذ تدابير مؤقتة.</w:t>
      </w:r>
      <w:r w:rsidR="00F7131B">
        <w:rPr>
          <w:rtl/>
          <w:lang w:val="ar-SA"/>
        </w:rPr>
        <w:t xml:space="preserve"> </w:t>
      </w:r>
    </w:p>
    <w:p w:rsidR="00A048F5" w:rsidRPr="002F680A" w:rsidRDefault="00A048F5" w:rsidP="003F2ED6">
      <w:pPr>
        <w:pStyle w:val="SingleTxtGA"/>
        <w:rPr>
          <w:rtl/>
          <w:lang w:val="ar-SA"/>
        </w:rPr>
      </w:pPr>
      <w:r w:rsidRPr="002F680A">
        <w:rPr>
          <w:rtl/>
          <w:lang w:val="ar-SA"/>
        </w:rPr>
        <w:t>11-</w:t>
      </w:r>
      <w:r w:rsidRPr="002F680A">
        <w:rPr>
          <w:rtl/>
          <w:lang w:val="ar-SA"/>
        </w:rPr>
        <w:tab/>
        <w:t>وإذ تضع اللجنة في اعتبارها أن الدولة الطرف، حين أصبحت طرف</w:t>
      </w:r>
      <w:r w:rsidR="00592A23">
        <w:rPr>
          <w:rtl/>
          <w:lang w:val="ar-SA"/>
        </w:rPr>
        <w:t xml:space="preserve">اً </w:t>
      </w:r>
      <w:r w:rsidRPr="002F680A">
        <w:rPr>
          <w:rtl/>
          <w:lang w:val="ar-SA"/>
        </w:rPr>
        <w:t>في البروتوكول الاختياري، قد اعترفت باختصاص اللجنة في تحديد ما إذا كان هناك انتهاك للعهد أم لا، عمل</w:t>
      </w:r>
      <w:r w:rsidR="00592A23">
        <w:rPr>
          <w:rtl/>
          <w:lang w:val="ar-SA"/>
        </w:rPr>
        <w:t xml:space="preserve">اً </w:t>
      </w:r>
      <w:r w:rsidRPr="002F680A">
        <w:rPr>
          <w:rtl/>
          <w:lang w:val="ar-SA"/>
        </w:rPr>
        <w:t>بالمادة 2 من العهد، وأن الدولة الطرف قد تعهدت بأن تكفل لجميع الأفراد الموجودين في إقليمها والخاضعين لولايتها الحقوق المعترف بها في العهد وأن توفر وسيلة انتصاف فعالة وقابلة للإنفاذ، تكفل الانتصاف في حالة ثبوت حدوث انتهاك ما، فإنها ترغب في أن تتلقى من الدولة الطرف، في غضون 180 يوم</w:t>
      </w:r>
      <w:r w:rsidR="00594D6C">
        <w:rPr>
          <w:rtl/>
          <w:lang w:val="ar-SA"/>
        </w:rPr>
        <w:t>اً،</w:t>
      </w:r>
      <w:r w:rsidRPr="002F680A">
        <w:rPr>
          <w:rtl/>
          <w:lang w:val="ar-SA"/>
        </w:rPr>
        <w:t xml:space="preserve"> معلومات عما اتخذته من تدابير لوضع آراء اللجنة موضع التنفيذ.</w:t>
      </w:r>
      <w:r w:rsidR="00F7131B">
        <w:rPr>
          <w:rtl/>
          <w:lang w:val="ar-SA"/>
        </w:rPr>
        <w:t xml:space="preserve"> </w:t>
      </w:r>
      <w:r w:rsidRPr="002F680A">
        <w:rPr>
          <w:rtl/>
          <w:lang w:val="ar-SA"/>
        </w:rPr>
        <w:t xml:space="preserve">وبالإضافة إلى ذلك، تطلب إلى الدولة الطرف أن تنشر هذه الآراء، وأن يكون النشر على نطاق واسع باللغتين </w:t>
      </w:r>
      <w:proofErr w:type="spellStart"/>
      <w:r w:rsidRPr="002F680A">
        <w:rPr>
          <w:rtl/>
          <w:lang w:val="ar-SA"/>
        </w:rPr>
        <w:t>البيلاروسية</w:t>
      </w:r>
      <w:proofErr w:type="spellEnd"/>
      <w:r w:rsidR="00F7131B">
        <w:rPr>
          <w:rtl/>
          <w:lang w:val="ar-SA"/>
        </w:rPr>
        <w:t xml:space="preserve"> </w:t>
      </w:r>
      <w:r w:rsidRPr="002F680A">
        <w:rPr>
          <w:rtl/>
          <w:lang w:val="ar-SA"/>
        </w:rPr>
        <w:t>والروسية في الدولة الطرف.</w:t>
      </w:r>
    </w:p>
    <w:p w:rsidR="00A048F5" w:rsidRDefault="00A048F5" w:rsidP="003F2ED6">
      <w:pPr>
        <w:pStyle w:val="SingleTxtGA"/>
        <w:rPr>
          <w:rFonts w:hint="cs"/>
          <w:rtl/>
          <w:lang w:val="ar-SA"/>
        </w:rPr>
      </w:pPr>
      <w:r w:rsidRPr="002F680A">
        <w:rPr>
          <w:rtl/>
          <w:lang w:val="ar-SA"/>
        </w:rPr>
        <w:t>[اعتمدت بالإسبانية والإنكليزية والفرنسية، والنص الإنكليزي هو النص الأصلي، وسيصدر النص في وقت لاحق باللغات العربية والصينية والروسية، كجزء من تقرير ال</w:t>
      </w:r>
      <w:r w:rsidR="0089171F">
        <w:rPr>
          <w:rtl/>
          <w:lang w:val="ar-SA"/>
        </w:rPr>
        <w:t>لجنة السنوي إلى الجمعية العامة.</w:t>
      </w:r>
      <w:r w:rsidRPr="002F680A">
        <w:rPr>
          <w:rtl/>
          <w:lang w:val="ar-SA"/>
        </w:rPr>
        <w:t>]</w:t>
      </w:r>
    </w:p>
    <w:p w:rsidR="00220FB8" w:rsidRPr="00220FB8" w:rsidRDefault="00220FB8" w:rsidP="00220FB8">
      <w:pPr>
        <w:spacing w:before="120"/>
        <w:jc w:val="center"/>
        <w:rPr>
          <w:rFonts w:hint="cs"/>
          <w:u w:val="single"/>
          <w:rtl/>
          <w:lang w:val="ar-SA"/>
        </w:rPr>
      </w:pPr>
      <w:r>
        <w:rPr>
          <w:u w:val="single"/>
          <w:rtl/>
          <w:lang w:val="ar-SA"/>
        </w:rPr>
        <w:tab/>
      </w:r>
      <w:r>
        <w:rPr>
          <w:u w:val="single"/>
          <w:rtl/>
          <w:lang w:val="ar-SA"/>
        </w:rPr>
        <w:tab/>
      </w:r>
      <w:r>
        <w:rPr>
          <w:u w:val="single"/>
          <w:rtl/>
          <w:lang w:val="ar-SA"/>
        </w:rPr>
        <w:tab/>
      </w:r>
    </w:p>
    <w:sectPr w:rsidR="00220FB8" w:rsidRPr="00220FB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DF" w:rsidRPr="00FE6865" w:rsidRDefault="00132DDF" w:rsidP="00FE6865">
      <w:pPr>
        <w:pStyle w:val="Footer"/>
      </w:pPr>
    </w:p>
  </w:endnote>
  <w:endnote w:type="continuationSeparator" w:id="0">
    <w:p w:rsidR="00132DDF" w:rsidRDefault="0013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B8" w:rsidRPr="00C42BBD" w:rsidRDefault="00220FB8" w:rsidP="00C42BBD">
    <w:pPr>
      <w:pStyle w:val="Footer"/>
      <w:tabs>
        <w:tab w:val="right" w:pos="9598"/>
      </w:tabs>
    </w:pPr>
    <w:r>
      <w:t>GE.13-49312</w:t>
    </w:r>
    <w:r>
      <w:tab/>
    </w:r>
    <w:r w:rsidRPr="00C42BBD">
      <w:rPr>
        <w:b/>
        <w:sz w:val="18"/>
      </w:rPr>
      <w:fldChar w:fldCharType="begin"/>
    </w:r>
    <w:r w:rsidRPr="00C42BBD">
      <w:rPr>
        <w:b/>
        <w:sz w:val="18"/>
      </w:rPr>
      <w:instrText xml:space="preserve"> PAGE  \* MERGEFORMAT </w:instrText>
    </w:r>
    <w:r w:rsidRPr="00C42BBD">
      <w:rPr>
        <w:b/>
        <w:sz w:val="18"/>
      </w:rPr>
      <w:fldChar w:fldCharType="separate"/>
    </w:r>
    <w:r w:rsidR="00F21338">
      <w:rPr>
        <w:b/>
        <w:noProof/>
        <w:sz w:val="18"/>
      </w:rPr>
      <w:t>16</w:t>
    </w:r>
    <w:r w:rsidRPr="00C42BB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B8" w:rsidRPr="00C42BBD" w:rsidRDefault="00220FB8" w:rsidP="00C42BBD">
    <w:pPr>
      <w:pStyle w:val="Footer"/>
      <w:tabs>
        <w:tab w:val="right" w:pos="9598"/>
      </w:tabs>
      <w:rPr>
        <w:b/>
        <w:sz w:val="18"/>
      </w:rPr>
    </w:pPr>
    <w:r w:rsidRPr="00C42BBD">
      <w:rPr>
        <w:b/>
        <w:sz w:val="18"/>
      </w:rPr>
      <w:fldChar w:fldCharType="begin"/>
    </w:r>
    <w:r w:rsidRPr="00C42BBD">
      <w:rPr>
        <w:b/>
        <w:sz w:val="18"/>
      </w:rPr>
      <w:instrText xml:space="preserve"> PAGE  \* MERGEFORMAT </w:instrText>
    </w:r>
    <w:r w:rsidRPr="00C42BBD">
      <w:rPr>
        <w:b/>
        <w:sz w:val="18"/>
      </w:rPr>
      <w:fldChar w:fldCharType="separate"/>
    </w:r>
    <w:r w:rsidR="00F21338">
      <w:rPr>
        <w:b/>
        <w:noProof/>
        <w:sz w:val="18"/>
      </w:rPr>
      <w:t>17</w:t>
    </w:r>
    <w:r w:rsidRPr="00C42BBD">
      <w:rPr>
        <w:b/>
        <w:sz w:val="18"/>
      </w:rPr>
      <w:fldChar w:fldCharType="end"/>
    </w:r>
    <w:r>
      <w:rPr>
        <w:b/>
        <w:sz w:val="18"/>
      </w:rPr>
      <w:tab/>
    </w:r>
    <w:r>
      <w:t>GE.13-49312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B8" w:rsidRDefault="00220FB8" w:rsidP="00B23714">
    <w:pPr>
      <w:pStyle w:val="Footer"/>
      <w:jc w:val="right"/>
    </w:pPr>
    <w:r>
      <w:rPr>
        <w:sz w:val="20"/>
      </w:rPr>
      <w:t>(A)   GE.13-49312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8B6A71">
      <w:rPr>
        <w:sz w:val="20"/>
      </w:rPr>
      <w:t xml:space="preserve">    191213    2</w:t>
    </w:r>
    <w:r w:rsidR="00B23714">
      <w:rPr>
        <w:sz w:val="20"/>
      </w:rPr>
      <w:t>3</w:t>
    </w:r>
    <w:r w:rsidR="008B6A71">
      <w:rPr>
        <w:sz w:val="20"/>
      </w:rPr>
      <w:t>1213</w:t>
    </w:r>
    <w:r w:rsidR="00F21338">
      <w:br/>
    </w:r>
    <w:r w:rsidR="00F21338" w:rsidRPr="00F21338">
      <w:rPr>
        <w:rFonts w:ascii="C39T30Lfz" w:hAnsi="C39T30Lfz"/>
        <w:sz w:val="56"/>
      </w:rPr>
      <w:t></w:t>
    </w:r>
    <w:r w:rsidR="00F21338" w:rsidRPr="00F21338">
      <w:rPr>
        <w:rFonts w:ascii="C39T30Lfz" w:hAnsi="C39T30Lfz"/>
        <w:sz w:val="56"/>
      </w:rPr>
      <w:t></w:t>
    </w:r>
    <w:r w:rsidR="00F21338" w:rsidRPr="00F21338">
      <w:rPr>
        <w:rFonts w:ascii="C39T30Lfz" w:hAnsi="C39T30Lfz"/>
        <w:sz w:val="56"/>
      </w:rPr>
      <w:t></w:t>
    </w:r>
    <w:r w:rsidR="00F21338" w:rsidRPr="00F21338">
      <w:rPr>
        <w:rFonts w:ascii="C39T30Lfz" w:hAnsi="C39T30Lfz"/>
        <w:sz w:val="56"/>
      </w:rPr>
      <w:t></w:t>
    </w:r>
    <w:r w:rsidR="00F21338" w:rsidRPr="00F21338">
      <w:rPr>
        <w:rFonts w:ascii="C39T30Lfz" w:hAnsi="C39T30Lfz"/>
        <w:sz w:val="56"/>
      </w:rPr>
      <w:t></w:t>
    </w:r>
    <w:r w:rsidR="00F21338" w:rsidRPr="00F21338">
      <w:rPr>
        <w:rFonts w:ascii="C39T30Lfz" w:hAnsi="C39T30Lfz"/>
        <w:sz w:val="56"/>
      </w:rPr>
      <w:t></w:t>
    </w:r>
    <w:r w:rsidR="00F21338" w:rsidRPr="00F21338">
      <w:rPr>
        <w:rFonts w:ascii="C39T30Lfz" w:hAnsi="C39T30Lfz"/>
        <w:sz w:val="56"/>
      </w:rPr>
      <w:t></w:t>
    </w:r>
    <w:r w:rsidR="00F21338" w:rsidRPr="00F21338">
      <w:rPr>
        <w:rFonts w:ascii="C39T30Lfz" w:hAnsi="C39T30Lfz"/>
        <w:sz w:val="56"/>
      </w:rPr>
      <w:t></w:t>
    </w:r>
    <w:r w:rsidR="00F21338" w:rsidRPr="00F21338">
      <w:rPr>
        <w:rFonts w:ascii="C39T30Lfz" w:hAnsi="C39T30Lfz"/>
        <w:sz w:val="56"/>
      </w:rPr>
      <w:t></w:t>
    </w:r>
    <w:r w:rsidR="00F21338">
      <w:rPr>
        <w:noProof/>
        <w:lang w:val="en-US"/>
      </w:rPr>
      <w:pict>
        <v:shape id="_x0000_s2054" type="#_x0000_t75" style="position:absolute;left:0;text-align:left;margin-left:.05pt;margin-top:0;width:50.25pt;height:50.25pt;z-index:3;mso-position-horizontal-relative:text;mso-position-vertical-relative:text" o:allowincell="f">
          <v:imagedata r:id="rId2" o:title="2009&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DF" w:rsidRDefault="00132DDF" w:rsidP="007E4686">
      <w:pPr>
        <w:pStyle w:val="Footer"/>
        <w:bidi/>
        <w:spacing w:after="80" w:line="200" w:lineRule="exact"/>
        <w:ind w:left="680"/>
      </w:pPr>
      <w:r>
        <w:rPr>
          <w:rFonts w:hint="cs"/>
          <w:rtl/>
        </w:rPr>
        <w:t>__________</w:t>
      </w:r>
    </w:p>
  </w:footnote>
  <w:footnote w:type="continuationSeparator" w:id="0">
    <w:p w:rsidR="00132DDF" w:rsidRDefault="00132DDF" w:rsidP="007E4686">
      <w:pPr>
        <w:pStyle w:val="Footer"/>
        <w:bidi/>
        <w:spacing w:after="80" w:line="200" w:lineRule="exact"/>
        <w:ind w:left="680"/>
      </w:pPr>
      <w:r>
        <w:rPr>
          <w:rFonts w:hint="cs"/>
          <w:rtl/>
        </w:rPr>
        <w:t>__________</w:t>
      </w:r>
    </w:p>
  </w:footnote>
  <w:footnote w:id="1">
    <w:p w:rsidR="00220FB8" w:rsidRPr="009D197E" w:rsidRDefault="00220FB8" w:rsidP="000F22D6">
      <w:pPr>
        <w:pStyle w:val="footnoteText0"/>
        <w:rPr>
          <w:rFonts w:hint="cs"/>
          <w:rtl/>
        </w:rPr>
      </w:pPr>
      <w:r>
        <w:rPr>
          <w:rtl/>
        </w:rPr>
        <w:tab/>
      </w:r>
      <w:r w:rsidRPr="009D197E">
        <w:rPr>
          <w:rStyle w:val="FootnoteReference"/>
          <w:sz w:val="20"/>
          <w:vertAlign w:val="baseline"/>
          <w:rtl/>
        </w:rPr>
        <w:t>*</w:t>
      </w:r>
      <w:r>
        <w:rPr>
          <w:rtl/>
        </w:rPr>
        <w:tab/>
      </w:r>
      <w:r w:rsidRPr="009D197E">
        <w:rPr>
          <w:rtl/>
        </w:rPr>
        <w:t>شارك أعضاء اللجنة التالية أسماؤهم</w:t>
      </w:r>
      <w:r w:rsidRPr="00220FB8">
        <w:rPr>
          <w:rtl/>
        </w:rPr>
        <w:t xml:space="preserve">: </w:t>
      </w:r>
      <w:r w:rsidRPr="009D197E">
        <w:rPr>
          <w:rtl/>
        </w:rPr>
        <w:t>السيد عياض بن عاشور</w:t>
      </w:r>
      <w:r>
        <w:rPr>
          <w:rFonts w:hint="cs"/>
          <w:rtl/>
        </w:rPr>
        <w:t>،</w:t>
      </w:r>
      <w:r w:rsidRPr="009D197E">
        <w:rPr>
          <w:rtl/>
        </w:rPr>
        <w:t xml:space="preserve"> والسيد أحمد أمين فتح الله</w:t>
      </w:r>
      <w:r>
        <w:rPr>
          <w:rFonts w:hint="cs"/>
          <w:rtl/>
        </w:rPr>
        <w:t>،</w:t>
      </w:r>
      <w:r w:rsidRPr="009D197E">
        <w:rPr>
          <w:rtl/>
        </w:rPr>
        <w:t xml:space="preserve"> والسيد خيشو ب</w:t>
      </w:r>
      <w:r w:rsidR="005607DD">
        <w:rPr>
          <w:rFonts w:hint="cs"/>
          <w:rtl/>
        </w:rPr>
        <w:t>ا</w:t>
      </w:r>
      <w:r w:rsidRPr="009D197E">
        <w:rPr>
          <w:rtl/>
        </w:rPr>
        <w:t xml:space="preserve">رساد ماتادين، </w:t>
      </w:r>
      <w:r>
        <w:rPr>
          <w:rFonts w:hint="cs"/>
          <w:rtl/>
        </w:rPr>
        <w:t>و</w:t>
      </w:r>
      <w:r w:rsidRPr="009D197E">
        <w:rPr>
          <w:rtl/>
        </w:rPr>
        <w:t xml:space="preserve">السير نايجل رودلي، والسيد فابيان عمر سالفيولي، والسيد يوفال شاني، </w:t>
      </w:r>
      <w:r>
        <w:rPr>
          <w:rFonts w:hint="cs"/>
          <w:rtl/>
        </w:rPr>
        <w:t>و</w:t>
      </w:r>
      <w:r w:rsidRPr="009D197E">
        <w:rPr>
          <w:rtl/>
        </w:rPr>
        <w:t>السيد كونستانتين فارجيلاشفيلي، والسيد لزه</w:t>
      </w:r>
      <w:r>
        <w:rPr>
          <w:rFonts w:hint="cs"/>
          <w:rtl/>
        </w:rPr>
        <w:t>ا</w:t>
      </w:r>
      <w:r w:rsidRPr="009D197E">
        <w:rPr>
          <w:rtl/>
        </w:rPr>
        <w:t xml:space="preserve">ري بوزيد، والسيد </w:t>
      </w:r>
      <w:r>
        <w:rPr>
          <w:rFonts w:hint="cs"/>
          <w:rtl/>
        </w:rPr>
        <w:t>ف</w:t>
      </w:r>
      <w:r w:rsidRPr="009D197E">
        <w:rPr>
          <w:rtl/>
        </w:rPr>
        <w:t>التر كالين، والسيد كورنيل</w:t>
      </w:r>
      <w:r>
        <w:rPr>
          <w:rFonts w:hint="cs"/>
          <w:rtl/>
        </w:rPr>
        <w:t>ي</w:t>
      </w:r>
      <w:r w:rsidRPr="009D197E">
        <w:rPr>
          <w:rtl/>
        </w:rPr>
        <w:t>س فل</w:t>
      </w:r>
      <w:r>
        <w:rPr>
          <w:rFonts w:hint="cs"/>
          <w:rtl/>
        </w:rPr>
        <w:t>ي</w:t>
      </w:r>
      <w:r w:rsidRPr="009D197E">
        <w:rPr>
          <w:rtl/>
        </w:rPr>
        <w:t>نترمان، والسيدة زونكي زانيلي ماجودينا، والسيد جيرالد ل</w:t>
      </w:r>
      <w:r>
        <w:rPr>
          <w:rFonts w:hint="cs"/>
          <w:rtl/>
        </w:rPr>
        <w:t xml:space="preserve">. </w:t>
      </w:r>
      <w:r w:rsidRPr="009D197E">
        <w:rPr>
          <w:rtl/>
        </w:rPr>
        <w:t xml:space="preserve">نومان، والسيد </w:t>
      </w:r>
      <w:r>
        <w:rPr>
          <w:rtl/>
        </w:rPr>
        <w:t>فيكتور مانويل رودريغي</w:t>
      </w:r>
      <w:r>
        <w:rPr>
          <w:rFonts w:hint="cs"/>
          <w:rtl/>
        </w:rPr>
        <w:t>ث - ر</w:t>
      </w:r>
      <w:r w:rsidRPr="009D197E">
        <w:rPr>
          <w:rtl/>
        </w:rPr>
        <w:t>يس</w:t>
      </w:r>
      <w:r>
        <w:rPr>
          <w:rFonts w:hint="cs"/>
          <w:rtl/>
        </w:rPr>
        <w:t>ث</w:t>
      </w:r>
      <w:r w:rsidRPr="009D197E">
        <w:rPr>
          <w:rtl/>
        </w:rPr>
        <w:t xml:space="preserve">يا، والسيدة أنيا </w:t>
      </w:r>
      <w:r>
        <w:rPr>
          <w:rFonts w:hint="cs"/>
          <w:rtl/>
        </w:rPr>
        <w:t xml:space="preserve">زايبرت - </w:t>
      </w:r>
      <w:r w:rsidRPr="009D197E">
        <w:rPr>
          <w:rtl/>
        </w:rPr>
        <w:t>فو</w:t>
      </w:r>
      <w:r>
        <w:rPr>
          <w:rtl/>
        </w:rPr>
        <w:t>ر، والسيدة مار</w:t>
      </w:r>
      <w:r>
        <w:rPr>
          <w:rFonts w:hint="cs"/>
          <w:rtl/>
        </w:rPr>
        <w:t>غ</w:t>
      </w:r>
      <w:r w:rsidRPr="009D197E">
        <w:rPr>
          <w:rtl/>
        </w:rPr>
        <w:t>و و</w:t>
      </w:r>
      <w:r>
        <w:rPr>
          <w:rFonts w:hint="cs"/>
          <w:rtl/>
        </w:rPr>
        <w:t>ا</w:t>
      </w:r>
      <w:r w:rsidRPr="009D197E">
        <w:rPr>
          <w:rtl/>
        </w:rPr>
        <w:t>ترفال</w:t>
      </w:r>
      <w:r w:rsidRPr="00220FB8">
        <w:rPr>
          <w:rtl/>
        </w:rPr>
        <w:t>.</w:t>
      </w:r>
    </w:p>
  </w:footnote>
  <w:footnote w:id="2">
    <w:p w:rsidR="003A249F" w:rsidRDefault="003A249F" w:rsidP="003A249F">
      <w:pPr>
        <w:pStyle w:val="FootnoteText"/>
        <w:numPr>
          <w:ilvl w:val="0"/>
          <w:numId w:val="19"/>
        </w:numPr>
        <w:tabs>
          <w:tab w:val="clear" w:pos="1297"/>
        </w:tabs>
        <w:spacing w:after="60" w:line="300" w:lineRule="exact"/>
        <w:ind w:left="1247" w:right="1247"/>
        <w:rPr>
          <w:rFonts w:hint="cs"/>
        </w:rPr>
      </w:pPr>
      <w:r w:rsidRPr="00BE6FC5">
        <w:rPr>
          <w:sz w:val="18"/>
          <w:szCs w:val="26"/>
          <w:rtl/>
        </w:rPr>
        <w:t>وقد بدأ نفاذ البروتوكول الاختياري في الدولة الطرف في 30 كانون الأول/ديسمبر 1992.</w:t>
      </w:r>
    </w:p>
  </w:footnote>
  <w:footnote w:id="3">
    <w:p w:rsidR="00FC1C44" w:rsidRDefault="00FC1C44" w:rsidP="002E64AA">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وتقول صاحبة البلاغ </w:t>
      </w:r>
      <w:r w:rsidR="002E64AA">
        <w:rPr>
          <w:rFonts w:hint="cs"/>
          <w:sz w:val="18"/>
          <w:szCs w:val="26"/>
          <w:rtl/>
        </w:rPr>
        <w:t>إ</w:t>
      </w:r>
      <w:r w:rsidRPr="00BE6FC5">
        <w:rPr>
          <w:sz w:val="18"/>
          <w:szCs w:val="26"/>
          <w:rtl/>
        </w:rPr>
        <w:t>ن احتجاز ابنها يشكل انتهاك</w:t>
      </w:r>
      <w:r w:rsidR="00594D6C">
        <w:rPr>
          <w:sz w:val="18"/>
          <w:szCs w:val="26"/>
          <w:rtl/>
        </w:rPr>
        <w:t xml:space="preserve">اً </w:t>
      </w:r>
      <w:r w:rsidRPr="00BE6FC5">
        <w:rPr>
          <w:sz w:val="18"/>
          <w:szCs w:val="26"/>
          <w:rtl/>
        </w:rPr>
        <w:t>للمادة 107 (الفق</w:t>
      </w:r>
      <w:r>
        <w:rPr>
          <w:sz w:val="18"/>
          <w:szCs w:val="26"/>
          <w:rtl/>
        </w:rPr>
        <w:t>رة 1) والمادة 108 (الفقرتان 1 و</w:t>
      </w:r>
      <w:r w:rsidRPr="00BE6FC5">
        <w:rPr>
          <w:sz w:val="18"/>
          <w:szCs w:val="26"/>
          <w:rtl/>
        </w:rPr>
        <w:t>3) والمادة 111، والمادة 119 (الفقرة 2) والمادة 126 (الفقرة 4) من قانون الإجراءات الجنائية المحلي.</w:t>
      </w:r>
    </w:p>
  </w:footnote>
  <w:footnote w:id="4">
    <w:p w:rsidR="00C56958" w:rsidRDefault="00C56958" w:rsidP="00E445A9">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وتشير صاحبة البلاغ إلى آراء اللجنة فيما يتعلق بالبلاغ رقم 852/1999، </w:t>
      </w:r>
      <w:r w:rsidR="002E64AA">
        <w:rPr>
          <w:i/>
          <w:iCs/>
          <w:sz w:val="18"/>
          <w:szCs w:val="26"/>
          <w:rtl/>
        </w:rPr>
        <w:t>بوري</w:t>
      </w:r>
      <w:r w:rsidR="002E64AA">
        <w:rPr>
          <w:rFonts w:hint="cs"/>
          <w:i/>
          <w:iCs/>
          <w:sz w:val="18"/>
          <w:szCs w:val="26"/>
          <w:rtl/>
        </w:rPr>
        <w:t>سي</w:t>
      </w:r>
      <w:r w:rsidR="002E64AA">
        <w:rPr>
          <w:i/>
          <w:iCs/>
          <w:sz w:val="18"/>
          <w:szCs w:val="26"/>
          <w:rtl/>
        </w:rPr>
        <w:t>ن</w:t>
      </w:r>
      <w:r w:rsidRPr="00C56958">
        <w:rPr>
          <w:i/>
          <w:iCs/>
          <w:sz w:val="18"/>
          <w:szCs w:val="26"/>
          <w:rtl/>
        </w:rPr>
        <w:t>كو ضد هنغاريا</w:t>
      </w:r>
      <w:r w:rsidRPr="00BE6FC5">
        <w:rPr>
          <w:sz w:val="18"/>
          <w:szCs w:val="26"/>
          <w:rtl/>
        </w:rPr>
        <w:t xml:space="preserve">، الذي اعتمدت آراء </w:t>
      </w:r>
      <w:r w:rsidRPr="00BE6FC5">
        <w:rPr>
          <w:rFonts w:hint="cs"/>
          <w:sz w:val="18"/>
          <w:szCs w:val="26"/>
          <w:rtl/>
        </w:rPr>
        <w:t>اللجنة</w:t>
      </w:r>
      <w:r w:rsidRPr="00BE6FC5">
        <w:rPr>
          <w:sz w:val="18"/>
          <w:szCs w:val="26"/>
          <w:rtl/>
        </w:rPr>
        <w:t xml:space="preserve"> بشأنه في 14 تشرين الأول/أكتوبر 2002؛ والبلاغ رقم 521/1992، </w:t>
      </w:r>
      <w:r w:rsidRPr="00C56958">
        <w:rPr>
          <w:i/>
          <w:iCs/>
          <w:sz w:val="18"/>
          <w:szCs w:val="26"/>
          <w:rtl/>
        </w:rPr>
        <w:t>كولومين ضد هنغاريا</w:t>
      </w:r>
      <w:r w:rsidRPr="00BE6FC5">
        <w:rPr>
          <w:sz w:val="18"/>
          <w:szCs w:val="26"/>
          <w:rtl/>
        </w:rPr>
        <w:t>، الذي اعتمدت آراء اللجنة بشأنه في 16 آذار/</w:t>
      </w:r>
      <w:r>
        <w:rPr>
          <w:sz w:val="18"/>
          <w:szCs w:val="26"/>
          <w:rtl/>
        </w:rPr>
        <w:t>مارس 1994؛ والتعليق العام رقم 8</w:t>
      </w:r>
      <w:r w:rsidRPr="00BE6FC5">
        <w:rPr>
          <w:sz w:val="18"/>
          <w:szCs w:val="26"/>
          <w:rtl/>
        </w:rPr>
        <w:t>(1982) بشأن الحق في الحرية والأمن الشخصي (</w:t>
      </w:r>
      <w:r w:rsidRPr="00E445A9">
        <w:rPr>
          <w:i/>
          <w:iCs/>
          <w:sz w:val="18"/>
          <w:szCs w:val="26"/>
          <w:rtl/>
        </w:rPr>
        <w:t>الوثائق الرسمية للجمعية العامة، الدورة السابعة والثلاثون، الملحق رقم 40</w:t>
      </w:r>
      <w:r w:rsidRPr="00BE6FC5">
        <w:rPr>
          <w:sz w:val="18"/>
          <w:szCs w:val="26"/>
          <w:rtl/>
        </w:rPr>
        <w:t xml:space="preserve"> </w:t>
      </w:r>
      <w:r w:rsidR="00E445A9">
        <w:rPr>
          <w:rFonts w:hint="cs"/>
          <w:sz w:val="18"/>
          <w:szCs w:val="26"/>
          <w:rtl/>
        </w:rPr>
        <w:t>(</w:t>
      </w:r>
      <w:r w:rsidR="00E445A9">
        <w:rPr>
          <w:sz w:val="18"/>
          <w:szCs w:val="26"/>
        </w:rPr>
        <w:t>A/37/40</w:t>
      </w:r>
      <w:r w:rsidR="00E445A9">
        <w:rPr>
          <w:rFonts w:hint="cs"/>
          <w:sz w:val="18"/>
          <w:szCs w:val="26"/>
          <w:rtl/>
        </w:rPr>
        <w:t>)</w:t>
      </w:r>
      <w:r w:rsidRPr="00BE6FC5">
        <w:rPr>
          <w:sz w:val="18"/>
          <w:szCs w:val="26"/>
          <w:rtl/>
        </w:rPr>
        <w:t>، المرفق الخامس).</w:t>
      </w:r>
    </w:p>
  </w:footnote>
  <w:footnote w:id="5">
    <w:p w:rsidR="003E1328" w:rsidRDefault="003E1328" w:rsidP="003E1328">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وتشير صاحبة البلاغ إلى اجتهاد اللجنة في البلاغ رقم 1033/2001، </w:t>
      </w:r>
      <w:r w:rsidRPr="003E1328">
        <w:rPr>
          <w:i/>
          <w:iCs/>
          <w:sz w:val="18"/>
          <w:szCs w:val="26"/>
          <w:rtl/>
        </w:rPr>
        <w:t>سينغراسا ضد سري لانكا</w:t>
      </w:r>
      <w:r w:rsidRPr="00BE6FC5">
        <w:rPr>
          <w:sz w:val="18"/>
          <w:szCs w:val="26"/>
          <w:rtl/>
        </w:rPr>
        <w:t>، الذي اعتمدت آراء اللجنة بشأنه في 21 تموز/يوليه 2004، الفقرة</w:t>
      </w:r>
      <w:r w:rsidR="002E64AA">
        <w:rPr>
          <w:rFonts w:hint="cs"/>
          <w:sz w:val="18"/>
          <w:szCs w:val="26"/>
          <w:rtl/>
        </w:rPr>
        <w:t xml:space="preserve"> </w:t>
      </w:r>
      <w:r w:rsidRPr="00BE6FC5">
        <w:rPr>
          <w:sz w:val="18"/>
          <w:szCs w:val="26"/>
          <w:rtl/>
        </w:rPr>
        <w:t xml:space="preserve">6-4؛ والبلاغ رقم 1132/2002، </w:t>
      </w:r>
      <w:r w:rsidRPr="003E1328">
        <w:rPr>
          <w:i/>
          <w:iCs/>
          <w:sz w:val="18"/>
          <w:szCs w:val="26"/>
          <w:rtl/>
        </w:rPr>
        <w:t>شيسانغا ضد زامبيا</w:t>
      </w:r>
      <w:r w:rsidRPr="00BE6FC5">
        <w:rPr>
          <w:sz w:val="18"/>
          <w:szCs w:val="26"/>
          <w:rtl/>
        </w:rPr>
        <w:t>، الذي اعتمدت آراء اللجنة بشأنه في 18 تشرين الأول/أكتوبر 2005، الفقرة 6-3.</w:t>
      </w:r>
    </w:p>
  </w:footnote>
  <w:footnote w:id="6">
    <w:p w:rsidR="00011A0F" w:rsidRDefault="00011A0F" w:rsidP="00011A0F">
      <w:pPr>
        <w:pStyle w:val="FootnoteText"/>
        <w:numPr>
          <w:ilvl w:val="0"/>
          <w:numId w:val="19"/>
        </w:numPr>
        <w:tabs>
          <w:tab w:val="clear" w:pos="1297"/>
        </w:tabs>
        <w:spacing w:after="60" w:line="300" w:lineRule="exact"/>
        <w:ind w:left="1247" w:right="1247"/>
        <w:rPr>
          <w:rFonts w:hint="cs"/>
        </w:rPr>
      </w:pPr>
      <w:r w:rsidRPr="00BE6FC5">
        <w:rPr>
          <w:sz w:val="18"/>
          <w:szCs w:val="26"/>
          <w:rtl/>
        </w:rPr>
        <w:t>ديباجة البروتوكول الاختياري والمادة 1 من متنه.</w:t>
      </w:r>
    </w:p>
  </w:footnote>
  <w:footnote w:id="7">
    <w:p w:rsidR="00011A0F" w:rsidRDefault="00011A0F" w:rsidP="00011A0F">
      <w:pPr>
        <w:pStyle w:val="FootnoteText"/>
        <w:numPr>
          <w:ilvl w:val="0"/>
          <w:numId w:val="19"/>
        </w:numPr>
        <w:tabs>
          <w:tab w:val="clear" w:pos="1297"/>
        </w:tabs>
        <w:spacing w:after="60" w:line="300" w:lineRule="exact"/>
        <w:ind w:left="1247" w:right="1247"/>
        <w:rPr>
          <w:rFonts w:hint="cs"/>
        </w:rPr>
      </w:pPr>
      <w:r w:rsidRPr="00BE6FC5">
        <w:rPr>
          <w:sz w:val="18"/>
          <w:szCs w:val="26"/>
          <w:rtl/>
        </w:rPr>
        <w:t>المادة 5، الفقرتان 1</w:t>
      </w:r>
      <w:r w:rsidR="00592A23">
        <w:rPr>
          <w:sz w:val="18"/>
          <w:szCs w:val="26"/>
          <w:rtl/>
        </w:rPr>
        <w:t xml:space="preserve"> و</w:t>
      </w:r>
      <w:r w:rsidRPr="00BE6FC5">
        <w:rPr>
          <w:sz w:val="18"/>
          <w:szCs w:val="26"/>
          <w:rtl/>
        </w:rPr>
        <w:t>4 من البروتوكول الاختياري.</w:t>
      </w:r>
    </w:p>
  </w:footnote>
  <w:footnote w:id="8">
    <w:p w:rsidR="00011A0F" w:rsidRDefault="00011A0F" w:rsidP="006841A8">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انظر، في جملة أمور، البلاغ رقم 869/1999، </w:t>
      </w:r>
      <w:r w:rsidRPr="00011A0F">
        <w:rPr>
          <w:i/>
          <w:iCs/>
          <w:sz w:val="18"/>
          <w:szCs w:val="26"/>
          <w:rtl/>
        </w:rPr>
        <w:t>بيانديونغ وآخرون ضد الفلبين</w:t>
      </w:r>
      <w:r w:rsidRPr="00BE6FC5">
        <w:rPr>
          <w:sz w:val="18"/>
          <w:szCs w:val="26"/>
          <w:rtl/>
        </w:rPr>
        <w:t>، اعتمدت آراء اللجنة بشأنه في 19 تشرين الأول/أكتوبر 2000، ا</w:t>
      </w:r>
      <w:r>
        <w:rPr>
          <w:sz w:val="18"/>
          <w:szCs w:val="26"/>
          <w:rtl/>
        </w:rPr>
        <w:t>لفقرة 5-1، والبلاغات رقم 1461 و1462 و1476 و1477</w:t>
      </w:r>
      <w:r w:rsidRPr="00BE6FC5">
        <w:rPr>
          <w:sz w:val="18"/>
          <w:szCs w:val="26"/>
          <w:rtl/>
        </w:rPr>
        <w:t xml:space="preserve">/2006، </w:t>
      </w:r>
      <w:r w:rsidRPr="00011A0F">
        <w:rPr>
          <w:i/>
          <w:iCs/>
          <w:sz w:val="18"/>
          <w:szCs w:val="26"/>
          <w:rtl/>
        </w:rPr>
        <w:t>مقصودوف وآخرون ضد قيرغيزستان</w:t>
      </w:r>
      <w:r w:rsidRPr="00BE6FC5">
        <w:rPr>
          <w:sz w:val="18"/>
          <w:szCs w:val="26"/>
          <w:rtl/>
        </w:rPr>
        <w:t>، اعتمدت آراء اللجنة بشأنه في 16 تموز/</w:t>
      </w:r>
      <w:r w:rsidR="008B6A71">
        <w:rPr>
          <w:rFonts w:hint="cs"/>
          <w:sz w:val="18"/>
          <w:szCs w:val="26"/>
          <w:rtl/>
        </w:rPr>
        <w:t xml:space="preserve"> </w:t>
      </w:r>
      <w:r w:rsidRPr="00BE6FC5">
        <w:rPr>
          <w:sz w:val="18"/>
          <w:szCs w:val="26"/>
          <w:rtl/>
        </w:rPr>
        <w:t>يوليه</w:t>
      </w:r>
      <w:r w:rsidR="008B6A71">
        <w:rPr>
          <w:rFonts w:hint="cs"/>
          <w:sz w:val="18"/>
          <w:szCs w:val="26"/>
          <w:rtl/>
        </w:rPr>
        <w:t> </w:t>
      </w:r>
      <w:r w:rsidR="006841A8">
        <w:rPr>
          <w:sz w:val="18"/>
          <w:szCs w:val="26"/>
          <w:rtl/>
        </w:rPr>
        <w:t>2008، الفقرتان 10-1</w:t>
      </w:r>
      <w:r w:rsidR="006841A8">
        <w:rPr>
          <w:rFonts w:hint="cs"/>
          <w:sz w:val="18"/>
          <w:szCs w:val="26"/>
          <w:rtl/>
        </w:rPr>
        <w:t xml:space="preserve"> </w:t>
      </w:r>
      <w:r w:rsidR="006841A8">
        <w:rPr>
          <w:sz w:val="18"/>
          <w:szCs w:val="26"/>
          <w:rtl/>
        </w:rPr>
        <w:t>و</w:t>
      </w:r>
      <w:r w:rsidRPr="00BE6FC5">
        <w:rPr>
          <w:sz w:val="18"/>
          <w:szCs w:val="26"/>
          <w:rtl/>
        </w:rPr>
        <w:t>10-3.</w:t>
      </w:r>
    </w:p>
  </w:footnote>
  <w:footnote w:id="9">
    <w:p w:rsidR="000A3878" w:rsidRDefault="000A3878" w:rsidP="000A3878">
      <w:pPr>
        <w:pStyle w:val="FootnoteText"/>
        <w:numPr>
          <w:ilvl w:val="0"/>
          <w:numId w:val="19"/>
        </w:numPr>
        <w:tabs>
          <w:tab w:val="clear" w:pos="1297"/>
        </w:tabs>
        <w:spacing w:after="60" w:line="300" w:lineRule="exact"/>
        <w:ind w:left="1247" w:right="1247"/>
        <w:rPr>
          <w:rFonts w:hint="cs"/>
        </w:rPr>
      </w:pPr>
      <w:r w:rsidRPr="00BE6FC5">
        <w:rPr>
          <w:sz w:val="18"/>
          <w:szCs w:val="26"/>
          <w:rtl/>
        </w:rPr>
        <w:t>انظر، ضمن أشياء أخرى، البلاغين رقم</w:t>
      </w:r>
      <w:r w:rsidRPr="000A487F">
        <w:rPr>
          <w:sz w:val="18"/>
          <w:szCs w:val="26"/>
          <w:rtl/>
        </w:rPr>
        <w:t xml:space="preserve"> </w:t>
      </w:r>
      <w:r w:rsidRPr="00BE6FC5">
        <w:rPr>
          <w:sz w:val="18"/>
          <w:szCs w:val="26"/>
          <w:rtl/>
        </w:rPr>
        <w:t xml:space="preserve">1276/2004، </w:t>
      </w:r>
      <w:r w:rsidRPr="000A3878">
        <w:rPr>
          <w:i/>
          <w:iCs/>
          <w:sz w:val="18"/>
          <w:szCs w:val="26"/>
          <w:rtl/>
        </w:rPr>
        <w:t>إدييفا ضد طاجيكستان</w:t>
      </w:r>
      <w:r w:rsidRPr="00BE6FC5">
        <w:rPr>
          <w:sz w:val="18"/>
          <w:szCs w:val="26"/>
          <w:rtl/>
        </w:rPr>
        <w:t>، الذي اعتمدت آراء اللجنة بشأنه في 31 آذار/مارس 2009، الفقرة 7-3، ورقم</w:t>
      </w:r>
      <w:r w:rsidR="00F7131B">
        <w:rPr>
          <w:sz w:val="18"/>
          <w:szCs w:val="26"/>
          <w:rtl/>
        </w:rPr>
        <w:t xml:space="preserve"> 2120</w:t>
      </w:r>
      <w:r w:rsidRPr="00BE6FC5">
        <w:rPr>
          <w:sz w:val="18"/>
          <w:szCs w:val="26"/>
          <w:rtl/>
        </w:rPr>
        <w:t xml:space="preserve">/2011، </w:t>
      </w:r>
      <w:r w:rsidRPr="000A3878">
        <w:rPr>
          <w:i/>
          <w:iCs/>
          <w:sz w:val="18"/>
          <w:szCs w:val="26"/>
          <w:rtl/>
        </w:rPr>
        <w:t>كوفاليفا</w:t>
      </w:r>
      <w:r w:rsidR="00592A23">
        <w:rPr>
          <w:i/>
          <w:iCs/>
          <w:sz w:val="18"/>
          <w:szCs w:val="26"/>
          <w:rtl/>
        </w:rPr>
        <w:t xml:space="preserve"> و</w:t>
      </w:r>
      <w:r w:rsidRPr="000A3878">
        <w:rPr>
          <w:i/>
          <w:iCs/>
          <w:sz w:val="18"/>
          <w:szCs w:val="26"/>
          <w:rtl/>
        </w:rPr>
        <w:t>كوزيار ضد بيلاروس</w:t>
      </w:r>
      <w:r w:rsidRPr="00BE6FC5">
        <w:rPr>
          <w:sz w:val="18"/>
          <w:szCs w:val="26"/>
          <w:rtl/>
        </w:rPr>
        <w:t>، الذي اعتمدت آراء اللجنة بشأنه في 29 تشرين الأول/أكتوبر 2012، الفقرة 9-4.</w:t>
      </w:r>
    </w:p>
  </w:footnote>
  <w:footnote w:id="10">
    <w:p w:rsidR="00F151C9" w:rsidRDefault="00F151C9" w:rsidP="0044355B">
      <w:pPr>
        <w:pStyle w:val="FootnoteText"/>
        <w:numPr>
          <w:ilvl w:val="0"/>
          <w:numId w:val="19"/>
        </w:numPr>
        <w:tabs>
          <w:tab w:val="clear" w:pos="1297"/>
        </w:tabs>
        <w:spacing w:after="60" w:line="300" w:lineRule="exact"/>
        <w:ind w:left="1247" w:right="1247"/>
        <w:rPr>
          <w:rFonts w:hint="cs"/>
        </w:rPr>
      </w:pPr>
      <w:r w:rsidRPr="00BE6FC5">
        <w:rPr>
          <w:sz w:val="18"/>
          <w:szCs w:val="26"/>
          <w:rtl/>
        </w:rPr>
        <w:t>انظر، ض</w:t>
      </w:r>
      <w:r w:rsidR="0044355B">
        <w:rPr>
          <w:sz w:val="18"/>
          <w:szCs w:val="26"/>
          <w:rtl/>
        </w:rPr>
        <w:t>من أشياء أخرى، البلاغات رقم 964</w:t>
      </w:r>
      <w:r w:rsidRPr="00BE6FC5">
        <w:rPr>
          <w:sz w:val="18"/>
          <w:szCs w:val="26"/>
          <w:rtl/>
        </w:rPr>
        <w:t xml:space="preserve">/2001، </w:t>
      </w:r>
      <w:r w:rsidRPr="00F151C9">
        <w:rPr>
          <w:i/>
          <w:iCs/>
          <w:sz w:val="18"/>
          <w:szCs w:val="26"/>
          <w:rtl/>
        </w:rPr>
        <w:t>سعيدوفا ضد طاجيكستان</w:t>
      </w:r>
      <w:r w:rsidRPr="00BE6FC5">
        <w:rPr>
          <w:sz w:val="18"/>
          <w:szCs w:val="26"/>
          <w:rtl/>
        </w:rPr>
        <w:t xml:space="preserve">، الذي اعتمدت آراء اللجنة بشأنه في 8 تموز/يوليه 2004، الفقرة 4-4؛ ورقم 1280/2004، </w:t>
      </w:r>
      <w:r w:rsidRPr="00F151C9">
        <w:rPr>
          <w:i/>
          <w:iCs/>
          <w:sz w:val="18"/>
          <w:szCs w:val="26"/>
          <w:rtl/>
        </w:rPr>
        <w:t>توليبخوجايفا ضد أوزبكستان</w:t>
      </w:r>
      <w:r w:rsidRPr="00BE6FC5">
        <w:rPr>
          <w:sz w:val="18"/>
          <w:szCs w:val="26"/>
          <w:rtl/>
        </w:rPr>
        <w:t>، الذي اعتمدت آراء اللجنة بشأنه في 22 تموز/يو</w:t>
      </w:r>
      <w:r>
        <w:rPr>
          <w:sz w:val="18"/>
          <w:szCs w:val="26"/>
          <w:rtl/>
        </w:rPr>
        <w:t>ليه 2009، الفقرة 6-4؛ ورقم</w:t>
      </w:r>
      <w:r w:rsidR="0044355B">
        <w:rPr>
          <w:rFonts w:hint="cs"/>
          <w:sz w:val="18"/>
          <w:szCs w:val="26"/>
          <w:rtl/>
        </w:rPr>
        <w:t> </w:t>
      </w:r>
      <w:r>
        <w:rPr>
          <w:sz w:val="18"/>
          <w:szCs w:val="26"/>
          <w:rtl/>
        </w:rPr>
        <w:t>2120</w:t>
      </w:r>
      <w:r w:rsidRPr="00BE6FC5">
        <w:rPr>
          <w:sz w:val="18"/>
          <w:szCs w:val="26"/>
          <w:rtl/>
        </w:rPr>
        <w:t>/2011،</w:t>
      </w:r>
      <w:r w:rsidRPr="000A487F">
        <w:rPr>
          <w:sz w:val="18"/>
          <w:szCs w:val="26"/>
          <w:rtl/>
        </w:rPr>
        <w:t xml:space="preserve"> </w:t>
      </w:r>
      <w:r w:rsidRPr="00F151C9">
        <w:rPr>
          <w:i/>
          <w:iCs/>
          <w:sz w:val="18"/>
          <w:szCs w:val="26"/>
          <w:rtl/>
        </w:rPr>
        <w:t>كوفاليفا وكوزيار ضد بيلاروس</w:t>
      </w:r>
      <w:r w:rsidRPr="00BE6FC5">
        <w:rPr>
          <w:sz w:val="18"/>
          <w:szCs w:val="26"/>
          <w:rtl/>
        </w:rPr>
        <w:t>، الفقرة 9-5.</w:t>
      </w:r>
    </w:p>
  </w:footnote>
  <w:footnote w:id="11">
    <w:p w:rsidR="001C5D04" w:rsidRDefault="001C5D04" w:rsidP="003F6DB5">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انظر، ضمن أشياء أخرى، البلاغ رقم </w:t>
      </w:r>
      <w:r w:rsidR="003F6DB5">
        <w:rPr>
          <w:rFonts w:hint="cs"/>
          <w:sz w:val="18"/>
          <w:szCs w:val="26"/>
          <w:rtl/>
        </w:rPr>
        <w:t>2120</w:t>
      </w:r>
      <w:r w:rsidRPr="00BE6FC5">
        <w:rPr>
          <w:sz w:val="18"/>
          <w:szCs w:val="26"/>
          <w:rtl/>
        </w:rPr>
        <w:t xml:space="preserve">/2011، </w:t>
      </w:r>
      <w:r w:rsidRPr="001C5D04">
        <w:rPr>
          <w:i/>
          <w:iCs/>
          <w:sz w:val="18"/>
          <w:szCs w:val="26"/>
          <w:rtl/>
        </w:rPr>
        <w:t>كوفاليفا وكوزيار ضد بيلاروس</w:t>
      </w:r>
      <w:r w:rsidRPr="00BE6FC5">
        <w:rPr>
          <w:sz w:val="18"/>
          <w:szCs w:val="26"/>
          <w:rtl/>
        </w:rPr>
        <w:t>، الفقرة 10-2.</w:t>
      </w:r>
    </w:p>
  </w:footnote>
  <w:footnote w:id="12">
    <w:p w:rsidR="003F718D" w:rsidRDefault="003F718D" w:rsidP="009F4D67">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انظر، على سبيل المثال،البلاغات رقم 1812/2008، </w:t>
      </w:r>
      <w:r w:rsidRPr="003F718D">
        <w:rPr>
          <w:i/>
          <w:iCs/>
          <w:sz w:val="18"/>
          <w:szCs w:val="26"/>
          <w:rtl/>
        </w:rPr>
        <w:t>ليفينوف ضد بيلاروس</w:t>
      </w:r>
      <w:r w:rsidRPr="00BE6FC5">
        <w:rPr>
          <w:sz w:val="18"/>
          <w:szCs w:val="26"/>
          <w:rtl/>
        </w:rPr>
        <w:t xml:space="preserve">، الذي اعتمدت آراء اللجنة بشأنه في 26 تموز/يوليه 2011، الفقرة 7-3، ورقم </w:t>
      </w:r>
      <w:r w:rsidR="009F4D67">
        <w:rPr>
          <w:rFonts w:hint="cs"/>
          <w:sz w:val="18"/>
          <w:szCs w:val="26"/>
          <w:rtl/>
        </w:rPr>
        <w:t>2120</w:t>
      </w:r>
      <w:r w:rsidRPr="00BE6FC5">
        <w:rPr>
          <w:sz w:val="18"/>
          <w:szCs w:val="26"/>
          <w:rtl/>
        </w:rPr>
        <w:t xml:space="preserve">/2011، </w:t>
      </w:r>
      <w:r w:rsidRPr="003F718D">
        <w:rPr>
          <w:i/>
          <w:iCs/>
          <w:sz w:val="18"/>
          <w:szCs w:val="26"/>
          <w:rtl/>
        </w:rPr>
        <w:t>كوفاليفا وكوزيار ضد بيلاروس</w:t>
      </w:r>
      <w:r w:rsidRPr="00BE6FC5">
        <w:rPr>
          <w:sz w:val="18"/>
          <w:szCs w:val="26"/>
          <w:rtl/>
        </w:rPr>
        <w:t>، الفقرة 10-4.</w:t>
      </w:r>
    </w:p>
  </w:footnote>
  <w:footnote w:id="13">
    <w:p w:rsidR="00E742F7" w:rsidRDefault="003B24BB" w:rsidP="00E742F7">
      <w:pPr>
        <w:pStyle w:val="FootnoteText"/>
        <w:numPr>
          <w:ilvl w:val="0"/>
          <w:numId w:val="19"/>
        </w:numPr>
        <w:tabs>
          <w:tab w:val="clear" w:pos="1297"/>
        </w:tabs>
        <w:spacing w:after="60" w:line="300" w:lineRule="exact"/>
        <w:ind w:left="1247" w:right="1247"/>
        <w:rPr>
          <w:rFonts w:hint="cs"/>
        </w:rPr>
      </w:pPr>
      <w:r>
        <w:rPr>
          <w:sz w:val="18"/>
          <w:szCs w:val="26"/>
          <w:rtl/>
        </w:rPr>
        <w:t>انظر تعليق اللجنة العام رقم 20</w:t>
      </w:r>
      <w:r w:rsidR="00E742F7" w:rsidRPr="00BE6FC5">
        <w:rPr>
          <w:sz w:val="18"/>
          <w:szCs w:val="26"/>
          <w:rtl/>
        </w:rPr>
        <w:t>(1992) المتعلق بحظر التعذيب وغيره من ضروب المعاملة أو العقوبة القاسية أو اللاإنسانية أو المهينة، الفقرة 14 (</w:t>
      </w:r>
      <w:r w:rsidR="00E742F7" w:rsidRPr="00E742F7">
        <w:rPr>
          <w:i/>
          <w:iCs/>
          <w:sz w:val="18"/>
          <w:szCs w:val="26"/>
          <w:rtl/>
        </w:rPr>
        <w:t>الوثائق الرسمية للجمعية العامة، الدورة السابعة والأربعون، الملحق رقم 40</w:t>
      </w:r>
      <w:r w:rsidR="00E742F7" w:rsidRPr="000A487F">
        <w:rPr>
          <w:sz w:val="18"/>
          <w:szCs w:val="26"/>
          <w:rtl/>
        </w:rPr>
        <w:t xml:space="preserve"> </w:t>
      </w:r>
      <w:r w:rsidR="00E742F7">
        <w:rPr>
          <w:rFonts w:hint="cs"/>
          <w:sz w:val="18"/>
          <w:szCs w:val="26"/>
          <w:rtl/>
        </w:rPr>
        <w:t>(</w:t>
      </w:r>
      <w:r w:rsidR="00E742F7">
        <w:rPr>
          <w:sz w:val="18"/>
          <w:szCs w:val="26"/>
        </w:rPr>
        <w:t>A/47/40</w:t>
      </w:r>
      <w:r w:rsidR="00E742F7">
        <w:rPr>
          <w:rFonts w:hint="cs"/>
          <w:sz w:val="18"/>
          <w:szCs w:val="26"/>
          <w:rtl/>
        </w:rPr>
        <w:t>)</w:t>
      </w:r>
      <w:r w:rsidR="00E742F7" w:rsidRPr="00BE6FC5">
        <w:rPr>
          <w:sz w:val="18"/>
          <w:szCs w:val="26"/>
          <w:rtl/>
        </w:rPr>
        <w:t>، المرفق السادس، الفرع ألف).</w:t>
      </w:r>
    </w:p>
  </w:footnote>
  <w:footnote w:id="14">
    <w:p w:rsidR="005D76F0" w:rsidRPr="001B4CF8" w:rsidRDefault="005D76F0" w:rsidP="00315A56">
      <w:pPr>
        <w:pStyle w:val="FootnoteText"/>
        <w:numPr>
          <w:ilvl w:val="0"/>
          <w:numId w:val="19"/>
        </w:numPr>
        <w:tabs>
          <w:tab w:val="clear" w:pos="1297"/>
        </w:tabs>
        <w:spacing w:after="60" w:line="300" w:lineRule="exact"/>
        <w:ind w:left="1247" w:right="1247"/>
        <w:rPr>
          <w:rFonts w:hint="cs"/>
          <w:spacing w:val="-1"/>
        </w:rPr>
      </w:pPr>
      <w:r w:rsidRPr="001B4CF8">
        <w:rPr>
          <w:spacing w:val="-1"/>
          <w:sz w:val="18"/>
          <w:szCs w:val="26"/>
          <w:rtl/>
        </w:rPr>
        <w:t xml:space="preserve">انظر، على سبيل المثال، تعليق اللجنة العام رقم </w:t>
      </w:r>
      <w:r w:rsidR="003B24BB" w:rsidRPr="001B4CF8">
        <w:rPr>
          <w:spacing w:val="-1"/>
          <w:sz w:val="18"/>
          <w:szCs w:val="26"/>
          <w:rtl/>
        </w:rPr>
        <w:t>32</w:t>
      </w:r>
      <w:r w:rsidRPr="001B4CF8">
        <w:rPr>
          <w:spacing w:val="-1"/>
          <w:sz w:val="18"/>
          <w:szCs w:val="26"/>
          <w:rtl/>
        </w:rPr>
        <w:t>(2007) بشأن الحق في المساواة أمام المحاكم والهيئات القضائية وفي محاكمة عادلة، الفقرة 41 (</w:t>
      </w:r>
      <w:r w:rsidRPr="001B4CF8">
        <w:rPr>
          <w:i/>
          <w:iCs/>
          <w:spacing w:val="-1"/>
          <w:sz w:val="18"/>
          <w:szCs w:val="26"/>
          <w:rtl/>
        </w:rPr>
        <w:t>الوثائق الرسمية للجمعية العامة، الدورة الثانية والستون، الملحق رقم</w:t>
      </w:r>
      <w:r w:rsidRPr="001B4CF8">
        <w:rPr>
          <w:rFonts w:hint="cs"/>
          <w:i/>
          <w:iCs/>
          <w:spacing w:val="-1"/>
          <w:sz w:val="18"/>
          <w:szCs w:val="26"/>
          <w:rtl/>
        </w:rPr>
        <w:t> </w:t>
      </w:r>
      <w:r w:rsidRPr="001B4CF8">
        <w:rPr>
          <w:i/>
          <w:iCs/>
          <w:spacing w:val="-1"/>
          <w:sz w:val="18"/>
          <w:szCs w:val="26"/>
          <w:rtl/>
        </w:rPr>
        <w:t>40</w:t>
      </w:r>
      <w:r w:rsidRPr="001B4CF8">
        <w:rPr>
          <w:spacing w:val="-1"/>
          <w:sz w:val="18"/>
          <w:szCs w:val="26"/>
          <w:rtl/>
        </w:rPr>
        <w:t xml:space="preserve">، المجلد الأول </w:t>
      </w:r>
      <w:r w:rsidRPr="001B4CF8">
        <w:rPr>
          <w:rFonts w:hint="cs"/>
          <w:spacing w:val="-1"/>
          <w:sz w:val="18"/>
          <w:szCs w:val="26"/>
          <w:rtl/>
        </w:rPr>
        <w:t>(</w:t>
      </w:r>
      <w:r w:rsidRPr="001B4CF8">
        <w:rPr>
          <w:spacing w:val="-1"/>
          <w:sz w:val="18"/>
          <w:szCs w:val="26"/>
        </w:rPr>
        <w:t>A/62/40</w:t>
      </w:r>
      <w:r w:rsidRPr="001B4CF8">
        <w:rPr>
          <w:rFonts w:hint="cs"/>
          <w:spacing w:val="-1"/>
          <w:sz w:val="18"/>
          <w:szCs w:val="26"/>
          <w:rtl/>
        </w:rPr>
        <w:t>)</w:t>
      </w:r>
      <w:r w:rsidR="00B32E8C" w:rsidRPr="001B4CF8">
        <w:rPr>
          <w:rFonts w:hint="cs"/>
          <w:spacing w:val="-1"/>
          <w:sz w:val="18"/>
          <w:szCs w:val="26"/>
          <w:rtl/>
        </w:rPr>
        <w:t>)</w:t>
      </w:r>
      <w:r w:rsidRPr="001B4CF8">
        <w:rPr>
          <w:spacing w:val="-1"/>
          <w:sz w:val="18"/>
          <w:szCs w:val="26"/>
          <w:rtl/>
        </w:rPr>
        <w:t xml:space="preserve">؛ والبلاغات رقم 330/1988، </w:t>
      </w:r>
      <w:r w:rsidRPr="001B4CF8">
        <w:rPr>
          <w:i/>
          <w:iCs/>
          <w:spacing w:val="-1"/>
          <w:sz w:val="18"/>
          <w:szCs w:val="26"/>
          <w:rtl/>
        </w:rPr>
        <w:t>بيري ضد جامايكا</w:t>
      </w:r>
      <w:r w:rsidRPr="001B4CF8">
        <w:rPr>
          <w:spacing w:val="-1"/>
          <w:sz w:val="18"/>
          <w:szCs w:val="26"/>
          <w:rtl/>
        </w:rPr>
        <w:t xml:space="preserve">، الذي اعتمدت آراء اللجنة بشأنه في 4 تموز/يوليه 1994، الفقرة 11-7؛ ورقم 1033/2001، </w:t>
      </w:r>
      <w:r w:rsidRPr="001B4CF8">
        <w:rPr>
          <w:i/>
          <w:iCs/>
          <w:spacing w:val="-1"/>
          <w:sz w:val="18"/>
          <w:szCs w:val="26"/>
          <w:rtl/>
        </w:rPr>
        <w:t>سينغاراسا ضد سري</w:t>
      </w:r>
      <w:r w:rsidR="00116477" w:rsidRPr="001B4CF8">
        <w:rPr>
          <w:rFonts w:hint="cs"/>
          <w:i/>
          <w:iCs/>
          <w:spacing w:val="-1"/>
          <w:sz w:val="18"/>
          <w:szCs w:val="26"/>
          <w:rtl/>
        </w:rPr>
        <w:t> </w:t>
      </w:r>
      <w:r w:rsidRPr="001B4CF8">
        <w:rPr>
          <w:i/>
          <w:iCs/>
          <w:spacing w:val="-1"/>
          <w:sz w:val="18"/>
          <w:szCs w:val="26"/>
          <w:rtl/>
        </w:rPr>
        <w:t>لانكا</w:t>
      </w:r>
      <w:r w:rsidRPr="001B4CF8">
        <w:rPr>
          <w:spacing w:val="-1"/>
          <w:sz w:val="18"/>
          <w:szCs w:val="26"/>
          <w:rtl/>
        </w:rPr>
        <w:t xml:space="preserve">، الذي اعتمدت آراء </w:t>
      </w:r>
      <w:r w:rsidR="00B32E8C" w:rsidRPr="001B4CF8">
        <w:rPr>
          <w:rFonts w:hint="cs"/>
          <w:spacing w:val="-1"/>
          <w:sz w:val="18"/>
          <w:szCs w:val="26"/>
          <w:rtl/>
        </w:rPr>
        <w:t>اللجنة</w:t>
      </w:r>
      <w:r w:rsidRPr="001B4CF8">
        <w:rPr>
          <w:spacing w:val="-1"/>
          <w:sz w:val="18"/>
          <w:szCs w:val="26"/>
          <w:rtl/>
        </w:rPr>
        <w:t xml:space="preserve"> بشأنه في 21 تموز/يوليه 2004، الفقرة 7-4؛ ورقم</w:t>
      </w:r>
      <w:r w:rsidR="000E5F0A" w:rsidRPr="001B4CF8">
        <w:rPr>
          <w:rFonts w:hint="cs"/>
          <w:spacing w:val="-1"/>
          <w:sz w:val="18"/>
          <w:szCs w:val="26"/>
          <w:rtl/>
        </w:rPr>
        <w:t> </w:t>
      </w:r>
      <w:r w:rsidRPr="001B4CF8">
        <w:rPr>
          <w:spacing w:val="-1"/>
          <w:sz w:val="18"/>
          <w:szCs w:val="26"/>
          <w:rtl/>
        </w:rPr>
        <w:t xml:space="preserve">1769/2008، </w:t>
      </w:r>
      <w:r w:rsidRPr="001B4CF8">
        <w:rPr>
          <w:i/>
          <w:iCs/>
          <w:spacing w:val="-1"/>
          <w:sz w:val="18"/>
          <w:szCs w:val="26"/>
          <w:rtl/>
        </w:rPr>
        <w:t>إسماعيلوف ضد أوزبكستان</w:t>
      </w:r>
      <w:r w:rsidRPr="001B4CF8">
        <w:rPr>
          <w:spacing w:val="-1"/>
          <w:sz w:val="18"/>
          <w:szCs w:val="26"/>
          <w:rtl/>
        </w:rPr>
        <w:t>، الذي اعتمدت آراء اللجنة بشأنه في 25 آذار/مارس</w:t>
      </w:r>
      <w:r w:rsidR="00315A56" w:rsidRPr="001B4CF8">
        <w:rPr>
          <w:rFonts w:hint="cs"/>
          <w:spacing w:val="-1"/>
          <w:sz w:val="18"/>
          <w:szCs w:val="26"/>
          <w:rtl/>
        </w:rPr>
        <w:t> </w:t>
      </w:r>
      <w:r w:rsidRPr="001B4CF8">
        <w:rPr>
          <w:spacing w:val="-1"/>
          <w:sz w:val="18"/>
          <w:szCs w:val="26"/>
          <w:rtl/>
        </w:rPr>
        <w:t>2011، الفقرة 7-6.</w:t>
      </w:r>
    </w:p>
  </w:footnote>
  <w:footnote w:id="15">
    <w:p w:rsidR="003F7C72" w:rsidRDefault="003F7C72" w:rsidP="003F7C72">
      <w:pPr>
        <w:pStyle w:val="FootnoteText"/>
        <w:numPr>
          <w:ilvl w:val="0"/>
          <w:numId w:val="19"/>
        </w:numPr>
        <w:tabs>
          <w:tab w:val="clear" w:pos="1297"/>
        </w:tabs>
        <w:spacing w:after="60" w:line="300" w:lineRule="exact"/>
        <w:ind w:left="1247" w:right="1247"/>
        <w:rPr>
          <w:rFonts w:hint="cs"/>
        </w:rPr>
      </w:pPr>
      <w:r w:rsidRPr="00BE6FC5">
        <w:rPr>
          <w:sz w:val="18"/>
          <w:szCs w:val="26"/>
          <w:rtl/>
        </w:rPr>
        <w:t>انظر، على سبيل المثال، تعليق اللجنة العام رقم 32، الفقرة 60؛ والبلاغات رقم 1401/2005،</w:t>
      </w:r>
      <w:r w:rsidRPr="000A487F">
        <w:rPr>
          <w:sz w:val="18"/>
          <w:szCs w:val="26"/>
          <w:rtl/>
        </w:rPr>
        <w:t xml:space="preserve"> </w:t>
      </w:r>
      <w:r w:rsidRPr="003F7C72">
        <w:rPr>
          <w:i/>
          <w:iCs/>
          <w:sz w:val="18"/>
          <w:szCs w:val="26"/>
          <w:rtl/>
        </w:rPr>
        <w:t>كيربو ضد طاجيكستان</w:t>
      </w:r>
      <w:r w:rsidRPr="00BE6FC5">
        <w:rPr>
          <w:sz w:val="18"/>
          <w:szCs w:val="26"/>
          <w:rtl/>
        </w:rPr>
        <w:t xml:space="preserve">، الذي اعتمدت آراء اللجنة بشأنه في 27 تشرين الأول/أكتوبر 2009، الفقرة 6-3؛ ورقم 1545/2007، </w:t>
      </w:r>
      <w:r w:rsidRPr="003F7C72">
        <w:rPr>
          <w:i/>
          <w:iCs/>
          <w:sz w:val="18"/>
          <w:szCs w:val="26"/>
          <w:rtl/>
        </w:rPr>
        <w:t>غونان ضد قيرغيزستان</w:t>
      </w:r>
      <w:r w:rsidRPr="00BE6FC5">
        <w:rPr>
          <w:sz w:val="18"/>
          <w:szCs w:val="26"/>
          <w:rtl/>
        </w:rPr>
        <w:t>، الذي اعتمدت آراء اللجنة بشأنه في 25 تموز/</w:t>
      </w:r>
      <w:r>
        <w:rPr>
          <w:rFonts w:hint="cs"/>
          <w:sz w:val="18"/>
          <w:szCs w:val="26"/>
          <w:rtl/>
        </w:rPr>
        <w:t xml:space="preserve"> </w:t>
      </w:r>
      <w:r w:rsidRPr="00BE6FC5">
        <w:rPr>
          <w:sz w:val="18"/>
          <w:szCs w:val="26"/>
          <w:rtl/>
        </w:rPr>
        <w:t>يوليه</w:t>
      </w:r>
      <w:r>
        <w:rPr>
          <w:rFonts w:hint="cs"/>
          <w:sz w:val="18"/>
          <w:szCs w:val="26"/>
          <w:rtl/>
        </w:rPr>
        <w:t> </w:t>
      </w:r>
      <w:r w:rsidRPr="00BE6FC5">
        <w:rPr>
          <w:sz w:val="18"/>
          <w:szCs w:val="26"/>
          <w:rtl/>
        </w:rPr>
        <w:t>2011، الفقرة 6-2.</w:t>
      </w:r>
    </w:p>
  </w:footnote>
  <w:footnote w:id="16">
    <w:p w:rsidR="00B46FD0" w:rsidRDefault="00B46FD0" w:rsidP="00B46FD0">
      <w:pPr>
        <w:pStyle w:val="FootnoteText"/>
        <w:numPr>
          <w:ilvl w:val="0"/>
          <w:numId w:val="19"/>
        </w:numPr>
        <w:tabs>
          <w:tab w:val="clear" w:pos="1297"/>
        </w:tabs>
        <w:spacing w:after="60" w:line="300" w:lineRule="exact"/>
        <w:ind w:left="1247" w:right="1247"/>
        <w:rPr>
          <w:rFonts w:hint="cs"/>
        </w:rPr>
      </w:pPr>
      <w:r w:rsidRPr="00B46FD0">
        <w:rPr>
          <w:i/>
          <w:iCs/>
          <w:sz w:val="18"/>
          <w:szCs w:val="26"/>
          <w:rtl/>
        </w:rPr>
        <w:t>الوثائق الرسمية للجمعية العامة، الدورة السابعة والثلاثون، الملحق رقم 40</w:t>
      </w:r>
      <w:r w:rsidRPr="00BE6FC5">
        <w:rPr>
          <w:sz w:val="18"/>
          <w:szCs w:val="26"/>
          <w:rtl/>
        </w:rPr>
        <w:t xml:space="preserve"> </w:t>
      </w:r>
      <w:r>
        <w:rPr>
          <w:rFonts w:hint="cs"/>
          <w:sz w:val="18"/>
          <w:szCs w:val="26"/>
          <w:rtl/>
        </w:rPr>
        <w:t>(</w:t>
      </w:r>
      <w:r>
        <w:rPr>
          <w:sz w:val="18"/>
          <w:szCs w:val="26"/>
        </w:rPr>
        <w:t>A/37/40</w:t>
      </w:r>
      <w:r>
        <w:rPr>
          <w:rFonts w:hint="cs"/>
          <w:sz w:val="18"/>
          <w:szCs w:val="26"/>
          <w:rtl/>
        </w:rPr>
        <w:t>)</w:t>
      </w:r>
      <w:r w:rsidRPr="00BE6FC5">
        <w:rPr>
          <w:sz w:val="18"/>
          <w:szCs w:val="26"/>
          <w:rtl/>
        </w:rPr>
        <w:t>، المرفق الخامس، الفقرة 2.</w:t>
      </w:r>
    </w:p>
  </w:footnote>
  <w:footnote w:id="17">
    <w:p w:rsidR="00B46FD0" w:rsidRDefault="00B46FD0" w:rsidP="00D44592">
      <w:pPr>
        <w:pStyle w:val="FootnoteText"/>
        <w:numPr>
          <w:ilvl w:val="0"/>
          <w:numId w:val="19"/>
        </w:numPr>
        <w:tabs>
          <w:tab w:val="clear" w:pos="1297"/>
        </w:tabs>
        <w:spacing w:after="60" w:line="300" w:lineRule="exact"/>
        <w:ind w:left="1247" w:right="1247"/>
        <w:rPr>
          <w:rFonts w:hint="cs"/>
        </w:rPr>
      </w:pPr>
      <w:r w:rsidRPr="00BE6FC5">
        <w:rPr>
          <w:sz w:val="18"/>
          <w:szCs w:val="26"/>
          <w:rtl/>
        </w:rPr>
        <w:t>ورأت اللجنة، في ظل عدم وجود أي تفسيرات من قبل الدولة الطرف، أن التأخر لمدة ثلاثة أيام قبل مثول الشخص أمام القاضي</w:t>
      </w:r>
      <w:r w:rsidR="00211F2A">
        <w:rPr>
          <w:sz w:val="18"/>
          <w:szCs w:val="26"/>
          <w:rtl/>
        </w:rPr>
        <w:t xml:space="preserve"> لا </w:t>
      </w:r>
      <w:r w:rsidRPr="00BE6FC5">
        <w:rPr>
          <w:sz w:val="18"/>
          <w:szCs w:val="26"/>
          <w:rtl/>
        </w:rPr>
        <w:t>يستوفي شرط السرعة بالمعنى المقصود في الفقرة 3 من المادة 9 (انظر البلاغ رقم</w:t>
      </w:r>
      <w:r>
        <w:rPr>
          <w:rFonts w:hint="cs"/>
          <w:sz w:val="18"/>
          <w:szCs w:val="26"/>
          <w:rtl/>
        </w:rPr>
        <w:t> </w:t>
      </w:r>
      <w:r w:rsidRPr="00BE6FC5">
        <w:rPr>
          <w:sz w:val="18"/>
          <w:szCs w:val="26"/>
          <w:rtl/>
        </w:rPr>
        <w:t xml:space="preserve">852/1999، </w:t>
      </w:r>
      <w:r w:rsidRPr="00B46FD0">
        <w:rPr>
          <w:i/>
          <w:iCs/>
          <w:sz w:val="18"/>
          <w:szCs w:val="26"/>
          <w:rtl/>
        </w:rPr>
        <w:t>ب</w:t>
      </w:r>
      <w:r w:rsidR="00D44592">
        <w:rPr>
          <w:rFonts w:hint="cs"/>
          <w:i/>
          <w:iCs/>
          <w:sz w:val="18"/>
          <w:szCs w:val="26"/>
          <w:rtl/>
        </w:rPr>
        <w:t>و</w:t>
      </w:r>
      <w:r w:rsidRPr="00B46FD0">
        <w:rPr>
          <w:i/>
          <w:iCs/>
          <w:sz w:val="18"/>
          <w:szCs w:val="26"/>
          <w:rtl/>
        </w:rPr>
        <w:t>ريسينكو ضد هنغاريا</w:t>
      </w:r>
      <w:r w:rsidRPr="00BE6FC5">
        <w:rPr>
          <w:sz w:val="18"/>
          <w:szCs w:val="26"/>
          <w:rtl/>
        </w:rPr>
        <w:t>، الفقرة 7-4). انظر أيض</w:t>
      </w:r>
      <w:r w:rsidR="00594D6C">
        <w:rPr>
          <w:sz w:val="18"/>
          <w:szCs w:val="26"/>
          <w:rtl/>
        </w:rPr>
        <w:t xml:space="preserve">اً </w:t>
      </w:r>
      <w:r w:rsidRPr="00BE6FC5">
        <w:rPr>
          <w:sz w:val="18"/>
          <w:szCs w:val="26"/>
          <w:rtl/>
        </w:rPr>
        <w:t xml:space="preserve">البلاغين رقم </w:t>
      </w:r>
      <w:r w:rsidR="000A759E">
        <w:rPr>
          <w:rFonts w:hint="cs"/>
          <w:sz w:val="18"/>
          <w:szCs w:val="26"/>
          <w:rtl/>
        </w:rPr>
        <w:t>2120</w:t>
      </w:r>
      <w:r w:rsidRPr="00BE6FC5">
        <w:rPr>
          <w:sz w:val="18"/>
          <w:szCs w:val="26"/>
          <w:rtl/>
        </w:rPr>
        <w:t xml:space="preserve">/2011، </w:t>
      </w:r>
      <w:r w:rsidRPr="00B46FD0">
        <w:rPr>
          <w:i/>
          <w:iCs/>
          <w:sz w:val="18"/>
          <w:szCs w:val="26"/>
          <w:rtl/>
        </w:rPr>
        <w:t>كوفاليفا وكوزيار ضد بيلاروس</w:t>
      </w:r>
      <w:r w:rsidRPr="00BE6FC5">
        <w:rPr>
          <w:sz w:val="18"/>
          <w:szCs w:val="26"/>
          <w:rtl/>
        </w:rPr>
        <w:t xml:space="preserve">، الفقرة 11-3، ورقم 1787/2008، </w:t>
      </w:r>
      <w:r w:rsidRPr="00B46FD0">
        <w:rPr>
          <w:i/>
          <w:iCs/>
          <w:sz w:val="18"/>
          <w:szCs w:val="26"/>
          <w:rtl/>
        </w:rPr>
        <w:t>كوفش ضد بيلاروس</w:t>
      </w:r>
      <w:r w:rsidRPr="00BE6FC5">
        <w:rPr>
          <w:sz w:val="18"/>
          <w:szCs w:val="26"/>
          <w:rtl/>
        </w:rPr>
        <w:t>، الذي اعتمدت آراء اللجنة بشأنه في 27 آذار/مارس 2013، الفقرات 7-3 إلى 7-5.</w:t>
      </w:r>
    </w:p>
  </w:footnote>
  <w:footnote w:id="18">
    <w:p w:rsidR="00FB52B5" w:rsidRDefault="00FB52B5" w:rsidP="007B2F3D">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انظر، على سبيل المثال، الملاحظات الختامية بشأن الكويت، </w:t>
      </w:r>
      <w:r>
        <w:rPr>
          <w:sz w:val="18"/>
          <w:szCs w:val="26"/>
        </w:rPr>
        <w:t>CCPR/CO/69/KWT</w:t>
      </w:r>
      <w:r w:rsidRPr="00BE6FC5">
        <w:rPr>
          <w:sz w:val="18"/>
          <w:szCs w:val="26"/>
          <w:rtl/>
        </w:rPr>
        <w:t xml:space="preserve">، الفقرة 21؛ والملاحظات الختامية بشأن زمبابوي، </w:t>
      </w:r>
      <w:r w:rsidR="007B2F3D">
        <w:rPr>
          <w:sz w:val="18"/>
          <w:szCs w:val="26"/>
        </w:rPr>
        <w:t>CCPR/C/79/Add.89</w:t>
      </w:r>
      <w:r w:rsidRPr="00BE6FC5">
        <w:rPr>
          <w:sz w:val="18"/>
          <w:szCs w:val="26"/>
          <w:rtl/>
        </w:rPr>
        <w:t xml:space="preserve">، الفقرة 17؛ والملاحظات الختامية بشأن السلفادور، </w:t>
      </w:r>
      <w:r w:rsidR="007B2F3D">
        <w:rPr>
          <w:sz w:val="18"/>
          <w:szCs w:val="26"/>
        </w:rPr>
        <w:t>CPR/C/SLV/CO/6</w:t>
      </w:r>
      <w:r w:rsidRPr="00BE6FC5">
        <w:rPr>
          <w:sz w:val="18"/>
          <w:szCs w:val="26"/>
          <w:rtl/>
        </w:rPr>
        <w:t xml:space="preserve">، الفقرة 14؛ والملاحظات الختامية بشأن غابون، </w:t>
      </w:r>
      <w:r w:rsidR="007B2F3D">
        <w:rPr>
          <w:sz w:val="18"/>
          <w:szCs w:val="26"/>
        </w:rPr>
        <w:t>CCPR/CO/70/GAB</w:t>
      </w:r>
      <w:r w:rsidRPr="00BE6FC5">
        <w:rPr>
          <w:sz w:val="18"/>
          <w:szCs w:val="26"/>
          <w:rtl/>
        </w:rPr>
        <w:t>، الفقرة 13.</w:t>
      </w:r>
    </w:p>
  </w:footnote>
  <w:footnote w:id="19">
    <w:p w:rsidR="00FE7860" w:rsidRDefault="00FE7860" w:rsidP="000A759E">
      <w:pPr>
        <w:pStyle w:val="FootnoteText"/>
        <w:numPr>
          <w:ilvl w:val="0"/>
          <w:numId w:val="19"/>
        </w:numPr>
        <w:tabs>
          <w:tab w:val="clear" w:pos="1297"/>
        </w:tabs>
        <w:spacing w:after="60" w:line="300" w:lineRule="exact"/>
        <w:ind w:left="1247" w:right="1247"/>
        <w:rPr>
          <w:rFonts w:hint="cs"/>
        </w:rPr>
      </w:pPr>
      <w:r w:rsidRPr="00BE6FC5">
        <w:rPr>
          <w:sz w:val="18"/>
          <w:szCs w:val="26"/>
          <w:rtl/>
        </w:rPr>
        <w:t>انظر</w:t>
      </w:r>
      <w:r w:rsidRPr="000A487F">
        <w:rPr>
          <w:sz w:val="18"/>
          <w:szCs w:val="26"/>
          <w:rtl/>
        </w:rPr>
        <w:t xml:space="preserve"> </w:t>
      </w:r>
      <w:r w:rsidRPr="00FE7860">
        <w:rPr>
          <w:i/>
          <w:iCs/>
          <w:sz w:val="18"/>
          <w:szCs w:val="26"/>
          <w:rtl/>
        </w:rPr>
        <w:t>ب</w:t>
      </w:r>
      <w:r w:rsidR="000A759E">
        <w:rPr>
          <w:rFonts w:hint="cs"/>
          <w:i/>
          <w:iCs/>
          <w:sz w:val="18"/>
          <w:szCs w:val="26"/>
          <w:rtl/>
        </w:rPr>
        <w:t>و</w:t>
      </w:r>
      <w:r w:rsidRPr="00FE7860">
        <w:rPr>
          <w:i/>
          <w:iCs/>
          <w:sz w:val="18"/>
          <w:szCs w:val="26"/>
          <w:rtl/>
        </w:rPr>
        <w:t>ريسينكو ضد هنغاريا</w:t>
      </w:r>
      <w:r w:rsidRPr="00BE6FC5">
        <w:rPr>
          <w:sz w:val="18"/>
          <w:szCs w:val="26"/>
          <w:rtl/>
        </w:rPr>
        <w:t>، الفقرة 7-4. انظر أيض</w:t>
      </w:r>
      <w:r w:rsidR="00594D6C">
        <w:rPr>
          <w:sz w:val="18"/>
          <w:szCs w:val="26"/>
          <w:rtl/>
        </w:rPr>
        <w:t xml:space="preserve">اً </w:t>
      </w:r>
      <w:r w:rsidRPr="00BE6FC5">
        <w:rPr>
          <w:sz w:val="18"/>
          <w:szCs w:val="26"/>
          <w:rtl/>
        </w:rPr>
        <w:t>المبادئ الأساسية لدور المحامين، التي اعتمدت في مؤتمر الأمم المتحدة الثامن لمنع الجريمة ومعاملة المجرمين، المعقود في هافانا، في الفترة من 27 آب/أغسطس إلى 7 أيلول/سبتمبر 1990، المبدأ رقم 7.</w:t>
      </w:r>
    </w:p>
  </w:footnote>
  <w:footnote w:id="20">
    <w:p w:rsidR="001B359C" w:rsidRDefault="001B359C" w:rsidP="00482872">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انظر، على سبيل المثال، البلاغين رقم 770/1997، </w:t>
      </w:r>
      <w:r w:rsidRPr="001B359C">
        <w:rPr>
          <w:i/>
          <w:iCs/>
          <w:sz w:val="18"/>
          <w:szCs w:val="26"/>
          <w:rtl/>
        </w:rPr>
        <w:t>غريدين ضد الاتحاد الروسي</w:t>
      </w:r>
      <w:r w:rsidRPr="00BE6FC5">
        <w:rPr>
          <w:sz w:val="18"/>
          <w:szCs w:val="26"/>
          <w:rtl/>
        </w:rPr>
        <w:t xml:space="preserve">، الذي اعتمدت آراء اللجنة بشأنه في 20 تموز/يوليه 2000، الفقرة 8-3؛ ورقم </w:t>
      </w:r>
      <w:r w:rsidR="00482872">
        <w:rPr>
          <w:rFonts w:hint="cs"/>
          <w:sz w:val="18"/>
          <w:szCs w:val="26"/>
          <w:rtl/>
        </w:rPr>
        <w:t>1520</w:t>
      </w:r>
      <w:r w:rsidRPr="00BE6FC5">
        <w:rPr>
          <w:sz w:val="18"/>
          <w:szCs w:val="26"/>
          <w:rtl/>
        </w:rPr>
        <w:t xml:space="preserve">/2006، </w:t>
      </w:r>
      <w:r w:rsidRPr="001B359C">
        <w:rPr>
          <w:i/>
          <w:iCs/>
          <w:sz w:val="18"/>
          <w:szCs w:val="26"/>
          <w:rtl/>
        </w:rPr>
        <w:t>موامبا ضد زامبيا</w:t>
      </w:r>
      <w:r w:rsidRPr="00BE6FC5">
        <w:rPr>
          <w:sz w:val="18"/>
          <w:szCs w:val="26"/>
          <w:rtl/>
        </w:rPr>
        <w:t>، الذي اعتمدت آراء اللجنة بشأنه في 10 آذار/مارس 2010، الفقرة 6-5.</w:t>
      </w:r>
    </w:p>
  </w:footnote>
  <w:footnote w:id="21">
    <w:p w:rsidR="004478B5" w:rsidRDefault="004478B5" w:rsidP="004478B5">
      <w:pPr>
        <w:pStyle w:val="FootnoteText"/>
        <w:numPr>
          <w:ilvl w:val="0"/>
          <w:numId w:val="19"/>
        </w:numPr>
        <w:tabs>
          <w:tab w:val="clear" w:pos="1297"/>
        </w:tabs>
        <w:spacing w:after="60" w:line="300" w:lineRule="exact"/>
        <w:ind w:left="1247" w:right="1247"/>
        <w:rPr>
          <w:rFonts w:hint="cs"/>
        </w:rPr>
      </w:pPr>
      <w:r w:rsidRPr="00BE6FC5">
        <w:rPr>
          <w:sz w:val="18"/>
          <w:szCs w:val="26"/>
          <w:rtl/>
        </w:rPr>
        <w:t>انظر تعليق اللجنة العام رقم 32، الفقرة 30.</w:t>
      </w:r>
    </w:p>
  </w:footnote>
  <w:footnote w:id="22">
    <w:p w:rsidR="00276254" w:rsidRDefault="00276254" w:rsidP="00276254">
      <w:pPr>
        <w:pStyle w:val="FootnoteText"/>
        <w:numPr>
          <w:ilvl w:val="0"/>
          <w:numId w:val="19"/>
        </w:numPr>
        <w:tabs>
          <w:tab w:val="clear" w:pos="1297"/>
        </w:tabs>
        <w:spacing w:after="60" w:line="300" w:lineRule="exact"/>
        <w:ind w:left="1247" w:right="1247"/>
        <w:rPr>
          <w:rFonts w:hint="cs"/>
        </w:rPr>
      </w:pPr>
      <w:r w:rsidRPr="00BE6FC5">
        <w:rPr>
          <w:sz w:val="18"/>
          <w:szCs w:val="26"/>
          <w:rtl/>
        </w:rPr>
        <w:t>المرجع نفسه، الفقرة 30.</w:t>
      </w:r>
    </w:p>
  </w:footnote>
  <w:footnote w:id="23">
    <w:p w:rsidR="00CB6578" w:rsidRDefault="00CB6578" w:rsidP="00CB6578">
      <w:pPr>
        <w:pStyle w:val="FootnoteText"/>
        <w:numPr>
          <w:ilvl w:val="0"/>
          <w:numId w:val="19"/>
        </w:numPr>
        <w:tabs>
          <w:tab w:val="clear" w:pos="1297"/>
        </w:tabs>
        <w:spacing w:after="60" w:line="300" w:lineRule="exact"/>
        <w:ind w:left="1247" w:right="1247"/>
        <w:rPr>
          <w:rFonts w:hint="cs"/>
        </w:rPr>
      </w:pPr>
      <w:r w:rsidRPr="00BE6FC5">
        <w:rPr>
          <w:sz w:val="18"/>
          <w:szCs w:val="26"/>
          <w:rtl/>
        </w:rPr>
        <w:t>المرجع نفسه، الفقرة 32.</w:t>
      </w:r>
    </w:p>
  </w:footnote>
  <w:footnote w:id="24">
    <w:p w:rsidR="009366FC" w:rsidRDefault="009366FC" w:rsidP="009366FC">
      <w:pPr>
        <w:pStyle w:val="FootnoteText"/>
        <w:numPr>
          <w:ilvl w:val="0"/>
          <w:numId w:val="19"/>
        </w:numPr>
        <w:tabs>
          <w:tab w:val="clear" w:pos="1297"/>
        </w:tabs>
        <w:spacing w:after="60" w:line="300" w:lineRule="exact"/>
        <w:ind w:left="1247" w:right="1247"/>
        <w:rPr>
          <w:rFonts w:hint="cs"/>
        </w:rPr>
      </w:pPr>
      <w:r w:rsidRPr="00BE6FC5">
        <w:rPr>
          <w:sz w:val="18"/>
          <w:szCs w:val="26"/>
          <w:rtl/>
        </w:rPr>
        <w:t>انظر أيض</w:t>
      </w:r>
      <w:r w:rsidR="00594D6C">
        <w:rPr>
          <w:sz w:val="18"/>
          <w:szCs w:val="26"/>
          <w:rtl/>
        </w:rPr>
        <w:t xml:space="preserve">اً </w:t>
      </w:r>
      <w:r w:rsidRPr="00BE6FC5">
        <w:rPr>
          <w:sz w:val="18"/>
          <w:szCs w:val="26"/>
          <w:rtl/>
        </w:rPr>
        <w:t xml:space="preserve">البلاغ رقم 1769/2008، </w:t>
      </w:r>
      <w:r w:rsidRPr="009366FC">
        <w:rPr>
          <w:i/>
          <w:iCs/>
          <w:sz w:val="18"/>
          <w:szCs w:val="26"/>
          <w:rtl/>
        </w:rPr>
        <w:t>إسماعيلوف ضد أوزبكستان</w:t>
      </w:r>
      <w:r w:rsidRPr="00BE6FC5">
        <w:rPr>
          <w:sz w:val="18"/>
          <w:szCs w:val="26"/>
          <w:rtl/>
        </w:rPr>
        <w:t>، الفقرة 7-4.</w:t>
      </w:r>
    </w:p>
  </w:footnote>
  <w:footnote w:id="25">
    <w:p w:rsidR="009366FC" w:rsidRDefault="009366FC" w:rsidP="00C67085">
      <w:pPr>
        <w:pStyle w:val="FootnoteText"/>
        <w:numPr>
          <w:ilvl w:val="0"/>
          <w:numId w:val="19"/>
        </w:numPr>
        <w:tabs>
          <w:tab w:val="clear" w:pos="1297"/>
        </w:tabs>
        <w:spacing w:after="60" w:line="300" w:lineRule="exact"/>
        <w:ind w:left="1247" w:right="1247"/>
        <w:rPr>
          <w:rFonts w:hint="cs"/>
        </w:rPr>
      </w:pPr>
      <w:r w:rsidRPr="009366FC">
        <w:rPr>
          <w:i/>
          <w:iCs/>
          <w:sz w:val="18"/>
          <w:szCs w:val="26"/>
          <w:rtl/>
        </w:rPr>
        <w:t>الوثائق الرسمية للجمعية العامة، الدورة السابعة والثلاثون، الملحق رقم 40</w:t>
      </w:r>
      <w:r w:rsidRPr="000A487F">
        <w:rPr>
          <w:sz w:val="18"/>
          <w:szCs w:val="26"/>
          <w:rtl/>
        </w:rPr>
        <w:t xml:space="preserve"> </w:t>
      </w:r>
      <w:r>
        <w:rPr>
          <w:rFonts w:hint="cs"/>
          <w:sz w:val="18"/>
          <w:szCs w:val="26"/>
          <w:rtl/>
        </w:rPr>
        <w:t>(</w:t>
      </w:r>
      <w:r>
        <w:rPr>
          <w:sz w:val="18"/>
          <w:szCs w:val="26"/>
        </w:rPr>
        <w:t>A/37/40</w:t>
      </w:r>
      <w:r>
        <w:rPr>
          <w:rFonts w:hint="cs"/>
          <w:sz w:val="18"/>
          <w:szCs w:val="26"/>
          <w:rtl/>
        </w:rPr>
        <w:t>)</w:t>
      </w:r>
      <w:r w:rsidRPr="00BE6FC5">
        <w:rPr>
          <w:sz w:val="18"/>
          <w:szCs w:val="26"/>
          <w:rtl/>
        </w:rPr>
        <w:t>، المرفق الخامس، الفقرة 7، انظر أيض</w:t>
      </w:r>
      <w:r w:rsidR="00594D6C">
        <w:rPr>
          <w:sz w:val="18"/>
          <w:szCs w:val="26"/>
          <w:rtl/>
        </w:rPr>
        <w:t xml:space="preserve">اً </w:t>
      </w:r>
      <w:r w:rsidRPr="00BE6FC5">
        <w:rPr>
          <w:sz w:val="18"/>
          <w:szCs w:val="26"/>
          <w:rtl/>
        </w:rPr>
        <w:t xml:space="preserve">البلاغ رقم 253/1987، </w:t>
      </w:r>
      <w:r w:rsidRPr="009366FC">
        <w:rPr>
          <w:i/>
          <w:iCs/>
          <w:sz w:val="18"/>
          <w:szCs w:val="26"/>
          <w:rtl/>
        </w:rPr>
        <w:t>كيلي ضد جامايكا</w:t>
      </w:r>
      <w:r w:rsidRPr="00BE6FC5">
        <w:rPr>
          <w:sz w:val="18"/>
          <w:szCs w:val="26"/>
          <w:rtl/>
        </w:rPr>
        <w:t>، الذي اعتمدت آراء اللجنة بشأنه في</w:t>
      </w:r>
      <w:r w:rsidR="00C67085">
        <w:rPr>
          <w:rFonts w:hint="cs"/>
          <w:sz w:val="18"/>
          <w:szCs w:val="26"/>
          <w:rtl/>
        </w:rPr>
        <w:t> </w:t>
      </w:r>
      <w:r w:rsidRPr="00BE6FC5">
        <w:rPr>
          <w:sz w:val="18"/>
          <w:szCs w:val="26"/>
          <w:rtl/>
        </w:rPr>
        <w:t>8 نيسان/أبريل 1991، الفقرة 5-14.</w:t>
      </w:r>
    </w:p>
  </w:footnote>
  <w:footnote w:id="26">
    <w:p w:rsidR="00F969DE" w:rsidRDefault="00F969DE" w:rsidP="0089171F">
      <w:pPr>
        <w:pStyle w:val="FootnoteText"/>
        <w:numPr>
          <w:ilvl w:val="0"/>
          <w:numId w:val="19"/>
        </w:numPr>
        <w:tabs>
          <w:tab w:val="clear" w:pos="1297"/>
        </w:tabs>
        <w:spacing w:after="60" w:line="300" w:lineRule="exact"/>
        <w:ind w:left="1247" w:right="1247"/>
        <w:rPr>
          <w:rFonts w:hint="cs"/>
        </w:rPr>
      </w:pPr>
      <w:r w:rsidRPr="00BE6FC5">
        <w:rPr>
          <w:sz w:val="18"/>
          <w:szCs w:val="26"/>
          <w:rtl/>
        </w:rPr>
        <w:t xml:space="preserve">انظر تعليق اللجنة العام رقم 32، الفقرة 59؛ والبلاغات رقم 719/1996، </w:t>
      </w:r>
      <w:r w:rsidRPr="00F969DE">
        <w:rPr>
          <w:i/>
          <w:iCs/>
          <w:sz w:val="18"/>
          <w:szCs w:val="26"/>
          <w:rtl/>
        </w:rPr>
        <w:t>ليفي ضد جامايكا</w:t>
      </w:r>
      <w:r w:rsidRPr="00BE6FC5">
        <w:rPr>
          <w:sz w:val="18"/>
          <w:szCs w:val="26"/>
          <w:rtl/>
        </w:rPr>
        <w:t xml:space="preserve">، الذي اعتمدت آراء اللجنة بشأنه في 3 تشرين الثاني/نوفمبر 1998، الفقرة 7-3؛ ورقم 1096/2002، </w:t>
      </w:r>
      <w:r w:rsidRPr="00F969DE">
        <w:rPr>
          <w:i/>
          <w:iCs/>
          <w:sz w:val="18"/>
          <w:szCs w:val="26"/>
          <w:rtl/>
        </w:rPr>
        <w:t>قربانوف ضد طاجيكستان</w:t>
      </w:r>
      <w:r w:rsidRPr="00BE6FC5">
        <w:rPr>
          <w:sz w:val="18"/>
          <w:szCs w:val="26"/>
          <w:rtl/>
        </w:rPr>
        <w:t>، الذي اعتمدت آراء اللجنة بشأنه في 6 تشرين الثاني/نوفمبر 2003، الفقرة</w:t>
      </w:r>
      <w:r>
        <w:rPr>
          <w:rFonts w:hint="cs"/>
          <w:sz w:val="18"/>
          <w:szCs w:val="26"/>
          <w:rtl/>
        </w:rPr>
        <w:t> </w:t>
      </w:r>
      <w:r w:rsidRPr="00BE6FC5">
        <w:rPr>
          <w:sz w:val="18"/>
          <w:szCs w:val="26"/>
          <w:rtl/>
        </w:rPr>
        <w:t xml:space="preserve">7-7؛ ورقم 1044/2002، </w:t>
      </w:r>
      <w:r w:rsidRPr="00F969DE">
        <w:rPr>
          <w:i/>
          <w:iCs/>
          <w:sz w:val="18"/>
          <w:szCs w:val="26"/>
          <w:rtl/>
        </w:rPr>
        <w:t>شوكوروفا ضد طاجيكستان</w:t>
      </w:r>
      <w:r w:rsidRPr="00BE6FC5">
        <w:rPr>
          <w:sz w:val="18"/>
          <w:szCs w:val="26"/>
          <w:rtl/>
        </w:rPr>
        <w:t>، الذي اعتمدت آراء اللجنة بشأنه في</w:t>
      </w:r>
      <w:r>
        <w:rPr>
          <w:rFonts w:hint="cs"/>
          <w:sz w:val="18"/>
          <w:szCs w:val="26"/>
          <w:rtl/>
        </w:rPr>
        <w:t> </w:t>
      </w:r>
      <w:r w:rsidRPr="00BE6FC5">
        <w:rPr>
          <w:sz w:val="18"/>
          <w:szCs w:val="26"/>
          <w:rtl/>
        </w:rPr>
        <w:t xml:space="preserve">17 آذار/مارس 2006، الفقرة 8-6؛ ورقم 1276/2004، </w:t>
      </w:r>
      <w:r w:rsidRPr="00F969DE">
        <w:rPr>
          <w:i/>
          <w:iCs/>
          <w:sz w:val="18"/>
          <w:szCs w:val="26"/>
          <w:rtl/>
        </w:rPr>
        <w:t>إدييفا ضد طاجيكستان</w:t>
      </w:r>
      <w:r w:rsidRPr="00BE6FC5">
        <w:rPr>
          <w:sz w:val="18"/>
          <w:szCs w:val="26"/>
          <w:rtl/>
        </w:rPr>
        <w:t xml:space="preserve">، الذي اعتمدت آراء اللجنة بشأنه في 31 آذار/مارس 2009، الفقرة 9-7؛ ورقم 1304/2004، </w:t>
      </w:r>
      <w:r w:rsidRPr="00F969DE">
        <w:rPr>
          <w:i/>
          <w:iCs/>
          <w:sz w:val="18"/>
          <w:szCs w:val="26"/>
          <w:rtl/>
        </w:rPr>
        <w:t>خروشينكو ضد الاتحاد الروسي</w:t>
      </w:r>
      <w:r w:rsidRPr="00BE6FC5">
        <w:rPr>
          <w:sz w:val="18"/>
          <w:szCs w:val="26"/>
          <w:rtl/>
        </w:rPr>
        <w:t>، الذي اعتمدت آراء اللجنة بشأنه في 29 آذار/مارس 2011، الفقرة 9-11؛ ورقم</w:t>
      </w:r>
      <w:r>
        <w:rPr>
          <w:rFonts w:hint="cs"/>
          <w:sz w:val="18"/>
          <w:szCs w:val="26"/>
          <w:rtl/>
        </w:rPr>
        <w:t> </w:t>
      </w:r>
      <w:r w:rsidRPr="00BE6FC5">
        <w:rPr>
          <w:sz w:val="18"/>
          <w:szCs w:val="26"/>
          <w:rtl/>
        </w:rPr>
        <w:t xml:space="preserve">1545/2007، </w:t>
      </w:r>
      <w:r w:rsidRPr="00F969DE">
        <w:rPr>
          <w:i/>
          <w:iCs/>
          <w:sz w:val="18"/>
          <w:szCs w:val="26"/>
          <w:rtl/>
        </w:rPr>
        <w:t>غونان ضد قيرغيزستان</w:t>
      </w:r>
      <w:r w:rsidRPr="00BE6FC5">
        <w:rPr>
          <w:sz w:val="18"/>
          <w:szCs w:val="26"/>
          <w:rtl/>
        </w:rPr>
        <w:t>، الذي اعتمدت آراء اللجنة بشأنه في 25 تموز/</w:t>
      </w:r>
      <w:r>
        <w:rPr>
          <w:rFonts w:hint="cs"/>
          <w:sz w:val="18"/>
          <w:szCs w:val="26"/>
          <w:rtl/>
        </w:rPr>
        <w:t xml:space="preserve"> </w:t>
      </w:r>
      <w:r w:rsidRPr="00BE6FC5">
        <w:rPr>
          <w:sz w:val="18"/>
          <w:szCs w:val="26"/>
          <w:rtl/>
        </w:rPr>
        <w:t>يوليه</w:t>
      </w:r>
      <w:r>
        <w:rPr>
          <w:rFonts w:hint="cs"/>
          <w:sz w:val="18"/>
          <w:szCs w:val="26"/>
          <w:rtl/>
        </w:rPr>
        <w:t> </w:t>
      </w:r>
      <w:r w:rsidRPr="00BE6FC5">
        <w:rPr>
          <w:sz w:val="18"/>
          <w:szCs w:val="26"/>
          <w:rtl/>
        </w:rPr>
        <w:t xml:space="preserve">2011، الفقرة </w:t>
      </w:r>
      <w:r w:rsidR="0089171F">
        <w:rPr>
          <w:rFonts w:hint="cs"/>
          <w:sz w:val="18"/>
          <w:szCs w:val="26"/>
          <w:rtl/>
        </w:rPr>
        <w:t>6</w:t>
      </w:r>
      <w:r w:rsidRPr="00BE6FC5">
        <w:rPr>
          <w:sz w:val="18"/>
          <w:szCs w:val="26"/>
          <w:rtl/>
        </w:rPr>
        <w:t>-5.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B8" w:rsidRPr="00C42BBD" w:rsidRDefault="00220FB8" w:rsidP="00C42BBD">
    <w:pPr>
      <w:pStyle w:val="Header"/>
      <w:jc w:val="right"/>
    </w:pPr>
    <w:r w:rsidRPr="00C42BBD">
      <w:t>CCPR/C/109/D/1910/2009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B8" w:rsidRPr="00C42BBD" w:rsidRDefault="00220FB8" w:rsidP="00C42BBD">
    <w:pPr>
      <w:pStyle w:val="Header"/>
      <w:jc w:val="left"/>
    </w:pPr>
    <w:r w:rsidRPr="00C42BBD">
      <w:t>CCPR/C/109/D/1910/2009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B8" w:rsidRDefault="00220FB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220FB8" w:rsidRPr="008F6743" w:rsidRDefault="00220FB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F6335A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4923C5"/>
    <w:multiLevelType w:val="hybridMultilevel"/>
    <w:tmpl w:val="84949BD6"/>
    <w:lvl w:ilvl="0" w:tplc="DBE21818">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BD4E0062">
      <w:start w:val="1"/>
      <w:numFmt w:val="decimal"/>
      <w:lvlRestart w:val="0"/>
      <w:lvlText w:val="(%2)"/>
      <w:lvlJc w:val="right"/>
      <w:pPr>
        <w:tabs>
          <w:tab w:val="num" w:pos="1357"/>
        </w:tabs>
        <w:ind w:left="1357"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7"/>
  </w:num>
  <w:num w:numId="3">
    <w:abstractNumId w:val="14"/>
  </w:num>
  <w:num w:numId="4">
    <w:abstractNumId w:val="11"/>
  </w:num>
  <w:num w:numId="5">
    <w:abstractNumId w:val="18"/>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743"/>
    <w:rsid w:val="00011A0F"/>
    <w:rsid w:val="00013DDA"/>
    <w:rsid w:val="00040E25"/>
    <w:rsid w:val="00042149"/>
    <w:rsid w:val="0004477E"/>
    <w:rsid w:val="000648EA"/>
    <w:rsid w:val="000835F6"/>
    <w:rsid w:val="000957C8"/>
    <w:rsid w:val="00097049"/>
    <w:rsid w:val="000A04D5"/>
    <w:rsid w:val="000A3878"/>
    <w:rsid w:val="000A487F"/>
    <w:rsid w:val="000A759E"/>
    <w:rsid w:val="000B52F2"/>
    <w:rsid w:val="000D0929"/>
    <w:rsid w:val="000D0EAE"/>
    <w:rsid w:val="000D5380"/>
    <w:rsid w:val="000D6654"/>
    <w:rsid w:val="000E103D"/>
    <w:rsid w:val="000E5F0A"/>
    <w:rsid w:val="000F0264"/>
    <w:rsid w:val="000F22D6"/>
    <w:rsid w:val="000F2EBF"/>
    <w:rsid w:val="000F3A9F"/>
    <w:rsid w:val="000F5FF6"/>
    <w:rsid w:val="001022B5"/>
    <w:rsid w:val="0011100D"/>
    <w:rsid w:val="00113FA5"/>
    <w:rsid w:val="00116477"/>
    <w:rsid w:val="00132DDF"/>
    <w:rsid w:val="001455A0"/>
    <w:rsid w:val="001602A3"/>
    <w:rsid w:val="00167A9D"/>
    <w:rsid w:val="001A5161"/>
    <w:rsid w:val="001A60BD"/>
    <w:rsid w:val="001B359C"/>
    <w:rsid w:val="001B4CF8"/>
    <w:rsid w:val="001B4D98"/>
    <w:rsid w:val="001C5D04"/>
    <w:rsid w:val="001C6D53"/>
    <w:rsid w:val="00211F2A"/>
    <w:rsid w:val="00220FB8"/>
    <w:rsid w:val="00232277"/>
    <w:rsid w:val="0023736D"/>
    <w:rsid w:val="0023761D"/>
    <w:rsid w:val="00257225"/>
    <w:rsid w:val="00276254"/>
    <w:rsid w:val="002C2CC8"/>
    <w:rsid w:val="002E64AA"/>
    <w:rsid w:val="00306DB6"/>
    <w:rsid w:val="00310160"/>
    <w:rsid w:val="00312ADF"/>
    <w:rsid w:val="00315A56"/>
    <w:rsid w:val="00341A8C"/>
    <w:rsid w:val="003519E6"/>
    <w:rsid w:val="00355F81"/>
    <w:rsid w:val="0037231E"/>
    <w:rsid w:val="00372F67"/>
    <w:rsid w:val="003A249F"/>
    <w:rsid w:val="003B24BB"/>
    <w:rsid w:val="003B3C1F"/>
    <w:rsid w:val="003B4356"/>
    <w:rsid w:val="003E1328"/>
    <w:rsid w:val="003F08A8"/>
    <w:rsid w:val="003F2ED6"/>
    <w:rsid w:val="003F6DB5"/>
    <w:rsid w:val="003F718D"/>
    <w:rsid w:val="003F7C72"/>
    <w:rsid w:val="004050F9"/>
    <w:rsid w:val="00407B88"/>
    <w:rsid w:val="0042377B"/>
    <w:rsid w:val="004250E3"/>
    <w:rsid w:val="0044355B"/>
    <w:rsid w:val="0044376D"/>
    <w:rsid w:val="004478B5"/>
    <w:rsid w:val="0045153F"/>
    <w:rsid w:val="00453A0A"/>
    <w:rsid w:val="00472A81"/>
    <w:rsid w:val="00482872"/>
    <w:rsid w:val="00483ABC"/>
    <w:rsid w:val="004A20A6"/>
    <w:rsid w:val="004B2C92"/>
    <w:rsid w:val="004D6A3A"/>
    <w:rsid w:val="004E5A0D"/>
    <w:rsid w:val="004F312F"/>
    <w:rsid w:val="004F4AD7"/>
    <w:rsid w:val="004F68BC"/>
    <w:rsid w:val="00525E44"/>
    <w:rsid w:val="00557CD3"/>
    <w:rsid w:val="005607DD"/>
    <w:rsid w:val="00571432"/>
    <w:rsid w:val="005732A2"/>
    <w:rsid w:val="005762A5"/>
    <w:rsid w:val="00590BA3"/>
    <w:rsid w:val="00592A23"/>
    <w:rsid w:val="00594D6C"/>
    <w:rsid w:val="00595E0F"/>
    <w:rsid w:val="005B46D9"/>
    <w:rsid w:val="005B4AFB"/>
    <w:rsid w:val="005B7AE0"/>
    <w:rsid w:val="005C7473"/>
    <w:rsid w:val="005D76F0"/>
    <w:rsid w:val="005E23F5"/>
    <w:rsid w:val="005E3B2F"/>
    <w:rsid w:val="005F146F"/>
    <w:rsid w:val="005F71B6"/>
    <w:rsid w:val="006139D4"/>
    <w:rsid w:val="00654786"/>
    <w:rsid w:val="00660FD4"/>
    <w:rsid w:val="00665BE4"/>
    <w:rsid w:val="006841A8"/>
    <w:rsid w:val="006A4425"/>
    <w:rsid w:val="006B00A4"/>
    <w:rsid w:val="006B19DF"/>
    <w:rsid w:val="006B4669"/>
    <w:rsid w:val="006D3CFA"/>
    <w:rsid w:val="006F6BF8"/>
    <w:rsid w:val="00701F90"/>
    <w:rsid w:val="00705746"/>
    <w:rsid w:val="00707BDF"/>
    <w:rsid w:val="00710727"/>
    <w:rsid w:val="00715F45"/>
    <w:rsid w:val="0072608F"/>
    <w:rsid w:val="00731815"/>
    <w:rsid w:val="00731B84"/>
    <w:rsid w:val="00734AE7"/>
    <w:rsid w:val="0079344E"/>
    <w:rsid w:val="007B2F3D"/>
    <w:rsid w:val="007C1321"/>
    <w:rsid w:val="007C134B"/>
    <w:rsid w:val="007D3725"/>
    <w:rsid w:val="007E17DB"/>
    <w:rsid w:val="007E197F"/>
    <w:rsid w:val="007E2786"/>
    <w:rsid w:val="007E4686"/>
    <w:rsid w:val="007F1773"/>
    <w:rsid w:val="007F68C4"/>
    <w:rsid w:val="008153DE"/>
    <w:rsid w:val="008354C7"/>
    <w:rsid w:val="00852A10"/>
    <w:rsid w:val="00862634"/>
    <w:rsid w:val="00866C59"/>
    <w:rsid w:val="00877306"/>
    <w:rsid w:val="00885524"/>
    <w:rsid w:val="0089171F"/>
    <w:rsid w:val="008967CA"/>
    <w:rsid w:val="008A61DA"/>
    <w:rsid w:val="008A6242"/>
    <w:rsid w:val="008B4BC6"/>
    <w:rsid w:val="008B6A71"/>
    <w:rsid w:val="008C0E36"/>
    <w:rsid w:val="008D614F"/>
    <w:rsid w:val="008F6743"/>
    <w:rsid w:val="00901E57"/>
    <w:rsid w:val="009070DF"/>
    <w:rsid w:val="00917529"/>
    <w:rsid w:val="00935F0E"/>
    <w:rsid w:val="009366FC"/>
    <w:rsid w:val="0095208F"/>
    <w:rsid w:val="00977B3F"/>
    <w:rsid w:val="009814AE"/>
    <w:rsid w:val="009901D3"/>
    <w:rsid w:val="0099038B"/>
    <w:rsid w:val="00996734"/>
    <w:rsid w:val="00996BBE"/>
    <w:rsid w:val="009B2C03"/>
    <w:rsid w:val="009C6306"/>
    <w:rsid w:val="009D17B9"/>
    <w:rsid w:val="009D197E"/>
    <w:rsid w:val="009D1DD5"/>
    <w:rsid w:val="009D2058"/>
    <w:rsid w:val="009F4D67"/>
    <w:rsid w:val="009F722C"/>
    <w:rsid w:val="00A048F5"/>
    <w:rsid w:val="00A26157"/>
    <w:rsid w:val="00A265C3"/>
    <w:rsid w:val="00A43F9A"/>
    <w:rsid w:val="00A53F38"/>
    <w:rsid w:val="00A543D4"/>
    <w:rsid w:val="00A70081"/>
    <w:rsid w:val="00AA3D89"/>
    <w:rsid w:val="00AC032F"/>
    <w:rsid w:val="00AC4022"/>
    <w:rsid w:val="00AD0014"/>
    <w:rsid w:val="00AD4CF2"/>
    <w:rsid w:val="00AE2FBF"/>
    <w:rsid w:val="00AE4BB2"/>
    <w:rsid w:val="00AE702B"/>
    <w:rsid w:val="00AF0BBA"/>
    <w:rsid w:val="00B23714"/>
    <w:rsid w:val="00B25159"/>
    <w:rsid w:val="00B30468"/>
    <w:rsid w:val="00B32E8C"/>
    <w:rsid w:val="00B44E31"/>
    <w:rsid w:val="00B46FD0"/>
    <w:rsid w:val="00B623D3"/>
    <w:rsid w:val="00B6391B"/>
    <w:rsid w:val="00B90043"/>
    <w:rsid w:val="00BA4F7E"/>
    <w:rsid w:val="00BB2C41"/>
    <w:rsid w:val="00BC55C8"/>
    <w:rsid w:val="00BC5C10"/>
    <w:rsid w:val="00BE2964"/>
    <w:rsid w:val="00BE6FC5"/>
    <w:rsid w:val="00BE7743"/>
    <w:rsid w:val="00C21623"/>
    <w:rsid w:val="00C24FBD"/>
    <w:rsid w:val="00C41FD5"/>
    <w:rsid w:val="00C42BBD"/>
    <w:rsid w:val="00C473BA"/>
    <w:rsid w:val="00C474B7"/>
    <w:rsid w:val="00C47B15"/>
    <w:rsid w:val="00C548D6"/>
    <w:rsid w:val="00C56958"/>
    <w:rsid w:val="00C6023B"/>
    <w:rsid w:val="00C611ED"/>
    <w:rsid w:val="00C6490A"/>
    <w:rsid w:val="00C64FE1"/>
    <w:rsid w:val="00C67085"/>
    <w:rsid w:val="00C726D2"/>
    <w:rsid w:val="00C74296"/>
    <w:rsid w:val="00C74CCF"/>
    <w:rsid w:val="00C8345E"/>
    <w:rsid w:val="00C8357E"/>
    <w:rsid w:val="00CA40E6"/>
    <w:rsid w:val="00CA5F7C"/>
    <w:rsid w:val="00CB6578"/>
    <w:rsid w:val="00CB6E17"/>
    <w:rsid w:val="00CC3EBC"/>
    <w:rsid w:val="00CD573C"/>
    <w:rsid w:val="00CF407D"/>
    <w:rsid w:val="00D44592"/>
    <w:rsid w:val="00D449A0"/>
    <w:rsid w:val="00D50301"/>
    <w:rsid w:val="00D51067"/>
    <w:rsid w:val="00D61C1B"/>
    <w:rsid w:val="00D7242C"/>
    <w:rsid w:val="00D75657"/>
    <w:rsid w:val="00D960AD"/>
    <w:rsid w:val="00DA0E0E"/>
    <w:rsid w:val="00DB0885"/>
    <w:rsid w:val="00DB0C39"/>
    <w:rsid w:val="00DB7679"/>
    <w:rsid w:val="00DC75E1"/>
    <w:rsid w:val="00DF1702"/>
    <w:rsid w:val="00DF4DD8"/>
    <w:rsid w:val="00DF668E"/>
    <w:rsid w:val="00E04826"/>
    <w:rsid w:val="00E14D2B"/>
    <w:rsid w:val="00E20DBA"/>
    <w:rsid w:val="00E445A9"/>
    <w:rsid w:val="00E6524A"/>
    <w:rsid w:val="00E660D6"/>
    <w:rsid w:val="00E742F7"/>
    <w:rsid w:val="00E771AB"/>
    <w:rsid w:val="00EA796F"/>
    <w:rsid w:val="00EB077B"/>
    <w:rsid w:val="00EC50B9"/>
    <w:rsid w:val="00ED26A0"/>
    <w:rsid w:val="00ED45B8"/>
    <w:rsid w:val="00EE04D4"/>
    <w:rsid w:val="00EF1126"/>
    <w:rsid w:val="00F151C9"/>
    <w:rsid w:val="00F1727A"/>
    <w:rsid w:val="00F21338"/>
    <w:rsid w:val="00F34764"/>
    <w:rsid w:val="00F54E3C"/>
    <w:rsid w:val="00F7131B"/>
    <w:rsid w:val="00F874BD"/>
    <w:rsid w:val="00F969DE"/>
    <w:rsid w:val="00FB1D0B"/>
    <w:rsid w:val="00FB52B5"/>
    <w:rsid w:val="00FC1C44"/>
    <w:rsid w:val="00FE55A3"/>
    <w:rsid w:val="00FE6865"/>
    <w:rsid w:val="00FE78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A048F5"/>
    <w:pPr>
      <w:keepNext/>
      <w:spacing w:before="240" w:after="60" w:line="380" w:lineRule="exact"/>
      <w:outlineLvl w:val="3"/>
    </w:pPr>
    <w:rPr>
      <w:rFonts w:cs="Times New Roman"/>
      <w:b/>
      <w:bCs/>
      <w:sz w:val="28"/>
      <w:szCs w:val="28"/>
    </w:rPr>
  </w:style>
  <w:style w:type="paragraph" w:styleId="Heading5">
    <w:name w:val="heading 5"/>
    <w:basedOn w:val="Normal"/>
    <w:next w:val="Normal"/>
    <w:qFormat/>
    <w:rsid w:val="00A048F5"/>
    <w:pPr>
      <w:spacing w:before="240" w:after="60" w:line="380" w:lineRule="exact"/>
      <w:outlineLvl w:val="4"/>
    </w:pPr>
    <w:rPr>
      <w:b/>
      <w:bCs/>
      <w:i/>
      <w:iCs/>
      <w:sz w:val="26"/>
      <w:szCs w:val="26"/>
    </w:rPr>
  </w:style>
  <w:style w:type="paragraph" w:styleId="Heading6">
    <w:name w:val="heading 6"/>
    <w:basedOn w:val="Normal"/>
    <w:next w:val="Normal"/>
    <w:qFormat/>
    <w:rsid w:val="00A048F5"/>
    <w:pPr>
      <w:spacing w:before="240" w:after="60" w:line="380" w:lineRule="exact"/>
      <w:outlineLvl w:val="5"/>
    </w:pPr>
    <w:rPr>
      <w:rFonts w:cs="Times New Roman"/>
      <w:b/>
      <w:bCs/>
      <w:sz w:val="22"/>
      <w:szCs w:val="22"/>
    </w:rPr>
  </w:style>
  <w:style w:type="paragraph" w:styleId="Heading7">
    <w:name w:val="heading 7"/>
    <w:basedOn w:val="Normal"/>
    <w:next w:val="Normal"/>
    <w:qFormat/>
    <w:rsid w:val="00A048F5"/>
    <w:pPr>
      <w:spacing w:before="240" w:after="60" w:line="380" w:lineRule="exact"/>
      <w:outlineLvl w:val="6"/>
    </w:pPr>
    <w:rPr>
      <w:rFonts w:cs="Times New Roman"/>
      <w:sz w:val="24"/>
      <w:szCs w:val="24"/>
    </w:rPr>
  </w:style>
  <w:style w:type="paragraph" w:styleId="Heading8">
    <w:name w:val="heading 8"/>
    <w:basedOn w:val="Normal"/>
    <w:next w:val="Normal"/>
    <w:qFormat/>
    <w:rsid w:val="00A048F5"/>
    <w:pPr>
      <w:spacing w:before="240" w:after="60" w:line="380" w:lineRule="exact"/>
      <w:outlineLvl w:val="7"/>
    </w:pPr>
    <w:rPr>
      <w:rFonts w:cs="Times New Roman"/>
      <w:i/>
      <w:iCs/>
      <w:sz w:val="24"/>
      <w:szCs w:val="24"/>
    </w:rPr>
  </w:style>
  <w:style w:type="paragraph" w:styleId="Heading9">
    <w:name w:val="heading 9"/>
    <w:basedOn w:val="Normal"/>
    <w:next w:val="Normal"/>
    <w:qFormat/>
    <w:rsid w:val="00A048F5"/>
    <w:pPr>
      <w:spacing w:before="240" w:after="60" w:line="380" w:lineRule="exac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Footnote Text Char Char Char"/>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D61C1B"/>
    <w:pPr>
      <w:suppressAutoHyphens/>
      <w:spacing w:after="120"/>
      <w:ind w:left="1134" w:right="1134"/>
      <w:jc w:val="both"/>
    </w:pPr>
    <w:rPr>
      <w:rFonts w:cs="Times New Roman"/>
      <w:szCs w:val="20"/>
      <w:rtl/>
      <w:lang w:val="ar-SA"/>
    </w:rPr>
  </w:style>
  <w:style w:type="paragraph" w:customStyle="1" w:styleId="HChG">
    <w:name w:val="_ H _Ch_G"/>
    <w:basedOn w:val="Normal"/>
    <w:next w:val="Normal"/>
    <w:rsid w:val="00D61C1B"/>
    <w:pPr>
      <w:keepNext/>
      <w:keepLines/>
      <w:tabs>
        <w:tab w:val="right" w:pos="851"/>
      </w:tabs>
      <w:suppressAutoHyphens/>
      <w:spacing w:before="360" w:after="240" w:line="300" w:lineRule="exact"/>
      <w:ind w:left="1134" w:right="1134" w:hanging="1134"/>
      <w:jc w:val="left"/>
    </w:pPr>
    <w:rPr>
      <w:rFonts w:cs="Times New Roman"/>
      <w:b/>
      <w:sz w:val="28"/>
      <w:szCs w:val="20"/>
      <w:rtl/>
      <w:lang w:val="ar-SA"/>
    </w:rPr>
  </w:style>
  <w:style w:type="paragraph" w:customStyle="1" w:styleId="H1G">
    <w:name w:val="_ H_1_G"/>
    <w:basedOn w:val="Normal"/>
    <w:next w:val="Normal"/>
    <w:rsid w:val="00D61C1B"/>
    <w:pPr>
      <w:keepNext/>
      <w:keepLines/>
      <w:tabs>
        <w:tab w:val="right" w:pos="851"/>
      </w:tabs>
      <w:suppressAutoHyphens/>
      <w:spacing w:before="360" w:after="240" w:line="270" w:lineRule="exact"/>
      <w:ind w:left="1134" w:right="1134" w:hanging="1134"/>
      <w:jc w:val="left"/>
    </w:pPr>
    <w:rPr>
      <w:rFonts w:cs="Times New Roman"/>
      <w:b/>
      <w:sz w:val="24"/>
      <w:szCs w:val="20"/>
      <w:rtl/>
      <w:lang w:val="ar-SA"/>
    </w:rPr>
  </w:style>
  <w:style w:type="paragraph" w:customStyle="1" w:styleId="H23G">
    <w:name w:val="_ H_2/3_G"/>
    <w:basedOn w:val="Normal"/>
    <w:next w:val="Normal"/>
    <w:rsid w:val="00D61C1B"/>
    <w:pPr>
      <w:keepNext/>
      <w:keepLines/>
      <w:tabs>
        <w:tab w:val="right" w:pos="851"/>
      </w:tabs>
      <w:suppressAutoHyphens/>
      <w:spacing w:before="240" w:after="120" w:line="240" w:lineRule="exact"/>
      <w:ind w:left="1134" w:right="1134" w:hanging="1134"/>
      <w:jc w:val="left"/>
    </w:pPr>
    <w:rPr>
      <w:rFonts w:cs="Times New Roman"/>
      <w:b/>
      <w:szCs w:val="20"/>
      <w:rtl/>
      <w:lang w:val="ar-SA"/>
    </w:rPr>
  </w:style>
  <w:style w:type="paragraph" w:customStyle="1" w:styleId="H4G">
    <w:name w:val="_ H_4_G"/>
    <w:basedOn w:val="Normal"/>
    <w:next w:val="Normal"/>
    <w:rsid w:val="00D61C1B"/>
    <w:pPr>
      <w:keepNext/>
      <w:keepLines/>
      <w:tabs>
        <w:tab w:val="right" w:pos="851"/>
      </w:tabs>
      <w:suppressAutoHyphens/>
      <w:spacing w:before="240" w:after="120" w:line="240" w:lineRule="exact"/>
      <w:ind w:left="1134" w:right="1134" w:hanging="1134"/>
      <w:jc w:val="left"/>
    </w:pPr>
    <w:rPr>
      <w:rFonts w:cs="Times New Roman"/>
      <w:i/>
      <w:szCs w:val="20"/>
      <w:rtl/>
      <w:lang w:val="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D61C1B"/>
    <w:rPr>
      <w:rFonts w:cs="Traditional Arabic"/>
      <w:lang w:val="en-US" w:eastAsia="en-US" w:bidi="ar-SA"/>
    </w:rPr>
  </w:style>
  <w:style w:type="paragraph" w:styleId="BlockText">
    <w:name w:val="Block Text"/>
    <w:basedOn w:val="Normal"/>
    <w:semiHidden/>
    <w:rsid w:val="00A048F5"/>
    <w:pPr>
      <w:spacing w:before="120" w:after="120" w:line="380" w:lineRule="exact"/>
      <w:ind w:left="1440" w:right="1440"/>
    </w:pPr>
  </w:style>
  <w:style w:type="paragraph" w:styleId="BodyText">
    <w:name w:val="Body Text"/>
    <w:basedOn w:val="Normal"/>
    <w:semiHidden/>
    <w:rsid w:val="00A048F5"/>
    <w:pPr>
      <w:spacing w:before="120" w:after="120" w:line="380" w:lineRule="exact"/>
    </w:pPr>
  </w:style>
  <w:style w:type="paragraph" w:styleId="BodyText2">
    <w:name w:val="Body Text 2"/>
    <w:basedOn w:val="Normal"/>
    <w:semiHidden/>
    <w:rsid w:val="00A048F5"/>
    <w:pPr>
      <w:spacing w:before="120" w:after="120" w:line="480" w:lineRule="auto"/>
    </w:pPr>
  </w:style>
  <w:style w:type="paragraph" w:styleId="BodyText3">
    <w:name w:val="Body Text 3"/>
    <w:basedOn w:val="Normal"/>
    <w:semiHidden/>
    <w:rsid w:val="00A048F5"/>
    <w:pPr>
      <w:spacing w:before="120" w:after="120" w:line="380" w:lineRule="exact"/>
    </w:pPr>
    <w:rPr>
      <w:sz w:val="16"/>
      <w:szCs w:val="16"/>
    </w:rPr>
  </w:style>
  <w:style w:type="paragraph" w:styleId="BodyTextFirstIndent">
    <w:name w:val="Body Text First Indent"/>
    <w:basedOn w:val="BodyText"/>
    <w:semiHidden/>
    <w:rsid w:val="00A048F5"/>
    <w:pPr>
      <w:ind w:firstLine="210"/>
    </w:pPr>
  </w:style>
  <w:style w:type="paragraph" w:styleId="BodyTextIndent">
    <w:name w:val="Body Text Indent"/>
    <w:basedOn w:val="Normal"/>
    <w:semiHidden/>
    <w:rsid w:val="00A048F5"/>
    <w:pPr>
      <w:spacing w:before="120" w:after="120" w:line="380" w:lineRule="exact"/>
      <w:ind w:left="360"/>
    </w:pPr>
  </w:style>
  <w:style w:type="paragraph" w:styleId="BodyTextFirstIndent2">
    <w:name w:val="Body Text First Indent 2"/>
    <w:basedOn w:val="BodyTextIndent"/>
    <w:semiHidden/>
    <w:rsid w:val="00A048F5"/>
    <w:pPr>
      <w:ind w:firstLine="210"/>
    </w:pPr>
  </w:style>
  <w:style w:type="paragraph" w:styleId="BodyTextIndent2">
    <w:name w:val="Body Text Indent 2"/>
    <w:basedOn w:val="Normal"/>
    <w:semiHidden/>
    <w:rsid w:val="00A048F5"/>
    <w:pPr>
      <w:spacing w:before="120" w:after="120" w:line="480" w:lineRule="auto"/>
      <w:ind w:left="360"/>
    </w:pPr>
  </w:style>
  <w:style w:type="paragraph" w:styleId="BodyTextIndent3">
    <w:name w:val="Body Text Indent 3"/>
    <w:basedOn w:val="Normal"/>
    <w:semiHidden/>
    <w:rsid w:val="00A048F5"/>
    <w:pPr>
      <w:spacing w:before="120" w:after="120" w:line="380" w:lineRule="exact"/>
      <w:ind w:left="360"/>
    </w:pPr>
    <w:rPr>
      <w:sz w:val="16"/>
      <w:szCs w:val="16"/>
    </w:rPr>
  </w:style>
  <w:style w:type="paragraph" w:styleId="Closing">
    <w:name w:val="Closing"/>
    <w:basedOn w:val="Normal"/>
    <w:semiHidden/>
    <w:rsid w:val="00A048F5"/>
    <w:pPr>
      <w:spacing w:before="120" w:line="380" w:lineRule="exact"/>
      <w:ind w:left="4320"/>
    </w:pPr>
  </w:style>
  <w:style w:type="paragraph" w:styleId="Date">
    <w:name w:val="Date"/>
    <w:basedOn w:val="Normal"/>
    <w:next w:val="Normal"/>
    <w:semiHidden/>
    <w:rsid w:val="00A048F5"/>
    <w:pPr>
      <w:spacing w:before="120" w:line="380" w:lineRule="exact"/>
    </w:pPr>
  </w:style>
  <w:style w:type="paragraph" w:styleId="E-mailSignature">
    <w:name w:val="E-mail Signature"/>
    <w:basedOn w:val="Normal"/>
    <w:semiHidden/>
    <w:rsid w:val="00A048F5"/>
    <w:pPr>
      <w:spacing w:before="120" w:line="380" w:lineRule="exact"/>
    </w:pPr>
  </w:style>
  <w:style w:type="character" w:styleId="Emphasis">
    <w:name w:val="Emphasis"/>
    <w:basedOn w:val="DefaultParagraphFont"/>
    <w:qFormat/>
    <w:rsid w:val="00A048F5"/>
    <w:rPr>
      <w:rFonts w:cs="Times New Roman"/>
      <w:i/>
      <w:iCs/>
    </w:rPr>
  </w:style>
  <w:style w:type="paragraph" w:styleId="EnvelopeAddress">
    <w:name w:val="envelope address"/>
    <w:basedOn w:val="Normal"/>
    <w:semiHidden/>
    <w:rsid w:val="00A048F5"/>
    <w:pPr>
      <w:framePr w:w="7920" w:h="1980" w:hRule="exact" w:hSpace="180" w:wrap="auto" w:hAnchor="page" w:xAlign="center" w:yAlign="bottom"/>
      <w:spacing w:before="120" w:line="380" w:lineRule="exact"/>
      <w:ind w:left="2880"/>
    </w:pPr>
    <w:rPr>
      <w:rFonts w:ascii="Arial" w:hAnsi="Arial" w:cs="Arial"/>
      <w:sz w:val="24"/>
      <w:szCs w:val="24"/>
    </w:rPr>
  </w:style>
  <w:style w:type="paragraph" w:styleId="EnvelopeReturn">
    <w:name w:val="envelope return"/>
    <w:basedOn w:val="Normal"/>
    <w:semiHidden/>
    <w:rsid w:val="00A048F5"/>
    <w:pPr>
      <w:spacing w:before="120" w:line="380" w:lineRule="exact"/>
    </w:pPr>
    <w:rPr>
      <w:rFonts w:ascii="Arial" w:hAnsi="Arial" w:cs="Arial"/>
      <w:szCs w:val="20"/>
    </w:rPr>
  </w:style>
  <w:style w:type="character" w:styleId="FollowedHyperlink">
    <w:name w:val="FollowedHyperlink"/>
    <w:basedOn w:val="DefaultParagraphFont"/>
    <w:semiHidden/>
    <w:rsid w:val="00A048F5"/>
    <w:rPr>
      <w:rFonts w:cs="Times New Roman"/>
      <w:color w:val="800080"/>
      <w:u w:val="single"/>
    </w:rPr>
  </w:style>
  <w:style w:type="character" w:styleId="HTMLAcronym">
    <w:name w:val="HTML Acronym"/>
    <w:basedOn w:val="DefaultParagraphFont"/>
    <w:semiHidden/>
    <w:rsid w:val="00A048F5"/>
    <w:rPr>
      <w:rFonts w:cs="Times New Roman"/>
    </w:rPr>
  </w:style>
  <w:style w:type="paragraph" w:styleId="HTMLAddress">
    <w:name w:val="HTML Address"/>
    <w:basedOn w:val="Normal"/>
    <w:semiHidden/>
    <w:rsid w:val="00A048F5"/>
    <w:pPr>
      <w:spacing w:before="120" w:line="380" w:lineRule="exact"/>
    </w:pPr>
    <w:rPr>
      <w:i/>
      <w:iCs/>
    </w:rPr>
  </w:style>
  <w:style w:type="character" w:styleId="HTMLCite">
    <w:name w:val="HTML Cite"/>
    <w:basedOn w:val="DefaultParagraphFont"/>
    <w:semiHidden/>
    <w:rsid w:val="00A048F5"/>
    <w:rPr>
      <w:rFonts w:cs="Times New Roman"/>
      <w:i/>
      <w:iCs/>
    </w:rPr>
  </w:style>
  <w:style w:type="character" w:styleId="HTMLCode">
    <w:name w:val="HTML Code"/>
    <w:basedOn w:val="DefaultParagraphFont"/>
    <w:semiHidden/>
    <w:rsid w:val="00A048F5"/>
    <w:rPr>
      <w:rFonts w:ascii="Courier New" w:hAnsi="Courier New" w:cs="Courier New"/>
      <w:sz w:val="20"/>
      <w:szCs w:val="20"/>
    </w:rPr>
  </w:style>
  <w:style w:type="character" w:styleId="HTMLDefinition">
    <w:name w:val="HTML Definition"/>
    <w:basedOn w:val="DefaultParagraphFont"/>
    <w:semiHidden/>
    <w:rsid w:val="00A048F5"/>
    <w:rPr>
      <w:rFonts w:cs="Times New Roman"/>
      <w:i/>
      <w:iCs/>
    </w:rPr>
  </w:style>
  <w:style w:type="character" w:styleId="HTMLKeyboard">
    <w:name w:val="HTML Keyboard"/>
    <w:basedOn w:val="DefaultParagraphFont"/>
    <w:semiHidden/>
    <w:rsid w:val="00A048F5"/>
    <w:rPr>
      <w:rFonts w:ascii="Courier New" w:hAnsi="Courier New" w:cs="Courier New"/>
      <w:sz w:val="20"/>
      <w:szCs w:val="20"/>
    </w:rPr>
  </w:style>
  <w:style w:type="paragraph" w:styleId="HTMLPreformatted">
    <w:name w:val="HTML Preformatted"/>
    <w:basedOn w:val="Normal"/>
    <w:semiHidden/>
    <w:rsid w:val="00A048F5"/>
    <w:pPr>
      <w:spacing w:before="120" w:line="380" w:lineRule="exact"/>
    </w:pPr>
    <w:rPr>
      <w:rFonts w:ascii="Courier New" w:hAnsi="Courier New" w:cs="Courier New"/>
      <w:szCs w:val="20"/>
    </w:rPr>
  </w:style>
  <w:style w:type="character" w:styleId="HTMLSample">
    <w:name w:val="HTML Sample"/>
    <w:basedOn w:val="DefaultParagraphFont"/>
    <w:semiHidden/>
    <w:rsid w:val="00A048F5"/>
    <w:rPr>
      <w:rFonts w:ascii="Courier New" w:hAnsi="Courier New" w:cs="Courier New"/>
    </w:rPr>
  </w:style>
  <w:style w:type="character" w:styleId="HTMLTypewriter">
    <w:name w:val="HTML Typewriter"/>
    <w:basedOn w:val="DefaultParagraphFont"/>
    <w:semiHidden/>
    <w:rsid w:val="00A048F5"/>
    <w:rPr>
      <w:rFonts w:ascii="Courier New" w:hAnsi="Courier New" w:cs="Courier New"/>
      <w:sz w:val="20"/>
      <w:szCs w:val="20"/>
    </w:rPr>
  </w:style>
  <w:style w:type="character" w:styleId="HTMLVariable">
    <w:name w:val="HTML Variable"/>
    <w:basedOn w:val="DefaultParagraphFont"/>
    <w:semiHidden/>
    <w:rsid w:val="00A048F5"/>
    <w:rPr>
      <w:rFonts w:cs="Times New Roman"/>
      <w:i/>
      <w:iCs/>
    </w:rPr>
  </w:style>
  <w:style w:type="character" w:styleId="Hyperlink">
    <w:name w:val="Hyperlink"/>
    <w:basedOn w:val="DefaultParagraphFont"/>
    <w:semiHidden/>
    <w:rsid w:val="00A048F5"/>
    <w:rPr>
      <w:rFonts w:cs="Times New Roman"/>
      <w:color w:val="0000FF"/>
      <w:u w:val="single"/>
    </w:rPr>
  </w:style>
  <w:style w:type="character" w:styleId="LineNumber">
    <w:name w:val="line number"/>
    <w:basedOn w:val="DefaultParagraphFont"/>
    <w:semiHidden/>
    <w:rsid w:val="00A048F5"/>
    <w:rPr>
      <w:rFonts w:cs="Times New Roman"/>
    </w:rPr>
  </w:style>
  <w:style w:type="paragraph" w:styleId="List">
    <w:name w:val="List"/>
    <w:basedOn w:val="Normal"/>
    <w:semiHidden/>
    <w:rsid w:val="00A048F5"/>
    <w:pPr>
      <w:spacing w:before="120" w:line="380" w:lineRule="exact"/>
      <w:ind w:left="360" w:hanging="360"/>
    </w:pPr>
  </w:style>
  <w:style w:type="paragraph" w:styleId="List2">
    <w:name w:val="List 2"/>
    <w:basedOn w:val="Normal"/>
    <w:semiHidden/>
    <w:rsid w:val="00A048F5"/>
    <w:pPr>
      <w:spacing w:before="120" w:line="380" w:lineRule="exact"/>
      <w:ind w:left="720" w:hanging="360"/>
    </w:pPr>
  </w:style>
  <w:style w:type="paragraph" w:styleId="List3">
    <w:name w:val="List 3"/>
    <w:basedOn w:val="Normal"/>
    <w:semiHidden/>
    <w:rsid w:val="00A048F5"/>
    <w:pPr>
      <w:spacing w:before="120" w:line="380" w:lineRule="exact"/>
      <w:ind w:left="1080" w:hanging="360"/>
    </w:pPr>
  </w:style>
  <w:style w:type="paragraph" w:styleId="List4">
    <w:name w:val="List 4"/>
    <w:basedOn w:val="Normal"/>
    <w:semiHidden/>
    <w:rsid w:val="00A048F5"/>
    <w:pPr>
      <w:spacing w:before="120" w:line="380" w:lineRule="exact"/>
      <w:ind w:left="1440" w:hanging="360"/>
    </w:pPr>
  </w:style>
  <w:style w:type="paragraph" w:styleId="List5">
    <w:name w:val="List 5"/>
    <w:basedOn w:val="Normal"/>
    <w:semiHidden/>
    <w:rsid w:val="00A048F5"/>
    <w:pPr>
      <w:spacing w:before="120" w:line="380" w:lineRule="exact"/>
      <w:ind w:left="1800" w:hanging="360"/>
    </w:pPr>
  </w:style>
  <w:style w:type="paragraph" w:styleId="ListBullet">
    <w:name w:val="List Bullet"/>
    <w:basedOn w:val="Normal"/>
    <w:semiHidden/>
    <w:rsid w:val="00A048F5"/>
    <w:pPr>
      <w:numPr>
        <w:numId w:val="8"/>
      </w:numPr>
      <w:spacing w:before="120" w:line="380" w:lineRule="exact"/>
    </w:pPr>
  </w:style>
  <w:style w:type="paragraph" w:styleId="ListBullet2">
    <w:name w:val="List Bullet 2"/>
    <w:basedOn w:val="Normal"/>
    <w:semiHidden/>
    <w:rsid w:val="00A048F5"/>
    <w:pPr>
      <w:numPr>
        <w:numId w:val="9"/>
      </w:numPr>
      <w:spacing w:before="120" w:line="380" w:lineRule="exact"/>
    </w:pPr>
  </w:style>
  <w:style w:type="paragraph" w:styleId="ListBullet3">
    <w:name w:val="List Bullet 3"/>
    <w:basedOn w:val="Normal"/>
    <w:semiHidden/>
    <w:rsid w:val="00A048F5"/>
    <w:pPr>
      <w:numPr>
        <w:numId w:val="10"/>
      </w:numPr>
      <w:spacing w:before="120" w:line="380" w:lineRule="exact"/>
    </w:pPr>
  </w:style>
  <w:style w:type="paragraph" w:styleId="ListBullet4">
    <w:name w:val="List Bullet 4"/>
    <w:basedOn w:val="Normal"/>
    <w:semiHidden/>
    <w:rsid w:val="00A048F5"/>
    <w:pPr>
      <w:numPr>
        <w:numId w:val="11"/>
      </w:numPr>
      <w:spacing w:before="120" w:line="380" w:lineRule="exact"/>
    </w:pPr>
  </w:style>
  <w:style w:type="paragraph" w:styleId="ListBullet5">
    <w:name w:val="List Bullet 5"/>
    <w:basedOn w:val="Normal"/>
    <w:semiHidden/>
    <w:rsid w:val="00A048F5"/>
    <w:pPr>
      <w:numPr>
        <w:numId w:val="12"/>
      </w:numPr>
      <w:spacing w:before="120" w:line="380" w:lineRule="exact"/>
    </w:pPr>
  </w:style>
  <w:style w:type="paragraph" w:styleId="ListContinue">
    <w:name w:val="List Continue"/>
    <w:basedOn w:val="Normal"/>
    <w:semiHidden/>
    <w:rsid w:val="00A048F5"/>
    <w:pPr>
      <w:spacing w:before="120" w:after="120" w:line="380" w:lineRule="exact"/>
      <w:ind w:left="360"/>
    </w:pPr>
  </w:style>
  <w:style w:type="paragraph" w:styleId="ListContinue2">
    <w:name w:val="List Continue 2"/>
    <w:basedOn w:val="Normal"/>
    <w:semiHidden/>
    <w:rsid w:val="00A048F5"/>
    <w:pPr>
      <w:spacing w:before="120" w:after="120" w:line="380" w:lineRule="exact"/>
      <w:ind w:left="720"/>
    </w:pPr>
  </w:style>
  <w:style w:type="paragraph" w:styleId="ListContinue3">
    <w:name w:val="List Continue 3"/>
    <w:basedOn w:val="Normal"/>
    <w:semiHidden/>
    <w:rsid w:val="00A048F5"/>
    <w:pPr>
      <w:spacing w:before="120" w:after="120" w:line="380" w:lineRule="exact"/>
      <w:ind w:left="1080"/>
    </w:pPr>
  </w:style>
  <w:style w:type="paragraph" w:styleId="ListContinue4">
    <w:name w:val="List Continue 4"/>
    <w:basedOn w:val="Normal"/>
    <w:semiHidden/>
    <w:rsid w:val="00A048F5"/>
    <w:pPr>
      <w:spacing w:before="120" w:after="120" w:line="380" w:lineRule="exact"/>
      <w:ind w:left="1440"/>
    </w:pPr>
  </w:style>
  <w:style w:type="paragraph" w:styleId="ListContinue5">
    <w:name w:val="List Continue 5"/>
    <w:basedOn w:val="Normal"/>
    <w:semiHidden/>
    <w:rsid w:val="00A048F5"/>
    <w:pPr>
      <w:spacing w:before="120" w:after="120" w:line="380" w:lineRule="exact"/>
      <w:ind w:left="1800"/>
    </w:pPr>
  </w:style>
  <w:style w:type="paragraph" w:styleId="ListNumber">
    <w:name w:val="List Number"/>
    <w:basedOn w:val="Normal"/>
    <w:semiHidden/>
    <w:rsid w:val="00A048F5"/>
    <w:pPr>
      <w:numPr>
        <w:numId w:val="13"/>
      </w:numPr>
      <w:spacing w:before="120" w:line="380" w:lineRule="exact"/>
    </w:pPr>
  </w:style>
  <w:style w:type="paragraph" w:styleId="ListNumber2">
    <w:name w:val="List Number 2"/>
    <w:basedOn w:val="Normal"/>
    <w:semiHidden/>
    <w:rsid w:val="00A048F5"/>
    <w:pPr>
      <w:numPr>
        <w:numId w:val="14"/>
      </w:numPr>
      <w:spacing w:before="120" w:line="380" w:lineRule="exact"/>
    </w:pPr>
  </w:style>
  <w:style w:type="paragraph" w:styleId="ListNumber3">
    <w:name w:val="List Number 3"/>
    <w:basedOn w:val="Normal"/>
    <w:semiHidden/>
    <w:rsid w:val="00A048F5"/>
    <w:pPr>
      <w:numPr>
        <w:numId w:val="15"/>
      </w:numPr>
      <w:spacing w:before="120" w:line="380" w:lineRule="exact"/>
    </w:pPr>
  </w:style>
  <w:style w:type="paragraph" w:styleId="ListNumber4">
    <w:name w:val="List Number 4"/>
    <w:basedOn w:val="Normal"/>
    <w:semiHidden/>
    <w:rsid w:val="00A048F5"/>
    <w:pPr>
      <w:numPr>
        <w:numId w:val="16"/>
      </w:numPr>
      <w:spacing w:before="120" w:line="380" w:lineRule="exact"/>
    </w:pPr>
  </w:style>
  <w:style w:type="paragraph" w:styleId="ListNumber5">
    <w:name w:val="List Number 5"/>
    <w:basedOn w:val="Normal"/>
    <w:semiHidden/>
    <w:rsid w:val="00A048F5"/>
    <w:pPr>
      <w:numPr>
        <w:numId w:val="17"/>
      </w:numPr>
      <w:spacing w:before="120" w:line="380" w:lineRule="exact"/>
    </w:pPr>
  </w:style>
  <w:style w:type="paragraph" w:styleId="MessageHeader">
    <w:name w:val="Message Header"/>
    <w:basedOn w:val="Normal"/>
    <w:semiHidden/>
    <w:rsid w:val="00A048F5"/>
    <w:pPr>
      <w:pBdr>
        <w:top w:val="single" w:sz="6" w:space="1" w:color="auto"/>
        <w:left w:val="single" w:sz="6" w:space="1" w:color="auto"/>
        <w:bottom w:val="single" w:sz="6" w:space="1" w:color="auto"/>
        <w:right w:val="single" w:sz="6" w:space="1" w:color="auto"/>
      </w:pBdr>
      <w:shd w:val="pct20" w:color="auto" w:fill="auto"/>
      <w:spacing w:before="120" w:line="380" w:lineRule="exact"/>
      <w:ind w:left="1080" w:hanging="1080"/>
    </w:pPr>
    <w:rPr>
      <w:rFonts w:ascii="Arial" w:hAnsi="Arial" w:cs="Arial"/>
      <w:sz w:val="24"/>
      <w:szCs w:val="24"/>
    </w:rPr>
  </w:style>
  <w:style w:type="paragraph" w:styleId="NormalWeb">
    <w:name w:val="Normal (Web)"/>
    <w:basedOn w:val="Normal"/>
    <w:semiHidden/>
    <w:rsid w:val="00A048F5"/>
    <w:pPr>
      <w:spacing w:before="120" w:line="380" w:lineRule="exact"/>
    </w:pPr>
    <w:rPr>
      <w:rFonts w:cs="Times New Roman"/>
      <w:sz w:val="24"/>
      <w:szCs w:val="24"/>
    </w:rPr>
  </w:style>
  <w:style w:type="paragraph" w:styleId="NormalIndent">
    <w:name w:val="Normal Indent"/>
    <w:basedOn w:val="Normal"/>
    <w:semiHidden/>
    <w:rsid w:val="00A048F5"/>
    <w:pPr>
      <w:spacing w:before="120" w:line="380" w:lineRule="exact"/>
      <w:ind w:left="680"/>
    </w:pPr>
  </w:style>
  <w:style w:type="paragraph" w:styleId="NoteHeading">
    <w:name w:val="Note Heading"/>
    <w:basedOn w:val="Normal"/>
    <w:next w:val="Normal"/>
    <w:semiHidden/>
    <w:rsid w:val="00A048F5"/>
    <w:pPr>
      <w:spacing w:before="120" w:line="380" w:lineRule="exact"/>
    </w:pPr>
  </w:style>
  <w:style w:type="paragraph" w:styleId="PlainText">
    <w:name w:val="Plain Text"/>
    <w:basedOn w:val="Normal"/>
    <w:semiHidden/>
    <w:rsid w:val="00A048F5"/>
    <w:pPr>
      <w:spacing w:before="120" w:line="380" w:lineRule="exact"/>
    </w:pPr>
    <w:rPr>
      <w:rFonts w:ascii="Courier New" w:hAnsi="Courier New" w:cs="Courier New"/>
      <w:szCs w:val="20"/>
    </w:rPr>
  </w:style>
  <w:style w:type="paragraph" w:styleId="Salutation">
    <w:name w:val="Salutation"/>
    <w:basedOn w:val="Normal"/>
    <w:next w:val="Normal"/>
    <w:semiHidden/>
    <w:rsid w:val="00A048F5"/>
    <w:pPr>
      <w:spacing w:before="120" w:line="380" w:lineRule="exact"/>
    </w:pPr>
  </w:style>
  <w:style w:type="paragraph" w:styleId="Signature">
    <w:name w:val="Signature"/>
    <w:basedOn w:val="Normal"/>
    <w:semiHidden/>
    <w:rsid w:val="00A048F5"/>
    <w:pPr>
      <w:spacing w:before="120" w:line="380" w:lineRule="exact"/>
      <w:ind w:left="4320"/>
    </w:pPr>
  </w:style>
  <w:style w:type="character" w:styleId="Strong">
    <w:name w:val="Strong"/>
    <w:basedOn w:val="DefaultParagraphFont"/>
    <w:qFormat/>
    <w:rsid w:val="00A048F5"/>
    <w:rPr>
      <w:rFonts w:cs="Times New Roman"/>
      <w:b/>
      <w:bCs/>
    </w:rPr>
  </w:style>
  <w:style w:type="table" w:styleId="Table3Deffects1">
    <w:name w:val="Table 3D effects 1"/>
    <w:basedOn w:val="TableNormal"/>
    <w:semiHidden/>
    <w:rsid w:val="00A048F5"/>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48F5"/>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A048F5"/>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A048F5"/>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A048F5"/>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48F5"/>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numbering" w:styleId="ArticleSection">
    <w:name w:val="Outline List 3"/>
    <w:basedOn w:val="NoList"/>
    <w:rsid w:val="00A048F5"/>
    <w:pPr>
      <w:numPr>
        <w:numId w:val="18"/>
      </w:numPr>
    </w:p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17</Pages>
  <Words>4924</Words>
  <Characters>23685</Characters>
  <Application>Microsoft Office Outlook</Application>
  <DocSecurity>4</DocSecurity>
  <Lines>415</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CCPR/C/109/D/1910/2009</vt:lpstr>
      <vt:lpstr>CCPR/C/109/D/1910/2009</vt:lpstr>
    </vt:vector>
  </TitlesOfParts>
  <Company>CSD</Company>
  <LinksUpToDate>false</LinksUpToDate>
  <CharactersWithSpaces>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CCPR/C/109/D/1910/2009</dc:title>
  <dc:subject>ELSADIG</dc:subject>
  <dc:creator>SAYED</dc:creator>
  <cp:keywords/>
  <dc:description/>
  <cp:lastModifiedBy>TPS</cp:lastModifiedBy>
  <cp:revision>2</cp:revision>
  <cp:lastPrinted>2013-12-20T09:41:00Z</cp:lastPrinted>
  <dcterms:created xsi:type="dcterms:W3CDTF">2013-12-23T14:59:00Z</dcterms:created>
  <dcterms:modified xsi:type="dcterms:W3CDTF">2013-12-23T14:59:00Z</dcterms:modified>
</cp:coreProperties>
</file>