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EF6453">
                <w:t>C/102/D/1814/2008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4D6DD2" w:rsidRPr="004D6DD2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4D6DD2">
              <w:t xml:space="preserve"> </w:t>
            </w:r>
            <w:r w:rsidR="00725B1C">
              <w:t xml:space="preserve"> 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EF6453">
              <w:rPr>
                <w:lang w:val="en-US"/>
              </w:rPr>
              <w:fldChar w:fldCharType="separate"/>
            </w:r>
            <w:r w:rsidR="00EF6453">
              <w:rPr>
                <w:lang w:val="en-US"/>
              </w:rPr>
              <w:t>23 August 2011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92755" w:rsidRPr="00940A65" w:rsidRDefault="00992755" w:rsidP="00DF2C8D">
      <w:pPr>
        <w:spacing w:before="120"/>
        <w:rPr>
          <w:b/>
          <w:sz w:val="24"/>
          <w:szCs w:val="24"/>
        </w:rPr>
      </w:pPr>
      <w:r w:rsidRPr="00940A65">
        <w:rPr>
          <w:b/>
          <w:sz w:val="24"/>
          <w:szCs w:val="24"/>
        </w:rPr>
        <w:t>Совет по правам человека</w:t>
      </w:r>
    </w:p>
    <w:p w:rsidR="00992755" w:rsidRPr="00DF2C8D" w:rsidRDefault="00992755" w:rsidP="00992755">
      <w:pPr>
        <w:rPr>
          <w:b/>
        </w:rPr>
      </w:pPr>
      <w:r w:rsidRPr="00DF2C8D">
        <w:rPr>
          <w:b/>
        </w:rPr>
        <w:t>Сто вторая сессия</w:t>
      </w:r>
    </w:p>
    <w:p w:rsidR="00992755" w:rsidRPr="006819CD" w:rsidRDefault="00992755" w:rsidP="00992755">
      <w:r w:rsidRPr="006819CD">
        <w:t>11−29 июля 2011 года</w:t>
      </w:r>
    </w:p>
    <w:p w:rsidR="00992755" w:rsidRPr="006819CD" w:rsidRDefault="00992755" w:rsidP="00DF2C8D">
      <w:pPr>
        <w:pStyle w:val="HChGR0"/>
      </w:pPr>
      <w:r w:rsidRPr="006819CD">
        <w:tab/>
      </w:r>
      <w:r w:rsidR="00DF2C8D">
        <w:rPr>
          <w:lang w:val="en-US"/>
        </w:rPr>
        <w:tab/>
      </w:r>
      <w:r w:rsidRPr="006819CD">
        <w:t>Решение</w:t>
      </w:r>
    </w:p>
    <w:p w:rsidR="00992755" w:rsidRDefault="00992755" w:rsidP="00DF2C8D">
      <w:pPr>
        <w:pStyle w:val="H1GR"/>
        <w:rPr>
          <w:lang w:val="en-US"/>
        </w:rPr>
      </w:pPr>
      <w:r w:rsidRPr="006819CD">
        <w:tab/>
      </w:r>
      <w:r w:rsidR="00DF2C8D">
        <w:rPr>
          <w:lang w:val="en-US"/>
        </w:rPr>
        <w:tab/>
      </w:r>
      <w:r w:rsidRPr="006819CD">
        <w:t>Сообщение № 1814/2008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884AEA" w:rsidRPr="00001A5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>П.</w:t>
            </w:r>
            <w:r w:rsidR="002D2C2E">
              <w:rPr>
                <w:lang w:val="en-US"/>
              </w:rPr>
              <w:t> </w:t>
            </w:r>
            <w:r w:rsidRPr="006819CD">
              <w:t>Л. (</w:t>
            </w:r>
            <w:r w:rsidR="00A744A1" w:rsidRPr="006819CD">
              <w:t xml:space="preserve">адвокатом </w:t>
            </w:r>
            <w:r w:rsidRPr="006819CD">
              <w:t>не представлен)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>Автор сообщения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>Беларусь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884AEA" w:rsidRPr="00884AEA" w:rsidRDefault="00884AEA" w:rsidP="00085545">
            <w:pPr>
              <w:spacing w:after="120"/>
            </w:pPr>
            <w:r w:rsidRPr="006819CD">
              <w:t>12 мая 2008 года (первоначальное представление</w:t>
            </w:r>
            <w:r>
              <w:t>)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>Ре</w:t>
            </w:r>
            <w:r w:rsidR="00940A65">
              <w:t>шение Специального докладчика в</w:t>
            </w:r>
            <w:r w:rsidR="00940A65">
              <w:rPr>
                <w:lang w:val="en-US"/>
              </w:rPr>
              <w:t> </w:t>
            </w:r>
            <w:r w:rsidRPr="006819CD">
              <w:t>соответствии с правилом 97, препровожденное гос</w:t>
            </w:r>
            <w:r w:rsidRPr="006819CD">
              <w:t>у</w:t>
            </w:r>
            <w:r w:rsidRPr="006819CD">
              <w:t>дарству-участнику 3 октября 2008 года (в виде документа не</w:t>
            </w:r>
            <w:r w:rsidR="00940A65">
              <w:rPr>
                <w:lang w:val="en-US"/>
              </w:rPr>
              <w:t> </w:t>
            </w:r>
            <w:r w:rsidRPr="006819CD">
              <w:t>издавалось)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>26 июля 2011 года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 xml:space="preserve">Свобода выражения; справедливое </w:t>
            </w:r>
            <w:r>
              <w:t xml:space="preserve">судебное </w:t>
            </w:r>
            <w:r w:rsidRPr="006819CD">
              <w:t>разбирательство, дискриминация, равенство перед з</w:t>
            </w:r>
            <w:r w:rsidRPr="006819CD">
              <w:t>а</w:t>
            </w:r>
            <w:r w:rsidRPr="006819CD">
              <w:t>коном, эффективное средство правовой защиты</w:t>
            </w:r>
          </w:p>
        </w:tc>
      </w:tr>
      <w:tr w:rsidR="00173772" w:rsidTr="00F85664">
        <w:tc>
          <w:tcPr>
            <w:tcW w:w="2933" w:type="dxa"/>
          </w:tcPr>
          <w:p w:rsidR="00173772" w:rsidRPr="00CB613D" w:rsidRDefault="00173772" w:rsidP="00F85664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173772" w:rsidRPr="006819CD" w:rsidRDefault="00173772" w:rsidP="00F85664">
            <w:pPr>
              <w:spacing w:after="120"/>
            </w:pPr>
            <w:r w:rsidRPr="006819CD">
              <w:t>Необоснованные ограничения свободы получать информацию из независимых средств массовой информации; доступ к независимому суду; дискриминация по политическим мотивам</w:t>
            </w:r>
          </w:p>
        </w:tc>
      </w:tr>
      <w:tr w:rsidR="00A744A1" w:rsidTr="00E6308C">
        <w:tc>
          <w:tcPr>
            <w:tcW w:w="2933" w:type="dxa"/>
          </w:tcPr>
          <w:p w:rsidR="00A744A1" w:rsidRPr="00CB613D" w:rsidRDefault="00173772" w:rsidP="00E6308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A744A1" w:rsidRPr="006819CD" w:rsidRDefault="00A744A1" w:rsidP="00E6308C">
            <w:pPr>
              <w:spacing w:after="120"/>
            </w:pPr>
            <w:r w:rsidRPr="006819CD">
              <w:t xml:space="preserve">Степень обоснования жалобы 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884AEA" w:rsidRPr="006819CD" w:rsidRDefault="002453CC" w:rsidP="00085545">
            <w:pPr>
              <w:spacing w:after="120"/>
            </w:pPr>
            <w:r>
              <w:t>2, 5, 14, пункт 1, 19, 26</w:t>
            </w:r>
          </w:p>
        </w:tc>
      </w:tr>
      <w:tr w:rsidR="00884AEA" w:rsidTr="00884AEA">
        <w:tc>
          <w:tcPr>
            <w:tcW w:w="2933" w:type="dxa"/>
          </w:tcPr>
          <w:p w:rsidR="00884AEA" w:rsidRPr="00CB613D" w:rsidRDefault="00884AEA" w:rsidP="00085545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</w:t>
            </w:r>
            <w:r w:rsidR="00A744A1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</w:tcPr>
          <w:p w:rsidR="00884AEA" w:rsidRPr="006819CD" w:rsidRDefault="00884AEA" w:rsidP="00085545">
            <w:pPr>
              <w:spacing w:after="120"/>
            </w:pPr>
            <w:r w:rsidRPr="006819CD">
              <w:t>2</w:t>
            </w:r>
          </w:p>
        </w:tc>
      </w:tr>
    </w:tbl>
    <w:p w:rsidR="00992755" w:rsidRPr="004D6DD2" w:rsidRDefault="00992755" w:rsidP="002D2C2E">
      <w:pPr>
        <w:pStyle w:val="SingleTxtGR"/>
        <w:rPr>
          <w:rStyle w:val="HChGR"/>
        </w:rPr>
      </w:pPr>
      <w:r w:rsidRPr="006819CD">
        <w:t>[Приложение]</w:t>
      </w:r>
      <w:r>
        <w:br w:type="page"/>
      </w:r>
      <w:r w:rsidRPr="004D6DD2">
        <w:rPr>
          <w:rStyle w:val="HChGR"/>
        </w:rPr>
        <w:t>Приложение</w:t>
      </w:r>
    </w:p>
    <w:p w:rsidR="00992755" w:rsidRPr="00E8231D" w:rsidRDefault="00992755" w:rsidP="002453CC">
      <w:pPr>
        <w:pStyle w:val="HChGR0"/>
      </w:pPr>
      <w:r w:rsidRPr="00E8231D">
        <w:tab/>
      </w:r>
      <w:r w:rsidRPr="00E8231D">
        <w:tab/>
        <w:t>Решение Комитета по правам человека в соответствии с Факультативным протокол</w:t>
      </w:r>
      <w:r w:rsidR="005B7309">
        <w:t>ом</w:t>
      </w:r>
      <w:r w:rsidRPr="00E8231D">
        <w:t xml:space="preserve"> к Международному пакту о гражданских и политических правах </w:t>
      </w:r>
      <w:r w:rsidR="000A3E09">
        <w:br/>
      </w:r>
      <w:r w:rsidRPr="00E8231D">
        <w:t>(сто вторая сессия)</w:t>
      </w:r>
    </w:p>
    <w:p w:rsidR="00992755" w:rsidRPr="00E8231D" w:rsidRDefault="00992755" w:rsidP="002453CC">
      <w:pPr>
        <w:pStyle w:val="SingleTxtGR"/>
      </w:pPr>
      <w:r w:rsidRPr="00E8231D">
        <w:t>относительно</w:t>
      </w:r>
    </w:p>
    <w:p w:rsidR="00992755" w:rsidRPr="004D6DD2" w:rsidRDefault="00992755" w:rsidP="008E2F5C">
      <w:pPr>
        <w:pStyle w:val="H1GR"/>
        <w:rPr>
          <w:b w:val="0"/>
        </w:rPr>
      </w:pPr>
      <w:r w:rsidRPr="00E8231D">
        <w:tab/>
      </w:r>
      <w:r w:rsidRPr="00E8231D">
        <w:tab/>
        <w:t>Сообщения № 1814/2008</w:t>
      </w:r>
      <w:r w:rsidR="004D6DD2" w:rsidRPr="00873D4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4D6DD2" w:rsidRPr="004D6DD2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8E2F5C" w:rsidTr="008E2F5C">
        <w:tc>
          <w:tcPr>
            <w:tcW w:w="3119" w:type="dxa"/>
          </w:tcPr>
          <w:p w:rsidR="008E2F5C" w:rsidRPr="00322017" w:rsidRDefault="008E2F5C" w:rsidP="00085545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8E2F5C" w:rsidRPr="00E8231D" w:rsidRDefault="008E2F5C" w:rsidP="00085545">
            <w:r w:rsidRPr="00E8231D">
              <w:t>П. Л. (</w:t>
            </w:r>
            <w:r w:rsidR="005B7309" w:rsidRPr="00E8231D">
              <w:t xml:space="preserve">адвокатом </w:t>
            </w:r>
            <w:r w:rsidRPr="00E8231D">
              <w:t>не представлен)</w:t>
            </w:r>
          </w:p>
        </w:tc>
      </w:tr>
      <w:tr w:rsidR="008E2F5C" w:rsidTr="008E2F5C">
        <w:tc>
          <w:tcPr>
            <w:tcW w:w="3119" w:type="dxa"/>
          </w:tcPr>
          <w:p w:rsidR="008E2F5C" w:rsidRPr="00322017" w:rsidRDefault="008E2F5C" w:rsidP="00085545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8E2F5C" w:rsidRPr="00E8231D" w:rsidRDefault="008E2F5C" w:rsidP="00085545">
            <w:r w:rsidRPr="00E8231D">
              <w:t>Автор сообщения</w:t>
            </w:r>
          </w:p>
        </w:tc>
      </w:tr>
      <w:tr w:rsidR="008E2F5C" w:rsidTr="008E2F5C">
        <w:tc>
          <w:tcPr>
            <w:tcW w:w="3119" w:type="dxa"/>
          </w:tcPr>
          <w:p w:rsidR="008E2F5C" w:rsidRPr="00FD511F" w:rsidRDefault="008E2F5C" w:rsidP="00085545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8E2F5C" w:rsidRPr="00E8231D" w:rsidRDefault="008E2F5C" w:rsidP="00085545">
            <w:r w:rsidRPr="00E8231D">
              <w:t>Беларусь</w:t>
            </w:r>
          </w:p>
        </w:tc>
      </w:tr>
      <w:tr w:rsidR="008E2F5C" w:rsidTr="008E2F5C">
        <w:tc>
          <w:tcPr>
            <w:tcW w:w="3119" w:type="dxa"/>
          </w:tcPr>
          <w:p w:rsidR="008E2F5C" w:rsidRPr="00FD511F" w:rsidRDefault="008E2F5C" w:rsidP="00085545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8E2F5C" w:rsidRPr="00E8231D" w:rsidRDefault="008E2F5C" w:rsidP="00085545">
            <w:r w:rsidRPr="00E8231D">
              <w:t>12 мая 2008 года (первоначальное представление)</w:t>
            </w:r>
          </w:p>
        </w:tc>
      </w:tr>
    </w:tbl>
    <w:p w:rsidR="00992755" w:rsidRPr="00E8231D" w:rsidRDefault="00992755" w:rsidP="00873D46">
      <w:pPr>
        <w:pStyle w:val="SingleTxtGR"/>
        <w:spacing w:before="120"/>
      </w:pPr>
      <w:r w:rsidRPr="00E8231D">
        <w:tab/>
      </w:r>
      <w:r w:rsidRPr="000A3E09">
        <w:rPr>
          <w:i/>
        </w:rPr>
        <w:t>Комитет по правам человека</w:t>
      </w:r>
      <w:r w:rsidRPr="00E8231D">
        <w:t xml:space="preserve">, </w:t>
      </w:r>
      <w:r w:rsidR="000A3E09">
        <w:t xml:space="preserve">образованный </w:t>
      </w:r>
      <w:r w:rsidRPr="00E8231D">
        <w:t>в соответс</w:t>
      </w:r>
      <w:r w:rsidRPr="00E8231D">
        <w:t>т</w:t>
      </w:r>
      <w:r w:rsidRPr="00E8231D">
        <w:t>вии со статьей 28 Международного пакта о гражданских и политических пр</w:t>
      </w:r>
      <w:r w:rsidRPr="00E8231D">
        <w:t>а</w:t>
      </w:r>
      <w:r w:rsidRPr="00E8231D">
        <w:t xml:space="preserve">вах, </w:t>
      </w:r>
    </w:p>
    <w:p w:rsidR="00992755" w:rsidRPr="00E8231D" w:rsidRDefault="00992755" w:rsidP="00A214EA">
      <w:pPr>
        <w:pStyle w:val="SingleTxtGR"/>
      </w:pPr>
      <w:r w:rsidRPr="00E8231D">
        <w:tab/>
      </w:r>
      <w:r w:rsidRPr="000A3E09">
        <w:rPr>
          <w:i/>
        </w:rPr>
        <w:t>на своем заседании</w:t>
      </w:r>
      <w:r w:rsidRPr="00E8231D">
        <w:t xml:space="preserve"> 26 июля 2011 года</w:t>
      </w:r>
    </w:p>
    <w:p w:rsidR="00992755" w:rsidRPr="000A3E09" w:rsidRDefault="00992755" w:rsidP="00A214EA">
      <w:pPr>
        <w:pStyle w:val="SingleTxtGR"/>
        <w:rPr>
          <w:i/>
        </w:rPr>
      </w:pPr>
      <w:r w:rsidRPr="000A3E09">
        <w:rPr>
          <w:i/>
        </w:rPr>
        <w:tab/>
        <w:t>принимает следующее:</w:t>
      </w:r>
    </w:p>
    <w:p w:rsidR="00992755" w:rsidRPr="00E8231D" w:rsidRDefault="00A214EA" w:rsidP="00A214EA">
      <w:pPr>
        <w:pStyle w:val="H1GR"/>
      </w:pPr>
      <w:r>
        <w:tab/>
      </w:r>
      <w:r>
        <w:tab/>
      </w:r>
      <w:r w:rsidR="00992755" w:rsidRPr="00E8231D">
        <w:t>Решение о приемлемости</w:t>
      </w:r>
    </w:p>
    <w:p w:rsidR="00992755" w:rsidRPr="00E8231D" w:rsidRDefault="00992755" w:rsidP="00A214EA">
      <w:pPr>
        <w:pStyle w:val="SingleTxtGR"/>
      </w:pPr>
      <w:r w:rsidRPr="00E8231D">
        <w:t>1.</w:t>
      </w:r>
      <w:r w:rsidRPr="00E8231D">
        <w:tab/>
        <w:t>Ав</w:t>
      </w:r>
      <w:r w:rsidR="00BA4C44">
        <w:t>тором сообщения является г-н П. </w:t>
      </w:r>
      <w:r w:rsidRPr="00E8231D">
        <w:t>Л., гражданин Беларуси 1961</w:t>
      </w:r>
      <w:r w:rsidR="00873D46">
        <w:t> </w:t>
      </w:r>
      <w:r w:rsidRPr="00E8231D">
        <w:t>года рождения. Он утверждает, что стал жертвой нарушений Беларусью своих прав в соответствии со статьей 2; статьей 5; пунктом 1 статьи 14; пунктами 1 и 2 ст</w:t>
      </w:r>
      <w:r w:rsidRPr="00E8231D">
        <w:t>а</w:t>
      </w:r>
      <w:r w:rsidRPr="00E8231D">
        <w:t>тьи 19; и статьи 26 Международного пакта о гражданских и политических пр</w:t>
      </w:r>
      <w:r w:rsidRPr="00E8231D">
        <w:t>а</w:t>
      </w:r>
      <w:r w:rsidRPr="00E8231D">
        <w:t>вах. Факультативный протокол вступил в силу для Белар</w:t>
      </w:r>
      <w:r w:rsidR="00873D46">
        <w:t>уси 30 </w:t>
      </w:r>
      <w:r w:rsidRPr="00E8231D">
        <w:t xml:space="preserve">декабря </w:t>
      </w:r>
      <w:r w:rsidR="00873D46">
        <w:t>1992 </w:t>
      </w:r>
      <w:r w:rsidRPr="00E8231D">
        <w:t>года. Автор сообщения не представлен адвокатом.</w:t>
      </w:r>
    </w:p>
    <w:p w:rsidR="00992755" w:rsidRPr="00E8231D" w:rsidRDefault="00A214EA" w:rsidP="00A214EA">
      <w:pPr>
        <w:pStyle w:val="H23GR"/>
      </w:pPr>
      <w:r>
        <w:tab/>
      </w:r>
      <w:r>
        <w:tab/>
      </w:r>
      <w:r w:rsidR="00992755" w:rsidRPr="00E8231D">
        <w:t>Факты в изложении автора</w:t>
      </w:r>
    </w:p>
    <w:p w:rsidR="00992755" w:rsidRPr="00E8231D" w:rsidRDefault="00992755" w:rsidP="00A214EA">
      <w:pPr>
        <w:pStyle w:val="SingleTxtGR"/>
      </w:pPr>
      <w:r w:rsidRPr="00E8231D">
        <w:t>2.1</w:t>
      </w:r>
      <w:r w:rsidRPr="00E8231D">
        <w:tab/>
        <w:t>Автор являлся постоянным читателем газеты "Вит</w:t>
      </w:r>
      <w:r w:rsidR="000A3E09">
        <w:t>е</w:t>
      </w:r>
      <w:r w:rsidRPr="00E8231D">
        <w:t>бский курьер М", к</w:t>
      </w:r>
      <w:r w:rsidRPr="00E8231D">
        <w:t>о</w:t>
      </w:r>
      <w:r w:rsidRPr="00E8231D">
        <w:t xml:space="preserve">торая была </w:t>
      </w:r>
      <w:r w:rsidR="000A3E09">
        <w:t xml:space="preserve">надлежащим </w:t>
      </w:r>
      <w:r w:rsidRPr="00E8231D">
        <w:t>образом зарегистрирована в Министерстве информ</w:t>
      </w:r>
      <w:r w:rsidRPr="00E8231D">
        <w:t>а</w:t>
      </w:r>
      <w:r w:rsidRPr="00E8231D">
        <w:t xml:space="preserve">ции Беларуси. В течение ряда лет подписка на газету и ее доставка </w:t>
      </w:r>
      <w:r w:rsidR="00FD661C">
        <w:t>осуществл</w:t>
      </w:r>
      <w:r w:rsidR="00FD661C">
        <w:t>я</w:t>
      </w:r>
      <w:r w:rsidR="00FD661C">
        <w:t xml:space="preserve">лись </w:t>
      </w:r>
      <w:r w:rsidRPr="00E8231D">
        <w:t xml:space="preserve">через государственную компанию "Белпочта". В начале 2006 года автор попытался возобновить подписку на </w:t>
      </w:r>
      <w:r w:rsidR="00FD661C">
        <w:t xml:space="preserve">эту газету в </w:t>
      </w:r>
      <w:r w:rsidRPr="00E8231D">
        <w:t>почтовом отделении в Вит</w:t>
      </w:r>
      <w:r w:rsidR="00FD661C">
        <w:t>е</w:t>
      </w:r>
      <w:r w:rsidRPr="00E8231D">
        <w:t>б</w:t>
      </w:r>
      <w:r w:rsidRPr="00E8231D">
        <w:t xml:space="preserve">ске, однако был проинформирован о том, что </w:t>
      </w:r>
      <w:r w:rsidR="00FD661C">
        <w:t xml:space="preserve">данная </w:t>
      </w:r>
      <w:r w:rsidRPr="00E8231D">
        <w:t xml:space="preserve">газета </w:t>
      </w:r>
      <w:r w:rsidR="00FD661C">
        <w:t xml:space="preserve">более </w:t>
      </w:r>
      <w:r w:rsidRPr="00E8231D">
        <w:t xml:space="preserve">не </w:t>
      </w:r>
      <w:r w:rsidR="00FD661C">
        <w:t xml:space="preserve">значится </w:t>
      </w:r>
      <w:r w:rsidRPr="00E8231D">
        <w:t>в каталог</w:t>
      </w:r>
      <w:r w:rsidR="00FD661C">
        <w:t>е</w:t>
      </w:r>
      <w:r w:rsidRPr="00E8231D">
        <w:t xml:space="preserve"> периодических изданий, </w:t>
      </w:r>
      <w:r w:rsidR="00FD661C">
        <w:t xml:space="preserve">на </w:t>
      </w:r>
      <w:r w:rsidRPr="00E8231D">
        <w:t>которы</w:t>
      </w:r>
      <w:r w:rsidR="00FD661C">
        <w:t>е</w:t>
      </w:r>
      <w:r w:rsidRPr="00E8231D">
        <w:t xml:space="preserve"> можно </w:t>
      </w:r>
      <w:r w:rsidR="00FD661C">
        <w:t xml:space="preserve">подписаться </w:t>
      </w:r>
      <w:r w:rsidRPr="00E8231D">
        <w:t>через комп</w:t>
      </w:r>
      <w:r w:rsidRPr="00E8231D">
        <w:t>а</w:t>
      </w:r>
      <w:r w:rsidRPr="00E8231D">
        <w:t>нию "Белпочта", и поэтому он не может про</w:t>
      </w:r>
      <w:r w:rsidR="00FD661C">
        <w:t>из</w:t>
      </w:r>
      <w:r w:rsidRPr="00E8231D">
        <w:t xml:space="preserve">вести на нее подписку. </w:t>
      </w:r>
      <w:r w:rsidR="00FD661C">
        <w:t>В</w:t>
      </w:r>
      <w:r w:rsidRPr="00E8231D">
        <w:t>следс</w:t>
      </w:r>
      <w:r w:rsidRPr="00E8231D">
        <w:t>т</w:t>
      </w:r>
      <w:r w:rsidRPr="00E8231D">
        <w:t>вие</w:t>
      </w:r>
      <w:r w:rsidR="00FD661C">
        <w:t xml:space="preserve"> этого </w:t>
      </w:r>
      <w:r w:rsidRPr="00E8231D">
        <w:t xml:space="preserve">автор вынужден покупать эту газету непосредственно в </w:t>
      </w:r>
      <w:r w:rsidR="00FD661C">
        <w:t>ее редакции.</w:t>
      </w:r>
    </w:p>
    <w:p w:rsidR="00F92B12" w:rsidRPr="004F0F64" w:rsidRDefault="00992755" w:rsidP="00F92B12">
      <w:pPr>
        <w:pStyle w:val="SingleTxtGR"/>
      </w:pPr>
      <w:r w:rsidRPr="00E8231D">
        <w:t>2.2</w:t>
      </w:r>
      <w:r w:rsidRPr="00E8231D">
        <w:tab/>
        <w:t xml:space="preserve">По </w:t>
      </w:r>
      <w:r w:rsidR="00FD661C">
        <w:t xml:space="preserve">словам </w:t>
      </w:r>
      <w:r w:rsidRPr="00E8231D">
        <w:t>автора</w:t>
      </w:r>
      <w:r w:rsidR="00FD661C">
        <w:t>,</w:t>
      </w:r>
      <w:r w:rsidRPr="00E8231D">
        <w:t xml:space="preserve"> "Белпочта" исключила из своего каталога лишь час</w:t>
      </w:r>
      <w:r w:rsidRPr="00E8231D">
        <w:t>т</w:t>
      </w:r>
      <w:r w:rsidRPr="00E8231D">
        <w:t xml:space="preserve">ные газеты, </w:t>
      </w:r>
      <w:r w:rsidR="00FD661C">
        <w:t xml:space="preserve">излагающие точку зрения, </w:t>
      </w:r>
      <w:r w:rsidRPr="00E8231D">
        <w:t>отличающ</w:t>
      </w:r>
      <w:r w:rsidR="00FD661C">
        <w:t xml:space="preserve">уюся </w:t>
      </w:r>
      <w:r w:rsidRPr="00E8231D">
        <w:t>от позиции проправ</w:t>
      </w:r>
      <w:r w:rsidRPr="00E8231D">
        <w:t>и</w:t>
      </w:r>
      <w:r w:rsidRPr="00E8231D">
        <w:t>тельственной прессы.</w:t>
      </w:r>
      <w:r w:rsidR="00BA4C44">
        <w:t xml:space="preserve"> </w:t>
      </w:r>
      <w:r w:rsidR="00F92B12" w:rsidRPr="004F0F64">
        <w:t xml:space="preserve">Он полагает, что это </w:t>
      </w:r>
      <w:r w:rsidR="00F92B12">
        <w:t>было сделано</w:t>
      </w:r>
      <w:r w:rsidR="00F92B12" w:rsidRPr="004F0F64">
        <w:t xml:space="preserve"> по политическим м</w:t>
      </w:r>
      <w:r w:rsidR="00F92B12" w:rsidRPr="004F0F64">
        <w:t>о</w:t>
      </w:r>
      <w:r w:rsidR="00F92B12" w:rsidRPr="004F0F64">
        <w:t xml:space="preserve">тивам и </w:t>
      </w:r>
      <w:r w:rsidR="00F92B12">
        <w:t>означает</w:t>
      </w:r>
      <w:r w:rsidR="00F92B12" w:rsidRPr="004F0F64">
        <w:t xml:space="preserve"> дискриминацию в отношении </w:t>
      </w:r>
      <w:r w:rsidR="00F92B12">
        <w:t xml:space="preserve">его </w:t>
      </w:r>
      <w:r w:rsidR="00F92B12" w:rsidRPr="004F0F64">
        <w:t>права на получение инфо</w:t>
      </w:r>
      <w:r w:rsidR="00F92B12" w:rsidRPr="004F0F64">
        <w:t>р</w:t>
      </w:r>
      <w:r w:rsidR="00F92B12" w:rsidRPr="004F0F64">
        <w:t>мации как части права на свободу выражения.</w:t>
      </w:r>
    </w:p>
    <w:p w:rsidR="00F92B12" w:rsidRPr="004F0F64" w:rsidRDefault="00F92B12" w:rsidP="00F92B12">
      <w:pPr>
        <w:pStyle w:val="SingleTxtGR"/>
      </w:pPr>
      <w:r w:rsidRPr="004F0F64">
        <w:t>2.3</w:t>
      </w:r>
      <w:r w:rsidRPr="004F0F64">
        <w:tab/>
        <w:t>В октябре 2006 года автор направил компании "Белпочта"</w:t>
      </w:r>
      <w:r w:rsidRPr="00532857">
        <w:t xml:space="preserve"> </w:t>
      </w:r>
      <w:r w:rsidRPr="004F0F64">
        <w:t>письмо с просьбой включить "Витебский курьер М" в каталог для подписки на следу</w:t>
      </w:r>
      <w:r w:rsidRPr="004F0F64">
        <w:t>ю</w:t>
      </w:r>
      <w:r w:rsidRPr="004F0F64">
        <w:t xml:space="preserve">щий год. 3 ноября 2006 года "Белпочта" проинформировала автора о том, что </w:t>
      </w:r>
      <w:r>
        <w:t>данная</w:t>
      </w:r>
      <w:r w:rsidRPr="004F0F64">
        <w:t xml:space="preserve"> газета не включена в каталог на 2007 год</w:t>
      </w:r>
      <w:r>
        <w:t>,</w:t>
      </w:r>
      <w:r w:rsidRPr="004F0F64">
        <w:t xml:space="preserve"> что </w:t>
      </w:r>
      <w:r>
        <w:t>она имеет право сама в</w:t>
      </w:r>
      <w:r>
        <w:t>ы</w:t>
      </w:r>
      <w:r>
        <w:t>бирать</w:t>
      </w:r>
      <w:r w:rsidRPr="004F0F64">
        <w:t xml:space="preserve"> периодически</w:t>
      </w:r>
      <w:r>
        <w:t>е издания</w:t>
      </w:r>
      <w:r w:rsidRPr="004F0F64">
        <w:t xml:space="preserve"> для включения в каталог и что она не несет по закону никакого обязательства </w:t>
      </w:r>
      <w:r>
        <w:t>относительно</w:t>
      </w:r>
      <w:r w:rsidRPr="004F0F64">
        <w:t xml:space="preserve"> включени</w:t>
      </w:r>
      <w:r>
        <w:t>я</w:t>
      </w:r>
      <w:r w:rsidRPr="004F0F64">
        <w:t xml:space="preserve"> </w:t>
      </w:r>
      <w:r>
        <w:t xml:space="preserve">в подписной каталог того или иного </w:t>
      </w:r>
      <w:r w:rsidRPr="004F0F64">
        <w:t xml:space="preserve">периодического издания. 6 декабря 2006 года автор </w:t>
      </w:r>
      <w:r>
        <w:t xml:space="preserve">подал </w:t>
      </w:r>
      <w:r w:rsidRPr="004F0F64">
        <w:t>жал</w:t>
      </w:r>
      <w:r w:rsidRPr="004F0F64">
        <w:t>о</w:t>
      </w:r>
      <w:r w:rsidRPr="004F0F64">
        <w:t xml:space="preserve">бу </w:t>
      </w:r>
      <w:r>
        <w:t xml:space="preserve">в связи с полученным </w:t>
      </w:r>
      <w:r w:rsidRPr="004F0F64">
        <w:t>отказ</w:t>
      </w:r>
      <w:r>
        <w:t>ом</w:t>
      </w:r>
      <w:r w:rsidRPr="004F0F64">
        <w:t xml:space="preserve"> в суд Ленинского района города Витебска. </w:t>
      </w:r>
      <w:r>
        <w:t xml:space="preserve">Решением от </w:t>
      </w:r>
      <w:r w:rsidRPr="004F0F64">
        <w:t>10 января 2007 года жалоб</w:t>
      </w:r>
      <w:r>
        <w:t>а</w:t>
      </w:r>
      <w:r w:rsidRPr="004F0F64">
        <w:t xml:space="preserve"> был</w:t>
      </w:r>
      <w:r>
        <w:t>а</w:t>
      </w:r>
      <w:r w:rsidRPr="004F0F64">
        <w:t xml:space="preserve"> </w:t>
      </w:r>
      <w:r>
        <w:t>оставлена без рассмотрения</w:t>
      </w:r>
      <w:r w:rsidRPr="004F0F64">
        <w:t>. А</w:t>
      </w:r>
      <w:r w:rsidRPr="004F0F64">
        <w:t>в</w:t>
      </w:r>
      <w:r w:rsidRPr="004F0F64">
        <w:t xml:space="preserve">тор </w:t>
      </w:r>
      <w:r>
        <w:t xml:space="preserve">был проинформирован о том, что вначале он должен </w:t>
      </w:r>
      <w:r w:rsidRPr="004F0F64">
        <w:t>направ</w:t>
      </w:r>
      <w:r>
        <w:t>и</w:t>
      </w:r>
      <w:r w:rsidRPr="004F0F64">
        <w:t xml:space="preserve">ть жалобу в Министерство </w:t>
      </w:r>
      <w:r>
        <w:t xml:space="preserve">связи и </w:t>
      </w:r>
      <w:r w:rsidRPr="004F0F64">
        <w:t>информа</w:t>
      </w:r>
      <w:r>
        <w:t>тизации</w:t>
      </w:r>
      <w:r w:rsidRPr="004F0F64">
        <w:t>.</w:t>
      </w:r>
    </w:p>
    <w:p w:rsidR="00F92B12" w:rsidRPr="004F0F64" w:rsidRDefault="00F92B12" w:rsidP="00F92B12">
      <w:pPr>
        <w:pStyle w:val="SingleTxtGR"/>
      </w:pPr>
      <w:r w:rsidRPr="004F0F64">
        <w:t>2.4</w:t>
      </w:r>
      <w:r w:rsidRPr="004F0F64">
        <w:tab/>
        <w:t xml:space="preserve">8 марта 2007 года автор </w:t>
      </w:r>
      <w:r>
        <w:t xml:space="preserve">обжаловал </w:t>
      </w:r>
      <w:r w:rsidRPr="004F0F64">
        <w:t>решение Ленинского районного суда в Ми</w:t>
      </w:r>
      <w:r>
        <w:t>н</w:t>
      </w:r>
      <w:r w:rsidRPr="004F0F64">
        <w:t>ск</w:t>
      </w:r>
      <w:r>
        <w:t>ом городском суде</w:t>
      </w:r>
      <w:r w:rsidRPr="004F0F64">
        <w:t>. 30 июня 2007 года Минск</w:t>
      </w:r>
      <w:r>
        <w:t xml:space="preserve">ий городской суд отменил </w:t>
      </w:r>
      <w:r w:rsidRPr="004F0F64">
        <w:t xml:space="preserve">решение районного суда, </w:t>
      </w:r>
      <w:r>
        <w:t xml:space="preserve">сделав вывод о том, что </w:t>
      </w:r>
      <w:r w:rsidRPr="004F0F64">
        <w:t xml:space="preserve">(районный) суд не </w:t>
      </w:r>
      <w:r>
        <w:t>обладает</w:t>
      </w:r>
      <w:r w:rsidRPr="004F0F64">
        <w:t xml:space="preserve"> юрисдикцией в этом вопросе</w:t>
      </w:r>
      <w:r>
        <w:t xml:space="preserve">, и прекратил производство по делу </w:t>
      </w:r>
      <w:r w:rsidRPr="004F0F64">
        <w:t>авто</w:t>
      </w:r>
      <w:r>
        <w:t>ра. 11 </w:t>
      </w:r>
      <w:r w:rsidRPr="004F0F64">
        <w:t xml:space="preserve">февраля 2008 года автор </w:t>
      </w:r>
      <w:r>
        <w:t>принес протест</w:t>
      </w:r>
      <w:r w:rsidRPr="004F0F64">
        <w:t xml:space="preserve"> председателю Мин</w:t>
      </w:r>
      <w:r>
        <w:t>ского</w:t>
      </w:r>
      <w:r w:rsidRPr="004F0F64">
        <w:t xml:space="preserve"> городского суда </w:t>
      </w:r>
      <w:r>
        <w:t xml:space="preserve">на </w:t>
      </w:r>
      <w:r w:rsidRPr="004F0F64">
        <w:t>решени</w:t>
      </w:r>
      <w:r>
        <w:t>я</w:t>
      </w:r>
      <w:r w:rsidRPr="004F0F64">
        <w:t xml:space="preserve"> районного суда и Минск</w:t>
      </w:r>
      <w:r>
        <w:t>ого</w:t>
      </w:r>
      <w:r w:rsidRPr="00824C45">
        <w:t xml:space="preserve"> </w:t>
      </w:r>
      <w:r w:rsidRPr="004F0F64">
        <w:t xml:space="preserve">городского суда в </w:t>
      </w:r>
      <w:r>
        <w:t>порядке</w:t>
      </w:r>
      <w:r w:rsidRPr="004F0F64">
        <w:t xml:space="preserve"> надз</w:t>
      </w:r>
      <w:r w:rsidRPr="004F0F64">
        <w:t>о</w:t>
      </w:r>
      <w:r w:rsidRPr="004F0F64">
        <w:t>р</w:t>
      </w:r>
      <w:r>
        <w:t>а, который</w:t>
      </w:r>
      <w:r w:rsidRPr="004F0F64">
        <w:t xml:space="preserve"> был отклонен 10</w:t>
      </w:r>
      <w:r>
        <w:t xml:space="preserve"> </w:t>
      </w:r>
      <w:r w:rsidRPr="004F0F64">
        <w:t xml:space="preserve">марта 2008 года. 14 марта 2008 года автор </w:t>
      </w:r>
      <w:r>
        <w:t>обратился с просьбой в</w:t>
      </w:r>
      <w:r w:rsidRPr="004F0F64">
        <w:t xml:space="preserve"> Верховн</w:t>
      </w:r>
      <w:r>
        <w:t>ый</w:t>
      </w:r>
      <w:r w:rsidRPr="004F0F64">
        <w:t xml:space="preserve"> суд</w:t>
      </w:r>
      <w:r>
        <w:t xml:space="preserve"> о принесении протеста на постановления</w:t>
      </w:r>
      <w:r w:rsidRPr="004F0F64">
        <w:t xml:space="preserve"> район</w:t>
      </w:r>
      <w:r>
        <w:t xml:space="preserve">ного суда </w:t>
      </w:r>
      <w:r w:rsidRPr="004F0F64">
        <w:t>и Минского городского суда</w:t>
      </w:r>
      <w:r>
        <w:t xml:space="preserve"> с целью их отмены и направления дела на ра</w:t>
      </w:r>
      <w:r>
        <w:t>с</w:t>
      </w:r>
      <w:r>
        <w:t>смотрение в порядке судебного надзора</w:t>
      </w:r>
      <w:r w:rsidRPr="004F0F64">
        <w:t>. 25 апреля 2008 года Верховный суд о</w:t>
      </w:r>
      <w:r w:rsidRPr="004F0F64">
        <w:t>т</w:t>
      </w:r>
      <w:r w:rsidRPr="004F0F64">
        <w:t>кло</w:t>
      </w:r>
      <w:r>
        <w:t>нил эту</w:t>
      </w:r>
      <w:r w:rsidRPr="004F0F64">
        <w:t xml:space="preserve"> </w:t>
      </w:r>
      <w:r>
        <w:t>просьбу</w:t>
      </w:r>
      <w:r w:rsidRPr="004F0F64">
        <w:t>. Автор заявляет, что суды в Беларуси не являются незав</w:t>
      </w:r>
      <w:r w:rsidRPr="004F0F64">
        <w:t>и</w:t>
      </w:r>
      <w:r w:rsidRPr="004F0F64">
        <w:t>симыми</w:t>
      </w:r>
      <w:r>
        <w:rPr>
          <w:rStyle w:val="FootnoteReference"/>
        </w:rPr>
        <w:footnoteReference w:id="3"/>
      </w:r>
      <w:r w:rsidRPr="004F0F64">
        <w:t>.</w:t>
      </w:r>
    </w:p>
    <w:p w:rsidR="00F92B12" w:rsidRPr="004F0F64" w:rsidRDefault="00F92B12" w:rsidP="00F92B12">
      <w:pPr>
        <w:pStyle w:val="SingleTxtGR"/>
      </w:pPr>
      <w:r w:rsidRPr="004F0F64">
        <w:t>2.5</w:t>
      </w:r>
      <w:r w:rsidRPr="004F0F64">
        <w:tab/>
      </w:r>
      <w:r>
        <w:t>Одновременно с этим</w:t>
      </w:r>
      <w:r w:rsidRPr="004F0F64">
        <w:t xml:space="preserve"> 8 марта 2007 года автор </w:t>
      </w:r>
      <w:r>
        <w:t xml:space="preserve">обратился с ходатайством </w:t>
      </w:r>
      <w:r w:rsidRPr="004F0F64">
        <w:t xml:space="preserve">в Министерство </w:t>
      </w:r>
      <w:r>
        <w:t>связи и информатизации</w:t>
      </w:r>
      <w:r w:rsidRPr="004F0F64">
        <w:t xml:space="preserve"> с просьбой о включении этой газеты в подпис</w:t>
      </w:r>
      <w:r>
        <w:t>ной</w:t>
      </w:r>
      <w:r w:rsidRPr="004F0F64">
        <w:t xml:space="preserve"> каталог. 27 марта 2007 года Министерство </w:t>
      </w:r>
      <w:r>
        <w:t>отклонило</w:t>
      </w:r>
      <w:r w:rsidRPr="004F0F64">
        <w:t xml:space="preserve"> его </w:t>
      </w:r>
      <w:r>
        <w:t>ходатайс</w:t>
      </w:r>
      <w:r>
        <w:t>т</w:t>
      </w:r>
      <w:r>
        <w:t>во</w:t>
      </w:r>
      <w:r w:rsidRPr="004F0F64">
        <w:t>, аргументируя это тем, что решени</w:t>
      </w:r>
      <w:r>
        <w:t>я</w:t>
      </w:r>
      <w:r w:rsidRPr="004F0F64">
        <w:t xml:space="preserve"> о включени</w:t>
      </w:r>
      <w:r>
        <w:t>и</w:t>
      </w:r>
      <w:r w:rsidRPr="004F0F64">
        <w:t xml:space="preserve"> периодических изданий в подпис</w:t>
      </w:r>
      <w:r>
        <w:t>ной</w:t>
      </w:r>
      <w:r w:rsidRPr="004F0F64">
        <w:t xml:space="preserve"> каталог нахо</w:t>
      </w:r>
      <w:r>
        <w:t>дя</w:t>
      </w:r>
      <w:r w:rsidRPr="004F0F64">
        <w:t>тся в компетенции "Бе</w:t>
      </w:r>
      <w:r w:rsidRPr="004F0F64">
        <w:t>л</w:t>
      </w:r>
      <w:r w:rsidRPr="004F0F64">
        <w:t>почт</w:t>
      </w:r>
      <w:r>
        <w:t>ы</w:t>
      </w:r>
      <w:r w:rsidRPr="004F0F64">
        <w:t>".</w:t>
      </w:r>
    </w:p>
    <w:p w:rsidR="00F92B12" w:rsidRPr="004F0F64" w:rsidRDefault="00F92B12" w:rsidP="00F92B12">
      <w:pPr>
        <w:pStyle w:val="H23GR"/>
      </w:pPr>
      <w:r w:rsidRPr="00A55C60">
        <w:tab/>
      </w:r>
      <w:r w:rsidRPr="00A55C60">
        <w:tab/>
      </w:r>
      <w:r w:rsidRPr="004F0F64">
        <w:t>Жалоба</w:t>
      </w:r>
    </w:p>
    <w:p w:rsidR="00F92B12" w:rsidRPr="004F0F64" w:rsidRDefault="00F92B12" w:rsidP="00F92B12">
      <w:pPr>
        <w:pStyle w:val="SingleTxtGR"/>
      </w:pPr>
      <w:r w:rsidRPr="004F0F64">
        <w:t>3.</w:t>
      </w:r>
      <w:r w:rsidRPr="004F0F64">
        <w:tab/>
        <w:t xml:space="preserve">Автор </w:t>
      </w:r>
      <w:r>
        <w:t>утверждает</w:t>
      </w:r>
      <w:r w:rsidRPr="004F0F64">
        <w:t xml:space="preserve">, что вышеупомянутые факты </w:t>
      </w:r>
      <w:r>
        <w:t>свидетельствуют о</w:t>
      </w:r>
      <w:r w:rsidRPr="004F0F64">
        <w:t xml:space="preserve"> нар</w:t>
      </w:r>
      <w:r w:rsidRPr="004F0F64">
        <w:t>у</w:t>
      </w:r>
      <w:r w:rsidRPr="004F0F64">
        <w:t>шени</w:t>
      </w:r>
      <w:r>
        <w:t>и</w:t>
      </w:r>
      <w:r w:rsidRPr="004F0F64">
        <w:t xml:space="preserve"> его прав </w:t>
      </w:r>
      <w:r>
        <w:t>согласно</w:t>
      </w:r>
      <w:r w:rsidRPr="004F0F64">
        <w:t xml:space="preserve"> статье 2; пункту 1 статьи 5; пункту 1 статьи 14; пун</w:t>
      </w:r>
      <w:r w:rsidRPr="004F0F64">
        <w:t>к</w:t>
      </w:r>
      <w:r w:rsidRPr="004F0F64">
        <w:t>там 1 и 2 статьи 19; и статьи 26 Пакта, поскольку</w:t>
      </w:r>
      <w:r>
        <w:t>,</w:t>
      </w:r>
      <w:r w:rsidRPr="004F0F64">
        <w:t xml:space="preserve"> </w:t>
      </w:r>
      <w:r>
        <w:t>по его словам,</w:t>
      </w:r>
      <w:r w:rsidRPr="004F0F64">
        <w:t xml:space="preserve"> государство-участник нарушило его прав</w:t>
      </w:r>
      <w:r>
        <w:t>о</w:t>
      </w:r>
      <w:r w:rsidRPr="004F0F64">
        <w:t xml:space="preserve"> на свободу выражения, в частности право на п</w:t>
      </w:r>
      <w:r w:rsidRPr="004F0F64">
        <w:t>о</w:t>
      </w:r>
      <w:r w:rsidRPr="004F0F64">
        <w:t xml:space="preserve">лучение информации от частных средств массовой информации, что </w:t>
      </w:r>
      <w:r>
        <w:t>предс</w:t>
      </w:r>
      <w:r w:rsidRPr="004F0F64">
        <w:t>та</w:t>
      </w:r>
      <w:r w:rsidRPr="004F0F64">
        <w:t>в</w:t>
      </w:r>
      <w:r w:rsidRPr="004F0F64">
        <w:t xml:space="preserve">ляет </w:t>
      </w:r>
      <w:r>
        <w:t xml:space="preserve">собой </w:t>
      </w:r>
      <w:r w:rsidRPr="004F0F64">
        <w:t xml:space="preserve">дискриминацию; впоследствии </w:t>
      </w:r>
      <w:r>
        <w:t xml:space="preserve">государство </w:t>
      </w:r>
      <w:r w:rsidRPr="004F0F64">
        <w:t>отказало ему в доступе к независимому суду, нарушило принцип равенства перед законом и не обеспеч</w:t>
      </w:r>
      <w:r w:rsidRPr="004F0F64">
        <w:t>и</w:t>
      </w:r>
      <w:r w:rsidRPr="004F0F64">
        <w:t>ло ему эффективного средства правовой защиты.</w:t>
      </w:r>
    </w:p>
    <w:p w:rsidR="00F92B12" w:rsidRPr="004F0F64" w:rsidRDefault="00F92B12" w:rsidP="00F92B12">
      <w:pPr>
        <w:pStyle w:val="H23GR"/>
      </w:pPr>
      <w:r w:rsidRPr="00A55C60">
        <w:tab/>
      </w:r>
      <w:r w:rsidRPr="00A55C60">
        <w:tab/>
      </w:r>
      <w:r w:rsidRPr="004F0F64">
        <w:t xml:space="preserve">Замечания государства-участника </w:t>
      </w:r>
      <w:r>
        <w:t>относительно</w:t>
      </w:r>
      <w:r w:rsidRPr="004F0F64">
        <w:t xml:space="preserve"> приемлемости </w:t>
      </w:r>
      <w:r w:rsidR="00DA64A2">
        <w:t xml:space="preserve">и </w:t>
      </w:r>
      <w:r w:rsidRPr="004F0F64">
        <w:t>существ</w:t>
      </w:r>
      <w:r>
        <w:t>а</w:t>
      </w:r>
      <w:r w:rsidRPr="00012F01">
        <w:t xml:space="preserve"> </w:t>
      </w:r>
      <w:r w:rsidRPr="004F0F64">
        <w:t>сообщения</w:t>
      </w:r>
    </w:p>
    <w:p w:rsidR="00F92B12" w:rsidRPr="004F0F64" w:rsidRDefault="00F92B12" w:rsidP="00F92B12">
      <w:pPr>
        <w:pStyle w:val="SingleTxtGR"/>
      </w:pPr>
      <w:r w:rsidRPr="004F0F64">
        <w:t>4.1</w:t>
      </w:r>
      <w:r w:rsidRPr="004F0F64">
        <w:tab/>
        <w:t>В своей вербальной ноте от 4 декабря 2008 года государство-участник отмечает, что в порядке судебного надзора автор мог бы также подать апелл</w:t>
      </w:r>
      <w:r w:rsidRPr="004F0F64">
        <w:t>я</w:t>
      </w:r>
      <w:r w:rsidRPr="004F0F64">
        <w:t>цию Председателю Верховного суда и Генеральному прокурору, однако он этого не сделал. Поэтому, согласно государств</w:t>
      </w:r>
      <w:r>
        <w:t>у-участнику</w:t>
      </w:r>
      <w:r w:rsidRPr="004F0F64">
        <w:t xml:space="preserve">, автор не </w:t>
      </w:r>
      <w:r>
        <w:t>исчерпал</w:t>
      </w:r>
      <w:r w:rsidRPr="004F0F64">
        <w:t xml:space="preserve"> все имеющиеся </w:t>
      </w:r>
      <w:r>
        <w:t xml:space="preserve">в его распоряжении </w:t>
      </w:r>
      <w:r w:rsidRPr="004F0F64">
        <w:t>внутренние средства правовой защ</w:t>
      </w:r>
      <w:r w:rsidRPr="004F0F64">
        <w:t>и</w:t>
      </w:r>
      <w:r w:rsidRPr="004F0F64">
        <w:t>ты.</w:t>
      </w:r>
    </w:p>
    <w:p w:rsidR="00F92B12" w:rsidRPr="006B6D9C" w:rsidRDefault="00F92B12" w:rsidP="00F92B12">
      <w:pPr>
        <w:pStyle w:val="SingleTxtGR"/>
      </w:pPr>
      <w:r w:rsidRPr="004F0F64">
        <w:t>4.2</w:t>
      </w:r>
      <w:r w:rsidRPr="004F0F64">
        <w:tab/>
        <w:t xml:space="preserve">Далее государство-участник отмечает, что по существу в </w:t>
      </w:r>
      <w:r>
        <w:t>своей</w:t>
      </w:r>
      <w:r w:rsidRPr="004F0F64">
        <w:t xml:space="preserve"> жалобе на компанию "Белпочта" в октябре 2006 года автор опротестовал решение "Бе</w:t>
      </w:r>
      <w:r w:rsidRPr="004F0F64">
        <w:t>л</w:t>
      </w:r>
      <w:r w:rsidRPr="004F0F64">
        <w:t>почт</w:t>
      </w:r>
      <w:r>
        <w:t>ы</w:t>
      </w:r>
      <w:r w:rsidRPr="004F0F64">
        <w:t xml:space="preserve">" </w:t>
      </w:r>
      <w:r>
        <w:t xml:space="preserve">не включать указанную </w:t>
      </w:r>
      <w:r w:rsidRPr="004F0F64">
        <w:t>газет</w:t>
      </w:r>
      <w:r>
        <w:t>у</w:t>
      </w:r>
      <w:r w:rsidRPr="004F0F64">
        <w:t xml:space="preserve"> в </w:t>
      </w:r>
      <w:r>
        <w:t>список</w:t>
      </w:r>
      <w:r w:rsidRPr="004F0F64">
        <w:t xml:space="preserve"> подписных изданий. Как отм</w:t>
      </w:r>
      <w:r w:rsidRPr="004F0F64">
        <w:t>е</w:t>
      </w:r>
      <w:r w:rsidRPr="004F0F64">
        <w:t xml:space="preserve">чалось представителями этой </w:t>
      </w:r>
      <w:r>
        <w:t>компании</w:t>
      </w:r>
      <w:r w:rsidRPr="004F0F64">
        <w:t xml:space="preserve"> в их ответе автору сообщения, "Белпо</w:t>
      </w:r>
      <w:r w:rsidRPr="004F0F64">
        <w:t>ч</w:t>
      </w:r>
      <w:r w:rsidRPr="004F0F64">
        <w:t>та" не не</w:t>
      </w:r>
      <w:r>
        <w:t>сет правового</w:t>
      </w:r>
      <w:r w:rsidRPr="004F0F64">
        <w:t xml:space="preserve"> обязательств</w:t>
      </w:r>
      <w:r>
        <w:t>а</w:t>
      </w:r>
      <w:r w:rsidRPr="004F0F64">
        <w:t xml:space="preserve"> включать любую конкретную газету в свой каталог</w:t>
      </w:r>
      <w:r>
        <w:t>,</w:t>
      </w:r>
      <w:r w:rsidRPr="004F0F64">
        <w:t xml:space="preserve"> и </w:t>
      </w:r>
      <w:r>
        <w:t>решение</w:t>
      </w:r>
      <w:r w:rsidRPr="004F0F64">
        <w:t xml:space="preserve">, какое </w:t>
      </w:r>
      <w:r>
        <w:t xml:space="preserve">именно </w:t>
      </w:r>
      <w:r w:rsidRPr="004F0F64">
        <w:t>периодическое издание включать в кат</w:t>
      </w:r>
      <w:r w:rsidRPr="004F0F64">
        <w:t>а</w:t>
      </w:r>
      <w:r w:rsidRPr="004F0F64">
        <w:t xml:space="preserve">лог, является ее исключительным правом. </w:t>
      </w:r>
      <w:r w:rsidRPr="006B6D9C">
        <w:t xml:space="preserve">Автор </w:t>
      </w:r>
      <w:r>
        <w:t>обжаловал</w:t>
      </w:r>
      <w:r w:rsidRPr="006B6D9C">
        <w:t xml:space="preserve"> это решение</w:t>
      </w:r>
      <w:r>
        <w:t>, за</w:t>
      </w:r>
      <w:r>
        <w:t>я</w:t>
      </w:r>
      <w:r>
        <w:t>вив</w:t>
      </w:r>
      <w:r w:rsidRPr="006B6D9C">
        <w:t>, что оно нарушает его право на получ</w:t>
      </w:r>
      <w:r w:rsidRPr="006B6D9C">
        <w:t>е</w:t>
      </w:r>
      <w:r w:rsidRPr="006B6D9C">
        <w:t xml:space="preserve">ние информации. 10 января 2007 года Ленинский районный суд </w:t>
      </w:r>
      <w:r>
        <w:t>отклонил его жалобу</w:t>
      </w:r>
      <w:r w:rsidRPr="006B6D9C">
        <w:t>. Автор опротестовал это реш</w:t>
      </w:r>
      <w:r w:rsidRPr="006B6D9C">
        <w:t>е</w:t>
      </w:r>
      <w:r w:rsidRPr="006B6D9C">
        <w:t xml:space="preserve">ние </w:t>
      </w:r>
      <w:r>
        <w:t>в Минском городском суде, заявив, что оно является незаконным.</w:t>
      </w:r>
      <w:r w:rsidRPr="006B6D9C">
        <w:t xml:space="preserve"> </w:t>
      </w:r>
      <w:r>
        <w:t xml:space="preserve">Минский </w:t>
      </w:r>
      <w:r w:rsidRPr="006B6D9C">
        <w:t>городской суд отметил, что фактически претензия автора опротестовывает р</w:t>
      </w:r>
      <w:r w:rsidRPr="006B6D9C">
        <w:t>е</w:t>
      </w:r>
      <w:r w:rsidRPr="006B6D9C">
        <w:t>шение "Белпочт</w:t>
      </w:r>
      <w:r>
        <w:t>ы</w:t>
      </w:r>
      <w:r w:rsidRPr="006B6D9C">
        <w:t xml:space="preserve">" не включать газету "Витебский Курьер М" в свой </w:t>
      </w:r>
      <w:r>
        <w:t xml:space="preserve">подписной </w:t>
      </w:r>
      <w:r w:rsidRPr="006B6D9C">
        <w:t xml:space="preserve">каталог. </w:t>
      </w:r>
      <w:r>
        <w:t>Минский г</w:t>
      </w:r>
      <w:r w:rsidRPr="006B6D9C">
        <w:t xml:space="preserve">ородской суд </w:t>
      </w:r>
      <w:r>
        <w:t>отм</w:t>
      </w:r>
      <w:r>
        <w:t>е</w:t>
      </w:r>
      <w:r>
        <w:t>нил</w:t>
      </w:r>
      <w:r w:rsidRPr="006B6D9C">
        <w:t xml:space="preserve"> решение районного суда и </w:t>
      </w:r>
      <w:r>
        <w:t>прекратил производство по делу</w:t>
      </w:r>
      <w:r w:rsidRPr="006B6D9C">
        <w:t xml:space="preserve">, поскольку оно находится </w:t>
      </w:r>
      <w:r>
        <w:t>вне</w:t>
      </w:r>
      <w:r w:rsidRPr="006B6D9C">
        <w:t xml:space="preserve"> его юрисдикции.</w:t>
      </w:r>
    </w:p>
    <w:p w:rsidR="00F92B12" w:rsidRPr="006B6D9C" w:rsidRDefault="00F92B12" w:rsidP="00F92B12">
      <w:pPr>
        <w:pStyle w:val="SingleTxtGR"/>
      </w:pPr>
      <w:r w:rsidRPr="006B6D9C">
        <w:t>4.3</w:t>
      </w:r>
      <w:r w:rsidRPr="006B6D9C">
        <w:tab/>
        <w:t>14 мая 2009 года государство-участник повторило свои предыдущие з</w:t>
      </w:r>
      <w:r w:rsidRPr="006B6D9C">
        <w:t>а</w:t>
      </w:r>
      <w:r w:rsidRPr="006B6D9C">
        <w:t>мечания</w:t>
      </w:r>
      <w:r>
        <w:t>,</w:t>
      </w:r>
      <w:r w:rsidRPr="006B6D9C">
        <w:t xml:space="preserve"> добави</w:t>
      </w:r>
      <w:r>
        <w:t>в</w:t>
      </w:r>
      <w:r w:rsidRPr="006B6D9C">
        <w:t>, что в соответствии с законом о печатных и других средс</w:t>
      </w:r>
      <w:r w:rsidRPr="006B6D9C">
        <w:t>т</w:t>
      </w:r>
      <w:r w:rsidRPr="006B6D9C">
        <w:t>вах массовой информации распр</w:t>
      </w:r>
      <w:r>
        <w:t>остранение</w:t>
      </w:r>
      <w:r w:rsidRPr="006B6D9C">
        <w:t xml:space="preserve"> продук</w:t>
      </w:r>
      <w:r>
        <w:t>ции</w:t>
      </w:r>
      <w:r w:rsidRPr="006B6D9C">
        <w:t xml:space="preserve"> средств массовой информ</w:t>
      </w:r>
      <w:r w:rsidRPr="006B6D9C">
        <w:t>а</w:t>
      </w:r>
      <w:r w:rsidRPr="006B6D9C">
        <w:t xml:space="preserve">ции </w:t>
      </w:r>
      <w:r>
        <w:t>осуществляется самими</w:t>
      </w:r>
      <w:r w:rsidRPr="006B6D9C">
        <w:t xml:space="preserve"> средств</w:t>
      </w:r>
      <w:r>
        <w:t>ами</w:t>
      </w:r>
      <w:r w:rsidRPr="006B6D9C">
        <w:t xml:space="preserve"> массовой информации и непосредс</w:t>
      </w:r>
      <w:r w:rsidRPr="006B6D9C">
        <w:t>т</w:t>
      </w:r>
      <w:r w:rsidRPr="006B6D9C">
        <w:t xml:space="preserve">венно </w:t>
      </w:r>
      <w:r>
        <w:t>или</w:t>
      </w:r>
      <w:r w:rsidRPr="006B6D9C">
        <w:t xml:space="preserve"> через государств</w:t>
      </w:r>
      <w:r>
        <w:t>о</w:t>
      </w:r>
      <w:r w:rsidRPr="006B6D9C">
        <w:t xml:space="preserve"> на договорн</w:t>
      </w:r>
      <w:r>
        <w:t>ых или иных основаниях, кооперати</w:t>
      </w:r>
      <w:r>
        <w:t>в</w:t>
      </w:r>
      <w:r>
        <w:t>ными или общественными объединениями, а также частными юридическими лицами</w:t>
      </w:r>
      <w:r w:rsidRPr="006B6D9C">
        <w:t>. Таким образом</w:t>
      </w:r>
      <w:r>
        <w:t>,</w:t>
      </w:r>
      <w:r w:rsidRPr="006B6D9C">
        <w:t xml:space="preserve"> вопрос</w:t>
      </w:r>
      <w:r>
        <w:t>ы</w:t>
      </w:r>
      <w:r w:rsidRPr="006B6D9C">
        <w:t xml:space="preserve"> заключения договоров на </w:t>
      </w:r>
      <w:r>
        <w:t>распространение изданий</w:t>
      </w:r>
      <w:r w:rsidRPr="006B6D9C">
        <w:t xml:space="preserve"> между редакцией "Витебского Курьера М" и "Белпочт</w:t>
      </w:r>
      <w:r>
        <w:t>ы</w:t>
      </w:r>
      <w:r w:rsidRPr="006B6D9C">
        <w:t xml:space="preserve">" </w:t>
      </w:r>
      <w:r>
        <w:t>не о</w:t>
      </w:r>
      <w:r>
        <w:t>т</w:t>
      </w:r>
      <w:r>
        <w:t>носятся к компетенции</w:t>
      </w:r>
      <w:r w:rsidRPr="006B6D9C">
        <w:t xml:space="preserve"> судов. Государство-участник добавляет, что автор </w:t>
      </w:r>
      <w:r>
        <w:t>был проинфо</w:t>
      </w:r>
      <w:r>
        <w:t>р</w:t>
      </w:r>
      <w:r>
        <w:t>мирован судами</w:t>
      </w:r>
      <w:r w:rsidRPr="006B6D9C">
        <w:t xml:space="preserve"> о его праве </w:t>
      </w:r>
      <w:r>
        <w:t>подать</w:t>
      </w:r>
      <w:r w:rsidRPr="006B6D9C">
        <w:t xml:space="preserve"> внесудебную жалобу Министерс</w:t>
      </w:r>
      <w:r w:rsidRPr="006B6D9C">
        <w:t>т</w:t>
      </w:r>
      <w:r w:rsidRPr="006B6D9C">
        <w:t xml:space="preserve">ву </w:t>
      </w:r>
      <w:r>
        <w:t>связи</w:t>
      </w:r>
      <w:r w:rsidRPr="006B6D9C">
        <w:t xml:space="preserve"> и информатизации, однако он не воспользовался этой возможностью.</w:t>
      </w:r>
    </w:p>
    <w:p w:rsidR="00F92B12" w:rsidRPr="006B6D9C" w:rsidRDefault="00F92B12" w:rsidP="00F92B12">
      <w:pPr>
        <w:pStyle w:val="SingleTxtGR"/>
      </w:pPr>
      <w:r w:rsidRPr="006B6D9C">
        <w:t>4.4</w:t>
      </w:r>
      <w:r w:rsidRPr="006B6D9C">
        <w:tab/>
        <w:t xml:space="preserve">21 сентября 2009 года государство-участник опровергло </w:t>
      </w:r>
      <w:r>
        <w:t>утверждения</w:t>
      </w:r>
      <w:r w:rsidRPr="006B6D9C">
        <w:t xml:space="preserve"> а</w:t>
      </w:r>
      <w:r w:rsidRPr="006B6D9C">
        <w:t>в</w:t>
      </w:r>
      <w:r w:rsidRPr="006B6D9C">
        <w:t xml:space="preserve">тора </w:t>
      </w:r>
      <w:r>
        <w:t>относительно</w:t>
      </w:r>
      <w:r w:rsidRPr="006B6D9C">
        <w:t xml:space="preserve"> независимости белорусской судебной системы. Оно поясн</w:t>
      </w:r>
      <w:r w:rsidRPr="006B6D9C">
        <w:t>я</w:t>
      </w:r>
      <w:r w:rsidRPr="006B6D9C">
        <w:t>ет, что в соответствии с Конституцией и законами судьи являются независим</w:t>
      </w:r>
      <w:r w:rsidRPr="006B6D9C">
        <w:t>ы</w:t>
      </w:r>
      <w:r w:rsidRPr="006B6D9C">
        <w:t>ми при отправлении правосудия и</w:t>
      </w:r>
      <w:r w:rsidRPr="003E336D">
        <w:t xml:space="preserve"> </w:t>
      </w:r>
      <w:r w:rsidRPr="006B6D9C">
        <w:t xml:space="preserve">никакого вмешательства в их деятельность не допускается. Кроме того, судьи Верховного суда и </w:t>
      </w:r>
      <w:r>
        <w:t>Высшего хозяйственного</w:t>
      </w:r>
      <w:r w:rsidRPr="006B6D9C">
        <w:t xml:space="preserve"> с</w:t>
      </w:r>
      <w:r w:rsidRPr="006B6D9C">
        <w:t>у</w:t>
      </w:r>
      <w:r w:rsidRPr="006B6D9C">
        <w:t>да назначаются Президентом Беларуси по соглашению с Советом Республики Национально</w:t>
      </w:r>
      <w:r>
        <w:t>го собрания по</w:t>
      </w:r>
      <w:r w:rsidRPr="006B6D9C">
        <w:t xml:space="preserve"> предложению</w:t>
      </w:r>
      <w:r>
        <w:t>,</w:t>
      </w:r>
      <w:r w:rsidRPr="006B6D9C">
        <w:t xml:space="preserve"> соответственно</w:t>
      </w:r>
      <w:r>
        <w:t>,</w:t>
      </w:r>
      <w:r w:rsidRPr="006B6D9C">
        <w:t xml:space="preserve"> Председателя Ве</w:t>
      </w:r>
      <w:r w:rsidRPr="006B6D9C">
        <w:t>р</w:t>
      </w:r>
      <w:r w:rsidRPr="006B6D9C">
        <w:t xml:space="preserve">ховного суда и </w:t>
      </w:r>
      <w:r>
        <w:t>Высшего хозяйственного</w:t>
      </w:r>
      <w:r w:rsidRPr="006B6D9C">
        <w:t xml:space="preserve"> суда.</w:t>
      </w:r>
    </w:p>
    <w:p w:rsidR="00F92B12" w:rsidRPr="006B6D9C" w:rsidRDefault="00F92B12" w:rsidP="00F92B12">
      <w:pPr>
        <w:pStyle w:val="H23GR"/>
      </w:pPr>
      <w:r w:rsidRPr="00CC056A">
        <w:tab/>
      </w:r>
      <w:r w:rsidRPr="00CC056A">
        <w:tab/>
      </w:r>
      <w:r w:rsidRPr="006B6D9C">
        <w:t xml:space="preserve">Комментарии автора сообщения </w:t>
      </w:r>
      <w:r>
        <w:t>по</w:t>
      </w:r>
      <w:r w:rsidRPr="006B6D9C">
        <w:t xml:space="preserve"> замечани</w:t>
      </w:r>
      <w:r>
        <w:t>ям</w:t>
      </w:r>
      <w:r w:rsidRPr="006B6D9C">
        <w:t xml:space="preserve"> государства-участника</w:t>
      </w:r>
    </w:p>
    <w:p w:rsidR="00F92B12" w:rsidRPr="006B6D9C" w:rsidRDefault="00F92B12" w:rsidP="00F92B12">
      <w:pPr>
        <w:pStyle w:val="SingleTxtGR"/>
      </w:pPr>
      <w:r w:rsidRPr="006B6D9C">
        <w:t>5.1</w:t>
      </w:r>
      <w:r w:rsidRPr="006B6D9C">
        <w:tab/>
        <w:t xml:space="preserve">Автор представил комментарии </w:t>
      </w:r>
      <w:r>
        <w:t>по</w:t>
      </w:r>
      <w:r w:rsidRPr="006B6D9C">
        <w:t xml:space="preserve"> замечани</w:t>
      </w:r>
      <w:r>
        <w:t>ям</w:t>
      </w:r>
      <w:r w:rsidRPr="006B6D9C">
        <w:t xml:space="preserve"> государства-участника 24</w:t>
      </w:r>
      <w:r>
        <w:t> </w:t>
      </w:r>
      <w:r w:rsidRPr="006B6D9C">
        <w:t xml:space="preserve">апреля 2009 года. </w:t>
      </w:r>
      <w:r>
        <w:t>Во-первых, он</w:t>
      </w:r>
      <w:r w:rsidRPr="006B6D9C">
        <w:t xml:space="preserve"> отмечает, что апелляции в порядке судебн</w:t>
      </w:r>
      <w:r w:rsidRPr="006B6D9C">
        <w:t>о</w:t>
      </w:r>
      <w:r w:rsidRPr="006B6D9C">
        <w:t xml:space="preserve">го надзора как в Верховный суд, так и Генеральному прокурору не </w:t>
      </w:r>
      <w:r>
        <w:t>являются</w:t>
      </w:r>
      <w:r w:rsidRPr="006B6D9C">
        <w:t xml:space="preserve"> средств</w:t>
      </w:r>
      <w:r>
        <w:t>ами</w:t>
      </w:r>
      <w:r w:rsidRPr="006B6D9C">
        <w:t xml:space="preserve"> правовой защиты, </w:t>
      </w:r>
      <w:r>
        <w:t>подлежащими исчерпанию для целей</w:t>
      </w:r>
      <w:r w:rsidRPr="006B6D9C">
        <w:t xml:space="preserve"> пункта 2 </w:t>
      </w:r>
      <w:r w:rsidRPr="006B6D9C">
        <w:rPr>
          <w:lang w:val="en-US"/>
        </w:rPr>
        <w:t>b</w:t>
      </w:r>
      <w:r w:rsidRPr="006B6D9C">
        <w:t>) статьи 5 Факультативного протокола, поскольку они носят дискреционный х</w:t>
      </w:r>
      <w:r w:rsidRPr="006B6D9C">
        <w:t>а</w:t>
      </w:r>
      <w:r w:rsidRPr="006B6D9C">
        <w:t xml:space="preserve">рактер и касаются </w:t>
      </w:r>
      <w:r>
        <w:t xml:space="preserve">судебных </w:t>
      </w:r>
      <w:r w:rsidRPr="006B6D9C">
        <w:t xml:space="preserve">решений, которые являются окончательными и подлежат применению. Кроме того, </w:t>
      </w:r>
      <w:r>
        <w:t>подача</w:t>
      </w:r>
      <w:r w:rsidRPr="006B6D9C">
        <w:t xml:space="preserve"> жалоб в порядке судебного надзора не является</w:t>
      </w:r>
      <w:r w:rsidR="00DA64A2">
        <w:t>,</w:t>
      </w:r>
      <w:r w:rsidRPr="006B6D9C">
        <w:t xml:space="preserve"> согласно национальному закон</w:t>
      </w:r>
      <w:r>
        <w:t>одательству</w:t>
      </w:r>
      <w:r w:rsidR="00DA64A2">
        <w:t>,</w:t>
      </w:r>
      <w:r w:rsidRPr="006B6D9C">
        <w:t xml:space="preserve"> обяз</w:t>
      </w:r>
      <w:r w:rsidRPr="006B6D9C">
        <w:t>а</w:t>
      </w:r>
      <w:r w:rsidRPr="006B6D9C">
        <w:t>тельным.</w:t>
      </w:r>
    </w:p>
    <w:p w:rsidR="00F92B12" w:rsidRPr="006B6D9C" w:rsidRDefault="00F92B12" w:rsidP="00F92B12">
      <w:pPr>
        <w:pStyle w:val="SingleTxtGR"/>
      </w:pPr>
      <w:r w:rsidRPr="006B6D9C">
        <w:t>5.2</w:t>
      </w:r>
      <w:r w:rsidRPr="006B6D9C">
        <w:tab/>
        <w:t xml:space="preserve">Автор добавляет, что 8 марта 2007 года он направил жалобу </w:t>
      </w:r>
      <w:r>
        <w:t xml:space="preserve">в </w:t>
      </w:r>
      <w:r w:rsidRPr="006B6D9C">
        <w:t>Министе</w:t>
      </w:r>
      <w:r w:rsidRPr="006B6D9C">
        <w:t>р</w:t>
      </w:r>
      <w:r w:rsidRPr="006B6D9C">
        <w:t>ств</w:t>
      </w:r>
      <w:r>
        <w:t>о связи</w:t>
      </w:r>
      <w:r w:rsidRPr="006B6D9C">
        <w:t xml:space="preserve"> и информатизации,</w:t>
      </w:r>
      <w:r>
        <w:t xml:space="preserve"> в которой он спрашивал, находится</w:t>
      </w:r>
      <w:r w:rsidRPr="006B6D9C">
        <w:t xml:space="preserve"> ли компания "Белпочта" в подчинении указанного Министерства. Из ответа Минист</w:t>
      </w:r>
      <w:r>
        <w:t>ерства</w:t>
      </w:r>
      <w:r w:rsidRPr="006B6D9C">
        <w:t xml:space="preserve"> </w:t>
      </w:r>
      <w:r>
        <w:t xml:space="preserve">от </w:t>
      </w:r>
      <w:r w:rsidRPr="006B6D9C">
        <w:t>27 марта 2007 года следует, что "Белпочта" является автономной эк</w:t>
      </w:r>
      <w:r w:rsidRPr="006B6D9C">
        <w:t>о</w:t>
      </w:r>
      <w:r w:rsidRPr="006B6D9C">
        <w:t xml:space="preserve">номической структурой и </w:t>
      </w:r>
      <w:r>
        <w:t xml:space="preserve">что </w:t>
      </w:r>
      <w:r w:rsidRPr="006B6D9C">
        <w:t>решение о включени</w:t>
      </w:r>
      <w:r w:rsidR="00DA64A2">
        <w:t>и</w:t>
      </w:r>
      <w:r w:rsidRPr="006B6D9C">
        <w:t xml:space="preserve"> </w:t>
      </w:r>
      <w:r>
        <w:t>той или иной</w:t>
      </w:r>
      <w:r w:rsidRPr="006B6D9C">
        <w:t xml:space="preserve"> газеты в каталог подпи</w:t>
      </w:r>
      <w:r w:rsidRPr="006B6D9C">
        <w:t>с</w:t>
      </w:r>
      <w:r w:rsidRPr="006B6D9C">
        <w:t xml:space="preserve">ных изданий находится полностью в </w:t>
      </w:r>
      <w:r>
        <w:t>сфере</w:t>
      </w:r>
      <w:r w:rsidRPr="006B6D9C">
        <w:t xml:space="preserve"> компетенции этой </w:t>
      </w:r>
      <w:r>
        <w:t>компании</w:t>
      </w:r>
      <w:r w:rsidRPr="006B6D9C">
        <w:t>.</w:t>
      </w:r>
    </w:p>
    <w:p w:rsidR="00F92B12" w:rsidRPr="006B6D9C" w:rsidRDefault="00F92B12" w:rsidP="00F92B12">
      <w:pPr>
        <w:pStyle w:val="H23GR"/>
      </w:pPr>
      <w:r w:rsidRPr="004F0390">
        <w:tab/>
      </w:r>
      <w:r w:rsidRPr="004F0390">
        <w:tab/>
      </w:r>
      <w:r w:rsidRPr="006B6D9C">
        <w:t>Вопросы и процедур</w:t>
      </w:r>
      <w:r>
        <w:t>а</w:t>
      </w:r>
      <w:r w:rsidRPr="006B6D9C">
        <w:t xml:space="preserve"> их рассмотрения в Комитете</w:t>
      </w:r>
    </w:p>
    <w:p w:rsidR="00F92B12" w:rsidRPr="006B6D9C" w:rsidRDefault="00F92B12" w:rsidP="00F92B12">
      <w:pPr>
        <w:pStyle w:val="H4GR"/>
      </w:pPr>
      <w:r w:rsidRPr="004B0FA2">
        <w:tab/>
      </w:r>
      <w:r w:rsidRPr="004B0FA2">
        <w:tab/>
      </w:r>
      <w:r w:rsidRPr="006B6D9C">
        <w:t>Рассмотрение вопроса о приемлемости</w:t>
      </w:r>
    </w:p>
    <w:p w:rsidR="00F92B12" w:rsidRPr="006B6D9C" w:rsidRDefault="00F92B12" w:rsidP="00F92B12">
      <w:pPr>
        <w:pStyle w:val="SingleTxtGR"/>
      </w:pPr>
      <w:r w:rsidRPr="006B6D9C">
        <w:t>6.1</w:t>
      </w:r>
      <w:r w:rsidRPr="006B6D9C">
        <w:tab/>
      </w:r>
      <w:r>
        <w:t>Прежде чем рассматривать любое заявление,</w:t>
      </w:r>
      <w:r w:rsidRPr="006B6D9C">
        <w:t xml:space="preserve"> содержаще</w:t>
      </w:r>
      <w:r>
        <w:t>е</w:t>
      </w:r>
      <w:r w:rsidRPr="006B6D9C">
        <w:t>ся в сообщ</w:t>
      </w:r>
      <w:r w:rsidRPr="006B6D9C">
        <w:t>е</w:t>
      </w:r>
      <w:r w:rsidRPr="006B6D9C">
        <w:t>нии, Комитет по правам человека должен в соответствии с правил</w:t>
      </w:r>
      <w:r>
        <w:t>ом</w:t>
      </w:r>
      <w:r w:rsidRPr="006B6D9C">
        <w:t xml:space="preserve"> 93 </w:t>
      </w:r>
      <w:r>
        <w:t xml:space="preserve">своих </w:t>
      </w:r>
      <w:r w:rsidRPr="006B6D9C">
        <w:t>пр</w:t>
      </w:r>
      <w:r w:rsidRPr="006B6D9C">
        <w:t>а</w:t>
      </w:r>
      <w:r w:rsidRPr="006B6D9C">
        <w:t xml:space="preserve">вил процедуры принять решение о </w:t>
      </w:r>
      <w:r>
        <w:t xml:space="preserve">том, является ли оно </w:t>
      </w:r>
      <w:r w:rsidRPr="006B6D9C">
        <w:t>приемлем</w:t>
      </w:r>
      <w:r>
        <w:t>ым в соотве</w:t>
      </w:r>
      <w:r>
        <w:t>т</w:t>
      </w:r>
      <w:r>
        <w:t>ствии с</w:t>
      </w:r>
      <w:r w:rsidRPr="006B6D9C">
        <w:t xml:space="preserve"> Факультативн</w:t>
      </w:r>
      <w:r>
        <w:t>ым</w:t>
      </w:r>
      <w:r w:rsidRPr="006B6D9C">
        <w:t xml:space="preserve"> прот</w:t>
      </w:r>
      <w:r w:rsidRPr="006B6D9C">
        <w:t>о</w:t>
      </w:r>
      <w:r>
        <w:t>колом</w:t>
      </w:r>
      <w:r w:rsidRPr="006B6D9C">
        <w:t xml:space="preserve"> к Пакту.</w:t>
      </w:r>
    </w:p>
    <w:p w:rsidR="00F92B12" w:rsidRDefault="00F92B12" w:rsidP="00F92B12">
      <w:pPr>
        <w:pStyle w:val="SingleTxtGR"/>
      </w:pPr>
      <w:r w:rsidRPr="006B6D9C">
        <w:t>6.2</w:t>
      </w:r>
      <w:r w:rsidRPr="006B6D9C">
        <w:tab/>
        <w:t xml:space="preserve">Комитет принял к сведению объяснение автора о том, что он исчерпал все имеющиеся </w:t>
      </w:r>
      <w:r>
        <w:t xml:space="preserve">у него </w:t>
      </w:r>
      <w:r w:rsidRPr="006B6D9C">
        <w:t xml:space="preserve">внутренние средства правовой защиты вплоть до Верховного суда Беларуси. В отношении </w:t>
      </w:r>
      <w:r>
        <w:t>утверждения</w:t>
      </w:r>
      <w:r w:rsidRPr="006B6D9C">
        <w:t xml:space="preserve"> государства-участника о том, что а</w:t>
      </w:r>
      <w:r w:rsidRPr="006B6D9C">
        <w:t>в</w:t>
      </w:r>
      <w:r w:rsidRPr="006B6D9C">
        <w:t xml:space="preserve">тор мог бы </w:t>
      </w:r>
      <w:r>
        <w:t>также подать</w:t>
      </w:r>
      <w:r w:rsidRPr="006B6D9C">
        <w:t xml:space="preserve"> апелляцию Генеральному прокурору с </w:t>
      </w:r>
      <w:r>
        <w:t>просьбой о принесении протеста</w:t>
      </w:r>
      <w:r w:rsidRPr="006B6D9C">
        <w:t xml:space="preserve"> в порядке судебного надзора, Комитет </w:t>
      </w:r>
      <w:r>
        <w:t>ссылается на</w:t>
      </w:r>
      <w:r w:rsidRPr="006B6D9C">
        <w:t xml:space="preserve"> свою правовую практику</w:t>
      </w:r>
      <w:r>
        <w:t xml:space="preserve"> и заявляет</w:t>
      </w:r>
      <w:r w:rsidRPr="006B6D9C">
        <w:t xml:space="preserve">, что такие </w:t>
      </w:r>
      <w:r>
        <w:t>формы</w:t>
      </w:r>
      <w:r w:rsidRPr="006B6D9C">
        <w:t xml:space="preserve"> правовой защиты не </w:t>
      </w:r>
      <w:r>
        <w:t>являютс</w:t>
      </w:r>
      <w:r>
        <w:t>я</w:t>
      </w:r>
      <w:r w:rsidRPr="006B6D9C">
        <w:t xml:space="preserve"> сред</w:t>
      </w:r>
      <w:r>
        <w:t>ством</w:t>
      </w:r>
      <w:r w:rsidRPr="006B6D9C">
        <w:t xml:space="preserve"> правовой защиты, котор</w:t>
      </w:r>
      <w:r>
        <w:t>о</w:t>
      </w:r>
      <w:r w:rsidRPr="006B6D9C">
        <w:t xml:space="preserve">е </w:t>
      </w:r>
      <w:r>
        <w:t>должно быть</w:t>
      </w:r>
      <w:r w:rsidRPr="006B6D9C">
        <w:t xml:space="preserve"> исчерпан</w:t>
      </w:r>
      <w:r>
        <w:t>о</w:t>
      </w:r>
      <w:r w:rsidRPr="006B6D9C">
        <w:t xml:space="preserve"> </w:t>
      </w:r>
      <w:r>
        <w:t>для</w:t>
      </w:r>
      <w:r w:rsidRPr="006B6D9C">
        <w:t xml:space="preserve"> цел</w:t>
      </w:r>
      <w:r>
        <w:t>ей</w:t>
      </w:r>
      <w:r w:rsidRPr="006B6D9C">
        <w:t xml:space="preserve"> пун</w:t>
      </w:r>
      <w:r w:rsidRPr="006B6D9C">
        <w:t>к</w:t>
      </w:r>
      <w:r w:rsidRPr="006B6D9C">
        <w:t>та</w:t>
      </w:r>
      <w:r>
        <w:t> </w:t>
      </w:r>
      <w:r w:rsidRPr="006B6D9C">
        <w:t xml:space="preserve">2 </w:t>
      </w:r>
      <w:r w:rsidRPr="006B6D9C">
        <w:rPr>
          <w:lang w:val="en-US"/>
        </w:rPr>
        <w:t>b</w:t>
      </w:r>
      <w:r w:rsidRPr="006B6D9C">
        <w:t>) статьи 5 Факультати</w:t>
      </w:r>
      <w:r w:rsidRPr="006B6D9C">
        <w:t>в</w:t>
      </w:r>
      <w:r w:rsidRPr="006B6D9C">
        <w:t>ного протокола</w:t>
      </w:r>
      <w:r w:rsidRPr="00DF3862">
        <w:rPr>
          <w:rStyle w:val="FootnoteReference"/>
        </w:rPr>
        <w:footnoteReference w:id="4"/>
      </w:r>
      <w:r w:rsidRPr="006B6D9C">
        <w:t>.</w:t>
      </w:r>
      <w:r w:rsidR="00DF3862">
        <w:t xml:space="preserve"> </w:t>
      </w:r>
      <w:r>
        <w:t>Комитет также отмечает, что этот же вопрос не рассматривается в рамках другой пр</w:t>
      </w:r>
      <w:r>
        <w:t>о</w:t>
      </w:r>
      <w:r>
        <w:t>цедуры международного разбирательства или урегулирования. Поэтому Комитет счит</w:t>
      </w:r>
      <w:r>
        <w:t>а</w:t>
      </w:r>
      <w:r>
        <w:t xml:space="preserve">ет, что требования пункта 2 а) и </w:t>
      </w:r>
      <w:r>
        <w:rPr>
          <w:lang w:val="en-US"/>
        </w:rPr>
        <w:t>b</w:t>
      </w:r>
      <w:r w:rsidRPr="00A14EC3">
        <w:t xml:space="preserve">) </w:t>
      </w:r>
      <w:r>
        <w:t>статьи 5 в данном случае удовлетворены.</w:t>
      </w:r>
    </w:p>
    <w:p w:rsidR="00F92B12" w:rsidRDefault="00F92B12" w:rsidP="00F92B12">
      <w:pPr>
        <w:pStyle w:val="SingleTxtGR"/>
      </w:pPr>
      <w:r>
        <w:t>6.3</w:t>
      </w:r>
      <w:r>
        <w:tab/>
        <w:t>Комитет отмечает, что</w:t>
      </w:r>
      <w:r w:rsidR="00DA64A2">
        <w:t>,</w:t>
      </w:r>
      <w:r>
        <w:t xml:space="preserve"> по существу</w:t>
      </w:r>
      <w:r w:rsidR="00DA64A2">
        <w:t>,</w:t>
      </w:r>
      <w:r>
        <w:t xml:space="preserve"> автор утверждает, что дискрецио</w:t>
      </w:r>
      <w:r>
        <w:t>н</w:t>
      </w:r>
      <w:r>
        <w:t>ное решение "Белпочты" не включать газету "Витебский курьер М" в перечень периодических подписных изданий представляет собой необоснованное огр</w:t>
      </w:r>
      <w:r>
        <w:t>а</w:t>
      </w:r>
      <w:r>
        <w:t>ничение его права на свободу выражения, в частности его права на получение информации, которое защищено пунктом 2 статьи 19 Пакта. Комитет прежде всего отмечает, что, согласно государству-участнику, "Белпочта" является авт</w:t>
      </w:r>
      <w:r>
        <w:t>о</w:t>
      </w:r>
      <w:r>
        <w:t>номной структурой и имеет право принимать решение относительно того, какие периодические издания следует включать в подписной каталог. Он отмечает д</w:t>
      </w:r>
      <w:r>
        <w:t>а</w:t>
      </w:r>
      <w:r>
        <w:t>лее, что ни положения национального законодательства, ни положения Пакта не налагают никаких обязательств на государства-участники относительно обе</w:t>
      </w:r>
      <w:r>
        <w:t>с</w:t>
      </w:r>
      <w:r>
        <w:t>печения обязательного распространения печатных материалов средств массовой информации. Хотя Комитет считает, что</w:t>
      </w:r>
      <w:r w:rsidR="000678E4">
        <w:t>,</w:t>
      </w:r>
      <w:r>
        <w:t xml:space="preserve"> даже если в некоторых обстоятельс</w:t>
      </w:r>
      <w:r>
        <w:t>т</w:t>
      </w:r>
      <w:r>
        <w:t>вах отказ в доступе к государственным или контролируемым государством службам распространения печатных изданий может представлять собой вмеш</w:t>
      </w:r>
      <w:r>
        <w:t>а</w:t>
      </w:r>
      <w:r>
        <w:t>тельство в осуществление прав, которые защищены статьей 19, в данном случае автор не представил дост</w:t>
      </w:r>
      <w:r>
        <w:t>а</w:t>
      </w:r>
      <w:r>
        <w:t>точной информации, которая позволила бы Комитету оценить масштабы вмешательства или определить, носит ли отказ в таком до</w:t>
      </w:r>
      <w:r>
        <w:t>с</w:t>
      </w:r>
      <w:r>
        <w:t>тупе дискриминационный характер. Комитет далее отмечает, что в любом сл</w:t>
      </w:r>
      <w:r>
        <w:t>у</w:t>
      </w:r>
      <w:r>
        <w:t>чае, даже если данная газет</w:t>
      </w:r>
      <w:r w:rsidR="000678E4">
        <w:t>а</w:t>
      </w:r>
      <w:r>
        <w:t xml:space="preserve"> не была включена в список подписных изданий компании "Белпочта" и не доставлялась по его домашнему адресу по почте, а</w:t>
      </w:r>
      <w:r>
        <w:t>в</w:t>
      </w:r>
      <w:r>
        <w:t>тор имел возможность получить ее другими способами. Поэтому Комитет сч</w:t>
      </w:r>
      <w:r>
        <w:t>и</w:t>
      </w:r>
      <w:r>
        <w:t>тает, что автор не обосновал в достаточной степени свои утверждения для ц</w:t>
      </w:r>
      <w:r>
        <w:t>е</w:t>
      </w:r>
      <w:r>
        <w:t>лей приемлемости</w:t>
      </w:r>
      <w:r w:rsidR="000678E4">
        <w:t>,</w:t>
      </w:r>
      <w:r>
        <w:t xml:space="preserve"> и поэтому объявляет эту часть сообщения неприемлемой с</w:t>
      </w:r>
      <w:r>
        <w:t>о</w:t>
      </w:r>
      <w:r>
        <w:t>гласно статье 2 Факультативного прот</w:t>
      </w:r>
      <w:r>
        <w:t>о</w:t>
      </w:r>
      <w:r>
        <w:t>кола.</w:t>
      </w:r>
    </w:p>
    <w:p w:rsidR="00F92B12" w:rsidRDefault="00F92B12" w:rsidP="00F92B12">
      <w:pPr>
        <w:pStyle w:val="SingleTxtGR"/>
      </w:pPr>
      <w:r>
        <w:t>6.4</w:t>
      </w:r>
      <w:r>
        <w:tab/>
        <w:t>В свете этого вывода Комитет не будет изучать отдельно остальную часть претензий автора по стат</w:t>
      </w:r>
      <w:r w:rsidR="00DA64A2">
        <w:t>ь</w:t>
      </w:r>
      <w:r>
        <w:t>ям 2; 5; 14; и 26 Пакта, поскольку они увязаны с о</w:t>
      </w:r>
      <w:r>
        <w:t>с</w:t>
      </w:r>
      <w:r>
        <w:t>новной претенз</w:t>
      </w:r>
      <w:r>
        <w:t>и</w:t>
      </w:r>
      <w:r>
        <w:t xml:space="preserve">ей автора по статье 19 Конвенции. </w:t>
      </w:r>
    </w:p>
    <w:p w:rsidR="00F92B12" w:rsidRDefault="00F92B12" w:rsidP="00F92B12">
      <w:pPr>
        <w:pStyle w:val="SingleTxtGR"/>
      </w:pPr>
      <w:r>
        <w:t>7.</w:t>
      </w:r>
      <w:r>
        <w:tab/>
        <w:t>Исходя из вышеизложенного, Комитет по правам человека постановляет:</w:t>
      </w:r>
    </w:p>
    <w:p w:rsidR="00F92B12" w:rsidRDefault="00F92B12" w:rsidP="00F92B12">
      <w:pPr>
        <w:pStyle w:val="SingleTxtGR"/>
      </w:pPr>
      <w:r>
        <w:tab/>
        <w:t>а)</w:t>
      </w:r>
      <w:r>
        <w:tab/>
        <w:t>объявить данное сообщение неприемлемым согласно статье 2 Ф</w:t>
      </w:r>
      <w:r>
        <w:t>а</w:t>
      </w:r>
      <w:r>
        <w:t>культати</w:t>
      </w:r>
      <w:r>
        <w:t>в</w:t>
      </w:r>
      <w:r>
        <w:t>ного протокола;</w:t>
      </w:r>
    </w:p>
    <w:p w:rsidR="00F92B12" w:rsidRDefault="00F92B12" w:rsidP="00F92B12">
      <w:pPr>
        <w:pStyle w:val="SingleTxtGR"/>
      </w:pPr>
      <w:r>
        <w:tab/>
      </w:r>
      <w:r>
        <w:rPr>
          <w:lang w:val="en-US"/>
        </w:rPr>
        <w:t>b</w:t>
      </w:r>
      <w:r w:rsidRPr="00A14EC3">
        <w:t>)</w:t>
      </w:r>
      <w:r w:rsidRPr="00A14EC3">
        <w:tab/>
      </w:r>
      <w:r>
        <w:t>довести данное решение до сведения государства-участника и а</w:t>
      </w:r>
      <w:r>
        <w:t>в</w:t>
      </w:r>
      <w:r>
        <w:t>тора соо</w:t>
      </w:r>
      <w:r>
        <w:t>б</w:t>
      </w:r>
      <w:r>
        <w:t>щения.</w:t>
      </w:r>
    </w:p>
    <w:p w:rsidR="00F92B12" w:rsidRDefault="00F92B12" w:rsidP="00A214EA">
      <w:pPr>
        <w:pStyle w:val="SingleTxtGR"/>
      </w:pPr>
      <w:r w:rsidRPr="00A14EC3">
        <w:t>[</w:t>
      </w:r>
      <w:r>
        <w:t>Принято на английском, испанском и французском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Ассамблее.</w:t>
      </w:r>
      <w:r w:rsidRPr="00E532BE">
        <w:t>]</w:t>
      </w:r>
    </w:p>
    <w:p w:rsidR="00F92B12" w:rsidRPr="00F92B12" w:rsidRDefault="00F92B12" w:rsidP="00F92B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2B12" w:rsidRPr="00F92B12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6D" w:rsidRDefault="001A696D">
      <w:r>
        <w:rPr>
          <w:lang w:val="en-US"/>
        </w:rPr>
        <w:tab/>
      </w:r>
      <w:r>
        <w:separator/>
      </w:r>
    </w:p>
  </w:endnote>
  <w:endnote w:type="continuationSeparator" w:id="0">
    <w:p w:rsidR="001A696D" w:rsidRDefault="001A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75" w:rsidRPr="005F0588" w:rsidRDefault="0078237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1488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GE.11-45018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75" w:rsidRPr="005F0588" w:rsidRDefault="00782375">
    <w:pPr>
      <w:pStyle w:val="Footer"/>
      <w:rPr>
        <w:lang w:val="en-US"/>
      </w:rPr>
    </w:pPr>
    <w:r>
      <w:rPr>
        <w:lang w:val="en-US"/>
      </w:rPr>
      <w:t>GE.11-45018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148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75" w:rsidRPr="007B2C3F" w:rsidRDefault="00782375">
    <w:pPr>
      <w:pStyle w:val="Footer"/>
      <w:rPr>
        <w:sz w:val="20"/>
        <w:lang w:val="en-US"/>
      </w:rPr>
    </w:pPr>
    <w:r>
      <w:rPr>
        <w:sz w:val="20"/>
        <w:lang w:val="en-US"/>
      </w:rPr>
      <w:t>GE.11-45018  (R)  211011  211011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6D" w:rsidRPr="00F71F63" w:rsidRDefault="001A696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A696D" w:rsidRPr="00F71F63" w:rsidRDefault="001A696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A696D" w:rsidRPr="00635E86" w:rsidRDefault="001A696D" w:rsidP="00635E86">
      <w:pPr>
        <w:pStyle w:val="Footer"/>
      </w:pPr>
    </w:p>
  </w:footnote>
  <w:footnote w:id="1">
    <w:p w:rsidR="00782375" w:rsidRPr="004D6DD2" w:rsidRDefault="00782375">
      <w:pPr>
        <w:pStyle w:val="FootnoteText"/>
        <w:rPr>
          <w:sz w:val="20"/>
          <w:lang w:val="ru-RU"/>
        </w:rPr>
      </w:pPr>
      <w:r>
        <w:tab/>
      </w:r>
      <w:r w:rsidRPr="004D6DD2">
        <w:rPr>
          <w:rStyle w:val="FootnoteReference"/>
          <w:sz w:val="20"/>
          <w:vertAlign w:val="baseline"/>
          <w:lang w:val="ru-RU"/>
        </w:rPr>
        <w:t>*</w:t>
      </w:r>
      <w:r w:rsidRPr="004D6DD2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782375" w:rsidRPr="004D6DD2" w:rsidRDefault="00782375">
      <w:pPr>
        <w:pStyle w:val="FootnoteText"/>
        <w:rPr>
          <w:sz w:val="20"/>
          <w:lang w:val="ru-RU"/>
        </w:rPr>
      </w:pPr>
      <w:r>
        <w:tab/>
      </w:r>
      <w:r w:rsidRPr="004D6DD2">
        <w:rPr>
          <w:rStyle w:val="FootnoteReference"/>
          <w:sz w:val="20"/>
          <w:vertAlign w:val="baseline"/>
          <w:lang w:val="ru-RU"/>
        </w:rPr>
        <w:t>**</w:t>
      </w:r>
      <w:r w:rsidRPr="004D6DD2">
        <w:rPr>
          <w:lang w:val="ru-RU"/>
        </w:rPr>
        <w:tab/>
      </w:r>
      <w:r>
        <w:rPr>
          <w:lang w:val="ru-RU"/>
        </w:rPr>
        <w:t>В рассмотрении настоящего сообщения участвовали следующие члены Комитета: г</w:t>
      </w:r>
      <w:r>
        <w:rPr>
          <w:lang w:val="ru-RU"/>
        </w:rPr>
        <w:noBreakHyphen/>
        <w:t>н Абдельфаттах Амор, г-н Лазхари Бузид, г-жа Кристина Шане, г-н Ахмед Амин Фатхалла, г-н Корнелис Флинтерман, г-н Юдзи Ивасава, г-жа Хелен Келлер, г</w:t>
      </w:r>
      <w:r>
        <w:rPr>
          <w:lang w:val="ru-RU"/>
        </w:rPr>
        <w:noBreakHyphen/>
        <w:t>н Раджсумер Лаллах, г-жа Зонке Занеле Майодина, г-жа Юлия Антоанелла Моток, г</w:t>
      </w:r>
      <w:r>
        <w:rPr>
          <w:lang w:val="ru-RU"/>
        </w:rPr>
        <w:noBreakHyphen/>
        <w:t>н Джеральд Л. Нойман, г-н Майкл О</w:t>
      </w:r>
      <w:r w:rsidRPr="00391456">
        <w:rPr>
          <w:lang w:val="ru-RU"/>
        </w:rPr>
        <w:t>'</w:t>
      </w:r>
      <w:r>
        <w:rPr>
          <w:lang w:val="ru-RU"/>
        </w:rPr>
        <w:t>Флаэрти, г-н Рафаэль Ривас Посада, сэр Найджел Родли, г-н Фабиан Омар Сальвиоли, г-н Кристер Телин и г-жа Марго Ватервал.</w:t>
      </w:r>
    </w:p>
  </w:footnote>
  <w:footnote w:id="3">
    <w:p w:rsidR="00782375" w:rsidRPr="008C54D6" w:rsidRDefault="00782375" w:rsidP="00F92B1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C54D6">
        <w:rPr>
          <w:lang w:val="ru-RU"/>
        </w:rPr>
        <w:tab/>
      </w:r>
      <w:r>
        <w:rPr>
          <w:lang w:val="ru-RU"/>
        </w:rPr>
        <w:t xml:space="preserve">Автор ссылается на доклад </w:t>
      </w:r>
      <w:r w:rsidRPr="0095535B">
        <w:t>E</w:t>
      </w:r>
      <w:r w:rsidRPr="0039347B">
        <w:rPr>
          <w:lang w:val="ru-RU"/>
        </w:rPr>
        <w:t>/</w:t>
      </w:r>
      <w:r w:rsidRPr="0095535B">
        <w:t>CN</w:t>
      </w:r>
      <w:r w:rsidRPr="0039347B">
        <w:rPr>
          <w:lang w:val="ru-RU"/>
        </w:rPr>
        <w:t>.4/2001/</w:t>
      </w:r>
      <w:r>
        <w:t>Add</w:t>
      </w:r>
      <w:r>
        <w:rPr>
          <w:lang w:val="ru-RU"/>
        </w:rPr>
        <w:t>.1 от 8 февраля 2001 года Специального докладчика по вопросу о независимости судей и адвокатов, касающийся Беларуси.</w:t>
      </w:r>
    </w:p>
  </w:footnote>
  <w:footnote w:id="4">
    <w:p w:rsidR="00782375" w:rsidRPr="00E664E4" w:rsidRDefault="00782375" w:rsidP="00F92B1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664E4">
        <w:rPr>
          <w:lang w:val="ru-RU"/>
        </w:rPr>
        <w:tab/>
      </w:r>
      <w:r>
        <w:rPr>
          <w:lang w:val="ru-RU"/>
        </w:rPr>
        <w:t xml:space="preserve">См., например, </w:t>
      </w:r>
      <w:r>
        <w:rPr>
          <w:i/>
          <w:lang w:val="ru-RU"/>
        </w:rPr>
        <w:t xml:space="preserve">Екатерина Геращенко против Беларуси, </w:t>
      </w:r>
      <w:r>
        <w:rPr>
          <w:lang w:val="ru-RU"/>
        </w:rPr>
        <w:t>сообщение № 1537/2006. Решение о неприемлемости, принятое 23 октября 2009 года, пункт 6.3.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75" w:rsidRPr="00EF6453" w:rsidRDefault="00782375">
    <w:pPr>
      <w:pStyle w:val="Header"/>
      <w:rPr>
        <w:lang w:val="en-US"/>
      </w:rPr>
    </w:pPr>
    <w:r>
      <w:rPr>
        <w:lang w:val="en-US"/>
      </w:rPr>
      <w:t>CCPR/</w:t>
    </w:r>
    <w:r w:rsidRPr="00EF6453">
      <w:rPr>
        <w:lang w:val="en-US"/>
      </w:rPr>
      <w:t>C/102/D/1814/2008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75" w:rsidRPr="00EF6453" w:rsidRDefault="00782375">
    <w:pPr>
      <w:pStyle w:val="Header"/>
      <w:rPr>
        <w:lang w:val="en-US"/>
      </w:rPr>
    </w:pPr>
    <w:r>
      <w:rPr>
        <w:lang w:val="en-US"/>
      </w:rPr>
      <w:tab/>
      <w:t>CCPR/</w:t>
    </w:r>
    <w:r w:rsidRPr="00EF6453">
      <w:rPr>
        <w:lang w:val="en-US"/>
      </w:rPr>
      <w:t>C/102/D/1814/2008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45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8E4"/>
    <w:rsid w:val="00072C27"/>
    <w:rsid w:val="00085545"/>
    <w:rsid w:val="00086182"/>
    <w:rsid w:val="00090891"/>
    <w:rsid w:val="00092E62"/>
    <w:rsid w:val="00097975"/>
    <w:rsid w:val="000A3DDF"/>
    <w:rsid w:val="000A3E09"/>
    <w:rsid w:val="000A60A0"/>
    <w:rsid w:val="000C3688"/>
    <w:rsid w:val="000D6863"/>
    <w:rsid w:val="000F410F"/>
    <w:rsid w:val="00117AEE"/>
    <w:rsid w:val="001463F7"/>
    <w:rsid w:val="0015769C"/>
    <w:rsid w:val="00173772"/>
    <w:rsid w:val="001755A4"/>
    <w:rsid w:val="00180752"/>
    <w:rsid w:val="00185076"/>
    <w:rsid w:val="0018543C"/>
    <w:rsid w:val="00190231"/>
    <w:rsid w:val="00192ABD"/>
    <w:rsid w:val="001A696D"/>
    <w:rsid w:val="001A75D5"/>
    <w:rsid w:val="001A7D40"/>
    <w:rsid w:val="001D07F7"/>
    <w:rsid w:val="001D7B8F"/>
    <w:rsid w:val="001E48EE"/>
    <w:rsid w:val="001F2D04"/>
    <w:rsid w:val="0020059C"/>
    <w:rsid w:val="002019BD"/>
    <w:rsid w:val="002052C0"/>
    <w:rsid w:val="00232D42"/>
    <w:rsid w:val="00237334"/>
    <w:rsid w:val="002444F4"/>
    <w:rsid w:val="002453CC"/>
    <w:rsid w:val="002629A0"/>
    <w:rsid w:val="0028492B"/>
    <w:rsid w:val="00291C8F"/>
    <w:rsid w:val="00294A47"/>
    <w:rsid w:val="002C5036"/>
    <w:rsid w:val="002C6A71"/>
    <w:rsid w:val="002C6D5F"/>
    <w:rsid w:val="002D15EA"/>
    <w:rsid w:val="002D2C2E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4977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6DD2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309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5B1C"/>
    <w:rsid w:val="00735602"/>
    <w:rsid w:val="0075279B"/>
    <w:rsid w:val="00753748"/>
    <w:rsid w:val="00762446"/>
    <w:rsid w:val="00781ACB"/>
    <w:rsid w:val="00782375"/>
    <w:rsid w:val="007A79EB"/>
    <w:rsid w:val="007D4CA0"/>
    <w:rsid w:val="007D7A23"/>
    <w:rsid w:val="007E38C3"/>
    <w:rsid w:val="007E549E"/>
    <w:rsid w:val="007E71C9"/>
    <w:rsid w:val="007F334D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73D46"/>
    <w:rsid w:val="00884AEA"/>
    <w:rsid w:val="00886B0F"/>
    <w:rsid w:val="00887A27"/>
    <w:rsid w:val="00891C08"/>
    <w:rsid w:val="008A3879"/>
    <w:rsid w:val="008A5FA8"/>
    <w:rsid w:val="008A7575"/>
    <w:rsid w:val="008B5F47"/>
    <w:rsid w:val="008C40FE"/>
    <w:rsid w:val="008C7B87"/>
    <w:rsid w:val="008D6A7A"/>
    <w:rsid w:val="008E2F5C"/>
    <w:rsid w:val="008E3E87"/>
    <w:rsid w:val="008E7F13"/>
    <w:rsid w:val="008F3185"/>
    <w:rsid w:val="00915B0A"/>
    <w:rsid w:val="00926904"/>
    <w:rsid w:val="009372F0"/>
    <w:rsid w:val="00940A65"/>
    <w:rsid w:val="00955022"/>
    <w:rsid w:val="00957B4D"/>
    <w:rsid w:val="00964EEA"/>
    <w:rsid w:val="00980C86"/>
    <w:rsid w:val="00992755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4EA"/>
    <w:rsid w:val="00A2446A"/>
    <w:rsid w:val="00A4025D"/>
    <w:rsid w:val="00A744A1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4C44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0533"/>
    <w:rsid w:val="00D76358"/>
    <w:rsid w:val="00D809D1"/>
    <w:rsid w:val="00D84ECF"/>
    <w:rsid w:val="00DA2851"/>
    <w:rsid w:val="00DA2B7C"/>
    <w:rsid w:val="00DA5686"/>
    <w:rsid w:val="00DA64A2"/>
    <w:rsid w:val="00DB2FC0"/>
    <w:rsid w:val="00DF18FA"/>
    <w:rsid w:val="00DF2C8D"/>
    <w:rsid w:val="00DF3862"/>
    <w:rsid w:val="00DF49CA"/>
    <w:rsid w:val="00DF775B"/>
    <w:rsid w:val="00E007F3"/>
    <w:rsid w:val="00E00DEA"/>
    <w:rsid w:val="00E06EF0"/>
    <w:rsid w:val="00E11679"/>
    <w:rsid w:val="00E307D1"/>
    <w:rsid w:val="00E46A04"/>
    <w:rsid w:val="00E61488"/>
    <w:rsid w:val="00E6308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6453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5664"/>
    <w:rsid w:val="00F87506"/>
    <w:rsid w:val="00F92B12"/>
    <w:rsid w:val="00F92C41"/>
    <w:rsid w:val="00FA5522"/>
    <w:rsid w:val="00FA6B26"/>
    <w:rsid w:val="00FA6E4A"/>
    <w:rsid w:val="00FB2B35"/>
    <w:rsid w:val="00FC4AE1"/>
    <w:rsid w:val="00FD661C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4D6DD2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1983</Words>
  <Characters>11309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11-45018</vt:lpstr>
    </vt:vector>
  </TitlesOfParts>
  <Manager>Dmitriev/Mouraviev</Manager>
  <Company>CSD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11-45018</dc:title>
  <dc:subject>CCPR/C/102/D/1814/2008</dc:subject>
  <dc:creator>Belova/IG</dc:creator>
  <cp:keywords/>
  <dc:description/>
  <cp:lastModifiedBy>Ioulia Goussarova</cp:lastModifiedBy>
  <cp:revision>3</cp:revision>
  <cp:lastPrinted>2011-10-21T14:36:00Z</cp:lastPrinted>
  <dcterms:created xsi:type="dcterms:W3CDTF">2011-10-21T14:36:00Z</dcterms:created>
  <dcterms:modified xsi:type="dcterms:W3CDTF">2011-10-21T14:37:00Z</dcterms:modified>
</cp:coreProperties>
</file>