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bidiVisual/>
        <w:tblW w:w="9631" w:type="dxa"/>
        <w:tblBorders>
          <w:bottom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1266"/>
        <w:gridCol w:w="4767"/>
        <w:gridCol w:w="618"/>
        <w:gridCol w:w="2980"/>
      </w:tblGrid>
      <w:tr w:rsidR="006B3E27" w:rsidRPr="00DB7679" w:rsidTr="00B456A0">
        <w:trPr>
          <w:trHeight w:hRule="exact" w:val="810"/>
        </w:trPr>
        <w:tc>
          <w:tcPr>
            <w:tcW w:w="1266" w:type="dxa"/>
            <w:tcBorders>
              <w:top w:val="nil"/>
              <w:bottom w:val="single" w:sz="4" w:space="0" w:color="auto"/>
            </w:tcBorders>
            <w:shd w:val="clear" w:color="auto" w:fill="auto"/>
          </w:tcPr>
          <w:p w:rsidR="006B3E27" w:rsidRPr="00983870" w:rsidRDefault="006B3E27" w:rsidP="00B456A0">
            <w:pPr>
              <w:bidi w:val="0"/>
              <w:jc w:val="right"/>
            </w:pPr>
          </w:p>
        </w:tc>
        <w:tc>
          <w:tcPr>
            <w:tcW w:w="4767" w:type="dxa"/>
            <w:tcBorders>
              <w:top w:val="nil"/>
              <w:bottom w:val="single" w:sz="4" w:space="0" w:color="auto"/>
            </w:tcBorders>
            <w:shd w:val="clear" w:color="auto" w:fill="auto"/>
            <w:vAlign w:val="bottom"/>
          </w:tcPr>
          <w:p w:rsidR="006B3E27" w:rsidRPr="00B456A0" w:rsidRDefault="006B3E27" w:rsidP="00B456A0">
            <w:pPr>
              <w:spacing w:after="80" w:line="480" w:lineRule="exact"/>
              <w:jc w:val="left"/>
              <w:rPr>
                <w:szCs w:val="40"/>
                <w:rtl/>
              </w:rPr>
            </w:pPr>
            <w:r w:rsidRPr="00B456A0">
              <w:rPr>
                <w:rFonts w:hint="cs"/>
                <w:szCs w:val="40"/>
                <w:rtl/>
              </w:rPr>
              <w:t>الأمم المتحدة</w:t>
            </w:r>
          </w:p>
        </w:tc>
        <w:tc>
          <w:tcPr>
            <w:tcW w:w="3598" w:type="dxa"/>
            <w:gridSpan w:val="2"/>
            <w:tcBorders>
              <w:top w:val="nil"/>
              <w:bottom w:val="single" w:sz="4" w:space="0" w:color="auto"/>
            </w:tcBorders>
            <w:shd w:val="clear" w:color="auto" w:fill="auto"/>
            <w:vAlign w:val="bottom"/>
          </w:tcPr>
          <w:p w:rsidR="006B3E27" w:rsidRPr="00B456A0" w:rsidRDefault="00CE76E2" w:rsidP="004858BD">
            <w:pPr>
              <w:bidi w:val="0"/>
              <w:spacing w:after="20"/>
              <w:jc w:val="left"/>
              <w:rPr>
                <w:szCs w:val="20"/>
              </w:rPr>
            </w:pPr>
            <w:r w:rsidRPr="00CE76E2">
              <w:rPr>
                <w:sz w:val="40"/>
                <w:szCs w:val="20"/>
              </w:rPr>
              <w:t>CAT</w:t>
            </w:r>
            <w:r>
              <w:rPr>
                <w:szCs w:val="20"/>
              </w:rPr>
              <w:t>/OP/</w:t>
            </w:r>
            <w:r w:rsidRPr="004858BD">
              <w:rPr>
                <w:szCs w:val="20"/>
              </w:rPr>
              <w:t>9</w:t>
            </w:r>
          </w:p>
        </w:tc>
      </w:tr>
      <w:tr w:rsidR="007F1014" w:rsidRPr="00DB7679" w:rsidTr="007F1014">
        <w:trPr>
          <w:trHeight w:hRule="exact" w:val="2835"/>
        </w:trPr>
        <w:tc>
          <w:tcPr>
            <w:tcW w:w="1266" w:type="dxa"/>
            <w:tcBorders>
              <w:top w:val="nil"/>
              <w:bottom w:val="single" w:sz="12" w:space="0" w:color="auto"/>
            </w:tcBorders>
            <w:shd w:val="clear" w:color="auto" w:fill="auto"/>
          </w:tcPr>
          <w:p w:rsidR="007F1014" w:rsidRPr="00DB7679" w:rsidRDefault="00AF2B1A" w:rsidP="007F1014">
            <w:pPr>
              <w:jc w:val="center"/>
              <w:rPr>
                <w:rtl/>
              </w:rPr>
            </w:pPr>
            <w:r>
              <w:rPr>
                <w:noProof/>
                <w:rtl/>
              </w:rPr>
              <w:drawing>
                <wp:anchor distT="0" distB="0" distL="114300" distR="114300" simplePos="0" relativeHeight="251659776" behindDoc="1" locked="0" layoutInCell="1" allowOverlap="1">
                  <wp:simplePos x="0" y="0"/>
                  <wp:positionH relativeFrom="column">
                    <wp:posOffset>92710</wp:posOffset>
                  </wp:positionH>
                  <wp:positionV relativeFrom="paragraph">
                    <wp:posOffset>20955</wp:posOffset>
                  </wp:positionV>
                  <wp:extent cx="629920" cy="611505"/>
                  <wp:effectExtent l="0" t="0" r="0" b="0"/>
                  <wp:wrapThrough wrapText="bothSides">
                    <wp:wrapPolygon edited="0">
                      <wp:start x="0" y="0"/>
                      <wp:lineTo x="0" y="20860"/>
                      <wp:lineTo x="20903" y="20860"/>
                      <wp:lineTo x="20903" y="0"/>
                      <wp:lineTo x="0" y="0"/>
                    </wp:wrapPolygon>
                  </wp:wrapThrough>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52" t="-1387" r="-52" b="-1387"/>
                          <a:stretch>
                            <a:fillRect/>
                          </a:stretch>
                        </pic:blipFill>
                        <pic:spPr bwMode="auto">
                          <a:xfrm>
                            <a:off x="0" y="0"/>
                            <a:ext cx="629920" cy="611505"/>
                          </a:xfrm>
                          <a:prstGeom prst="rect">
                            <a:avLst/>
                          </a:prstGeom>
                          <a:noFill/>
                        </pic:spPr>
                      </pic:pic>
                    </a:graphicData>
                  </a:graphic>
                  <wp14:sizeRelH relativeFrom="page">
                    <wp14:pctWidth>0</wp14:pctWidth>
                  </wp14:sizeRelH>
                  <wp14:sizeRelV relativeFrom="page">
                    <wp14:pctHeight>0</wp14:pctHeight>
                  </wp14:sizeRelV>
                </wp:anchor>
              </w:drawing>
            </w:r>
          </w:p>
        </w:tc>
        <w:tc>
          <w:tcPr>
            <w:tcW w:w="5385" w:type="dxa"/>
            <w:gridSpan w:val="2"/>
            <w:tcBorders>
              <w:top w:val="nil"/>
              <w:bottom w:val="single" w:sz="12" w:space="0" w:color="auto"/>
            </w:tcBorders>
            <w:shd w:val="clear" w:color="auto" w:fill="auto"/>
          </w:tcPr>
          <w:p w:rsidR="007F1014" w:rsidRPr="00DA0FE8" w:rsidRDefault="007F1014" w:rsidP="007F1014">
            <w:pPr>
              <w:spacing w:before="120" w:after="40" w:line="580" w:lineRule="exact"/>
              <w:rPr>
                <w:rFonts w:hint="cs"/>
                <w:b/>
                <w:bCs/>
                <w:sz w:val="44"/>
                <w:szCs w:val="44"/>
                <w:rtl/>
              </w:rPr>
            </w:pPr>
            <w:r w:rsidRPr="00DA0FE8">
              <w:rPr>
                <w:rFonts w:ascii="Times New Roman Bold" w:hAnsi="Times New Roman Bold" w:hint="cs"/>
                <w:b/>
                <w:bCs/>
                <w:spacing w:val="-4"/>
                <w:sz w:val="44"/>
                <w:szCs w:val="44"/>
                <w:rtl/>
              </w:rPr>
              <w:t>البروتوكول الاختياري لاتفاقية مناهضة التعذيب</w:t>
            </w:r>
            <w:r w:rsidRPr="00DA0FE8">
              <w:rPr>
                <w:rFonts w:hint="cs"/>
                <w:b/>
                <w:bCs/>
                <w:sz w:val="44"/>
                <w:szCs w:val="44"/>
                <w:rtl/>
              </w:rPr>
              <w:t xml:space="preserve"> وغيره من ضروب المعاملة أو العقوبة القاسية أو اللاإنسانية أو المهينة</w:t>
            </w:r>
          </w:p>
        </w:tc>
        <w:tc>
          <w:tcPr>
            <w:tcW w:w="2980" w:type="dxa"/>
            <w:tcBorders>
              <w:top w:val="nil"/>
              <w:bottom w:val="single" w:sz="12" w:space="0" w:color="auto"/>
            </w:tcBorders>
            <w:shd w:val="clear" w:color="auto" w:fill="auto"/>
          </w:tcPr>
          <w:p w:rsidR="007F1014" w:rsidRPr="006D1FB7" w:rsidRDefault="007F1014" w:rsidP="007F1014">
            <w:pPr>
              <w:bidi w:val="0"/>
              <w:spacing w:before="240" w:line="240" w:lineRule="auto"/>
              <w:jc w:val="left"/>
              <w:rPr>
                <w:rFonts w:eastAsia="SimSun" w:cs="Times New Roman"/>
                <w:szCs w:val="20"/>
                <w:lang w:val="en-GB" w:eastAsia="zh-CN"/>
              </w:rPr>
            </w:pPr>
            <w:r w:rsidRPr="006D1FB7">
              <w:rPr>
                <w:rFonts w:eastAsia="SimSun" w:cs="Times New Roman"/>
                <w:szCs w:val="20"/>
                <w:lang w:val="en-GB" w:eastAsia="zh-CN"/>
              </w:rPr>
              <w:t>Distr.: General</w:t>
            </w:r>
          </w:p>
          <w:p w:rsidR="007F1014" w:rsidRPr="006D1FB7" w:rsidRDefault="007F1014" w:rsidP="007F1014">
            <w:pPr>
              <w:bidi w:val="0"/>
              <w:spacing w:line="240" w:lineRule="auto"/>
              <w:jc w:val="left"/>
              <w:rPr>
                <w:rFonts w:eastAsia="SimSun" w:cs="Times New Roman"/>
                <w:szCs w:val="20"/>
                <w:lang w:val="en-GB" w:eastAsia="zh-CN"/>
              </w:rPr>
            </w:pPr>
            <w:r>
              <w:rPr>
                <w:rFonts w:cs="Times New Roman"/>
                <w:szCs w:val="20"/>
              </w:rPr>
              <w:t>31 March</w:t>
            </w:r>
            <w:r w:rsidRPr="006D1FB7">
              <w:rPr>
                <w:rFonts w:eastAsia="SimSun" w:cs="Times New Roman"/>
                <w:szCs w:val="20"/>
                <w:lang w:val="en-GB" w:eastAsia="zh-CN"/>
              </w:rPr>
              <w:t xml:space="preserve"> 2020</w:t>
            </w:r>
          </w:p>
          <w:p w:rsidR="007F1014" w:rsidRPr="006D1FB7" w:rsidRDefault="007F1014" w:rsidP="007F1014">
            <w:pPr>
              <w:bidi w:val="0"/>
              <w:spacing w:line="240" w:lineRule="auto"/>
              <w:jc w:val="left"/>
              <w:rPr>
                <w:rFonts w:eastAsia="SimSun" w:cs="Times New Roman"/>
                <w:szCs w:val="20"/>
                <w:lang w:val="en-GB" w:eastAsia="zh-CN"/>
              </w:rPr>
            </w:pPr>
            <w:r>
              <w:rPr>
                <w:rFonts w:eastAsia="SimSun" w:cs="Times New Roman"/>
                <w:szCs w:val="20"/>
                <w:lang w:val="en-GB" w:eastAsia="zh-CN"/>
              </w:rPr>
              <w:t>Arabic</w:t>
            </w:r>
          </w:p>
          <w:p w:rsidR="007F1014" w:rsidRPr="007F1014" w:rsidRDefault="007F1014" w:rsidP="007F1014">
            <w:pPr>
              <w:bidi w:val="0"/>
              <w:jc w:val="left"/>
              <w:rPr>
                <w:lang w:val="en-GB"/>
              </w:rPr>
            </w:pPr>
            <w:r w:rsidRPr="006D1FB7">
              <w:rPr>
                <w:rFonts w:eastAsia="SimSun" w:cs="Times New Roman"/>
                <w:szCs w:val="20"/>
                <w:lang w:val="en-GB" w:eastAsia="zh-CN"/>
              </w:rPr>
              <w:t>Original: English</w:t>
            </w:r>
          </w:p>
        </w:tc>
      </w:tr>
    </w:tbl>
    <w:p w:rsidR="007F1014" w:rsidRPr="00D83927" w:rsidRDefault="007F1014" w:rsidP="007F1014">
      <w:pPr>
        <w:pStyle w:val="SingleTxtGA"/>
        <w:spacing w:before="120"/>
        <w:ind w:left="0" w:right="5670"/>
        <w:rPr>
          <w:b/>
          <w:bCs/>
          <w:rtl/>
          <w:lang w:eastAsia="zh-TW"/>
        </w:rPr>
      </w:pPr>
      <w:r w:rsidRPr="00D83927">
        <w:rPr>
          <w:b/>
          <w:bCs/>
          <w:rtl/>
          <w:lang w:eastAsia="zh-TW"/>
        </w:rPr>
        <w:t>اللجنة الفرعية لمنع التعذيب وغيره من ضروب المعاملة</w:t>
      </w:r>
      <w:r w:rsidRPr="00D83927">
        <w:rPr>
          <w:rFonts w:hint="cs"/>
          <w:b/>
          <w:bCs/>
          <w:rtl/>
          <w:lang w:eastAsia="zh-TW"/>
        </w:rPr>
        <w:t xml:space="preserve"> </w:t>
      </w:r>
      <w:r w:rsidRPr="00D83927">
        <w:rPr>
          <w:b/>
          <w:bCs/>
          <w:rtl/>
          <w:lang w:eastAsia="zh-TW"/>
        </w:rPr>
        <w:t>أو العقوبة القاسية أو اللاإنسانية أو المهينة</w:t>
      </w:r>
    </w:p>
    <w:p w:rsidR="004858BD" w:rsidRDefault="004858BD" w:rsidP="004858BD">
      <w:pPr>
        <w:pStyle w:val="HChGA"/>
        <w:rPr>
          <w:rFonts w:hint="cs"/>
          <w:rtl/>
        </w:rPr>
      </w:pPr>
      <w:r>
        <w:rPr>
          <w:rtl/>
        </w:rPr>
        <w:tab/>
      </w:r>
      <w:r>
        <w:rPr>
          <w:rtl/>
        </w:rPr>
        <w:tab/>
        <w:t xml:space="preserve">المشورة المقدمة من اللجنة الفرعية إلى الآلية الوقائية الوطنية للمملكة </w:t>
      </w:r>
      <w:r w:rsidRPr="004858BD">
        <w:rPr>
          <w:rFonts w:ascii="Times New Roman Bold" w:hAnsi="Times New Roman Bold"/>
          <w:spacing w:val="-2"/>
          <w:rtl/>
        </w:rPr>
        <w:t>المتحدة لبريطانيا العظمى وأيرلندا الشمالية بشأن الحجر الصحي الإلزامي لفيروس</w:t>
      </w:r>
      <w:r>
        <w:rPr>
          <w:rtl/>
        </w:rPr>
        <w:t xml:space="preserve"> كورونا (فيروس كوفيد-</w:t>
      </w:r>
      <w:r w:rsidRPr="004858BD">
        <w:rPr>
          <w:szCs w:val="28"/>
          <w:rtl/>
        </w:rPr>
        <w:t>19</w:t>
      </w:r>
      <w:r>
        <w:rPr>
          <w:rtl/>
        </w:rPr>
        <w:t>)</w:t>
      </w:r>
      <w:r w:rsidRPr="004858BD">
        <w:rPr>
          <w:rStyle w:val="FootnoteReference"/>
          <w:sz w:val="20"/>
          <w:vertAlign w:val="baseline"/>
          <w:rtl/>
        </w:rPr>
        <w:footnoteReference w:customMarkFollows="1" w:id="1"/>
        <w:t>*</w:t>
      </w:r>
    </w:p>
    <w:p w:rsidR="004858BD" w:rsidRDefault="004858BD" w:rsidP="004858BD">
      <w:pPr>
        <w:pStyle w:val="SingleTxtGA"/>
        <w:rPr>
          <w:rtl/>
        </w:rPr>
      </w:pPr>
      <w:r w:rsidRPr="004858BD">
        <w:rPr>
          <w:szCs w:val="20"/>
          <w:rtl/>
        </w:rPr>
        <w:t>1</w:t>
      </w:r>
      <w:r>
        <w:rPr>
          <w:rtl/>
        </w:rPr>
        <w:t>-</w:t>
      </w:r>
      <w:r>
        <w:rPr>
          <w:rtl/>
        </w:rPr>
        <w:tab/>
        <w:t xml:space="preserve">طلبت الآلية الوقائية الوطنية للمملكة المتحدة لبريطانيا العظمى وأيرلندا الشمالية إلى اللجنة الفرعية أن تسدي إليها المشورة بشأن ممارسة ولاية الآلية في الأماكن التي يُحتجَز فيها الأشخاص في الحجر الصحي الإلزامي لأسباب تتعلق بحماية الصحة العامة. </w:t>
      </w:r>
    </w:p>
    <w:p w:rsidR="004858BD" w:rsidRDefault="004858BD" w:rsidP="004858BD">
      <w:pPr>
        <w:pStyle w:val="SingleTxtGA"/>
        <w:rPr>
          <w:rtl/>
        </w:rPr>
      </w:pPr>
      <w:r w:rsidRPr="004858BD">
        <w:rPr>
          <w:szCs w:val="20"/>
          <w:rtl/>
        </w:rPr>
        <w:t>2</w:t>
      </w:r>
      <w:r>
        <w:rPr>
          <w:rtl/>
        </w:rPr>
        <w:t>-</w:t>
      </w:r>
      <w:r>
        <w:rPr>
          <w:rtl/>
        </w:rPr>
        <w:tab/>
        <w:t xml:space="preserve">وتلاحظ اللجنة الفرعية أن المادة </w:t>
      </w:r>
      <w:r w:rsidRPr="004858BD">
        <w:rPr>
          <w:szCs w:val="20"/>
          <w:rtl/>
        </w:rPr>
        <w:t>4</w:t>
      </w:r>
      <w:r>
        <w:rPr>
          <w:rtl/>
        </w:rPr>
        <w:t xml:space="preserve"> من البروتوكول الاختياري تنص على ما يلي:</w:t>
      </w:r>
    </w:p>
    <w:p w:rsidR="004858BD" w:rsidRDefault="004858BD" w:rsidP="004858BD">
      <w:pPr>
        <w:pStyle w:val="SingleTxtGA"/>
        <w:rPr>
          <w:rtl/>
        </w:rPr>
      </w:pPr>
      <w:r>
        <w:rPr>
          <w:rtl/>
        </w:rPr>
        <w:tab/>
        <w:t>(أ)</w:t>
      </w:r>
      <w:r>
        <w:rPr>
          <w:rtl/>
        </w:rPr>
        <w:tab/>
      </w:r>
      <w:r w:rsidRPr="002F43F8">
        <w:rPr>
          <w:spacing w:val="-2"/>
          <w:rtl/>
        </w:rPr>
        <w:t xml:space="preserve">تسمح كل دولة طرف، وفقاً لهذا البروتوكول، بقيام الآليات المشار إليها في المادتين </w:t>
      </w:r>
      <w:r w:rsidRPr="002F43F8">
        <w:rPr>
          <w:spacing w:val="-2"/>
          <w:szCs w:val="20"/>
          <w:rtl/>
        </w:rPr>
        <w:t>2</w:t>
      </w:r>
      <w:r>
        <w:rPr>
          <w:rtl/>
        </w:rPr>
        <w:t xml:space="preserve"> </w:t>
      </w:r>
      <w:r w:rsidRPr="002F43F8">
        <w:rPr>
          <w:spacing w:val="2"/>
          <w:rtl/>
        </w:rPr>
        <w:t>و</w:t>
      </w:r>
      <w:r w:rsidRPr="002F43F8">
        <w:rPr>
          <w:spacing w:val="2"/>
          <w:szCs w:val="20"/>
          <w:rtl/>
        </w:rPr>
        <w:t>3</w:t>
      </w:r>
      <w:r w:rsidRPr="002F43F8">
        <w:rPr>
          <w:spacing w:val="2"/>
          <w:rtl/>
        </w:rPr>
        <w:t xml:space="preserve"> بزيارات لأي مكان يخضع لولايتها ولسيطرتها ويوجد فيه أشخاص محرومون أو يمكن أن يكونوا محرومين</w:t>
      </w:r>
      <w:r w:rsidRPr="002F43F8">
        <w:rPr>
          <w:spacing w:val="-4"/>
          <w:rtl/>
        </w:rPr>
        <w:t xml:space="preserve"> من حريتهم إما بموجب أمر صادر عن سلطة عامة أو بناء على إيعاز منها أو بموافقتها أو سكوتها</w:t>
      </w:r>
      <w:r>
        <w:rPr>
          <w:rtl/>
        </w:rPr>
        <w:t xml:space="preserve"> (يشار إليها فيما يلي باسم أماكن الاحتجاز)</w:t>
      </w:r>
      <w:r w:rsidR="00535BA6">
        <w:rPr>
          <w:rFonts w:hint="cs"/>
          <w:rtl/>
        </w:rPr>
        <w:t>؛</w:t>
      </w:r>
    </w:p>
    <w:p w:rsidR="004858BD" w:rsidRDefault="004858BD" w:rsidP="004858BD">
      <w:pPr>
        <w:pStyle w:val="SingleTxtGA"/>
        <w:rPr>
          <w:rtl/>
        </w:rPr>
      </w:pPr>
      <w:r>
        <w:rPr>
          <w:rtl/>
        </w:rPr>
        <w:tab/>
        <w:t>(ب)</w:t>
      </w:r>
      <w:r>
        <w:rPr>
          <w:rtl/>
        </w:rPr>
        <w:tab/>
        <w:t xml:space="preserve">يعني الحرمان من الحرية، لأغراض هذا البروتوكول، أي شكل من أشكال احتجاز </w:t>
      </w:r>
      <w:r w:rsidRPr="00915A5C">
        <w:rPr>
          <w:spacing w:val="2"/>
          <w:rtl/>
        </w:rPr>
        <w:t>شخص أو سجنه أو إيداعه في مكان عام أو خاص للتوقيف لا يسمح لهذا الشخص فيه بمغادرته كما يشاء،</w:t>
      </w:r>
      <w:r>
        <w:rPr>
          <w:rtl/>
        </w:rPr>
        <w:t xml:space="preserve"> بأمر من أي سلطة قضائية أو إدارية أو غيرها من السلطات الأخرى.</w:t>
      </w:r>
    </w:p>
    <w:p w:rsidR="004858BD" w:rsidRDefault="004858BD" w:rsidP="004858BD">
      <w:pPr>
        <w:pStyle w:val="SingleTxtGA"/>
        <w:rPr>
          <w:rtl/>
        </w:rPr>
      </w:pPr>
      <w:r w:rsidRPr="004858BD">
        <w:rPr>
          <w:szCs w:val="20"/>
          <w:rtl/>
        </w:rPr>
        <w:t>3</w:t>
      </w:r>
      <w:r>
        <w:rPr>
          <w:rtl/>
        </w:rPr>
        <w:t>-</w:t>
      </w:r>
      <w:r>
        <w:rPr>
          <w:rtl/>
        </w:rPr>
        <w:tab/>
        <w:t xml:space="preserve">ويترتب على هذا التعريف، مقروءاً بالاقتران مع المادة </w:t>
      </w:r>
      <w:r w:rsidRPr="004858BD">
        <w:rPr>
          <w:szCs w:val="20"/>
          <w:rtl/>
        </w:rPr>
        <w:t>19</w:t>
      </w:r>
      <w:r>
        <w:rPr>
          <w:rtl/>
        </w:rPr>
        <w:t>(أ) من البروتوكول الاختياري، بشأن صلاحيات الزيارة التي تتمتع بها الآليات الوقائية الوطنية، أن أي مكان يُحتجز فيه شخص في الحجر الصحي ولا يُسمح له بمغادرته بحرية هو مكان للحرمان من الحرية لأغراض البروتوكول الاختياري، وبالتالي فهو يقع ضمن ولاية الزيارة التي تمارسها آلية وقائية وطنية.</w:t>
      </w:r>
    </w:p>
    <w:p w:rsidR="004858BD" w:rsidRDefault="004858BD" w:rsidP="004858BD">
      <w:pPr>
        <w:pStyle w:val="SingleTxtGA"/>
        <w:rPr>
          <w:rtl/>
        </w:rPr>
      </w:pPr>
      <w:r w:rsidRPr="004858BD">
        <w:rPr>
          <w:szCs w:val="20"/>
          <w:rtl/>
        </w:rPr>
        <w:t>4</w:t>
      </w:r>
      <w:r>
        <w:rPr>
          <w:rtl/>
        </w:rPr>
        <w:t>-</w:t>
      </w:r>
      <w:r>
        <w:rPr>
          <w:rtl/>
        </w:rPr>
        <w:tab/>
      </w:r>
      <w:r w:rsidRPr="007F1014">
        <w:rPr>
          <w:spacing w:val="-2"/>
          <w:rtl/>
        </w:rPr>
        <w:t xml:space="preserve">وعلى الرغم من عدم ورود نص صريح بأن الزيارات الوقائية الوطنية، شأنها شأن زيارات اللجنة الفرعية، يجوز تقييدها مؤقتاً وفقاً للمادة </w:t>
      </w:r>
      <w:r w:rsidRPr="007F1014">
        <w:rPr>
          <w:spacing w:val="-2"/>
          <w:szCs w:val="20"/>
          <w:rtl/>
        </w:rPr>
        <w:t>14</w:t>
      </w:r>
      <w:r w:rsidRPr="007F1014">
        <w:rPr>
          <w:spacing w:val="-2"/>
          <w:rtl/>
        </w:rPr>
        <w:t>(</w:t>
      </w:r>
      <w:r w:rsidRPr="007F1014">
        <w:rPr>
          <w:spacing w:val="-2"/>
          <w:szCs w:val="20"/>
          <w:rtl/>
        </w:rPr>
        <w:t>2</w:t>
      </w:r>
      <w:r w:rsidRPr="007F1014">
        <w:rPr>
          <w:spacing w:val="-2"/>
          <w:rtl/>
        </w:rPr>
        <w:t xml:space="preserve">) من البروتوكول الاختياري، فإن ذلك يُفهَم ضمنياً من بنية البروتوكول الاختياري. وتنص المادة </w:t>
      </w:r>
      <w:r w:rsidRPr="007F1014">
        <w:rPr>
          <w:spacing w:val="-2"/>
          <w:szCs w:val="20"/>
          <w:rtl/>
        </w:rPr>
        <w:t>14</w:t>
      </w:r>
      <w:r w:rsidRPr="007F1014">
        <w:rPr>
          <w:spacing w:val="-2"/>
          <w:rtl/>
        </w:rPr>
        <w:t>(</w:t>
      </w:r>
      <w:r w:rsidRPr="007F1014">
        <w:rPr>
          <w:spacing w:val="-2"/>
          <w:szCs w:val="20"/>
          <w:rtl/>
        </w:rPr>
        <w:t>2</w:t>
      </w:r>
      <w:r w:rsidRPr="007F1014">
        <w:rPr>
          <w:spacing w:val="-2"/>
          <w:rtl/>
        </w:rPr>
        <w:t>) على أن الاعتراض على زيارة لمكان احتجاز بعينه لا يمكن التـذرع بــه إلا لأسباب ملحـَّـة وموجبـة لها علاقة بالدفاع الوطني أو السلامة العامة والكوارث</w:t>
      </w:r>
      <w:r>
        <w:rPr>
          <w:rtl/>
        </w:rPr>
        <w:t xml:space="preserve"> الطبيعية </w:t>
      </w:r>
      <w:r>
        <w:rPr>
          <w:rtl/>
        </w:rPr>
        <w:lastRenderedPageBreak/>
        <w:t>أو</w:t>
      </w:r>
      <w:r w:rsidR="007F1014">
        <w:rPr>
          <w:rFonts w:hint="cs"/>
          <w:rtl/>
        </w:rPr>
        <w:t> </w:t>
      </w:r>
      <w:r>
        <w:rPr>
          <w:rtl/>
        </w:rPr>
        <w:t>اضطراب خطير في المكان المزمع زيارته، مما يحول مؤقت</w:t>
      </w:r>
      <w:r w:rsidR="00915A5C">
        <w:rPr>
          <w:rtl/>
        </w:rPr>
        <w:t xml:space="preserve">اً </w:t>
      </w:r>
      <w:r>
        <w:rPr>
          <w:rtl/>
        </w:rPr>
        <w:t>دون الاضطلاع بزيارة كهذه؛ ولا يمكن أن تتذرع الدولة الطرف بحالة طوارئ معلنة كي يكون ذلك مبرر</w:t>
      </w:r>
      <w:r w:rsidR="00915A5C">
        <w:rPr>
          <w:rtl/>
        </w:rPr>
        <w:t xml:space="preserve">اً </w:t>
      </w:r>
      <w:r>
        <w:rPr>
          <w:rtl/>
        </w:rPr>
        <w:t>للاعتراض على الزيارة.</w:t>
      </w:r>
    </w:p>
    <w:p w:rsidR="004858BD" w:rsidRDefault="004858BD" w:rsidP="004858BD">
      <w:pPr>
        <w:pStyle w:val="SingleTxtGA"/>
        <w:rPr>
          <w:rtl/>
        </w:rPr>
      </w:pPr>
      <w:r w:rsidRPr="004858BD">
        <w:rPr>
          <w:szCs w:val="20"/>
          <w:rtl/>
        </w:rPr>
        <w:t>5</w:t>
      </w:r>
      <w:r>
        <w:rPr>
          <w:rtl/>
        </w:rPr>
        <w:t>-</w:t>
      </w:r>
      <w:r>
        <w:rPr>
          <w:rtl/>
        </w:rPr>
        <w:tab/>
        <w:t xml:space="preserve">وهذا يشير إلى أنه في حين يمكن الاعتراض على الزيارة لأسباب تتعلق بالسلامة العامة، </w:t>
      </w:r>
      <w:r w:rsidRPr="00FC5FDF">
        <w:rPr>
          <w:spacing w:val="-4"/>
          <w:rtl/>
        </w:rPr>
        <w:t>ويمكن أن تشمل حالة طوارئ طبية تتطلب الحجر الصحي، فإن ذلك لا يمكن أن يكون إلا تقييداً مؤقتاً</w:t>
      </w:r>
      <w:r>
        <w:rPr>
          <w:rtl/>
        </w:rPr>
        <w:t xml:space="preserve"> ولا يمكن أن يمنع الزيارات إلى مكان الحجر الصحي تماماً. وبعبارة أخرى، سيلزم أن يكون هناك سبب خاص لعدم القيام بهذه الزيارة في وقت معين، بدلاً من ألا تتم هذه الزيارات على الإطلاق.</w:t>
      </w:r>
    </w:p>
    <w:p w:rsidR="004858BD" w:rsidRDefault="004858BD" w:rsidP="004858BD">
      <w:pPr>
        <w:pStyle w:val="SingleTxtGA"/>
        <w:rPr>
          <w:rtl/>
        </w:rPr>
      </w:pPr>
      <w:r w:rsidRPr="004858BD">
        <w:rPr>
          <w:szCs w:val="20"/>
          <w:rtl/>
        </w:rPr>
        <w:t>6</w:t>
      </w:r>
      <w:r>
        <w:rPr>
          <w:rtl/>
        </w:rPr>
        <w:t>-</w:t>
      </w:r>
      <w:r>
        <w:rPr>
          <w:rtl/>
        </w:rPr>
        <w:tab/>
        <w:t>وهذا يؤكد الرأي القائل بأن أماكن الحجر الصحي تقع ضمن ولاية الزيارة التي تمارسها آلية وقائية وطنية، وإن كان يمكن تقييد الوصول إليها مؤقتاً لأسباب محدودة للغاية وليس على أساس أن المكان المعني مكان للحجر الصحي.</w:t>
      </w:r>
    </w:p>
    <w:p w:rsidR="004858BD" w:rsidRDefault="004858BD" w:rsidP="004858BD">
      <w:pPr>
        <w:pStyle w:val="SingleTxtGA"/>
        <w:rPr>
          <w:rtl/>
        </w:rPr>
      </w:pPr>
      <w:r w:rsidRPr="004858BD">
        <w:rPr>
          <w:szCs w:val="20"/>
          <w:rtl/>
        </w:rPr>
        <w:t>7</w:t>
      </w:r>
      <w:r>
        <w:rPr>
          <w:rtl/>
        </w:rPr>
        <w:t>-</w:t>
      </w:r>
      <w:r>
        <w:rPr>
          <w:rtl/>
        </w:rPr>
        <w:tab/>
        <w:t xml:space="preserve">وتلاحظ اللجنة الفرعية أن البروتوكول الاختياري ينص على أن تتاح للآليات الوقائية الوطنية </w:t>
      </w:r>
      <w:r w:rsidRPr="00FC5FDF">
        <w:rPr>
          <w:spacing w:val="-2"/>
          <w:rtl/>
        </w:rPr>
        <w:t xml:space="preserve">إمكانية الوصول إلى جميع أماكن الاحتجاز ومنشآتها ومرافقها (المادة </w:t>
      </w:r>
      <w:r w:rsidRPr="00FC5FDF">
        <w:rPr>
          <w:spacing w:val="-2"/>
          <w:szCs w:val="20"/>
          <w:rtl/>
        </w:rPr>
        <w:t>20</w:t>
      </w:r>
      <w:r w:rsidRPr="00FC5FDF">
        <w:rPr>
          <w:spacing w:val="-2"/>
          <w:rtl/>
        </w:rPr>
        <w:t>(ج)) وفرصة إجراء مقابلات خاصة</w:t>
      </w:r>
      <w:r>
        <w:rPr>
          <w:rtl/>
        </w:rPr>
        <w:t xml:space="preserve"> مع الأشخاص المحرومين من حريتهم دون وجود شهود (المادة </w:t>
      </w:r>
      <w:r w:rsidRPr="004858BD">
        <w:rPr>
          <w:szCs w:val="20"/>
          <w:rtl/>
        </w:rPr>
        <w:t>20</w:t>
      </w:r>
      <w:r>
        <w:rPr>
          <w:rtl/>
        </w:rPr>
        <w:t>(د)).</w:t>
      </w:r>
    </w:p>
    <w:p w:rsidR="004858BD" w:rsidRDefault="004858BD" w:rsidP="004858BD">
      <w:pPr>
        <w:pStyle w:val="SingleTxtGA"/>
        <w:rPr>
          <w:rtl/>
        </w:rPr>
      </w:pPr>
      <w:r w:rsidRPr="004858BD">
        <w:rPr>
          <w:szCs w:val="20"/>
          <w:rtl/>
        </w:rPr>
        <w:t>8</w:t>
      </w:r>
      <w:r>
        <w:rPr>
          <w:rtl/>
        </w:rPr>
        <w:t>-</w:t>
      </w:r>
      <w:r>
        <w:rPr>
          <w:rtl/>
        </w:rPr>
        <w:tab/>
      </w:r>
      <w:r w:rsidRPr="00FC5FDF">
        <w:rPr>
          <w:spacing w:val="-2"/>
          <w:rtl/>
        </w:rPr>
        <w:t>وتسلم اللجنة الفرعية بأنه في حين أن الحجر الصحي يُفرَض من أجل الصالح العام، فإنه يجب</w:t>
      </w:r>
      <w:r>
        <w:rPr>
          <w:rtl/>
        </w:rPr>
        <w:t xml:space="preserve"> </w:t>
      </w:r>
      <w:r w:rsidRPr="00FC5FDF">
        <w:rPr>
          <w:spacing w:val="-4"/>
          <w:rtl/>
        </w:rPr>
        <w:t>ألا يؤدي إلى إساءة معاملة المحتجزين. ويتمثل دور الآلية الوقائية الوطنية في ضمان احترام جميع الضمانات</w:t>
      </w:r>
      <w:r>
        <w:rPr>
          <w:rtl/>
        </w:rPr>
        <w:t xml:space="preserve"> </w:t>
      </w:r>
      <w:r w:rsidRPr="00FC5FDF">
        <w:rPr>
          <w:spacing w:val="-2"/>
          <w:rtl/>
        </w:rPr>
        <w:t>الأساسية، بما في ذلك حق الفرد في أن يُبلَغ بسبب وضعه في الحجر الصحي، وفي إخطار طرف ثالث،</w:t>
      </w:r>
      <w:r>
        <w:rPr>
          <w:rtl/>
        </w:rPr>
        <w:t xml:space="preserve"> وفي الحصول على مشورة قانونية مستقلة، وفي أن يخضع لفحص طبيب من اختياره.</w:t>
      </w:r>
    </w:p>
    <w:p w:rsidR="004858BD" w:rsidRDefault="004858BD" w:rsidP="004858BD">
      <w:pPr>
        <w:pStyle w:val="SingleTxtGA"/>
        <w:rPr>
          <w:rtl/>
        </w:rPr>
      </w:pPr>
      <w:r w:rsidRPr="004858BD">
        <w:rPr>
          <w:szCs w:val="20"/>
          <w:rtl/>
        </w:rPr>
        <w:t>9</w:t>
      </w:r>
      <w:r>
        <w:rPr>
          <w:rtl/>
        </w:rPr>
        <w:t>-</w:t>
      </w:r>
      <w:r>
        <w:rPr>
          <w:rtl/>
        </w:rPr>
        <w:tab/>
        <w:t xml:space="preserve">وبالإضافة إلى ذلك، ينبغي </w:t>
      </w:r>
      <w:bookmarkStart w:id="0" w:name="_GoBack"/>
      <w:bookmarkEnd w:id="0"/>
      <w:r>
        <w:rPr>
          <w:rtl/>
        </w:rPr>
        <w:t xml:space="preserve">اتخاذ تدابير كافية ومناسبة لمنع انتهاكات حظر إساءة المعاملة. </w:t>
      </w:r>
      <w:r w:rsidRPr="00FC5FDF">
        <w:rPr>
          <w:spacing w:val="-2"/>
          <w:rtl/>
        </w:rPr>
        <w:t>ويمكن أن تشمل هذه الانتهاكات (أو تنبثق عن) ممارسات وإجراءات تمييزية تؤدي إلى وصم أو تهميش</w:t>
      </w:r>
      <w:r>
        <w:rPr>
          <w:rtl/>
        </w:rPr>
        <w:t xml:space="preserve"> </w:t>
      </w:r>
      <w:r w:rsidRPr="00FC5FDF">
        <w:rPr>
          <w:spacing w:val="-4"/>
          <w:rtl/>
        </w:rPr>
        <w:t>فئات معينة من الأشخاص. ويمكن أن يشمل هؤلاء الأشخاص الأفراد والجماعات الذين يُعتبرون معرضين</w:t>
      </w:r>
      <w:r>
        <w:rPr>
          <w:rtl/>
        </w:rPr>
        <w:t xml:space="preserve"> لخطر الإصابة بالفيروسات أو ناقلين محتملين لها.</w:t>
      </w:r>
    </w:p>
    <w:p w:rsidR="004858BD" w:rsidRDefault="004858BD" w:rsidP="004858BD">
      <w:pPr>
        <w:pStyle w:val="SingleTxtGA"/>
        <w:rPr>
          <w:rtl/>
        </w:rPr>
      </w:pPr>
      <w:r w:rsidRPr="004858BD">
        <w:rPr>
          <w:szCs w:val="20"/>
          <w:rtl/>
        </w:rPr>
        <w:t>10</w:t>
      </w:r>
      <w:r>
        <w:rPr>
          <w:rtl/>
        </w:rPr>
        <w:t>-</w:t>
      </w:r>
      <w:r>
        <w:rPr>
          <w:rtl/>
        </w:rPr>
        <w:tab/>
        <w:t xml:space="preserve">وفي حين أن ولاية الزيارة التي تمارسها الآلية الوقائية الوطنية تشمل أماكن الحجر الصحي الإلزامي، فإن هذه الآليات يجب أن تضع في اعتبارها مبدأ "عدم الإضرار" عند ممارسة تلك الولاية. </w:t>
      </w:r>
      <w:r w:rsidRPr="00FC5FDF">
        <w:rPr>
          <w:spacing w:val="-5"/>
          <w:rtl/>
        </w:rPr>
        <w:t>وقد يتطلب ذلك تكييف ممارسات العمل العادية لصالح أولئك الذين هم في الحجر الصحي وأولئك الذين</w:t>
      </w:r>
      <w:r>
        <w:rPr>
          <w:rtl/>
        </w:rPr>
        <w:t xml:space="preserve"> </w:t>
      </w:r>
      <w:r w:rsidRPr="00FC5FDF">
        <w:rPr>
          <w:spacing w:val="-5"/>
          <w:rtl/>
        </w:rPr>
        <w:t>يقومون بزيارة، ومراعاة للمصلحة العامة المتمثلة في وقف انتشار المرض. فعلى سبيل المثال، يمكن ضمان</w:t>
      </w:r>
      <w:r>
        <w:rPr>
          <w:rtl/>
        </w:rPr>
        <w:t xml:space="preserve"> فرصة إجراء مقابلات على انفراد على نحو معقول من خلال أساليب تمنع انتقال العدوى، وقد يخضع أعضاء الآلية الوقائية الوطنية الذين يصلون إلى أماكن الحجر الصحي بصورة مشروعة لفحوص طبية وغيرها من أشكال التفتيش والتقييد لضمان سلامة الحجر الصحي، كما هو الحال بالنسبة لغيرهم ممن يخدمون احتياجات المحتجزين. </w:t>
      </w:r>
    </w:p>
    <w:p w:rsidR="004858BD" w:rsidRDefault="004858BD" w:rsidP="004858BD">
      <w:pPr>
        <w:pStyle w:val="SingleTxtGA"/>
        <w:rPr>
          <w:rtl/>
        </w:rPr>
      </w:pPr>
      <w:r w:rsidRPr="004858BD">
        <w:rPr>
          <w:szCs w:val="20"/>
          <w:rtl/>
        </w:rPr>
        <w:t>11</w:t>
      </w:r>
      <w:r>
        <w:rPr>
          <w:rtl/>
        </w:rPr>
        <w:t>-</w:t>
      </w:r>
      <w:r>
        <w:rPr>
          <w:rtl/>
        </w:rPr>
        <w:tab/>
        <w:t xml:space="preserve">وفي التقارير الناشئة عن هذه الزيارات، يجب أن تحرص الآلية الوقائية الوطنية على احترام </w:t>
      </w:r>
      <w:r w:rsidRPr="00FC5FDF">
        <w:rPr>
          <w:spacing w:val="-5"/>
          <w:rtl/>
        </w:rPr>
        <w:t>سرية المحتجزين وألا تسهم في احتمال وصم و/أو خطر التمييز ضد أولئك الذين تعرضوا للحجر الصحي الإلزامي.</w:t>
      </w:r>
      <w:r>
        <w:rPr>
          <w:rtl/>
        </w:rPr>
        <w:t xml:space="preserve"> ويمكن الاطلاع على مزيد من الإرشادات المفيدة في الوثائق ذات الصلة التي تنشرها مراكز مكافحة الأمراض والوقاية منها ومنظمة الصحة العالمية</w:t>
      </w:r>
      <w:r>
        <w:rPr>
          <w:vertAlign w:val="superscript"/>
          <w:rtl/>
        </w:rPr>
        <w:t>(</w:t>
      </w:r>
      <w:r w:rsidRPr="004858BD">
        <w:rPr>
          <w:rStyle w:val="FootnoteReference"/>
          <w:rFonts w:cs="Times New Roman"/>
          <w:b w:val="0"/>
          <w:position w:val="4"/>
          <w:sz w:val="20"/>
        </w:rPr>
        <w:footnoteReference w:id="2"/>
      </w:r>
      <w:r>
        <w:rPr>
          <w:vertAlign w:val="superscript"/>
          <w:rtl/>
        </w:rPr>
        <w:t>)</w:t>
      </w:r>
      <w:r>
        <w:rPr>
          <w:rtl/>
        </w:rPr>
        <w:t>.</w:t>
      </w:r>
    </w:p>
    <w:p w:rsidR="004858BD" w:rsidRPr="004858BD" w:rsidRDefault="004858BD" w:rsidP="004858BD">
      <w:pPr>
        <w:spacing w:before="120"/>
        <w:jc w:val="center"/>
        <w:rPr>
          <w:rFonts w:hint="cs"/>
          <w:u w:val="single"/>
          <w:rtl/>
        </w:rPr>
      </w:pPr>
      <w:r>
        <w:rPr>
          <w:u w:val="single"/>
          <w:rtl/>
        </w:rPr>
        <w:tab/>
      </w:r>
      <w:r>
        <w:rPr>
          <w:u w:val="single"/>
          <w:rtl/>
        </w:rPr>
        <w:tab/>
      </w:r>
      <w:r>
        <w:rPr>
          <w:u w:val="single"/>
          <w:rtl/>
        </w:rPr>
        <w:tab/>
      </w:r>
    </w:p>
    <w:sectPr w:rsidR="004858BD" w:rsidRPr="004858BD" w:rsidSect="00CE76E2">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361"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3370" w:rsidRPr="002901D9" w:rsidRDefault="007E3370" w:rsidP="002901D9">
      <w:pPr>
        <w:spacing w:after="60" w:line="240" w:lineRule="auto"/>
        <w:rPr>
          <w:i/>
          <w:iCs/>
        </w:rPr>
      </w:pPr>
      <w:r>
        <w:rPr>
          <w:rFonts w:hint="cs"/>
          <w:i/>
          <w:iCs/>
          <w:rtl/>
        </w:rPr>
        <w:t>الحواشي</w:t>
      </w:r>
    </w:p>
  </w:endnote>
  <w:endnote w:type="continuationSeparator" w:id="0">
    <w:p w:rsidR="007E3370" w:rsidRDefault="007E3370"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76E2" w:rsidRPr="004858BD" w:rsidRDefault="004858BD" w:rsidP="004858BD">
    <w:pPr>
      <w:pStyle w:val="Footer"/>
      <w:tabs>
        <w:tab w:val="right" w:pos="9598"/>
      </w:tabs>
      <w:rPr>
        <w:sz w:val="17"/>
      </w:rPr>
    </w:pPr>
    <w:r>
      <w:rPr>
        <w:sz w:val="17"/>
      </w:rPr>
      <w:t>GE.20-04849</w:t>
    </w:r>
    <w:r>
      <w:rPr>
        <w:sz w:val="17"/>
      </w:rPr>
      <w:tab/>
    </w:r>
    <w:r w:rsidRPr="004858BD">
      <w:rPr>
        <w:b/>
        <w:sz w:val="18"/>
      </w:rPr>
      <w:fldChar w:fldCharType="begin"/>
    </w:r>
    <w:r w:rsidRPr="004858BD">
      <w:rPr>
        <w:b/>
        <w:sz w:val="18"/>
      </w:rPr>
      <w:instrText xml:space="preserve"> PAGE  \* MERGEFORMAT </w:instrText>
    </w:r>
    <w:r w:rsidRPr="004858BD">
      <w:rPr>
        <w:b/>
        <w:sz w:val="18"/>
      </w:rPr>
      <w:fldChar w:fldCharType="separate"/>
    </w:r>
    <w:r>
      <w:rPr>
        <w:b/>
        <w:sz w:val="18"/>
      </w:rPr>
      <w:t>2</w:t>
    </w:r>
    <w:r w:rsidRPr="004858BD">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59B0" w:rsidRPr="004858BD" w:rsidRDefault="004858BD" w:rsidP="006959B0">
    <w:pPr>
      <w:pStyle w:val="Footer"/>
      <w:tabs>
        <w:tab w:val="right" w:pos="9599"/>
      </w:tabs>
      <w:jc w:val="left"/>
      <w:rPr>
        <w:b/>
        <w:sz w:val="18"/>
        <w:lang w:val="en-US"/>
      </w:rPr>
    </w:pPr>
    <w:r w:rsidRPr="004858BD">
      <w:rPr>
        <w:b/>
        <w:sz w:val="18"/>
        <w:lang w:val="en-US"/>
      </w:rPr>
      <w:fldChar w:fldCharType="begin"/>
    </w:r>
    <w:r w:rsidRPr="004858BD">
      <w:rPr>
        <w:b/>
        <w:sz w:val="18"/>
        <w:lang w:val="en-US"/>
      </w:rPr>
      <w:instrText xml:space="preserve"> PAGE  \* MERGEFORMAT </w:instrText>
    </w:r>
    <w:r w:rsidRPr="004858BD">
      <w:rPr>
        <w:b/>
        <w:sz w:val="18"/>
        <w:lang w:val="en-US"/>
      </w:rPr>
      <w:fldChar w:fldCharType="separate"/>
    </w:r>
    <w:r w:rsidRPr="004858BD">
      <w:rPr>
        <w:b/>
        <w:noProof/>
        <w:sz w:val="18"/>
        <w:lang w:val="en-US"/>
      </w:rPr>
      <w:t>3</w:t>
    </w:r>
    <w:r w:rsidRPr="004858BD">
      <w:rPr>
        <w:b/>
        <w:sz w:val="18"/>
        <w:lang w:val="en-US"/>
      </w:rPr>
      <w:fldChar w:fldCharType="end"/>
    </w:r>
    <w:r>
      <w:rPr>
        <w:b/>
        <w:sz w:val="18"/>
        <w:lang w:val="en-US"/>
      </w:rPr>
      <w:tab/>
    </w:r>
    <w:r>
      <w:rPr>
        <w:sz w:val="17"/>
        <w:lang w:val="en-US"/>
      </w:rPr>
      <w:t>GE.20-04849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4EA8" w:rsidRDefault="00CE76E2" w:rsidP="005A3015">
    <w:pPr>
      <w:pStyle w:val="Footer"/>
      <w:spacing w:before="360"/>
      <w:jc w:val="right"/>
      <w:rPr>
        <w:sz w:val="20"/>
        <w:szCs w:val="20"/>
      </w:rPr>
    </w:pPr>
    <w:r>
      <w:rPr>
        <w:sz w:val="20"/>
        <w:szCs w:val="20"/>
      </w:rPr>
      <w:t>GE.20-04849</w:t>
    </w:r>
    <w:r w:rsidR="00AF2B1A">
      <w:rPr>
        <w:noProof/>
      </w:rPr>
      <w:drawing>
        <wp:anchor distT="0" distB="0" distL="114300" distR="114300" simplePos="0" relativeHeight="251657728" behindDoc="1" locked="1" layoutInCell="0" allowOverlap="1">
          <wp:simplePos x="0" y="0"/>
          <wp:positionH relativeFrom="margin">
            <wp:posOffset>706755</wp:posOffset>
          </wp:positionH>
          <wp:positionV relativeFrom="page">
            <wp:posOffset>9901555</wp:posOffset>
          </wp:positionV>
          <wp:extent cx="1162685" cy="323850"/>
          <wp:effectExtent l="0" t="0" r="0" b="0"/>
          <wp:wrapTight wrapText="bothSides">
            <wp:wrapPolygon edited="0">
              <wp:start x="0" y="0"/>
              <wp:lineTo x="0" y="20329"/>
              <wp:lineTo x="21234" y="20329"/>
              <wp:lineTo x="21234" y="0"/>
              <wp:lineTo x="0" y="0"/>
            </wp:wrapPolygon>
          </wp:wrapTight>
          <wp:docPr id="1"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leaseRecycleArabic"/>
                  <pic:cNvPicPr>
                    <a:picLocks noChangeAspect="1" noChangeArrowheads="1"/>
                  </pic:cNvPicPr>
                </pic:nvPicPr>
                <pic:blipFill>
                  <a:blip r:embed="rId1">
                    <a:extLst>
                      <a:ext uri="{28A0092B-C50C-407E-A947-70E740481C1C}">
                        <a14:useLocalDpi xmlns:a14="http://schemas.microsoft.com/office/drawing/2010/main" val="0"/>
                      </a:ext>
                    </a:extLst>
                  </a:blip>
                  <a:srcRect t="4565" b="4565"/>
                  <a:stretch>
                    <a:fillRect/>
                  </a:stretch>
                </pic:blipFill>
                <pic:spPr bwMode="auto">
                  <a:xfrm>
                    <a:off x="0" y="0"/>
                    <a:ext cx="1162685" cy="323850"/>
                  </a:xfrm>
                  <a:prstGeom prst="rect">
                    <a:avLst/>
                  </a:prstGeom>
                  <a:noFill/>
                </pic:spPr>
              </pic:pic>
            </a:graphicData>
          </a:graphic>
          <wp14:sizeRelH relativeFrom="page">
            <wp14:pctWidth>0</wp14:pctWidth>
          </wp14:sizeRelH>
          <wp14:sizeRelV relativeFrom="page">
            <wp14:pctHeight>0</wp14:pctHeight>
          </wp14:sizeRelV>
        </wp:anchor>
      </w:drawing>
    </w:r>
    <w:r w:rsidR="00A34EA8" w:rsidRPr="007A0286">
      <w:rPr>
        <w:sz w:val="20"/>
        <w:szCs w:val="20"/>
      </w:rPr>
      <w:t>(A)</w:t>
    </w:r>
  </w:p>
  <w:p w:rsidR="00CE76E2" w:rsidRPr="00CE76E2" w:rsidRDefault="00CE76E2" w:rsidP="00CE76E2">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sidR="00AF2B1A">
      <w:rPr>
        <w:noProof/>
      </w:rPr>
      <w:drawing>
        <wp:anchor distT="0" distB="0" distL="114300" distR="114300" simplePos="0" relativeHeight="251659776" behindDoc="0" locked="0" layoutInCell="1" allowOverlap="1">
          <wp:simplePos x="0" y="0"/>
          <wp:positionH relativeFrom="page">
            <wp:posOffset>719455</wp:posOffset>
          </wp:positionH>
          <wp:positionV relativeFrom="page">
            <wp:posOffset>9611995</wp:posOffset>
          </wp:positionV>
          <wp:extent cx="560070" cy="560070"/>
          <wp:effectExtent l="0" t="0" r="0" b="0"/>
          <wp:wrapNone/>
          <wp:docPr id="2" name="Picture 2" descr="http://undocs.org/m2/QRCode.ashx?DS=CAT/OP/9&amp;Size=2&amp;Lan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ndocs.org/m2/QRCode.ashx?DS=CAT/OP/9&amp;Size=2&amp;Lang=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0070" cy="56007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3370" w:rsidRPr="004956DC" w:rsidRDefault="007E3370" w:rsidP="00761849">
      <w:pPr>
        <w:pStyle w:val="Footer"/>
        <w:bidi/>
        <w:spacing w:after="80" w:line="200" w:lineRule="exact"/>
        <w:ind w:left="680"/>
      </w:pPr>
      <w:r>
        <w:rPr>
          <w:rtl/>
        </w:rPr>
        <w:t>__________</w:t>
      </w:r>
    </w:p>
  </w:footnote>
  <w:footnote w:type="continuationSeparator" w:id="0">
    <w:p w:rsidR="007E3370" w:rsidRDefault="007E3370" w:rsidP="00656392">
      <w:pPr>
        <w:spacing w:line="240" w:lineRule="auto"/>
      </w:pPr>
      <w:r>
        <w:continuationSeparator/>
      </w:r>
    </w:p>
  </w:footnote>
  <w:footnote w:id="1">
    <w:p w:rsidR="004858BD" w:rsidRPr="004858BD" w:rsidRDefault="004858BD" w:rsidP="004858BD">
      <w:pPr>
        <w:pStyle w:val="FootnoteText1"/>
        <w:rPr>
          <w:rFonts w:hint="cs"/>
          <w:rtl/>
        </w:rPr>
      </w:pPr>
      <w:r>
        <w:rPr>
          <w:rtl/>
        </w:rPr>
        <w:t>*</w:t>
      </w:r>
      <w:r>
        <w:rPr>
          <w:rtl/>
        </w:rPr>
        <w:tab/>
      </w:r>
      <w:r w:rsidRPr="004858BD">
        <w:rPr>
          <w:rtl/>
        </w:rPr>
        <w:t>اعتمدتها اللجنة الفرعية في دورتها الأربعين (</w:t>
      </w:r>
      <w:r w:rsidRPr="004858BD">
        <w:rPr>
          <w:szCs w:val="18"/>
          <w:rtl/>
        </w:rPr>
        <w:t>10</w:t>
      </w:r>
      <w:r w:rsidRPr="004858BD">
        <w:rPr>
          <w:rtl/>
        </w:rPr>
        <w:t>-</w:t>
      </w:r>
      <w:r w:rsidRPr="004858BD">
        <w:rPr>
          <w:szCs w:val="18"/>
          <w:rtl/>
        </w:rPr>
        <w:t>14</w:t>
      </w:r>
      <w:r w:rsidRPr="004858BD">
        <w:rPr>
          <w:rtl/>
        </w:rPr>
        <w:t xml:space="preserve"> شباط/فبراير </w:t>
      </w:r>
      <w:r w:rsidRPr="004858BD">
        <w:rPr>
          <w:szCs w:val="18"/>
          <w:rtl/>
        </w:rPr>
        <w:t>2020</w:t>
      </w:r>
      <w:r w:rsidRPr="004858BD">
        <w:rPr>
          <w:rtl/>
        </w:rPr>
        <w:t xml:space="preserve">)، عملاً بالمادة </w:t>
      </w:r>
      <w:r w:rsidRPr="004858BD">
        <w:rPr>
          <w:szCs w:val="18"/>
          <w:rtl/>
        </w:rPr>
        <w:t>11</w:t>
      </w:r>
      <w:r w:rsidRPr="004858BD">
        <w:rPr>
          <w:rtl/>
        </w:rPr>
        <w:t>(ب) من البروتوكول الاختياري لاتفاقية مناهضة التعذيب وغيره من ضروب المعاملة أو العقوبة القاسية أو اللاإنسانية أو المهينة.</w:t>
      </w:r>
    </w:p>
  </w:footnote>
  <w:footnote w:id="2">
    <w:p w:rsidR="004858BD" w:rsidRPr="004858BD" w:rsidRDefault="004858BD" w:rsidP="00A21A3A">
      <w:pPr>
        <w:pStyle w:val="FootnoteText1"/>
        <w:jc w:val="left"/>
        <w:rPr>
          <w:rFonts w:hint="cs"/>
        </w:rPr>
      </w:pPr>
      <w:r w:rsidRPr="004858BD">
        <w:rPr>
          <w:rtl/>
        </w:rPr>
        <w:t>(</w:t>
      </w:r>
      <w:r w:rsidRPr="004858BD">
        <w:rPr>
          <w:rStyle w:val="FootnoteReference"/>
          <w:rFonts w:cs="Times New Roman"/>
          <w:b w:val="0"/>
          <w:vertAlign w:val="baseline"/>
        </w:rPr>
        <w:footnoteRef/>
      </w:r>
      <w:r>
        <w:rPr>
          <w:sz w:val="26"/>
          <w:rtl/>
        </w:rPr>
        <w:t>)</w:t>
      </w:r>
      <w:r>
        <w:rPr>
          <w:sz w:val="26"/>
          <w:rtl/>
        </w:rPr>
        <w:tab/>
      </w:r>
      <w:r>
        <w:rPr>
          <w:rFonts w:hint="cs"/>
          <w:rtl/>
        </w:rPr>
        <w:t xml:space="preserve">انظر </w:t>
      </w:r>
      <w:r w:rsidR="00A21A3A" w:rsidRPr="00E565A9">
        <w:t>www.cdc.gov/infectioncontrol/guidelines/isolation/prevention.html</w:t>
      </w:r>
      <w:r w:rsidR="00A21A3A">
        <w:rPr>
          <w:rFonts w:hint="cs"/>
          <w:rtl/>
        </w:rPr>
        <w:t xml:space="preserve"> </w:t>
      </w:r>
      <w:r w:rsidR="00A21A3A">
        <w:rPr>
          <w:rtl/>
        </w:rPr>
        <w:br/>
      </w:r>
      <w:r w:rsidR="00A21A3A">
        <w:rPr>
          <w:rFonts w:hint="cs"/>
          <w:rtl/>
        </w:rPr>
        <w:t>و</w:t>
      </w:r>
      <w:r w:rsidR="00A21A3A" w:rsidRPr="00E565A9">
        <w:t>www.who.int/emergencies/diseases/novel-coronavirus-2019/technical-guidance</w:t>
      </w:r>
      <w:r w:rsidR="00A21A3A">
        <w:rPr>
          <w:rFonts w:hint="cs"/>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76E2" w:rsidRPr="004858BD" w:rsidRDefault="004858BD" w:rsidP="004858BD">
    <w:pPr>
      <w:pStyle w:val="Header"/>
      <w:jc w:val="right"/>
    </w:pPr>
    <w:r w:rsidRPr="004858BD">
      <w:t>CAT/OP/9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76E2" w:rsidRPr="004858BD" w:rsidRDefault="004858BD" w:rsidP="004858BD">
    <w:pPr>
      <w:pStyle w:val="Header"/>
      <w:jc w:val="left"/>
    </w:pPr>
    <w:r w:rsidRPr="004858BD">
      <w:t>CAT/OP/9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4"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num>
  <w:num w:numId="8">
    <w:abstractNumId w:val="0"/>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attachedTemplate r:id="rId1"/>
  <w:defaultTabStop w:val="567"/>
  <w:evenAndOddHeaders/>
  <w:characterSpacingControl w:val="doNotCompress"/>
  <w:hdrShapeDefaults>
    <o:shapedefaults v:ext="edit" spidmax="2051"/>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allowHyphenationAtTrackBottom" w:uri="http://schemas.microsoft.com/office/word" w:val="1"/>
    <w:compatSetting w:name="useWord2013TrackBottomHyphenation" w:uri="http://schemas.microsoft.com/office/word" w:val="1"/>
  </w:compat>
  <w:rsids>
    <w:rsidRoot w:val="007E3370"/>
    <w:rsid w:val="000076D5"/>
    <w:rsid w:val="00043663"/>
    <w:rsid w:val="000505CF"/>
    <w:rsid w:val="000A2113"/>
    <w:rsid w:val="000D701C"/>
    <w:rsid w:val="000E2A71"/>
    <w:rsid w:val="00160263"/>
    <w:rsid w:val="00167825"/>
    <w:rsid w:val="00181F96"/>
    <w:rsid w:val="001A1371"/>
    <w:rsid w:val="001B346A"/>
    <w:rsid w:val="001E1CAD"/>
    <w:rsid w:val="001E290D"/>
    <w:rsid w:val="002144FA"/>
    <w:rsid w:val="0023469A"/>
    <w:rsid w:val="00243C8A"/>
    <w:rsid w:val="00267A0E"/>
    <w:rsid w:val="002901D9"/>
    <w:rsid w:val="002976C2"/>
    <w:rsid w:val="002F43F8"/>
    <w:rsid w:val="00323EC8"/>
    <w:rsid w:val="003260FF"/>
    <w:rsid w:val="00343D95"/>
    <w:rsid w:val="00374341"/>
    <w:rsid w:val="00384DA7"/>
    <w:rsid w:val="003D1062"/>
    <w:rsid w:val="00420D7B"/>
    <w:rsid w:val="00450B21"/>
    <w:rsid w:val="00453B63"/>
    <w:rsid w:val="00455780"/>
    <w:rsid w:val="004858BD"/>
    <w:rsid w:val="004956DC"/>
    <w:rsid w:val="004B0A1C"/>
    <w:rsid w:val="004D298E"/>
    <w:rsid w:val="00535BA6"/>
    <w:rsid w:val="0054472E"/>
    <w:rsid w:val="005662A9"/>
    <w:rsid w:val="005827D4"/>
    <w:rsid w:val="0059622A"/>
    <w:rsid w:val="005A3015"/>
    <w:rsid w:val="005C5878"/>
    <w:rsid w:val="005C7CEA"/>
    <w:rsid w:val="005D3C0B"/>
    <w:rsid w:val="005E5217"/>
    <w:rsid w:val="005F0FA4"/>
    <w:rsid w:val="005F30EE"/>
    <w:rsid w:val="0060473A"/>
    <w:rsid w:val="00656392"/>
    <w:rsid w:val="006646E9"/>
    <w:rsid w:val="0068781D"/>
    <w:rsid w:val="006959B0"/>
    <w:rsid w:val="006B3E27"/>
    <w:rsid w:val="006B6507"/>
    <w:rsid w:val="006C104C"/>
    <w:rsid w:val="006D05CB"/>
    <w:rsid w:val="00733704"/>
    <w:rsid w:val="00761849"/>
    <w:rsid w:val="0078071A"/>
    <w:rsid w:val="007E3370"/>
    <w:rsid w:val="007F1014"/>
    <w:rsid w:val="00817373"/>
    <w:rsid w:val="00852A9A"/>
    <w:rsid w:val="00893A8A"/>
    <w:rsid w:val="008F49E1"/>
    <w:rsid w:val="0090370F"/>
    <w:rsid w:val="00915A5C"/>
    <w:rsid w:val="00922AB1"/>
    <w:rsid w:val="009269D2"/>
    <w:rsid w:val="00942135"/>
    <w:rsid w:val="009521B0"/>
    <w:rsid w:val="00981C12"/>
    <w:rsid w:val="009A7E9F"/>
    <w:rsid w:val="009E5018"/>
    <w:rsid w:val="00A12B37"/>
    <w:rsid w:val="00A21A3A"/>
    <w:rsid w:val="00A34EA8"/>
    <w:rsid w:val="00A44D86"/>
    <w:rsid w:val="00A67AF5"/>
    <w:rsid w:val="00A94CA3"/>
    <w:rsid w:val="00AB6758"/>
    <w:rsid w:val="00AF2B1A"/>
    <w:rsid w:val="00B13763"/>
    <w:rsid w:val="00B456A0"/>
    <w:rsid w:val="00B477A4"/>
    <w:rsid w:val="00B54045"/>
    <w:rsid w:val="00C438D7"/>
    <w:rsid w:val="00C81B50"/>
    <w:rsid w:val="00C87F1F"/>
    <w:rsid w:val="00CD1801"/>
    <w:rsid w:val="00CE76E2"/>
    <w:rsid w:val="00D10EF1"/>
    <w:rsid w:val="00D42810"/>
    <w:rsid w:val="00D914A7"/>
    <w:rsid w:val="00DC1D29"/>
    <w:rsid w:val="00DD13C3"/>
    <w:rsid w:val="00DD596E"/>
    <w:rsid w:val="00DD621E"/>
    <w:rsid w:val="00DF0575"/>
    <w:rsid w:val="00E64B72"/>
    <w:rsid w:val="00E70E04"/>
    <w:rsid w:val="00E76499"/>
    <w:rsid w:val="00EC05A7"/>
    <w:rsid w:val="00EC4B6B"/>
    <w:rsid w:val="00EF1EE5"/>
    <w:rsid w:val="00F763B4"/>
    <w:rsid w:val="00F900C3"/>
    <w:rsid w:val="00FC5FDF"/>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7BAC4263"/>
  <w15:docId w15:val="{01DB13D2-2DAD-4560-80B6-E0FFCC532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Arial"/>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3E27"/>
    <w:pPr>
      <w:bidi/>
      <w:spacing w:line="240" w:lineRule="atLeast"/>
      <w:jc w:val="lowKashida"/>
    </w:pPr>
    <w:rPr>
      <w:rFonts w:ascii="Times New Roman" w:hAnsi="Times New Roman" w:cs="Traditional Arabic"/>
      <w:szCs w:val="30"/>
      <w:lang w:eastAsia="en-US"/>
    </w:rPr>
  </w:style>
  <w:style w:type="paragraph" w:styleId="Heading1">
    <w:name w:val="heading 1"/>
    <w:aliases w:val="Table_GA"/>
    <w:basedOn w:val="SingleTxtGA"/>
    <w:next w:val="Normal"/>
    <w:link w:val="Heading1Char"/>
    <w:qFormat/>
    <w:rsid w:val="00AB6758"/>
    <w:pPr>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Cambria" w:eastAsia="SimSun" w:hAnsi="Cambria" w:cs="Times New Roman"/>
      <w:b/>
      <w:bCs/>
      <w:color w:val="4F81BD"/>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Cambria" w:eastAsia="SimSun" w:hAnsi="Cambria" w:cs="Times New Roman"/>
      <w:b/>
      <w:bCs/>
      <w:color w:val="4F81BD"/>
    </w:rPr>
  </w:style>
  <w:style w:type="paragraph" w:styleId="Heading4">
    <w:name w:val="heading 4"/>
    <w:basedOn w:val="Normal"/>
    <w:next w:val="Normal"/>
    <w:link w:val="Heading4Char"/>
    <w:uiPriority w:val="9"/>
    <w:unhideWhenUsed/>
    <w:rsid w:val="00EC4B6B"/>
    <w:pPr>
      <w:keepNext/>
      <w:keepLines/>
      <w:spacing w:before="200"/>
      <w:outlineLvl w:val="3"/>
    </w:pPr>
    <w:rPr>
      <w:rFonts w:ascii="Cambria" w:eastAsia="SimSun" w:hAnsi="Cambria" w:cs="Times New Roman"/>
      <w:b/>
      <w:bCs/>
      <w:i/>
      <w:iCs/>
      <w:color w:val="4F81BD"/>
    </w:rPr>
  </w:style>
  <w:style w:type="paragraph" w:styleId="Heading5">
    <w:name w:val="heading 5"/>
    <w:basedOn w:val="Normal"/>
    <w:next w:val="Normal"/>
    <w:link w:val="Heading5Char"/>
    <w:uiPriority w:val="9"/>
    <w:unhideWhenUsed/>
    <w:rsid w:val="00EC4B6B"/>
    <w:pPr>
      <w:keepNext/>
      <w:keepLines/>
      <w:spacing w:before="200"/>
      <w:outlineLvl w:val="4"/>
    </w:pPr>
    <w:rPr>
      <w:rFonts w:ascii="Cambria" w:eastAsia="SimSun" w:hAnsi="Cambria" w:cs="Times New Roman"/>
      <w:color w:val="243F60"/>
    </w:rPr>
  </w:style>
  <w:style w:type="paragraph" w:styleId="Heading6">
    <w:name w:val="heading 6"/>
    <w:basedOn w:val="Normal"/>
    <w:next w:val="Normal"/>
    <w:link w:val="Heading6Char"/>
    <w:uiPriority w:val="9"/>
    <w:unhideWhenUsed/>
    <w:rsid w:val="00EC4B6B"/>
    <w:pPr>
      <w:keepNext/>
      <w:keepLines/>
      <w:spacing w:before="200"/>
      <w:outlineLvl w:val="5"/>
    </w:pPr>
    <w:rPr>
      <w:rFonts w:ascii="Cambria" w:eastAsia="SimSun" w:hAnsi="Cambria" w:cs="Times New Roman"/>
      <w:i/>
      <w:iCs/>
      <w:color w:val="243F60"/>
    </w:rPr>
  </w:style>
  <w:style w:type="paragraph" w:styleId="Heading7">
    <w:name w:val="heading 7"/>
    <w:basedOn w:val="Normal"/>
    <w:next w:val="Normal"/>
    <w:link w:val="Heading7Char"/>
    <w:uiPriority w:val="9"/>
    <w:unhideWhenUsed/>
    <w:rsid w:val="00EC4B6B"/>
    <w:pPr>
      <w:keepNext/>
      <w:keepLines/>
      <w:spacing w:before="200"/>
      <w:outlineLvl w:val="6"/>
    </w:pPr>
    <w:rPr>
      <w:rFonts w:ascii="Cambria" w:eastAsia="SimSun" w:hAnsi="Cambria" w:cs="Times New Roman"/>
      <w:i/>
      <w:iCs/>
      <w:color w:val="404040"/>
    </w:rPr>
  </w:style>
  <w:style w:type="paragraph" w:styleId="Heading8">
    <w:name w:val="heading 8"/>
    <w:basedOn w:val="Normal"/>
    <w:next w:val="Normal"/>
    <w:link w:val="Heading8Char"/>
    <w:uiPriority w:val="9"/>
    <w:unhideWhenUsed/>
    <w:rsid w:val="00EC4B6B"/>
    <w:pPr>
      <w:keepNext/>
      <w:keepLines/>
      <w:spacing w:before="200"/>
      <w:outlineLvl w:val="7"/>
    </w:pPr>
    <w:rPr>
      <w:rFonts w:ascii="Cambria" w:eastAsia="SimSun" w:hAnsi="Cambria" w:cs="Times New Roman"/>
      <w:color w:val="404040"/>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Cambria" w:eastAsia="SimSun" w:hAnsi="Cambria" w:cs="Times New Roman"/>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A1371"/>
    <w:pPr>
      <w:spacing w:line="240" w:lineRule="auto"/>
    </w:pPr>
    <w:rPr>
      <w:szCs w:val="20"/>
    </w:rPr>
  </w:style>
  <w:style w:type="character" w:customStyle="1" w:styleId="FootnoteTextChar">
    <w:name w:val="Footnote Text Char"/>
    <w:link w:val="FootnoteText"/>
    <w:uiPriority w:val="99"/>
    <w:semiHidden/>
    <w:rsid w:val="001A1371"/>
    <w:rPr>
      <w:sz w:val="20"/>
      <w:szCs w:val="20"/>
    </w:rPr>
  </w:style>
  <w:style w:type="character" w:styleId="FootnoteReference">
    <w:name w:val="footnote reference"/>
    <w:aliases w:val="4_GA"/>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6646E9"/>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167825"/>
    <w:pPr>
      <w:keepNext/>
      <w:keepLines/>
      <w:tabs>
        <w:tab w:val="right" w:pos="1021"/>
      </w:tabs>
      <w:suppressAutoHyphens/>
      <w:spacing w:before="240" w:after="120" w:line="380" w:lineRule="exact"/>
      <w:ind w:left="1247" w:right="1247" w:hanging="1247"/>
    </w:pPr>
    <w:rPr>
      <w:b/>
      <w:bCs/>
      <w:lang w:eastAsia="ar-SA"/>
    </w:rPr>
  </w:style>
  <w:style w:type="paragraph" w:customStyle="1" w:styleId="H4GA">
    <w:name w:val="_ H_4_GA"/>
    <w:basedOn w:val="Normal"/>
    <w:next w:val="Normal"/>
    <w:qFormat/>
    <w:rsid w:val="00167825"/>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167825"/>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A44D86"/>
    <w:pPr>
      <w:tabs>
        <w:tab w:val="left" w:pos="1928"/>
        <w:tab w:val="left" w:pos="2608"/>
        <w:tab w:val="left" w:pos="3289"/>
        <w:tab w:val="left" w:pos="3969"/>
        <w:tab w:val="left" w:pos="4649"/>
        <w:tab w:val="left" w:pos="5330"/>
      </w:tabs>
      <w:suppressAutoHyphens/>
      <w:spacing w:after="120" w:line="360" w:lineRule="exact"/>
      <w:ind w:left="1247" w:right="1247"/>
    </w:pPr>
    <w:rPr>
      <w:szCs w:val="28"/>
    </w:r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0A2113"/>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link w:val="Heading1"/>
    <w:rsid w:val="00AB6758"/>
    <w:rPr>
      <w:rFonts w:ascii="Times New Roman" w:eastAsia="Times New Roman" w:hAnsi="Times New Roman" w:cs="Traditional Arabic"/>
      <w:sz w:val="20"/>
      <w:szCs w:val="30"/>
    </w:rPr>
  </w:style>
  <w:style w:type="character" w:styleId="PageNumber">
    <w:name w:val="page number"/>
    <w:aliases w:val="7_GA"/>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link w:val="Heading2"/>
    <w:uiPriority w:val="9"/>
    <w:rsid w:val="00455780"/>
    <w:rPr>
      <w:rFonts w:ascii="Cambria" w:eastAsia="SimSun" w:hAnsi="Cambria" w:cs="Times New Roman"/>
      <w:b/>
      <w:bCs/>
      <w:color w:val="4F81BD"/>
      <w:sz w:val="26"/>
      <w:szCs w:val="26"/>
    </w:rPr>
  </w:style>
  <w:style w:type="character" w:styleId="BookTitle">
    <w:name w:val="Book Title"/>
    <w:uiPriority w:val="33"/>
    <w:rsid w:val="00455780"/>
    <w:rPr>
      <w:b/>
      <w:bCs/>
      <w:smallCaps/>
      <w:spacing w:val="5"/>
    </w:rPr>
  </w:style>
  <w:style w:type="character" w:customStyle="1" w:styleId="Heading3Char">
    <w:name w:val="Heading 3 Char"/>
    <w:link w:val="Heading3"/>
    <w:uiPriority w:val="9"/>
    <w:rsid w:val="00EC4B6B"/>
    <w:rPr>
      <w:rFonts w:ascii="Cambria" w:eastAsia="SimSun" w:hAnsi="Cambria" w:cs="Times New Roman"/>
      <w:b/>
      <w:bCs/>
      <w:color w:val="4F81BD"/>
      <w:sz w:val="20"/>
      <w:szCs w:val="30"/>
    </w:rPr>
  </w:style>
  <w:style w:type="character" w:customStyle="1" w:styleId="Heading4Char">
    <w:name w:val="Heading 4 Char"/>
    <w:link w:val="Heading4"/>
    <w:uiPriority w:val="9"/>
    <w:rsid w:val="00EC4B6B"/>
    <w:rPr>
      <w:rFonts w:ascii="Cambria" w:eastAsia="SimSun" w:hAnsi="Cambria" w:cs="Times New Roman"/>
      <w:b/>
      <w:bCs/>
      <w:i/>
      <w:iCs/>
      <w:color w:val="4F81BD"/>
      <w:sz w:val="20"/>
      <w:szCs w:val="30"/>
    </w:rPr>
  </w:style>
  <w:style w:type="character" w:customStyle="1" w:styleId="Heading5Char">
    <w:name w:val="Heading 5 Char"/>
    <w:link w:val="Heading5"/>
    <w:uiPriority w:val="9"/>
    <w:rsid w:val="00EC4B6B"/>
    <w:rPr>
      <w:rFonts w:ascii="Cambria" w:eastAsia="SimSun" w:hAnsi="Cambria" w:cs="Times New Roman"/>
      <w:color w:val="243F60"/>
      <w:sz w:val="20"/>
      <w:szCs w:val="30"/>
    </w:rPr>
  </w:style>
  <w:style w:type="character" w:customStyle="1" w:styleId="Heading6Char">
    <w:name w:val="Heading 6 Char"/>
    <w:link w:val="Heading6"/>
    <w:uiPriority w:val="9"/>
    <w:rsid w:val="00EC4B6B"/>
    <w:rPr>
      <w:rFonts w:ascii="Cambria" w:eastAsia="SimSun" w:hAnsi="Cambria" w:cs="Times New Roman"/>
      <w:i/>
      <w:iCs/>
      <w:color w:val="243F60"/>
      <w:sz w:val="20"/>
      <w:szCs w:val="30"/>
    </w:rPr>
  </w:style>
  <w:style w:type="character" w:customStyle="1" w:styleId="Heading7Char">
    <w:name w:val="Heading 7 Char"/>
    <w:link w:val="Heading7"/>
    <w:uiPriority w:val="9"/>
    <w:rsid w:val="00EC4B6B"/>
    <w:rPr>
      <w:rFonts w:ascii="Cambria" w:eastAsia="SimSun" w:hAnsi="Cambria" w:cs="Times New Roman"/>
      <w:i/>
      <w:iCs/>
      <w:color w:val="404040"/>
      <w:sz w:val="20"/>
      <w:szCs w:val="30"/>
    </w:rPr>
  </w:style>
  <w:style w:type="character" w:customStyle="1" w:styleId="Heading8Char">
    <w:name w:val="Heading 8 Char"/>
    <w:link w:val="Heading8"/>
    <w:uiPriority w:val="9"/>
    <w:rsid w:val="00EC4B6B"/>
    <w:rPr>
      <w:rFonts w:ascii="Cambria" w:eastAsia="SimSun" w:hAnsi="Cambria" w:cs="Times New Roman"/>
      <w:color w:val="404040"/>
      <w:sz w:val="20"/>
      <w:szCs w:val="20"/>
    </w:rPr>
  </w:style>
  <w:style w:type="character" w:customStyle="1" w:styleId="Heading9Char">
    <w:name w:val="Heading 9 Char"/>
    <w:link w:val="Heading9"/>
    <w:uiPriority w:val="9"/>
    <w:rsid w:val="00EC4B6B"/>
    <w:rPr>
      <w:rFonts w:ascii="Cambria" w:eastAsia="SimSun" w:hAnsi="Cambria" w:cs="Times New Roman"/>
      <w:i/>
      <w:iCs/>
      <w:color w:val="404040"/>
      <w:sz w:val="20"/>
      <w:szCs w:val="20"/>
    </w:rPr>
  </w:style>
  <w:style w:type="paragraph" w:styleId="Title">
    <w:name w:val="Title"/>
    <w:basedOn w:val="Normal"/>
    <w:next w:val="Normal"/>
    <w:link w:val="TitleChar"/>
    <w:uiPriority w:val="10"/>
    <w:rsid w:val="00EC4B6B"/>
    <w:pPr>
      <w:pBdr>
        <w:bottom w:val="single" w:sz="8" w:space="4" w:color="4F81BD"/>
      </w:pBdr>
      <w:spacing w:after="300" w:line="240" w:lineRule="auto"/>
      <w:contextualSpacing/>
    </w:pPr>
    <w:rPr>
      <w:rFonts w:ascii="Cambria" w:eastAsia="SimSun" w:hAnsi="Cambria" w:cs="Times New Roman"/>
      <w:color w:val="17365D"/>
      <w:spacing w:val="5"/>
      <w:kern w:val="28"/>
      <w:sz w:val="52"/>
      <w:szCs w:val="52"/>
    </w:rPr>
  </w:style>
  <w:style w:type="character" w:customStyle="1" w:styleId="TitleChar">
    <w:name w:val="Title Char"/>
    <w:link w:val="Title"/>
    <w:uiPriority w:val="10"/>
    <w:rsid w:val="00EC4B6B"/>
    <w:rPr>
      <w:rFonts w:ascii="Cambria" w:eastAsia="SimSun" w:hAnsi="Cambria" w:cs="Times New Roman"/>
      <w:color w:val="17365D"/>
      <w:spacing w:val="5"/>
      <w:kern w:val="28"/>
      <w:sz w:val="52"/>
      <w:szCs w:val="52"/>
    </w:rPr>
  </w:style>
  <w:style w:type="paragraph" w:styleId="Subtitle">
    <w:name w:val="Subtitle"/>
    <w:basedOn w:val="Normal"/>
    <w:next w:val="Normal"/>
    <w:link w:val="SubtitleChar"/>
    <w:uiPriority w:val="11"/>
    <w:rsid w:val="00EC4B6B"/>
    <w:pPr>
      <w:numPr>
        <w:ilvl w:val="1"/>
      </w:numPr>
    </w:pPr>
    <w:rPr>
      <w:rFonts w:ascii="Cambria" w:eastAsia="SimSun" w:hAnsi="Cambria" w:cs="Times New Roman"/>
      <w:i/>
      <w:iCs/>
      <w:color w:val="4F81BD"/>
      <w:spacing w:val="15"/>
      <w:sz w:val="24"/>
      <w:szCs w:val="24"/>
    </w:rPr>
  </w:style>
  <w:style w:type="character" w:customStyle="1" w:styleId="SubtitleChar">
    <w:name w:val="Subtitle Char"/>
    <w:link w:val="Subtitle"/>
    <w:uiPriority w:val="11"/>
    <w:rsid w:val="00EC4B6B"/>
    <w:rPr>
      <w:rFonts w:ascii="Cambria" w:eastAsia="SimSun" w:hAnsi="Cambria" w:cs="Times New Roman"/>
      <w:i/>
      <w:iCs/>
      <w:color w:val="4F81BD"/>
      <w:spacing w:val="15"/>
      <w:sz w:val="24"/>
      <w:szCs w:val="24"/>
    </w:rPr>
  </w:style>
  <w:style w:type="character" w:styleId="SubtleEmphasis">
    <w:name w:val="Subtle Emphasis"/>
    <w:uiPriority w:val="19"/>
    <w:rsid w:val="00EC4B6B"/>
    <w:rPr>
      <w:i/>
      <w:iCs/>
      <w:color w:val="808080"/>
    </w:rPr>
  </w:style>
  <w:style w:type="table" w:styleId="ColorfulGrid-Accent6">
    <w:name w:val="Colorful Grid Accent 6"/>
    <w:basedOn w:val="TableNormal"/>
    <w:uiPriority w:val="73"/>
    <w:rsid w:val="00EC4B6B"/>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character" w:styleId="Emphasis">
    <w:name w:val="Emphasis"/>
    <w:uiPriority w:val="20"/>
    <w:rsid w:val="003260FF"/>
    <w:rPr>
      <w:i/>
      <w:iCs/>
    </w:rPr>
  </w:style>
  <w:style w:type="character" w:styleId="IntenseEmphasis">
    <w:name w:val="Intense Emphasis"/>
    <w:uiPriority w:val="21"/>
    <w:rsid w:val="003260FF"/>
    <w:rPr>
      <w:b/>
      <w:bCs/>
      <w:i/>
      <w:iCs/>
      <w:color w:val="4F81BD"/>
    </w:rPr>
  </w:style>
  <w:style w:type="character" w:styleId="Strong">
    <w:name w:val="Strong"/>
    <w:uiPriority w:val="22"/>
    <w:rsid w:val="003260FF"/>
    <w:rPr>
      <w:b/>
      <w:bCs/>
    </w:rPr>
  </w:style>
  <w:style w:type="paragraph" w:styleId="Quote">
    <w:name w:val="Quote"/>
    <w:basedOn w:val="Normal"/>
    <w:next w:val="Normal"/>
    <w:link w:val="QuoteChar"/>
    <w:uiPriority w:val="29"/>
    <w:rsid w:val="003260FF"/>
    <w:rPr>
      <w:i/>
      <w:iCs/>
      <w:color w:val="000000"/>
    </w:rPr>
  </w:style>
  <w:style w:type="character" w:customStyle="1" w:styleId="QuoteChar">
    <w:name w:val="Quote Char"/>
    <w:link w:val="Quote"/>
    <w:uiPriority w:val="29"/>
    <w:rsid w:val="003260FF"/>
    <w:rPr>
      <w:rFonts w:ascii="Times New Roman" w:hAnsi="Times New Roman" w:cs="Traditional Arabic"/>
      <w:i/>
      <w:iCs/>
      <w:color w:val="000000"/>
      <w:sz w:val="20"/>
      <w:szCs w:val="30"/>
    </w:rPr>
  </w:style>
  <w:style w:type="paragraph" w:styleId="IntenseQuote">
    <w:name w:val="Intense Quote"/>
    <w:basedOn w:val="Normal"/>
    <w:next w:val="Normal"/>
    <w:link w:val="IntenseQuoteChar"/>
    <w:uiPriority w:val="30"/>
    <w:rsid w:val="003260FF"/>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3260FF"/>
    <w:rPr>
      <w:rFonts w:ascii="Times New Roman" w:hAnsi="Times New Roman" w:cs="Traditional Arabic"/>
      <w:b/>
      <w:bCs/>
      <w:i/>
      <w:iCs/>
      <w:color w:val="4F81BD"/>
      <w:sz w:val="20"/>
      <w:szCs w:val="30"/>
    </w:rPr>
  </w:style>
  <w:style w:type="character" w:styleId="SubtleReference">
    <w:name w:val="Subtle Reference"/>
    <w:uiPriority w:val="31"/>
    <w:rsid w:val="003260FF"/>
    <w:rPr>
      <w:smallCaps/>
      <w:color w:val="C0504D"/>
      <w:u w:val="single"/>
    </w:rPr>
  </w:style>
  <w:style w:type="character" w:styleId="IntenseReference">
    <w:name w:val="Intense Reference"/>
    <w:uiPriority w:val="32"/>
    <w:rsid w:val="003260FF"/>
    <w:rPr>
      <w:b/>
      <w:bCs/>
      <w:smallCaps/>
      <w:color w:val="C0504D"/>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character" w:styleId="EndnoteReference">
    <w:name w:val="endnote reference"/>
    <w:uiPriority w:val="99"/>
    <w:semiHidden/>
    <w:unhideWhenUsed/>
    <w:rsid w:val="00F900C3"/>
    <w:rPr>
      <w:vertAlign w:val="superscript"/>
    </w:rPr>
  </w:style>
  <w:style w:type="table" w:styleId="TableGrid">
    <w:name w:val="Table Grid"/>
    <w:basedOn w:val="TableNormal"/>
    <w:rsid w:val="006B3E27"/>
    <w:pPr>
      <w:bidi/>
      <w:jc w:val="lowKashida"/>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6B3E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6533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621781-A6E4-40C1-B05D-BB0FA88E6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0</TotalTime>
  <Pages>2</Pages>
  <Words>700</Words>
  <Characters>3995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CAT/OP/9</vt:lpstr>
    </vt:vector>
  </TitlesOfParts>
  <Company>DCM</Company>
  <LinksUpToDate>false</LinksUpToDate>
  <CharactersWithSpaces>4686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CAT/OP/9</dc:title>
  <dc:subject>GE.2004849</dc:subject>
  <dc:creator>Gamal MAHMOUD-ASF</dc:creator>
  <cp:keywords>ODS No.2007625</cp:keywords>
  <dc:description>Distr.: General_x000d_
31 March 2020_x000d_
Original: English</dc:description>
  <cp:lastModifiedBy>Gamal Mohamed Abdelhamid Mahmoud</cp:lastModifiedBy>
  <cp:revision>2</cp:revision>
  <cp:lastPrinted>2016-06-21T10:29:00Z</cp:lastPrinted>
  <dcterms:created xsi:type="dcterms:W3CDTF">2020-04-09T12:41:00Z</dcterms:created>
  <dcterms:modified xsi:type="dcterms:W3CDTF">2020-04-09T12:41:00Z</dcterms:modified>
  <cp:category>Final</cp:category>
</cp:coreProperties>
</file>