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A39C4" w:rsidRPr="00735423" w:rsidTr="00B14033">
        <w:trPr>
          <w:trHeight w:hRule="exact" w:val="851"/>
        </w:trPr>
        <w:tc>
          <w:tcPr>
            <w:tcW w:w="1277" w:type="dxa"/>
            <w:tcBorders>
              <w:bottom w:val="single" w:sz="4" w:space="0" w:color="auto"/>
            </w:tcBorders>
          </w:tcPr>
          <w:p w:rsidR="00AA39C4" w:rsidRPr="00735423" w:rsidRDefault="00AA39C4" w:rsidP="00B14033">
            <w:pPr>
              <w:rPr>
                <w:lang w:val="fr-FR"/>
              </w:rPr>
            </w:pPr>
          </w:p>
        </w:tc>
        <w:tc>
          <w:tcPr>
            <w:tcW w:w="2268" w:type="dxa"/>
            <w:tcBorders>
              <w:bottom w:val="single" w:sz="4" w:space="0" w:color="auto"/>
            </w:tcBorders>
            <w:vAlign w:val="bottom"/>
          </w:tcPr>
          <w:p w:rsidR="00AA39C4" w:rsidRPr="00735423" w:rsidRDefault="00AA39C4" w:rsidP="00B14033">
            <w:pPr>
              <w:spacing w:after="80" w:line="300" w:lineRule="exact"/>
              <w:rPr>
                <w:sz w:val="28"/>
                <w:lang w:val="fr-FR"/>
              </w:rPr>
            </w:pPr>
            <w:r w:rsidRPr="00735423">
              <w:rPr>
                <w:sz w:val="28"/>
                <w:lang w:val="fr-FR"/>
              </w:rPr>
              <w:t>Nations Unies</w:t>
            </w:r>
          </w:p>
        </w:tc>
        <w:tc>
          <w:tcPr>
            <w:tcW w:w="6094" w:type="dxa"/>
            <w:gridSpan w:val="2"/>
            <w:tcBorders>
              <w:bottom w:val="single" w:sz="4" w:space="0" w:color="auto"/>
            </w:tcBorders>
            <w:vAlign w:val="bottom"/>
          </w:tcPr>
          <w:p w:rsidR="00AA39C4" w:rsidRPr="001818DA" w:rsidRDefault="00F53AC6" w:rsidP="0006268C">
            <w:pPr>
              <w:jc w:val="right"/>
              <w:rPr>
                <w:lang w:val="fr-FR"/>
              </w:rPr>
            </w:pPr>
            <w:r w:rsidRPr="001818DA">
              <w:rPr>
                <w:sz w:val="40"/>
                <w:szCs w:val="40"/>
                <w:lang w:val="fr-FR"/>
              </w:rPr>
              <w:t>CED</w:t>
            </w:r>
            <w:r w:rsidR="001E5A68" w:rsidRPr="001818DA">
              <w:rPr>
                <w:szCs w:val="40"/>
                <w:lang w:val="fr-FR"/>
              </w:rPr>
              <w:t>/C/</w:t>
            </w:r>
            <w:r w:rsidR="005E54DB" w:rsidRPr="001818DA">
              <w:rPr>
                <w:szCs w:val="40"/>
                <w:lang w:val="fr-FR"/>
              </w:rPr>
              <w:t>BFA/CO/1</w:t>
            </w:r>
          </w:p>
        </w:tc>
      </w:tr>
      <w:tr w:rsidR="00AA39C4" w:rsidRPr="00735423" w:rsidTr="00B14033">
        <w:trPr>
          <w:trHeight w:hRule="exact" w:val="2835"/>
        </w:trPr>
        <w:tc>
          <w:tcPr>
            <w:tcW w:w="1276" w:type="dxa"/>
            <w:tcBorders>
              <w:top w:val="single" w:sz="4" w:space="0" w:color="auto"/>
              <w:bottom w:val="single" w:sz="12" w:space="0" w:color="auto"/>
            </w:tcBorders>
          </w:tcPr>
          <w:p w:rsidR="00AA39C4" w:rsidRPr="00735423" w:rsidRDefault="00EB703F" w:rsidP="00B14033">
            <w:pPr>
              <w:spacing w:before="120"/>
              <w:jc w:val="center"/>
              <w:rPr>
                <w:lang w:val="fr-FR"/>
              </w:rPr>
            </w:pPr>
            <w:r w:rsidRPr="001818DA">
              <w:rPr>
                <w:noProof/>
                <w:lang w:eastAsia="fr-CH"/>
              </w:rPr>
              <w:drawing>
                <wp:inline distT="0" distB="0" distL="0" distR="0" wp14:anchorId="32BA3D69" wp14:editId="2DD2A6A2">
                  <wp:extent cx="690245" cy="56959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45" cy="5695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A39C4" w:rsidRPr="00735423" w:rsidRDefault="00AA39C4" w:rsidP="00B14033">
            <w:pPr>
              <w:spacing w:before="120" w:line="380" w:lineRule="exact"/>
              <w:rPr>
                <w:b/>
                <w:sz w:val="40"/>
                <w:szCs w:val="40"/>
                <w:lang w:val="fr-FR"/>
              </w:rPr>
            </w:pPr>
            <w:r w:rsidRPr="00735423">
              <w:rPr>
                <w:b/>
                <w:sz w:val="34"/>
                <w:szCs w:val="34"/>
                <w:lang w:val="fr-FR"/>
              </w:rPr>
              <w:t>Convention internationale pour la protection de toutes les personnes contre les disparitions forcées</w:t>
            </w:r>
          </w:p>
        </w:tc>
        <w:tc>
          <w:tcPr>
            <w:tcW w:w="2835" w:type="dxa"/>
            <w:tcBorders>
              <w:top w:val="single" w:sz="4" w:space="0" w:color="auto"/>
              <w:bottom w:val="single" w:sz="12" w:space="0" w:color="auto"/>
            </w:tcBorders>
          </w:tcPr>
          <w:p w:rsidR="00EB703F" w:rsidRPr="00735423" w:rsidRDefault="00AA39C4" w:rsidP="00B14033">
            <w:pPr>
              <w:suppressAutoHyphens w:val="0"/>
              <w:spacing w:before="240" w:line="240" w:lineRule="exact"/>
              <w:rPr>
                <w:lang w:val="fr-FR"/>
              </w:rPr>
            </w:pPr>
            <w:r w:rsidRPr="00735423">
              <w:rPr>
                <w:lang w:val="fr-FR"/>
              </w:rPr>
              <w:t xml:space="preserve">Distr. </w:t>
            </w:r>
            <w:r w:rsidR="00105261" w:rsidRPr="00735423">
              <w:rPr>
                <w:lang w:val="fr-FR"/>
              </w:rPr>
              <w:t>générale</w:t>
            </w:r>
          </w:p>
          <w:p w:rsidR="00F53AC6" w:rsidRPr="00735423" w:rsidRDefault="005C7B2D" w:rsidP="009C4DB2">
            <w:pPr>
              <w:suppressAutoHyphens w:val="0"/>
              <w:rPr>
                <w:lang w:val="fr-FR"/>
              </w:rPr>
            </w:pPr>
            <w:r w:rsidRPr="00086B75">
              <w:rPr>
                <w:lang w:val="fr-FR"/>
              </w:rPr>
              <w:t>2</w:t>
            </w:r>
            <w:r w:rsidR="009C4DB2" w:rsidRPr="00086B75">
              <w:rPr>
                <w:lang w:val="fr-FR"/>
              </w:rPr>
              <w:t>4</w:t>
            </w:r>
            <w:r w:rsidR="00D5536F" w:rsidRPr="00086B75">
              <w:rPr>
                <w:lang w:val="fr-FR"/>
              </w:rPr>
              <w:t xml:space="preserve"> </w:t>
            </w:r>
            <w:r w:rsidR="00E079C3" w:rsidRPr="00086B75">
              <w:rPr>
                <w:lang w:val="fr-FR"/>
              </w:rPr>
              <w:t>ma</w:t>
            </w:r>
            <w:r w:rsidR="00105261" w:rsidRPr="00086B75">
              <w:rPr>
                <w:lang w:val="fr-FR"/>
              </w:rPr>
              <w:t>i</w:t>
            </w:r>
            <w:r w:rsidR="00AA39C4" w:rsidRPr="00086B75">
              <w:rPr>
                <w:lang w:val="fr-FR"/>
              </w:rPr>
              <w:t xml:space="preserve"> 201</w:t>
            </w:r>
            <w:r w:rsidR="00E079C3" w:rsidRPr="00086B75">
              <w:rPr>
                <w:lang w:val="fr-FR"/>
              </w:rPr>
              <w:t>6</w:t>
            </w:r>
          </w:p>
          <w:p w:rsidR="00EB703F" w:rsidRPr="00735423" w:rsidRDefault="00EB703F" w:rsidP="008B4E0E">
            <w:pPr>
              <w:suppressAutoHyphens w:val="0"/>
              <w:rPr>
                <w:lang w:val="fr-FR"/>
              </w:rPr>
            </w:pPr>
          </w:p>
          <w:p w:rsidR="00EB703F" w:rsidRPr="00735423" w:rsidRDefault="00AA39C4" w:rsidP="000E6F6E">
            <w:pPr>
              <w:rPr>
                <w:lang w:val="fr-FR"/>
              </w:rPr>
            </w:pPr>
            <w:r w:rsidRPr="00735423">
              <w:rPr>
                <w:lang w:val="fr-FR"/>
              </w:rPr>
              <w:t>Original</w:t>
            </w:r>
            <w:r w:rsidR="00F62D5B">
              <w:rPr>
                <w:lang w:val="fr-FR"/>
              </w:rPr>
              <w:t> </w:t>
            </w:r>
            <w:r w:rsidRPr="00735423">
              <w:rPr>
                <w:lang w:val="fr-FR"/>
              </w:rPr>
              <w:t>: français</w:t>
            </w:r>
          </w:p>
        </w:tc>
      </w:tr>
    </w:tbl>
    <w:p w:rsidR="007423FE" w:rsidRPr="00735423" w:rsidRDefault="00AA39C4" w:rsidP="001818DA">
      <w:pPr>
        <w:spacing w:before="120"/>
        <w:rPr>
          <w:b/>
          <w:sz w:val="24"/>
          <w:szCs w:val="24"/>
          <w:lang w:val="fr-FR"/>
        </w:rPr>
      </w:pPr>
      <w:r w:rsidRPr="00735423">
        <w:rPr>
          <w:b/>
          <w:sz w:val="24"/>
          <w:szCs w:val="24"/>
          <w:lang w:val="fr-FR"/>
        </w:rPr>
        <w:t>Comité des disparitions forcées</w:t>
      </w:r>
      <w:bookmarkStart w:id="0" w:name="_GoBack"/>
      <w:bookmarkEnd w:id="0"/>
    </w:p>
    <w:p w:rsidR="00AA39C4" w:rsidRPr="00735423" w:rsidRDefault="00AA39C4" w:rsidP="0090195B">
      <w:pPr>
        <w:pStyle w:val="HChG"/>
        <w:rPr>
          <w:lang w:val="fr-FR"/>
        </w:rPr>
      </w:pPr>
      <w:r w:rsidRPr="00735423">
        <w:rPr>
          <w:lang w:val="fr-FR"/>
        </w:rPr>
        <w:tab/>
      </w:r>
      <w:r w:rsidRPr="00735423">
        <w:rPr>
          <w:lang w:val="fr-FR"/>
        </w:rPr>
        <w:tab/>
        <w:t>Observations finales concernant le r</w:t>
      </w:r>
      <w:r w:rsidR="001E5A68" w:rsidRPr="00735423">
        <w:rPr>
          <w:lang w:val="fr-FR"/>
        </w:rPr>
        <w:t>apport soumis par le Burkina Faso</w:t>
      </w:r>
      <w:r w:rsidRPr="00735423">
        <w:rPr>
          <w:lang w:val="fr-FR"/>
        </w:rPr>
        <w:t xml:space="preserve"> en application du paragraphe 1 de l</w:t>
      </w:r>
      <w:r w:rsidR="00F53AC6" w:rsidRPr="00735423">
        <w:rPr>
          <w:lang w:val="fr-FR"/>
        </w:rPr>
        <w:t>’</w:t>
      </w:r>
      <w:r w:rsidRPr="00735423">
        <w:rPr>
          <w:lang w:val="fr-FR"/>
        </w:rPr>
        <w:t>article 29 de</w:t>
      </w:r>
      <w:r w:rsidR="004707E4" w:rsidRPr="00735423">
        <w:rPr>
          <w:lang w:val="fr-FR"/>
        </w:rPr>
        <w:t xml:space="preserve"> </w:t>
      </w:r>
      <w:r w:rsidRPr="00735423">
        <w:rPr>
          <w:lang w:val="fr-FR"/>
        </w:rPr>
        <w:t>la Convention</w:t>
      </w:r>
      <w:r w:rsidR="00EB703F" w:rsidRPr="001818DA">
        <w:rPr>
          <w:rStyle w:val="Appelnotedebasdep"/>
          <w:b w:val="0"/>
          <w:bCs/>
          <w:sz w:val="20"/>
          <w:vertAlign w:val="baseline"/>
          <w:lang w:val="fr-FR"/>
        </w:rPr>
        <w:footnoteReference w:customMarkFollows="1" w:id="2"/>
        <w:t>*</w:t>
      </w:r>
      <w:r w:rsidR="00DA22CC" w:rsidRPr="001818DA">
        <w:rPr>
          <w:lang w:val="fr-FR"/>
        </w:rPr>
        <w:t xml:space="preserve"> </w:t>
      </w:r>
    </w:p>
    <w:p w:rsidR="000B0480" w:rsidRPr="00735423" w:rsidRDefault="00943379" w:rsidP="00943379">
      <w:pPr>
        <w:pStyle w:val="SingleTxtG"/>
        <w:rPr>
          <w:lang w:val="fr-FR"/>
        </w:rPr>
      </w:pPr>
      <w:r w:rsidRPr="00735423">
        <w:rPr>
          <w:lang w:val="fr-FR"/>
        </w:rPr>
        <w:t>1.</w:t>
      </w:r>
      <w:r w:rsidRPr="00735423">
        <w:rPr>
          <w:lang w:val="fr-FR"/>
        </w:rPr>
        <w:tab/>
      </w:r>
      <w:r w:rsidR="000B0480" w:rsidRPr="00735423">
        <w:rPr>
          <w:rStyle w:val="SingleTxtGCar"/>
          <w:lang w:val="fr-FR"/>
        </w:rPr>
        <w:t xml:space="preserve">Le Comité des disparitions forcées a examiné le rapport soumis par le Burkina Faso en application </w:t>
      </w:r>
      <w:r w:rsidR="000B0480" w:rsidRPr="00E573D7">
        <w:rPr>
          <w:rStyle w:val="SingleTxtGCar"/>
          <w:lang w:val="fr-FR"/>
        </w:rPr>
        <w:t>du paragraphe 1 de l’article 29 de la Convention (CED/C/</w:t>
      </w:r>
      <w:r w:rsidR="00332B61" w:rsidRPr="00E573D7">
        <w:rPr>
          <w:rStyle w:val="SingleTxtGCar"/>
          <w:lang w:val="fr-FR"/>
        </w:rPr>
        <w:t>BFA/</w:t>
      </w:r>
      <w:r w:rsidR="000B0480" w:rsidRPr="00E573D7">
        <w:rPr>
          <w:rStyle w:val="SingleTxtGCar"/>
          <w:lang w:val="fr-FR"/>
        </w:rPr>
        <w:t xml:space="preserve">1), à ses </w:t>
      </w:r>
      <w:r w:rsidR="00332B61" w:rsidRPr="00E573D7">
        <w:rPr>
          <w:rStyle w:val="SingleTxtGCar"/>
          <w:lang w:val="fr-FR"/>
        </w:rPr>
        <w:t>160</w:t>
      </w:r>
      <w:r w:rsidR="000B0480" w:rsidRPr="00E573D7">
        <w:rPr>
          <w:rStyle w:val="SingleTxtGCar"/>
          <w:vertAlign w:val="superscript"/>
          <w:lang w:val="fr-FR"/>
        </w:rPr>
        <w:t>e</w:t>
      </w:r>
      <w:r w:rsidR="000B0480" w:rsidRPr="00E573D7">
        <w:rPr>
          <w:rStyle w:val="SingleTxtGCar"/>
          <w:lang w:val="fr-FR"/>
        </w:rPr>
        <w:t xml:space="preserve"> et</w:t>
      </w:r>
      <w:r w:rsidR="00332B61" w:rsidRPr="00E573D7">
        <w:rPr>
          <w:rStyle w:val="SingleTxtGCar"/>
          <w:lang w:val="fr-FR"/>
        </w:rPr>
        <w:t xml:space="preserve"> 161</w:t>
      </w:r>
      <w:r w:rsidR="000B0480" w:rsidRPr="00E573D7">
        <w:rPr>
          <w:rStyle w:val="SingleTxtGCar"/>
          <w:vertAlign w:val="superscript"/>
          <w:lang w:val="fr-FR"/>
        </w:rPr>
        <w:t>e</w:t>
      </w:r>
      <w:r w:rsidR="004707E4" w:rsidRPr="00E573D7">
        <w:rPr>
          <w:rStyle w:val="SingleTxtGCar"/>
          <w:lang w:val="fr-FR"/>
        </w:rPr>
        <w:t xml:space="preserve"> </w:t>
      </w:r>
      <w:r w:rsidR="000B0480" w:rsidRPr="00E573D7">
        <w:rPr>
          <w:rStyle w:val="SingleTxtGCar"/>
          <w:lang w:val="fr-FR"/>
        </w:rPr>
        <w:t>séances (CED/C/SR</w:t>
      </w:r>
      <w:r w:rsidR="00332B61" w:rsidRPr="00E573D7">
        <w:rPr>
          <w:rStyle w:val="SingleTxtGCar"/>
          <w:lang w:val="fr-FR"/>
        </w:rPr>
        <w:t xml:space="preserve">.160 </w:t>
      </w:r>
      <w:r w:rsidR="000B0480" w:rsidRPr="00E573D7">
        <w:rPr>
          <w:rStyle w:val="SingleTxtGCar"/>
          <w:lang w:val="fr-FR"/>
        </w:rPr>
        <w:t>et</w:t>
      </w:r>
      <w:r w:rsidR="00332B61" w:rsidRPr="00E573D7">
        <w:rPr>
          <w:rStyle w:val="SingleTxtGCar"/>
          <w:lang w:val="fr-FR"/>
        </w:rPr>
        <w:t xml:space="preserve"> 161</w:t>
      </w:r>
      <w:r w:rsidR="000B0480" w:rsidRPr="00E573D7">
        <w:rPr>
          <w:rStyle w:val="SingleTxtGCar"/>
          <w:lang w:val="fr-FR"/>
        </w:rPr>
        <w:t>), les 8 et 9</w:t>
      </w:r>
      <w:r w:rsidR="004707E4" w:rsidRPr="00E573D7">
        <w:rPr>
          <w:rStyle w:val="SingleTxtGCar"/>
          <w:lang w:val="fr-FR"/>
        </w:rPr>
        <w:t xml:space="preserve"> </w:t>
      </w:r>
      <w:r w:rsidR="000B0480" w:rsidRPr="00E573D7">
        <w:rPr>
          <w:rStyle w:val="SingleTxtGCar"/>
          <w:lang w:val="fr-FR"/>
        </w:rPr>
        <w:t xml:space="preserve">mars 2016. À sa </w:t>
      </w:r>
      <w:r w:rsidR="00332B61" w:rsidRPr="00E573D7">
        <w:rPr>
          <w:rStyle w:val="SingleTxtGCar"/>
          <w:lang w:val="fr-FR"/>
        </w:rPr>
        <w:t>171</w:t>
      </w:r>
      <w:r w:rsidR="000B0480" w:rsidRPr="00E573D7">
        <w:rPr>
          <w:rStyle w:val="SingleTxtGCar"/>
          <w:vertAlign w:val="superscript"/>
          <w:lang w:val="fr-FR"/>
        </w:rPr>
        <w:t>e</w:t>
      </w:r>
      <w:r w:rsidR="000B0480" w:rsidRPr="00E573D7">
        <w:rPr>
          <w:rStyle w:val="SingleTxtGCar"/>
          <w:lang w:val="fr-FR"/>
        </w:rPr>
        <w:t xml:space="preserve"> séance, le </w:t>
      </w:r>
      <w:r w:rsidR="00332B61" w:rsidRPr="00E573D7">
        <w:rPr>
          <w:rStyle w:val="SingleTxtGCar"/>
          <w:lang w:val="fr-FR"/>
        </w:rPr>
        <w:t xml:space="preserve">16 </w:t>
      </w:r>
      <w:r w:rsidR="000B0480" w:rsidRPr="00E573D7">
        <w:rPr>
          <w:rStyle w:val="SingleTxtGCar"/>
          <w:lang w:val="fr-FR"/>
        </w:rPr>
        <w:t>mars</w:t>
      </w:r>
      <w:r w:rsidR="00332B61" w:rsidRPr="00E573D7">
        <w:rPr>
          <w:rStyle w:val="SingleTxtGCar"/>
          <w:lang w:val="fr-FR"/>
        </w:rPr>
        <w:t xml:space="preserve"> 2016</w:t>
      </w:r>
      <w:r w:rsidR="000B0480" w:rsidRPr="00E573D7">
        <w:rPr>
          <w:rStyle w:val="SingleTxtGCar"/>
          <w:lang w:val="fr-FR"/>
        </w:rPr>
        <w:t>, il</w:t>
      </w:r>
      <w:r w:rsidR="000B0480" w:rsidRPr="00735423">
        <w:rPr>
          <w:rStyle w:val="SingleTxtGCar"/>
          <w:lang w:val="fr-FR"/>
        </w:rPr>
        <w:t xml:space="preserve"> a adopté les observations finales ci-après</w:t>
      </w:r>
      <w:r w:rsidR="000B0480" w:rsidRPr="00735423">
        <w:rPr>
          <w:lang w:val="fr-FR"/>
        </w:rPr>
        <w:t>.</w:t>
      </w:r>
    </w:p>
    <w:p w:rsidR="001C30A8" w:rsidRPr="00735423" w:rsidRDefault="001C30A8" w:rsidP="000B0480">
      <w:pPr>
        <w:pStyle w:val="H1G"/>
        <w:rPr>
          <w:lang w:val="fr-FR"/>
        </w:rPr>
      </w:pPr>
      <w:r w:rsidRPr="00735423">
        <w:rPr>
          <w:lang w:val="fr-FR"/>
        </w:rPr>
        <w:tab/>
        <w:t>A.</w:t>
      </w:r>
      <w:r w:rsidRPr="00735423">
        <w:rPr>
          <w:lang w:val="fr-FR"/>
        </w:rPr>
        <w:tab/>
        <w:t>Introduction</w:t>
      </w:r>
    </w:p>
    <w:p w:rsidR="001C30A8" w:rsidRPr="001818DA" w:rsidRDefault="00943379" w:rsidP="00943379">
      <w:pPr>
        <w:pStyle w:val="SingleTxtG"/>
        <w:rPr>
          <w:lang w:val="fr-FR"/>
        </w:rPr>
      </w:pPr>
      <w:r w:rsidRPr="001818DA">
        <w:rPr>
          <w:lang w:val="fr-FR"/>
        </w:rPr>
        <w:t>2.</w:t>
      </w:r>
      <w:r w:rsidRPr="001818DA">
        <w:rPr>
          <w:lang w:val="fr-FR"/>
        </w:rPr>
        <w:tab/>
      </w:r>
      <w:r w:rsidR="001C30A8" w:rsidRPr="00735423">
        <w:rPr>
          <w:rStyle w:val="SingleTxtGCar"/>
          <w:rFonts w:eastAsia="Calibri"/>
          <w:lang w:val="fr-FR"/>
        </w:rPr>
        <w:t xml:space="preserve">Le Comité accueille avec satisfaction le rapport soumis par le Burkina Faso en application du paragraphe 1 de l’article 29 </w:t>
      </w:r>
      <w:r w:rsidR="001C30A8" w:rsidRPr="00735423">
        <w:rPr>
          <w:rStyle w:val="SingleTxtGCar"/>
          <w:lang w:val="fr-FR"/>
        </w:rPr>
        <w:t>de</w:t>
      </w:r>
      <w:r w:rsidR="001C30A8" w:rsidRPr="00735423">
        <w:rPr>
          <w:rStyle w:val="SingleTxtGCar"/>
          <w:rFonts w:eastAsia="Calibri"/>
          <w:lang w:val="fr-FR"/>
        </w:rPr>
        <w:t xml:space="preserve"> la Convention, qui a été élaboré conformément </w:t>
      </w:r>
      <w:r w:rsidR="001C30A8" w:rsidRPr="001818DA">
        <w:rPr>
          <w:spacing w:val="-2"/>
          <w:szCs w:val="24"/>
          <w:lang w:val="fr-FR"/>
        </w:rPr>
        <w:t>aux directives pour l’établissement des rapports, ainsi que</w:t>
      </w:r>
      <w:r w:rsidR="001C30A8" w:rsidRPr="00735423">
        <w:rPr>
          <w:rStyle w:val="SingleTxtGCar"/>
          <w:rFonts w:eastAsia="Calibri"/>
          <w:lang w:val="fr-FR"/>
        </w:rPr>
        <w:t xml:space="preserve"> les informations qui y figurent. Le Comité apprécie la qualité du dialogue, franc et constructif, qu’il a eu avec la délégation de l’État partie sur les mesures prises pour appliquer les dispositions de la Convention, qui lui a permis de dissiper bon nombre de points, et salue, en particulier, la compétence, la rigueur et l’ouverture d</w:t>
      </w:r>
      <w:r w:rsidR="006D7B20" w:rsidRPr="00735423">
        <w:rPr>
          <w:rStyle w:val="SingleTxtGCar"/>
          <w:rFonts w:eastAsia="Calibri"/>
          <w:lang w:val="fr-FR"/>
        </w:rPr>
        <w:t>’esprit</w:t>
      </w:r>
      <w:r w:rsidR="001C30A8" w:rsidRPr="00735423">
        <w:rPr>
          <w:rStyle w:val="SingleTxtGCar"/>
          <w:rFonts w:eastAsia="Calibri"/>
          <w:lang w:val="fr-FR"/>
        </w:rPr>
        <w:t xml:space="preserve"> avec lesquelles la délégation a répondu aux questions qu’il a soulevées. Le Comité remercie en</w:t>
      </w:r>
      <w:r w:rsidR="004707E4" w:rsidRPr="00735423">
        <w:rPr>
          <w:rStyle w:val="SingleTxtGCar"/>
          <w:rFonts w:eastAsia="Calibri"/>
          <w:lang w:val="fr-FR"/>
        </w:rPr>
        <w:t xml:space="preserve"> </w:t>
      </w:r>
      <w:r w:rsidR="001C30A8" w:rsidRPr="00735423">
        <w:rPr>
          <w:rStyle w:val="SingleTxtGCar"/>
          <w:rFonts w:eastAsia="Calibri"/>
          <w:lang w:val="fr-FR"/>
        </w:rPr>
        <w:t>outre l’État parti</w:t>
      </w:r>
      <w:r w:rsidR="001C30A8" w:rsidRPr="00E573D7">
        <w:rPr>
          <w:rStyle w:val="SingleTxtGCar"/>
          <w:rFonts w:eastAsia="Calibri"/>
          <w:lang w:val="fr-FR"/>
        </w:rPr>
        <w:t xml:space="preserve">e de ses réponses écrites </w:t>
      </w:r>
      <w:r w:rsidR="00971E62" w:rsidRPr="00E573D7">
        <w:rPr>
          <w:rStyle w:val="SingleTxtGCar"/>
          <w:rFonts w:eastAsia="Calibri"/>
          <w:lang w:val="fr-FR"/>
        </w:rPr>
        <w:t>(CED/C/BFA</w:t>
      </w:r>
      <w:r w:rsidR="001C30A8" w:rsidRPr="00E573D7">
        <w:rPr>
          <w:rStyle w:val="SingleTxtGCar"/>
          <w:rFonts w:eastAsia="Calibri"/>
          <w:lang w:val="fr-FR"/>
        </w:rPr>
        <w:t xml:space="preserve">/Q/1/Add.1) </w:t>
      </w:r>
      <w:r w:rsidR="00971E62" w:rsidRPr="00E573D7">
        <w:rPr>
          <w:rStyle w:val="SingleTxtGCar"/>
          <w:rFonts w:eastAsia="Calibri"/>
          <w:lang w:val="fr-FR"/>
        </w:rPr>
        <w:t>à la liste de points (CED/C/BFA</w:t>
      </w:r>
      <w:r w:rsidR="001C30A8" w:rsidRPr="00E573D7">
        <w:rPr>
          <w:rStyle w:val="SingleTxtGCar"/>
          <w:rFonts w:eastAsia="Calibri"/>
          <w:lang w:val="fr-FR"/>
        </w:rPr>
        <w:t>/Q/1),</w:t>
      </w:r>
      <w:r w:rsidR="001C30A8" w:rsidRPr="00735423">
        <w:rPr>
          <w:rStyle w:val="SingleTxtGCar"/>
          <w:rFonts w:eastAsia="Calibri"/>
          <w:lang w:val="fr-FR"/>
        </w:rPr>
        <w:t xml:space="preserve"> qui ont été complétées par les interventions orales de la délégation et les informations supplémentaires communiquées par écrit.</w:t>
      </w:r>
    </w:p>
    <w:p w:rsidR="001E5A68" w:rsidRPr="001818DA" w:rsidRDefault="00D907D2">
      <w:pPr>
        <w:pStyle w:val="H1G"/>
        <w:rPr>
          <w:rStyle w:val="SingleTxtGCar"/>
        </w:rPr>
      </w:pPr>
      <w:r w:rsidRPr="00735423">
        <w:rPr>
          <w:sz w:val="28"/>
          <w:szCs w:val="28"/>
          <w:lang w:val="fr-FR"/>
        </w:rPr>
        <w:tab/>
      </w:r>
      <w:r w:rsidR="001E5A68" w:rsidRPr="001818DA">
        <w:t>B.</w:t>
      </w:r>
      <w:r w:rsidR="00B65823" w:rsidRPr="001818DA">
        <w:tab/>
      </w:r>
      <w:r w:rsidR="001E5A68" w:rsidRPr="001818DA">
        <w:t>Aspects positifs</w:t>
      </w:r>
    </w:p>
    <w:p w:rsidR="001E5A68" w:rsidRPr="00735423" w:rsidRDefault="00943379" w:rsidP="00943379">
      <w:pPr>
        <w:pStyle w:val="SingleTxtG"/>
        <w:rPr>
          <w:lang w:val="fr-FR"/>
        </w:rPr>
      </w:pPr>
      <w:r w:rsidRPr="00735423">
        <w:rPr>
          <w:lang w:val="fr-FR"/>
        </w:rPr>
        <w:t>3.</w:t>
      </w:r>
      <w:r w:rsidRPr="00735423">
        <w:rPr>
          <w:lang w:val="fr-FR"/>
        </w:rPr>
        <w:tab/>
      </w:r>
      <w:r w:rsidR="001E5A68" w:rsidRPr="00735423">
        <w:rPr>
          <w:rStyle w:val="SingleTxtGCar"/>
          <w:lang w:val="fr-FR"/>
        </w:rPr>
        <w:t>Le Comité félicite l’État partie d’avoir ratifié la quasi-totalité des principaux instruments des Nations Unies relatifs aux droits de l’homme et des protocoles facultatifs s’y rapportant ainsi que le Statut de Rome de la Cour pénale internationale</w:t>
      </w:r>
      <w:r w:rsidR="001E5A68" w:rsidRPr="00735423">
        <w:rPr>
          <w:lang w:val="fr-FR"/>
        </w:rPr>
        <w:t>.</w:t>
      </w:r>
    </w:p>
    <w:p w:rsidR="001E5A68" w:rsidRPr="00735423" w:rsidRDefault="00943379" w:rsidP="00943379">
      <w:pPr>
        <w:pStyle w:val="SingleTxtG"/>
        <w:rPr>
          <w:lang w:val="fr-FR"/>
        </w:rPr>
      </w:pPr>
      <w:r w:rsidRPr="00735423">
        <w:rPr>
          <w:lang w:val="fr-FR"/>
        </w:rPr>
        <w:t>4.</w:t>
      </w:r>
      <w:r w:rsidRPr="00735423">
        <w:rPr>
          <w:lang w:val="fr-FR"/>
        </w:rPr>
        <w:tab/>
      </w:r>
      <w:r w:rsidR="001E5A68" w:rsidRPr="00735423">
        <w:rPr>
          <w:lang w:val="fr-FR"/>
        </w:rPr>
        <w:t xml:space="preserve">Le Comité </w:t>
      </w:r>
      <w:r w:rsidR="00BB03D3" w:rsidRPr="00735423">
        <w:rPr>
          <w:lang w:val="fr-FR"/>
        </w:rPr>
        <w:t xml:space="preserve">prend note avec satisfaction de </w:t>
      </w:r>
      <w:r w:rsidR="001E5A68" w:rsidRPr="00E573D7">
        <w:rPr>
          <w:lang w:val="fr-FR"/>
        </w:rPr>
        <w:t>l’adoption d</w:t>
      </w:r>
      <w:r w:rsidR="0020648D" w:rsidRPr="00E573D7">
        <w:rPr>
          <w:lang w:val="fr-FR"/>
        </w:rPr>
        <w:t>e la Politique nationale des droits humains</w:t>
      </w:r>
      <w:r w:rsidR="00185C32" w:rsidRPr="00E573D7">
        <w:rPr>
          <w:lang w:val="fr-FR"/>
        </w:rPr>
        <w:t xml:space="preserve"> et de la promotion civique 2013-2022</w:t>
      </w:r>
      <w:r w:rsidR="00185C32" w:rsidRPr="00735423">
        <w:rPr>
          <w:lang w:val="fr-FR"/>
        </w:rPr>
        <w:t>.</w:t>
      </w:r>
    </w:p>
    <w:p w:rsidR="001E5A68" w:rsidRPr="00735423" w:rsidRDefault="00943379" w:rsidP="00943379">
      <w:pPr>
        <w:pStyle w:val="SingleTxtG"/>
        <w:rPr>
          <w:lang w:val="fr-FR"/>
        </w:rPr>
      </w:pPr>
      <w:r w:rsidRPr="00735423">
        <w:rPr>
          <w:lang w:val="fr-FR"/>
        </w:rPr>
        <w:lastRenderedPageBreak/>
        <w:t>5.</w:t>
      </w:r>
      <w:r w:rsidRPr="00735423">
        <w:rPr>
          <w:lang w:val="fr-FR"/>
        </w:rPr>
        <w:tab/>
      </w:r>
      <w:r w:rsidR="001E5A68" w:rsidRPr="001818DA">
        <w:rPr>
          <w:lang w:val="fr-FR"/>
        </w:rPr>
        <w:t>Le Comité salue l’État partie pour avoir consulté les organisations de la société civile sur la rédaction du rapport soumis en application de l’article 29, paragraphe 1, de la Convention.</w:t>
      </w:r>
    </w:p>
    <w:p w:rsidR="001E5A68" w:rsidRPr="001818DA" w:rsidRDefault="00B65823">
      <w:pPr>
        <w:pStyle w:val="H1G"/>
      </w:pPr>
      <w:r w:rsidRPr="00735423">
        <w:rPr>
          <w:lang w:val="fr-FR"/>
        </w:rPr>
        <w:tab/>
      </w:r>
      <w:r w:rsidR="001E5A68" w:rsidRPr="00735423">
        <w:rPr>
          <w:lang w:val="fr-FR"/>
        </w:rPr>
        <w:t>C.</w:t>
      </w:r>
      <w:r w:rsidRPr="00735423">
        <w:rPr>
          <w:lang w:val="fr-FR"/>
        </w:rPr>
        <w:tab/>
      </w:r>
      <w:r w:rsidR="001E5A68" w:rsidRPr="00735423">
        <w:rPr>
          <w:lang w:val="fr-FR"/>
        </w:rPr>
        <w:t>Principaux sujets de préoccupation et recommandations</w:t>
      </w:r>
    </w:p>
    <w:p w:rsidR="005E0539" w:rsidRPr="00735423" w:rsidRDefault="00943379" w:rsidP="00943379">
      <w:pPr>
        <w:pStyle w:val="SingleTxtG"/>
        <w:rPr>
          <w:lang w:val="fr-FR"/>
        </w:rPr>
      </w:pPr>
      <w:r w:rsidRPr="00735423">
        <w:rPr>
          <w:lang w:val="fr-FR"/>
        </w:rPr>
        <w:t>6.</w:t>
      </w:r>
      <w:r w:rsidRPr="00735423">
        <w:rPr>
          <w:lang w:val="fr-FR"/>
        </w:rPr>
        <w:tab/>
      </w:r>
      <w:r w:rsidR="001E5A68" w:rsidRPr="00735423">
        <w:rPr>
          <w:rStyle w:val="SingleTxtGCar"/>
          <w:lang w:val="fr-FR"/>
        </w:rPr>
        <w:t>Le Comité estime que, au moment de la rédaction des présentes observations finales, le cadre législatif en vigueur dans l’État partie n’était pas pleinement conforme aux obligations que la Convention impose aux États l’ayant ratifiée. Tout en notant que l’État partie a initié un processus législatif visant à la mise en œuvre complète de la Convention, le Comité recommande à l’État partie de tenir compte de ses recommandations, qui ont été formulées dans un esprit constructif et coopératif, pour faire en sorte que, dans les meilleurs délais, le cadre législatif et la manière dont il est appliqué par les autorités de l’État partie respectent pleinement les droits et les obligations énoncés dans la Convention</w:t>
      </w:r>
      <w:r w:rsidR="001E5A68" w:rsidRPr="00735423">
        <w:rPr>
          <w:lang w:val="fr-FR"/>
        </w:rPr>
        <w:t>.</w:t>
      </w:r>
    </w:p>
    <w:p w:rsidR="001E5A68" w:rsidRPr="001818DA" w:rsidRDefault="000B5CEB" w:rsidP="001818DA">
      <w:pPr>
        <w:pStyle w:val="H1G"/>
      </w:pPr>
      <w:r>
        <w:rPr>
          <w:lang w:val="fr-FR"/>
        </w:rPr>
        <w:tab/>
      </w:r>
      <w:r>
        <w:rPr>
          <w:lang w:val="fr-FR"/>
        </w:rPr>
        <w:tab/>
      </w:r>
      <w:r w:rsidR="001E5A68" w:rsidRPr="00735423">
        <w:rPr>
          <w:lang w:val="fr-FR"/>
        </w:rPr>
        <w:t>Renseignements d’ordre général</w:t>
      </w:r>
    </w:p>
    <w:p w:rsidR="001E5A68" w:rsidRPr="00735423" w:rsidRDefault="005E0539" w:rsidP="00EB703F">
      <w:pPr>
        <w:pStyle w:val="H23G"/>
        <w:rPr>
          <w:lang w:val="fr-FR"/>
        </w:rPr>
      </w:pPr>
      <w:r w:rsidRPr="00735423">
        <w:rPr>
          <w:lang w:val="fr-FR"/>
        </w:rPr>
        <w:tab/>
      </w:r>
      <w:r w:rsidRPr="00735423">
        <w:rPr>
          <w:lang w:val="fr-FR"/>
        </w:rPr>
        <w:tab/>
      </w:r>
      <w:r w:rsidR="001E5A68" w:rsidRPr="00735423">
        <w:rPr>
          <w:lang w:val="fr-FR"/>
        </w:rPr>
        <w:t>Compétence du Comité au titre des articles 31 et 32 de la Convention</w:t>
      </w:r>
    </w:p>
    <w:p w:rsidR="001E5A68" w:rsidRPr="00735423" w:rsidRDefault="00943379" w:rsidP="00943379">
      <w:pPr>
        <w:pStyle w:val="SingleTxtG"/>
        <w:rPr>
          <w:lang w:val="fr-FR"/>
        </w:rPr>
      </w:pPr>
      <w:r w:rsidRPr="00735423">
        <w:rPr>
          <w:lang w:val="fr-FR"/>
        </w:rPr>
        <w:t>7.</w:t>
      </w:r>
      <w:r w:rsidRPr="00735423">
        <w:rPr>
          <w:lang w:val="fr-FR"/>
        </w:rPr>
        <w:tab/>
      </w:r>
      <w:r w:rsidR="001E5A68" w:rsidRPr="00735423">
        <w:rPr>
          <w:lang w:val="fr-FR"/>
        </w:rPr>
        <w:t>Le Comité regrette que l’</w:t>
      </w:r>
      <w:r w:rsidR="00735423" w:rsidRPr="00735423">
        <w:rPr>
          <w:lang w:val="fr-FR"/>
        </w:rPr>
        <w:t>État</w:t>
      </w:r>
      <w:r w:rsidR="001E5A68" w:rsidRPr="00735423">
        <w:rPr>
          <w:lang w:val="fr-FR"/>
        </w:rPr>
        <w:t xml:space="preserve"> partie n’ait pas encore fait les déclarations au titre des articles</w:t>
      </w:r>
      <w:r w:rsidR="002F7F2C">
        <w:rPr>
          <w:lang w:val="fr-FR"/>
        </w:rPr>
        <w:t> </w:t>
      </w:r>
      <w:r w:rsidR="001E5A68" w:rsidRPr="00735423">
        <w:rPr>
          <w:lang w:val="fr-FR"/>
        </w:rPr>
        <w:t>31 et 32 afin de permettre une pleine application de la Convention. Il note que l’</w:t>
      </w:r>
      <w:r w:rsidR="00735423" w:rsidRPr="00735423">
        <w:rPr>
          <w:lang w:val="fr-FR"/>
        </w:rPr>
        <w:t>État</w:t>
      </w:r>
      <w:r w:rsidR="001E5A68" w:rsidRPr="00735423">
        <w:rPr>
          <w:lang w:val="fr-FR"/>
        </w:rPr>
        <w:t xml:space="preserve"> partie envisage de mener des consultations avec les acteurs publics et privés aux fins d’examiner la possibilité d’accepter la compétence du Comité au </w:t>
      </w:r>
      <w:r w:rsidR="002D4B41" w:rsidRPr="00735423">
        <w:rPr>
          <w:lang w:val="fr-FR"/>
        </w:rPr>
        <w:t xml:space="preserve">titre des articles 31 et 32 </w:t>
      </w:r>
      <w:r w:rsidR="001E5A68" w:rsidRPr="00735423">
        <w:rPr>
          <w:lang w:val="fr-FR"/>
        </w:rPr>
        <w:t>(art.</w:t>
      </w:r>
      <w:r w:rsidR="00AF4BAA" w:rsidRPr="00735423">
        <w:rPr>
          <w:lang w:val="fr-FR"/>
        </w:rPr>
        <w:t> </w:t>
      </w:r>
      <w:r w:rsidR="001E5A68" w:rsidRPr="00735423">
        <w:rPr>
          <w:lang w:val="fr-FR"/>
        </w:rPr>
        <w:t>31 et 32)</w:t>
      </w:r>
      <w:r w:rsidR="00332B61" w:rsidRPr="00735423">
        <w:rPr>
          <w:lang w:val="fr-FR"/>
        </w:rPr>
        <w:t>.</w:t>
      </w:r>
    </w:p>
    <w:p w:rsidR="001E5A68" w:rsidRPr="00735423" w:rsidRDefault="00943379" w:rsidP="00943379">
      <w:pPr>
        <w:pStyle w:val="SingleTxtG"/>
        <w:rPr>
          <w:b/>
          <w:lang w:val="fr-FR"/>
        </w:rPr>
      </w:pPr>
      <w:r w:rsidRPr="00735423">
        <w:rPr>
          <w:lang w:val="fr-FR"/>
        </w:rPr>
        <w:t>8.</w:t>
      </w:r>
      <w:r w:rsidRPr="00735423">
        <w:rPr>
          <w:lang w:val="fr-FR"/>
        </w:rPr>
        <w:tab/>
      </w:r>
      <w:r w:rsidR="001E5A68" w:rsidRPr="00735423">
        <w:rPr>
          <w:b/>
          <w:lang w:val="fr-FR"/>
        </w:rPr>
        <w:t>Le Comité invite l’</w:t>
      </w:r>
      <w:r w:rsidR="00735423" w:rsidRPr="00735423">
        <w:rPr>
          <w:b/>
          <w:lang w:val="fr-FR"/>
        </w:rPr>
        <w:t>État</w:t>
      </w:r>
      <w:r w:rsidR="001E5A68" w:rsidRPr="00735423">
        <w:rPr>
          <w:b/>
          <w:lang w:val="fr-FR"/>
        </w:rPr>
        <w:t xml:space="preserve"> partie à reconnaître</w:t>
      </w:r>
      <w:r w:rsidR="00D13BB5" w:rsidRPr="00735423">
        <w:rPr>
          <w:b/>
          <w:lang w:val="fr-FR"/>
        </w:rPr>
        <w:t>, dans les meilleurs délais,</w:t>
      </w:r>
      <w:r w:rsidR="001E5A68" w:rsidRPr="00735423">
        <w:rPr>
          <w:b/>
          <w:lang w:val="fr-FR"/>
        </w:rPr>
        <w:t xml:space="preserve"> la compétence du Comité au titre des articles 31 et 32 de la Convention.</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Institution nationale des droits de l’homme</w:t>
      </w:r>
    </w:p>
    <w:p w:rsidR="001E5A68" w:rsidRPr="00735423" w:rsidRDefault="00943379" w:rsidP="00943379">
      <w:pPr>
        <w:pStyle w:val="SingleTxtG"/>
        <w:rPr>
          <w:lang w:val="fr-FR"/>
        </w:rPr>
      </w:pPr>
      <w:r w:rsidRPr="00735423">
        <w:rPr>
          <w:lang w:val="fr-FR"/>
        </w:rPr>
        <w:t>9.</w:t>
      </w:r>
      <w:r w:rsidRPr="00735423">
        <w:rPr>
          <w:lang w:val="fr-FR"/>
        </w:rPr>
        <w:tab/>
      </w:r>
      <w:r w:rsidR="001E5A68" w:rsidRPr="00735423">
        <w:rPr>
          <w:lang w:val="fr-FR"/>
        </w:rPr>
        <w:t>Le Comité prend</w:t>
      </w:r>
      <w:r w:rsidR="00BB03D3" w:rsidRPr="00735423">
        <w:rPr>
          <w:lang w:val="fr-FR"/>
        </w:rPr>
        <w:t xml:space="preserve"> bonne</w:t>
      </w:r>
      <w:r w:rsidR="001E5A68" w:rsidRPr="00735423">
        <w:rPr>
          <w:lang w:val="fr-FR"/>
        </w:rPr>
        <w:t xml:space="preserve"> note </w:t>
      </w:r>
      <w:r w:rsidR="0012477E" w:rsidRPr="00735423">
        <w:rPr>
          <w:lang w:val="fr-FR"/>
        </w:rPr>
        <w:t>de la décision prise en 2009</w:t>
      </w:r>
      <w:r w:rsidR="00BB03D3" w:rsidRPr="00735423">
        <w:rPr>
          <w:lang w:val="fr-FR"/>
        </w:rPr>
        <w:t xml:space="preserve"> de créer une nouvelle</w:t>
      </w:r>
      <w:r w:rsidR="00D14877" w:rsidRPr="00735423">
        <w:rPr>
          <w:lang w:val="fr-FR"/>
        </w:rPr>
        <w:t xml:space="preserve"> </w:t>
      </w:r>
      <w:r w:rsidR="001E5A68" w:rsidRPr="00735423">
        <w:rPr>
          <w:lang w:val="fr-FR"/>
        </w:rPr>
        <w:t xml:space="preserve">Commission nationale des droits </w:t>
      </w:r>
      <w:r w:rsidR="00BB03D3" w:rsidRPr="00735423">
        <w:rPr>
          <w:lang w:val="fr-FR"/>
        </w:rPr>
        <w:t>humains</w:t>
      </w:r>
      <w:r w:rsidR="001E5A68" w:rsidRPr="00735423">
        <w:rPr>
          <w:lang w:val="fr-FR"/>
        </w:rPr>
        <w:t xml:space="preserve">, mais </w:t>
      </w:r>
      <w:r w:rsidR="00BB03D3" w:rsidRPr="00735423">
        <w:rPr>
          <w:lang w:val="fr-FR"/>
        </w:rPr>
        <w:t xml:space="preserve">déplore </w:t>
      </w:r>
      <w:r w:rsidR="001E5A68" w:rsidRPr="00735423">
        <w:rPr>
          <w:lang w:val="fr-FR"/>
        </w:rPr>
        <w:t xml:space="preserve">que celle-ci </w:t>
      </w:r>
      <w:r w:rsidR="00BB03D3" w:rsidRPr="00735423">
        <w:rPr>
          <w:lang w:val="fr-FR"/>
        </w:rPr>
        <w:t>soit depuis lors</w:t>
      </w:r>
      <w:r w:rsidR="00D14877" w:rsidRPr="00735423">
        <w:rPr>
          <w:lang w:val="fr-FR"/>
        </w:rPr>
        <w:t xml:space="preserve"> </w:t>
      </w:r>
      <w:r w:rsidR="001E5A68" w:rsidRPr="00735423">
        <w:rPr>
          <w:lang w:val="fr-FR"/>
        </w:rPr>
        <w:t>confrontée à des difficultés</w:t>
      </w:r>
      <w:r w:rsidR="00307D6D" w:rsidRPr="00735423">
        <w:rPr>
          <w:lang w:val="fr-FR"/>
        </w:rPr>
        <w:t xml:space="preserve"> </w:t>
      </w:r>
      <w:r w:rsidR="001E5A68" w:rsidRPr="00735423">
        <w:rPr>
          <w:lang w:val="fr-FR"/>
        </w:rPr>
        <w:t xml:space="preserve">qui empêchent son fonctionnement effectif. </w:t>
      </w:r>
      <w:r w:rsidR="00BB03D3" w:rsidRPr="00735423">
        <w:rPr>
          <w:lang w:val="fr-FR"/>
        </w:rPr>
        <w:t xml:space="preserve">Il </w:t>
      </w:r>
      <w:r w:rsidR="00D13BB5" w:rsidRPr="00735423">
        <w:rPr>
          <w:lang w:val="fr-FR"/>
        </w:rPr>
        <w:t xml:space="preserve">se félicite de ce que </w:t>
      </w:r>
      <w:r w:rsidR="001E5A68" w:rsidRPr="00735423">
        <w:rPr>
          <w:lang w:val="fr-FR"/>
        </w:rPr>
        <w:t>l’</w:t>
      </w:r>
      <w:r w:rsidR="00F62D5B" w:rsidRPr="00735423">
        <w:rPr>
          <w:lang w:val="fr-FR"/>
        </w:rPr>
        <w:t>État</w:t>
      </w:r>
      <w:r w:rsidR="001E5A68" w:rsidRPr="00735423">
        <w:rPr>
          <w:lang w:val="fr-FR"/>
        </w:rPr>
        <w:t xml:space="preserve"> partie a entamé un processus de révision de la loi qui institue la Commission</w:t>
      </w:r>
      <w:r w:rsidR="00BB03D3" w:rsidRPr="00735423">
        <w:rPr>
          <w:lang w:val="fr-FR"/>
        </w:rPr>
        <w:t xml:space="preserve"> avec un avant-projet élaboré en 2015 visant à </w:t>
      </w:r>
      <w:r w:rsidR="001E5A68" w:rsidRPr="00735423">
        <w:rPr>
          <w:lang w:val="fr-FR"/>
        </w:rPr>
        <w:t xml:space="preserve">la rendre plus </w:t>
      </w:r>
      <w:r w:rsidR="00BB03D3" w:rsidRPr="00735423">
        <w:rPr>
          <w:lang w:val="fr-FR"/>
        </w:rPr>
        <w:t xml:space="preserve">efficace et plus </w:t>
      </w:r>
      <w:r w:rsidR="001E5A68" w:rsidRPr="00735423">
        <w:rPr>
          <w:lang w:val="fr-FR"/>
        </w:rPr>
        <w:t>indépendante</w:t>
      </w:r>
      <w:r w:rsidR="00BB03D3" w:rsidRPr="00735423">
        <w:rPr>
          <w:lang w:val="fr-FR"/>
        </w:rPr>
        <w:t>, notamment</w:t>
      </w:r>
      <w:r w:rsidR="00D14877" w:rsidRPr="00735423">
        <w:rPr>
          <w:lang w:val="fr-FR"/>
        </w:rPr>
        <w:t xml:space="preserve"> </w:t>
      </w:r>
      <w:r w:rsidR="001E5A68" w:rsidRPr="00735423">
        <w:rPr>
          <w:lang w:val="fr-FR"/>
        </w:rPr>
        <w:t>sur le plan financier</w:t>
      </w:r>
      <w:r w:rsidR="00BB03D3" w:rsidRPr="00735423">
        <w:rPr>
          <w:lang w:val="fr-FR"/>
        </w:rPr>
        <w:t>, en pleine</w:t>
      </w:r>
      <w:r w:rsidR="00D14877" w:rsidRPr="00735423">
        <w:rPr>
          <w:lang w:val="fr-FR"/>
        </w:rPr>
        <w:t xml:space="preserve"> </w:t>
      </w:r>
      <w:r w:rsidR="001E5A68" w:rsidRPr="00735423">
        <w:rPr>
          <w:lang w:val="fr-FR"/>
        </w:rPr>
        <w:t>conform</w:t>
      </w:r>
      <w:r w:rsidR="00BB03D3" w:rsidRPr="00735423">
        <w:rPr>
          <w:lang w:val="fr-FR"/>
        </w:rPr>
        <w:t>ité avec les</w:t>
      </w:r>
      <w:r w:rsidR="00D14877" w:rsidRPr="00735423">
        <w:rPr>
          <w:lang w:val="fr-FR"/>
        </w:rPr>
        <w:t xml:space="preserve"> </w:t>
      </w:r>
      <w:r w:rsidR="002F7F2C" w:rsidRPr="002F7F2C">
        <w:rPr>
          <w:bCs/>
          <w:lang w:val="fr-FR"/>
        </w:rPr>
        <w:t xml:space="preserve">Principes concernant le statut des institutions nationales pour la promotion et la protection des droits de l’homme </w:t>
      </w:r>
      <w:r w:rsidR="002F7F2C">
        <w:rPr>
          <w:bCs/>
          <w:lang w:val="fr-FR"/>
        </w:rPr>
        <w:t>(</w:t>
      </w:r>
      <w:r w:rsidR="001E5A68" w:rsidRPr="00735423">
        <w:rPr>
          <w:lang w:val="fr-FR"/>
        </w:rPr>
        <w:t>Principes de Paris</w:t>
      </w:r>
      <w:r w:rsidR="002F7F2C">
        <w:rPr>
          <w:lang w:val="fr-FR"/>
        </w:rPr>
        <w:t>)</w:t>
      </w:r>
      <w:r w:rsidR="001E5A68" w:rsidRPr="00735423">
        <w:rPr>
          <w:lang w:val="fr-FR"/>
        </w:rPr>
        <w:t xml:space="preserve"> </w:t>
      </w:r>
      <w:r w:rsidR="002F7F2C">
        <w:rPr>
          <w:lang w:val="fr-FR"/>
        </w:rPr>
        <w:t>[</w:t>
      </w:r>
      <w:r w:rsidR="001E5A68" w:rsidRPr="00735423">
        <w:rPr>
          <w:lang w:val="fr-FR"/>
        </w:rPr>
        <w:t>art. 2</w:t>
      </w:r>
      <w:r w:rsidR="002F7F2C">
        <w:rPr>
          <w:lang w:val="fr-FR"/>
        </w:rPr>
        <w:t>]</w:t>
      </w:r>
      <w:r w:rsidR="001E5A68" w:rsidRPr="00735423">
        <w:rPr>
          <w:lang w:val="fr-FR"/>
        </w:rPr>
        <w:t>.</w:t>
      </w:r>
    </w:p>
    <w:p w:rsidR="001E5A68" w:rsidRPr="001818DA" w:rsidRDefault="00943379" w:rsidP="00943379">
      <w:pPr>
        <w:pStyle w:val="SingleTxtG"/>
        <w:rPr>
          <w:bCs/>
          <w:lang w:val="fr-FR"/>
        </w:rPr>
      </w:pPr>
      <w:r w:rsidRPr="001818DA">
        <w:rPr>
          <w:bCs/>
          <w:lang w:val="fr-FR"/>
        </w:rPr>
        <w:t>10.</w:t>
      </w:r>
      <w:r w:rsidRPr="001818DA">
        <w:rPr>
          <w:bCs/>
          <w:lang w:val="fr-FR"/>
        </w:rPr>
        <w:tab/>
      </w:r>
      <w:r w:rsidR="00421626" w:rsidRPr="00735423">
        <w:rPr>
          <w:rStyle w:val="SingleTxtGCar"/>
          <w:b/>
          <w:bCs/>
          <w:lang w:val="fr-FR"/>
        </w:rPr>
        <w:t xml:space="preserve">Le </w:t>
      </w:r>
      <w:r w:rsidR="001E5A68" w:rsidRPr="00735423">
        <w:rPr>
          <w:rStyle w:val="SingleTxtGCar"/>
          <w:b/>
          <w:bCs/>
          <w:lang w:val="fr-FR"/>
        </w:rPr>
        <w:t xml:space="preserve">Comité encourage l’État partie à accélérer le processus de révision de la loi instituant la Commission nationale des droits </w:t>
      </w:r>
      <w:r w:rsidR="00BB03D3" w:rsidRPr="00735423">
        <w:rPr>
          <w:rStyle w:val="SingleTxtGCar"/>
          <w:b/>
          <w:bCs/>
          <w:lang w:val="fr-FR"/>
        </w:rPr>
        <w:t>humains</w:t>
      </w:r>
      <w:r w:rsidR="00D14877" w:rsidRPr="00735423">
        <w:rPr>
          <w:rStyle w:val="SingleTxtGCar"/>
          <w:b/>
          <w:bCs/>
          <w:lang w:val="fr-FR"/>
        </w:rPr>
        <w:t xml:space="preserve"> </w:t>
      </w:r>
      <w:r w:rsidR="001E5A68" w:rsidRPr="00735423">
        <w:rPr>
          <w:rStyle w:val="SingleTxtGCar"/>
          <w:b/>
          <w:bCs/>
          <w:lang w:val="fr-FR"/>
        </w:rPr>
        <w:t>afin de la rendre pleinement indépendante</w:t>
      </w:r>
      <w:r w:rsidR="00BB03D3" w:rsidRPr="00735423">
        <w:rPr>
          <w:rStyle w:val="SingleTxtGCar"/>
          <w:b/>
          <w:bCs/>
          <w:lang w:val="fr-FR"/>
        </w:rPr>
        <w:t xml:space="preserve"> </w:t>
      </w:r>
      <w:r w:rsidR="001E5A68" w:rsidRPr="00735423">
        <w:rPr>
          <w:rStyle w:val="SingleTxtGCar"/>
          <w:b/>
          <w:bCs/>
          <w:lang w:val="fr-FR"/>
        </w:rPr>
        <w:t xml:space="preserve">et de lui allouer des ressources humaines et </w:t>
      </w:r>
      <w:r w:rsidR="001E5A68" w:rsidRPr="001818DA">
        <w:rPr>
          <w:b/>
          <w:lang w:val="fr-FR"/>
        </w:rPr>
        <w:t>financières</w:t>
      </w:r>
      <w:r w:rsidR="001E5A68" w:rsidRPr="00735423">
        <w:rPr>
          <w:rStyle w:val="SingleTxtGCar"/>
          <w:b/>
          <w:bCs/>
          <w:lang w:val="fr-FR"/>
        </w:rPr>
        <w:t xml:space="preserve"> suffisantes pour son fonctionnement, en pleine conformité avec les Principes de Paris</w:t>
      </w:r>
      <w:r w:rsidR="001E5A68" w:rsidRPr="00735423">
        <w:rPr>
          <w:b/>
          <w:bCs/>
          <w:lang w:val="fr-FR"/>
        </w:rPr>
        <w:t xml:space="preserve">. </w:t>
      </w:r>
      <w:r w:rsidR="00BB03D3" w:rsidRPr="00735423">
        <w:rPr>
          <w:b/>
          <w:bCs/>
          <w:lang w:val="fr-FR"/>
        </w:rPr>
        <w:t xml:space="preserve">Il </w:t>
      </w:r>
      <w:r w:rsidR="001E5A68" w:rsidRPr="00735423">
        <w:rPr>
          <w:b/>
          <w:bCs/>
          <w:lang w:val="fr-FR"/>
        </w:rPr>
        <w:t>invite l’</w:t>
      </w:r>
      <w:r w:rsidR="00735423" w:rsidRPr="00735423">
        <w:rPr>
          <w:b/>
          <w:bCs/>
          <w:lang w:val="fr-FR"/>
        </w:rPr>
        <w:t>État</w:t>
      </w:r>
      <w:r w:rsidR="001E5A68" w:rsidRPr="00735423">
        <w:rPr>
          <w:b/>
          <w:bCs/>
          <w:lang w:val="fr-FR"/>
        </w:rPr>
        <w:t xml:space="preserve"> partie à </w:t>
      </w:r>
      <w:r w:rsidR="0078000F" w:rsidRPr="00735423">
        <w:rPr>
          <w:b/>
          <w:bCs/>
          <w:lang w:val="fr-FR"/>
        </w:rPr>
        <w:t>inclure explicitement dans son mandat la question des disparitions forcées.</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 xml:space="preserve">Observatoire national de prévention de la torture et autres pratiques assimilées </w:t>
      </w:r>
    </w:p>
    <w:p w:rsidR="001E5A68" w:rsidRPr="00735423" w:rsidRDefault="00943379" w:rsidP="00943379">
      <w:pPr>
        <w:pStyle w:val="SingleTxtG"/>
        <w:rPr>
          <w:b/>
          <w:bCs/>
          <w:lang w:val="fr-FR"/>
        </w:rPr>
      </w:pPr>
      <w:r w:rsidRPr="00735423">
        <w:rPr>
          <w:bCs/>
          <w:lang w:val="fr-FR"/>
        </w:rPr>
        <w:t>11.</w:t>
      </w:r>
      <w:r w:rsidRPr="00735423">
        <w:rPr>
          <w:bCs/>
          <w:lang w:val="fr-FR"/>
        </w:rPr>
        <w:tab/>
      </w:r>
      <w:r w:rsidR="001E5A68" w:rsidRPr="00735423">
        <w:rPr>
          <w:bCs/>
          <w:lang w:val="fr-FR"/>
        </w:rPr>
        <w:t xml:space="preserve">Le Comité prend note de la mise en place de </w:t>
      </w:r>
      <w:r w:rsidR="001E5A68" w:rsidRPr="00E573D7">
        <w:rPr>
          <w:bCs/>
          <w:lang w:val="fr-FR"/>
        </w:rPr>
        <w:t>l’Observatoire national de prévention de la torture et autres pratiques assimilées prévu p</w:t>
      </w:r>
      <w:r w:rsidR="001E5A68" w:rsidRPr="00BE5387">
        <w:rPr>
          <w:bCs/>
          <w:lang w:val="fr-FR"/>
        </w:rPr>
        <w:t xml:space="preserve">ar </w:t>
      </w:r>
      <w:r w:rsidR="001E5A68" w:rsidRPr="009C4DB2">
        <w:rPr>
          <w:bCs/>
          <w:lang w:val="fr-FR"/>
        </w:rPr>
        <w:t>la loi n</w:t>
      </w:r>
      <w:r w:rsidR="001E5A68" w:rsidRPr="009C4DB2">
        <w:rPr>
          <w:bCs/>
          <w:vertAlign w:val="superscript"/>
          <w:lang w:val="fr-FR"/>
        </w:rPr>
        <w:t>o</w:t>
      </w:r>
      <w:r w:rsidR="007B09EE" w:rsidRPr="009C4DB2">
        <w:rPr>
          <w:bCs/>
          <w:lang w:val="fr-FR"/>
        </w:rPr>
        <w:t> </w:t>
      </w:r>
      <w:r w:rsidR="001E5A68" w:rsidRPr="009C4DB2">
        <w:rPr>
          <w:bCs/>
          <w:lang w:val="fr-FR"/>
        </w:rPr>
        <w:t>022-201</w:t>
      </w:r>
      <w:r w:rsidR="00BE5387" w:rsidRPr="00872CC7">
        <w:rPr>
          <w:bCs/>
          <w:lang w:val="fr-FR"/>
        </w:rPr>
        <w:t>4</w:t>
      </w:r>
      <w:r w:rsidR="001E5A68" w:rsidRPr="009C4DB2">
        <w:rPr>
          <w:bCs/>
          <w:lang w:val="fr-FR"/>
        </w:rPr>
        <w:t>/AN du 27</w:t>
      </w:r>
      <w:r w:rsidR="00BE5387" w:rsidRPr="00872CC7">
        <w:rPr>
          <w:bCs/>
          <w:lang w:val="fr-FR"/>
        </w:rPr>
        <w:t> </w:t>
      </w:r>
      <w:r w:rsidR="001E5A68" w:rsidRPr="009C4DB2">
        <w:rPr>
          <w:bCs/>
          <w:lang w:val="fr-FR"/>
        </w:rPr>
        <w:t>mai 201</w:t>
      </w:r>
      <w:r w:rsidR="00BE5387" w:rsidRPr="009C4DB2">
        <w:rPr>
          <w:bCs/>
          <w:lang w:val="fr-FR"/>
        </w:rPr>
        <w:t>4</w:t>
      </w:r>
      <w:r w:rsidR="00343C9A" w:rsidRPr="00735423">
        <w:rPr>
          <w:bCs/>
          <w:lang w:val="fr-FR"/>
        </w:rPr>
        <w:t>.</w:t>
      </w:r>
      <w:r w:rsidR="001E5A68" w:rsidRPr="00735423">
        <w:rPr>
          <w:bCs/>
          <w:lang w:val="fr-FR"/>
        </w:rPr>
        <w:t xml:space="preserve"> Il relève néanmoins que cet observatoire</w:t>
      </w:r>
      <w:r w:rsidR="00D13BB5" w:rsidRPr="00735423">
        <w:rPr>
          <w:bCs/>
          <w:lang w:val="fr-FR"/>
        </w:rPr>
        <w:t xml:space="preserve"> ne fonctionne </w:t>
      </w:r>
      <w:r w:rsidR="00EB172F" w:rsidRPr="00735423">
        <w:rPr>
          <w:bCs/>
          <w:lang w:val="fr-FR"/>
        </w:rPr>
        <w:t xml:space="preserve">pas </w:t>
      </w:r>
      <w:r w:rsidR="00D13BB5" w:rsidRPr="00735423">
        <w:rPr>
          <w:bCs/>
          <w:lang w:val="fr-FR"/>
        </w:rPr>
        <w:t xml:space="preserve">encore </w:t>
      </w:r>
      <w:r w:rsidR="001E5A68" w:rsidRPr="00735423">
        <w:rPr>
          <w:bCs/>
          <w:lang w:val="fr-FR"/>
        </w:rPr>
        <w:t>(art. 2).</w:t>
      </w:r>
    </w:p>
    <w:p w:rsidR="001E5A68" w:rsidRPr="00735423" w:rsidRDefault="00943379" w:rsidP="00943379">
      <w:pPr>
        <w:pStyle w:val="SingleTxtG"/>
        <w:rPr>
          <w:b/>
          <w:lang w:val="fr-FR"/>
        </w:rPr>
      </w:pPr>
      <w:r w:rsidRPr="00735423">
        <w:rPr>
          <w:lang w:val="fr-FR"/>
        </w:rPr>
        <w:t>12.</w:t>
      </w:r>
      <w:r w:rsidRPr="00735423">
        <w:rPr>
          <w:lang w:val="fr-FR"/>
        </w:rPr>
        <w:tab/>
      </w:r>
      <w:r w:rsidR="001E5A68" w:rsidRPr="00735423">
        <w:rPr>
          <w:b/>
          <w:lang w:val="fr-FR"/>
        </w:rPr>
        <w:t>Le Comité encourage l’</w:t>
      </w:r>
      <w:r w:rsidR="00735423" w:rsidRPr="00735423">
        <w:rPr>
          <w:b/>
          <w:lang w:val="fr-FR"/>
        </w:rPr>
        <w:t>État</w:t>
      </w:r>
      <w:r w:rsidR="001E5A68" w:rsidRPr="00735423">
        <w:rPr>
          <w:b/>
          <w:lang w:val="fr-FR"/>
        </w:rPr>
        <w:t xml:space="preserve"> partie à prendre </w:t>
      </w:r>
      <w:r w:rsidR="002F7F2C">
        <w:rPr>
          <w:b/>
          <w:lang w:val="fr-FR"/>
        </w:rPr>
        <w:t>l</w:t>
      </w:r>
      <w:r w:rsidR="001E5A68" w:rsidRPr="00735423">
        <w:rPr>
          <w:b/>
          <w:lang w:val="fr-FR"/>
        </w:rPr>
        <w:t>es mesures nécessaires afin de rendre effectif le fonctionnement de l’Observatoire</w:t>
      </w:r>
      <w:r w:rsidR="002F7F2C">
        <w:rPr>
          <w:b/>
          <w:lang w:val="fr-FR"/>
        </w:rPr>
        <w:t>,</w:t>
      </w:r>
      <w:r w:rsidR="001E5A68" w:rsidRPr="00735423">
        <w:rPr>
          <w:b/>
          <w:lang w:val="fr-FR"/>
        </w:rPr>
        <w:t xml:space="preserve"> notamment en le dotant des ressources humaines et financières nécessaires.</w:t>
      </w:r>
    </w:p>
    <w:p w:rsidR="001E5A68" w:rsidRPr="001B666D" w:rsidRDefault="00BA744D" w:rsidP="001B666D">
      <w:pPr>
        <w:pStyle w:val="H1G"/>
        <w:rPr>
          <w:lang w:val="fr-FR"/>
        </w:rPr>
      </w:pPr>
      <w:r w:rsidRPr="00735423">
        <w:rPr>
          <w:lang w:val="fr-FR"/>
        </w:rPr>
        <w:lastRenderedPageBreak/>
        <w:tab/>
      </w:r>
      <w:r w:rsidRPr="00735423">
        <w:rPr>
          <w:lang w:val="fr-FR"/>
        </w:rPr>
        <w:tab/>
      </w:r>
      <w:r w:rsidR="001E5A68" w:rsidRPr="00735423">
        <w:rPr>
          <w:lang w:val="fr-FR"/>
        </w:rPr>
        <w:t xml:space="preserve">Définition </w:t>
      </w:r>
      <w:r w:rsidR="001E5A68" w:rsidRPr="001B666D">
        <w:rPr>
          <w:lang w:val="fr-FR"/>
        </w:rPr>
        <w:t>et criminalisation de la disparition forcée (art. 1 à 7)</w:t>
      </w:r>
    </w:p>
    <w:p w:rsidR="001E5A68" w:rsidRPr="001B666D" w:rsidRDefault="00BA744D" w:rsidP="001B666D">
      <w:pPr>
        <w:pStyle w:val="H23G"/>
        <w:rPr>
          <w:sz w:val="24"/>
          <w:szCs w:val="24"/>
          <w:lang w:val="fr-FR"/>
        </w:rPr>
      </w:pPr>
      <w:r w:rsidRPr="001B666D">
        <w:rPr>
          <w:lang w:val="fr-FR"/>
        </w:rPr>
        <w:tab/>
      </w:r>
      <w:r w:rsidRPr="001B666D">
        <w:rPr>
          <w:lang w:val="fr-FR"/>
        </w:rPr>
        <w:tab/>
      </w:r>
      <w:r w:rsidR="001E5A68" w:rsidRPr="001B666D">
        <w:rPr>
          <w:lang w:val="fr-FR"/>
        </w:rPr>
        <w:t xml:space="preserve">Incorporation de la définition et criminalisation de la disparition forcée </w:t>
      </w:r>
      <w:r w:rsidR="001E5A68" w:rsidRPr="001B666D">
        <w:rPr>
          <w:lang w:val="fr-FR"/>
        </w:rPr>
        <w:br/>
        <w:t>dans le Code pénal</w:t>
      </w:r>
    </w:p>
    <w:p w:rsidR="001E5A68" w:rsidRPr="00735423" w:rsidRDefault="00943379" w:rsidP="00943379">
      <w:pPr>
        <w:pStyle w:val="SingleTxtG"/>
        <w:rPr>
          <w:b/>
          <w:lang w:val="fr-FR"/>
        </w:rPr>
      </w:pPr>
      <w:r w:rsidRPr="00735423">
        <w:rPr>
          <w:lang w:val="fr-FR"/>
        </w:rPr>
        <w:t>13.</w:t>
      </w:r>
      <w:r w:rsidRPr="00735423">
        <w:rPr>
          <w:lang w:val="fr-FR"/>
        </w:rPr>
        <w:tab/>
      </w:r>
      <w:r w:rsidR="001E5A68" w:rsidRPr="001B666D">
        <w:rPr>
          <w:rStyle w:val="SingleTxtGCar"/>
          <w:lang w:val="fr-FR"/>
        </w:rPr>
        <w:t>Le Comité note que le Code pénal de l’</w:t>
      </w:r>
      <w:r w:rsidR="00735423" w:rsidRPr="001B666D">
        <w:rPr>
          <w:rStyle w:val="SingleTxtGCar"/>
          <w:lang w:val="fr-FR"/>
        </w:rPr>
        <w:t>État</w:t>
      </w:r>
      <w:r w:rsidR="001E5A68" w:rsidRPr="001B666D">
        <w:rPr>
          <w:rStyle w:val="SingleTxtGCar"/>
          <w:lang w:val="fr-FR"/>
        </w:rPr>
        <w:t xml:space="preserve"> partie ne contient pas une définition ni une </w:t>
      </w:r>
      <w:r w:rsidR="001E5A68" w:rsidRPr="00086B75">
        <w:rPr>
          <w:rStyle w:val="SingleTxtGCar"/>
          <w:lang w:val="fr-FR"/>
        </w:rPr>
        <w:t>incrimination</w:t>
      </w:r>
      <w:r w:rsidR="001E5A68" w:rsidRPr="001B666D">
        <w:rPr>
          <w:rStyle w:val="SingleTxtGCar"/>
          <w:lang w:val="fr-FR"/>
        </w:rPr>
        <w:t xml:space="preserve"> de</w:t>
      </w:r>
      <w:r w:rsidR="001E5A68" w:rsidRPr="00735423">
        <w:rPr>
          <w:rStyle w:val="SingleTxtGCar"/>
          <w:lang w:val="fr-FR"/>
        </w:rPr>
        <w:t xml:space="preserve"> la disparition </w:t>
      </w:r>
      <w:r w:rsidR="001E5A68" w:rsidRPr="001818DA">
        <w:rPr>
          <w:lang w:val="fr-FR"/>
        </w:rPr>
        <w:t>forcée</w:t>
      </w:r>
      <w:r w:rsidR="001E5A68" w:rsidRPr="00735423">
        <w:rPr>
          <w:rStyle w:val="SingleTxtGCar"/>
          <w:lang w:val="fr-FR"/>
        </w:rPr>
        <w:t xml:space="preserve"> comme le requièrent les articles 2 et 4 de la Convention. Il note toutefois que l’État partie a entamé un processus législatif visant, entre autres, à définir et à </w:t>
      </w:r>
      <w:r w:rsidR="001E5A68" w:rsidRPr="00E573D7">
        <w:rPr>
          <w:rStyle w:val="SingleTxtGCar"/>
          <w:lang w:val="fr-FR"/>
        </w:rPr>
        <w:t>criminaliser</w:t>
      </w:r>
      <w:r w:rsidR="001E5A68" w:rsidRPr="00735423">
        <w:rPr>
          <w:rStyle w:val="SingleTxtGCar"/>
          <w:lang w:val="fr-FR"/>
        </w:rPr>
        <w:t xml:space="preserve"> la disparition forcée dans son Code pénal en tant qu’infraction autonome. Il relève qu’en l’absence d’une définition et </w:t>
      </w:r>
      <w:r w:rsidR="001E5A68" w:rsidRPr="00086B75">
        <w:rPr>
          <w:rStyle w:val="SingleTxtGCar"/>
          <w:lang w:val="fr-FR"/>
        </w:rPr>
        <w:t>d’une incrimination</w:t>
      </w:r>
      <w:r w:rsidR="001E5A68" w:rsidRPr="00735423">
        <w:rPr>
          <w:rStyle w:val="SingleTxtGCar"/>
          <w:lang w:val="fr-FR"/>
        </w:rPr>
        <w:t xml:space="preserve"> de la disparition forcée, l’État partie renvoie, pour certaines questions, au régime général</w:t>
      </w:r>
      <w:r w:rsidR="00332B61" w:rsidRPr="00735423">
        <w:rPr>
          <w:rStyle w:val="SingleTxtGCar"/>
          <w:lang w:val="fr-FR"/>
        </w:rPr>
        <w:t xml:space="preserve"> et</w:t>
      </w:r>
      <w:r w:rsidR="001E5A68" w:rsidRPr="00735423">
        <w:rPr>
          <w:rStyle w:val="SingleTxtGCar"/>
          <w:lang w:val="fr-FR"/>
        </w:rPr>
        <w:t xml:space="preserve"> aux règles pénales régissant d’autres infractions considérées comme </w:t>
      </w:r>
      <w:r w:rsidR="00B30B9A" w:rsidRPr="00735423">
        <w:rPr>
          <w:rStyle w:val="SingleTxtGCar"/>
          <w:lang w:val="fr-FR"/>
        </w:rPr>
        <w:t xml:space="preserve">rentrant dans la définition de </w:t>
      </w:r>
      <w:r w:rsidR="001E5A68" w:rsidRPr="00735423">
        <w:rPr>
          <w:rStyle w:val="SingleTxtGCar"/>
          <w:lang w:val="fr-FR"/>
        </w:rPr>
        <w:t>la disparition forcée tel</w:t>
      </w:r>
      <w:r w:rsidR="00885963">
        <w:rPr>
          <w:rStyle w:val="SingleTxtGCar"/>
          <w:lang w:val="fr-FR"/>
        </w:rPr>
        <w:t>le</w:t>
      </w:r>
      <w:r w:rsidR="001E5A68" w:rsidRPr="00735423">
        <w:rPr>
          <w:rStyle w:val="SingleTxtGCar"/>
          <w:lang w:val="fr-FR"/>
        </w:rPr>
        <w:t xml:space="preserve">s que l’arrestation, la détention, la séquestration et l’enlèvement, mais qui ne constituent pas le crime de disparition forcée. Le Comité considère qu’il ne suffit pas de renvoyer à plusieurs infractions ni aux règles les régissant pour satisfaire à cette obligation, car l’infraction de disparition forcée n’est pas une série d’infractions distinctes, mais une seule infraction complexe commise par des agents de l’État ou par des personnes ou des groupes de personnes agissant avec l’autorisation, l’appui ou l’acquiescement de l’État et qui constitue </w:t>
      </w:r>
      <w:r w:rsidR="001E5A68" w:rsidRPr="001818DA">
        <w:rPr>
          <w:lang w:val="fr-FR"/>
        </w:rPr>
        <w:t>une</w:t>
      </w:r>
      <w:r w:rsidR="001E5A68" w:rsidRPr="00735423">
        <w:rPr>
          <w:rStyle w:val="SingleTxtGCar"/>
          <w:lang w:val="fr-FR"/>
        </w:rPr>
        <w:t xml:space="preserve"> violation de plusieurs droits. Dans ce contexte, le Comité considère que la qualification de la disparition forcée en tant qu’infraction autonome permettrait à l’État partie de s’acquitter de l’obligation découlant de l’article 4, laquelle est étroitement liée à d’autres obligations de caractère législatif prévues dans la Convention, comme celles énoncées à l’article 6, paragraphe 1, alinéa </w:t>
      </w:r>
      <w:r w:rsidR="001E5A68" w:rsidRPr="00872CC7">
        <w:rPr>
          <w:rStyle w:val="SingleTxtGCar"/>
          <w:i/>
          <w:iCs/>
          <w:lang w:val="fr-FR"/>
        </w:rPr>
        <w:t>a</w:t>
      </w:r>
      <w:r w:rsidR="001E5A68" w:rsidRPr="00735423">
        <w:rPr>
          <w:rStyle w:val="SingleTxtGCar"/>
          <w:lang w:val="fr-FR"/>
        </w:rPr>
        <w:t>, et à l’article 7</w:t>
      </w:r>
      <w:r w:rsidR="00D13BB5" w:rsidRPr="00735423">
        <w:rPr>
          <w:rStyle w:val="SingleTxtGCar"/>
          <w:lang w:val="fr-FR"/>
        </w:rPr>
        <w:t>. Le Comité prend note que l’</w:t>
      </w:r>
      <w:r w:rsidR="00735423" w:rsidRPr="00735423">
        <w:rPr>
          <w:rStyle w:val="SingleTxtGCar"/>
          <w:lang w:val="fr-FR"/>
        </w:rPr>
        <w:t>État</w:t>
      </w:r>
      <w:r w:rsidR="00D13BB5" w:rsidRPr="00735423">
        <w:rPr>
          <w:rStyle w:val="SingleTxtGCar"/>
          <w:lang w:val="fr-FR"/>
        </w:rPr>
        <w:t xml:space="preserve"> partie a établi un moratoire sur la peine de mort et </w:t>
      </w:r>
      <w:r w:rsidR="0078000F" w:rsidRPr="00735423">
        <w:rPr>
          <w:rStyle w:val="SingleTxtGCar"/>
          <w:lang w:val="fr-FR"/>
        </w:rPr>
        <w:t xml:space="preserve">qu’il </w:t>
      </w:r>
      <w:r w:rsidR="00D13BB5" w:rsidRPr="00735423">
        <w:rPr>
          <w:rStyle w:val="SingleTxtGCar"/>
          <w:lang w:val="fr-FR"/>
        </w:rPr>
        <w:t>envisage de l’abolir</w:t>
      </w:r>
      <w:r w:rsidR="00343C9A" w:rsidRPr="00735423">
        <w:rPr>
          <w:rStyle w:val="SingleTxtGCar"/>
          <w:lang w:val="fr-FR"/>
        </w:rPr>
        <w:t xml:space="preserve"> </w:t>
      </w:r>
      <w:r w:rsidR="001E5A68" w:rsidRPr="00735423">
        <w:rPr>
          <w:rStyle w:val="SingleTxtGCar"/>
          <w:lang w:val="fr-FR"/>
        </w:rPr>
        <w:t>(art. 2, 4</w:t>
      </w:r>
      <w:r w:rsidR="008B4DE1" w:rsidRPr="00735423">
        <w:rPr>
          <w:rStyle w:val="SingleTxtGCar"/>
          <w:lang w:val="fr-FR"/>
        </w:rPr>
        <w:t>, 6</w:t>
      </w:r>
      <w:r w:rsidR="001E5A68" w:rsidRPr="00735423">
        <w:rPr>
          <w:rStyle w:val="SingleTxtGCar"/>
          <w:lang w:val="fr-FR"/>
        </w:rPr>
        <w:t xml:space="preserve"> et 7</w:t>
      </w:r>
      <w:r w:rsidR="001E5A68" w:rsidRPr="00735423">
        <w:rPr>
          <w:lang w:val="fr-FR"/>
        </w:rPr>
        <w:t>).</w:t>
      </w:r>
    </w:p>
    <w:p w:rsidR="001E5A68" w:rsidRPr="001818DA" w:rsidRDefault="00943379" w:rsidP="00943379">
      <w:pPr>
        <w:pStyle w:val="SingleTxtG"/>
        <w:rPr>
          <w:b/>
          <w:lang w:val="fr-FR"/>
        </w:rPr>
      </w:pPr>
      <w:r w:rsidRPr="001818DA">
        <w:rPr>
          <w:lang w:val="fr-FR"/>
        </w:rPr>
        <w:t>14.</w:t>
      </w:r>
      <w:r w:rsidRPr="001818DA">
        <w:rPr>
          <w:lang w:val="fr-FR"/>
        </w:rPr>
        <w:tab/>
      </w:r>
      <w:r w:rsidR="00DF5F8A" w:rsidRPr="00735423">
        <w:rPr>
          <w:rStyle w:val="singletxtgcar0"/>
          <w:b/>
          <w:bCs/>
          <w:lang w:val="fr-FR"/>
        </w:rPr>
        <w:t xml:space="preserve">Le Comité recommande à </w:t>
      </w:r>
      <w:r w:rsidR="00DF5F8A" w:rsidRPr="001818DA">
        <w:rPr>
          <w:b/>
          <w:lang w:val="fr-FR"/>
        </w:rPr>
        <w:t>l’</w:t>
      </w:r>
      <w:r w:rsidR="00DF5F8A" w:rsidRPr="001818DA">
        <w:rPr>
          <w:rStyle w:val="singletxtgcar0"/>
          <w:b/>
          <w:bCs/>
          <w:lang w:val="fr-FR"/>
        </w:rPr>
        <w:t xml:space="preserve">État partie d’accélérer le processus de révision du Code pénal visant à mettre en œuvre la Convention afin de définir et </w:t>
      </w:r>
      <w:r w:rsidR="00DF5F8A" w:rsidRPr="00086B75">
        <w:rPr>
          <w:rStyle w:val="singletxtgcar0"/>
          <w:b/>
          <w:bCs/>
          <w:lang w:val="fr-FR"/>
        </w:rPr>
        <w:t>d’incriminer</w:t>
      </w:r>
      <w:r w:rsidR="00DF5F8A" w:rsidRPr="001818DA">
        <w:rPr>
          <w:rStyle w:val="singletxtgcar0"/>
          <w:b/>
          <w:bCs/>
          <w:lang w:val="fr-FR"/>
        </w:rPr>
        <w:t xml:space="preserve"> la disparition forcée comme une infraction autonome, </w:t>
      </w:r>
      <w:r w:rsidR="00DF5F8A" w:rsidRPr="001818DA">
        <w:rPr>
          <w:rStyle w:val="singletxtgcar0"/>
          <w:b/>
          <w:lang w:val="fr-FR"/>
        </w:rPr>
        <w:t>conformément</w:t>
      </w:r>
      <w:r w:rsidR="00DF5F8A" w:rsidRPr="00735423">
        <w:rPr>
          <w:rStyle w:val="singletxtgcar0"/>
          <w:b/>
          <w:bCs/>
          <w:lang w:val="fr-FR"/>
        </w:rPr>
        <w:t xml:space="preserve"> à la définition inclus</w:t>
      </w:r>
      <w:r w:rsidR="00332B61" w:rsidRPr="00735423">
        <w:rPr>
          <w:rStyle w:val="singletxtgcar0"/>
          <w:b/>
          <w:bCs/>
          <w:lang w:val="fr-FR"/>
        </w:rPr>
        <w:t>e</w:t>
      </w:r>
      <w:r w:rsidR="00DF5F8A" w:rsidRPr="00735423">
        <w:rPr>
          <w:rStyle w:val="singletxtgcar0"/>
          <w:b/>
          <w:bCs/>
          <w:lang w:val="fr-FR"/>
        </w:rPr>
        <w:t xml:space="preserve"> dans l’article 2 de la Convention</w:t>
      </w:r>
      <w:r w:rsidR="0025498B">
        <w:rPr>
          <w:rStyle w:val="singletxtgcar0"/>
          <w:b/>
          <w:bCs/>
          <w:lang w:val="fr-FR"/>
        </w:rPr>
        <w:t>,</w:t>
      </w:r>
      <w:r w:rsidR="00A9351E" w:rsidRPr="00735423">
        <w:rPr>
          <w:rStyle w:val="singletxtgcar0"/>
          <w:b/>
          <w:bCs/>
          <w:lang w:val="fr-FR"/>
        </w:rPr>
        <w:t xml:space="preserve"> </w:t>
      </w:r>
      <w:r w:rsidR="00DF5F8A" w:rsidRPr="00735423">
        <w:rPr>
          <w:rStyle w:val="singletxtgcar0"/>
          <w:b/>
          <w:bCs/>
          <w:lang w:val="fr-FR"/>
        </w:rPr>
        <w:t xml:space="preserve">et passible de peines appropriées qui prennent en compte son extrême gravité, </w:t>
      </w:r>
      <w:r w:rsidR="008B4DE1" w:rsidRPr="00735423">
        <w:rPr>
          <w:rStyle w:val="singletxtgcar0"/>
          <w:b/>
          <w:bCs/>
          <w:lang w:val="fr-FR"/>
        </w:rPr>
        <w:t xml:space="preserve">en </w:t>
      </w:r>
      <w:r w:rsidR="00332B61" w:rsidRPr="00735423">
        <w:rPr>
          <w:rStyle w:val="singletxtgcar0"/>
          <w:b/>
          <w:bCs/>
          <w:lang w:val="fr-FR"/>
        </w:rPr>
        <w:t>é</w:t>
      </w:r>
      <w:r w:rsidR="008B4DE1" w:rsidRPr="00735423">
        <w:rPr>
          <w:rStyle w:val="singletxtgcar0"/>
          <w:b/>
          <w:bCs/>
          <w:lang w:val="fr-FR"/>
        </w:rPr>
        <w:t>vitant l</w:t>
      </w:r>
      <w:r w:rsidR="00332B61" w:rsidRPr="00735423">
        <w:rPr>
          <w:rStyle w:val="singletxtgcar0"/>
          <w:b/>
          <w:bCs/>
          <w:lang w:val="fr-FR"/>
        </w:rPr>
        <w:t>’</w:t>
      </w:r>
      <w:r w:rsidR="008B4DE1" w:rsidRPr="00735423">
        <w:rPr>
          <w:rStyle w:val="singletxtgcar0"/>
          <w:b/>
          <w:bCs/>
          <w:lang w:val="fr-FR"/>
        </w:rPr>
        <w:t>imposition de la peine de mort.</w:t>
      </w:r>
    </w:p>
    <w:p w:rsidR="001E5A68" w:rsidRPr="00735423" w:rsidRDefault="00BA744D" w:rsidP="00EB703F">
      <w:pPr>
        <w:pStyle w:val="H23G"/>
        <w:ind w:hanging="567"/>
        <w:rPr>
          <w:lang w:val="fr-FR"/>
        </w:rPr>
      </w:pPr>
      <w:r w:rsidRPr="00735423">
        <w:rPr>
          <w:b w:val="0"/>
          <w:bCs/>
          <w:lang w:val="fr-FR"/>
        </w:rPr>
        <w:tab/>
      </w:r>
      <w:r w:rsidRPr="00735423">
        <w:rPr>
          <w:b w:val="0"/>
          <w:bCs/>
          <w:lang w:val="fr-FR"/>
        </w:rPr>
        <w:tab/>
      </w:r>
      <w:r w:rsidR="001E5A68" w:rsidRPr="00735423">
        <w:rPr>
          <w:lang w:val="fr-FR"/>
        </w:rPr>
        <w:t>Ordre d’un supérieur</w:t>
      </w:r>
    </w:p>
    <w:p w:rsidR="001E5A68" w:rsidRPr="00735423" w:rsidRDefault="00943379" w:rsidP="00943379">
      <w:pPr>
        <w:pStyle w:val="SingleTxtG"/>
        <w:rPr>
          <w:b/>
          <w:lang w:val="fr-FR"/>
        </w:rPr>
      </w:pPr>
      <w:r w:rsidRPr="00735423">
        <w:rPr>
          <w:lang w:val="fr-FR"/>
        </w:rPr>
        <w:t>15.</w:t>
      </w:r>
      <w:r w:rsidRPr="00735423">
        <w:rPr>
          <w:lang w:val="fr-FR"/>
        </w:rPr>
        <w:tab/>
      </w:r>
      <w:r w:rsidR="001E5A68" w:rsidRPr="00735423">
        <w:rPr>
          <w:lang w:val="fr-FR"/>
        </w:rPr>
        <w:t xml:space="preserve">Le Comité prend note qu’aux termes de l’article 70 du Code </w:t>
      </w:r>
      <w:r w:rsidR="001E5A68" w:rsidRPr="00E573D7">
        <w:rPr>
          <w:lang w:val="fr-FR"/>
        </w:rPr>
        <w:t xml:space="preserve">pénal « [n’]est pas pénalement responsable la personne qui accomplit un acte commandé </w:t>
      </w:r>
      <w:r w:rsidR="00BE5387" w:rsidRPr="00872CC7">
        <w:rPr>
          <w:lang w:val="fr-FR"/>
        </w:rPr>
        <w:t xml:space="preserve">par l’autorité </w:t>
      </w:r>
      <w:r w:rsidR="001E5A68" w:rsidRPr="00E573D7">
        <w:rPr>
          <w:lang w:val="fr-FR"/>
        </w:rPr>
        <w:t>légitime, sauf si cet acte est manifestement illégal » et qu’en vertu de l’article</w:t>
      </w:r>
      <w:r w:rsidR="00F5614E" w:rsidRPr="00872CC7">
        <w:rPr>
          <w:lang w:val="fr-FR"/>
        </w:rPr>
        <w:t> </w:t>
      </w:r>
      <w:r w:rsidR="001E5A68" w:rsidRPr="00E573D7">
        <w:rPr>
          <w:lang w:val="fr-FR"/>
        </w:rPr>
        <w:t xml:space="preserve">141 </w:t>
      </w:r>
      <w:r w:rsidR="00F5614E" w:rsidRPr="00872CC7">
        <w:rPr>
          <w:lang w:val="fr-FR"/>
        </w:rPr>
        <w:t xml:space="preserve">du Code pénal </w:t>
      </w:r>
      <w:r w:rsidR="001E5A68" w:rsidRPr="00E573D7">
        <w:rPr>
          <w:lang w:val="fr-FR"/>
        </w:rPr>
        <w:t>tout fonctionnaire public qui ordonne ou fait ordonner quelque acte arbitraire ou attentatoire à la liberté individuelle ou aux droits civiques d’une ou plusieurs personnes est exempt de peine s’il justifie qu’il a agi par ordre légal de ses supérieurs. Le Comité note également les explications fournies par la délégation de l’</w:t>
      </w:r>
      <w:r w:rsidR="00735423" w:rsidRPr="00E573D7">
        <w:rPr>
          <w:lang w:val="fr-FR"/>
        </w:rPr>
        <w:t>État</w:t>
      </w:r>
      <w:r w:rsidR="001E5A68" w:rsidRPr="00E573D7">
        <w:rPr>
          <w:lang w:val="fr-FR"/>
        </w:rPr>
        <w:t xml:space="preserve"> partie, mais constate que ces dispositions ne sont </w:t>
      </w:r>
      <w:r w:rsidR="004D1A9A" w:rsidRPr="00E573D7">
        <w:rPr>
          <w:lang w:val="fr-FR"/>
        </w:rPr>
        <w:t xml:space="preserve">pas </w:t>
      </w:r>
      <w:r w:rsidR="001E5A68" w:rsidRPr="00E573D7">
        <w:rPr>
          <w:lang w:val="fr-FR"/>
        </w:rPr>
        <w:t xml:space="preserve">précises et ne semblent </w:t>
      </w:r>
      <w:r w:rsidR="004D1A9A" w:rsidRPr="00E573D7">
        <w:rPr>
          <w:lang w:val="fr-FR"/>
        </w:rPr>
        <w:t xml:space="preserve">pas </w:t>
      </w:r>
      <w:r w:rsidR="001E5A68" w:rsidRPr="00E573D7">
        <w:rPr>
          <w:lang w:val="fr-FR"/>
        </w:rPr>
        <w:t>offrir l</w:t>
      </w:r>
      <w:r w:rsidR="004D1A9A" w:rsidRPr="00E573D7">
        <w:rPr>
          <w:lang w:val="fr-FR"/>
        </w:rPr>
        <w:t>es</w:t>
      </w:r>
      <w:r w:rsidR="001E5A68" w:rsidRPr="00E573D7">
        <w:rPr>
          <w:lang w:val="fr-FR"/>
        </w:rPr>
        <w:t xml:space="preserve"> garanties prévues au paragraphe 1</w:t>
      </w:r>
      <w:r w:rsidR="0025498B" w:rsidRPr="00E573D7">
        <w:rPr>
          <w:lang w:val="fr-FR"/>
        </w:rPr>
        <w:t>, alinéas</w:t>
      </w:r>
      <w:r w:rsidR="001E5A68" w:rsidRPr="00E573D7">
        <w:rPr>
          <w:lang w:val="fr-FR"/>
        </w:rPr>
        <w:t xml:space="preserve"> </w:t>
      </w:r>
      <w:r w:rsidR="001E5A68" w:rsidRPr="00872CC7">
        <w:rPr>
          <w:i/>
          <w:iCs/>
          <w:lang w:val="fr-FR"/>
        </w:rPr>
        <w:t>b</w:t>
      </w:r>
      <w:r w:rsidR="001E5A68" w:rsidRPr="00E573D7">
        <w:rPr>
          <w:lang w:val="fr-FR"/>
        </w:rPr>
        <w:t xml:space="preserve"> et </w:t>
      </w:r>
      <w:r w:rsidR="001E5A68" w:rsidRPr="00872CC7">
        <w:rPr>
          <w:i/>
          <w:iCs/>
          <w:lang w:val="fr-FR"/>
        </w:rPr>
        <w:t>c</w:t>
      </w:r>
      <w:r w:rsidR="0025498B" w:rsidRPr="00E573D7">
        <w:rPr>
          <w:lang w:val="fr-FR"/>
        </w:rPr>
        <w:t>,</w:t>
      </w:r>
      <w:r w:rsidR="001E5A68" w:rsidRPr="00E573D7">
        <w:rPr>
          <w:lang w:val="fr-FR"/>
        </w:rPr>
        <w:t xml:space="preserve"> et </w:t>
      </w:r>
      <w:r w:rsidR="0025498B" w:rsidRPr="00E573D7">
        <w:rPr>
          <w:lang w:val="fr-FR"/>
        </w:rPr>
        <w:t xml:space="preserve">au paragraphe </w:t>
      </w:r>
      <w:r w:rsidR="001E5A68" w:rsidRPr="00E573D7">
        <w:rPr>
          <w:lang w:val="fr-FR"/>
        </w:rPr>
        <w:t>2 de l’article 6 de la Convention (art. 6).</w:t>
      </w:r>
    </w:p>
    <w:p w:rsidR="001E5A68" w:rsidRPr="00735423" w:rsidRDefault="00943379" w:rsidP="00943379">
      <w:pPr>
        <w:pStyle w:val="SingleTxtG"/>
        <w:rPr>
          <w:b/>
          <w:lang w:val="fr-FR"/>
        </w:rPr>
      </w:pPr>
      <w:r w:rsidRPr="00735423">
        <w:rPr>
          <w:lang w:val="fr-FR"/>
        </w:rPr>
        <w:t>16.</w:t>
      </w:r>
      <w:r w:rsidRPr="00735423">
        <w:rPr>
          <w:lang w:val="fr-FR"/>
        </w:rPr>
        <w:tab/>
      </w:r>
      <w:r w:rsidR="001E5A68" w:rsidRPr="00735423">
        <w:rPr>
          <w:b/>
          <w:lang w:val="fr-FR"/>
        </w:rPr>
        <w:t>Le Comité recommande à l’</w:t>
      </w:r>
      <w:r w:rsidR="00735423" w:rsidRPr="00735423">
        <w:rPr>
          <w:b/>
          <w:lang w:val="fr-FR"/>
        </w:rPr>
        <w:t>État</w:t>
      </w:r>
      <w:r w:rsidR="001E5A68" w:rsidRPr="00735423">
        <w:rPr>
          <w:b/>
          <w:lang w:val="fr-FR"/>
        </w:rPr>
        <w:t xml:space="preserve"> partie, lorsqu’il établira la disparition forcée </w:t>
      </w:r>
      <w:r w:rsidR="001E5A68" w:rsidRPr="00E573D7">
        <w:rPr>
          <w:b/>
          <w:lang w:val="fr-FR"/>
        </w:rPr>
        <w:t xml:space="preserve">comme </w:t>
      </w:r>
      <w:r w:rsidR="001E5A68" w:rsidRPr="00086B75">
        <w:rPr>
          <w:b/>
          <w:lang w:val="fr-FR"/>
        </w:rPr>
        <w:t>incrimination</w:t>
      </w:r>
      <w:r w:rsidR="001E5A68" w:rsidRPr="00E573D7">
        <w:rPr>
          <w:b/>
          <w:lang w:val="fr-FR"/>
        </w:rPr>
        <w:t xml:space="preserve"> dans son Code pénal, de clarifier les dispositions des articles</w:t>
      </w:r>
      <w:r w:rsidR="0025498B" w:rsidRPr="00E573D7">
        <w:rPr>
          <w:b/>
          <w:lang w:val="fr-FR"/>
        </w:rPr>
        <w:t> </w:t>
      </w:r>
      <w:r w:rsidR="001E5A68" w:rsidRPr="00E573D7">
        <w:rPr>
          <w:b/>
          <w:lang w:val="fr-FR"/>
        </w:rPr>
        <w:t xml:space="preserve">70 et 141, paragraphe 2, de ce même Code, de sorte à </w:t>
      </w:r>
      <w:r w:rsidR="00307D6D" w:rsidRPr="00E573D7">
        <w:rPr>
          <w:b/>
          <w:lang w:val="fr-FR"/>
        </w:rPr>
        <w:t>les rendre pleinement conformes aux dispositions d</w:t>
      </w:r>
      <w:r w:rsidR="0025498B" w:rsidRPr="00E573D7">
        <w:rPr>
          <w:b/>
          <w:lang w:val="fr-FR"/>
        </w:rPr>
        <w:t xml:space="preserve">u </w:t>
      </w:r>
      <w:r w:rsidR="00307D6D" w:rsidRPr="00E573D7">
        <w:rPr>
          <w:b/>
          <w:lang w:val="fr-FR"/>
        </w:rPr>
        <w:t>paragraphe 1</w:t>
      </w:r>
      <w:r w:rsidR="0025498B" w:rsidRPr="00E573D7">
        <w:rPr>
          <w:b/>
          <w:lang w:val="fr-FR"/>
        </w:rPr>
        <w:t>, alinéa</w:t>
      </w:r>
      <w:r w:rsidR="00BF0ECB" w:rsidRPr="00872CC7">
        <w:rPr>
          <w:b/>
          <w:lang w:val="fr-FR"/>
        </w:rPr>
        <w:t>s</w:t>
      </w:r>
      <w:r w:rsidR="00307D6D" w:rsidRPr="00E573D7">
        <w:rPr>
          <w:b/>
          <w:lang w:val="fr-FR"/>
        </w:rPr>
        <w:t xml:space="preserve"> </w:t>
      </w:r>
      <w:r w:rsidR="00307D6D" w:rsidRPr="00872CC7">
        <w:rPr>
          <w:b/>
          <w:i/>
          <w:iCs/>
          <w:lang w:val="fr-FR"/>
        </w:rPr>
        <w:t>b</w:t>
      </w:r>
      <w:r w:rsidR="00307D6D" w:rsidRPr="00E573D7">
        <w:rPr>
          <w:b/>
          <w:lang w:val="fr-FR"/>
        </w:rPr>
        <w:t xml:space="preserve"> et </w:t>
      </w:r>
      <w:r w:rsidR="00307D6D" w:rsidRPr="00872CC7">
        <w:rPr>
          <w:b/>
          <w:i/>
          <w:iCs/>
          <w:lang w:val="fr-FR"/>
        </w:rPr>
        <w:t>c</w:t>
      </w:r>
      <w:r w:rsidR="0025498B" w:rsidRPr="00E573D7">
        <w:rPr>
          <w:b/>
          <w:lang w:val="fr-FR"/>
        </w:rPr>
        <w:t>, et du paragraphe</w:t>
      </w:r>
      <w:r w:rsidR="00307D6D" w:rsidRPr="00E573D7">
        <w:rPr>
          <w:b/>
          <w:lang w:val="fr-FR"/>
        </w:rPr>
        <w:t xml:space="preserve"> 2 de l’article 6 de la Conve</w:t>
      </w:r>
      <w:r w:rsidR="00307D6D" w:rsidRPr="00735423">
        <w:rPr>
          <w:b/>
          <w:lang w:val="fr-FR"/>
        </w:rPr>
        <w:t xml:space="preserve">ntion. </w:t>
      </w:r>
    </w:p>
    <w:p w:rsidR="001E5A68" w:rsidRPr="00735423" w:rsidRDefault="00BA744D" w:rsidP="001E5A68">
      <w:pPr>
        <w:pStyle w:val="H23G"/>
        <w:rPr>
          <w:lang w:val="fr-FR"/>
        </w:rPr>
      </w:pPr>
      <w:r w:rsidRPr="00735423">
        <w:rPr>
          <w:lang w:val="fr-FR"/>
        </w:rPr>
        <w:tab/>
      </w:r>
      <w:r w:rsidRPr="00735423">
        <w:rPr>
          <w:lang w:val="fr-FR"/>
        </w:rPr>
        <w:tab/>
      </w:r>
      <w:r w:rsidR="001E5A68" w:rsidRPr="00735423">
        <w:rPr>
          <w:lang w:val="fr-FR"/>
        </w:rPr>
        <w:t xml:space="preserve">Circonstances atténuantes et aggravantes </w:t>
      </w:r>
    </w:p>
    <w:p w:rsidR="001E5A68" w:rsidRPr="00735423" w:rsidRDefault="00943379" w:rsidP="00943379">
      <w:pPr>
        <w:pStyle w:val="SingleTxtG"/>
        <w:rPr>
          <w:b/>
          <w:lang w:val="fr-FR"/>
        </w:rPr>
      </w:pPr>
      <w:r w:rsidRPr="00735423">
        <w:rPr>
          <w:lang w:val="fr-FR"/>
        </w:rPr>
        <w:t>17.</w:t>
      </w:r>
      <w:r w:rsidRPr="00735423">
        <w:rPr>
          <w:lang w:val="fr-FR"/>
        </w:rPr>
        <w:tab/>
      </w:r>
      <w:r w:rsidR="001E5A68" w:rsidRPr="00735423">
        <w:rPr>
          <w:rStyle w:val="SingleTxtGCar"/>
          <w:lang w:val="fr-FR"/>
        </w:rPr>
        <w:t xml:space="preserve">Le Comité prend note de </w:t>
      </w:r>
      <w:r w:rsidR="008B4DE1" w:rsidRPr="00735423">
        <w:rPr>
          <w:rStyle w:val="SingleTxtGCar"/>
          <w:lang w:val="fr-FR"/>
        </w:rPr>
        <w:t xml:space="preserve">ce </w:t>
      </w:r>
      <w:r w:rsidR="001E5A68" w:rsidRPr="00735423">
        <w:rPr>
          <w:rStyle w:val="SingleTxtGCar"/>
          <w:lang w:val="fr-FR"/>
        </w:rPr>
        <w:t>que le Code pénal de l’</w:t>
      </w:r>
      <w:r w:rsidR="00A400A2" w:rsidRPr="00735423">
        <w:rPr>
          <w:rStyle w:val="SingleTxtGCar"/>
          <w:lang w:val="fr-FR"/>
        </w:rPr>
        <w:t>État</w:t>
      </w:r>
      <w:r w:rsidR="001E5A68" w:rsidRPr="00735423">
        <w:rPr>
          <w:rStyle w:val="SingleTxtGCar"/>
          <w:lang w:val="fr-FR"/>
        </w:rPr>
        <w:t xml:space="preserve"> partie prévoit un régime général de circonstances atténuantes et aggravantes pour les crimes et les délits. Qu’en outre, il existe des circonstances aggravantes pour des infractions liées à l’acte de disparition forcée, qui</w:t>
      </w:r>
      <w:r w:rsidR="009A3744" w:rsidRPr="00735423">
        <w:rPr>
          <w:rStyle w:val="SingleTxtGCar"/>
          <w:lang w:val="fr-FR"/>
        </w:rPr>
        <w:t>, selon l’</w:t>
      </w:r>
      <w:r w:rsidR="00A400A2" w:rsidRPr="00735423">
        <w:rPr>
          <w:rStyle w:val="SingleTxtGCar"/>
          <w:lang w:val="fr-FR"/>
        </w:rPr>
        <w:t>État</w:t>
      </w:r>
      <w:r w:rsidR="009A3744" w:rsidRPr="00735423">
        <w:rPr>
          <w:rStyle w:val="SingleTxtGCar"/>
          <w:lang w:val="fr-FR"/>
        </w:rPr>
        <w:t xml:space="preserve"> partie,</w:t>
      </w:r>
      <w:r w:rsidR="001E5A68" w:rsidRPr="00735423">
        <w:rPr>
          <w:rStyle w:val="SingleTxtGCar"/>
          <w:lang w:val="fr-FR"/>
        </w:rPr>
        <w:t xml:space="preserve"> s’appliqueraient en matière de disparitions </w:t>
      </w:r>
      <w:r w:rsidR="001E5A68" w:rsidRPr="00735423">
        <w:rPr>
          <w:rStyle w:val="SingleTxtGCar"/>
          <w:lang w:val="fr-FR"/>
        </w:rPr>
        <w:lastRenderedPageBreak/>
        <w:t xml:space="preserve">forcées. Le Comité estime, néanmoins, que ces dispositions du Code pénal ne sont pas pleinement conformes à l’article </w:t>
      </w:r>
      <w:r w:rsidR="00F4305E" w:rsidRPr="00735423">
        <w:rPr>
          <w:rStyle w:val="SingleTxtGCar"/>
          <w:lang w:val="fr-FR"/>
        </w:rPr>
        <w:t>7, paragraphe 2, de la Convention.</w:t>
      </w:r>
    </w:p>
    <w:p w:rsidR="001E5A68" w:rsidRPr="00735423" w:rsidRDefault="00943379" w:rsidP="00943379">
      <w:pPr>
        <w:pStyle w:val="SingleTxtG"/>
        <w:rPr>
          <w:lang w:val="fr-FR"/>
        </w:rPr>
      </w:pPr>
      <w:r w:rsidRPr="00735423">
        <w:rPr>
          <w:lang w:val="fr-FR"/>
        </w:rPr>
        <w:t>18.</w:t>
      </w:r>
      <w:r w:rsidRPr="00735423">
        <w:rPr>
          <w:lang w:val="fr-FR"/>
        </w:rPr>
        <w:tab/>
      </w:r>
      <w:r w:rsidR="001E5A68" w:rsidRPr="00735423">
        <w:rPr>
          <w:rStyle w:val="SingleTxtGCar"/>
          <w:b/>
          <w:bCs/>
          <w:lang w:val="fr-FR"/>
        </w:rPr>
        <w:t>Le Comité recommande à</w:t>
      </w:r>
      <w:r w:rsidR="001E5A68" w:rsidRPr="001B666D">
        <w:rPr>
          <w:rStyle w:val="SingleTxtGCar"/>
          <w:b/>
          <w:bCs/>
          <w:lang w:val="fr-FR"/>
        </w:rPr>
        <w:t xml:space="preserve"> </w:t>
      </w:r>
      <w:r w:rsidR="001E5A68" w:rsidRPr="00872CC7">
        <w:rPr>
          <w:b/>
          <w:bCs/>
          <w:lang w:val="fr-FR"/>
        </w:rPr>
        <w:t>l’</w:t>
      </w:r>
      <w:r w:rsidR="001E5A68" w:rsidRPr="001B666D">
        <w:rPr>
          <w:rStyle w:val="SingleTxtGCar"/>
          <w:b/>
          <w:bCs/>
          <w:lang w:val="fr-FR"/>
        </w:rPr>
        <w:t>État</w:t>
      </w:r>
      <w:r w:rsidR="001E5A68" w:rsidRPr="001818DA">
        <w:rPr>
          <w:rStyle w:val="SingleTxtGCar"/>
          <w:b/>
          <w:bCs/>
          <w:lang w:val="fr-FR"/>
        </w:rPr>
        <w:t xml:space="preserve"> partie, lorsqu’il établira la disparition forcée comme une infraction autonome, </w:t>
      </w:r>
      <w:r w:rsidR="00B07C31">
        <w:rPr>
          <w:rStyle w:val="SingleTxtGCar"/>
          <w:b/>
          <w:bCs/>
          <w:lang w:val="fr-FR"/>
        </w:rPr>
        <w:t>de</w:t>
      </w:r>
      <w:r w:rsidR="001E5A68" w:rsidRPr="001818DA">
        <w:rPr>
          <w:rStyle w:val="SingleTxtGCar"/>
          <w:b/>
          <w:bCs/>
          <w:lang w:val="fr-FR"/>
        </w:rPr>
        <w:t xml:space="preserve"> modifier également son Code pénal afin d’y prévoir des circonstances atténuantes et aggravantes applicables à l’acte de disparition forcée, qui recouvrent tous les éléments prévus à l’article 7, paragraphe 2, de la Convention</w:t>
      </w:r>
      <w:r w:rsidR="009A3744" w:rsidRPr="00735423">
        <w:rPr>
          <w:rStyle w:val="SingleTxtGCar"/>
          <w:b/>
          <w:bCs/>
          <w:lang w:val="fr-FR"/>
        </w:rPr>
        <w:t xml:space="preserve">. </w:t>
      </w:r>
      <w:r w:rsidR="001E5A68" w:rsidRPr="00735423">
        <w:rPr>
          <w:b/>
          <w:lang w:val="fr-FR"/>
        </w:rPr>
        <w:t>Il lui recommande également de faire en sorte que les circonstances atténuantes ne donnent en aucun cas lieu à l’absence de sanction appropriée.</w:t>
      </w:r>
    </w:p>
    <w:p w:rsidR="001E5A68" w:rsidRPr="00735423" w:rsidRDefault="00BA744D" w:rsidP="00EB703F">
      <w:pPr>
        <w:pStyle w:val="H1G"/>
        <w:rPr>
          <w:lang w:val="fr-FR"/>
        </w:rPr>
      </w:pPr>
      <w:r w:rsidRPr="00735423">
        <w:rPr>
          <w:lang w:val="fr-FR"/>
        </w:rPr>
        <w:tab/>
      </w:r>
      <w:r w:rsidRPr="00735423">
        <w:rPr>
          <w:lang w:val="fr-FR"/>
        </w:rPr>
        <w:tab/>
      </w:r>
      <w:r w:rsidR="001E5A68" w:rsidRPr="00735423">
        <w:rPr>
          <w:lang w:val="fr-FR"/>
        </w:rPr>
        <w:t xml:space="preserve">Responsabilité pénale et entraide judiciaire en matière </w:t>
      </w:r>
      <w:r w:rsidR="00F62D5B">
        <w:rPr>
          <w:lang w:val="fr-FR"/>
        </w:rPr>
        <w:br/>
      </w:r>
      <w:r w:rsidR="001E5A68" w:rsidRPr="00735423">
        <w:rPr>
          <w:lang w:val="fr-FR"/>
        </w:rPr>
        <w:t>de disparition forcée (art. 8 à 15)</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Nature continue de l’infraction de disparition forcée et prescription</w:t>
      </w:r>
    </w:p>
    <w:p w:rsidR="001E5A68" w:rsidRPr="00735423" w:rsidRDefault="00943379" w:rsidP="00943379">
      <w:pPr>
        <w:pStyle w:val="SingleTxtG"/>
        <w:rPr>
          <w:b/>
          <w:bCs/>
          <w:lang w:val="fr-FR"/>
        </w:rPr>
      </w:pPr>
      <w:r w:rsidRPr="00735423">
        <w:rPr>
          <w:bCs/>
          <w:lang w:val="fr-FR"/>
        </w:rPr>
        <w:t>19.</w:t>
      </w:r>
      <w:r w:rsidRPr="00735423">
        <w:rPr>
          <w:bCs/>
          <w:lang w:val="fr-FR"/>
        </w:rPr>
        <w:tab/>
      </w:r>
      <w:r w:rsidR="001E5A68" w:rsidRPr="00735423">
        <w:rPr>
          <w:lang w:val="fr-FR"/>
        </w:rPr>
        <w:t>Le Comité prend note du fait que l’</w:t>
      </w:r>
      <w:r w:rsidR="00A400A2" w:rsidRPr="00735423">
        <w:rPr>
          <w:lang w:val="fr-FR"/>
        </w:rPr>
        <w:t>État</w:t>
      </w:r>
      <w:r w:rsidR="001E5A68" w:rsidRPr="00735423">
        <w:rPr>
          <w:lang w:val="fr-FR"/>
        </w:rPr>
        <w:t xml:space="preserve"> partie reconna</w:t>
      </w:r>
      <w:r w:rsidR="00B07C31">
        <w:rPr>
          <w:lang w:val="fr-FR"/>
        </w:rPr>
        <w:t>î</w:t>
      </w:r>
      <w:r w:rsidR="001E5A68" w:rsidRPr="00735423">
        <w:rPr>
          <w:lang w:val="fr-FR"/>
        </w:rPr>
        <w:t>t le caractère continu de la disparition forcée</w:t>
      </w:r>
      <w:r w:rsidR="00AA1C25" w:rsidRPr="00735423">
        <w:rPr>
          <w:lang w:val="fr-FR"/>
        </w:rPr>
        <w:t xml:space="preserve"> et envisage de l’inscrire dans son Code pénal</w:t>
      </w:r>
      <w:r w:rsidR="001E5A68" w:rsidRPr="00735423">
        <w:rPr>
          <w:lang w:val="fr-FR"/>
        </w:rPr>
        <w:t>. Il note, néanmoins, que, selon l’</w:t>
      </w:r>
      <w:r w:rsidR="00A400A2" w:rsidRPr="00735423">
        <w:rPr>
          <w:lang w:val="fr-FR"/>
        </w:rPr>
        <w:t>État</w:t>
      </w:r>
      <w:r w:rsidR="001E5A68" w:rsidRPr="00735423">
        <w:rPr>
          <w:lang w:val="fr-FR"/>
        </w:rPr>
        <w:t xml:space="preserve"> partie, les délais de prescription de l’action pénale pour le crime de disparition devraient relever du régime commun des délits et crimes prévu dans son Code pénal, c’est-à-dire </w:t>
      </w:r>
      <w:r w:rsidR="00B07C31">
        <w:rPr>
          <w:lang w:val="fr-FR"/>
        </w:rPr>
        <w:t xml:space="preserve">dix </w:t>
      </w:r>
      <w:r w:rsidR="001E5A68" w:rsidRPr="00735423">
        <w:rPr>
          <w:lang w:val="fr-FR"/>
        </w:rPr>
        <w:t xml:space="preserve">ans pour les crimes et </w:t>
      </w:r>
      <w:r w:rsidR="00B07C31">
        <w:rPr>
          <w:lang w:val="fr-FR"/>
        </w:rPr>
        <w:t xml:space="preserve">trois </w:t>
      </w:r>
      <w:r w:rsidR="001E5A68" w:rsidRPr="00735423">
        <w:rPr>
          <w:lang w:val="fr-FR"/>
        </w:rPr>
        <w:t>ans pour les délits. Le Comité note également les informations fournies par la délégation selon lesquelles, la prescription de l’action pénale pour la disparition forcée débuterait dès la cessation de l</w:t>
      </w:r>
      <w:r w:rsidR="00F4305E" w:rsidRPr="00735423">
        <w:rPr>
          <w:lang w:val="fr-FR"/>
        </w:rPr>
        <w:t>’infraction</w:t>
      </w:r>
      <w:r w:rsidR="001E5A68" w:rsidRPr="00735423">
        <w:rPr>
          <w:lang w:val="fr-FR"/>
        </w:rPr>
        <w:t xml:space="preserve"> (art. 8).</w:t>
      </w:r>
    </w:p>
    <w:p w:rsidR="001E5A68" w:rsidRPr="00735423" w:rsidRDefault="00943379" w:rsidP="00943379">
      <w:pPr>
        <w:pStyle w:val="SingleTxtG"/>
        <w:rPr>
          <w:b/>
          <w:lang w:val="fr-FR"/>
        </w:rPr>
      </w:pPr>
      <w:r w:rsidRPr="00735423">
        <w:rPr>
          <w:lang w:val="fr-FR"/>
        </w:rPr>
        <w:t>20.</w:t>
      </w:r>
      <w:r w:rsidRPr="00735423">
        <w:rPr>
          <w:lang w:val="fr-FR"/>
        </w:rPr>
        <w:tab/>
      </w:r>
      <w:r w:rsidR="001E5A68" w:rsidRPr="00735423">
        <w:rPr>
          <w:b/>
          <w:lang w:val="fr-FR"/>
        </w:rPr>
        <w:t>Le Comité recommand</w:t>
      </w:r>
      <w:r w:rsidR="009A3744" w:rsidRPr="00735423">
        <w:rPr>
          <w:b/>
          <w:lang w:val="fr-FR"/>
        </w:rPr>
        <w:t xml:space="preserve">e </w:t>
      </w:r>
      <w:r w:rsidR="001E5A68" w:rsidRPr="00735423">
        <w:rPr>
          <w:b/>
          <w:lang w:val="fr-FR"/>
        </w:rPr>
        <w:t xml:space="preserve">à l’État partie </w:t>
      </w:r>
      <w:r w:rsidR="00264567" w:rsidRPr="00735423">
        <w:rPr>
          <w:b/>
          <w:lang w:val="fr-FR"/>
        </w:rPr>
        <w:t xml:space="preserve">de </w:t>
      </w:r>
      <w:r w:rsidR="001E5A68" w:rsidRPr="00735423">
        <w:rPr>
          <w:b/>
          <w:lang w:val="fr-FR"/>
        </w:rPr>
        <w:t xml:space="preserve">s’assurer qu’il intègre dans le nouveau Code pénal </w:t>
      </w:r>
      <w:r w:rsidR="008B1034">
        <w:rPr>
          <w:b/>
          <w:lang w:val="fr-FR"/>
        </w:rPr>
        <w:t>l</w:t>
      </w:r>
      <w:r w:rsidR="001E5A68" w:rsidRPr="00735423">
        <w:rPr>
          <w:b/>
          <w:lang w:val="fr-FR"/>
        </w:rPr>
        <w:t>es dispositions nécessaires afin que la nature continue du crime de disparition forcée soit spécifiquement reconnue</w:t>
      </w:r>
      <w:r w:rsidR="00F62D5B">
        <w:rPr>
          <w:b/>
          <w:lang w:val="fr-FR"/>
        </w:rPr>
        <w:t> </w:t>
      </w:r>
      <w:r w:rsidR="001E5A68" w:rsidRPr="00735423">
        <w:rPr>
          <w:b/>
          <w:lang w:val="fr-FR"/>
        </w:rPr>
        <w:t>;</w:t>
      </w:r>
      <w:r w:rsidR="00865D76" w:rsidRPr="00735423">
        <w:rPr>
          <w:b/>
          <w:lang w:val="fr-FR"/>
        </w:rPr>
        <w:t xml:space="preserve"> </w:t>
      </w:r>
      <w:r w:rsidR="001E5A68" w:rsidRPr="00735423">
        <w:rPr>
          <w:b/>
          <w:lang w:val="fr-FR"/>
        </w:rPr>
        <w:t>et de s’assurer que le délai de prescription de l’action pénale prenne en compte l’extrême gravité du crime de disparition forcée</w:t>
      </w:r>
      <w:r w:rsidR="0078000F" w:rsidRPr="00735423">
        <w:rPr>
          <w:b/>
          <w:lang w:val="fr-FR"/>
        </w:rPr>
        <w:t xml:space="preserve"> et ne commence à courir que lorsque c</w:t>
      </w:r>
      <w:r w:rsidR="005854BE" w:rsidRPr="00735423">
        <w:rPr>
          <w:b/>
          <w:lang w:val="fr-FR"/>
        </w:rPr>
        <w:t>elui-ci cesse</w:t>
      </w:r>
      <w:r w:rsidR="001E5A68" w:rsidRPr="00735423">
        <w:rPr>
          <w:b/>
          <w:lang w:val="fr-FR"/>
        </w:rPr>
        <w:t>.</w:t>
      </w:r>
      <w:r w:rsidR="004D3CF1" w:rsidRPr="00735423">
        <w:rPr>
          <w:b/>
          <w:lang w:val="fr-FR"/>
        </w:rPr>
        <w:t xml:space="preserve"> </w:t>
      </w:r>
      <w:r w:rsidR="00264567" w:rsidRPr="00735423">
        <w:rPr>
          <w:b/>
          <w:lang w:val="fr-FR"/>
        </w:rPr>
        <w:t>N</w:t>
      </w:r>
      <w:r w:rsidR="00F4305E" w:rsidRPr="00735423">
        <w:rPr>
          <w:b/>
          <w:lang w:val="fr-FR"/>
        </w:rPr>
        <w:t>é</w:t>
      </w:r>
      <w:r w:rsidR="00264567" w:rsidRPr="00735423">
        <w:rPr>
          <w:b/>
          <w:lang w:val="fr-FR"/>
        </w:rPr>
        <w:t>anmoins, le C</w:t>
      </w:r>
      <w:r w:rsidR="004D3CF1" w:rsidRPr="00735423">
        <w:rPr>
          <w:b/>
          <w:lang w:val="fr-FR"/>
        </w:rPr>
        <w:t>omit</w:t>
      </w:r>
      <w:r w:rsidR="00F4305E" w:rsidRPr="00735423">
        <w:rPr>
          <w:b/>
          <w:lang w:val="fr-FR"/>
        </w:rPr>
        <w:t>é</w:t>
      </w:r>
      <w:r w:rsidR="004D3CF1" w:rsidRPr="00735423">
        <w:rPr>
          <w:b/>
          <w:lang w:val="fr-FR"/>
        </w:rPr>
        <w:t xml:space="preserve"> encourage l</w:t>
      </w:r>
      <w:r w:rsidR="00F4305E" w:rsidRPr="00735423">
        <w:rPr>
          <w:b/>
          <w:lang w:val="fr-FR"/>
        </w:rPr>
        <w:t>’</w:t>
      </w:r>
      <w:r w:rsidR="00A400A2" w:rsidRPr="00735423">
        <w:rPr>
          <w:b/>
          <w:lang w:val="fr-FR"/>
        </w:rPr>
        <w:t>État</w:t>
      </w:r>
      <w:r w:rsidR="00B07C31">
        <w:rPr>
          <w:b/>
          <w:lang w:val="fr-FR"/>
        </w:rPr>
        <w:t xml:space="preserve"> partie</w:t>
      </w:r>
      <w:r w:rsidR="00264567" w:rsidRPr="00735423">
        <w:rPr>
          <w:b/>
          <w:lang w:val="fr-FR"/>
        </w:rPr>
        <w:t>, lorsqu</w:t>
      </w:r>
      <w:r w:rsidR="00F4305E" w:rsidRPr="00735423">
        <w:rPr>
          <w:b/>
          <w:lang w:val="fr-FR"/>
        </w:rPr>
        <w:t>’</w:t>
      </w:r>
      <w:r w:rsidR="00264567" w:rsidRPr="00735423">
        <w:rPr>
          <w:b/>
          <w:lang w:val="fr-FR"/>
        </w:rPr>
        <w:t>il fera de la disparition forc</w:t>
      </w:r>
      <w:r w:rsidR="00F4305E" w:rsidRPr="00735423">
        <w:rPr>
          <w:b/>
          <w:lang w:val="fr-FR"/>
        </w:rPr>
        <w:t>é</w:t>
      </w:r>
      <w:r w:rsidR="00264567" w:rsidRPr="00735423">
        <w:rPr>
          <w:b/>
          <w:lang w:val="fr-FR"/>
        </w:rPr>
        <w:t xml:space="preserve">e une infraction autonome, </w:t>
      </w:r>
      <w:r w:rsidR="00F4305E" w:rsidRPr="00735423">
        <w:rPr>
          <w:b/>
          <w:lang w:val="fr-FR"/>
        </w:rPr>
        <w:t>à</w:t>
      </w:r>
      <w:r w:rsidR="00264567" w:rsidRPr="00735423">
        <w:rPr>
          <w:b/>
          <w:lang w:val="fr-FR"/>
        </w:rPr>
        <w:t xml:space="preserve"> veiller </w:t>
      </w:r>
      <w:r w:rsidR="00F4305E" w:rsidRPr="00735423">
        <w:rPr>
          <w:b/>
          <w:lang w:val="fr-FR"/>
        </w:rPr>
        <w:t>à</w:t>
      </w:r>
      <w:r w:rsidR="00264567" w:rsidRPr="00735423">
        <w:rPr>
          <w:b/>
          <w:lang w:val="fr-FR"/>
        </w:rPr>
        <w:t xml:space="preserve"> ce que cette infraction ne puisse faire l</w:t>
      </w:r>
      <w:r w:rsidR="00F4305E" w:rsidRPr="00735423">
        <w:rPr>
          <w:b/>
          <w:lang w:val="fr-FR"/>
        </w:rPr>
        <w:t>’</w:t>
      </w:r>
      <w:r w:rsidR="00264567" w:rsidRPr="00735423">
        <w:rPr>
          <w:b/>
          <w:lang w:val="fr-FR"/>
        </w:rPr>
        <w:t>objet d</w:t>
      </w:r>
      <w:r w:rsidR="00F4305E" w:rsidRPr="00735423">
        <w:rPr>
          <w:b/>
          <w:lang w:val="fr-FR"/>
        </w:rPr>
        <w:t>’</w:t>
      </w:r>
      <w:r w:rsidR="00264567" w:rsidRPr="00735423">
        <w:rPr>
          <w:b/>
          <w:lang w:val="fr-FR"/>
        </w:rPr>
        <w:t>aucune prescription.</w:t>
      </w:r>
    </w:p>
    <w:p w:rsidR="001E5A68" w:rsidRPr="00735423" w:rsidRDefault="00BA744D" w:rsidP="00EB703F">
      <w:pPr>
        <w:pStyle w:val="H23G"/>
        <w:rPr>
          <w:bCs/>
          <w:lang w:val="fr-FR"/>
        </w:rPr>
      </w:pPr>
      <w:r w:rsidRPr="00735423">
        <w:rPr>
          <w:lang w:val="fr-FR"/>
        </w:rPr>
        <w:tab/>
      </w:r>
      <w:r w:rsidRPr="00735423">
        <w:rPr>
          <w:lang w:val="fr-FR"/>
        </w:rPr>
        <w:tab/>
      </w:r>
      <w:r w:rsidR="001E5A68" w:rsidRPr="00735423">
        <w:rPr>
          <w:lang w:val="fr-FR"/>
        </w:rPr>
        <w:t>Juridictions militaires</w:t>
      </w:r>
    </w:p>
    <w:p w:rsidR="001E5A68" w:rsidRPr="00735423" w:rsidRDefault="00943379" w:rsidP="00943379">
      <w:pPr>
        <w:pStyle w:val="SingleTxtG"/>
        <w:rPr>
          <w:lang w:val="fr-FR"/>
        </w:rPr>
      </w:pPr>
      <w:r w:rsidRPr="00735423">
        <w:rPr>
          <w:lang w:val="fr-FR"/>
        </w:rPr>
        <w:t>21.</w:t>
      </w:r>
      <w:r w:rsidRPr="00735423">
        <w:rPr>
          <w:lang w:val="fr-FR"/>
        </w:rPr>
        <w:tab/>
      </w:r>
      <w:r w:rsidR="001E5A68" w:rsidRPr="00735423">
        <w:rPr>
          <w:rStyle w:val="SingleTxtGCar"/>
          <w:lang w:val="fr-FR"/>
        </w:rPr>
        <w:t xml:space="preserve">Le Comité prend note des éclaircissements donnés par la délégation de l’État partie, mais observe que les tribunaux militaires seraient compétents pour juger les crimes de disparition forcée commis par les militaires dans l’exercice de leurs fonctions ou dans des installations militaires. </w:t>
      </w:r>
      <w:r w:rsidR="008C28CD" w:rsidRPr="00735423">
        <w:rPr>
          <w:rStyle w:val="SingleTxtGCar"/>
          <w:lang w:val="fr-FR"/>
        </w:rPr>
        <w:t>Le Comité r</w:t>
      </w:r>
      <w:r w:rsidR="007D06D3" w:rsidRPr="00735423">
        <w:rPr>
          <w:rStyle w:val="SingleTxtGCar"/>
          <w:lang w:val="fr-FR"/>
        </w:rPr>
        <w:t>appelle</w:t>
      </w:r>
      <w:r w:rsidR="008C28CD" w:rsidRPr="00735423">
        <w:rPr>
          <w:rStyle w:val="SingleTxtGCar"/>
          <w:lang w:val="fr-FR"/>
        </w:rPr>
        <w:t xml:space="preserve"> sa position </w:t>
      </w:r>
      <w:r w:rsidR="00F4305E" w:rsidRPr="00735423">
        <w:rPr>
          <w:rStyle w:val="SingleTxtGCar"/>
          <w:lang w:val="fr-FR"/>
        </w:rPr>
        <w:t>selon laquelle</w:t>
      </w:r>
      <w:r w:rsidR="001E5A68" w:rsidRPr="00735423">
        <w:rPr>
          <w:rStyle w:val="SingleTxtGCar"/>
          <w:lang w:val="fr-FR"/>
        </w:rPr>
        <w:t>, par principe, les juridictions militaires ne sauraient offrir l’indépendance et l’impartialité requises par la Convention pour connaître de violations des droits de l’homme telles que les disparitions forcées (art. 11)</w:t>
      </w:r>
      <w:r w:rsidR="001E5A68" w:rsidRPr="00735423">
        <w:rPr>
          <w:lang w:val="fr-FR"/>
        </w:rPr>
        <w:t>.</w:t>
      </w:r>
    </w:p>
    <w:p w:rsidR="001E5A68" w:rsidRPr="00735423" w:rsidRDefault="00943379" w:rsidP="00943379">
      <w:pPr>
        <w:pStyle w:val="SingleTxtG"/>
        <w:rPr>
          <w:b/>
          <w:bCs/>
          <w:lang w:val="fr-FR"/>
        </w:rPr>
      </w:pPr>
      <w:r w:rsidRPr="00735423">
        <w:rPr>
          <w:bCs/>
          <w:lang w:val="fr-FR"/>
        </w:rPr>
        <w:t>22.</w:t>
      </w:r>
      <w:r w:rsidRPr="00735423">
        <w:rPr>
          <w:bCs/>
          <w:lang w:val="fr-FR"/>
        </w:rPr>
        <w:tab/>
      </w:r>
      <w:r w:rsidR="001E5A68" w:rsidRPr="00735423">
        <w:rPr>
          <w:rStyle w:val="SingleTxtGCar"/>
          <w:b/>
          <w:bCs/>
          <w:lang w:val="fr-FR"/>
        </w:rPr>
        <w:t>Le Comité</w:t>
      </w:r>
      <w:r w:rsidR="007D06D3" w:rsidRPr="00735423">
        <w:rPr>
          <w:rStyle w:val="SingleTxtGCar"/>
          <w:b/>
          <w:bCs/>
          <w:lang w:val="fr-FR"/>
        </w:rPr>
        <w:t xml:space="preserve">, </w:t>
      </w:r>
      <w:r w:rsidR="007D06D3" w:rsidRPr="00E573D7">
        <w:rPr>
          <w:rStyle w:val="SingleTxtGCar"/>
          <w:b/>
          <w:bCs/>
          <w:lang w:val="fr-FR"/>
        </w:rPr>
        <w:t>rappelant sa déclaration sur les disparitions forcées et l</w:t>
      </w:r>
      <w:r w:rsidR="00B30B9A" w:rsidRPr="00E573D7">
        <w:rPr>
          <w:rStyle w:val="SingleTxtGCar"/>
          <w:b/>
          <w:bCs/>
          <w:lang w:val="fr-FR"/>
        </w:rPr>
        <w:t>a</w:t>
      </w:r>
      <w:r w:rsidR="007D06D3" w:rsidRPr="00E573D7">
        <w:rPr>
          <w:rStyle w:val="SingleTxtGCar"/>
          <w:b/>
          <w:bCs/>
          <w:lang w:val="fr-FR"/>
        </w:rPr>
        <w:t xml:space="preserve"> juridiction militaire (</w:t>
      </w:r>
      <w:r w:rsidR="007D06D3" w:rsidRPr="00E573D7">
        <w:rPr>
          <w:b/>
          <w:bCs/>
          <w:color w:val="000000"/>
          <w:lang w:val="fr-FR" w:eastAsia="en-GB"/>
        </w:rPr>
        <w:t>A/70/56, annex</w:t>
      </w:r>
      <w:r w:rsidR="001E011A" w:rsidRPr="00E573D7">
        <w:rPr>
          <w:b/>
          <w:bCs/>
          <w:color w:val="000000"/>
          <w:lang w:val="fr-FR" w:eastAsia="en-GB"/>
        </w:rPr>
        <w:t>e</w:t>
      </w:r>
      <w:r w:rsidR="007D06D3" w:rsidRPr="00E573D7">
        <w:rPr>
          <w:b/>
          <w:bCs/>
          <w:color w:val="000000"/>
          <w:lang w:val="fr-FR" w:eastAsia="en-GB"/>
        </w:rPr>
        <w:t xml:space="preserve"> III), </w:t>
      </w:r>
      <w:r w:rsidR="001E5A68" w:rsidRPr="00E573D7">
        <w:rPr>
          <w:rStyle w:val="SingleTxtGCar"/>
          <w:b/>
          <w:bCs/>
          <w:lang w:val="fr-FR"/>
        </w:rPr>
        <w:t>recommande</w:t>
      </w:r>
      <w:r w:rsidR="001E5A68" w:rsidRPr="00735423">
        <w:rPr>
          <w:rStyle w:val="SingleTxtGCar"/>
          <w:b/>
          <w:bCs/>
          <w:lang w:val="fr-FR"/>
        </w:rPr>
        <w:t xml:space="preserve"> à l’État partie de prendre les mesures nécessaires, d’ordre législatif</w:t>
      </w:r>
      <w:r w:rsidR="007D06D3" w:rsidRPr="00735423">
        <w:rPr>
          <w:rStyle w:val="SingleTxtGCar"/>
          <w:b/>
          <w:bCs/>
          <w:lang w:val="fr-FR"/>
        </w:rPr>
        <w:t xml:space="preserve"> ou autre</w:t>
      </w:r>
      <w:r w:rsidR="001E5A68" w:rsidRPr="00735423">
        <w:rPr>
          <w:rStyle w:val="SingleTxtGCar"/>
          <w:b/>
          <w:bCs/>
          <w:lang w:val="fr-FR"/>
        </w:rPr>
        <w:t xml:space="preserve">, pour faire en sorte que les disparitions forcées restent expressément en dehors du champ de compétence des juridictions militaires dans tous les cas et ne puissent être </w:t>
      </w:r>
      <w:r w:rsidR="004F3EB5" w:rsidRPr="00735423">
        <w:rPr>
          <w:rStyle w:val="SingleTxtGCar"/>
          <w:b/>
          <w:bCs/>
          <w:lang w:val="fr-FR"/>
        </w:rPr>
        <w:t xml:space="preserve">l’objet d’enquêtes et de jugement </w:t>
      </w:r>
      <w:r w:rsidR="001E5A68" w:rsidRPr="00735423">
        <w:rPr>
          <w:rStyle w:val="SingleTxtGCar"/>
          <w:b/>
          <w:bCs/>
          <w:lang w:val="fr-FR"/>
        </w:rPr>
        <w:t>que par les tribunaux ordinaires</w:t>
      </w:r>
      <w:r w:rsidR="001E5A68" w:rsidRPr="00735423">
        <w:rPr>
          <w:b/>
          <w:bCs/>
          <w:lang w:val="fr-FR"/>
        </w:rPr>
        <w:t>.</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 xml:space="preserve">Protection des plaignants, des témoins, des proches de la personne disparue </w:t>
      </w:r>
      <w:r w:rsidR="00A400A2">
        <w:rPr>
          <w:lang w:val="fr-FR"/>
        </w:rPr>
        <w:br/>
      </w:r>
      <w:r w:rsidR="001E5A68" w:rsidRPr="00735423">
        <w:rPr>
          <w:lang w:val="fr-FR"/>
        </w:rPr>
        <w:t>et de leurs conseils ainsi que de ceux qui participent à l’enquête</w:t>
      </w:r>
    </w:p>
    <w:p w:rsidR="001E5A68" w:rsidRPr="00735423" w:rsidRDefault="00943379" w:rsidP="00943379">
      <w:pPr>
        <w:pStyle w:val="SingleTxtG"/>
        <w:rPr>
          <w:lang w:val="fr-FR"/>
        </w:rPr>
      </w:pPr>
      <w:r w:rsidRPr="00735423">
        <w:rPr>
          <w:lang w:val="fr-FR"/>
        </w:rPr>
        <w:t>23.</w:t>
      </w:r>
      <w:r w:rsidRPr="00735423">
        <w:rPr>
          <w:lang w:val="fr-FR"/>
        </w:rPr>
        <w:tab/>
      </w:r>
      <w:r w:rsidR="001E5A68" w:rsidRPr="00735423">
        <w:rPr>
          <w:lang w:val="fr-FR"/>
        </w:rPr>
        <w:t>Le Comité prend note des informations de l’</w:t>
      </w:r>
      <w:r w:rsidR="00A400A2" w:rsidRPr="00735423">
        <w:rPr>
          <w:lang w:val="fr-FR"/>
        </w:rPr>
        <w:t>État</w:t>
      </w:r>
      <w:r w:rsidR="001E5A68" w:rsidRPr="00735423">
        <w:rPr>
          <w:lang w:val="fr-FR"/>
        </w:rPr>
        <w:t xml:space="preserve"> partie, selon lesquelles la protection des catégories des plaignants et des témoins peut être requise par le Procureur ou le juge d’instruction qui</w:t>
      </w:r>
      <w:r w:rsidR="001E5A68" w:rsidRPr="009E127A">
        <w:rPr>
          <w:lang w:val="fr-FR"/>
        </w:rPr>
        <w:t>, au titre des articles 41 et 50 du Code de procédure pénale</w:t>
      </w:r>
      <w:r w:rsidR="008B1034">
        <w:rPr>
          <w:lang w:val="fr-FR"/>
        </w:rPr>
        <w:t>,</w:t>
      </w:r>
      <w:r w:rsidR="001E5A68" w:rsidRPr="009E127A">
        <w:rPr>
          <w:lang w:val="fr-FR"/>
        </w:rPr>
        <w:t xml:space="preserve"> disposent du </w:t>
      </w:r>
      <w:r w:rsidR="001E5A68" w:rsidRPr="009E127A">
        <w:rPr>
          <w:lang w:val="fr-FR"/>
        </w:rPr>
        <w:lastRenderedPageBreak/>
        <w:t>droit de requérir directement la force publique. Le</w:t>
      </w:r>
      <w:r w:rsidR="001E5A68" w:rsidRPr="00735423">
        <w:rPr>
          <w:lang w:val="fr-FR"/>
        </w:rPr>
        <w:t xml:space="preserve"> Comité relève que, d’une part, ces dispositions sont très générales</w:t>
      </w:r>
      <w:r w:rsidR="00B16828">
        <w:rPr>
          <w:lang w:val="fr-FR"/>
        </w:rPr>
        <w:t>,</w:t>
      </w:r>
      <w:r w:rsidR="001E5A68" w:rsidRPr="00735423">
        <w:rPr>
          <w:lang w:val="fr-FR"/>
        </w:rPr>
        <w:t xml:space="preserve"> que, d’autre part, elles ne sont ni suffisantes, ni</w:t>
      </w:r>
      <w:r w:rsidR="009A3744" w:rsidRPr="00735423">
        <w:rPr>
          <w:lang w:val="fr-FR"/>
        </w:rPr>
        <w:t xml:space="preserve"> suffisamment </w:t>
      </w:r>
      <w:r w:rsidR="001E5A68" w:rsidRPr="00735423">
        <w:rPr>
          <w:lang w:val="fr-FR"/>
        </w:rPr>
        <w:t>explicites sur la protection</w:t>
      </w:r>
      <w:r w:rsidR="009A3744" w:rsidRPr="00735423">
        <w:rPr>
          <w:lang w:val="fr-FR"/>
        </w:rPr>
        <w:t xml:space="preserve"> de toutes les catégories prévues au paragraphe</w:t>
      </w:r>
      <w:r w:rsidR="00B16828">
        <w:rPr>
          <w:lang w:val="fr-FR"/>
        </w:rPr>
        <w:t> </w:t>
      </w:r>
      <w:r w:rsidR="009A3744" w:rsidRPr="00735423">
        <w:rPr>
          <w:lang w:val="fr-FR"/>
        </w:rPr>
        <w:t>1 de l’article</w:t>
      </w:r>
      <w:r w:rsidR="00B16828">
        <w:rPr>
          <w:lang w:val="fr-FR"/>
        </w:rPr>
        <w:t> </w:t>
      </w:r>
      <w:r w:rsidR="009A3744" w:rsidRPr="00735423">
        <w:rPr>
          <w:lang w:val="fr-FR"/>
        </w:rPr>
        <w:t>12 de la Convention</w:t>
      </w:r>
      <w:r w:rsidR="00B16828">
        <w:rPr>
          <w:lang w:val="fr-FR"/>
        </w:rPr>
        <w:t>,</w:t>
      </w:r>
      <w:r w:rsidR="009A3744" w:rsidRPr="00735423">
        <w:rPr>
          <w:lang w:val="fr-FR"/>
        </w:rPr>
        <w:t xml:space="preserve"> et</w:t>
      </w:r>
      <w:r w:rsidR="00B16828">
        <w:rPr>
          <w:lang w:val="fr-FR"/>
        </w:rPr>
        <w:t xml:space="preserve"> que</w:t>
      </w:r>
      <w:r w:rsidR="009A3744" w:rsidRPr="00735423">
        <w:rPr>
          <w:lang w:val="fr-FR"/>
        </w:rPr>
        <w:t xml:space="preserve">, </w:t>
      </w:r>
      <w:r w:rsidR="001E5A68" w:rsidRPr="00735423">
        <w:rPr>
          <w:lang w:val="fr-FR"/>
        </w:rPr>
        <w:t xml:space="preserve">par conséquent, </w:t>
      </w:r>
      <w:r w:rsidR="00B16828">
        <w:rPr>
          <w:lang w:val="fr-FR"/>
        </w:rPr>
        <w:t xml:space="preserve">elles </w:t>
      </w:r>
      <w:r w:rsidR="009A3744" w:rsidRPr="00735423">
        <w:rPr>
          <w:lang w:val="fr-FR"/>
        </w:rPr>
        <w:t xml:space="preserve">n’en remplissent pas </w:t>
      </w:r>
      <w:r w:rsidR="001E5A68" w:rsidRPr="00735423">
        <w:rPr>
          <w:lang w:val="fr-FR"/>
        </w:rPr>
        <w:t>les exigences</w:t>
      </w:r>
      <w:r w:rsidR="00D14877" w:rsidRPr="00735423">
        <w:rPr>
          <w:lang w:val="fr-FR"/>
        </w:rPr>
        <w:t xml:space="preserve"> </w:t>
      </w:r>
      <w:r w:rsidR="001E5A68" w:rsidRPr="00735423">
        <w:rPr>
          <w:lang w:val="fr-FR"/>
        </w:rPr>
        <w:t>(art.</w:t>
      </w:r>
      <w:r w:rsidR="00A400A2">
        <w:rPr>
          <w:lang w:val="fr-FR"/>
        </w:rPr>
        <w:t> </w:t>
      </w:r>
      <w:r w:rsidR="001E5A68" w:rsidRPr="00735423">
        <w:rPr>
          <w:lang w:val="fr-FR"/>
        </w:rPr>
        <w:t>12).</w:t>
      </w:r>
    </w:p>
    <w:p w:rsidR="001E5A68" w:rsidRPr="00735423" w:rsidRDefault="00943379" w:rsidP="00943379">
      <w:pPr>
        <w:pStyle w:val="SingleTxtG"/>
        <w:rPr>
          <w:b/>
          <w:lang w:val="fr-FR"/>
        </w:rPr>
      </w:pPr>
      <w:r w:rsidRPr="00735423">
        <w:rPr>
          <w:lang w:val="fr-FR"/>
        </w:rPr>
        <w:t>24.</w:t>
      </w:r>
      <w:r w:rsidRPr="00735423">
        <w:rPr>
          <w:lang w:val="fr-FR"/>
        </w:rPr>
        <w:tab/>
      </w:r>
      <w:r w:rsidR="001E5A68" w:rsidRPr="00735423">
        <w:rPr>
          <w:rStyle w:val="SingleTxtGCar"/>
          <w:b/>
          <w:bCs/>
          <w:lang w:val="fr-FR"/>
        </w:rPr>
        <w:t xml:space="preserve">Le Comité recommande à </w:t>
      </w:r>
      <w:r w:rsidR="001E5A68" w:rsidRPr="001818DA">
        <w:rPr>
          <w:b/>
          <w:bCs/>
          <w:lang w:val="fr-FR"/>
        </w:rPr>
        <w:t>l’</w:t>
      </w:r>
      <w:r w:rsidR="001E5A68" w:rsidRPr="001818DA">
        <w:rPr>
          <w:rStyle w:val="SingleTxtGCar"/>
          <w:b/>
          <w:bCs/>
          <w:lang w:val="fr-FR"/>
        </w:rPr>
        <w:t xml:space="preserve">État partie de prendre des mesures nécessaires afin de </w:t>
      </w:r>
      <w:r w:rsidR="001E5A68" w:rsidRPr="001818DA">
        <w:rPr>
          <w:b/>
          <w:lang w:val="fr-FR"/>
        </w:rPr>
        <w:t>garantir</w:t>
      </w:r>
      <w:r w:rsidR="001E5A68" w:rsidRPr="00735423">
        <w:rPr>
          <w:rStyle w:val="SingleTxtGCar"/>
          <w:b/>
          <w:bCs/>
          <w:lang w:val="fr-FR"/>
        </w:rPr>
        <w:t xml:space="preserve"> de manière explicite, dans le cadre de la réforme de son Code de procédure pénale,</w:t>
      </w:r>
      <w:r w:rsidR="009A3744" w:rsidRPr="00735423">
        <w:rPr>
          <w:rStyle w:val="SingleTxtGCar"/>
          <w:b/>
          <w:bCs/>
          <w:lang w:val="fr-FR"/>
        </w:rPr>
        <w:t xml:space="preserve"> la protection de toutes </w:t>
      </w:r>
      <w:r w:rsidR="00BD7709" w:rsidRPr="00735423">
        <w:rPr>
          <w:rStyle w:val="SingleTxtGCar"/>
          <w:b/>
          <w:bCs/>
          <w:lang w:val="fr-FR"/>
        </w:rPr>
        <w:t xml:space="preserve">les </w:t>
      </w:r>
      <w:r w:rsidR="009A3744" w:rsidRPr="00735423">
        <w:rPr>
          <w:rStyle w:val="SingleTxtGCar"/>
          <w:b/>
          <w:bCs/>
          <w:lang w:val="fr-FR"/>
        </w:rPr>
        <w:t xml:space="preserve">catégories </w:t>
      </w:r>
      <w:r w:rsidR="0078000F" w:rsidRPr="00735423">
        <w:rPr>
          <w:rStyle w:val="SingleTxtGCar"/>
          <w:b/>
          <w:bCs/>
          <w:lang w:val="fr-FR"/>
        </w:rPr>
        <w:t xml:space="preserve">de personnes </w:t>
      </w:r>
      <w:r w:rsidR="009A3744" w:rsidRPr="00735423">
        <w:rPr>
          <w:rStyle w:val="SingleTxtGCar"/>
          <w:b/>
          <w:bCs/>
          <w:lang w:val="fr-FR"/>
        </w:rPr>
        <w:t xml:space="preserve">citées </w:t>
      </w:r>
      <w:r w:rsidR="009A3744" w:rsidRPr="00735423">
        <w:rPr>
          <w:b/>
          <w:lang w:val="fr-FR"/>
        </w:rPr>
        <w:t>au paragraphe</w:t>
      </w:r>
      <w:r w:rsidR="00E81FB1">
        <w:rPr>
          <w:b/>
          <w:lang w:val="fr-FR"/>
        </w:rPr>
        <w:t> </w:t>
      </w:r>
      <w:r w:rsidR="009A3744" w:rsidRPr="00735423">
        <w:rPr>
          <w:b/>
          <w:lang w:val="fr-FR"/>
        </w:rPr>
        <w:t>1 de l’article 12 de la Convention</w:t>
      </w:r>
      <w:r w:rsidR="009A3744" w:rsidRPr="00735423">
        <w:rPr>
          <w:rStyle w:val="SingleTxtGCar"/>
          <w:b/>
          <w:bCs/>
          <w:lang w:val="fr-FR"/>
        </w:rPr>
        <w:t xml:space="preserve">, </w:t>
      </w:r>
      <w:r w:rsidR="001E5A68" w:rsidRPr="00735423">
        <w:rPr>
          <w:rStyle w:val="SingleTxtGCar"/>
          <w:b/>
          <w:bCs/>
          <w:lang w:val="fr-FR"/>
        </w:rPr>
        <w:t>contre tout mauvais traitement ou toute intimidation en raison de la plainte déposée o</w:t>
      </w:r>
      <w:r w:rsidR="00D22738">
        <w:rPr>
          <w:rStyle w:val="SingleTxtGCar"/>
          <w:b/>
          <w:bCs/>
          <w:lang w:val="fr-FR"/>
        </w:rPr>
        <w:br/>
        <w:t>*1608121</w:t>
      </w:r>
      <w:r w:rsidR="001E5A68" w:rsidRPr="00735423">
        <w:rPr>
          <w:rStyle w:val="SingleTxtGCar"/>
          <w:b/>
          <w:bCs/>
          <w:lang w:val="fr-FR"/>
        </w:rPr>
        <w:t>u de toute déposition faite</w:t>
      </w:r>
      <w:r w:rsidR="001E5A68" w:rsidRPr="00735423">
        <w:rPr>
          <w:b/>
          <w:bCs/>
          <w:lang w:val="fr-FR"/>
        </w:rPr>
        <w:t>. Il invite l’</w:t>
      </w:r>
      <w:r w:rsidR="00A400A2" w:rsidRPr="00735423">
        <w:rPr>
          <w:b/>
          <w:bCs/>
          <w:lang w:val="fr-FR"/>
        </w:rPr>
        <w:t>État</w:t>
      </w:r>
      <w:r w:rsidR="001E5A68" w:rsidRPr="00735423">
        <w:rPr>
          <w:b/>
          <w:bCs/>
          <w:lang w:val="fr-FR"/>
        </w:rPr>
        <w:t xml:space="preserve"> partie à envisager</w:t>
      </w:r>
      <w:r w:rsidR="004F3EB5" w:rsidRPr="00735423">
        <w:rPr>
          <w:b/>
          <w:bCs/>
          <w:lang w:val="fr-FR"/>
        </w:rPr>
        <w:t xml:space="preserve"> </w:t>
      </w:r>
      <w:r w:rsidR="001E5A68" w:rsidRPr="00735423">
        <w:rPr>
          <w:b/>
          <w:bCs/>
          <w:lang w:val="fr-FR"/>
        </w:rPr>
        <w:t xml:space="preserve">la mise en place </w:t>
      </w:r>
      <w:r w:rsidR="00D22738">
        <w:rPr>
          <w:b/>
          <w:bCs/>
          <w:lang w:val="fr-FR"/>
        </w:rPr>
        <w:t>*</w:t>
      </w:r>
      <w:r w:rsidR="001E5A68" w:rsidRPr="00735423">
        <w:rPr>
          <w:b/>
          <w:bCs/>
          <w:lang w:val="fr-FR"/>
        </w:rPr>
        <w:t>de programmes spécifiques de protection.</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Personnes soupçonnées d’avoir commis un crime de disparition forcée</w:t>
      </w:r>
    </w:p>
    <w:p w:rsidR="001E5A68" w:rsidRPr="001818DA" w:rsidRDefault="00943379" w:rsidP="00943379">
      <w:pPr>
        <w:pStyle w:val="SingleTxtG"/>
        <w:rPr>
          <w:bCs/>
          <w:lang w:val="fr-FR"/>
        </w:rPr>
      </w:pPr>
      <w:r w:rsidRPr="001818DA">
        <w:rPr>
          <w:bCs/>
          <w:lang w:val="fr-FR"/>
        </w:rPr>
        <w:t>25.</w:t>
      </w:r>
      <w:r w:rsidRPr="001818DA">
        <w:rPr>
          <w:bCs/>
          <w:lang w:val="fr-FR"/>
        </w:rPr>
        <w:tab/>
      </w:r>
      <w:r w:rsidR="001E5A68" w:rsidRPr="009E127A">
        <w:rPr>
          <w:lang w:val="fr-FR"/>
        </w:rPr>
        <w:t>Le Comité prend note des informations de l’</w:t>
      </w:r>
      <w:r w:rsidR="00A400A2" w:rsidRPr="009E127A">
        <w:rPr>
          <w:lang w:val="fr-FR"/>
        </w:rPr>
        <w:t>État</w:t>
      </w:r>
      <w:r w:rsidR="001E5A68" w:rsidRPr="009E127A">
        <w:rPr>
          <w:lang w:val="fr-FR"/>
        </w:rPr>
        <w:t xml:space="preserve"> partie, selon lesquelles « dans la pratique, lorsqu’un élément d’une unité chargée du maintien de l’ordre est accusé d’avoir commis une infraction, les membres de cette unité sont écarté</w:t>
      </w:r>
      <w:r w:rsidR="004F3EB5" w:rsidRPr="009E127A">
        <w:rPr>
          <w:lang w:val="fr-FR"/>
        </w:rPr>
        <w:t>s</w:t>
      </w:r>
      <w:r w:rsidR="001E5A68" w:rsidRPr="009E127A">
        <w:rPr>
          <w:lang w:val="fr-FR"/>
        </w:rPr>
        <w:t xml:space="preserve"> de l’enquête ». Le</w:t>
      </w:r>
      <w:r w:rsidR="001E5A68" w:rsidRPr="00735423">
        <w:rPr>
          <w:lang w:val="fr-FR"/>
        </w:rPr>
        <w:t xml:space="preserve"> Comité relève, néanmoins, que cette pratique n’est pas inscrite dans la législation de l’</w:t>
      </w:r>
      <w:r w:rsidR="00A400A2" w:rsidRPr="00735423">
        <w:rPr>
          <w:lang w:val="fr-FR"/>
        </w:rPr>
        <w:t>État</w:t>
      </w:r>
      <w:r w:rsidR="001E5A68" w:rsidRPr="00735423">
        <w:rPr>
          <w:lang w:val="fr-FR"/>
        </w:rPr>
        <w:t xml:space="preserve"> partie (art.</w:t>
      </w:r>
      <w:r w:rsidR="003234AA">
        <w:rPr>
          <w:lang w:val="fr-FR"/>
        </w:rPr>
        <w:t> </w:t>
      </w:r>
      <w:r w:rsidR="001E5A68" w:rsidRPr="00735423">
        <w:rPr>
          <w:lang w:val="fr-FR"/>
        </w:rPr>
        <w:t>12).</w:t>
      </w:r>
    </w:p>
    <w:p w:rsidR="001E5A68" w:rsidRPr="00735423" w:rsidRDefault="00943379" w:rsidP="00943379">
      <w:pPr>
        <w:pStyle w:val="SingleTxtG"/>
        <w:rPr>
          <w:lang w:val="fr-FR"/>
        </w:rPr>
      </w:pPr>
      <w:r w:rsidRPr="00735423">
        <w:rPr>
          <w:lang w:val="fr-FR"/>
        </w:rPr>
        <w:t>26.</w:t>
      </w:r>
      <w:r w:rsidRPr="00735423">
        <w:rPr>
          <w:lang w:val="fr-FR"/>
        </w:rPr>
        <w:tab/>
      </w:r>
      <w:r w:rsidR="001E5A68" w:rsidRPr="00735423">
        <w:rPr>
          <w:b/>
          <w:lang w:val="fr-FR"/>
        </w:rPr>
        <w:t xml:space="preserve">Le Comité recommande à l’État partie d’adopter dans sa législation pénale, conformément au paragraphe 4 de l’article 12 de la Convention, des mesures pour garantir que les personnes soupçonnées d’avoir commis un crime de disparition forcée </w:t>
      </w:r>
      <w:r w:rsidR="004F3EB5" w:rsidRPr="00735423">
        <w:rPr>
          <w:b/>
          <w:lang w:val="fr-FR"/>
        </w:rPr>
        <w:t xml:space="preserve">et leurs unités, </w:t>
      </w:r>
      <w:r w:rsidR="001E5A68" w:rsidRPr="00735423">
        <w:rPr>
          <w:b/>
          <w:lang w:val="fr-FR"/>
        </w:rPr>
        <w:t>ne soient pas en mesure d’influer, directement ou indirectement, elles-mêmes ou par l’intermédiaire de tiers, sur le cours des enquêtes.</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 xml:space="preserve">Participation des victimes aux enquêtes </w:t>
      </w:r>
    </w:p>
    <w:p w:rsidR="001E5A68" w:rsidRPr="00735423" w:rsidRDefault="00943379" w:rsidP="00943379">
      <w:pPr>
        <w:pStyle w:val="SingleTxtG"/>
        <w:rPr>
          <w:b/>
          <w:lang w:val="fr-FR"/>
        </w:rPr>
      </w:pPr>
      <w:r w:rsidRPr="00735423">
        <w:rPr>
          <w:lang w:val="fr-FR"/>
        </w:rPr>
        <w:t>27.</w:t>
      </w:r>
      <w:r w:rsidRPr="00735423">
        <w:rPr>
          <w:lang w:val="fr-FR"/>
        </w:rPr>
        <w:tab/>
      </w:r>
      <w:r w:rsidR="001E5A68" w:rsidRPr="00735423">
        <w:rPr>
          <w:lang w:val="fr-FR"/>
        </w:rPr>
        <w:t>Le Comité prend note que, selon l’</w:t>
      </w:r>
      <w:r w:rsidR="00A400A2" w:rsidRPr="00735423">
        <w:rPr>
          <w:lang w:val="fr-FR"/>
        </w:rPr>
        <w:t>État</w:t>
      </w:r>
      <w:r w:rsidR="001E5A68" w:rsidRPr="00735423">
        <w:rPr>
          <w:lang w:val="fr-FR"/>
        </w:rPr>
        <w:t xml:space="preserve"> partie, en vertu du Code de procédure pénale, la victime participe à l’enquête sur les disparitions forcées, par le biais de la constitution de partie civile ou comme témoin. Le Comité constate, néanmoins, que ces dispositions du Code de procédure pénale (art. 84 et suiv</w:t>
      </w:r>
      <w:r w:rsidR="00902FA7">
        <w:rPr>
          <w:lang w:val="fr-FR"/>
        </w:rPr>
        <w:t>.</w:t>
      </w:r>
      <w:r w:rsidR="001E5A68" w:rsidRPr="00735423">
        <w:rPr>
          <w:lang w:val="fr-FR"/>
        </w:rPr>
        <w:t>) ne sont pas très explicites sur l’étendue de la participation de la victime à la procédure pénale. Le Comité note aussi l’absence dans l’</w:t>
      </w:r>
      <w:r w:rsidR="00A400A2" w:rsidRPr="00735423">
        <w:rPr>
          <w:lang w:val="fr-FR"/>
        </w:rPr>
        <w:t>État</w:t>
      </w:r>
      <w:r w:rsidR="001E5A68" w:rsidRPr="00735423">
        <w:rPr>
          <w:lang w:val="fr-FR"/>
        </w:rPr>
        <w:t xml:space="preserve"> partie d’organismes spécialisés pour mener des enquêtes et instruire les affaires de disparition forcée. Il relève que, selon la délégation de l’</w:t>
      </w:r>
      <w:r w:rsidR="00A400A2" w:rsidRPr="00735423">
        <w:rPr>
          <w:lang w:val="fr-FR"/>
        </w:rPr>
        <w:t>État</w:t>
      </w:r>
      <w:r w:rsidR="001E5A68" w:rsidRPr="00735423">
        <w:rPr>
          <w:lang w:val="fr-FR"/>
        </w:rPr>
        <w:t xml:space="preserve"> partie, </w:t>
      </w:r>
      <w:r w:rsidR="005D18B6" w:rsidRPr="00735423">
        <w:rPr>
          <w:lang w:val="fr-FR"/>
        </w:rPr>
        <w:t>la</w:t>
      </w:r>
      <w:r w:rsidR="001E5A68" w:rsidRPr="00735423">
        <w:rPr>
          <w:lang w:val="fr-FR"/>
        </w:rPr>
        <w:t xml:space="preserve"> compétence </w:t>
      </w:r>
      <w:r w:rsidR="005D18B6" w:rsidRPr="00735423">
        <w:rPr>
          <w:lang w:val="fr-FR"/>
        </w:rPr>
        <w:t xml:space="preserve">d’enquêtes et de poursuites </w:t>
      </w:r>
      <w:r w:rsidR="001E5A68" w:rsidRPr="00735423">
        <w:rPr>
          <w:lang w:val="fr-FR"/>
        </w:rPr>
        <w:t xml:space="preserve">est du ressort de la police judiciaire, des juridictions ordinaires et, dans une certaine mesure, de la </w:t>
      </w:r>
      <w:r w:rsidR="001E5A68" w:rsidRPr="009E127A">
        <w:rPr>
          <w:lang w:val="fr-FR"/>
        </w:rPr>
        <w:t xml:space="preserve">Commission nationale des droits </w:t>
      </w:r>
      <w:r w:rsidR="000A5A6A" w:rsidRPr="009E127A">
        <w:rPr>
          <w:lang w:val="fr-FR"/>
        </w:rPr>
        <w:t>humains</w:t>
      </w:r>
      <w:r w:rsidR="00D14877" w:rsidRPr="00735423">
        <w:rPr>
          <w:lang w:val="fr-FR"/>
        </w:rPr>
        <w:t xml:space="preserve"> </w:t>
      </w:r>
      <w:r w:rsidR="001E5A68" w:rsidRPr="00735423">
        <w:rPr>
          <w:lang w:val="fr-FR"/>
        </w:rPr>
        <w:t>(art. 12).</w:t>
      </w:r>
    </w:p>
    <w:p w:rsidR="001E5A68" w:rsidRPr="00735423" w:rsidRDefault="00943379" w:rsidP="00943379">
      <w:pPr>
        <w:pStyle w:val="SingleTxtG"/>
        <w:rPr>
          <w:lang w:val="fr-FR"/>
        </w:rPr>
      </w:pPr>
      <w:r w:rsidRPr="00735423">
        <w:rPr>
          <w:lang w:val="fr-FR"/>
        </w:rPr>
        <w:t>28.</w:t>
      </w:r>
      <w:r w:rsidRPr="00735423">
        <w:rPr>
          <w:lang w:val="fr-FR"/>
        </w:rPr>
        <w:tab/>
      </w:r>
      <w:r w:rsidR="001E5A68" w:rsidRPr="00735423">
        <w:rPr>
          <w:b/>
          <w:lang w:val="fr-FR"/>
        </w:rPr>
        <w:t xml:space="preserve">Le Comité encourage l’État partie à s’assurer, lors de la réforme du Code de procédure pénale, que celui-ci donne aux victimes de disparition forcée la possibilité de participer </w:t>
      </w:r>
      <w:r w:rsidR="004F3EB5" w:rsidRPr="00735423">
        <w:rPr>
          <w:b/>
          <w:lang w:val="fr-FR"/>
        </w:rPr>
        <w:t xml:space="preserve">activement et </w:t>
      </w:r>
      <w:r w:rsidR="001E5A68" w:rsidRPr="00735423">
        <w:rPr>
          <w:b/>
          <w:lang w:val="fr-FR"/>
        </w:rPr>
        <w:t>sans réserve aux procédures judiciaires relatives à de tels actes. Il invite</w:t>
      </w:r>
      <w:r w:rsidR="00343C9A" w:rsidRPr="00735423">
        <w:rPr>
          <w:b/>
          <w:lang w:val="fr-FR"/>
        </w:rPr>
        <w:t>,</w:t>
      </w:r>
      <w:r w:rsidR="001E5A68" w:rsidRPr="00735423">
        <w:rPr>
          <w:b/>
          <w:lang w:val="fr-FR"/>
        </w:rPr>
        <w:t xml:space="preserve"> en outre</w:t>
      </w:r>
      <w:r w:rsidR="00343C9A" w:rsidRPr="00735423">
        <w:rPr>
          <w:b/>
          <w:lang w:val="fr-FR"/>
        </w:rPr>
        <w:t>,</w:t>
      </w:r>
      <w:r w:rsidR="001E5A68" w:rsidRPr="00735423">
        <w:rPr>
          <w:b/>
          <w:lang w:val="fr-FR"/>
        </w:rPr>
        <w:t xml:space="preserve"> l’État partie à envisager </w:t>
      </w:r>
      <w:r w:rsidR="0059363E" w:rsidRPr="00735423">
        <w:rPr>
          <w:b/>
          <w:lang w:val="fr-FR"/>
        </w:rPr>
        <w:t>de former spécifiquement certains agents</w:t>
      </w:r>
      <w:r w:rsidR="00D14877" w:rsidRPr="00735423">
        <w:rPr>
          <w:b/>
          <w:lang w:val="fr-FR"/>
        </w:rPr>
        <w:t xml:space="preserve"> </w:t>
      </w:r>
      <w:r w:rsidR="005D18B6" w:rsidRPr="00735423">
        <w:rPr>
          <w:b/>
          <w:lang w:val="fr-FR"/>
        </w:rPr>
        <w:t>a</w:t>
      </w:r>
      <w:r w:rsidR="004F3EB5" w:rsidRPr="00735423">
        <w:rPr>
          <w:b/>
          <w:lang w:val="fr-FR"/>
        </w:rPr>
        <w:t xml:space="preserve">u </w:t>
      </w:r>
      <w:r w:rsidR="001E5A68" w:rsidRPr="00735423">
        <w:rPr>
          <w:b/>
          <w:lang w:val="fr-FR"/>
        </w:rPr>
        <w:t>sein de la police judiciaire et des juridictions</w:t>
      </w:r>
      <w:r w:rsidR="00D14877" w:rsidRPr="00735423">
        <w:rPr>
          <w:b/>
          <w:lang w:val="fr-FR"/>
        </w:rPr>
        <w:t xml:space="preserve"> </w:t>
      </w:r>
      <w:r w:rsidR="0059363E" w:rsidRPr="00735423">
        <w:rPr>
          <w:b/>
          <w:lang w:val="fr-FR"/>
        </w:rPr>
        <w:t xml:space="preserve">qui </w:t>
      </w:r>
      <w:r w:rsidR="001E5A68" w:rsidRPr="00735423">
        <w:rPr>
          <w:b/>
          <w:lang w:val="fr-FR"/>
        </w:rPr>
        <w:t>pour</w:t>
      </w:r>
      <w:r w:rsidR="0059363E" w:rsidRPr="00735423">
        <w:rPr>
          <w:b/>
          <w:lang w:val="fr-FR"/>
        </w:rPr>
        <w:t>raient</w:t>
      </w:r>
      <w:r w:rsidR="001E5A68" w:rsidRPr="00735423">
        <w:rPr>
          <w:b/>
          <w:lang w:val="fr-FR"/>
        </w:rPr>
        <w:t xml:space="preserve"> enquêter</w:t>
      </w:r>
      <w:r w:rsidR="0059363E" w:rsidRPr="00735423">
        <w:rPr>
          <w:b/>
          <w:lang w:val="fr-FR"/>
        </w:rPr>
        <w:t>, le cas échéant,</w:t>
      </w:r>
      <w:r w:rsidR="001E5A68" w:rsidRPr="00735423">
        <w:rPr>
          <w:b/>
          <w:lang w:val="fr-FR"/>
        </w:rPr>
        <w:t xml:space="preserve"> sur les cas présumés de disparition forcée</w:t>
      </w:r>
      <w:r w:rsidR="0059363E" w:rsidRPr="00735423">
        <w:rPr>
          <w:b/>
          <w:lang w:val="fr-FR"/>
        </w:rPr>
        <w:t xml:space="preserve"> et mener des </w:t>
      </w:r>
      <w:r w:rsidR="001E5A68" w:rsidRPr="00735423">
        <w:rPr>
          <w:b/>
          <w:lang w:val="fr-FR"/>
        </w:rPr>
        <w:t>poursuites pénales dans les affaires de cette</w:t>
      </w:r>
      <w:r w:rsidR="003234AA">
        <w:rPr>
          <w:b/>
          <w:lang w:val="fr-FR"/>
        </w:rPr>
        <w:t xml:space="preserve"> </w:t>
      </w:r>
      <w:r w:rsidR="001E5A68" w:rsidRPr="00735423">
        <w:rPr>
          <w:b/>
          <w:lang w:val="fr-FR"/>
        </w:rPr>
        <w:t>nature.</w:t>
      </w:r>
    </w:p>
    <w:p w:rsidR="001E5A68" w:rsidRPr="00735423" w:rsidRDefault="00BA744D" w:rsidP="00EB703F">
      <w:pPr>
        <w:pStyle w:val="H1G"/>
        <w:rPr>
          <w:lang w:val="fr-FR"/>
        </w:rPr>
      </w:pPr>
      <w:r w:rsidRPr="00735423">
        <w:rPr>
          <w:lang w:val="fr-FR"/>
        </w:rPr>
        <w:tab/>
      </w:r>
      <w:r w:rsidRPr="00735423">
        <w:rPr>
          <w:lang w:val="fr-FR"/>
        </w:rPr>
        <w:tab/>
      </w:r>
      <w:r w:rsidR="001E5A68" w:rsidRPr="00735423">
        <w:rPr>
          <w:lang w:val="fr-FR"/>
        </w:rPr>
        <w:t>Mesures de prévention des disparitions forcées (art. 16 à 23)</w:t>
      </w:r>
    </w:p>
    <w:p w:rsidR="001E5A68" w:rsidRPr="00735423" w:rsidRDefault="00BA744D" w:rsidP="00661B40">
      <w:pPr>
        <w:pStyle w:val="H23G"/>
        <w:rPr>
          <w:lang w:val="fr-FR"/>
        </w:rPr>
      </w:pPr>
      <w:r w:rsidRPr="00735423">
        <w:rPr>
          <w:lang w:val="fr-FR"/>
        </w:rPr>
        <w:tab/>
      </w:r>
      <w:r w:rsidRPr="00735423">
        <w:rPr>
          <w:lang w:val="fr-FR"/>
        </w:rPr>
        <w:tab/>
      </w:r>
      <w:r w:rsidR="001E5A68" w:rsidRPr="00735423">
        <w:rPr>
          <w:lang w:val="fr-FR"/>
        </w:rPr>
        <w:t>Non</w:t>
      </w:r>
      <w:r w:rsidR="00AE58D8">
        <w:rPr>
          <w:lang w:val="fr-FR"/>
        </w:rPr>
        <w:t>-</w:t>
      </w:r>
      <w:r w:rsidR="001E5A68" w:rsidRPr="00735423">
        <w:rPr>
          <w:lang w:val="fr-FR"/>
        </w:rPr>
        <w:t>refoulement</w:t>
      </w:r>
    </w:p>
    <w:p w:rsidR="001E5A68" w:rsidRPr="00735423" w:rsidRDefault="00943379" w:rsidP="00943379">
      <w:pPr>
        <w:pStyle w:val="SingleTxtG"/>
        <w:rPr>
          <w:b/>
          <w:lang w:val="fr-FR"/>
        </w:rPr>
      </w:pPr>
      <w:r w:rsidRPr="00735423">
        <w:rPr>
          <w:lang w:val="fr-FR"/>
        </w:rPr>
        <w:t>29.</w:t>
      </w:r>
      <w:r w:rsidRPr="00735423">
        <w:rPr>
          <w:lang w:val="fr-FR"/>
        </w:rPr>
        <w:tab/>
      </w:r>
      <w:r w:rsidR="001E5A68" w:rsidRPr="00735423">
        <w:rPr>
          <w:lang w:val="fr-FR"/>
        </w:rPr>
        <w:t>Le Comité note les renseignements fournis par l’</w:t>
      </w:r>
      <w:r w:rsidR="00A400A2" w:rsidRPr="00735423">
        <w:rPr>
          <w:lang w:val="fr-FR"/>
        </w:rPr>
        <w:t>État</w:t>
      </w:r>
      <w:r w:rsidR="001E5A68" w:rsidRPr="00735423">
        <w:rPr>
          <w:lang w:val="fr-FR"/>
        </w:rPr>
        <w:t xml:space="preserve"> partie sur les différentes procédures en matière d’expulsion et d’extradition et </w:t>
      </w:r>
      <w:r w:rsidR="000A5A6A" w:rsidRPr="00735423">
        <w:rPr>
          <w:lang w:val="fr-FR"/>
        </w:rPr>
        <w:t>l</w:t>
      </w:r>
      <w:r w:rsidR="001E5A68" w:rsidRPr="00735423">
        <w:rPr>
          <w:lang w:val="fr-FR"/>
        </w:rPr>
        <w:t>es recours possibles. Il constate, néanmoins, que, selon la délégation de l’</w:t>
      </w:r>
      <w:r w:rsidR="00A400A2" w:rsidRPr="00735423">
        <w:rPr>
          <w:lang w:val="fr-FR"/>
        </w:rPr>
        <w:t>État</w:t>
      </w:r>
      <w:r w:rsidR="001E5A68" w:rsidRPr="00735423">
        <w:rPr>
          <w:lang w:val="fr-FR"/>
        </w:rPr>
        <w:t xml:space="preserve"> partie, le principe de non-refoulement n’est pas expressément prévu par la législation ce qui n’offre pas une protection juridique </w:t>
      </w:r>
      <w:r w:rsidR="001E5A68" w:rsidRPr="00735423">
        <w:rPr>
          <w:lang w:val="fr-FR"/>
        </w:rPr>
        <w:lastRenderedPageBreak/>
        <w:t>certaine pour des personnes qui pourraient être victimes de disparitions forcées en cas de renvoi (art. 16).</w:t>
      </w:r>
    </w:p>
    <w:p w:rsidR="001E5A68" w:rsidRPr="00735423" w:rsidRDefault="00943379" w:rsidP="00943379">
      <w:pPr>
        <w:pStyle w:val="SingleTxtG"/>
        <w:rPr>
          <w:b/>
          <w:lang w:val="fr-FR"/>
        </w:rPr>
      </w:pPr>
      <w:r w:rsidRPr="00735423">
        <w:rPr>
          <w:lang w:val="fr-FR"/>
        </w:rPr>
        <w:t>30.</w:t>
      </w:r>
      <w:r w:rsidRPr="00735423">
        <w:rPr>
          <w:lang w:val="fr-FR"/>
        </w:rPr>
        <w:tab/>
      </w:r>
      <w:r w:rsidR="001E5A68" w:rsidRPr="00735423">
        <w:rPr>
          <w:b/>
          <w:lang w:val="fr-FR"/>
        </w:rPr>
        <w:t>Le Comité recommande à l’</w:t>
      </w:r>
      <w:r w:rsidR="00A400A2" w:rsidRPr="00735423">
        <w:rPr>
          <w:b/>
          <w:lang w:val="fr-FR"/>
        </w:rPr>
        <w:t>État</w:t>
      </w:r>
      <w:r w:rsidR="001E5A68" w:rsidRPr="00735423">
        <w:rPr>
          <w:b/>
          <w:lang w:val="fr-FR"/>
        </w:rPr>
        <w:t xml:space="preserve"> partie de prendre </w:t>
      </w:r>
      <w:r w:rsidR="00EA042D">
        <w:rPr>
          <w:b/>
          <w:lang w:val="fr-FR"/>
        </w:rPr>
        <w:t>l</w:t>
      </w:r>
      <w:r w:rsidR="001E5A68" w:rsidRPr="00735423">
        <w:rPr>
          <w:b/>
          <w:lang w:val="fr-FR"/>
        </w:rPr>
        <w:t xml:space="preserve">es mesures nécessaires </w:t>
      </w:r>
      <w:r w:rsidR="00EA042D">
        <w:rPr>
          <w:b/>
          <w:lang w:val="fr-FR"/>
        </w:rPr>
        <w:t xml:space="preserve">pour </w:t>
      </w:r>
      <w:r w:rsidR="001E5A68" w:rsidRPr="00735423">
        <w:rPr>
          <w:b/>
          <w:lang w:val="fr-FR"/>
        </w:rPr>
        <w:t xml:space="preserve">inscrire le principe de non-refoulement, de manière explicite, dans sa législation afin d’éviter que des personnes ne soient </w:t>
      </w:r>
      <w:r w:rsidR="00EA042D">
        <w:rPr>
          <w:b/>
          <w:lang w:val="fr-FR"/>
        </w:rPr>
        <w:t xml:space="preserve">exposées à un </w:t>
      </w:r>
      <w:r w:rsidR="001E5A68" w:rsidRPr="00735423">
        <w:rPr>
          <w:b/>
          <w:lang w:val="fr-FR"/>
        </w:rPr>
        <w:t>risque de disparition forcée en cas de renvoi.</w:t>
      </w:r>
    </w:p>
    <w:p w:rsidR="001E5A68" w:rsidRPr="00735423" w:rsidRDefault="00BA744D" w:rsidP="00EB703F">
      <w:pPr>
        <w:pStyle w:val="H23G"/>
        <w:rPr>
          <w:lang w:val="fr-FR"/>
        </w:rPr>
      </w:pPr>
      <w:r w:rsidRPr="00735423">
        <w:rPr>
          <w:lang w:val="fr-FR"/>
        </w:rPr>
        <w:tab/>
      </w:r>
      <w:r w:rsidRPr="00735423">
        <w:rPr>
          <w:lang w:val="fr-FR"/>
        </w:rPr>
        <w:tab/>
      </w:r>
      <w:r w:rsidR="00A6797E" w:rsidRPr="00735423">
        <w:rPr>
          <w:lang w:val="fr-FR"/>
        </w:rPr>
        <w:t>Recours spécifique concernant la légalité de la détention</w:t>
      </w:r>
    </w:p>
    <w:p w:rsidR="001E5A68" w:rsidRPr="00E573D7" w:rsidRDefault="00943379" w:rsidP="00943379">
      <w:pPr>
        <w:pStyle w:val="SingleTxtG"/>
        <w:rPr>
          <w:bCs/>
          <w:lang w:val="fr-FR"/>
        </w:rPr>
      </w:pPr>
      <w:r w:rsidRPr="00E573D7">
        <w:rPr>
          <w:bCs/>
          <w:lang w:val="fr-FR"/>
        </w:rPr>
        <w:t>31.</w:t>
      </w:r>
      <w:r w:rsidRPr="00E573D7">
        <w:rPr>
          <w:bCs/>
          <w:lang w:val="fr-FR"/>
        </w:rPr>
        <w:tab/>
      </w:r>
      <w:r w:rsidR="001E5A68" w:rsidRPr="00735423">
        <w:rPr>
          <w:lang w:val="fr-FR"/>
        </w:rPr>
        <w:t>Le Comité note qu</w:t>
      </w:r>
      <w:r w:rsidR="00A6797E" w:rsidRPr="00735423">
        <w:rPr>
          <w:lang w:val="fr-FR"/>
        </w:rPr>
        <w:t xml:space="preserve">’un </w:t>
      </w:r>
      <w:r w:rsidR="001E5A68" w:rsidRPr="00735423">
        <w:rPr>
          <w:lang w:val="fr-FR"/>
        </w:rPr>
        <w:t xml:space="preserve">recours </w:t>
      </w:r>
      <w:r w:rsidR="002E1F3C" w:rsidRPr="00735423">
        <w:rPr>
          <w:lang w:val="fr-FR"/>
        </w:rPr>
        <w:t xml:space="preserve">spécifique permettant à toutes les catégories de personnes </w:t>
      </w:r>
      <w:r w:rsidR="002E1F3C" w:rsidRPr="001B666D">
        <w:rPr>
          <w:lang w:val="fr-FR"/>
        </w:rPr>
        <w:t>prévues par la Convention</w:t>
      </w:r>
      <w:r w:rsidR="002E1F3C" w:rsidRPr="00735423">
        <w:rPr>
          <w:lang w:val="fr-FR"/>
        </w:rPr>
        <w:t xml:space="preserve"> de saisir un tribunal</w:t>
      </w:r>
      <w:r w:rsidR="00A6797E" w:rsidRPr="00735423">
        <w:rPr>
          <w:lang w:val="fr-FR"/>
        </w:rPr>
        <w:t xml:space="preserve"> pour statuer</w:t>
      </w:r>
      <w:r w:rsidR="002122B9" w:rsidRPr="00735423">
        <w:rPr>
          <w:lang w:val="fr-FR"/>
        </w:rPr>
        <w:t xml:space="preserve"> dans un</w:t>
      </w:r>
      <w:r w:rsidR="002E1F3C" w:rsidRPr="00735423">
        <w:rPr>
          <w:lang w:val="fr-FR"/>
        </w:rPr>
        <w:t xml:space="preserve"> bref délai sur la légalité de l</w:t>
      </w:r>
      <w:r w:rsidR="002122B9" w:rsidRPr="00735423">
        <w:rPr>
          <w:lang w:val="fr-FR"/>
        </w:rPr>
        <w:t xml:space="preserve">a détention </w:t>
      </w:r>
      <w:r w:rsidR="001E5A68" w:rsidRPr="00735423">
        <w:rPr>
          <w:lang w:val="fr-FR"/>
        </w:rPr>
        <w:t>n’est pas prévu par la législation de l’</w:t>
      </w:r>
      <w:r w:rsidR="00A400A2" w:rsidRPr="00735423">
        <w:rPr>
          <w:lang w:val="fr-FR"/>
        </w:rPr>
        <w:t>État</w:t>
      </w:r>
      <w:r w:rsidR="001E5A68" w:rsidRPr="00735423">
        <w:rPr>
          <w:lang w:val="fr-FR"/>
        </w:rPr>
        <w:t xml:space="preserve"> partie</w:t>
      </w:r>
      <w:r w:rsidR="002122B9" w:rsidRPr="00735423">
        <w:rPr>
          <w:lang w:val="fr-FR"/>
        </w:rPr>
        <w:t xml:space="preserve">. </w:t>
      </w:r>
      <w:r w:rsidR="001E5A68" w:rsidRPr="00735423">
        <w:rPr>
          <w:lang w:val="fr-FR"/>
        </w:rPr>
        <w:t xml:space="preserve">Le Comité relève qu’une telle absence priverait </w:t>
      </w:r>
      <w:r w:rsidR="00B42A4D" w:rsidRPr="00735423">
        <w:rPr>
          <w:lang w:val="fr-FR"/>
        </w:rPr>
        <w:t xml:space="preserve">la </w:t>
      </w:r>
      <w:r w:rsidR="001E5A68" w:rsidRPr="00735423">
        <w:rPr>
          <w:lang w:val="fr-FR"/>
        </w:rPr>
        <w:t xml:space="preserve">personne détenue </w:t>
      </w:r>
      <w:r w:rsidR="00B42A4D" w:rsidRPr="00735423">
        <w:rPr>
          <w:lang w:val="fr-FR"/>
        </w:rPr>
        <w:t>et</w:t>
      </w:r>
      <w:r w:rsidR="00BF0ECB">
        <w:rPr>
          <w:lang w:val="fr-FR"/>
        </w:rPr>
        <w:t>,</w:t>
      </w:r>
      <w:r w:rsidR="00B42A4D" w:rsidRPr="00735423">
        <w:rPr>
          <w:lang w:val="fr-FR"/>
        </w:rPr>
        <w:t xml:space="preserve"> en cas d’incapacité de l’exercer elle-même, toute personne ayant un intérêt légitime tel que prévu </w:t>
      </w:r>
      <w:r w:rsidR="00B42A4D" w:rsidRPr="00E573D7">
        <w:rPr>
          <w:lang w:val="fr-FR"/>
        </w:rPr>
        <w:t>au paragraphe</w:t>
      </w:r>
      <w:r w:rsidR="00BF0ECB" w:rsidRPr="00E573D7">
        <w:rPr>
          <w:lang w:val="fr-FR"/>
        </w:rPr>
        <w:t> </w:t>
      </w:r>
      <w:r w:rsidR="00B42A4D" w:rsidRPr="00E573D7">
        <w:rPr>
          <w:lang w:val="fr-FR"/>
        </w:rPr>
        <w:t>2, alinéa</w:t>
      </w:r>
      <w:r w:rsidR="00BF0ECB" w:rsidRPr="00E573D7">
        <w:rPr>
          <w:lang w:val="fr-FR"/>
        </w:rPr>
        <w:t> </w:t>
      </w:r>
      <w:r w:rsidR="00B42A4D" w:rsidRPr="00E573D7">
        <w:rPr>
          <w:i/>
          <w:lang w:val="fr-FR"/>
        </w:rPr>
        <w:t>f</w:t>
      </w:r>
      <w:r w:rsidR="00B42A4D" w:rsidRPr="00E573D7">
        <w:rPr>
          <w:lang w:val="fr-FR"/>
        </w:rPr>
        <w:t>, de l’article</w:t>
      </w:r>
      <w:r w:rsidR="00BF0ECB" w:rsidRPr="00E573D7">
        <w:rPr>
          <w:lang w:val="fr-FR"/>
        </w:rPr>
        <w:t> </w:t>
      </w:r>
      <w:r w:rsidR="00B42A4D" w:rsidRPr="00E573D7">
        <w:rPr>
          <w:lang w:val="fr-FR"/>
        </w:rPr>
        <w:t xml:space="preserve">17 de la Convention, </w:t>
      </w:r>
      <w:r w:rsidR="001E5A68" w:rsidRPr="00E573D7">
        <w:rPr>
          <w:lang w:val="fr-FR"/>
        </w:rPr>
        <w:t>d’un moyen de recours sur l’établissement de la légalité de sa détention (art. 17)</w:t>
      </w:r>
      <w:r w:rsidR="009F528C" w:rsidRPr="00E573D7">
        <w:rPr>
          <w:lang w:val="fr-FR"/>
        </w:rPr>
        <w:t>.</w:t>
      </w:r>
    </w:p>
    <w:p w:rsidR="001E5A68" w:rsidRPr="00735423" w:rsidRDefault="00943379" w:rsidP="00943379">
      <w:pPr>
        <w:pStyle w:val="SingleTxtG"/>
        <w:rPr>
          <w:b/>
          <w:lang w:val="fr-FR"/>
        </w:rPr>
      </w:pPr>
      <w:r w:rsidRPr="00735423">
        <w:rPr>
          <w:lang w:val="fr-FR"/>
        </w:rPr>
        <w:t>32.</w:t>
      </w:r>
      <w:r w:rsidRPr="00735423">
        <w:rPr>
          <w:lang w:val="fr-FR"/>
        </w:rPr>
        <w:tab/>
      </w:r>
      <w:r w:rsidR="001E5A68" w:rsidRPr="00E573D7">
        <w:rPr>
          <w:b/>
          <w:lang w:val="fr-FR"/>
        </w:rPr>
        <w:t xml:space="preserve">Le Comité encourage l’État partie à prendre les mesures nécessaires pour prévoir dans sa législation pénale </w:t>
      </w:r>
      <w:r w:rsidR="002122B9" w:rsidRPr="00E573D7">
        <w:rPr>
          <w:b/>
          <w:lang w:val="fr-FR"/>
        </w:rPr>
        <w:t xml:space="preserve">un recours spécifique permettant à </w:t>
      </w:r>
      <w:r w:rsidR="002E1F3C" w:rsidRPr="00E573D7">
        <w:rPr>
          <w:b/>
          <w:lang w:val="fr-FR"/>
        </w:rPr>
        <w:t xml:space="preserve">toutes les catégories de </w:t>
      </w:r>
      <w:r w:rsidR="002122B9" w:rsidRPr="00E573D7">
        <w:rPr>
          <w:b/>
          <w:lang w:val="fr-FR"/>
        </w:rPr>
        <w:t>personne</w:t>
      </w:r>
      <w:r w:rsidR="002E1F3C" w:rsidRPr="00E573D7">
        <w:rPr>
          <w:b/>
          <w:lang w:val="fr-FR"/>
        </w:rPr>
        <w:t>s prévues par la Convention, de saisir un tribunal</w:t>
      </w:r>
      <w:r w:rsidR="002122B9" w:rsidRPr="00E573D7">
        <w:rPr>
          <w:b/>
          <w:lang w:val="fr-FR"/>
        </w:rPr>
        <w:t xml:space="preserve"> pour statuer dans un bref délai sur la légalité de </w:t>
      </w:r>
      <w:r w:rsidR="00B42A4D" w:rsidRPr="00E573D7">
        <w:rPr>
          <w:b/>
          <w:lang w:val="fr-FR"/>
        </w:rPr>
        <w:t>l</w:t>
      </w:r>
      <w:r w:rsidR="002122B9" w:rsidRPr="00E573D7">
        <w:rPr>
          <w:b/>
          <w:lang w:val="fr-FR"/>
        </w:rPr>
        <w:t xml:space="preserve">a détention et ordonner </w:t>
      </w:r>
      <w:r w:rsidR="00B42A4D" w:rsidRPr="00E573D7">
        <w:rPr>
          <w:b/>
          <w:lang w:val="fr-FR"/>
        </w:rPr>
        <w:t xml:space="preserve">la </w:t>
      </w:r>
      <w:r w:rsidR="002122B9" w:rsidRPr="00E573D7">
        <w:rPr>
          <w:b/>
          <w:lang w:val="fr-FR"/>
        </w:rPr>
        <w:t xml:space="preserve">libération </w:t>
      </w:r>
      <w:r w:rsidR="000A5A6A" w:rsidRPr="00E573D7">
        <w:rPr>
          <w:b/>
          <w:lang w:val="fr-FR"/>
        </w:rPr>
        <w:t xml:space="preserve">de la personne, </w:t>
      </w:r>
      <w:r w:rsidR="002122B9" w:rsidRPr="00E573D7">
        <w:rPr>
          <w:b/>
          <w:lang w:val="fr-FR"/>
        </w:rPr>
        <w:t xml:space="preserve">si cette privation de liberté est illégale, conformément </w:t>
      </w:r>
      <w:r w:rsidR="001E5A68" w:rsidRPr="00E573D7">
        <w:rPr>
          <w:b/>
          <w:lang w:val="fr-FR"/>
        </w:rPr>
        <w:t>aux dispositions d</w:t>
      </w:r>
      <w:r w:rsidR="002122B9" w:rsidRPr="00E573D7">
        <w:rPr>
          <w:b/>
          <w:lang w:val="fr-FR"/>
        </w:rPr>
        <w:t>u paragraphe</w:t>
      </w:r>
      <w:r w:rsidR="00BF0ECB" w:rsidRPr="00E573D7">
        <w:rPr>
          <w:b/>
          <w:lang w:val="fr-FR"/>
        </w:rPr>
        <w:t> </w:t>
      </w:r>
      <w:r w:rsidR="002122B9" w:rsidRPr="00E573D7">
        <w:rPr>
          <w:b/>
          <w:lang w:val="fr-FR"/>
        </w:rPr>
        <w:t>2, alinéa</w:t>
      </w:r>
      <w:r w:rsidR="00BF0ECB" w:rsidRPr="00E573D7">
        <w:rPr>
          <w:b/>
          <w:lang w:val="fr-FR"/>
        </w:rPr>
        <w:t> </w:t>
      </w:r>
      <w:r w:rsidR="002122B9" w:rsidRPr="00E573D7">
        <w:rPr>
          <w:b/>
          <w:i/>
          <w:lang w:val="fr-FR"/>
        </w:rPr>
        <w:t>f</w:t>
      </w:r>
      <w:r w:rsidR="002122B9" w:rsidRPr="00E573D7">
        <w:rPr>
          <w:b/>
          <w:lang w:val="fr-FR"/>
        </w:rPr>
        <w:t>, de l’article</w:t>
      </w:r>
      <w:r w:rsidR="00BF0ECB" w:rsidRPr="00E573D7">
        <w:rPr>
          <w:b/>
          <w:lang w:val="fr-FR"/>
        </w:rPr>
        <w:t> </w:t>
      </w:r>
      <w:r w:rsidR="002122B9" w:rsidRPr="00E573D7">
        <w:rPr>
          <w:b/>
          <w:lang w:val="fr-FR"/>
        </w:rPr>
        <w:t>17</w:t>
      </w:r>
      <w:r w:rsidR="002122B9" w:rsidRPr="00735423">
        <w:rPr>
          <w:b/>
          <w:lang w:val="fr-FR"/>
        </w:rPr>
        <w:t xml:space="preserve"> de la Convention </w:t>
      </w:r>
      <w:r w:rsidR="001E5A68" w:rsidRPr="00735423">
        <w:rPr>
          <w:b/>
          <w:lang w:val="fr-FR"/>
        </w:rPr>
        <w:t>et aux autres normes internationales pertinentes</w:t>
      </w:r>
      <w:r w:rsidR="000A5A6A" w:rsidRPr="00735423">
        <w:rPr>
          <w:b/>
          <w:lang w:val="fr-FR"/>
        </w:rPr>
        <w:t>.</w:t>
      </w:r>
    </w:p>
    <w:p w:rsidR="001E5A68" w:rsidRPr="001818DA" w:rsidRDefault="00BA744D" w:rsidP="001818DA">
      <w:pPr>
        <w:pStyle w:val="H23G"/>
      </w:pPr>
      <w:r w:rsidRPr="00735423">
        <w:rPr>
          <w:b w:val="0"/>
          <w:lang w:val="fr-FR"/>
        </w:rPr>
        <w:tab/>
      </w:r>
      <w:r w:rsidRPr="00735423">
        <w:rPr>
          <w:b w:val="0"/>
          <w:lang w:val="fr-FR"/>
        </w:rPr>
        <w:tab/>
      </w:r>
      <w:r w:rsidR="001E5A68" w:rsidRPr="00735423">
        <w:rPr>
          <w:lang w:val="fr-FR"/>
        </w:rPr>
        <w:t xml:space="preserve">Tenue des registres et accès </w:t>
      </w:r>
      <w:r w:rsidR="0091725B" w:rsidRPr="00735423">
        <w:rPr>
          <w:lang w:val="fr-FR"/>
        </w:rPr>
        <w:t>à</w:t>
      </w:r>
      <w:r w:rsidR="003B5104" w:rsidRPr="00735423">
        <w:rPr>
          <w:lang w:val="fr-FR"/>
        </w:rPr>
        <w:t xml:space="preserve"> </w:t>
      </w:r>
      <w:r w:rsidR="001E5A68" w:rsidRPr="00735423">
        <w:rPr>
          <w:lang w:val="fr-FR"/>
        </w:rPr>
        <w:t>l’information</w:t>
      </w:r>
    </w:p>
    <w:p w:rsidR="001E5A68" w:rsidRPr="00735423" w:rsidRDefault="00943379" w:rsidP="00943379">
      <w:pPr>
        <w:pStyle w:val="SingleTxtG"/>
        <w:rPr>
          <w:b/>
          <w:lang w:val="fr-FR"/>
        </w:rPr>
      </w:pPr>
      <w:r w:rsidRPr="00735423">
        <w:rPr>
          <w:lang w:val="fr-FR"/>
        </w:rPr>
        <w:t>33.</w:t>
      </w:r>
      <w:r w:rsidRPr="00735423">
        <w:rPr>
          <w:lang w:val="fr-FR"/>
        </w:rPr>
        <w:tab/>
      </w:r>
      <w:r w:rsidR="001E5A68" w:rsidRPr="00735423">
        <w:rPr>
          <w:lang w:val="fr-FR"/>
        </w:rPr>
        <w:t>Le Comité relève avec préoccupation que le manquement intentionnel à l’enregistrement d’une privation de liberté ou des renseignements prévus au paragraphe</w:t>
      </w:r>
      <w:r w:rsidR="001B666D">
        <w:rPr>
          <w:lang w:val="fr-FR"/>
        </w:rPr>
        <w:t> </w:t>
      </w:r>
      <w:r w:rsidR="001E5A68" w:rsidRPr="00735423">
        <w:rPr>
          <w:lang w:val="fr-FR"/>
        </w:rPr>
        <w:t xml:space="preserve">3 de l’article 17 de la Convention n’est pas automatiquement sanctionné. </w:t>
      </w:r>
      <w:r w:rsidR="001E5A68" w:rsidRPr="00547FDD">
        <w:rPr>
          <w:lang w:val="fr-FR"/>
        </w:rPr>
        <w:t>Le Comité prend note qu’un tel manquement ne peut donner lieu à une enquête que s’il y a intention</w:t>
      </w:r>
      <w:r w:rsidR="009E127A" w:rsidRPr="00872CC7">
        <w:rPr>
          <w:lang w:val="fr-FR"/>
        </w:rPr>
        <w:t>,</w:t>
      </w:r>
      <w:r w:rsidR="001E5A68" w:rsidRPr="00547FDD">
        <w:rPr>
          <w:lang w:val="fr-FR"/>
        </w:rPr>
        <w:t xml:space="preserve"> de la part du responsable du registre officiel, de se rendre complice d’une infraction.</w:t>
      </w:r>
      <w:r w:rsidR="001E5A68" w:rsidRPr="00735423">
        <w:rPr>
          <w:lang w:val="fr-FR"/>
        </w:rPr>
        <w:t xml:space="preserve"> Le Comité constate aussi l’absence d’informations sur la possibilité de sanctionner le refus de fournir des informations sur une privation de liberté ou la fourniture d’informations </w:t>
      </w:r>
      <w:r w:rsidR="00027F4E" w:rsidRPr="00027F4E">
        <w:rPr>
          <w:lang w:val="fr-FR"/>
        </w:rPr>
        <w:t>in</w:t>
      </w:r>
      <w:r w:rsidR="001E5A68" w:rsidRPr="00027F4E">
        <w:rPr>
          <w:lang w:val="fr-FR"/>
        </w:rPr>
        <w:t>exactes</w:t>
      </w:r>
      <w:r w:rsidR="001E5A68" w:rsidRPr="00735423">
        <w:rPr>
          <w:lang w:val="fr-FR"/>
        </w:rPr>
        <w:t xml:space="preserve"> (art.</w:t>
      </w:r>
      <w:r w:rsidR="00A400A2">
        <w:rPr>
          <w:lang w:val="fr-FR"/>
        </w:rPr>
        <w:t> </w:t>
      </w:r>
      <w:r w:rsidR="001E5A68" w:rsidRPr="00735423">
        <w:rPr>
          <w:lang w:val="fr-FR"/>
        </w:rPr>
        <w:t>17, 18</w:t>
      </w:r>
      <w:r w:rsidR="001B666D">
        <w:rPr>
          <w:lang w:val="fr-FR"/>
        </w:rPr>
        <w:t xml:space="preserve"> et</w:t>
      </w:r>
      <w:r w:rsidR="001E5A68" w:rsidRPr="00735423">
        <w:rPr>
          <w:lang w:val="fr-FR"/>
        </w:rPr>
        <w:t xml:space="preserve"> 22).</w:t>
      </w:r>
    </w:p>
    <w:p w:rsidR="001E5A68" w:rsidRPr="001818DA" w:rsidRDefault="00943379" w:rsidP="00943379">
      <w:pPr>
        <w:pStyle w:val="SingleTxtG"/>
        <w:rPr>
          <w:b/>
          <w:bCs/>
          <w:lang w:val="fr-FR"/>
        </w:rPr>
      </w:pPr>
      <w:r w:rsidRPr="001818DA">
        <w:rPr>
          <w:bCs/>
          <w:lang w:val="fr-FR"/>
        </w:rPr>
        <w:t>34.</w:t>
      </w:r>
      <w:r w:rsidRPr="001818DA">
        <w:rPr>
          <w:bCs/>
          <w:lang w:val="fr-FR"/>
        </w:rPr>
        <w:tab/>
      </w:r>
      <w:r w:rsidR="001E5A68" w:rsidRPr="001818DA">
        <w:rPr>
          <w:b/>
          <w:bCs/>
          <w:lang w:val="fr-FR"/>
        </w:rPr>
        <w:t>Le Comité recommande à l’</w:t>
      </w:r>
      <w:r w:rsidR="00A400A2" w:rsidRPr="00735423">
        <w:rPr>
          <w:b/>
          <w:bCs/>
          <w:lang w:val="fr-FR"/>
        </w:rPr>
        <w:t>État</w:t>
      </w:r>
      <w:r w:rsidR="001E5A68" w:rsidRPr="001818DA">
        <w:rPr>
          <w:b/>
          <w:bCs/>
          <w:lang w:val="fr-FR"/>
        </w:rPr>
        <w:t xml:space="preserve"> partie de s’assurer de la bonne tenue des registres et de garantir que toute personne ayant un intérêt légitime ait le droit et la possibilité effective d’accéder </w:t>
      </w:r>
      <w:r w:rsidR="00872CC7" w:rsidRPr="00872CC7">
        <w:rPr>
          <w:b/>
          <w:bCs/>
          <w:lang w:val="fr-FR"/>
        </w:rPr>
        <w:t>aux</w:t>
      </w:r>
      <w:r w:rsidR="001E5A68" w:rsidRPr="00872CC7">
        <w:rPr>
          <w:b/>
          <w:bCs/>
          <w:lang w:val="fr-FR"/>
        </w:rPr>
        <w:t xml:space="preserve"> information</w:t>
      </w:r>
      <w:r w:rsidR="00872CC7" w:rsidRPr="00872CC7">
        <w:rPr>
          <w:b/>
          <w:bCs/>
          <w:lang w:val="fr-FR"/>
        </w:rPr>
        <w:t>s</w:t>
      </w:r>
      <w:r w:rsidR="001E5A68" w:rsidRPr="001818DA">
        <w:rPr>
          <w:b/>
          <w:bCs/>
          <w:lang w:val="fr-FR"/>
        </w:rPr>
        <w:t xml:space="preserve"> concernant la personne présumée disparue visée au paragraphe</w:t>
      </w:r>
      <w:r w:rsidR="00027F4E">
        <w:rPr>
          <w:b/>
          <w:bCs/>
          <w:lang w:val="fr-FR"/>
        </w:rPr>
        <w:t> </w:t>
      </w:r>
      <w:r w:rsidR="001E5A68" w:rsidRPr="001818DA">
        <w:rPr>
          <w:b/>
          <w:bCs/>
          <w:lang w:val="fr-FR"/>
        </w:rPr>
        <w:t>3 de l’article</w:t>
      </w:r>
      <w:r w:rsidR="00027F4E">
        <w:rPr>
          <w:b/>
          <w:bCs/>
          <w:lang w:val="fr-FR"/>
        </w:rPr>
        <w:t> </w:t>
      </w:r>
      <w:r w:rsidR="001E5A68" w:rsidRPr="001818DA">
        <w:rPr>
          <w:b/>
          <w:bCs/>
          <w:lang w:val="fr-FR"/>
        </w:rPr>
        <w:t xml:space="preserve">17, en conformité avec </w:t>
      </w:r>
      <w:r w:rsidR="008B1034">
        <w:rPr>
          <w:b/>
          <w:bCs/>
          <w:lang w:val="fr-FR"/>
        </w:rPr>
        <w:t xml:space="preserve">le paragraphe 1 de </w:t>
      </w:r>
      <w:r w:rsidR="001E5A68" w:rsidRPr="001818DA">
        <w:rPr>
          <w:b/>
          <w:bCs/>
          <w:lang w:val="fr-FR"/>
        </w:rPr>
        <w:t>l’article</w:t>
      </w:r>
      <w:r w:rsidR="00027F4E">
        <w:rPr>
          <w:b/>
          <w:bCs/>
          <w:lang w:val="fr-FR"/>
        </w:rPr>
        <w:t> </w:t>
      </w:r>
      <w:r w:rsidR="001E5A68" w:rsidRPr="001818DA">
        <w:rPr>
          <w:b/>
          <w:bCs/>
          <w:lang w:val="fr-FR"/>
        </w:rPr>
        <w:t xml:space="preserve">18. Il lui recommande également </w:t>
      </w:r>
      <w:r w:rsidR="003B5104" w:rsidRPr="001818DA">
        <w:rPr>
          <w:b/>
          <w:bCs/>
          <w:lang w:val="fr-FR"/>
        </w:rPr>
        <w:t xml:space="preserve">de </w:t>
      </w:r>
      <w:r w:rsidR="001E5A68" w:rsidRPr="001818DA">
        <w:rPr>
          <w:b/>
          <w:bCs/>
          <w:lang w:val="fr-FR"/>
        </w:rPr>
        <w:t xml:space="preserve">prévoir de manière explicite dans sa législation pénale, </w:t>
      </w:r>
      <w:r w:rsidR="00027F4E">
        <w:rPr>
          <w:b/>
          <w:bCs/>
          <w:lang w:val="fr-FR"/>
        </w:rPr>
        <w:t xml:space="preserve">conformément aux dispositions de l’article  22 de la Convention, </w:t>
      </w:r>
      <w:r w:rsidR="001E5A68" w:rsidRPr="001818DA">
        <w:rPr>
          <w:b/>
          <w:bCs/>
          <w:lang w:val="fr-FR"/>
        </w:rPr>
        <w:t xml:space="preserve">des sanctions au manquement intentionnel d’enregistrer une privation de liberté ou </w:t>
      </w:r>
      <w:r w:rsidR="00027F4E">
        <w:rPr>
          <w:b/>
          <w:bCs/>
          <w:lang w:val="fr-FR"/>
        </w:rPr>
        <w:t>l</w:t>
      </w:r>
      <w:r w:rsidR="001E5A68" w:rsidRPr="001818DA">
        <w:rPr>
          <w:b/>
          <w:bCs/>
          <w:lang w:val="fr-FR"/>
        </w:rPr>
        <w:t>es renseignements prévus</w:t>
      </w:r>
      <w:r w:rsidR="00027F4E">
        <w:rPr>
          <w:b/>
          <w:bCs/>
          <w:lang w:val="fr-FR"/>
        </w:rPr>
        <w:t xml:space="preserve">, ainsi que des sanctions au </w:t>
      </w:r>
      <w:r w:rsidR="001E5A68" w:rsidRPr="001818DA">
        <w:rPr>
          <w:b/>
          <w:bCs/>
          <w:lang w:val="fr-FR"/>
        </w:rPr>
        <w:t>refus</w:t>
      </w:r>
      <w:r w:rsidR="002E1F3C" w:rsidRPr="001818DA">
        <w:rPr>
          <w:b/>
          <w:bCs/>
          <w:lang w:val="fr-FR"/>
        </w:rPr>
        <w:t xml:space="preserve"> intentionnel </w:t>
      </w:r>
      <w:r w:rsidR="001E5A68" w:rsidRPr="001818DA">
        <w:rPr>
          <w:b/>
          <w:bCs/>
          <w:lang w:val="fr-FR"/>
        </w:rPr>
        <w:t>de fournir de tels renseignements.</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Formation aux droits de l’homme, en particulier aux dispositions de la Convention</w:t>
      </w:r>
    </w:p>
    <w:p w:rsidR="001E5A68" w:rsidRPr="00735423" w:rsidRDefault="00943379" w:rsidP="00943379">
      <w:pPr>
        <w:pStyle w:val="SingleTxtG"/>
        <w:rPr>
          <w:b/>
          <w:lang w:val="fr-FR"/>
        </w:rPr>
      </w:pPr>
      <w:r w:rsidRPr="00735423">
        <w:rPr>
          <w:lang w:val="fr-FR"/>
        </w:rPr>
        <w:t>35.</w:t>
      </w:r>
      <w:r w:rsidRPr="00735423">
        <w:rPr>
          <w:lang w:val="fr-FR"/>
        </w:rPr>
        <w:tab/>
      </w:r>
      <w:r w:rsidR="001E5A68" w:rsidRPr="00735423">
        <w:rPr>
          <w:rStyle w:val="SingleTxtGCar"/>
          <w:lang w:val="fr-FR"/>
        </w:rPr>
        <w:t xml:space="preserve">Le </w:t>
      </w:r>
      <w:r w:rsidR="001E5A68" w:rsidRPr="001818DA">
        <w:rPr>
          <w:lang w:val="fr-FR"/>
        </w:rPr>
        <w:t>Comité</w:t>
      </w:r>
      <w:r w:rsidR="001E5A68" w:rsidRPr="00735423">
        <w:rPr>
          <w:rStyle w:val="SingleTxtGCar"/>
          <w:lang w:val="fr-FR"/>
        </w:rPr>
        <w:t xml:space="preserve"> prend note des renseignements concernant la formation du personnel de la police et des agents pénitentiaires aux droits de l’homme et aux normes régissant la privation de liberté. Le Comité constate</w:t>
      </w:r>
      <w:r w:rsidR="006C6091" w:rsidRPr="00735423">
        <w:rPr>
          <w:rStyle w:val="SingleTxtGCar"/>
          <w:lang w:val="fr-FR"/>
        </w:rPr>
        <w:t>,</w:t>
      </w:r>
      <w:r w:rsidR="001E5A68" w:rsidRPr="00735423">
        <w:rPr>
          <w:rStyle w:val="SingleTxtGCar"/>
          <w:lang w:val="fr-FR"/>
        </w:rPr>
        <w:t xml:space="preserve"> néanmoins</w:t>
      </w:r>
      <w:r w:rsidR="006C6091" w:rsidRPr="00735423">
        <w:rPr>
          <w:rStyle w:val="SingleTxtGCar"/>
          <w:lang w:val="fr-FR"/>
        </w:rPr>
        <w:t>,</w:t>
      </w:r>
      <w:r w:rsidR="001E5A68" w:rsidRPr="00735423">
        <w:rPr>
          <w:rStyle w:val="SingleTxtGCar"/>
          <w:lang w:val="fr-FR"/>
        </w:rPr>
        <w:t xml:space="preserve"> que ces formations ne portent pas expressément sur la Convention (art. 23</w:t>
      </w:r>
      <w:r w:rsidR="001E5A68" w:rsidRPr="00735423">
        <w:rPr>
          <w:lang w:val="fr-FR"/>
        </w:rPr>
        <w:t>).</w:t>
      </w:r>
    </w:p>
    <w:p w:rsidR="001E5A68" w:rsidRPr="00735423" w:rsidRDefault="00943379" w:rsidP="00943379">
      <w:pPr>
        <w:pStyle w:val="SingleTxtG"/>
        <w:rPr>
          <w:rStyle w:val="SingleTxtGCar"/>
          <w:b/>
          <w:lang w:val="fr-FR"/>
        </w:rPr>
      </w:pPr>
      <w:r w:rsidRPr="00735423">
        <w:rPr>
          <w:rStyle w:val="SingleTxtGCar"/>
          <w:lang w:val="fr-FR"/>
        </w:rPr>
        <w:t>36.</w:t>
      </w:r>
      <w:r w:rsidRPr="00735423">
        <w:rPr>
          <w:rStyle w:val="SingleTxtGCar"/>
          <w:lang w:val="fr-FR"/>
        </w:rPr>
        <w:tab/>
      </w:r>
      <w:r w:rsidR="001E5A68" w:rsidRPr="00735423">
        <w:rPr>
          <w:rStyle w:val="SingleTxtGCar"/>
          <w:b/>
          <w:bCs/>
          <w:lang w:val="fr-FR"/>
        </w:rPr>
        <w:t xml:space="preserve">Le Comité encourage </w:t>
      </w:r>
      <w:r w:rsidR="001E5A68" w:rsidRPr="001818DA">
        <w:rPr>
          <w:b/>
          <w:bCs/>
          <w:lang w:val="fr-FR"/>
        </w:rPr>
        <w:t>l’</w:t>
      </w:r>
      <w:r w:rsidR="001E5A68" w:rsidRPr="001818DA">
        <w:rPr>
          <w:rStyle w:val="SingleTxtGCar"/>
          <w:b/>
          <w:bCs/>
          <w:lang w:val="fr-FR"/>
        </w:rPr>
        <w:t xml:space="preserve">État partie à s’assurer que les formations dispensées au personnel militaire et civil chargé de l’application des lois, au personnel médical, aux agents de la fonction publique et aux autres personnes qui peuvent intervenir dans la </w:t>
      </w:r>
      <w:r w:rsidR="001E5A68" w:rsidRPr="001818DA">
        <w:rPr>
          <w:rStyle w:val="SingleTxtGCar"/>
          <w:b/>
          <w:bCs/>
          <w:lang w:val="fr-FR"/>
        </w:rPr>
        <w:lastRenderedPageBreak/>
        <w:t>garde ou le traitement de toute personne privée de liberté, y compris les juges, les procureurs et autres praticiens du droit de tous rangs, intègrent l’enseignement de la Convention, conformément à son article 23.</w:t>
      </w:r>
    </w:p>
    <w:p w:rsidR="001E5A68" w:rsidRPr="00735423" w:rsidRDefault="00BA744D" w:rsidP="00EB703F">
      <w:pPr>
        <w:pStyle w:val="H1G"/>
        <w:rPr>
          <w:lang w:val="fr-FR"/>
        </w:rPr>
      </w:pPr>
      <w:r w:rsidRPr="00735423">
        <w:rPr>
          <w:b w:val="0"/>
          <w:lang w:val="fr-FR"/>
        </w:rPr>
        <w:tab/>
      </w:r>
      <w:r w:rsidRPr="00735423">
        <w:rPr>
          <w:b w:val="0"/>
          <w:lang w:val="fr-FR"/>
        </w:rPr>
        <w:tab/>
      </w:r>
      <w:r w:rsidR="001E5A68" w:rsidRPr="00735423">
        <w:rPr>
          <w:lang w:val="fr-FR"/>
        </w:rPr>
        <w:t xml:space="preserve">Mesures de réparation et mesures de protection des enfants </w:t>
      </w:r>
      <w:r w:rsidR="00A400A2">
        <w:rPr>
          <w:lang w:val="fr-FR"/>
        </w:rPr>
        <w:br/>
      </w:r>
      <w:r w:rsidR="001E5A68" w:rsidRPr="00735423">
        <w:rPr>
          <w:lang w:val="fr-FR"/>
        </w:rPr>
        <w:t>contre les</w:t>
      </w:r>
      <w:r w:rsidR="00CC1132" w:rsidRPr="00735423">
        <w:rPr>
          <w:lang w:val="fr-FR"/>
        </w:rPr>
        <w:t xml:space="preserve"> </w:t>
      </w:r>
      <w:r w:rsidR="001E5A68" w:rsidRPr="00735423">
        <w:rPr>
          <w:lang w:val="fr-FR"/>
        </w:rPr>
        <w:t>disparitions forcées (art. 24 et 25)</w:t>
      </w:r>
    </w:p>
    <w:p w:rsidR="001E5A68" w:rsidRPr="00735423" w:rsidRDefault="00BA744D" w:rsidP="00EB703F">
      <w:pPr>
        <w:pStyle w:val="H23G"/>
        <w:rPr>
          <w:lang w:val="fr-FR"/>
        </w:rPr>
      </w:pPr>
      <w:r w:rsidRPr="00735423">
        <w:rPr>
          <w:lang w:val="fr-FR"/>
        </w:rPr>
        <w:tab/>
      </w:r>
      <w:r w:rsidRPr="00735423">
        <w:rPr>
          <w:lang w:val="fr-FR"/>
        </w:rPr>
        <w:tab/>
      </w:r>
      <w:r w:rsidR="001E5A68" w:rsidRPr="00735423">
        <w:rPr>
          <w:lang w:val="fr-FR"/>
        </w:rPr>
        <w:t>Réparation</w:t>
      </w:r>
    </w:p>
    <w:p w:rsidR="001E5A68" w:rsidRPr="00E573D7" w:rsidRDefault="00943379" w:rsidP="00943379">
      <w:pPr>
        <w:pStyle w:val="SingleTxtG"/>
        <w:rPr>
          <w:b/>
          <w:lang w:val="fr-FR"/>
        </w:rPr>
      </w:pPr>
      <w:r w:rsidRPr="00E573D7">
        <w:rPr>
          <w:lang w:val="fr-FR"/>
        </w:rPr>
        <w:t>37.</w:t>
      </w:r>
      <w:r w:rsidRPr="00E573D7">
        <w:rPr>
          <w:lang w:val="fr-FR"/>
        </w:rPr>
        <w:tab/>
      </w:r>
      <w:r w:rsidR="001E5A68" w:rsidRPr="00735423">
        <w:rPr>
          <w:lang w:val="fr-FR"/>
        </w:rPr>
        <w:t xml:space="preserve">Le </w:t>
      </w:r>
      <w:r w:rsidR="003B5104" w:rsidRPr="00735423">
        <w:rPr>
          <w:lang w:val="fr-FR"/>
        </w:rPr>
        <w:t>C</w:t>
      </w:r>
      <w:r w:rsidR="001E5A68" w:rsidRPr="00735423">
        <w:rPr>
          <w:lang w:val="fr-FR"/>
        </w:rPr>
        <w:t>omité prend note avec satisfaction des informations sur les différents mécanismes de réparation qui existent dans l’</w:t>
      </w:r>
      <w:r w:rsidR="00A400A2" w:rsidRPr="00735423">
        <w:rPr>
          <w:lang w:val="fr-FR"/>
        </w:rPr>
        <w:t>État</w:t>
      </w:r>
      <w:r w:rsidR="001E5A68" w:rsidRPr="00735423">
        <w:rPr>
          <w:lang w:val="fr-FR"/>
        </w:rPr>
        <w:t xml:space="preserve"> partie et auxquels pourraient recourir les victimes de disparition forcée. Le Comité </w:t>
      </w:r>
      <w:r w:rsidR="001E5A68" w:rsidRPr="00E573D7">
        <w:rPr>
          <w:lang w:val="fr-FR"/>
        </w:rPr>
        <w:t>note également que l’</w:t>
      </w:r>
      <w:r w:rsidR="00A400A2" w:rsidRPr="00E573D7">
        <w:rPr>
          <w:lang w:val="fr-FR"/>
        </w:rPr>
        <w:t>État</w:t>
      </w:r>
      <w:r w:rsidR="001E5A68" w:rsidRPr="00E573D7">
        <w:rPr>
          <w:lang w:val="fr-FR"/>
        </w:rPr>
        <w:t xml:space="preserve"> partie a mis en place un </w:t>
      </w:r>
      <w:r w:rsidR="001E589A" w:rsidRPr="00E573D7">
        <w:rPr>
          <w:lang w:val="fr-FR"/>
        </w:rPr>
        <w:t>H</w:t>
      </w:r>
      <w:r w:rsidR="001E5A68" w:rsidRPr="00E573D7">
        <w:rPr>
          <w:lang w:val="fr-FR"/>
        </w:rPr>
        <w:t xml:space="preserve">aut Conseil pour la </w:t>
      </w:r>
      <w:r w:rsidR="00FE078B" w:rsidRPr="00872CC7">
        <w:rPr>
          <w:lang w:val="fr-FR"/>
        </w:rPr>
        <w:t>r</w:t>
      </w:r>
      <w:r w:rsidR="001E5A68" w:rsidRPr="00E573D7">
        <w:rPr>
          <w:lang w:val="fr-FR"/>
        </w:rPr>
        <w:t>éconciliation et l’</w:t>
      </w:r>
      <w:r w:rsidR="00FE078B" w:rsidRPr="00872CC7">
        <w:rPr>
          <w:lang w:val="fr-FR"/>
        </w:rPr>
        <w:t>u</w:t>
      </w:r>
      <w:r w:rsidR="001E5A68" w:rsidRPr="00E573D7">
        <w:rPr>
          <w:lang w:val="fr-FR"/>
        </w:rPr>
        <w:t>nité nationale, qui a</w:t>
      </w:r>
      <w:r w:rsidR="001E589A" w:rsidRPr="00E573D7">
        <w:rPr>
          <w:lang w:val="fr-FR"/>
        </w:rPr>
        <w:t xml:space="preserve">, en particulier, </w:t>
      </w:r>
      <w:r w:rsidR="001E5A68" w:rsidRPr="00E573D7">
        <w:rPr>
          <w:lang w:val="fr-FR"/>
        </w:rPr>
        <w:t xml:space="preserve">pour mandat de recevoir et traiter des plaintes </w:t>
      </w:r>
      <w:r w:rsidR="003B5104" w:rsidRPr="00E573D7">
        <w:rPr>
          <w:lang w:val="fr-FR"/>
        </w:rPr>
        <w:t>au regard</w:t>
      </w:r>
      <w:r w:rsidR="002E1F3C" w:rsidRPr="00E573D7">
        <w:rPr>
          <w:lang w:val="fr-FR"/>
        </w:rPr>
        <w:t xml:space="preserve"> de</w:t>
      </w:r>
      <w:r w:rsidR="0091725B" w:rsidRPr="00E573D7">
        <w:rPr>
          <w:lang w:val="fr-FR"/>
        </w:rPr>
        <w:t>s</w:t>
      </w:r>
      <w:r w:rsidR="002E1F3C" w:rsidRPr="00E573D7">
        <w:rPr>
          <w:lang w:val="fr-FR"/>
        </w:rPr>
        <w:t xml:space="preserve"> violations </w:t>
      </w:r>
      <w:r w:rsidR="001E5A68" w:rsidRPr="00E573D7">
        <w:rPr>
          <w:lang w:val="fr-FR"/>
        </w:rPr>
        <w:t>des droits de l’homme ayant eu lieu dans le passé afin de pou</w:t>
      </w:r>
      <w:r w:rsidR="003B5104" w:rsidRPr="00E573D7">
        <w:rPr>
          <w:lang w:val="fr-FR"/>
        </w:rPr>
        <w:t>r</w:t>
      </w:r>
      <w:r w:rsidR="001E5A68" w:rsidRPr="00E573D7">
        <w:rPr>
          <w:lang w:val="fr-FR"/>
        </w:rPr>
        <w:t xml:space="preserve">voir à une </w:t>
      </w:r>
      <w:r w:rsidR="00336106" w:rsidRPr="00E573D7">
        <w:rPr>
          <w:lang w:val="fr-FR"/>
        </w:rPr>
        <w:t>r</w:t>
      </w:r>
      <w:r w:rsidR="00343C9A" w:rsidRPr="00E573D7">
        <w:rPr>
          <w:lang w:val="fr-FR"/>
        </w:rPr>
        <w:t>é</w:t>
      </w:r>
      <w:r w:rsidR="00336106" w:rsidRPr="00E573D7">
        <w:rPr>
          <w:lang w:val="fr-FR"/>
        </w:rPr>
        <w:t>paration</w:t>
      </w:r>
      <w:r w:rsidR="001E589A" w:rsidRPr="00E573D7">
        <w:rPr>
          <w:lang w:val="fr-FR"/>
        </w:rPr>
        <w:t xml:space="preserve"> et qui a, dans ce cadre, recensé environ </w:t>
      </w:r>
      <w:r w:rsidR="002E1F3C" w:rsidRPr="00E573D7">
        <w:rPr>
          <w:lang w:val="fr-FR"/>
        </w:rPr>
        <w:t>5</w:t>
      </w:r>
      <w:r w:rsidR="00F62D5B" w:rsidRPr="00E573D7">
        <w:rPr>
          <w:lang w:val="fr-FR"/>
        </w:rPr>
        <w:t> </w:t>
      </w:r>
      <w:r w:rsidR="002E1F3C" w:rsidRPr="00E573D7">
        <w:rPr>
          <w:lang w:val="fr-FR"/>
        </w:rPr>
        <w:t xml:space="preserve">000 </w:t>
      </w:r>
      <w:r w:rsidR="003B5104" w:rsidRPr="00E573D7">
        <w:rPr>
          <w:lang w:val="fr-FR"/>
        </w:rPr>
        <w:t>dossiers</w:t>
      </w:r>
      <w:r w:rsidR="0017352C" w:rsidRPr="00E573D7">
        <w:rPr>
          <w:lang w:val="fr-FR"/>
        </w:rPr>
        <w:t xml:space="preserve"> </w:t>
      </w:r>
      <w:r w:rsidR="001E5A68" w:rsidRPr="00E573D7">
        <w:rPr>
          <w:lang w:val="fr-FR"/>
        </w:rPr>
        <w:t>(art. 24).</w:t>
      </w:r>
    </w:p>
    <w:p w:rsidR="004243BA" w:rsidRPr="00E573D7" w:rsidRDefault="00943379" w:rsidP="00943379">
      <w:pPr>
        <w:pStyle w:val="SingleTxtG"/>
        <w:rPr>
          <w:b/>
          <w:lang w:val="fr-FR"/>
        </w:rPr>
      </w:pPr>
      <w:r w:rsidRPr="00E573D7">
        <w:rPr>
          <w:lang w:val="fr-FR"/>
        </w:rPr>
        <w:t>38.</w:t>
      </w:r>
      <w:r w:rsidRPr="00E573D7">
        <w:rPr>
          <w:lang w:val="fr-FR"/>
        </w:rPr>
        <w:tab/>
      </w:r>
      <w:r w:rsidR="001E5A68" w:rsidRPr="00E573D7">
        <w:rPr>
          <w:b/>
          <w:lang w:val="fr-FR"/>
        </w:rPr>
        <w:t>Le Comité invite l’</w:t>
      </w:r>
      <w:r w:rsidR="00A400A2" w:rsidRPr="00E573D7">
        <w:rPr>
          <w:b/>
          <w:lang w:val="fr-FR"/>
        </w:rPr>
        <w:t>État</w:t>
      </w:r>
      <w:r w:rsidR="001E5A68" w:rsidRPr="00E573D7">
        <w:rPr>
          <w:b/>
          <w:lang w:val="fr-FR"/>
        </w:rPr>
        <w:t xml:space="preserve"> partie à lui fournir des renseignements sur de possibles cas de disparitions forcées qui auraient été recensés et traités par le Haut Conseil pour la </w:t>
      </w:r>
      <w:r w:rsidR="00FE078B" w:rsidRPr="00872CC7">
        <w:rPr>
          <w:b/>
          <w:lang w:val="fr-FR"/>
        </w:rPr>
        <w:t>r</w:t>
      </w:r>
      <w:r w:rsidR="001E5A68" w:rsidRPr="00E573D7">
        <w:rPr>
          <w:b/>
          <w:lang w:val="fr-FR"/>
        </w:rPr>
        <w:t>éconciliation et l’</w:t>
      </w:r>
      <w:r w:rsidR="00FE078B" w:rsidRPr="00872CC7">
        <w:rPr>
          <w:b/>
          <w:lang w:val="fr-FR"/>
        </w:rPr>
        <w:t>u</w:t>
      </w:r>
      <w:r w:rsidR="001E5A68" w:rsidRPr="00E573D7">
        <w:rPr>
          <w:b/>
          <w:lang w:val="fr-FR"/>
        </w:rPr>
        <w:t>nité nationale et sur les mesures d</w:t>
      </w:r>
      <w:r w:rsidR="00B5582E" w:rsidRPr="00E573D7">
        <w:rPr>
          <w:b/>
          <w:lang w:val="fr-FR"/>
        </w:rPr>
        <w:t>e réparation</w:t>
      </w:r>
      <w:r w:rsidR="001E5A68" w:rsidRPr="00E573D7">
        <w:rPr>
          <w:b/>
          <w:lang w:val="fr-FR"/>
        </w:rPr>
        <w:t xml:space="preserve"> proposées.</w:t>
      </w:r>
      <w:r w:rsidR="00B5582E" w:rsidRPr="00E573D7">
        <w:rPr>
          <w:b/>
          <w:lang w:val="fr-FR"/>
        </w:rPr>
        <w:t xml:space="preserve"> Il l’invite également à lui fournir des renseignements sur le nombre de cas</w:t>
      </w:r>
      <w:r w:rsidR="00C86015" w:rsidRPr="00E573D7">
        <w:rPr>
          <w:b/>
          <w:lang w:val="fr-FR"/>
        </w:rPr>
        <w:t xml:space="preserve"> pour lesquels les plaignants ont préféré recour</w:t>
      </w:r>
      <w:r w:rsidR="003B5104" w:rsidRPr="00E573D7">
        <w:rPr>
          <w:b/>
          <w:lang w:val="fr-FR"/>
        </w:rPr>
        <w:t>ir</w:t>
      </w:r>
      <w:r w:rsidR="00C86015" w:rsidRPr="00E573D7">
        <w:rPr>
          <w:b/>
          <w:lang w:val="fr-FR"/>
        </w:rPr>
        <w:t xml:space="preserve"> à des juridictions ordinaires</w:t>
      </w:r>
      <w:r w:rsidR="006C6091" w:rsidRPr="00E573D7">
        <w:rPr>
          <w:b/>
          <w:lang w:val="fr-FR"/>
        </w:rPr>
        <w:t xml:space="preserve"> aux fins de poursuites</w:t>
      </w:r>
      <w:r w:rsidR="00C86015" w:rsidRPr="00E573D7">
        <w:rPr>
          <w:b/>
          <w:lang w:val="fr-FR"/>
        </w:rPr>
        <w:t>.</w:t>
      </w:r>
    </w:p>
    <w:p w:rsidR="004243BA" w:rsidRPr="00E573D7" w:rsidRDefault="00FD6BA9" w:rsidP="00EB703F">
      <w:pPr>
        <w:pStyle w:val="H23G"/>
        <w:rPr>
          <w:lang w:val="fr-FR"/>
        </w:rPr>
      </w:pPr>
      <w:r w:rsidRPr="00E573D7">
        <w:rPr>
          <w:lang w:val="fr-FR"/>
        </w:rPr>
        <w:tab/>
      </w:r>
      <w:r w:rsidRPr="00E573D7">
        <w:rPr>
          <w:lang w:val="fr-FR"/>
        </w:rPr>
        <w:tab/>
      </w:r>
      <w:r w:rsidR="004243BA" w:rsidRPr="00E573D7">
        <w:rPr>
          <w:lang w:val="fr-FR"/>
        </w:rPr>
        <w:t>Protection de la personne disparue</w:t>
      </w:r>
    </w:p>
    <w:p w:rsidR="004243BA" w:rsidRPr="001818DA" w:rsidRDefault="00943379" w:rsidP="00943379">
      <w:pPr>
        <w:pStyle w:val="SingleTxtG"/>
        <w:rPr>
          <w:b/>
          <w:lang w:val="fr-FR"/>
        </w:rPr>
      </w:pPr>
      <w:r w:rsidRPr="001818DA">
        <w:rPr>
          <w:lang w:val="fr-FR"/>
        </w:rPr>
        <w:t>39.</w:t>
      </w:r>
      <w:r w:rsidRPr="001818DA">
        <w:rPr>
          <w:lang w:val="fr-FR"/>
        </w:rPr>
        <w:tab/>
      </w:r>
      <w:r w:rsidR="001E5A68" w:rsidRPr="00E573D7">
        <w:rPr>
          <w:lang w:val="fr-FR"/>
        </w:rPr>
        <w:t xml:space="preserve">Le Comité constate que le Code des personnes et de la famille de l’État partie fixe des </w:t>
      </w:r>
      <w:r w:rsidR="001E5A68" w:rsidRPr="00E573D7">
        <w:rPr>
          <w:bCs/>
          <w:lang w:val="fr-FR"/>
        </w:rPr>
        <w:t>délais pour l’établissement</w:t>
      </w:r>
      <w:r w:rsidR="001E5A68" w:rsidRPr="00E573D7">
        <w:rPr>
          <w:lang w:val="fr-FR"/>
        </w:rPr>
        <w:t xml:space="preserve"> de la </w:t>
      </w:r>
      <w:r w:rsidR="004A1839" w:rsidRPr="00E573D7">
        <w:rPr>
          <w:lang w:val="fr-FR"/>
        </w:rPr>
        <w:t>déclaration de décès de l’absent</w:t>
      </w:r>
      <w:r w:rsidR="004A1839" w:rsidRPr="001818DA">
        <w:rPr>
          <w:lang w:val="fr-FR"/>
        </w:rPr>
        <w:t xml:space="preserve"> ou du </w:t>
      </w:r>
      <w:r w:rsidR="004A1839" w:rsidRPr="00FE078B">
        <w:rPr>
          <w:lang w:val="fr-FR"/>
        </w:rPr>
        <w:t>disparu, qui ouvre</w:t>
      </w:r>
      <w:r w:rsidR="003B5104" w:rsidRPr="00FE078B">
        <w:rPr>
          <w:lang w:val="fr-FR"/>
        </w:rPr>
        <w:t>nt</w:t>
      </w:r>
      <w:r w:rsidR="004A1839" w:rsidRPr="00FE078B">
        <w:rPr>
          <w:lang w:val="fr-FR"/>
        </w:rPr>
        <w:t xml:space="preserve"> le droit au règlem</w:t>
      </w:r>
      <w:r w:rsidR="004A1839" w:rsidRPr="001818DA">
        <w:rPr>
          <w:lang w:val="fr-FR"/>
        </w:rPr>
        <w:t>ent de</w:t>
      </w:r>
      <w:r w:rsidR="002E3072" w:rsidRPr="001818DA">
        <w:rPr>
          <w:lang w:val="fr-FR"/>
        </w:rPr>
        <w:t xml:space="preserve"> la situation légale de la personne disparue dans les domaines de la protection sociale, des questions financières, </w:t>
      </w:r>
      <w:r w:rsidR="00981B64" w:rsidRPr="001818DA">
        <w:rPr>
          <w:lang w:val="fr-FR"/>
        </w:rPr>
        <w:t>du</w:t>
      </w:r>
      <w:r w:rsidR="002E3072" w:rsidRPr="001818DA">
        <w:rPr>
          <w:lang w:val="fr-FR"/>
        </w:rPr>
        <w:t xml:space="preserve"> droit de la famille et </w:t>
      </w:r>
      <w:r w:rsidR="00981B64" w:rsidRPr="001818DA">
        <w:rPr>
          <w:lang w:val="fr-FR"/>
        </w:rPr>
        <w:t xml:space="preserve">des </w:t>
      </w:r>
      <w:r w:rsidR="002E3072" w:rsidRPr="001818DA">
        <w:rPr>
          <w:lang w:val="fr-FR"/>
        </w:rPr>
        <w:t xml:space="preserve">droits de propriété. </w:t>
      </w:r>
      <w:r w:rsidR="001E5A68" w:rsidRPr="001818DA">
        <w:rPr>
          <w:lang w:val="fr-FR"/>
        </w:rPr>
        <w:t xml:space="preserve">Le Comité note que la déclaration de décès peut entraîner la clôture des recherches de la personne disparue, à moins </w:t>
      </w:r>
      <w:r w:rsidR="002E3072" w:rsidRPr="001818DA">
        <w:rPr>
          <w:lang w:val="fr-FR"/>
        </w:rPr>
        <w:t>que le</w:t>
      </w:r>
      <w:r w:rsidR="001E5A68" w:rsidRPr="001818DA">
        <w:rPr>
          <w:lang w:val="fr-FR"/>
        </w:rPr>
        <w:t xml:space="preserve"> Procureur </w:t>
      </w:r>
      <w:r w:rsidR="002E3072" w:rsidRPr="001818DA">
        <w:rPr>
          <w:lang w:val="fr-FR"/>
        </w:rPr>
        <w:t xml:space="preserve">ne fasse une demande expresse afin </w:t>
      </w:r>
      <w:r w:rsidR="001E5A68" w:rsidRPr="001818DA">
        <w:rPr>
          <w:lang w:val="fr-FR"/>
        </w:rPr>
        <w:t xml:space="preserve">de poursuivre celles-ci. </w:t>
      </w:r>
      <w:r w:rsidR="00976E13">
        <w:rPr>
          <w:lang w:val="fr-FR"/>
        </w:rPr>
        <w:t xml:space="preserve">Le Comité </w:t>
      </w:r>
      <w:r w:rsidR="001E5A68" w:rsidRPr="001818DA">
        <w:rPr>
          <w:lang w:val="fr-FR"/>
        </w:rPr>
        <w:t>comprend qu’il est important de clarifier la situation légale des proches d’une personne disparue ainsi que leurs droits en matière de protection sociale, mais il considère que cette procédure légale ne devrait pas être fondée sur le postulat que la personne disparue est décédée tant que son sort n’a pas été élucidé, eu égard au caractère continu d’une disparition forcée (art. 24)</w:t>
      </w:r>
      <w:r w:rsidR="004243BA" w:rsidRPr="001818DA">
        <w:rPr>
          <w:b/>
          <w:lang w:val="fr-FR"/>
        </w:rPr>
        <w:t>.</w:t>
      </w:r>
    </w:p>
    <w:p w:rsidR="002E3072" w:rsidRPr="001818DA" w:rsidRDefault="00943379" w:rsidP="00943379">
      <w:pPr>
        <w:pStyle w:val="SingleTxtG"/>
        <w:rPr>
          <w:b/>
          <w:lang w:val="fr-FR"/>
        </w:rPr>
      </w:pPr>
      <w:r w:rsidRPr="001818DA">
        <w:rPr>
          <w:lang w:val="fr-FR"/>
        </w:rPr>
        <w:t>40.</w:t>
      </w:r>
      <w:r w:rsidRPr="001818DA">
        <w:rPr>
          <w:lang w:val="fr-FR"/>
        </w:rPr>
        <w:tab/>
      </w:r>
      <w:r w:rsidR="001E5A68" w:rsidRPr="001818DA">
        <w:rPr>
          <w:b/>
          <w:lang w:val="fr-FR"/>
        </w:rPr>
        <w:t xml:space="preserve">Le Comité invite l’État partie à envisager de revoir sa législation en vue d’y intégrer des dispositions qui </w:t>
      </w:r>
      <w:r w:rsidR="00C35F52" w:rsidRPr="001818DA">
        <w:rPr>
          <w:b/>
          <w:lang w:val="fr-FR"/>
        </w:rPr>
        <w:t>prévoient qu’en cas de disparition forcée, la déclaration d</w:t>
      </w:r>
      <w:r w:rsidR="002E3072" w:rsidRPr="001818DA">
        <w:rPr>
          <w:b/>
          <w:lang w:val="fr-FR"/>
        </w:rPr>
        <w:t>e décès de l’absent ou du disparu n’étei</w:t>
      </w:r>
      <w:r w:rsidR="00976E13">
        <w:rPr>
          <w:b/>
          <w:lang w:val="fr-FR"/>
        </w:rPr>
        <w:t>nt</w:t>
      </w:r>
      <w:r w:rsidR="002E3072" w:rsidRPr="001818DA">
        <w:rPr>
          <w:b/>
          <w:lang w:val="fr-FR"/>
        </w:rPr>
        <w:t xml:space="preserve"> pas l’obligation de recherche faite à l’</w:t>
      </w:r>
      <w:r w:rsidR="003306D0" w:rsidRPr="00735423">
        <w:rPr>
          <w:b/>
          <w:lang w:val="fr-FR"/>
        </w:rPr>
        <w:t>État</w:t>
      </w:r>
      <w:r w:rsidR="002E3072" w:rsidRPr="001818DA">
        <w:rPr>
          <w:b/>
          <w:lang w:val="fr-FR"/>
        </w:rPr>
        <w:t xml:space="preserve"> partie </w:t>
      </w:r>
      <w:r w:rsidR="00976E13">
        <w:rPr>
          <w:b/>
          <w:lang w:val="fr-FR"/>
        </w:rPr>
        <w:t xml:space="preserve">au titre </w:t>
      </w:r>
      <w:r w:rsidR="002E3072" w:rsidRPr="001818DA">
        <w:rPr>
          <w:b/>
          <w:lang w:val="fr-FR"/>
        </w:rPr>
        <w:t>des paragraphes 3 et 6 de l’article 24 de la Convention.</w:t>
      </w:r>
      <w:r w:rsidR="00981B64" w:rsidRPr="001818DA">
        <w:rPr>
          <w:b/>
          <w:lang w:val="fr-FR"/>
        </w:rPr>
        <w:t xml:space="preserve"> Le Comité invite l’</w:t>
      </w:r>
      <w:r w:rsidR="003306D0" w:rsidRPr="00735423">
        <w:rPr>
          <w:b/>
          <w:lang w:val="fr-FR"/>
        </w:rPr>
        <w:t>État</w:t>
      </w:r>
      <w:r w:rsidR="00981B64" w:rsidRPr="001818DA">
        <w:rPr>
          <w:b/>
          <w:lang w:val="fr-FR"/>
        </w:rPr>
        <w:t xml:space="preserve"> partie à veiller à établir</w:t>
      </w:r>
      <w:r w:rsidR="00976E13">
        <w:rPr>
          <w:b/>
          <w:lang w:val="fr-FR"/>
        </w:rPr>
        <w:t>,</w:t>
      </w:r>
      <w:r w:rsidR="00981B64" w:rsidRPr="001818DA">
        <w:rPr>
          <w:b/>
          <w:lang w:val="fr-FR"/>
        </w:rPr>
        <w:t xml:space="preserve"> dans sa législation, un équilibre entre la nécessité de clarifier la situation légale des proches d’une personne disparue ou absente ainsi que leurs droits, et l’intérêt et les droits de la personne disparue, en particulier l’obligation de recherche faite à l’</w:t>
      </w:r>
      <w:r w:rsidR="003306D0" w:rsidRPr="00735423">
        <w:rPr>
          <w:b/>
          <w:lang w:val="fr-FR"/>
        </w:rPr>
        <w:t>État</w:t>
      </w:r>
      <w:r w:rsidR="00981B64" w:rsidRPr="001818DA">
        <w:rPr>
          <w:b/>
          <w:lang w:val="fr-FR"/>
        </w:rPr>
        <w:t xml:space="preserve"> partie.</w:t>
      </w:r>
    </w:p>
    <w:p w:rsidR="001E5A68" w:rsidRPr="001818DA" w:rsidRDefault="003306D0">
      <w:pPr>
        <w:pStyle w:val="H23G"/>
        <w:rPr>
          <w:lang w:val="fr-FR"/>
        </w:rPr>
      </w:pPr>
      <w:r>
        <w:rPr>
          <w:lang w:val="fr-FR"/>
        </w:rPr>
        <w:tab/>
      </w:r>
      <w:r>
        <w:rPr>
          <w:lang w:val="fr-FR"/>
        </w:rPr>
        <w:tab/>
      </w:r>
      <w:r w:rsidR="00CE3E5B" w:rsidRPr="001818DA">
        <w:rPr>
          <w:lang w:val="fr-FR"/>
        </w:rPr>
        <w:t>L</w:t>
      </w:r>
      <w:r w:rsidR="0091725B" w:rsidRPr="001818DA">
        <w:rPr>
          <w:lang w:val="fr-FR"/>
        </w:rPr>
        <w:t>é</w:t>
      </w:r>
      <w:r w:rsidR="00CE3E5B" w:rsidRPr="001818DA">
        <w:rPr>
          <w:lang w:val="fr-FR"/>
        </w:rPr>
        <w:t xml:space="preserve">gislation relative </w:t>
      </w:r>
      <w:r w:rsidR="0091725B" w:rsidRPr="001818DA">
        <w:rPr>
          <w:lang w:val="fr-FR"/>
        </w:rPr>
        <w:t>à</w:t>
      </w:r>
      <w:r w:rsidR="00CE3E5B" w:rsidRPr="001818DA">
        <w:rPr>
          <w:lang w:val="fr-FR"/>
        </w:rPr>
        <w:t xml:space="preserve"> la protection des enfants</w:t>
      </w:r>
    </w:p>
    <w:p w:rsidR="001E5A68" w:rsidRPr="00E573D7" w:rsidRDefault="00943379" w:rsidP="00943379">
      <w:pPr>
        <w:pStyle w:val="SingleTxtG"/>
        <w:rPr>
          <w:lang w:val="fr-FR"/>
        </w:rPr>
      </w:pPr>
      <w:r w:rsidRPr="00E573D7">
        <w:rPr>
          <w:lang w:val="fr-FR"/>
        </w:rPr>
        <w:t>41.</w:t>
      </w:r>
      <w:r w:rsidRPr="00E573D7">
        <w:rPr>
          <w:lang w:val="fr-FR"/>
        </w:rPr>
        <w:tab/>
      </w:r>
      <w:r w:rsidR="001E5A68" w:rsidRPr="001818DA">
        <w:rPr>
          <w:lang w:val="fr-FR"/>
        </w:rPr>
        <w:t>Le Comité prend note des mesures prises par l’</w:t>
      </w:r>
      <w:r w:rsidR="003306D0" w:rsidRPr="00735423">
        <w:rPr>
          <w:lang w:val="fr-FR"/>
        </w:rPr>
        <w:t>État</w:t>
      </w:r>
      <w:r w:rsidR="001E5A68" w:rsidRPr="001818DA">
        <w:rPr>
          <w:lang w:val="fr-FR"/>
        </w:rPr>
        <w:t xml:space="preserve"> partie pour incriminer le faux et l’usage de faux. Il constate, néanmoins, que, selon la délégation de l’</w:t>
      </w:r>
      <w:r w:rsidR="003306D0" w:rsidRPr="00735423">
        <w:rPr>
          <w:lang w:val="fr-FR"/>
        </w:rPr>
        <w:t>État</w:t>
      </w:r>
      <w:r w:rsidR="001E5A68" w:rsidRPr="001818DA">
        <w:rPr>
          <w:lang w:val="fr-FR"/>
        </w:rPr>
        <w:t xml:space="preserve"> partie, la législation ne comporte pas de dispositions expresses permettant de prévenir ou de réprimer pénalement la falsification, la dissimulation ou la destruction de documents attestant la véritable identité des enfants </w:t>
      </w:r>
      <w:r w:rsidR="001E5A68" w:rsidRPr="00E573D7">
        <w:rPr>
          <w:lang w:val="fr-FR"/>
        </w:rPr>
        <w:t>visés au paragraphe 1, alinéa</w:t>
      </w:r>
      <w:r w:rsidR="00BF0ECB" w:rsidRPr="00E573D7">
        <w:rPr>
          <w:lang w:val="fr-FR"/>
        </w:rPr>
        <w:t> </w:t>
      </w:r>
      <w:r w:rsidR="001E5A68" w:rsidRPr="00872CC7">
        <w:rPr>
          <w:i/>
          <w:iCs/>
          <w:lang w:val="fr-FR"/>
        </w:rPr>
        <w:t>a</w:t>
      </w:r>
      <w:r w:rsidR="001E5A68" w:rsidRPr="00E573D7">
        <w:rPr>
          <w:lang w:val="fr-FR"/>
        </w:rPr>
        <w:t>, de l’article 25.</w:t>
      </w:r>
    </w:p>
    <w:p w:rsidR="001E5A68" w:rsidRPr="00E573D7" w:rsidRDefault="00943379" w:rsidP="00943379">
      <w:pPr>
        <w:pStyle w:val="SingleTxtG"/>
        <w:rPr>
          <w:b/>
          <w:lang w:val="fr-FR"/>
        </w:rPr>
      </w:pPr>
      <w:r w:rsidRPr="00E573D7">
        <w:rPr>
          <w:lang w:val="fr-FR"/>
        </w:rPr>
        <w:lastRenderedPageBreak/>
        <w:t>42.</w:t>
      </w:r>
      <w:r w:rsidRPr="00E573D7">
        <w:rPr>
          <w:lang w:val="fr-FR"/>
        </w:rPr>
        <w:tab/>
      </w:r>
      <w:r w:rsidR="001E5A68" w:rsidRPr="00E573D7">
        <w:rPr>
          <w:b/>
          <w:lang w:val="fr-FR"/>
        </w:rPr>
        <w:t>Le Comité recommande à l’</w:t>
      </w:r>
      <w:r w:rsidR="003306D0" w:rsidRPr="00E573D7">
        <w:rPr>
          <w:b/>
          <w:lang w:val="fr-FR"/>
        </w:rPr>
        <w:t>État</w:t>
      </w:r>
      <w:r w:rsidR="001E5A68" w:rsidRPr="00E573D7">
        <w:rPr>
          <w:b/>
          <w:lang w:val="fr-FR"/>
        </w:rPr>
        <w:t xml:space="preserve"> partie de renforcer sa législation pénale pour prévenir et réprimer expressément les cas de falsification, de dissimulation ou </w:t>
      </w:r>
      <w:r w:rsidR="00F473E2" w:rsidRPr="00E573D7">
        <w:rPr>
          <w:b/>
          <w:lang w:val="fr-FR"/>
        </w:rPr>
        <w:t xml:space="preserve">de </w:t>
      </w:r>
      <w:r w:rsidR="001E5A68" w:rsidRPr="00E573D7">
        <w:rPr>
          <w:b/>
          <w:lang w:val="fr-FR"/>
        </w:rPr>
        <w:t>destruction de documents attestant la véritable identité des enfants visés au paragraphe</w:t>
      </w:r>
      <w:r w:rsidR="00F473E2" w:rsidRPr="00872CC7">
        <w:rPr>
          <w:b/>
          <w:lang w:val="fr-FR"/>
        </w:rPr>
        <w:t> </w:t>
      </w:r>
      <w:r w:rsidR="001E5A68" w:rsidRPr="00E573D7">
        <w:rPr>
          <w:b/>
          <w:lang w:val="fr-FR"/>
        </w:rPr>
        <w:t>1, alinéa</w:t>
      </w:r>
      <w:r w:rsidR="00BF0ECB" w:rsidRPr="00E573D7">
        <w:rPr>
          <w:b/>
          <w:lang w:val="fr-FR"/>
        </w:rPr>
        <w:t> </w:t>
      </w:r>
      <w:r w:rsidR="001E5A68" w:rsidRPr="00872CC7">
        <w:rPr>
          <w:b/>
          <w:i/>
          <w:iCs/>
          <w:lang w:val="fr-FR"/>
        </w:rPr>
        <w:t>a</w:t>
      </w:r>
      <w:r w:rsidR="001E5A68" w:rsidRPr="00E573D7">
        <w:rPr>
          <w:b/>
          <w:lang w:val="fr-FR"/>
        </w:rPr>
        <w:t>, de l’article 25.</w:t>
      </w:r>
    </w:p>
    <w:p w:rsidR="000B0480" w:rsidRPr="00E573D7" w:rsidRDefault="001C3654">
      <w:pPr>
        <w:pStyle w:val="H1G"/>
      </w:pPr>
      <w:r w:rsidRPr="00E573D7">
        <w:rPr>
          <w:lang w:val="fr-FR" w:eastAsia="en-GB"/>
        </w:rPr>
        <w:tab/>
      </w:r>
      <w:r w:rsidR="000B0480" w:rsidRPr="00E573D7">
        <w:rPr>
          <w:lang w:val="fr-FR" w:eastAsia="en-GB"/>
        </w:rPr>
        <w:t>D.</w:t>
      </w:r>
      <w:r w:rsidR="000B0480" w:rsidRPr="00E573D7">
        <w:rPr>
          <w:lang w:val="fr-FR" w:eastAsia="en-GB"/>
        </w:rPr>
        <w:tab/>
        <w:t>Diffusion et suivi</w:t>
      </w:r>
    </w:p>
    <w:p w:rsidR="000B0480" w:rsidRPr="00F57464" w:rsidRDefault="00943379" w:rsidP="00943379">
      <w:pPr>
        <w:pStyle w:val="ParNoG"/>
        <w:ind w:left="1134"/>
        <w:rPr>
          <w:lang w:val="fr-FR" w:eastAsia="en-GB"/>
        </w:rPr>
      </w:pPr>
      <w:r w:rsidRPr="00F57464">
        <w:rPr>
          <w:lang w:val="fr-FR" w:eastAsia="en-GB"/>
        </w:rPr>
        <w:t>43.</w:t>
      </w:r>
      <w:r w:rsidRPr="00F57464">
        <w:rPr>
          <w:lang w:val="fr-FR" w:eastAsia="en-GB"/>
        </w:rPr>
        <w:tab/>
      </w:r>
      <w:r w:rsidR="000B0480" w:rsidRPr="00F57464">
        <w:rPr>
          <w:rStyle w:val="SingleTxtGCar"/>
          <w:lang w:val="fr-FR"/>
        </w:rPr>
        <w:t xml:space="preserve">Le Comité tient à rappeler les obligations auxquelles les États ont souscrit en ratifiant la Convention et, à ce propos, engage l’État partie à s’assurer que toutes les mesures qu’il adopte, quelles que soient leur nature et l’autorité dont elles émanent, sont pleinement conformes aux obligations qu’il a assumées en ratifiant la Convention et d’autres instruments internationaux pertinents. </w:t>
      </w:r>
      <w:r w:rsidR="000B0480" w:rsidRPr="00F57464">
        <w:rPr>
          <w:lang w:val="fr-FR"/>
        </w:rPr>
        <w:t>À cet égard, le Comité exhorte l’État partie à garantir spécifiquement l’efficacité des enquêtes sur toutes les disparitions forcées et la pleine satisfaction des droits des victimes tels qu</w:t>
      </w:r>
      <w:r w:rsidR="00BB2CCF" w:rsidRPr="00F57464">
        <w:rPr>
          <w:lang w:val="fr-FR"/>
        </w:rPr>
        <w:t>’</w:t>
      </w:r>
      <w:r w:rsidR="000B0480" w:rsidRPr="00F57464">
        <w:rPr>
          <w:lang w:val="fr-FR"/>
        </w:rPr>
        <w:t>inscrits dans la Convention</w:t>
      </w:r>
      <w:r w:rsidR="003306D0" w:rsidRPr="00F57464">
        <w:rPr>
          <w:lang w:val="fr-FR"/>
        </w:rPr>
        <w:t>.</w:t>
      </w:r>
    </w:p>
    <w:p w:rsidR="000B0480" w:rsidRPr="00F57464" w:rsidRDefault="00943379" w:rsidP="00943379">
      <w:pPr>
        <w:pStyle w:val="ParNoG"/>
        <w:ind w:left="1134"/>
        <w:rPr>
          <w:lang w:val="fr-FR" w:eastAsia="en-GB"/>
        </w:rPr>
      </w:pPr>
      <w:r w:rsidRPr="00F57464">
        <w:rPr>
          <w:lang w:val="fr-FR" w:eastAsia="en-GB"/>
        </w:rPr>
        <w:t>44.</w:t>
      </w:r>
      <w:r w:rsidRPr="00F57464">
        <w:rPr>
          <w:lang w:val="fr-FR" w:eastAsia="en-GB"/>
        </w:rPr>
        <w:tab/>
      </w:r>
      <w:r w:rsidR="000B0480" w:rsidRPr="00F57464">
        <w:rPr>
          <w:rStyle w:val="SingleTxtGCar"/>
          <w:lang w:val="fr-FR"/>
        </w:rPr>
        <w:t xml:space="preserve">Le Comité tient également à souligner </w:t>
      </w:r>
      <w:r w:rsidR="00661B40" w:rsidRPr="00F57464">
        <w:rPr>
          <w:rStyle w:val="SingleTxtGCar"/>
          <w:lang w:val="fr-FR"/>
        </w:rPr>
        <w:t xml:space="preserve">que les disparitions forcées ont des </w:t>
      </w:r>
      <w:r w:rsidR="000B0480" w:rsidRPr="00F57464">
        <w:rPr>
          <w:rStyle w:val="SingleTxtGCar"/>
          <w:lang w:val="fr-FR"/>
        </w:rPr>
        <w:t>effet</w:t>
      </w:r>
      <w:r w:rsidR="00661B40" w:rsidRPr="00F57464">
        <w:rPr>
          <w:rStyle w:val="SingleTxtGCar"/>
          <w:lang w:val="fr-FR"/>
        </w:rPr>
        <w:t>s</w:t>
      </w:r>
      <w:r w:rsidR="000B0480" w:rsidRPr="00F57464">
        <w:rPr>
          <w:rStyle w:val="SingleTxtGCar"/>
          <w:lang w:val="fr-FR"/>
        </w:rPr>
        <w:t xml:space="preserve"> particulièrement cruel</w:t>
      </w:r>
      <w:r w:rsidR="00661B40" w:rsidRPr="00F57464">
        <w:rPr>
          <w:rStyle w:val="SingleTxtGCar"/>
          <w:lang w:val="fr-FR"/>
        </w:rPr>
        <w:t>s</w:t>
      </w:r>
      <w:r w:rsidR="000B0480" w:rsidRPr="00F57464">
        <w:rPr>
          <w:rStyle w:val="SingleTxtGCar"/>
          <w:lang w:val="fr-FR"/>
        </w:rPr>
        <w:t xml:space="preserve"> sur les droits des femmes et des enfants. Les femmes victimes de disparition forcée sont particulièrement vulnérables à la violence </w:t>
      </w:r>
      <w:r w:rsidR="000B0480" w:rsidRPr="00F57464">
        <w:rPr>
          <w:lang w:val="fr-FR"/>
        </w:rPr>
        <w:t>sexuelle</w:t>
      </w:r>
      <w:r w:rsidR="000B0480" w:rsidRPr="00F57464">
        <w:rPr>
          <w:rStyle w:val="SingleTxtGCar"/>
          <w:lang w:val="fr-FR"/>
        </w:rPr>
        <w:t xml:space="preserve"> et à d’autres formes de violence sexiste. Lorsqu’elles sont les parentes d’une personne disparue, les femmes sont particulièrement exposées à de</w:t>
      </w:r>
      <w:r w:rsidR="00661B40" w:rsidRPr="00F57464">
        <w:rPr>
          <w:rStyle w:val="SingleTxtGCar"/>
          <w:lang w:val="fr-FR"/>
        </w:rPr>
        <w:t>s</w:t>
      </w:r>
      <w:r w:rsidR="000B0480" w:rsidRPr="00F57464">
        <w:rPr>
          <w:rStyle w:val="SingleTxtGCar"/>
          <w:lang w:val="fr-FR"/>
        </w:rPr>
        <w:t xml:space="preserve"> conséquences sociales et économiques </w:t>
      </w:r>
      <w:r w:rsidR="00661B40" w:rsidRPr="00F57464">
        <w:rPr>
          <w:rStyle w:val="SingleTxtGCar"/>
          <w:lang w:val="fr-FR"/>
        </w:rPr>
        <w:t xml:space="preserve">graves </w:t>
      </w:r>
      <w:r w:rsidR="000B0480" w:rsidRPr="00F57464">
        <w:rPr>
          <w:rStyle w:val="SingleTxtGCar"/>
          <w:lang w:val="fr-FR"/>
        </w:rPr>
        <w:t xml:space="preserve">ainsi qu’à la violence, </w:t>
      </w:r>
      <w:r w:rsidR="00661B40" w:rsidRPr="00F57464">
        <w:rPr>
          <w:rStyle w:val="SingleTxtGCar"/>
          <w:lang w:val="fr-FR"/>
        </w:rPr>
        <w:t xml:space="preserve">aux </w:t>
      </w:r>
      <w:r w:rsidR="000B0480" w:rsidRPr="00F57464">
        <w:rPr>
          <w:rStyle w:val="SingleTxtGCar"/>
          <w:lang w:val="fr-FR"/>
        </w:rPr>
        <w:t>persécution</w:t>
      </w:r>
      <w:r w:rsidR="00661B40" w:rsidRPr="00F57464">
        <w:rPr>
          <w:rStyle w:val="SingleTxtGCar"/>
          <w:lang w:val="fr-FR"/>
        </w:rPr>
        <w:t>s</w:t>
      </w:r>
      <w:r w:rsidR="000B0480" w:rsidRPr="00F57464">
        <w:rPr>
          <w:rStyle w:val="SingleTxtGCar"/>
          <w:lang w:val="fr-FR"/>
        </w:rPr>
        <w:t xml:space="preserve"> et aux représailles du fait des efforts qu’elles déploient pour localiser leur proche. Pour leur part, les enfants victimes de disparition forcée, qu’ils soient eux-mêmes soumis à une disparition ou qu’ils subissent les conséquences d</w:t>
      </w:r>
      <w:r w:rsidR="00661B40" w:rsidRPr="00F57464">
        <w:rPr>
          <w:rStyle w:val="SingleTxtGCar"/>
          <w:lang w:val="fr-FR"/>
        </w:rPr>
        <w:t xml:space="preserve">e la </w:t>
      </w:r>
      <w:r w:rsidR="000B0480" w:rsidRPr="00F57464">
        <w:rPr>
          <w:rStyle w:val="SingleTxtGCar"/>
          <w:lang w:val="fr-FR"/>
        </w:rPr>
        <w:t xml:space="preserve">disparition de </w:t>
      </w:r>
      <w:r w:rsidR="00661B40" w:rsidRPr="00F57464">
        <w:rPr>
          <w:rStyle w:val="SingleTxtGCar"/>
          <w:lang w:val="fr-FR"/>
        </w:rPr>
        <w:t>membres de leur famille</w:t>
      </w:r>
      <w:r w:rsidR="000B0480" w:rsidRPr="00F57464">
        <w:rPr>
          <w:rStyle w:val="SingleTxtGCar"/>
          <w:lang w:val="fr-FR"/>
        </w:rPr>
        <w:t>, sont particulièrement exposés à de multiples violations des droits de l’homme, notamment la substitution d’identité. C’est pourquoi le Comité insiste sur la nécessité, pour l’État partie, de tenir compte des questions de genre et de la sensibilité des enfants dans l’application des droits et le respect des obligations qui découlent de la Convention</w:t>
      </w:r>
      <w:r w:rsidR="000B0480" w:rsidRPr="00F57464">
        <w:rPr>
          <w:lang w:val="fr-FR" w:eastAsia="en-GB"/>
        </w:rPr>
        <w:t>.</w:t>
      </w:r>
    </w:p>
    <w:p w:rsidR="000B0480" w:rsidRPr="00F57464" w:rsidRDefault="00943379" w:rsidP="00943379">
      <w:pPr>
        <w:pStyle w:val="ParNoG"/>
        <w:ind w:left="1134"/>
        <w:rPr>
          <w:lang w:val="fr-FR" w:eastAsia="en-GB"/>
        </w:rPr>
      </w:pPr>
      <w:r w:rsidRPr="00F57464">
        <w:rPr>
          <w:lang w:val="fr-FR" w:eastAsia="en-GB"/>
        </w:rPr>
        <w:t>45.</w:t>
      </w:r>
      <w:r w:rsidRPr="00F57464">
        <w:rPr>
          <w:lang w:val="fr-FR" w:eastAsia="en-GB"/>
        </w:rPr>
        <w:tab/>
      </w:r>
      <w:r w:rsidR="000B0480" w:rsidRPr="00F57464">
        <w:rPr>
          <w:rStyle w:val="SingleTxtGCar"/>
          <w:lang w:val="fr-FR"/>
        </w:rPr>
        <w:t>L’État partie est invité à diffuser largement la Convention, le rapport qu’il a soumis en application du paragraphe 1 de l’article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l’État partie à encourager la société civile à participer à la mise en œuvre des présentes observations finales</w:t>
      </w:r>
      <w:r w:rsidR="000B0480" w:rsidRPr="00F57464">
        <w:rPr>
          <w:lang w:val="fr-FR" w:eastAsia="en-GB"/>
        </w:rPr>
        <w:t>.</w:t>
      </w:r>
    </w:p>
    <w:p w:rsidR="000B0480" w:rsidRPr="00F57464" w:rsidRDefault="00943379" w:rsidP="00943379">
      <w:pPr>
        <w:pStyle w:val="ParNoG"/>
        <w:ind w:left="1134"/>
        <w:rPr>
          <w:lang w:val="fr-FR" w:eastAsia="en-GB"/>
        </w:rPr>
      </w:pPr>
      <w:r w:rsidRPr="00F57464">
        <w:rPr>
          <w:lang w:val="fr-FR" w:eastAsia="en-GB"/>
        </w:rPr>
        <w:t>46.</w:t>
      </w:r>
      <w:r w:rsidRPr="00F57464">
        <w:rPr>
          <w:lang w:val="fr-FR" w:eastAsia="en-GB"/>
        </w:rPr>
        <w:tab/>
      </w:r>
      <w:r w:rsidR="000B0480" w:rsidRPr="00F57464">
        <w:rPr>
          <w:rStyle w:val="SingleTxtGCar"/>
          <w:lang w:val="fr-FR"/>
        </w:rPr>
        <w:t xml:space="preserve">Conformément au règlement </w:t>
      </w:r>
      <w:r w:rsidR="00661B40" w:rsidRPr="00F57464">
        <w:rPr>
          <w:rStyle w:val="SingleTxtGCar"/>
          <w:lang w:val="fr-FR"/>
        </w:rPr>
        <w:t xml:space="preserve">intérieur </w:t>
      </w:r>
      <w:r w:rsidR="000B0480" w:rsidRPr="00F57464">
        <w:rPr>
          <w:rStyle w:val="SingleTxtGCar"/>
          <w:lang w:val="fr-FR"/>
        </w:rPr>
        <w:t>du Comité, l’État partie doit communiquer, au plus tard le</w:t>
      </w:r>
      <w:r w:rsidR="008806CE" w:rsidRPr="00F57464">
        <w:rPr>
          <w:rStyle w:val="SingleTxtGCar"/>
          <w:lang w:val="fr-FR"/>
        </w:rPr>
        <w:t xml:space="preserve"> 18 mars 2017, </w:t>
      </w:r>
      <w:r w:rsidR="000B0480" w:rsidRPr="00F57464">
        <w:rPr>
          <w:rStyle w:val="SingleTxtGCar"/>
          <w:lang w:val="fr-FR"/>
        </w:rPr>
        <w:t xml:space="preserve">des informations utiles sur la suite qu’il aura donnée aux recommandations du Comité figurant aux paragraphes </w:t>
      </w:r>
      <w:r w:rsidR="00CE3E5B" w:rsidRPr="00F57464">
        <w:rPr>
          <w:rStyle w:val="SingleTxtGCar"/>
          <w:lang w:val="fr-FR"/>
        </w:rPr>
        <w:t>10</w:t>
      </w:r>
      <w:r w:rsidR="000B0480" w:rsidRPr="00F57464">
        <w:rPr>
          <w:rStyle w:val="SingleTxtGCar"/>
          <w:lang w:val="fr-FR"/>
        </w:rPr>
        <w:t>, 14 et 32.</w:t>
      </w:r>
      <w:r w:rsidR="00D14877" w:rsidRPr="00F57464">
        <w:rPr>
          <w:rStyle w:val="SingleTxtGCar"/>
          <w:lang w:val="fr-FR"/>
        </w:rPr>
        <w:t xml:space="preserve"> </w:t>
      </w:r>
    </w:p>
    <w:p w:rsidR="000B0480" w:rsidRPr="00F92177" w:rsidRDefault="00943379" w:rsidP="00943379">
      <w:pPr>
        <w:pStyle w:val="ParNoG"/>
        <w:ind w:left="1134"/>
        <w:rPr>
          <w:lang w:val="fr-FR"/>
        </w:rPr>
      </w:pPr>
      <w:r w:rsidRPr="00F92177">
        <w:rPr>
          <w:lang w:val="fr-FR"/>
        </w:rPr>
        <w:t>47.</w:t>
      </w:r>
      <w:r w:rsidRPr="00F92177">
        <w:rPr>
          <w:lang w:val="fr-FR"/>
        </w:rPr>
        <w:tab/>
      </w:r>
      <w:r w:rsidR="000B0480" w:rsidRPr="00F57464">
        <w:rPr>
          <w:rStyle w:val="SingleTxtGCar"/>
          <w:lang w:val="fr-FR"/>
        </w:rPr>
        <w:t xml:space="preserve">En application du paragraphe 4 de l’article 29 de la Convention, le Comité demande à l’État partie de lui soumettre, au plus tard le </w:t>
      </w:r>
      <w:r w:rsidR="008806CE" w:rsidRPr="00F57464">
        <w:rPr>
          <w:rStyle w:val="SingleTxtGCar"/>
          <w:lang w:val="fr-FR"/>
        </w:rPr>
        <w:t xml:space="preserve">18 mars 2022, </w:t>
      </w:r>
      <w:r w:rsidR="000B0480" w:rsidRPr="00F57464">
        <w:rPr>
          <w:rStyle w:val="SingleTxtGCar"/>
          <w:lang w:val="fr-FR"/>
        </w:rPr>
        <w:t>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 39 des Directives concernant la forme et le contenu des rapports que les États parties doivent soumettre en application de l’article 29 de la Convention (CED/C/2). Le Comité encourage l’État partie à promouvoir et à faciliter la participation de la société civile à la compilation de ces informations</w:t>
      </w:r>
      <w:r w:rsidR="008A59E0" w:rsidRPr="00F57464">
        <w:rPr>
          <w:rStyle w:val="SingleTxtGCar"/>
          <w:lang w:val="fr-FR"/>
        </w:rPr>
        <w:t>.</w:t>
      </w:r>
    </w:p>
    <w:p w:rsidR="001E5A68" w:rsidRPr="00735423" w:rsidRDefault="001E5A68" w:rsidP="000B0898">
      <w:pPr>
        <w:pStyle w:val="SingleTxtG"/>
        <w:spacing w:before="240" w:after="0"/>
        <w:jc w:val="center"/>
        <w:rPr>
          <w:lang w:val="fr-FR"/>
        </w:rPr>
      </w:pPr>
      <w:r w:rsidRPr="00735423">
        <w:rPr>
          <w:u w:val="single"/>
          <w:lang w:val="fr-FR"/>
        </w:rPr>
        <w:tab/>
      </w:r>
      <w:r w:rsidRPr="00735423">
        <w:rPr>
          <w:u w:val="single"/>
          <w:lang w:val="fr-FR"/>
        </w:rPr>
        <w:tab/>
      </w:r>
      <w:r w:rsidRPr="00735423">
        <w:rPr>
          <w:u w:val="single"/>
          <w:lang w:val="fr-FR"/>
        </w:rPr>
        <w:tab/>
      </w:r>
    </w:p>
    <w:sectPr w:rsidR="001E5A68" w:rsidRPr="00735423" w:rsidSect="00F62D5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3F" w:rsidRDefault="0097613F"/>
  </w:endnote>
  <w:endnote w:type="continuationSeparator" w:id="0">
    <w:p w:rsidR="0097613F" w:rsidRDefault="0097613F">
      <w:pPr>
        <w:pStyle w:val="Pieddepage"/>
      </w:pPr>
    </w:p>
  </w:endnote>
  <w:endnote w:type="continuationNotice" w:id="1">
    <w:p w:rsidR="0097613F" w:rsidRPr="00C451B9" w:rsidRDefault="0097613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2E" w:rsidRPr="00443CBE" w:rsidRDefault="00CB132E" w:rsidP="00443CBE">
    <w:pPr>
      <w:pStyle w:val="Pieddepage"/>
      <w:tabs>
        <w:tab w:val="right" w:pos="9638"/>
      </w:tabs>
    </w:pPr>
    <w:r w:rsidRPr="00443CBE">
      <w:rPr>
        <w:b/>
        <w:sz w:val="18"/>
      </w:rPr>
      <w:fldChar w:fldCharType="begin"/>
    </w:r>
    <w:r w:rsidRPr="00443CBE">
      <w:rPr>
        <w:b/>
        <w:sz w:val="18"/>
      </w:rPr>
      <w:instrText xml:space="preserve"> PAGE  \* MERGEFORMAT </w:instrText>
    </w:r>
    <w:r w:rsidRPr="00443CBE">
      <w:rPr>
        <w:b/>
        <w:sz w:val="18"/>
      </w:rPr>
      <w:fldChar w:fldCharType="separate"/>
    </w:r>
    <w:r w:rsidR="00D22738">
      <w:rPr>
        <w:b/>
        <w:noProof/>
        <w:sz w:val="18"/>
      </w:rPr>
      <w:t>2</w:t>
    </w:r>
    <w:r w:rsidRPr="00443CB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2E" w:rsidRPr="00443CBE" w:rsidRDefault="00CB132E" w:rsidP="00443CBE">
    <w:pPr>
      <w:pStyle w:val="Pieddepage"/>
      <w:tabs>
        <w:tab w:val="right" w:pos="9638"/>
      </w:tabs>
      <w:rPr>
        <w:b/>
        <w:sz w:val="18"/>
      </w:rPr>
    </w:pPr>
    <w:r>
      <w:tab/>
    </w:r>
    <w:r w:rsidRPr="00443CBE">
      <w:rPr>
        <w:b/>
        <w:sz w:val="18"/>
      </w:rPr>
      <w:fldChar w:fldCharType="begin"/>
    </w:r>
    <w:r w:rsidRPr="00443CBE">
      <w:rPr>
        <w:b/>
        <w:sz w:val="18"/>
      </w:rPr>
      <w:instrText xml:space="preserve"> PAGE  \* MERGEFORMAT </w:instrText>
    </w:r>
    <w:r w:rsidRPr="00443CBE">
      <w:rPr>
        <w:b/>
        <w:sz w:val="18"/>
      </w:rPr>
      <w:fldChar w:fldCharType="separate"/>
    </w:r>
    <w:r w:rsidR="00D22738">
      <w:rPr>
        <w:b/>
        <w:noProof/>
        <w:sz w:val="18"/>
      </w:rPr>
      <w:t>3</w:t>
    </w:r>
    <w:r w:rsidRPr="00443C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38" w:rsidRDefault="00D22738" w:rsidP="00D22738">
    <w:pPr>
      <w:pStyle w:val="SingleTxtG"/>
      <w:spacing w:before="120" w:after="0"/>
      <w:ind w:left="0"/>
    </w:pPr>
    <w:r>
      <w:rPr>
        <w:rFonts w:ascii="C39T30Lfz" w:hAnsi="C39T30Lfz"/>
        <w:noProof/>
        <w:sz w:val="56"/>
        <w:lang w:eastAsia="fr-CH"/>
      </w:rPr>
      <w:drawing>
        <wp:anchor distT="0" distB="0" distL="114300" distR="114300" simplePos="0" relativeHeight="251658240" behindDoc="0" locked="0" layoutInCell="1" allowOverlap="1" wp14:anchorId="6ABE0372" wp14:editId="16971252">
          <wp:simplePos x="0" y="0"/>
          <wp:positionH relativeFrom="column">
            <wp:posOffset>5477246</wp:posOffset>
          </wp:positionH>
          <wp:positionV relativeFrom="paragraph">
            <wp:posOffset>3810</wp:posOffset>
          </wp:positionV>
          <wp:extent cx="638175" cy="638175"/>
          <wp:effectExtent l="0" t="0" r="9525" b="9525"/>
          <wp:wrapNone/>
          <wp:docPr id="3" name="Image 1" descr="http://undocs.org/m2/QRCode.ashx?DS=CED/C/BF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FA/CO/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GE.16-08121 (F)</w:t>
    </w:r>
  </w:p>
  <w:p w:rsidR="00CB132E" w:rsidRPr="00D22738" w:rsidRDefault="00D22738" w:rsidP="00D22738">
    <w:pPr>
      <w:pStyle w:val="Pieddepage"/>
      <w:tabs>
        <w:tab w:val="right" w:pos="8505"/>
      </w:tabs>
      <w:rPr>
        <w:rFonts w:ascii="C39T30Lfz" w:hAnsi="C39T30Lfz"/>
        <w:sz w:val="20"/>
      </w:rPr>
    </w:pP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sidRPr="00D22738">
      <w:rPr>
        <w:rFonts w:ascii="C39T30Lfz" w:hAnsi="C39T30Lfz"/>
        <w:sz w:val="56"/>
      </w:rPr>
      <w:t></w:t>
    </w:r>
    <w:r>
      <w:rPr>
        <w:b/>
        <w:noProof/>
        <w:sz w:val="20"/>
        <w:lang w:eastAsia="fr-CH"/>
      </w:rPr>
      <w:tab/>
    </w:r>
    <w:r>
      <w:rPr>
        <w:b/>
        <w:noProof/>
        <w:sz w:val="20"/>
        <w:lang w:eastAsia="fr-CH"/>
      </w:rPr>
      <w:drawing>
        <wp:inline distT="0" distB="0" distL="0" distR="0" wp14:anchorId="0695B10A" wp14:editId="37B58CEC">
          <wp:extent cx="1109474" cy="23164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3F" w:rsidRPr="00D27D5E" w:rsidRDefault="0097613F" w:rsidP="00D27D5E">
      <w:pPr>
        <w:tabs>
          <w:tab w:val="right" w:pos="2155"/>
        </w:tabs>
        <w:spacing w:after="80"/>
        <w:ind w:left="680"/>
        <w:rPr>
          <w:u w:val="single"/>
        </w:rPr>
      </w:pPr>
      <w:r>
        <w:rPr>
          <w:u w:val="single"/>
        </w:rPr>
        <w:tab/>
      </w:r>
    </w:p>
  </w:footnote>
  <w:footnote w:type="continuationSeparator" w:id="0">
    <w:p w:rsidR="0097613F" w:rsidRPr="00D171D4" w:rsidRDefault="0097613F" w:rsidP="00D171D4">
      <w:pPr>
        <w:tabs>
          <w:tab w:val="right" w:pos="2155"/>
        </w:tabs>
        <w:spacing w:after="80"/>
        <w:ind w:left="680"/>
        <w:rPr>
          <w:u w:val="single"/>
        </w:rPr>
      </w:pPr>
      <w:r w:rsidRPr="00D171D4">
        <w:rPr>
          <w:u w:val="single"/>
        </w:rPr>
        <w:tab/>
      </w:r>
    </w:p>
  </w:footnote>
  <w:footnote w:type="continuationNotice" w:id="1">
    <w:p w:rsidR="0097613F" w:rsidRPr="00C451B9" w:rsidRDefault="0097613F" w:rsidP="00C451B9">
      <w:pPr>
        <w:spacing w:line="240" w:lineRule="auto"/>
        <w:rPr>
          <w:sz w:val="2"/>
          <w:szCs w:val="2"/>
        </w:rPr>
      </w:pPr>
    </w:p>
  </w:footnote>
  <w:footnote w:id="2">
    <w:p w:rsidR="00EB703F" w:rsidRPr="00BB03D3" w:rsidRDefault="00EB703F" w:rsidP="00EB703F">
      <w:pPr>
        <w:pStyle w:val="Notedebasdepage"/>
      </w:pPr>
      <w:r>
        <w:tab/>
      </w:r>
      <w:r w:rsidRPr="001818DA">
        <w:rPr>
          <w:rStyle w:val="Appelnotedebasdep"/>
          <w:sz w:val="20"/>
          <w:vertAlign w:val="baseline"/>
        </w:rPr>
        <w:t>*</w:t>
      </w:r>
      <w:r>
        <w:tab/>
      </w:r>
      <w:r w:rsidR="006E703B">
        <w:t xml:space="preserve">Adoptées par le Comité à </w:t>
      </w:r>
      <w:r w:rsidR="006E703B" w:rsidRPr="00E573D7">
        <w:t xml:space="preserve">sa </w:t>
      </w:r>
      <w:r w:rsidR="00076587" w:rsidRPr="00E573D7">
        <w:t>dixième</w:t>
      </w:r>
      <w:r w:rsidR="006E703B" w:rsidRPr="00E573D7">
        <w:t xml:space="preserve"> session (</w:t>
      </w:r>
      <w:r w:rsidR="00076587" w:rsidRPr="00E573D7">
        <w:t>7</w:t>
      </w:r>
      <w:r w:rsidR="00DA22CC" w:rsidRPr="00E573D7">
        <w:t>-</w:t>
      </w:r>
      <w:r w:rsidR="00076587" w:rsidRPr="00E573D7">
        <w:t>18 mars</w:t>
      </w:r>
      <w:r w:rsidR="006E703B" w:rsidRPr="00E573D7">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2E" w:rsidRPr="004215E5" w:rsidRDefault="001E5A68">
    <w:pPr>
      <w:pStyle w:val="En-tte"/>
      <w:rPr>
        <w:lang w:val="en-GB"/>
      </w:rPr>
    </w:pPr>
    <w:r>
      <w:rPr>
        <w:lang w:val="en-GB"/>
      </w:rPr>
      <w:t>CED/C/</w:t>
    </w:r>
    <w:r w:rsidR="005E54DB">
      <w:rPr>
        <w:lang w:val="en-GB"/>
      </w:rPr>
      <w:t>BFA/CO/1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2E" w:rsidRPr="004215E5" w:rsidRDefault="001E5A68" w:rsidP="00443CBE">
    <w:pPr>
      <w:pStyle w:val="En-tte"/>
      <w:jc w:val="right"/>
      <w:rPr>
        <w:lang w:val="en-GB"/>
      </w:rPr>
    </w:pPr>
    <w:r>
      <w:rPr>
        <w:lang w:val="en-GB"/>
      </w:rPr>
      <w:t>CED/C/</w:t>
    </w:r>
    <w:r w:rsidR="005E54DB">
      <w:rPr>
        <w:lang w:val="en-GB"/>
      </w:rPr>
      <w:t>BFA/CO/1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74D7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D6E1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3455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rPr>
        <w:rFonts w:cs="Times New Roman"/>
      </w:rPr>
    </w:lvl>
  </w:abstractNum>
  <w:abstractNum w:abstractNumId="11">
    <w:nsid w:val="036E41A5"/>
    <w:multiLevelType w:val="hybridMultilevel"/>
    <w:tmpl w:val="4A40DDB0"/>
    <w:lvl w:ilvl="0" w:tplc="3C08498C">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8CE72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0AC26C62"/>
    <w:multiLevelType w:val="singleLevel"/>
    <w:tmpl w:val="561E0F3E"/>
    <w:lvl w:ilvl="0">
      <w:start w:val="1"/>
      <w:numFmt w:val="decimal"/>
      <w:lvlText w:val="%1."/>
      <w:lvlJc w:val="left"/>
      <w:pPr>
        <w:tabs>
          <w:tab w:val="num" w:pos="720"/>
        </w:tabs>
        <w:ind w:left="720" w:hanging="720"/>
      </w:pPr>
      <w:rPr>
        <w:rFonts w:cs="Times New Roman"/>
      </w:r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954887"/>
    <w:multiLevelType w:val="hybridMultilevel"/>
    <w:tmpl w:val="5A48E46A"/>
    <w:lvl w:ilvl="0" w:tplc="F560206C">
      <w:start w:val="1"/>
      <w:numFmt w:val="decimal"/>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10A41F44"/>
    <w:multiLevelType w:val="hybridMultilevel"/>
    <w:tmpl w:val="638A1C2E"/>
    <w:lvl w:ilvl="0" w:tplc="CEB8EB22">
      <w:start w:val="21"/>
      <w:numFmt w:val="decimal"/>
      <w:lvlText w:val="%1."/>
      <w:lvlJc w:val="left"/>
      <w:pPr>
        <w:ind w:left="786"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5BA2B46"/>
    <w:multiLevelType w:val="hybridMultilevel"/>
    <w:tmpl w:val="4ED25F86"/>
    <w:lvl w:ilvl="0" w:tplc="B7FE12F2">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170C549E"/>
    <w:multiLevelType w:val="singleLevel"/>
    <w:tmpl w:val="01325DD6"/>
    <w:lvl w:ilvl="0">
      <w:start w:val="1"/>
      <w:numFmt w:val="lowerLetter"/>
      <w:lvlText w:val="(%1)"/>
      <w:lvlJc w:val="left"/>
      <w:pPr>
        <w:tabs>
          <w:tab w:val="num" w:pos="720"/>
        </w:tabs>
        <w:ind w:left="720" w:hanging="720"/>
      </w:pPr>
      <w:rPr>
        <w:rFonts w:cs="Times New Roman"/>
      </w:rPr>
    </w:lvl>
  </w:abstractNum>
  <w:abstractNum w:abstractNumId="19">
    <w:nsid w:val="1E247CF4"/>
    <w:multiLevelType w:val="hybridMultilevel"/>
    <w:tmpl w:val="AF98CB92"/>
    <w:lvl w:ilvl="0" w:tplc="1730DB8C">
      <w:start w:val="1"/>
      <w:numFmt w:val="decimal"/>
      <w:lvlText w:val="%1."/>
      <w:lvlJc w:val="left"/>
      <w:pPr>
        <w:ind w:left="8724"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E4D378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047705D"/>
    <w:multiLevelType w:val="hybridMultilevel"/>
    <w:tmpl w:val="C9FE983E"/>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2">
    <w:nsid w:val="244C22FE"/>
    <w:multiLevelType w:val="hybridMultilevel"/>
    <w:tmpl w:val="4A40DDB0"/>
    <w:lvl w:ilvl="0" w:tplc="3C08498C">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A123C58"/>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B3F49C6"/>
    <w:multiLevelType w:val="singleLevel"/>
    <w:tmpl w:val="720CB540"/>
    <w:lvl w:ilvl="0">
      <w:start w:val="1"/>
      <w:numFmt w:val="lowerRoman"/>
      <w:lvlText w:val="(%1)"/>
      <w:lvlJc w:val="right"/>
      <w:pPr>
        <w:tabs>
          <w:tab w:val="num" w:pos="2160"/>
        </w:tabs>
        <w:ind w:left="2160" w:hanging="516"/>
      </w:pPr>
      <w:rPr>
        <w:rFonts w:cs="Times New Roman"/>
      </w:rPr>
    </w:lvl>
  </w:abstractNum>
  <w:abstractNum w:abstractNumId="25">
    <w:nsid w:val="302A75A7"/>
    <w:multiLevelType w:val="singleLevel"/>
    <w:tmpl w:val="3496DD40"/>
    <w:lvl w:ilvl="0">
      <w:start w:val="1"/>
      <w:numFmt w:val="decimal"/>
      <w:lvlText w:val="(%1)"/>
      <w:lvlJc w:val="left"/>
      <w:pPr>
        <w:tabs>
          <w:tab w:val="num" w:pos="1440"/>
        </w:tabs>
        <w:ind w:left="1440" w:hanging="720"/>
      </w:pPr>
      <w:rPr>
        <w:rFonts w:cs="Times New Roman"/>
      </w:rPr>
    </w:lvl>
  </w:abstractNum>
  <w:abstractNum w:abstractNumId="26">
    <w:nsid w:val="36255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3A3B252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nsid w:val="3CB061AB"/>
    <w:multiLevelType w:val="singleLevel"/>
    <w:tmpl w:val="11B83F58"/>
    <w:lvl w:ilvl="0">
      <w:start w:val="1"/>
      <w:numFmt w:val="decimal"/>
      <w:lvlText w:val="%1."/>
      <w:lvlJc w:val="left"/>
      <w:pPr>
        <w:tabs>
          <w:tab w:val="num" w:pos="1494"/>
        </w:tabs>
        <w:ind w:left="1133" w:firstLine="1"/>
      </w:pPr>
      <w:rPr>
        <w:rFonts w:cs="Times New Roman" w:hint="default"/>
      </w:rPr>
    </w:lvl>
  </w:abstractNum>
  <w:abstractNum w:abstractNumId="30">
    <w:nsid w:val="3EF500B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40221049"/>
    <w:multiLevelType w:val="singleLevel"/>
    <w:tmpl w:val="04D4B0C4"/>
    <w:lvl w:ilvl="0">
      <w:start w:val="1"/>
      <w:numFmt w:val="decimal"/>
      <w:lvlText w:val="%1."/>
      <w:lvlJc w:val="left"/>
      <w:pPr>
        <w:tabs>
          <w:tab w:val="num" w:pos="360"/>
        </w:tabs>
        <w:ind w:left="360" w:hanging="360"/>
      </w:pPr>
      <w:rPr>
        <w:rFonts w:cs="Times New Roman"/>
      </w:rPr>
    </w:lvl>
  </w:abstractNum>
  <w:abstractNum w:abstractNumId="32">
    <w:nsid w:val="452D144C"/>
    <w:multiLevelType w:val="singleLevel"/>
    <w:tmpl w:val="7C4C0A7C"/>
    <w:lvl w:ilvl="0">
      <w:start w:val="1"/>
      <w:numFmt w:val="decimal"/>
      <w:lvlText w:val="(%1)"/>
      <w:lvlJc w:val="left"/>
      <w:pPr>
        <w:tabs>
          <w:tab w:val="num" w:pos="720"/>
        </w:tabs>
        <w:ind w:left="720" w:hanging="720"/>
      </w:pPr>
      <w:rPr>
        <w:rFonts w:cs="Times New Roman"/>
      </w:rPr>
    </w:lvl>
  </w:abstractNum>
  <w:abstractNum w:abstractNumId="33">
    <w:nsid w:val="45AC29BB"/>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75545F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36">
    <w:nsid w:val="4DF4559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4EFA25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8">
    <w:nsid w:val="53791B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0">
    <w:nsid w:val="6260382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48E61D1"/>
    <w:multiLevelType w:val="hybridMultilevel"/>
    <w:tmpl w:val="A7226034"/>
    <w:lvl w:ilvl="0" w:tplc="0809000F">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5D15DFE"/>
    <w:multiLevelType w:val="singleLevel"/>
    <w:tmpl w:val="475E6D3C"/>
    <w:lvl w:ilvl="0">
      <w:start w:val="1"/>
      <w:numFmt w:val="decimal"/>
      <w:lvlText w:val="%1."/>
      <w:lvlJc w:val="left"/>
      <w:pPr>
        <w:tabs>
          <w:tab w:val="num" w:pos="360"/>
        </w:tabs>
        <w:ind w:left="360" w:hanging="360"/>
      </w:pPr>
      <w:rPr>
        <w:rFonts w:cs="Times New Roman"/>
      </w:rPr>
    </w:lvl>
  </w:abstractNum>
  <w:abstractNum w:abstractNumId="4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nsid w:val="6D105713"/>
    <w:multiLevelType w:val="hybridMultilevel"/>
    <w:tmpl w:val="4DA4261C"/>
    <w:lvl w:ilvl="0" w:tplc="79BA5F4A">
      <w:start w:val="1"/>
      <w:numFmt w:val="decimal"/>
      <w:lvlText w:val="%1."/>
      <w:lvlJc w:val="left"/>
      <w:pPr>
        <w:ind w:left="5464" w:hanging="360"/>
      </w:pPr>
      <w:rPr>
        <w:rFonts w:cs="Times New Roman"/>
        <w:b w:val="0"/>
        <w:sz w:val="20"/>
        <w:szCs w:val="20"/>
        <w:lang w:val="fr-FR"/>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779C6EB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ACA64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7">
    <w:nsid w:val="7C9538FD"/>
    <w:multiLevelType w:val="hybridMultilevel"/>
    <w:tmpl w:val="038A2DC0"/>
    <w:lvl w:ilvl="0" w:tplc="A5265396">
      <w:start w:val="1"/>
      <w:numFmt w:val="none"/>
      <w:lvlText w:val="%1"/>
      <w:lvlJc w:val="left"/>
      <w:pPr>
        <w:tabs>
          <w:tab w:val="num" w:pos="1134"/>
        </w:tabs>
        <w:ind w:left="1134" w:hanging="397"/>
      </w:pPr>
      <w:rPr>
        <w:rFonts w:cs="Times New Roman" w:hint="default"/>
        <w:b/>
        <w:i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CF349BD"/>
    <w:multiLevelType w:val="singleLevel"/>
    <w:tmpl w:val="51D4BF5A"/>
    <w:lvl w:ilvl="0">
      <w:start w:val="1"/>
      <w:numFmt w:val="lowerRoman"/>
      <w:lvlText w:val="(%1)"/>
      <w:lvlJc w:val="right"/>
      <w:pPr>
        <w:tabs>
          <w:tab w:val="num" w:pos="1440"/>
        </w:tabs>
        <w:ind w:left="1440" w:hanging="589"/>
      </w:pPr>
      <w:rPr>
        <w:rFonts w:cs="Times New Roman" w:hint="default"/>
      </w:rPr>
    </w:lvl>
  </w:abstractNum>
  <w:abstractNum w:abstractNumId="49">
    <w:nsid w:val="7DBF6B5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8"/>
  </w:num>
  <w:num w:numId="2">
    <w:abstractNumId w:val="24"/>
  </w:num>
  <w:num w:numId="3">
    <w:abstractNumId w:val="48"/>
  </w:num>
  <w:num w:numId="4">
    <w:abstractNumId w:val="24"/>
  </w:num>
  <w:num w:numId="5">
    <w:abstractNumId w:val="12"/>
  </w:num>
  <w:num w:numId="6">
    <w:abstractNumId w:val="26"/>
  </w:num>
  <w:num w:numId="7">
    <w:abstractNumId w:val="31"/>
  </w:num>
  <w:num w:numId="8">
    <w:abstractNumId w:val="46"/>
  </w:num>
  <w:num w:numId="9">
    <w:abstractNumId w:val="37"/>
  </w:num>
  <w:num w:numId="10">
    <w:abstractNumId w:val="49"/>
  </w:num>
  <w:num w:numId="11">
    <w:abstractNumId w:val="31"/>
  </w:num>
  <w:num w:numId="12">
    <w:abstractNumId w:val="35"/>
  </w:num>
  <w:num w:numId="13">
    <w:abstractNumId w:val="35"/>
  </w:num>
  <w:num w:numId="14">
    <w:abstractNumId w:val="42"/>
  </w:num>
  <w:num w:numId="15">
    <w:abstractNumId w:val="29"/>
  </w:num>
  <w:num w:numId="16">
    <w:abstractNumId w:val="29"/>
  </w:num>
  <w:num w:numId="17">
    <w:abstractNumId w:val="48"/>
  </w:num>
  <w:num w:numId="18">
    <w:abstractNumId w:val="24"/>
  </w:num>
  <w:num w:numId="19">
    <w:abstractNumId w:val="1"/>
  </w:num>
  <w:num w:numId="20">
    <w:abstractNumId w:val="0"/>
  </w:num>
  <w:num w:numId="21">
    <w:abstractNumId w:val="25"/>
  </w:num>
  <w:num w:numId="22">
    <w:abstractNumId w:val="10"/>
  </w:num>
  <w:num w:numId="23">
    <w:abstractNumId w:val="18"/>
  </w:num>
  <w:num w:numId="24">
    <w:abstractNumId w:val="13"/>
  </w:num>
  <w:num w:numId="25">
    <w:abstractNumId w:val="32"/>
  </w:num>
  <w:num w:numId="26">
    <w:abstractNumId w:val="39"/>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7"/>
  </w:num>
  <w:num w:numId="37">
    <w:abstractNumId w:val="43"/>
  </w:num>
  <w:num w:numId="38">
    <w:abstractNumId w:val="28"/>
  </w:num>
  <w:num w:numId="39">
    <w:abstractNumId w:val="34"/>
  </w:num>
  <w:num w:numId="40">
    <w:abstractNumId w:val="45"/>
  </w:num>
  <w:num w:numId="41">
    <w:abstractNumId w:val="20"/>
  </w:num>
  <w:num w:numId="42">
    <w:abstractNumId w:val="30"/>
  </w:num>
  <w:num w:numId="43">
    <w:abstractNumId w:val="38"/>
  </w:num>
  <w:num w:numId="44">
    <w:abstractNumId w:val="27"/>
  </w:num>
  <w:num w:numId="45">
    <w:abstractNumId w:val="40"/>
  </w:num>
  <w:num w:numId="46">
    <w:abstractNumId w:val="36"/>
  </w:num>
  <w:num w:numId="47">
    <w:abstractNumId w:val="33"/>
  </w:num>
  <w:num w:numId="48">
    <w:abstractNumId w:val="23"/>
  </w:num>
  <w:num w:numId="49">
    <w:abstractNumId w:val="15"/>
  </w:num>
  <w:num w:numId="50">
    <w:abstractNumId w:val="21"/>
  </w:num>
  <w:num w:numId="51">
    <w:abstractNumId w:val="19"/>
  </w:num>
  <w:num w:numId="52">
    <w:abstractNumId w:val="17"/>
  </w:num>
  <w:num w:numId="53">
    <w:abstractNumId w:val="11"/>
  </w:num>
  <w:num w:numId="54">
    <w:abstractNumId w:val="22"/>
  </w:num>
  <w:num w:numId="55">
    <w:abstractNumId w:val="41"/>
  </w:num>
  <w:num w:numId="56">
    <w:abstractNumId w:val="16"/>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FE"/>
    <w:rsid w:val="00004B37"/>
    <w:rsid w:val="00010CFE"/>
    <w:rsid w:val="00010D74"/>
    <w:rsid w:val="00011E9F"/>
    <w:rsid w:val="000124CF"/>
    <w:rsid w:val="0001470D"/>
    <w:rsid w:val="00016165"/>
    <w:rsid w:val="00016AC5"/>
    <w:rsid w:val="00020734"/>
    <w:rsid w:val="00021907"/>
    <w:rsid w:val="000233A5"/>
    <w:rsid w:val="0002357D"/>
    <w:rsid w:val="0002445D"/>
    <w:rsid w:val="00024C50"/>
    <w:rsid w:val="00025E92"/>
    <w:rsid w:val="000276A3"/>
    <w:rsid w:val="00027F4E"/>
    <w:rsid w:val="00032060"/>
    <w:rsid w:val="00032B15"/>
    <w:rsid w:val="000340AE"/>
    <w:rsid w:val="00040539"/>
    <w:rsid w:val="00040598"/>
    <w:rsid w:val="00043F0E"/>
    <w:rsid w:val="00046017"/>
    <w:rsid w:val="00047F10"/>
    <w:rsid w:val="00052157"/>
    <w:rsid w:val="0005346D"/>
    <w:rsid w:val="00055280"/>
    <w:rsid w:val="00055FE4"/>
    <w:rsid w:val="00056656"/>
    <w:rsid w:val="0006268C"/>
    <w:rsid w:val="000641CE"/>
    <w:rsid w:val="00064ED9"/>
    <w:rsid w:val="00067310"/>
    <w:rsid w:val="00067410"/>
    <w:rsid w:val="00076587"/>
    <w:rsid w:val="00077DAA"/>
    <w:rsid w:val="00077E35"/>
    <w:rsid w:val="0008669E"/>
    <w:rsid w:val="00086B75"/>
    <w:rsid w:val="00090599"/>
    <w:rsid w:val="000A1501"/>
    <w:rsid w:val="000A2494"/>
    <w:rsid w:val="000A4ACC"/>
    <w:rsid w:val="000A56D8"/>
    <w:rsid w:val="000A5A6A"/>
    <w:rsid w:val="000A6B7E"/>
    <w:rsid w:val="000A7B1E"/>
    <w:rsid w:val="000B0480"/>
    <w:rsid w:val="000B0898"/>
    <w:rsid w:val="000B4CA2"/>
    <w:rsid w:val="000B5CEB"/>
    <w:rsid w:val="000C6CDB"/>
    <w:rsid w:val="000D5C25"/>
    <w:rsid w:val="000E4F06"/>
    <w:rsid w:val="000E5601"/>
    <w:rsid w:val="000E6F6E"/>
    <w:rsid w:val="000F174E"/>
    <w:rsid w:val="000F289D"/>
    <w:rsid w:val="000F41F2"/>
    <w:rsid w:val="00101125"/>
    <w:rsid w:val="0010373B"/>
    <w:rsid w:val="00105261"/>
    <w:rsid w:val="00107331"/>
    <w:rsid w:val="00110C1C"/>
    <w:rsid w:val="00110DF5"/>
    <w:rsid w:val="00112A13"/>
    <w:rsid w:val="00120D73"/>
    <w:rsid w:val="0012477E"/>
    <w:rsid w:val="00125446"/>
    <w:rsid w:val="001302F4"/>
    <w:rsid w:val="00131BCF"/>
    <w:rsid w:val="0013485F"/>
    <w:rsid w:val="001358D9"/>
    <w:rsid w:val="00135A1F"/>
    <w:rsid w:val="00141E26"/>
    <w:rsid w:val="00143EB9"/>
    <w:rsid w:val="00146BC9"/>
    <w:rsid w:val="0015174C"/>
    <w:rsid w:val="0015389C"/>
    <w:rsid w:val="00154172"/>
    <w:rsid w:val="00160540"/>
    <w:rsid w:val="00166C68"/>
    <w:rsid w:val="0017352C"/>
    <w:rsid w:val="001736F9"/>
    <w:rsid w:val="00174814"/>
    <w:rsid w:val="001818DA"/>
    <w:rsid w:val="00181A90"/>
    <w:rsid w:val="00185C32"/>
    <w:rsid w:val="00190D5D"/>
    <w:rsid w:val="001911E8"/>
    <w:rsid w:val="00192EEB"/>
    <w:rsid w:val="00194484"/>
    <w:rsid w:val="00195925"/>
    <w:rsid w:val="001A2040"/>
    <w:rsid w:val="001A20FB"/>
    <w:rsid w:val="001A376F"/>
    <w:rsid w:val="001B09BB"/>
    <w:rsid w:val="001B33E7"/>
    <w:rsid w:val="001B5E14"/>
    <w:rsid w:val="001B666D"/>
    <w:rsid w:val="001C30A8"/>
    <w:rsid w:val="001C3654"/>
    <w:rsid w:val="001C3D8D"/>
    <w:rsid w:val="001C6497"/>
    <w:rsid w:val="001D196D"/>
    <w:rsid w:val="001D7F8A"/>
    <w:rsid w:val="001E011A"/>
    <w:rsid w:val="001E0447"/>
    <w:rsid w:val="001E1208"/>
    <w:rsid w:val="001E1495"/>
    <w:rsid w:val="001E34CB"/>
    <w:rsid w:val="001E3FEB"/>
    <w:rsid w:val="001E4541"/>
    <w:rsid w:val="001E4A02"/>
    <w:rsid w:val="001E4E3F"/>
    <w:rsid w:val="001E589A"/>
    <w:rsid w:val="001E5A68"/>
    <w:rsid w:val="001E653B"/>
    <w:rsid w:val="001E6BCA"/>
    <w:rsid w:val="001E6DF0"/>
    <w:rsid w:val="001F3E68"/>
    <w:rsid w:val="001F4931"/>
    <w:rsid w:val="002009B9"/>
    <w:rsid w:val="00200CBA"/>
    <w:rsid w:val="0020146B"/>
    <w:rsid w:val="00204B66"/>
    <w:rsid w:val="002059CE"/>
    <w:rsid w:val="00205F9E"/>
    <w:rsid w:val="0020648D"/>
    <w:rsid w:val="00206AD4"/>
    <w:rsid w:val="002122B9"/>
    <w:rsid w:val="00222F55"/>
    <w:rsid w:val="0022439A"/>
    <w:rsid w:val="00224B8B"/>
    <w:rsid w:val="00225A8C"/>
    <w:rsid w:val="00231A7F"/>
    <w:rsid w:val="00235376"/>
    <w:rsid w:val="00242BBD"/>
    <w:rsid w:val="00242DE1"/>
    <w:rsid w:val="00244F88"/>
    <w:rsid w:val="0024586F"/>
    <w:rsid w:val="00246BC8"/>
    <w:rsid w:val="00251F95"/>
    <w:rsid w:val="00252317"/>
    <w:rsid w:val="0025498B"/>
    <w:rsid w:val="00257C72"/>
    <w:rsid w:val="00260AB4"/>
    <w:rsid w:val="002629D2"/>
    <w:rsid w:val="00264567"/>
    <w:rsid w:val="0026555A"/>
    <w:rsid w:val="002659F1"/>
    <w:rsid w:val="00266308"/>
    <w:rsid w:val="00271E41"/>
    <w:rsid w:val="00273A90"/>
    <w:rsid w:val="002821ED"/>
    <w:rsid w:val="00284C19"/>
    <w:rsid w:val="00286E23"/>
    <w:rsid w:val="002876A1"/>
    <w:rsid w:val="00287CA6"/>
    <w:rsid w:val="00287E79"/>
    <w:rsid w:val="00291B48"/>
    <w:rsid w:val="002928F9"/>
    <w:rsid w:val="00294D5B"/>
    <w:rsid w:val="002A27AE"/>
    <w:rsid w:val="002A2A2C"/>
    <w:rsid w:val="002A5D07"/>
    <w:rsid w:val="002A630C"/>
    <w:rsid w:val="002A64C3"/>
    <w:rsid w:val="002D25CA"/>
    <w:rsid w:val="002D3DA4"/>
    <w:rsid w:val="002D4B41"/>
    <w:rsid w:val="002D61D7"/>
    <w:rsid w:val="002D781B"/>
    <w:rsid w:val="002E1F3C"/>
    <w:rsid w:val="002E2C8B"/>
    <w:rsid w:val="002E2F5C"/>
    <w:rsid w:val="002E3072"/>
    <w:rsid w:val="002E644A"/>
    <w:rsid w:val="002F0C48"/>
    <w:rsid w:val="002F1EA4"/>
    <w:rsid w:val="002F7F2C"/>
    <w:rsid w:val="003016B7"/>
    <w:rsid w:val="0030754C"/>
    <w:rsid w:val="00307D6D"/>
    <w:rsid w:val="0031041E"/>
    <w:rsid w:val="0031718B"/>
    <w:rsid w:val="00317E54"/>
    <w:rsid w:val="00322DF1"/>
    <w:rsid w:val="003234AA"/>
    <w:rsid w:val="00324EBF"/>
    <w:rsid w:val="0032556C"/>
    <w:rsid w:val="00325AAD"/>
    <w:rsid w:val="00330508"/>
    <w:rsid w:val="003306D0"/>
    <w:rsid w:val="0033286A"/>
    <w:rsid w:val="00332B61"/>
    <w:rsid w:val="00333130"/>
    <w:rsid w:val="00336106"/>
    <w:rsid w:val="00343C9A"/>
    <w:rsid w:val="00346E32"/>
    <w:rsid w:val="003515AA"/>
    <w:rsid w:val="00355677"/>
    <w:rsid w:val="00357B7F"/>
    <w:rsid w:val="00364F13"/>
    <w:rsid w:val="0036776C"/>
    <w:rsid w:val="00372A7A"/>
    <w:rsid w:val="00372D1D"/>
    <w:rsid w:val="00374106"/>
    <w:rsid w:val="00374CDD"/>
    <w:rsid w:val="0037679A"/>
    <w:rsid w:val="003772AC"/>
    <w:rsid w:val="00377C4F"/>
    <w:rsid w:val="0038047C"/>
    <w:rsid w:val="00383428"/>
    <w:rsid w:val="003867F1"/>
    <w:rsid w:val="00390EEF"/>
    <w:rsid w:val="00392031"/>
    <w:rsid w:val="00394410"/>
    <w:rsid w:val="003976D5"/>
    <w:rsid w:val="003A187A"/>
    <w:rsid w:val="003B5104"/>
    <w:rsid w:val="003B53B6"/>
    <w:rsid w:val="003C776A"/>
    <w:rsid w:val="003D0DC3"/>
    <w:rsid w:val="003D14A4"/>
    <w:rsid w:val="003D1B29"/>
    <w:rsid w:val="003D6C68"/>
    <w:rsid w:val="003E01D0"/>
    <w:rsid w:val="003E49B9"/>
    <w:rsid w:val="003E5F12"/>
    <w:rsid w:val="003E786C"/>
    <w:rsid w:val="003F2A89"/>
    <w:rsid w:val="003F4A54"/>
    <w:rsid w:val="003F582E"/>
    <w:rsid w:val="0040144C"/>
    <w:rsid w:val="00403F34"/>
    <w:rsid w:val="004067AE"/>
    <w:rsid w:val="004104DF"/>
    <w:rsid w:val="00410521"/>
    <w:rsid w:val="00410C19"/>
    <w:rsid w:val="00413BB0"/>
    <w:rsid w:val="00414856"/>
    <w:rsid w:val="004159D0"/>
    <w:rsid w:val="00417326"/>
    <w:rsid w:val="004175C1"/>
    <w:rsid w:val="00417E8A"/>
    <w:rsid w:val="00420931"/>
    <w:rsid w:val="004215E5"/>
    <w:rsid w:val="00421626"/>
    <w:rsid w:val="00422499"/>
    <w:rsid w:val="00423C9A"/>
    <w:rsid w:val="004243BA"/>
    <w:rsid w:val="00431DB7"/>
    <w:rsid w:val="00433426"/>
    <w:rsid w:val="004342E2"/>
    <w:rsid w:val="00434354"/>
    <w:rsid w:val="0043691C"/>
    <w:rsid w:val="00440BC8"/>
    <w:rsid w:val="00443CBE"/>
    <w:rsid w:val="0045320C"/>
    <w:rsid w:val="00454F8D"/>
    <w:rsid w:val="004567EB"/>
    <w:rsid w:val="00460E72"/>
    <w:rsid w:val="00462DBB"/>
    <w:rsid w:val="00463C14"/>
    <w:rsid w:val="00467412"/>
    <w:rsid w:val="00467F48"/>
    <w:rsid w:val="00470764"/>
    <w:rsid w:val="004707E4"/>
    <w:rsid w:val="004713C9"/>
    <w:rsid w:val="00474E38"/>
    <w:rsid w:val="00476265"/>
    <w:rsid w:val="00484E13"/>
    <w:rsid w:val="00490F56"/>
    <w:rsid w:val="00491F39"/>
    <w:rsid w:val="004A1839"/>
    <w:rsid w:val="004A49A5"/>
    <w:rsid w:val="004A66A2"/>
    <w:rsid w:val="004B279F"/>
    <w:rsid w:val="004B51CD"/>
    <w:rsid w:val="004C54C0"/>
    <w:rsid w:val="004C56B2"/>
    <w:rsid w:val="004C7B44"/>
    <w:rsid w:val="004D00B2"/>
    <w:rsid w:val="004D1A9A"/>
    <w:rsid w:val="004D2E18"/>
    <w:rsid w:val="004D3CF1"/>
    <w:rsid w:val="004E4963"/>
    <w:rsid w:val="004E6809"/>
    <w:rsid w:val="004E76DE"/>
    <w:rsid w:val="004E7C64"/>
    <w:rsid w:val="004E7F24"/>
    <w:rsid w:val="004F3414"/>
    <w:rsid w:val="004F3EB5"/>
    <w:rsid w:val="005007E7"/>
    <w:rsid w:val="00503B85"/>
    <w:rsid w:val="00510F11"/>
    <w:rsid w:val="005111B1"/>
    <w:rsid w:val="0051264A"/>
    <w:rsid w:val="0051265F"/>
    <w:rsid w:val="0051457E"/>
    <w:rsid w:val="00514598"/>
    <w:rsid w:val="0051714B"/>
    <w:rsid w:val="00517401"/>
    <w:rsid w:val="00520098"/>
    <w:rsid w:val="00520F80"/>
    <w:rsid w:val="00522D6F"/>
    <w:rsid w:val="005239FF"/>
    <w:rsid w:val="00523DB8"/>
    <w:rsid w:val="005251D8"/>
    <w:rsid w:val="00533150"/>
    <w:rsid w:val="00542DDE"/>
    <w:rsid w:val="00543B57"/>
    <w:rsid w:val="00543C47"/>
    <w:rsid w:val="00543D5E"/>
    <w:rsid w:val="00547FDD"/>
    <w:rsid w:val="00552260"/>
    <w:rsid w:val="00552777"/>
    <w:rsid w:val="00555494"/>
    <w:rsid w:val="00555CBA"/>
    <w:rsid w:val="00565B29"/>
    <w:rsid w:val="0056710A"/>
    <w:rsid w:val="00571BC1"/>
    <w:rsid w:val="00571F41"/>
    <w:rsid w:val="00573F27"/>
    <w:rsid w:val="00575476"/>
    <w:rsid w:val="00576B0A"/>
    <w:rsid w:val="00581761"/>
    <w:rsid w:val="005828E3"/>
    <w:rsid w:val="00584373"/>
    <w:rsid w:val="005854BE"/>
    <w:rsid w:val="00591DB3"/>
    <w:rsid w:val="0059363E"/>
    <w:rsid w:val="005939ED"/>
    <w:rsid w:val="005947BC"/>
    <w:rsid w:val="00595E8A"/>
    <w:rsid w:val="005A0268"/>
    <w:rsid w:val="005A5B7F"/>
    <w:rsid w:val="005A6014"/>
    <w:rsid w:val="005B473C"/>
    <w:rsid w:val="005C549A"/>
    <w:rsid w:val="005C7B2D"/>
    <w:rsid w:val="005D18B6"/>
    <w:rsid w:val="005D38AC"/>
    <w:rsid w:val="005D7719"/>
    <w:rsid w:val="005E0539"/>
    <w:rsid w:val="005E1B9B"/>
    <w:rsid w:val="005E32D1"/>
    <w:rsid w:val="005E54DB"/>
    <w:rsid w:val="005E5D1F"/>
    <w:rsid w:val="005E6897"/>
    <w:rsid w:val="005F5F69"/>
    <w:rsid w:val="005F76F9"/>
    <w:rsid w:val="0060282F"/>
    <w:rsid w:val="00607764"/>
    <w:rsid w:val="0061113B"/>
    <w:rsid w:val="00611D43"/>
    <w:rsid w:val="00612D48"/>
    <w:rsid w:val="00613A31"/>
    <w:rsid w:val="00613A5E"/>
    <w:rsid w:val="00616B45"/>
    <w:rsid w:val="006174DD"/>
    <w:rsid w:val="00620B85"/>
    <w:rsid w:val="006241C6"/>
    <w:rsid w:val="00630508"/>
    <w:rsid w:val="00630D9B"/>
    <w:rsid w:val="00631953"/>
    <w:rsid w:val="0063208D"/>
    <w:rsid w:val="00643814"/>
    <w:rsid w:val="006439EC"/>
    <w:rsid w:val="0064507E"/>
    <w:rsid w:val="00645090"/>
    <w:rsid w:val="00647059"/>
    <w:rsid w:val="00647162"/>
    <w:rsid w:val="0065011A"/>
    <w:rsid w:val="0065029A"/>
    <w:rsid w:val="00653989"/>
    <w:rsid w:val="00661B40"/>
    <w:rsid w:val="00661E96"/>
    <w:rsid w:val="00662259"/>
    <w:rsid w:val="006655C6"/>
    <w:rsid w:val="00665786"/>
    <w:rsid w:val="00670903"/>
    <w:rsid w:val="00670A08"/>
    <w:rsid w:val="00671C93"/>
    <w:rsid w:val="00671F00"/>
    <w:rsid w:val="006729C8"/>
    <w:rsid w:val="00675501"/>
    <w:rsid w:val="0067657F"/>
    <w:rsid w:val="00677CD0"/>
    <w:rsid w:val="006809E6"/>
    <w:rsid w:val="0068562A"/>
    <w:rsid w:val="00690DF9"/>
    <w:rsid w:val="00692B70"/>
    <w:rsid w:val="0069531C"/>
    <w:rsid w:val="006970B7"/>
    <w:rsid w:val="006A14F9"/>
    <w:rsid w:val="006A3D58"/>
    <w:rsid w:val="006A4704"/>
    <w:rsid w:val="006A6B31"/>
    <w:rsid w:val="006A6C95"/>
    <w:rsid w:val="006A7B29"/>
    <w:rsid w:val="006B0EB2"/>
    <w:rsid w:val="006B0FF8"/>
    <w:rsid w:val="006B4590"/>
    <w:rsid w:val="006C340C"/>
    <w:rsid w:val="006C5136"/>
    <w:rsid w:val="006C6091"/>
    <w:rsid w:val="006D3A30"/>
    <w:rsid w:val="006D7B20"/>
    <w:rsid w:val="006E703B"/>
    <w:rsid w:val="006F0437"/>
    <w:rsid w:val="006F14AA"/>
    <w:rsid w:val="006F1D0B"/>
    <w:rsid w:val="006F27A8"/>
    <w:rsid w:val="006F3493"/>
    <w:rsid w:val="006F3544"/>
    <w:rsid w:val="006F38E5"/>
    <w:rsid w:val="00701B47"/>
    <w:rsid w:val="0070347C"/>
    <w:rsid w:val="007102D2"/>
    <w:rsid w:val="00710C5E"/>
    <w:rsid w:val="00714A66"/>
    <w:rsid w:val="007176C1"/>
    <w:rsid w:val="00717CA7"/>
    <w:rsid w:val="00720BC0"/>
    <w:rsid w:val="0072116B"/>
    <w:rsid w:val="00725063"/>
    <w:rsid w:val="00731287"/>
    <w:rsid w:val="00732E72"/>
    <w:rsid w:val="00735423"/>
    <w:rsid w:val="00741D90"/>
    <w:rsid w:val="007423FE"/>
    <w:rsid w:val="00751BDD"/>
    <w:rsid w:val="00755D63"/>
    <w:rsid w:val="007607B1"/>
    <w:rsid w:val="007642B4"/>
    <w:rsid w:val="00765296"/>
    <w:rsid w:val="00766D28"/>
    <w:rsid w:val="007723C2"/>
    <w:rsid w:val="00773D37"/>
    <w:rsid w:val="0078000F"/>
    <w:rsid w:val="007815B9"/>
    <w:rsid w:val="00785F1F"/>
    <w:rsid w:val="007878D7"/>
    <w:rsid w:val="00790B9D"/>
    <w:rsid w:val="00796316"/>
    <w:rsid w:val="007A1C58"/>
    <w:rsid w:val="007A20D2"/>
    <w:rsid w:val="007A7445"/>
    <w:rsid w:val="007A79CD"/>
    <w:rsid w:val="007B09EE"/>
    <w:rsid w:val="007B0F32"/>
    <w:rsid w:val="007C273D"/>
    <w:rsid w:val="007D06D3"/>
    <w:rsid w:val="007D2668"/>
    <w:rsid w:val="007D3119"/>
    <w:rsid w:val="007E3B4A"/>
    <w:rsid w:val="007E529A"/>
    <w:rsid w:val="007F078B"/>
    <w:rsid w:val="007F1867"/>
    <w:rsid w:val="007F1EC4"/>
    <w:rsid w:val="007F55CB"/>
    <w:rsid w:val="007F6974"/>
    <w:rsid w:val="007F768E"/>
    <w:rsid w:val="008021D4"/>
    <w:rsid w:val="00810D23"/>
    <w:rsid w:val="008149F9"/>
    <w:rsid w:val="008159CC"/>
    <w:rsid w:val="00823F09"/>
    <w:rsid w:val="0082419D"/>
    <w:rsid w:val="008245B7"/>
    <w:rsid w:val="0082531F"/>
    <w:rsid w:val="0082755E"/>
    <w:rsid w:val="00831A18"/>
    <w:rsid w:val="00836A46"/>
    <w:rsid w:val="00837345"/>
    <w:rsid w:val="00842044"/>
    <w:rsid w:val="00844750"/>
    <w:rsid w:val="00851A74"/>
    <w:rsid w:val="00852208"/>
    <w:rsid w:val="00853A30"/>
    <w:rsid w:val="00853AB8"/>
    <w:rsid w:val="00854C34"/>
    <w:rsid w:val="0085586A"/>
    <w:rsid w:val="00857E11"/>
    <w:rsid w:val="00861BEB"/>
    <w:rsid w:val="00865D76"/>
    <w:rsid w:val="00872CC7"/>
    <w:rsid w:val="00877C23"/>
    <w:rsid w:val="008806CE"/>
    <w:rsid w:val="00885963"/>
    <w:rsid w:val="00887EE4"/>
    <w:rsid w:val="00895DE5"/>
    <w:rsid w:val="008A0FA8"/>
    <w:rsid w:val="008A1EC0"/>
    <w:rsid w:val="008A5444"/>
    <w:rsid w:val="008A59E0"/>
    <w:rsid w:val="008B1034"/>
    <w:rsid w:val="008B2D04"/>
    <w:rsid w:val="008B44C4"/>
    <w:rsid w:val="008B4DE1"/>
    <w:rsid w:val="008B4E0E"/>
    <w:rsid w:val="008C28CD"/>
    <w:rsid w:val="008C322B"/>
    <w:rsid w:val="008C4B74"/>
    <w:rsid w:val="008D1156"/>
    <w:rsid w:val="008D3E47"/>
    <w:rsid w:val="008D59DB"/>
    <w:rsid w:val="008E0319"/>
    <w:rsid w:val="008E3115"/>
    <w:rsid w:val="008E3289"/>
    <w:rsid w:val="008E4DE2"/>
    <w:rsid w:val="008E7CE2"/>
    <w:rsid w:val="008E7FAE"/>
    <w:rsid w:val="008F69C9"/>
    <w:rsid w:val="0090195B"/>
    <w:rsid w:val="00902AC8"/>
    <w:rsid w:val="00902FA7"/>
    <w:rsid w:val="00911BF7"/>
    <w:rsid w:val="00912A6E"/>
    <w:rsid w:val="0091594A"/>
    <w:rsid w:val="0091725B"/>
    <w:rsid w:val="0092175D"/>
    <w:rsid w:val="009230F1"/>
    <w:rsid w:val="0092526C"/>
    <w:rsid w:val="0092533E"/>
    <w:rsid w:val="00935490"/>
    <w:rsid w:val="00936E3C"/>
    <w:rsid w:val="009418DE"/>
    <w:rsid w:val="00943379"/>
    <w:rsid w:val="009516B7"/>
    <w:rsid w:val="00951879"/>
    <w:rsid w:val="00957C26"/>
    <w:rsid w:val="00957CCE"/>
    <w:rsid w:val="00957CE5"/>
    <w:rsid w:val="009601C8"/>
    <w:rsid w:val="009624E2"/>
    <w:rsid w:val="0096306C"/>
    <w:rsid w:val="00964A0C"/>
    <w:rsid w:val="00966651"/>
    <w:rsid w:val="00971E62"/>
    <w:rsid w:val="00972A8D"/>
    <w:rsid w:val="00974460"/>
    <w:rsid w:val="00975F08"/>
    <w:rsid w:val="0097613F"/>
    <w:rsid w:val="00976E13"/>
    <w:rsid w:val="00977EC8"/>
    <w:rsid w:val="00981B64"/>
    <w:rsid w:val="00986EF7"/>
    <w:rsid w:val="00994FC8"/>
    <w:rsid w:val="009A3048"/>
    <w:rsid w:val="009A324B"/>
    <w:rsid w:val="009A3744"/>
    <w:rsid w:val="009A6C26"/>
    <w:rsid w:val="009B0EA9"/>
    <w:rsid w:val="009B17AD"/>
    <w:rsid w:val="009B3F8C"/>
    <w:rsid w:val="009B45E0"/>
    <w:rsid w:val="009B540F"/>
    <w:rsid w:val="009C0141"/>
    <w:rsid w:val="009C4A49"/>
    <w:rsid w:val="009C4DB2"/>
    <w:rsid w:val="009D3A8C"/>
    <w:rsid w:val="009E127A"/>
    <w:rsid w:val="009E1BA9"/>
    <w:rsid w:val="009E2876"/>
    <w:rsid w:val="009E2F0B"/>
    <w:rsid w:val="009E7956"/>
    <w:rsid w:val="009F072F"/>
    <w:rsid w:val="009F168E"/>
    <w:rsid w:val="009F26C1"/>
    <w:rsid w:val="009F28F7"/>
    <w:rsid w:val="009F2AF8"/>
    <w:rsid w:val="009F3F95"/>
    <w:rsid w:val="009F528C"/>
    <w:rsid w:val="009F60C1"/>
    <w:rsid w:val="009F629E"/>
    <w:rsid w:val="009F7780"/>
    <w:rsid w:val="00A0187E"/>
    <w:rsid w:val="00A023FC"/>
    <w:rsid w:val="00A0338D"/>
    <w:rsid w:val="00A05DD1"/>
    <w:rsid w:val="00A077E9"/>
    <w:rsid w:val="00A1501E"/>
    <w:rsid w:val="00A16703"/>
    <w:rsid w:val="00A21D26"/>
    <w:rsid w:val="00A2492E"/>
    <w:rsid w:val="00A31163"/>
    <w:rsid w:val="00A32F58"/>
    <w:rsid w:val="00A34593"/>
    <w:rsid w:val="00A364DB"/>
    <w:rsid w:val="00A36A08"/>
    <w:rsid w:val="00A400A2"/>
    <w:rsid w:val="00A45E90"/>
    <w:rsid w:val="00A45F28"/>
    <w:rsid w:val="00A4770F"/>
    <w:rsid w:val="00A500DB"/>
    <w:rsid w:val="00A50D6B"/>
    <w:rsid w:val="00A51050"/>
    <w:rsid w:val="00A51B4E"/>
    <w:rsid w:val="00A56945"/>
    <w:rsid w:val="00A57027"/>
    <w:rsid w:val="00A5750C"/>
    <w:rsid w:val="00A6797E"/>
    <w:rsid w:val="00A72C35"/>
    <w:rsid w:val="00A7328D"/>
    <w:rsid w:val="00A752BB"/>
    <w:rsid w:val="00A81F93"/>
    <w:rsid w:val="00A85048"/>
    <w:rsid w:val="00A901FE"/>
    <w:rsid w:val="00A9247E"/>
    <w:rsid w:val="00A9351E"/>
    <w:rsid w:val="00AA1C25"/>
    <w:rsid w:val="00AA39C4"/>
    <w:rsid w:val="00AA7796"/>
    <w:rsid w:val="00AB13A9"/>
    <w:rsid w:val="00AB1EDC"/>
    <w:rsid w:val="00AC41C0"/>
    <w:rsid w:val="00AC67A1"/>
    <w:rsid w:val="00AC7977"/>
    <w:rsid w:val="00AC7E56"/>
    <w:rsid w:val="00AD2C97"/>
    <w:rsid w:val="00AD371F"/>
    <w:rsid w:val="00AE2617"/>
    <w:rsid w:val="00AE352C"/>
    <w:rsid w:val="00AE58D8"/>
    <w:rsid w:val="00AE79AC"/>
    <w:rsid w:val="00AF30B7"/>
    <w:rsid w:val="00AF4BAA"/>
    <w:rsid w:val="00B01AAD"/>
    <w:rsid w:val="00B04264"/>
    <w:rsid w:val="00B0492F"/>
    <w:rsid w:val="00B07C31"/>
    <w:rsid w:val="00B101DB"/>
    <w:rsid w:val="00B14033"/>
    <w:rsid w:val="00B16828"/>
    <w:rsid w:val="00B16DB1"/>
    <w:rsid w:val="00B17AFC"/>
    <w:rsid w:val="00B216A1"/>
    <w:rsid w:val="00B21751"/>
    <w:rsid w:val="00B256F0"/>
    <w:rsid w:val="00B30B9A"/>
    <w:rsid w:val="00B31D7D"/>
    <w:rsid w:val="00B32E2D"/>
    <w:rsid w:val="00B3603D"/>
    <w:rsid w:val="00B42A4D"/>
    <w:rsid w:val="00B43741"/>
    <w:rsid w:val="00B45642"/>
    <w:rsid w:val="00B458E9"/>
    <w:rsid w:val="00B50272"/>
    <w:rsid w:val="00B524AA"/>
    <w:rsid w:val="00B52CFD"/>
    <w:rsid w:val="00B52F29"/>
    <w:rsid w:val="00B5388D"/>
    <w:rsid w:val="00B54BA2"/>
    <w:rsid w:val="00B5582E"/>
    <w:rsid w:val="00B566BE"/>
    <w:rsid w:val="00B61990"/>
    <w:rsid w:val="00B6249B"/>
    <w:rsid w:val="00B6554A"/>
    <w:rsid w:val="00B65823"/>
    <w:rsid w:val="00B665AE"/>
    <w:rsid w:val="00B70AA6"/>
    <w:rsid w:val="00B70CCD"/>
    <w:rsid w:val="00B71537"/>
    <w:rsid w:val="00B7316A"/>
    <w:rsid w:val="00B75E66"/>
    <w:rsid w:val="00B773BF"/>
    <w:rsid w:val="00B824FC"/>
    <w:rsid w:val="00B86CB4"/>
    <w:rsid w:val="00B87971"/>
    <w:rsid w:val="00B9732F"/>
    <w:rsid w:val="00BA3652"/>
    <w:rsid w:val="00BA46CC"/>
    <w:rsid w:val="00BA5850"/>
    <w:rsid w:val="00BA744D"/>
    <w:rsid w:val="00BB03D3"/>
    <w:rsid w:val="00BB1391"/>
    <w:rsid w:val="00BB2CCF"/>
    <w:rsid w:val="00BC3F20"/>
    <w:rsid w:val="00BD28B2"/>
    <w:rsid w:val="00BD5299"/>
    <w:rsid w:val="00BD5A8D"/>
    <w:rsid w:val="00BD7343"/>
    <w:rsid w:val="00BD7709"/>
    <w:rsid w:val="00BE2B82"/>
    <w:rsid w:val="00BE5387"/>
    <w:rsid w:val="00BF0556"/>
    <w:rsid w:val="00BF0ECB"/>
    <w:rsid w:val="00BF23AA"/>
    <w:rsid w:val="00BF37EE"/>
    <w:rsid w:val="00BF5391"/>
    <w:rsid w:val="00BF6A09"/>
    <w:rsid w:val="00C024A1"/>
    <w:rsid w:val="00C02C42"/>
    <w:rsid w:val="00C035D3"/>
    <w:rsid w:val="00C067D1"/>
    <w:rsid w:val="00C10C42"/>
    <w:rsid w:val="00C10FB1"/>
    <w:rsid w:val="00C11282"/>
    <w:rsid w:val="00C14108"/>
    <w:rsid w:val="00C212DB"/>
    <w:rsid w:val="00C2260E"/>
    <w:rsid w:val="00C261F8"/>
    <w:rsid w:val="00C2624B"/>
    <w:rsid w:val="00C27662"/>
    <w:rsid w:val="00C33100"/>
    <w:rsid w:val="00C35F52"/>
    <w:rsid w:val="00C451B9"/>
    <w:rsid w:val="00C51D9C"/>
    <w:rsid w:val="00C522D4"/>
    <w:rsid w:val="00C54DA4"/>
    <w:rsid w:val="00C55118"/>
    <w:rsid w:val="00C5642B"/>
    <w:rsid w:val="00C577D1"/>
    <w:rsid w:val="00C57A2D"/>
    <w:rsid w:val="00C57AD5"/>
    <w:rsid w:val="00C6018C"/>
    <w:rsid w:val="00C6039D"/>
    <w:rsid w:val="00C63ACA"/>
    <w:rsid w:val="00C67D23"/>
    <w:rsid w:val="00C71827"/>
    <w:rsid w:val="00C72849"/>
    <w:rsid w:val="00C75D6F"/>
    <w:rsid w:val="00C825E5"/>
    <w:rsid w:val="00C8325A"/>
    <w:rsid w:val="00C86015"/>
    <w:rsid w:val="00C95EB8"/>
    <w:rsid w:val="00CA0BFC"/>
    <w:rsid w:val="00CB02C5"/>
    <w:rsid w:val="00CB09A5"/>
    <w:rsid w:val="00CB132E"/>
    <w:rsid w:val="00CB39CD"/>
    <w:rsid w:val="00CB3B9E"/>
    <w:rsid w:val="00CC1132"/>
    <w:rsid w:val="00CC7CE6"/>
    <w:rsid w:val="00CD0004"/>
    <w:rsid w:val="00CD044C"/>
    <w:rsid w:val="00CD1A71"/>
    <w:rsid w:val="00CD1D50"/>
    <w:rsid w:val="00CD1FBB"/>
    <w:rsid w:val="00CE033D"/>
    <w:rsid w:val="00CE08E5"/>
    <w:rsid w:val="00CE3E5B"/>
    <w:rsid w:val="00CE48E6"/>
    <w:rsid w:val="00CF2158"/>
    <w:rsid w:val="00CF5743"/>
    <w:rsid w:val="00D016B5"/>
    <w:rsid w:val="00D034F1"/>
    <w:rsid w:val="00D04FD9"/>
    <w:rsid w:val="00D0533D"/>
    <w:rsid w:val="00D077D0"/>
    <w:rsid w:val="00D13BB5"/>
    <w:rsid w:val="00D14877"/>
    <w:rsid w:val="00D14F42"/>
    <w:rsid w:val="00D171D4"/>
    <w:rsid w:val="00D20175"/>
    <w:rsid w:val="00D22714"/>
    <w:rsid w:val="00D22738"/>
    <w:rsid w:val="00D27D5E"/>
    <w:rsid w:val="00D32B08"/>
    <w:rsid w:val="00D35C0D"/>
    <w:rsid w:val="00D407D1"/>
    <w:rsid w:val="00D43AD7"/>
    <w:rsid w:val="00D43E5F"/>
    <w:rsid w:val="00D46552"/>
    <w:rsid w:val="00D51CE6"/>
    <w:rsid w:val="00D5536F"/>
    <w:rsid w:val="00D639BD"/>
    <w:rsid w:val="00D65777"/>
    <w:rsid w:val="00D66378"/>
    <w:rsid w:val="00D66E0D"/>
    <w:rsid w:val="00D7425A"/>
    <w:rsid w:val="00D74F7E"/>
    <w:rsid w:val="00D7695F"/>
    <w:rsid w:val="00D9039B"/>
    <w:rsid w:val="00D907D2"/>
    <w:rsid w:val="00D93582"/>
    <w:rsid w:val="00D94AAE"/>
    <w:rsid w:val="00D95840"/>
    <w:rsid w:val="00DA0F37"/>
    <w:rsid w:val="00DA22CC"/>
    <w:rsid w:val="00DA41A2"/>
    <w:rsid w:val="00DA43A1"/>
    <w:rsid w:val="00DA5E1D"/>
    <w:rsid w:val="00DB1B56"/>
    <w:rsid w:val="00DC33A6"/>
    <w:rsid w:val="00DC4F43"/>
    <w:rsid w:val="00DE6D90"/>
    <w:rsid w:val="00DF002F"/>
    <w:rsid w:val="00DF410A"/>
    <w:rsid w:val="00DF5F8A"/>
    <w:rsid w:val="00E020EC"/>
    <w:rsid w:val="00E0244D"/>
    <w:rsid w:val="00E026DF"/>
    <w:rsid w:val="00E02F48"/>
    <w:rsid w:val="00E03712"/>
    <w:rsid w:val="00E056AC"/>
    <w:rsid w:val="00E06B3F"/>
    <w:rsid w:val="00E079C3"/>
    <w:rsid w:val="00E10A73"/>
    <w:rsid w:val="00E11FFC"/>
    <w:rsid w:val="00E14E15"/>
    <w:rsid w:val="00E14F27"/>
    <w:rsid w:val="00E171D2"/>
    <w:rsid w:val="00E25534"/>
    <w:rsid w:val="00E26102"/>
    <w:rsid w:val="00E319B6"/>
    <w:rsid w:val="00E32145"/>
    <w:rsid w:val="00E3252F"/>
    <w:rsid w:val="00E32F5A"/>
    <w:rsid w:val="00E34C76"/>
    <w:rsid w:val="00E4043B"/>
    <w:rsid w:val="00E45633"/>
    <w:rsid w:val="00E510F3"/>
    <w:rsid w:val="00E51E30"/>
    <w:rsid w:val="00E532EC"/>
    <w:rsid w:val="00E54385"/>
    <w:rsid w:val="00E573D7"/>
    <w:rsid w:val="00E60012"/>
    <w:rsid w:val="00E62CFF"/>
    <w:rsid w:val="00E656B3"/>
    <w:rsid w:val="00E665EE"/>
    <w:rsid w:val="00E679AE"/>
    <w:rsid w:val="00E71570"/>
    <w:rsid w:val="00E73B13"/>
    <w:rsid w:val="00E75C58"/>
    <w:rsid w:val="00E76819"/>
    <w:rsid w:val="00E81E94"/>
    <w:rsid w:val="00E81FB1"/>
    <w:rsid w:val="00E82607"/>
    <w:rsid w:val="00E83592"/>
    <w:rsid w:val="00E84A82"/>
    <w:rsid w:val="00E85025"/>
    <w:rsid w:val="00E868CA"/>
    <w:rsid w:val="00E9483E"/>
    <w:rsid w:val="00E96710"/>
    <w:rsid w:val="00EA042D"/>
    <w:rsid w:val="00EA3B1D"/>
    <w:rsid w:val="00EB172F"/>
    <w:rsid w:val="00EB4148"/>
    <w:rsid w:val="00EB703F"/>
    <w:rsid w:val="00EB77B9"/>
    <w:rsid w:val="00EB7D07"/>
    <w:rsid w:val="00EC4417"/>
    <w:rsid w:val="00ED3A26"/>
    <w:rsid w:val="00ED494B"/>
    <w:rsid w:val="00ED4CEC"/>
    <w:rsid w:val="00EF37F8"/>
    <w:rsid w:val="00EF70BB"/>
    <w:rsid w:val="00F00753"/>
    <w:rsid w:val="00F02FA9"/>
    <w:rsid w:val="00F0471B"/>
    <w:rsid w:val="00F058E7"/>
    <w:rsid w:val="00F06660"/>
    <w:rsid w:val="00F116EB"/>
    <w:rsid w:val="00F1788E"/>
    <w:rsid w:val="00F1794E"/>
    <w:rsid w:val="00F211AF"/>
    <w:rsid w:val="00F230D6"/>
    <w:rsid w:val="00F235D9"/>
    <w:rsid w:val="00F25EC3"/>
    <w:rsid w:val="00F31C30"/>
    <w:rsid w:val="00F32ADB"/>
    <w:rsid w:val="00F32C98"/>
    <w:rsid w:val="00F36B54"/>
    <w:rsid w:val="00F37E12"/>
    <w:rsid w:val="00F424BD"/>
    <w:rsid w:val="00F4305E"/>
    <w:rsid w:val="00F43281"/>
    <w:rsid w:val="00F45D59"/>
    <w:rsid w:val="00F47163"/>
    <w:rsid w:val="00F473E2"/>
    <w:rsid w:val="00F515AD"/>
    <w:rsid w:val="00F53AC6"/>
    <w:rsid w:val="00F5614E"/>
    <w:rsid w:val="00F57464"/>
    <w:rsid w:val="00F57DD7"/>
    <w:rsid w:val="00F6204B"/>
    <w:rsid w:val="00F6212D"/>
    <w:rsid w:val="00F62D5B"/>
    <w:rsid w:val="00F636AD"/>
    <w:rsid w:val="00F63A32"/>
    <w:rsid w:val="00F72B88"/>
    <w:rsid w:val="00F734D9"/>
    <w:rsid w:val="00F73F83"/>
    <w:rsid w:val="00F7407C"/>
    <w:rsid w:val="00F74902"/>
    <w:rsid w:val="00F85A4E"/>
    <w:rsid w:val="00F86EA0"/>
    <w:rsid w:val="00F91CFC"/>
    <w:rsid w:val="00F92177"/>
    <w:rsid w:val="00F9353A"/>
    <w:rsid w:val="00F965C2"/>
    <w:rsid w:val="00FA0F65"/>
    <w:rsid w:val="00FA2761"/>
    <w:rsid w:val="00FA27D4"/>
    <w:rsid w:val="00FA5A79"/>
    <w:rsid w:val="00FB0BFE"/>
    <w:rsid w:val="00FB4300"/>
    <w:rsid w:val="00FB4C51"/>
    <w:rsid w:val="00FB734D"/>
    <w:rsid w:val="00FC2A03"/>
    <w:rsid w:val="00FC67BB"/>
    <w:rsid w:val="00FD02A2"/>
    <w:rsid w:val="00FD56F6"/>
    <w:rsid w:val="00FD5E64"/>
    <w:rsid w:val="00FD6BA9"/>
    <w:rsid w:val="00FD7985"/>
    <w:rsid w:val="00FE078B"/>
    <w:rsid w:val="00FE2F42"/>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rsid w:val="00F7407C"/>
    <w:pPr>
      <w:outlineLvl w:val="3"/>
    </w:pPr>
  </w:style>
  <w:style w:type="paragraph" w:styleId="Titre5">
    <w:name w:val="heading 5"/>
    <w:basedOn w:val="Normal"/>
    <w:next w:val="Normal"/>
    <w:qFormat/>
    <w:rsid w:val="00F7407C"/>
    <w:pPr>
      <w:outlineLvl w:val="4"/>
    </w:pPr>
  </w:style>
  <w:style w:type="paragraph" w:styleId="Titre6">
    <w:name w:val="heading 6"/>
    <w:basedOn w:val="Normal"/>
    <w:next w:val="Normal"/>
    <w:qFormat/>
    <w:rsid w:val="00F7407C"/>
    <w:pPr>
      <w:outlineLvl w:val="5"/>
    </w:pPr>
  </w:style>
  <w:style w:type="paragraph" w:styleId="Titre7">
    <w:name w:val="heading 7"/>
    <w:basedOn w:val="Normal"/>
    <w:next w:val="Normal"/>
    <w:qFormat/>
    <w:rsid w:val="00F7407C"/>
    <w:pPr>
      <w:outlineLvl w:val="6"/>
    </w:pPr>
  </w:style>
  <w:style w:type="paragraph" w:styleId="Titre8">
    <w:name w:val="heading 8"/>
    <w:basedOn w:val="Normal"/>
    <w:next w:val="Normal"/>
    <w:qFormat/>
    <w:rsid w:val="00F7407C"/>
    <w:pPr>
      <w:outlineLvl w:val="7"/>
    </w:pPr>
  </w:style>
  <w:style w:type="paragraph" w:styleId="Titre9">
    <w:name w:val="heading 9"/>
    <w:basedOn w:val="Normal"/>
    <w:next w:val="Normal"/>
    <w:qFormat/>
    <w:rsid w:val="00F7407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eastAsia="x-none"/>
    </w:rPr>
  </w:style>
  <w:style w:type="character" w:styleId="Appelnotedebasdep">
    <w:name w:val="footnote reference"/>
    <w:aliases w:val="4_G"/>
    <w:rsid w:val="00D016B5"/>
    <w:rPr>
      <w:rFonts w:ascii="Times New Roman" w:hAnsi="Times New Roman"/>
      <w:sz w:val="18"/>
      <w:vertAlign w:val="superscript"/>
      <w:lang w:val="fr-CH" w:eastAsia="x-none"/>
    </w:rPr>
  </w:style>
  <w:style w:type="character" w:styleId="Numrodepage">
    <w:name w:val="page number"/>
    <w:aliases w:val="7_G"/>
    <w:rsid w:val="00287E79"/>
    <w:rPr>
      <w:rFonts w:ascii="Times New Roman" w:hAnsi="Times New Roman"/>
      <w:b/>
      <w:sz w:val="18"/>
      <w:lang w:val="fr-CH" w:eastAsia="x-none"/>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Grilledutableau">
    <w:name w:val="Table Grid"/>
    <w:basedOn w:val="TableauNormal"/>
    <w:semiHidden/>
    <w:rsid w:val="00372D1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ind w:left="0"/>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locked/>
    <w:rsid w:val="00443CBE"/>
    <w:rPr>
      <w:sz w:val="18"/>
      <w:lang w:val="fr-CH" w:eastAsia="en-US"/>
    </w:rPr>
  </w:style>
  <w:style w:type="character" w:customStyle="1" w:styleId="SingleTxtGCar">
    <w:name w:val="_ Single Txt_G Car"/>
    <w:link w:val="SingleTxtG"/>
    <w:locked/>
    <w:rsid w:val="00443CBE"/>
    <w:rPr>
      <w:lang w:val="fr-CH" w:eastAsia="en-US"/>
    </w:rPr>
  </w:style>
  <w:style w:type="paragraph" w:styleId="Textedebulles">
    <w:name w:val="Balloon Text"/>
    <w:basedOn w:val="Normal"/>
    <w:link w:val="TextedebullesCar"/>
    <w:rsid w:val="0092533E"/>
    <w:pPr>
      <w:spacing w:line="240" w:lineRule="auto"/>
    </w:pPr>
    <w:rPr>
      <w:rFonts w:ascii="Tahoma" w:hAnsi="Tahoma"/>
      <w:sz w:val="16"/>
      <w:szCs w:val="16"/>
    </w:rPr>
  </w:style>
  <w:style w:type="character" w:customStyle="1" w:styleId="TextedebullesCar">
    <w:name w:val="Texte de bulles Car"/>
    <w:link w:val="Textedebulles"/>
    <w:locked/>
    <w:rsid w:val="0092533E"/>
    <w:rPr>
      <w:rFonts w:ascii="Tahoma" w:hAnsi="Tahoma"/>
      <w:sz w:val="16"/>
      <w:lang w:val="fr-CH" w:eastAsia="en-US"/>
    </w:rPr>
  </w:style>
  <w:style w:type="paragraph" w:styleId="Paragraphedeliste">
    <w:name w:val="List Paragraph"/>
    <w:basedOn w:val="Normal"/>
    <w:uiPriority w:val="34"/>
    <w:qFormat/>
    <w:rsid w:val="00755D63"/>
    <w:pPr>
      <w:ind w:left="720"/>
    </w:pPr>
  </w:style>
  <w:style w:type="paragraph" w:styleId="Rvision">
    <w:name w:val="Revision"/>
    <w:hidden/>
    <w:semiHidden/>
    <w:rsid w:val="00966651"/>
    <w:rPr>
      <w:lang w:val="fr-CH" w:eastAsia="en-US"/>
    </w:rPr>
  </w:style>
  <w:style w:type="character" w:styleId="Marquedecommentaire">
    <w:name w:val="annotation reference"/>
    <w:rsid w:val="00C72849"/>
    <w:rPr>
      <w:rFonts w:cs="Times New Roman"/>
      <w:sz w:val="16"/>
      <w:szCs w:val="16"/>
    </w:rPr>
  </w:style>
  <w:style w:type="paragraph" w:styleId="Commentaire">
    <w:name w:val="annotation text"/>
    <w:basedOn w:val="Normal"/>
    <w:link w:val="CommentaireCar"/>
    <w:rsid w:val="00C72849"/>
  </w:style>
  <w:style w:type="character" w:customStyle="1" w:styleId="CommentaireCar">
    <w:name w:val="Commentaire Car"/>
    <w:link w:val="Commentaire"/>
    <w:locked/>
    <w:rsid w:val="00C72849"/>
    <w:rPr>
      <w:rFonts w:cs="Times New Roman"/>
      <w:lang w:val="fr-CH" w:eastAsia="en-US"/>
    </w:rPr>
  </w:style>
  <w:style w:type="paragraph" w:styleId="Objetducommentaire">
    <w:name w:val="annotation subject"/>
    <w:basedOn w:val="Commentaire"/>
    <w:next w:val="Commentaire"/>
    <w:link w:val="ObjetducommentaireCar"/>
    <w:rsid w:val="00C72849"/>
    <w:rPr>
      <w:b/>
      <w:bCs/>
    </w:rPr>
  </w:style>
  <w:style w:type="character" w:customStyle="1" w:styleId="ObjetducommentaireCar">
    <w:name w:val="Objet du commentaire Car"/>
    <w:link w:val="Objetducommentaire"/>
    <w:locked/>
    <w:rsid w:val="00C72849"/>
    <w:rPr>
      <w:rFonts w:cs="Times New Roman"/>
      <w:b/>
      <w:bCs/>
      <w:lang w:val="fr-CH" w:eastAsia="en-US"/>
    </w:rPr>
  </w:style>
  <w:style w:type="character" w:customStyle="1" w:styleId="singletxtgcar0">
    <w:name w:val="singletxtgcar"/>
    <w:rsid w:val="00DF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rsid w:val="00F7407C"/>
    <w:pPr>
      <w:outlineLvl w:val="3"/>
    </w:pPr>
  </w:style>
  <w:style w:type="paragraph" w:styleId="Titre5">
    <w:name w:val="heading 5"/>
    <w:basedOn w:val="Normal"/>
    <w:next w:val="Normal"/>
    <w:qFormat/>
    <w:rsid w:val="00F7407C"/>
    <w:pPr>
      <w:outlineLvl w:val="4"/>
    </w:pPr>
  </w:style>
  <w:style w:type="paragraph" w:styleId="Titre6">
    <w:name w:val="heading 6"/>
    <w:basedOn w:val="Normal"/>
    <w:next w:val="Normal"/>
    <w:qFormat/>
    <w:rsid w:val="00F7407C"/>
    <w:pPr>
      <w:outlineLvl w:val="5"/>
    </w:pPr>
  </w:style>
  <w:style w:type="paragraph" w:styleId="Titre7">
    <w:name w:val="heading 7"/>
    <w:basedOn w:val="Normal"/>
    <w:next w:val="Normal"/>
    <w:qFormat/>
    <w:rsid w:val="00F7407C"/>
    <w:pPr>
      <w:outlineLvl w:val="6"/>
    </w:pPr>
  </w:style>
  <w:style w:type="paragraph" w:styleId="Titre8">
    <w:name w:val="heading 8"/>
    <w:basedOn w:val="Normal"/>
    <w:next w:val="Normal"/>
    <w:qFormat/>
    <w:rsid w:val="00F7407C"/>
    <w:pPr>
      <w:outlineLvl w:val="7"/>
    </w:pPr>
  </w:style>
  <w:style w:type="paragraph" w:styleId="Titre9">
    <w:name w:val="heading 9"/>
    <w:basedOn w:val="Normal"/>
    <w:next w:val="Normal"/>
    <w:qFormat/>
    <w:rsid w:val="00F7407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eastAsia="x-none"/>
    </w:rPr>
  </w:style>
  <w:style w:type="character" w:styleId="Appelnotedebasdep">
    <w:name w:val="footnote reference"/>
    <w:aliases w:val="4_G"/>
    <w:rsid w:val="00D016B5"/>
    <w:rPr>
      <w:rFonts w:ascii="Times New Roman" w:hAnsi="Times New Roman"/>
      <w:sz w:val="18"/>
      <w:vertAlign w:val="superscript"/>
      <w:lang w:val="fr-CH" w:eastAsia="x-none"/>
    </w:rPr>
  </w:style>
  <w:style w:type="character" w:styleId="Numrodepage">
    <w:name w:val="page number"/>
    <w:aliases w:val="7_G"/>
    <w:rsid w:val="00287E79"/>
    <w:rPr>
      <w:rFonts w:ascii="Times New Roman" w:hAnsi="Times New Roman"/>
      <w:b/>
      <w:sz w:val="18"/>
      <w:lang w:val="fr-CH" w:eastAsia="x-none"/>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Grilledutableau">
    <w:name w:val="Table Grid"/>
    <w:basedOn w:val="TableauNormal"/>
    <w:semiHidden/>
    <w:rsid w:val="00372D1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ind w:left="0"/>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locked/>
    <w:rsid w:val="00443CBE"/>
    <w:rPr>
      <w:sz w:val="18"/>
      <w:lang w:val="fr-CH" w:eastAsia="en-US"/>
    </w:rPr>
  </w:style>
  <w:style w:type="character" w:customStyle="1" w:styleId="SingleTxtGCar">
    <w:name w:val="_ Single Txt_G Car"/>
    <w:link w:val="SingleTxtG"/>
    <w:locked/>
    <w:rsid w:val="00443CBE"/>
    <w:rPr>
      <w:lang w:val="fr-CH" w:eastAsia="en-US"/>
    </w:rPr>
  </w:style>
  <w:style w:type="paragraph" w:styleId="Textedebulles">
    <w:name w:val="Balloon Text"/>
    <w:basedOn w:val="Normal"/>
    <w:link w:val="TextedebullesCar"/>
    <w:rsid w:val="0092533E"/>
    <w:pPr>
      <w:spacing w:line="240" w:lineRule="auto"/>
    </w:pPr>
    <w:rPr>
      <w:rFonts w:ascii="Tahoma" w:hAnsi="Tahoma"/>
      <w:sz w:val="16"/>
      <w:szCs w:val="16"/>
    </w:rPr>
  </w:style>
  <w:style w:type="character" w:customStyle="1" w:styleId="TextedebullesCar">
    <w:name w:val="Texte de bulles Car"/>
    <w:link w:val="Textedebulles"/>
    <w:locked/>
    <w:rsid w:val="0092533E"/>
    <w:rPr>
      <w:rFonts w:ascii="Tahoma" w:hAnsi="Tahoma"/>
      <w:sz w:val="16"/>
      <w:lang w:val="fr-CH" w:eastAsia="en-US"/>
    </w:rPr>
  </w:style>
  <w:style w:type="paragraph" w:styleId="Paragraphedeliste">
    <w:name w:val="List Paragraph"/>
    <w:basedOn w:val="Normal"/>
    <w:uiPriority w:val="34"/>
    <w:qFormat/>
    <w:rsid w:val="00755D63"/>
    <w:pPr>
      <w:ind w:left="720"/>
    </w:pPr>
  </w:style>
  <w:style w:type="paragraph" w:styleId="Rvision">
    <w:name w:val="Revision"/>
    <w:hidden/>
    <w:semiHidden/>
    <w:rsid w:val="00966651"/>
    <w:rPr>
      <w:lang w:val="fr-CH" w:eastAsia="en-US"/>
    </w:rPr>
  </w:style>
  <w:style w:type="character" w:styleId="Marquedecommentaire">
    <w:name w:val="annotation reference"/>
    <w:rsid w:val="00C72849"/>
    <w:rPr>
      <w:rFonts w:cs="Times New Roman"/>
      <w:sz w:val="16"/>
      <w:szCs w:val="16"/>
    </w:rPr>
  </w:style>
  <w:style w:type="paragraph" w:styleId="Commentaire">
    <w:name w:val="annotation text"/>
    <w:basedOn w:val="Normal"/>
    <w:link w:val="CommentaireCar"/>
    <w:rsid w:val="00C72849"/>
  </w:style>
  <w:style w:type="character" w:customStyle="1" w:styleId="CommentaireCar">
    <w:name w:val="Commentaire Car"/>
    <w:link w:val="Commentaire"/>
    <w:locked/>
    <w:rsid w:val="00C72849"/>
    <w:rPr>
      <w:rFonts w:cs="Times New Roman"/>
      <w:lang w:val="fr-CH" w:eastAsia="en-US"/>
    </w:rPr>
  </w:style>
  <w:style w:type="paragraph" w:styleId="Objetducommentaire">
    <w:name w:val="annotation subject"/>
    <w:basedOn w:val="Commentaire"/>
    <w:next w:val="Commentaire"/>
    <w:link w:val="ObjetducommentaireCar"/>
    <w:rsid w:val="00C72849"/>
    <w:rPr>
      <w:b/>
      <w:bCs/>
    </w:rPr>
  </w:style>
  <w:style w:type="character" w:customStyle="1" w:styleId="ObjetducommentaireCar">
    <w:name w:val="Objet du commentaire Car"/>
    <w:link w:val="Objetducommentaire"/>
    <w:locked/>
    <w:rsid w:val="00C72849"/>
    <w:rPr>
      <w:rFonts w:cs="Times New Roman"/>
      <w:b/>
      <w:bCs/>
      <w:lang w:val="fr-CH" w:eastAsia="en-US"/>
    </w:rPr>
  </w:style>
  <w:style w:type="character" w:customStyle="1" w:styleId="singletxtgcar0">
    <w:name w:val="singletxtgcar"/>
    <w:rsid w:val="00DF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457B-BE45-4A99-8793-1A48F5B2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4135</Words>
  <Characters>22743</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CED/C/BFA/CO/1</vt:lpstr>
      <vt:lpstr>CED/C/BFA/CO/R.1</vt:lpstr>
    </vt:vector>
  </TitlesOfParts>
  <Company>CSD</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CED/C/BFA/CO/1</dc:title>
  <dc:subject>Final</dc:subject>
  <dc:creator>Crelier</dc:creator>
  <cp:lastModifiedBy>Fabienne Crelier</cp:lastModifiedBy>
  <cp:revision>2</cp:revision>
  <cp:lastPrinted>2016-03-16T08:06:00Z</cp:lastPrinted>
  <dcterms:created xsi:type="dcterms:W3CDTF">2016-05-26T10:09:00Z</dcterms:created>
  <dcterms:modified xsi:type="dcterms:W3CDTF">2016-05-26T10:09:00Z</dcterms:modified>
</cp:coreProperties>
</file>