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65C15" w14:paraId="23A32EFB" w14:textId="77777777" w:rsidTr="00CA1AEA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13C20DAD" w14:textId="77777777" w:rsidR="00165C15" w:rsidRDefault="00165C15" w:rsidP="00CA1AEA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169372BA" w14:textId="202ADFAC" w:rsidR="00165C15" w:rsidRPr="00B97172" w:rsidRDefault="00165C15" w:rsidP="00CA1AEA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</w:t>
            </w:r>
            <w:r w:rsidR="00D52F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31A50AFC" w14:textId="7CD52840" w:rsidR="00165C15" w:rsidRPr="00D47EEA" w:rsidRDefault="000A1AAE" w:rsidP="000A1AAE">
            <w:pPr>
              <w:suppressAutoHyphens w:val="0"/>
              <w:spacing w:after="20"/>
              <w:jc w:val="right"/>
            </w:pPr>
            <w:r w:rsidRPr="009779FF">
              <w:rPr>
                <w:sz w:val="40"/>
              </w:rPr>
              <w:t>CCPR</w:t>
            </w:r>
            <w:r w:rsidRPr="009779FF">
              <w:t>/C/MLT/3</w:t>
            </w:r>
          </w:p>
        </w:tc>
      </w:tr>
      <w:tr w:rsidR="00165C15" w14:paraId="7CFAFF5D" w14:textId="77777777" w:rsidTr="00CA1AEA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464E06F6" w14:textId="77777777" w:rsidR="00165C15" w:rsidRDefault="00165C15" w:rsidP="00CA1AEA">
            <w:pPr>
              <w:spacing w:before="120"/>
            </w:pPr>
            <w:r>
              <w:rPr>
                <w:noProof/>
                <w:lang w:eastAsia="en-GB"/>
              </w:rPr>
              <w:drawing>
                <wp:inline distT="0" distB="0" distL="0" distR="0" wp14:anchorId="7DCE0A0B" wp14:editId="64643B02">
                  <wp:extent cx="714375" cy="590550"/>
                  <wp:effectExtent l="0" t="0" r="9525" b="0"/>
                  <wp:docPr id="1" name="Picture 1" descr="United Nation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A6DD28D" w14:textId="2E3F3BC1" w:rsidR="00165C15" w:rsidRPr="00267F5F" w:rsidRDefault="00165C15" w:rsidP="00CA1AEA">
            <w:pPr>
              <w:spacing w:before="120" w:line="380" w:lineRule="exact"/>
              <w:rPr>
                <w:sz w:val="34"/>
              </w:rPr>
            </w:pPr>
            <w:r w:rsidRPr="00267F5F">
              <w:rPr>
                <w:b/>
                <w:sz w:val="34"/>
                <w:szCs w:val="40"/>
              </w:rPr>
              <w:t>International</w:t>
            </w:r>
            <w:r w:rsidR="00D52FD0">
              <w:rPr>
                <w:b/>
                <w:sz w:val="34"/>
                <w:szCs w:val="40"/>
              </w:rPr>
              <w:t xml:space="preserve"> </w:t>
            </w:r>
            <w:r>
              <w:rPr>
                <w:b/>
                <w:sz w:val="34"/>
                <w:szCs w:val="40"/>
              </w:rPr>
              <w:t>Covenant</w:t>
            </w:r>
            <w:r w:rsidR="00D52FD0">
              <w:rPr>
                <w:b/>
                <w:sz w:val="34"/>
                <w:szCs w:val="40"/>
              </w:rPr>
              <w:t xml:space="preserve"> </w:t>
            </w:r>
            <w:r>
              <w:rPr>
                <w:b/>
                <w:sz w:val="34"/>
                <w:szCs w:val="40"/>
              </w:rPr>
              <w:t>on</w:t>
            </w:r>
            <w:r>
              <w:rPr>
                <w:b/>
                <w:sz w:val="34"/>
                <w:szCs w:val="40"/>
              </w:rPr>
              <w:br/>
              <w:t>Civil</w:t>
            </w:r>
            <w:r w:rsidR="00D52FD0">
              <w:rPr>
                <w:b/>
                <w:sz w:val="34"/>
                <w:szCs w:val="40"/>
              </w:rPr>
              <w:t xml:space="preserve"> </w:t>
            </w:r>
            <w:r>
              <w:rPr>
                <w:b/>
                <w:sz w:val="34"/>
                <w:szCs w:val="40"/>
              </w:rPr>
              <w:t>and</w:t>
            </w:r>
            <w:r w:rsidR="00D52FD0">
              <w:rPr>
                <w:b/>
                <w:sz w:val="34"/>
                <w:szCs w:val="40"/>
              </w:rPr>
              <w:t xml:space="preserve"> </w:t>
            </w:r>
            <w:r>
              <w:rPr>
                <w:b/>
                <w:sz w:val="34"/>
                <w:szCs w:val="40"/>
              </w:rPr>
              <w:t>Political</w:t>
            </w:r>
            <w:r w:rsidR="00D52FD0">
              <w:rPr>
                <w:b/>
                <w:sz w:val="34"/>
                <w:szCs w:val="40"/>
              </w:rPr>
              <w:t xml:space="preserve"> </w:t>
            </w:r>
            <w:r>
              <w:rPr>
                <w:b/>
                <w:sz w:val="34"/>
                <w:szCs w:val="40"/>
              </w:rPr>
              <w:t>R</w:t>
            </w:r>
            <w:r w:rsidRPr="00267F5F">
              <w:rPr>
                <w:b/>
                <w:sz w:val="34"/>
                <w:szCs w:val="40"/>
              </w:rPr>
              <w:t>ights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22333421" w14:textId="2EC7D236" w:rsidR="00165C15" w:rsidRDefault="000A1AAE" w:rsidP="000A1AAE">
            <w:pPr>
              <w:suppressAutoHyphens w:val="0"/>
              <w:spacing w:before="240"/>
            </w:pPr>
            <w:r>
              <w:t>Distr.:</w:t>
            </w:r>
            <w:r w:rsidR="00D52FD0">
              <w:t xml:space="preserve"> </w:t>
            </w:r>
            <w:r>
              <w:t>General</w:t>
            </w:r>
          </w:p>
          <w:p w14:paraId="2163A5B7" w14:textId="1DBBC5BC" w:rsidR="000A1AAE" w:rsidRDefault="00A93165" w:rsidP="000A1AAE">
            <w:pPr>
              <w:suppressAutoHyphens w:val="0"/>
            </w:pPr>
            <w:r>
              <w:t>31</w:t>
            </w:r>
            <w:r w:rsidR="00D52FD0">
              <w:t xml:space="preserve"> </w:t>
            </w:r>
            <w:r w:rsidR="000A1AAE">
              <w:t>May</w:t>
            </w:r>
            <w:r w:rsidR="00D52FD0">
              <w:t xml:space="preserve"> </w:t>
            </w:r>
            <w:r w:rsidR="000A1AAE">
              <w:t>2022</w:t>
            </w:r>
          </w:p>
          <w:p w14:paraId="06D91B26" w14:textId="77777777" w:rsidR="000A1AAE" w:rsidRDefault="000A1AAE" w:rsidP="000A1AAE">
            <w:pPr>
              <w:suppressAutoHyphens w:val="0"/>
            </w:pPr>
          </w:p>
          <w:p w14:paraId="5BC9489F" w14:textId="77777777" w:rsidR="0044637E" w:rsidRDefault="000A1AAE" w:rsidP="0044637E">
            <w:pPr>
              <w:suppressAutoHyphens w:val="0"/>
            </w:pPr>
            <w:r>
              <w:t>Original:</w:t>
            </w:r>
            <w:r w:rsidR="00D52FD0">
              <w:t xml:space="preserve"> </w:t>
            </w:r>
            <w:r>
              <w:t>English</w:t>
            </w:r>
          </w:p>
          <w:p w14:paraId="51F34716" w14:textId="34E90250" w:rsidR="0044637E" w:rsidRDefault="0044637E" w:rsidP="0044637E">
            <w:pPr>
              <w:suppressAutoHyphens w:val="0"/>
            </w:pPr>
            <w:r>
              <w:t>English, French and Spanish only</w:t>
            </w:r>
          </w:p>
        </w:tc>
      </w:tr>
    </w:tbl>
    <w:p w14:paraId="3F426DE7" w14:textId="2431DD96" w:rsidR="000A1AAE" w:rsidRPr="00C9243E" w:rsidRDefault="000A1AAE" w:rsidP="000A1AAE">
      <w:pPr>
        <w:spacing w:before="120"/>
        <w:rPr>
          <w:b/>
          <w:sz w:val="24"/>
        </w:rPr>
      </w:pPr>
      <w:r>
        <w:rPr>
          <w:b/>
          <w:sz w:val="24"/>
        </w:rPr>
        <w:t>Human</w:t>
      </w:r>
      <w:r w:rsidR="00D52FD0">
        <w:rPr>
          <w:b/>
          <w:sz w:val="24"/>
        </w:rPr>
        <w:t xml:space="preserve"> </w:t>
      </w:r>
      <w:r>
        <w:rPr>
          <w:b/>
          <w:sz w:val="24"/>
        </w:rPr>
        <w:t>Rights</w:t>
      </w:r>
      <w:r w:rsidR="00D52FD0">
        <w:rPr>
          <w:b/>
          <w:sz w:val="24"/>
        </w:rPr>
        <w:t xml:space="preserve"> </w:t>
      </w:r>
      <w:r>
        <w:rPr>
          <w:b/>
          <w:sz w:val="24"/>
        </w:rPr>
        <w:t>Committee</w:t>
      </w:r>
    </w:p>
    <w:p w14:paraId="727F0C7C" w14:textId="7ADF208E" w:rsidR="000A1AAE" w:rsidRPr="00F15CCC" w:rsidRDefault="000A1AAE" w:rsidP="000A1AAE">
      <w:pPr>
        <w:pStyle w:val="HMG"/>
      </w:pPr>
      <w:r w:rsidRPr="006A5682">
        <w:tab/>
      </w:r>
      <w:r w:rsidRPr="006A5682">
        <w:tab/>
      </w:r>
      <w:r>
        <w:t>Third</w:t>
      </w:r>
      <w:r w:rsidR="00D52FD0">
        <w:t xml:space="preserve"> </w:t>
      </w:r>
      <w:r>
        <w:t>periodic</w:t>
      </w:r>
      <w:r w:rsidR="00D52FD0">
        <w:t xml:space="preserve"> </w:t>
      </w:r>
      <w:r>
        <w:t>report</w:t>
      </w:r>
      <w:r w:rsidR="00D52FD0">
        <w:t xml:space="preserve"> </w:t>
      </w:r>
      <w:r w:rsidRPr="006A5682">
        <w:t>submitted</w:t>
      </w:r>
      <w:r w:rsidR="00D52FD0">
        <w:t xml:space="preserve"> </w:t>
      </w:r>
      <w:r w:rsidRPr="006A5682">
        <w:t>by</w:t>
      </w:r>
      <w:r w:rsidR="00D52FD0">
        <w:t xml:space="preserve"> </w:t>
      </w:r>
      <w:r>
        <w:t>Malta</w:t>
      </w:r>
      <w:r w:rsidR="00D52FD0">
        <w:t xml:space="preserve"> </w:t>
      </w:r>
      <w:r w:rsidRPr="006A5682">
        <w:t>under</w:t>
      </w:r>
      <w:r w:rsidR="00D52FD0">
        <w:t xml:space="preserve"> </w:t>
      </w:r>
      <w:r w:rsidRPr="006A5682">
        <w:t>article</w:t>
      </w:r>
      <w:r w:rsidR="00D52FD0">
        <w:t xml:space="preserve"> </w:t>
      </w:r>
      <w:r>
        <w:t>40</w:t>
      </w:r>
      <w:r w:rsidR="00D52FD0">
        <w:t xml:space="preserve"> </w:t>
      </w:r>
      <w:r w:rsidRPr="006A5682">
        <w:t>of</w:t>
      </w:r>
      <w:r w:rsidR="00D52FD0">
        <w:t xml:space="preserve"> </w:t>
      </w:r>
      <w:r w:rsidRPr="00F15CCC">
        <w:t>the</w:t>
      </w:r>
      <w:r w:rsidR="00D52FD0">
        <w:t xml:space="preserve"> </w:t>
      </w:r>
      <w:r w:rsidRPr="00F15CCC">
        <w:t>Covenant</w:t>
      </w:r>
      <w:r w:rsidR="00D52FD0">
        <w:t xml:space="preserve"> </w:t>
      </w:r>
      <w:r w:rsidRPr="00F15CCC">
        <w:t>pursuant</w:t>
      </w:r>
      <w:r w:rsidR="00D52FD0">
        <w:t xml:space="preserve"> </w:t>
      </w:r>
      <w:r w:rsidRPr="00F15CCC">
        <w:t>to</w:t>
      </w:r>
      <w:r w:rsidR="00D52FD0">
        <w:t xml:space="preserve"> </w:t>
      </w:r>
      <w:r w:rsidRPr="00F15CCC">
        <w:t>the</w:t>
      </w:r>
      <w:r w:rsidR="00D52FD0">
        <w:t xml:space="preserve"> </w:t>
      </w:r>
      <w:r w:rsidRPr="00F15CCC">
        <w:t>optional</w:t>
      </w:r>
      <w:r w:rsidR="00D52FD0">
        <w:t xml:space="preserve"> </w:t>
      </w:r>
      <w:r>
        <w:t>reporting</w:t>
      </w:r>
      <w:r w:rsidR="00D52FD0">
        <w:t xml:space="preserve"> </w:t>
      </w:r>
      <w:r>
        <w:t>procedure,</w:t>
      </w:r>
      <w:r w:rsidR="00D52FD0">
        <w:t xml:space="preserve"> </w:t>
      </w:r>
      <w:r>
        <w:t>due</w:t>
      </w:r>
      <w:r w:rsidR="00D52FD0">
        <w:t xml:space="preserve"> </w:t>
      </w:r>
      <w:r>
        <w:t>in</w:t>
      </w:r>
      <w:r w:rsidR="00D52FD0">
        <w:t xml:space="preserve"> </w:t>
      </w:r>
      <w:r>
        <w:t>2021</w:t>
      </w:r>
      <w:r w:rsidRPr="000A1AAE">
        <w:rPr>
          <w:rStyle w:val="FootnoteReference"/>
          <w:b w:val="0"/>
          <w:bCs/>
          <w:sz w:val="20"/>
          <w:vertAlign w:val="baseline"/>
        </w:rPr>
        <w:footnoteReference w:customMarkFollows="1" w:id="1"/>
        <w:t>*</w:t>
      </w:r>
    </w:p>
    <w:p w14:paraId="0F0EDB86" w14:textId="6AD96DEB" w:rsidR="000A1AAE" w:rsidRPr="00F15CCC" w:rsidRDefault="000A1AAE" w:rsidP="000A1AAE">
      <w:pPr>
        <w:pStyle w:val="SingleTxtG"/>
        <w:jc w:val="right"/>
      </w:pPr>
      <w:r>
        <w:t>[Date</w:t>
      </w:r>
      <w:r w:rsidR="00D52FD0">
        <w:t xml:space="preserve"> </w:t>
      </w:r>
      <w:r>
        <w:t>received:</w:t>
      </w:r>
      <w:r w:rsidR="00D52FD0">
        <w:t xml:space="preserve"> </w:t>
      </w:r>
      <w:r>
        <w:t>26</w:t>
      </w:r>
      <w:r w:rsidR="00D52FD0">
        <w:t xml:space="preserve"> </w:t>
      </w:r>
      <w:r>
        <w:t>November</w:t>
      </w:r>
      <w:r w:rsidR="00D52FD0">
        <w:t xml:space="preserve"> </w:t>
      </w:r>
      <w:r>
        <w:t>2021</w:t>
      </w:r>
      <w:r w:rsidRPr="00F15CCC">
        <w:t>]</w:t>
      </w:r>
    </w:p>
    <w:p w14:paraId="48085B80" w14:textId="77777777" w:rsidR="000A1AAE" w:rsidRDefault="000A1AAE" w:rsidP="000A1AAE">
      <w:pPr>
        <w:ind w:right="-1"/>
        <w:rPr>
          <w:rFonts w:eastAsia="Calibri"/>
          <w:b/>
        </w:rPr>
      </w:pPr>
      <w:r>
        <w:br w:type="page"/>
      </w:r>
    </w:p>
    <w:p w14:paraId="03AB23B5" w14:textId="5D90D0B9" w:rsidR="000A1AAE" w:rsidRPr="00AF4E7E" w:rsidRDefault="000A1AAE" w:rsidP="000A1AAE">
      <w:pPr>
        <w:pStyle w:val="HChG"/>
        <w:rPr>
          <w:highlight w:val="yellow"/>
        </w:rPr>
      </w:pPr>
      <w:r w:rsidRPr="00A841AA">
        <w:lastRenderedPageBreak/>
        <w:tab/>
      </w:r>
      <w:r>
        <w:tab/>
      </w:r>
      <w:r>
        <w:tab/>
      </w:r>
      <w:r w:rsidRPr="00A841AA">
        <w:t>Section</w:t>
      </w:r>
      <w:r w:rsidR="00D52FD0">
        <w:t xml:space="preserve"> </w:t>
      </w:r>
      <w:r w:rsidRPr="00A841AA">
        <w:t>A</w:t>
      </w:r>
    </w:p>
    <w:p w14:paraId="578580F0" w14:textId="73963A0B" w:rsidR="000A1AAE" w:rsidRPr="00A841AA" w:rsidRDefault="000A1AAE" w:rsidP="000A1AAE">
      <w:pPr>
        <w:pStyle w:val="H1G"/>
      </w:pPr>
      <w:r>
        <w:tab/>
      </w:r>
      <w:r>
        <w:tab/>
      </w:r>
      <w:r w:rsidRPr="00A841AA">
        <w:t>Domestic</w:t>
      </w:r>
      <w:r w:rsidR="00D52FD0">
        <w:t xml:space="preserve"> </w:t>
      </w:r>
      <w:r w:rsidRPr="00A841AA">
        <w:t>applicability</w:t>
      </w:r>
      <w:r w:rsidR="00D52FD0">
        <w:t xml:space="preserve"> </w:t>
      </w:r>
      <w:r w:rsidRPr="00A841AA">
        <w:t>of</w:t>
      </w:r>
      <w:r w:rsidR="00D52FD0">
        <w:t xml:space="preserve"> </w:t>
      </w:r>
      <w:r w:rsidRPr="00A841AA">
        <w:t>the</w:t>
      </w:r>
      <w:r w:rsidR="00D52FD0">
        <w:t xml:space="preserve"> </w:t>
      </w:r>
      <w:r w:rsidRPr="00A841AA">
        <w:t>Covenant</w:t>
      </w:r>
    </w:p>
    <w:p w14:paraId="37B05B25" w14:textId="1F179DD1" w:rsidR="000A1AAE" w:rsidRPr="00A841AA" w:rsidRDefault="0044637E" w:rsidP="0044637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841AA">
        <w:t>1.</w:t>
      </w:r>
      <w:r w:rsidRPr="00A841AA">
        <w:tab/>
      </w:r>
      <w:r w:rsidR="000A1AAE" w:rsidRPr="00A841AA">
        <w:t>The</w:t>
      </w:r>
      <w:r w:rsidR="00D52FD0">
        <w:t xml:space="preserve"> </w:t>
      </w:r>
      <w:r w:rsidR="000A1AAE" w:rsidRPr="00A841AA">
        <w:t>ICCPR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its</w:t>
      </w:r>
      <w:r w:rsidR="00D52FD0">
        <w:t xml:space="preserve"> </w:t>
      </w:r>
      <w:r w:rsidR="000A1AAE" w:rsidRPr="00A841AA">
        <w:t>principles</w:t>
      </w:r>
      <w:r w:rsidR="00D52FD0">
        <w:t xml:space="preserve"> </w:t>
      </w:r>
      <w:r w:rsidR="000A1AAE" w:rsidRPr="00A841AA">
        <w:t>are</w:t>
      </w:r>
      <w:r w:rsidR="00D52FD0">
        <w:t xml:space="preserve"> </w:t>
      </w:r>
      <w:r w:rsidR="000A1AAE" w:rsidRPr="00A841AA">
        <w:t>put</w:t>
      </w:r>
      <w:r w:rsidR="00D52FD0">
        <w:t xml:space="preserve"> </w:t>
      </w:r>
      <w:r w:rsidR="000A1AAE" w:rsidRPr="00A841AA">
        <w:t>into</w:t>
      </w:r>
      <w:r w:rsidR="00D52FD0">
        <w:t xml:space="preserve"> </w:t>
      </w:r>
      <w:r w:rsidR="000A1AAE" w:rsidRPr="00A841AA">
        <w:t>practice</w:t>
      </w:r>
      <w:r w:rsidR="00D52FD0">
        <w:t xml:space="preserve"> </w:t>
      </w:r>
      <w:r w:rsidR="000A1AAE" w:rsidRPr="00A841AA">
        <w:t>every</w:t>
      </w:r>
      <w:r w:rsidR="00D52FD0">
        <w:t xml:space="preserve"> </w:t>
      </w:r>
      <w:r w:rsidR="000A1AAE" w:rsidRPr="00A841AA">
        <w:t>time</w:t>
      </w:r>
      <w:r w:rsidR="00D52FD0">
        <w:t xml:space="preserve"> </w:t>
      </w:r>
      <w:r w:rsidR="000A1AAE" w:rsidRPr="00A841AA">
        <w:t>a</w:t>
      </w:r>
      <w:r w:rsidR="00D52FD0">
        <w:t xml:space="preserve"> </w:t>
      </w:r>
      <w:r w:rsidR="000A1AAE" w:rsidRPr="00A841AA">
        <w:t>new</w:t>
      </w:r>
      <w:r w:rsidR="00D52FD0">
        <w:t xml:space="preserve"> </w:t>
      </w:r>
      <w:r w:rsidR="000A1AAE" w:rsidRPr="00A841AA">
        <w:t>piece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legislation</w:t>
      </w:r>
      <w:r w:rsidR="00D52FD0">
        <w:t xml:space="preserve"> </w:t>
      </w:r>
      <w:r w:rsidR="000A1AAE" w:rsidRPr="00A841AA">
        <w:t>is</w:t>
      </w:r>
      <w:r w:rsidR="00D52FD0">
        <w:t xml:space="preserve"> </w:t>
      </w:r>
      <w:r w:rsidR="000A1AAE" w:rsidRPr="00A841AA">
        <w:t>drafted</w:t>
      </w:r>
      <w:r w:rsidR="00D52FD0">
        <w:t xml:space="preserve"> </w:t>
      </w:r>
      <w:r w:rsidR="000A1AAE" w:rsidRPr="00A841AA">
        <w:t>by</w:t>
      </w:r>
      <w:r w:rsidR="00D52FD0">
        <w:t xml:space="preserve"> </w:t>
      </w:r>
      <w:r w:rsidR="000A1AAE" w:rsidRPr="00A841AA">
        <w:t>assessing</w:t>
      </w:r>
      <w:r w:rsidR="00D52FD0">
        <w:t xml:space="preserve"> </w:t>
      </w:r>
      <w:r w:rsidR="000A1AAE" w:rsidRPr="00A841AA">
        <w:t>whether</w:t>
      </w:r>
      <w:r w:rsidR="00D52FD0">
        <w:t xml:space="preserve"> </w:t>
      </w:r>
      <w:r w:rsidR="000A1AAE" w:rsidRPr="00A841AA">
        <w:t>said</w:t>
      </w:r>
      <w:r w:rsidR="00D52FD0">
        <w:t xml:space="preserve"> </w:t>
      </w:r>
      <w:r w:rsidR="000A1AAE" w:rsidRPr="00A841AA">
        <w:t>piece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draft</w:t>
      </w:r>
      <w:r w:rsidR="00D52FD0">
        <w:t xml:space="preserve"> </w:t>
      </w:r>
      <w:r w:rsidR="000A1AAE" w:rsidRPr="00A841AA">
        <w:t>legislation</w:t>
      </w:r>
      <w:r w:rsidR="00D52FD0">
        <w:t xml:space="preserve"> </w:t>
      </w:r>
      <w:r w:rsidR="000A1AAE" w:rsidRPr="00A841AA">
        <w:t>is</w:t>
      </w:r>
      <w:r w:rsidR="00D52FD0">
        <w:t xml:space="preserve"> </w:t>
      </w:r>
      <w:r w:rsidR="000A1AAE" w:rsidRPr="00A841AA">
        <w:t>compliant</w:t>
      </w:r>
      <w:r w:rsidR="00D52FD0">
        <w:t xml:space="preserve"> </w:t>
      </w:r>
      <w:r w:rsidR="000A1AAE" w:rsidRPr="00A841AA">
        <w:t>with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principles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Covenant.</w:t>
      </w:r>
      <w:r w:rsidR="00D52FD0">
        <w:t xml:space="preserve"> </w:t>
      </w:r>
      <w:r w:rsidR="000A1AAE" w:rsidRPr="00A841AA">
        <w:t>There</w:t>
      </w:r>
      <w:r w:rsidR="00D52FD0">
        <w:t xml:space="preserve"> </w:t>
      </w:r>
      <w:r w:rsidR="000A1AAE" w:rsidRPr="00A841AA">
        <w:t>is</w:t>
      </w:r>
      <w:r w:rsidR="00D52FD0">
        <w:t xml:space="preserve"> </w:t>
      </w:r>
      <w:r w:rsidR="000A1AAE" w:rsidRPr="00A841AA">
        <w:t>no</w:t>
      </w:r>
      <w:r w:rsidR="00D52FD0">
        <w:t xml:space="preserve"> </w:t>
      </w:r>
      <w:r w:rsidR="000A1AAE" w:rsidRPr="00A841AA">
        <w:t>set</w:t>
      </w:r>
      <w:r w:rsidR="00D52FD0">
        <w:t xml:space="preserve"> </w:t>
      </w:r>
      <w:r w:rsidR="000A1AAE" w:rsidRPr="00A841AA">
        <w:t>manner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which</w:t>
      </w:r>
      <w:r w:rsidR="00D52FD0">
        <w:t xml:space="preserve"> </w:t>
      </w:r>
      <w:r w:rsidR="000A1AAE" w:rsidRPr="00A841AA">
        <w:t>a</w:t>
      </w:r>
      <w:r w:rsidR="00D52FD0">
        <w:t xml:space="preserve"> </w:t>
      </w:r>
      <w:r w:rsidR="000A1AAE" w:rsidRPr="00A841AA">
        <w:t>legislator</w:t>
      </w:r>
      <w:r w:rsidR="00D52FD0">
        <w:t xml:space="preserve"> </w:t>
      </w:r>
      <w:r w:rsidR="000A1AAE" w:rsidRPr="00A841AA">
        <w:t>is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do</w:t>
      </w:r>
      <w:r w:rsidR="00D52FD0">
        <w:t xml:space="preserve"> </w:t>
      </w:r>
      <w:r w:rsidR="000A1AAE" w:rsidRPr="00A841AA">
        <w:t>this.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house</w:t>
      </w:r>
      <w:r w:rsidR="00D52FD0">
        <w:t xml:space="preserve"> </w:t>
      </w:r>
      <w:r w:rsidR="000A1AAE" w:rsidRPr="00A841AA">
        <w:t>training</w:t>
      </w:r>
      <w:r w:rsidR="00D52FD0">
        <w:t xml:space="preserve"> </w:t>
      </w:r>
      <w:r w:rsidR="000A1AAE" w:rsidRPr="00A841AA">
        <w:t>on</w:t>
      </w:r>
      <w:r w:rsidR="00D52FD0">
        <w:t xml:space="preserve"> </w:t>
      </w:r>
      <w:r w:rsidR="000A1AAE" w:rsidRPr="00A841AA">
        <w:t>human</w:t>
      </w:r>
      <w:r w:rsidR="00D52FD0">
        <w:t xml:space="preserve"> </w:t>
      </w:r>
      <w:r w:rsidR="000A1AAE" w:rsidRPr="00A841AA">
        <w:t>rights</w:t>
      </w:r>
      <w:r w:rsidR="00D52FD0">
        <w:t xml:space="preserve"> </w:t>
      </w:r>
      <w:r w:rsidR="000A1AAE" w:rsidRPr="00A841AA">
        <w:t>as</w:t>
      </w:r>
      <w:r w:rsidR="00D52FD0">
        <w:t xml:space="preserve"> </w:t>
      </w:r>
      <w:r w:rsidR="000A1AAE" w:rsidRPr="00A841AA">
        <w:t>provided</w:t>
      </w:r>
      <w:r w:rsidR="00D52FD0">
        <w:t xml:space="preserve"> </w:t>
      </w:r>
      <w:r w:rsidR="000A1AAE" w:rsidRPr="00A841AA">
        <w:t>for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ICCPR</w:t>
      </w:r>
      <w:r w:rsidR="00D52FD0">
        <w:t xml:space="preserve"> </w:t>
      </w:r>
      <w:r w:rsidR="000A1AAE" w:rsidRPr="00A841AA">
        <w:t>is</w:t>
      </w:r>
      <w:r w:rsidR="00D52FD0">
        <w:t xml:space="preserve"> </w:t>
      </w:r>
      <w:r w:rsidR="000A1AAE" w:rsidRPr="00A841AA">
        <w:t>given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members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judiciary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prosecutors.</w:t>
      </w:r>
    </w:p>
    <w:p w14:paraId="03A559C3" w14:textId="77777777" w:rsidR="000A1AAE" w:rsidRPr="00A841AA" w:rsidRDefault="000A1AAE" w:rsidP="000A1AAE">
      <w:pPr>
        <w:pStyle w:val="H23G"/>
        <w:rPr>
          <w:lang w:eastAsia="en-GB"/>
        </w:rPr>
      </w:pPr>
      <w:r>
        <w:rPr>
          <w:lang w:eastAsia="en-GB"/>
        </w:rPr>
        <w:tab/>
      </w:r>
      <w:r>
        <w:rPr>
          <w:lang w:eastAsia="en-GB"/>
        </w:rPr>
        <w:tab/>
      </w:r>
      <w:r w:rsidRPr="00A841AA">
        <w:rPr>
          <w:lang w:eastAsia="en-GB"/>
        </w:rPr>
        <w:t>Reservations</w:t>
      </w:r>
    </w:p>
    <w:p w14:paraId="73CFB1CC" w14:textId="371E43B1" w:rsidR="000E4FD0" w:rsidRDefault="0044637E" w:rsidP="0044637E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  <w:rPr>
          <w:lang w:eastAsia="en-GB"/>
        </w:rPr>
      </w:pPr>
      <w:r>
        <w:rPr>
          <w:lang w:eastAsia="en-GB"/>
        </w:rPr>
        <w:t>•</w:t>
      </w:r>
      <w:r>
        <w:rPr>
          <w:lang w:eastAsia="en-GB"/>
        </w:rPr>
        <w:tab/>
      </w:r>
      <w:r w:rsidR="000A1AAE" w:rsidRPr="00A841AA">
        <w:rPr>
          <w:lang w:eastAsia="en-GB"/>
        </w:rPr>
        <w:t>Article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13</w:t>
      </w:r>
      <w:r w:rsidR="00D52FD0">
        <w:rPr>
          <w:lang w:eastAsia="en-GB"/>
        </w:rPr>
        <w:t xml:space="preserve"> </w:t>
      </w:r>
      <w:r w:rsidR="00F14DA3">
        <w:rPr>
          <w:lang w:eastAsia="en-GB"/>
        </w:rPr>
        <w:t>–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The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Government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of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Malta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endorses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the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principles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laid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down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in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article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13.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However,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in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the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present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circumstances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it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cannot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comply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entirely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with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the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provisions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of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this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article;</w:t>
      </w:r>
    </w:p>
    <w:p w14:paraId="05EF941D" w14:textId="2720F9DC" w:rsidR="000A1AAE" w:rsidRPr="00A841AA" w:rsidRDefault="0044637E" w:rsidP="0044637E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  <w:rPr>
          <w:lang w:eastAsia="en-GB"/>
        </w:rPr>
      </w:pPr>
      <w:r w:rsidRPr="00A841AA">
        <w:rPr>
          <w:lang w:eastAsia="en-GB"/>
        </w:rPr>
        <w:t>•</w:t>
      </w:r>
      <w:r w:rsidRPr="00A841AA">
        <w:rPr>
          <w:lang w:eastAsia="en-GB"/>
        </w:rPr>
        <w:tab/>
      </w:r>
      <w:r w:rsidR="000A1AAE" w:rsidRPr="00A841AA">
        <w:rPr>
          <w:lang w:eastAsia="en-GB"/>
        </w:rPr>
        <w:t>Article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14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(2)</w:t>
      </w:r>
      <w:r w:rsidR="00D52FD0">
        <w:rPr>
          <w:lang w:eastAsia="en-GB"/>
        </w:rPr>
        <w:t xml:space="preserve"> </w:t>
      </w:r>
      <w:r w:rsidR="00F14DA3">
        <w:rPr>
          <w:lang w:eastAsia="en-GB"/>
        </w:rPr>
        <w:t>–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The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Government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of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Malta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declares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that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it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interprets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paragraph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2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of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article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14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of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the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Covenant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in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the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sense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that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it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does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not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preclude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any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particular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law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from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imposing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upon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any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person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charged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under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such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law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the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burden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of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proving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particular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facts;</w:t>
      </w:r>
    </w:p>
    <w:p w14:paraId="40611F89" w14:textId="096FF544" w:rsidR="000E4FD0" w:rsidRDefault="0044637E" w:rsidP="0044637E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  <w:rPr>
          <w:lang w:eastAsia="en-GB"/>
        </w:rPr>
      </w:pPr>
      <w:r>
        <w:rPr>
          <w:lang w:eastAsia="en-GB"/>
        </w:rPr>
        <w:t>•</w:t>
      </w:r>
      <w:r>
        <w:rPr>
          <w:lang w:eastAsia="en-GB"/>
        </w:rPr>
        <w:tab/>
      </w:r>
      <w:r w:rsidR="000A1AAE" w:rsidRPr="00A841AA">
        <w:rPr>
          <w:lang w:eastAsia="en-GB"/>
        </w:rPr>
        <w:t>Article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14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(6)</w:t>
      </w:r>
      <w:r w:rsidR="00D52FD0">
        <w:rPr>
          <w:lang w:eastAsia="en-GB"/>
        </w:rPr>
        <w:t xml:space="preserve"> </w:t>
      </w:r>
      <w:r w:rsidR="00F14DA3">
        <w:rPr>
          <w:lang w:eastAsia="en-GB"/>
        </w:rPr>
        <w:t>–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While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the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Government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of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Malta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accepts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the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principle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of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compensation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for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wrongful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imprisonment,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it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is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not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possible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at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this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time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to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implement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such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a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principle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in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accordance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with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article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14,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paragraph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6,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of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the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Covenant;</w:t>
      </w:r>
    </w:p>
    <w:p w14:paraId="4D5E6B5F" w14:textId="3384D1C3" w:rsidR="000E4FD0" w:rsidRDefault="0044637E" w:rsidP="0044637E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  <w:rPr>
          <w:lang w:eastAsia="en-GB"/>
        </w:rPr>
      </w:pPr>
      <w:r>
        <w:rPr>
          <w:lang w:eastAsia="en-GB"/>
        </w:rPr>
        <w:t>•</w:t>
      </w:r>
      <w:r>
        <w:rPr>
          <w:lang w:eastAsia="en-GB"/>
        </w:rPr>
        <w:tab/>
      </w:r>
      <w:r w:rsidR="000A1AAE" w:rsidRPr="00A841AA">
        <w:rPr>
          <w:lang w:eastAsia="en-GB"/>
        </w:rPr>
        <w:t>Article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20</w:t>
      </w:r>
      <w:r w:rsidR="00D52FD0">
        <w:rPr>
          <w:lang w:eastAsia="en-GB"/>
        </w:rPr>
        <w:t xml:space="preserve"> </w:t>
      </w:r>
      <w:r w:rsidR="00F14DA3">
        <w:rPr>
          <w:lang w:eastAsia="en-GB"/>
        </w:rPr>
        <w:t>–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The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Government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of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Malta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interprets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article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20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consistently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with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the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rights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conferred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by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Articles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19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and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21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of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the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Covenant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but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reserves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the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right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not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to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introduce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any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legislation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for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the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purposes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of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article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20;</w:t>
      </w:r>
    </w:p>
    <w:p w14:paraId="60BB60AB" w14:textId="4758C4DB" w:rsidR="000A1AAE" w:rsidRPr="00A841AA" w:rsidRDefault="0044637E" w:rsidP="0044637E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  <w:rPr>
          <w:lang w:eastAsia="en-GB"/>
        </w:rPr>
      </w:pPr>
      <w:r w:rsidRPr="00A841AA">
        <w:rPr>
          <w:lang w:eastAsia="en-GB"/>
        </w:rPr>
        <w:t>•</w:t>
      </w:r>
      <w:r w:rsidRPr="00A841AA">
        <w:rPr>
          <w:lang w:eastAsia="en-GB"/>
        </w:rPr>
        <w:tab/>
      </w:r>
      <w:r w:rsidR="000A1AAE" w:rsidRPr="00A841AA">
        <w:rPr>
          <w:lang w:eastAsia="en-GB"/>
        </w:rPr>
        <w:t>Article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22</w:t>
      </w:r>
      <w:r w:rsidR="00D52FD0">
        <w:rPr>
          <w:lang w:eastAsia="en-GB"/>
        </w:rPr>
        <w:t xml:space="preserve"> </w:t>
      </w:r>
      <w:r w:rsidR="00F14DA3">
        <w:rPr>
          <w:lang w:eastAsia="en-GB"/>
        </w:rPr>
        <w:t>–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the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Government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of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Malta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reserves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the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right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not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to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apply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article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22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to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the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extent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that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existing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legislative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measures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may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not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be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fully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compatible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with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this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article.</w:t>
      </w:r>
      <w:r w:rsidR="00D52FD0">
        <w:rPr>
          <w:lang w:eastAsia="en-GB"/>
        </w:rPr>
        <w:t xml:space="preserve"> </w:t>
      </w:r>
      <w:r w:rsidR="00F14DA3">
        <w:rPr>
          <w:lang w:eastAsia="en-GB"/>
        </w:rPr>
        <w:t>“</w:t>
      </w:r>
      <w:r w:rsidR="000A1AAE" w:rsidRPr="00A841AA">
        <w:rPr>
          <w:lang w:eastAsia="en-GB"/>
        </w:rPr>
        <w:t>The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Government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of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Malta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declares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that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under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article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41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of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this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Covenant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it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recognises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the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competence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of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the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Human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Rights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Committee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to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receive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and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consider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communications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submitted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by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another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State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Party,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provided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that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such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other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State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Party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has,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not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less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than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twelve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months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prior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to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the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submission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by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it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of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a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communication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relating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to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Malta,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made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a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declaration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under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article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41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recognising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the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competence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of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the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Committee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to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receive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and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consider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communications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relating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to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itself.</w:t>
      </w:r>
      <w:r w:rsidR="00F14DA3">
        <w:rPr>
          <w:lang w:eastAsia="en-GB"/>
        </w:rPr>
        <w:t>”</w:t>
      </w:r>
    </w:p>
    <w:p w14:paraId="0F787CE1" w14:textId="2426304B" w:rsidR="000A1AAE" w:rsidRPr="00A841AA" w:rsidRDefault="000A1AAE" w:rsidP="000A1AAE">
      <w:pPr>
        <w:pStyle w:val="H23G"/>
        <w:rPr>
          <w:lang w:eastAsia="en-GB"/>
        </w:rPr>
      </w:pPr>
      <w:r>
        <w:rPr>
          <w:lang w:eastAsia="en-GB"/>
        </w:rPr>
        <w:tab/>
      </w:r>
      <w:r>
        <w:rPr>
          <w:lang w:eastAsia="en-GB"/>
        </w:rPr>
        <w:tab/>
      </w:r>
      <w:r w:rsidRPr="00A841AA">
        <w:rPr>
          <w:lang w:eastAsia="en-GB"/>
        </w:rPr>
        <w:t>National</w:t>
      </w:r>
      <w:r w:rsidR="00D52FD0">
        <w:rPr>
          <w:lang w:eastAsia="en-GB"/>
        </w:rPr>
        <w:t xml:space="preserve"> </w:t>
      </w:r>
      <w:r w:rsidRPr="00A841AA">
        <w:rPr>
          <w:lang w:eastAsia="en-GB"/>
        </w:rPr>
        <w:t>Human</w:t>
      </w:r>
      <w:r w:rsidR="00D52FD0">
        <w:rPr>
          <w:lang w:eastAsia="en-GB"/>
        </w:rPr>
        <w:t xml:space="preserve"> </w:t>
      </w:r>
      <w:r w:rsidRPr="00A841AA">
        <w:rPr>
          <w:lang w:eastAsia="en-GB"/>
        </w:rPr>
        <w:t>Rights</w:t>
      </w:r>
      <w:r w:rsidR="00D52FD0">
        <w:rPr>
          <w:lang w:eastAsia="en-GB"/>
        </w:rPr>
        <w:t xml:space="preserve"> </w:t>
      </w:r>
      <w:r w:rsidRPr="00A841AA">
        <w:rPr>
          <w:lang w:eastAsia="en-GB"/>
        </w:rPr>
        <w:t>Institution</w:t>
      </w:r>
    </w:p>
    <w:p w14:paraId="1C5B87C7" w14:textId="4218AAAF" w:rsidR="000A1AAE" w:rsidRPr="00A841AA" w:rsidRDefault="0044637E" w:rsidP="0044637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841AA">
        <w:t>2.</w:t>
      </w:r>
      <w:r w:rsidRPr="00A841AA">
        <w:tab/>
      </w:r>
      <w:r w:rsidR="000A1AAE" w:rsidRPr="00A841AA">
        <w:t>The</w:t>
      </w:r>
      <w:r w:rsidR="00D52FD0">
        <w:t xml:space="preserve"> </w:t>
      </w:r>
      <w:r w:rsidR="000A1AAE" w:rsidRPr="00A841AA">
        <w:t>Human</w:t>
      </w:r>
      <w:r w:rsidR="00D52FD0">
        <w:t xml:space="preserve"> </w:t>
      </w:r>
      <w:r w:rsidR="000A1AAE" w:rsidRPr="00A841AA">
        <w:t>Rights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Equality</w:t>
      </w:r>
      <w:r w:rsidR="00D52FD0">
        <w:t xml:space="preserve"> </w:t>
      </w:r>
      <w:r w:rsidR="000A1AAE" w:rsidRPr="00A841AA">
        <w:t>Commission</w:t>
      </w:r>
      <w:r w:rsidR="00D52FD0">
        <w:t xml:space="preserve"> </w:t>
      </w:r>
      <w:r w:rsidR="000A1AAE" w:rsidRPr="00A841AA">
        <w:t>Bill</w:t>
      </w:r>
      <w:r w:rsidR="00D52FD0">
        <w:t xml:space="preserve"> </w:t>
      </w:r>
      <w:r w:rsidR="000A1AAE" w:rsidRPr="00A841AA">
        <w:t>(Bill</w:t>
      </w:r>
      <w:r w:rsidR="00D52FD0">
        <w:t xml:space="preserve"> </w:t>
      </w:r>
      <w:r w:rsidR="000A1AAE" w:rsidRPr="00A841AA">
        <w:t>97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2019)</w:t>
      </w:r>
      <w:r w:rsidR="00D52FD0">
        <w:t xml:space="preserve"> </w:t>
      </w:r>
      <w:r w:rsidR="000A1AAE" w:rsidRPr="00A841AA">
        <w:t>has</w:t>
      </w:r>
      <w:r w:rsidR="00D52FD0">
        <w:t xml:space="preserve"> </w:t>
      </w:r>
      <w:r w:rsidR="000A1AAE" w:rsidRPr="00A841AA">
        <w:t>completed</w:t>
      </w:r>
      <w:r w:rsidR="00D52FD0">
        <w:t xml:space="preserve"> </w:t>
      </w:r>
      <w:r w:rsidR="000A1AAE" w:rsidRPr="00A841AA">
        <w:t>its</w:t>
      </w:r>
      <w:r w:rsidR="00D52FD0">
        <w:t xml:space="preserve"> </w:t>
      </w:r>
      <w:r w:rsidR="000A1AAE" w:rsidRPr="00A841AA">
        <w:t>second</w:t>
      </w:r>
      <w:r w:rsidR="00D52FD0">
        <w:t xml:space="preserve"> </w:t>
      </w:r>
      <w:r w:rsidR="000A1AAE" w:rsidRPr="00A841AA">
        <w:t>reading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Parliament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is</w:t>
      </w:r>
      <w:r w:rsidR="00D52FD0">
        <w:t xml:space="preserve"> </w:t>
      </w:r>
      <w:r w:rsidR="000A1AAE" w:rsidRPr="00A841AA">
        <w:t>awaiting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commencement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its</w:t>
      </w:r>
      <w:r w:rsidR="00D52FD0">
        <w:t xml:space="preserve"> </w:t>
      </w:r>
      <w:r w:rsidR="000A1AAE" w:rsidRPr="00A841AA">
        <w:t>analysis</w:t>
      </w:r>
      <w:r w:rsidR="00D52FD0">
        <w:t xml:space="preserve"> </w:t>
      </w:r>
      <w:r w:rsidR="000A1AAE" w:rsidRPr="00A841AA">
        <w:t>before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Adjunct</w:t>
      </w:r>
      <w:r w:rsidR="00D52FD0">
        <w:t xml:space="preserve"> </w:t>
      </w:r>
      <w:r w:rsidR="000A1AAE" w:rsidRPr="00A841AA">
        <w:t>Committee</w:t>
      </w:r>
      <w:r w:rsidR="00D52FD0">
        <w:t xml:space="preserve"> </w:t>
      </w:r>
      <w:r w:rsidR="000A1AAE" w:rsidRPr="00A841AA">
        <w:t>for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Consideration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Bills.</w:t>
      </w:r>
    </w:p>
    <w:p w14:paraId="7E748E11" w14:textId="4517EE2A" w:rsidR="000A1AAE" w:rsidRPr="00A841AA" w:rsidRDefault="0044637E" w:rsidP="0044637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841AA">
        <w:t>3.</w:t>
      </w:r>
      <w:r w:rsidRPr="00A841AA">
        <w:tab/>
      </w:r>
      <w:r w:rsidR="000A1AAE" w:rsidRPr="00A841AA">
        <w:t>The</w:t>
      </w:r>
      <w:r w:rsidR="00D52FD0">
        <w:t xml:space="preserve"> </w:t>
      </w:r>
      <w:r w:rsidR="000A1AAE" w:rsidRPr="00A841AA">
        <w:t>Bill</w:t>
      </w:r>
      <w:r w:rsidR="00D52FD0">
        <w:t xml:space="preserve"> </w:t>
      </w:r>
      <w:r w:rsidR="000A1AAE" w:rsidRPr="00A841AA">
        <w:t>provides</w:t>
      </w:r>
      <w:r w:rsidR="00D52FD0">
        <w:t xml:space="preserve"> </w:t>
      </w:r>
      <w:r w:rsidR="000A1AAE" w:rsidRPr="00A841AA">
        <w:t>for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establishment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a</w:t>
      </w:r>
      <w:r w:rsidR="00D52FD0">
        <w:t xml:space="preserve"> </w:t>
      </w:r>
      <w:r w:rsidR="000A1AAE" w:rsidRPr="00A841AA">
        <w:t>body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be</w:t>
      </w:r>
      <w:r w:rsidR="00D52FD0">
        <w:t xml:space="preserve"> </w:t>
      </w:r>
      <w:r w:rsidR="000A1AAE" w:rsidRPr="00A841AA">
        <w:t>known</w:t>
      </w:r>
      <w:r w:rsidR="00D52FD0">
        <w:t xml:space="preserve"> </w:t>
      </w:r>
      <w:r w:rsidR="000A1AAE" w:rsidRPr="00A841AA">
        <w:t>as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Human</w:t>
      </w:r>
      <w:r w:rsidR="00D52FD0">
        <w:t xml:space="preserve"> </w:t>
      </w:r>
      <w:r w:rsidR="000A1AAE" w:rsidRPr="00A841AA">
        <w:t>Rights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Equality</w:t>
      </w:r>
      <w:r w:rsidR="00D52FD0">
        <w:t xml:space="preserve"> </w:t>
      </w:r>
      <w:r w:rsidR="000A1AAE" w:rsidRPr="00A841AA">
        <w:t>Commission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line</w:t>
      </w:r>
      <w:r w:rsidR="00D52FD0">
        <w:t xml:space="preserve"> </w:t>
      </w:r>
      <w:r w:rsidR="000A1AAE" w:rsidRPr="00A841AA">
        <w:t>with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principles</w:t>
      </w:r>
      <w:r w:rsidR="00D52FD0">
        <w:t xml:space="preserve"> </w:t>
      </w:r>
      <w:r w:rsidR="000A1AAE" w:rsidRPr="00A841AA">
        <w:t>relating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Status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National</w:t>
      </w:r>
      <w:r w:rsidR="00D52FD0">
        <w:t xml:space="preserve"> </w:t>
      </w:r>
      <w:r w:rsidR="000A1AAE" w:rsidRPr="00A841AA">
        <w:t>Institutions</w:t>
      </w:r>
      <w:r w:rsidR="00D52FD0">
        <w:t xml:space="preserve"> </w:t>
      </w:r>
      <w:r w:rsidR="000A1AAE" w:rsidRPr="00A841AA">
        <w:t>(The</w:t>
      </w:r>
      <w:r w:rsidR="00D52FD0">
        <w:t xml:space="preserve"> </w:t>
      </w:r>
      <w:r w:rsidR="000A1AAE" w:rsidRPr="00A841AA">
        <w:t>Paris</w:t>
      </w:r>
      <w:r w:rsidR="00D52FD0">
        <w:t xml:space="preserve"> </w:t>
      </w:r>
      <w:r w:rsidR="000A1AAE" w:rsidRPr="00A841AA">
        <w:t>Principles)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European</w:t>
      </w:r>
      <w:r w:rsidR="00D52FD0">
        <w:t xml:space="preserve"> </w:t>
      </w:r>
      <w:r w:rsidR="000A1AAE" w:rsidRPr="00A841AA">
        <w:t>Union</w:t>
      </w:r>
      <w:r w:rsidR="00D52FD0">
        <w:t xml:space="preserve"> </w:t>
      </w:r>
      <w:r w:rsidR="000A1AAE" w:rsidRPr="00A841AA">
        <w:t>equality</w:t>
      </w:r>
      <w:r w:rsidR="00D52FD0">
        <w:t xml:space="preserve"> </w:t>
      </w:r>
      <w:r w:rsidR="000A1AAE" w:rsidRPr="00A841AA">
        <w:t>legislation,</w:t>
      </w:r>
      <w:r w:rsidR="00D52FD0">
        <w:t xml:space="preserve"> </w:t>
      </w:r>
      <w:r w:rsidR="000A1AAE" w:rsidRPr="00A841AA">
        <w:t>responsible</w:t>
      </w:r>
      <w:r w:rsidR="00D52FD0">
        <w:t xml:space="preserve"> </w:t>
      </w:r>
      <w:r w:rsidR="000A1AAE" w:rsidRPr="00A841AA">
        <w:t>for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promotion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protection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human</w:t>
      </w:r>
      <w:r w:rsidR="00D52FD0">
        <w:t xml:space="preserve"> </w:t>
      </w:r>
      <w:r w:rsidR="000A1AAE" w:rsidRPr="00A841AA">
        <w:t>rights</w:t>
      </w:r>
      <w:r w:rsidR="00D52FD0">
        <w:t xml:space="preserve"> </w:t>
      </w:r>
      <w:r w:rsidR="000A1AAE" w:rsidRPr="00A841AA">
        <w:t>including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right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equal</w:t>
      </w:r>
      <w:r w:rsidR="00D52FD0">
        <w:t xml:space="preserve"> </w:t>
      </w:r>
      <w:r w:rsidR="000A1AAE" w:rsidRPr="00A841AA">
        <w:t>treatment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non-discrimination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Malta.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bill</w:t>
      </w:r>
      <w:r w:rsidR="00D52FD0">
        <w:t xml:space="preserve"> </w:t>
      </w:r>
      <w:r w:rsidR="000A1AAE" w:rsidRPr="00A841AA">
        <w:t>dissolves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National</w:t>
      </w:r>
      <w:r w:rsidR="00D52FD0">
        <w:t xml:space="preserve"> </w:t>
      </w:r>
      <w:r w:rsidR="000A1AAE" w:rsidRPr="00A841AA">
        <w:t>Commission</w:t>
      </w:r>
      <w:r w:rsidR="00D52FD0">
        <w:t xml:space="preserve"> </w:t>
      </w:r>
      <w:r w:rsidR="000A1AAE" w:rsidRPr="00A841AA">
        <w:t>for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Promotion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Equality</w:t>
      </w:r>
      <w:r w:rsidR="00D52FD0">
        <w:t xml:space="preserve"> </w:t>
      </w:r>
      <w:r w:rsidR="000A1AAE" w:rsidRPr="00A841AA">
        <w:t>for</w:t>
      </w:r>
      <w:r w:rsidR="00D52FD0">
        <w:t xml:space="preserve"> </w:t>
      </w:r>
      <w:r w:rsidR="000A1AAE" w:rsidRPr="00A841AA">
        <w:t>Men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Women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provides</w:t>
      </w:r>
      <w:r w:rsidR="00D52FD0">
        <w:t xml:space="preserve"> </w:t>
      </w:r>
      <w:r w:rsidR="000A1AAE" w:rsidRPr="00A841AA">
        <w:t>for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conferral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its</w:t>
      </w:r>
      <w:r w:rsidR="00D52FD0">
        <w:t xml:space="preserve"> </w:t>
      </w:r>
      <w:r w:rsidR="000A1AAE" w:rsidRPr="00A841AA">
        <w:t>functions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Human</w:t>
      </w:r>
      <w:r w:rsidR="00D52FD0">
        <w:t xml:space="preserve"> </w:t>
      </w:r>
      <w:r w:rsidR="000A1AAE" w:rsidRPr="00A841AA">
        <w:t>Rights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Equality</w:t>
      </w:r>
      <w:r w:rsidR="00D52FD0">
        <w:t xml:space="preserve"> </w:t>
      </w:r>
      <w:r w:rsidR="000A1AAE" w:rsidRPr="00A841AA">
        <w:t>Commission,</w:t>
      </w:r>
      <w:r w:rsidR="00D52FD0">
        <w:t xml:space="preserve"> </w:t>
      </w:r>
      <w:r w:rsidR="000A1AAE" w:rsidRPr="00A841AA">
        <w:t>as</w:t>
      </w:r>
      <w:r w:rsidR="00D52FD0">
        <w:t xml:space="preserve"> </w:t>
      </w:r>
      <w:r w:rsidR="000A1AAE" w:rsidRPr="00A841AA">
        <w:t>Malta</w:t>
      </w:r>
      <w:r w:rsidR="00F14DA3">
        <w:t>’</w:t>
      </w:r>
      <w:r w:rsidR="000A1AAE" w:rsidRPr="00A841AA">
        <w:t>s</w:t>
      </w:r>
      <w:r w:rsidR="00D52FD0">
        <w:t xml:space="preserve"> </w:t>
      </w:r>
      <w:r w:rsidR="000A1AAE" w:rsidRPr="00A841AA">
        <w:t>first</w:t>
      </w:r>
      <w:r w:rsidR="00D52FD0">
        <w:t xml:space="preserve"> </w:t>
      </w:r>
      <w:r w:rsidR="000A1AAE" w:rsidRPr="00A841AA">
        <w:t>NHRI.</w:t>
      </w:r>
    </w:p>
    <w:p w14:paraId="587B2BE5" w14:textId="2F393E66" w:rsidR="000A1AAE" w:rsidRPr="00A841AA" w:rsidRDefault="000A1AAE" w:rsidP="00D52FD0">
      <w:pPr>
        <w:pStyle w:val="H23G"/>
        <w:rPr>
          <w:lang w:eastAsia="en-GB"/>
        </w:rPr>
      </w:pPr>
      <w:r>
        <w:rPr>
          <w:lang w:eastAsia="en-GB"/>
        </w:rPr>
        <w:tab/>
      </w:r>
      <w:r>
        <w:rPr>
          <w:lang w:eastAsia="en-GB"/>
        </w:rPr>
        <w:tab/>
      </w:r>
      <w:r w:rsidRPr="00A841AA">
        <w:rPr>
          <w:lang w:eastAsia="en-GB"/>
        </w:rPr>
        <w:t>Anti-discrimination</w:t>
      </w:r>
      <w:r w:rsidR="00D52FD0">
        <w:rPr>
          <w:lang w:eastAsia="en-GB"/>
        </w:rPr>
        <w:t xml:space="preserve"> </w:t>
      </w:r>
      <w:r w:rsidRPr="00A841AA">
        <w:rPr>
          <w:lang w:eastAsia="en-GB"/>
        </w:rPr>
        <w:t>legal</w:t>
      </w:r>
      <w:r w:rsidR="00D52FD0">
        <w:rPr>
          <w:lang w:eastAsia="en-GB"/>
        </w:rPr>
        <w:t xml:space="preserve"> </w:t>
      </w:r>
      <w:r w:rsidRPr="00A841AA">
        <w:rPr>
          <w:lang w:eastAsia="en-GB"/>
        </w:rPr>
        <w:t>framework</w:t>
      </w:r>
    </w:p>
    <w:p w14:paraId="414DDB44" w14:textId="7ADE816B" w:rsidR="000E4FD0" w:rsidRDefault="0044637E" w:rsidP="0044637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>
        <w:t>4.</w:t>
      </w:r>
      <w:r>
        <w:tab/>
      </w:r>
      <w:r w:rsidR="000A1AAE" w:rsidRPr="00A841AA">
        <w:t>The</w:t>
      </w:r>
      <w:r w:rsidR="00D52FD0">
        <w:t xml:space="preserve"> </w:t>
      </w:r>
      <w:r w:rsidR="000A1AAE" w:rsidRPr="00A841AA">
        <w:t>Equality</w:t>
      </w:r>
      <w:r w:rsidR="00D52FD0">
        <w:t xml:space="preserve"> </w:t>
      </w:r>
      <w:r w:rsidR="000A1AAE" w:rsidRPr="00A841AA">
        <w:t>Bill,</w:t>
      </w:r>
      <w:r w:rsidR="00D52FD0">
        <w:t xml:space="preserve"> </w:t>
      </w:r>
      <w:r w:rsidR="000A1AAE" w:rsidRPr="00A841AA">
        <w:t>Bill</w:t>
      </w:r>
      <w:r w:rsidR="00D52FD0">
        <w:t xml:space="preserve"> </w:t>
      </w:r>
      <w:r w:rsidR="000A1AAE" w:rsidRPr="00A841AA">
        <w:t>96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2019,</w:t>
      </w:r>
      <w:r w:rsidR="00D52FD0">
        <w:t xml:space="preserve"> </w:t>
      </w:r>
      <w:r w:rsidR="000A1AAE" w:rsidRPr="00A841AA">
        <w:t>brings</w:t>
      </w:r>
      <w:r w:rsidR="00D52FD0">
        <w:t xml:space="preserve"> </w:t>
      </w:r>
      <w:r w:rsidR="000A1AAE" w:rsidRPr="00A841AA">
        <w:t>together</w:t>
      </w:r>
      <w:r w:rsidR="00D52FD0">
        <w:t xml:space="preserve"> </w:t>
      </w:r>
      <w:r w:rsidR="000A1AAE" w:rsidRPr="00A841AA">
        <w:t>all</w:t>
      </w:r>
      <w:r w:rsidR="00D52FD0">
        <w:t xml:space="preserve"> </w:t>
      </w:r>
      <w:r w:rsidR="000A1AAE" w:rsidRPr="00A841AA">
        <w:t>equality</w:t>
      </w:r>
      <w:r w:rsidR="00D52FD0">
        <w:t xml:space="preserve"> </w:t>
      </w:r>
      <w:r w:rsidR="000A1AAE" w:rsidRPr="00A841AA">
        <w:t>provisions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elevates</w:t>
      </w:r>
      <w:r w:rsidR="00D52FD0">
        <w:t xml:space="preserve"> </w:t>
      </w:r>
      <w:r w:rsidR="000A1AAE" w:rsidRPr="00A841AA">
        <w:t>protection</w:t>
      </w:r>
      <w:r w:rsidR="00D52FD0">
        <w:t xml:space="preserve"> </w:t>
      </w:r>
      <w:r w:rsidR="000A1AAE" w:rsidRPr="00A841AA">
        <w:t>against</w:t>
      </w:r>
      <w:r w:rsidR="00D52FD0">
        <w:t xml:space="preserve"> </w:t>
      </w:r>
      <w:r w:rsidR="000A1AAE" w:rsidRPr="00A841AA">
        <w:t>all</w:t>
      </w:r>
      <w:r w:rsidR="00D52FD0">
        <w:t xml:space="preserve"> </w:t>
      </w:r>
      <w:r w:rsidR="000A1AAE" w:rsidRPr="00A841AA">
        <w:t>forms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discrimination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a</w:t>
      </w:r>
      <w:r w:rsidR="00D52FD0">
        <w:t xml:space="preserve"> </w:t>
      </w:r>
      <w:r w:rsidR="000A1AAE" w:rsidRPr="00A841AA">
        <w:t>wide</w:t>
      </w:r>
      <w:r w:rsidR="00D52FD0">
        <w:t xml:space="preserve"> </w:t>
      </w:r>
      <w:r w:rsidR="000A1AAE" w:rsidRPr="00A841AA">
        <w:t>variety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protected</w:t>
      </w:r>
      <w:r w:rsidR="00D52FD0">
        <w:t xml:space="preserve"> </w:t>
      </w:r>
      <w:r w:rsidR="000A1AAE" w:rsidRPr="00A841AA">
        <w:t>characteristics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an</w:t>
      </w:r>
      <w:r w:rsidR="00D52FD0">
        <w:t xml:space="preserve"> </w:t>
      </w:r>
      <w:r w:rsidR="000A1AAE" w:rsidRPr="00A841AA">
        <w:t>equal</w:t>
      </w:r>
      <w:r w:rsidR="00D52FD0">
        <w:t xml:space="preserve"> </w:t>
      </w:r>
      <w:r w:rsidR="000A1AAE" w:rsidRPr="00A841AA">
        <w:t>level.</w:t>
      </w:r>
    </w:p>
    <w:p w14:paraId="030E83B5" w14:textId="18D33D2C" w:rsidR="000E4FD0" w:rsidRDefault="0044637E" w:rsidP="0044637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>
        <w:t>5.</w:t>
      </w:r>
      <w:r>
        <w:tab/>
      </w:r>
      <w:r w:rsidR="000A1AAE" w:rsidRPr="00A841AA">
        <w:t>The</w:t>
      </w:r>
      <w:r w:rsidR="00D52FD0">
        <w:t xml:space="preserve"> </w:t>
      </w:r>
      <w:r w:rsidR="000A1AAE" w:rsidRPr="00A841AA">
        <w:t>Bill,</w:t>
      </w:r>
      <w:r w:rsidR="00D52FD0">
        <w:t xml:space="preserve"> </w:t>
      </w:r>
      <w:r w:rsidR="000A1AAE" w:rsidRPr="00A841AA">
        <w:t>which</w:t>
      </w:r>
      <w:r w:rsidR="00D52FD0">
        <w:t xml:space="preserve"> </w:t>
      </w:r>
      <w:r w:rsidR="000A1AAE" w:rsidRPr="00A841AA">
        <w:t>is</w:t>
      </w:r>
      <w:r w:rsidR="009779FF">
        <w:t xml:space="preserve"> </w:t>
      </w:r>
      <w:r w:rsidR="000A1AAE" w:rsidRPr="00A841AA">
        <w:t>at</w:t>
      </w:r>
      <w:r w:rsidR="00D52FD0">
        <w:t xml:space="preserve"> </w:t>
      </w:r>
      <w:r w:rsidR="000A1AAE" w:rsidRPr="00A841AA">
        <w:t>Committee</w:t>
      </w:r>
      <w:r w:rsidR="00D52FD0">
        <w:t xml:space="preserve"> </w:t>
      </w:r>
      <w:r w:rsidR="000A1AAE" w:rsidRPr="00A841AA">
        <w:t>Stage</w:t>
      </w:r>
      <w:r w:rsidR="00D52FD0">
        <w:t xml:space="preserve"> </w:t>
      </w:r>
      <w:r w:rsidR="000A1AAE" w:rsidRPr="00A841AA">
        <w:t>at</w:t>
      </w:r>
      <w:r w:rsidR="00D52FD0">
        <w:t xml:space="preserve"> </w:t>
      </w:r>
      <w:r w:rsidR="000A1AAE" w:rsidRPr="00A841AA">
        <w:t>Parliament,</w:t>
      </w:r>
      <w:r w:rsidR="00D52FD0">
        <w:t xml:space="preserve"> </w:t>
      </w:r>
      <w:r w:rsidR="000A1AAE" w:rsidRPr="00A841AA">
        <w:t>generally</w:t>
      </w:r>
      <w:r w:rsidR="00D52FD0">
        <w:t xml:space="preserve"> </w:t>
      </w:r>
      <w:r w:rsidR="000A1AAE" w:rsidRPr="00A841AA">
        <w:t>prohibits</w:t>
      </w:r>
      <w:r w:rsidR="00D52FD0">
        <w:t xml:space="preserve"> </w:t>
      </w:r>
      <w:r w:rsidR="000A1AAE" w:rsidRPr="00A841AA">
        <w:t>all</w:t>
      </w:r>
      <w:r w:rsidR="00D52FD0">
        <w:t xml:space="preserve"> </w:t>
      </w:r>
      <w:r w:rsidR="000A1AAE" w:rsidRPr="00A841AA">
        <w:t>forms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discrimination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various</w:t>
      </w:r>
      <w:r w:rsidR="00D52FD0">
        <w:t xml:space="preserve"> </w:t>
      </w:r>
      <w:r w:rsidR="000A1AAE" w:rsidRPr="00A841AA">
        <w:t>spheres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life,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promote</w:t>
      </w:r>
      <w:r w:rsidR="00D52FD0">
        <w:t xml:space="preserve"> </w:t>
      </w:r>
      <w:r w:rsidR="000A1AAE" w:rsidRPr="00A841AA">
        <w:t>equality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prevent</w:t>
      </w:r>
      <w:r w:rsidR="00D52FD0">
        <w:t xml:space="preserve"> </w:t>
      </w:r>
      <w:r w:rsidR="000A1AAE" w:rsidRPr="00A841AA">
        <w:t>discrimination,</w:t>
      </w:r>
      <w:r w:rsidR="00D52FD0">
        <w:t xml:space="preserve"> </w:t>
      </w:r>
      <w:r w:rsidR="000A1AAE" w:rsidRPr="00A841AA">
        <w:t>by</w:t>
      </w:r>
      <w:r w:rsidR="00D52FD0">
        <w:t xml:space="preserve"> </w:t>
      </w:r>
      <w:r w:rsidR="000A1AAE" w:rsidRPr="00A841AA">
        <w:t>imposing</w:t>
      </w:r>
      <w:r w:rsidR="00D52FD0">
        <w:t xml:space="preserve"> </w:t>
      </w:r>
      <w:r w:rsidR="000A1AAE" w:rsidRPr="00A841AA">
        <w:t>positive</w:t>
      </w:r>
      <w:r w:rsidR="00D52FD0">
        <w:t xml:space="preserve"> </w:t>
      </w:r>
      <w:r w:rsidR="000A1AAE" w:rsidRPr="00A841AA">
        <w:t>obligations</w:t>
      </w:r>
      <w:r w:rsidR="00D52FD0">
        <w:t xml:space="preserve"> </w:t>
      </w:r>
      <w:r w:rsidR="000A1AAE" w:rsidRPr="00A841AA">
        <w:t>on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State.</w:t>
      </w:r>
      <w:r w:rsidR="00D52FD0">
        <w:t xml:space="preserve"> </w:t>
      </w:r>
      <w:r w:rsidR="000A1AAE" w:rsidRPr="00A841AA">
        <w:t>It</w:t>
      </w:r>
      <w:r w:rsidR="00D52FD0">
        <w:t xml:space="preserve"> </w:t>
      </w:r>
      <w:r w:rsidR="000A1AAE" w:rsidRPr="00A841AA">
        <w:t>also</w:t>
      </w:r>
      <w:r w:rsidR="00D52FD0">
        <w:t xml:space="preserve"> </w:t>
      </w:r>
      <w:r w:rsidR="000A1AAE" w:rsidRPr="00A841AA">
        <w:t>incorporates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goes</w:t>
      </w:r>
      <w:r w:rsidR="00D52FD0">
        <w:t xml:space="preserve"> </w:t>
      </w:r>
      <w:r w:rsidR="000A1AAE" w:rsidRPr="00A841AA">
        <w:t>beyond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minimum</w:t>
      </w:r>
      <w:r w:rsidR="00D52FD0">
        <w:t xml:space="preserve"> </w:t>
      </w:r>
      <w:r w:rsidR="000A1AAE" w:rsidRPr="00A841AA">
        <w:t>standards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relevant</w:t>
      </w:r>
      <w:r w:rsidR="00D52FD0">
        <w:t xml:space="preserve"> </w:t>
      </w:r>
      <w:r w:rsidR="000A1AAE" w:rsidRPr="00A841AA">
        <w:t>provisions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Council</w:t>
      </w:r>
      <w:r w:rsidR="00D52FD0">
        <w:t xml:space="preserve"> </w:t>
      </w:r>
      <w:r w:rsidR="000A1AAE" w:rsidRPr="00A841AA">
        <w:t>Directive</w:t>
      </w:r>
      <w:r w:rsidR="00D52FD0">
        <w:t xml:space="preserve"> </w:t>
      </w:r>
      <w:r w:rsidR="000A1AAE" w:rsidRPr="00A841AA">
        <w:t>2000/43/EC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29</w:t>
      </w:r>
      <w:r w:rsidR="00D52FD0">
        <w:t xml:space="preserve"> </w:t>
      </w:r>
      <w:r w:rsidR="000A1AAE" w:rsidRPr="00A841AA">
        <w:t>June</w:t>
      </w:r>
      <w:r w:rsidR="00D52FD0">
        <w:t xml:space="preserve"> </w:t>
      </w:r>
      <w:r w:rsidR="000A1AAE" w:rsidRPr="00A841AA">
        <w:t>2000</w:t>
      </w:r>
      <w:r w:rsidR="00D52FD0">
        <w:t xml:space="preserve"> </w:t>
      </w:r>
      <w:r w:rsidR="000A1AAE" w:rsidRPr="00A841AA">
        <w:lastRenderedPageBreak/>
        <w:t>implementing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principle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equal</w:t>
      </w:r>
      <w:r w:rsidR="00D52FD0">
        <w:t xml:space="preserve"> </w:t>
      </w:r>
      <w:r w:rsidR="000A1AAE" w:rsidRPr="00A841AA">
        <w:t>treatment</w:t>
      </w:r>
      <w:r w:rsidR="00D52FD0">
        <w:t xml:space="preserve"> </w:t>
      </w:r>
      <w:r w:rsidR="000A1AAE" w:rsidRPr="00A841AA">
        <w:t>between</w:t>
      </w:r>
      <w:r w:rsidR="00D52FD0">
        <w:t xml:space="preserve"> </w:t>
      </w:r>
      <w:r w:rsidR="000A1AAE" w:rsidRPr="00A841AA">
        <w:t>persons</w:t>
      </w:r>
      <w:r w:rsidR="00D52FD0">
        <w:t xml:space="preserve"> </w:t>
      </w:r>
      <w:r w:rsidR="000A1AAE" w:rsidRPr="00A841AA">
        <w:t>irrespective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racial</w:t>
      </w:r>
      <w:r w:rsidR="00D52FD0">
        <w:t xml:space="preserve"> </w:t>
      </w:r>
      <w:r w:rsidR="000A1AAE" w:rsidRPr="00A841AA">
        <w:t>or</w:t>
      </w:r>
      <w:r w:rsidR="00D52FD0">
        <w:t xml:space="preserve"> </w:t>
      </w:r>
      <w:r w:rsidR="000A1AAE" w:rsidRPr="00A841AA">
        <w:t>ethnic</w:t>
      </w:r>
      <w:r w:rsidR="00D52FD0">
        <w:t xml:space="preserve"> </w:t>
      </w:r>
      <w:r w:rsidR="000A1AAE" w:rsidRPr="00A841AA">
        <w:t>origin,</w:t>
      </w:r>
      <w:r w:rsidR="00D52FD0">
        <w:t xml:space="preserve"> </w:t>
      </w:r>
      <w:r w:rsidR="000A1AAE" w:rsidRPr="00A841AA">
        <w:t>Council</w:t>
      </w:r>
      <w:r w:rsidR="00D52FD0">
        <w:t xml:space="preserve"> </w:t>
      </w:r>
      <w:r w:rsidR="000A1AAE" w:rsidRPr="00A841AA">
        <w:t>Directive</w:t>
      </w:r>
      <w:r w:rsidR="00D52FD0">
        <w:t xml:space="preserve"> </w:t>
      </w:r>
      <w:r w:rsidR="000A1AAE" w:rsidRPr="00A841AA">
        <w:t>2000/78/EC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27</w:t>
      </w:r>
      <w:r w:rsidR="00D52FD0">
        <w:t xml:space="preserve"> </w:t>
      </w:r>
      <w:r w:rsidR="000A1AAE" w:rsidRPr="00A841AA">
        <w:t>November</w:t>
      </w:r>
      <w:r w:rsidR="00D52FD0">
        <w:t xml:space="preserve"> </w:t>
      </w:r>
      <w:r w:rsidR="000A1AAE" w:rsidRPr="00A841AA">
        <w:t>2000</w:t>
      </w:r>
      <w:r w:rsidR="00D52FD0">
        <w:t xml:space="preserve"> </w:t>
      </w:r>
      <w:r w:rsidR="000A1AAE" w:rsidRPr="00A841AA">
        <w:t>establishing</w:t>
      </w:r>
      <w:r w:rsidR="00D52FD0">
        <w:t xml:space="preserve"> </w:t>
      </w:r>
      <w:r w:rsidR="000A1AAE" w:rsidRPr="00A841AA">
        <w:t>a</w:t>
      </w:r>
      <w:r w:rsidR="00D52FD0">
        <w:t xml:space="preserve"> </w:t>
      </w:r>
      <w:r w:rsidR="000A1AAE" w:rsidRPr="00A841AA">
        <w:t>general</w:t>
      </w:r>
      <w:r w:rsidR="00D52FD0">
        <w:t xml:space="preserve"> </w:t>
      </w:r>
      <w:r w:rsidR="000A1AAE" w:rsidRPr="00A841AA">
        <w:t>framework</w:t>
      </w:r>
      <w:r w:rsidR="00D52FD0">
        <w:t xml:space="preserve"> </w:t>
      </w:r>
      <w:r w:rsidR="000A1AAE" w:rsidRPr="00A841AA">
        <w:t>for</w:t>
      </w:r>
      <w:r w:rsidR="00D52FD0">
        <w:t xml:space="preserve"> </w:t>
      </w:r>
      <w:r w:rsidR="000A1AAE" w:rsidRPr="00A841AA">
        <w:t>equal</w:t>
      </w:r>
      <w:r w:rsidR="00D52FD0">
        <w:t xml:space="preserve"> </w:t>
      </w:r>
      <w:r w:rsidR="000A1AAE" w:rsidRPr="00A841AA">
        <w:t>treatment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employment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occupation,</w:t>
      </w:r>
      <w:r w:rsidR="00D52FD0">
        <w:t xml:space="preserve"> </w:t>
      </w:r>
      <w:r w:rsidR="000A1AAE" w:rsidRPr="00A841AA">
        <w:t>Council</w:t>
      </w:r>
      <w:r w:rsidR="00D52FD0">
        <w:t xml:space="preserve"> </w:t>
      </w:r>
      <w:r w:rsidR="000A1AAE" w:rsidRPr="00A841AA">
        <w:t>Directive</w:t>
      </w:r>
      <w:r w:rsidR="00D52FD0">
        <w:t xml:space="preserve"> </w:t>
      </w:r>
      <w:r w:rsidR="000A1AAE" w:rsidRPr="00A841AA">
        <w:t>2004/113/EC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13</w:t>
      </w:r>
      <w:r w:rsidR="00D52FD0">
        <w:t xml:space="preserve"> </w:t>
      </w:r>
      <w:r w:rsidR="000A1AAE" w:rsidRPr="00A841AA">
        <w:t>December</w:t>
      </w:r>
      <w:r w:rsidR="00D52FD0">
        <w:t xml:space="preserve"> </w:t>
      </w:r>
      <w:r w:rsidR="000A1AAE" w:rsidRPr="00A841AA">
        <w:t>2004</w:t>
      </w:r>
      <w:r w:rsidR="00D52FD0">
        <w:t xml:space="preserve"> </w:t>
      </w:r>
      <w:r w:rsidR="000A1AAE" w:rsidRPr="00A841AA">
        <w:t>implementing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principle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equal</w:t>
      </w:r>
      <w:r w:rsidR="00D52FD0">
        <w:t xml:space="preserve"> </w:t>
      </w:r>
      <w:r w:rsidR="000A1AAE" w:rsidRPr="00A841AA">
        <w:t>treatment</w:t>
      </w:r>
      <w:r w:rsidR="00D52FD0">
        <w:t xml:space="preserve"> </w:t>
      </w:r>
      <w:r w:rsidR="000A1AAE" w:rsidRPr="00A841AA">
        <w:t>between</w:t>
      </w:r>
      <w:r w:rsidR="00D52FD0">
        <w:t xml:space="preserve"> </w:t>
      </w:r>
      <w:r w:rsidR="000A1AAE" w:rsidRPr="00A841AA">
        <w:t>men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women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access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goods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services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their</w:t>
      </w:r>
      <w:r w:rsidR="00D52FD0">
        <w:t xml:space="preserve"> </w:t>
      </w:r>
      <w:r w:rsidR="000A1AAE" w:rsidRPr="00A841AA">
        <w:t>supply,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Communication</w:t>
      </w:r>
      <w:r w:rsidR="00D52FD0">
        <w:t xml:space="preserve"> </w:t>
      </w:r>
      <w:r w:rsidR="000A1AAE" w:rsidRPr="00A841AA">
        <w:t>from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European</w:t>
      </w:r>
      <w:r w:rsidR="00D52FD0">
        <w:t xml:space="preserve"> </w:t>
      </w:r>
      <w:r w:rsidR="000A1AAE" w:rsidRPr="00A841AA">
        <w:t>Commission</w:t>
      </w:r>
      <w:r w:rsidR="00D52FD0">
        <w:t xml:space="preserve"> </w:t>
      </w:r>
      <w:r w:rsidR="000A1AAE" w:rsidRPr="00A841AA">
        <w:t>(22.12.2011</w:t>
      </w:r>
      <w:r w:rsidR="00D52FD0">
        <w:t xml:space="preserve"> </w:t>
      </w:r>
      <w:r w:rsidR="000A1AAE" w:rsidRPr="00A841AA">
        <w:t>C</w:t>
      </w:r>
      <w:r w:rsidR="00D52FD0">
        <w:t xml:space="preserve"> </w:t>
      </w:r>
      <w:r w:rsidR="000A1AAE" w:rsidRPr="00A841AA">
        <w:t>(2011)</w:t>
      </w:r>
      <w:r w:rsidR="00D52FD0">
        <w:t xml:space="preserve"> </w:t>
      </w:r>
      <w:r w:rsidR="000A1AAE" w:rsidRPr="00A841AA">
        <w:t>9497)</w:t>
      </w:r>
      <w:r w:rsidR="00D52FD0">
        <w:t xml:space="preserve"> </w:t>
      </w:r>
      <w:r w:rsidR="000A1AAE" w:rsidRPr="00A841AA">
        <w:t>containing</w:t>
      </w:r>
      <w:r w:rsidR="00D52FD0">
        <w:t xml:space="preserve"> </w:t>
      </w:r>
      <w:r w:rsidR="000A1AAE" w:rsidRPr="00A841AA">
        <w:t>Guidelines</w:t>
      </w:r>
      <w:r w:rsidR="00D52FD0">
        <w:t xml:space="preserve"> </w:t>
      </w:r>
      <w:r w:rsidR="000A1AAE" w:rsidRPr="00A841AA">
        <w:t>on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application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Council</w:t>
      </w:r>
      <w:r w:rsidR="00D52FD0">
        <w:t xml:space="preserve"> </w:t>
      </w:r>
      <w:r w:rsidR="000A1AAE" w:rsidRPr="00A841AA">
        <w:t>Directive</w:t>
      </w:r>
      <w:r w:rsidR="00D52FD0">
        <w:t xml:space="preserve"> </w:t>
      </w:r>
      <w:r w:rsidR="000A1AAE" w:rsidRPr="00A841AA">
        <w:t>2004/113/EC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insurance,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light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judgment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Court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Justice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European</w:t>
      </w:r>
      <w:r w:rsidR="00D52FD0">
        <w:t xml:space="preserve"> </w:t>
      </w:r>
      <w:r w:rsidR="000A1AAE" w:rsidRPr="00A841AA">
        <w:t>Union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Case</w:t>
      </w:r>
      <w:r w:rsidR="00D52FD0">
        <w:t xml:space="preserve"> </w:t>
      </w:r>
      <w:r w:rsidR="000A1AAE" w:rsidRPr="00A841AA">
        <w:t>C-236/09</w:t>
      </w:r>
      <w:r w:rsidR="00D52FD0">
        <w:t xml:space="preserve"> </w:t>
      </w:r>
      <w:r w:rsidR="000A1AAE" w:rsidRPr="00A841AA">
        <w:t>(Test-Achats),</w:t>
      </w:r>
      <w:r w:rsidR="00D52FD0">
        <w:t xml:space="preserve"> </w:t>
      </w:r>
      <w:r w:rsidR="000A1AAE" w:rsidRPr="00A841AA">
        <w:t>Council</w:t>
      </w:r>
      <w:r w:rsidR="00D52FD0">
        <w:t xml:space="preserve"> </w:t>
      </w:r>
      <w:r w:rsidR="000A1AAE" w:rsidRPr="00A841AA">
        <w:t>Directive</w:t>
      </w:r>
      <w:r w:rsidR="00D52FD0">
        <w:t xml:space="preserve"> </w:t>
      </w:r>
      <w:r w:rsidR="000A1AAE" w:rsidRPr="00A841AA">
        <w:t>2006/54/EC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5</w:t>
      </w:r>
      <w:r w:rsidR="00D52FD0">
        <w:t xml:space="preserve"> </w:t>
      </w:r>
      <w:r w:rsidR="000A1AAE" w:rsidRPr="00A841AA">
        <w:t>July</w:t>
      </w:r>
      <w:r w:rsidR="00D52FD0">
        <w:t xml:space="preserve"> </w:t>
      </w:r>
      <w:r w:rsidR="000A1AAE" w:rsidRPr="00A841AA">
        <w:t>2006</w:t>
      </w:r>
      <w:r w:rsidR="00D52FD0">
        <w:t xml:space="preserve"> </w:t>
      </w:r>
      <w:r w:rsidR="000A1AAE" w:rsidRPr="00A841AA">
        <w:t>implementing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principle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equal</w:t>
      </w:r>
      <w:r w:rsidR="00D52FD0">
        <w:t xml:space="preserve"> </w:t>
      </w:r>
      <w:r w:rsidR="000A1AAE" w:rsidRPr="00A841AA">
        <w:t>opportunities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equal</w:t>
      </w:r>
      <w:r w:rsidR="00D52FD0">
        <w:t xml:space="preserve"> </w:t>
      </w:r>
      <w:r w:rsidR="000A1AAE" w:rsidRPr="00A841AA">
        <w:t>treatment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men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women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matters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employment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occupation</w:t>
      </w:r>
      <w:r w:rsidR="00D52FD0">
        <w:t xml:space="preserve"> </w:t>
      </w:r>
      <w:r w:rsidR="000A1AAE" w:rsidRPr="00A841AA">
        <w:t>(recast),</w:t>
      </w:r>
      <w:r w:rsidR="00D52FD0">
        <w:t xml:space="preserve"> </w:t>
      </w:r>
      <w:r w:rsidR="000A1AAE" w:rsidRPr="00A841AA">
        <w:t>Council</w:t>
      </w:r>
      <w:r w:rsidR="00D52FD0">
        <w:t xml:space="preserve"> </w:t>
      </w:r>
      <w:r w:rsidR="000A1AAE" w:rsidRPr="00A841AA">
        <w:t>Directive</w:t>
      </w:r>
      <w:r w:rsidR="00D52FD0">
        <w:t xml:space="preserve"> </w:t>
      </w:r>
      <w:r w:rsidR="000A1AAE" w:rsidRPr="00A841AA">
        <w:t>2010/41/EU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7</w:t>
      </w:r>
      <w:r w:rsidR="00D52FD0">
        <w:t xml:space="preserve"> </w:t>
      </w:r>
      <w:r w:rsidR="000A1AAE" w:rsidRPr="00A841AA">
        <w:t>July</w:t>
      </w:r>
      <w:r w:rsidR="00D52FD0">
        <w:t xml:space="preserve"> </w:t>
      </w:r>
      <w:r w:rsidR="000A1AAE" w:rsidRPr="00A841AA">
        <w:t>2010</w:t>
      </w:r>
      <w:r w:rsidR="00D52FD0">
        <w:t xml:space="preserve"> </w:t>
      </w:r>
      <w:r w:rsidR="000A1AAE" w:rsidRPr="00A841AA">
        <w:t>on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application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principle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equal</w:t>
      </w:r>
      <w:r w:rsidR="00D52FD0">
        <w:t xml:space="preserve"> </w:t>
      </w:r>
      <w:r w:rsidR="000A1AAE" w:rsidRPr="00A841AA">
        <w:t>treatment</w:t>
      </w:r>
      <w:r w:rsidR="00D52FD0">
        <w:t xml:space="preserve"> </w:t>
      </w:r>
      <w:r w:rsidR="000A1AAE" w:rsidRPr="00A841AA">
        <w:t>between</w:t>
      </w:r>
      <w:r w:rsidR="00D52FD0">
        <w:t xml:space="preserve"> </w:t>
      </w:r>
      <w:r w:rsidR="000A1AAE" w:rsidRPr="00A841AA">
        <w:t>men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women</w:t>
      </w:r>
      <w:r w:rsidR="00D52FD0">
        <w:t xml:space="preserve"> </w:t>
      </w:r>
      <w:r w:rsidR="000A1AAE" w:rsidRPr="00A841AA">
        <w:t>engaged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an</w:t>
      </w:r>
      <w:r w:rsidR="00D52FD0">
        <w:t xml:space="preserve"> </w:t>
      </w:r>
      <w:r w:rsidR="000A1AAE" w:rsidRPr="00A841AA">
        <w:t>activity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a</w:t>
      </w:r>
      <w:r w:rsidR="00D52FD0">
        <w:t xml:space="preserve"> </w:t>
      </w:r>
      <w:r w:rsidR="000A1AAE" w:rsidRPr="00A841AA">
        <w:t>self-employed</w:t>
      </w:r>
      <w:r w:rsidR="00D52FD0">
        <w:t xml:space="preserve"> </w:t>
      </w:r>
      <w:r w:rsidR="000A1AAE" w:rsidRPr="00A841AA">
        <w:t>capacity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repealing</w:t>
      </w:r>
      <w:r w:rsidR="00D52FD0">
        <w:t xml:space="preserve"> </w:t>
      </w:r>
      <w:r w:rsidR="000A1AAE" w:rsidRPr="00A841AA">
        <w:t>Council</w:t>
      </w:r>
      <w:r w:rsidR="00D52FD0">
        <w:t xml:space="preserve"> </w:t>
      </w:r>
      <w:r w:rsidR="000A1AAE" w:rsidRPr="00A841AA">
        <w:t>Directive</w:t>
      </w:r>
      <w:r w:rsidR="00D52FD0">
        <w:t xml:space="preserve"> </w:t>
      </w:r>
      <w:r w:rsidR="000A1AAE" w:rsidRPr="00A841AA">
        <w:t>86/613/EEC,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repeal</w:t>
      </w:r>
      <w:r w:rsidR="00D52FD0">
        <w:t xml:space="preserve"> </w:t>
      </w:r>
      <w:r w:rsidR="000A1AAE" w:rsidRPr="00A841AA">
        <w:t>Chapter</w:t>
      </w:r>
      <w:r w:rsidR="00D52FD0">
        <w:t xml:space="preserve"> </w:t>
      </w:r>
      <w:r w:rsidR="000A1AAE" w:rsidRPr="00A841AA">
        <w:t>456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Laws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Malta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its</w:t>
      </w:r>
      <w:r w:rsidR="00D52FD0">
        <w:t xml:space="preserve"> </w:t>
      </w:r>
      <w:r w:rsidR="000A1AAE" w:rsidRPr="00A841AA">
        <w:t>subsidiary</w:t>
      </w:r>
      <w:r w:rsidR="00D52FD0">
        <w:t xml:space="preserve"> </w:t>
      </w:r>
      <w:r w:rsidR="000A1AAE" w:rsidRPr="00A841AA">
        <w:t>legislation.</w:t>
      </w:r>
    </w:p>
    <w:p w14:paraId="24CC4D08" w14:textId="62E19498" w:rsidR="000A1AAE" w:rsidRPr="00A841AA" w:rsidRDefault="000A1AAE" w:rsidP="00D52FD0">
      <w:pPr>
        <w:pStyle w:val="H23G"/>
        <w:rPr>
          <w:lang w:eastAsia="en-GB"/>
        </w:rPr>
      </w:pPr>
      <w:r>
        <w:rPr>
          <w:lang w:eastAsia="en-GB"/>
        </w:rPr>
        <w:tab/>
      </w:r>
      <w:r>
        <w:rPr>
          <w:lang w:eastAsia="en-GB"/>
        </w:rPr>
        <w:tab/>
      </w:r>
      <w:r w:rsidRPr="00A841AA">
        <w:rPr>
          <w:lang w:eastAsia="en-GB"/>
        </w:rPr>
        <w:t>Racial</w:t>
      </w:r>
      <w:r w:rsidR="00D52FD0">
        <w:rPr>
          <w:lang w:eastAsia="en-GB"/>
        </w:rPr>
        <w:t xml:space="preserve"> </w:t>
      </w:r>
      <w:r w:rsidRPr="00A841AA">
        <w:rPr>
          <w:lang w:eastAsia="en-GB"/>
        </w:rPr>
        <w:t>Discrimination</w:t>
      </w:r>
    </w:p>
    <w:p w14:paraId="3C6E25EF" w14:textId="67A3FAA3" w:rsidR="000E4FD0" w:rsidRDefault="0044637E" w:rsidP="0044637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>
        <w:t>6.</w:t>
      </w:r>
      <w:r>
        <w:tab/>
      </w:r>
      <w:r w:rsidR="000A1AAE" w:rsidRPr="00A841AA">
        <w:t>The</w:t>
      </w:r>
      <w:r w:rsidR="00D52FD0">
        <w:t xml:space="preserve"> </w:t>
      </w:r>
      <w:r w:rsidR="000A1AAE" w:rsidRPr="00A841AA">
        <w:t>Government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Malta</w:t>
      </w:r>
      <w:r w:rsidR="00D52FD0">
        <w:t xml:space="preserve"> </w:t>
      </w:r>
      <w:r w:rsidR="000A1AAE" w:rsidRPr="00A841AA">
        <w:t>has</w:t>
      </w:r>
      <w:r w:rsidR="00D52FD0">
        <w:t xml:space="preserve"> </w:t>
      </w:r>
      <w:r w:rsidR="000A1AAE" w:rsidRPr="00A841AA">
        <w:t>now</w:t>
      </w:r>
      <w:r w:rsidR="00D52FD0">
        <w:t xml:space="preserve"> </w:t>
      </w:r>
      <w:r w:rsidR="000A1AAE" w:rsidRPr="00A841AA">
        <w:t>launched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Anti-Racism</w:t>
      </w:r>
      <w:r w:rsidR="00D52FD0">
        <w:t xml:space="preserve"> </w:t>
      </w:r>
      <w:r w:rsidR="000A1AAE" w:rsidRPr="00A841AA">
        <w:t>Strategy</w:t>
      </w:r>
      <w:r w:rsidR="00D52FD0">
        <w:t xml:space="preserve"> </w:t>
      </w:r>
      <w:r w:rsidR="000A1AAE" w:rsidRPr="00A841AA">
        <w:t>2021</w:t>
      </w:r>
      <w:r w:rsidR="00F14DA3">
        <w:t>–</w:t>
      </w:r>
      <w:r w:rsidR="000A1AAE" w:rsidRPr="00A841AA">
        <w:t>2023,</w:t>
      </w:r>
      <w:r w:rsidR="00D52FD0">
        <w:t xml:space="preserve"> </w:t>
      </w:r>
      <w:r w:rsidR="000A1AAE" w:rsidRPr="00A841AA">
        <w:t>which</w:t>
      </w:r>
      <w:r w:rsidR="00D52FD0">
        <w:t xml:space="preserve"> </w:t>
      </w:r>
      <w:r w:rsidR="000A1AAE" w:rsidRPr="00A841AA">
        <w:t>is</w:t>
      </w:r>
      <w:r w:rsidR="00D52FD0">
        <w:t xml:space="preserve"> </w:t>
      </w:r>
      <w:r w:rsidR="000A1AAE" w:rsidRPr="00A841AA">
        <w:t>Malta</w:t>
      </w:r>
      <w:r w:rsidR="00F14DA3">
        <w:t>’</w:t>
      </w:r>
      <w:r w:rsidR="000A1AAE" w:rsidRPr="00A841AA">
        <w:t>s</w:t>
      </w:r>
      <w:r w:rsidR="00D52FD0">
        <w:t xml:space="preserve"> </w:t>
      </w:r>
      <w:r w:rsidR="000A1AAE" w:rsidRPr="00A841AA">
        <w:t>first</w:t>
      </w:r>
      <w:r w:rsidR="00D52FD0">
        <w:t xml:space="preserve"> </w:t>
      </w:r>
      <w:r w:rsidR="000A1AAE" w:rsidRPr="00A841AA">
        <w:t>national</w:t>
      </w:r>
      <w:r w:rsidR="00D52FD0">
        <w:t xml:space="preserve"> </w:t>
      </w:r>
      <w:r w:rsidR="000A1AAE" w:rsidRPr="00A841AA">
        <w:t>action</w:t>
      </w:r>
      <w:r w:rsidR="00D52FD0">
        <w:t xml:space="preserve"> </w:t>
      </w:r>
      <w:r w:rsidR="000A1AAE" w:rsidRPr="00A841AA">
        <w:t>plan</w:t>
      </w:r>
      <w:r w:rsidR="00D52FD0">
        <w:t xml:space="preserve"> </w:t>
      </w:r>
      <w:r w:rsidR="000A1AAE" w:rsidRPr="00A841AA">
        <w:t>against</w:t>
      </w:r>
      <w:r w:rsidR="00D52FD0">
        <w:t xml:space="preserve"> </w:t>
      </w:r>
      <w:r w:rsidR="000A1AAE" w:rsidRPr="00A841AA">
        <w:t>racism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xenophobia.</w:t>
      </w:r>
      <w:r w:rsidR="00D52FD0">
        <w:t xml:space="preserve"> </w:t>
      </w:r>
      <w:r w:rsidR="000A1AAE" w:rsidRPr="00A841AA">
        <w:t>A</w:t>
      </w:r>
      <w:r w:rsidR="00D52FD0">
        <w:t xml:space="preserve"> </w:t>
      </w:r>
      <w:r w:rsidR="000A1AAE" w:rsidRPr="00A841AA">
        <w:t>public</w:t>
      </w:r>
      <w:r w:rsidR="00D52FD0">
        <w:t xml:space="preserve"> </w:t>
      </w:r>
      <w:r w:rsidR="000A1AAE" w:rsidRPr="00A841AA">
        <w:t>consultation</w:t>
      </w:r>
      <w:r w:rsidR="00D52FD0">
        <w:t xml:space="preserve"> </w:t>
      </w:r>
      <w:r w:rsidR="000A1AAE" w:rsidRPr="00A841AA">
        <w:t>initially</w:t>
      </w:r>
      <w:r w:rsidR="00D52FD0">
        <w:t xml:space="preserve"> </w:t>
      </w:r>
      <w:r w:rsidR="000A1AAE" w:rsidRPr="00A841AA">
        <w:t>ran</w:t>
      </w:r>
      <w:r w:rsidR="00D52FD0">
        <w:t xml:space="preserve"> </w:t>
      </w:r>
      <w:r w:rsidR="000A1AAE" w:rsidRPr="00A841AA">
        <w:t>from</w:t>
      </w:r>
      <w:r w:rsidR="00D52FD0">
        <w:t xml:space="preserve"> </w:t>
      </w:r>
      <w:r w:rsidR="000A1AAE" w:rsidRPr="00A841AA">
        <w:t>9th</w:t>
      </w:r>
      <w:r w:rsidR="00D52FD0">
        <w:t xml:space="preserve"> </w:t>
      </w:r>
      <w:r w:rsidR="000A1AAE" w:rsidRPr="00A841AA">
        <w:t>October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9th</w:t>
      </w:r>
      <w:r w:rsidR="00D52FD0">
        <w:t xml:space="preserve"> </w:t>
      </w:r>
      <w:r w:rsidR="000A1AAE" w:rsidRPr="00A841AA">
        <w:t>November</w:t>
      </w:r>
      <w:r w:rsidR="00D52FD0">
        <w:t xml:space="preserve"> </w:t>
      </w:r>
      <w:r w:rsidR="000A1AAE" w:rsidRPr="00A841AA">
        <w:t>2020</w:t>
      </w:r>
      <w:r w:rsidR="00D52FD0">
        <w:t xml:space="preserve"> </w:t>
      </w:r>
      <w:r w:rsidR="000A1AAE" w:rsidRPr="00A841AA">
        <w:t>during</w:t>
      </w:r>
      <w:r w:rsidR="00D52FD0">
        <w:t xml:space="preserve"> </w:t>
      </w:r>
      <w:r w:rsidR="000A1AAE" w:rsidRPr="00A841AA">
        <w:t>which</w:t>
      </w:r>
      <w:r w:rsidR="00D52FD0">
        <w:t xml:space="preserve"> </w:t>
      </w:r>
      <w:r w:rsidR="000A1AAE" w:rsidRPr="00A841AA">
        <w:t>61</w:t>
      </w:r>
      <w:r w:rsidR="00D52FD0">
        <w:t xml:space="preserve"> </w:t>
      </w:r>
      <w:r w:rsidR="000A1AAE" w:rsidRPr="00A841AA">
        <w:t>respondents</w:t>
      </w:r>
      <w:r w:rsidR="00D52FD0">
        <w:t xml:space="preserve"> </w:t>
      </w:r>
      <w:r w:rsidR="000A1AAE" w:rsidRPr="00A841AA">
        <w:t>gave</w:t>
      </w:r>
      <w:r w:rsidR="00D52FD0">
        <w:t xml:space="preserve"> </w:t>
      </w:r>
      <w:r w:rsidR="000A1AAE" w:rsidRPr="00A841AA">
        <w:t>their</w:t>
      </w:r>
      <w:r w:rsidR="00D52FD0">
        <w:t xml:space="preserve"> </w:t>
      </w:r>
      <w:r w:rsidR="000A1AAE" w:rsidRPr="00A841AA">
        <w:t>suggestions</w:t>
      </w:r>
      <w:r w:rsidR="00D52FD0">
        <w:t xml:space="preserve"> </w:t>
      </w:r>
      <w:r w:rsidR="000A1AAE" w:rsidRPr="00A841AA">
        <w:t>for</w:t>
      </w:r>
      <w:r w:rsidR="00D52FD0">
        <w:t xml:space="preserve"> </w:t>
      </w:r>
      <w:r w:rsidR="000A1AAE" w:rsidRPr="00A841AA">
        <w:t>measures</w:t>
      </w:r>
      <w:r w:rsidR="00D52FD0">
        <w:t xml:space="preserve"> </w:t>
      </w:r>
      <w:r w:rsidR="000A1AAE" w:rsidRPr="00A841AA">
        <w:t>on</w:t>
      </w:r>
      <w:r w:rsidR="00D52FD0">
        <w:t xml:space="preserve"> </w:t>
      </w:r>
      <w:r w:rsidR="000A1AAE" w:rsidRPr="00A841AA">
        <w:t>various</w:t>
      </w:r>
      <w:r w:rsidR="00D52FD0">
        <w:t xml:space="preserve"> </w:t>
      </w:r>
      <w:r w:rsidR="000A1AAE" w:rsidRPr="00A841AA">
        <w:t>areas</w:t>
      </w:r>
      <w:r w:rsidR="00D52FD0">
        <w:t xml:space="preserve"> </w:t>
      </w:r>
      <w:r w:rsidR="000A1AAE" w:rsidRPr="00A841AA">
        <w:t>such</w:t>
      </w:r>
      <w:r w:rsidR="00D52FD0">
        <w:t xml:space="preserve"> </w:t>
      </w:r>
      <w:r w:rsidR="000A1AAE" w:rsidRPr="00A841AA">
        <w:t>as</w:t>
      </w:r>
      <w:r w:rsidR="00D52FD0">
        <w:t xml:space="preserve"> </w:t>
      </w:r>
      <w:r w:rsidR="000A1AAE" w:rsidRPr="00A841AA">
        <w:t>research,</w:t>
      </w:r>
      <w:r w:rsidR="00D52FD0">
        <w:t xml:space="preserve"> </w:t>
      </w:r>
      <w:r w:rsidR="000A1AAE" w:rsidRPr="00A841AA">
        <w:t>law</w:t>
      </w:r>
      <w:r w:rsidR="00D52FD0">
        <w:t xml:space="preserve"> </w:t>
      </w:r>
      <w:r w:rsidR="000A1AAE" w:rsidRPr="00A841AA">
        <w:t>enforcement,</w:t>
      </w:r>
      <w:r w:rsidR="00D52FD0">
        <w:t xml:space="preserve"> </w:t>
      </w:r>
      <w:r w:rsidR="000A1AAE" w:rsidRPr="00A841AA">
        <w:t>education,</w:t>
      </w:r>
      <w:r w:rsidR="00D52FD0">
        <w:t xml:space="preserve"> </w:t>
      </w:r>
      <w:r w:rsidR="000A1AAE" w:rsidRPr="00A841AA">
        <w:t>employment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housing,</w:t>
      </w:r>
      <w:r w:rsidR="00D52FD0">
        <w:t xml:space="preserve"> </w:t>
      </w:r>
      <w:r w:rsidR="000A1AAE" w:rsidRPr="00A841AA">
        <w:t>amongst</w:t>
      </w:r>
      <w:r w:rsidR="00D52FD0">
        <w:t xml:space="preserve"> </w:t>
      </w:r>
      <w:r w:rsidR="000A1AAE" w:rsidRPr="00A841AA">
        <w:t>others.</w:t>
      </w:r>
      <w:r w:rsidR="00D52FD0">
        <w:t xml:space="preserve"> </w:t>
      </w:r>
      <w:r w:rsidR="000A1AAE" w:rsidRPr="00A841AA">
        <w:t>From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outset,</w:t>
      </w:r>
      <w:r w:rsidR="00D52FD0">
        <w:t xml:space="preserve"> </w:t>
      </w:r>
      <w:r w:rsidR="000A1AAE" w:rsidRPr="00A841AA">
        <w:t>this</w:t>
      </w:r>
      <w:r w:rsidR="00D52FD0">
        <w:t xml:space="preserve"> </w:t>
      </w:r>
      <w:r w:rsidR="000A1AAE" w:rsidRPr="00A841AA">
        <w:t>process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its</w:t>
      </w:r>
      <w:r w:rsidR="00D52FD0">
        <w:t xml:space="preserve"> </w:t>
      </w:r>
      <w:r w:rsidR="000A1AAE" w:rsidRPr="00A841AA">
        <w:t>outcome</w:t>
      </w:r>
      <w:r w:rsidR="00D52FD0">
        <w:t xml:space="preserve"> </w:t>
      </w:r>
      <w:r w:rsidR="000A1AAE" w:rsidRPr="00A841AA">
        <w:t>aimed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improve</w:t>
      </w:r>
      <w:r w:rsidR="00D52FD0">
        <w:t xml:space="preserve"> </w:t>
      </w:r>
      <w:r w:rsidR="000A1AAE" w:rsidRPr="00A841AA">
        <w:t>Government</w:t>
      </w:r>
      <w:r w:rsidR="00F14DA3">
        <w:t>’</w:t>
      </w:r>
      <w:r w:rsidR="000A1AAE" w:rsidRPr="00A841AA">
        <w:t>s</w:t>
      </w:r>
      <w:r w:rsidR="00D52FD0">
        <w:t xml:space="preserve"> </w:t>
      </w:r>
      <w:r w:rsidR="000A1AAE" w:rsidRPr="00A841AA">
        <w:t>response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mainstreaming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policymaking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discrimination,</w:t>
      </w:r>
      <w:r w:rsidR="00D52FD0">
        <w:t xml:space="preserve"> </w:t>
      </w:r>
      <w:r w:rsidR="000A1AAE" w:rsidRPr="00A841AA">
        <w:t>racism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xenophobia</w:t>
      </w:r>
      <w:r w:rsidR="00D52FD0">
        <w:t xml:space="preserve"> </w:t>
      </w:r>
      <w:r w:rsidR="000A1AAE" w:rsidRPr="00A841AA">
        <w:t>whilst</w:t>
      </w:r>
      <w:r w:rsidR="00D52FD0">
        <w:t xml:space="preserve"> </w:t>
      </w:r>
      <w:r w:rsidR="000A1AAE" w:rsidRPr="00A841AA">
        <w:t>also</w:t>
      </w:r>
      <w:r w:rsidR="00D52FD0">
        <w:t xml:space="preserve"> </w:t>
      </w:r>
      <w:r w:rsidR="000A1AAE" w:rsidRPr="00A841AA">
        <w:t>addressing</w:t>
      </w:r>
      <w:r w:rsidR="00D52FD0">
        <w:t xml:space="preserve"> </w:t>
      </w:r>
      <w:r w:rsidR="000A1AAE" w:rsidRPr="00A841AA">
        <w:t>racism</w:t>
      </w:r>
      <w:r w:rsidR="00D52FD0">
        <w:t xml:space="preserve"> </w:t>
      </w:r>
      <w:r w:rsidR="000A1AAE" w:rsidRPr="00A841AA">
        <w:t>at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societal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individual</w:t>
      </w:r>
      <w:r w:rsidR="00D52FD0">
        <w:t xml:space="preserve"> </w:t>
      </w:r>
      <w:r w:rsidR="000A1AAE" w:rsidRPr="00A841AA">
        <w:t>levels</w:t>
      </w:r>
      <w:r w:rsidR="00D52FD0">
        <w:t xml:space="preserve"> </w:t>
      </w:r>
      <w:r w:rsidR="000A1AAE" w:rsidRPr="00A841AA">
        <w:t>through</w:t>
      </w:r>
      <w:r w:rsidR="00D52FD0">
        <w:t xml:space="preserve"> </w:t>
      </w:r>
      <w:r w:rsidR="000A1AAE" w:rsidRPr="00A841AA">
        <w:t>activities</w:t>
      </w:r>
      <w:r w:rsidR="00D52FD0">
        <w:t xml:space="preserve"> </w:t>
      </w:r>
      <w:r w:rsidR="000A1AAE" w:rsidRPr="00A841AA">
        <w:t>with</w:t>
      </w:r>
      <w:r w:rsidR="00D52FD0">
        <w:t xml:space="preserve"> </w:t>
      </w:r>
      <w:r w:rsidR="000A1AAE" w:rsidRPr="00A841AA">
        <w:t>key</w:t>
      </w:r>
      <w:r w:rsidR="00D52FD0">
        <w:t xml:space="preserve"> </w:t>
      </w:r>
      <w:r w:rsidR="000A1AAE" w:rsidRPr="00A841AA">
        <w:t>actors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democracy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social</w:t>
      </w:r>
      <w:r w:rsidR="00D52FD0">
        <w:t xml:space="preserve"> </w:t>
      </w:r>
      <w:r w:rsidR="000A1AAE" w:rsidRPr="00A841AA">
        <w:t>partners</w:t>
      </w:r>
      <w:r w:rsidR="00D52FD0">
        <w:t xml:space="preserve"> </w:t>
      </w:r>
      <w:r w:rsidR="000A1AAE" w:rsidRPr="00A841AA">
        <w:t>as</w:t>
      </w:r>
      <w:r w:rsidR="00D52FD0">
        <w:t xml:space="preserve"> </w:t>
      </w:r>
      <w:r w:rsidR="000A1AAE" w:rsidRPr="00A841AA">
        <w:t>well</w:t>
      </w:r>
      <w:r w:rsidR="00D52FD0">
        <w:t xml:space="preserve"> </w:t>
      </w:r>
      <w:r w:rsidR="000A1AAE" w:rsidRPr="00A841AA">
        <w:t>as</w:t>
      </w:r>
      <w:r w:rsidR="00D52FD0">
        <w:t xml:space="preserve"> </w:t>
      </w:r>
      <w:r w:rsidR="000A1AAE" w:rsidRPr="00A841AA">
        <w:t>awareness</w:t>
      </w:r>
      <w:r w:rsidR="00D52FD0">
        <w:t xml:space="preserve"> </w:t>
      </w:r>
      <w:r w:rsidR="000A1AAE" w:rsidRPr="00A841AA">
        <w:t>raising</w:t>
      </w:r>
      <w:r w:rsidR="00D52FD0">
        <w:t xml:space="preserve"> </w:t>
      </w:r>
      <w:r w:rsidR="000A1AAE" w:rsidRPr="00A841AA">
        <w:t>at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grassroots</w:t>
      </w:r>
      <w:r w:rsidR="00D52FD0">
        <w:t xml:space="preserve"> </w:t>
      </w:r>
      <w:r w:rsidR="000A1AAE" w:rsidRPr="00A841AA">
        <w:t>level.</w:t>
      </w:r>
      <w:r w:rsidR="00D52FD0">
        <w:t xml:space="preserve"> </w:t>
      </w:r>
      <w:r w:rsidR="000A1AAE" w:rsidRPr="00A841AA">
        <w:t>This</w:t>
      </w:r>
      <w:r w:rsidR="00D52FD0">
        <w:t xml:space="preserve"> </w:t>
      </w:r>
      <w:r w:rsidR="000A1AAE" w:rsidRPr="00A841AA">
        <w:t>would</w:t>
      </w:r>
      <w:r w:rsidR="00D52FD0">
        <w:t xml:space="preserve"> </w:t>
      </w:r>
      <w:r w:rsidR="000A1AAE" w:rsidRPr="00A841AA">
        <w:t>build</w:t>
      </w:r>
      <w:r w:rsidR="00D52FD0">
        <w:t xml:space="preserve"> </w:t>
      </w:r>
      <w:r w:rsidR="000A1AAE" w:rsidRPr="00A841AA">
        <w:t>upon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existing</w:t>
      </w:r>
      <w:r w:rsidR="00D52FD0">
        <w:t xml:space="preserve"> </w:t>
      </w:r>
      <w:r w:rsidR="000A1AAE" w:rsidRPr="00A841AA">
        <w:t>anti-racist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anti-discriminatory</w:t>
      </w:r>
      <w:r w:rsidR="00D52FD0">
        <w:t xml:space="preserve"> </w:t>
      </w:r>
      <w:r w:rsidR="000A1AAE" w:rsidRPr="00A841AA">
        <w:t>legislation.</w:t>
      </w:r>
      <w:r w:rsidR="00D52FD0">
        <w:t xml:space="preserve"> </w:t>
      </w:r>
      <w:r w:rsidR="000A1AAE" w:rsidRPr="00A841AA">
        <w:t>Maltese</w:t>
      </w:r>
      <w:r w:rsidR="00D52FD0">
        <w:t xml:space="preserve"> </w:t>
      </w:r>
      <w:r w:rsidR="000A1AAE" w:rsidRPr="00A841AA">
        <w:t>law</w:t>
      </w:r>
      <w:r w:rsidR="00D52FD0">
        <w:t xml:space="preserve"> </w:t>
      </w:r>
      <w:r w:rsidR="000A1AAE" w:rsidRPr="00A841AA">
        <w:t>condemns,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penalises,</w:t>
      </w:r>
      <w:r w:rsidR="00D52FD0">
        <w:t xml:space="preserve"> </w:t>
      </w:r>
      <w:r w:rsidR="000A1AAE" w:rsidRPr="00A841AA">
        <w:t>discrimination,</w:t>
      </w:r>
      <w:r w:rsidR="00D52FD0">
        <w:t xml:space="preserve"> </w:t>
      </w:r>
      <w:r w:rsidR="000A1AAE" w:rsidRPr="00A841AA">
        <w:t>hate</w:t>
      </w:r>
      <w:r w:rsidR="00D52FD0">
        <w:t xml:space="preserve"> </w:t>
      </w:r>
      <w:r w:rsidR="000A1AAE" w:rsidRPr="00A841AA">
        <w:t>crimes,</w:t>
      </w:r>
      <w:r w:rsidR="00D52FD0">
        <w:t xml:space="preserve"> </w:t>
      </w:r>
      <w:r w:rsidR="000A1AAE" w:rsidRPr="00A841AA">
        <w:t>as</w:t>
      </w:r>
      <w:r w:rsidR="00D52FD0">
        <w:t xml:space="preserve"> </w:t>
      </w:r>
      <w:r w:rsidR="000A1AAE" w:rsidRPr="00A841AA">
        <w:t>well</w:t>
      </w:r>
      <w:r w:rsidR="00D52FD0">
        <w:t xml:space="preserve"> </w:t>
      </w:r>
      <w:r w:rsidR="000A1AAE" w:rsidRPr="00A841AA">
        <w:t>as</w:t>
      </w:r>
      <w:r w:rsidR="00D52FD0">
        <w:t xml:space="preserve"> </w:t>
      </w:r>
      <w:r w:rsidR="000A1AAE" w:rsidRPr="00A841AA">
        <w:t>hate</w:t>
      </w:r>
      <w:r w:rsidR="00D52FD0">
        <w:t xml:space="preserve"> </w:t>
      </w:r>
      <w:r w:rsidR="000A1AAE" w:rsidRPr="00A841AA">
        <w:t>speech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all</w:t>
      </w:r>
      <w:r w:rsidR="00D52FD0">
        <w:t xml:space="preserve"> </w:t>
      </w:r>
      <w:r w:rsidR="000A1AAE" w:rsidRPr="00A841AA">
        <w:t>their</w:t>
      </w:r>
      <w:r w:rsidR="00D52FD0">
        <w:t xml:space="preserve"> </w:t>
      </w:r>
      <w:r w:rsidR="000A1AAE" w:rsidRPr="00A841AA">
        <w:t>forms:</w:t>
      </w:r>
      <w:r w:rsidR="00D52FD0">
        <w:t xml:space="preserve"> </w:t>
      </w:r>
      <w:r w:rsidR="000A1AAE" w:rsidRPr="00A841AA">
        <w:t>Article</w:t>
      </w:r>
      <w:r w:rsidR="00D52FD0">
        <w:t xml:space="preserve"> </w:t>
      </w:r>
      <w:r w:rsidR="000A1AAE" w:rsidRPr="00A841AA">
        <w:t>45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Constitution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Malta,</w:t>
      </w:r>
      <w:r w:rsidR="00D52FD0">
        <w:t xml:space="preserve"> </w:t>
      </w:r>
      <w:r w:rsidR="000A1AAE" w:rsidRPr="00A841AA">
        <w:t>Criminal</w:t>
      </w:r>
      <w:r w:rsidR="00D52FD0">
        <w:t xml:space="preserve"> </w:t>
      </w:r>
      <w:r w:rsidR="000A1AAE" w:rsidRPr="00A841AA">
        <w:t>Code</w:t>
      </w:r>
      <w:r w:rsidR="00D52FD0">
        <w:t xml:space="preserve"> </w:t>
      </w:r>
      <w:r w:rsidR="000A1AAE" w:rsidRPr="00A841AA">
        <w:t>(Cap.</w:t>
      </w:r>
      <w:r w:rsidR="00D52FD0">
        <w:t xml:space="preserve"> </w:t>
      </w:r>
      <w:r w:rsidR="000A1AAE" w:rsidRPr="00A841AA">
        <w:t>9),</w:t>
      </w:r>
      <w:r w:rsidR="00D52FD0">
        <w:t xml:space="preserve"> </w:t>
      </w:r>
      <w:r w:rsidR="000A1AAE" w:rsidRPr="00A841AA">
        <w:t>Police</w:t>
      </w:r>
      <w:r w:rsidR="00D52FD0">
        <w:t xml:space="preserve"> </w:t>
      </w:r>
      <w:r w:rsidR="000A1AAE" w:rsidRPr="00A841AA">
        <w:t>Act</w:t>
      </w:r>
      <w:r w:rsidR="00D52FD0">
        <w:t xml:space="preserve"> </w:t>
      </w:r>
      <w:r w:rsidR="000A1AAE" w:rsidRPr="00A841AA">
        <w:t>(Cap.</w:t>
      </w:r>
      <w:r w:rsidR="00D52FD0">
        <w:t xml:space="preserve"> </w:t>
      </w:r>
      <w:r w:rsidR="000A1AAE" w:rsidRPr="00A841AA">
        <w:t>164),</w:t>
      </w:r>
      <w:r w:rsidR="00D52FD0">
        <w:t xml:space="preserve"> </w:t>
      </w:r>
      <w:r w:rsidR="000A1AAE" w:rsidRPr="00A841AA">
        <w:t>Extradition</w:t>
      </w:r>
      <w:r w:rsidR="00D52FD0">
        <w:t xml:space="preserve"> </w:t>
      </w:r>
      <w:r w:rsidR="000A1AAE" w:rsidRPr="00A841AA">
        <w:t>Act</w:t>
      </w:r>
      <w:r w:rsidR="00D52FD0">
        <w:t xml:space="preserve"> </w:t>
      </w:r>
      <w:r w:rsidR="000A1AAE" w:rsidRPr="00A841AA">
        <w:t>(Cap.</w:t>
      </w:r>
      <w:r w:rsidR="00D52FD0">
        <w:t xml:space="preserve"> </w:t>
      </w:r>
      <w:r w:rsidR="000A1AAE" w:rsidRPr="00A841AA">
        <w:t>276),</w:t>
      </w:r>
      <w:r w:rsidR="00D52FD0">
        <w:t xml:space="preserve"> </w:t>
      </w:r>
      <w:r w:rsidR="000A1AAE" w:rsidRPr="00A841AA">
        <w:t>etc.</w:t>
      </w:r>
    </w:p>
    <w:p w14:paraId="2B87C489" w14:textId="6911B6F0" w:rsidR="000A1AAE" w:rsidRPr="00A841AA" w:rsidRDefault="0044637E" w:rsidP="0044637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841AA">
        <w:t>7.</w:t>
      </w:r>
      <w:r w:rsidRPr="00A841AA">
        <w:tab/>
      </w:r>
      <w:r w:rsidR="000A1AAE" w:rsidRPr="00A841AA">
        <w:t>The</w:t>
      </w:r>
      <w:r w:rsidR="00D52FD0">
        <w:t xml:space="preserve"> </w:t>
      </w:r>
      <w:r w:rsidR="000A1AAE" w:rsidRPr="00A841AA">
        <w:t>Anti-Racism</w:t>
      </w:r>
      <w:r w:rsidR="00D52FD0">
        <w:t xml:space="preserve"> </w:t>
      </w:r>
      <w:r w:rsidR="000A1AAE" w:rsidRPr="00A841AA">
        <w:t>Strategy</w:t>
      </w:r>
      <w:r w:rsidR="00D52FD0">
        <w:t xml:space="preserve"> </w:t>
      </w:r>
      <w:r w:rsidR="000A1AAE" w:rsidRPr="00A841AA">
        <w:t>2021</w:t>
      </w:r>
      <w:r w:rsidR="00F14DA3">
        <w:t>–</w:t>
      </w:r>
      <w:r w:rsidR="000A1AAE" w:rsidRPr="00A841AA">
        <w:t>2023</w:t>
      </w:r>
      <w:r w:rsidR="00D52FD0">
        <w:t xml:space="preserve"> </w:t>
      </w:r>
      <w:r w:rsidR="000A1AAE" w:rsidRPr="00A841AA">
        <w:t>was</w:t>
      </w:r>
      <w:r w:rsidR="00D52FD0">
        <w:t xml:space="preserve"> </w:t>
      </w:r>
      <w:r w:rsidR="000A1AAE" w:rsidRPr="00A841AA">
        <w:t>adopted</w:t>
      </w:r>
      <w:r w:rsidR="00D52FD0">
        <w:t xml:space="preserve"> </w:t>
      </w:r>
      <w:r w:rsidR="000A1AAE" w:rsidRPr="00A841AA">
        <w:t>by</w:t>
      </w:r>
      <w:r w:rsidR="00D52FD0">
        <w:t xml:space="preserve"> </w:t>
      </w:r>
      <w:r w:rsidR="000A1AAE" w:rsidRPr="00A841AA">
        <w:t>Cabinet</w:t>
      </w:r>
      <w:r w:rsidR="00D52FD0">
        <w:t xml:space="preserve"> </w:t>
      </w:r>
      <w:r w:rsidR="000A1AAE" w:rsidRPr="00A841AA">
        <w:t>on</w:t>
      </w:r>
      <w:r w:rsidR="00D52FD0">
        <w:t xml:space="preserve"> </w:t>
      </w:r>
      <w:r w:rsidR="000A1AAE" w:rsidRPr="00A841AA">
        <w:t>Wednesday</w:t>
      </w:r>
      <w:r w:rsidR="00D52FD0">
        <w:t xml:space="preserve"> </w:t>
      </w:r>
      <w:r w:rsidR="000A1AAE" w:rsidRPr="00A841AA">
        <w:t>28</w:t>
      </w:r>
      <w:r w:rsidR="00D52FD0">
        <w:t xml:space="preserve"> </w:t>
      </w:r>
      <w:r w:rsidR="000A1AAE" w:rsidRPr="00A841AA">
        <w:t>July</w:t>
      </w:r>
      <w:r w:rsidR="00D52FD0">
        <w:t xml:space="preserve"> </w:t>
      </w:r>
      <w:r w:rsidR="000A1AAE" w:rsidRPr="00A841AA">
        <w:t>2021.</w:t>
      </w:r>
      <w:r w:rsidR="00D52FD0">
        <w:t xml:space="preserve"> </w:t>
      </w:r>
      <w:r w:rsidR="000A1AAE" w:rsidRPr="00A841AA">
        <w:t>It</w:t>
      </w:r>
      <w:r w:rsidR="00D52FD0">
        <w:t xml:space="preserve"> </w:t>
      </w:r>
      <w:r w:rsidR="000A1AAE" w:rsidRPr="00A841AA">
        <w:t>was</w:t>
      </w:r>
      <w:r w:rsidR="00D52FD0">
        <w:t xml:space="preserve"> </w:t>
      </w:r>
      <w:r w:rsidR="000A1AAE" w:rsidRPr="00A841AA">
        <w:t>officially</w:t>
      </w:r>
      <w:r w:rsidR="00D52FD0">
        <w:t xml:space="preserve"> </w:t>
      </w:r>
      <w:r w:rsidR="000A1AAE" w:rsidRPr="00A841AA">
        <w:t>launched</w:t>
      </w:r>
      <w:r w:rsidR="00D52FD0">
        <w:t xml:space="preserve"> </w:t>
      </w:r>
      <w:r w:rsidR="000A1AAE" w:rsidRPr="00A841AA">
        <w:t>on</w:t>
      </w:r>
      <w:r w:rsidR="00D52FD0">
        <w:t xml:space="preserve"> </w:t>
      </w:r>
      <w:r w:rsidR="000A1AAE" w:rsidRPr="00A841AA">
        <w:t>Thursday</w:t>
      </w:r>
      <w:r w:rsidR="00D52FD0">
        <w:t xml:space="preserve"> </w:t>
      </w:r>
      <w:r w:rsidR="000A1AAE" w:rsidRPr="00A841AA">
        <w:t>30</w:t>
      </w:r>
      <w:r w:rsidR="00D52FD0">
        <w:t xml:space="preserve"> </w:t>
      </w:r>
      <w:r w:rsidR="000A1AAE" w:rsidRPr="00A841AA">
        <w:t>September</w:t>
      </w:r>
      <w:r w:rsidR="00D52FD0">
        <w:t xml:space="preserve"> </w:t>
      </w:r>
      <w:r w:rsidR="000A1AAE" w:rsidRPr="00A841AA">
        <w:t>2021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it</w:t>
      </w:r>
      <w:r w:rsidR="00D52FD0">
        <w:t xml:space="preserve"> </w:t>
      </w:r>
      <w:r w:rsidR="000A1AAE" w:rsidRPr="00A841AA">
        <w:t>was</w:t>
      </w:r>
      <w:r w:rsidR="00D52FD0">
        <w:t xml:space="preserve"> </w:t>
      </w:r>
      <w:r w:rsidR="000A1AAE" w:rsidRPr="00A841AA">
        <w:t>presented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stakeholders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recipients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a</w:t>
      </w:r>
      <w:r w:rsidR="00D52FD0">
        <w:t xml:space="preserve"> </w:t>
      </w:r>
      <w:r w:rsidR="000A1AAE" w:rsidRPr="00A841AA">
        <w:t>conference</w:t>
      </w:r>
      <w:r w:rsidR="00D52FD0">
        <w:t xml:space="preserve"> </w:t>
      </w:r>
      <w:r w:rsidR="000A1AAE" w:rsidRPr="00A841AA">
        <w:t>on</w:t>
      </w:r>
      <w:r w:rsidR="00D52FD0">
        <w:t xml:space="preserve"> </w:t>
      </w:r>
      <w:r w:rsidR="000A1AAE" w:rsidRPr="00A841AA">
        <w:t>Friday</w:t>
      </w:r>
      <w:r w:rsidR="00D52FD0">
        <w:t xml:space="preserve"> </w:t>
      </w:r>
      <w:r w:rsidR="000A1AAE" w:rsidRPr="00A841AA">
        <w:t>15</w:t>
      </w:r>
      <w:r w:rsidR="00D52FD0">
        <w:t xml:space="preserve"> </w:t>
      </w:r>
      <w:r w:rsidR="000A1AAE" w:rsidRPr="00A841AA">
        <w:t>October</w:t>
      </w:r>
      <w:r w:rsidR="00D52FD0">
        <w:t xml:space="preserve"> </w:t>
      </w:r>
      <w:r w:rsidR="000A1AAE" w:rsidRPr="00A841AA">
        <w:t>2021.</w:t>
      </w:r>
      <w:r w:rsidR="00D52FD0">
        <w:t xml:space="preserve"> </w:t>
      </w:r>
      <w:r w:rsidR="000A1AAE" w:rsidRPr="00A841AA">
        <w:t>It</w:t>
      </w:r>
      <w:r w:rsidR="00D52FD0">
        <w:t xml:space="preserve"> </w:t>
      </w:r>
      <w:r w:rsidR="000A1AAE" w:rsidRPr="00A841AA">
        <w:t>is</w:t>
      </w:r>
      <w:r w:rsidR="00D52FD0">
        <w:t xml:space="preserve"> </w:t>
      </w:r>
      <w:r w:rsidR="000A1AAE" w:rsidRPr="00A841AA">
        <w:t>a</w:t>
      </w:r>
      <w:r w:rsidR="00D52FD0">
        <w:t xml:space="preserve"> </w:t>
      </w:r>
      <w:r w:rsidR="000A1AAE" w:rsidRPr="00A841AA">
        <w:t>comprehensive</w:t>
      </w:r>
      <w:r w:rsidR="00D52FD0">
        <w:t xml:space="preserve"> </w:t>
      </w:r>
      <w:r w:rsidR="000A1AAE" w:rsidRPr="00A841AA">
        <w:t>policy</w:t>
      </w:r>
      <w:r w:rsidR="00D52FD0">
        <w:t xml:space="preserve"> </w:t>
      </w:r>
      <w:r w:rsidR="000A1AAE" w:rsidRPr="00A841AA">
        <w:t>document,</w:t>
      </w:r>
      <w:r w:rsidR="00D52FD0">
        <w:t xml:space="preserve"> </w:t>
      </w:r>
      <w:r w:rsidR="000A1AAE" w:rsidRPr="00A841AA">
        <w:t>which</w:t>
      </w:r>
      <w:r w:rsidR="00D52FD0">
        <w:t xml:space="preserve"> </w:t>
      </w:r>
      <w:r w:rsidR="000A1AAE" w:rsidRPr="00A841AA">
        <w:t>aims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confront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eliminate</w:t>
      </w:r>
      <w:r w:rsidR="00D52FD0">
        <w:t xml:space="preserve"> </w:t>
      </w:r>
      <w:r w:rsidR="000A1AAE" w:rsidRPr="00A841AA">
        <w:t>racism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all</w:t>
      </w:r>
      <w:r w:rsidR="00D52FD0">
        <w:t xml:space="preserve"> </w:t>
      </w:r>
      <w:r w:rsidR="000A1AAE" w:rsidRPr="00A841AA">
        <w:t>its</w:t>
      </w:r>
      <w:r w:rsidR="00D52FD0">
        <w:t xml:space="preserve"> </w:t>
      </w:r>
      <w:r w:rsidR="000A1AAE" w:rsidRPr="00A841AA">
        <w:t>forms,</w:t>
      </w:r>
      <w:r w:rsidR="00D52FD0">
        <w:t xml:space="preserve"> </w:t>
      </w:r>
      <w:r w:rsidR="000A1AAE" w:rsidRPr="00A841AA">
        <w:t>individual,</w:t>
      </w:r>
      <w:r w:rsidR="00D52FD0">
        <w:t xml:space="preserve"> </w:t>
      </w:r>
      <w:r w:rsidR="000A1AAE" w:rsidRPr="00A841AA">
        <w:t>systemic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societal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stimulate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support</w:t>
      </w:r>
      <w:r w:rsidR="00D52FD0">
        <w:t xml:space="preserve"> </w:t>
      </w:r>
      <w:r w:rsidR="000A1AAE" w:rsidRPr="00A841AA">
        <w:t>intercultural</w:t>
      </w:r>
      <w:r w:rsidR="00D52FD0">
        <w:t xml:space="preserve"> </w:t>
      </w:r>
      <w:r w:rsidR="000A1AAE" w:rsidRPr="00A841AA">
        <w:t>inclusion.</w:t>
      </w:r>
      <w:r w:rsidR="00D52FD0">
        <w:t xml:space="preserve"> </w:t>
      </w:r>
      <w:r w:rsidR="000A1AAE" w:rsidRPr="00A841AA">
        <w:t>Through</w:t>
      </w:r>
      <w:r w:rsidR="00D52FD0">
        <w:t xml:space="preserve"> </w:t>
      </w:r>
      <w:r w:rsidR="000A1AAE" w:rsidRPr="00A841AA">
        <w:t>its</w:t>
      </w:r>
      <w:r w:rsidR="00D52FD0">
        <w:t xml:space="preserve"> </w:t>
      </w:r>
      <w:r w:rsidR="000A1AAE" w:rsidRPr="00A841AA">
        <w:t>22</w:t>
      </w:r>
      <w:r w:rsidR="00D52FD0">
        <w:t xml:space="preserve"> </w:t>
      </w:r>
      <w:r w:rsidR="000A1AAE" w:rsidRPr="00A841AA">
        <w:t>measures,</w:t>
      </w:r>
      <w:r w:rsidR="00D52FD0">
        <w:t xml:space="preserve"> </w:t>
      </w:r>
      <w:r w:rsidR="000A1AAE" w:rsidRPr="00A841AA">
        <w:t>it</w:t>
      </w:r>
      <w:r w:rsidR="00D52FD0">
        <w:t xml:space="preserve"> </w:t>
      </w:r>
      <w:r w:rsidR="000A1AAE" w:rsidRPr="00A841AA">
        <w:t>makes</w:t>
      </w:r>
      <w:r w:rsidR="00D52FD0">
        <w:t xml:space="preserve"> </w:t>
      </w:r>
      <w:r w:rsidR="000A1AAE" w:rsidRPr="00A841AA">
        <w:t>anti-racism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anti-discrimination</w:t>
      </w:r>
      <w:r w:rsidR="00D52FD0">
        <w:t xml:space="preserve"> </w:t>
      </w:r>
      <w:r w:rsidR="000A1AAE" w:rsidRPr="00A841AA">
        <w:t>both</w:t>
      </w:r>
      <w:r w:rsidR="00D52FD0">
        <w:t xml:space="preserve"> </w:t>
      </w:r>
      <w:r w:rsidR="000A1AAE" w:rsidRPr="00A841AA">
        <w:t>individual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collective</w:t>
      </w:r>
      <w:r w:rsidR="00D52FD0">
        <w:t xml:space="preserve"> </w:t>
      </w:r>
      <w:r w:rsidR="000A1AAE" w:rsidRPr="00A841AA">
        <w:t>responsibilities</w:t>
      </w:r>
      <w:r w:rsidR="00D52FD0">
        <w:t xml:space="preserve"> </w:t>
      </w:r>
      <w:r w:rsidR="000A1AAE" w:rsidRPr="00A841AA">
        <w:t>across</w:t>
      </w:r>
      <w:r w:rsidR="00D52FD0">
        <w:t xml:space="preserve"> </w:t>
      </w:r>
      <w:r w:rsidR="000A1AAE" w:rsidRPr="00A841AA">
        <w:t>all</w:t>
      </w:r>
      <w:r w:rsidR="00D52FD0">
        <w:t xml:space="preserve"> </w:t>
      </w:r>
      <w:r w:rsidR="000A1AAE" w:rsidRPr="00A841AA">
        <w:t>sectors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society</w:t>
      </w:r>
      <w:r w:rsidR="00D52FD0">
        <w:t xml:space="preserve"> </w:t>
      </w:r>
      <w:r w:rsidR="000A1AAE" w:rsidRPr="00A841AA">
        <w:t>–</w:t>
      </w:r>
      <w:r w:rsidR="00D52FD0">
        <w:t xml:space="preserve"> </w:t>
      </w:r>
      <w:r w:rsidR="000A1AAE" w:rsidRPr="00A841AA">
        <w:t>Government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public</w:t>
      </w:r>
      <w:r w:rsidR="00D52FD0">
        <w:t xml:space="preserve"> </w:t>
      </w:r>
      <w:r w:rsidR="000A1AAE" w:rsidRPr="00A841AA">
        <w:t>sector,</w:t>
      </w:r>
      <w:r w:rsidR="00D52FD0">
        <w:t xml:space="preserve"> </w:t>
      </w:r>
      <w:r w:rsidR="000A1AAE" w:rsidRPr="00A841AA">
        <w:t>democratic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political</w:t>
      </w:r>
      <w:r w:rsidR="00D52FD0">
        <w:t xml:space="preserve"> </w:t>
      </w:r>
      <w:r w:rsidR="000A1AAE" w:rsidRPr="00A841AA">
        <w:t>institutions,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media,</w:t>
      </w:r>
      <w:r w:rsidR="00D52FD0">
        <w:t xml:space="preserve"> </w:t>
      </w:r>
      <w:r w:rsidR="000A1AAE" w:rsidRPr="00A841AA">
        <w:t>but</w:t>
      </w:r>
      <w:r w:rsidR="00D52FD0">
        <w:t xml:space="preserve"> </w:t>
      </w:r>
      <w:r w:rsidR="000A1AAE" w:rsidRPr="00A841AA">
        <w:t>also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private</w:t>
      </w:r>
      <w:r w:rsidR="00D52FD0">
        <w:t xml:space="preserve"> </w:t>
      </w:r>
      <w:r w:rsidR="000A1AAE" w:rsidRPr="00A841AA">
        <w:t>sector,</w:t>
      </w:r>
      <w:r w:rsidR="00D52FD0">
        <w:t xml:space="preserve"> </w:t>
      </w:r>
      <w:r w:rsidR="000A1AAE" w:rsidRPr="00A841AA">
        <w:t>civil</w:t>
      </w:r>
      <w:r w:rsidR="00D52FD0">
        <w:t xml:space="preserve"> </w:t>
      </w:r>
      <w:r w:rsidR="000A1AAE" w:rsidRPr="00A841AA">
        <w:t>society,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general</w:t>
      </w:r>
      <w:r w:rsidR="00D52FD0">
        <w:t xml:space="preserve"> </w:t>
      </w:r>
      <w:r w:rsidR="000A1AAE" w:rsidRPr="00A841AA">
        <w:t>population.</w:t>
      </w:r>
      <w:r w:rsidR="00D52FD0">
        <w:t xml:space="preserve"> </w:t>
      </w:r>
      <w:r w:rsidR="000A1AAE" w:rsidRPr="00A841AA">
        <w:t>Malta</w:t>
      </w:r>
      <w:r w:rsidR="00F14DA3">
        <w:t>’</w:t>
      </w:r>
      <w:r w:rsidR="000A1AAE" w:rsidRPr="00A841AA">
        <w:t>s</w:t>
      </w:r>
      <w:r w:rsidR="00D52FD0">
        <w:t xml:space="preserve"> </w:t>
      </w:r>
      <w:r w:rsidR="000A1AAE" w:rsidRPr="00A841AA">
        <w:t>Strategy</w:t>
      </w:r>
      <w:r w:rsidR="00D52FD0">
        <w:t xml:space="preserve"> </w:t>
      </w:r>
      <w:r w:rsidR="000A1AAE" w:rsidRPr="00A841AA">
        <w:t>is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line</w:t>
      </w:r>
      <w:r w:rsidR="00D52FD0">
        <w:t xml:space="preserve"> </w:t>
      </w:r>
      <w:r w:rsidR="000A1AAE" w:rsidRPr="00A841AA">
        <w:t>with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EU</w:t>
      </w:r>
      <w:r w:rsidR="00F14DA3">
        <w:t>’</w:t>
      </w:r>
      <w:r w:rsidR="000A1AAE" w:rsidRPr="00A841AA">
        <w:t>s</w:t>
      </w:r>
      <w:r w:rsidR="00D52FD0">
        <w:t xml:space="preserve"> </w:t>
      </w:r>
      <w:r w:rsidR="000A1AAE" w:rsidRPr="00A841AA">
        <w:t>Anti-Racism</w:t>
      </w:r>
      <w:r w:rsidR="00D52FD0">
        <w:t xml:space="preserve"> </w:t>
      </w:r>
      <w:r w:rsidR="000A1AAE" w:rsidRPr="00A841AA">
        <w:t>Action</w:t>
      </w:r>
      <w:r w:rsidR="00D52FD0">
        <w:t xml:space="preserve"> </w:t>
      </w:r>
      <w:r w:rsidR="000A1AAE" w:rsidRPr="00A841AA">
        <w:t>Plan</w:t>
      </w:r>
      <w:r w:rsidR="00D52FD0">
        <w:t xml:space="preserve"> </w:t>
      </w:r>
      <w:r w:rsidR="000A1AAE" w:rsidRPr="00A841AA">
        <w:t>2020</w:t>
      </w:r>
      <w:r w:rsidR="00F14DA3">
        <w:t>–</w:t>
      </w:r>
      <w:r w:rsidR="000A1AAE" w:rsidRPr="00A841AA">
        <w:t>2025.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implementation</w:t>
      </w:r>
      <w:r w:rsidR="00D52FD0">
        <w:t xml:space="preserve"> </w:t>
      </w:r>
      <w:r w:rsidR="000A1AAE" w:rsidRPr="00A841AA">
        <w:t>phase</w:t>
      </w:r>
      <w:r w:rsidR="00D52FD0">
        <w:t xml:space="preserve"> </w:t>
      </w:r>
      <w:r w:rsidR="000A1AAE" w:rsidRPr="00A841AA">
        <w:t>began</w:t>
      </w:r>
      <w:r w:rsidR="00D52FD0">
        <w:t xml:space="preserve"> </w:t>
      </w:r>
      <w:r w:rsidR="000A1AAE" w:rsidRPr="00A841AA">
        <w:t>with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first</w:t>
      </w:r>
      <w:r w:rsidR="00D52FD0">
        <w:t xml:space="preserve"> </w:t>
      </w:r>
      <w:r w:rsidR="000A1AAE" w:rsidRPr="00A841AA">
        <w:t>meeting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Anti-Racism</w:t>
      </w:r>
      <w:r w:rsidR="00D52FD0">
        <w:t xml:space="preserve"> </w:t>
      </w:r>
      <w:r w:rsidR="000A1AAE" w:rsidRPr="00A841AA">
        <w:t>Platform</w:t>
      </w:r>
      <w:r w:rsidR="00D52FD0">
        <w:t xml:space="preserve"> </w:t>
      </w:r>
      <w:r w:rsidR="000A1AAE" w:rsidRPr="00A841AA">
        <w:t>(Measure</w:t>
      </w:r>
      <w:r w:rsidR="00D52FD0">
        <w:t xml:space="preserve"> </w:t>
      </w:r>
      <w:r w:rsidR="000A1AAE" w:rsidRPr="00A841AA">
        <w:t>3)</w:t>
      </w:r>
      <w:r w:rsidR="00D52FD0">
        <w:t xml:space="preserve"> </w:t>
      </w:r>
      <w:r w:rsidR="000A1AAE" w:rsidRPr="00A841AA">
        <w:t>last</w:t>
      </w:r>
      <w:r w:rsidR="00D52FD0">
        <w:t xml:space="preserve"> </w:t>
      </w:r>
      <w:r w:rsidR="000A1AAE" w:rsidRPr="00A841AA">
        <w:t>July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Anti-Racism</w:t>
      </w:r>
      <w:r w:rsidR="00D52FD0">
        <w:t xml:space="preserve"> </w:t>
      </w:r>
      <w:r w:rsidR="000A1AAE" w:rsidRPr="00A841AA">
        <w:t>Strategy</w:t>
      </w:r>
      <w:r w:rsidR="00D52FD0">
        <w:t xml:space="preserve"> </w:t>
      </w:r>
      <w:r w:rsidR="000A1AAE" w:rsidRPr="00A841AA">
        <w:t>Stakeholders</w:t>
      </w:r>
      <w:r w:rsidR="00D52FD0">
        <w:t xml:space="preserve"> </w:t>
      </w:r>
      <w:r w:rsidR="000A1AAE" w:rsidRPr="00A841AA">
        <w:t>Conference</w:t>
      </w:r>
      <w:r w:rsidR="00D52FD0">
        <w:t xml:space="preserve"> </w:t>
      </w:r>
      <w:r w:rsidR="000A1AAE" w:rsidRPr="00A841AA">
        <w:t>on</w:t>
      </w:r>
      <w:r w:rsidR="00D52FD0">
        <w:t xml:space="preserve"> </w:t>
      </w:r>
      <w:r w:rsidR="000A1AAE" w:rsidRPr="00A841AA">
        <w:t>15</w:t>
      </w:r>
      <w:r w:rsidR="00D52FD0">
        <w:t xml:space="preserve"> </w:t>
      </w:r>
      <w:r w:rsidR="000A1AAE" w:rsidRPr="00A841AA">
        <w:t>October.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first</w:t>
      </w:r>
      <w:r w:rsidR="00D52FD0">
        <w:t xml:space="preserve"> </w:t>
      </w:r>
      <w:r w:rsidR="000A1AAE" w:rsidRPr="00A841AA">
        <w:t>report</w:t>
      </w:r>
      <w:r w:rsidR="00D52FD0">
        <w:t xml:space="preserve"> </w:t>
      </w:r>
      <w:r w:rsidR="000A1AAE" w:rsidRPr="00A841AA">
        <w:t>on</w:t>
      </w:r>
      <w:r w:rsidR="00D52FD0">
        <w:t xml:space="preserve"> </w:t>
      </w:r>
      <w:r w:rsidR="000A1AAE" w:rsidRPr="00A841AA">
        <w:t>progress</w:t>
      </w:r>
      <w:r w:rsidR="00D52FD0">
        <w:t xml:space="preserve"> </w:t>
      </w:r>
      <w:r w:rsidR="000A1AAE" w:rsidRPr="00A841AA">
        <w:t>shall</w:t>
      </w:r>
      <w:r w:rsidR="00D52FD0">
        <w:t xml:space="preserve"> </w:t>
      </w:r>
      <w:r w:rsidR="000A1AAE" w:rsidRPr="00A841AA">
        <w:t>be</w:t>
      </w:r>
      <w:r w:rsidR="00D52FD0">
        <w:t xml:space="preserve"> </w:t>
      </w:r>
      <w:r w:rsidR="000A1AAE" w:rsidRPr="00A841AA">
        <w:t>drafted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Q4</w:t>
      </w:r>
      <w:r w:rsidR="00D52FD0">
        <w:t xml:space="preserve"> </w:t>
      </w:r>
      <w:r w:rsidR="000A1AAE" w:rsidRPr="00A841AA">
        <w:t>2022.</w:t>
      </w:r>
    </w:p>
    <w:p w14:paraId="128B770A" w14:textId="0EBFA460" w:rsidR="000A1AAE" w:rsidRPr="00A841AA" w:rsidRDefault="0044637E" w:rsidP="0044637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841AA">
        <w:t>8.</w:t>
      </w:r>
      <w:r w:rsidRPr="00A841AA">
        <w:tab/>
      </w:r>
      <w:r w:rsidR="000A1AAE" w:rsidRPr="00A841AA">
        <w:t>In</w:t>
      </w:r>
      <w:r w:rsidR="00D52FD0">
        <w:t xml:space="preserve"> </w:t>
      </w:r>
      <w:r w:rsidR="000A1AAE" w:rsidRPr="00A841AA">
        <w:t>April</w:t>
      </w:r>
      <w:r w:rsidR="00D52FD0">
        <w:t xml:space="preserve"> </w:t>
      </w:r>
      <w:r w:rsidR="000A1AAE" w:rsidRPr="00A841AA">
        <w:t>2021,</w:t>
      </w:r>
      <w:r w:rsidR="00D52FD0">
        <w:t xml:space="preserve"> </w:t>
      </w:r>
      <w:r w:rsidR="000A1AAE" w:rsidRPr="00A841AA">
        <w:t>a</w:t>
      </w:r>
      <w:r w:rsidR="00D52FD0">
        <w:t xml:space="preserve"> </w:t>
      </w:r>
      <w:r w:rsidR="000A1AAE" w:rsidRPr="00A841AA">
        <w:t>Victims</w:t>
      </w:r>
      <w:r w:rsidR="00D52FD0">
        <w:t xml:space="preserve"> </w:t>
      </w:r>
      <w:r w:rsidR="000A1AAE" w:rsidRPr="00A841AA">
        <w:t>Support</w:t>
      </w:r>
      <w:r w:rsidR="00D52FD0">
        <w:t xml:space="preserve"> </w:t>
      </w:r>
      <w:r w:rsidR="000A1AAE" w:rsidRPr="00A841AA">
        <w:t>Agency,</w:t>
      </w:r>
      <w:r w:rsidR="00D52FD0">
        <w:t xml:space="preserve"> </w:t>
      </w:r>
      <w:r w:rsidR="000A1AAE" w:rsidRPr="00A841AA">
        <w:t>a</w:t>
      </w:r>
      <w:r w:rsidR="00D52FD0">
        <w:t xml:space="preserve"> </w:t>
      </w:r>
      <w:r w:rsidR="000A1AAE" w:rsidRPr="00A841AA">
        <w:t>public</w:t>
      </w:r>
      <w:r w:rsidR="00D52FD0">
        <w:t xml:space="preserve"> </w:t>
      </w:r>
      <w:r w:rsidR="000A1AAE" w:rsidRPr="00A841AA">
        <w:t>agency,</w:t>
      </w:r>
      <w:r w:rsidR="00D52FD0">
        <w:t xml:space="preserve"> </w:t>
      </w:r>
      <w:r w:rsidR="000A1AAE" w:rsidRPr="00A841AA">
        <w:t>has</w:t>
      </w:r>
      <w:r w:rsidR="00D52FD0">
        <w:t xml:space="preserve"> </w:t>
      </w:r>
      <w:r w:rsidR="000A1AAE" w:rsidRPr="00A841AA">
        <w:t>also</w:t>
      </w:r>
      <w:r w:rsidR="00D52FD0">
        <w:t xml:space="preserve"> </w:t>
      </w:r>
      <w:r w:rsidR="000A1AAE" w:rsidRPr="00A841AA">
        <w:t>been</w:t>
      </w:r>
      <w:r w:rsidR="00D52FD0">
        <w:t xml:space="preserve"> </w:t>
      </w:r>
      <w:r w:rsidR="000A1AAE" w:rsidRPr="00A841AA">
        <w:t>set-up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address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psychological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legal</w:t>
      </w:r>
      <w:r w:rsidR="00D52FD0">
        <w:t xml:space="preserve"> </w:t>
      </w:r>
      <w:r w:rsidR="000A1AAE" w:rsidRPr="00A841AA">
        <w:t>facets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hate</w:t>
      </w:r>
      <w:r w:rsidR="00D52FD0">
        <w:t xml:space="preserve"> </w:t>
      </w:r>
      <w:r w:rsidR="000A1AAE" w:rsidRPr="00A841AA">
        <w:t>crime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speech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addition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educating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public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raising</w:t>
      </w:r>
      <w:r w:rsidR="00D52FD0">
        <w:t xml:space="preserve"> </w:t>
      </w:r>
      <w:r w:rsidR="000A1AAE" w:rsidRPr="00A841AA">
        <w:t>awareness</w:t>
      </w:r>
      <w:r w:rsidR="00D52FD0">
        <w:t xml:space="preserve"> </w:t>
      </w:r>
      <w:r w:rsidR="000A1AAE" w:rsidRPr="00A841AA">
        <w:t>on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increasingly</w:t>
      </w:r>
      <w:r w:rsidR="00D52FD0">
        <w:t xml:space="preserve"> </w:t>
      </w:r>
      <w:r w:rsidR="000A1AAE" w:rsidRPr="00A841AA">
        <w:t>prominent</w:t>
      </w:r>
      <w:r w:rsidR="00D52FD0">
        <w:t xml:space="preserve"> </w:t>
      </w:r>
      <w:r w:rsidR="000A1AAE" w:rsidRPr="00A841AA">
        <w:t>phenomenon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such</w:t>
      </w:r>
      <w:r w:rsidR="00D52FD0">
        <w:t xml:space="preserve"> </w:t>
      </w:r>
      <w:r w:rsidR="000A1AAE" w:rsidRPr="00A841AA">
        <w:t>crime.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Agency</w:t>
      </w:r>
      <w:r w:rsidR="00D52FD0">
        <w:t xml:space="preserve"> </w:t>
      </w:r>
      <w:r w:rsidR="000A1AAE" w:rsidRPr="00A841AA">
        <w:t>is</w:t>
      </w:r>
      <w:r w:rsidR="00D52FD0">
        <w:t xml:space="preserve"> </w:t>
      </w:r>
      <w:r w:rsidR="000A1AAE" w:rsidRPr="00A841AA">
        <w:t>composed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a</w:t>
      </w:r>
      <w:r w:rsidR="00D52FD0">
        <w:t xml:space="preserve"> </w:t>
      </w:r>
      <w:r w:rsidR="000A1AAE" w:rsidRPr="00A841AA">
        <w:t>multi-disciplinary</w:t>
      </w:r>
      <w:r w:rsidR="00D52FD0">
        <w:t xml:space="preserve"> </w:t>
      </w:r>
      <w:r w:rsidR="000A1AAE" w:rsidRPr="00A841AA">
        <w:t>team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professionals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psycho-social</w:t>
      </w:r>
      <w:r w:rsidR="00D52FD0">
        <w:t xml:space="preserve"> </w:t>
      </w:r>
      <w:r w:rsidR="000A1AAE" w:rsidRPr="00A841AA">
        <w:t>remit,</w:t>
      </w:r>
      <w:r w:rsidR="00D52FD0">
        <w:t xml:space="preserve"> </w:t>
      </w:r>
      <w:r w:rsidR="000A1AAE" w:rsidRPr="00A841AA">
        <w:t>legal</w:t>
      </w:r>
      <w:r w:rsidR="00D52FD0">
        <w:t xml:space="preserve"> </w:t>
      </w:r>
      <w:r w:rsidR="000A1AAE" w:rsidRPr="00A841AA">
        <w:t>professionals,</w:t>
      </w:r>
      <w:r w:rsidR="00D52FD0">
        <w:t xml:space="preserve"> </w:t>
      </w:r>
      <w:r w:rsidR="000A1AAE" w:rsidRPr="00A841AA">
        <w:t>as</w:t>
      </w:r>
      <w:r w:rsidR="00D52FD0">
        <w:t xml:space="preserve"> </w:t>
      </w:r>
      <w:r w:rsidR="000A1AAE" w:rsidRPr="00A841AA">
        <w:t>well</w:t>
      </w:r>
      <w:r w:rsidR="00D52FD0">
        <w:t xml:space="preserve"> </w:t>
      </w:r>
      <w:r w:rsidR="000A1AAE" w:rsidRPr="00A841AA">
        <w:t>as</w:t>
      </w:r>
      <w:r w:rsidR="00D52FD0">
        <w:t xml:space="preserve"> </w:t>
      </w:r>
      <w:r w:rsidR="000A1AAE" w:rsidRPr="00A841AA">
        <w:t>members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Malta</w:t>
      </w:r>
      <w:r w:rsidR="00D52FD0">
        <w:t xml:space="preserve"> </w:t>
      </w:r>
      <w:r w:rsidR="000A1AAE" w:rsidRPr="00A841AA">
        <w:t>Police</w:t>
      </w:r>
      <w:r w:rsidR="00D52FD0">
        <w:t xml:space="preserve"> </w:t>
      </w:r>
      <w:r w:rsidR="000A1AAE" w:rsidRPr="00A841AA">
        <w:t>Force</w:t>
      </w:r>
      <w:r w:rsidR="00D52FD0">
        <w:t xml:space="preserve"> </w:t>
      </w:r>
      <w:r w:rsidR="000A1AAE" w:rsidRPr="00A841AA">
        <w:t>Victim</w:t>
      </w:r>
      <w:r w:rsidR="00D52FD0">
        <w:t xml:space="preserve"> </w:t>
      </w:r>
      <w:r w:rsidR="000A1AAE" w:rsidRPr="00A841AA">
        <w:t>Support</w:t>
      </w:r>
      <w:r w:rsidR="00D52FD0">
        <w:t xml:space="preserve"> </w:t>
      </w:r>
      <w:r w:rsidR="000A1AAE" w:rsidRPr="00A841AA">
        <w:t>Unit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Probation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Parole</w:t>
      </w:r>
      <w:r w:rsidR="00D52FD0">
        <w:t xml:space="preserve"> </w:t>
      </w:r>
      <w:r w:rsidR="000A1AAE" w:rsidRPr="00A841AA">
        <w:t>Department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provide</w:t>
      </w:r>
      <w:r w:rsidR="00D52FD0">
        <w:t xml:space="preserve"> </w:t>
      </w:r>
      <w:r w:rsidR="000A1AAE" w:rsidRPr="00A841AA">
        <w:t>holistic</w:t>
      </w:r>
      <w:r w:rsidR="00D52FD0">
        <w:t xml:space="preserve"> </w:t>
      </w:r>
      <w:r w:rsidR="000A1AAE" w:rsidRPr="00A841AA">
        <w:t>services</w:t>
      </w:r>
      <w:r w:rsidR="00D52FD0">
        <w:t xml:space="preserve"> </w:t>
      </w:r>
      <w:r w:rsidR="000A1AAE" w:rsidRPr="00A841AA">
        <w:t>under</w:t>
      </w:r>
      <w:r w:rsidR="00D52FD0">
        <w:t xml:space="preserve"> </w:t>
      </w:r>
      <w:r w:rsidR="000A1AAE" w:rsidRPr="00A841AA">
        <w:t>one</w:t>
      </w:r>
      <w:r w:rsidR="00D52FD0">
        <w:t xml:space="preserve"> </w:t>
      </w:r>
      <w:r w:rsidR="000A1AAE" w:rsidRPr="00A841AA">
        <w:t>roof.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former</w:t>
      </w:r>
      <w:r w:rsidR="00D52FD0">
        <w:t xml:space="preserve"> </w:t>
      </w:r>
      <w:r w:rsidR="000A1AAE" w:rsidRPr="00A841AA">
        <w:t>Hate</w:t>
      </w:r>
      <w:r w:rsidR="00D52FD0">
        <w:t xml:space="preserve"> </w:t>
      </w:r>
      <w:r w:rsidR="000A1AAE" w:rsidRPr="00A841AA">
        <w:t>Crime</w:t>
      </w:r>
      <w:r w:rsidR="00D52FD0">
        <w:t xml:space="preserve"> </w:t>
      </w:r>
      <w:r w:rsidR="000A1AAE" w:rsidRPr="00A841AA">
        <w:t>Unit</w:t>
      </w:r>
      <w:r w:rsidR="00D52FD0">
        <w:t xml:space="preserve"> </w:t>
      </w:r>
      <w:r w:rsidR="000A1AAE" w:rsidRPr="00A841AA">
        <w:t>would</w:t>
      </w:r>
      <w:r w:rsidR="00D52FD0">
        <w:t xml:space="preserve"> </w:t>
      </w:r>
      <w:r w:rsidR="000A1AAE" w:rsidRPr="00A841AA">
        <w:t>be</w:t>
      </w:r>
      <w:r w:rsidR="00D52FD0">
        <w:t xml:space="preserve"> </w:t>
      </w:r>
      <w:r w:rsidR="000A1AAE" w:rsidRPr="00A841AA">
        <w:t>absorbed</w:t>
      </w:r>
      <w:r w:rsidR="00D52FD0">
        <w:t xml:space="preserve"> </w:t>
      </w:r>
      <w:r w:rsidR="000A1AAE" w:rsidRPr="00A841AA">
        <w:t>into</w:t>
      </w:r>
      <w:r w:rsidR="00D52FD0">
        <w:t xml:space="preserve"> </w:t>
      </w:r>
      <w:r w:rsidR="000A1AAE" w:rsidRPr="00A841AA">
        <w:t>this</w:t>
      </w:r>
      <w:r w:rsidR="00D52FD0">
        <w:t xml:space="preserve"> </w:t>
      </w:r>
      <w:r w:rsidR="000A1AAE" w:rsidRPr="00A841AA">
        <w:t>Agency.</w:t>
      </w:r>
      <w:r w:rsidR="00D52FD0">
        <w:t xml:space="preserve"> </w:t>
      </w:r>
      <w:r w:rsidR="000A1AAE" w:rsidRPr="00A841AA">
        <w:t>A</w:t>
      </w:r>
      <w:r w:rsidR="00D52FD0">
        <w:t xml:space="preserve"> </w:t>
      </w:r>
      <w:r w:rsidR="000A1AAE" w:rsidRPr="00A841AA">
        <w:t>range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support</w:t>
      </w:r>
      <w:r w:rsidR="00D52FD0">
        <w:t xml:space="preserve"> </w:t>
      </w:r>
      <w:r w:rsidR="000A1AAE" w:rsidRPr="00A841AA">
        <w:t>services,</w:t>
      </w:r>
      <w:r w:rsidR="00D52FD0">
        <w:t xml:space="preserve"> </w:t>
      </w:r>
      <w:r w:rsidR="000A1AAE" w:rsidRPr="00A841AA">
        <w:t>namely</w:t>
      </w:r>
      <w:r w:rsidR="00D52FD0">
        <w:t xml:space="preserve"> </w:t>
      </w:r>
      <w:r w:rsidR="000A1AAE" w:rsidRPr="00A841AA">
        <w:t>psychological</w:t>
      </w:r>
      <w:r w:rsidR="00D52FD0">
        <w:t xml:space="preserve"> </w:t>
      </w:r>
      <w:r w:rsidR="000A1AAE" w:rsidRPr="00A841AA">
        <w:t>support,</w:t>
      </w:r>
      <w:r w:rsidR="00D52FD0">
        <w:t xml:space="preserve"> </w:t>
      </w:r>
      <w:r w:rsidR="000A1AAE" w:rsidRPr="00A841AA">
        <w:t>legal</w:t>
      </w:r>
      <w:r w:rsidR="00D52FD0">
        <w:t xml:space="preserve"> </w:t>
      </w:r>
      <w:r w:rsidR="000A1AAE" w:rsidRPr="00A841AA">
        <w:t>assistance,</w:t>
      </w:r>
      <w:r w:rsidR="00D52FD0">
        <w:t xml:space="preserve"> </w:t>
      </w:r>
      <w:r w:rsidR="000A1AAE" w:rsidRPr="00A841AA">
        <w:t>a</w:t>
      </w:r>
      <w:r w:rsidR="00D52FD0">
        <w:t xml:space="preserve"> </w:t>
      </w:r>
      <w:r w:rsidR="000A1AAE" w:rsidRPr="00A841AA">
        <w:t>dedicated</w:t>
      </w:r>
      <w:r w:rsidR="00D52FD0">
        <w:t xml:space="preserve"> </w:t>
      </w:r>
      <w:r w:rsidR="000A1AAE" w:rsidRPr="00A841AA">
        <w:t>phone</w:t>
      </w:r>
      <w:r w:rsidR="00D52FD0">
        <w:t xml:space="preserve"> </w:t>
      </w:r>
      <w:r w:rsidR="000A1AAE" w:rsidRPr="00A841AA">
        <w:t>line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assistance</w:t>
      </w:r>
      <w:r w:rsidR="00D52FD0">
        <w:t xml:space="preserve"> </w:t>
      </w:r>
      <w:r w:rsidR="000A1AAE" w:rsidRPr="00A841AA">
        <w:t>through</w:t>
      </w:r>
      <w:r w:rsidR="00D52FD0">
        <w:t xml:space="preserve"> </w:t>
      </w:r>
      <w:r w:rsidR="000A1AAE" w:rsidRPr="00A841AA">
        <w:t>online</w:t>
      </w:r>
      <w:r w:rsidR="00D52FD0">
        <w:t xml:space="preserve"> </w:t>
      </w:r>
      <w:r w:rsidR="000A1AAE" w:rsidRPr="00A841AA">
        <w:t>chat</w:t>
      </w:r>
      <w:r w:rsidR="00D52FD0">
        <w:t xml:space="preserve"> </w:t>
      </w:r>
      <w:r w:rsidR="000A1AAE" w:rsidRPr="00A841AA">
        <w:t>are</w:t>
      </w:r>
      <w:r w:rsidR="00D52FD0">
        <w:t xml:space="preserve"> </w:t>
      </w:r>
      <w:r w:rsidR="000A1AAE" w:rsidRPr="00A841AA">
        <w:t>offered</w:t>
      </w:r>
      <w:r w:rsidR="00D52FD0">
        <w:t xml:space="preserve"> </w:t>
      </w:r>
      <w:r w:rsidR="000A1AAE" w:rsidRPr="00A841AA">
        <w:t>free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charge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victims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hate</w:t>
      </w:r>
      <w:r w:rsidR="00D52FD0">
        <w:t xml:space="preserve"> </w:t>
      </w:r>
      <w:r w:rsidR="000A1AAE" w:rsidRPr="00A841AA">
        <w:t>crime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speech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their</w:t>
      </w:r>
      <w:r w:rsidR="00D52FD0">
        <w:t xml:space="preserve"> </w:t>
      </w:r>
      <w:r w:rsidR="000A1AAE" w:rsidRPr="00A841AA">
        <w:t>families.</w:t>
      </w:r>
    </w:p>
    <w:p w14:paraId="0B62881D" w14:textId="72890CDE" w:rsidR="000A1AAE" w:rsidRPr="00A841AA" w:rsidRDefault="0044637E" w:rsidP="0044637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841AA">
        <w:t>9.</w:t>
      </w:r>
      <w:r w:rsidRPr="00A841AA">
        <w:tab/>
      </w:r>
      <w:r w:rsidR="000A1AAE" w:rsidRPr="00A841AA">
        <w:t>Moreover,</w:t>
      </w:r>
      <w:r w:rsidR="00D52FD0">
        <w:t xml:space="preserve"> </w:t>
      </w:r>
      <w:r w:rsidR="000A1AAE" w:rsidRPr="00A841AA">
        <w:t>through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Rights,</w:t>
      </w:r>
      <w:r w:rsidR="00D52FD0">
        <w:t xml:space="preserve"> </w:t>
      </w:r>
      <w:r w:rsidR="000A1AAE" w:rsidRPr="00A841AA">
        <w:t>Equality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Citizenship-funded</w:t>
      </w:r>
      <w:r w:rsidR="00D52FD0">
        <w:t xml:space="preserve"> </w:t>
      </w:r>
      <w:r w:rsidR="000A1AAE" w:rsidRPr="00A841AA">
        <w:t>two-year</w:t>
      </w:r>
      <w:r w:rsidR="00D52FD0">
        <w:t xml:space="preserve"> </w:t>
      </w:r>
      <w:r w:rsidR="000A1AAE" w:rsidRPr="00A841AA">
        <w:t>project</w:t>
      </w:r>
      <w:r w:rsidR="00D52FD0">
        <w:t xml:space="preserve"> </w:t>
      </w:r>
      <w:r w:rsidR="000A1AAE" w:rsidRPr="00A841AA">
        <w:t>entitled</w:t>
      </w:r>
      <w:r w:rsidR="00D52FD0">
        <w:t xml:space="preserve"> </w:t>
      </w:r>
      <w:r w:rsidR="000A1AAE" w:rsidRPr="00A841AA">
        <w:t>Equality</w:t>
      </w:r>
      <w:r w:rsidR="00D52FD0">
        <w:t xml:space="preserve"> </w:t>
      </w:r>
      <w:r w:rsidR="000A1AAE" w:rsidRPr="00A841AA">
        <w:t>for</w:t>
      </w:r>
      <w:r w:rsidR="00D52FD0">
        <w:t xml:space="preserve"> </w:t>
      </w:r>
      <w:r w:rsidR="000A1AAE" w:rsidRPr="00A841AA">
        <w:t>All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Malta,</w:t>
      </w:r>
      <w:r w:rsidR="00D52FD0">
        <w:t xml:space="preserve"> </w:t>
      </w:r>
      <w:r w:rsidR="000A1AAE" w:rsidRPr="00A841AA">
        <w:t>which</w:t>
      </w:r>
      <w:r w:rsidR="00D52FD0">
        <w:t xml:space="preserve"> </w:t>
      </w:r>
      <w:r w:rsidR="000A1AAE" w:rsidRPr="00A841AA">
        <w:t>is</w:t>
      </w:r>
      <w:r w:rsidR="00D52FD0">
        <w:t xml:space="preserve"> </w:t>
      </w:r>
      <w:r w:rsidR="000A1AAE" w:rsidRPr="00A841AA">
        <w:t>being</w:t>
      </w:r>
      <w:r w:rsidR="00D52FD0">
        <w:t xml:space="preserve"> </w:t>
      </w:r>
      <w:r w:rsidR="000A1AAE" w:rsidRPr="00A841AA">
        <w:t>carried</w:t>
      </w:r>
      <w:r w:rsidR="00D52FD0">
        <w:t xml:space="preserve"> </w:t>
      </w:r>
      <w:r w:rsidR="000A1AAE" w:rsidRPr="00A841AA">
        <w:t>out</w:t>
      </w:r>
      <w:r w:rsidR="00D52FD0">
        <w:t xml:space="preserve"> </w:t>
      </w:r>
      <w:r w:rsidR="000A1AAE" w:rsidRPr="00A841AA">
        <w:t>by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Government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Malta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partnership</w:t>
      </w:r>
      <w:r w:rsidR="00D52FD0">
        <w:t xml:space="preserve"> </w:t>
      </w:r>
      <w:r w:rsidR="000A1AAE" w:rsidRPr="00A841AA">
        <w:t>with</w:t>
      </w:r>
      <w:r w:rsidR="00D52FD0">
        <w:t xml:space="preserve"> </w:t>
      </w:r>
      <w:r w:rsidR="000A1AAE" w:rsidRPr="00A841AA">
        <w:t>Aditus</w:t>
      </w:r>
      <w:r w:rsidR="00D52FD0">
        <w:t xml:space="preserve"> </w:t>
      </w:r>
      <w:r w:rsidR="000A1AAE" w:rsidRPr="00A841AA">
        <w:t>Foundation,</w:t>
      </w:r>
      <w:r w:rsidR="00D52FD0">
        <w:t xml:space="preserve"> </w:t>
      </w:r>
      <w:r w:rsidR="000A1AAE" w:rsidRPr="00A841AA">
        <w:t>European</w:t>
      </w:r>
      <w:r w:rsidR="00D52FD0">
        <w:t xml:space="preserve"> </w:t>
      </w:r>
      <w:r w:rsidR="000A1AAE" w:rsidRPr="00A841AA">
        <w:t>Network</w:t>
      </w:r>
      <w:r w:rsidR="00D52FD0">
        <w:t xml:space="preserve"> </w:t>
      </w:r>
      <w:r w:rsidR="000A1AAE" w:rsidRPr="00A841AA">
        <w:t>against</w:t>
      </w:r>
      <w:r w:rsidR="00D52FD0">
        <w:t xml:space="preserve"> </w:t>
      </w:r>
      <w:r w:rsidR="000A1AAE" w:rsidRPr="00A841AA">
        <w:t>Racism</w:t>
      </w:r>
      <w:r w:rsidR="00D52FD0">
        <w:t xml:space="preserve"> </w:t>
      </w:r>
      <w:r w:rsidR="000A1AAE" w:rsidRPr="00A841AA">
        <w:t>(ENAR)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European</w:t>
      </w:r>
      <w:r w:rsidR="00D52FD0">
        <w:t xml:space="preserve"> </w:t>
      </w:r>
      <w:r w:rsidR="000A1AAE" w:rsidRPr="00A841AA">
        <w:t>Network</w:t>
      </w:r>
      <w:r w:rsidR="00D52FD0">
        <w:t xml:space="preserve"> </w:t>
      </w:r>
      <w:r w:rsidR="000A1AAE" w:rsidRPr="00A841AA">
        <w:t>on</w:t>
      </w:r>
      <w:r w:rsidR="00D52FD0">
        <w:t xml:space="preserve"> </w:t>
      </w:r>
      <w:r w:rsidR="000A1AAE" w:rsidRPr="00A841AA">
        <w:t>Religion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Belief</w:t>
      </w:r>
      <w:r w:rsidR="00D52FD0">
        <w:t xml:space="preserve"> </w:t>
      </w:r>
      <w:r w:rsidR="000A1AAE" w:rsidRPr="00A841AA">
        <w:t>(ENORB),</w:t>
      </w:r>
      <w:r w:rsidR="00D52FD0">
        <w:t xml:space="preserve"> </w:t>
      </w:r>
      <w:r w:rsidR="000A1AAE" w:rsidRPr="00A841AA">
        <w:t>Race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Ethnic</w:t>
      </w:r>
      <w:r w:rsidR="00D52FD0">
        <w:t xml:space="preserve"> </w:t>
      </w:r>
      <w:r w:rsidR="000A1AAE" w:rsidRPr="00A841AA">
        <w:t>Minorities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Religious</w:t>
      </w:r>
      <w:r w:rsidR="00D52FD0">
        <w:t xml:space="preserve"> </w:t>
      </w:r>
      <w:r w:rsidR="000A1AAE" w:rsidRPr="00A841AA">
        <w:t>Minority</w:t>
      </w:r>
      <w:r w:rsidR="00D52FD0">
        <w:t xml:space="preserve"> </w:t>
      </w:r>
      <w:r w:rsidR="000A1AAE" w:rsidRPr="00A841AA">
        <w:t>organisations,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public</w:t>
      </w:r>
      <w:r w:rsidR="00D52FD0">
        <w:t xml:space="preserve"> </w:t>
      </w:r>
      <w:r w:rsidR="000A1AAE" w:rsidRPr="00A841AA">
        <w:t>will</w:t>
      </w:r>
      <w:r w:rsidR="00D52FD0">
        <w:t xml:space="preserve"> </w:t>
      </w:r>
      <w:r w:rsidR="000A1AAE" w:rsidRPr="00A841AA">
        <w:t>be</w:t>
      </w:r>
      <w:r w:rsidR="00D52FD0">
        <w:t xml:space="preserve"> </w:t>
      </w:r>
      <w:r w:rsidR="000A1AAE" w:rsidRPr="00A841AA">
        <w:t>targeted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following</w:t>
      </w:r>
      <w:r w:rsidR="00D52FD0">
        <w:t xml:space="preserve"> </w:t>
      </w:r>
      <w:r w:rsidR="000A1AAE" w:rsidRPr="00A841AA">
        <w:t>ways:</w:t>
      </w:r>
    </w:p>
    <w:p w14:paraId="1588672A" w14:textId="51819048" w:rsidR="000E4FD0" w:rsidRDefault="0044637E" w:rsidP="0044637E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>
        <w:t>•</w:t>
      </w:r>
      <w:r>
        <w:tab/>
      </w:r>
      <w:r w:rsidR="000A1AAE" w:rsidRPr="00A841AA">
        <w:t>Development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delivery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training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members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minorities,</w:t>
      </w:r>
      <w:r w:rsidR="00D52FD0">
        <w:t xml:space="preserve"> </w:t>
      </w:r>
      <w:r w:rsidR="000A1AAE" w:rsidRPr="00A841AA">
        <w:t>that</w:t>
      </w:r>
      <w:r w:rsidR="00D52FD0">
        <w:t xml:space="preserve"> </w:t>
      </w:r>
      <w:r w:rsidR="000A1AAE" w:rsidRPr="00A841AA">
        <w:t>may</w:t>
      </w:r>
      <w:r w:rsidR="00D52FD0">
        <w:t xml:space="preserve"> </w:t>
      </w:r>
      <w:r w:rsidR="000A1AAE" w:rsidRPr="00A841AA">
        <w:t>include</w:t>
      </w:r>
      <w:r w:rsidR="00D52FD0">
        <w:t xml:space="preserve"> </w:t>
      </w:r>
      <w:r w:rsidR="000A1AAE" w:rsidRPr="00A841AA">
        <w:t>victims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discrimination</w:t>
      </w:r>
      <w:r w:rsidR="00D52FD0">
        <w:t xml:space="preserve"> </w:t>
      </w:r>
      <w:r w:rsidR="000A1AAE" w:rsidRPr="00A841AA">
        <w:t>based</w:t>
      </w:r>
      <w:r w:rsidR="00D52FD0">
        <w:t xml:space="preserve"> </w:t>
      </w:r>
      <w:r w:rsidR="000A1AAE" w:rsidRPr="00A841AA">
        <w:t>on</w:t>
      </w:r>
      <w:r w:rsidR="00D52FD0">
        <w:t xml:space="preserve"> </w:t>
      </w:r>
      <w:r w:rsidR="000A1AAE" w:rsidRPr="00A841AA">
        <w:t>religion</w:t>
      </w:r>
      <w:r w:rsidR="00D52FD0">
        <w:t xml:space="preserve"> </w:t>
      </w:r>
      <w:r w:rsidR="000A1AAE" w:rsidRPr="00A841AA">
        <w:t>or</w:t>
      </w:r>
      <w:r w:rsidR="00D52FD0">
        <w:t xml:space="preserve"> </w:t>
      </w:r>
      <w:r w:rsidR="000A1AAE" w:rsidRPr="00A841AA">
        <w:t>belief,</w:t>
      </w:r>
      <w:r w:rsidR="00D52FD0">
        <w:t xml:space="preserve"> </w:t>
      </w:r>
      <w:r w:rsidR="000A1AAE" w:rsidRPr="00A841AA">
        <w:t>race</w:t>
      </w:r>
      <w:r w:rsidR="00D52FD0">
        <w:t xml:space="preserve"> </w:t>
      </w:r>
      <w:r w:rsidR="000A1AAE" w:rsidRPr="00A841AA">
        <w:t>and/or</w:t>
      </w:r>
      <w:r w:rsidR="00D52FD0">
        <w:t xml:space="preserve"> </w:t>
      </w:r>
      <w:r w:rsidR="000A1AAE" w:rsidRPr="00A841AA">
        <w:t>ethnic</w:t>
      </w:r>
      <w:r w:rsidR="00D52FD0">
        <w:t xml:space="preserve"> </w:t>
      </w:r>
      <w:r w:rsidR="000A1AAE" w:rsidRPr="00A841AA">
        <w:t>origin,</w:t>
      </w:r>
      <w:r w:rsidR="00D52FD0">
        <w:t xml:space="preserve"> </w:t>
      </w:r>
      <w:r w:rsidR="000A1AAE" w:rsidRPr="00A841AA">
        <w:t>and/or</w:t>
      </w:r>
      <w:r w:rsidR="00D52FD0">
        <w:t xml:space="preserve"> </w:t>
      </w:r>
      <w:r w:rsidR="000A1AAE" w:rsidRPr="00A841AA">
        <w:lastRenderedPageBreak/>
        <w:t>multiple</w:t>
      </w:r>
      <w:r w:rsidR="00D52FD0">
        <w:t xml:space="preserve"> </w:t>
      </w:r>
      <w:r w:rsidR="000A1AAE" w:rsidRPr="00A841AA">
        <w:t>discrimination,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empower</w:t>
      </w:r>
      <w:r w:rsidR="00D52FD0">
        <w:t xml:space="preserve"> </w:t>
      </w:r>
      <w:r w:rsidR="000A1AAE" w:rsidRPr="00A841AA">
        <w:t>them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enjoy</w:t>
      </w:r>
      <w:r w:rsidR="00D52FD0">
        <w:t xml:space="preserve"> </w:t>
      </w:r>
      <w:r w:rsidR="000A1AAE" w:rsidRPr="00A841AA">
        <w:t>their</w:t>
      </w:r>
      <w:r w:rsidR="00D52FD0">
        <w:t xml:space="preserve"> </w:t>
      </w:r>
      <w:r w:rsidR="000A1AAE" w:rsidRPr="00A841AA">
        <w:t>rights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new</w:t>
      </w:r>
      <w:r w:rsidR="00D52FD0">
        <w:t xml:space="preserve"> </w:t>
      </w:r>
      <w:r w:rsidR="000A1AAE" w:rsidRPr="00A841AA">
        <w:t>remedies</w:t>
      </w:r>
      <w:r w:rsidR="00D52FD0">
        <w:t xml:space="preserve"> </w:t>
      </w:r>
      <w:r w:rsidR="000A1AAE" w:rsidRPr="00A841AA">
        <w:t>laid</w:t>
      </w:r>
      <w:r w:rsidR="00D52FD0">
        <w:t xml:space="preserve"> </w:t>
      </w:r>
      <w:r w:rsidR="000A1AAE" w:rsidRPr="00A841AA">
        <w:t>down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law.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training</w:t>
      </w:r>
      <w:r w:rsidR="00D52FD0">
        <w:t xml:space="preserve"> </w:t>
      </w:r>
      <w:r w:rsidR="000A1AAE" w:rsidRPr="00A841AA">
        <w:t>will</w:t>
      </w:r>
      <w:r w:rsidR="00D52FD0">
        <w:t xml:space="preserve"> </w:t>
      </w:r>
      <w:r w:rsidR="000A1AAE" w:rsidRPr="00A841AA">
        <w:t>be</w:t>
      </w:r>
      <w:r w:rsidR="00D52FD0">
        <w:t xml:space="preserve"> </w:t>
      </w:r>
      <w:r w:rsidR="000A1AAE" w:rsidRPr="00A841AA">
        <w:t>given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120</w:t>
      </w:r>
      <w:r w:rsidR="00D52FD0">
        <w:t xml:space="preserve"> </w:t>
      </w:r>
      <w:r w:rsidR="000A1AAE" w:rsidRPr="00A841AA">
        <w:t>representatives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religious</w:t>
      </w:r>
      <w:r w:rsidR="00D52FD0">
        <w:t xml:space="preserve"> </w:t>
      </w:r>
      <w:r w:rsidR="000A1AAE" w:rsidRPr="00A841AA">
        <w:t>belief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race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ethnic</w:t>
      </w:r>
      <w:r w:rsidR="00D52FD0">
        <w:t xml:space="preserve"> </w:t>
      </w:r>
      <w:r w:rsidR="000A1AAE" w:rsidRPr="00A841AA">
        <w:t>minorities,</w:t>
      </w:r>
      <w:r w:rsidR="00D52FD0">
        <w:t xml:space="preserve"> </w:t>
      </w:r>
      <w:r w:rsidR="000A1AAE" w:rsidRPr="00A841AA">
        <w:t>who</w:t>
      </w:r>
      <w:r w:rsidR="00D52FD0">
        <w:t xml:space="preserve"> </w:t>
      </w:r>
      <w:r w:rsidR="000A1AAE" w:rsidRPr="00A841AA">
        <w:t>will</w:t>
      </w:r>
      <w:r w:rsidR="00D52FD0">
        <w:t xml:space="preserve"> </w:t>
      </w:r>
      <w:r w:rsidR="000A1AAE" w:rsidRPr="00A841AA">
        <w:t>subsequently</w:t>
      </w:r>
      <w:r w:rsidR="00D52FD0">
        <w:t xml:space="preserve"> </w:t>
      </w:r>
      <w:r w:rsidR="000A1AAE" w:rsidRPr="00A841AA">
        <w:t>train</w:t>
      </w:r>
      <w:r w:rsidR="00D52FD0">
        <w:t xml:space="preserve"> </w:t>
      </w:r>
      <w:r w:rsidR="000A1AAE" w:rsidRPr="00A841AA">
        <w:t>around</w:t>
      </w:r>
      <w:r w:rsidR="00D52FD0">
        <w:t xml:space="preserve"> </w:t>
      </w:r>
      <w:r w:rsidR="000A1AAE" w:rsidRPr="00A841AA">
        <w:t>20</w:t>
      </w:r>
      <w:r w:rsidR="00D52FD0">
        <w:t xml:space="preserve"> </w:t>
      </w:r>
      <w:r w:rsidR="000A1AAE" w:rsidRPr="00A841AA">
        <w:t>members</w:t>
      </w:r>
      <w:r w:rsidR="00D52FD0">
        <w:t xml:space="preserve"> </w:t>
      </w:r>
      <w:r w:rsidR="000A1AAE" w:rsidRPr="00A841AA">
        <w:t>each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their</w:t>
      </w:r>
      <w:r w:rsidR="00D52FD0">
        <w:t xml:space="preserve"> </w:t>
      </w:r>
      <w:r w:rsidR="000A1AAE" w:rsidRPr="00A841AA">
        <w:t>own</w:t>
      </w:r>
      <w:r w:rsidR="00D52FD0">
        <w:t xml:space="preserve"> </w:t>
      </w:r>
      <w:r w:rsidR="000A1AAE" w:rsidRPr="00A841AA">
        <w:t>organisations,</w:t>
      </w:r>
      <w:r w:rsidR="00D52FD0">
        <w:t xml:space="preserve"> </w:t>
      </w:r>
      <w:r w:rsidR="000A1AAE" w:rsidRPr="00A841AA">
        <w:t>a</w:t>
      </w:r>
      <w:r w:rsidR="00D52FD0">
        <w:t xml:space="preserve"> </w:t>
      </w:r>
      <w:r w:rsidR="000A1AAE" w:rsidRPr="00A841AA">
        <w:t>total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around</w:t>
      </w:r>
      <w:r w:rsidR="00D52FD0">
        <w:t xml:space="preserve"> </w:t>
      </w:r>
      <w:r w:rsidR="000A1AAE" w:rsidRPr="00A841AA">
        <w:t>2400</w:t>
      </w:r>
      <w:r w:rsidR="00D52FD0">
        <w:t xml:space="preserve"> </w:t>
      </w:r>
      <w:r w:rsidR="000A1AAE" w:rsidRPr="00A841AA">
        <w:t>persons.</w:t>
      </w:r>
    </w:p>
    <w:p w14:paraId="1DBD34EC" w14:textId="6EC332D2" w:rsidR="000A1AAE" w:rsidRPr="00A841AA" w:rsidRDefault="0044637E" w:rsidP="0044637E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A841AA">
        <w:t>•</w:t>
      </w:r>
      <w:r w:rsidRPr="00A841AA">
        <w:tab/>
      </w:r>
      <w:r w:rsidR="000A1AAE" w:rsidRPr="00A841AA">
        <w:t>Raising</w:t>
      </w:r>
      <w:r w:rsidR="00D52FD0">
        <w:t xml:space="preserve"> </w:t>
      </w:r>
      <w:r w:rsidR="000A1AAE" w:rsidRPr="00A841AA">
        <w:t>awareness</w:t>
      </w:r>
      <w:r w:rsidR="00D52FD0">
        <w:t xml:space="preserve"> </w:t>
      </w:r>
      <w:r w:rsidR="000A1AAE" w:rsidRPr="00A841AA">
        <w:t>on</w:t>
      </w:r>
      <w:r w:rsidR="00D52FD0">
        <w:t xml:space="preserve"> </w:t>
      </w:r>
      <w:r w:rsidR="000A1AAE" w:rsidRPr="00A841AA">
        <w:t>EU</w:t>
      </w:r>
      <w:r w:rsidR="00D52FD0">
        <w:t xml:space="preserve"> </w:t>
      </w:r>
      <w:r w:rsidR="000A1AAE" w:rsidRPr="00A841AA">
        <w:t>Directives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national</w:t>
      </w:r>
      <w:r w:rsidR="00D52FD0">
        <w:t xml:space="preserve"> </w:t>
      </w:r>
      <w:r w:rsidR="000A1AAE" w:rsidRPr="00A841AA">
        <w:t>legislation</w:t>
      </w:r>
      <w:r w:rsidR="00D52FD0">
        <w:t xml:space="preserve"> </w:t>
      </w:r>
      <w:r w:rsidR="000A1AAE" w:rsidRPr="00A841AA">
        <w:t>related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discrimination</w:t>
      </w:r>
      <w:r w:rsidR="00D52FD0">
        <w:t xml:space="preserve"> </w:t>
      </w:r>
      <w:r w:rsidR="000A1AAE" w:rsidRPr="00A841AA">
        <w:t>based</w:t>
      </w:r>
      <w:r w:rsidR="00D52FD0">
        <w:t xml:space="preserve"> </w:t>
      </w:r>
      <w:r w:rsidR="000A1AAE" w:rsidRPr="00A841AA">
        <w:t>on</w:t>
      </w:r>
      <w:r w:rsidR="00D52FD0">
        <w:t xml:space="preserve"> </w:t>
      </w:r>
      <w:r w:rsidR="000A1AAE" w:rsidRPr="00A841AA">
        <w:t>religion</w:t>
      </w:r>
      <w:r w:rsidR="00D52FD0">
        <w:t xml:space="preserve"> </w:t>
      </w:r>
      <w:r w:rsidR="000A1AAE" w:rsidRPr="00A841AA">
        <w:t>or</w:t>
      </w:r>
      <w:r w:rsidR="00D52FD0">
        <w:t xml:space="preserve"> </w:t>
      </w:r>
      <w:r w:rsidR="000A1AAE" w:rsidRPr="00A841AA">
        <w:t>belief,</w:t>
      </w:r>
      <w:r w:rsidR="00D52FD0">
        <w:t xml:space="preserve"> </w:t>
      </w:r>
      <w:r w:rsidR="000A1AAE" w:rsidRPr="00A841AA">
        <w:t>race</w:t>
      </w:r>
      <w:r w:rsidR="00D52FD0">
        <w:t xml:space="preserve"> </w:t>
      </w:r>
      <w:r w:rsidR="000A1AAE" w:rsidRPr="00A841AA">
        <w:t>and/or</w:t>
      </w:r>
      <w:r w:rsidR="00D52FD0">
        <w:t xml:space="preserve"> </w:t>
      </w:r>
      <w:r w:rsidR="000A1AAE" w:rsidRPr="00A841AA">
        <w:t>ethnic</w:t>
      </w:r>
      <w:r w:rsidR="00D52FD0">
        <w:t xml:space="preserve"> </w:t>
      </w:r>
      <w:r w:rsidR="000A1AAE" w:rsidRPr="00A841AA">
        <w:t>origin,</w:t>
      </w:r>
      <w:r w:rsidR="00D52FD0">
        <w:t xml:space="preserve"> </w:t>
      </w:r>
      <w:r w:rsidR="000A1AAE" w:rsidRPr="00A841AA">
        <w:t>and/or</w:t>
      </w:r>
      <w:r w:rsidR="00D52FD0">
        <w:t xml:space="preserve"> </w:t>
      </w:r>
      <w:r w:rsidR="000A1AAE" w:rsidRPr="00A841AA">
        <w:t>multiple</w:t>
      </w:r>
      <w:r w:rsidR="00D52FD0">
        <w:t xml:space="preserve"> </w:t>
      </w:r>
      <w:r w:rsidR="000A1AAE" w:rsidRPr="00A841AA">
        <w:t>discrimination,</w:t>
      </w:r>
      <w:r w:rsidR="00D52FD0">
        <w:t xml:space="preserve"> </w:t>
      </w:r>
      <w:r w:rsidR="000A1AAE" w:rsidRPr="00A841AA">
        <w:t>on</w:t>
      </w:r>
      <w:r w:rsidR="00D52FD0">
        <w:t xml:space="preserve"> </w:t>
      </w:r>
      <w:r w:rsidR="000A1AAE" w:rsidRPr="00A841AA">
        <w:t>intercultural</w:t>
      </w:r>
      <w:r w:rsidR="00D52FD0">
        <w:t xml:space="preserve"> </w:t>
      </w:r>
      <w:r w:rsidR="000A1AAE" w:rsidRPr="00A841AA">
        <w:t>understanding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equal</w:t>
      </w:r>
      <w:r w:rsidR="00D52FD0">
        <w:t xml:space="preserve"> </w:t>
      </w:r>
      <w:r w:rsidR="000A1AAE" w:rsidRPr="00A841AA">
        <w:t>opportunities,</w:t>
      </w:r>
      <w:r w:rsidR="00D52FD0">
        <w:t xml:space="preserve"> </w:t>
      </w:r>
      <w:r w:rsidR="000A1AAE" w:rsidRPr="00A841AA">
        <w:t>targeting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general</w:t>
      </w:r>
      <w:r w:rsidR="00D52FD0">
        <w:t xml:space="preserve"> </w:t>
      </w:r>
      <w:r w:rsidR="000A1AAE" w:rsidRPr="00A841AA">
        <w:t>public.</w:t>
      </w:r>
    </w:p>
    <w:p w14:paraId="37CD4422" w14:textId="09DC9816" w:rsidR="000E4FD0" w:rsidRDefault="0044637E" w:rsidP="0044637E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>
        <w:t>•</w:t>
      </w:r>
      <w:r>
        <w:tab/>
      </w:r>
      <w:r w:rsidR="000A1AAE" w:rsidRPr="00A841AA">
        <w:t>Development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an</w:t>
      </w:r>
      <w:r w:rsidR="00D52FD0">
        <w:t xml:space="preserve"> </w:t>
      </w:r>
      <w:r w:rsidR="000A1AAE" w:rsidRPr="00A841AA">
        <w:t>outreach</w:t>
      </w:r>
      <w:r w:rsidR="00D52FD0">
        <w:t xml:space="preserve"> </w:t>
      </w:r>
      <w:r w:rsidR="000A1AAE" w:rsidRPr="00A841AA">
        <w:t>model</w:t>
      </w:r>
      <w:r w:rsidR="00D52FD0">
        <w:t xml:space="preserve"> </w:t>
      </w:r>
      <w:r w:rsidR="000A1AAE" w:rsidRPr="00A841AA">
        <w:t>targeting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grassroots,</w:t>
      </w:r>
      <w:r w:rsidR="00D52FD0">
        <w:t xml:space="preserve"> </w:t>
      </w:r>
      <w:r w:rsidR="000A1AAE" w:rsidRPr="00A841AA">
        <w:t>through</w:t>
      </w:r>
      <w:r w:rsidR="00D52FD0">
        <w:t xml:space="preserve"> </w:t>
      </w:r>
      <w:r w:rsidR="000A1AAE" w:rsidRPr="00A841AA">
        <w:t>local</w:t>
      </w:r>
      <w:r w:rsidR="00D52FD0">
        <w:t xml:space="preserve"> </w:t>
      </w:r>
      <w:r w:rsidR="000A1AAE" w:rsidRPr="00A841AA">
        <w:t>councils,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bring</w:t>
      </w:r>
      <w:r w:rsidR="00D52FD0">
        <w:t xml:space="preserve"> </w:t>
      </w:r>
      <w:r w:rsidR="000A1AAE" w:rsidRPr="00A841AA">
        <w:t>them</w:t>
      </w:r>
      <w:r w:rsidR="00D52FD0">
        <w:t xml:space="preserve"> </w:t>
      </w:r>
      <w:r w:rsidR="000A1AAE" w:rsidRPr="00A841AA">
        <w:t>on</w:t>
      </w:r>
      <w:r w:rsidR="00D52FD0">
        <w:t xml:space="preserve"> </w:t>
      </w:r>
      <w:r w:rsidR="000A1AAE" w:rsidRPr="00A841AA">
        <w:t>board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fight</w:t>
      </w:r>
      <w:r w:rsidR="00D52FD0">
        <w:t xml:space="preserve"> </w:t>
      </w:r>
      <w:r w:rsidR="000A1AAE" w:rsidRPr="00A841AA">
        <w:t>against</w:t>
      </w:r>
      <w:r w:rsidR="00D52FD0">
        <w:t xml:space="preserve"> </w:t>
      </w:r>
      <w:r w:rsidR="000A1AAE" w:rsidRPr="00A841AA">
        <w:t>discrimination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develop</w:t>
      </w:r>
      <w:r w:rsidR="00D52FD0">
        <w:t xml:space="preserve"> </w:t>
      </w:r>
      <w:r w:rsidR="000A1AAE" w:rsidRPr="00A841AA">
        <w:t>further</w:t>
      </w:r>
      <w:r w:rsidR="00D52FD0">
        <w:t xml:space="preserve"> </w:t>
      </w:r>
      <w:r w:rsidR="000A1AAE" w:rsidRPr="00A841AA">
        <w:t>non-discrimination</w:t>
      </w:r>
      <w:r w:rsidR="00D52FD0">
        <w:t xml:space="preserve"> </w:t>
      </w:r>
      <w:r w:rsidR="000A1AAE" w:rsidRPr="00A841AA">
        <w:t>tools</w:t>
      </w:r>
      <w:r w:rsidR="00D52FD0">
        <w:t xml:space="preserve"> </w:t>
      </w:r>
      <w:r w:rsidR="000A1AAE" w:rsidRPr="00A841AA">
        <w:t>for</w:t>
      </w:r>
      <w:r w:rsidR="00D52FD0">
        <w:t xml:space="preserve"> </w:t>
      </w:r>
      <w:r w:rsidR="000A1AAE" w:rsidRPr="00A841AA">
        <w:t>action</w:t>
      </w:r>
      <w:r w:rsidR="00D52FD0">
        <w:t xml:space="preserve"> </w:t>
      </w:r>
      <w:r w:rsidR="000A1AAE" w:rsidRPr="00A841AA">
        <w:t>at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local</w:t>
      </w:r>
      <w:r w:rsidR="00D52FD0">
        <w:t xml:space="preserve"> </w:t>
      </w:r>
      <w:r w:rsidR="000A1AAE" w:rsidRPr="00A841AA">
        <w:t>level</w:t>
      </w:r>
      <w:r w:rsidR="00D52FD0">
        <w:t xml:space="preserve"> </w:t>
      </w:r>
      <w:r w:rsidR="000A1AAE" w:rsidRPr="00A841AA">
        <w:t>already</w:t>
      </w:r>
      <w:r w:rsidR="00D52FD0">
        <w:t xml:space="preserve"> </w:t>
      </w:r>
      <w:r w:rsidR="000A1AAE" w:rsidRPr="00A841AA">
        <w:t>utilised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a</w:t>
      </w:r>
      <w:r w:rsidR="00D52FD0">
        <w:t xml:space="preserve"> </w:t>
      </w:r>
      <w:r w:rsidR="000A1AAE" w:rsidRPr="00A841AA">
        <w:t>migrant</w:t>
      </w:r>
      <w:r w:rsidR="00D52FD0">
        <w:t xml:space="preserve"> </w:t>
      </w:r>
      <w:r w:rsidR="000A1AAE" w:rsidRPr="00A841AA">
        <w:t>integration</w:t>
      </w:r>
      <w:r w:rsidR="00D52FD0">
        <w:t xml:space="preserve"> </w:t>
      </w:r>
      <w:r w:rsidR="000A1AAE" w:rsidRPr="00A841AA">
        <w:t>setting,</w:t>
      </w:r>
      <w:r w:rsidR="00D52FD0">
        <w:t xml:space="preserve"> </w:t>
      </w:r>
      <w:r w:rsidR="000A1AAE" w:rsidRPr="00A841AA">
        <w:t>who</w:t>
      </w:r>
      <w:r w:rsidR="00D52FD0">
        <w:t xml:space="preserve"> </w:t>
      </w:r>
      <w:r w:rsidR="000A1AAE" w:rsidRPr="00A841AA">
        <w:t>can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turn</w:t>
      </w:r>
      <w:r w:rsidR="00D52FD0">
        <w:t xml:space="preserve"> </w:t>
      </w:r>
      <w:r w:rsidR="000A1AAE" w:rsidRPr="00A841AA">
        <w:t>reach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general</w:t>
      </w:r>
      <w:r w:rsidR="00D52FD0">
        <w:t xml:space="preserve"> </w:t>
      </w:r>
      <w:r w:rsidR="000A1AAE" w:rsidRPr="00A841AA">
        <w:t>resident</w:t>
      </w:r>
      <w:r w:rsidR="00D52FD0">
        <w:t xml:space="preserve"> </w:t>
      </w:r>
      <w:r w:rsidR="000A1AAE" w:rsidRPr="00A841AA">
        <w:t>population.</w:t>
      </w:r>
    </w:p>
    <w:p w14:paraId="73816499" w14:textId="273DD336" w:rsidR="000A1AAE" w:rsidRPr="00A841AA" w:rsidRDefault="0044637E" w:rsidP="0044637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841AA">
        <w:t>10.</w:t>
      </w:r>
      <w:r w:rsidRPr="00A841AA">
        <w:tab/>
      </w:r>
      <w:r w:rsidR="000A1AAE" w:rsidRPr="00A841AA">
        <w:t>Two</w:t>
      </w:r>
      <w:r w:rsidR="00D52FD0">
        <w:t xml:space="preserve"> </w:t>
      </w:r>
      <w:r w:rsidR="000A1AAE" w:rsidRPr="00A841AA">
        <w:t>individuals</w:t>
      </w:r>
      <w:r w:rsidR="00D52FD0">
        <w:t xml:space="preserve"> </w:t>
      </w:r>
      <w:r w:rsidR="000A1AAE" w:rsidRPr="00A841AA">
        <w:t>were</w:t>
      </w:r>
      <w:r w:rsidR="00D52FD0">
        <w:t xml:space="preserve"> </w:t>
      </w:r>
      <w:r w:rsidR="000A1AAE" w:rsidRPr="00A841AA">
        <w:t>arraigned</w:t>
      </w:r>
      <w:r w:rsidR="00D52FD0">
        <w:t xml:space="preserve"> </w:t>
      </w:r>
      <w:r w:rsidR="000A1AAE" w:rsidRPr="00A841AA">
        <w:t>on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19th</w:t>
      </w:r>
      <w:r w:rsidR="00D52FD0">
        <w:t xml:space="preserve"> </w:t>
      </w:r>
      <w:r w:rsidR="000A1AAE" w:rsidRPr="00A841AA">
        <w:t>May</w:t>
      </w:r>
      <w:r w:rsidR="00D52FD0">
        <w:t xml:space="preserve"> </w:t>
      </w:r>
      <w:r w:rsidR="000A1AAE" w:rsidRPr="00A841AA">
        <w:t>2019</w:t>
      </w:r>
      <w:r w:rsidR="00D52FD0">
        <w:t xml:space="preserve"> </w:t>
      </w:r>
      <w:r w:rsidR="000A1AAE" w:rsidRPr="00A841AA">
        <w:t>accused</w:t>
      </w:r>
      <w:r w:rsidR="00D52FD0">
        <w:t xml:space="preserve"> </w:t>
      </w:r>
      <w:r w:rsidR="000A1AAE" w:rsidRPr="00A841AA">
        <w:t>with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murder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Lassana</w:t>
      </w:r>
      <w:r w:rsidR="00D52FD0">
        <w:t xml:space="preserve"> </w:t>
      </w:r>
      <w:r w:rsidR="000A1AAE" w:rsidRPr="00A841AA">
        <w:t>Cisse.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Court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Magistrates</w:t>
      </w:r>
      <w:r w:rsidR="00D52FD0">
        <w:t xml:space="preserve"> </w:t>
      </w:r>
      <w:r w:rsidR="000A1AAE" w:rsidRPr="00A841AA">
        <w:t>(Malta)</w:t>
      </w:r>
      <w:r w:rsidR="00D52FD0">
        <w:t xml:space="preserve"> </w:t>
      </w:r>
      <w:r w:rsidR="000A1AAE" w:rsidRPr="00A841AA">
        <w:t>as</w:t>
      </w:r>
      <w:r w:rsidR="00D52FD0">
        <w:t xml:space="preserve"> </w:t>
      </w:r>
      <w:r w:rsidR="000A1AAE" w:rsidRPr="00A841AA">
        <w:t>a</w:t>
      </w:r>
      <w:r w:rsidR="00D52FD0">
        <w:t xml:space="preserve"> </w:t>
      </w:r>
      <w:r w:rsidR="000A1AAE" w:rsidRPr="00A841AA">
        <w:t>Court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Criminal</w:t>
      </w:r>
      <w:r w:rsidR="00D52FD0">
        <w:t xml:space="preserve"> </w:t>
      </w:r>
      <w:r w:rsidR="000A1AAE" w:rsidRPr="00A841AA">
        <w:t>Inquiry</w:t>
      </w:r>
      <w:r w:rsidR="00D52FD0">
        <w:t xml:space="preserve"> </w:t>
      </w:r>
      <w:r w:rsidR="000A1AAE" w:rsidRPr="00A841AA">
        <w:t>found</w:t>
      </w:r>
      <w:r w:rsidR="00D52FD0">
        <w:t xml:space="preserve"> </w:t>
      </w:r>
      <w:r w:rsidR="000A1AAE" w:rsidRPr="00A841AA">
        <w:t>there</w:t>
      </w:r>
      <w:r w:rsidR="00D52FD0">
        <w:t xml:space="preserve"> </w:t>
      </w:r>
      <w:r w:rsidR="000A1AAE" w:rsidRPr="00A841AA">
        <w:t>were</w:t>
      </w:r>
      <w:r w:rsidR="00D52FD0">
        <w:t xml:space="preserve"> </w:t>
      </w:r>
      <w:r w:rsidR="000A1AAE" w:rsidRPr="00A841AA">
        <w:t>enough</w:t>
      </w:r>
      <w:r w:rsidR="00D52FD0">
        <w:t xml:space="preserve"> </w:t>
      </w:r>
      <w:r w:rsidR="000A1AAE" w:rsidRPr="00A841AA">
        <w:t>grounds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commit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accused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trial.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compilation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evidence</w:t>
      </w:r>
      <w:r w:rsidR="00D52FD0">
        <w:t xml:space="preserve"> </w:t>
      </w:r>
      <w:r w:rsidR="000A1AAE" w:rsidRPr="00A841AA">
        <w:t>is</w:t>
      </w:r>
      <w:r w:rsidR="00D52FD0">
        <w:t xml:space="preserve"> </w:t>
      </w:r>
      <w:r w:rsidR="000A1AAE" w:rsidRPr="00A841AA">
        <w:t>ongoing.</w:t>
      </w:r>
    </w:p>
    <w:p w14:paraId="45FD259C" w14:textId="72626691" w:rsidR="000A1AAE" w:rsidRPr="00A841AA" w:rsidRDefault="000A1AAE" w:rsidP="00D52FD0">
      <w:pPr>
        <w:pStyle w:val="H23G"/>
        <w:rPr>
          <w:lang w:eastAsia="en-GB"/>
        </w:rPr>
      </w:pPr>
      <w:r>
        <w:rPr>
          <w:lang w:eastAsia="en-GB"/>
        </w:rPr>
        <w:tab/>
      </w:r>
      <w:r>
        <w:rPr>
          <w:lang w:eastAsia="en-GB"/>
        </w:rPr>
        <w:tab/>
      </w:r>
      <w:r w:rsidRPr="00A841AA">
        <w:rPr>
          <w:lang w:eastAsia="en-GB"/>
        </w:rPr>
        <w:t>Discrimination</w:t>
      </w:r>
      <w:r w:rsidR="00D52FD0">
        <w:rPr>
          <w:lang w:eastAsia="en-GB"/>
        </w:rPr>
        <w:t xml:space="preserve"> </w:t>
      </w:r>
      <w:r w:rsidRPr="00A841AA">
        <w:rPr>
          <w:lang w:eastAsia="en-GB"/>
        </w:rPr>
        <w:t>against</w:t>
      </w:r>
      <w:r w:rsidR="00D52FD0">
        <w:rPr>
          <w:lang w:eastAsia="en-GB"/>
        </w:rPr>
        <w:t xml:space="preserve"> </w:t>
      </w:r>
      <w:r w:rsidRPr="00A841AA">
        <w:rPr>
          <w:lang w:eastAsia="en-GB"/>
        </w:rPr>
        <w:t>lesbian,</w:t>
      </w:r>
      <w:r w:rsidR="00D52FD0">
        <w:rPr>
          <w:lang w:eastAsia="en-GB"/>
        </w:rPr>
        <w:t xml:space="preserve"> </w:t>
      </w:r>
      <w:r w:rsidRPr="00A841AA">
        <w:rPr>
          <w:lang w:eastAsia="en-GB"/>
        </w:rPr>
        <w:t>gay,</w:t>
      </w:r>
      <w:r w:rsidR="00D52FD0">
        <w:rPr>
          <w:lang w:eastAsia="en-GB"/>
        </w:rPr>
        <w:t xml:space="preserve"> </w:t>
      </w:r>
      <w:r w:rsidRPr="00A841AA">
        <w:rPr>
          <w:lang w:eastAsia="en-GB"/>
        </w:rPr>
        <w:t>bisexual</w:t>
      </w:r>
      <w:r w:rsidR="00D52FD0">
        <w:rPr>
          <w:lang w:eastAsia="en-GB"/>
        </w:rPr>
        <w:t xml:space="preserve"> </w:t>
      </w:r>
      <w:r w:rsidRPr="00A841AA">
        <w:rPr>
          <w:lang w:eastAsia="en-GB"/>
        </w:rPr>
        <w:t>and</w:t>
      </w:r>
      <w:r w:rsidR="00D52FD0">
        <w:rPr>
          <w:lang w:eastAsia="en-GB"/>
        </w:rPr>
        <w:t xml:space="preserve"> </w:t>
      </w:r>
      <w:r w:rsidRPr="00A841AA">
        <w:rPr>
          <w:lang w:eastAsia="en-GB"/>
        </w:rPr>
        <w:t>transgender</w:t>
      </w:r>
      <w:r w:rsidR="00D52FD0">
        <w:rPr>
          <w:lang w:eastAsia="en-GB"/>
        </w:rPr>
        <w:t xml:space="preserve"> </w:t>
      </w:r>
      <w:r w:rsidRPr="00A841AA">
        <w:rPr>
          <w:lang w:eastAsia="en-GB"/>
        </w:rPr>
        <w:t>(LGBT)</w:t>
      </w:r>
      <w:r w:rsidR="00D52FD0">
        <w:rPr>
          <w:lang w:eastAsia="en-GB"/>
        </w:rPr>
        <w:t xml:space="preserve"> </w:t>
      </w:r>
      <w:r w:rsidRPr="00A841AA">
        <w:rPr>
          <w:lang w:eastAsia="en-GB"/>
        </w:rPr>
        <w:t>persons</w:t>
      </w:r>
    </w:p>
    <w:p w14:paraId="31A15A73" w14:textId="34AE8C01" w:rsidR="000E4FD0" w:rsidRDefault="0044637E" w:rsidP="0044637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>
        <w:t>11.</w:t>
      </w:r>
      <w:r>
        <w:tab/>
      </w:r>
      <w:r w:rsidR="000A1AAE" w:rsidRPr="00A841AA">
        <w:t>The</w:t>
      </w:r>
      <w:r w:rsidR="00D52FD0">
        <w:t xml:space="preserve"> </w:t>
      </w:r>
      <w:r w:rsidR="000A1AAE" w:rsidRPr="00A841AA">
        <w:t>Government</w:t>
      </w:r>
      <w:r w:rsidR="00D52FD0">
        <w:t xml:space="preserve"> </w:t>
      </w:r>
      <w:r w:rsidR="000A1AAE" w:rsidRPr="00A841AA">
        <w:t>offered</w:t>
      </w:r>
      <w:r w:rsidR="00D52FD0">
        <w:t xml:space="preserve"> </w:t>
      </w:r>
      <w:r w:rsidR="000A1AAE" w:rsidRPr="00A841AA">
        <w:t>training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all</w:t>
      </w:r>
      <w:r w:rsidR="00D52FD0">
        <w:t xml:space="preserve"> </w:t>
      </w:r>
      <w:r w:rsidR="000A1AAE" w:rsidRPr="00A841AA">
        <w:t>Personal,</w:t>
      </w:r>
      <w:r w:rsidR="00D52FD0">
        <w:t xml:space="preserve"> </w:t>
      </w:r>
      <w:r w:rsidR="000A1AAE" w:rsidRPr="00A841AA">
        <w:t>Social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Career</w:t>
      </w:r>
      <w:r w:rsidR="00D52FD0">
        <w:t xml:space="preserve"> </w:t>
      </w:r>
      <w:r w:rsidR="000A1AAE" w:rsidRPr="00A841AA">
        <w:t>Development</w:t>
      </w:r>
      <w:r w:rsidR="00D52FD0">
        <w:t xml:space="preserve"> </w:t>
      </w:r>
      <w:r w:rsidR="000A1AAE" w:rsidRPr="00A841AA">
        <w:t>(PSCD)</w:t>
      </w:r>
      <w:r w:rsidR="00D52FD0">
        <w:t xml:space="preserve"> </w:t>
      </w:r>
      <w:r w:rsidR="000A1AAE" w:rsidRPr="00A841AA">
        <w:t>teachers</w:t>
      </w:r>
      <w:r w:rsidR="00D52FD0">
        <w:t xml:space="preserve"> </w:t>
      </w:r>
      <w:r w:rsidR="000A1AAE" w:rsidRPr="00A841AA">
        <w:t>working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all</w:t>
      </w:r>
      <w:r w:rsidR="00D52FD0">
        <w:t xml:space="preserve"> </w:t>
      </w:r>
      <w:r w:rsidR="000A1AAE" w:rsidRPr="00A841AA">
        <w:t>state-run</w:t>
      </w:r>
      <w:r w:rsidR="00D52FD0">
        <w:t xml:space="preserve"> </w:t>
      </w:r>
      <w:r w:rsidR="000A1AAE" w:rsidRPr="00A841AA">
        <w:t>primary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middle</w:t>
      </w:r>
      <w:r w:rsidR="00D52FD0">
        <w:t xml:space="preserve"> </w:t>
      </w:r>
      <w:r w:rsidR="000A1AAE" w:rsidRPr="00A841AA">
        <w:t>schools</w:t>
      </w:r>
      <w:r w:rsidR="00D52FD0">
        <w:t xml:space="preserve"> </w:t>
      </w:r>
      <w:r w:rsidR="000A1AAE" w:rsidRPr="00A841AA">
        <w:t>while</w:t>
      </w:r>
      <w:r w:rsidR="00D52FD0">
        <w:t xml:space="preserve"> </w:t>
      </w:r>
      <w:r w:rsidR="000A1AAE" w:rsidRPr="00A841AA">
        <w:t>teachers</w:t>
      </w:r>
      <w:r w:rsidR="00D52FD0">
        <w:t xml:space="preserve"> </w:t>
      </w:r>
      <w:r w:rsidR="000A1AAE" w:rsidRPr="00A841AA">
        <w:t>working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church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independent</w:t>
      </w:r>
      <w:r w:rsidR="00D52FD0">
        <w:t xml:space="preserve"> </w:t>
      </w:r>
      <w:r w:rsidR="000A1AAE" w:rsidRPr="00A841AA">
        <w:t>schools</w:t>
      </w:r>
      <w:r w:rsidR="00D52FD0">
        <w:t xml:space="preserve"> </w:t>
      </w:r>
      <w:r w:rsidR="000A1AAE" w:rsidRPr="00A841AA">
        <w:t>have</w:t>
      </w:r>
      <w:r w:rsidR="00D52FD0">
        <w:t xml:space="preserve"> </w:t>
      </w:r>
      <w:r w:rsidR="000A1AAE" w:rsidRPr="00A841AA">
        <w:t>also</w:t>
      </w:r>
      <w:r w:rsidR="00D52FD0">
        <w:t xml:space="preserve"> </w:t>
      </w:r>
      <w:r w:rsidR="000A1AAE" w:rsidRPr="00A841AA">
        <w:t>participated.</w:t>
      </w:r>
      <w:r w:rsidR="00D52FD0">
        <w:t xml:space="preserve"> </w:t>
      </w:r>
      <w:r w:rsidR="000A1AAE" w:rsidRPr="00A841AA">
        <w:t>Training</w:t>
      </w:r>
      <w:r w:rsidR="00D52FD0">
        <w:t xml:space="preserve"> </w:t>
      </w:r>
      <w:r w:rsidR="000A1AAE" w:rsidRPr="00A841AA">
        <w:t>was</w:t>
      </w:r>
      <w:r w:rsidR="00D52FD0">
        <w:t xml:space="preserve"> </w:t>
      </w:r>
      <w:r w:rsidR="000A1AAE" w:rsidRPr="00A841AA">
        <w:t>also</w:t>
      </w:r>
      <w:r w:rsidR="00D52FD0">
        <w:t xml:space="preserve"> </w:t>
      </w:r>
      <w:r w:rsidR="000A1AAE" w:rsidRPr="00A841AA">
        <w:t>provided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PSCD</w:t>
      </w:r>
      <w:r w:rsidR="00D52FD0">
        <w:t xml:space="preserve"> </w:t>
      </w:r>
      <w:r w:rsidR="000A1AAE" w:rsidRPr="00A841AA">
        <w:t>teacher</w:t>
      </w:r>
      <w:r w:rsidR="00D52FD0">
        <w:t xml:space="preserve"> </w:t>
      </w:r>
      <w:r w:rsidR="000A1AAE" w:rsidRPr="00A841AA">
        <w:t>trainees</w:t>
      </w:r>
      <w:r w:rsidR="00D52FD0">
        <w:t xml:space="preserve"> </w:t>
      </w:r>
      <w:r w:rsidR="000A1AAE" w:rsidRPr="00A841AA">
        <w:t>undertaking</w:t>
      </w:r>
      <w:r w:rsidR="00D52FD0">
        <w:t xml:space="preserve"> </w:t>
      </w:r>
      <w:r w:rsidR="000A1AAE" w:rsidRPr="00A841AA">
        <w:t>studies</w:t>
      </w:r>
      <w:r w:rsidR="00D52FD0">
        <w:t xml:space="preserve"> </w:t>
      </w:r>
      <w:r w:rsidR="000A1AAE" w:rsidRPr="00A841AA">
        <w:t>with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University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Malta.</w:t>
      </w:r>
      <w:r w:rsidR="00D52FD0">
        <w:t xml:space="preserve"> </w:t>
      </w:r>
      <w:r w:rsidR="000A1AAE" w:rsidRPr="00A841AA">
        <w:t>Furthermore,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Government</w:t>
      </w:r>
      <w:r w:rsidR="00D52FD0">
        <w:t xml:space="preserve"> </w:t>
      </w:r>
      <w:r w:rsidR="000A1AAE" w:rsidRPr="00A841AA">
        <w:t>participated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delivery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a</w:t>
      </w:r>
      <w:r w:rsidR="00D52FD0">
        <w:t xml:space="preserve"> </w:t>
      </w:r>
      <w:r w:rsidR="000A1AAE" w:rsidRPr="00A841AA">
        <w:t>two-day</w:t>
      </w:r>
      <w:r w:rsidR="00D52FD0">
        <w:t xml:space="preserve"> </w:t>
      </w:r>
      <w:r w:rsidR="000A1AAE" w:rsidRPr="00A841AA">
        <w:t>training</w:t>
      </w:r>
      <w:r w:rsidR="00D52FD0">
        <w:t xml:space="preserve"> </w:t>
      </w:r>
      <w:r w:rsidR="000A1AAE" w:rsidRPr="00A841AA">
        <w:t>seminar</w:t>
      </w:r>
      <w:r w:rsidR="00D52FD0">
        <w:t xml:space="preserve"> </w:t>
      </w:r>
      <w:r w:rsidR="000A1AAE" w:rsidRPr="00A841AA">
        <w:t>coordinated</w:t>
      </w:r>
      <w:r w:rsidR="00D52FD0">
        <w:t xml:space="preserve"> </w:t>
      </w:r>
      <w:r w:rsidR="000A1AAE" w:rsidRPr="00A841AA">
        <w:t>by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Foundation</w:t>
      </w:r>
      <w:r w:rsidR="00D52FD0">
        <w:t xml:space="preserve"> </w:t>
      </w:r>
      <w:r w:rsidR="000A1AAE" w:rsidRPr="00A841AA">
        <w:t>for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Wellbeing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Society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Malta</w:t>
      </w:r>
      <w:r w:rsidR="00D52FD0">
        <w:t xml:space="preserve"> </w:t>
      </w:r>
      <w:r w:rsidR="000A1AAE" w:rsidRPr="00A841AA">
        <w:t>LGBTIQ</w:t>
      </w:r>
      <w:r w:rsidR="00D52FD0">
        <w:t xml:space="preserve"> </w:t>
      </w:r>
      <w:r w:rsidR="000A1AAE" w:rsidRPr="00A841AA">
        <w:t>Rights</w:t>
      </w:r>
      <w:r w:rsidR="00D52FD0">
        <w:t xml:space="preserve"> </w:t>
      </w:r>
      <w:r w:rsidR="000A1AAE" w:rsidRPr="00A841AA">
        <w:t>Movement</w:t>
      </w:r>
      <w:r w:rsidR="00D52FD0">
        <w:t xml:space="preserve"> </w:t>
      </w:r>
      <w:r w:rsidR="000A1AAE" w:rsidRPr="00A841AA">
        <w:t>(MGRM)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attended</w:t>
      </w:r>
      <w:r w:rsidR="00D52FD0">
        <w:t xml:space="preserve"> </w:t>
      </w:r>
      <w:r w:rsidR="000A1AAE" w:rsidRPr="00A841AA">
        <w:t>by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psychosocial</w:t>
      </w:r>
      <w:r w:rsidR="00D52FD0">
        <w:t xml:space="preserve"> </w:t>
      </w:r>
      <w:r w:rsidR="000A1AAE" w:rsidRPr="00A841AA">
        <w:t>service</w:t>
      </w:r>
      <w:r w:rsidR="00D52FD0">
        <w:t xml:space="preserve"> </w:t>
      </w:r>
      <w:r w:rsidR="000A1AAE" w:rsidRPr="00A841AA">
        <w:t>teams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different</w:t>
      </w:r>
      <w:r w:rsidR="00D52FD0">
        <w:t xml:space="preserve"> </w:t>
      </w:r>
      <w:r w:rsidR="000A1AAE" w:rsidRPr="00A841AA">
        <w:t>church</w:t>
      </w:r>
      <w:r w:rsidR="00D52FD0">
        <w:t xml:space="preserve"> </w:t>
      </w:r>
      <w:r w:rsidR="000A1AAE" w:rsidRPr="00A841AA">
        <w:t>schools.</w:t>
      </w:r>
    </w:p>
    <w:p w14:paraId="26358DE5" w14:textId="50AA69ED" w:rsidR="000E4FD0" w:rsidRDefault="0044637E" w:rsidP="0044637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>
        <w:t>12.</w:t>
      </w:r>
      <w:r>
        <w:tab/>
      </w:r>
      <w:r w:rsidR="000A1AAE" w:rsidRPr="00A841AA">
        <w:t>A</w:t>
      </w:r>
      <w:r w:rsidR="00D52FD0">
        <w:t xml:space="preserve"> </w:t>
      </w:r>
      <w:r w:rsidR="000A1AAE" w:rsidRPr="00A841AA">
        <w:t>series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meetings</w:t>
      </w:r>
      <w:r w:rsidR="00D52FD0">
        <w:t xml:space="preserve"> </w:t>
      </w:r>
      <w:r w:rsidR="000A1AAE" w:rsidRPr="00A841AA">
        <w:t>with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Directors</w:t>
      </w:r>
      <w:r w:rsidR="00D52FD0">
        <w:t xml:space="preserve"> </w:t>
      </w:r>
      <w:r w:rsidR="000A1AAE" w:rsidRPr="00A841AA">
        <w:t>for</w:t>
      </w:r>
      <w:r w:rsidR="00D52FD0">
        <w:t xml:space="preserve"> </w:t>
      </w:r>
      <w:r w:rsidR="000A1AAE" w:rsidRPr="00A841AA">
        <w:t>Curriculum,</w:t>
      </w:r>
      <w:r w:rsidR="00D52FD0">
        <w:t xml:space="preserve"> </w:t>
      </w:r>
      <w:r w:rsidR="000A1AAE" w:rsidRPr="00A841AA">
        <w:t>Lifelong</w:t>
      </w:r>
      <w:r w:rsidR="00D52FD0">
        <w:t xml:space="preserve"> </w:t>
      </w:r>
      <w:r w:rsidR="000A1AAE" w:rsidRPr="00A841AA">
        <w:t>Learning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Employability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for</w:t>
      </w:r>
      <w:r w:rsidR="00D52FD0">
        <w:t xml:space="preserve"> </w:t>
      </w:r>
      <w:r w:rsidR="000A1AAE" w:rsidRPr="00A841AA">
        <w:t>Educational</w:t>
      </w:r>
      <w:r w:rsidR="00D52FD0">
        <w:t xml:space="preserve"> </w:t>
      </w:r>
      <w:r w:rsidR="000A1AAE" w:rsidRPr="00A841AA">
        <w:t>Services</w:t>
      </w:r>
      <w:r w:rsidR="00D52FD0">
        <w:t xml:space="preserve"> </w:t>
      </w:r>
      <w:r w:rsidR="000A1AAE" w:rsidRPr="00A841AA">
        <w:t>led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an</w:t>
      </w:r>
      <w:r w:rsidR="00D52FD0">
        <w:t xml:space="preserve"> </w:t>
      </w:r>
      <w:r w:rsidR="000A1AAE" w:rsidRPr="00A841AA">
        <w:t>agreement</w:t>
      </w:r>
      <w:r w:rsidR="00D52FD0">
        <w:t xml:space="preserve"> </w:t>
      </w:r>
      <w:r w:rsidR="000A1AAE" w:rsidRPr="00A841AA">
        <w:t>for</w:t>
      </w:r>
      <w:r w:rsidR="00D52FD0">
        <w:t xml:space="preserve"> </w:t>
      </w:r>
      <w:r w:rsidR="000A1AAE" w:rsidRPr="00A841AA">
        <w:t>piloting</w:t>
      </w:r>
      <w:r w:rsidR="00D52FD0">
        <w:t xml:space="preserve"> </w:t>
      </w:r>
      <w:r w:rsidR="000A1AAE" w:rsidRPr="00A841AA">
        <w:t>an</w:t>
      </w:r>
      <w:r w:rsidR="00D52FD0">
        <w:t xml:space="preserve"> </w:t>
      </w:r>
      <w:r w:rsidR="000A1AAE" w:rsidRPr="00A841AA">
        <w:t>intra-curricular</w:t>
      </w:r>
      <w:r w:rsidR="00D52FD0">
        <w:t xml:space="preserve"> </w:t>
      </w:r>
      <w:r w:rsidR="000A1AAE" w:rsidRPr="00A841AA">
        <w:t>program</w:t>
      </w:r>
      <w:r w:rsidR="00D52FD0">
        <w:t xml:space="preserve"> </w:t>
      </w:r>
      <w:r w:rsidR="000A1AAE" w:rsidRPr="00A841AA">
        <w:t>with</w:t>
      </w:r>
      <w:r w:rsidR="00D52FD0">
        <w:t xml:space="preserve"> </w:t>
      </w:r>
      <w:r w:rsidR="000A1AAE" w:rsidRPr="00A841AA">
        <w:t>two</w:t>
      </w:r>
      <w:r w:rsidR="00D52FD0">
        <w:t xml:space="preserve"> </w:t>
      </w:r>
      <w:r w:rsidR="000A1AAE" w:rsidRPr="00A841AA">
        <w:t>middle</w:t>
      </w:r>
      <w:r w:rsidR="00D52FD0">
        <w:t xml:space="preserve"> </w:t>
      </w:r>
      <w:r w:rsidR="000A1AAE" w:rsidRPr="00A841AA">
        <w:t>schools.</w:t>
      </w:r>
      <w:r w:rsidR="00D52FD0">
        <w:t xml:space="preserve"> </w:t>
      </w:r>
      <w:r w:rsidR="000A1AAE" w:rsidRPr="00A841AA">
        <w:t>July</w:t>
      </w:r>
      <w:r w:rsidR="00D52FD0">
        <w:t xml:space="preserve"> </w:t>
      </w:r>
      <w:r w:rsidR="000A1AAE" w:rsidRPr="00A841AA">
        <w:t>2019</w:t>
      </w:r>
      <w:r w:rsidR="00D52FD0">
        <w:t xml:space="preserve"> </w:t>
      </w:r>
      <w:r w:rsidR="000A1AAE" w:rsidRPr="00A841AA">
        <w:t>saw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start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a</w:t>
      </w:r>
      <w:r w:rsidR="00D52FD0">
        <w:t xml:space="preserve"> </w:t>
      </w:r>
      <w:r w:rsidR="000A1AAE" w:rsidRPr="00A841AA">
        <w:t>series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meetings</w:t>
      </w:r>
      <w:r w:rsidR="00D52FD0">
        <w:t xml:space="preserve"> </w:t>
      </w:r>
      <w:r w:rsidR="000A1AAE" w:rsidRPr="00A841AA">
        <w:t>with</w:t>
      </w:r>
      <w:r w:rsidR="00D52FD0">
        <w:t xml:space="preserve"> </w:t>
      </w:r>
      <w:r w:rsidR="000A1AAE" w:rsidRPr="00A841AA">
        <w:t>Educational</w:t>
      </w:r>
      <w:r w:rsidR="00D52FD0">
        <w:t xml:space="preserve"> </w:t>
      </w:r>
      <w:r w:rsidR="000A1AAE" w:rsidRPr="00A841AA">
        <w:t>Officers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six</w:t>
      </w:r>
      <w:r w:rsidR="00D52FD0">
        <w:t xml:space="preserve"> </w:t>
      </w:r>
      <w:r w:rsidR="000A1AAE" w:rsidRPr="00A841AA">
        <w:t>selected</w:t>
      </w:r>
      <w:r w:rsidR="00D52FD0">
        <w:t xml:space="preserve"> </w:t>
      </w:r>
      <w:r w:rsidR="000A1AAE" w:rsidRPr="00A841AA">
        <w:t>topics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heads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both</w:t>
      </w:r>
      <w:r w:rsidR="00D52FD0">
        <w:t xml:space="preserve"> </w:t>
      </w:r>
      <w:r w:rsidR="000A1AAE" w:rsidRPr="00A841AA">
        <w:t>schools,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start</w:t>
      </w:r>
      <w:r w:rsidR="00D52FD0">
        <w:t xml:space="preserve"> </w:t>
      </w:r>
      <w:r w:rsidR="000A1AAE" w:rsidRPr="00A841AA">
        <w:t>discussing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technicalities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project.</w:t>
      </w:r>
      <w:r w:rsidR="00D52FD0">
        <w:t xml:space="preserve"> </w:t>
      </w:r>
      <w:r w:rsidR="000A1AAE" w:rsidRPr="00A841AA">
        <w:t>Implementation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Pilot</w:t>
      </w:r>
      <w:r w:rsidR="00D52FD0">
        <w:t xml:space="preserve"> </w:t>
      </w:r>
      <w:r w:rsidR="000A1AAE" w:rsidRPr="00A841AA">
        <w:t>was</w:t>
      </w:r>
      <w:r w:rsidR="00D52FD0">
        <w:t xml:space="preserve"> </w:t>
      </w:r>
      <w:r w:rsidR="000A1AAE" w:rsidRPr="00A841AA">
        <w:t>interrupted</w:t>
      </w:r>
      <w:r w:rsidR="00D52FD0">
        <w:t xml:space="preserve"> </w:t>
      </w:r>
      <w:r w:rsidR="000A1AAE" w:rsidRPr="00A841AA">
        <w:t>due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disruption</w:t>
      </w:r>
      <w:r w:rsidR="00D52FD0">
        <w:t xml:space="preserve"> </w:t>
      </w:r>
      <w:r w:rsidR="000A1AAE" w:rsidRPr="00A841AA">
        <w:t>caused</w:t>
      </w:r>
      <w:r w:rsidR="00D52FD0">
        <w:t xml:space="preserve"> </w:t>
      </w:r>
      <w:r w:rsidR="000A1AAE" w:rsidRPr="00A841AA">
        <w:t>by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COVID</w:t>
      </w:r>
      <w:r w:rsidR="00D52FD0">
        <w:t xml:space="preserve"> </w:t>
      </w:r>
      <w:r w:rsidR="000A1AAE" w:rsidRPr="00A841AA">
        <w:t>19</w:t>
      </w:r>
      <w:r w:rsidR="00D52FD0">
        <w:t xml:space="preserve"> </w:t>
      </w:r>
      <w:r w:rsidR="000A1AAE" w:rsidRPr="00A841AA">
        <w:t>pandemic;</w:t>
      </w:r>
      <w:r w:rsidR="00D52FD0">
        <w:t xml:space="preserve"> </w:t>
      </w:r>
      <w:r w:rsidR="000A1AAE" w:rsidRPr="00A841AA">
        <w:t>however,</w:t>
      </w:r>
      <w:r w:rsidR="00D52FD0">
        <w:t xml:space="preserve"> </w:t>
      </w:r>
      <w:r w:rsidR="000A1AAE" w:rsidRPr="00A841AA">
        <w:t>work</w:t>
      </w:r>
      <w:r w:rsidR="00D52FD0">
        <w:t xml:space="preserve"> </w:t>
      </w:r>
      <w:r w:rsidR="000A1AAE" w:rsidRPr="00A841AA">
        <w:t>is</w:t>
      </w:r>
      <w:r w:rsidR="00D52FD0">
        <w:t xml:space="preserve"> </w:t>
      </w:r>
      <w:r w:rsidR="000A1AAE" w:rsidRPr="00A841AA">
        <w:t>expected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restart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new</w:t>
      </w:r>
      <w:r w:rsidR="00D52FD0">
        <w:t xml:space="preserve"> </w:t>
      </w:r>
      <w:r w:rsidR="000A1AAE" w:rsidRPr="00A841AA">
        <w:t>scholastic</w:t>
      </w:r>
      <w:r w:rsidR="00D52FD0">
        <w:t xml:space="preserve"> </w:t>
      </w:r>
      <w:r w:rsidR="000A1AAE" w:rsidRPr="00A841AA">
        <w:t>year.</w:t>
      </w:r>
    </w:p>
    <w:p w14:paraId="4A602A2D" w14:textId="323259C3" w:rsidR="000A1AAE" w:rsidRPr="00A841AA" w:rsidRDefault="0044637E" w:rsidP="0044637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841AA">
        <w:t>13.</w:t>
      </w:r>
      <w:r w:rsidRPr="00A841AA">
        <w:tab/>
      </w:r>
      <w:r w:rsidR="000A1AAE" w:rsidRPr="00A841AA">
        <w:t>The</w:t>
      </w:r>
      <w:r w:rsidR="00D52FD0">
        <w:t xml:space="preserve"> </w:t>
      </w:r>
      <w:r w:rsidR="000A1AAE" w:rsidRPr="00A841AA">
        <w:t>Government</w:t>
      </w:r>
      <w:r w:rsidR="00D52FD0">
        <w:t xml:space="preserve"> </w:t>
      </w:r>
      <w:r w:rsidR="000A1AAE" w:rsidRPr="00A841AA">
        <w:t>also</w:t>
      </w:r>
      <w:r w:rsidR="00D52FD0">
        <w:t xml:space="preserve"> </w:t>
      </w:r>
      <w:r w:rsidR="000A1AAE" w:rsidRPr="00A841AA">
        <w:t>sponsored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pre-conference</w:t>
      </w:r>
      <w:r w:rsidR="00D52FD0">
        <w:t xml:space="preserve"> </w:t>
      </w:r>
      <w:r w:rsidR="000A1AAE" w:rsidRPr="00A841AA">
        <w:t>event</w:t>
      </w:r>
      <w:r w:rsidR="00D52FD0">
        <w:t xml:space="preserve"> </w:t>
      </w:r>
      <w:r w:rsidR="000A1AAE" w:rsidRPr="00A841AA">
        <w:t>organised</w:t>
      </w:r>
      <w:r w:rsidR="00D52FD0">
        <w:t xml:space="preserve"> </w:t>
      </w:r>
      <w:r w:rsidR="000A1AAE" w:rsidRPr="00A841AA">
        <w:t>by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English</w:t>
      </w:r>
      <w:r w:rsidR="00D52FD0">
        <w:t xml:space="preserve"> </w:t>
      </w:r>
      <w:r w:rsidR="000A1AAE" w:rsidRPr="00A841AA">
        <w:t>Language</w:t>
      </w:r>
      <w:r w:rsidR="00D52FD0">
        <w:t xml:space="preserve"> </w:t>
      </w:r>
      <w:r w:rsidR="000A1AAE" w:rsidRPr="00A841AA">
        <w:t>Teaching</w:t>
      </w:r>
      <w:r w:rsidR="00D52FD0">
        <w:t xml:space="preserve"> </w:t>
      </w:r>
      <w:r w:rsidR="000A1AAE" w:rsidRPr="00A841AA">
        <w:t>(ELT)</w:t>
      </w:r>
      <w:r w:rsidR="00D52FD0">
        <w:t xml:space="preserve"> </w:t>
      </w:r>
      <w:r w:rsidR="000A1AAE" w:rsidRPr="00A841AA">
        <w:t>Association</w:t>
      </w:r>
      <w:r w:rsidR="00D52FD0">
        <w:t xml:space="preserve"> </w:t>
      </w:r>
      <w:r w:rsidR="000A1AAE" w:rsidRPr="00A841AA">
        <w:t>held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October</w:t>
      </w:r>
      <w:r w:rsidR="00D52FD0">
        <w:t xml:space="preserve"> </w:t>
      </w:r>
      <w:r w:rsidR="000A1AAE" w:rsidRPr="00A841AA">
        <w:t>2018.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one-day</w:t>
      </w:r>
      <w:r w:rsidR="00D52FD0">
        <w:t xml:space="preserve"> </w:t>
      </w:r>
      <w:r w:rsidR="000A1AAE" w:rsidRPr="00A841AA">
        <w:t>pre-conference</w:t>
      </w:r>
      <w:r w:rsidR="00D52FD0">
        <w:t xml:space="preserve"> </w:t>
      </w:r>
      <w:r w:rsidR="000A1AAE" w:rsidRPr="00A841AA">
        <w:t>event</w:t>
      </w:r>
      <w:r w:rsidR="00D52FD0">
        <w:t xml:space="preserve"> </w:t>
      </w:r>
      <w:r w:rsidR="000A1AAE" w:rsidRPr="00A841AA">
        <w:t>focused</w:t>
      </w:r>
      <w:r w:rsidR="00D52FD0">
        <w:t xml:space="preserve"> </w:t>
      </w:r>
      <w:r w:rsidR="000A1AAE" w:rsidRPr="00A841AA">
        <w:t>on</w:t>
      </w:r>
      <w:r w:rsidR="00D52FD0">
        <w:t xml:space="preserve"> </w:t>
      </w:r>
      <w:r w:rsidR="000A1AAE" w:rsidRPr="00A841AA">
        <w:t>LGBTIQ</w:t>
      </w:r>
      <w:r w:rsidR="00D52FD0">
        <w:t xml:space="preserve"> </w:t>
      </w:r>
      <w:r w:rsidR="000A1AAE" w:rsidRPr="00A841AA">
        <w:t>perspectives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ELT.</w:t>
      </w:r>
    </w:p>
    <w:p w14:paraId="663EE041" w14:textId="1083FA9F" w:rsidR="000A1AAE" w:rsidRPr="00A841AA" w:rsidRDefault="0044637E" w:rsidP="0044637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841AA">
        <w:t>14.</w:t>
      </w:r>
      <w:r w:rsidRPr="00A841AA">
        <w:tab/>
      </w:r>
      <w:r w:rsidR="000A1AAE" w:rsidRPr="00A841AA">
        <w:t>A</w:t>
      </w:r>
      <w:r w:rsidR="00D52FD0">
        <w:t xml:space="preserve"> </w:t>
      </w:r>
      <w:r w:rsidR="000A1AAE" w:rsidRPr="00A841AA">
        <w:t>number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resources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both</w:t>
      </w:r>
      <w:r w:rsidR="00D52FD0">
        <w:t xml:space="preserve"> </w:t>
      </w:r>
      <w:r w:rsidR="000A1AAE" w:rsidRPr="00A841AA">
        <w:t>English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Maltese</w:t>
      </w:r>
      <w:r w:rsidR="00D52FD0">
        <w:t xml:space="preserve"> </w:t>
      </w:r>
      <w:r w:rsidR="000A1AAE" w:rsidRPr="00A841AA">
        <w:t>on</w:t>
      </w:r>
      <w:r w:rsidR="00D52FD0">
        <w:t xml:space="preserve"> </w:t>
      </w:r>
      <w:r w:rsidR="000A1AAE" w:rsidRPr="00A841AA">
        <w:t>equality,</w:t>
      </w:r>
      <w:r w:rsidR="00D52FD0">
        <w:t xml:space="preserve"> </w:t>
      </w:r>
      <w:r w:rsidR="000A1AAE" w:rsidRPr="00A841AA">
        <w:t>gender</w:t>
      </w:r>
      <w:r w:rsidR="00D52FD0">
        <w:t xml:space="preserve"> </w:t>
      </w:r>
      <w:r w:rsidR="000A1AAE" w:rsidRPr="00A841AA">
        <w:t>diversity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rainbow</w:t>
      </w:r>
      <w:r w:rsidR="00D52FD0">
        <w:t xml:space="preserve"> </w:t>
      </w:r>
      <w:r w:rsidR="000A1AAE" w:rsidRPr="00A841AA">
        <w:t>families</w:t>
      </w:r>
      <w:r w:rsidR="00D52FD0">
        <w:t xml:space="preserve"> </w:t>
      </w:r>
      <w:r w:rsidR="000A1AAE" w:rsidRPr="00A841AA">
        <w:t>were</w:t>
      </w:r>
      <w:r w:rsidR="00D52FD0">
        <w:t xml:space="preserve"> </w:t>
      </w:r>
      <w:r w:rsidR="000A1AAE" w:rsidRPr="00A841AA">
        <w:t>also</w:t>
      </w:r>
      <w:r w:rsidR="00D52FD0">
        <w:t xml:space="preserve"> </w:t>
      </w:r>
      <w:r w:rsidR="000A1AAE" w:rsidRPr="00A841AA">
        <w:t>distributed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primary</w:t>
      </w:r>
      <w:r w:rsidR="00D52FD0">
        <w:t xml:space="preserve"> </w:t>
      </w:r>
      <w:r w:rsidR="000A1AAE" w:rsidRPr="00A841AA">
        <w:t>schools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support</w:t>
      </w:r>
      <w:r w:rsidR="00D52FD0">
        <w:t xml:space="preserve"> </w:t>
      </w:r>
      <w:r w:rsidR="000A1AAE" w:rsidRPr="00A841AA">
        <w:t>teachers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addressing</w:t>
      </w:r>
      <w:r w:rsidR="00D52FD0">
        <w:t xml:space="preserve"> </w:t>
      </w:r>
      <w:r w:rsidR="000A1AAE" w:rsidRPr="00A841AA">
        <w:t>LGBTIQ</w:t>
      </w:r>
      <w:r w:rsidR="00D52FD0">
        <w:t xml:space="preserve"> </w:t>
      </w:r>
      <w:r w:rsidR="000A1AAE" w:rsidRPr="00A841AA">
        <w:t>issues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classroom.</w:t>
      </w:r>
    </w:p>
    <w:p w14:paraId="152E0AA3" w14:textId="053655BE" w:rsidR="000A1AAE" w:rsidRPr="00A841AA" w:rsidRDefault="0044637E" w:rsidP="0044637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841AA">
        <w:t>15.</w:t>
      </w:r>
      <w:r w:rsidRPr="00A841AA">
        <w:tab/>
      </w:r>
      <w:r w:rsidR="000A1AAE" w:rsidRPr="00A841AA">
        <w:t>A</w:t>
      </w:r>
      <w:r w:rsidR="00D52FD0">
        <w:t xml:space="preserve"> </w:t>
      </w:r>
      <w:r w:rsidR="000A1AAE" w:rsidRPr="00A841AA">
        <w:t>number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training</w:t>
      </w:r>
      <w:r w:rsidR="00D52FD0">
        <w:t xml:space="preserve"> </w:t>
      </w:r>
      <w:r w:rsidR="000A1AAE" w:rsidRPr="00A841AA">
        <w:t>sessions</w:t>
      </w:r>
      <w:r w:rsidR="00D52FD0">
        <w:t xml:space="preserve"> </w:t>
      </w:r>
      <w:r w:rsidR="000A1AAE" w:rsidRPr="00A841AA">
        <w:t>on</w:t>
      </w:r>
      <w:r w:rsidR="00D52FD0">
        <w:t xml:space="preserve"> </w:t>
      </w:r>
      <w:r w:rsidR="000A1AAE" w:rsidRPr="00A841AA">
        <w:t>addressing</w:t>
      </w:r>
      <w:r w:rsidR="00D52FD0">
        <w:t xml:space="preserve"> </w:t>
      </w:r>
      <w:r w:rsidR="000A1AAE" w:rsidRPr="00A841AA">
        <w:t>LGBTIQ</w:t>
      </w:r>
      <w:r w:rsidR="00D52FD0">
        <w:t xml:space="preserve"> </w:t>
      </w:r>
      <w:r w:rsidR="000A1AAE" w:rsidRPr="00A841AA">
        <w:t>issues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education</w:t>
      </w:r>
      <w:r w:rsidR="00D52FD0">
        <w:t xml:space="preserve"> </w:t>
      </w:r>
      <w:r w:rsidR="000A1AAE" w:rsidRPr="00A841AA">
        <w:t>where</w:t>
      </w:r>
      <w:r w:rsidR="00D52FD0">
        <w:t xml:space="preserve"> </w:t>
      </w:r>
      <w:r w:rsidR="000A1AAE" w:rsidRPr="00A841AA">
        <w:t>also</w:t>
      </w:r>
      <w:r w:rsidR="00D52FD0">
        <w:t xml:space="preserve"> </w:t>
      </w:r>
      <w:r w:rsidR="000A1AAE" w:rsidRPr="00A841AA">
        <w:t>conducted</w:t>
      </w:r>
      <w:r w:rsidR="00D52FD0">
        <w:t xml:space="preserve"> </w:t>
      </w:r>
      <w:r w:rsidR="000A1AAE" w:rsidRPr="00A841AA">
        <w:t>with</w:t>
      </w:r>
      <w:r w:rsidR="00D52FD0">
        <w:t xml:space="preserve"> </w:t>
      </w:r>
      <w:r w:rsidR="000A1AAE" w:rsidRPr="00A841AA">
        <w:t>around</w:t>
      </w:r>
      <w:r w:rsidR="00D52FD0">
        <w:t xml:space="preserve"> </w:t>
      </w:r>
      <w:r w:rsidR="000A1AAE" w:rsidRPr="00A841AA">
        <w:t>50</w:t>
      </w:r>
      <w:r w:rsidR="00D52FD0">
        <w:t xml:space="preserve"> </w:t>
      </w:r>
      <w:r w:rsidR="000A1AAE" w:rsidRPr="00A841AA">
        <w:t>educators</w:t>
      </w:r>
      <w:r w:rsidR="00D52FD0">
        <w:t xml:space="preserve"> </w:t>
      </w:r>
      <w:r w:rsidR="000A1AAE" w:rsidRPr="00A841AA">
        <w:t>through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Institute</w:t>
      </w:r>
      <w:r w:rsidR="00D52FD0">
        <w:t xml:space="preserve"> </w:t>
      </w:r>
      <w:r w:rsidR="000A1AAE" w:rsidRPr="00A841AA">
        <w:t>for</w:t>
      </w:r>
      <w:r w:rsidR="00D52FD0">
        <w:t xml:space="preserve"> </w:t>
      </w:r>
      <w:r w:rsidR="000A1AAE" w:rsidRPr="00A841AA">
        <w:t>Education.</w:t>
      </w:r>
    </w:p>
    <w:p w14:paraId="225ACDB5" w14:textId="0AE133CB" w:rsidR="000A1AAE" w:rsidRPr="00A841AA" w:rsidRDefault="000A1AAE" w:rsidP="00D52FD0">
      <w:pPr>
        <w:pStyle w:val="H23G"/>
        <w:rPr>
          <w:lang w:eastAsia="en-GB"/>
        </w:rPr>
      </w:pPr>
      <w:r w:rsidRPr="00A841AA">
        <w:rPr>
          <w:lang w:eastAsia="en-GB"/>
        </w:rPr>
        <w:tab/>
      </w:r>
      <w:r w:rsidRPr="00A841AA">
        <w:rPr>
          <w:lang w:eastAsia="en-GB"/>
        </w:rPr>
        <w:tab/>
        <w:t>Representation</w:t>
      </w:r>
      <w:r w:rsidR="00D52FD0">
        <w:rPr>
          <w:lang w:eastAsia="en-GB"/>
        </w:rPr>
        <w:t xml:space="preserve"> </w:t>
      </w:r>
      <w:r w:rsidRPr="00A841AA">
        <w:rPr>
          <w:lang w:eastAsia="en-GB"/>
        </w:rPr>
        <w:t>of</w:t>
      </w:r>
      <w:r w:rsidR="00D52FD0">
        <w:rPr>
          <w:lang w:eastAsia="en-GB"/>
        </w:rPr>
        <w:t xml:space="preserve"> </w:t>
      </w:r>
      <w:r w:rsidRPr="00A841AA">
        <w:rPr>
          <w:lang w:eastAsia="en-GB"/>
        </w:rPr>
        <w:t>women</w:t>
      </w:r>
      <w:r w:rsidR="00D52FD0">
        <w:rPr>
          <w:lang w:eastAsia="en-GB"/>
        </w:rPr>
        <w:t xml:space="preserve"> </w:t>
      </w:r>
      <w:r w:rsidRPr="00A841AA">
        <w:rPr>
          <w:lang w:eastAsia="en-GB"/>
        </w:rPr>
        <w:t>in</w:t>
      </w:r>
      <w:r w:rsidR="00D52FD0">
        <w:rPr>
          <w:lang w:eastAsia="en-GB"/>
        </w:rPr>
        <w:t xml:space="preserve"> </w:t>
      </w:r>
      <w:r w:rsidRPr="00A841AA">
        <w:rPr>
          <w:lang w:eastAsia="en-GB"/>
        </w:rPr>
        <w:t>political</w:t>
      </w:r>
      <w:r w:rsidR="00D52FD0">
        <w:rPr>
          <w:lang w:eastAsia="en-GB"/>
        </w:rPr>
        <w:t xml:space="preserve"> </w:t>
      </w:r>
      <w:r w:rsidRPr="00A841AA">
        <w:rPr>
          <w:lang w:eastAsia="en-GB"/>
        </w:rPr>
        <w:t>and</w:t>
      </w:r>
      <w:r w:rsidR="00D52FD0">
        <w:rPr>
          <w:lang w:eastAsia="en-GB"/>
        </w:rPr>
        <w:t xml:space="preserve"> </w:t>
      </w:r>
      <w:r w:rsidRPr="00A841AA">
        <w:rPr>
          <w:lang w:eastAsia="en-GB"/>
        </w:rPr>
        <w:t>public</w:t>
      </w:r>
      <w:r w:rsidR="00D52FD0">
        <w:rPr>
          <w:lang w:eastAsia="en-GB"/>
        </w:rPr>
        <w:t xml:space="preserve"> </w:t>
      </w:r>
      <w:r w:rsidRPr="00A841AA">
        <w:rPr>
          <w:lang w:eastAsia="en-GB"/>
        </w:rPr>
        <w:t>life</w:t>
      </w:r>
    </w:p>
    <w:p w14:paraId="10925EF7" w14:textId="760DA9C1" w:rsidR="000A1AAE" w:rsidRPr="00A841AA" w:rsidRDefault="0044637E" w:rsidP="0044637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841AA">
        <w:t>16.</w:t>
      </w:r>
      <w:r w:rsidRPr="00A841AA">
        <w:tab/>
      </w:r>
      <w:r w:rsidR="000A1AAE" w:rsidRPr="00A841AA">
        <w:t>Act</w:t>
      </w:r>
      <w:r w:rsidR="00D52FD0">
        <w:t xml:space="preserve"> </w:t>
      </w:r>
      <w:r w:rsidR="000A1AAE" w:rsidRPr="00A841AA">
        <w:t>XX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2021,</w:t>
      </w:r>
      <w:r w:rsidR="00D52FD0">
        <w:t xml:space="preserve"> </w:t>
      </w:r>
      <w:r w:rsidR="000A1AAE" w:rsidRPr="00A841AA">
        <w:t>approved</w:t>
      </w:r>
      <w:r w:rsidR="00D52FD0">
        <w:t xml:space="preserve"> </w:t>
      </w:r>
      <w:r w:rsidR="000A1AAE" w:rsidRPr="00A841AA">
        <w:t>by</w:t>
      </w:r>
      <w:r w:rsidR="00D52FD0">
        <w:t xml:space="preserve"> </w:t>
      </w:r>
      <w:r w:rsidR="000A1AAE" w:rsidRPr="00A841AA">
        <w:t>Parliament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April</w:t>
      </w:r>
      <w:r w:rsidR="00D52FD0">
        <w:t xml:space="preserve"> </w:t>
      </w:r>
      <w:r w:rsidR="000A1AAE" w:rsidRPr="00A841AA">
        <w:t>2021,</w:t>
      </w:r>
      <w:r w:rsidR="00D52FD0">
        <w:t xml:space="preserve"> </w:t>
      </w:r>
      <w:r w:rsidR="000A1AAE" w:rsidRPr="00A841AA">
        <w:t>amended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Constitution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Malta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introduce</w:t>
      </w:r>
      <w:r w:rsidR="00D52FD0">
        <w:t xml:space="preserve"> </w:t>
      </w:r>
      <w:r w:rsidR="000A1AAE" w:rsidRPr="00A841AA">
        <w:t>temporary</w:t>
      </w:r>
      <w:r w:rsidR="00D52FD0">
        <w:t xml:space="preserve"> </w:t>
      </w:r>
      <w:r w:rsidR="000A1AAE" w:rsidRPr="00A841AA">
        <w:t>positive</w:t>
      </w:r>
      <w:r w:rsidR="00D52FD0">
        <w:t xml:space="preserve"> </w:t>
      </w:r>
      <w:r w:rsidR="000A1AAE" w:rsidRPr="00A841AA">
        <w:t>measures</w:t>
      </w:r>
      <w:r w:rsidR="00D52FD0">
        <w:t xml:space="preserve"> </w:t>
      </w:r>
      <w:r w:rsidR="000A1AAE" w:rsidRPr="00A841AA">
        <w:t>necessary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reasonable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a</w:t>
      </w:r>
      <w:r w:rsidR="00D52FD0">
        <w:t xml:space="preserve"> </w:t>
      </w:r>
      <w:r w:rsidR="000A1AAE" w:rsidRPr="00A841AA">
        <w:t>democratic</w:t>
      </w:r>
      <w:r w:rsidR="00D52FD0">
        <w:t xml:space="preserve"> </w:t>
      </w:r>
      <w:r w:rsidR="000A1AAE" w:rsidRPr="00A841AA">
        <w:t>society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ensure</w:t>
      </w:r>
      <w:r w:rsidR="00D52FD0">
        <w:t xml:space="preserve"> </w:t>
      </w:r>
      <w:r w:rsidR="000A1AAE" w:rsidRPr="00A841AA">
        <w:t>de</w:t>
      </w:r>
      <w:r w:rsidR="00D52FD0">
        <w:t xml:space="preserve"> </w:t>
      </w:r>
      <w:r w:rsidR="000A1AAE" w:rsidRPr="00A841AA">
        <w:t>facto</w:t>
      </w:r>
      <w:r w:rsidR="00D52FD0">
        <w:t xml:space="preserve"> </w:t>
      </w:r>
      <w:r w:rsidR="000A1AAE" w:rsidRPr="00A841AA">
        <w:t>equality</w:t>
      </w:r>
      <w:r w:rsidR="00D52FD0">
        <w:t xml:space="preserve"> </w:t>
      </w:r>
      <w:r w:rsidR="000A1AAE" w:rsidRPr="00A841AA">
        <w:t>between</w:t>
      </w:r>
      <w:r w:rsidR="00D52FD0">
        <w:t xml:space="preserve"> </w:t>
      </w:r>
      <w:r w:rsidR="000A1AAE" w:rsidRPr="00A841AA">
        <w:t>men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women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politics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amendment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General</w:t>
      </w:r>
      <w:r w:rsidR="00D52FD0">
        <w:t xml:space="preserve"> </w:t>
      </w:r>
      <w:r w:rsidR="000A1AAE" w:rsidRPr="00A841AA">
        <w:t>Elections</w:t>
      </w:r>
      <w:r w:rsidR="00D52FD0">
        <w:t xml:space="preserve"> </w:t>
      </w:r>
      <w:r w:rsidR="000A1AAE" w:rsidRPr="00A841AA">
        <w:t>Act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increase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number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electoral</w:t>
      </w:r>
      <w:r w:rsidR="00D52FD0">
        <w:t xml:space="preserve"> </w:t>
      </w:r>
      <w:r w:rsidR="000A1AAE" w:rsidRPr="00A841AA">
        <w:t>commissioners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ensure</w:t>
      </w:r>
      <w:r w:rsidR="00D52FD0">
        <w:t xml:space="preserve"> </w:t>
      </w:r>
      <w:r w:rsidR="000A1AAE" w:rsidRPr="00A841AA">
        <w:t>equal</w:t>
      </w:r>
      <w:r w:rsidR="00D52FD0">
        <w:t xml:space="preserve"> </w:t>
      </w:r>
      <w:r w:rsidR="000A1AAE" w:rsidRPr="00A841AA">
        <w:t>representation</w:t>
      </w:r>
      <w:r w:rsidR="00D52FD0">
        <w:t xml:space="preserve"> </w:t>
      </w:r>
      <w:r w:rsidR="000A1AAE" w:rsidRPr="00A841AA">
        <w:t>between</w:t>
      </w:r>
      <w:r w:rsidR="00D52FD0">
        <w:t xml:space="preserve"> </w:t>
      </w:r>
      <w:r w:rsidR="000A1AAE" w:rsidRPr="00A841AA">
        <w:t>sexes.</w:t>
      </w:r>
    </w:p>
    <w:p w14:paraId="5A51E4C6" w14:textId="4D55F7BB" w:rsidR="000A1AAE" w:rsidRPr="00A841AA" w:rsidRDefault="0044637E" w:rsidP="0044637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841AA">
        <w:t>17.</w:t>
      </w:r>
      <w:r w:rsidRPr="00A841AA">
        <w:tab/>
      </w:r>
      <w:r w:rsidR="000A1AAE" w:rsidRPr="00A841AA">
        <w:t>The</w:t>
      </w:r>
      <w:r w:rsidR="00D52FD0">
        <w:t xml:space="preserve"> </w:t>
      </w:r>
      <w:r w:rsidR="000A1AAE" w:rsidRPr="00A841AA">
        <w:t>practical</w:t>
      </w:r>
      <w:r w:rsidR="00D52FD0">
        <w:t xml:space="preserve"> </w:t>
      </w:r>
      <w:r w:rsidR="000A1AAE" w:rsidRPr="00A841AA">
        <w:t>effect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this</w:t>
      </w:r>
      <w:r w:rsidR="00D52FD0">
        <w:t xml:space="preserve"> </w:t>
      </w:r>
      <w:r w:rsidR="000A1AAE" w:rsidRPr="00A841AA">
        <w:t>constitutional</w:t>
      </w:r>
      <w:r w:rsidR="00D52FD0">
        <w:t xml:space="preserve"> </w:t>
      </w:r>
      <w:r w:rsidR="000A1AAE" w:rsidRPr="00A841AA">
        <w:t>amendment</w:t>
      </w:r>
      <w:r w:rsidR="00D52FD0">
        <w:t xml:space="preserve"> </w:t>
      </w:r>
      <w:r w:rsidR="000A1AAE" w:rsidRPr="00A841AA">
        <w:t>will</w:t>
      </w:r>
      <w:r w:rsidR="00D52FD0">
        <w:t xml:space="preserve"> </w:t>
      </w:r>
      <w:r w:rsidR="000A1AAE" w:rsidRPr="00A841AA">
        <w:t>result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at</w:t>
      </w:r>
      <w:r w:rsidR="00D52FD0">
        <w:t xml:space="preserve"> </w:t>
      </w:r>
      <w:r w:rsidR="000A1AAE" w:rsidRPr="00A841AA">
        <w:t>least</w:t>
      </w:r>
      <w:r w:rsidR="00D52FD0">
        <w:t xml:space="preserve"> </w:t>
      </w:r>
      <w:r w:rsidR="000A1AAE" w:rsidRPr="00A841AA">
        <w:t>40%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representatives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House</w:t>
      </w:r>
      <w:r w:rsidR="00D52FD0">
        <w:t xml:space="preserve"> </w:t>
      </w:r>
      <w:r w:rsidR="000A1AAE" w:rsidRPr="00A841AA">
        <w:t>being</w:t>
      </w:r>
      <w:r w:rsidR="00D52FD0">
        <w:t xml:space="preserve"> </w:t>
      </w:r>
      <w:r w:rsidR="000A1AAE" w:rsidRPr="00A841AA">
        <w:t>women</w:t>
      </w:r>
      <w:r w:rsidR="00D52FD0">
        <w:t xml:space="preserve"> </w:t>
      </w:r>
      <w:r w:rsidR="000A1AAE" w:rsidRPr="00A841AA">
        <w:t>come</w:t>
      </w:r>
      <w:r w:rsidR="00D52FD0">
        <w:t xml:space="preserve"> </w:t>
      </w:r>
      <w:r w:rsidR="000A1AAE" w:rsidRPr="00A841AA">
        <w:t>next</w:t>
      </w:r>
      <w:r w:rsidR="00D52FD0">
        <w:t xml:space="preserve"> </w:t>
      </w:r>
      <w:r w:rsidR="000A1AAE" w:rsidRPr="00A841AA">
        <w:t>general</w:t>
      </w:r>
      <w:r w:rsidR="00D52FD0">
        <w:t xml:space="preserve"> </w:t>
      </w:r>
      <w:r w:rsidR="000A1AAE" w:rsidRPr="00A841AA">
        <w:t>election.</w:t>
      </w:r>
    </w:p>
    <w:p w14:paraId="12C25EDE" w14:textId="76B4B437" w:rsidR="000A1AAE" w:rsidRPr="00A841AA" w:rsidRDefault="000A1AAE" w:rsidP="00D52FD0">
      <w:pPr>
        <w:pStyle w:val="H23G"/>
        <w:rPr>
          <w:lang w:eastAsia="en-GB"/>
        </w:rPr>
      </w:pPr>
      <w:r>
        <w:rPr>
          <w:lang w:eastAsia="en-GB"/>
        </w:rPr>
        <w:tab/>
      </w:r>
      <w:r>
        <w:rPr>
          <w:lang w:eastAsia="en-GB"/>
        </w:rPr>
        <w:tab/>
      </w:r>
      <w:r w:rsidRPr="00A841AA">
        <w:rPr>
          <w:lang w:eastAsia="en-GB"/>
        </w:rPr>
        <w:t>Violence</w:t>
      </w:r>
      <w:r w:rsidR="00D52FD0">
        <w:rPr>
          <w:lang w:eastAsia="en-GB"/>
        </w:rPr>
        <w:t xml:space="preserve"> </w:t>
      </w:r>
      <w:r w:rsidRPr="00A841AA">
        <w:rPr>
          <w:lang w:eastAsia="en-GB"/>
        </w:rPr>
        <w:t>against</w:t>
      </w:r>
      <w:r w:rsidR="00D52FD0">
        <w:rPr>
          <w:lang w:eastAsia="en-GB"/>
        </w:rPr>
        <w:t xml:space="preserve"> </w:t>
      </w:r>
      <w:r w:rsidRPr="00A841AA">
        <w:rPr>
          <w:lang w:eastAsia="en-GB"/>
        </w:rPr>
        <w:t>women</w:t>
      </w:r>
      <w:r w:rsidR="00D52FD0">
        <w:rPr>
          <w:lang w:eastAsia="en-GB"/>
        </w:rPr>
        <w:t xml:space="preserve"> </w:t>
      </w:r>
      <w:r w:rsidRPr="00A841AA">
        <w:rPr>
          <w:lang w:eastAsia="en-GB"/>
        </w:rPr>
        <w:t>and</w:t>
      </w:r>
      <w:r w:rsidR="00D52FD0">
        <w:rPr>
          <w:lang w:eastAsia="en-GB"/>
        </w:rPr>
        <w:t xml:space="preserve"> </w:t>
      </w:r>
      <w:r w:rsidRPr="00A841AA">
        <w:rPr>
          <w:lang w:eastAsia="en-GB"/>
        </w:rPr>
        <w:t>children</w:t>
      </w:r>
    </w:p>
    <w:p w14:paraId="363EC985" w14:textId="61CB3FA8" w:rsidR="000E4FD0" w:rsidRDefault="0044637E" w:rsidP="0044637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>
        <w:t>18.</w:t>
      </w:r>
      <w:r>
        <w:tab/>
      </w:r>
      <w:r w:rsidR="000A1AAE" w:rsidRPr="00A841AA">
        <w:t>In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2018,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remit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Malta</w:t>
      </w:r>
      <w:r w:rsidR="00F14DA3">
        <w:t>’</w:t>
      </w:r>
      <w:r w:rsidR="000A1AAE" w:rsidRPr="00A841AA">
        <w:t>s</w:t>
      </w:r>
      <w:r w:rsidR="00D52FD0">
        <w:t xml:space="preserve"> </w:t>
      </w:r>
      <w:r w:rsidR="000A1AAE" w:rsidRPr="00A841AA">
        <w:t>Commission</w:t>
      </w:r>
      <w:r w:rsidR="00D52FD0">
        <w:t xml:space="preserve"> </w:t>
      </w:r>
      <w:r w:rsidR="000A1AAE" w:rsidRPr="00A841AA">
        <w:t>on</w:t>
      </w:r>
      <w:r w:rsidR="00D52FD0">
        <w:t xml:space="preserve"> </w:t>
      </w:r>
      <w:r w:rsidR="000A1AAE" w:rsidRPr="00A841AA">
        <w:t>Domestic</w:t>
      </w:r>
      <w:r w:rsidR="00D52FD0">
        <w:t xml:space="preserve"> </w:t>
      </w:r>
      <w:r w:rsidR="000A1AAE" w:rsidRPr="00A841AA">
        <w:t>Violence</w:t>
      </w:r>
      <w:r w:rsidR="00D52FD0">
        <w:t xml:space="preserve"> </w:t>
      </w:r>
      <w:r w:rsidR="000A1AAE" w:rsidRPr="00A841AA">
        <w:t>was</w:t>
      </w:r>
      <w:r w:rsidR="00D52FD0">
        <w:t xml:space="preserve"> </w:t>
      </w:r>
      <w:r w:rsidR="000A1AAE" w:rsidRPr="00A841AA">
        <w:t>extended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both</w:t>
      </w:r>
      <w:r w:rsidR="00D52FD0">
        <w:t xml:space="preserve"> </w:t>
      </w:r>
      <w:r w:rsidR="000A1AAE" w:rsidRPr="00A841AA">
        <w:t>gender-based</w:t>
      </w:r>
      <w:r w:rsidR="00D52FD0">
        <w:t xml:space="preserve"> </w:t>
      </w:r>
      <w:r w:rsidR="000A1AAE" w:rsidRPr="00A841AA">
        <w:t>violence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domestic</w:t>
      </w:r>
      <w:r w:rsidR="00D52FD0">
        <w:t xml:space="preserve"> </w:t>
      </w:r>
      <w:r w:rsidR="000A1AAE" w:rsidRPr="00A841AA">
        <w:t>violence.</w:t>
      </w:r>
    </w:p>
    <w:p w14:paraId="2A629A1E" w14:textId="33F89079" w:rsidR="000A1AAE" w:rsidRPr="00A841AA" w:rsidRDefault="0044637E" w:rsidP="0044637E">
      <w:pPr>
        <w:pStyle w:val="ParaNoG"/>
        <w:keepNext/>
        <w:keepLines/>
        <w:numPr>
          <w:ilvl w:val="0"/>
          <w:numId w:val="0"/>
        </w:numPr>
        <w:tabs>
          <w:tab w:val="left" w:pos="0"/>
        </w:tabs>
        <w:ind w:left="1134"/>
      </w:pPr>
      <w:r w:rsidRPr="00A841AA">
        <w:lastRenderedPageBreak/>
        <w:t>19.</w:t>
      </w:r>
      <w:r w:rsidRPr="00A841AA">
        <w:tab/>
      </w:r>
      <w:r w:rsidR="000A1AAE" w:rsidRPr="00A841AA">
        <w:t>All</w:t>
      </w:r>
      <w:r w:rsidR="00D52FD0">
        <w:t xml:space="preserve"> </w:t>
      </w:r>
      <w:r w:rsidR="000A1AAE" w:rsidRPr="00A841AA">
        <w:t>members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police</w:t>
      </w:r>
      <w:r w:rsidR="00D52FD0">
        <w:t xml:space="preserve"> </w:t>
      </w:r>
      <w:r w:rsidR="000A1AAE" w:rsidRPr="00A841AA">
        <w:t>corps</w:t>
      </w:r>
      <w:r w:rsidR="00D52FD0">
        <w:t xml:space="preserve"> </w:t>
      </w:r>
      <w:r w:rsidR="000A1AAE" w:rsidRPr="00A841AA">
        <w:t>are</w:t>
      </w:r>
      <w:r w:rsidR="00D52FD0">
        <w:t xml:space="preserve"> </w:t>
      </w:r>
      <w:r w:rsidR="000A1AAE" w:rsidRPr="00A841AA">
        <w:t>receiving</w:t>
      </w:r>
      <w:r w:rsidR="00D52FD0">
        <w:t xml:space="preserve"> </w:t>
      </w:r>
      <w:r w:rsidR="000A1AAE" w:rsidRPr="00A841AA">
        <w:t>training</w:t>
      </w:r>
      <w:r w:rsidR="00D52FD0">
        <w:t xml:space="preserve"> </w:t>
      </w:r>
      <w:r w:rsidR="000A1AAE" w:rsidRPr="00A841AA">
        <w:t>on</w:t>
      </w:r>
      <w:r w:rsidR="00D52FD0">
        <w:t xml:space="preserve"> </w:t>
      </w:r>
      <w:r w:rsidR="000A1AAE" w:rsidRPr="00A841AA">
        <w:t>how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handle</w:t>
      </w:r>
      <w:r w:rsidR="00D52FD0">
        <w:t xml:space="preserve"> </w:t>
      </w:r>
      <w:r w:rsidR="000A1AAE" w:rsidRPr="00A841AA">
        <w:t>victims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domestic</w:t>
      </w:r>
      <w:r w:rsidR="00D52FD0">
        <w:t xml:space="preserve"> </w:t>
      </w:r>
      <w:r w:rsidR="000A1AAE" w:rsidRPr="00A841AA">
        <w:t>violence.</w:t>
      </w:r>
      <w:r w:rsidR="00D52FD0">
        <w:t xml:space="preserve"> </w:t>
      </w:r>
      <w:r w:rsidR="000A1AAE" w:rsidRPr="00A841AA">
        <w:t>A virtual</w:t>
      </w:r>
      <w:r w:rsidR="00D52FD0">
        <w:t xml:space="preserve"> </w:t>
      </w:r>
      <w:r w:rsidR="000A1AAE" w:rsidRPr="00A841AA">
        <w:t>reality</w:t>
      </w:r>
      <w:r w:rsidR="00D52FD0">
        <w:t xml:space="preserve"> </w:t>
      </w:r>
      <w:r w:rsidR="000A1AAE" w:rsidRPr="00A841AA">
        <w:t>simulator</w:t>
      </w:r>
      <w:r w:rsidR="00D52FD0">
        <w:t xml:space="preserve"> </w:t>
      </w:r>
      <w:r w:rsidR="000A1AAE" w:rsidRPr="00A841AA">
        <w:t>was</w:t>
      </w:r>
      <w:r w:rsidR="00D52FD0">
        <w:t xml:space="preserve"> </w:t>
      </w:r>
      <w:r w:rsidR="000A1AAE" w:rsidRPr="00A841AA">
        <w:t>also</w:t>
      </w:r>
      <w:r w:rsidR="00D52FD0">
        <w:t xml:space="preserve"> </w:t>
      </w:r>
      <w:r w:rsidR="000A1AAE" w:rsidRPr="00A841AA">
        <w:t>introduced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Police</w:t>
      </w:r>
      <w:r w:rsidR="00D52FD0">
        <w:t xml:space="preserve"> </w:t>
      </w:r>
      <w:r w:rsidR="000A1AAE" w:rsidRPr="00A841AA">
        <w:t>Training</w:t>
      </w:r>
      <w:r w:rsidR="00D52FD0">
        <w:t xml:space="preserve"> </w:t>
      </w:r>
      <w:r w:rsidR="000A1AAE" w:rsidRPr="00A841AA">
        <w:t>Academy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train</w:t>
      </w:r>
      <w:r w:rsidR="00D52FD0">
        <w:t xml:space="preserve"> </w:t>
      </w:r>
      <w:r w:rsidR="000A1AAE" w:rsidRPr="00A841AA">
        <w:t>officers</w:t>
      </w:r>
      <w:r w:rsidR="00D52FD0">
        <w:t xml:space="preserve"> </w:t>
      </w:r>
      <w:r w:rsidR="000A1AAE" w:rsidRPr="00A841AA">
        <w:t>on</w:t>
      </w:r>
      <w:r w:rsidR="00D52FD0">
        <w:t xml:space="preserve"> </w:t>
      </w:r>
      <w:r w:rsidR="000A1AAE" w:rsidRPr="00A841AA">
        <w:t>empathising</w:t>
      </w:r>
      <w:r w:rsidR="00D52FD0">
        <w:t xml:space="preserve"> </w:t>
      </w:r>
      <w:r w:rsidR="000A1AAE" w:rsidRPr="00A841AA">
        <w:t>with</w:t>
      </w:r>
      <w:r w:rsidR="00D52FD0">
        <w:t xml:space="preserve"> </w:t>
      </w:r>
      <w:r w:rsidR="000A1AAE" w:rsidRPr="00A841AA">
        <w:t>domestic</w:t>
      </w:r>
      <w:r w:rsidR="00D52FD0">
        <w:t xml:space="preserve"> </w:t>
      </w:r>
      <w:r w:rsidR="000A1AAE" w:rsidRPr="00A841AA">
        <w:t>violence</w:t>
      </w:r>
      <w:r w:rsidR="00D52FD0">
        <w:t xml:space="preserve"> </w:t>
      </w:r>
      <w:r w:rsidR="000A1AAE" w:rsidRPr="00A841AA">
        <w:t>victims.  Moreover,</w:t>
      </w:r>
      <w:r w:rsidR="00D52FD0">
        <w:t xml:space="preserve"> </w:t>
      </w:r>
      <w:r w:rsidR="000A1AAE" w:rsidRPr="00A841AA">
        <w:t>officers</w:t>
      </w:r>
      <w:r w:rsidR="00D52FD0">
        <w:t xml:space="preserve"> </w:t>
      </w:r>
      <w:r w:rsidR="000A1AAE" w:rsidRPr="00A841AA">
        <w:t>dismissing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severity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domestic</w:t>
      </w:r>
      <w:r w:rsidR="00D52FD0">
        <w:t xml:space="preserve"> </w:t>
      </w:r>
      <w:r w:rsidR="000A1AAE" w:rsidRPr="00A841AA">
        <w:t>violence</w:t>
      </w:r>
      <w:r w:rsidR="00D52FD0">
        <w:t xml:space="preserve"> </w:t>
      </w:r>
      <w:r w:rsidR="000A1AAE" w:rsidRPr="00A841AA">
        <w:t>cases</w:t>
      </w:r>
      <w:r w:rsidR="00D52FD0">
        <w:t xml:space="preserve"> </w:t>
      </w:r>
      <w:r w:rsidR="000A1AAE" w:rsidRPr="00A841AA">
        <w:t>or</w:t>
      </w:r>
      <w:r w:rsidR="00D52FD0">
        <w:t xml:space="preserve"> </w:t>
      </w:r>
      <w:r w:rsidR="000A1AAE" w:rsidRPr="00A841AA">
        <w:t>showing</w:t>
      </w:r>
      <w:r w:rsidR="00D52FD0">
        <w:t xml:space="preserve"> </w:t>
      </w:r>
      <w:r w:rsidR="000A1AAE" w:rsidRPr="00A841AA">
        <w:t>a</w:t>
      </w:r>
      <w:r w:rsidR="00D52FD0">
        <w:t xml:space="preserve"> </w:t>
      </w:r>
      <w:r w:rsidR="000A1AAE" w:rsidRPr="00A841AA">
        <w:t>lack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empathy</w:t>
      </w:r>
      <w:r w:rsidR="00D52FD0">
        <w:t xml:space="preserve"> </w:t>
      </w:r>
      <w:r w:rsidR="000A1AAE" w:rsidRPr="00A841AA">
        <w:t>would</w:t>
      </w:r>
      <w:r w:rsidR="00D52FD0">
        <w:t xml:space="preserve"> </w:t>
      </w:r>
      <w:r w:rsidR="000A1AAE" w:rsidRPr="00A841AA">
        <w:t>face</w:t>
      </w:r>
      <w:r w:rsidR="00D52FD0">
        <w:t xml:space="preserve"> </w:t>
      </w:r>
      <w:r w:rsidR="000A1AAE" w:rsidRPr="00A841AA">
        <w:t>disciplinary</w:t>
      </w:r>
      <w:r w:rsidR="00D52FD0">
        <w:t xml:space="preserve"> </w:t>
      </w:r>
      <w:r w:rsidR="000A1AAE" w:rsidRPr="00A841AA">
        <w:t>action.</w:t>
      </w:r>
    </w:p>
    <w:p w14:paraId="3CB84511" w14:textId="75C8D0A0" w:rsidR="000E4FD0" w:rsidRDefault="0044637E" w:rsidP="0044637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>
        <w:t>20.</w:t>
      </w:r>
      <w:r>
        <w:tab/>
      </w:r>
      <w:r w:rsidR="000A1AAE" w:rsidRPr="00A841AA">
        <w:t>Malta</w:t>
      </w:r>
      <w:r w:rsidR="00D52FD0">
        <w:t xml:space="preserve"> </w:t>
      </w:r>
      <w:r w:rsidR="000A1AAE" w:rsidRPr="00A841AA">
        <w:t>recognises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need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empower</w:t>
      </w:r>
      <w:r w:rsidR="00D52FD0">
        <w:t xml:space="preserve"> </w:t>
      </w:r>
      <w:r w:rsidR="000A1AAE" w:rsidRPr="00A841AA">
        <w:t>victims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crime,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ultimately</w:t>
      </w:r>
      <w:r w:rsidR="00D52FD0">
        <w:t xml:space="preserve"> </w:t>
      </w:r>
      <w:r w:rsidR="000A1AAE" w:rsidRPr="00A841AA">
        <w:t>assist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their</w:t>
      </w:r>
      <w:r w:rsidR="00D52FD0">
        <w:t xml:space="preserve"> </w:t>
      </w:r>
      <w:r w:rsidR="000A1AAE" w:rsidRPr="00A841AA">
        <w:t>recovery</w:t>
      </w:r>
      <w:r w:rsidR="00D52FD0">
        <w:t xml:space="preserve"> </w:t>
      </w:r>
      <w:r w:rsidR="000A1AAE" w:rsidRPr="00A841AA">
        <w:t>from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consequences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crime.</w:t>
      </w:r>
      <w:r w:rsidR="00D52FD0">
        <w:t xml:space="preserve"> </w:t>
      </w:r>
      <w:r w:rsidR="000A1AAE" w:rsidRPr="00A841AA">
        <w:t>This</w:t>
      </w:r>
      <w:r w:rsidR="00D52FD0">
        <w:t xml:space="preserve"> </w:t>
      </w:r>
      <w:r w:rsidR="000A1AAE" w:rsidRPr="00A841AA">
        <w:t>can</w:t>
      </w:r>
      <w:r w:rsidR="00D52FD0">
        <w:t xml:space="preserve"> </w:t>
      </w:r>
      <w:r w:rsidR="000A1AAE" w:rsidRPr="00A841AA">
        <w:t>only</w:t>
      </w:r>
      <w:r w:rsidR="00D52FD0">
        <w:t xml:space="preserve"> </w:t>
      </w:r>
      <w:r w:rsidR="000A1AAE" w:rsidRPr="00A841AA">
        <w:t>be</w:t>
      </w:r>
      <w:r w:rsidR="00D52FD0">
        <w:t xml:space="preserve"> </w:t>
      </w:r>
      <w:r w:rsidR="000A1AAE" w:rsidRPr="00A841AA">
        <w:t>achieved</w:t>
      </w:r>
      <w:r w:rsidR="00D52FD0">
        <w:t xml:space="preserve"> </w:t>
      </w:r>
      <w:r w:rsidR="000A1AAE" w:rsidRPr="00A841AA">
        <w:t>through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protection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its</w:t>
      </w:r>
      <w:r w:rsidR="00D52FD0">
        <w:t xml:space="preserve"> </w:t>
      </w:r>
      <w:r w:rsidR="000A1AAE" w:rsidRPr="00A841AA">
        <w:t>citizens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provision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necessary</w:t>
      </w:r>
      <w:r w:rsidR="00D52FD0">
        <w:t xml:space="preserve"> </w:t>
      </w:r>
      <w:r w:rsidR="000A1AAE" w:rsidRPr="00A841AA">
        <w:t>support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a</w:t>
      </w:r>
      <w:r w:rsidR="00D52FD0">
        <w:t xml:space="preserve"> </w:t>
      </w:r>
      <w:r w:rsidR="000A1AAE" w:rsidRPr="00A841AA">
        <w:t>non-discriminatory</w:t>
      </w:r>
      <w:r w:rsidR="00D52FD0">
        <w:t xml:space="preserve"> </w:t>
      </w:r>
      <w:r w:rsidR="000A1AAE" w:rsidRPr="00A841AA">
        <w:t>access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Victims</w:t>
      </w:r>
      <w:r w:rsidR="00F14DA3">
        <w:t>’</w:t>
      </w:r>
      <w:r w:rsidR="00D52FD0">
        <w:t xml:space="preserve"> </w:t>
      </w:r>
      <w:r w:rsidR="000A1AAE" w:rsidRPr="00A841AA">
        <w:t>rights.</w:t>
      </w:r>
      <w:r w:rsidR="00D52FD0">
        <w:t xml:space="preserve"> </w:t>
      </w:r>
      <w:r w:rsidR="000A1AAE" w:rsidRPr="00A841AA">
        <w:t>As</w:t>
      </w:r>
      <w:r w:rsidR="00D52FD0">
        <w:t xml:space="preserve"> </w:t>
      </w:r>
      <w:r w:rsidR="000A1AAE" w:rsidRPr="00A841AA">
        <w:t>a</w:t>
      </w:r>
      <w:r w:rsidR="00D52FD0">
        <w:t xml:space="preserve"> </w:t>
      </w:r>
      <w:r w:rsidR="000A1AAE" w:rsidRPr="00A841AA">
        <w:t>result,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Victim</w:t>
      </w:r>
      <w:r w:rsidR="00D52FD0">
        <w:t xml:space="preserve"> </w:t>
      </w:r>
      <w:r w:rsidR="000A1AAE" w:rsidRPr="00A841AA">
        <w:t>Support</w:t>
      </w:r>
      <w:r w:rsidR="00D52FD0">
        <w:t xml:space="preserve"> </w:t>
      </w:r>
      <w:r w:rsidR="000A1AAE" w:rsidRPr="00A841AA">
        <w:t>Agency</w:t>
      </w:r>
      <w:r w:rsidR="00D52FD0">
        <w:t xml:space="preserve"> </w:t>
      </w:r>
      <w:r w:rsidR="000A1AAE" w:rsidRPr="00A841AA">
        <w:t>was</w:t>
      </w:r>
      <w:r w:rsidR="00D52FD0">
        <w:t xml:space="preserve"> </w:t>
      </w:r>
      <w:r w:rsidR="000A1AAE" w:rsidRPr="00A841AA">
        <w:t>established</w:t>
      </w:r>
      <w:r w:rsidR="00D52FD0">
        <w:t xml:space="preserve"> </w:t>
      </w:r>
      <w:r w:rsidR="000A1AAE" w:rsidRPr="00A841AA">
        <w:t>through</w:t>
      </w:r>
      <w:r w:rsidR="00D52FD0">
        <w:t xml:space="preserve"> </w:t>
      </w:r>
      <w:r w:rsidR="000A1AAE" w:rsidRPr="00A841AA">
        <w:t>Legal</w:t>
      </w:r>
      <w:r w:rsidR="00D52FD0">
        <w:t xml:space="preserve"> </w:t>
      </w:r>
      <w:r w:rsidR="000A1AAE" w:rsidRPr="00A841AA">
        <w:t>Notice</w:t>
      </w:r>
      <w:r w:rsidR="00D52FD0">
        <w:t xml:space="preserve"> </w:t>
      </w:r>
      <w:r w:rsidR="000A1AAE" w:rsidRPr="00A841AA">
        <w:t>418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2020</w:t>
      </w:r>
      <w:r w:rsidR="00D52FD0">
        <w:t xml:space="preserve"> </w:t>
      </w:r>
      <w:r w:rsidR="000A1AAE" w:rsidRPr="00A841AA">
        <w:t>(Subsidiary</w:t>
      </w:r>
      <w:r w:rsidR="00D52FD0">
        <w:t xml:space="preserve"> </w:t>
      </w:r>
      <w:r w:rsidR="000A1AAE" w:rsidRPr="00A841AA">
        <w:t>Legislation</w:t>
      </w:r>
      <w:r w:rsidR="00D52FD0">
        <w:t xml:space="preserve"> </w:t>
      </w:r>
      <w:r w:rsidR="000A1AAE" w:rsidRPr="00A841AA">
        <w:t>594.37),</w:t>
      </w:r>
      <w:r w:rsidR="00D52FD0">
        <w:t xml:space="preserve"> </w:t>
      </w:r>
      <w:r w:rsidR="000A1AAE" w:rsidRPr="00A841AA">
        <w:t>as</w:t>
      </w:r>
      <w:r w:rsidR="00D52FD0">
        <w:t xml:space="preserve"> </w:t>
      </w:r>
      <w:r w:rsidR="000A1AAE" w:rsidRPr="00A841AA">
        <w:t>a</w:t>
      </w:r>
      <w:r w:rsidR="00D52FD0">
        <w:t xml:space="preserve"> </w:t>
      </w:r>
      <w:r w:rsidR="000A1AAE" w:rsidRPr="00A841AA">
        <w:t>multidisciplinary</w:t>
      </w:r>
      <w:r w:rsidR="00D52FD0">
        <w:t xml:space="preserve"> </w:t>
      </w:r>
      <w:r w:rsidR="000A1AAE" w:rsidRPr="00A841AA">
        <w:t>agency</w:t>
      </w:r>
      <w:r w:rsidR="00D52FD0">
        <w:t xml:space="preserve"> </w:t>
      </w:r>
      <w:r w:rsidR="000A1AAE" w:rsidRPr="00A841AA">
        <w:t>wherein</w:t>
      </w:r>
      <w:r w:rsidR="00D52FD0">
        <w:t xml:space="preserve"> </w:t>
      </w:r>
      <w:r w:rsidR="000A1AAE" w:rsidRPr="00A841AA">
        <w:t>members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police,</w:t>
      </w:r>
      <w:r w:rsidR="00D52FD0">
        <w:t xml:space="preserve"> </w:t>
      </w:r>
      <w:r w:rsidR="000A1AAE" w:rsidRPr="00A841AA">
        <w:t>members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probation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parole</w:t>
      </w:r>
      <w:r w:rsidR="00D52FD0">
        <w:t xml:space="preserve"> </w:t>
      </w:r>
      <w:r w:rsidR="000A1AAE" w:rsidRPr="00A841AA">
        <w:t>department,</w:t>
      </w:r>
      <w:r w:rsidR="00D52FD0">
        <w:t xml:space="preserve"> </w:t>
      </w:r>
      <w:r w:rsidR="000A1AAE" w:rsidRPr="00A841AA">
        <w:t>professionals</w:t>
      </w:r>
      <w:r w:rsidR="00D52FD0">
        <w:t xml:space="preserve"> </w:t>
      </w:r>
      <w:r w:rsidR="000A1AAE" w:rsidRPr="00A841AA">
        <w:t>from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Hate</w:t>
      </w:r>
      <w:r w:rsidR="00D52FD0">
        <w:t xml:space="preserve"> </w:t>
      </w:r>
      <w:r w:rsidR="000A1AAE" w:rsidRPr="00A841AA">
        <w:t>Crime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Speech</w:t>
      </w:r>
      <w:r w:rsidR="00D52FD0">
        <w:t xml:space="preserve"> </w:t>
      </w:r>
      <w:r w:rsidR="000A1AAE" w:rsidRPr="00A841AA">
        <w:t>Unit,</w:t>
      </w:r>
      <w:r w:rsidR="00D52FD0">
        <w:t xml:space="preserve"> </w:t>
      </w:r>
      <w:r w:rsidR="000A1AAE" w:rsidRPr="00A841AA">
        <w:t>legal</w:t>
      </w:r>
      <w:r w:rsidR="00D52FD0">
        <w:t xml:space="preserve"> </w:t>
      </w:r>
      <w:r w:rsidR="000A1AAE" w:rsidRPr="00A841AA">
        <w:t>professionals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other</w:t>
      </w:r>
      <w:r w:rsidR="00D52FD0">
        <w:t xml:space="preserve"> </w:t>
      </w:r>
      <w:r w:rsidR="000A1AAE" w:rsidRPr="00A841AA">
        <w:t>public</w:t>
      </w:r>
      <w:r w:rsidR="00D52FD0">
        <w:t xml:space="preserve"> </w:t>
      </w:r>
      <w:r w:rsidR="000A1AAE" w:rsidRPr="00A841AA">
        <w:t>officers</w:t>
      </w:r>
      <w:r w:rsidR="00D52FD0">
        <w:t xml:space="preserve"> </w:t>
      </w:r>
      <w:r w:rsidR="000A1AAE" w:rsidRPr="00A841AA">
        <w:t>were</w:t>
      </w:r>
      <w:r w:rsidR="00D52FD0">
        <w:t xml:space="preserve"> </w:t>
      </w:r>
      <w:r w:rsidR="000A1AAE" w:rsidRPr="00A841AA">
        <w:t>brought</w:t>
      </w:r>
      <w:r w:rsidR="00D52FD0">
        <w:t xml:space="preserve"> </w:t>
      </w:r>
      <w:r w:rsidR="000A1AAE" w:rsidRPr="00A841AA">
        <w:t>together</w:t>
      </w:r>
      <w:r w:rsidR="00D52FD0">
        <w:t xml:space="preserve"> </w:t>
      </w:r>
      <w:r w:rsidR="000A1AAE" w:rsidRPr="00A841AA">
        <w:t>under</w:t>
      </w:r>
      <w:r w:rsidR="00D52FD0">
        <w:t xml:space="preserve"> </w:t>
      </w:r>
      <w:r w:rsidR="000A1AAE" w:rsidRPr="00A841AA">
        <w:t>one</w:t>
      </w:r>
      <w:r w:rsidR="00D52FD0">
        <w:t xml:space="preserve"> </w:t>
      </w:r>
      <w:r w:rsidR="000A1AAE" w:rsidRPr="00A841AA">
        <w:t>governmental</w:t>
      </w:r>
      <w:r w:rsidR="00D52FD0">
        <w:t xml:space="preserve"> </w:t>
      </w:r>
      <w:r w:rsidR="000A1AAE" w:rsidRPr="00A841AA">
        <w:t>entity.</w:t>
      </w:r>
      <w:r w:rsidR="00D52FD0">
        <w:t xml:space="preserve"> </w:t>
      </w:r>
      <w:r w:rsidR="000A1AAE" w:rsidRPr="00A841AA">
        <w:t>As</w:t>
      </w:r>
      <w:r w:rsidR="00D52FD0">
        <w:t xml:space="preserve"> </w:t>
      </w:r>
      <w:r w:rsidR="000A1AAE" w:rsidRPr="00A841AA">
        <w:t>expressed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its</w:t>
      </w:r>
      <w:r w:rsidR="00D52FD0">
        <w:t xml:space="preserve"> </w:t>
      </w:r>
      <w:r w:rsidR="000A1AAE" w:rsidRPr="00A841AA">
        <w:t>mission</w:t>
      </w:r>
      <w:r w:rsidR="00D52FD0">
        <w:t xml:space="preserve"> </w:t>
      </w:r>
      <w:r w:rsidR="000A1AAE" w:rsidRPr="00A841AA">
        <w:t>statement,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Agency</w:t>
      </w:r>
      <w:r w:rsidR="00D52FD0">
        <w:t xml:space="preserve"> </w:t>
      </w:r>
      <w:r w:rsidR="000A1AAE" w:rsidRPr="00A841AA">
        <w:t>shall</w:t>
      </w:r>
      <w:r w:rsidR="00D52FD0">
        <w:t xml:space="preserve"> </w:t>
      </w:r>
      <w:r w:rsidR="000A1AAE" w:rsidRPr="00A841AA">
        <w:t>act</w:t>
      </w:r>
      <w:r w:rsidR="00D52FD0">
        <w:t xml:space="preserve"> </w:t>
      </w:r>
      <w:r w:rsidR="000A1AAE" w:rsidRPr="00A841AA">
        <w:t>as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national</w:t>
      </w:r>
      <w:r w:rsidR="00D52FD0">
        <w:t xml:space="preserve"> </w:t>
      </w:r>
      <w:r w:rsidR="000A1AAE" w:rsidRPr="00A841AA">
        <w:t>contact</w:t>
      </w:r>
      <w:r w:rsidR="00D52FD0">
        <w:t xml:space="preserve"> </w:t>
      </w:r>
      <w:r w:rsidR="000A1AAE" w:rsidRPr="00A841AA">
        <w:t>point</w:t>
      </w:r>
      <w:r w:rsidR="00D52FD0">
        <w:t xml:space="preserve"> </w:t>
      </w:r>
      <w:r w:rsidR="000A1AAE" w:rsidRPr="00A841AA">
        <w:t>for</w:t>
      </w:r>
      <w:r w:rsidR="00D52FD0">
        <w:t xml:space="preserve"> </w:t>
      </w:r>
      <w:r w:rsidR="000A1AAE" w:rsidRPr="00A841AA">
        <w:t>victims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crime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promotes</w:t>
      </w:r>
      <w:r w:rsidR="00D52FD0">
        <w:t xml:space="preserve"> </w:t>
      </w:r>
      <w:r w:rsidR="000A1AAE" w:rsidRPr="00A841AA">
        <w:t>a</w:t>
      </w:r>
      <w:r w:rsidR="00D52FD0">
        <w:t xml:space="preserve"> </w:t>
      </w:r>
      <w:r w:rsidR="000A1AAE" w:rsidRPr="00A841AA">
        <w:t>holistic</w:t>
      </w:r>
      <w:r w:rsidR="00D52FD0">
        <w:t xml:space="preserve"> </w:t>
      </w:r>
      <w:r w:rsidR="000A1AAE" w:rsidRPr="00A841AA">
        <w:t>approach</w:t>
      </w:r>
      <w:r w:rsidR="00D52FD0">
        <w:t xml:space="preserve"> </w:t>
      </w:r>
      <w:r w:rsidR="000A1AAE" w:rsidRPr="00A841AA">
        <w:t>towards</w:t>
      </w:r>
      <w:r w:rsidR="00D52FD0">
        <w:t xml:space="preserve"> </w:t>
      </w:r>
      <w:r w:rsidR="000A1AAE" w:rsidRPr="00A841AA">
        <w:t>needs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support</w:t>
      </w:r>
      <w:r w:rsidR="00D52FD0">
        <w:t xml:space="preserve"> </w:t>
      </w:r>
      <w:r w:rsidR="000A1AAE" w:rsidRPr="00A841AA">
        <w:t>for</w:t>
      </w:r>
      <w:r w:rsidR="00D52FD0">
        <w:t xml:space="preserve"> </w:t>
      </w:r>
      <w:r w:rsidR="000A1AAE" w:rsidRPr="00A841AA">
        <w:t>achieving</w:t>
      </w:r>
      <w:r w:rsidR="00D52FD0">
        <w:t xml:space="preserve"> </w:t>
      </w:r>
      <w:r w:rsidR="000A1AAE" w:rsidRPr="00A841AA">
        <w:t>a</w:t>
      </w:r>
      <w:r w:rsidR="00D52FD0">
        <w:t xml:space="preserve"> </w:t>
      </w:r>
      <w:r w:rsidR="000A1AAE" w:rsidRPr="00A841AA">
        <w:t>better</w:t>
      </w:r>
      <w:r w:rsidR="00D52FD0">
        <w:t xml:space="preserve"> </w:t>
      </w:r>
      <w:r w:rsidR="000A1AAE" w:rsidRPr="00A841AA">
        <w:t>quality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life</w:t>
      </w:r>
      <w:r w:rsidR="00D52FD0">
        <w:t xml:space="preserve"> </w:t>
      </w:r>
      <w:r w:rsidR="000A1AAE" w:rsidRPr="00A841AA">
        <w:t>for</w:t>
      </w:r>
      <w:r w:rsidR="00D52FD0">
        <w:t xml:space="preserve"> </w:t>
      </w:r>
      <w:r w:rsidR="000A1AAE" w:rsidRPr="00A841AA">
        <w:t>all</w:t>
      </w:r>
      <w:r w:rsidR="00D52FD0">
        <w:t xml:space="preserve"> </w:t>
      </w:r>
      <w:r w:rsidR="000A1AAE" w:rsidRPr="00A841AA">
        <w:t>victims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crime.</w:t>
      </w:r>
    </w:p>
    <w:p w14:paraId="78F7109E" w14:textId="3BC4539F" w:rsidR="000A1AAE" w:rsidRPr="00A841AA" w:rsidRDefault="0044637E" w:rsidP="0044637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841AA">
        <w:t>21.</w:t>
      </w:r>
      <w:r w:rsidRPr="00A841AA">
        <w:tab/>
      </w:r>
      <w:r w:rsidR="000A1AAE" w:rsidRPr="00A841AA">
        <w:t>AWAS</w:t>
      </w:r>
      <w:r w:rsidR="00D52FD0">
        <w:t xml:space="preserve"> </w:t>
      </w:r>
      <w:r w:rsidR="000A1AAE" w:rsidRPr="00A841AA">
        <w:t>is</w:t>
      </w:r>
      <w:r w:rsidR="00D52FD0">
        <w:t xml:space="preserve"> </w:t>
      </w:r>
      <w:r w:rsidR="000A1AAE" w:rsidRPr="00A841AA">
        <w:t>working</w:t>
      </w:r>
      <w:r w:rsidR="00D52FD0">
        <w:t xml:space="preserve"> </w:t>
      </w:r>
      <w:r w:rsidR="000A1AAE" w:rsidRPr="00A841AA">
        <w:t>on</w:t>
      </w:r>
      <w:r w:rsidR="00D52FD0">
        <w:t xml:space="preserve"> </w:t>
      </w:r>
      <w:r w:rsidR="000A1AAE" w:rsidRPr="00A841AA">
        <w:t>two</w:t>
      </w:r>
      <w:r w:rsidR="00D52FD0">
        <w:t xml:space="preserve"> </w:t>
      </w:r>
      <w:r w:rsidR="000A1AAE" w:rsidRPr="00A841AA">
        <w:t>initiatives</w:t>
      </w:r>
      <w:r w:rsidR="00D52FD0">
        <w:t xml:space="preserve"> </w:t>
      </w:r>
      <w:r w:rsidR="000A1AAE" w:rsidRPr="00A841AA">
        <w:t>related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domestic</w:t>
      </w:r>
      <w:r w:rsidR="00D52FD0">
        <w:t xml:space="preserve"> </w:t>
      </w:r>
      <w:r w:rsidR="000A1AAE" w:rsidRPr="00A841AA">
        <w:t>violence.</w:t>
      </w:r>
      <w:r w:rsidR="00D52FD0">
        <w:t xml:space="preserve"> </w:t>
      </w:r>
      <w:r w:rsidR="000A1AAE" w:rsidRPr="00A841AA">
        <w:t>An</w:t>
      </w:r>
      <w:r w:rsidR="00D52FD0">
        <w:t xml:space="preserve"> </w:t>
      </w:r>
      <w:r w:rsidR="000A1AAE" w:rsidRPr="00A841AA">
        <w:t>information</w:t>
      </w:r>
      <w:r w:rsidR="00D52FD0">
        <w:t xml:space="preserve"> </w:t>
      </w:r>
      <w:r w:rsidR="000A1AAE" w:rsidRPr="00A841AA">
        <w:t>booklet</w:t>
      </w:r>
      <w:r w:rsidR="00D52FD0">
        <w:t xml:space="preserve"> </w:t>
      </w:r>
      <w:r w:rsidR="000A1AAE" w:rsidRPr="00A841AA">
        <w:t>is</w:t>
      </w:r>
      <w:r w:rsidR="00D52FD0">
        <w:t xml:space="preserve"> </w:t>
      </w:r>
      <w:r w:rsidR="000A1AAE" w:rsidRPr="00A841AA">
        <w:t>currently</w:t>
      </w:r>
      <w:r w:rsidR="00D52FD0">
        <w:t xml:space="preserve"> </w:t>
      </w:r>
      <w:r w:rsidR="000A1AAE" w:rsidRPr="00A841AA">
        <w:t>being</w:t>
      </w:r>
      <w:r w:rsidR="00D52FD0">
        <w:t xml:space="preserve"> </w:t>
      </w:r>
      <w:r w:rsidR="000A1AAE" w:rsidRPr="00A841AA">
        <w:t>developed</w:t>
      </w:r>
      <w:r w:rsidR="00D52FD0">
        <w:t xml:space="preserve"> </w:t>
      </w:r>
      <w:r w:rsidR="000A1AAE" w:rsidRPr="00A841AA">
        <w:t>containing</w:t>
      </w:r>
      <w:r w:rsidR="00D52FD0">
        <w:t xml:space="preserve"> </w:t>
      </w:r>
      <w:r w:rsidR="000A1AAE" w:rsidRPr="00A841AA">
        <w:t>information</w:t>
      </w:r>
      <w:r w:rsidR="00D52FD0">
        <w:t xml:space="preserve"> </w:t>
      </w:r>
      <w:r w:rsidR="000A1AAE" w:rsidRPr="00A841AA">
        <w:t>including</w:t>
      </w:r>
      <w:r w:rsidR="00D52FD0">
        <w:t xml:space="preserve"> </w:t>
      </w:r>
      <w:r w:rsidR="000A1AAE" w:rsidRPr="00A841AA">
        <w:t>information</w:t>
      </w:r>
      <w:r w:rsidR="00D52FD0">
        <w:t xml:space="preserve"> </w:t>
      </w:r>
      <w:r w:rsidR="000A1AAE" w:rsidRPr="00A841AA">
        <w:t>on</w:t>
      </w:r>
      <w:r w:rsidR="00D52FD0">
        <w:t xml:space="preserve"> </w:t>
      </w:r>
      <w:r w:rsidR="000A1AAE" w:rsidRPr="00A841AA">
        <w:t>Domestic</w:t>
      </w:r>
      <w:r w:rsidR="00D52FD0">
        <w:t xml:space="preserve"> </w:t>
      </w:r>
      <w:r w:rsidR="000A1AAE" w:rsidRPr="00A841AA">
        <w:t>Violence.</w:t>
      </w:r>
      <w:r w:rsidR="00D52FD0">
        <w:t xml:space="preserve"> </w:t>
      </w:r>
      <w:r w:rsidR="000A1AAE" w:rsidRPr="00A841AA">
        <w:t>This</w:t>
      </w:r>
      <w:r w:rsidR="00D52FD0">
        <w:t xml:space="preserve"> </w:t>
      </w:r>
      <w:r w:rsidR="000A1AAE" w:rsidRPr="00A841AA">
        <w:t>information</w:t>
      </w:r>
      <w:r w:rsidR="00D52FD0">
        <w:t xml:space="preserve"> </w:t>
      </w:r>
      <w:r w:rsidR="000A1AAE" w:rsidRPr="00A841AA">
        <w:t>will</w:t>
      </w:r>
      <w:r w:rsidR="00D52FD0">
        <w:t xml:space="preserve"> </w:t>
      </w:r>
      <w:r w:rsidR="000A1AAE" w:rsidRPr="00A841AA">
        <w:t>be</w:t>
      </w:r>
      <w:r w:rsidR="00D52FD0">
        <w:t xml:space="preserve"> </w:t>
      </w:r>
      <w:r w:rsidR="000A1AAE" w:rsidRPr="00A841AA">
        <w:t>made</w:t>
      </w:r>
      <w:r w:rsidR="00D52FD0">
        <w:t xml:space="preserve"> </w:t>
      </w:r>
      <w:r w:rsidR="000A1AAE" w:rsidRPr="00A841AA">
        <w:t>available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different</w:t>
      </w:r>
      <w:r w:rsidR="00D52FD0">
        <w:t xml:space="preserve"> </w:t>
      </w:r>
      <w:r w:rsidR="000A1AAE" w:rsidRPr="00A841AA">
        <w:t>languages.</w:t>
      </w:r>
      <w:r w:rsidR="00D52FD0">
        <w:t xml:space="preserve"> </w:t>
      </w:r>
      <w:r w:rsidR="000A1AAE" w:rsidRPr="00A841AA">
        <w:t>AWAS</w:t>
      </w:r>
      <w:r w:rsidR="00D52FD0">
        <w:t xml:space="preserve"> </w:t>
      </w:r>
      <w:r w:rsidR="000A1AAE" w:rsidRPr="00A841AA">
        <w:t>also</w:t>
      </w:r>
      <w:r w:rsidR="00D52FD0">
        <w:t xml:space="preserve"> </w:t>
      </w:r>
      <w:r w:rsidR="000A1AAE" w:rsidRPr="00A841AA">
        <w:t>teamed</w:t>
      </w:r>
      <w:r w:rsidR="00D52FD0">
        <w:t xml:space="preserve"> </w:t>
      </w:r>
      <w:r w:rsidR="000A1AAE" w:rsidRPr="00A841AA">
        <w:t>with</w:t>
      </w:r>
      <w:r w:rsidR="00D52FD0">
        <w:t xml:space="preserve"> </w:t>
      </w:r>
      <w:r w:rsidR="000A1AAE" w:rsidRPr="00A841AA">
        <w:t>JRS</w:t>
      </w:r>
      <w:r w:rsidR="00D52FD0">
        <w:t xml:space="preserve"> </w:t>
      </w:r>
      <w:r w:rsidR="000A1AAE" w:rsidRPr="00A841AA">
        <w:t>so</w:t>
      </w:r>
      <w:r w:rsidR="00D52FD0">
        <w:t xml:space="preserve"> </w:t>
      </w:r>
      <w:r w:rsidR="000A1AAE" w:rsidRPr="00A841AA">
        <w:t>that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latter</w:t>
      </w:r>
      <w:r w:rsidR="00D52FD0">
        <w:t xml:space="preserve"> </w:t>
      </w:r>
      <w:r w:rsidR="000A1AAE" w:rsidRPr="00A841AA">
        <w:t>will</w:t>
      </w:r>
      <w:r w:rsidR="00D52FD0">
        <w:t xml:space="preserve"> </w:t>
      </w:r>
      <w:r w:rsidR="000A1AAE" w:rsidRPr="00A841AA">
        <w:t>deliver</w:t>
      </w:r>
      <w:r w:rsidR="00D52FD0">
        <w:t xml:space="preserve"> </w:t>
      </w:r>
      <w:r w:rsidR="000A1AAE" w:rsidRPr="00A841AA">
        <w:t>information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presentations</w:t>
      </w:r>
      <w:r w:rsidR="00D52FD0">
        <w:t xml:space="preserve"> </w:t>
      </w:r>
      <w:r w:rsidR="000A1AAE" w:rsidRPr="00A841AA">
        <w:t>sessions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Sensitive</w:t>
      </w:r>
      <w:r w:rsidR="00D52FD0">
        <w:t xml:space="preserve"> </w:t>
      </w:r>
      <w:r w:rsidR="000A1AAE" w:rsidRPr="00A841AA">
        <w:t>centres</w:t>
      </w:r>
      <w:r w:rsidR="00D52FD0">
        <w:t xml:space="preserve"> </w:t>
      </w:r>
      <w:r w:rsidR="000A1AAE" w:rsidRPr="00A841AA">
        <w:t>exclusively</w:t>
      </w:r>
      <w:r w:rsidR="00D52FD0">
        <w:t xml:space="preserve"> </w:t>
      </w:r>
      <w:r w:rsidR="000A1AAE" w:rsidRPr="00A841AA">
        <w:t>on</w:t>
      </w:r>
      <w:r w:rsidR="00D52FD0">
        <w:t xml:space="preserve"> </w:t>
      </w:r>
      <w:r w:rsidR="000A1AAE" w:rsidRPr="00A841AA">
        <w:t>Domestic</w:t>
      </w:r>
      <w:r w:rsidR="00D52FD0">
        <w:t xml:space="preserve"> </w:t>
      </w:r>
      <w:r w:rsidR="000A1AAE" w:rsidRPr="00A841AA">
        <w:t>Violence.</w:t>
      </w:r>
      <w:r w:rsidR="00D52FD0">
        <w:t xml:space="preserve"> </w:t>
      </w:r>
      <w:r w:rsidR="000A1AAE" w:rsidRPr="00A841AA">
        <w:t>Further</w:t>
      </w:r>
      <w:r w:rsidR="00D52FD0">
        <w:t xml:space="preserve"> </w:t>
      </w:r>
      <w:r w:rsidR="000A1AAE" w:rsidRPr="00A841AA">
        <w:t>collaboration</w:t>
      </w:r>
      <w:r w:rsidR="00D52FD0">
        <w:t xml:space="preserve"> </w:t>
      </w:r>
      <w:r w:rsidR="000A1AAE" w:rsidRPr="00A841AA">
        <w:t>with</w:t>
      </w:r>
      <w:r w:rsidR="00D52FD0">
        <w:t xml:space="preserve"> </w:t>
      </w:r>
      <w:r w:rsidR="000A1AAE" w:rsidRPr="00A841AA">
        <w:t>Victim</w:t>
      </w:r>
      <w:r w:rsidR="00D52FD0">
        <w:t xml:space="preserve"> </w:t>
      </w:r>
      <w:r w:rsidR="000A1AAE" w:rsidRPr="00A841AA">
        <w:t>Support</w:t>
      </w:r>
      <w:r w:rsidR="00D52FD0">
        <w:t xml:space="preserve"> </w:t>
      </w:r>
      <w:r w:rsidR="000A1AAE" w:rsidRPr="00A841AA">
        <w:t>Malta</w:t>
      </w:r>
      <w:r w:rsidR="00D52FD0">
        <w:t xml:space="preserve"> </w:t>
      </w:r>
      <w:r w:rsidR="000A1AAE" w:rsidRPr="00A841AA">
        <w:t>is</w:t>
      </w:r>
      <w:r w:rsidR="00D52FD0">
        <w:t xml:space="preserve"> </w:t>
      </w:r>
      <w:r w:rsidR="000A1AAE" w:rsidRPr="00A841AA">
        <w:t>also</w:t>
      </w:r>
      <w:r w:rsidR="00D52FD0">
        <w:t xml:space="preserve"> </w:t>
      </w:r>
      <w:r w:rsidR="000A1AAE" w:rsidRPr="00A841AA">
        <w:t>being</w:t>
      </w:r>
      <w:r w:rsidR="00D52FD0">
        <w:t xml:space="preserve"> </w:t>
      </w:r>
      <w:r w:rsidR="000A1AAE" w:rsidRPr="00A841AA">
        <w:t>sought</w:t>
      </w:r>
      <w:r w:rsidR="00D52FD0">
        <w:t xml:space="preserve"> </w:t>
      </w:r>
      <w:r w:rsidR="000A1AAE" w:rsidRPr="00A841AA">
        <w:t>on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same</w:t>
      </w:r>
      <w:r w:rsidR="00D52FD0">
        <w:t xml:space="preserve"> </w:t>
      </w:r>
      <w:r w:rsidR="000A1AAE" w:rsidRPr="00A841AA">
        <w:t>matter.</w:t>
      </w:r>
    </w:p>
    <w:p w14:paraId="39458206" w14:textId="45ADE8AF" w:rsidR="000A1AAE" w:rsidRPr="00A841AA" w:rsidRDefault="0044637E" w:rsidP="0044637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841AA">
        <w:t>22.</w:t>
      </w:r>
      <w:r w:rsidRPr="00A841AA">
        <w:tab/>
      </w:r>
      <w:r w:rsidR="000A1AAE" w:rsidRPr="00A841AA">
        <w:t>With</w:t>
      </w:r>
      <w:r w:rsidR="00D52FD0">
        <w:t xml:space="preserve"> </w:t>
      </w:r>
      <w:r w:rsidR="000A1AAE" w:rsidRPr="00A841AA">
        <w:t>regard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provision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shelters,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Ministry</w:t>
      </w:r>
      <w:r w:rsidR="00D52FD0">
        <w:t xml:space="preserve"> </w:t>
      </w:r>
      <w:r w:rsidR="000A1AAE" w:rsidRPr="00A841AA">
        <w:t>for</w:t>
      </w:r>
      <w:r w:rsidR="00D52FD0">
        <w:t xml:space="preserve"> </w:t>
      </w:r>
      <w:r w:rsidR="000A1AAE" w:rsidRPr="00A841AA">
        <w:t>Social</w:t>
      </w:r>
      <w:r w:rsidR="00D52FD0">
        <w:t xml:space="preserve"> </w:t>
      </w:r>
      <w:r w:rsidR="000A1AAE" w:rsidRPr="00A841AA">
        <w:t>Justice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Solidarity,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Family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Children</w:t>
      </w:r>
      <w:r w:rsidR="00F14DA3">
        <w:t>’</w:t>
      </w:r>
      <w:r w:rsidR="000A1AAE" w:rsidRPr="00A841AA">
        <w:t>s</w:t>
      </w:r>
      <w:r w:rsidR="00D52FD0">
        <w:t xml:space="preserve"> </w:t>
      </w:r>
      <w:r w:rsidR="000A1AAE" w:rsidRPr="00A841AA">
        <w:t>Rights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Foundation</w:t>
      </w:r>
      <w:r w:rsidR="00D52FD0">
        <w:t xml:space="preserve"> </w:t>
      </w:r>
      <w:r w:rsidR="000A1AAE" w:rsidRPr="00A841AA">
        <w:t>for</w:t>
      </w:r>
      <w:r w:rsidR="00D52FD0">
        <w:t xml:space="preserve"> </w:t>
      </w:r>
      <w:r w:rsidR="000A1AAE" w:rsidRPr="00A841AA">
        <w:t>Social</w:t>
      </w:r>
      <w:r w:rsidR="00D52FD0">
        <w:t xml:space="preserve"> </w:t>
      </w:r>
      <w:r w:rsidR="000A1AAE" w:rsidRPr="00A841AA">
        <w:t>Welfare</w:t>
      </w:r>
      <w:r w:rsidR="00D52FD0">
        <w:t xml:space="preserve"> </w:t>
      </w:r>
      <w:r w:rsidR="000A1AAE" w:rsidRPr="00A841AA">
        <w:t>Services</w:t>
      </w:r>
      <w:r w:rsidR="00D52FD0">
        <w:t xml:space="preserve"> </w:t>
      </w:r>
      <w:r w:rsidR="000A1AAE" w:rsidRPr="00A841AA">
        <w:t>(FSWS)</w:t>
      </w:r>
      <w:r w:rsidR="00D52FD0">
        <w:t xml:space="preserve"> </w:t>
      </w:r>
      <w:r w:rsidR="000A1AAE" w:rsidRPr="00A841AA">
        <w:t>have</w:t>
      </w:r>
      <w:r w:rsidR="00D52FD0">
        <w:t xml:space="preserve"> </w:t>
      </w:r>
      <w:r w:rsidR="000A1AAE" w:rsidRPr="00A841AA">
        <w:t>a</w:t>
      </w:r>
      <w:r w:rsidR="00D52FD0">
        <w:t xml:space="preserve"> </w:t>
      </w:r>
      <w:r w:rsidR="000A1AAE" w:rsidRPr="00A841AA">
        <w:t>number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Public</w:t>
      </w:r>
      <w:r w:rsidR="00D52FD0">
        <w:t xml:space="preserve"> </w:t>
      </w:r>
      <w:r w:rsidR="000A1AAE" w:rsidRPr="00A841AA">
        <w:t>Social</w:t>
      </w:r>
      <w:r w:rsidR="00D52FD0">
        <w:t xml:space="preserve"> </w:t>
      </w:r>
      <w:r w:rsidR="000A1AAE" w:rsidRPr="00A841AA">
        <w:t>Partnership</w:t>
      </w:r>
      <w:r w:rsidR="00D52FD0">
        <w:t xml:space="preserve"> </w:t>
      </w:r>
      <w:r w:rsidR="000A1AAE" w:rsidRPr="00A841AA">
        <w:t>(PSP)</w:t>
      </w:r>
      <w:r w:rsidR="00D52FD0">
        <w:t xml:space="preserve"> </w:t>
      </w:r>
      <w:r w:rsidR="000A1AAE" w:rsidRPr="00A841AA">
        <w:t>Agreements</w:t>
      </w:r>
      <w:r w:rsidR="00D52FD0">
        <w:t xml:space="preserve"> </w:t>
      </w:r>
      <w:r w:rsidR="000A1AAE" w:rsidRPr="00A841AA">
        <w:t>with</w:t>
      </w:r>
      <w:r w:rsidR="00D52FD0">
        <w:t xml:space="preserve"> </w:t>
      </w:r>
      <w:r w:rsidR="000A1AAE" w:rsidRPr="00A841AA">
        <w:t>NGOs</w:t>
      </w:r>
      <w:r w:rsidR="00D52FD0">
        <w:t xml:space="preserve"> </w:t>
      </w:r>
      <w:r w:rsidR="000A1AAE" w:rsidRPr="00A841AA">
        <w:t>by</w:t>
      </w:r>
      <w:r w:rsidR="00D52FD0">
        <w:t xml:space="preserve"> </w:t>
      </w:r>
      <w:r w:rsidR="000A1AAE" w:rsidRPr="00A841AA">
        <w:t>providing</w:t>
      </w:r>
      <w:r w:rsidR="00D52FD0">
        <w:t xml:space="preserve"> </w:t>
      </w:r>
      <w:r w:rsidR="000A1AAE" w:rsidRPr="00A841AA">
        <w:t>funding</w:t>
      </w:r>
      <w:r w:rsidR="00D52FD0">
        <w:t xml:space="preserve"> </w:t>
      </w:r>
      <w:r w:rsidR="000A1AAE" w:rsidRPr="00A841AA">
        <w:t>for</w:t>
      </w:r>
      <w:r w:rsidR="00D52FD0">
        <w:t xml:space="preserve"> </w:t>
      </w:r>
      <w:r w:rsidR="000A1AAE" w:rsidRPr="00A841AA">
        <w:t>their</w:t>
      </w:r>
      <w:r w:rsidR="00D52FD0">
        <w:t xml:space="preserve"> </w:t>
      </w:r>
      <w:r w:rsidR="000A1AAE" w:rsidRPr="00A841AA">
        <w:t>work</w:t>
      </w:r>
      <w:r w:rsidR="00D52FD0">
        <w:t xml:space="preserve"> </w:t>
      </w:r>
      <w:r w:rsidR="000A1AAE" w:rsidRPr="00A841AA">
        <w:t>with</w:t>
      </w:r>
      <w:r w:rsidR="00D52FD0">
        <w:t xml:space="preserve"> </w:t>
      </w:r>
      <w:r w:rsidR="000A1AAE" w:rsidRPr="00A841AA">
        <w:t>victims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domestic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gender-based</w:t>
      </w:r>
      <w:r w:rsidR="00D52FD0">
        <w:t xml:space="preserve"> </w:t>
      </w:r>
      <w:r w:rsidR="000A1AAE" w:rsidRPr="00A841AA">
        <w:t>violence.</w:t>
      </w:r>
      <w:r w:rsidR="00D52FD0">
        <w:t xml:space="preserve"> </w:t>
      </w:r>
      <w:r w:rsidR="000A1AAE" w:rsidRPr="00A841AA">
        <w:t>These</w:t>
      </w:r>
      <w:r w:rsidR="00D52FD0">
        <w:t xml:space="preserve"> </w:t>
      </w:r>
      <w:r w:rsidR="000A1AAE" w:rsidRPr="00A841AA">
        <w:t>include</w:t>
      </w:r>
      <w:r w:rsidR="00D52FD0">
        <w:t xml:space="preserve"> </w:t>
      </w:r>
      <w:r w:rsidR="000A1AAE" w:rsidRPr="00A841AA">
        <w:t>mainly</w:t>
      </w:r>
      <w:r w:rsidR="00D52FD0">
        <w:t xml:space="preserve"> </w:t>
      </w:r>
      <w:r w:rsidR="000A1AAE" w:rsidRPr="00A841AA">
        <w:t>shelter</w:t>
      </w:r>
      <w:r w:rsidR="00D52FD0">
        <w:t xml:space="preserve"> </w:t>
      </w:r>
      <w:r w:rsidR="000A1AAE" w:rsidRPr="00A841AA">
        <w:t>services,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support</w:t>
      </w:r>
      <w:r w:rsidR="00D52FD0">
        <w:t xml:space="preserve"> </w:t>
      </w:r>
      <w:r w:rsidR="000A1AAE" w:rsidRPr="00A841AA">
        <w:t>services.</w:t>
      </w:r>
      <w:r w:rsidR="00D52FD0">
        <w:t xml:space="preserve"> </w:t>
      </w:r>
      <w:r w:rsidR="000A1AAE" w:rsidRPr="00A841AA">
        <w:t>Examples</w:t>
      </w:r>
      <w:r w:rsidR="00D52FD0">
        <w:t xml:space="preserve"> </w:t>
      </w:r>
      <w:r w:rsidR="000A1AAE" w:rsidRPr="00A841AA">
        <w:t>are</w:t>
      </w:r>
      <w:r w:rsidR="00D52FD0">
        <w:t xml:space="preserve"> </w:t>
      </w:r>
      <w:r w:rsidR="000A1AAE" w:rsidRPr="00A841AA">
        <w:t>Fondazzjoni</w:t>
      </w:r>
      <w:r w:rsidR="00D52FD0">
        <w:t xml:space="preserve"> </w:t>
      </w:r>
      <w:r w:rsidR="000A1AAE" w:rsidRPr="00A841AA">
        <w:t>Merħba</w:t>
      </w:r>
      <w:r w:rsidR="00D52FD0">
        <w:t xml:space="preserve"> </w:t>
      </w:r>
      <w:r w:rsidR="000A1AAE" w:rsidRPr="00A841AA">
        <w:t>Bik</w:t>
      </w:r>
      <w:r w:rsidR="00D52FD0">
        <w:t xml:space="preserve"> </w:t>
      </w:r>
      <w:r w:rsidR="000A1AAE" w:rsidRPr="00A841AA">
        <w:t>(Emergency</w:t>
      </w:r>
      <w:r w:rsidR="00D52FD0">
        <w:t xml:space="preserve"> </w:t>
      </w:r>
      <w:r w:rsidR="000A1AAE" w:rsidRPr="00A841AA">
        <w:t>Shelter)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Fondazzjoni</w:t>
      </w:r>
      <w:r w:rsidR="00D52FD0">
        <w:t xml:space="preserve"> </w:t>
      </w:r>
      <w:r w:rsidR="000A1AAE" w:rsidRPr="00A841AA">
        <w:t>Sebħ</w:t>
      </w:r>
      <w:r w:rsidR="00D52FD0">
        <w:t xml:space="preserve"> </w:t>
      </w:r>
      <w:r w:rsidR="000A1AAE" w:rsidRPr="00A841AA">
        <w:t>(Second</w:t>
      </w:r>
      <w:r w:rsidR="00D52FD0">
        <w:t xml:space="preserve"> </w:t>
      </w:r>
      <w:r w:rsidR="000A1AAE" w:rsidRPr="00A841AA">
        <w:t>Stage</w:t>
      </w:r>
      <w:r w:rsidR="00D52FD0">
        <w:t xml:space="preserve"> </w:t>
      </w:r>
      <w:r w:rsidR="000A1AAE" w:rsidRPr="00A841AA">
        <w:t>Shelter),</w:t>
      </w:r>
      <w:r w:rsidR="00D52FD0">
        <w:t xml:space="preserve"> </w:t>
      </w:r>
      <w:r w:rsidR="000A1AAE" w:rsidRPr="00A841AA">
        <w:t>two</w:t>
      </w:r>
      <w:r w:rsidR="00D52FD0">
        <w:t xml:space="preserve"> </w:t>
      </w:r>
      <w:r w:rsidR="000A1AAE" w:rsidRPr="00A841AA">
        <w:t>domestic</w:t>
      </w:r>
      <w:r w:rsidR="00D52FD0">
        <w:t xml:space="preserve"> </w:t>
      </w:r>
      <w:r w:rsidR="000A1AAE" w:rsidRPr="00A841AA">
        <w:t>violence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gender-based</w:t>
      </w:r>
      <w:r w:rsidR="00D52FD0">
        <w:t xml:space="preserve"> </w:t>
      </w:r>
      <w:r w:rsidR="000A1AAE" w:rsidRPr="00A841AA">
        <w:t>violence</w:t>
      </w:r>
      <w:r w:rsidR="00D52FD0">
        <w:t xml:space="preserve"> </w:t>
      </w:r>
      <w:r w:rsidR="000A1AAE" w:rsidRPr="00A841AA">
        <w:t>shelters</w:t>
      </w:r>
      <w:r w:rsidR="00D52FD0">
        <w:t xml:space="preserve"> </w:t>
      </w:r>
      <w:r w:rsidR="000A1AAE" w:rsidRPr="00A841AA">
        <w:t>run</w:t>
      </w:r>
      <w:r w:rsidR="00D52FD0">
        <w:t xml:space="preserve"> </w:t>
      </w:r>
      <w:r w:rsidR="000A1AAE" w:rsidRPr="00A841AA">
        <w:t>by</w:t>
      </w:r>
      <w:r w:rsidR="00D52FD0">
        <w:t xml:space="preserve"> </w:t>
      </w:r>
      <w:r w:rsidR="000A1AAE" w:rsidRPr="00A841AA">
        <w:t>religious-based</w:t>
      </w:r>
      <w:r w:rsidR="00D52FD0">
        <w:t xml:space="preserve"> </w:t>
      </w:r>
      <w:r w:rsidR="000A1AAE" w:rsidRPr="00A841AA">
        <w:t>NGOs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are</w:t>
      </w:r>
      <w:r w:rsidR="00D52FD0">
        <w:t xml:space="preserve"> </w:t>
      </w:r>
      <w:r w:rsidR="000A1AAE" w:rsidRPr="00A841AA">
        <w:t>funded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regulated</w:t>
      </w:r>
      <w:r w:rsidR="00D52FD0">
        <w:t xml:space="preserve"> </w:t>
      </w:r>
      <w:r w:rsidR="000A1AAE" w:rsidRPr="00A841AA">
        <w:t>by</w:t>
      </w:r>
      <w:r w:rsidR="00D52FD0">
        <w:t xml:space="preserve"> </w:t>
      </w:r>
      <w:r w:rsidR="000A1AAE" w:rsidRPr="00A841AA">
        <w:t>a</w:t>
      </w:r>
      <w:r w:rsidR="00D52FD0">
        <w:t xml:space="preserve"> </w:t>
      </w:r>
      <w:r w:rsidR="000A1AAE" w:rsidRPr="00A841AA">
        <w:t>Public</w:t>
      </w:r>
      <w:r w:rsidR="00D52FD0">
        <w:t xml:space="preserve"> </w:t>
      </w:r>
      <w:r w:rsidR="000A1AAE" w:rsidRPr="00A841AA">
        <w:t>Social</w:t>
      </w:r>
      <w:r w:rsidR="00D52FD0">
        <w:t xml:space="preserve"> </w:t>
      </w:r>
      <w:r w:rsidR="000A1AAE" w:rsidRPr="00A841AA">
        <w:t>Partnership</w:t>
      </w:r>
      <w:r w:rsidR="00D52FD0">
        <w:t xml:space="preserve"> </w:t>
      </w:r>
      <w:r w:rsidR="000A1AAE" w:rsidRPr="00A841AA">
        <w:t>agreement</w:t>
      </w:r>
      <w:r w:rsidR="00D52FD0">
        <w:t xml:space="preserve"> </w:t>
      </w:r>
      <w:r w:rsidR="000A1AAE" w:rsidRPr="00A841AA">
        <w:t>between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NGO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Government.</w:t>
      </w:r>
    </w:p>
    <w:p w14:paraId="68D383DE" w14:textId="199D6164" w:rsidR="000E4FD0" w:rsidRDefault="0044637E" w:rsidP="0044637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>
        <w:t>23.</w:t>
      </w:r>
      <w:r>
        <w:tab/>
      </w:r>
      <w:r w:rsidR="000A1AAE" w:rsidRPr="00A841AA">
        <w:t>There</w:t>
      </w:r>
      <w:r w:rsidR="00D52FD0">
        <w:t xml:space="preserve"> </w:t>
      </w:r>
      <w:r w:rsidR="000A1AAE" w:rsidRPr="00A841AA">
        <w:t>are</w:t>
      </w:r>
      <w:r w:rsidR="00D52FD0">
        <w:t xml:space="preserve"> </w:t>
      </w:r>
      <w:r w:rsidR="000A1AAE" w:rsidRPr="00A841AA">
        <w:t>also</w:t>
      </w:r>
      <w:r w:rsidR="00D52FD0">
        <w:t xml:space="preserve"> </w:t>
      </w:r>
      <w:r w:rsidR="000A1AAE" w:rsidRPr="00A841AA">
        <w:t>Domestic</w:t>
      </w:r>
      <w:r w:rsidR="00D52FD0">
        <w:t xml:space="preserve"> </w:t>
      </w:r>
      <w:r w:rsidR="000A1AAE" w:rsidRPr="00A841AA">
        <w:t>Violence</w:t>
      </w:r>
      <w:r w:rsidR="00D52FD0">
        <w:t xml:space="preserve"> </w:t>
      </w:r>
      <w:r w:rsidR="000A1AAE" w:rsidRPr="00A841AA">
        <w:t>Services</w:t>
      </w:r>
      <w:r w:rsidR="00D52FD0">
        <w:t xml:space="preserve"> </w:t>
      </w:r>
      <w:r w:rsidR="000A1AAE" w:rsidRPr="00A841AA">
        <w:t>within</w:t>
      </w:r>
      <w:r w:rsidR="00D52FD0">
        <w:t xml:space="preserve"> </w:t>
      </w:r>
      <w:r w:rsidR="000A1AAE" w:rsidRPr="00A841AA">
        <w:t>Aġenzija</w:t>
      </w:r>
      <w:r w:rsidR="00D52FD0">
        <w:t xml:space="preserve"> </w:t>
      </w:r>
      <w:r w:rsidR="000A1AAE" w:rsidRPr="00A841AA">
        <w:t>Appoġġ</w:t>
      </w:r>
      <w:r w:rsidR="00D52FD0">
        <w:t xml:space="preserve"> </w:t>
      </w:r>
      <w:r w:rsidR="000A1AAE" w:rsidRPr="00A841AA">
        <w:t>(the</w:t>
      </w:r>
      <w:r w:rsidR="00D52FD0">
        <w:t xml:space="preserve"> </w:t>
      </w:r>
      <w:r w:rsidR="000A1AAE" w:rsidRPr="00A841AA">
        <w:t>National</w:t>
      </w:r>
      <w:r w:rsidR="00D52FD0">
        <w:t xml:space="preserve"> </w:t>
      </w:r>
      <w:r w:rsidR="000A1AAE" w:rsidRPr="00A841AA">
        <w:t>Agency</w:t>
      </w:r>
      <w:r w:rsidR="00D52FD0">
        <w:t xml:space="preserve"> </w:t>
      </w:r>
      <w:r w:rsidR="000A1AAE" w:rsidRPr="00A841AA">
        <w:t>for</w:t>
      </w:r>
      <w:r w:rsidR="00D52FD0">
        <w:t xml:space="preserve"> </w:t>
      </w:r>
      <w:r w:rsidR="000A1AAE" w:rsidRPr="00A841AA">
        <w:t>children,</w:t>
      </w:r>
      <w:r w:rsidR="00D52FD0">
        <w:t xml:space="preserve"> </w:t>
      </w:r>
      <w:r w:rsidR="000A1AAE" w:rsidRPr="00A841AA">
        <w:t>families,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community)</w:t>
      </w:r>
      <w:r w:rsidR="00D52FD0">
        <w:t xml:space="preserve"> </w:t>
      </w:r>
      <w:r w:rsidR="000A1AAE" w:rsidRPr="00A841AA">
        <w:t>FSWS.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Domestic</w:t>
      </w:r>
      <w:r w:rsidR="00D52FD0">
        <w:t xml:space="preserve"> </w:t>
      </w:r>
      <w:r w:rsidR="000A1AAE" w:rsidRPr="00A841AA">
        <w:t>Violence</w:t>
      </w:r>
      <w:r w:rsidR="00D52FD0">
        <w:t xml:space="preserve"> </w:t>
      </w:r>
      <w:r w:rsidR="000A1AAE" w:rsidRPr="00A841AA">
        <w:t>Service</w:t>
      </w:r>
      <w:r w:rsidR="00D52FD0">
        <w:t xml:space="preserve"> </w:t>
      </w:r>
      <w:r w:rsidR="000A1AAE" w:rsidRPr="00A841AA">
        <w:t>aims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provide</w:t>
      </w:r>
      <w:r w:rsidR="00D52FD0">
        <w:t xml:space="preserve"> </w:t>
      </w:r>
      <w:r w:rsidR="000A1AAE" w:rsidRPr="00A841AA">
        <w:t>specialised</w:t>
      </w:r>
      <w:r w:rsidR="00D52FD0">
        <w:t xml:space="preserve"> </w:t>
      </w:r>
      <w:r w:rsidR="000A1AAE" w:rsidRPr="00A841AA">
        <w:t>social</w:t>
      </w:r>
      <w:r w:rsidR="00D52FD0">
        <w:t xml:space="preserve"> </w:t>
      </w:r>
      <w:r w:rsidR="000A1AAE" w:rsidRPr="00A841AA">
        <w:t>work</w:t>
      </w:r>
      <w:r w:rsidR="00D52FD0">
        <w:t xml:space="preserve"> </w:t>
      </w:r>
      <w:r w:rsidR="000A1AAE" w:rsidRPr="00A841AA">
        <w:t>services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victims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domestic</w:t>
      </w:r>
      <w:r w:rsidR="00D52FD0">
        <w:t xml:space="preserve"> </w:t>
      </w:r>
      <w:r w:rsidR="000A1AAE" w:rsidRPr="00A841AA">
        <w:t>violence.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service</w:t>
      </w:r>
      <w:r w:rsidR="00D52FD0">
        <w:t xml:space="preserve"> </w:t>
      </w:r>
      <w:r w:rsidR="000A1AAE" w:rsidRPr="00A841AA">
        <w:t>is</w:t>
      </w:r>
      <w:r w:rsidR="00D52FD0">
        <w:t xml:space="preserve"> </w:t>
      </w:r>
      <w:r w:rsidR="000A1AAE" w:rsidRPr="00A841AA">
        <w:t>made</w:t>
      </w:r>
      <w:r w:rsidR="00D52FD0">
        <w:t xml:space="preserve"> </w:t>
      </w:r>
      <w:r w:rsidR="000A1AAE" w:rsidRPr="00A841AA">
        <w:t>up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a</w:t>
      </w:r>
      <w:r w:rsidR="00D52FD0">
        <w:t xml:space="preserve"> </w:t>
      </w:r>
      <w:r w:rsidR="000A1AAE" w:rsidRPr="00A841AA">
        <w:t>team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professional</w:t>
      </w:r>
      <w:r w:rsidR="00D52FD0">
        <w:t xml:space="preserve"> </w:t>
      </w:r>
      <w:r w:rsidR="000A1AAE" w:rsidRPr="00A841AA">
        <w:t>social</w:t>
      </w:r>
      <w:r w:rsidR="00D52FD0">
        <w:t xml:space="preserve"> </w:t>
      </w:r>
      <w:r w:rsidR="000A1AAE" w:rsidRPr="00A841AA">
        <w:t>workers,</w:t>
      </w:r>
      <w:r w:rsidR="00D52FD0">
        <w:t xml:space="preserve"> </w:t>
      </w:r>
      <w:r w:rsidR="000A1AAE" w:rsidRPr="00A841AA">
        <w:t>who</w:t>
      </w:r>
      <w:r w:rsidR="00D52FD0">
        <w:t xml:space="preserve"> </w:t>
      </w:r>
      <w:r w:rsidR="000A1AAE" w:rsidRPr="00A841AA">
        <w:t>provide</w:t>
      </w:r>
      <w:r w:rsidR="00D52FD0">
        <w:t xml:space="preserve"> </w:t>
      </w:r>
      <w:r w:rsidR="000A1AAE" w:rsidRPr="00A841AA">
        <w:t>support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victims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domestic</w:t>
      </w:r>
      <w:r w:rsidR="00D52FD0">
        <w:t xml:space="preserve"> </w:t>
      </w:r>
      <w:r w:rsidR="000A1AAE" w:rsidRPr="00A841AA">
        <w:t>violence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their</w:t>
      </w:r>
      <w:r w:rsidR="00D52FD0">
        <w:t xml:space="preserve"> </w:t>
      </w:r>
      <w:r w:rsidR="000A1AAE" w:rsidRPr="00A841AA">
        <w:t>children.</w:t>
      </w:r>
      <w:r w:rsidR="00D52FD0">
        <w:t xml:space="preserve"> </w:t>
      </w:r>
      <w:r w:rsidR="000A1AAE" w:rsidRPr="00A841AA">
        <w:t>It</w:t>
      </w:r>
      <w:r w:rsidR="00D52FD0">
        <w:t xml:space="preserve"> </w:t>
      </w:r>
      <w:r w:rsidR="000A1AAE" w:rsidRPr="00A841AA">
        <w:t>aims</w:t>
      </w:r>
      <w:r w:rsidR="00D52FD0">
        <w:t xml:space="preserve"> </w:t>
      </w:r>
      <w:r w:rsidR="000A1AAE" w:rsidRPr="00A841AA">
        <w:t>at</w:t>
      </w:r>
      <w:r w:rsidR="00D52FD0">
        <w:t xml:space="preserve"> </w:t>
      </w:r>
      <w:r w:rsidR="000A1AAE" w:rsidRPr="00A841AA">
        <w:t>supporting</w:t>
      </w:r>
      <w:r w:rsidR="00D52FD0">
        <w:t xml:space="preserve"> </w:t>
      </w:r>
      <w:r w:rsidR="000A1AAE" w:rsidRPr="00A841AA">
        <w:t>victims</w:t>
      </w:r>
      <w:r w:rsidR="00D52FD0">
        <w:t xml:space="preserve"> </w:t>
      </w:r>
      <w:r w:rsidR="000A1AAE" w:rsidRPr="00A841AA">
        <w:t>at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time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crises</w:t>
      </w:r>
      <w:r w:rsidR="00D52FD0">
        <w:t xml:space="preserve"> </w:t>
      </w:r>
      <w:r w:rsidR="000A1AAE" w:rsidRPr="00A841AA">
        <w:t>by</w:t>
      </w:r>
      <w:r w:rsidR="00D52FD0">
        <w:t xml:space="preserve"> </w:t>
      </w:r>
      <w:r w:rsidR="000A1AAE" w:rsidRPr="00A841AA">
        <w:t>providing</w:t>
      </w:r>
      <w:r w:rsidR="00D52FD0">
        <w:t xml:space="preserve"> </w:t>
      </w:r>
      <w:r w:rsidR="000A1AAE" w:rsidRPr="00A841AA">
        <w:t>them</w:t>
      </w:r>
      <w:r w:rsidR="00D52FD0">
        <w:t xml:space="preserve"> </w:t>
      </w:r>
      <w:r w:rsidR="000A1AAE" w:rsidRPr="00A841AA">
        <w:t>with</w:t>
      </w:r>
      <w:r w:rsidR="00D52FD0">
        <w:t xml:space="preserve"> </w:t>
      </w:r>
      <w:r w:rsidR="000A1AAE" w:rsidRPr="00A841AA">
        <w:t>immediate</w:t>
      </w:r>
      <w:r w:rsidR="00D52FD0">
        <w:t xml:space="preserve"> </w:t>
      </w:r>
      <w:r w:rsidR="000A1AAE" w:rsidRPr="00A841AA">
        <w:t>assistance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meet</w:t>
      </w:r>
      <w:r w:rsidR="00D52FD0">
        <w:t xml:space="preserve"> </w:t>
      </w:r>
      <w:r w:rsidR="000A1AAE" w:rsidRPr="00A841AA">
        <w:t>their</w:t>
      </w:r>
      <w:r w:rsidR="00D52FD0">
        <w:t xml:space="preserve"> </w:t>
      </w:r>
      <w:r w:rsidR="000A1AAE" w:rsidRPr="00A841AA">
        <w:t>immediate</w:t>
      </w:r>
      <w:r w:rsidR="00D52FD0">
        <w:t xml:space="preserve"> </w:t>
      </w:r>
      <w:r w:rsidR="000A1AAE" w:rsidRPr="00A841AA">
        <w:t>needs,</w:t>
      </w:r>
      <w:r w:rsidR="00D52FD0">
        <w:t xml:space="preserve"> </w:t>
      </w:r>
      <w:r w:rsidR="000A1AAE" w:rsidRPr="00A841AA">
        <w:t>helping</w:t>
      </w:r>
      <w:r w:rsidR="00D52FD0">
        <w:t xml:space="preserve"> </w:t>
      </w:r>
      <w:r w:rsidR="000A1AAE" w:rsidRPr="00A841AA">
        <w:t>them</w:t>
      </w:r>
      <w:r w:rsidR="00D52FD0">
        <w:t xml:space="preserve"> </w:t>
      </w:r>
      <w:r w:rsidR="000A1AAE" w:rsidRPr="00A841AA">
        <w:t>develop</w:t>
      </w:r>
      <w:r w:rsidR="00D52FD0">
        <w:t xml:space="preserve"> </w:t>
      </w:r>
      <w:r w:rsidR="000A1AAE" w:rsidRPr="00A841AA">
        <w:t>a</w:t>
      </w:r>
      <w:r w:rsidR="00D52FD0">
        <w:t xml:space="preserve"> </w:t>
      </w:r>
      <w:r w:rsidR="000A1AAE" w:rsidRPr="00A841AA">
        <w:t>safety</w:t>
      </w:r>
      <w:r w:rsidR="00D52FD0">
        <w:t xml:space="preserve"> </w:t>
      </w:r>
      <w:r w:rsidR="000A1AAE" w:rsidRPr="00A841AA">
        <w:t>plan,</w:t>
      </w:r>
      <w:r w:rsidR="00D52FD0">
        <w:t xml:space="preserve"> </w:t>
      </w:r>
      <w:r w:rsidR="000A1AAE" w:rsidRPr="00A841AA">
        <w:t>as</w:t>
      </w:r>
      <w:r w:rsidR="00D52FD0">
        <w:t xml:space="preserve"> </w:t>
      </w:r>
      <w:r w:rsidR="000A1AAE" w:rsidRPr="00A841AA">
        <w:t>well</w:t>
      </w:r>
      <w:r w:rsidR="00D52FD0">
        <w:t xml:space="preserve"> </w:t>
      </w:r>
      <w:r w:rsidR="000A1AAE" w:rsidRPr="00A841AA">
        <w:t>as</w:t>
      </w:r>
      <w:r w:rsidR="00D52FD0">
        <w:t xml:space="preserve"> </w:t>
      </w:r>
      <w:r w:rsidR="000A1AAE" w:rsidRPr="00A841AA">
        <w:t>providing</w:t>
      </w:r>
      <w:r w:rsidR="00D52FD0">
        <w:t xml:space="preserve"> </w:t>
      </w:r>
      <w:r w:rsidR="000A1AAE" w:rsidRPr="00A841AA">
        <w:t>ongoing</w:t>
      </w:r>
      <w:r w:rsidR="00D52FD0">
        <w:t xml:space="preserve"> </w:t>
      </w:r>
      <w:r w:rsidR="000A1AAE" w:rsidRPr="00A841AA">
        <w:t>support.</w:t>
      </w:r>
    </w:p>
    <w:p w14:paraId="3D450414" w14:textId="043E65C9" w:rsidR="000A1AAE" w:rsidRPr="00A841AA" w:rsidRDefault="000A1AAE" w:rsidP="00D52FD0">
      <w:pPr>
        <w:pStyle w:val="H23G"/>
        <w:rPr>
          <w:lang w:eastAsia="en-GB"/>
        </w:rPr>
      </w:pPr>
      <w:r>
        <w:rPr>
          <w:lang w:eastAsia="en-GB"/>
        </w:rPr>
        <w:tab/>
      </w:r>
      <w:r>
        <w:rPr>
          <w:lang w:eastAsia="en-GB"/>
        </w:rPr>
        <w:tab/>
      </w:r>
      <w:r w:rsidRPr="00A841AA">
        <w:rPr>
          <w:lang w:eastAsia="en-GB"/>
        </w:rPr>
        <w:t>Abortion</w:t>
      </w:r>
    </w:p>
    <w:p w14:paraId="0A1CA00C" w14:textId="563A6765" w:rsidR="000E4FD0" w:rsidRDefault="0044637E" w:rsidP="0044637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>
        <w:t>24.</w:t>
      </w:r>
      <w:r>
        <w:tab/>
      </w:r>
      <w:r w:rsidR="000A1AAE" w:rsidRPr="00A841AA">
        <w:t>Malta</w:t>
      </w:r>
      <w:r w:rsidR="00D52FD0">
        <w:t xml:space="preserve"> </w:t>
      </w:r>
      <w:r w:rsidR="000A1AAE" w:rsidRPr="00A841AA">
        <w:t>is</w:t>
      </w:r>
      <w:r w:rsidR="00D52FD0">
        <w:t xml:space="preserve"> </w:t>
      </w:r>
      <w:r w:rsidR="000A1AAE" w:rsidRPr="00A841AA">
        <w:t>committed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promotion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sexual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reproductive</w:t>
      </w:r>
      <w:r w:rsidR="00D52FD0">
        <w:t xml:space="preserve"> </w:t>
      </w:r>
      <w:r w:rsidR="000A1AAE" w:rsidRPr="00A841AA">
        <w:t>health.</w:t>
      </w:r>
      <w:r w:rsidR="00D52FD0">
        <w:t xml:space="preserve"> </w:t>
      </w:r>
      <w:r w:rsidR="000A1AAE" w:rsidRPr="00A841AA">
        <w:t>This</w:t>
      </w:r>
      <w:r w:rsidR="00D52FD0">
        <w:t xml:space="preserve"> </w:t>
      </w:r>
      <w:r w:rsidR="000A1AAE" w:rsidRPr="00A841AA">
        <w:t>includes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protection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right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women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have</w:t>
      </w:r>
      <w:r w:rsidR="00D52FD0">
        <w:t xml:space="preserve"> </w:t>
      </w:r>
      <w:r w:rsidR="000A1AAE" w:rsidRPr="00A841AA">
        <w:t>control</w:t>
      </w:r>
      <w:r w:rsidR="00D52FD0">
        <w:t xml:space="preserve"> </w:t>
      </w:r>
      <w:r w:rsidR="000A1AAE" w:rsidRPr="00A841AA">
        <w:t>over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decide</w:t>
      </w:r>
      <w:r w:rsidR="00D52FD0">
        <w:t xml:space="preserve"> </w:t>
      </w:r>
      <w:r w:rsidR="000A1AAE" w:rsidRPr="00A841AA">
        <w:t>freely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responsibly</w:t>
      </w:r>
      <w:r w:rsidR="00D52FD0">
        <w:t xml:space="preserve"> </w:t>
      </w:r>
      <w:r w:rsidR="000A1AAE" w:rsidRPr="00A841AA">
        <w:t>on</w:t>
      </w:r>
      <w:r w:rsidR="00D52FD0">
        <w:t xml:space="preserve"> </w:t>
      </w:r>
      <w:r w:rsidR="000A1AAE" w:rsidRPr="00A841AA">
        <w:t>matters</w:t>
      </w:r>
      <w:r w:rsidR="00D52FD0">
        <w:t xml:space="preserve"> </w:t>
      </w:r>
      <w:r w:rsidR="000A1AAE" w:rsidRPr="00A841AA">
        <w:t>related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their</w:t>
      </w:r>
      <w:r w:rsidR="00D52FD0">
        <w:t xml:space="preserve"> </w:t>
      </w:r>
      <w:r w:rsidR="000A1AAE" w:rsidRPr="00A841AA">
        <w:t>sexuality,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timing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number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children,</w:t>
      </w:r>
      <w:r w:rsidR="00D52FD0">
        <w:t xml:space="preserve"> </w:t>
      </w:r>
      <w:r w:rsidR="000A1AAE" w:rsidRPr="00A841AA">
        <w:t>free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coercion,</w:t>
      </w:r>
      <w:r w:rsidR="00D52FD0">
        <w:t xml:space="preserve"> </w:t>
      </w:r>
      <w:r w:rsidR="000A1AAE" w:rsidRPr="00A841AA">
        <w:t>discrimination,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violence.</w:t>
      </w:r>
    </w:p>
    <w:p w14:paraId="5583129A" w14:textId="1F06781B" w:rsidR="000A1AAE" w:rsidRPr="00A841AA" w:rsidRDefault="0044637E" w:rsidP="0044637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841AA">
        <w:t>25.</w:t>
      </w:r>
      <w:r w:rsidRPr="00A841AA">
        <w:tab/>
      </w:r>
      <w:r w:rsidR="000A1AAE" w:rsidRPr="00A841AA">
        <w:t>Malta</w:t>
      </w:r>
      <w:r w:rsidR="00F14DA3">
        <w:t>’</w:t>
      </w:r>
      <w:r w:rsidR="000A1AAE" w:rsidRPr="00A841AA">
        <w:t>s</w:t>
      </w:r>
      <w:r w:rsidR="00D52FD0">
        <w:t xml:space="preserve"> </w:t>
      </w:r>
      <w:r w:rsidR="000A1AAE" w:rsidRPr="00A841AA">
        <w:t>interpretation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right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sexual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reproductive</w:t>
      </w:r>
      <w:r w:rsidR="00D52FD0">
        <w:t xml:space="preserve"> </w:t>
      </w:r>
      <w:r w:rsidR="000A1AAE" w:rsidRPr="00A841AA">
        <w:t>health</w:t>
      </w:r>
      <w:r w:rsidR="00D52FD0">
        <w:t xml:space="preserve"> </w:t>
      </w:r>
      <w:r w:rsidR="000A1AAE" w:rsidRPr="00A841AA">
        <w:t>(SRHR)</w:t>
      </w:r>
      <w:r w:rsidR="00D52FD0">
        <w:t xml:space="preserve"> </w:t>
      </w:r>
      <w:r w:rsidR="000A1AAE" w:rsidRPr="00A841AA">
        <w:t>within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context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right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health</w:t>
      </w:r>
      <w:r w:rsidR="00D52FD0">
        <w:t xml:space="preserve"> </w:t>
      </w:r>
      <w:r w:rsidR="000A1AAE" w:rsidRPr="00A841AA">
        <w:t>does</w:t>
      </w:r>
      <w:r w:rsidR="00D52FD0">
        <w:t xml:space="preserve"> </w:t>
      </w:r>
      <w:r w:rsidR="000A1AAE" w:rsidRPr="00A841AA">
        <w:t>not</w:t>
      </w:r>
      <w:r w:rsidR="00D52FD0">
        <w:t xml:space="preserve"> </w:t>
      </w:r>
      <w:r w:rsidR="000A1AAE" w:rsidRPr="00A841AA">
        <w:t>include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right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abortion</w:t>
      </w:r>
      <w:r w:rsidR="00D52FD0">
        <w:t xml:space="preserve"> </w:t>
      </w:r>
      <w:r w:rsidR="000A1AAE" w:rsidRPr="00A841AA">
        <w:t>as</w:t>
      </w:r>
      <w:r w:rsidR="00D52FD0">
        <w:t xml:space="preserve"> </w:t>
      </w:r>
      <w:r w:rsidR="000A1AAE" w:rsidRPr="00A841AA">
        <w:t>this</w:t>
      </w:r>
      <w:r w:rsidR="00D52FD0">
        <w:t xml:space="preserve"> </w:t>
      </w:r>
      <w:r w:rsidR="000A1AAE" w:rsidRPr="00A841AA">
        <w:t>goes</w:t>
      </w:r>
      <w:r w:rsidR="00D52FD0">
        <w:t xml:space="preserve"> </w:t>
      </w:r>
      <w:r w:rsidR="000A1AAE" w:rsidRPr="00A841AA">
        <w:t>against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right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life,</w:t>
      </w:r>
      <w:r w:rsidR="00D52FD0">
        <w:t xml:space="preserve"> </w:t>
      </w:r>
      <w:r w:rsidR="000A1AAE" w:rsidRPr="00A841AA">
        <w:t>which</w:t>
      </w:r>
      <w:r w:rsidR="00D52FD0">
        <w:t xml:space="preserve"> </w:t>
      </w:r>
      <w:r w:rsidR="000A1AAE" w:rsidRPr="00A841AA">
        <w:t>is</w:t>
      </w:r>
      <w:r w:rsidR="00D52FD0">
        <w:t xml:space="preserve"> </w:t>
      </w:r>
      <w:r w:rsidR="000A1AAE" w:rsidRPr="00A841AA">
        <w:t>paramount.</w:t>
      </w:r>
      <w:r w:rsidR="00D52FD0">
        <w:t xml:space="preserve"> </w:t>
      </w:r>
      <w:r w:rsidR="000A1AAE" w:rsidRPr="00A841AA">
        <w:t>Abortion</w:t>
      </w:r>
      <w:r w:rsidR="00D52FD0">
        <w:t xml:space="preserve"> </w:t>
      </w:r>
      <w:r w:rsidR="000A1AAE" w:rsidRPr="00A841AA">
        <w:t>is</w:t>
      </w:r>
      <w:r w:rsidR="00D52FD0">
        <w:t xml:space="preserve"> </w:t>
      </w:r>
      <w:r w:rsidR="000A1AAE" w:rsidRPr="00A841AA">
        <w:t>illegal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Malta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is</w:t>
      </w:r>
      <w:r w:rsidR="00D52FD0">
        <w:t xml:space="preserve"> </w:t>
      </w:r>
      <w:r w:rsidR="000A1AAE" w:rsidRPr="00A841AA">
        <w:t>not</w:t>
      </w:r>
      <w:r w:rsidR="00D52FD0">
        <w:t xml:space="preserve"> </w:t>
      </w:r>
      <w:r w:rsidR="000A1AAE" w:rsidRPr="00A841AA">
        <w:t>provided</w:t>
      </w:r>
      <w:r w:rsidR="00D52FD0">
        <w:t xml:space="preserve"> </w:t>
      </w:r>
      <w:r w:rsidR="000A1AAE" w:rsidRPr="00A841AA">
        <w:t>as</w:t>
      </w:r>
      <w:r w:rsidR="00D52FD0">
        <w:t xml:space="preserve"> </w:t>
      </w:r>
      <w:r w:rsidR="000A1AAE" w:rsidRPr="00A841AA">
        <w:t>part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range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sexual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reproductive</w:t>
      </w:r>
      <w:r w:rsidR="00D52FD0">
        <w:t xml:space="preserve"> </w:t>
      </w:r>
      <w:r w:rsidR="000A1AAE" w:rsidRPr="00A841AA">
        <w:t>health</w:t>
      </w:r>
      <w:r w:rsidR="00D52FD0">
        <w:t xml:space="preserve"> </w:t>
      </w:r>
      <w:r w:rsidR="000A1AAE" w:rsidRPr="00A841AA">
        <w:t>services</w:t>
      </w:r>
      <w:r w:rsidR="00D52FD0">
        <w:t xml:space="preserve"> </w:t>
      </w:r>
      <w:r w:rsidR="000A1AAE" w:rsidRPr="00A841AA">
        <w:t>available</w:t>
      </w:r>
      <w:r w:rsidR="00D52FD0">
        <w:t xml:space="preserve"> </w:t>
      </w:r>
      <w:r w:rsidR="000A1AAE" w:rsidRPr="00A841AA">
        <w:t>at</w:t>
      </w:r>
      <w:r w:rsidR="00D52FD0">
        <w:t xml:space="preserve"> </w:t>
      </w:r>
      <w:r w:rsidR="000A1AAE" w:rsidRPr="00A841AA">
        <w:t>national</w:t>
      </w:r>
      <w:r w:rsidR="00D52FD0">
        <w:t xml:space="preserve"> </w:t>
      </w:r>
      <w:r w:rsidR="000A1AAE" w:rsidRPr="00A841AA">
        <w:t>level.</w:t>
      </w:r>
    </w:p>
    <w:p w14:paraId="076EF73B" w14:textId="1E7C3B95" w:rsidR="000E4FD0" w:rsidRDefault="0044637E" w:rsidP="0044637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>
        <w:t>26.</w:t>
      </w:r>
      <w:r>
        <w:tab/>
      </w:r>
      <w:r w:rsidR="000A1AAE" w:rsidRPr="00A841AA">
        <w:t>Several</w:t>
      </w:r>
      <w:r w:rsidR="00D52FD0">
        <w:t xml:space="preserve"> </w:t>
      </w:r>
      <w:r w:rsidR="000A1AAE" w:rsidRPr="00A841AA">
        <w:t>sexual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reproductive</w:t>
      </w:r>
      <w:r w:rsidR="00D52FD0">
        <w:t xml:space="preserve"> </w:t>
      </w:r>
      <w:r w:rsidR="000A1AAE" w:rsidRPr="00A841AA">
        <w:t>health-care</w:t>
      </w:r>
      <w:r w:rsidR="00D52FD0">
        <w:t xml:space="preserve"> </w:t>
      </w:r>
      <w:r w:rsidR="000A1AAE" w:rsidRPr="00A841AA">
        <w:t>services</w:t>
      </w:r>
      <w:r w:rsidR="00D52FD0">
        <w:t xml:space="preserve"> </w:t>
      </w:r>
      <w:r w:rsidR="000A1AAE" w:rsidRPr="00A841AA">
        <w:t>are</w:t>
      </w:r>
      <w:r w:rsidR="00D52FD0">
        <w:t xml:space="preserve"> </w:t>
      </w:r>
      <w:r w:rsidR="000A1AAE" w:rsidRPr="00A841AA">
        <w:t>freely</w:t>
      </w:r>
      <w:r w:rsidR="00D52FD0">
        <w:t xml:space="preserve"> </w:t>
      </w:r>
      <w:r w:rsidR="000A1AAE" w:rsidRPr="00A841AA">
        <w:t>available</w:t>
      </w:r>
      <w:r w:rsidR="00D52FD0">
        <w:t xml:space="preserve"> </w:t>
      </w:r>
      <w:r w:rsidR="000A1AAE" w:rsidRPr="00A841AA">
        <w:t>within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national</w:t>
      </w:r>
      <w:r w:rsidR="00D52FD0">
        <w:t xml:space="preserve"> </w:t>
      </w:r>
      <w:r w:rsidR="000A1AAE" w:rsidRPr="00A841AA">
        <w:t>public</w:t>
      </w:r>
      <w:r w:rsidR="00D52FD0">
        <w:t xml:space="preserve"> </w:t>
      </w:r>
      <w:r w:rsidR="000A1AAE" w:rsidRPr="00A841AA">
        <w:t>healthcare</w:t>
      </w:r>
      <w:r w:rsidR="00D52FD0">
        <w:t xml:space="preserve"> </w:t>
      </w:r>
      <w:r w:rsidR="000A1AAE" w:rsidRPr="00A841AA">
        <w:t>system.</w:t>
      </w:r>
      <w:r w:rsidR="00D52FD0">
        <w:t xml:space="preserve"> </w:t>
      </w:r>
      <w:r w:rsidR="000A1AAE" w:rsidRPr="00A841AA">
        <w:t>These</w:t>
      </w:r>
      <w:r w:rsidR="00D52FD0">
        <w:t xml:space="preserve"> </w:t>
      </w:r>
      <w:r w:rsidR="000A1AAE" w:rsidRPr="00A841AA">
        <w:t>include</w:t>
      </w:r>
      <w:r w:rsidR="00D52FD0">
        <w:t xml:space="preserve"> </w:t>
      </w:r>
      <w:r w:rsidR="000A1AAE" w:rsidRPr="00A841AA">
        <w:t>family</w:t>
      </w:r>
      <w:r w:rsidR="00D52FD0">
        <w:t xml:space="preserve"> </w:t>
      </w:r>
      <w:r w:rsidR="000A1AAE" w:rsidRPr="00A841AA">
        <w:t>planning,</w:t>
      </w:r>
      <w:r w:rsidR="00D52FD0">
        <w:t xml:space="preserve"> </w:t>
      </w:r>
      <w:r w:rsidR="000A1AAE" w:rsidRPr="00A841AA">
        <w:t>safe</w:t>
      </w:r>
      <w:r w:rsidR="00D52FD0">
        <w:t xml:space="preserve"> </w:t>
      </w:r>
      <w:r w:rsidR="000A1AAE" w:rsidRPr="00A841AA">
        <w:t>motherhood,</w:t>
      </w:r>
      <w:r w:rsidR="00D52FD0">
        <w:t xml:space="preserve"> </w:t>
      </w:r>
      <w:r w:rsidR="000A1AAE" w:rsidRPr="00A841AA">
        <w:t>infertility</w:t>
      </w:r>
      <w:r w:rsidR="00D52FD0">
        <w:t xml:space="preserve"> </w:t>
      </w:r>
      <w:r w:rsidR="000A1AAE" w:rsidRPr="00A841AA">
        <w:t>treatment,</w:t>
      </w:r>
      <w:r w:rsidR="00D52FD0">
        <w:t xml:space="preserve"> </w:t>
      </w:r>
      <w:r w:rsidR="000A1AAE" w:rsidRPr="00A841AA">
        <w:t>assisted</w:t>
      </w:r>
      <w:r w:rsidR="00D52FD0">
        <w:t xml:space="preserve"> </w:t>
      </w:r>
      <w:r w:rsidR="000A1AAE" w:rsidRPr="00A841AA">
        <w:t>reproduction,</w:t>
      </w:r>
      <w:r w:rsidR="00D52FD0">
        <w:t xml:space="preserve"> </w:t>
      </w:r>
      <w:r w:rsidR="000A1AAE" w:rsidRPr="00A841AA">
        <w:t>transgender</w:t>
      </w:r>
      <w:r w:rsidR="00D52FD0">
        <w:t xml:space="preserve"> </w:t>
      </w:r>
      <w:r w:rsidR="000A1AAE" w:rsidRPr="00A841AA">
        <w:t>services,</w:t>
      </w:r>
      <w:r w:rsidR="00D52FD0">
        <w:t xml:space="preserve"> </w:t>
      </w:r>
      <w:r w:rsidR="000A1AAE" w:rsidRPr="00A841AA">
        <w:t>prevention,</w:t>
      </w:r>
      <w:r w:rsidR="00D52FD0">
        <w:t xml:space="preserve"> </w:t>
      </w:r>
      <w:r w:rsidR="000A1AAE" w:rsidRPr="00A841AA">
        <w:t>confidential</w:t>
      </w:r>
      <w:r w:rsidR="00D52FD0">
        <w:t xml:space="preserve"> </w:t>
      </w:r>
      <w:r w:rsidR="000A1AAE" w:rsidRPr="00A841AA">
        <w:t>testing,</w:t>
      </w:r>
      <w:r w:rsidR="00D52FD0">
        <w:t xml:space="preserve"> </w:t>
      </w:r>
      <w:r w:rsidR="000A1AAE" w:rsidRPr="00A841AA">
        <w:t>diagnosis,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treatment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reproductive</w:t>
      </w:r>
      <w:r w:rsidR="00D52FD0">
        <w:t xml:space="preserve"> </w:t>
      </w:r>
      <w:r w:rsidR="000A1AAE" w:rsidRPr="00A841AA">
        <w:t>tract</w:t>
      </w:r>
      <w:r w:rsidR="00D52FD0">
        <w:t xml:space="preserve"> </w:t>
      </w:r>
      <w:r w:rsidR="000A1AAE" w:rsidRPr="00A841AA">
        <w:t>infections,</w:t>
      </w:r>
      <w:r w:rsidR="00D52FD0">
        <w:t xml:space="preserve"> </w:t>
      </w:r>
      <w:r w:rsidR="000A1AAE" w:rsidRPr="00A841AA">
        <w:t>STIs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9779FF">
        <w:t>HIV/AIDS</w:t>
      </w:r>
      <w:r w:rsidR="000A1AAE" w:rsidRPr="00A841AA">
        <w:t>,</w:t>
      </w:r>
      <w:r w:rsidR="00D52FD0">
        <w:t xml:space="preserve"> </w:t>
      </w:r>
      <w:r w:rsidR="000A1AAE" w:rsidRPr="00A841AA">
        <w:t>prevention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treatment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reproductive</w:t>
      </w:r>
      <w:r w:rsidR="00D52FD0">
        <w:t xml:space="preserve"> </w:t>
      </w:r>
      <w:r w:rsidR="000A1AAE" w:rsidRPr="00A841AA">
        <w:t>cancers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maternal</w:t>
      </w:r>
      <w:r w:rsidR="00D52FD0">
        <w:t xml:space="preserve"> </w:t>
      </w:r>
      <w:r w:rsidR="000A1AAE" w:rsidRPr="00A841AA">
        <w:t>morbidities.</w:t>
      </w:r>
      <w:r w:rsidR="00D52FD0">
        <w:t xml:space="preserve"> </w:t>
      </w:r>
      <w:r w:rsidR="000A1AAE" w:rsidRPr="00A841AA">
        <w:t>Furthermore,</w:t>
      </w:r>
      <w:r w:rsidR="00D52FD0">
        <w:t xml:space="preserve"> </w:t>
      </w:r>
      <w:r w:rsidR="000A1AAE" w:rsidRPr="00A841AA">
        <w:t>contraceptives</w:t>
      </w:r>
      <w:r w:rsidR="00D52FD0">
        <w:t xml:space="preserve"> </w:t>
      </w:r>
      <w:r w:rsidR="000A1AAE" w:rsidRPr="00A841AA">
        <w:t>are</w:t>
      </w:r>
      <w:r w:rsidR="00D52FD0">
        <w:t xml:space="preserve"> </w:t>
      </w:r>
      <w:r w:rsidR="000A1AAE" w:rsidRPr="00A841AA">
        <w:t>easily</w:t>
      </w:r>
      <w:r w:rsidR="00D52FD0">
        <w:t xml:space="preserve"> </w:t>
      </w:r>
      <w:r w:rsidR="000A1AAE" w:rsidRPr="00A841AA">
        <w:t>accessible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community</w:t>
      </w:r>
      <w:r w:rsidR="00D52FD0">
        <w:t xml:space="preserve"> </w:t>
      </w:r>
      <w:r w:rsidR="000A1AAE" w:rsidRPr="00A841AA">
        <w:t>pharmacies.</w:t>
      </w:r>
      <w:r w:rsidR="00D52FD0">
        <w:t xml:space="preserve"> </w:t>
      </w:r>
      <w:r w:rsidR="000A1AAE" w:rsidRPr="00A841AA">
        <w:t>Rapid</w:t>
      </w:r>
      <w:r w:rsidR="00D52FD0">
        <w:t xml:space="preserve"> </w:t>
      </w:r>
      <w:r w:rsidR="000A1AAE" w:rsidRPr="00A841AA">
        <w:t>testing</w:t>
      </w:r>
      <w:r w:rsidR="00D52FD0">
        <w:t xml:space="preserve"> </w:t>
      </w:r>
      <w:r w:rsidR="000A1AAE" w:rsidRPr="00A841AA">
        <w:t>for</w:t>
      </w:r>
      <w:r w:rsidR="00D52FD0">
        <w:t xml:space="preserve"> </w:t>
      </w:r>
      <w:r w:rsidR="000A1AAE" w:rsidRPr="00A841AA">
        <w:t>HIV</w:t>
      </w:r>
      <w:r w:rsidR="00D52FD0">
        <w:t xml:space="preserve"> </w:t>
      </w:r>
      <w:r w:rsidR="000A1AAE" w:rsidRPr="00A841AA">
        <w:t>was</w:t>
      </w:r>
      <w:r w:rsidR="00D52FD0">
        <w:t xml:space="preserve"> </w:t>
      </w:r>
      <w:r w:rsidR="000A1AAE" w:rsidRPr="00A841AA">
        <w:t>introduced</w:t>
      </w:r>
      <w:r w:rsidR="00D52FD0">
        <w:t xml:space="preserve"> </w:t>
      </w:r>
      <w:r w:rsidR="000A1AAE" w:rsidRPr="00A841AA">
        <w:t>at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Genito-Urinary</w:t>
      </w:r>
      <w:r w:rsidR="00D52FD0">
        <w:t xml:space="preserve"> </w:t>
      </w:r>
      <w:r w:rsidR="000A1AAE" w:rsidRPr="00A841AA">
        <w:t>Clinic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2017.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2017</w:t>
      </w:r>
      <w:r w:rsidR="00D52FD0">
        <w:t xml:space="preserve"> </w:t>
      </w:r>
      <w:r w:rsidR="000A1AAE" w:rsidRPr="00A841AA">
        <w:t>Malta</w:t>
      </w:r>
      <w:r w:rsidR="00D52FD0">
        <w:t xml:space="preserve"> </w:t>
      </w:r>
      <w:r w:rsidR="000A1AAE" w:rsidRPr="00A841AA">
        <w:t>licensed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sale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morning</w:t>
      </w:r>
      <w:r w:rsidR="00D52FD0">
        <w:t xml:space="preserve"> </w:t>
      </w:r>
      <w:r w:rsidR="000A1AAE" w:rsidRPr="00A841AA">
        <w:t>after</w:t>
      </w:r>
      <w:r w:rsidR="00D52FD0">
        <w:t xml:space="preserve"> </w:t>
      </w:r>
      <w:r w:rsidR="000A1AAE" w:rsidRPr="00A841AA">
        <w:t>pill,</w:t>
      </w:r>
      <w:r w:rsidR="00D52FD0">
        <w:t xml:space="preserve"> </w:t>
      </w:r>
      <w:r w:rsidR="000A1AAE" w:rsidRPr="00A841AA">
        <w:t>as</w:t>
      </w:r>
      <w:r w:rsidR="00D52FD0">
        <w:t xml:space="preserve"> </w:t>
      </w:r>
      <w:r w:rsidR="000A1AAE" w:rsidRPr="00A841AA">
        <w:t>an</w:t>
      </w:r>
      <w:r w:rsidR="00D52FD0">
        <w:t xml:space="preserve"> </w:t>
      </w:r>
      <w:r w:rsidR="000A1AAE" w:rsidRPr="00A841AA">
        <w:t>over-the-counter</w:t>
      </w:r>
      <w:r w:rsidR="00D52FD0">
        <w:t xml:space="preserve"> </w:t>
      </w:r>
      <w:r w:rsidR="000A1AAE" w:rsidRPr="00A841AA">
        <w:t>preparation.</w:t>
      </w:r>
    </w:p>
    <w:p w14:paraId="2FB4D06C" w14:textId="57381B4D" w:rsidR="000E4FD0" w:rsidRDefault="0044637E" w:rsidP="0044637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>
        <w:lastRenderedPageBreak/>
        <w:t>27.</w:t>
      </w:r>
      <w:r>
        <w:tab/>
      </w:r>
      <w:r w:rsidR="000A1AAE" w:rsidRPr="00A841AA">
        <w:t>Malta</w:t>
      </w:r>
      <w:r w:rsidR="00F14DA3">
        <w:t>’</w:t>
      </w:r>
      <w:r w:rsidR="000A1AAE" w:rsidRPr="00A841AA">
        <w:t>s</w:t>
      </w:r>
      <w:r w:rsidR="00D52FD0">
        <w:t xml:space="preserve"> </w:t>
      </w:r>
      <w:r w:rsidR="000A1AAE" w:rsidRPr="00A841AA">
        <w:t>travel</w:t>
      </w:r>
      <w:r w:rsidR="00D52FD0">
        <w:t xml:space="preserve"> </w:t>
      </w:r>
      <w:r w:rsidR="000A1AAE" w:rsidRPr="00A841AA">
        <w:t>bans</w:t>
      </w:r>
      <w:r w:rsidR="00D52FD0">
        <w:t xml:space="preserve"> </w:t>
      </w:r>
      <w:r w:rsidR="000A1AAE" w:rsidRPr="00A841AA">
        <w:t>during</w:t>
      </w:r>
      <w:r w:rsidR="00D52FD0">
        <w:t xml:space="preserve"> </w:t>
      </w:r>
      <w:r w:rsidR="000A1AAE" w:rsidRPr="00A841AA">
        <w:t>COVID-19</w:t>
      </w:r>
      <w:r w:rsidR="00D52FD0">
        <w:t xml:space="preserve"> </w:t>
      </w:r>
      <w:r w:rsidR="000A1AAE" w:rsidRPr="00A841AA">
        <w:t>occurred</w:t>
      </w:r>
      <w:r w:rsidR="00D52FD0">
        <w:t xml:space="preserve"> </w:t>
      </w:r>
      <w:r w:rsidR="000A1AAE" w:rsidRPr="00A841AA">
        <w:t>largely</w:t>
      </w:r>
      <w:r w:rsidR="00D52FD0">
        <w:t xml:space="preserve"> </w:t>
      </w:r>
      <w:r w:rsidR="000A1AAE" w:rsidRPr="00A841AA">
        <w:t>between</w:t>
      </w:r>
      <w:r w:rsidR="00D52FD0">
        <w:t xml:space="preserve"> </w:t>
      </w:r>
      <w:r w:rsidR="000A1AAE" w:rsidRPr="00A841AA">
        <w:t>March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June</w:t>
      </w:r>
      <w:r w:rsidR="00D52FD0">
        <w:t xml:space="preserve"> </w:t>
      </w:r>
      <w:r w:rsidR="000A1AAE" w:rsidRPr="00A841AA">
        <w:t>2020,</w:t>
      </w:r>
      <w:r w:rsidR="00D52FD0">
        <w:t xml:space="preserve"> </w:t>
      </w:r>
      <w:r w:rsidR="000A1AAE" w:rsidRPr="00A841AA">
        <w:t>with</w:t>
      </w:r>
      <w:r w:rsidR="00D52FD0">
        <w:t xml:space="preserve"> </w:t>
      </w:r>
      <w:r w:rsidR="000A1AAE" w:rsidRPr="00A841AA">
        <w:t>travel</w:t>
      </w:r>
      <w:r w:rsidR="00D52FD0">
        <w:t xml:space="preserve"> </w:t>
      </w:r>
      <w:r w:rsidR="000A1AAE" w:rsidRPr="00A841AA">
        <w:t>being</w:t>
      </w:r>
      <w:r w:rsidR="00D52FD0">
        <w:t xml:space="preserve"> </w:t>
      </w:r>
      <w:r w:rsidR="000A1AAE" w:rsidRPr="00A841AA">
        <w:t>permitted</w:t>
      </w:r>
      <w:r w:rsidR="00D52FD0">
        <w:t xml:space="preserve"> </w:t>
      </w:r>
      <w:r w:rsidR="000A1AAE" w:rsidRPr="00A841AA">
        <w:t>after</w:t>
      </w:r>
      <w:r w:rsidR="00D52FD0">
        <w:t xml:space="preserve"> </w:t>
      </w:r>
      <w:r w:rsidR="000A1AAE" w:rsidRPr="00A841AA">
        <w:t>this</w:t>
      </w:r>
      <w:r w:rsidR="00D52FD0">
        <w:t xml:space="preserve"> </w:t>
      </w:r>
      <w:r w:rsidR="000A1AAE" w:rsidRPr="00A841AA">
        <w:t>period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all</w:t>
      </w:r>
      <w:r w:rsidR="00D52FD0">
        <w:t xml:space="preserve"> </w:t>
      </w:r>
      <w:r w:rsidR="000A1AAE" w:rsidRPr="00A841AA">
        <w:t>EU</w:t>
      </w:r>
      <w:r w:rsidR="00D52FD0">
        <w:t xml:space="preserve"> </w:t>
      </w:r>
      <w:r w:rsidR="000A1AAE" w:rsidRPr="00A841AA">
        <w:t>countries</w:t>
      </w:r>
      <w:r w:rsidR="00D52FD0">
        <w:t xml:space="preserve"> </w:t>
      </w:r>
      <w:r w:rsidR="000A1AAE" w:rsidRPr="00A841AA">
        <w:t>(except</w:t>
      </w:r>
      <w:r w:rsidR="00D52FD0">
        <w:t xml:space="preserve"> </w:t>
      </w:r>
      <w:r w:rsidR="000A1AAE" w:rsidRPr="00A841AA">
        <w:t>Sweden,</w:t>
      </w:r>
      <w:r w:rsidR="00D52FD0">
        <w:t xml:space="preserve"> </w:t>
      </w:r>
      <w:r w:rsidR="000A1AAE" w:rsidRPr="00A841AA">
        <w:t>which</w:t>
      </w:r>
      <w:r w:rsidR="00D52FD0">
        <w:t xml:space="preserve"> </w:t>
      </w:r>
      <w:r w:rsidR="000A1AAE" w:rsidRPr="00A841AA">
        <w:t>was</w:t>
      </w:r>
      <w:r w:rsidR="00D52FD0">
        <w:t xml:space="preserve"> </w:t>
      </w:r>
      <w:r w:rsidR="000A1AAE" w:rsidRPr="00A841AA">
        <w:t>included</w:t>
      </w:r>
      <w:r w:rsidR="00D52FD0">
        <w:t xml:space="preserve"> </w:t>
      </w:r>
      <w:r w:rsidR="000A1AAE" w:rsidRPr="00A841AA">
        <w:t>on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amber</w:t>
      </w:r>
      <w:r w:rsidR="00D52FD0">
        <w:t xml:space="preserve"> </w:t>
      </w:r>
      <w:r w:rsidR="000A1AAE" w:rsidRPr="00A841AA">
        <w:t>list</w:t>
      </w:r>
      <w:r w:rsidR="00D52FD0">
        <w:t xml:space="preserve"> </w:t>
      </w:r>
      <w:r w:rsidR="000A1AAE" w:rsidRPr="00A841AA">
        <w:t>for</w:t>
      </w:r>
      <w:r w:rsidR="00D52FD0">
        <w:t xml:space="preserve"> </w:t>
      </w:r>
      <w:r w:rsidR="000A1AAE" w:rsidRPr="00A841AA">
        <w:t>permissible</w:t>
      </w:r>
      <w:r w:rsidR="00D52FD0">
        <w:t xml:space="preserve"> </w:t>
      </w:r>
      <w:r w:rsidR="000A1AAE" w:rsidRPr="00A841AA">
        <w:t>travel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September</w:t>
      </w:r>
      <w:r w:rsidR="00D52FD0">
        <w:t xml:space="preserve"> </w:t>
      </w:r>
      <w:r w:rsidR="000A1AAE" w:rsidRPr="00A841AA">
        <w:t>2020).</w:t>
      </w:r>
    </w:p>
    <w:p w14:paraId="382C5BD0" w14:textId="42A536E7" w:rsidR="000A1AAE" w:rsidRPr="00A841AA" w:rsidRDefault="0044637E" w:rsidP="0044637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841AA">
        <w:t>28.</w:t>
      </w:r>
      <w:r w:rsidRPr="00A841AA">
        <w:tab/>
      </w:r>
      <w:r w:rsidR="000A1AAE" w:rsidRPr="00A841AA">
        <w:t>Available</w:t>
      </w:r>
      <w:r w:rsidR="00D52FD0">
        <w:t xml:space="preserve"> </w:t>
      </w:r>
      <w:r w:rsidR="000A1AAE" w:rsidRPr="00A841AA">
        <w:t>data</w:t>
      </w:r>
      <w:r w:rsidR="00D52FD0">
        <w:t xml:space="preserve"> </w:t>
      </w:r>
      <w:r w:rsidR="000A1AAE" w:rsidRPr="00A841AA">
        <w:t>from</w:t>
      </w:r>
      <w:r w:rsidR="00D52FD0">
        <w:t xml:space="preserve"> </w:t>
      </w:r>
      <w:r w:rsidR="000A1AAE" w:rsidRPr="00A841AA">
        <w:t>our</w:t>
      </w:r>
      <w:r w:rsidR="00D52FD0">
        <w:t xml:space="preserve"> </w:t>
      </w:r>
      <w:r w:rsidR="000A1AAE" w:rsidRPr="00A841AA">
        <w:t>well-established</w:t>
      </w:r>
      <w:r w:rsidR="00D52FD0">
        <w:t xml:space="preserve"> </w:t>
      </w:r>
      <w:r w:rsidR="000A1AAE" w:rsidRPr="00A841AA">
        <w:t>National</w:t>
      </w:r>
      <w:r w:rsidR="00D52FD0">
        <w:t xml:space="preserve"> </w:t>
      </w:r>
      <w:r w:rsidR="000A1AAE" w:rsidRPr="00A841AA">
        <w:t>Hospital</w:t>
      </w:r>
      <w:r w:rsidR="00D52FD0">
        <w:t xml:space="preserve"> </w:t>
      </w:r>
      <w:r w:rsidR="000A1AAE" w:rsidRPr="00A841AA">
        <w:t>Information</w:t>
      </w:r>
      <w:r w:rsidR="00D52FD0">
        <w:t xml:space="preserve"> </w:t>
      </w:r>
      <w:r w:rsidR="000A1AAE" w:rsidRPr="00A841AA">
        <w:t>Systems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Mortality</w:t>
      </w:r>
      <w:r w:rsidR="00D52FD0">
        <w:t xml:space="preserve"> </w:t>
      </w:r>
      <w:r w:rsidR="000A1AAE" w:rsidRPr="00A841AA">
        <w:t>Registers</w:t>
      </w:r>
      <w:r w:rsidR="00D52FD0">
        <w:t xml:space="preserve"> </w:t>
      </w:r>
      <w:r w:rsidR="000A1AAE" w:rsidRPr="00A841AA">
        <w:t>have</w:t>
      </w:r>
      <w:r w:rsidR="00D52FD0">
        <w:t xml:space="preserve"> </w:t>
      </w:r>
      <w:r w:rsidR="000A1AAE" w:rsidRPr="00A841AA">
        <w:t>no</w:t>
      </w:r>
      <w:r w:rsidR="00D52FD0">
        <w:t xml:space="preserve"> </w:t>
      </w:r>
      <w:r w:rsidR="000A1AAE" w:rsidRPr="00A841AA">
        <w:t>registered</w:t>
      </w:r>
      <w:r w:rsidR="00D52FD0">
        <w:t xml:space="preserve"> </w:t>
      </w:r>
      <w:r w:rsidR="000A1AAE" w:rsidRPr="00A841AA">
        <w:t>complications</w:t>
      </w:r>
      <w:r w:rsidR="00D52FD0">
        <w:t xml:space="preserve"> </w:t>
      </w:r>
      <w:r w:rsidR="000A1AAE" w:rsidRPr="00A841AA">
        <w:t>following</w:t>
      </w:r>
      <w:r w:rsidR="00D52FD0">
        <w:t xml:space="preserve"> </w:t>
      </w:r>
      <w:r w:rsidR="000A1AAE" w:rsidRPr="00A841AA">
        <w:t>abortion</w:t>
      </w:r>
      <w:r w:rsidR="00D52FD0">
        <w:t xml:space="preserve"> </w:t>
      </w:r>
      <w:r w:rsidR="000A1AAE" w:rsidRPr="00A841AA">
        <w:t>(including</w:t>
      </w:r>
      <w:r w:rsidR="00D52FD0">
        <w:t xml:space="preserve"> </w:t>
      </w:r>
      <w:r w:rsidR="000A1AAE" w:rsidRPr="00A841AA">
        <w:t>all</w:t>
      </w:r>
      <w:r w:rsidR="00D52FD0">
        <w:t xml:space="preserve"> </w:t>
      </w:r>
      <w:r w:rsidR="000A1AAE" w:rsidRPr="00A841AA">
        <w:t>ICD</w:t>
      </w:r>
      <w:r w:rsidR="00D52FD0">
        <w:t xml:space="preserve"> </w:t>
      </w:r>
      <w:r w:rsidR="000A1AAE" w:rsidRPr="00A841AA">
        <w:t>10</w:t>
      </w:r>
      <w:r w:rsidR="00D52FD0">
        <w:t xml:space="preserve"> </w:t>
      </w:r>
      <w:r w:rsidR="000A1AAE" w:rsidRPr="00A841AA">
        <w:t>codes</w:t>
      </w:r>
      <w:r w:rsidR="00D52FD0">
        <w:t xml:space="preserve"> </w:t>
      </w:r>
      <w:r w:rsidR="000A1AAE" w:rsidRPr="00A841AA">
        <w:t>O04</w:t>
      </w:r>
      <w:r w:rsidR="00D52FD0">
        <w:t xml:space="preserve"> </w:t>
      </w:r>
      <w:r w:rsidR="00F14DA3">
        <w:t>–</w:t>
      </w:r>
      <w:r w:rsidR="00D52FD0">
        <w:t xml:space="preserve"> </w:t>
      </w:r>
      <w:r w:rsidR="000A1AAE" w:rsidRPr="00A841AA">
        <w:t>O07)</w:t>
      </w:r>
      <w:r w:rsidR="00D52FD0">
        <w:t xml:space="preserve"> </w:t>
      </w:r>
      <w:r w:rsidR="000A1AAE" w:rsidRPr="00A841AA">
        <w:t>over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past</w:t>
      </w:r>
      <w:r w:rsidR="00D52FD0">
        <w:t xml:space="preserve"> </w:t>
      </w:r>
      <w:r w:rsidR="000A1AAE" w:rsidRPr="00A841AA">
        <w:t>10</w:t>
      </w:r>
      <w:r w:rsidR="00D52FD0">
        <w:t xml:space="preserve"> </w:t>
      </w:r>
      <w:r w:rsidR="000A1AAE" w:rsidRPr="00A841AA">
        <w:t>years.</w:t>
      </w:r>
    </w:p>
    <w:p w14:paraId="63FB1C48" w14:textId="0B331B26" w:rsidR="000E4FD0" w:rsidRDefault="0044637E" w:rsidP="0044637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>
        <w:t>29.</w:t>
      </w:r>
      <w:r>
        <w:tab/>
      </w:r>
      <w:r w:rsidR="000A1AAE" w:rsidRPr="00A841AA">
        <w:t>Furthermore,</w:t>
      </w:r>
      <w:r w:rsidR="00D52FD0">
        <w:t xml:space="preserve"> </w:t>
      </w:r>
      <w:r w:rsidR="000A1AAE" w:rsidRPr="00A841AA">
        <w:t>Malta</w:t>
      </w:r>
      <w:r w:rsidR="00F14DA3">
        <w:t>’</w:t>
      </w:r>
      <w:r w:rsidR="000A1AAE" w:rsidRPr="00A841AA">
        <w:t>s</w:t>
      </w:r>
      <w:r w:rsidR="00D52FD0">
        <w:t xml:space="preserve"> </w:t>
      </w:r>
      <w:r w:rsidR="000A1AAE" w:rsidRPr="00A841AA">
        <w:t>observed</w:t>
      </w:r>
      <w:r w:rsidR="00D52FD0">
        <w:t xml:space="preserve"> </w:t>
      </w:r>
      <w:r w:rsidR="000A1AAE" w:rsidRPr="00A841AA">
        <w:t>maternal</w:t>
      </w:r>
      <w:r w:rsidR="00D52FD0">
        <w:t xml:space="preserve"> </w:t>
      </w:r>
      <w:r w:rsidR="000A1AAE" w:rsidRPr="00A841AA">
        <w:t>mortality</w:t>
      </w:r>
      <w:r w:rsidR="00D52FD0">
        <w:t xml:space="preserve"> </w:t>
      </w:r>
      <w:r w:rsidR="000A1AAE" w:rsidRPr="00A841AA">
        <w:t>during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reporting</w:t>
      </w:r>
      <w:r w:rsidR="00D52FD0">
        <w:t xml:space="preserve"> </w:t>
      </w:r>
      <w:r w:rsidR="000A1AAE" w:rsidRPr="00A841AA">
        <w:t>period</w:t>
      </w:r>
      <w:r w:rsidR="00D52FD0">
        <w:t xml:space="preserve"> </w:t>
      </w:r>
      <w:r w:rsidR="000A1AAE" w:rsidRPr="00A841AA">
        <w:t>has</w:t>
      </w:r>
      <w:r w:rsidR="00D52FD0">
        <w:t xml:space="preserve"> </w:t>
      </w:r>
      <w:r w:rsidR="000A1AAE" w:rsidRPr="00A841AA">
        <w:t>been</w:t>
      </w:r>
      <w:r w:rsidR="00D52FD0">
        <w:t xml:space="preserve"> </w:t>
      </w:r>
      <w:r w:rsidR="000A1AAE" w:rsidRPr="00A841AA">
        <w:t>zero,</w:t>
      </w:r>
      <w:r w:rsidR="00D52FD0">
        <w:t xml:space="preserve"> </w:t>
      </w:r>
      <w:r w:rsidR="000A1AAE" w:rsidRPr="00A841AA">
        <w:t>going</w:t>
      </w:r>
      <w:r w:rsidR="00D52FD0">
        <w:t xml:space="preserve"> </w:t>
      </w:r>
      <w:r w:rsidR="000A1AAE" w:rsidRPr="00A841AA">
        <w:t>as</w:t>
      </w:r>
      <w:r w:rsidR="00D52FD0">
        <w:t xml:space="preserve"> </w:t>
      </w:r>
      <w:r w:rsidR="000A1AAE" w:rsidRPr="00A841AA">
        <w:t>far</w:t>
      </w:r>
      <w:r w:rsidR="00D52FD0">
        <w:t xml:space="preserve"> </w:t>
      </w:r>
      <w:r w:rsidR="000A1AAE" w:rsidRPr="00A841AA">
        <w:t>back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2010.</w:t>
      </w:r>
    </w:p>
    <w:p w14:paraId="3F200484" w14:textId="52225C13" w:rsidR="000A1AAE" w:rsidRPr="00A841AA" w:rsidRDefault="0044637E" w:rsidP="0044637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841AA">
        <w:t>30.</w:t>
      </w:r>
      <w:r w:rsidRPr="00A841AA">
        <w:tab/>
      </w:r>
      <w:r w:rsidR="000A1AAE" w:rsidRPr="00A841AA">
        <w:t>There</w:t>
      </w:r>
      <w:r w:rsidR="00D52FD0">
        <w:t xml:space="preserve"> </w:t>
      </w:r>
      <w:r w:rsidR="000A1AAE" w:rsidRPr="00A841AA">
        <w:t>have</w:t>
      </w:r>
      <w:r w:rsidR="00D52FD0">
        <w:t xml:space="preserve"> </w:t>
      </w:r>
      <w:r w:rsidR="000A1AAE" w:rsidRPr="00A841AA">
        <w:t>been</w:t>
      </w:r>
      <w:r w:rsidR="00D52FD0">
        <w:t xml:space="preserve"> </w:t>
      </w:r>
      <w:r w:rsidR="000A1AAE" w:rsidRPr="00A841AA">
        <w:t>two</w:t>
      </w:r>
      <w:r w:rsidR="00D52FD0">
        <w:t xml:space="preserve"> </w:t>
      </w:r>
      <w:r w:rsidR="000A1AAE" w:rsidRPr="00A841AA">
        <w:t>reports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prosecution</w:t>
      </w:r>
      <w:r w:rsidR="00D52FD0">
        <w:t xml:space="preserve"> </w:t>
      </w:r>
      <w:r w:rsidR="000A1AAE" w:rsidRPr="00A841AA">
        <w:t>related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abortion,</w:t>
      </w:r>
      <w:r w:rsidR="00D52FD0">
        <w:t xml:space="preserve"> </w:t>
      </w:r>
      <w:r w:rsidR="000A1AAE" w:rsidRPr="00A841AA">
        <w:t>both</w:t>
      </w:r>
      <w:r w:rsidR="00D52FD0">
        <w:t xml:space="preserve"> </w:t>
      </w:r>
      <w:r w:rsidR="000A1AAE" w:rsidRPr="00A841AA">
        <w:t>occurring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2014.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date</w:t>
      </w:r>
      <w:r w:rsidR="00D52FD0">
        <w:t xml:space="preserve"> </w:t>
      </w:r>
      <w:r w:rsidR="000A1AAE" w:rsidRPr="00A841AA">
        <w:t>there</w:t>
      </w:r>
      <w:r w:rsidR="00D52FD0">
        <w:t xml:space="preserve"> </w:t>
      </w:r>
      <w:r w:rsidR="000A1AAE" w:rsidRPr="00A841AA">
        <w:t>have</w:t>
      </w:r>
      <w:r w:rsidR="00D52FD0">
        <w:t xml:space="preserve"> </w:t>
      </w:r>
      <w:r w:rsidR="000A1AAE" w:rsidRPr="00A841AA">
        <w:t>been</w:t>
      </w:r>
      <w:r w:rsidR="00D52FD0">
        <w:t xml:space="preserve"> </w:t>
      </w:r>
      <w:r w:rsidR="000A1AAE" w:rsidRPr="00A841AA">
        <w:t>no</w:t>
      </w:r>
      <w:r w:rsidR="00D52FD0">
        <w:t xml:space="preserve"> </w:t>
      </w:r>
      <w:r w:rsidR="000A1AAE" w:rsidRPr="00A841AA">
        <w:t>further</w:t>
      </w:r>
      <w:r w:rsidR="00D52FD0">
        <w:t xml:space="preserve"> </w:t>
      </w:r>
      <w:r w:rsidR="000A1AAE" w:rsidRPr="00A841AA">
        <w:t>prosecutions.</w:t>
      </w:r>
    </w:p>
    <w:p w14:paraId="4A5A1950" w14:textId="522360C9" w:rsidR="000A1AAE" w:rsidRPr="00A841AA" w:rsidRDefault="000A1AAE" w:rsidP="00D52FD0">
      <w:pPr>
        <w:pStyle w:val="H23G"/>
      </w:pPr>
      <w:r>
        <w:tab/>
      </w:r>
      <w:r>
        <w:tab/>
      </w:r>
      <w:r w:rsidRPr="00A841AA">
        <w:t>Ill-treatment</w:t>
      </w:r>
      <w:r w:rsidR="00D52FD0">
        <w:t xml:space="preserve"> </w:t>
      </w:r>
      <w:r w:rsidRPr="00A841AA">
        <w:t>and</w:t>
      </w:r>
      <w:r w:rsidR="00D52FD0">
        <w:t xml:space="preserve"> </w:t>
      </w:r>
      <w:r w:rsidRPr="00A841AA">
        <w:t>excessive</w:t>
      </w:r>
      <w:r w:rsidR="00D52FD0">
        <w:t xml:space="preserve"> </w:t>
      </w:r>
      <w:r w:rsidRPr="00A841AA">
        <w:t>use</w:t>
      </w:r>
      <w:r w:rsidR="00D52FD0">
        <w:t xml:space="preserve"> </w:t>
      </w:r>
      <w:r w:rsidRPr="00A841AA">
        <w:t>of</w:t>
      </w:r>
      <w:r w:rsidR="00D52FD0">
        <w:t xml:space="preserve"> </w:t>
      </w:r>
      <w:r w:rsidRPr="00A841AA">
        <w:t>force</w:t>
      </w:r>
      <w:r w:rsidR="00D52FD0">
        <w:t xml:space="preserve"> </w:t>
      </w:r>
      <w:r w:rsidRPr="00A841AA">
        <w:t>by</w:t>
      </w:r>
      <w:r w:rsidR="00D52FD0">
        <w:t xml:space="preserve"> </w:t>
      </w:r>
      <w:r w:rsidRPr="00A841AA">
        <w:t>police</w:t>
      </w:r>
      <w:r w:rsidR="00D52FD0">
        <w:t xml:space="preserve"> </w:t>
      </w:r>
      <w:r w:rsidRPr="00A841AA">
        <w:t>officers</w:t>
      </w:r>
    </w:p>
    <w:p w14:paraId="419E83F5" w14:textId="7193E76E" w:rsidR="000E4FD0" w:rsidRDefault="0044637E" w:rsidP="0044637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>
        <w:t>31.</w:t>
      </w:r>
      <w:r>
        <w:tab/>
      </w:r>
      <w:r w:rsidR="000A1AAE" w:rsidRPr="00A841AA">
        <w:t>The</w:t>
      </w:r>
      <w:r w:rsidR="00D52FD0">
        <w:t xml:space="preserve"> </w:t>
      </w:r>
      <w:r w:rsidR="000A1AAE" w:rsidRPr="00A841AA">
        <w:t>Malta</w:t>
      </w:r>
      <w:r w:rsidR="00D52FD0">
        <w:t xml:space="preserve"> </w:t>
      </w:r>
      <w:r w:rsidR="000A1AAE" w:rsidRPr="00A841AA">
        <w:t>Police</w:t>
      </w:r>
      <w:r w:rsidR="00D52FD0">
        <w:t xml:space="preserve"> </w:t>
      </w:r>
      <w:r w:rsidR="000A1AAE" w:rsidRPr="00A841AA">
        <w:t>Force</w:t>
      </w:r>
      <w:r w:rsidR="00D52FD0">
        <w:t xml:space="preserve"> </w:t>
      </w:r>
      <w:r w:rsidR="000A1AAE" w:rsidRPr="00A841AA">
        <w:t>(MPF)</w:t>
      </w:r>
      <w:r w:rsidR="00D52FD0">
        <w:t xml:space="preserve"> </w:t>
      </w:r>
      <w:r w:rsidR="000A1AAE" w:rsidRPr="00A841AA">
        <w:t>has</w:t>
      </w:r>
      <w:r w:rsidR="00D52FD0">
        <w:t xml:space="preserve"> </w:t>
      </w:r>
      <w:r w:rsidR="000A1AAE" w:rsidRPr="00A841AA">
        <w:t>established</w:t>
      </w:r>
      <w:r w:rsidR="00D52FD0">
        <w:t xml:space="preserve"> </w:t>
      </w:r>
      <w:r w:rsidR="000A1AAE" w:rsidRPr="00A841AA">
        <w:t>a</w:t>
      </w:r>
      <w:r w:rsidR="00D52FD0">
        <w:t xml:space="preserve"> </w:t>
      </w:r>
      <w:r w:rsidR="000A1AAE" w:rsidRPr="00A841AA">
        <w:t>number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Standard</w:t>
      </w:r>
      <w:r w:rsidR="00D52FD0">
        <w:t xml:space="preserve"> </w:t>
      </w:r>
      <w:r w:rsidR="000A1AAE" w:rsidRPr="00A841AA">
        <w:t>Operating</w:t>
      </w:r>
      <w:r w:rsidR="00D52FD0">
        <w:t xml:space="preserve"> </w:t>
      </w:r>
      <w:r w:rsidR="000A1AAE" w:rsidRPr="00A841AA">
        <w:t>Procedures</w:t>
      </w:r>
      <w:r w:rsidR="00D52FD0">
        <w:t xml:space="preserve"> </w:t>
      </w:r>
      <w:r w:rsidR="000A1AAE" w:rsidRPr="00A841AA">
        <w:t>(SOP)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Circulars</w:t>
      </w:r>
      <w:r w:rsidR="00D52FD0">
        <w:t xml:space="preserve"> </w:t>
      </w:r>
      <w:r w:rsidR="000A1AAE" w:rsidRPr="00A841AA">
        <w:t>which</w:t>
      </w:r>
      <w:r w:rsidR="00D52FD0">
        <w:t xml:space="preserve"> </w:t>
      </w:r>
      <w:r w:rsidR="000A1AAE" w:rsidRPr="00A841AA">
        <w:t>serve</w:t>
      </w:r>
      <w:r w:rsidR="00D52FD0">
        <w:t xml:space="preserve"> </w:t>
      </w:r>
      <w:r w:rsidR="000A1AAE" w:rsidRPr="00A841AA">
        <w:t>as</w:t>
      </w:r>
      <w:r w:rsidR="00D52FD0">
        <w:t xml:space="preserve"> </w:t>
      </w:r>
      <w:r w:rsidR="000A1AAE" w:rsidRPr="00A841AA">
        <w:t>guidelines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MPF</w:t>
      </w:r>
      <w:r w:rsidR="00D52FD0">
        <w:t xml:space="preserve"> </w:t>
      </w:r>
      <w:r w:rsidR="000A1AAE" w:rsidRPr="00A841AA">
        <w:t>officers</w:t>
      </w:r>
      <w:r w:rsidR="00D52FD0">
        <w:t xml:space="preserve"> </w:t>
      </w:r>
      <w:r w:rsidR="000A1AAE" w:rsidRPr="00A841AA">
        <w:t>regarding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use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force.</w:t>
      </w:r>
      <w:r w:rsidR="00D52FD0">
        <w:t xml:space="preserve"> </w:t>
      </w:r>
      <w:r w:rsidR="000A1AAE" w:rsidRPr="00A841AA">
        <w:t>These</w:t>
      </w:r>
      <w:r w:rsidR="00D52FD0">
        <w:t xml:space="preserve"> </w:t>
      </w:r>
      <w:r w:rsidR="000A1AAE" w:rsidRPr="00A841AA">
        <w:t>include</w:t>
      </w:r>
      <w:r w:rsidR="00D52FD0">
        <w:t xml:space="preserve"> </w:t>
      </w:r>
      <w:r w:rsidR="000A1AAE" w:rsidRPr="00A841AA">
        <w:t>a</w:t>
      </w:r>
      <w:r w:rsidR="00D52FD0">
        <w:t xml:space="preserve"> </w:t>
      </w:r>
      <w:r w:rsidR="000A1AAE" w:rsidRPr="00A841AA">
        <w:t>Code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Ethics,</w:t>
      </w:r>
      <w:r w:rsidR="00D52FD0">
        <w:t xml:space="preserve"> </w:t>
      </w:r>
      <w:r w:rsidR="000A1AAE" w:rsidRPr="00A841AA">
        <w:t>Use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Conducted</w:t>
      </w:r>
      <w:r w:rsidR="00D52FD0">
        <w:t xml:space="preserve"> </w:t>
      </w:r>
      <w:r w:rsidR="000A1AAE" w:rsidRPr="00A841AA">
        <w:t>Electrical</w:t>
      </w:r>
      <w:r w:rsidR="00D52FD0">
        <w:t xml:space="preserve"> </w:t>
      </w:r>
      <w:r w:rsidR="000A1AAE" w:rsidRPr="00A841AA">
        <w:t>Weapons</w:t>
      </w:r>
      <w:r w:rsidR="00D52FD0">
        <w:t xml:space="preserve"> </w:t>
      </w:r>
      <w:r w:rsidR="000A1AAE" w:rsidRPr="00A841AA">
        <w:t>(Taser),</w:t>
      </w:r>
      <w:r w:rsidR="00D52FD0">
        <w:t xml:space="preserve"> </w:t>
      </w:r>
      <w:r w:rsidR="000A1AAE" w:rsidRPr="00A841AA">
        <w:t>Use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Conducted</w:t>
      </w:r>
      <w:r w:rsidR="00D52FD0">
        <w:t xml:space="preserve"> </w:t>
      </w:r>
      <w:r w:rsidR="000A1AAE" w:rsidRPr="00A841AA">
        <w:t>Electrical</w:t>
      </w:r>
      <w:r w:rsidR="00D52FD0">
        <w:t xml:space="preserve"> </w:t>
      </w:r>
      <w:r w:rsidR="000A1AAE" w:rsidRPr="00A841AA">
        <w:t>Weapons</w:t>
      </w:r>
      <w:r w:rsidR="00D52FD0">
        <w:t xml:space="preserve"> </w:t>
      </w:r>
      <w:r w:rsidR="000A1AAE" w:rsidRPr="00A841AA">
        <w:t>(Taser),</w:t>
      </w:r>
      <w:r w:rsidR="00D52FD0">
        <w:t xml:space="preserve"> </w:t>
      </w:r>
      <w:r w:rsidR="000A1AAE" w:rsidRPr="00A841AA">
        <w:t>Guidelines</w:t>
      </w:r>
      <w:r w:rsidR="00D52FD0">
        <w:t xml:space="preserve"> </w:t>
      </w:r>
      <w:r w:rsidR="000A1AAE" w:rsidRPr="00A841AA">
        <w:t>on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Use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Pepper</w:t>
      </w:r>
      <w:r w:rsidR="00D52FD0">
        <w:t xml:space="preserve"> </w:t>
      </w:r>
      <w:r w:rsidR="000A1AAE" w:rsidRPr="00A841AA">
        <w:t>Spray,</w:t>
      </w:r>
      <w:r w:rsidR="00D52FD0">
        <w:t xml:space="preserve"> </w:t>
      </w:r>
      <w:r w:rsidR="000A1AAE" w:rsidRPr="00A841AA">
        <w:t>Guidelines</w:t>
      </w:r>
      <w:r w:rsidR="00D52FD0">
        <w:t xml:space="preserve"> </w:t>
      </w:r>
      <w:r w:rsidR="000A1AAE" w:rsidRPr="00A841AA">
        <w:t>for</w:t>
      </w:r>
      <w:r w:rsidR="00D52FD0">
        <w:t xml:space="preserve"> </w:t>
      </w:r>
      <w:r w:rsidR="000A1AAE" w:rsidRPr="00A841AA">
        <w:t>Police</w:t>
      </w:r>
      <w:r w:rsidR="00D52FD0">
        <w:t xml:space="preserve"> </w:t>
      </w:r>
      <w:r w:rsidR="000A1AAE" w:rsidRPr="00A841AA">
        <w:t>on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issue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use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firearms.</w:t>
      </w:r>
    </w:p>
    <w:p w14:paraId="3108F91F" w14:textId="45308610" w:rsidR="000A1AAE" w:rsidRPr="00A841AA" w:rsidRDefault="0044637E" w:rsidP="0044637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841AA">
        <w:t>32.</w:t>
      </w:r>
      <w:r w:rsidRPr="00A841AA">
        <w:tab/>
      </w:r>
      <w:r w:rsidR="000A1AAE" w:rsidRPr="00A841AA">
        <w:t>Furthermore,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following</w:t>
      </w:r>
      <w:r w:rsidR="00D52FD0">
        <w:t xml:space="preserve"> </w:t>
      </w:r>
      <w:r w:rsidR="000A1AAE" w:rsidRPr="00A841AA">
        <w:t>measures</w:t>
      </w:r>
      <w:r w:rsidR="00D52FD0">
        <w:t xml:space="preserve"> </w:t>
      </w:r>
      <w:r w:rsidR="000A1AAE" w:rsidRPr="00A841AA">
        <w:t>are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place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prevent</w:t>
      </w:r>
      <w:r w:rsidR="00D52FD0">
        <w:t xml:space="preserve"> </w:t>
      </w:r>
      <w:r w:rsidR="000A1AAE" w:rsidRPr="00A841AA">
        <w:t>ill-treatment:</w:t>
      </w:r>
    </w:p>
    <w:p w14:paraId="4049FA18" w14:textId="504A88C7" w:rsidR="000A1AAE" w:rsidRPr="00A841AA" w:rsidRDefault="00D52FD0" w:rsidP="00D52FD0">
      <w:pPr>
        <w:pStyle w:val="ParaNoG"/>
        <w:numPr>
          <w:ilvl w:val="0"/>
          <w:numId w:val="0"/>
        </w:numPr>
        <w:ind w:left="1134"/>
      </w:pPr>
      <w:r>
        <w:tab/>
      </w:r>
      <w:r w:rsidR="000A1AAE" w:rsidRPr="00A841AA">
        <w:t>(a)</w:t>
      </w:r>
      <w:r w:rsidR="000A1AAE" w:rsidRPr="00A841AA">
        <w:tab/>
        <w:t>During</w:t>
      </w:r>
      <w:r>
        <w:t xml:space="preserve"> </w:t>
      </w:r>
      <w:r w:rsidR="000A1AAE" w:rsidRPr="00A841AA">
        <w:t>interviews/interrogations,</w:t>
      </w:r>
      <w:r>
        <w:t xml:space="preserve"> </w:t>
      </w:r>
      <w:r w:rsidR="000A1AAE" w:rsidRPr="00A841AA">
        <w:t>the</w:t>
      </w:r>
      <w:r>
        <w:t xml:space="preserve"> </w:t>
      </w:r>
      <w:r w:rsidR="000A1AAE" w:rsidRPr="00A841AA">
        <w:t>police</w:t>
      </w:r>
      <w:r>
        <w:t xml:space="preserve"> </w:t>
      </w:r>
      <w:r w:rsidR="000A1AAE" w:rsidRPr="00A841AA">
        <w:t>interviewer</w:t>
      </w:r>
      <w:r>
        <w:t xml:space="preserve"> </w:t>
      </w:r>
      <w:r w:rsidR="000A1AAE" w:rsidRPr="00A841AA">
        <w:t>is</w:t>
      </w:r>
      <w:r>
        <w:t xml:space="preserve"> </w:t>
      </w:r>
      <w:r w:rsidR="000A1AAE" w:rsidRPr="00A841AA">
        <w:t>to</w:t>
      </w:r>
      <w:r>
        <w:t xml:space="preserve"> </w:t>
      </w:r>
      <w:r w:rsidR="000A1AAE" w:rsidRPr="00A841AA">
        <w:t>be</w:t>
      </w:r>
      <w:r>
        <w:t xml:space="preserve"> </w:t>
      </w:r>
      <w:r w:rsidR="000A1AAE" w:rsidRPr="00A841AA">
        <w:t>accompanied</w:t>
      </w:r>
      <w:r>
        <w:t xml:space="preserve"> </w:t>
      </w:r>
      <w:r w:rsidR="000A1AAE" w:rsidRPr="00A841AA">
        <w:t>by</w:t>
      </w:r>
      <w:r>
        <w:t xml:space="preserve"> </w:t>
      </w:r>
      <w:r w:rsidR="000A1AAE" w:rsidRPr="00A841AA">
        <w:t>another</w:t>
      </w:r>
      <w:r>
        <w:t xml:space="preserve"> </w:t>
      </w:r>
      <w:r w:rsidR="000A1AAE" w:rsidRPr="00A841AA">
        <w:t>officer</w:t>
      </w:r>
      <w:r>
        <w:t xml:space="preserve"> </w:t>
      </w:r>
      <w:r w:rsidR="000A1AAE" w:rsidRPr="00A841AA">
        <w:t>as</w:t>
      </w:r>
      <w:r>
        <w:t xml:space="preserve"> </w:t>
      </w:r>
      <w:r w:rsidR="000A1AAE" w:rsidRPr="00A841AA">
        <w:t>a</w:t>
      </w:r>
      <w:r>
        <w:t xml:space="preserve"> </w:t>
      </w:r>
      <w:r w:rsidR="000A1AAE" w:rsidRPr="00A841AA">
        <w:t>witness.</w:t>
      </w:r>
    </w:p>
    <w:p w14:paraId="710C50C5" w14:textId="566E2357" w:rsidR="000A1AAE" w:rsidRPr="00A841AA" w:rsidRDefault="00D52FD0" w:rsidP="00D52FD0">
      <w:pPr>
        <w:pStyle w:val="ParaNoG"/>
        <w:numPr>
          <w:ilvl w:val="0"/>
          <w:numId w:val="0"/>
        </w:numPr>
        <w:ind w:left="1134"/>
      </w:pPr>
      <w:r>
        <w:tab/>
      </w:r>
      <w:r w:rsidR="000A1AAE" w:rsidRPr="00A841AA">
        <w:t>(b)</w:t>
      </w:r>
      <w:r>
        <w:t xml:space="preserve"> </w:t>
      </w:r>
      <w:r w:rsidR="000A1AAE">
        <w:tab/>
      </w:r>
      <w:r w:rsidR="000A1AAE" w:rsidRPr="00A841AA">
        <w:t>The</w:t>
      </w:r>
      <w:r>
        <w:t xml:space="preserve"> </w:t>
      </w:r>
      <w:r w:rsidR="000A1AAE" w:rsidRPr="00A841AA">
        <w:t>suspect</w:t>
      </w:r>
      <w:r>
        <w:t xml:space="preserve"> </w:t>
      </w:r>
      <w:r w:rsidR="000A1AAE" w:rsidRPr="00A841AA">
        <w:t>being</w:t>
      </w:r>
      <w:r>
        <w:t xml:space="preserve"> </w:t>
      </w:r>
      <w:r w:rsidR="000A1AAE" w:rsidRPr="00A841AA">
        <w:t>interviewed</w:t>
      </w:r>
      <w:r>
        <w:t xml:space="preserve"> </w:t>
      </w:r>
      <w:r w:rsidR="000A1AAE" w:rsidRPr="00A841AA">
        <w:t>under</w:t>
      </w:r>
      <w:r>
        <w:t xml:space="preserve"> </w:t>
      </w:r>
      <w:r w:rsidR="000A1AAE" w:rsidRPr="00A841AA">
        <w:t>a</w:t>
      </w:r>
      <w:r>
        <w:t xml:space="preserve"> </w:t>
      </w:r>
      <w:r w:rsidR="000A1AAE" w:rsidRPr="00A841AA">
        <w:t>caution</w:t>
      </w:r>
      <w:r>
        <w:t xml:space="preserve"> </w:t>
      </w:r>
      <w:r w:rsidR="000A1AAE" w:rsidRPr="00A841AA">
        <w:t>is</w:t>
      </w:r>
      <w:r>
        <w:t xml:space="preserve"> </w:t>
      </w:r>
      <w:r w:rsidR="000A1AAE" w:rsidRPr="00A841AA">
        <w:t>given</w:t>
      </w:r>
      <w:r>
        <w:t xml:space="preserve"> </w:t>
      </w:r>
      <w:r w:rsidR="000A1AAE" w:rsidRPr="00A841AA">
        <w:t>his</w:t>
      </w:r>
      <w:r>
        <w:t xml:space="preserve"> </w:t>
      </w:r>
      <w:r w:rsidR="000A1AAE" w:rsidRPr="00A841AA">
        <w:t>legal</w:t>
      </w:r>
      <w:r>
        <w:t xml:space="preserve"> </w:t>
      </w:r>
      <w:r w:rsidR="000A1AAE" w:rsidRPr="00A841AA">
        <w:t>rights</w:t>
      </w:r>
      <w:r>
        <w:t xml:space="preserve"> </w:t>
      </w:r>
      <w:r w:rsidR="000A1AAE" w:rsidRPr="00A841AA">
        <w:t>in</w:t>
      </w:r>
      <w:r>
        <w:t xml:space="preserve"> </w:t>
      </w:r>
      <w:r w:rsidR="000A1AAE" w:rsidRPr="00A841AA">
        <w:t>writing</w:t>
      </w:r>
      <w:r>
        <w:t xml:space="preserve"> </w:t>
      </w:r>
      <w:r w:rsidR="000A1AAE" w:rsidRPr="00A841AA">
        <w:t>in</w:t>
      </w:r>
      <w:r>
        <w:t xml:space="preserve"> </w:t>
      </w:r>
      <w:r w:rsidR="000A1AAE" w:rsidRPr="00A841AA">
        <w:t>a</w:t>
      </w:r>
      <w:r>
        <w:t xml:space="preserve"> </w:t>
      </w:r>
      <w:r w:rsidR="000A1AAE" w:rsidRPr="00A841AA">
        <w:t>language</w:t>
      </w:r>
      <w:r>
        <w:t xml:space="preserve"> </w:t>
      </w:r>
      <w:r w:rsidR="000A1AAE" w:rsidRPr="00A841AA">
        <w:t>he/she</w:t>
      </w:r>
      <w:r>
        <w:t xml:space="preserve"> </w:t>
      </w:r>
      <w:r w:rsidR="000A1AAE" w:rsidRPr="00A841AA">
        <w:t>understands.</w:t>
      </w:r>
    </w:p>
    <w:p w14:paraId="00837E8C" w14:textId="5A4EB3C5" w:rsidR="000A1AAE" w:rsidRPr="00A841AA" w:rsidRDefault="00D52FD0" w:rsidP="00D52FD0">
      <w:pPr>
        <w:pStyle w:val="ParaNoG"/>
        <w:numPr>
          <w:ilvl w:val="0"/>
          <w:numId w:val="0"/>
        </w:numPr>
        <w:ind w:left="1134"/>
      </w:pPr>
      <w:r>
        <w:tab/>
      </w:r>
      <w:r w:rsidR="000A1AAE" w:rsidRPr="00A841AA">
        <w:t>(c)</w:t>
      </w:r>
      <w:r w:rsidR="000A1AAE">
        <w:tab/>
      </w:r>
      <w:r w:rsidR="000A1AAE" w:rsidRPr="00A841AA">
        <w:t>He/she</w:t>
      </w:r>
      <w:r>
        <w:t xml:space="preserve"> </w:t>
      </w:r>
      <w:r w:rsidR="000A1AAE" w:rsidRPr="00A841AA">
        <w:t>is</w:t>
      </w:r>
      <w:r>
        <w:t xml:space="preserve"> </w:t>
      </w:r>
      <w:r w:rsidR="000A1AAE" w:rsidRPr="00A841AA">
        <w:t>given</w:t>
      </w:r>
      <w:r>
        <w:t xml:space="preserve"> </w:t>
      </w:r>
      <w:r w:rsidR="000A1AAE" w:rsidRPr="00A841AA">
        <w:t>the</w:t>
      </w:r>
      <w:r>
        <w:t xml:space="preserve"> </w:t>
      </w:r>
      <w:r w:rsidR="000A1AAE" w:rsidRPr="00A841AA">
        <w:t>right</w:t>
      </w:r>
      <w:r>
        <w:t xml:space="preserve"> </w:t>
      </w:r>
      <w:r w:rsidR="000A1AAE" w:rsidRPr="00A841AA">
        <w:t>to</w:t>
      </w:r>
      <w:r>
        <w:t xml:space="preserve"> </w:t>
      </w:r>
      <w:r w:rsidR="000A1AAE" w:rsidRPr="00A841AA">
        <w:t>consult</w:t>
      </w:r>
      <w:r>
        <w:t xml:space="preserve"> </w:t>
      </w:r>
      <w:r w:rsidR="000A1AAE" w:rsidRPr="00A841AA">
        <w:t>a</w:t>
      </w:r>
      <w:r>
        <w:t xml:space="preserve"> </w:t>
      </w:r>
      <w:r w:rsidR="000A1AAE" w:rsidRPr="00A841AA">
        <w:t>lawyer</w:t>
      </w:r>
      <w:r>
        <w:t xml:space="preserve"> </w:t>
      </w:r>
      <w:r w:rsidR="000A1AAE" w:rsidRPr="00A841AA">
        <w:t>and</w:t>
      </w:r>
      <w:r>
        <w:t xml:space="preserve"> </w:t>
      </w:r>
      <w:r w:rsidR="000A1AAE" w:rsidRPr="00A841AA">
        <w:t>can</w:t>
      </w:r>
      <w:r>
        <w:t xml:space="preserve"> </w:t>
      </w:r>
      <w:r w:rsidR="000A1AAE" w:rsidRPr="00A841AA">
        <w:t>even</w:t>
      </w:r>
      <w:r>
        <w:t xml:space="preserve"> </w:t>
      </w:r>
      <w:r w:rsidR="000A1AAE" w:rsidRPr="00A841AA">
        <w:t>be</w:t>
      </w:r>
      <w:r>
        <w:t xml:space="preserve"> </w:t>
      </w:r>
      <w:r w:rsidR="000A1AAE" w:rsidRPr="00A841AA">
        <w:t>accompanied</w:t>
      </w:r>
      <w:r>
        <w:t xml:space="preserve"> </w:t>
      </w:r>
      <w:r w:rsidR="000A1AAE" w:rsidRPr="00A841AA">
        <w:t>by</w:t>
      </w:r>
      <w:r>
        <w:t xml:space="preserve"> </w:t>
      </w:r>
      <w:r w:rsidR="000A1AAE" w:rsidRPr="00A841AA">
        <w:t>same</w:t>
      </w:r>
      <w:r>
        <w:t xml:space="preserve"> </w:t>
      </w:r>
      <w:r w:rsidR="000A1AAE" w:rsidRPr="00A841AA">
        <w:t>during</w:t>
      </w:r>
      <w:r>
        <w:t xml:space="preserve"> </w:t>
      </w:r>
      <w:r w:rsidR="000A1AAE" w:rsidRPr="00A841AA">
        <w:t>interviewing.</w:t>
      </w:r>
    </w:p>
    <w:p w14:paraId="4F9A6067" w14:textId="18536D60" w:rsidR="000A1AAE" w:rsidRPr="00A841AA" w:rsidRDefault="00D52FD0" w:rsidP="00D52FD0">
      <w:pPr>
        <w:pStyle w:val="ParaNoG"/>
        <w:numPr>
          <w:ilvl w:val="0"/>
          <w:numId w:val="0"/>
        </w:numPr>
        <w:ind w:left="1134"/>
      </w:pPr>
      <w:r>
        <w:tab/>
      </w:r>
      <w:r w:rsidR="000A1AAE" w:rsidRPr="00A841AA">
        <w:t>(d)</w:t>
      </w:r>
      <w:r>
        <w:t xml:space="preserve"> </w:t>
      </w:r>
      <w:r w:rsidR="000A1AAE">
        <w:tab/>
      </w:r>
      <w:r w:rsidR="000A1AAE" w:rsidRPr="00A841AA">
        <w:t>Upon</w:t>
      </w:r>
      <w:r>
        <w:t xml:space="preserve"> </w:t>
      </w:r>
      <w:r w:rsidR="000A1AAE" w:rsidRPr="00A841AA">
        <w:t>arrest,</w:t>
      </w:r>
      <w:r>
        <w:t xml:space="preserve"> </w:t>
      </w:r>
      <w:r w:rsidR="000A1AAE" w:rsidRPr="00A841AA">
        <w:t>the</w:t>
      </w:r>
      <w:r>
        <w:t xml:space="preserve"> </w:t>
      </w:r>
      <w:r w:rsidR="000A1AAE" w:rsidRPr="00A841AA">
        <w:t>suspect</w:t>
      </w:r>
      <w:r>
        <w:t xml:space="preserve"> </w:t>
      </w:r>
      <w:r w:rsidR="000A1AAE" w:rsidRPr="00A841AA">
        <w:t>can</w:t>
      </w:r>
      <w:r>
        <w:t xml:space="preserve"> </w:t>
      </w:r>
      <w:r w:rsidR="000A1AAE" w:rsidRPr="00A841AA">
        <w:t>consult</w:t>
      </w:r>
      <w:r>
        <w:t xml:space="preserve"> </w:t>
      </w:r>
      <w:r w:rsidR="000A1AAE" w:rsidRPr="00A841AA">
        <w:t>a</w:t>
      </w:r>
      <w:r>
        <w:t xml:space="preserve"> </w:t>
      </w:r>
      <w:r w:rsidR="000A1AAE" w:rsidRPr="00A841AA">
        <w:t>lawyer</w:t>
      </w:r>
      <w:r>
        <w:t xml:space="preserve"> </w:t>
      </w:r>
      <w:r w:rsidR="000A1AAE" w:rsidRPr="00A841AA">
        <w:t>of</w:t>
      </w:r>
      <w:r>
        <w:t xml:space="preserve"> </w:t>
      </w:r>
      <w:r w:rsidR="000A1AAE" w:rsidRPr="00A841AA">
        <w:t>his</w:t>
      </w:r>
      <w:r>
        <w:t xml:space="preserve"> </w:t>
      </w:r>
      <w:r w:rsidR="000A1AAE" w:rsidRPr="00A841AA">
        <w:t>choice.</w:t>
      </w:r>
    </w:p>
    <w:p w14:paraId="20CB9A5E" w14:textId="77777777" w:rsidR="000E4FD0" w:rsidRDefault="00D52FD0" w:rsidP="00D52FD0">
      <w:pPr>
        <w:pStyle w:val="ParaNoG"/>
        <w:numPr>
          <w:ilvl w:val="0"/>
          <w:numId w:val="0"/>
        </w:numPr>
        <w:ind w:left="1134"/>
      </w:pPr>
      <w:r>
        <w:tab/>
      </w:r>
      <w:r w:rsidR="000A1AAE" w:rsidRPr="00A841AA">
        <w:t>(e)</w:t>
      </w:r>
      <w:r>
        <w:t xml:space="preserve"> </w:t>
      </w:r>
      <w:r w:rsidR="000A1AAE">
        <w:tab/>
      </w:r>
      <w:r w:rsidR="000A1AAE" w:rsidRPr="00A841AA">
        <w:t>When</w:t>
      </w:r>
      <w:r>
        <w:t xml:space="preserve"> </w:t>
      </w:r>
      <w:r w:rsidR="000A1AAE" w:rsidRPr="00A841AA">
        <w:t>interacting</w:t>
      </w:r>
      <w:r>
        <w:t xml:space="preserve"> </w:t>
      </w:r>
      <w:r w:rsidR="000A1AAE" w:rsidRPr="00A841AA">
        <w:t>with</w:t>
      </w:r>
      <w:r>
        <w:t xml:space="preserve"> </w:t>
      </w:r>
      <w:r w:rsidR="000A1AAE" w:rsidRPr="00A841AA">
        <w:t>the</w:t>
      </w:r>
      <w:r>
        <w:t xml:space="preserve"> </w:t>
      </w:r>
      <w:r w:rsidR="000A1AAE" w:rsidRPr="00A841AA">
        <w:t>public,</w:t>
      </w:r>
      <w:r>
        <w:t xml:space="preserve"> </w:t>
      </w:r>
      <w:r w:rsidR="000A1AAE" w:rsidRPr="00A841AA">
        <w:t>officers</w:t>
      </w:r>
      <w:r>
        <w:t xml:space="preserve"> </w:t>
      </w:r>
      <w:r w:rsidR="000A1AAE" w:rsidRPr="00A841AA">
        <w:t>are</w:t>
      </w:r>
      <w:r>
        <w:t xml:space="preserve"> </w:t>
      </w:r>
      <w:r w:rsidR="000A1AAE" w:rsidRPr="00A841AA">
        <w:t>obliged</w:t>
      </w:r>
      <w:r>
        <w:t xml:space="preserve"> </w:t>
      </w:r>
      <w:r w:rsidR="000A1AAE" w:rsidRPr="00A841AA">
        <w:t>to</w:t>
      </w:r>
      <w:r>
        <w:t xml:space="preserve"> </w:t>
      </w:r>
      <w:r w:rsidR="000A1AAE" w:rsidRPr="00A841AA">
        <w:t>switch</w:t>
      </w:r>
      <w:r>
        <w:t xml:space="preserve"> </w:t>
      </w:r>
      <w:r w:rsidR="000A1AAE" w:rsidRPr="00A841AA">
        <w:t>on</w:t>
      </w:r>
      <w:r>
        <w:t xml:space="preserve"> </w:t>
      </w:r>
      <w:r w:rsidR="000A1AAE" w:rsidRPr="00A841AA">
        <w:t>their</w:t>
      </w:r>
      <w:r>
        <w:t xml:space="preserve"> </w:t>
      </w:r>
      <w:r w:rsidR="000A1AAE" w:rsidRPr="00A841AA">
        <w:t>bodycams</w:t>
      </w:r>
      <w:r>
        <w:t xml:space="preserve"> </w:t>
      </w:r>
      <w:r w:rsidR="000A1AAE" w:rsidRPr="00A841AA">
        <w:t>to</w:t>
      </w:r>
      <w:r>
        <w:t xml:space="preserve"> </w:t>
      </w:r>
      <w:r w:rsidR="000A1AAE" w:rsidRPr="00A841AA">
        <w:t>record</w:t>
      </w:r>
      <w:r>
        <w:t xml:space="preserve"> </w:t>
      </w:r>
      <w:r w:rsidR="000A1AAE" w:rsidRPr="00A841AA">
        <w:t>the</w:t>
      </w:r>
      <w:r>
        <w:t xml:space="preserve"> </w:t>
      </w:r>
      <w:r w:rsidR="000A1AAE" w:rsidRPr="00A841AA">
        <w:t>event.</w:t>
      </w:r>
    </w:p>
    <w:p w14:paraId="42FD66F2" w14:textId="7939284A" w:rsidR="000A1AAE" w:rsidRPr="00A841AA" w:rsidRDefault="00D52FD0" w:rsidP="00D52FD0">
      <w:pPr>
        <w:pStyle w:val="ParaNoG"/>
        <w:numPr>
          <w:ilvl w:val="0"/>
          <w:numId w:val="0"/>
        </w:numPr>
        <w:ind w:left="1134"/>
      </w:pPr>
      <w:r>
        <w:tab/>
      </w:r>
      <w:r w:rsidR="000A1AAE" w:rsidRPr="00A841AA">
        <w:t>(f)</w:t>
      </w:r>
      <w:r w:rsidR="000A1AAE">
        <w:tab/>
      </w:r>
      <w:r w:rsidR="000A1AAE" w:rsidRPr="00A841AA">
        <w:t>Interrogations</w:t>
      </w:r>
      <w:r>
        <w:t xml:space="preserve"> </w:t>
      </w:r>
      <w:r w:rsidR="000A1AAE" w:rsidRPr="00A841AA">
        <w:t>of</w:t>
      </w:r>
      <w:r>
        <w:t xml:space="preserve"> </w:t>
      </w:r>
      <w:r w:rsidR="000A1AAE" w:rsidRPr="00A841AA">
        <w:t>a</w:t>
      </w:r>
      <w:r>
        <w:t xml:space="preserve"> </w:t>
      </w:r>
      <w:r w:rsidR="000A1AAE" w:rsidRPr="00A841AA">
        <w:t>serious</w:t>
      </w:r>
      <w:r>
        <w:t xml:space="preserve"> </w:t>
      </w:r>
      <w:r w:rsidR="000A1AAE" w:rsidRPr="00A841AA">
        <w:t>nature</w:t>
      </w:r>
      <w:r>
        <w:t xml:space="preserve"> </w:t>
      </w:r>
      <w:r w:rsidR="000A1AAE" w:rsidRPr="00A841AA">
        <w:t>are</w:t>
      </w:r>
      <w:r>
        <w:t xml:space="preserve"> </w:t>
      </w:r>
      <w:r w:rsidR="000A1AAE" w:rsidRPr="00A841AA">
        <w:t>duly</w:t>
      </w:r>
      <w:r>
        <w:t xml:space="preserve"> </w:t>
      </w:r>
      <w:r w:rsidR="000A1AAE" w:rsidRPr="00A841AA">
        <w:t>recorded</w:t>
      </w:r>
      <w:r>
        <w:t xml:space="preserve"> </w:t>
      </w:r>
      <w:r w:rsidR="000A1AAE" w:rsidRPr="00A841AA">
        <w:t>&amp;</w:t>
      </w:r>
      <w:r>
        <w:t xml:space="preserve"> </w:t>
      </w:r>
      <w:r w:rsidR="000A1AAE" w:rsidRPr="00A841AA">
        <w:t>videoed.</w:t>
      </w:r>
    </w:p>
    <w:p w14:paraId="0E63278F" w14:textId="0B2C7FD3" w:rsidR="000A1AAE" w:rsidRPr="00A841AA" w:rsidRDefault="0044637E" w:rsidP="0044637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841AA">
        <w:t>33.</w:t>
      </w:r>
      <w:r w:rsidRPr="00A841AA">
        <w:tab/>
      </w:r>
      <w:r w:rsidR="000A1AAE" w:rsidRPr="00A841AA">
        <w:t>The</w:t>
      </w:r>
      <w:r w:rsidR="00D52FD0">
        <w:t xml:space="preserve"> </w:t>
      </w:r>
      <w:r w:rsidR="000A1AAE" w:rsidRPr="00A841AA">
        <w:t>Government</w:t>
      </w:r>
      <w:r w:rsidR="00D52FD0">
        <w:t xml:space="preserve"> </w:t>
      </w:r>
      <w:r w:rsidR="000A1AAE" w:rsidRPr="00A841AA">
        <w:t>has</w:t>
      </w:r>
      <w:r w:rsidR="00D52FD0">
        <w:t xml:space="preserve"> </w:t>
      </w:r>
      <w:r w:rsidR="000A1AAE" w:rsidRPr="00A841AA">
        <w:t>always</w:t>
      </w:r>
      <w:r w:rsidR="00D52FD0">
        <w:t xml:space="preserve"> </w:t>
      </w:r>
      <w:r w:rsidR="000A1AAE" w:rsidRPr="00A841AA">
        <w:t>ensured</w:t>
      </w:r>
      <w:r w:rsidR="00D52FD0">
        <w:t xml:space="preserve"> </w:t>
      </w:r>
      <w:r w:rsidR="000A1AAE" w:rsidRPr="00A841AA">
        <w:t>that</w:t>
      </w:r>
      <w:r w:rsidR="00D52FD0">
        <w:t xml:space="preserve"> </w:t>
      </w:r>
      <w:r w:rsidR="000A1AAE" w:rsidRPr="00A841AA">
        <w:t>disciplinary</w:t>
      </w:r>
      <w:r w:rsidR="00D52FD0">
        <w:t xml:space="preserve"> </w:t>
      </w:r>
      <w:r w:rsidR="000A1AAE" w:rsidRPr="00A841AA">
        <w:t>action</w:t>
      </w:r>
      <w:r w:rsidR="00D52FD0">
        <w:t xml:space="preserve"> </w:t>
      </w:r>
      <w:r w:rsidR="000A1AAE" w:rsidRPr="00A841AA">
        <w:t>has</w:t>
      </w:r>
      <w:r w:rsidR="00D52FD0">
        <w:t xml:space="preserve"> </w:t>
      </w:r>
      <w:r w:rsidR="000A1AAE" w:rsidRPr="00A841AA">
        <w:t>always</w:t>
      </w:r>
      <w:r w:rsidR="00D52FD0">
        <w:t xml:space="preserve"> </w:t>
      </w:r>
      <w:r w:rsidR="000A1AAE" w:rsidRPr="00A841AA">
        <w:t>been</w:t>
      </w:r>
      <w:r w:rsidR="00D52FD0">
        <w:t xml:space="preserve"> </w:t>
      </w:r>
      <w:r w:rsidR="000A1AAE" w:rsidRPr="00A841AA">
        <w:t>taken,</w:t>
      </w:r>
      <w:r w:rsidR="00D52FD0">
        <w:t xml:space="preserve"> </w:t>
      </w:r>
      <w:r w:rsidR="000A1AAE" w:rsidRPr="00A841AA">
        <w:t>when</w:t>
      </w:r>
      <w:r w:rsidR="00D52FD0">
        <w:t xml:space="preserve"> </w:t>
      </w:r>
      <w:r w:rsidR="000A1AAE" w:rsidRPr="00A841AA">
        <w:t>required,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response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any</w:t>
      </w:r>
      <w:r w:rsidR="00D52FD0">
        <w:t xml:space="preserve"> </w:t>
      </w:r>
      <w:r w:rsidR="000A1AAE" w:rsidRPr="00A841AA">
        <w:t>claims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abuse.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Detention</w:t>
      </w:r>
      <w:r w:rsidR="00D52FD0">
        <w:t xml:space="preserve"> </w:t>
      </w:r>
      <w:r w:rsidR="000A1AAE" w:rsidRPr="00A841AA">
        <w:t>Services</w:t>
      </w:r>
      <w:r w:rsidR="00D52FD0">
        <w:t xml:space="preserve"> </w:t>
      </w:r>
      <w:r w:rsidR="000A1AAE" w:rsidRPr="00A841AA">
        <w:t>(DS)</w:t>
      </w:r>
      <w:r w:rsidR="00D52FD0">
        <w:t xml:space="preserve"> </w:t>
      </w:r>
      <w:r w:rsidR="000A1AAE" w:rsidRPr="00A841AA">
        <w:t>has</w:t>
      </w:r>
      <w:r w:rsidR="00D52FD0">
        <w:t xml:space="preserve"> </w:t>
      </w:r>
      <w:r w:rsidR="000A1AAE" w:rsidRPr="00A841AA">
        <w:t>invested</w:t>
      </w:r>
      <w:r w:rsidR="00D52FD0">
        <w:t xml:space="preserve"> </w:t>
      </w:r>
      <w:r w:rsidR="000A1AAE" w:rsidRPr="00A841AA">
        <w:t>heavily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human</w:t>
      </w:r>
      <w:r w:rsidR="00D52FD0">
        <w:t xml:space="preserve"> </w:t>
      </w:r>
      <w:r w:rsidR="000A1AAE" w:rsidRPr="00A841AA">
        <w:t>resources,</w:t>
      </w:r>
      <w:r w:rsidR="00D52FD0">
        <w:t xml:space="preserve"> </w:t>
      </w:r>
      <w:r w:rsidR="000A1AAE" w:rsidRPr="00A841AA">
        <w:t>not</w:t>
      </w:r>
      <w:r w:rsidR="00D52FD0">
        <w:t xml:space="preserve"> </w:t>
      </w:r>
      <w:r w:rsidR="000A1AAE" w:rsidRPr="00A841AA">
        <w:t>only</w:t>
      </w:r>
      <w:r w:rsidR="00D52FD0">
        <w:t xml:space="preserve"> </w:t>
      </w:r>
      <w:r w:rsidR="000A1AAE" w:rsidRPr="00A841AA">
        <w:t>via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recruitment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106</w:t>
      </w:r>
      <w:r w:rsidR="00D52FD0">
        <w:t xml:space="preserve"> </w:t>
      </w:r>
      <w:r w:rsidR="000A1AAE" w:rsidRPr="00A841AA">
        <w:t>officials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2021</w:t>
      </w:r>
      <w:r w:rsidR="00D52FD0">
        <w:t xml:space="preserve"> </w:t>
      </w:r>
      <w:r w:rsidR="000A1AAE" w:rsidRPr="00A841AA">
        <w:t>but</w:t>
      </w:r>
      <w:r w:rsidR="00D52FD0">
        <w:t xml:space="preserve"> </w:t>
      </w:r>
      <w:r w:rsidR="000A1AAE" w:rsidRPr="00A841AA">
        <w:t>also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training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new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veteran</w:t>
      </w:r>
      <w:r w:rsidR="00D52FD0">
        <w:t xml:space="preserve"> </w:t>
      </w:r>
      <w:r w:rsidR="000A1AAE" w:rsidRPr="00A841AA">
        <w:t>staff.</w:t>
      </w:r>
      <w:r w:rsidR="00D52FD0">
        <w:t xml:space="preserve"> </w:t>
      </w:r>
      <w:r w:rsidR="000A1AAE" w:rsidRPr="00A841AA">
        <w:t>Training</w:t>
      </w:r>
      <w:r w:rsidR="00D52FD0">
        <w:t xml:space="preserve"> </w:t>
      </w:r>
      <w:r w:rsidR="000A1AAE" w:rsidRPr="00A841AA">
        <w:t>on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use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force</w:t>
      </w:r>
      <w:r w:rsidR="00D52FD0">
        <w:t xml:space="preserve"> </w:t>
      </w:r>
      <w:r w:rsidR="000A1AAE" w:rsidRPr="00A841AA">
        <w:t>has</w:t>
      </w:r>
      <w:r w:rsidR="00D52FD0">
        <w:t xml:space="preserve"> </w:t>
      </w:r>
      <w:r w:rsidR="000A1AAE" w:rsidRPr="00A841AA">
        <w:t>also</w:t>
      </w:r>
      <w:r w:rsidR="00D52FD0">
        <w:t xml:space="preserve"> </w:t>
      </w:r>
      <w:r w:rsidR="000A1AAE" w:rsidRPr="00A841AA">
        <w:t>been</w:t>
      </w:r>
      <w:r w:rsidR="00D52FD0">
        <w:t xml:space="preserve"> </w:t>
      </w:r>
      <w:r w:rsidR="000A1AAE" w:rsidRPr="00A841AA">
        <w:t>included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new</w:t>
      </w:r>
      <w:r w:rsidR="00D52FD0">
        <w:t xml:space="preserve"> </w:t>
      </w:r>
      <w:r w:rsidR="000A1AAE" w:rsidRPr="00A841AA">
        <w:t>curriculum.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DS</w:t>
      </w:r>
      <w:r w:rsidR="00D52FD0">
        <w:t xml:space="preserve"> </w:t>
      </w:r>
      <w:r w:rsidR="000A1AAE" w:rsidRPr="00A841AA">
        <w:t>has</w:t>
      </w:r>
      <w:r w:rsidR="00D52FD0">
        <w:t xml:space="preserve"> </w:t>
      </w:r>
      <w:r w:rsidR="000A1AAE" w:rsidRPr="00A841AA">
        <w:t>also</w:t>
      </w:r>
      <w:r w:rsidR="00D52FD0">
        <w:t xml:space="preserve"> </w:t>
      </w:r>
      <w:r w:rsidR="000A1AAE" w:rsidRPr="00A841AA">
        <w:t>recently</w:t>
      </w:r>
      <w:r w:rsidR="00D52FD0">
        <w:t xml:space="preserve"> </w:t>
      </w:r>
      <w:r w:rsidR="000A1AAE" w:rsidRPr="00A841AA">
        <w:t>updated</w:t>
      </w:r>
      <w:r w:rsidR="00D52FD0">
        <w:t xml:space="preserve"> </w:t>
      </w:r>
      <w:r w:rsidR="000A1AAE" w:rsidRPr="00A841AA">
        <w:t>their</w:t>
      </w:r>
      <w:r w:rsidR="00D52FD0">
        <w:t xml:space="preserve"> </w:t>
      </w:r>
      <w:r w:rsidR="000A1AAE" w:rsidRPr="00A841AA">
        <w:t>internal</w:t>
      </w:r>
      <w:r w:rsidR="00D52FD0">
        <w:t xml:space="preserve"> </w:t>
      </w:r>
      <w:r w:rsidR="000A1AAE" w:rsidRPr="00A841AA">
        <w:t>procedures</w:t>
      </w:r>
      <w:r w:rsidR="00D52FD0">
        <w:t xml:space="preserve"> </w:t>
      </w:r>
      <w:r w:rsidR="000A1AAE" w:rsidRPr="00A841AA">
        <w:t>regarding</w:t>
      </w:r>
      <w:r w:rsidR="00D52FD0">
        <w:t xml:space="preserve"> </w:t>
      </w:r>
      <w:r w:rsidR="000A1AAE" w:rsidRPr="00A841AA">
        <w:t>any</w:t>
      </w:r>
      <w:r w:rsidR="00D52FD0">
        <w:t xml:space="preserve"> </w:t>
      </w:r>
      <w:r w:rsidR="000A1AAE" w:rsidRPr="00A841AA">
        <w:t>incidents.</w:t>
      </w:r>
      <w:r w:rsidR="00D52FD0">
        <w:t xml:space="preserve"> </w:t>
      </w:r>
      <w:r w:rsidR="000A1AAE" w:rsidRPr="00A841AA">
        <w:t>An</w:t>
      </w:r>
      <w:r w:rsidR="00D52FD0">
        <w:t xml:space="preserve"> </w:t>
      </w:r>
      <w:r w:rsidR="000A1AAE" w:rsidRPr="00A841AA">
        <w:t>incident</w:t>
      </w:r>
      <w:r w:rsidR="00D52FD0">
        <w:t xml:space="preserve"> </w:t>
      </w:r>
      <w:r w:rsidR="000A1AAE" w:rsidRPr="00A841AA">
        <w:t>form</w:t>
      </w:r>
      <w:r w:rsidR="00D52FD0">
        <w:t xml:space="preserve"> </w:t>
      </w:r>
      <w:r w:rsidR="000A1AAE" w:rsidRPr="00A841AA">
        <w:t>has</w:t>
      </w:r>
      <w:r w:rsidR="00D52FD0">
        <w:t xml:space="preserve"> </w:t>
      </w:r>
      <w:r w:rsidR="000A1AAE" w:rsidRPr="00A841AA">
        <w:t>been</w:t>
      </w:r>
      <w:r w:rsidR="00D52FD0">
        <w:t xml:space="preserve"> </w:t>
      </w:r>
      <w:r w:rsidR="000A1AAE" w:rsidRPr="00A841AA">
        <w:t>created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a</w:t>
      </w:r>
      <w:r w:rsidR="00D52FD0">
        <w:t xml:space="preserve"> </w:t>
      </w:r>
      <w:r w:rsidR="000A1AAE" w:rsidRPr="00A841AA">
        <w:t>record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all</w:t>
      </w:r>
      <w:r w:rsidR="00D52FD0">
        <w:t xml:space="preserve"> </w:t>
      </w:r>
      <w:r w:rsidR="000A1AAE" w:rsidRPr="00A841AA">
        <w:t>incidents</w:t>
      </w:r>
      <w:r w:rsidR="00D52FD0">
        <w:t xml:space="preserve"> </w:t>
      </w:r>
      <w:r w:rsidR="000A1AAE" w:rsidRPr="00A841AA">
        <w:t>occurring</w:t>
      </w:r>
      <w:r w:rsidR="00D52FD0">
        <w:t xml:space="preserve"> </w:t>
      </w:r>
      <w:r w:rsidR="000A1AAE" w:rsidRPr="00A841AA">
        <w:t>at</w:t>
      </w:r>
      <w:r w:rsidR="00D52FD0">
        <w:t xml:space="preserve"> </w:t>
      </w:r>
      <w:r w:rsidR="000A1AAE" w:rsidRPr="00A841AA">
        <w:t>DS</w:t>
      </w:r>
      <w:r w:rsidR="00D52FD0">
        <w:t xml:space="preserve"> </w:t>
      </w:r>
      <w:r w:rsidR="000A1AAE" w:rsidRPr="00A841AA">
        <w:t>is</w:t>
      </w:r>
      <w:r w:rsidR="00D52FD0">
        <w:t xml:space="preserve"> </w:t>
      </w:r>
      <w:r w:rsidR="000A1AAE" w:rsidRPr="00A841AA">
        <w:t>being</w:t>
      </w:r>
      <w:r w:rsidR="00D52FD0">
        <w:t xml:space="preserve"> </w:t>
      </w:r>
      <w:r w:rsidR="000A1AAE" w:rsidRPr="00A841AA">
        <w:t>kept.</w:t>
      </w:r>
      <w:r w:rsidR="00D52FD0">
        <w:t xml:space="preserve"> </w:t>
      </w:r>
      <w:r w:rsidR="000A1AAE" w:rsidRPr="00A841AA">
        <w:t>Furthermore,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DS</w:t>
      </w:r>
      <w:r w:rsidR="00D52FD0">
        <w:t xml:space="preserve"> </w:t>
      </w:r>
      <w:r w:rsidR="000A1AAE" w:rsidRPr="00A841AA">
        <w:t>allocated</w:t>
      </w:r>
      <w:r w:rsidR="00D52FD0">
        <w:t xml:space="preserve"> </w:t>
      </w:r>
      <w:r w:rsidR="000A1AAE" w:rsidRPr="00A841AA">
        <w:t>a</w:t>
      </w:r>
      <w:r w:rsidR="00D52FD0">
        <w:t xml:space="preserve"> </w:t>
      </w:r>
      <w:r w:rsidR="000A1AAE" w:rsidRPr="00A841AA">
        <w:t>person</w:t>
      </w:r>
      <w:r w:rsidR="00D52FD0">
        <w:t xml:space="preserve"> </w:t>
      </w:r>
      <w:r w:rsidR="000A1AAE" w:rsidRPr="00A841AA">
        <w:t>responsible</w:t>
      </w:r>
      <w:r w:rsidR="00D52FD0">
        <w:t xml:space="preserve"> </w:t>
      </w:r>
      <w:r w:rsidR="000A1AAE" w:rsidRPr="00A841AA">
        <w:t>for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management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this</w:t>
      </w:r>
      <w:r w:rsidR="00D52FD0">
        <w:t xml:space="preserve"> </w:t>
      </w:r>
      <w:r w:rsidR="000A1AAE" w:rsidRPr="00A841AA">
        <w:t>register.</w:t>
      </w:r>
    </w:p>
    <w:p w14:paraId="0CF16408" w14:textId="7D53EDE8" w:rsidR="000A1AAE" w:rsidRPr="00A841AA" w:rsidRDefault="000A1AAE" w:rsidP="009B1B78">
      <w:pPr>
        <w:pStyle w:val="H23G"/>
      </w:pPr>
      <w:r>
        <w:tab/>
      </w:r>
      <w:r>
        <w:tab/>
      </w:r>
      <w:r w:rsidRPr="00A841AA">
        <w:t>Trafficking</w:t>
      </w:r>
      <w:r w:rsidR="00D52FD0">
        <w:t xml:space="preserve"> </w:t>
      </w:r>
      <w:r w:rsidRPr="00A841AA">
        <w:t>in</w:t>
      </w:r>
      <w:r w:rsidR="00D52FD0">
        <w:t xml:space="preserve"> </w:t>
      </w:r>
      <w:r w:rsidRPr="00A841AA">
        <w:t>human</w:t>
      </w:r>
      <w:r w:rsidR="00D52FD0">
        <w:t xml:space="preserve"> </w:t>
      </w:r>
      <w:r w:rsidRPr="00A841AA">
        <w:t>beings</w:t>
      </w:r>
    </w:p>
    <w:p w14:paraId="23973A89" w14:textId="6710D0F0" w:rsidR="000A1AAE" w:rsidRPr="00A841AA" w:rsidRDefault="0044637E" w:rsidP="0044637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841AA">
        <w:t>34.</w:t>
      </w:r>
      <w:r w:rsidRPr="00A841AA">
        <w:tab/>
      </w:r>
      <w:r w:rsidR="000A1AAE" w:rsidRPr="00A841AA">
        <w:t>The</w:t>
      </w:r>
      <w:r w:rsidR="00D52FD0">
        <w:t xml:space="preserve"> </w:t>
      </w:r>
      <w:r w:rsidR="000A1AAE" w:rsidRPr="00A841AA">
        <w:t>Government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Malta</w:t>
      </w:r>
      <w:r w:rsidR="00D52FD0">
        <w:t xml:space="preserve"> </w:t>
      </w:r>
      <w:r w:rsidR="000A1AAE" w:rsidRPr="00A841AA">
        <w:t>increased</w:t>
      </w:r>
      <w:r w:rsidR="00D52FD0">
        <w:t xml:space="preserve"> </w:t>
      </w:r>
      <w:r w:rsidR="000A1AAE" w:rsidRPr="00A841AA">
        <w:t>its</w:t>
      </w:r>
      <w:r w:rsidR="00D52FD0">
        <w:t xml:space="preserve"> </w:t>
      </w:r>
      <w:r w:rsidR="000A1AAE" w:rsidRPr="00A841AA">
        <w:t>commitment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fight</w:t>
      </w:r>
      <w:r w:rsidR="00D52FD0">
        <w:t xml:space="preserve"> </w:t>
      </w:r>
      <w:r w:rsidR="000A1AAE" w:rsidRPr="00A841AA">
        <w:t>human</w:t>
      </w:r>
      <w:r w:rsidR="00D52FD0">
        <w:t xml:space="preserve"> </w:t>
      </w:r>
      <w:r w:rsidR="000A1AAE" w:rsidRPr="00A841AA">
        <w:t>trafficking,</w:t>
      </w:r>
      <w:r w:rsidR="00D52FD0">
        <w:t xml:space="preserve"> </w:t>
      </w:r>
      <w:r w:rsidR="000A1AAE" w:rsidRPr="00A841AA">
        <w:t>mainly</w:t>
      </w:r>
      <w:r w:rsidR="00D52FD0">
        <w:t xml:space="preserve"> </w:t>
      </w:r>
      <w:r w:rsidR="000A1AAE" w:rsidRPr="00A841AA">
        <w:t>through</w:t>
      </w:r>
      <w:r w:rsidR="00D52FD0">
        <w:t xml:space="preserve"> </w:t>
      </w:r>
      <w:r w:rsidR="000A1AAE" w:rsidRPr="00A841AA">
        <w:t>greater</w:t>
      </w:r>
      <w:r w:rsidR="00D52FD0">
        <w:t xml:space="preserve"> </w:t>
      </w:r>
      <w:r w:rsidR="000A1AAE" w:rsidRPr="00A841AA">
        <w:t>collaboration</w:t>
      </w:r>
      <w:r w:rsidR="00D52FD0">
        <w:t xml:space="preserve"> </w:t>
      </w:r>
      <w:r w:rsidR="000A1AAE" w:rsidRPr="00A841AA">
        <w:t>between</w:t>
      </w:r>
      <w:r w:rsidR="00D52FD0">
        <w:t xml:space="preserve"> </w:t>
      </w:r>
      <w:r w:rsidR="000A1AAE" w:rsidRPr="00A841AA">
        <w:t>institutions</w:t>
      </w:r>
      <w:r w:rsidR="00D52FD0">
        <w:t xml:space="preserve"> </w:t>
      </w:r>
      <w:r w:rsidR="000A1AAE" w:rsidRPr="00A841AA">
        <w:t>on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identification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cases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human</w:t>
      </w:r>
      <w:r w:rsidR="00D52FD0">
        <w:t xml:space="preserve"> </w:t>
      </w:r>
      <w:r w:rsidR="000A1AAE" w:rsidRPr="00A841AA">
        <w:t>trafficking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training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public</w:t>
      </w:r>
      <w:r w:rsidR="00D52FD0">
        <w:t xml:space="preserve"> </w:t>
      </w:r>
      <w:r w:rsidR="000A1AAE" w:rsidRPr="00A841AA">
        <w:t>officers.</w:t>
      </w:r>
    </w:p>
    <w:p w14:paraId="7BAD5303" w14:textId="552D2E7E" w:rsidR="000A1AAE" w:rsidRPr="00A841AA" w:rsidRDefault="000A1AAE" w:rsidP="009B1B78">
      <w:pPr>
        <w:pStyle w:val="H4G"/>
      </w:pPr>
      <w:r>
        <w:tab/>
      </w:r>
      <w:r>
        <w:tab/>
      </w:r>
      <w:r w:rsidRPr="00A841AA">
        <w:t>Legislative</w:t>
      </w:r>
      <w:r w:rsidR="00D52FD0">
        <w:t xml:space="preserve"> </w:t>
      </w:r>
      <w:r w:rsidRPr="00A841AA">
        <w:t>Framework</w:t>
      </w:r>
    </w:p>
    <w:p w14:paraId="4356919A" w14:textId="61467559" w:rsidR="000A1AAE" w:rsidRPr="00A841AA" w:rsidRDefault="0044637E" w:rsidP="0044637E">
      <w:pPr>
        <w:pStyle w:val="ParaNoG"/>
        <w:numPr>
          <w:ilvl w:val="0"/>
          <w:numId w:val="0"/>
        </w:numPr>
        <w:tabs>
          <w:tab w:val="left" w:pos="0"/>
        </w:tabs>
        <w:ind w:left="1134"/>
        <w:rPr>
          <w:lang w:eastAsia="en-GB"/>
        </w:rPr>
      </w:pPr>
      <w:r w:rsidRPr="00A841AA">
        <w:rPr>
          <w:lang w:eastAsia="en-GB"/>
        </w:rPr>
        <w:t>35.</w:t>
      </w:r>
      <w:r w:rsidRPr="00A841AA">
        <w:rPr>
          <w:lang w:eastAsia="en-GB"/>
        </w:rPr>
        <w:tab/>
      </w:r>
      <w:r w:rsidR="000A1AAE" w:rsidRPr="00A841AA">
        <w:rPr>
          <w:lang w:eastAsia="en-GB"/>
        </w:rPr>
        <w:t>The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Maltese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Government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sought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to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enhance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its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legislative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framework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considering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the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curbing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of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illegal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employment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especially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of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third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country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nationals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who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may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also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be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in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a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trafficking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situation.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Two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new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labour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laws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came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into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effect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on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the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1st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January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2019:</w:t>
      </w:r>
    </w:p>
    <w:p w14:paraId="6B1C8FFE" w14:textId="79F5AEF9" w:rsidR="000A1AAE" w:rsidRPr="00A841AA" w:rsidRDefault="0044637E" w:rsidP="0044637E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A841AA">
        <w:t>•</w:t>
      </w:r>
      <w:r w:rsidRPr="00A841AA">
        <w:tab/>
      </w:r>
      <w:r w:rsidR="000A1AAE" w:rsidRPr="00A841AA">
        <w:t>Subsidiary</w:t>
      </w:r>
      <w:r w:rsidR="00D52FD0">
        <w:t xml:space="preserve"> </w:t>
      </w:r>
      <w:r w:rsidR="000A1AAE" w:rsidRPr="00A841AA">
        <w:t>Legislation</w:t>
      </w:r>
      <w:r w:rsidR="00D52FD0">
        <w:t xml:space="preserve"> </w:t>
      </w:r>
      <w:r w:rsidR="000A1AAE" w:rsidRPr="00A841AA">
        <w:t>452.115</w:t>
      </w:r>
      <w:r w:rsidR="00D52FD0">
        <w:t xml:space="preserve"> </w:t>
      </w:r>
      <w:r w:rsidR="000A1AAE" w:rsidRPr="00A841AA">
        <w:t>–</w:t>
      </w:r>
      <w:r w:rsidR="00D52FD0">
        <w:t xml:space="preserve"> </w:t>
      </w:r>
      <w:r w:rsidR="000A1AAE" w:rsidRPr="00A841AA">
        <w:t>Annual</w:t>
      </w:r>
      <w:r w:rsidR="00D52FD0">
        <w:t xml:space="preserve"> </w:t>
      </w:r>
      <w:r w:rsidR="000A1AAE" w:rsidRPr="00A841AA">
        <w:t>Leave</w:t>
      </w:r>
      <w:r w:rsidR="00D52FD0">
        <w:t xml:space="preserve"> </w:t>
      </w:r>
      <w:r w:rsidR="000A1AAE" w:rsidRPr="00A841AA">
        <w:t>National</w:t>
      </w:r>
      <w:r w:rsidR="00D52FD0">
        <w:t xml:space="preserve"> </w:t>
      </w:r>
      <w:r w:rsidR="000A1AAE" w:rsidRPr="00A841AA">
        <w:t>Standard</w:t>
      </w:r>
      <w:r w:rsidR="00D52FD0">
        <w:t xml:space="preserve"> </w:t>
      </w:r>
      <w:r w:rsidR="000A1AAE" w:rsidRPr="00A841AA">
        <w:t>Order</w:t>
      </w:r>
      <w:r w:rsidR="00D52FD0">
        <w:t xml:space="preserve"> </w:t>
      </w:r>
      <w:r w:rsidR="000A1AAE" w:rsidRPr="00A841AA">
        <w:t>sets</w:t>
      </w:r>
      <w:r w:rsidR="00D52FD0">
        <w:t xml:space="preserve"> </w:t>
      </w:r>
      <w:r w:rsidR="000A1AAE" w:rsidRPr="00A841AA">
        <w:t>clear</w:t>
      </w:r>
      <w:r w:rsidR="00D52FD0">
        <w:t xml:space="preserve"> </w:t>
      </w:r>
      <w:r w:rsidR="000A1AAE" w:rsidRPr="00A841AA">
        <w:t>procedures</w:t>
      </w:r>
      <w:r w:rsidR="00D52FD0">
        <w:t xml:space="preserve"> </w:t>
      </w:r>
      <w:r w:rsidR="000A1AAE" w:rsidRPr="00A841AA">
        <w:t>on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cancellation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leave,</w:t>
      </w:r>
      <w:r w:rsidR="00D52FD0">
        <w:t xml:space="preserve"> </w:t>
      </w:r>
      <w:r w:rsidR="000A1AAE" w:rsidRPr="00A841AA">
        <w:t>special</w:t>
      </w:r>
      <w:r w:rsidR="00D52FD0">
        <w:t xml:space="preserve"> </w:t>
      </w:r>
      <w:r w:rsidR="000A1AAE" w:rsidRPr="00A841AA">
        <w:t>leave,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accrual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leave</w:t>
      </w:r>
      <w:r w:rsidR="00D52FD0">
        <w:t xml:space="preserve"> </w:t>
      </w:r>
      <w:r w:rsidR="000A1AAE" w:rsidRPr="00A841AA">
        <w:t>during</w:t>
      </w:r>
      <w:r w:rsidR="00D52FD0">
        <w:t xml:space="preserve"> </w:t>
      </w:r>
      <w:r w:rsidR="000A1AAE" w:rsidRPr="00A841AA">
        <w:t>maternity</w:t>
      </w:r>
      <w:r w:rsidR="00D52FD0">
        <w:t xml:space="preserve"> </w:t>
      </w:r>
      <w:r w:rsidR="000A1AAE" w:rsidRPr="00A841AA">
        <w:t>leave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payment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leave</w:t>
      </w:r>
      <w:r w:rsidR="00D52FD0">
        <w:t xml:space="preserve"> </w:t>
      </w:r>
      <w:r w:rsidR="000A1AAE" w:rsidRPr="00A841AA">
        <w:t>balance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case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termination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employment.</w:t>
      </w:r>
      <w:r w:rsidR="00D52FD0">
        <w:t xml:space="preserve"> </w:t>
      </w:r>
      <w:r w:rsidR="000A1AAE" w:rsidRPr="00A841AA">
        <w:t>It</w:t>
      </w:r>
      <w:r w:rsidR="00D52FD0">
        <w:t xml:space="preserve"> </w:t>
      </w:r>
      <w:r w:rsidR="000A1AAE" w:rsidRPr="00A841AA">
        <w:t>also</w:t>
      </w:r>
      <w:r w:rsidR="00D52FD0">
        <w:t xml:space="preserve"> </w:t>
      </w:r>
      <w:r w:rsidR="000A1AAE" w:rsidRPr="00A841AA">
        <w:t>increases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obligations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employers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instances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forced</w:t>
      </w:r>
      <w:r w:rsidR="00D52FD0">
        <w:t xml:space="preserve"> </w:t>
      </w:r>
      <w:r w:rsidR="000A1AAE" w:rsidRPr="00A841AA">
        <w:t>leave.</w:t>
      </w:r>
    </w:p>
    <w:p w14:paraId="41CCF551" w14:textId="3F995F9C" w:rsidR="000A1AAE" w:rsidRPr="00A841AA" w:rsidRDefault="0044637E" w:rsidP="0044637E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A841AA">
        <w:lastRenderedPageBreak/>
        <w:t>•</w:t>
      </w:r>
      <w:r w:rsidRPr="00A841AA">
        <w:tab/>
      </w:r>
      <w:r w:rsidR="000A1AAE" w:rsidRPr="00A841AA">
        <w:t>Subsidiary</w:t>
      </w:r>
      <w:r w:rsidR="00D52FD0">
        <w:t xml:space="preserve"> </w:t>
      </w:r>
      <w:r w:rsidR="000A1AAE" w:rsidRPr="00A841AA">
        <w:t>Legislation</w:t>
      </w:r>
      <w:r w:rsidR="00D52FD0">
        <w:t xml:space="preserve"> </w:t>
      </w:r>
      <w:r w:rsidR="000A1AAE" w:rsidRPr="00A841AA">
        <w:t>452.116</w:t>
      </w:r>
      <w:r w:rsidR="00D52FD0">
        <w:t xml:space="preserve"> </w:t>
      </w:r>
      <w:r w:rsidR="000A1AAE" w:rsidRPr="00A841AA">
        <w:t>–</w:t>
      </w:r>
      <w:r w:rsidR="00D52FD0">
        <w:t xml:space="preserve"> </w:t>
      </w:r>
      <w:r w:rsidR="000A1AAE" w:rsidRPr="00A841AA">
        <w:t>Itemised</w:t>
      </w:r>
      <w:r w:rsidR="00D52FD0">
        <w:t xml:space="preserve"> </w:t>
      </w:r>
      <w:r w:rsidR="000A1AAE" w:rsidRPr="00A841AA">
        <w:t>Payslip</w:t>
      </w:r>
      <w:r w:rsidR="00D52FD0">
        <w:t xml:space="preserve"> </w:t>
      </w:r>
      <w:r w:rsidR="000A1AAE" w:rsidRPr="00A841AA">
        <w:t>Regulations</w:t>
      </w:r>
      <w:r w:rsidR="00D52FD0">
        <w:t xml:space="preserve"> </w:t>
      </w:r>
      <w:r w:rsidR="000A1AAE" w:rsidRPr="00A841AA">
        <w:t>requires</w:t>
      </w:r>
      <w:r w:rsidR="00D52FD0">
        <w:t xml:space="preserve"> </w:t>
      </w:r>
      <w:r w:rsidR="000A1AAE" w:rsidRPr="00A841AA">
        <w:t>employers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issue</w:t>
      </w:r>
      <w:r w:rsidR="00D52FD0">
        <w:t xml:space="preserve"> </w:t>
      </w:r>
      <w:r w:rsidR="000A1AAE" w:rsidRPr="00A841AA">
        <w:t>payslips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employees</w:t>
      </w:r>
      <w:r w:rsidR="00D52FD0">
        <w:t xml:space="preserve"> </w:t>
      </w:r>
      <w:r w:rsidR="000A1AAE" w:rsidRPr="00A841AA">
        <w:t>on</w:t>
      </w:r>
      <w:r w:rsidR="00D52FD0">
        <w:t xml:space="preserve"> </w:t>
      </w:r>
      <w:r w:rsidR="000A1AAE" w:rsidRPr="00A841AA">
        <w:t>a</w:t>
      </w:r>
      <w:r w:rsidR="00D52FD0">
        <w:t xml:space="preserve"> </w:t>
      </w:r>
      <w:r w:rsidR="000A1AAE" w:rsidRPr="00A841AA">
        <w:t>monthly</w:t>
      </w:r>
      <w:r w:rsidR="00D52FD0">
        <w:t xml:space="preserve"> </w:t>
      </w:r>
      <w:r w:rsidR="000A1AAE" w:rsidRPr="00A841AA">
        <w:t>basis.</w:t>
      </w:r>
      <w:r w:rsidR="00D52FD0">
        <w:t xml:space="preserve"> </w:t>
      </w:r>
      <w:r w:rsidR="000A1AAE" w:rsidRPr="00A841AA">
        <w:t>Payslips</w:t>
      </w:r>
      <w:r w:rsidR="00D52FD0">
        <w:t xml:space="preserve"> </w:t>
      </w:r>
      <w:r w:rsidR="000A1AAE" w:rsidRPr="00A841AA">
        <w:t>issued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employers</w:t>
      </w:r>
      <w:r w:rsidR="00D52FD0">
        <w:t xml:space="preserve"> </w:t>
      </w:r>
      <w:r w:rsidR="000A1AAE" w:rsidRPr="00A841AA">
        <w:t>should</w:t>
      </w:r>
      <w:r w:rsidR="00D52FD0">
        <w:t xml:space="preserve"> </w:t>
      </w:r>
      <w:r w:rsidR="000A1AAE" w:rsidRPr="00A841AA">
        <w:t>include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number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hours</w:t>
      </w:r>
      <w:r w:rsidR="00D52FD0">
        <w:t xml:space="preserve"> </w:t>
      </w:r>
      <w:r w:rsidR="000A1AAE" w:rsidRPr="00A841AA">
        <w:t>worked,</w:t>
      </w:r>
      <w:r w:rsidR="00D52FD0">
        <w:t xml:space="preserve"> </w:t>
      </w:r>
      <w:r w:rsidR="000A1AAE" w:rsidRPr="00A841AA">
        <w:t>number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hours</w:t>
      </w:r>
      <w:r w:rsidR="00D52FD0">
        <w:t xml:space="preserve"> </w:t>
      </w:r>
      <w:r w:rsidR="000A1AAE" w:rsidRPr="00A841AA">
        <w:t>worked</w:t>
      </w:r>
      <w:r w:rsidR="00D52FD0">
        <w:t xml:space="preserve"> </w:t>
      </w:r>
      <w:r w:rsidR="000A1AAE" w:rsidRPr="00A841AA">
        <w:t>at</w:t>
      </w:r>
      <w:r w:rsidR="00D52FD0">
        <w:t xml:space="preserve"> </w:t>
      </w:r>
      <w:r w:rsidR="000A1AAE" w:rsidRPr="00A841AA">
        <w:t>overtime</w:t>
      </w:r>
      <w:r w:rsidR="00D52FD0">
        <w:t xml:space="preserve"> </w:t>
      </w:r>
      <w:r w:rsidR="000A1AAE" w:rsidRPr="00A841AA">
        <w:t>rates,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leave</w:t>
      </w:r>
      <w:r w:rsidR="00D52FD0">
        <w:t xml:space="preserve"> </w:t>
      </w:r>
      <w:r w:rsidR="000A1AAE" w:rsidRPr="00A841AA">
        <w:t>balances,</w:t>
      </w:r>
      <w:r w:rsidR="00D52FD0">
        <w:t xml:space="preserve"> </w:t>
      </w:r>
      <w:r w:rsidR="000A1AAE" w:rsidRPr="00A841AA">
        <w:t>amongst</w:t>
      </w:r>
      <w:r w:rsidR="00D52FD0">
        <w:t xml:space="preserve"> </w:t>
      </w:r>
      <w:r w:rsidR="000A1AAE" w:rsidRPr="00A841AA">
        <w:t>others.</w:t>
      </w:r>
      <w:r w:rsidR="00D52FD0">
        <w:t xml:space="preserve"> </w:t>
      </w:r>
      <w:r w:rsidR="000A1AAE" w:rsidRPr="00A841AA">
        <w:t>Failure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abide</w:t>
      </w:r>
      <w:r w:rsidR="00D52FD0">
        <w:t xml:space="preserve"> </w:t>
      </w:r>
      <w:r w:rsidR="000A1AAE" w:rsidRPr="00A841AA">
        <w:t>by</w:t>
      </w:r>
      <w:r w:rsidR="00D52FD0">
        <w:t xml:space="preserve"> </w:t>
      </w:r>
      <w:r w:rsidR="000A1AAE" w:rsidRPr="00A841AA">
        <w:t>these</w:t>
      </w:r>
      <w:r w:rsidR="00D52FD0">
        <w:t xml:space="preserve"> </w:t>
      </w:r>
      <w:r w:rsidR="000A1AAE" w:rsidRPr="00A841AA">
        <w:t>conditions</w:t>
      </w:r>
      <w:r w:rsidR="00D52FD0">
        <w:t xml:space="preserve"> </w:t>
      </w:r>
      <w:r w:rsidR="000A1AAE" w:rsidRPr="00A841AA">
        <w:t>will</w:t>
      </w:r>
      <w:r w:rsidR="00D52FD0">
        <w:t xml:space="preserve"> </w:t>
      </w:r>
      <w:r w:rsidR="000A1AAE" w:rsidRPr="00A841AA">
        <w:t>subject</w:t>
      </w:r>
      <w:r w:rsidR="00D52FD0">
        <w:t xml:space="preserve"> </w:t>
      </w:r>
      <w:r w:rsidR="000A1AAE" w:rsidRPr="00A841AA">
        <w:t>employers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a</w:t>
      </w:r>
      <w:r w:rsidR="00D52FD0">
        <w:t xml:space="preserve"> </w:t>
      </w:r>
      <w:r w:rsidR="000A1AAE" w:rsidRPr="00A841AA">
        <w:t>fine.</w:t>
      </w:r>
    </w:p>
    <w:p w14:paraId="6EEBE995" w14:textId="0E2F1731" w:rsidR="000A1AAE" w:rsidRPr="00A841AA" w:rsidRDefault="0044637E" w:rsidP="0044637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841AA">
        <w:t>36.</w:t>
      </w:r>
      <w:r w:rsidRPr="00A841AA">
        <w:tab/>
      </w:r>
      <w:r w:rsidR="000A1AAE" w:rsidRPr="00A841AA">
        <w:t>The</w:t>
      </w:r>
      <w:r w:rsidR="00D52FD0">
        <w:t xml:space="preserve"> </w:t>
      </w:r>
      <w:r w:rsidR="000A1AAE" w:rsidRPr="00A841AA">
        <w:t>new</w:t>
      </w:r>
      <w:r w:rsidR="00D52FD0">
        <w:t xml:space="preserve"> </w:t>
      </w:r>
      <w:r w:rsidR="000A1AAE" w:rsidRPr="00A841AA">
        <w:t>laws</w:t>
      </w:r>
      <w:r w:rsidR="00D52FD0">
        <w:t xml:space="preserve"> </w:t>
      </w:r>
      <w:r w:rsidR="000A1AAE" w:rsidRPr="00A841AA">
        <w:t>will</w:t>
      </w:r>
      <w:r w:rsidR="00D52FD0">
        <w:t xml:space="preserve"> </w:t>
      </w:r>
      <w:r w:rsidR="000A1AAE" w:rsidRPr="00A841AA">
        <w:t>facilitate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collection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data</w:t>
      </w:r>
      <w:r w:rsidR="00D52FD0">
        <w:t xml:space="preserve"> </w:t>
      </w:r>
      <w:r w:rsidR="000A1AAE" w:rsidRPr="00A841AA">
        <w:t>by</w:t>
      </w:r>
      <w:r w:rsidR="00D52FD0">
        <w:t xml:space="preserve"> </w:t>
      </w:r>
      <w:r w:rsidR="000A1AAE" w:rsidRPr="00A841AA">
        <w:t>national</w:t>
      </w:r>
      <w:r w:rsidR="00D52FD0">
        <w:t xml:space="preserve"> </w:t>
      </w:r>
      <w:r w:rsidR="000A1AAE" w:rsidRPr="00A841AA">
        <w:t>enforcement</w:t>
      </w:r>
      <w:r w:rsidR="00D52FD0">
        <w:t xml:space="preserve"> </w:t>
      </w:r>
      <w:r w:rsidR="000A1AAE" w:rsidRPr="00A841AA">
        <w:t>bodies,</w:t>
      </w:r>
      <w:r w:rsidR="00D52FD0">
        <w:t xml:space="preserve"> </w:t>
      </w:r>
      <w:r w:rsidR="000A1AAE" w:rsidRPr="00A841AA">
        <w:t>mainly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Malta</w:t>
      </w:r>
      <w:r w:rsidR="00D52FD0">
        <w:t xml:space="preserve"> </w:t>
      </w:r>
      <w:r w:rsidR="000A1AAE" w:rsidRPr="00A841AA">
        <w:t>Police</w:t>
      </w:r>
      <w:r w:rsidR="00D52FD0">
        <w:t xml:space="preserve"> </w:t>
      </w:r>
      <w:r w:rsidR="000A1AAE" w:rsidRPr="00A841AA">
        <w:t>Force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Department</w:t>
      </w:r>
      <w:r w:rsidR="00D52FD0">
        <w:t xml:space="preserve"> </w:t>
      </w:r>
      <w:r w:rsidR="000A1AAE" w:rsidRPr="00A841AA">
        <w:t>for</w:t>
      </w:r>
      <w:r w:rsidR="00D52FD0">
        <w:t xml:space="preserve"> </w:t>
      </w:r>
      <w:r w:rsidR="000A1AAE" w:rsidRPr="00A841AA">
        <w:t>Industrial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Employment</w:t>
      </w:r>
      <w:r w:rsidR="00D52FD0">
        <w:t xml:space="preserve"> </w:t>
      </w:r>
      <w:r w:rsidR="000A1AAE" w:rsidRPr="00A841AA">
        <w:t>Relations</w:t>
      </w:r>
      <w:r w:rsidR="00D52FD0">
        <w:t xml:space="preserve"> </w:t>
      </w:r>
      <w:r w:rsidR="000A1AAE" w:rsidRPr="00A841AA">
        <w:t>(DIER),</w:t>
      </w:r>
      <w:r w:rsidR="00D52FD0">
        <w:t xml:space="preserve"> </w:t>
      </w:r>
      <w:r w:rsidR="000A1AAE" w:rsidRPr="00A841AA">
        <w:t>during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investigation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potential</w:t>
      </w:r>
      <w:r w:rsidR="00D52FD0">
        <w:t xml:space="preserve"> </w:t>
      </w:r>
      <w:r w:rsidR="000A1AAE" w:rsidRPr="00A841AA">
        <w:t>cases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labour</w:t>
      </w:r>
      <w:r w:rsidR="00D52FD0">
        <w:t xml:space="preserve"> </w:t>
      </w:r>
      <w:r w:rsidR="000A1AAE" w:rsidRPr="00A841AA">
        <w:t>trafficking.</w:t>
      </w:r>
    </w:p>
    <w:p w14:paraId="6B6CEC11" w14:textId="443A5DD9" w:rsidR="000A1AAE" w:rsidRPr="00A841AA" w:rsidRDefault="0044637E" w:rsidP="0044637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841AA">
        <w:t>37.</w:t>
      </w:r>
      <w:r w:rsidRPr="00A841AA">
        <w:tab/>
      </w:r>
      <w:r w:rsidR="000A1AAE" w:rsidRPr="00A841AA">
        <w:t>In</w:t>
      </w:r>
      <w:r w:rsidR="00D52FD0">
        <w:t xml:space="preserve"> </w:t>
      </w:r>
      <w:r w:rsidR="000A1AAE" w:rsidRPr="00A841AA">
        <w:t>addition,</w:t>
      </w:r>
      <w:r w:rsidR="00D52FD0">
        <w:t xml:space="preserve"> </w:t>
      </w:r>
      <w:r w:rsidR="000A1AAE" w:rsidRPr="00A841AA">
        <w:t>a</w:t>
      </w:r>
      <w:r w:rsidR="00D52FD0">
        <w:t xml:space="preserve"> </w:t>
      </w:r>
      <w:r w:rsidR="000A1AAE" w:rsidRPr="00A841AA">
        <w:t>Procedure</w:t>
      </w:r>
      <w:r w:rsidR="00D52FD0">
        <w:t xml:space="preserve"> </w:t>
      </w:r>
      <w:r w:rsidR="000A1AAE" w:rsidRPr="00A841AA">
        <w:t>for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Inspection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Illegally</w:t>
      </w:r>
      <w:r w:rsidR="00D52FD0">
        <w:t xml:space="preserve"> </w:t>
      </w:r>
      <w:r w:rsidR="000A1AAE" w:rsidRPr="00A841AA">
        <w:t>Staying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Illegally</w:t>
      </w:r>
      <w:r w:rsidR="00D52FD0">
        <w:t xml:space="preserve"> </w:t>
      </w:r>
      <w:r w:rsidR="000A1AAE" w:rsidRPr="00A841AA">
        <w:t>Employed</w:t>
      </w:r>
      <w:r w:rsidR="00D52FD0">
        <w:t xml:space="preserve"> </w:t>
      </w:r>
      <w:r w:rsidR="000A1AAE" w:rsidRPr="00A841AA">
        <w:t>Third</w:t>
      </w:r>
      <w:r w:rsidR="00D52FD0">
        <w:t xml:space="preserve"> </w:t>
      </w:r>
      <w:r w:rsidR="000A1AAE" w:rsidRPr="00A841AA">
        <w:t>Country</w:t>
      </w:r>
      <w:r w:rsidR="00D52FD0">
        <w:t xml:space="preserve"> </w:t>
      </w:r>
      <w:r w:rsidR="000A1AAE" w:rsidRPr="00A841AA">
        <w:t>Nationals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Monitoring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Third</w:t>
      </w:r>
      <w:r w:rsidR="00D52FD0">
        <w:t xml:space="preserve"> </w:t>
      </w:r>
      <w:r w:rsidR="000A1AAE" w:rsidRPr="00A841AA">
        <w:t>Country</w:t>
      </w:r>
      <w:r w:rsidR="00D52FD0">
        <w:t xml:space="preserve"> </w:t>
      </w:r>
      <w:r w:rsidR="000A1AAE" w:rsidRPr="00A841AA">
        <w:t>Nationals</w:t>
      </w:r>
      <w:r w:rsidR="00D52FD0">
        <w:t xml:space="preserve"> </w:t>
      </w:r>
      <w:r w:rsidR="000A1AAE" w:rsidRPr="00A841AA">
        <w:t>enrolled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Educational</w:t>
      </w:r>
      <w:r w:rsidR="00D52FD0">
        <w:t xml:space="preserve"> </w:t>
      </w:r>
      <w:r w:rsidR="000A1AAE" w:rsidRPr="00A841AA">
        <w:t>Establishments</w:t>
      </w:r>
      <w:r w:rsidR="00D52FD0">
        <w:t xml:space="preserve"> </w:t>
      </w:r>
      <w:r w:rsidR="000A1AAE" w:rsidRPr="00A841AA">
        <w:t>Regulations</w:t>
      </w:r>
      <w:r w:rsidR="00D52FD0">
        <w:t xml:space="preserve"> </w:t>
      </w:r>
      <w:r w:rsidR="000A1AAE" w:rsidRPr="00A841AA">
        <w:t>was</w:t>
      </w:r>
      <w:r w:rsidR="00D52FD0">
        <w:t xml:space="preserve"> </w:t>
      </w:r>
      <w:r w:rsidR="000A1AAE" w:rsidRPr="00A841AA">
        <w:t>published</w:t>
      </w:r>
      <w:r w:rsidR="00D52FD0">
        <w:t xml:space="preserve"> </w:t>
      </w:r>
      <w:r w:rsidR="000A1AAE" w:rsidRPr="00A841AA">
        <w:t>on</w:t>
      </w:r>
      <w:r w:rsidR="00D52FD0">
        <w:t xml:space="preserve"> </w:t>
      </w:r>
      <w:r w:rsidR="000A1AAE" w:rsidRPr="00A841AA">
        <w:t>4</w:t>
      </w:r>
      <w:r w:rsidR="00D52FD0">
        <w:t xml:space="preserve"> </w:t>
      </w:r>
      <w:r w:rsidR="000A1AAE" w:rsidRPr="00A841AA">
        <w:t>June</w:t>
      </w:r>
      <w:r w:rsidR="00D52FD0">
        <w:t xml:space="preserve"> </w:t>
      </w:r>
      <w:r w:rsidR="000A1AAE" w:rsidRPr="00A841AA">
        <w:t>2019</w:t>
      </w:r>
      <w:r w:rsidR="00D52FD0">
        <w:t xml:space="preserve"> </w:t>
      </w:r>
      <w:r w:rsidR="000A1AAE" w:rsidRPr="00A841AA">
        <w:t>by</w:t>
      </w:r>
      <w:r w:rsidR="00D52FD0">
        <w:t xml:space="preserve"> </w:t>
      </w:r>
      <w:r w:rsidR="000A1AAE" w:rsidRPr="00A841AA">
        <w:t>virtue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Legal</w:t>
      </w:r>
      <w:r w:rsidR="00D52FD0">
        <w:t xml:space="preserve"> </w:t>
      </w:r>
      <w:r w:rsidR="000A1AAE" w:rsidRPr="00A841AA">
        <w:t>Notice</w:t>
      </w:r>
      <w:r w:rsidR="00D52FD0">
        <w:t xml:space="preserve"> </w:t>
      </w:r>
      <w:r w:rsidR="000A1AAE" w:rsidRPr="00A841AA">
        <w:t>112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2019.</w:t>
      </w:r>
      <w:r w:rsidR="00D52FD0">
        <w:t xml:space="preserve"> </w:t>
      </w:r>
      <w:r w:rsidR="000A1AAE" w:rsidRPr="00A841AA">
        <w:t>By</w:t>
      </w:r>
      <w:r w:rsidR="00D52FD0">
        <w:t xml:space="preserve"> </w:t>
      </w:r>
      <w:r w:rsidR="000A1AAE" w:rsidRPr="00A841AA">
        <w:t>virtue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this</w:t>
      </w:r>
      <w:r w:rsidR="00D52FD0">
        <w:t xml:space="preserve"> </w:t>
      </w:r>
      <w:r w:rsidR="000A1AAE" w:rsidRPr="00A841AA">
        <w:t>Legal</w:t>
      </w:r>
      <w:r w:rsidR="00D52FD0">
        <w:t xml:space="preserve"> </w:t>
      </w:r>
      <w:r w:rsidR="000A1AAE" w:rsidRPr="00A841AA">
        <w:t>Notice,</w:t>
      </w:r>
      <w:r w:rsidR="00D52FD0">
        <w:t xml:space="preserve"> </w:t>
      </w:r>
      <w:r w:rsidR="000A1AAE" w:rsidRPr="00A841AA">
        <w:t>a</w:t>
      </w:r>
      <w:r w:rsidR="00D52FD0">
        <w:t xml:space="preserve"> </w:t>
      </w:r>
      <w:r w:rsidR="000A1AAE" w:rsidRPr="00A841AA">
        <w:t>new</w:t>
      </w:r>
      <w:r w:rsidR="00D52FD0">
        <w:t xml:space="preserve"> </w:t>
      </w:r>
      <w:r w:rsidR="000A1AAE" w:rsidRPr="00A841AA">
        <w:t>Reporting</w:t>
      </w:r>
      <w:r w:rsidR="00D52FD0">
        <w:t xml:space="preserve"> </w:t>
      </w:r>
      <w:r w:rsidR="000A1AAE" w:rsidRPr="00A841AA">
        <w:t>Unit</w:t>
      </w:r>
      <w:r w:rsidR="00D52FD0">
        <w:t xml:space="preserve"> </w:t>
      </w:r>
      <w:r w:rsidR="000A1AAE" w:rsidRPr="00A841AA">
        <w:t>was</w:t>
      </w:r>
      <w:r w:rsidR="00D52FD0">
        <w:t xml:space="preserve"> </w:t>
      </w:r>
      <w:r w:rsidR="000A1AAE" w:rsidRPr="00A841AA">
        <w:t>set</w:t>
      </w:r>
      <w:r w:rsidR="00D52FD0">
        <w:t xml:space="preserve"> </w:t>
      </w:r>
      <w:r w:rsidR="000A1AAE" w:rsidRPr="00A841AA">
        <w:t>up</w:t>
      </w:r>
      <w:r w:rsidR="00D52FD0">
        <w:t xml:space="preserve"> </w:t>
      </w:r>
      <w:r w:rsidR="000A1AAE" w:rsidRPr="00A841AA">
        <w:t>within</w:t>
      </w:r>
      <w:r w:rsidR="00D52FD0">
        <w:t xml:space="preserve"> </w:t>
      </w:r>
      <w:r w:rsidR="000A1AAE" w:rsidRPr="00A841AA">
        <w:t>Identity</w:t>
      </w:r>
      <w:r w:rsidR="00D52FD0">
        <w:t xml:space="preserve"> </w:t>
      </w:r>
      <w:r w:rsidR="000A1AAE" w:rsidRPr="00A841AA">
        <w:t>Malta</w:t>
      </w:r>
      <w:r w:rsidR="00D52FD0">
        <w:t xml:space="preserve"> </w:t>
      </w:r>
      <w:r w:rsidR="000A1AAE" w:rsidRPr="00A841AA">
        <w:t>Agency</w:t>
      </w:r>
      <w:r w:rsidR="00D52FD0">
        <w:t xml:space="preserve"> </w:t>
      </w:r>
      <w:r w:rsidR="000A1AAE" w:rsidRPr="00A841AA">
        <w:t>with</w:t>
      </w:r>
      <w:r w:rsidR="00D52FD0">
        <w:t xml:space="preserve"> </w:t>
      </w:r>
      <w:r w:rsidR="000A1AAE" w:rsidRPr="00A841AA">
        <w:t>a</w:t>
      </w:r>
      <w:r w:rsidR="00D52FD0">
        <w:t xml:space="preserve"> </w:t>
      </w:r>
      <w:r w:rsidR="000A1AAE" w:rsidRPr="00A841AA">
        <w:t>view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inspecting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illegally</w:t>
      </w:r>
      <w:r w:rsidR="00D52FD0">
        <w:t xml:space="preserve"> </w:t>
      </w:r>
      <w:r w:rsidR="000A1AAE" w:rsidRPr="00A841AA">
        <w:t>staying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illegally</w:t>
      </w:r>
      <w:r w:rsidR="00D52FD0">
        <w:t xml:space="preserve"> </w:t>
      </w:r>
      <w:r w:rsidR="000A1AAE" w:rsidRPr="00A841AA">
        <w:t>employed</w:t>
      </w:r>
      <w:r w:rsidR="00D52FD0">
        <w:t xml:space="preserve"> </w:t>
      </w:r>
      <w:r w:rsidR="000A1AAE" w:rsidRPr="00A841AA">
        <w:t>third-country</w:t>
      </w:r>
      <w:r w:rsidR="00D52FD0">
        <w:t xml:space="preserve"> </w:t>
      </w:r>
      <w:r w:rsidR="000A1AAE" w:rsidRPr="00A841AA">
        <w:t>nationals.</w:t>
      </w:r>
      <w:r w:rsidR="00D52FD0">
        <w:t xml:space="preserve"> </w:t>
      </w:r>
      <w:r w:rsidR="000A1AAE" w:rsidRPr="00A841AA">
        <w:t>This</w:t>
      </w:r>
      <w:r w:rsidR="00D52FD0">
        <w:t xml:space="preserve"> </w:t>
      </w:r>
      <w:r w:rsidR="000A1AAE" w:rsidRPr="00A841AA">
        <w:t>is</w:t>
      </w:r>
      <w:r w:rsidR="00D52FD0">
        <w:t xml:space="preserve"> </w:t>
      </w:r>
      <w:r w:rsidR="000A1AAE" w:rsidRPr="00A841AA">
        <w:t>possible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accordance</w:t>
      </w:r>
      <w:r w:rsidR="00D52FD0">
        <w:t xml:space="preserve"> </w:t>
      </w:r>
      <w:r w:rsidR="000A1AAE" w:rsidRPr="00A841AA">
        <w:t>with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Minimum</w:t>
      </w:r>
      <w:r w:rsidR="00D52FD0">
        <w:t xml:space="preserve"> </w:t>
      </w:r>
      <w:r w:rsidR="000A1AAE" w:rsidRPr="00A841AA">
        <w:t>Standards</w:t>
      </w:r>
      <w:r w:rsidR="00D52FD0">
        <w:t xml:space="preserve"> </w:t>
      </w:r>
      <w:r w:rsidR="000A1AAE" w:rsidRPr="00A841AA">
        <w:t>on</w:t>
      </w:r>
      <w:r w:rsidR="00D52FD0">
        <w:t xml:space="preserve"> </w:t>
      </w:r>
      <w:r w:rsidR="000A1AAE" w:rsidRPr="00A841AA">
        <w:t>Sanctions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Measures</w:t>
      </w:r>
      <w:r w:rsidR="00D52FD0">
        <w:t xml:space="preserve"> </w:t>
      </w:r>
      <w:r w:rsidR="000A1AAE" w:rsidRPr="00A841AA">
        <w:t>Against</w:t>
      </w:r>
      <w:r w:rsidR="00D52FD0">
        <w:t xml:space="preserve"> </w:t>
      </w:r>
      <w:r w:rsidR="000A1AAE" w:rsidRPr="00A841AA">
        <w:t>Employers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Illegally</w:t>
      </w:r>
      <w:r w:rsidR="00D52FD0">
        <w:t xml:space="preserve"> </w:t>
      </w:r>
      <w:r w:rsidR="000A1AAE" w:rsidRPr="00A841AA">
        <w:t>Staying</w:t>
      </w:r>
      <w:r w:rsidR="00D52FD0">
        <w:t xml:space="preserve"> </w:t>
      </w:r>
      <w:r w:rsidR="000A1AAE" w:rsidRPr="00A841AA">
        <w:t>Third</w:t>
      </w:r>
      <w:r w:rsidR="00D52FD0">
        <w:t xml:space="preserve"> </w:t>
      </w:r>
      <w:r w:rsidR="000A1AAE" w:rsidRPr="00A841AA">
        <w:t>Country</w:t>
      </w:r>
      <w:r w:rsidR="00D52FD0">
        <w:t xml:space="preserve"> </w:t>
      </w:r>
      <w:r w:rsidR="000A1AAE" w:rsidRPr="00A841AA">
        <w:t>Nationals</w:t>
      </w:r>
      <w:r w:rsidR="00D52FD0">
        <w:t xml:space="preserve"> </w:t>
      </w:r>
      <w:r w:rsidR="000A1AAE" w:rsidRPr="00A841AA">
        <w:t>Regulations</w:t>
      </w:r>
      <w:r w:rsidR="00D52FD0">
        <w:t xml:space="preserve"> </w:t>
      </w:r>
      <w:r w:rsidR="000A1AAE" w:rsidRPr="00A841AA">
        <w:t>(S.L</w:t>
      </w:r>
      <w:r w:rsidR="00D52FD0">
        <w:t xml:space="preserve"> </w:t>
      </w:r>
      <w:r w:rsidR="000A1AAE" w:rsidRPr="00A841AA">
        <w:t>217.14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Laws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Malta)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monitoring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Third</w:t>
      </w:r>
      <w:r w:rsidR="00D52FD0">
        <w:t xml:space="preserve"> </w:t>
      </w:r>
      <w:r w:rsidR="000A1AAE" w:rsidRPr="00A841AA">
        <w:t>Country</w:t>
      </w:r>
      <w:r w:rsidR="00D52FD0">
        <w:t xml:space="preserve"> </w:t>
      </w:r>
      <w:r w:rsidR="000A1AAE" w:rsidRPr="00A841AA">
        <w:t>Nationals</w:t>
      </w:r>
      <w:r w:rsidR="00D52FD0">
        <w:t xml:space="preserve"> </w:t>
      </w:r>
      <w:r w:rsidR="000A1AAE" w:rsidRPr="00A841AA">
        <w:t>enrolled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educational</w:t>
      </w:r>
      <w:r w:rsidR="00D52FD0">
        <w:t xml:space="preserve"> </w:t>
      </w:r>
      <w:r w:rsidR="000A1AAE" w:rsidRPr="00A841AA">
        <w:t>establishments.</w:t>
      </w:r>
    </w:p>
    <w:p w14:paraId="663DA409" w14:textId="2017984C" w:rsidR="000E4FD0" w:rsidRDefault="0044637E" w:rsidP="0044637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>
        <w:t>38.</w:t>
      </w:r>
      <w:r>
        <w:tab/>
      </w:r>
      <w:r w:rsidR="000A1AAE" w:rsidRPr="00A841AA">
        <w:t>Furthermore,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Government</w:t>
      </w:r>
      <w:r w:rsidR="00D52FD0">
        <w:t xml:space="preserve"> </w:t>
      </w:r>
      <w:r w:rsidR="000A1AAE" w:rsidRPr="00A841AA">
        <w:t>consistently</w:t>
      </w:r>
      <w:r w:rsidR="00D52FD0">
        <w:t xml:space="preserve"> </w:t>
      </w:r>
      <w:r w:rsidR="000A1AAE" w:rsidRPr="00A841AA">
        <w:t>seeks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ensure</w:t>
      </w:r>
      <w:r w:rsidR="00D52FD0">
        <w:t xml:space="preserve"> </w:t>
      </w:r>
      <w:r w:rsidR="000A1AAE" w:rsidRPr="00A841AA">
        <w:t>that</w:t>
      </w:r>
      <w:r w:rsidR="00D52FD0">
        <w:t xml:space="preserve"> </w:t>
      </w:r>
      <w:r w:rsidR="000A1AAE" w:rsidRPr="00A841AA">
        <w:t>employment</w:t>
      </w:r>
      <w:r w:rsidR="00D52FD0">
        <w:t xml:space="preserve"> </w:t>
      </w:r>
      <w:r w:rsidR="000A1AAE" w:rsidRPr="00A841AA">
        <w:t>contracts</w:t>
      </w:r>
      <w:r w:rsidR="00D52FD0">
        <w:t xml:space="preserve"> </w:t>
      </w:r>
      <w:r w:rsidR="000A1AAE" w:rsidRPr="00A841AA">
        <w:t>satisfy</w:t>
      </w:r>
      <w:r w:rsidR="00D52FD0">
        <w:t xml:space="preserve"> </w:t>
      </w:r>
      <w:r w:rsidR="000A1AAE" w:rsidRPr="00A841AA">
        <w:t>minimum</w:t>
      </w:r>
      <w:r w:rsidR="00D52FD0">
        <w:t xml:space="preserve"> </w:t>
      </w:r>
      <w:r w:rsidR="000A1AAE" w:rsidRPr="00A841AA">
        <w:t>requirements.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this</w:t>
      </w:r>
      <w:r w:rsidR="00D52FD0">
        <w:t xml:space="preserve"> </w:t>
      </w:r>
      <w:r w:rsidR="000A1AAE" w:rsidRPr="00A841AA">
        <w:t>regard,</w:t>
      </w:r>
      <w:r w:rsidR="00D52FD0">
        <w:t xml:space="preserve"> </w:t>
      </w:r>
      <w:r w:rsidR="000A1AAE" w:rsidRPr="00A841AA">
        <w:t>companies</w:t>
      </w:r>
      <w:r w:rsidR="00D52FD0">
        <w:t xml:space="preserve"> </w:t>
      </w:r>
      <w:r w:rsidR="000A1AAE" w:rsidRPr="00A841AA">
        <w:t>entering</w:t>
      </w:r>
      <w:r w:rsidR="00D52FD0">
        <w:t xml:space="preserve"> </w:t>
      </w:r>
      <w:r w:rsidR="000A1AAE" w:rsidRPr="00A841AA">
        <w:t>into</w:t>
      </w:r>
      <w:r w:rsidR="00D52FD0">
        <w:t xml:space="preserve"> </w:t>
      </w:r>
      <w:r w:rsidR="000A1AAE" w:rsidRPr="00A841AA">
        <w:t>contracts</w:t>
      </w:r>
      <w:r w:rsidR="00D52FD0">
        <w:t xml:space="preserve"> </w:t>
      </w:r>
      <w:r w:rsidR="000A1AAE" w:rsidRPr="00A841AA">
        <w:t>with</w:t>
      </w:r>
      <w:r w:rsidR="00D52FD0">
        <w:t xml:space="preserve"> </w:t>
      </w:r>
      <w:r w:rsidR="000A1AAE" w:rsidRPr="00A841AA">
        <w:t>Government</w:t>
      </w:r>
      <w:r w:rsidR="00D52FD0">
        <w:t xml:space="preserve"> </w:t>
      </w:r>
      <w:r w:rsidR="000A1AAE" w:rsidRPr="00A841AA">
        <w:t>are</w:t>
      </w:r>
      <w:r w:rsidR="00D52FD0">
        <w:t xml:space="preserve"> </w:t>
      </w:r>
      <w:r w:rsidR="000A1AAE" w:rsidRPr="00A841AA">
        <w:t>required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fulfil</w:t>
      </w:r>
      <w:r w:rsidR="00D52FD0">
        <w:t xml:space="preserve"> </w:t>
      </w:r>
      <w:r w:rsidR="000A1AAE" w:rsidRPr="00A841AA">
        <w:t>all</w:t>
      </w:r>
      <w:r w:rsidR="00D52FD0">
        <w:t xml:space="preserve"> </w:t>
      </w:r>
      <w:r w:rsidR="000A1AAE" w:rsidRPr="00A841AA">
        <w:t>such</w:t>
      </w:r>
      <w:r w:rsidR="00D52FD0">
        <w:t xml:space="preserve"> </w:t>
      </w:r>
      <w:r w:rsidR="000A1AAE" w:rsidRPr="00A841AA">
        <w:t>minimum</w:t>
      </w:r>
      <w:r w:rsidR="00D52FD0">
        <w:t xml:space="preserve"> </w:t>
      </w:r>
      <w:r w:rsidR="000A1AAE" w:rsidRPr="00A841AA">
        <w:t>conditions.</w:t>
      </w:r>
      <w:r w:rsidR="00D52FD0">
        <w:t xml:space="preserve"> </w:t>
      </w:r>
      <w:r w:rsidR="000A1AAE" w:rsidRPr="00A841AA">
        <w:t>Moreover,</w:t>
      </w:r>
      <w:r w:rsidR="00D52FD0">
        <w:t xml:space="preserve"> </w:t>
      </w:r>
      <w:r w:rsidR="000A1AAE" w:rsidRPr="00A841AA">
        <w:t>Maltese</w:t>
      </w:r>
      <w:r w:rsidR="00D52FD0">
        <w:t xml:space="preserve"> </w:t>
      </w:r>
      <w:r w:rsidR="000A1AAE" w:rsidRPr="00A841AA">
        <w:t>legislation</w:t>
      </w:r>
      <w:r w:rsidR="00D52FD0">
        <w:t xml:space="preserve"> </w:t>
      </w:r>
      <w:r w:rsidR="000A1AAE" w:rsidRPr="00A841AA">
        <w:t>features</w:t>
      </w:r>
      <w:r w:rsidR="00D52FD0">
        <w:t xml:space="preserve"> </w:t>
      </w:r>
      <w:r w:rsidR="000A1AAE" w:rsidRPr="00A841AA">
        <w:t>adequate</w:t>
      </w:r>
      <w:r w:rsidR="00D52FD0">
        <w:t xml:space="preserve"> </w:t>
      </w:r>
      <w:r w:rsidR="000A1AAE" w:rsidRPr="00A841AA">
        <w:t>provisions</w:t>
      </w:r>
      <w:r w:rsidR="00D52FD0">
        <w:t xml:space="preserve"> </w:t>
      </w:r>
      <w:r w:rsidR="000A1AAE" w:rsidRPr="00A841AA">
        <w:t>against</w:t>
      </w:r>
      <w:r w:rsidR="00D52FD0">
        <w:t xml:space="preserve"> </w:t>
      </w:r>
      <w:r w:rsidR="000A1AAE" w:rsidRPr="00A841AA">
        <w:t>human</w:t>
      </w:r>
      <w:r w:rsidR="00D52FD0">
        <w:t xml:space="preserve"> </w:t>
      </w:r>
      <w:r w:rsidR="000A1AAE" w:rsidRPr="00A841AA">
        <w:t>trafficking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labour-related</w:t>
      </w:r>
      <w:r w:rsidR="00D52FD0">
        <w:t xml:space="preserve"> </w:t>
      </w:r>
      <w:r w:rsidR="000A1AAE" w:rsidRPr="00A841AA">
        <w:t>offences.</w:t>
      </w:r>
    </w:p>
    <w:p w14:paraId="2FBE096A" w14:textId="21C866AC" w:rsidR="000E4FD0" w:rsidRDefault="0044637E" w:rsidP="0044637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>
        <w:t>39.</w:t>
      </w:r>
      <w:r>
        <w:tab/>
      </w:r>
      <w:r w:rsidR="000A1AAE" w:rsidRPr="00A841AA">
        <w:t>Charging</w:t>
      </w:r>
      <w:r w:rsidR="00D52FD0">
        <w:t xml:space="preserve"> </w:t>
      </w:r>
      <w:r w:rsidR="000A1AAE" w:rsidRPr="00A841AA">
        <w:t>workers</w:t>
      </w:r>
      <w:r w:rsidR="00D52FD0">
        <w:t xml:space="preserve"> </w:t>
      </w:r>
      <w:r w:rsidR="000A1AAE" w:rsidRPr="00A841AA">
        <w:t>recruitment</w:t>
      </w:r>
      <w:r w:rsidR="00D52FD0">
        <w:t xml:space="preserve"> </w:t>
      </w:r>
      <w:r w:rsidR="000A1AAE" w:rsidRPr="00A841AA">
        <w:t>fees</w:t>
      </w:r>
      <w:r w:rsidR="00D52FD0">
        <w:t xml:space="preserve"> </w:t>
      </w:r>
      <w:r w:rsidR="000A1AAE" w:rsidRPr="00A841AA">
        <w:t>is</w:t>
      </w:r>
      <w:r w:rsidR="00D52FD0">
        <w:t xml:space="preserve"> </w:t>
      </w:r>
      <w:r w:rsidR="000A1AAE" w:rsidRPr="00A841AA">
        <w:t>prohibited</w:t>
      </w:r>
      <w:r w:rsidR="00D52FD0">
        <w:t xml:space="preserve"> </w:t>
      </w:r>
      <w:r w:rsidR="000A1AAE" w:rsidRPr="00A841AA">
        <w:t>by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Employment</w:t>
      </w:r>
      <w:r w:rsidR="00D52FD0">
        <w:t xml:space="preserve"> </w:t>
      </w:r>
      <w:r w:rsidR="000A1AAE" w:rsidRPr="00A841AA">
        <w:t>Agencies</w:t>
      </w:r>
      <w:r w:rsidR="00D52FD0">
        <w:t xml:space="preserve"> </w:t>
      </w:r>
      <w:r w:rsidR="000A1AAE" w:rsidRPr="00A841AA">
        <w:t>Act.</w:t>
      </w:r>
      <w:r w:rsidR="00D52FD0">
        <w:t xml:space="preserve"> </w:t>
      </w:r>
      <w:r w:rsidR="000A1AAE" w:rsidRPr="00A841AA">
        <w:t>Moreover,</w:t>
      </w:r>
      <w:r w:rsidR="00D52FD0">
        <w:t xml:space="preserve"> </w:t>
      </w:r>
      <w:r w:rsidR="000A1AAE" w:rsidRPr="00A841AA">
        <w:t>when</w:t>
      </w:r>
      <w:r w:rsidR="00D52FD0">
        <w:t xml:space="preserve"> </w:t>
      </w:r>
      <w:r w:rsidR="000A1AAE" w:rsidRPr="00A841AA">
        <w:t>issuing</w:t>
      </w:r>
      <w:r w:rsidR="00D52FD0">
        <w:t xml:space="preserve"> </w:t>
      </w:r>
      <w:r w:rsidR="000A1AAE" w:rsidRPr="00A841AA">
        <w:t>advertisements</w:t>
      </w:r>
      <w:r w:rsidR="00D52FD0">
        <w:t xml:space="preserve"> </w:t>
      </w:r>
      <w:r w:rsidR="000A1AAE" w:rsidRPr="00A841AA">
        <w:t>for</w:t>
      </w:r>
      <w:r w:rsidR="00D52FD0">
        <w:t xml:space="preserve"> </w:t>
      </w:r>
      <w:r w:rsidR="000A1AAE" w:rsidRPr="00A841AA">
        <w:t>recruitment,</w:t>
      </w:r>
      <w:r w:rsidR="00D52FD0">
        <w:t xml:space="preserve"> </w:t>
      </w:r>
      <w:r w:rsidR="000A1AAE" w:rsidRPr="00A841AA">
        <w:t>employment</w:t>
      </w:r>
      <w:r w:rsidR="00D52FD0">
        <w:t xml:space="preserve"> </w:t>
      </w:r>
      <w:r w:rsidR="000A1AAE" w:rsidRPr="00A841AA">
        <w:t>agencies</w:t>
      </w:r>
      <w:r w:rsidR="00D52FD0">
        <w:t xml:space="preserve"> </w:t>
      </w:r>
      <w:r w:rsidR="000A1AAE" w:rsidRPr="00A841AA">
        <w:t>are</w:t>
      </w:r>
      <w:r w:rsidR="00D52FD0">
        <w:t xml:space="preserve"> </w:t>
      </w:r>
      <w:r w:rsidR="000A1AAE" w:rsidRPr="00A841AA">
        <w:t>required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cite</w:t>
      </w:r>
      <w:r w:rsidR="00D52FD0">
        <w:t xml:space="preserve"> </w:t>
      </w:r>
      <w:r w:rsidR="000A1AAE" w:rsidRPr="00A841AA">
        <w:t>their</w:t>
      </w:r>
      <w:r w:rsidR="00D52FD0">
        <w:t xml:space="preserve"> </w:t>
      </w:r>
      <w:r w:rsidR="000A1AAE" w:rsidRPr="00A841AA">
        <w:t>licence</w:t>
      </w:r>
      <w:r w:rsidR="00D52FD0">
        <w:t xml:space="preserve"> </w:t>
      </w:r>
      <w:r w:rsidR="000A1AAE" w:rsidRPr="00A841AA">
        <w:t>number.</w:t>
      </w:r>
    </w:p>
    <w:p w14:paraId="23F3C206" w14:textId="46F78C26" w:rsidR="000A1AAE" w:rsidRPr="00A841AA" w:rsidRDefault="0044637E" w:rsidP="0044637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841AA">
        <w:t>40.</w:t>
      </w:r>
      <w:r w:rsidRPr="00A841AA">
        <w:tab/>
      </w:r>
      <w:r w:rsidR="000A1AAE" w:rsidRPr="00A841AA">
        <w:t>Employment</w:t>
      </w:r>
      <w:r w:rsidR="00D52FD0">
        <w:t xml:space="preserve"> </w:t>
      </w:r>
      <w:r w:rsidR="000A1AAE" w:rsidRPr="00A841AA">
        <w:t>agencies</w:t>
      </w:r>
      <w:r w:rsidR="00D52FD0">
        <w:t xml:space="preserve"> </w:t>
      </w:r>
      <w:r w:rsidR="000A1AAE" w:rsidRPr="00A841AA">
        <w:t>are</w:t>
      </w:r>
      <w:r w:rsidR="00D52FD0">
        <w:t xml:space="preserve"> </w:t>
      </w:r>
      <w:r w:rsidR="000A1AAE" w:rsidRPr="00A841AA">
        <w:t>also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ensure</w:t>
      </w:r>
      <w:r w:rsidR="00D52FD0">
        <w:t xml:space="preserve"> </w:t>
      </w:r>
      <w:r w:rsidR="000A1AAE" w:rsidRPr="00A841AA">
        <w:t>that</w:t>
      </w:r>
      <w:r w:rsidR="00D52FD0">
        <w:t xml:space="preserve"> </w:t>
      </w:r>
      <w:r w:rsidR="000A1AAE" w:rsidRPr="00A841AA">
        <w:t>no</w:t>
      </w:r>
      <w:r w:rsidR="00D52FD0">
        <w:t xml:space="preserve"> </w:t>
      </w:r>
      <w:r w:rsidR="000A1AAE" w:rsidRPr="00A841AA">
        <w:t>prospective</w:t>
      </w:r>
      <w:r w:rsidR="00D52FD0">
        <w:t xml:space="preserve"> </w:t>
      </w:r>
      <w:r w:rsidR="000A1AAE" w:rsidRPr="00A841AA">
        <w:t>employees</w:t>
      </w:r>
      <w:r w:rsidR="00D52FD0">
        <w:t xml:space="preserve"> </w:t>
      </w:r>
      <w:r w:rsidR="000A1AAE" w:rsidRPr="00A841AA">
        <w:t>are</w:t>
      </w:r>
      <w:r w:rsidR="00D52FD0">
        <w:t xml:space="preserve"> </w:t>
      </w:r>
      <w:r w:rsidR="000A1AAE" w:rsidRPr="00A841AA">
        <w:t>referred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any</w:t>
      </w:r>
      <w:r w:rsidR="00D52FD0">
        <w:t xml:space="preserve"> </w:t>
      </w:r>
      <w:r w:rsidR="000A1AAE" w:rsidRPr="00A841AA">
        <w:t>employer</w:t>
      </w:r>
      <w:r w:rsidR="00D52FD0">
        <w:t xml:space="preserve"> </w:t>
      </w:r>
      <w:r w:rsidR="000A1AAE" w:rsidRPr="00A841AA">
        <w:t>unless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employer</w:t>
      </w:r>
      <w:r w:rsidR="00D52FD0">
        <w:t xml:space="preserve"> </w:t>
      </w:r>
      <w:r w:rsidR="000A1AAE" w:rsidRPr="00A841AA">
        <w:t>has</w:t>
      </w:r>
      <w:r w:rsidR="00D52FD0">
        <w:t xml:space="preserve"> </w:t>
      </w:r>
      <w:r w:rsidR="000A1AAE" w:rsidRPr="00A841AA">
        <w:t>furnished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employment</w:t>
      </w:r>
      <w:r w:rsidR="00D52FD0">
        <w:t xml:space="preserve"> </w:t>
      </w:r>
      <w:r w:rsidR="000A1AAE" w:rsidRPr="00A841AA">
        <w:t>agency</w:t>
      </w:r>
      <w:r w:rsidR="00D52FD0">
        <w:t xml:space="preserve"> </w:t>
      </w:r>
      <w:r w:rsidR="000A1AAE" w:rsidRPr="00A841AA">
        <w:t>with</w:t>
      </w:r>
      <w:r w:rsidR="00D52FD0">
        <w:t xml:space="preserve"> </w:t>
      </w:r>
      <w:r w:rsidR="000A1AAE" w:rsidRPr="00A841AA">
        <w:t>precise</w:t>
      </w:r>
      <w:r w:rsidR="00D52FD0">
        <w:t xml:space="preserve"> </w:t>
      </w:r>
      <w:r w:rsidR="000A1AAE" w:rsidRPr="00A841AA">
        <w:t>information</w:t>
      </w:r>
      <w:r w:rsidR="00D52FD0">
        <w:t xml:space="preserve"> </w:t>
      </w:r>
      <w:r w:rsidR="000A1AAE" w:rsidRPr="00A841AA">
        <w:t>about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vacancy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be</w:t>
      </w:r>
      <w:r w:rsidR="00D52FD0">
        <w:t xml:space="preserve"> </w:t>
      </w:r>
      <w:r w:rsidR="000A1AAE" w:rsidRPr="00A841AA">
        <w:t>filled.</w:t>
      </w:r>
      <w:r w:rsidR="00D52FD0">
        <w:t xml:space="preserve"> </w:t>
      </w:r>
      <w:r w:rsidR="000A1AAE" w:rsidRPr="00A841AA">
        <w:t>This</w:t>
      </w:r>
      <w:r w:rsidR="00D52FD0">
        <w:t xml:space="preserve"> </w:t>
      </w:r>
      <w:r w:rsidR="000A1AAE" w:rsidRPr="00A841AA">
        <w:t>includes</w:t>
      </w:r>
      <w:r w:rsidR="00D52FD0">
        <w:t xml:space="preserve"> </w:t>
      </w:r>
      <w:r w:rsidR="000A1AAE" w:rsidRPr="00A841AA">
        <w:t>an</w:t>
      </w:r>
      <w:r w:rsidR="00D52FD0">
        <w:t xml:space="preserve"> </w:t>
      </w:r>
      <w:r w:rsidR="000A1AAE" w:rsidRPr="00A841AA">
        <w:t>adequate</w:t>
      </w:r>
      <w:r w:rsidR="00D52FD0">
        <w:t xml:space="preserve"> </w:t>
      </w:r>
      <w:r w:rsidR="000A1AAE" w:rsidRPr="00A841AA">
        <w:t>job</w:t>
      </w:r>
      <w:r w:rsidR="00D52FD0">
        <w:t xml:space="preserve"> </w:t>
      </w:r>
      <w:r w:rsidR="000A1AAE" w:rsidRPr="00A841AA">
        <w:t>description,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terms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conditions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employment</w:t>
      </w:r>
      <w:r w:rsidR="00D52FD0">
        <w:t xml:space="preserve"> </w:t>
      </w:r>
      <w:r w:rsidR="000A1AAE" w:rsidRPr="00A841AA">
        <w:t>offered,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any</w:t>
      </w:r>
      <w:r w:rsidR="00D52FD0">
        <w:t xml:space="preserve"> </w:t>
      </w:r>
      <w:r w:rsidR="000A1AAE" w:rsidRPr="00A841AA">
        <w:t>special</w:t>
      </w:r>
      <w:r w:rsidR="00D52FD0">
        <w:t xml:space="preserve"> </w:t>
      </w:r>
      <w:r w:rsidR="000A1AAE" w:rsidRPr="00A841AA">
        <w:t>requirements</w:t>
      </w:r>
      <w:r w:rsidR="00D52FD0">
        <w:t xml:space="preserve"> </w:t>
      </w:r>
      <w:r w:rsidR="000A1AAE" w:rsidRPr="00A841AA">
        <w:t>identified</w:t>
      </w:r>
      <w:r w:rsidR="00D52FD0">
        <w:t xml:space="preserve"> </w:t>
      </w:r>
      <w:r w:rsidR="000A1AAE" w:rsidRPr="00A841AA">
        <w:t>by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employer.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employer</w:t>
      </w:r>
      <w:r w:rsidR="00D52FD0">
        <w:t xml:space="preserve"> </w:t>
      </w:r>
      <w:r w:rsidR="000A1AAE" w:rsidRPr="00A841AA">
        <w:t>is</w:t>
      </w:r>
      <w:r w:rsidR="00D52FD0">
        <w:t xml:space="preserve"> </w:t>
      </w:r>
      <w:r w:rsidR="000A1AAE" w:rsidRPr="00A841AA">
        <w:t>required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provide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newly</w:t>
      </w:r>
      <w:r w:rsidR="00D52FD0">
        <w:t xml:space="preserve"> </w:t>
      </w:r>
      <w:r w:rsidR="000A1AAE" w:rsidRPr="00A841AA">
        <w:t>recruited</w:t>
      </w:r>
      <w:r w:rsidR="00D52FD0">
        <w:t xml:space="preserve"> </w:t>
      </w:r>
      <w:r w:rsidR="000A1AAE" w:rsidRPr="00A841AA">
        <w:t>employee</w:t>
      </w:r>
      <w:r w:rsidR="00D52FD0">
        <w:t xml:space="preserve"> </w:t>
      </w:r>
      <w:r w:rsidR="000A1AAE" w:rsidRPr="00A841AA">
        <w:t>with</w:t>
      </w:r>
      <w:r w:rsidR="00D52FD0">
        <w:t xml:space="preserve"> </w:t>
      </w:r>
      <w:r w:rsidR="000A1AAE" w:rsidRPr="00A841AA">
        <w:t>a</w:t>
      </w:r>
      <w:r w:rsidR="00D52FD0">
        <w:t xml:space="preserve"> </w:t>
      </w:r>
      <w:r w:rsidR="000A1AAE" w:rsidRPr="00A841AA">
        <w:t>written</w:t>
      </w:r>
      <w:r w:rsidR="00D52FD0">
        <w:t xml:space="preserve"> </w:t>
      </w:r>
      <w:r w:rsidR="000A1AAE" w:rsidRPr="00A841AA">
        <w:t>agreement</w:t>
      </w:r>
      <w:r w:rsidR="00D52FD0">
        <w:t xml:space="preserve"> </w:t>
      </w:r>
      <w:r w:rsidR="000A1AAE" w:rsidRPr="00A841AA">
        <w:t>stipulating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terms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conditions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employment.</w:t>
      </w:r>
    </w:p>
    <w:p w14:paraId="59673213" w14:textId="27B43239" w:rsidR="000A1AAE" w:rsidRPr="00A841AA" w:rsidRDefault="0044637E" w:rsidP="0044637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841AA">
        <w:t>41.</w:t>
      </w:r>
      <w:r w:rsidRPr="00A841AA">
        <w:tab/>
      </w:r>
      <w:r w:rsidR="000A1AAE" w:rsidRPr="00A841AA">
        <w:t>It</w:t>
      </w:r>
      <w:r w:rsidR="00D52FD0">
        <w:t xml:space="preserve"> </w:t>
      </w:r>
      <w:r w:rsidR="000A1AAE" w:rsidRPr="00A841AA">
        <w:t>should</w:t>
      </w:r>
      <w:r w:rsidR="00D52FD0">
        <w:t xml:space="preserve"> </w:t>
      </w:r>
      <w:r w:rsidR="000A1AAE" w:rsidRPr="00A841AA">
        <w:t>be</w:t>
      </w:r>
      <w:r w:rsidR="00D52FD0">
        <w:t xml:space="preserve"> </w:t>
      </w:r>
      <w:r w:rsidR="000A1AAE" w:rsidRPr="00A841AA">
        <w:t>noted</w:t>
      </w:r>
      <w:r w:rsidR="00D52FD0">
        <w:t xml:space="preserve"> </w:t>
      </w:r>
      <w:r w:rsidR="000A1AAE" w:rsidRPr="00A841AA">
        <w:t>that</w:t>
      </w:r>
      <w:r w:rsidR="00D52FD0">
        <w:t xml:space="preserve"> </w:t>
      </w:r>
      <w:r w:rsidR="000A1AAE" w:rsidRPr="00A841AA">
        <w:t>all</w:t>
      </w:r>
      <w:r w:rsidR="00D52FD0">
        <w:t xml:space="preserve"> </w:t>
      </w:r>
      <w:r w:rsidR="000A1AAE" w:rsidRPr="00A841AA">
        <w:t>Maltese</w:t>
      </w:r>
      <w:r w:rsidR="00D52FD0">
        <w:t xml:space="preserve"> </w:t>
      </w:r>
      <w:r w:rsidR="000A1AAE" w:rsidRPr="00A841AA">
        <w:t>nationals</w:t>
      </w:r>
      <w:r w:rsidR="00D52FD0">
        <w:t xml:space="preserve"> </w:t>
      </w:r>
      <w:r w:rsidR="000A1AAE" w:rsidRPr="00A841AA">
        <w:t>are</w:t>
      </w:r>
      <w:r w:rsidR="00D52FD0">
        <w:t xml:space="preserve"> </w:t>
      </w:r>
      <w:r w:rsidR="000A1AAE" w:rsidRPr="00A841AA">
        <w:t>issued</w:t>
      </w:r>
      <w:r w:rsidR="00D52FD0">
        <w:t xml:space="preserve"> </w:t>
      </w:r>
      <w:r w:rsidR="000A1AAE" w:rsidRPr="00A841AA">
        <w:t>with</w:t>
      </w:r>
      <w:r w:rsidR="00D52FD0">
        <w:t xml:space="preserve"> </w:t>
      </w:r>
      <w:r w:rsidR="000A1AAE" w:rsidRPr="00A841AA">
        <w:t>birth</w:t>
      </w:r>
      <w:r w:rsidR="00D52FD0">
        <w:t xml:space="preserve"> </w:t>
      </w:r>
      <w:r w:rsidR="000A1AAE" w:rsidRPr="00A841AA">
        <w:t>certificates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identity</w:t>
      </w:r>
      <w:r w:rsidR="00D52FD0">
        <w:t xml:space="preserve"> </w:t>
      </w:r>
      <w:r w:rsidR="000A1AAE" w:rsidRPr="00A841AA">
        <w:t>cards.</w:t>
      </w:r>
      <w:r w:rsidR="00D52FD0">
        <w:t xml:space="preserve"> </w:t>
      </w:r>
      <w:r w:rsidR="000A1AAE" w:rsidRPr="00A841AA">
        <w:t>Moreover,</w:t>
      </w:r>
      <w:r w:rsidR="00D52FD0">
        <w:t xml:space="preserve"> </w:t>
      </w:r>
      <w:r w:rsidR="000A1AAE" w:rsidRPr="00A841AA">
        <w:t>legislation</w:t>
      </w:r>
      <w:r w:rsidR="00D52FD0">
        <w:t xml:space="preserve"> </w:t>
      </w:r>
      <w:r w:rsidR="000A1AAE" w:rsidRPr="00A841AA">
        <w:t>is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place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avoid</w:t>
      </w:r>
      <w:r w:rsidR="00D52FD0">
        <w:t xml:space="preserve"> </w:t>
      </w:r>
      <w:r w:rsidR="000A1AAE" w:rsidRPr="00A841AA">
        <w:t>situations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statelessness,</w:t>
      </w:r>
      <w:r w:rsidR="00D52FD0">
        <w:t xml:space="preserve"> </w:t>
      </w:r>
      <w:r w:rsidR="000A1AAE" w:rsidRPr="00A841AA">
        <w:t>e.g.,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case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foundlings.</w:t>
      </w:r>
      <w:r w:rsidR="00D52FD0">
        <w:t xml:space="preserve"> </w:t>
      </w:r>
      <w:r w:rsidR="000A1AAE" w:rsidRPr="00A841AA">
        <w:t>It</w:t>
      </w:r>
      <w:r w:rsidR="00D52FD0">
        <w:t xml:space="preserve"> </w:t>
      </w:r>
      <w:r w:rsidR="000A1AAE" w:rsidRPr="00A841AA">
        <w:t>should</w:t>
      </w:r>
      <w:r w:rsidR="00D52FD0">
        <w:t xml:space="preserve"> </w:t>
      </w:r>
      <w:r w:rsidR="000A1AAE" w:rsidRPr="00A841AA">
        <w:t>also</w:t>
      </w:r>
      <w:r w:rsidR="00D52FD0">
        <w:t xml:space="preserve"> </w:t>
      </w:r>
      <w:r w:rsidR="000A1AAE" w:rsidRPr="00A841AA">
        <w:t>be</w:t>
      </w:r>
      <w:r w:rsidR="00D52FD0">
        <w:t xml:space="preserve"> </w:t>
      </w:r>
      <w:r w:rsidR="000A1AAE" w:rsidRPr="00A841AA">
        <w:t>noted,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this</w:t>
      </w:r>
      <w:r w:rsidR="00D52FD0">
        <w:t xml:space="preserve"> </w:t>
      </w:r>
      <w:r w:rsidR="000A1AAE" w:rsidRPr="00A841AA">
        <w:t>regard,</w:t>
      </w:r>
      <w:r w:rsidR="00D52FD0">
        <w:t xml:space="preserve"> </w:t>
      </w:r>
      <w:r w:rsidR="000A1AAE" w:rsidRPr="00A841AA">
        <w:t>that</w:t>
      </w:r>
      <w:r w:rsidR="00D52FD0">
        <w:t xml:space="preserve"> </w:t>
      </w:r>
      <w:r w:rsidR="000A1AAE" w:rsidRPr="00A841AA">
        <w:t>Malta</w:t>
      </w:r>
      <w:r w:rsidR="00D52FD0">
        <w:t xml:space="preserve"> </w:t>
      </w:r>
      <w:r w:rsidR="000A1AAE" w:rsidRPr="00A841AA">
        <w:t>has</w:t>
      </w:r>
      <w:r w:rsidR="00D52FD0">
        <w:t xml:space="preserve"> </w:t>
      </w:r>
      <w:r w:rsidR="000A1AAE" w:rsidRPr="00A841AA">
        <w:t>recently</w:t>
      </w:r>
      <w:r w:rsidR="00D52FD0">
        <w:t xml:space="preserve"> </w:t>
      </w:r>
      <w:r w:rsidR="000A1AAE" w:rsidRPr="00A841AA">
        <w:t>acceded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1954</w:t>
      </w:r>
      <w:r w:rsidR="00D52FD0">
        <w:t xml:space="preserve"> </w:t>
      </w:r>
      <w:r w:rsidR="000A1AAE" w:rsidRPr="00A841AA">
        <w:t>UN</w:t>
      </w:r>
      <w:r w:rsidR="00D52FD0">
        <w:t xml:space="preserve"> </w:t>
      </w:r>
      <w:r w:rsidR="000A1AAE" w:rsidRPr="00A841AA">
        <w:t>Convention</w:t>
      </w:r>
      <w:r w:rsidR="00D52FD0">
        <w:t xml:space="preserve"> </w:t>
      </w:r>
      <w:r w:rsidR="000A1AAE" w:rsidRPr="00A841AA">
        <w:t>on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Status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Stateless</w:t>
      </w:r>
      <w:r w:rsidR="00D52FD0">
        <w:t xml:space="preserve"> </w:t>
      </w:r>
      <w:r w:rsidR="000A1AAE" w:rsidRPr="00A841AA">
        <w:t>Persons.</w:t>
      </w:r>
    </w:p>
    <w:p w14:paraId="66F8F132" w14:textId="1B33A7AC" w:rsidR="000A1AAE" w:rsidRPr="00A841AA" w:rsidRDefault="0044637E" w:rsidP="0044637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841AA">
        <w:t>42.</w:t>
      </w:r>
      <w:r w:rsidRPr="00A841AA">
        <w:tab/>
      </w:r>
      <w:r w:rsidR="000A1AAE" w:rsidRPr="00A841AA">
        <w:t>Furthermore,</w:t>
      </w:r>
      <w:r w:rsidR="00D52FD0">
        <w:t xml:space="preserve"> </w:t>
      </w:r>
      <w:r w:rsidR="000A1AAE" w:rsidRPr="00A841AA">
        <w:t>with</w:t>
      </w:r>
      <w:r w:rsidR="00D52FD0">
        <w:t xml:space="preserve"> </w:t>
      </w:r>
      <w:r w:rsidR="000A1AAE" w:rsidRPr="00A841AA">
        <w:t>a</w:t>
      </w:r>
      <w:r w:rsidR="00D52FD0">
        <w:t xml:space="preserve"> </w:t>
      </w:r>
      <w:r w:rsidR="000A1AAE" w:rsidRPr="00A841AA">
        <w:t>view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further</w:t>
      </w:r>
      <w:r w:rsidR="00D52FD0">
        <w:t xml:space="preserve"> </w:t>
      </w:r>
      <w:r w:rsidR="000A1AAE" w:rsidRPr="00A841AA">
        <w:t>strengthening</w:t>
      </w:r>
      <w:r w:rsidR="00D52FD0">
        <w:t xml:space="preserve"> </w:t>
      </w:r>
      <w:r w:rsidR="000A1AAE" w:rsidRPr="00A841AA">
        <w:t>legal</w:t>
      </w:r>
      <w:r w:rsidR="00D52FD0">
        <w:t xml:space="preserve"> </w:t>
      </w:r>
      <w:r w:rsidR="000A1AAE" w:rsidRPr="00A841AA">
        <w:t>provisions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relevant</w:t>
      </w:r>
      <w:r w:rsidR="00D52FD0">
        <w:t xml:space="preserve"> </w:t>
      </w:r>
      <w:r w:rsidR="000A1AAE" w:rsidRPr="00A841AA">
        <w:t>areas,</w:t>
      </w:r>
      <w:r w:rsidR="00D52FD0">
        <w:t xml:space="preserve"> </w:t>
      </w:r>
      <w:r w:rsidR="000A1AAE" w:rsidRPr="00A841AA">
        <w:t>Malta</w:t>
      </w:r>
      <w:r w:rsidR="00D52FD0">
        <w:t xml:space="preserve"> </w:t>
      </w:r>
      <w:r w:rsidR="000A1AAE" w:rsidRPr="00A841AA">
        <w:t>ratified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2014</w:t>
      </w:r>
      <w:r w:rsidR="00D52FD0">
        <w:t xml:space="preserve"> </w:t>
      </w:r>
      <w:r w:rsidR="000A1AAE" w:rsidRPr="00A841AA">
        <w:t>Protocol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1930</w:t>
      </w:r>
      <w:r w:rsidR="00D52FD0">
        <w:t xml:space="preserve"> </w:t>
      </w:r>
      <w:r w:rsidR="000A1AAE" w:rsidRPr="00A841AA">
        <w:t>Forced</w:t>
      </w:r>
      <w:r w:rsidR="00D52FD0">
        <w:t xml:space="preserve"> </w:t>
      </w:r>
      <w:r w:rsidR="000A1AAE" w:rsidRPr="00A841AA">
        <w:t>Labour</w:t>
      </w:r>
      <w:r w:rsidR="00D52FD0">
        <w:t xml:space="preserve"> </w:t>
      </w:r>
      <w:r w:rsidR="000A1AAE" w:rsidRPr="00A841AA">
        <w:t>Convention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endorsed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Call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Action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End</w:t>
      </w:r>
      <w:r w:rsidR="00D52FD0">
        <w:t xml:space="preserve"> </w:t>
      </w:r>
      <w:r w:rsidR="000A1AAE" w:rsidRPr="00A841AA">
        <w:t>Forced</w:t>
      </w:r>
      <w:r w:rsidR="00D52FD0">
        <w:t xml:space="preserve"> </w:t>
      </w:r>
      <w:r w:rsidR="000A1AAE" w:rsidRPr="00A841AA">
        <w:t>Labour,</w:t>
      </w:r>
      <w:r w:rsidR="00D52FD0">
        <w:t xml:space="preserve"> </w:t>
      </w:r>
      <w:r w:rsidR="000A1AAE" w:rsidRPr="00A841AA">
        <w:t>Modern</w:t>
      </w:r>
      <w:r w:rsidR="00D52FD0">
        <w:t xml:space="preserve"> </w:t>
      </w:r>
      <w:r w:rsidR="000A1AAE" w:rsidRPr="00A841AA">
        <w:t>Slavery,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Human</w:t>
      </w:r>
      <w:r w:rsidR="00D52FD0">
        <w:t xml:space="preserve"> </w:t>
      </w:r>
      <w:r w:rsidR="000A1AAE" w:rsidRPr="00A841AA">
        <w:t>Trafficking,</w:t>
      </w:r>
      <w:r w:rsidR="00D52FD0">
        <w:t xml:space="preserve"> </w:t>
      </w:r>
      <w:r w:rsidR="000A1AAE" w:rsidRPr="00A841AA">
        <w:t>launched</w:t>
      </w:r>
      <w:r w:rsidR="00D52FD0">
        <w:t xml:space="preserve"> </w:t>
      </w:r>
      <w:r w:rsidR="000A1AAE" w:rsidRPr="00A841AA">
        <w:t>at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UN</w:t>
      </w:r>
      <w:r w:rsidR="00D52FD0">
        <w:t xml:space="preserve"> </w:t>
      </w:r>
      <w:r w:rsidR="000A1AAE" w:rsidRPr="00A841AA">
        <w:t>General</w:t>
      </w:r>
      <w:r w:rsidR="00D52FD0">
        <w:t xml:space="preserve"> </w:t>
      </w:r>
      <w:r w:rsidR="000A1AAE" w:rsidRPr="00A841AA">
        <w:t>Assembly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2017.</w:t>
      </w:r>
      <w:r w:rsidR="00D52FD0">
        <w:t xml:space="preserve"> </w:t>
      </w:r>
      <w:r w:rsidR="000A1AAE" w:rsidRPr="00A841AA">
        <w:t>This</w:t>
      </w:r>
      <w:r w:rsidR="00D52FD0">
        <w:t xml:space="preserve"> </w:t>
      </w:r>
      <w:r w:rsidR="000A1AAE" w:rsidRPr="00A841AA">
        <w:t>confirms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country</w:t>
      </w:r>
      <w:r w:rsidR="00F14DA3">
        <w:t>’</w:t>
      </w:r>
      <w:r w:rsidR="000A1AAE" w:rsidRPr="00A841AA">
        <w:t>s</w:t>
      </w:r>
      <w:r w:rsidR="00D52FD0">
        <w:t xml:space="preserve"> </w:t>
      </w:r>
      <w:r w:rsidR="000A1AAE" w:rsidRPr="00A841AA">
        <w:t>commitment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further</w:t>
      </w:r>
      <w:r w:rsidR="00D52FD0">
        <w:t xml:space="preserve"> </w:t>
      </w:r>
      <w:r w:rsidR="000A1AAE" w:rsidRPr="00A841AA">
        <w:t>provide</w:t>
      </w:r>
      <w:r w:rsidR="00D52FD0">
        <w:t xml:space="preserve"> </w:t>
      </w:r>
      <w:r w:rsidR="000A1AAE" w:rsidRPr="00A841AA">
        <w:t>institutional</w:t>
      </w:r>
      <w:r w:rsidR="00D52FD0">
        <w:t xml:space="preserve"> </w:t>
      </w:r>
      <w:r w:rsidR="000A1AAE" w:rsidRPr="00A841AA">
        <w:t>support</w:t>
      </w:r>
      <w:r w:rsidR="00D52FD0">
        <w:t xml:space="preserve"> </w:t>
      </w:r>
      <w:r w:rsidR="000A1AAE" w:rsidRPr="00A841AA">
        <w:t>towards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promotion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a</w:t>
      </w:r>
      <w:r w:rsidR="00D52FD0">
        <w:t xml:space="preserve"> </w:t>
      </w:r>
      <w:r w:rsidR="000A1AAE" w:rsidRPr="00A841AA">
        <w:t>healthy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positive</w:t>
      </w:r>
      <w:r w:rsidR="00D52FD0">
        <w:t xml:space="preserve"> </w:t>
      </w:r>
      <w:r w:rsidR="000A1AAE" w:rsidRPr="00A841AA">
        <w:t>working</w:t>
      </w:r>
      <w:r w:rsidR="00D52FD0">
        <w:t xml:space="preserve"> </w:t>
      </w:r>
      <w:r w:rsidR="000A1AAE" w:rsidRPr="00A841AA">
        <w:t>environment.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new</w:t>
      </w:r>
      <w:r w:rsidR="00D52FD0">
        <w:t xml:space="preserve"> </w:t>
      </w:r>
      <w:r w:rsidR="000A1AAE" w:rsidRPr="00A841AA">
        <w:t>protocol</w:t>
      </w:r>
      <w:r w:rsidR="00D52FD0">
        <w:t xml:space="preserve"> </w:t>
      </w:r>
      <w:r w:rsidR="000A1AAE" w:rsidRPr="00A841AA">
        <w:t>establishes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obligations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hinder</w:t>
      </w:r>
      <w:r w:rsidR="00D52FD0">
        <w:t xml:space="preserve"> </w:t>
      </w:r>
      <w:r w:rsidR="000A1AAE" w:rsidRPr="00A841AA">
        <w:t>forced</w:t>
      </w:r>
      <w:r w:rsidR="00D52FD0">
        <w:t xml:space="preserve"> </w:t>
      </w:r>
      <w:r w:rsidR="000A1AAE" w:rsidRPr="00A841AA">
        <w:t>labour,</w:t>
      </w:r>
      <w:r w:rsidR="00D52FD0">
        <w:t xml:space="preserve"> </w:t>
      </w:r>
      <w:r w:rsidR="000A1AAE" w:rsidRPr="00A841AA">
        <w:t>protect</w:t>
      </w:r>
      <w:r w:rsidR="00D52FD0">
        <w:t xml:space="preserve"> </w:t>
      </w:r>
      <w:r w:rsidR="000A1AAE" w:rsidRPr="00A841AA">
        <w:t>victims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provide</w:t>
      </w:r>
      <w:r w:rsidR="00D52FD0">
        <w:t xml:space="preserve"> </w:t>
      </w:r>
      <w:r w:rsidR="000A1AAE" w:rsidRPr="00A841AA">
        <w:t>them</w:t>
      </w:r>
      <w:r w:rsidR="00D52FD0">
        <w:t xml:space="preserve"> </w:t>
      </w:r>
      <w:r w:rsidR="000A1AAE" w:rsidRPr="00A841AA">
        <w:t>with</w:t>
      </w:r>
      <w:r w:rsidR="00D52FD0">
        <w:t xml:space="preserve"> </w:t>
      </w:r>
      <w:r w:rsidR="000A1AAE" w:rsidRPr="00A841AA">
        <w:t>access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remedies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emphasises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link</w:t>
      </w:r>
      <w:r w:rsidR="00D52FD0">
        <w:t xml:space="preserve"> </w:t>
      </w:r>
      <w:r w:rsidR="000A1AAE" w:rsidRPr="00A841AA">
        <w:t>between</w:t>
      </w:r>
      <w:r w:rsidR="00D52FD0">
        <w:t xml:space="preserve"> </w:t>
      </w:r>
      <w:r w:rsidR="000A1AAE" w:rsidRPr="00A841AA">
        <w:t>forced</w:t>
      </w:r>
      <w:r w:rsidR="00D52FD0">
        <w:t xml:space="preserve"> </w:t>
      </w:r>
      <w:r w:rsidR="000A1AAE" w:rsidRPr="00A841AA">
        <w:t>labour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trafficking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persons,</w:t>
      </w:r>
      <w:r w:rsidR="00D52FD0">
        <w:t xml:space="preserve"> </w:t>
      </w:r>
      <w:r w:rsidR="000A1AAE" w:rsidRPr="00A841AA">
        <w:t>including</w:t>
      </w:r>
      <w:r w:rsidR="00D52FD0">
        <w:t xml:space="preserve"> </w:t>
      </w:r>
      <w:r w:rsidR="000A1AAE" w:rsidRPr="00A841AA">
        <w:t>sex</w:t>
      </w:r>
      <w:r w:rsidR="00D52FD0">
        <w:t xml:space="preserve"> </w:t>
      </w:r>
      <w:r w:rsidR="000A1AAE" w:rsidRPr="00A841AA">
        <w:t>trafficking.</w:t>
      </w:r>
      <w:r w:rsidR="00D52FD0">
        <w:t xml:space="preserve"> </w:t>
      </w:r>
      <w:r w:rsidR="000A1AAE" w:rsidRPr="00A841AA">
        <w:t>Malta</w:t>
      </w:r>
      <w:r w:rsidR="00D52FD0">
        <w:t xml:space="preserve"> </w:t>
      </w:r>
      <w:r w:rsidR="000A1AAE" w:rsidRPr="00A841AA">
        <w:t>envisages</w:t>
      </w:r>
      <w:r w:rsidR="00D52FD0">
        <w:t xml:space="preserve"> </w:t>
      </w:r>
      <w:r w:rsidR="000A1AAE" w:rsidRPr="00A841AA">
        <w:t>participation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50</w:t>
      </w:r>
      <w:r w:rsidR="00D52FD0">
        <w:t xml:space="preserve"> </w:t>
      </w:r>
      <w:r w:rsidR="000A1AAE" w:rsidRPr="00A841AA">
        <w:t>for</w:t>
      </w:r>
      <w:r w:rsidR="00D52FD0">
        <w:t xml:space="preserve"> </w:t>
      </w:r>
      <w:r w:rsidR="000A1AAE" w:rsidRPr="00A841AA">
        <w:t>Freedom</w:t>
      </w:r>
      <w:r w:rsidR="00D52FD0">
        <w:t xml:space="preserve"> </w:t>
      </w:r>
      <w:r w:rsidR="000A1AAE" w:rsidRPr="00A841AA">
        <w:t>campaign</w:t>
      </w:r>
      <w:r w:rsidR="00D52FD0">
        <w:t xml:space="preserve"> </w:t>
      </w:r>
      <w:r w:rsidR="000A1AAE" w:rsidRPr="00A841AA">
        <w:t>led</w:t>
      </w:r>
      <w:r w:rsidR="00D52FD0">
        <w:t xml:space="preserve"> </w:t>
      </w:r>
      <w:r w:rsidR="000A1AAE" w:rsidRPr="00A841AA">
        <w:t>by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International</w:t>
      </w:r>
      <w:r w:rsidR="00D52FD0">
        <w:t xml:space="preserve"> </w:t>
      </w:r>
      <w:r w:rsidR="000A1AAE" w:rsidRPr="00A841AA">
        <w:t>Labour</w:t>
      </w:r>
      <w:r w:rsidR="00D52FD0">
        <w:t xml:space="preserve"> </w:t>
      </w:r>
      <w:r w:rsidR="000A1AAE" w:rsidRPr="00A841AA">
        <w:t>Organisation</w:t>
      </w:r>
      <w:r w:rsidR="00D52FD0">
        <w:t xml:space="preserve"> </w:t>
      </w:r>
      <w:r w:rsidR="000A1AAE" w:rsidRPr="00A841AA">
        <w:t>(ILO).</w:t>
      </w:r>
    </w:p>
    <w:p w14:paraId="7749F363" w14:textId="11022AE1" w:rsidR="000A1AAE" w:rsidRPr="00A841AA" w:rsidRDefault="0044637E" w:rsidP="0044637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841AA">
        <w:t>43.</w:t>
      </w:r>
      <w:r w:rsidRPr="00A841AA">
        <w:tab/>
      </w:r>
      <w:r w:rsidR="000A1AAE" w:rsidRPr="00A841AA">
        <w:t>With</w:t>
      </w:r>
      <w:r w:rsidR="00D52FD0">
        <w:t xml:space="preserve"> </w:t>
      </w:r>
      <w:r w:rsidR="000A1AAE" w:rsidRPr="00A841AA">
        <w:t>a</w:t>
      </w:r>
      <w:r w:rsidR="00D52FD0">
        <w:t xml:space="preserve"> </w:t>
      </w:r>
      <w:r w:rsidR="000A1AAE" w:rsidRPr="00A841AA">
        <w:t>view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further</w:t>
      </w:r>
      <w:r w:rsidR="00D52FD0">
        <w:t xml:space="preserve"> </w:t>
      </w:r>
      <w:r w:rsidR="000A1AAE" w:rsidRPr="00A841AA">
        <w:t>strengthening</w:t>
      </w:r>
      <w:r w:rsidR="00D52FD0">
        <w:t xml:space="preserve"> </w:t>
      </w:r>
      <w:r w:rsidR="000A1AAE" w:rsidRPr="00A841AA">
        <w:t>legal</w:t>
      </w:r>
      <w:r w:rsidR="00D52FD0">
        <w:t xml:space="preserve"> </w:t>
      </w:r>
      <w:r w:rsidR="000A1AAE" w:rsidRPr="00A841AA">
        <w:t>provisions</w:t>
      </w:r>
      <w:r w:rsidR="00D52FD0">
        <w:t xml:space="preserve"> </w:t>
      </w:r>
      <w:r w:rsidR="000A1AAE" w:rsidRPr="00A841AA">
        <w:t>on</w:t>
      </w:r>
      <w:r w:rsidR="00D52FD0">
        <w:t xml:space="preserve"> </w:t>
      </w:r>
      <w:r w:rsidR="000A1AAE" w:rsidRPr="00A841AA">
        <w:t>trafficking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persons</w:t>
      </w:r>
      <w:r w:rsidR="00D52FD0">
        <w:t xml:space="preserve"> </w:t>
      </w:r>
      <w:r w:rsidR="000A1AAE" w:rsidRPr="00A841AA">
        <w:t>for</w:t>
      </w:r>
      <w:r w:rsidR="00D52FD0">
        <w:t xml:space="preserve"> </w:t>
      </w:r>
      <w:r w:rsidR="000A1AAE" w:rsidRPr="00A841AA">
        <w:t>organ</w:t>
      </w:r>
      <w:r w:rsidR="00D52FD0">
        <w:t xml:space="preserve"> </w:t>
      </w:r>
      <w:r w:rsidR="000A1AAE" w:rsidRPr="00A841AA">
        <w:t>removal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organ</w:t>
      </w:r>
      <w:r w:rsidR="00D52FD0">
        <w:t xml:space="preserve"> </w:t>
      </w:r>
      <w:r w:rsidR="000A1AAE" w:rsidRPr="00A841AA">
        <w:t>trafficking,</w:t>
      </w:r>
      <w:r w:rsidR="00D52FD0">
        <w:t xml:space="preserve"> </w:t>
      </w:r>
      <w:r w:rsidR="000A1AAE" w:rsidRPr="00A841AA">
        <w:t>Parliament</w:t>
      </w:r>
      <w:r w:rsidR="00D52FD0">
        <w:t xml:space="preserve"> </w:t>
      </w:r>
      <w:r w:rsidR="000A1AAE" w:rsidRPr="00A841AA">
        <w:t>published</w:t>
      </w:r>
      <w:r w:rsidR="00D52FD0">
        <w:t xml:space="preserve"> </w:t>
      </w:r>
      <w:r w:rsidR="000A1AAE" w:rsidRPr="00A841AA">
        <w:t>a</w:t>
      </w:r>
      <w:r w:rsidR="00D52FD0">
        <w:t xml:space="preserve"> </w:t>
      </w:r>
      <w:r w:rsidR="000A1AAE" w:rsidRPr="00A841AA">
        <w:t>new</w:t>
      </w:r>
      <w:r w:rsidR="00D52FD0">
        <w:t xml:space="preserve"> </w:t>
      </w:r>
      <w:r w:rsidR="000A1AAE" w:rsidRPr="00A841AA">
        <w:t>law</w:t>
      </w:r>
      <w:r w:rsidR="00D52FD0">
        <w:t xml:space="preserve"> </w:t>
      </w:r>
      <w:r w:rsidR="000A1AAE" w:rsidRPr="00A841AA">
        <w:t>on</w:t>
      </w:r>
      <w:r w:rsidR="00D52FD0">
        <w:t xml:space="preserve"> </w:t>
      </w:r>
      <w:r w:rsidR="000A1AAE" w:rsidRPr="00A841AA">
        <w:t>Human</w:t>
      </w:r>
      <w:r w:rsidR="00D52FD0">
        <w:t xml:space="preserve"> </w:t>
      </w:r>
      <w:r w:rsidR="000A1AAE" w:rsidRPr="00A841AA">
        <w:t>Organs,</w:t>
      </w:r>
      <w:r w:rsidR="00D52FD0">
        <w:t xml:space="preserve"> </w:t>
      </w:r>
      <w:r w:rsidR="000A1AAE" w:rsidRPr="00A841AA">
        <w:t>Tissues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Cells</w:t>
      </w:r>
      <w:r w:rsidR="00D52FD0">
        <w:t xml:space="preserve"> </w:t>
      </w:r>
      <w:r w:rsidR="000A1AAE" w:rsidRPr="00A841AA">
        <w:t>Donation</w:t>
      </w:r>
      <w:r w:rsidR="00D52FD0">
        <w:t xml:space="preserve"> </w:t>
      </w:r>
      <w:r w:rsidR="000A1AAE" w:rsidRPr="00A841AA">
        <w:t>Act</w:t>
      </w:r>
      <w:r w:rsidR="00D52FD0">
        <w:t xml:space="preserve"> </w:t>
      </w:r>
      <w:r w:rsidR="000A1AAE" w:rsidRPr="00A841AA">
        <w:t>(Cap</w:t>
      </w:r>
      <w:r w:rsidR="00D52FD0">
        <w:t xml:space="preserve"> </w:t>
      </w:r>
      <w:r w:rsidR="000A1AAE" w:rsidRPr="00A841AA">
        <w:t>558of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Laws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Malta)</w:t>
      </w:r>
      <w:r w:rsidR="00D52FD0">
        <w:t xml:space="preserve"> </w:t>
      </w:r>
      <w:r w:rsidR="000A1AAE" w:rsidRPr="00A841AA">
        <w:t>on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16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December</w:t>
      </w:r>
      <w:r w:rsidR="00D52FD0">
        <w:t xml:space="preserve"> </w:t>
      </w:r>
      <w:r w:rsidR="000A1AAE" w:rsidRPr="00A841AA">
        <w:t>2016.</w:t>
      </w:r>
      <w:r w:rsidR="00D52FD0">
        <w:t xml:space="preserve"> </w:t>
      </w:r>
      <w:r w:rsidR="000A1AAE" w:rsidRPr="00A841AA">
        <w:t>This</w:t>
      </w:r>
      <w:r w:rsidR="00D52FD0">
        <w:t xml:space="preserve"> </w:t>
      </w:r>
      <w:r w:rsidR="000A1AAE" w:rsidRPr="00A841AA">
        <w:t>Act</w:t>
      </w:r>
      <w:r w:rsidR="00D52FD0">
        <w:t xml:space="preserve"> </w:t>
      </w:r>
      <w:r w:rsidR="000A1AAE" w:rsidRPr="00A841AA">
        <w:t>made</w:t>
      </w:r>
      <w:r w:rsidR="00D52FD0">
        <w:t xml:space="preserve"> </w:t>
      </w:r>
      <w:r w:rsidR="000A1AAE" w:rsidRPr="00A841AA">
        <w:t>consequential</w:t>
      </w:r>
      <w:r w:rsidR="00D52FD0">
        <w:t xml:space="preserve"> </w:t>
      </w:r>
      <w:r w:rsidR="000A1AAE" w:rsidRPr="00A841AA">
        <w:t>amendments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Criminal</w:t>
      </w:r>
      <w:r w:rsidR="00D52FD0">
        <w:t xml:space="preserve"> </w:t>
      </w:r>
      <w:r w:rsidR="000A1AAE" w:rsidRPr="00A841AA">
        <w:t>Code</w:t>
      </w:r>
      <w:r w:rsidR="00D52FD0">
        <w:t xml:space="preserve"> </w:t>
      </w:r>
      <w:r w:rsidR="000A1AAE" w:rsidRPr="00A841AA">
        <w:t>(Cap</w:t>
      </w:r>
      <w:r w:rsidR="00D52FD0">
        <w:t xml:space="preserve"> </w:t>
      </w:r>
      <w:r w:rsidR="000A1AAE" w:rsidRPr="00A841AA">
        <w:t>9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Laws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Malta).</w:t>
      </w:r>
      <w:r w:rsidR="00D52FD0">
        <w:t xml:space="preserve"> </w:t>
      </w:r>
      <w:r w:rsidR="000A1AAE" w:rsidRPr="00A841AA">
        <w:t>Therefore,</w:t>
      </w:r>
      <w:r w:rsidR="00D52FD0">
        <w:t xml:space="preserve"> </w:t>
      </w:r>
      <w:r w:rsidR="000A1AAE" w:rsidRPr="00A841AA">
        <w:t>Article</w:t>
      </w:r>
      <w:r w:rsidR="00D52FD0">
        <w:t xml:space="preserve"> </w:t>
      </w:r>
      <w:r w:rsidR="000A1AAE" w:rsidRPr="00A841AA">
        <w:t>248CA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Criminal</w:t>
      </w:r>
      <w:r w:rsidR="00D52FD0">
        <w:t xml:space="preserve"> </w:t>
      </w:r>
      <w:r w:rsidR="000A1AAE" w:rsidRPr="00A841AA">
        <w:t>Code</w:t>
      </w:r>
      <w:r w:rsidR="00D52FD0">
        <w:t xml:space="preserve"> </w:t>
      </w:r>
      <w:r w:rsidR="000A1AAE" w:rsidRPr="00A841AA">
        <w:t>addresses</w:t>
      </w:r>
      <w:r w:rsidR="00D52FD0">
        <w:t xml:space="preserve"> </w:t>
      </w:r>
      <w:r w:rsidR="000A1AAE" w:rsidRPr="00A841AA">
        <w:t>measures</w:t>
      </w:r>
      <w:r w:rsidR="00D52FD0">
        <w:t xml:space="preserve"> </w:t>
      </w:r>
      <w:r w:rsidR="000A1AAE" w:rsidRPr="00A841AA">
        <w:t>related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abuse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persons</w:t>
      </w:r>
      <w:r w:rsidR="00D52FD0">
        <w:t xml:space="preserve"> </w:t>
      </w:r>
      <w:r w:rsidR="000A1AAE" w:rsidRPr="00A841AA">
        <w:t>or</w:t>
      </w:r>
      <w:r w:rsidR="00D52FD0">
        <w:t xml:space="preserve"> </w:t>
      </w:r>
      <w:r w:rsidR="000A1AAE" w:rsidRPr="00A841AA">
        <w:t>abuse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organ</w:t>
      </w:r>
      <w:r w:rsidR="00D52FD0">
        <w:t xml:space="preserve"> </w:t>
      </w:r>
      <w:r w:rsidR="000A1AAE" w:rsidRPr="00A841AA">
        <w:t>harvesting</w:t>
      </w:r>
      <w:r w:rsidR="00D52FD0">
        <w:t xml:space="preserve"> </w:t>
      </w:r>
      <w:r w:rsidR="000A1AAE" w:rsidRPr="00A841AA">
        <w:t>for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purpose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exploitation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is</w:t>
      </w:r>
      <w:r w:rsidR="00D52FD0">
        <w:t xml:space="preserve"> </w:t>
      </w:r>
      <w:r w:rsidR="000A1AAE" w:rsidRPr="00A841AA">
        <w:t>intended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make</w:t>
      </w:r>
      <w:r w:rsidR="00D52FD0">
        <w:t xml:space="preserve"> </w:t>
      </w:r>
      <w:r w:rsidR="000A1AAE" w:rsidRPr="00A841AA">
        <w:t>provisions</w:t>
      </w:r>
      <w:r w:rsidR="00D52FD0">
        <w:t xml:space="preserve"> </w:t>
      </w:r>
      <w:r w:rsidR="000A1AAE" w:rsidRPr="00A841AA">
        <w:t>for</w:t>
      </w:r>
      <w:r w:rsidR="00D52FD0">
        <w:t xml:space="preserve"> </w:t>
      </w:r>
      <w:r w:rsidR="000A1AAE" w:rsidRPr="00A841AA">
        <w:t>substantive</w:t>
      </w:r>
      <w:r w:rsidR="00D52FD0">
        <w:t xml:space="preserve"> </w:t>
      </w:r>
      <w:r w:rsidR="000A1AAE" w:rsidRPr="00A841AA">
        <w:t>articles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Council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Europe</w:t>
      </w:r>
      <w:r w:rsidR="00D52FD0">
        <w:t xml:space="preserve"> </w:t>
      </w:r>
      <w:r w:rsidR="000A1AAE" w:rsidRPr="00A841AA">
        <w:t>Convention</w:t>
      </w:r>
      <w:r w:rsidR="00D52FD0">
        <w:t xml:space="preserve"> </w:t>
      </w:r>
      <w:r w:rsidR="000A1AAE" w:rsidRPr="00A841AA">
        <w:t>against</w:t>
      </w:r>
      <w:r w:rsidR="00D52FD0">
        <w:t xml:space="preserve"> </w:t>
      </w:r>
      <w:r w:rsidR="000A1AAE" w:rsidRPr="00A841AA">
        <w:t>Trafficking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Human</w:t>
      </w:r>
      <w:r w:rsidR="00D52FD0">
        <w:t xml:space="preserve"> </w:t>
      </w:r>
      <w:r w:rsidR="000A1AAE" w:rsidRPr="00A841AA">
        <w:t>Organs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ensure</w:t>
      </w:r>
      <w:r w:rsidR="00D52FD0">
        <w:t xml:space="preserve"> </w:t>
      </w:r>
      <w:r w:rsidR="000A1AAE" w:rsidRPr="00A841AA">
        <w:t>full</w:t>
      </w:r>
      <w:r w:rsidR="00D52FD0">
        <w:t xml:space="preserve"> </w:t>
      </w:r>
      <w:r w:rsidR="000A1AAE" w:rsidRPr="00A841AA">
        <w:t>compliance</w:t>
      </w:r>
      <w:r w:rsidR="00D52FD0">
        <w:t xml:space="preserve"> </w:t>
      </w:r>
      <w:r w:rsidR="000A1AAE" w:rsidRPr="00A841AA">
        <w:t>with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said</w:t>
      </w:r>
      <w:r w:rsidR="00D52FD0">
        <w:t xml:space="preserve"> </w:t>
      </w:r>
      <w:r w:rsidR="000A1AAE" w:rsidRPr="00A841AA">
        <w:t>Convention.</w:t>
      </w:r>
    </w:p>
    <w:p w14:paraId="6B0B1034" w14:textId="1D60434A" w:rsidR="000A1AAE" w:rsidRPr="00A841AA" w:rsidRDefault="0044637E" w:rsidP="007A0D2F">
      <w:pPr>
        <w:pStyle w:val="ParaNoG"/>
        <w:keepNext/>
        <w:keepLines/>
        <w:numPr>
          <w:ilvl w:val="0"/>
          <w:numId w:val="0"/>
        </w:numPr>
        <w:tabs>
          <w:tab w:val="left" w:pos="0"/>
        </w:tabs>
        <w:ind w:left="1134"/>
      </w:pPr>
      <w:r w:rsidRPr="00A841AA">
        <w:lastRenderedPageBreak/>
        <w:t>44.</w:t>
      </w:r>
      <w:r w:rsidRPr="00A841AA">
        <w:tab/>
      </w:r>
      <w:r w:rsidR="000A1AAE" w:rsidRPr="00A841AA">
        <w:t>On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2</w:t>
      </w:r>
      <w:r w:rsidR="00D52FD0">
        <w:t xml:space="preserve"> </w:t>
      </w:r>
      <w:r w:rsidR="000A1AAE" w:rsidRPr="00A841AA">
        <w:t>May</w:t>
      </w:r>
      <w:r w:rsidR="00D52FD0">
        <w:t xml:space="preserve"> </w:t>
      </w:r>
      <w:r w:rsidR="000A1AAE" w:rsidRPr="00A841AA">
        <w:t>2016</w:t>
      </w:r>
      <w:r w:rsidR="00D52FD0">
        <w:t xml:space="preserve"> </w:t>
      </w:r>
      <w:r w:rsidR="000A1AAE" w:rsidRPr="00A841AA">
        <w:t>additional</w:t>
      </w:r>
      <w:r w:rsidR="00D52FD0">
        <w:t xml:space="preserve"> </w:t>
      </w:r>
      <w:r w:rsidR="000A1AAE" w:rsidRPr="00A841AA">
        <w:t>new</w:t>
      </w:r>
      <w:r w:rsidR="00D52FD0">
        <w:t xml:space="preserve"> </w:t>
      </w:r>
      <w:r w:rsidR="000A1AAE" w:rsidRPr="00A841AA">
        <w:t>measures</w:t>
      </w:r>
      <w:r w:rsidR="00D52FD0">
        <w:t xml:space="preserve"> </w:t>
      </w:r>
      <w:r w:rsidR="000A1AAE" w:rsidRPr="00A841AA">
        <w:t>were</w:t>
      </w:r>
      <w:r w:rsidR="00D52FD0">
        <w:t xml:space="preserve"> </w:t>
      </w:r>
      <w:r w:rsidR="000A1AAE" w:rsidRPr="00A841AA">
        <w:t>brought</w:t>
      </w:r>
      <w:r w:rsidR="00D52FD0">
        <w:t xml:space="preserve"> </w:t>
      </w:r>
      <w:r w:rsidR="000A1AAE" w:rsidRPr="00A841AA">
        <w:t>into</w:t>
      </w:r>
      <w:r w:rsidR="00D52FD0">
        <w:t xml:space="preserve"> </w:t>
      </w:r>
      <w:r w:rsidR="000A1AAE" w:rsidRPr="00A841AA">
        <w:t>effect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curb</w:t>
      </w:r>
      <w:r w:rsidR="00D52FD0">
        <w:t xml:space="preserve"> </w:t>
      </w:r>
      <w:r w:rsidR="000A1AAE" w:rsidRPr="00A841AA">
        <w:t>precarious</w:t>
      </w:r>
      <w:r w:rsidR="00D52FD0">
        <w:t xml:space="preserve"> </w:t>
      </w:r>
      <w:r w:rsidR="000A1AAE" w:rsidRPr="00A841AA">
        <w:t>work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cleaning,</w:t>
      </w:r>
      <w:r w:rsidR="00D52FD0">
        <w:t xml:space="preserve"> </w:t>
      </w:r>
      <w:r w:rsidR="000A1AAE" w:rsidRPr="00A841AA">
        <w:t>clerical,</w:t>
      </w:r>
      <w:r w:rsidR="00D52FD0">
        <w:t xml:space="preserve"> </w:t>
      </w:r>
      <w:r w:rsidR="000A1AAE" w:rsidRPr="00A841AA">
        <w:t>security,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care</w:t>
      </w:r>
      <w:r w:rsidR="00D52FD0">
        <w:t xml:space="preserve"> </w:t>
      </w:r>
      <w:r w:rsidR="000A1AAE" w:rsidRPr="00A841AA">
        <w:t>work</w:t>
      </w:r>
      <w:r w:rsidR="00D52FD0">
        <w:t xml:space="preserve"> </w:t>
      </w:r>
      <w:r w:rsidR="000A1AAE" w:rsidRPr="00A841AA">
        <w:t>services</w:t>
      </w:r>
      <w:r w:rsidR="00D52FD0">
        <w:t xml:space="preserve"> </w:t>
      </w:r>
      <w:r w:rsidR="000A1AAE" w:rsidRPr="00A841AA">
        <w:t>provided</w:t>
      </w:r>
      <w:r w:rsidR="00D52FD0">
        <w:t xml:space="preserve"> </w:t>
      </w:r>
      <w:r w:rsidR="000A1AAE" w:rsidRPr="00A841AA">
        <w:t>on</w:t>
      </w:r>
      <w:r w:rsidR="00D52FD0">
        <w:t xml:space="preserve"> </w:t>
      </w:r>
      <w:r w:rsidR="000A1AAE" w:rsidRPr="00A841AA">
        <w:t>contract</w:t>
      </w:r>
      <w:r w:rsidR="00D52FD0">
        <w:t xml:space="preserve"> </w:t>
      </w:r>
      <w:r w:rsidR="000A1AAE" w:rsidRPr="00A841AA">
        <w:t>for</w:t>
      </w:r>
      <w:r w:rsidR="00D52FD0">
        <w:t xml:space="preserve"> </w:t>
      </w:r>
      <w:r w:rsidR="000A1AAE" w:rsidRPr="00A841AA">
        <w:t>Government</w:t>
      </w:r>
      <w:r w:rsidR="00D52FD0">
        <w:t xml:space="preserve"> </w:t>
      </w:r>
      <w:r w:rsidR="000A1AAE" w:rsidRPr="00A841AA">
        <w:t>departments</w:t>
      </w:r>
      <w:r w:rsidR="00D52FD0">
        <w:t xml:space="preserve"> </w:t>
      </w:r>
      <w:r w:rsidR="000A1AAE" w:rsidRPr="00A841AA">
        <w:t>and/or</w:t>
      </w:r>
      <w:r w:rsidR="00D52FD0">
        <w:t xml:space="preserve"> </w:t>
      </w:r>
      <w:r w:rsidR="000A1AAE" w:rsidRPr="00A841AA">
        <w:t>public</w:t>
      </w:r>
      <w:r w:rsidR="00D52FD0">
        <w:t xml:space="preserve"> </w:t>
      </w:r>
      <w:r w:rsidR="000A1AAE" w:rsidRPr="00A841AA">
        <w:t>sector</w:t>
      </w:r>
      <w:r w:rsidR="00D52FD0">
        <w:t xml:space="preserve"> </w:t>
      </w:r>
      <w:r w:rsidR="000A1AAE" w:rsidRPr="00A841AA">
        <w:t>organisation.</w:t>
      </w:r>
      <w:r w:rsidR="00D52FD0">
        <w:t xml:space="preserve"> </w:t>
      </w:r>
      <w:r w:rsidR="000A1AAE" w:rsidRPr="00A841AA">
        <w:t>New</w:t>
      </w:r>
      <w:r w:rsidR="00D52FD0">
        <w:t xml:space="preserve"> </w:t>
      </w:r>
      <w:r w:rsidR="000A1AAE" w:rsidRPr="00A841AA">
        <w:t>measures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how</w:t>
      </w:r>
      <w:r w:rsidR="00D52FD0">
        <w:t xml:space="preserve"> </w:t>
      </w:r>
      <w:r w:rsidR="000A1AAE" w:rsidRPr="00A841AA">
        <w:t>contracts</w:t>
      </w:r>
      <w:r w:rsidR="00D52FD0">
        <w:t xml:space="preserve"> </w:t>
      </w:r>
      <w:r w:rsidR="000A1AAE" w:rsidRPr="00A841AA">
        <w:t>are</w:t>
      </w:r>
      <w:r w:rsidR="00D52FD0">
        <w:t xml:space="preserve"> </w:t>
      </w:r>
      <w:r w:rsidR="000A1AAE" w:rsidRPr="00A841AA">
        <w:t>awarded</w:t>
      </w:r>
      <w:r w:rsidR="00D52FD0">
        <w:t xml:space="preserve"> </w:t>
      </w:r>
      <w:r w:rsidR="000A1AAE" w:rsidRPr="00A841AA">
        <w:t>were</w:t>
      </w:r>
      <w:r w:rsidR="00D52FD0">
        <w:t xml:space="preserve"> </w:t>
      </w:r>
      <w:r w:rsidR="000A1AAE" w:rsidRPr="00A841AA">
        <w:t>also</w:t>
      </w:r>
      <w:r w:rsidR="00D52FD0">
        <w:t xml:space="preserve"> </w:t>
      </w:r>
      <w:r w:rsidR="000A1AAE" w:rsidRPr="00A841AA">
        <w:t>introduced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order</w:t>
      </w:r>
      <w:r w:rsidR="00D52FD0">
        <w:t xml:space="preserve"> </w:t>
      </w:r>
      <w:r w:rsidR="000A1AAE" w:rsidRPr="00A841AA">
        <w:t>for</w:t>
      </w:r>
      <w:r w:rsidR="00D52FD0">
        <w:t xml:space="preserve"> </w:t>
      </w:r>
      <w:r w:rsidR="000A1AAE" w:rsidRPr="00A841AA">
        <w:t>contractors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provide</w:t>
      </w:r>
      <w:r w:rsidR="00D52FD0">
        <w:t xml:space="preserve"> </w:t>
      </w:r>
      <w:r w:rsidR="000A1AAE" w:rsidRPr="00A841AA">
        <w:t>better</w:t>
      </w:r>
      <w:r w:rsidR="00D52FD0">
        <w:t xml:space="preserve"> </w:t>
      </w:r>
      <w:r w:rsidR="000A1AAE" w:rsidRPr="00A841AA">
        <w:t>services</w:t>
      </w:r>
      <w:r w:rsidR="00D52FD0">
        <w:t xml:space="preserve"> </w:t>
      </w:r>
      <w:r w:rsidR="000A1AAE" w:rsidRPr="00A841AA">
        <w:t>whilst</w:t>
      </w:r>
      <w:r w:rsidR="00D52FD0">
        <w:t xml:space="preserve"> </w:t>
      </w:r>
      <w:r w:rsidR="000A1AAE" w:rsidRPr="00A841AA">
        <w:t>offering</w:t>
      </w:r>
      <w:r w:rsidR="00D52FD0">
        <w:t xml:space="preserve"> </w:t>
      </w:r>
      <w:r w:rsidR="000A1AAE" w:rsidRPr="00A841AA">
        <w:t>contractees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best</w:t>
      </w:r>
      <w:r w:rsidR="00D52FD0">
        <w:t xml:space="preserve"> </w:t>
      </w:r>
      <w:r w:rsidR="000A1AAE" w:rsidRPr="00A841AA">
        <w:t>benefits</w:t>
      </w:r>
      <w:r w:rsidR="00D52FD0">
        <w:t xml:space="preserve"> </w:t>
      </w:r>
      <w:r w:rsidR="000A1AAE" w:rsidRPr="00A841AA">
        <w:t>at</w:t>
      </w:r>
      <w:r w:rsidR="00D52FD0">
        <w:t xml:space="preserve"> </w:t>
      </w:r>
      <w:r w:rsidR="000A1AAE" w:rsidRPr="00A841AA">
        <w:t>their</w:t>
      </w:r>
      <w:r w:rsidR="00D52FD0">
        <w:t xml:space="preserve"> </w:t>
      </w:r>
      <w:r w:rsidR="000A1AAE" w:rsidRPr="00A841AA">
        <w:t>place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work.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addition,</w:t>
      </w:r>
      <w:r w:rsidR="00D52FD0">
        <w:t xml:space="preserve"> </w:t>
      </w:r>
      <w:r w:rsidR="000A1AAE" w:rsidRPr="00A841AA">
        <w:t>contracts</w:t>
      </w:r>
      <w:r w:rsidR="00D52FD0">
        <w:t xml:space="preserve"> </w:t>
      </w:r>
      <w:r w:rsidR="000A1AAE" w:rsidRPr="00A841AA">
        <w:t>for</w:t>
      </w:r>
      <w:r w:rsidR="00D52FD0">
        <w:t xml:space="preserve"> </w:t>
      </w:r>
      <w:r w:rsidR="000A1AAE" w:rsidRPr="00A841AA">
        <w:t>provision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goods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services</w:t>
      </w:r>
      <w:r w:rsidR="00D52FD0">
        <w:t xml:space="preserve"> </w:t>
      </w:r>
      <w:r w:rsidR="000A1AAE" w:rsidRPr="00A841AA">
        <w:t>will</w:t>
      </w:r>
      <w:r w:rsidR="00D52FD0">
        <w:t xml:space="preserve"> </w:t>
      </w:r>
      <w:r w:rsidR="000A1AAE" w:rsidRPr="00A841AA">
        <w:t>now</w:t>
      </w:r>
      <w:r w:rsidR="00D52FD0">
        <w:t xml:space="preserve"> </w:t>
      </w:r>
      <w:r w:rsidR="000A1AAE" w:rsidRPr="00A841AA">
        <w:t>be</w:t>
      </w:r>
      <w:r w:rsidR="00D52FD0">
        <w:t xml:space="preserve"> </w:t>
      </w:r>
      <w:r w:rsidR="000A1AAE" w:rsidRPr="00A841AA">
        <w:t>awarded</w:t>
      </w:r>
      <w:r w:rsidR="00D52FD0">
        <w:t xml:space="preserve"> </w:t>
      </w:r>
      <w:r w:rsidR="000A1AAE" w:rsidRPr="00A841AA">
        <w:t>on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F14DA3">
        <w:t>‘</w:t>
      </w:r>
      <w:r w:rsidR="000A1AAE" w:rsidRPr="00A841AA">
        <w:t>Best</w:t>
      </w:r>
      <w:r w:rsidR="00D52FD0">
        <w:t xml:space="preserve"> </w:t>
      </w:r>
      <w:r w:rsidR="000A1AAE" w:rsidRPr="00A841AA">
        <w:t>Price-Quality</w:t>
      </w:r>
      <w:r w:rsidR="00D52FD0">
        <w:t xml:space="preserve"> </w:t>
      </w:r>
      <w:r w:rsidR="000A1AAE" w:rsidRPr="00A841AA">
        <w:t>Ratio</w:t>
      </w:r>
      <w:r w:rsidR="00F14DA3">
        <w:t>’</w:t>
      </w:r>
      <w:r w:rsidR="00D52FD0">
        <w:t xml:space="preserve"> </w:t>
      </w:r>
      <w:r w:rsidR="000A1AAE" w:rsidRPr="00A841AA">
        <w:t>rather</w:t>
      </w:r>
      <w:r w:rsidR="00D52FD0">
        <w:t xml:space="preserve"> </w:t>
      </w:r>
      <w:r w:rsidR="000A1AAE" w:rsidRPr="00A841AA">
        <w:t>than</w:t>
      </w:r>
      <w:r w:rsidR="00D52FD0">
        <w:t xml:space="preserve"> </w:t>
      </w:r>
      <w:r w:rsidR="000A1AAE" w:rsidRPr="00A841AA">
        <w:t>on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cheapest</w:t>
      </w:r>
      <w:r w:rsidR="00D52FD0">
        <w:t xml:space="preserve"> </w:t>
      </w:r>
      <w:r w:rsidR="000A1AAE" w:rsidRPr="00A841AA">
        <w:t>being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best</w:t>
      </w:r>
      <w:r w:rsidR="00D52FD0">
        <w:t xml:space="preserve"> </w:t>
      </w:r>
      <w:r w:rsidR="000A1AAE" w:rsidRPr="00A841AA">
        <w:t>policy.</w:t>
      </w:r>
      <w:r w:rsidR="00D52FD0">
        <w:t xml:space="preserve"> </w:t>
      </w:r>
      <w:r w:rsidR="000A1AAE" w:rsidRPr="00A841AA">
        <w:t>All</w:t>
      </w:r>
      <w:r w:rsidR="00D52FD0">
        <w:t xml:space="preserve"> </w:t>
      </w:r>
      <w:r w:rsidR="000A1AAE" w:rsidRPr="00A841AA">
        <w:t>these</w:t>
      </w:r>
      <w:r w:rsidR="00D52FD0">
        <w:t xml:space="preserve"> </w:t>
      </w:r>
      <w:r w:rsidR="000A1AAE" w:rsidRPr="00A841AA">
        <w:t>measures</w:t>
      </w:r>
      <w:r w:rsidR="00D52FD0">
        <w:t xml:space="preserve"> </w:t>
      </w:r>
      <w:r w:rsidR="000A1AAE" w:rsidRPr="00A841AA">
        <w:t>not</w:t>
      </w:r>
      <w:r w:rsidR="00D52FD0">
        <w:t xml:space="preserve"> </w:t>
      </w:r>
      <w:r w:rsidR="000A1AAE" w:rsidRPr="00A841AA">
        <w:t>only</w:t>
      </w:r>
      <w:r w:rsidR="00D52FD0">
        <w:t xml:space="preserve"> </w:t>
      </w:r>
      <w:r w:rsidR="000A1AAE" w:rsidRPr="00A841AA">
        <w:t>protect</w:t>
      </w:r>
      <w:r w:rsidR="00D52FD0">
        <w:t xml:space="preserve"> </w:t>
      </w:r>
      <w:r w:rsidR="000A1AAE" w:rsidRPr="00A841AA">
        <w:t>both</w:t>
      </w:r>
      <w:r w:rsidR="00D52FD0">
        <w:t xml:space="preserve"> </w:t>
      </w:r>
      <w:r w:rsidR="000A1AAE" w:rsidRPr="00A841AA">
        <w:t>Maltese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foreign</w:t>
      </w:r>
      <w:r w:rsidR="00D52FD0">
        <w:t xml:space="preserve"> </w:t>
      </w:r>
      <w:r w:rsidR="000A1AAE" w:rsidRPr="00A841AA">
        <w:t>workers</w:t>
      </w:r>
      <w:r w:rsidR="00D52FD0">
        <w:t xml:space="preserve"> </w:t>
      </w:r>
      <w:r w:rsidR="000A1AAE" w:rsidRPr="00A841AA">
        <w:t>from</w:t>
      </w:r>
      <w:r w:rsidR="00D52FD0">
        <w:t xml:space="preserve"> </w:t>
      </w:r>
      <w:r w:rsidR="000A1AAE" w:rsidRPr="00A841AA">
        <w:t>being</w:t>
      </w:r>
      <w:r w:rsidR="00D52FD0">
        <w:t xml:space="preserve"> </w:t>
      </w:r>
      <w:r w:rsidR="000A1AAE" w:rsidRPr="00A841AA">
        <w:t>exploited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Malta</w:t>
      </w:r>
      <w:r w:rsidR="00D52FD0">
        <w:t xml:space="preserve"> </w:t>
      </w:r>
      <w:r w:rsidR="000A1AAE" w:rsidRPr="00A841AA">
        <w:t>but</w:t>
      </w:r>
      <w:r w:rsidR="00D52FD0">
        <w:t xml:space="preserve"> </w:t>
      </w:r>
      <w:r w:rsidR="000A1AAE" w:rsidRPr="00A841AA">
        <w:t>also</w:t>
      </w:r>
      <w:r w:rsidR="00D52FD0">
        <w:t xml:space="preserve"> </w:t>
      </w:r>
      <w:r w:rsidR="000A1AAE" w:rsidRPr="00A841AA">
        <w:t>protect</w:t>
      </w:r>
      <w:r w:rsidR="00D52FD0">
        <w:t xml:space="preserve"> </w:t>
      </w:r>
      <w:r w:rsidR="000A1AAE" w:rsidRPr="00A841AA">
        <w:t>workers</w:t>
      </w:r>
      <w:r w:rsidR="00D52FD0">
        <w:t xml:space="preserve"> </w:t>
      </w:r>
      <w:r w:rsidR="000A1AAE" w:rsidRPr="00A841AA">
        <w:t>who</w:t>
      </w:r>
      <w:r w:rsidR="00D52FD0">
        <w:t xml:space="preserve"> </w:t>
      </w:r>
      <w:r w:rsidR="000A1AAE" w:rsidRPr="00A841AA">
        <w:t>may</w:t>
      </w:r>
      <w:r w:rsidR="00D52FD0">
        <w:t xml:space="preserve"> </w:t>
      </w:r>
      <w:r w:rsidR="000A1AAE" w:rsidRPr="00A841AA">
        <w:t>be</w:t>
      </w:r>
      <w:r w:rsidR="00D52FD0">
        <w:t xml:space="preserve"> </w:t>
      </w:r>
      <w:r w:rsidR="000A1AAE" w:rsidRPr="00A841AA">
        <w:t>exploited</w:t>
      </w:r>
      <w:r w:rsidR="00D52FD0">
        <w:t xml:space="preserve"> </w:t>
      </w:r>
      <w:r w:rsidR="000A1AAE" w:rsidRPr="00A841AA">
        <w:t>at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countries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origin</w:t>
      </w:r>
      <w:r w:rsidR="00D52FD0">
        <w:t xml:space="preserve"> </w:t>
      </w:r>
      <w:r w:rsidR="000A1AAE" w:rsidRPr="00A841AA">
        <w:t>providing</w:t>
      </w:r>
      <w:r w:rsidR="00D52FD0">
        <w:t xml:space="preserve"> </w:t>
      </w:r>
      <w:r w:rsidR="000A1AAE" w:rsidRPr="00A841AA">
        <w:t>goods</w:t>
      </w:r>
      <w:r w:rsidR="00D52FD0">
        <w:t xml:space="preserve"> </w:t>
      </w:r>
      <w:r w:rsidR="000A1AAE" w:rsidRPr="00A841AA">
        <w:t>consumed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Malta.</w:t>
      </w:r>
    </w:p>
    <w:p w14:paraId="227982D1" w14:textId="42121EB6" w:rsidR="000A1AAE" w:rsidRPr="00A841AA" w:rsidRDefault="000A1AAE" w:rsidP="00B771F7">
      <w:pPr>
        <w:pStyle w:val="H4G"/>
      </w:pPr>
      <w:r>
        <w:tab/>
      </w:r>
      <w:r>
        <w:tab/>
      </w:r>
      <w:r w:rsidRPr="00A841AA">
        <w:t>New</w:t>
      </w:r>
      <w:r w:rsidR="00D52FD0">
        <w:t xml:space="preserve"> </w:t>
      </w:r>
      <w:r w:rsidRPr="00A841AA">
        <w:t>Strategy:</w:t>
      </w:r>
      <w:r w:rsidR="00D52FD0">
        <w:t xml:space="preserve"> </w:t>
      </w:r>
      <w:r w:rsidRPr="00A841AA">
        <w:t>January</w:t>
      </w:r>
      <w:r w:rsidR="00D52FD0">
        <w:t xml:space="preserve"> </w:t>
      </w:r>
      <w:r w:rsidRPr="00A841AA">
        <w:t>2020–December</w:t>
      </w:r>
      <w:r w:rsidR="00D52FD0">
        <w:t xml:space="preserve"> </w:t>
      </w:r>
      <w:r w:rsidRPr="00A841AA">
        <w:t>2023</w:t>
      </w:r>
    </w:p>
    <w:p w14:paraId="354A27AA" w14:textId="49B77069" w:rsidR="000E4FD0" w:rsidRDefault="0044637E" w:rsidP="0044637E">
      <w:pPr>
        <w:pStyle w:val="ParaNoG"/>
        <w:numPr>
          <w:ilvl w:val="0"/>
          <w:numId w:val="0"/>
        </w:numPr>
        <w:tabs>
          <w:tab w:val="left" w:pos="0"/>
        </w:tabs>
        <w:ind w:left="1134"/>
        <w:rPr>
          <w:lang w:eastAsia="en-GB"/>
        </w:rPr>
      </w:pPr>
      <w:r>
        <w:rPr>
          <w:lang w:eastAsia="en-GB"/>
        </w:rPr>
        <w:t>45.</w:t>
      </w:r>
      <w:r>
        <w:rPr>
          <w:lang w:eastAsia="en-GB"/>
        </w:rPr>
        <w:tab/>
      </w:r>
      <w:r w:rsidR="000A1AAE" w:rsidRPr="00A841AA">
        <w:rPr>
          <w:lang w:eastAsia="en-GB"/>
        </w:rPr>
        <w:t>The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Government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of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Malta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embarked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on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a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national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consultation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process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in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September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and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October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2019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as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part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of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the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country</w:t>
      </w:r>
      <w:r w:rsidR="00F14DA3">
        <w:rPr>
          <w:lang w:eastAsia="en-GB"/>
        </w:rPr>
        <w:t>’</w:t>
      </w:r>
      <w:r w:rsidR="000A1AAE" w:rsidRPr="00A841AA">
        <w:rPr>
          <w:lang w:eastAsia="en-GB"/>
        </w:rPr>
        <w:t>s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reform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on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human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trafficking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and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prostitution.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The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subject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of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prostitution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has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been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included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in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this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reform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as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the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Government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acknowledges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the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link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between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the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two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phenomena,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as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well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as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the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existence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of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Maltese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individuals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who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could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be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exploited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for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sexual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purposes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in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their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home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country.</w:t>
      </w:r>
    </w:p>
    <w:p w14:paraId="4C9CE603" w14:textId="0EF522BB" w:rsidR="000A1AAE" w:rsidRPr="00A841AA" w:rsidRDefault="0044637E" w:rsidP="0044637E">
      <w:pPr>
        <w:pStyle w:val="ParaNoG"/>
        <w:numPr>
          <w:ilvl w:val="0"/>
          <w:numId w:val="0"/>
        </w:numPr>
        <w:tabs>
          <w:tab w:val="left" w:pos="0"/>
        </w:tabs>
        <w:ind w:left="1134"/>
        <w:rPr>
          <w:lang w:eastAsia="en-GB"/>
        </w:rPr>
      </w:pPr>
      <w:r w:rsidRPr="00A841AA">
        <w:rPr>
          <w:lang w:eastAsia="en-GB"/>
        </w:rPr>
        <w:t>46.</w:t>
      </w:r>
      <w:r w:rsidRPr="00A841AA">
        <w:rPr>
          <w:lang w:eastAsia="en-GB"/>
        </w:rPr>
        <w:tab/>
      </w:r>
      <w:r w:rsidR="000A1AAE" w:rsidRPr="00A841AA">
        <w:rPr>
          <w:lang w:eastAsia="en-GB"/>
        </w:rPr>
        <w:t>The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aim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of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this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consultation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period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was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intended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to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develop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a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five-year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national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strategy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(2020–2024)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against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human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trafficking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with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the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following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objectives:</w:t>
      </w:r>
    </w:p>
    <w:p w14:paraId="561DD3FF" w14:textId="48CD0C41" w:rsidR="000E4FD0" w:rsidRDefault="0044637E" w:rsidP="0044637E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>
        <w:t>•</w:t>
      </w:r>
      <w:r>
        <w:tab/>
      </w:r>
      <w:r w:rsidR="000A1AAE" w:rsidRPr="00A841AA">
        <w:t>Develop</w:t>
      </w:r>
      <w:r w:rsidR="00D52FD0">
        <w:t xml:space="preserve"> </w:t>
      </w:r>
      <w:r w:rsidR="000A1AAE" w:rsidRPr="00A841AA">
        <w:t>more</w:t>
      </w:r>
      <w:r w:rsidR="00D52FD0">
        <w:t xml:space="preserve"> </w:t>
      </w:r>
      <w:r w:rsidR="000A1AAE" w:rsidRPr="00A841AA">
        <w:t>effective</w:t>
      </w:r>
      <w:r w:rsidR="00D52FD0">
        <w:t xml:space="preserve"> </w:t>
      </w:r>
      <w:r w:rsidR="000A1AAE" w:rsidRPr="00A841AA">
        <w:t>tools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identify</w:t>
      </w:r>
      <w:r w:rsidR="00D52FD0">
        <w:t xml:space="preserve"> </w:t>
      </w:r>
      <w:r w:rsidR="000A1AAE" w:rsidRPr="00A841AA">
        <w:t>potential</w:t>
      </w:r>
      <w:r w:rsidR="00D52FD0">
        <w:t xml:space="preserve"> </w:t>
      </w:r>
      <w:r w:rsidR="000A1AAE" w:rsidRPr="00A841AA">
        <w:t>victims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human</w:t>
      </w:r>
      <w:r w:rsidR="00D52FD0">
        <w:t xml:space="preserve"> </w:t>
      </w:r>
      <w:r w:rsidR="000A1AAE" w:rsidRPr="00A841AA">
        <w:t>trafficking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facilitate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provision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professional</w:t>
      </w:r>
      <w:r w:rsidR="00D52FD0">
        <w:t xml:space="preserve"> </w:t>
      </w:r>
      <w:r w:rsidR="000A1AAE" w:rsidRPr="00A841AA">
        <w:t>support</w:t>
      </w:r>
      <w:r w:rsidR="00D52FD0">
        <w:t xml:space="preserve"> </w:t>
      </w:r>
      <w:r w:rsidR="000A1AAE" w:rsidRPr="00A841AA">
        <w:t>through</w:t>
      </w:r>
      <w:r w:rsidR="00D52FD0">
        <w:t xml:space="preserve"> </w:t>
      </w:r>
      <w:r w:rsidR="000A1AAE" w:rsidRPr="00A841AA">
        <w:t>a</w:t>
      </w:r>
      <w:r w:rsidR="00D52FD0">
        <w:t xml:space="preserve"> </w:t>
      </w:r>
      <w:r w:rsidR="000A1AAE" w:rsidRPr="00A841AA">
        <w:t>fully-fledged</w:t>
      </w:r>
      <w:r w:rsidR="00D52FD0">
        <w:t xml:space="preserve"> </w:t>
      </w:r>
      <w:r w:rsidR="000A1AAE" w:rsidRPr="00A841AA">
        <w:t>national</w:t>
      </w:r>
      <w:r w:rsidR="00D52FD0">
        <w:t xml:space="preserve"> </w:t>
      </w:r>
      <w:r w:rsidR="000A1AAE" w:rsidRPr="00A841AA">
        <w:t>referral</w:t>
      </w:r>
      <w:r w:rsidR="00D52FD0">
        <w:t xml:space="preserve"> </w:t>
      </w:r>
      <w:r w:rsidR="000A1AAE" w:rsidRPr="00A841AA">
        <w:t>mechanism;</w:t>
      </w:r>
    </w:p>
    <w:p w14:paraId="2196857A" w14:textId="6A1F2B4D" w:rsidR="000E4FD0" w:rsidRDefault="0044637E" w:rsidP="0044637E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>
        <w:t>•</w:t>
      </w:r>
      <w:r>
        <w:tab/>
      </w:r>
      <w:r w:rsidR="000A1AAE" w:rsidRPr="00A841AA">
        <w:t>Strengthen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country</w:t>
      </w:r>
      <w:r w:rsidR="00F14DA3">
        <w:t>’</w:t>
      </w:r>
      <w:r w:rsidR="000A1AAE" w:rsidRPr="00A841AA">
        <w:t>s</w:t>
      </w:r>
      <w:r w:rsidR="00D52FD0">
        <w:t xml:space="preserve"> </w:t>
      </w:r>
      <w:r w:rsidR="000A1AAE" w:rsidRPr="00A841AA">
        <w:t>investigative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judicial</w:t>
      </w:r>
      <w:r w:rsidR="00D52FD0">
        <w:t xml:space="preserve"> </w:t>
      </w:r>
      <w:r w:rsidR="000A1AAE" w:rsidRPr="00A841AA">
        <w:t>arms</w:t>
      </w:r>
      <w:r w:rsidR="00D52FD0">
        <w:t xml:space="preserve"> </w:t>
      </w:r>
      <w:r w:rsidR="000A1AAE" w:rsidRPr="00A841AA">
        <w:t>against</w:t>
      </w:r>
      <w:r w:rsidR="00D52FD0">
        <w:t xml:space="preserve"> </w:t>
      </w:r>
      <w:r w:rsidR="000A1AAE" w:rsidRPr="00A841AA">
        <w:t>perpetrators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human</w:t>
      </w:r>
      <w:r w:rsidR="00D52FD0">
        <w:t xml:space="preserve"> </w:t>
      </w:r>
      <w:r w:rsidR="000A1AAE" w:rsidRPr="00A841AA">
        <w:t>trafficking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secure</w:t>
      </w:r>
      <w:r w:rsidR="00D52FD0">
        <w:t xml:space="preserve"> </w:t>
      </w:r>
      <w:r w:rsidR="000A1AAE" w:rsidRPr="00A841AA">
        <w:t>convictions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traffickers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a</w:t>
      </w:r>
      <w:r w:rsidR="00D52FD0">
        <w:t xml:space="preserve"> </w:t>
      </w:r>
      <w:r w:rsidR="000A1AAE" w:rsidRPr="00A841AA">
        <w:t>shorter</w:t>
      </w:r>
      <w:r w:rsidR="00D52FD0">
        <w:t xml:space="preserve"> </w:t>
      </w:r>
      <w:r w:rsidR="000A1AAE" w:rsidRPr="00A841AA">
        <w:t>time</w:t>
      </w:r>
      <w:r w:rsidR="00D52FD0">
        <w:t xml:space="preserve"> </w:t>
      </w:r>
      <w:r w:rsidR="000A1AAE" w:rsidRPr="00A841AA">
        <w:t>period;</w:t>
      </w:r>
    </w:p>
    <w:p w14:paraId="7D5A53E7" w14:textId="7BE70E5E" w:rsidR="000A1AAE" w:rsidRPr="00A841AA" w:rsidRDefault="0044637E" w:rsidP="0044637E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A841AA">
        <w:t>•</w:t>
      </w:r>
      <w:r w:rsidRPr="00A841AA">
        <w:tab/>
      </w:r>
      <w:r w:rsidR="000A1AAE" w:rsidRPr="00A841AA">
        <w:t>Set</w:t>
      </w:r>
      <w:r w:rsidR="00D52FD0">
        <w:t xml:space="preserve"> </w:t>
      </w:r>
      <w:r w:rsidR="000A1AAE" w:rsidRPr="00A841AA">
        <w:t>up</w:t>
      </w:r>
      <w:r w:rsidR="00D52FD0">
        <w:t xml:space="preserve"> </w:t>
      </w:r>
      <w:r w:rsidR="000A1AAE" w:rsidRPr="00A841AA">
        <w:t>preventive</w:t>
      </w:r>
      <w:r w:rsidR="00D52FD0">
        <w:t xml:space="preserve"> </w:t>
      </w:r>
      <w:r w:rsidR="000A1AAE" w:rsidRPr="00A841AA">
        <w:t>mechanisms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introduce</w:t>
      </w:r>
      <w:r w:rsidR="00D52FD0">
        <w:t xml:space="preserve"> </w:t>
      </w:r>
      <w:r w:rsidR="000A1AAE" w:rsidRPr="00A841AA">
        <w:t>regulations</w:t>
      </w:r>
      <w:r w:rsidR="00D52FD0">
        <w:t xml:space="preserve"> </w:t>
      </w:r>
      <w:r w:rsidR="000A1AAE" w:rsidRPr="00A841AA">
        <w:t>aimed</w:t>
      </w:r>
      <w:r w:rsidR="00D52FD0">
        <w:t xml:space="preserve"> </w:t>
      </w:r>
      <w:r w:rsidR="000A1AAE" w:rsidRPr="00A841AA">
        <w:t>at</w:t>
      </w:r>
      <w:r w:rsidR="00D52FD0">
        <w:t xml:space="preserve"> </w:t>
      </w:r>
      <w:r w:rsidR="000A1AAE" w:rsidRPr="00A841AA">
        <w:t>safeguarding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interests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vulnerable</w:t>
      </w:r>
      <w:r w:rsidR="00D52FD0">
        <w:t xml:space="preserve"> </w:t>
      </w:r>
      <w:r w:rsidR="000A1AAE" w:rsidRPr="00A841AA">
        <w:t>persons</w:t>
      </w:r>
      <w:r w:rsidR="00D52FD0">
        <w:t xml:space="preserve"> </w:t>
      </w:r>
      <w:r w:rsidR="000A1AAE" w:rsidRPr="00A841AA">
        <w:t>who</w:t>
      </w:r>
      <w:r w:rsidR="00D52FD0">
        <w:t xml:space="preserve"> </w:t>
      </w:r>
      <w:r w:rsidR="000A1AAE" w:rsidRPr="00A841AA">
        <w:t>face</w:t>
      </w:r>
      <w:r w:rsidR="00D52FD0">
        <w:t xml:space="preserve"> </w:t>
      </w:r>
      <w:r w:rsidR="000A1AAE" w:rsidRPr="00A841AA">
        <w:t>greater</w:t>
      </w:r>
      <w:r w:rsidR="00D52FD0">
        <w:t xml:space="preserve"> </w:t>
      </w:r>
      <w:r w:rsidR="000A1AAE" w:rsidRPr="00A841AA">
        <w:t>risks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human</w:t>
      </w:r>
      <w:r w:rsidR="00D52FD0">
        <w:t xml:space="preserve"> </w:t>
      </w:r>
      <w:r w:rsidR="000A1AAE" w:rsidRPr="00A841AA">
        <w:t>trafficking.</w:t>
      </w:r>
    </w:p>
    <w:p w14:paraId="0D51BE75" w14:textId="604616D7" w:rsidR="000A1AAE" w:rsidRPr="00A841AA" w:rsidRDefault="0044637E" w:rsidP="0044637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841AA">
        <w:t>47.</w:t>
      </w:r>
      <w:r w:rsidRPr="00A841AA">
        <w:tab/>
      </w:r>
      <w:r w:rsidR="000A1AAE" w:rsidRPr="00A841AA">
        <w:t>One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top</w:t>
      </w:r>
      <w:r w:rsidR="00D52FD0">
        <w:t xml:space="preserve"> </w:t>
      </w:r>
      <w:r w:rsidR="000A1AAE" w:rsidRPr="00A841AA">
        <w:t>priorities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strategy</w:t>
      </w:r>
      <w:r w:rsidR="00D52FD0">
        <w:t xml:space="preserve"> </w:t>
      </w:r>
      <w:r w:rsidR="000A1AAE" w:rsidRPr="00A841AA">
        <w:t>is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setting</w:t>
      </w:r>
      <w:r w:rsidR="00D52FD0">
        <w:t xml:space="preserve"> </w:t>
      </w:r>
      <w:r w:rsidR="000A1AAE" w:rsidRPr="00A841AA">
        <w:t>up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a</w:t>
      </w:r>
      <w:r w:rsidR="00D52FD0">
        <w:t xml:space="preserve"> </w:t>
      </w:r>
      <w:r w:rsidR="000A1AAE" w:rsidRPr="00A841AA">
        <w:t>permanent</w:t>
      </w:r>
      <w:r w:rsidR="00D52FD0">
        <w:t xml:space="preserve"> </w:t>
      </w:r>
      <w:r w:rsidR="000A1AAE" w:rsidRPr="00A841AA">
        <w:t>structure</w:t>
      </w:r>
      <w:r w:rsidR="00D52FD0">
        <w:t xml:space="preserve"> </w:t>
      </w:r>
      <w:r w:rsidR="000A1AAE" w:rsidRPr="00A841AA">
        <w:t>within</w:t>
      </w:r>
      <w:r w:rsidR="00D52FD0">
        <w:t xml:space="preserve"> </w:t>
      </w:r>
      <w:r w:rsidR="000A1AAE" w:rsidRPr="00A841AA">
        <w:t>government,</w:t>
      </w:r>
      <w:r w:rsidR="00D52FD0">
        <w:t xml:space="preserve"> </w:t>
      </w:r>
      <w:r w:rsidR="000A1AAE" w:rsidRPr="00A841AA">
        <w:t>which</w:t>
      </w:r>
      <w:r w:rsidR="00D52FD0">
        <w:t xml:space="preserve"> </w:t>
      </w:r>
      <w:r w:rsidR="000A1AAE" w:rsidRPr="00A841AA">
        <w:t>shall</w:t>
      </w:r>
      <w:r w:rsidR="00D52FD0">
        <w:t xml:space="preserve"> </w:t>
      </w:r>
      <w:r w:rsidR="000A1AAE" w:rsidRPr="00A841AA">
        <w:t>see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over-all</w:t>
      </w:r>
      <w:r w:rsidR="00D52FD0">
        <w:t xml:space="preserve"> </w:t>
      </w:r>
      <w:r w:rsidR="000A1AAE" w:rsidRPr="00A841AA">
        <w:t>implementation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strategy.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said</w:t>
      </w:r>
      <w:r w:rsidR="00D52FD0">
        <w:t xml:space="preserve"> </w:t>
      </w:r>
      <w:r w:rsidR="000A1AAE" w:rsidRPr="00A841AA">
        <w:t>structure</w:t>
      </w:r>
      <w:r w:rsidR="00D52FD0">
        <w:t xml:space="preserve"> </w:t>
      </w:r>
      <w:r w:rsidR="000A1AAE" w:rsidRPr="00A841AA">
        <w:t>will</w:t>
      </w:r>
      <w:r w:rsidR="00D52FD0">
        <w:t xml:space="preserve"> </w:t>
      </w:r>
      <w:r w:rsidR="000A1AAE" w:rsidRPr="00A841AA">
        <w:t>also</w:t>
      </w:r>
      <w:r w:rsidR="00D52FD0">
        <w:t xml:space="preserve"> </w:t>
      </w:r>
      <w:r w:rsidR="000A1AAE" w:rsidRPr="00A841AA">
        <w:t>coordinate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work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state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non-state</w:t>
      </w:r>
      <w:r w:rsidR="00D52FD0">
        <w:t xml:space="preserve"> </w:t>
      </w:r>
      <w:r w:rsidR="000A1AAE" w:rsidRPr="00A841AA">
        <w:t>entities</w:t>
      </w:r>
      <w:r w:rsidR="00D52FD0">
        <w:t xml:space="preserve"> </w:t>
      </w:r>
      <w:r w:rsidR="000A1AAE" w:rsidRPr="00A841AA">
        <w:t>that</w:t>
      </w:r>
      <w:r w:rsidR="00D52FD0">
        <w:t xml:space="preserve"> </w:t>
      </w:r>
      <w:r w:rsidR="000A1AAE" w:rsidRPr="00A841AA">
        <w:t>are</w:t>
      </w:r>
      <w:r w:rsidR="00D52FD0">
        <w:t xml:space="preserve"> </w:t>
      </w:r>
      <w:r w:rsidR="000A1AAE" w:rsidRPr="00A841AA">
        <w:t>already</w:t>
      </w:r>
      <w:r w:rsidR="00D52FD0">
        <w:t xml:space="preserve"> </w:t>
      </w:r>
      <w:r w:rsidR="000A1AAE" w:rsidRPr="00A841AA">
        <w:t>part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Government</w:t>
      </w:r>
      <w:r w:rsidR="00F14DA3">
        <w:t>’</w:t>
      </w:r>
      <w:r w:rsidR="000A1AAE" w:rsidRPr="00A841AA">
        <w:t>s</w:t>
      </w:r>
      <w:r w:rsidR="00D52FD0">
        <w:t xml:space="preserve"> </w:t>
      </w:r>
      <w:r w:rsidR="000A1AAE" w:rsidRPr="00A841AA">
        <w:t>existing</w:t>
      </w:r>
      <w:r w:rsidR="00D52FD0">
        <w:t xml:space="preserve"> </w:t>
      </w:r>
      <w:r w:rsidR="000A1AAE" w:rsidRPr="00A841AA">
        <w:t>task</w:t>
      </w:r>
      <w:r w:rsidR="00D52FD0">
        <w:t xml:space="preserve"> </w:t>
      </w:r>
      <w:r w:rsidR="000A1AAE" w:rsidRPr="00A841AA">
        <w:t>force</w:t>
      </w:r>
      <w:r w:rsidR="00D52FD0">
        <w:t xml:space="preserve"> </w:t>
      </w:r>
      <w:r w:rsidR="000A1AAE" w:rsidRPr="00A841AA">
        <w:t>on</w:t>
      </w:r>
      <w:r w:rsidR="00D52FD0">
        <w:t xml:space="preserve"> </w:t>
      </w:r>
      <w:r w:rsidR="000A1AAE" w:rsidRPr="00A841AA">
        <w:t>trafficking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human</w:t>
      </w:r>
      <w:r w:rsidR="00D52FD0">
        <w:t xml:space="preserve"> </w:t>
      </w:r>
      <w:r w:rsidR="000A1AAE" w:rsidRPr="00A841AA">
        <w:t>beings</w:t>
      </w:r>
      <w:r w:rsidR="00D52FD0">
        <w:t xml:space="preserve"> </w:t>
      </w:r>
      <w:r w:rsidR="000A1AAE" w:rsidRPr="00A841AA">
        <w:t>within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Ministry</w:t>
      </w:r>
      <w:r w:rsidR="00D52FD0">
        <w:t xml:space="preserve"> </w:t>
      </w:r>
      <w:r w:rsidR="000A1AAE" w:rsidRPr="00A841AA">
        <w:t>for</w:t>
      </w:r>
      <w:r w:rsidR="00D52FD0">
        <w:t xml:space="preserve"> </w:t>
      </w:r>
      <w:r w:rsidR="000A1AAE" w:rsidRPr="00A841AA">
        <w:t>Home</w:t>
      </w:r>
      <w:r w:rsidR="00D52FD0">
        <w:t xml:space="preserve"> </w:t>
      </w:r>
      <w:r w:rsidR="000A1AAE" w:rsidRPr="00A841AA">
        <w:t>Affairs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National</w:t>
      </w:r>
      <w:r w:rsidR="00D52FD0">
        <w:t xml:space="preserve"> </w:t>
      </w:r>
      <w:r w:rsidR="000A1AAE" w:rsidRPr="00A841AA">
        <w:t>Security,</w:t>
      </w:r>
      <w:r w:rsidR="00D52FD0">
        <w:t xml:space="preserve"> </w:t>
      </w:r>
      <w:r w:rsidR="000A1AAE" w:rsidRPr="00A841AA">
        <w:t>including</w:t>
      </w:r>
      <w:r w:rsidR="00D52FD0">
        <w:t xml:space="preserve"> </w:t>
      </w:r>
      <w:r w:rsidR="000A1AAE" w:rsidRPr="00A841AA">
        <w:t>social</w:t>
      </w:r>
      <w:r w:rsidR="00D52FD0">
        <w:t xml:space="preserve"> </w:t>
      </w:r>
      <w:r w:rsidR="000A1AAE" w:rsidRPr="00A841AA">
        <w:t>welfare,</w:t>
      </w:r>
      <w:r w:rsidR="00D52FD0">
        <w:t xml:space="preserve"> </w:t>
      </w:r>
      <w:r w:rsidR="000A1AAE" w:rsidRPr="00A841AA">
        <w:t>immigration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employment</w:t>
      </w:r>
      <w:r w:rsidR="00D52FD0">
        <w:t xml:space="preserve"> </w:t>
      </w:r>
      <w:r w:rsidR="000A1AAE" w:rsidRPr="00A841AA">
        <w:t>agencies,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Malta</w:t>
      </w:r>
      <w:r w:rsidR="00D52FD0">
        <w:t xml:space="preserve"> </w:t>
      </w:r>
      <w:r w:rsidR="000A1AAE" w:rsidRPr="00A841AA">
        <w:t>Police</w:t>
      </w:r>
      <w:r w:rsidR="00D52FD0">
        <w:t xml:space="preserve"> </w:t>
      </w:r>
      <w:r w:rsidR="000A1AAE" w:rsidRPr="00A841AA">
        <w:t>Force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civil</w:t>
      </w:r>
      <w:r w:rsidR="00D52FD0">
        <w:t xml:space="preserve"> </w:t>
      </w:r>
      <w:r w:rsidR="000A1AAE" w:rsidRPr="00A841AA">
        <w:t>society.</w:t>
      </w:r>
    </w:p>
    <w:p w14:paraId="14044A86" w14:textId="5CDB3326" w:rsidR="000A1AAE" w:rsidRPr="00A841AA" w:rsidRDefault="0044637E" w:rsidP="0044637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841AA">
        <w:t>48.</w:t>
      </w:r>
      <w:r w:rsidRPr="00A841AA">
        <w:tab/>
      </w:r>
      <w:r w:rsidR="000A1AAE" w:rsidRPr="00A841AA">
        <w:t>As</w:t>
      </w:r>
      <w:r w:rsidR="00D52FD0">
        <w:t xml:space="preserve"> </w:t>
      </w:r>
      <w:r w:rsidR="000A1AAE" w:rsidRPr="00A841AA">
        <w:t>part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Action</w:t>
      </w:r>
      <w:r w:rsidR="00D52FD0">
        <w:t xml:space="preserve"> </w:t>
      </w:r>
      <w:r w:rsidR="000A1AAE" w:rsidRPr="00A841AA">
        <w:t>Plan</w:t>
      </w:r>
      <w:r w:rsidR="00D52FD0">
        <w:t xml:space="preserve"> </w:t>
      </w:r>
      <w:r w:rsidR="000A1AAE" w:rsidRPr="00A841AA">
        <w:t>January</w:t>
      </w:r>
      <w:r w:rsidR="00D52FD0">
        <w:t xml:space="preserve"> </w:t>
      </w:r>
      <w:r w:rsidR="000A1AAE" w:rsidRPr="00A841AA">
        <w:t>2017</w:t>
      </w:r>
      <w:r w:rsidR="00D52FD0">
        <w:t xml:space="preserve"> </w:t>
      </w:r>
      <w:r w:rsidR="000A1AAE" w:rsidRPr="00A841AA">
        <w:t>–</w:t>
      </w:r>
      <w:r w:rsidR="00D52FD0">
        <w:t xml:space="preserve"> </w:t>
      </w:r>
      <w:r w:rsidR="000A1AAE" w:rsidRPr="00A841AA">
        <w:t>December</w:t>
      </w:r>
      <w:r w:rsidR="00D52FD0">
        <w:t xml:space="preserve"> </w:t>
      </w:r>
      <w:r w:rsidR="000A1AAE" w:rsidRPr="00A841AA">
        <w:t>2019,</w:t>
      </w:r>
      <w:r w:rsidR="00D52FD0">
        <w:t xml:space="preserve"> </w:t>
      </w:r>
      <w:r w:rsidR="000A1AAE" w:rsidRPr="00A841AA">
        <w:t>training</w:t>
      </w:r>
      <w:r w:rsidR="00D52FD0">
        <w:t xml:space="preserve"> </w:t>
      </w:r>
      <w:r w:rsidR="000A1AAE" w:rsidRPr="00A841AA">
        <w:t>was</w:t>
      </w:r>
      <w:r w:rsidR="00D52FD0">
        <w:t xml:space="preserve"> </w:t>
      </w:r>
      <w:r w:rsidR="000A1AAE" w:rsidRPr="00A841AA">
        <w:t>carried</w:t>
      </w:r>
      <w:r w:rsidR="00D52FD0">
        <w:t xml:space="preserve"> </w:t>
      </w:r>
      <w:r w:rsidR="000A1AAE" w:rsidRPr="00A841AA">
        <w:t>out,</w:t>
      </w:r>
      <w:r w:rsidR="00D52FD0">
        <w:t xml:space="preserve"> </w:t>
      </w:r>
      <w:r w:rsidR="000A1AAE" w:rsidRPr="00A841AA">
        <w:t>which</w:t>
      </w:r>
      <w:r w:rsidR="00D52FD0">
        <w:t xml:space="preserve"> </w:t>
      </w:r>
      <w:r w:rsidR="000A1AAE" w:rsidRPr="00A841AA">
        <w:t>was</w:t>
      </w:r>
      <w:r w:rsidR="00D52FD0">
        <w:t xml:space="preserve"> </w:t>
      </w:r>
      <w:r w:rsidR="000A1AAE" w:rsidRPr="00A841AA">
        <w:t>targeted</w:t>
      </w:r>
      <w:r w:rsidR="00D52FD0">
        <w:t xml:space="preserve"> </w:t>
      </w:r>
      <w:r w:rsidR="000A1AAE" w:rsidRPr="00A841AA">
        <w:t>towards</w:t>
      </w:r>
      <w:r w:rsidR="00D52FD0">
        <w:t xml:space="preserve"> </w:t>
      </w:r>
      <w:r w:rsidR="000A1AAE" w:rsidRPr="00A841AA">
        <w:t>a</w:t>
      </w:r>
      <w:r w:rsidR="00D52FD0">
        <w:t xml:space="preserve"> </w:t>
      </w:r>
      <w:r w:rsidR="000A1AAE" w:rsidRPr="00A841AA">
        <w:t>number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stakeholders,</w:t>
      </w:r>
      <w:r w:rsidR="00D52FD0">
        <w:t xml:space="preserve"> </w:t>
      </w:r>
      <w:r w:rsidR="000A1AAE" w:rsidRPr="00A841AA">
        <w:t>including</w:t>
      </w:r>
      <w:r w:rsidR="00D52FD0">
        <w:t xml:space="preserve"> </w:t>
      </w:r>
      <w:r w:rsidR="000A1AAE" w:rsidRPr="00A841AA">
        <w:t>those</w:t>
      </w:r>
      <w:r w:rsidR="00D52FD0">
        <w:t xml:space="preserve"> </w:t>
      </w:r>
      <w:r w:rsidR="000A1AAE" w:rsidRPr="00A841AA">
        <w:t>working</w:t>
      </w:r>
      <w:r w:rsidR="00D52FD0">
        <w:t xml:space="preserve"> </w:t>
      </w:r>
      <w:r w:rsidR="000A1AAE" w:rsidRPr="00A841AA">
        <w:t>with</w:t>
      </w:r>
      <w:r w:rsidR="00D52FD0">
        <w:t xml:space="preserve"> </w:t>
      </w:r>
      <w:r w:rsidR="000A1AAE" w:rsidRPr="00A841AA">
        <w:t>vulnerable</w:t>
      </w:r>
      <w:r w:rsidR="00D52FD0">
        <w:t xml:space="preserve"> </w:t>
      </w:r>
      <w:r w:rsidR="000A1AAE" w:rsidRPr="00A841AA">
        <w:t>persons,</w:t>
      </w:r>
      <w:r w:rsidR="00D52FD0">
        <w:t xml:space="preserve"> </w:t>
      </w:r>
      <w:r w:rsidR="000A1AAE" w:rsidRPr="00A841AA">
        <w:t>such</w:t>
      </w:r>
      <w:r w:rsidR="00D52FD0">
        <w:t xml:space="preserve"> </w:t>
      </w:r>
      <w:r w:rsidR="000A1AAE" w:rsidRPr="00A841AA">
        <w:t>as</w:t>
      </w:r>
      <w:r w:rsidR="00D52FD0">
        <w:t xml:space="preserve"> </w:t>
      </w:r>
      <w:r w:rsidR="000A1AAE" w:rsidRPr="00A841AA">
        <w:t>migrants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accommodation</w:t>
      </w:r>
      <w:r w:rsidR="00D52FD0">
        <w:t xml:space="preserve"> </w:t>
      </w:r>
      <w:r w:rsidR="000A1AAE" w:rsidRPr="00A841AA">
        <w:t>centres.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training</w:t>
      </w:r>
      <w:r w:rsidR="00D52FD0">
        <w:t xml:space="preserve"> </w:t>
      </w:r>
      <w:r w:rsidR="000A1AAE" w:rsidRPr="00A841AA">
        <w:t>also</w:t>
      </w:r>
      <w:r w:rsidR="00D52FD0">
        <w:t xml:space="preserve"> </w:t>
      </w:r>
      <w:r w:rsidR="000A1AAE" w:rsidRPr="00A841AA">
        <w:t>targeted</w:t>
      </w:r>
      <w:r w:rsidR="00D52FD0">
        <w:t xml:space="preserve"> </w:t>
      </w:r>
      <w:r w:rsidR="000A1AAE" w:rsidRPr="00A841AA">
        <w:t>officials</w:t>
      </w:r>
      <w:r w:rsidR="00D52FD0">
        <w:t xml:space="preserve"> </w:t>
      </w:r>
      <w:r w:rsidR="000A1AAE" w:rsidRPr="00A841AA">
        <w:t>from</w:t>
      </w:r>
      <w:r w:rsidR="00D52FD0">
        <w:t xml:space="preserve"> </w:t>
      </w:r>
      <w:r w:rsidR="000A1AAE" w:rsidRPr="00A841AA">
        <w:t>Appoġġ</w:t>
      </w:r>
      <w:r w:rsidR="00D52FD0">
        <w:t xml:space="preserve"> </w:t>
      </w:r>
      <w:r w:rsidR="000A1AAE" w:rsidRPr="00A841AA">
        <w:t>agency</w:t>
      </w:r>
      <w:r w:rsidR="00D52FD0">
        <w:t xml:space="preserve"> </w:t>
      </w:r>
      <w:r w:rsidR="000A1AAE" w:rsidRPr="00A841AA">
        <w:t>who</w:t>
      </w:r>
      <w:r w:rsidR="00D52FD0">
        <w:t xml:space="preserve"> </w:t>
      </w:r>
      <w:r w:rsidR="000A1AAE" w:rsidRPr="00A841AA">
        <w:t>come</w:t>
      </w:r>
      <w:r w:rsidR="00D52FD0">
        <w:t xml:space="preserve"> </w:t>
      </w:r>
      <w:r w:rsidR="000A1AAE" w:rsidRPr="00A841AA">
        <w:t>into</w:t>
      </w:r>
      <w:r w:rsidR="00D52FD0">
        <w:t xml:space="preserve"> </w:t>
      </w:r>
      <w:r w:rsidR="000A1AAE" w:rsidRPr="00A841AA">
        <w:t>regular</w:t>
      </w:r>
      <w:r w:rsidR="00D52FD0">
        <w:t xml:space="preserve"> </w:t>
      </w:r>
      <w:r w:rsidR="000A1AAE" w:rsidRPr="00A841AA">
        <w:t>contact</w:t>
      </w:r>
      <w:r w:rsidR="00D52FD0">
        <w:t xml:space="preserve"> </w:t>
      </w:r>
      <w:r w:rsidR="000A1AAE" w:rsidRPr="00A841AA">
        <w:t>with</w:t>
      </w:r>
      <w:r w:rsidR="00D52FD0">
        <w:t xml:space="preserve"> </w:t>
      </w:r>
      <w:r w:rsidR="000A1AAE" w:rsidRPr="00A841AA">
        <w:t>vulnerable</w:t>
      </w:r>
      <w:r w:rsidR="00D52FD0">
        <w:t xml:space="preserve"> </w:t>
      </w:r>
      <w:r w:rsidR="000A1AAE" w:rsidRPr="00A841AA">
        <w:t>persons.</w:t>
      </w:r>
      <w:r w:rsidR="00D52FD0">
        <w:t xml:space="preserve"> </w:t>
      </w:r>
      <w:r w:rsidR="000A1AAE" w:rsidRPr="00A841AA">
        <w:t>These</w:t>
      </w:r>
      <w:r w:rsidR="00D52FD0">
        <w:t xml:space="preserve"> </w:t>
      </w:r>
      <w:r w:rsidR="000A1AAE" w:rsidRPr="00A841AA">
        <w:t>officials</w:t>
      </w:r>
      <w:r w:rsidR="00D52FD0">
        <w:t xml:space="preserve"> </w:t>
      </w:r>
      <w:r w:rsidR="000A1AAE" w:rsidRPr="00A841AA">
        <w:t>assist</w:t>
      </w:r>
      <w:r w:rsidR="00D52FD0">
        <w:t xml:space="preserve"> </w:t>
      </w:r>
      <w:r w:rsidR="000A1AAE" w:rsidRPr="00A841AA">
        <w:t>potential</w:t>
      </w:r>
      <w:r w:rsidR="00D52FD0">
        <w:t xml:space="preserve"> </w:t>
      </w:r>
      <w:r w:rsidR="000A1AAE" w:rsidRPr="00A841AA">
        <w:t>victims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trafficking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encourage</w:t>
      </w:r>
      <w:r w:rsidR="00D52FD0">
        <w:t xml:space="preserve"> </w:t>
      </w:r>
      <w:r w:rsidR="000A1AAE" w:rsidRPr="00A841AA">
        <w:t>them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report</w:t>
      </w:r>
      <w:r w:rsidR="00D52FD0">
        <w:t xml:space="preserve"> </w:t>
      </w:r>
      <w:r w:rsidR="000A1AAE" w:rsidRPr="00A841AA">
        <w:t>any</w:t>
      </w:r>
      <w:r w:rsidR="00D52FD0">
        <w:t xml:space="preserve"> </w:t>
      </w:r>
      <w:r w:rsidR="000A1AAE" w:rsidRPr="00A841AA">
        <w:t>offences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Police</w:t>
      </w:r>
      <w:r w:rsidR="00D52FD0">
        <w:t xml:space="preserve"> </w:t>
      </w:r>
      <w:r w:rsidR="000A1AAE" w:rsidRPr="00A841AA">
        <w:t>for</w:t>
      </w:r>
      <w:r w:rsidR="00D52FD0">
        <w:t xml:space="preserve"> </w:t>
      </w:r>
      <w:r w:rsidR="000A1AAE" w:rsidRPr="00A841AA">
        <w:t>perpetrators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be</w:t>
      </w:r>
      <w:r w:rsidR="00D52FD0">
        <w:t xml:space="preserve"> </w:t>
      </w:r>
      <w:r w:rsidR="000A1AAE" w:rsidRPr="00A841AA">
        <w:t>investigated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prosecuted.</w:t>
      </w:r>
    </w:p>
    <w:p w14:paraId="03ABBD1E" w14:textId="630BF5A2" w:rsidR="000A1AAE" w:rsidRPr="00A841AA" w:rsidRDefault="0044637E" w:rsidP="0044637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841AA">
        <w:t>49.</w:t>
      </w:r>
      <w:r w:rsidRPr="00A841AA">
        <w:tab/>
      </w:r>
      <w:r w:rsidR="000A1AAE" w:rsidRPr="00A841AA">
        <w:t>To</w:t>
      </w:r>
      <w:r w:rsidR="00D52FD0">
        <w:t xml:space="preserve"> </w:t>
      </w:r>
      <w:r w:rsidR="000A1AAE" w:rsidRPr="00A841AA">
        <w:t>ensure</w:t>
      </w:r>
      <w:r w:rsidR="00D52FD0">
        <w:t xml:space="preserve"> </w:t>
      </w:r>
      <w:r w:rsidR="000A1AAE" w:rsidRPr="00A841AA">
        <w:t>that</w:t>
      </w:r>
      <w:r w:rsidR="00D52FD0">
        <w:t xml:space="preserve"> </w:t>
      </w:r>
      <w:r w:rsidR="000A1AAE" w:rsidRPr="00A841AA">
        <w:t>its</w:t>
      </w:r>
      <w:r w:rsidR="00D52FD0">
        <w:t xml:space="preserve"> </w:t>
      </w:r>
      <w:r w:rsidR="000A1AAE" w:rsidRPr="00A841AA">
        <w:t>nationals</w:t>
      </w:r>
      <w:r w:rsidR="00D52FD0">
        <w:t xml:space="preserve"> </w:t>
      </w:r>
      <w:r w:rsidR="000A1AAE" w:rsidRPr="00A841AA">
        <w:t>who</w:t>
      </w:r>
      <w:r w:rsidR="00D52FD0">
        <w:t xml:space="preserve"> </w:t>
      </w:r>
      <w:r w:rsidR="000A1AAE" w:rsidRPr="00A841AA">
        <w:t>are</w:t>
      </w:r>
      <w:r w:rsidR="00D52FD0">
        <w:t xml:space="preserve"> </w:t>
      </w:r>
      <w:r w:rsidR="000A1AAE" w:rsidRPr="00A841AA">
        <w:t>deployed</w:t>
      </w:r>
      <w:r w:rsidR="00D52FD0">
        <w:t xml:space="preserve"> </w:t>
      </w:r>
      <w:r w:rsidR="000A1AAE" w:rsidRPr="00A841AA">
        <w:t>abroad</w:t>
      </w:r>
      <w:r w:rsidR="00D52FD0">
        <w:t xml:space="preserve"> </w:t>
      </w:r>
      <w:r w:rsidR="000A1AAE" w:rsidRPr="00A841AA">
        <w:t>as</w:t>
      </w:r>
      <w:r w:rsidR="00D52FD0">
        <w:t xml:space="preserve"> </w:t>
      </w:r>
      <w:r w:rsidR="000A1AAE" w:rsidRPr="00A841AA">
        <w:t>diplomats</w:t>
      </w:r>
      <w:r w:rsidR="00D52FD0">
        <w:t xml:space="preserve"> </w:t>
      </w:r>
      <w:r w:rsidR="000A1AAE" w:rsidRPr="00A841AA">
        <w:t>are</w:t>
      </w:r>
      <w:r w:rsidR="00D52FD0">
        <w:t xml:space="preserve"> </w:t>
      </w:r>
      <w:r w:rsidR="000A1AAE" w:rsidRPr="00A841AA">
        <w:t>aware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what</w:t>
      </w:r>
      <w:r w:rsidR="00D52FD0">
        <w:t xml:space="preserve"> </w:t>
      </w:r>
      <w:r w:rsidR="000A1AAE" w:rsidRPr="00A841AA">
        <w:t>human</w:t>
      </w:r>
      <w:r w:rsidR="00D52FD0">
        <w:t xml:space="preserve"> </w:t>
      </w:r>
      <w:r w:rsidR="000A1AAE" w:rsidRPr="00A841AA">
        <w:t>trafficking</w:t>
      </w:r>
      <w:r w:rsidR="00D52FD0">
        <w:t xml:space="preserve"> </w:t>
      </w:r>
      <w:r w:rsidR="000A1AAE" w:rsidRPr="00A841AA">
        <w:t>is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what</w:t>
      </w:r>
      <w:r w:rsidR="00D52FD0">
        <w:t xml:space="preserve"> </w:t>
      </w:r>
      <w:r w:rsidR="000A1AAE" w:rsidRPr="00A841AA">
        <w:t>it</w:t>
      </w:r>
      <w:r w:rsidR="00D52FD0">
        <w:t xml:space="preserve"> </w:t>
      </w:r>
      <w:r w:rsidR="000A1AAE" w:rsidRPr="00A841AA">
        <w:t>involves,</w:t>
      </w:r>
      <w:r w:rsidR="00D52FD0">
        <w:t xml:space="preserve"> </w:t>
      </w:r>
      <w:r w:rsidR="000A1AAE" w:rsidRPr="00A841AA">
        <w:t>a</w:t>
      </w:r>
      <w:r w:rsidR="00D52FD0">
        <w:t xml:space="preserve"> </w:t>
      </w:r>
      <w:r w:rsidR="000A1AAE" w:rsidRPr="00A841AA">
        <w:t>one</w:t>
      </w:r>
      <w:r w:rsidR="00D52FD0">
        <w:t xml:space="preserve"> </w:t>
      </w:r>
      <w:r w:rsidR="000A1AAE" w:rsidRPr="00A841AA">
        <w:t>half-day</w:t>
      </w:r>
      <w:r w:rsidR="00D52FD0">
        <w:t xml:space="preserve"> </w:t>
      </w:r>
      <w:r w:rsidR="000A1AAE" w:rsidRPr="00A841AA">
        <w:t>training</w:t>
      </w:r>
      <w:r w:rsidR="00D52FD0">
        <w:t xml:space="preserve"> </w:t>
      </w:r>
      <w:r w:rsidR="000A1AAE" w:rsidRPr="00A841AA">
        <w:t>event</w:t>
      </w:r>
      <w:r w:rsidR="00D52FD0">
        <w:t xml:space="preserve"> </w:t>
      </w:r>
      <w:r w:rsidR="000A1AAE" w:rsidRPr="00A841AA">
        <w:t>was</w:t>
      </w:r>
      <w:r w:rsidR="00D52FD0">
        <w:t xml:space="preserve"> </w:t>
      </w:r>
      <w:r w:rsidR="000A1AAE" w:rsidRPr="00A841AA">
        <w:t>held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July</w:t>
      </w:r>
      <w:r w:rsidR="00D52FD0">
        <w:t xml:space="preserve"> </w:t>
      </w:r>
      <w:r w:rsidR="000A1AAE" w:rsidRPr="00A841AA">
        <w:t>2015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was</w:t>
      </w:r>
      <w:r w:rsidR="00D52FD0">
        <w:t xml:space="preserve"> </w:t>
      </w:r>
      <w:r w:rsidR="000A1AAE" w:rsidRPr="00A841AA">
        <w:t>dedicated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150</w:t>
      </w:r>
      <w:r w:rsidR="00D52FD0">
        <w:t xml:space="preserve"> </w:t>
      </w:r>
      <w:r w:rsidR="000A1AAE" w:rsidRPr="00A841AA">
        <w:t>Ambassadors,</w:t>
      </w:r>
      <w:r w:rsidR="00D52FD0">
        <w:t xml:space="preserve"> </w:t>
      </w:r>
      <w:r w:rsidR="000A1AAE" w:rsidRPr="00A841AA">
        <w:t>Diplomats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Consuls</w:t>
      </w:r>
      <w:r w:rsidR="00D52FD0">
        <w:t xml:space="preserve"> </w:t>
      </w:r>
      <w:r w:rsidR="000A1AAE" w:rsidRPr="00A841AA">
        <w:t>working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Maltese</w:t>
      </w:r>
      <w:r w:rsidR="00D52FD0">
        <w:t xml:space="preserve"> </w:t>
      </w:r>
      <w:r w:rsidR="000A1AAE" w:rsidRPr="00A841AA">
        <w:t>Foreign</w:t>
      </w:r>
      <w:r w:rsidR="00D52FD0">
        <w:t xml:space="preserve"> </w:t>
      </w:r>
      <w:r w:rsidR="000A1AAE" w:rsidRPr="00A841AA">
        <w:t>Representations.</w:t>
      </w:r>
      <w:r w:rsidR="00D52FD0">
        <w:t xml:space="preserve"> </w:t>
      </w:r>
      <w:r w:rsidR="000A1AAE" w:rsidRPr="00A841AA">
        <w:t>This</w:t>
      </w:r>
      <w:r w:rsidR="00D52FD0">
        <w:t xml:space="preserve"> </w:t>
      </w:r>
      <w:r w:rsidR="000A1AAE" w:rsidRPr="00A841AA">
        <w:t>session</w:t>
      </w:r>
      <w:r w:rsidR="00D52FD0">
        <w:t xml:space="preserve"> </w:t>
      </w:r>
      <w:r w:rsidR="000A1AAE" w:rsidRPr="00A841AA">
        <w:t>materialized</w:t>
      </w:r>
      <w:r w:rsidR="00D52FD0">
        <w:t xml:space="preserve"> </w:t>
      </w:r>
      <w:r w:rsidR="000A1AAE" w:rsidRPr="00A841AA">
        <w:t>through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collaboration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Ministry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Foreign</w:t>
      </w:r>
      <w:r w:rsidR="00D52FD0">
        <w:t xml:space="preserve"> </w:t>
      </w:r>
      <w:r w:rsidR="000A1AAE" w:rsidRPr="00A841AA">
        <w:t>Affairs.</w:t>
      </w:r>
      <w:r w:rsidR="00D52FD0">
        <w:t xml:space="preserve"> </w:t>
      </w:r>
      <w:r w:rsidR="000A1AAE" w:rsidRPr="00A841AA">
        <w:t>This</w:t>
      </w:r>
      <w:r w:rsidR="00D52FD0">
        <w:t xml:space="preserve"> </w:t>
      </w:r>
      <w:r w:rsidR="000A1AAE" w:rsidRPr="00A841AA">
        <w:t>training</w:t>
      </w:r>
      <w:r w:rsidR="00D52FD0">
        <w:t xml:space="preserve"> </w:t>
      </w:r>
      <w:r w:rsidR="000A1AAE" w:rsidRPr="00A841AA">
        <w:t>was</w:t>
      </w:r>
      <w:r w:rsidR="00D52FD0">
        <w:t xml:space="preserve"> </w:t>
      </w:r>
      <w:r w:rsidR="000A1AAE" w:rsidRPr="00A841AA">
        <w:t>provided</w:t>
      </w:r>
      <w:r w:rsidR="00D52FD0">
        <w:t xml:space="preserve"> </w:t>
      </w:r>
      <w:r w:rsidR="000A1AAE" w:rsidRPr="00A841AA">
        <w:t>by</w:t>
      </w:r>
      <w:r w:rsidR="00D52FD0">
        <w:t xml:space="preserve"> </w:t>
      </w:r>
      <w:r w:rsidR="000A1AAE" w:rsidRPr="00A841AA">
        <w:t>two</w:t>
      </w:r>
      <w:r w:rsidR="00D52FD0">
        <w:t xml:space="preserve"> </w:t>
      </w:r>
      <w:r w:rsidR="000A1AAE" w:rsidRPr="00A841AA">
        <w:t>IOM</w:t>
      </w:r>
      <w:r w:rsidR="00D52FD0">
        <w:t xml:space="preserve"> </w:t>
      </w:r>
      <w:r w:rsidR="000A1AAE" w:rsidRPr="00A841AA">
        <w:t>foreign</w:t>
      </w:r>
      <w:r w:rsidR="00D52FD0">
        <w:t xml:space="preserve"> </w:t>
      </w:r>
      <w:r w:rsidR="000A1AAE" w:rsidRPr="00A841AA">
        <w:t>experts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participants</w:t>
      </w:r>
      <w:r w:rsidR="00D52FD0">
        <w:t xml:space="preserve"> </w:t>
      </w:r>
      <w:r w:rsidR="000A1AAE" w:rsidRPr="00A841AA">
        <w:t>were</w:t>
      </w:r>
      <w:r w:rsidR="00D52FD0">
        <w:t xml:space="preserve"> </w:t>
      </w:r>
      <w:r w:rsidR="000A1AAE" w:rsidRPr="00A841AA">
        <w:t>briefed</w:t>
      </w:r>
      <w:r w:rsidR="00D52FD0">
        <w:t xml:space="preserve"> </w:t>
      </w:r>
      <w:r w:rsidR="000A1AAE" w:rsidRPr="00A841AA">
        <w:t>about</w:t>
      </w:r>
      <w:r w:rsidR="00D52FD0">
        <w:t xml:space="preserve"> </w:t>
      </w:r>
      <w:r w:rsidR="000A1AAE" w:rsidRPr="00A841AA">
        <w:t>human</w:t>
      </w:r>
      <w:r w:rsidR="00D52FD0">
        <w:t xml:space="preserve"> </w:t>
      </w:r>
      <w:r w:rsidR="000A1AAE" w:rsidRPr="00A841AA">
        <w:t>trafficking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about</w:t>
      </w:r>
      <w:r w:rsidR="00D52FD0">
        <w:t xml:space="preserve"> </w:t>
      </w:r>
      <w:r w:rsidR="000A1AAE" w:rsidRPr="00A841AA">
        <w:t>their</w:t>
      </w:r>
      <w:r w:rsidR="00D52FD0">
        <w:t xml:space="preserve"> </w:t>
      </w:r>
      <w:r w:rsidR="000A1AAE" w:rsidRPr="00A841AA">
        <w:t>role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prevention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phenomenon.</w:t>
      </w:r>
      <w:r w:rsidR="00D52FD0">
        <w:t xml:space="preserve"> </w:t>
      </w:r>
      <w:r w:rsidR="000A1AAE" w:rsidRPr="00A841AA">
        <w:t>As</w:t>
      </w:r>
      <w:r w:rsidR="00D52FD0">
        <w:t xml:space="preserve"> </w:t>
      </w:r>
      <w:r w:rsidR="000A1AAE" w:rsidRPr="00A841AA">
        <w:t>a</w:t>
      </w:r>
      <w:r w:rsidR="00D52FD0">
        <w:t xml:space="preserve"> </w:t>
      </w:r>
      <w:r w:rsidR="000A1AAE" w:rsidRPr="00A841AA">
        <w:t>follow</w:t>
      </w:r>
      <w:r w:rsidR="00D52FD0">
        <w:t xml:space="preserve"> </w:t>
      </w:r>
      <w:r w:rsidR="000A1AAE" w:rsidRPr="00A841AA">
        <w:t>up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training</w:t>
      </w:r>
      <w:r w:rsidR="00D52FD0">
        <w:t xml:space="preserve"> </w:t>
      </w:r>
      <w:r w:rsidR="000A1AAE" w:rsidRPr="00A841AA">
        <w:t>provided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Ambassadors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Diplomats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July</w:t>
      </w:r>
      <w:r w:rsidR="00D52FD0">
        <w:t xml:space="preserve"> </w:t>
      </w:r>
      <w:r w:rsidR="000A1AAE" w:rsidRPr="00A841AA">
        <w:t>2015,</w:t>
      </w:r>
      <w:r w:rsidR="00D52FD0">
        <w:t xml:space="preserve"> </w:t>
      </w:r>
      <w:r w:rsidR="000A1AAE" w:rsidRPr="00A841AA">
        <w:t>information</w:t>
      </w:r>
      <w:r w:rsidR="00D52FD0">
        <w:t xml:space="preserve"> </w:t>
      </w:r>
      <w:r w:rsidR="000A1AAE" w:rsidRPr="00A841AA">
        <w:t>brochures</w:t>
      </w:r>
      <w:r w:rsidR="00D52FD0">
        <w:t xml:space="preserve"> </w:t>
      </w:r>
      <w:r w:rsidR="000A1AAE" w:rsidRPr="00A841AA">
        <w:t>were</w:t>
      </w:r>
      <w:r w:rsidR="00D52FD0">
        <w:t xml:space="preserve"> </w:t>
      </w:r>
      <w:r w:rsidR="000A1AAE" w:rsidRPr="00A841AA">
        <w:t>disseminated</w:t>
      </w:r>
      <w:r w:rsidR="00D52FD0">
        <w:t xml:space="preserve"> </w:t>
      </w:r>
      <w:r w:rsidR="000A1AAE" w:rsidRPr="00A841AA">
        <w:t>amongst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various</w:t>
      </w:r>
      <w:r w:rsidR="00D52FD0">
        <w:t xml:space="preserve"> </w:t>
      </w:r>
      <w:r w:rsidR="000A1AAE" w:rsidRPr="00A841AA">
        <w:t>Maltese</w:t>
      </w:r>
      <w:r w:rsidR="00D52FD0">
        <w:t xml:space="preserve"> </w:t>
      </w:r>
      <w:r w:rsidR="000A1AAE" w:rsidRPr="00A841AA">
        <w:t>Representations</w:t>
      </w:r>
      <w:r w:rsidR="00D52FD0">
        <w:t xml:space="preserve"> </w:t>
      </w:r>
      <w:r w:rsidR="000A1AAE" w:rsidRPr="00A841AA">
        <w:t>abroad</w:t>
      </w:r>
      <w:r w:rsidR="00D52FD0">
        <w:t xml:space="preserve"> </w:t>
      </w:r>
      <w:r w:rsidR="000A1AAE" w:rsidRPr="00A841AA">
        <w:t>namely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China,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Philippines,</w:t>
      </w:r>
      <w:r w:rsidR="00D52FD0">
        <w:t xml:space="preserve"> </w:t>
      </w:r>
      <w:r w:rsidR="000A1AAE" w:rsidRPr="00A841AA">
        <w:t>Algeria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Russia.</w:t>
      </w:r>
      <w:r w:rsidR="00D52FD0">
        <w:t xml:space="preserve"> </w:t>
      </w:r>
      <w:r w:rsidR="000A1AAE" w:rsidRPr="00A841AA">
        <w:t>These</w:t>
      </w:r>
      <w:r w:rsidR="00D52FD0">
        <w:t xml:space="preserve"> </w:t>
      </w:r>
      <w:r w:rsidR="000A1AAE" w:rsidRPr="00A841AA">
        <w:t>brochures</w:t>
      </w:r>
      <w:r w:rsidR="00D52FD0">
        <w:t xml:space="preserve"> </w:t>
      </w:r>
      <w:r w:rsidR="000A1AAE" w:rsidRPr="00A841AA">
        <w:t>were</w:t>
      </w:r>
      <w:r w:rsidR="00D52FD0">
        <w:t xml:space="preserve"> </w:t>
      </w:r>
      <w:r w:rsidR="000A1AAE" w:rsidRPr="00A841AA">
        <w:t>translated</w:t>
      </w:r>
      <w:r w:rsidR="00D52FD0">
        <w:t xml:space="preserve"> </w:t>
      </w:r>
      <w:r w:rsidR="000A1AAE" w:rsidRPr="00A841AA">
        <w:t>into</w:t>
      </w:r>
      <w:r w:rsidR="00D52FD0">
        <w:t xml:space="preserve"> </w:t>
      </w:r>
      <w:r w:rsidR="000A1AAE" w:rsidRPr="00A841AA">
        <w:t>different</w:t>
      </w:r>
      <w:r w:rsidR="00D52FD0">
        <w:t xml:space="preserve"> </w:t>
      </w:r>
      <w:r w:rsidR="000A1AAE" w:rsidRPr="00A841AA">
        <w:t>languages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feature</w:t>
      </w:r>
      <w:r w:rsidR="00D52FD0">
        <w:t xml:space="preserve"> </w:t>
      </w:r>
      <w:r w:rsidR="000A1AAE" w:rsidRPr="00A841AA">
        <w:t>information</w:t>
      </w:r>
      <w:r w:rsidR="00D52FD0">
        <w:t xml:space="preserve"> </w:t>
      </w:r>
      <w:r w:rsidR="000A1AAE" w:rsidRPr="00A841AA">
        <w:t>about</w:t>
      </w:r>
      <w:r w:rsidR="00D52FD0">
        <w:t xml:space="preserve"> </w:t>
      </w:r>
      <w:r w:rsidR="000A1AAE" w:rsidRPr="00A841AA">
        <w:t>regular</w:t>
      </w:r>
      <w:r w:rsidR="00D52FD0">
        <w:t xml:space="preserve"> </w:t>
      </w:r>
      <w:r w:rsidR="000A1AAE" w:rsidRPr="00A841AA">
        <w:t>work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work</w:t>
      </w:r>
      <w:r w:rsidR="00D52FD0">
        <w:t xml:space="preserve"> </w:t>
      </w:r>
      <w:r w:rsidR="000A1AAE" w:rsidRPr="00A841AA">
        <w:t>conditions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Malta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indicators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human</w:t>
      </w:r>
      <w:r w:rsidR="00D52FD0">
        <w:t xml:space="preserve"> </w:t>
      </w:r>
      <w:r w:rsidR="000A1AAE" w:rsidRPr="00A841AA">
        <w:t>trafficking.</w:t>
      </w:r>
      <w:r w:rsidR="00D52FD0">
        <w:t xml:space="preserve"> </w:t>
      </w:r>
      <w:r w:rsidR="000A1AAE" w:rsidRPr="00A841AA">
        <w:t>Police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Appoġġ</w:t>
      </w:r>
      <w:r w:rsidR="00D52FD0">
        <w:t xml:space="preserve"> </w:t>
      </w:r>
      <w:r w:rsidR="000A1AAE" w:rsidRPr="00A841AA">
        <w:t>Agency</w:t>
      </w:r>
      <w:r w:rsidR="00D52FD0">
        <w:t xml:space="preserve"> </w:t>
      </w:r>
      <w:r w:rsidR="000A1AAE" w:rsidRPr="00A841AA">
        <w:t>helpline</w:t>
      </w:r>
      <w:r w:rsidR="00D52FD0">
        <w:t xml:space="preserve"> </w:t>
      </w:r>
      <w:r w:rsidR="000A1AAE" w:rsidRPr="00A841AA">
        <w:t>numbers</w:t>
      </w:r>
      <w:r w:rsidR="00D52FD0">
        <w:t xml:space="preserve"> </w:t>
      </w:r>
      <w:r w:rsidR="000A1AAE" w:rsidRPr="00A841AA">
        <w:t>are</w:t>
      </w:r>
      <w:r w:rsidR="00D52FD0">
        <w:t xml:space="preserve"> </w:t>
      </w:r>
      <w:r w:rsidR="000A1AAE" w:rsidRPr="00A841AA">
        <w:t>also</w:t>
      </w:r>
      <w:r w:rsidR="00D52FD0">
        <w:t xml:space="preserve"> </w:t>
      </w:r>
      <w:r w:rsidR="000A1AAE" w:rsidRPr="00A841AA">
        <w:t>indicated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brochure.</w:t>
      </w:r>
      <w:r w:rsidR="00D52FD0">
        <w:t xml:space="preserve"> </w:t>
      </w:r>
      <w:r w:rsidR="000A1AAE" w:rsidRPr="00A841AA">
        <w:t>This</w:t>
      </w:r>
      <w:r w:rsidR="00D52FD0">
        <w:t xml:space="preserve"> </w:t>
      </w:r>
      <w:r w:rsidR="000A1AAE" w:rsidRPr="00A841AA">
        <w:t>leaflet</w:t>
      </w:r>
      <w:r w:rsidR="00D52FD0">
        <w:t xml:space="preserve"> </w:t>
      </w:r>
      <w:r w:rsidR="000A1AAE" w:rsidRPr="00A841AA">
        <w:t>was</w:t>
      </w:r>
      <w:r w:rsidR="00D52FD0">
        <w:t xml:space="preserve"> </w:t>
      </w:r>
      <w:r w:rsidR="000A1AAE" w:rsidRPr="00A841AA">
        <w:t>drawn</w:t>
      </w:r>
      <w:r w:rsidR="00D52FD0">
        <w:t xml:space="preserve"> </w:t>
      </w:r>
      <w:r w:rsidR="000A1AAE" w:rsidRPr="00A841AA">
        <w:t>up</w:t>
      </w:r>
      <w:r w:rsidR="00D52FD0">
        <w:t xml:space="preserve"> </w:t>
      </w:r>
      <w:r w:rsidR="000A1AAE" w:rsidRPr="00A841AA">
        <w:t>by</w:t>
      </w:r>
      <w:r w:rsidR="00D52FD0">
        <w:t xml:space="preserve"> </w:t>
      </w:r>
      <w:r w:rsidR="000A1AAE" w:rsidRPr="00A841AA">
        <w:t>IOM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consultation</w:t>
      </w:r>
      <w:r w:rsidR="00D52FD0">
        <w:t xml:space="preserve"> </w:t>
      </w:r>
      <w:r w:rsidR="000A1AAE" w:rsidRPr="00A841AA">
        <w:t>with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stakeholders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Ministry</w:t>
      </w:r>
      <w:r w:rsidR="00D52FD0">
        <w:t xml:space="preserve"> </w:t>
      </w:r>
      <w:r w:rsidR="000A1AAE" w:rsidRPr="00A841AA">
        <w:t>for</w:t>
      </w:r>
      <w:r w:rsidR="00D52FD0">
        <w:t xml:space="preserve"> </w:t>
      </w:r>
      <w:r w:rsidR="000A1AAE" w:rsidRPr="00A841AA">
        <w:t>Home</w:t>
      </w:r>
      <w:r w:rsidR="00D52FD0">
        <w:t xml:space="preserve"> </w:t>
      </w:r>
      <w:r w:rsidR="000A1AAE" w:rsidRPr="00A841AA">
        <w:t>Affairs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National</w:t>
      </w:r>
      <w:r w:rsidR="00D52FD0">
        <w:t xml:space="preserve"> </w:t>
      </w:r>
      <w:r w:rsidR="000A1AAE" w:rsidRPr="00A841AA">
        <w:t>Security.</w:t>
      </w:r>
      <w:r w:rsidR="00D52FD0">
        <w:t xml:space="preserve"> </w:t>
      </w:r>
      <w:r w:rsidR="000A1AAE" w:rsidRPr="00A841AA">
        <w:t>It</w:t>
      </w:r>
      <w:r w:rsidR="00D52FD0">
        <w:t xml:space="preserve"> </w:t>
      </w:r>
      <w:r w:rsidR="000A1AAE" w:rsidRPr="00A841AA">
        <w:t>is</w:t>
      </w:r>
      <w:r w:rsidR="00D52FD0">
        <w:t xml:space="preserve"> </w:t>
      </w:r>
      <w:r w:rsidR="000A1AAE" w:rsidRPr="00A841AA">
        <w:t>aimed</w:t>
      </w:r>
      <w:r w:rsidR="00D52FD0">
        <w:t xml:space="preserve"> </w:t>
      </w:r>
      <w:r w:rsidR="000A1AAE" w:rsidRPr="00A841AA">
        <w:t>at</w:t>
      </w:r>
      <w:r w:rsidR="00D52FD0">
        <w:t xml:space="preserve"> </w:t>
      </w:r>
      <w:r w:rsidR="000A1AAE" w:rsidRPr="00A841AA">
        <w:t>providing</w:t>
      </w:r>
      <w:r w:rsidR="00D52FD0">
        <w:t xml:space="preserve"> </w:t>
      </w:r>
      <w:r w:rsidR="000A1AAE" w:rsidRPr="00A841AA">
        <w:t>information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third</w:t>
      </w:r>
      <w:r w:rsidR="00D52FD0">
        <w:t xml:space="preserve"> </w:t>
      </w:r>
      <w:r w:rsidR="000A1AAE" w:rsidRPr="00A841AA">
        <w:t>country</w:t>
      </w:r>
      <w:r w:rsidR="00D52FD0">
        <w:t xml:space="preserve"> </w:t>
      </w:r>
      <w:r w:rsidR="000A1AAE" w:rsidRPr="00A841AA">
        <w:t>nationals</w:t>
      </w:r>
      <w:r w:rsidR="00D52FD0">
        <w:t xml:space="preserve"> </w:t>
      </w:r>
      <w:r w:rsidR="000A1AAE" w:rsidRPr="00A841AA">
        <w:t>who</w:t>
      </w:r>
      <w:r w:rsidR="00D52FD0">
        <w:t xml:space="preserve"> </w:t>
      </w:r>
      <w:r w:rsidR="000A1AAE" w:rsidRPr="00A841AA">
        <w:t>wish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come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Malta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work.</w:t>
      </w:r>
      <w:r w:rsidR="00D52FD0">
        <w:t xml:space="preserve"> </w:t>
      </w:r>
      <w:r w:rsidR="000A1AAE" w:rsidRPr="00A841AA">
        <w:t>This</w:t>
      </w:r>
      <w:r w:rsidR="00D52FD0">
        <w:t xml:space="preserve"> </w:t>
      </w:r>
      <w:r w:rsidR="000A1AAE" w:rsidRPr="00A841AA">
        <w:t>action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part</w:t>
      </w:r>
      <w:r w:rsidR="00D52FD0">
        <w:t xml:space="preserve"> </w:t>
      </w:r>
      <w:r w:rsidR="000A1AAE" w:rsidRPr="00A841AA">
        <w:t>implemented</w:t>
      </w:r>
      <w:r w:rsidR="00D52FD0">
        <w:t xml:space="preserve"> </w:t>
      </w:r>
      <w:r w:rsidR="000A1AAE" w:rsidRPr="00A841AA">
        <w:t>projected</w:t>
      </w:r>
      <w:r w:rsidR="00D52FD0">
        <w:t xml:space="preserve"> </w:t>
      </w:r>
      <w:r w:rsidR="000A1AAE" w:rsidRPr="00A841AA">
        <w:t>measures</w:t>
      </w:r>
      <w:r w:rsidR="00D52FD0">
        <w:t xml:space="preserve"> </w:t>
      </w:r>
      <w:r w:rsidR="000A1AAE" w:rsidRPr="00A841AA">
        <w:t>regarding</w:t>
      </w:r>
      <w:r w:rsidR="00D52FD0">
        <w:t xml:space="preserve"> </w:t>
      </w:r>
      <w:r w:rsidR="000A1AAE" w:rsidRPr="00A841AA">
        <w:t>awareness-raising.</w:t>
      </w:r>
    </w:p>
    <w:p w14:paraId="499DB951" w14:textId="5A96B789" w:rsidR="000E4FD0" w:rsidRDefault="0044637E" w:rsidP="007A0D2F">
      <w:pPr>
        <w:pStyle w:val="ParaNoG"/>
        <w:keepNext/>
        <w:keepLines/>
        <w:numPr>
          <w:ilvl w:val="0"/>
          <w:numId w:val="0"/>
        </w:numPr>
        <w:tabs>
          <w:tab w:val="left" w:pos="0"/>
        </w:tabs>
        <w:ind w:left="1134"/>
      </w:pPr>
      <w:r>
        <w:lastRenderedPageBreak/>
        <w:t>50.</w:t>
      </w:r>
      <w:r>
        <w:tab/>
      </w:r>
      <w:r w:rsidR="000A1AAE" w:rsidRPr="00A841AA">
        <w:t>One</w:t>
      </w:r>
      <w:r w:rsidR="00D52FD0">
        <w:t xml:space="preserve"> </w:t>
      </w:r>
      <w:r w:rsidR="000A1AAE" w:rsidRPr="00A841AA">
        <w:t>important</w:t>
      </w:r>
      <w:r w:rsidR="00D52FD0">
        <w:t xml:space="preserve"> </w:t>
      </w:r>
      <w:r w:rsidR="000A1AAE" w:rsidRPr="00A841AA">
        <w:t>outcome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another</w:t>
      </w:r>
      <w:r w:rsidR="00D52FD0">
        <w:t xml:space="preserve"> </w:t>
      </w:r>
      <w:r w:rsidR="000A1AAE" w:rsidRPr="00A841AA">
        <w:t>training</w:t>
      </w:r>
      <w:r w:rsidR="00D52FD0">
        <w:t xml:space="preserve"> </w:t>
      </w:r>
      <w:r w:rsidR="000A1AAE" w:rsidRPr="00A841AA">
        <w:t>event</w:t>
      </w:r>
      <w:r w:rsidR="00D52FD0">
        <w:t xml:space="preserve"> </w:t>
      </w:r>
      <w:r w:rsidR="000A1AAE" w:rsidRPr="00A841AA">
        <w:t>organised</w:t>
      </w:r>
      <w:r w:rsidR="00D52FD0">
        <w:t xml:space="preserve"> </w:t>
      </w:r>
      <w:r w:rsidR="000A1AAE" w:rsidRPr="00A841AA">
        <w:t>between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Ministry</w:t>
      </w:r>
      <w:r w:rsidR="00D52FD0">
        <w:t xml:space="preserve"> </w:t>
      </w:r>
      <w:r w:rsidR="000A1AAE" w:rsidRPr="00A841AA">
        <w:t>for</w:t>
      </w:r>
      <w:r w:rsidR="00D52FD0">
        <w:t xml:space="preserve"> </w:t>
      </w:r>
      <w:r w:rsidR="000A1AAE" w:rsidRPr="00A841AA">
        <w:t>Home</w:t>
      </w:r>
      <w:r w:rsidR="00D52FD0">
        <w:t xml:space="preserve"> </w:t>
      </w:r>
      <w:r w:rsidR="000A1AAE" w:rsidRPr="00A841AA">
        <w:t>Affairs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IOM</w:t>
      </w:r>
      <w:r w:rsidR="00D52FD0">
        <w:t xml:space="preserve"> </w:t>
      </w:r>
      <w:r w:rsidR="000A1AAE" w:rsidRPr="00A841AA">
        <w:t>was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publication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a</w:t>
      </w:r>
      <w:r w:rsidR="00D52FD0">
        <w:t xml:space="preserve"> </w:t>
      </w:r>
      <w:r w:rsidR="000A1AAE" w:rsidRPr="00A841AA">
        <w:t>list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National</w:t>
      </w:r>
      <w:r w:rsidR="00D52FD0">
        <w:t xml:space="preserve"> </w:t>
      </w:r>
      <w:r w:rsidR="000A1AAE" w:rsidRPr="00A841AA">
        <w:t>Indicators</w:t>
      </w:r>
      <w:r w:rsidR="00D52FD0">
        <w:t xml:space="preserve"> </w:t>
      </w:r>
      <w:r w:rsidR="000A1AAE" w:rsidRPr="00A841AA">
        <w:t>for</w:t>
      </w:r>
      <w:r w:rsidR="00D52FD0">
        <w:t xml:space="preserve"> </w:t>
      </w:r>
      <w:r w:rsidR="000A1AAE" w:rsidRPr="00A841AA">
        <w:t>identifying</w:t>
      </w:r>
      <w:r w:rsidR="00D52FD0">
        <w:t xml:space="preserve"> </w:t>
      </w:r>
      <w:r w:rsidR="000A1AAE" w:rsidRPr="00A841AA">
        <w:t>victims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human</w:t>
      </w:r>
      <w:r w:rsidR="00D52FD0">
        <w:t xml:space="preserve"> </w:t>
      </w:r>
      <w:r w:rsidR="000A1AAE" w:rsidRPr="00A841AA">
        <w:t>trafficking</w:t>
      </w:r>
      <w:r w:rsidR="00D52FD0">
        <w:t xml:space="preserve"> </w:t>
      </w:r>
      <w:r w:rsidR="000A1AAE" w:rsidRPr="00A841AA">
        <w:t>that</w:t>
      </w:r>
      <w:r w:rsidR="00D52FD0">
        <w:t xml:space="preserve"> </w:t>
      </w:r>
      <w:r w:rsidR="000A1AAE" w:rsidRPr="00A841AA">
        <w:t>was</w:t>
      </w:r>
      <w:r w:rsidR="00D52FD0">
        <w:t xml:space="preserve"> </w:t>
      </w:r>
      <w:r w:rsidR="000A1AAE" w:rsidRPr="00A841AA">
        <w:t>disseminated</w:t>
      </w:r>
      <w:r w:rsidR="00D52FD0">
        <w:t xml:space="preserve"> </w:t>
      </w:r>
      <w:r w:rsidR="000A1AAE" w:rsidRPr="00A841AA">
        <w:t>amongst</w:t>
      </w:r>
      <w:r w:rsidR="00D52FD0">
        <w:t xml:space="preserve"> </w:t>
      </w:r>
      <w:r w:rsidR="000A1AAE" w:rsidRPr="00A841AA">
        <w:t>local</w:t>
      </w:r>
      <w:r w:rsidR="00D52FD0">
        <w:t xml:space="preserve"> </w:t>
      </w:r>
      <w:r w:rsidR="000A1AAE" w:rsidRPr="00A841AA">
        <w:t>stakeholders</w:t>
      </w:r>
      <w:r w:rsidR="00D52FD0">
        <w:t xml:space="preserve"> </w:t>
      </w:r>
      <w:r w:rsidR="000A1AAE" w:rsidRPr="00A841AA">
        <w:t>who</w:t>
      </w:r>
      <w:r w:rsidR="00D52FD0">
        <w:t xml:space="preserve"> </w:t>
      </w:r>
      <w:r w:rsidR="000A1AAE" w:rsidRPr="00A841AA">
        <w:t>are</w:t>
      </w:r>
      <w:r w:rsidR="00D52FD0">
        <w:t xml:space="preserve"> </w:t>
      </w:r>
      <w:r w:rsidR="000A1AAE" w:rsidRPr="00A841AA">
        <w:t>considered</w:t>
      </w:r>
      <w:r w:rsidR="00D52FD0">
        <w:t xml:space="preserve"> </w:t>
      </w:r>
      <w:r w:rsidR="000A1AAE" w:rsidRPr="00A841AA">
        <w:t>as</w:t>
      </w:r>
      <w:r w:rsidR="00D52FD0">
        <w:t xml:space="preserve"> </w:t>
      </w:r>
      <w:r w:rsidR="000A1AAE" w:rsidRPr="00A841AA">
        <w:t>working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areas</w:t>
      </w:r>
      <w:r w:rsidR="00D52FD0">
        <w:t xml:space="preserve"> </w:t>
      </w:r>
      <w:r w:rsidR="000A1AAE" w:rsidRPr="00A841AA">
        <w:t>where</w:t>
      </w:r>
      <w:r w:rsidR="00D52FD0">
        <w:t xml:space="preserve"> </w:t>
      </w:r>
      <w:r w:rsidR="000A1AAE" w:rsidRPr="00A841AA">
        <w:t>they</w:t>
      </w:r>
      <w:r w:rsidR="00D52FD0">
        <w:t xml:space="preserve"> </w:t>
      </w:r>
      <w:r w:rsidR="000A1AAE" w:rsidRPr="00A841AA">
        <w:t>may</w:t>
      </w:r>
      <w:r w:rsidR="00D52FD0">
        <w:t xml:space="preserve"> </w:t>
      </w:r>
      <w:r w:rsidR="000A1AAE" w:rsidRPr="00A841AA">
        <w:t>encounter</w:t>
      </w:r>
      <w:r w:rsidR="00D52FD0">
        <w:t xml:space="preserve"> </w:t>
      </w:r>
      <w:r w:rsidR="000A1AAE" w:rsidRPr="00A841AA">
        <w:t>potential</w:t>
      </w:r>
      <w:r w:rsidR="00D52FD0">
        <w:t xml:space="preserve"> </w:t>
      </w:r>
      <w:r w:rsidR="000A1AAE" w:rsidRPr="00A841AA">
        <w:t>victims</w:t>
      </w:r>
      <w:r w:rsidR="00D52FD0">
        <w:t xml:space="preserve"> </w:t>
      </w:r>
      <w:r w:rsidR="000A1AAE" w:rsidRPr="00A841AA">
        <w:t>or</w:t>
      </w:r>
      <w:r w:rsidR="00D52FD0">
        <w:t xml:space="preserve"> </w:t>
      </w:r>
      <w:r w:rsidR="000A1AAE" w:rsidRPr="00A841AA">
        <w:t>victims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human</w:t>
      </w:r>
      <w:r w:rsidR="00D52FD0">
        <w:t xml:space="preserve"> </w:t>
      </w:r>
      <w:r w:rsidR="000A1AAE" w:rsidRPr="00A841AA">
        <w:t>trafficking</w:t>
      </w:r>
      <w:r w:rsidR="00D52FD0">
        <w:t xml:space="preserve"> </w:t>
      </w:r>
      <w:r w:rsidR="000A1AAE" w:rsidRPr="00A841AA">
        <w:t>for</w:t>
      </w:r>
      <w:r w:rsidR="00D52FD0">
        <w:t xml:space="preserve"> </w:t>
      </w:r>
      <w:r w:rsidR="000A1AAE" w:rsidRPr="00A841AA">
        <w:t>adoption.</w:t>
      </w:r>
      <w:r w:rsidR="00D52FD0">
        <w:t xml:space="preserve"> </w:t>
      </w:r>
      <w:r w:rsidR="000A1AAE" w:rsidRPr="00A841AA">
        <w:t>These</w:t>
      </w:r>
      <w:r w:rsidR="00D52FD0">
        <w:t xml:space="preserve"> </w:t>
      </w:r>
      <w:r w:rsidR="000A1AAE" w:rsidRPr="00A841AA">
        <w:t>are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Police</w:t>
      </w:r>
      <w:r w:rsidR="00D52FD0">
        <w:t xml:space="preserve"> </w:t>
      </w:r>
      <w:r w:rsidR="000A1AAE" w:rsidRPr="00A841AA">
        <w:t>(Vice</w:t>
      </w:r>
      <w:r w:rsidR="00D52FD0">
        <w:t xml:space="preserve"> </w:t>
      </w:r>
      <w:r w:rsidR="000A1AAE" w:rsidRPr="00A841AA">
        <w:t>Squad,</w:t>
      </w:r>
      <w:r w:rsidR="00D52FD0">
        <w:t xml:space="preserve"> </w:t>
      </w:r>
      <w:r w:rsidR="000A1AAE" w:rsidRPr="00A841AA">
        <w:t>Immigration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Border</w:t>
      </w:r>
      <w:r w:rsidR="00D52FD0">
        <w:t xml:space="preserve"> </w:t>
      </w:r>
      <w:r w:rsidR="000A1AAE" w:rsidRPr="00A841AA">
        <w:t>Control),</w:t>
      </w:r>
      <w:r w:rsidR="00D52FD0">
        <w:t xml:space="preserve"> </w:t>
      </w:r>
      <w:r w:rsidR="000A1AAE" w:rsidRPr="00A841AA">
        <w:t>Appoġġ</w:t>
      </w:r>
      <w:r w:rsidR="00D52FD0">
        <w:t xml:space="preserve"> </w:t>
      </w:r>
      <w:r w:rsidR="000A1AAE" w:rsidRPr="00A841AA">
        <w:t>Agency,</w:t>
      </w:r>
      <w:r w:rsidR="00D52FD0">
        <w:t xml:space="preserve"> </w:t>
      </w:r>
      <w:r w:rsidR="000A1AAE" w:rsidRPr="00A841AA">
        <w:t>Health,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Agency</w:t>
      </w:r>
      <w:r w:rsidR="00D52FD0">
        <w:t xml:space="preserve"> </w:t>
      </w:r>
      <w:r w:rsidR="000A1AAE" w:rsidRPr="00A841AA">
        <w:t>for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Welfare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Asylum</w:t>
      </w:r>
      <w:r w:rsidR="00D52FD0">
        <w:t xml:space="preserve"> </w:t>
      </w:r>
      <w:r w:rsidR="000A1AAE" w:rsidRPr="00A841AA">
        <w:t>Seekers</w:t>
      </w:r>
      <w:r w:rsidR="00D52FD0">
        <w:t xml:space="preserve"> </w:t>
      </w:r>
      <w:r w:rsidR="000A1AAE" w:rsidRPr="00A841AA">
        <w:t>(AWAS),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office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Commissioner</w:t>
      </w:r>
      <w:r w:rsidR="00D52FD0">
        <w:t xml:space="preserve"> </w:t>
      </w:r>
      <w:r w:rsidR="000A1AAE" w:rsidRPr="00A841AA">
        <w:t>for</w:t>
      </w:r>
      <w:r w:rsidR="00D52FD0">
        <w:t xml:space="preserve"> </w:t>
      </w:r>
      <w:r w:rsidR="000A1AAE" w:rsidRPr="00A841AA">
        <w:t>Refugees,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Employment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Training</w:t>
      </w:r>
      <w:r w:rsidR="00D52FD0">
        <w:t xml:space="preserve"> </w:t>
      </w:r>
      <w:r w:rsidR="000A1AAE" w:rsidRPr="00A841AA">
        <w:t>Corporation</w:t>
      </w:r>
      <w:r w:rsidR="00D52FD0">
        <w:t xml:space="preserve"> </w:t>
      </w:r>
      <w:r w:rsidR="000A1AAE" w:rsidRPr="00A841AA">
        <w:t>(ETC)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Jesuit</w:t>
      </w:r>
      <w:r w:rsidR="00D52FD0">
        <w:t xml:space="preserve"> </w:t>
      </w:r>
      <w:r w:rsidR="000A1AAE" w:rsidRPr="00A841AA">
        <w:t>Refugee</w:t>
      </w:r>
      <w:r w:rsidR="00D52FD0">
        <w:t xml:space="preserve"> </w:t>
      </w:r>
      <w:r w:rsidR="000A1AAE" w:rsidRPr="00A841AA">
        <w:t>Services</w:t>
      </w:r>
      <w:r w:rsidR="00D52FD0">
        <w:t xml:space="preserve"> </w:t>
      </w:r>
      <w:r w:rsidR="000A1AAE" w:rsidRPr="00A841AA">
        <w:t>(JRS)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Caritas</w:t>
      </w:r>
      <w:r w:rsidR="00D52FD0">
        <w:t xml:space="preserve"> </w:t>
      </w:r>
      <w:r w:rsidR="000A1AAE" w:rsidRPr="00A841AA">
        <w:t>Malta,</w:t>
      </w:r>
      <w:r w:rsidR="00D52FD0">
        <w:t xml:space="preserve"> </w:t>
      </w:r>
      <w:r w:rsidR="000A1AAE" w:rsidRPr="00A841AA">
        <w:t>amongst</w:t>
      </w:r>
      <w:r w:rsidR="00D52FD0">
        <w:t xml:space="preserve"> </w:t>
      </w:r>
      <w:r w:rsidR="000A1AAE" w:rsidRPr="00A841AA">
        <w:t>others.</w:t>
      </w:r>
    </w:p>
    <w:p w14:paraId="6BF0C5B8" w14:textId="3C59C2E6" w:rsidR="000E4FD0" w:rsidRDefault="0044637E" w:rsidP="0044637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>
        <w:t>51.</w:t>
      </w:r>
      <w:r>
        <w:tab/>
      </w:r>
      <w:r w:rsidR="000A1AAE" w:rsidRPr="00A841AA">
        <w:t>The</w:t>
      </w:r>
      <w:r w:rsidR="00D52FD0">
        <w:t xml:space="preserve"> </w:t>
      </w:r>
      <w:r w:rsidR="000A1AAE" w:rsidRPr="00A841AA">
        <w:t>list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National</w:t>
      </w:r>
      <w:r w:rsidR="00D52FD0">
        <w:t xml:space="preserve"> </w:t>
      </w:r>
      <w:r w:rsidR="000A1AAE" w:rsidRPr="00A841AA">
        <w:t>Indicators</w:t>
      </w:r>
      <w:r w:rsidR="00D52FD0">
        <w:t xml:space="preserve"> </w:t>
      </w:r>
      <w:r w:rsidR="000A1AAE" w:rsidRPr="00A841AA">
        <w:t>was</w:t>
      </w:r>
      <w:r w:rsidR="00D52FD0">
        <w:t xml:space="preserve"> </w:t>
      </w:r>
      <w:r w:rsidR="000A1AAE" w:rsidRPr="00A841AA">
        <w:t>also</w:t>
      </w:r>
      <w:r w:rsidR="00D52FD0">
        <w:t xml:space="preserve"> </w:t>
      </w:r>
      <w:r w:rsidR="000A1AAE" w:rsidRPr="00A841AA">
        <w:t>disseminated</w:t>
      </w:r>
      <w:r w:rsidR="00D52FD0">
        <w:t xml:space="preserve"> </w:t>
      </w:r>
      <w:r w:rsidR="000A1AAE" w:rsidRPr="00A841AA">
        <w:t>amongst</w:t>
      </w:r>
      <w:r w:rsidR="00D52FD0">
        <w:t xml:space="preserve"> </w:t>
      </w:r>
      <w:r w:rsidR="000A1AAE" w:rsidRPr="00A841AA">
        <w:t>professionals</w:t>
      </w:r>
      <w:r w:rsidR="00D52FD0">
        <w:t xml:space="preserve"> </w:t>
      </w:r>
      <w:r w:rsidR="000A1AAE" w:rsidRPr="00A841AA">
        <w:t>who</w:t>
      </w:r>
      <w:r w:rsidR="00D52FD0">
        <w:t xml:space="preserve"> </w:t>
      </w:r>
      <w:r w:rsidR="000A1AAE" w:rsidRPr="00A841AA">
        <w:t>are</w:t>
      </w:r>
      <w:r w:rsidR="00D52FD0">
        <w:t xml:space="preserve"> </w:t>
      </w:r>
      <w:r w:rsidR="000A1AAE" w:rsidRPr="00A841AA">
        <w:t>considered</w:t>
      </w:r>
      <w:r w:rsidR="00D52FD0">
        <w:t xml:space="preserve"> </w:t>
      </w:r>
      <w:r w:rsidR="000A1AAE" w:rsidRPr="00A841AA">
        <w:t>as</w:t>
      </w:r>
      <w:r w:rsidR="00D52FD0">
        <w:t xml:space="preserve"> </w:t>
      </w:r>
      <w:r w:rsidR="000A1AAE" w:rsidRPr="00A841AA">
        <w:t>front</w:t>
      </w:r>
      <w:r w:rsidR="00D52FD0">
        <w:t xml:space="preserve"> </w:t>
      </w:r>
      <w:r w:rsidR="000A1AAE" w:rsidRPr="00A841AA">
        <w:t>liners,</w:t>
      </w:r>
      <w:r w:rsidR="00D52FD0">
        <w:t xml:space="preserve"> </w:t>
      </w:r>
      <w:r w:rsidR="000A1AAE" w:rsidRPr="00A841AA">
        <w:t>including</w:t>
      </w:r>
      <w:r w:rsidR="00D52FD0">
        <w:t xml:space="preserve"> </w:t>
      </w:r>
      <w:r w:rsidR="000A1AAE" w:rsidRPr="00A841AA">
        <w:t>NGOs</w:t>
      </w:r>
      <w:r w:rsidR="00D52FD0">
        <w:t xml:space="preserve"> </w:t>
      </w:r>
      <w:r w:rsidR="000A1AAE" w:rsidRPr="00A841AA">
        <w:t>who</w:t>
      </w:r>
      <w:r w:rsidR="00D52FD0">
        <w:t xml:space="preserve"> </w:t>
      </w:r>
      <w:r w:rsidR="000A1AAE" w:rsidRPr="00A841AA">
        <w:t>work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detention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open</w:t>
      </w:r>
      <w:r w:rsidR="00D52FD0">
        <w:t xml:space="preserve"> </w:t>
      </w:r>
      <w:r w:rsidR="000A1AAE" w:rsidRPr="00A841AA">
        <w:t>centres,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Case</w:t>
      </w:r>
      <w:r w:rsidR="00D52FD0">
        <w:t xml:space="preserve"> </w:t>
      </w:r>
      <w:r w:rsidR="000A1AAE" w:rsidRPr="00A841AA">
        <w:t>Workers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Officer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Refugee</w:t>
      </w:r>
      <w:r w:rsidR="00D52FD0">
        <w:t xml:space="preserve"> </w:t>
      </w:r>
      <w:r w:rsidR="000A1AAE" w:rsidRPr="00A841AA">
        <w:t>Commissioner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Case</w:t>
      </w:r>
      <w:r w:rsidR="00D52FD0">
        <w:t xml:space="preserve"> </w:t>
      </w:r>
      <w:r w:rsidR="000A1AAE" w:rsidRPr="00A841AA">
        <w:t>Workers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Agency</w:t>
      </w:r>
      <w:r w:rsidR="00D52FD0">
        <w:t xml:space="preserve"> </w:t>
      </w:r>
      <w:r w:rsidR="000A1AAE" w:rsidRPr="00A841AA">
        <w:t>for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Welfare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Asylum</w:t>
      </w:r>
      <w:r w:rsidR="00D52FD0">
        <w:t xml:space="preserve"> </w:t>
      </w:r>
      <w:r w:rsidR="000A1AAE" w:rsidRPr="00A841AA">
        <w:t>Seekers.</w:t>
      </w:r>
      <w:r w:rsidR="00D52FD0">
        <w:t xml:space="preserve"> </w:t>
      </w:r>
      <w:r w:rsidR="000A1AAE" w:rsidRPr="00A841AA">
        <w:t>All</w:t>
      </w:r>
      <w:r w:rsidR="00D52FD0">
        <w:t xml:space="preserve"> </w:t>
      </w:r>
      <w:r w:rsidR="000A1AAE" w:rsidRPr="00A841AA">
        <w:t>these</w:t>
      </w:r>
      <w:r w:rsidR="00D52FD0">
        <w:t xml:space="preserve"> </w:t>
      </w:r>
      <w:r w:rsidR="000A1AAE" w:rsidRPr="00A841AA">
        <w:t>professionals</w:t>
      </w:r>
      <w:r w:rsidR="00D52FD0">
        <w:t xml:space="preserve"> </w:t>
      </w:r>
      <w:r w:rsidR="000A1AAE" w:rsidRPr="00A841AA">
        <w:t>have</w:t>
      </w:r>
      <w:r w:rsidR="00D52FD0">
        <w:t xml:space="preserve"> </w:t>
      </w:r>
      <w:r w:rsidR="000A1AAE" w:rsidRPr="00A841AA">
        <w:t>undertaken</w:t>
      </w:r>
      <w:r w:rsidR="00D52FD0">
        <w:t xml:space="preserve"> </w:t>
      </w:r>
      <w:r w:rsidR="000A1AAE" w:rsidRPr="00A841AA">
        <w:t>training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this</w:t>
      </w:r>
      <w:r w:rsidR="00D52FD0">
        <w:t xml:space="preserve"> </w:t>
      </w:r>
      <w:r w:rsidR="000A1AAE" w:rsidRPr="00A841AA">
        <w:t>regard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were</w:t>
      </w:r>
      <w:r w:rsidR="00D52FD0">
        <w:t xml:space="preserve"> </w:t>
      </w:r>
      <w:r w:rsidR="000A1AAE" w:rsidRPr="00A841AA">
        <w:t>involved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drawing</w:t>
      </w:r>
      <w:r w:rsidR="00D52FD0">
        <w:t xml:space="preserve"> </w:t>
      </w:r>
      <w:r w:rsidR="000A1AAE" w:rsidRPr="00A841AA">
        <w:t>up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Indicators.</w:t>
      </w:r>
      <w:r w:rsidR="00D52FD0">
        <w:t xml:space="preserve"> </w:t>
      </w:r>
      <w:r w:rsidR="000A1AAE" w:rsidRPr="00A841AA">
        <w:t>Furthermore,</w:t>
      </w:r>
      <w:r w:rsidR="00D52FD0">
        <w:t xml:space="preserve"> </w:t>
      </w:r>
      <w:r w:rsidR="000A1AAE" w:rsidRPr="00A841AA">
        <w:t>a</w:t>
      </w:r>
      <w:r w:rsidR="00D52FD0">
        <w:t xml:space="preserve"> </w:t>
      </w:r>
      <w:r w:rsidR="000A1AAE" w:rsidRPr="00A841AA">
        <w:t>Victim</w:t>
      </w:r>
      <w:r w:rsidR="00D52FD0">
        <w:t xml:space="preserve"> </w:t>
      </w:r>
      <w:r w:rsidR="000A1AAE" w:rsidRPr="00A841AA">
        <w:t>Referral</w:t>
      </w:r>
      <w:r w:rsidR="00D52FD0">
        <w:t xml:space="preserve"> </w:t>
      </w:r>
      <w:r w:rsidR="000A1AAE" w:rsidRPr="00A841AA">
        <w:t>Mechanism</w:t>
      </w:r>
      <w:r w:rsidR="00D52FD0">
        <w:t xml:space="preserve"> </w:t>
      </w:r>
      <w:r w:rsidR="000A1AAE" w:rsidRPr="00A841AA">
        <w:t>was</w:t>
      </w:r>
      <w:r w:rsidR="00D52FD0">
        <w:t xml:space="preserve"> </w:t>
      </w:r>
      <w:r w:rsidR="000A1AAE" w:rsidRPr="00A841AA">
        <w:t>mapped</w:t>
      </w:r>
      <w:r w:rsidR="00D52FD0">
        <w:t xml:space="preserve"> </w:t>
      </w:r>
      <w:r w:rsidR="000A1AAE" w:rsidRPr="00A841AA">
        <w:t>out.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consolidate</w:t>
      </w:r>
      <w:r w:rsidR="00D52FD0">
        <w:t xml:space="preserve"> </w:t>
      </w:r>
      <w:r w:rsidR="000A1AAE" w:rsidRPr="00A841AA">
        <w:t>this</w:t>
      </w:r>
      <w:r w:rsidR="00D52FD0">
        <w:t xml:space="preserve"> </w:t>
      </w:r>
      <w:r w:rsidR="000A1AAE" w:rsidRPr="00A841AA">
        <w:t>mechanism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streamline</w:t>
      </w:r>
      <w:r w:rsidR="00D52FD0">
        <w:t xml:space="preserve"> </w:t>
      </w:r>
      <w:r w:rsidR="000A1AAE" w:rsidRPr="00A841AA">
        <w:t>operations</w:t>
      </w:r>
      <w:r w:rsidR="00D52FD0">
        <w:t xml:space="preserve"> </w:t>
      </w:r>
      <w:r w:rsidR="000A1AAE" w:rsidRPr="00A841AA">
        <w:t>between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stakeholders</w:t>
      </w:r>
      <w:r w:rsidR="00D52FD0">
        <w:t xml:space="preserve"> </w:t>
      </w:r>
      <w:r w:rsidR="000A1AAE" w:rsidRPr="00A841AA">
        <w:t>Standard</w:t>
      </w:r>
      <w:r w:rsidR="00D52FD0">
        <w:t xml:space="preserve"> </w:t>
      </w:r>
      <w:r w:rsidR="000A1AAE" w:rsidRPr="00A841AA">
        <w:t>Operating</w:t>
      </w:r>
      <w:r w:rsidR="00D52FD0">
        <w:t xml:space="preserve"> </w:t>
      </w:r>
      <w:r w:rsidR="000A1AAE" w:rsidRPr="00A841AA">
        <w:t>Procedures</w:t>
      </w:r>
      <w:r w:rsidR="00D52FD0">
        <w:t xml:space="preserve"> </w:t>
      </w:r>
      <w:r w:rsidR="000A1AAE" w:rsidRPr="00A841AA">
        <w:t>(SOPs)</w:t>
      </w:r>
      <w:r w:rsidR="00D52FD0">
        <w:t xml:space="preserve"> </w:t>
      </w:r>
      <w:r w:rsidR="000A1AAE" w:rsidRPr="00A841AA">
        <w:t>have</w:t>
      </w:r>
      <w:r w:rsidR="00D52FD0">
        <w:t xml:space="preserve"> </w:t>
      </w:r>
      <w:r w:rsidR="000A1AAE" w:rsidRPr="00A841AA">
        <w:t>been</w:t>
      </w:r>
      <w:r w:rsidR="00D52FD0">
        <w:t xml:space="preserve"> </w:t>
      </w:r>
      <w:r w:rsidR="000A1AAE" w:rsidRPr="00A841AA">
        <w:t>developed.</w:t>
      </w:r>
    </w:p>
    <w:p w14:paraId="66DA11D4" w14:textId="096D2CBB" w:rsidR="000A1AAE" w:rsidRPr="00A841AA" w:rsidRDefault="0044637E" w:rsidP="0044637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841AA">
        <w:t>52.</w:t>
      </w:r>
      <w:r w:rsidRPr="00A841AA">
        <w:tab/>
      </w:r>
      <w:r w:rsidR="000A1AAE" w:rsidRPr="00A841AA">
        <w:t>In</w:t>
      </w:r>
      <w:r w:rsidR="00D52FD0">
        <w:t xml:space="preserve"> </w:t>
      </w:r>
      <w:r w:rsidR="000A1AAE" w:rsidRPr="00A841AA">
        <w:t>2020,</w:t>
      </w:r>
      <w:r w:rsidR="00D52FD0">
        <w:t xml:space="preserve"> </w:t>
      </w:r>
      <w:r w:rsidR="000A1AAE" w:rsidRPr="00A841AA">
        <w:t>AWAS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coordination</w:t>
      </w:r>
      <w:r w:rsidR="00D52FD0">
        <w:t xml:space="preserve"> </w:t>
      </w:r>
      <w:r w:rsidR="000A1AAE" w:rsidRPr="00A841AA">
        <w:t>with</w:t>
      </w:r>
      <w:r w:rsidR="00D52FD0">
        <w:t xml:space="preserve"> </w:t>
      </w:r>
      <w:r w:rsidR="000A1AAE" w:rsidRPr="00A841AA">
        <w:t>EASO,</w:t>
      </w:r>
      <w:r w:rsidR="00D52FD0">
        <w:t xml:space="preserve"> </w:t>
      </w:r>
      <w:r w:rsidR="000A1AAE" w:rsidRPr="00A841AA">
        <w:t>have</w:t>
      </w:r>
      <w:r w:rsidR="00D52FD0">
        <w:t xml:space="preserve"> </w:t>
      </w:r>
      <w:r w:rsidR="000A1AAE" w:rsidRPr="00A841AA">
        <w:t>introduced</w:t>
      </w:r>
      <w:r w:rsidR="00D52FD0">
        <w:t xml:space="preserve"> </w:t>
      </w:r>
      <w:r w:rsidR="000A1AAE" w:rsidRPr="00A841AA">
        <w:t>a</w:t>
      </w:r>
      <w:r w:rsidR="00D52FD0">
        <w:t xml:space="preserve"> </w:t>
      </w:r>
      <w:r w:rsidR="000A1AAE" w:rsidRPr="00A841AA">
        <w:t>new</w:t>
      </w:r>
      <w:r w:rsidR="00D52FD0">
        <w:t xml:space="preserve"> </w:t>
      </w:r>
      <w:r w:rsidR="000A1AAE" w:rsidRPr="00A841AA">
        <w:t>team</w:t>
      </w:r>
      <w:r w:rsidR="00D52FD0">
        <w:t xml:space="preserve"> </w:t>
      </w:r>
      <w:r w:rsidR="000A1AAE" w:rsidRPr="00A841AA">
        <w:t>which</w:t>
      </w:r>
      <w:r w:rsidR="00D52FD0">
        <w:t xml:space="preserve"> </w:t>
      </w:r>
      <w:r w:rsidR="000A1AAE" w:rsidRPr="00A841AA">
        <w:t>is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Vulnerability</w:t>
      </w:r>
      <w:r w:rsidR="00D52FD0">
        <w:t xml:space="preserve"> </w:t>
      </w:r>
      <w:r w:rsidR="000A1AAE" w:rsidRPr="00A841AA">
        <w:t>Assessment</w:t>
      </w:r>
      <w:r w:rsidR="00D52FD0">
        <w:t xml:space="preserve"> </w:t>
      </w:r>
      <w:r w:rsidR="000A1AAE" w:rsidRPr="00A841AA">
        <w:t>Team.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team</w:t>
      </w:r>
      <w:r w:rsidR="00D52FD0">
        <w:t xml:space="preserve"> </w:t>
      </w:r>
      <w:r w:rsidR="000A1AAE" w:rsidRPr="00A841AA">
        <w:t>is</w:t>
      </w:r>
      <w:r w:rsidR="00D52FD0">
        <w:t xml:space="preserve"> </w:t>
      </w:r>
      <w:r w:rsidR="000A1AAE" w:rsidRPr="00A841AA">
        <w:t>assessing</w:t>
      </w:r>
      <w:r w:rsidR="00D52FD0">
        <w:t xml:space="preserve"> </w:t>
      </w:r>
      <w:r w:rsidR="000A1AAE" w:rsidRPr="00A841AA">
        <w:t>potential</w:t>
      </w:r>
      <w:r w:rsidR="00D52FD0">
        <w:t xml:space="preserve"> </w:t>
      </w:r>
      <w:r w:rsidR="000A1AAE" w:rsidRPr="00A841AA">
        <w:t>vulnerable</w:t>
      </w:r>
      <w:r w:rsidR="00D52FD0">
        <w:t xml:space="preserve"> </w:t>
      </w:r>
      <w:r w:rsidR="000A1AAE" w:rsidRPr="00A841AA">
        <w:t>persons</w:t>
      </w:r>
      <w:r w:rsidR="00D52FD0">
        <w:t xml:space="preserve"> </w:t>
      </w:r>
      <w:r w:rsidR="000A1AAE" w:rsidRPr="00A841AA">
        <w:t>who</w:t>
      </w:r>
      <w:r w:rsidR="00D52FD0">
        <w:t xml:space="preserve"> </w:t>
      </w:r>
      <w:r w:rsidR="000A1AAE" w:rsidRPr="00A841AA">
        <w:t>are</w:t>
      </w:r>
      <w:r w:rsidR="00D52FD0">
        <w:t xml:space="preserve"> </w:t>
      </w:r>
      <w:r w:rsidR="000A1AAE" w:rsidRPr="00A841AA">
        <w:t>at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Initial</w:t>
      </w:r>
      <w:r w:rsidR="00D52FD0">
        <w:t xml:space="preserve"> </w:t>
      </w:r>
      <w:r w:rsidR="000A1AAE" w:rsidRPr="00A841AA">
        <w:t>Reception</w:t>
      </w:r>
      <w:r w:rsidR="00D52FD0">
        <w:t xml:space="preserve"> </w:t>
      </w:r>
      <w:r w:rsidR="000A1AAE" w:rsidRPr="00A841AA">
        <w:t>Centre,</w:t>
      </w:r>
      <w:r w:rsidR="00D52FD0">
        <w:t xml:space="preserve"> </w:t>
      </w:r>
      <w:r w:rsidR="000A1AAE" w:rsidRPr="00A841AA">
        <w:t>closed</w:t>
      </w:r>
      <w:r w:rsidR="00D52FD0">
        <w:t xml:space="preserve"> </w:t>
      </w:r>
      <w:r w:rsidR="000A1AAE" w:rsidRPr="00A841AA">
        <w:t>centres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open</w:t>
      </w:r>
      <w:r w:rsidR="00D52FD0">
        <w:t xml:space="preserve"> </w:t>
      </w:r>
      <w:r w:rsidR="000A1AAE" w:rsidRPr="00A841AA">
        <w:t>centres.</w:t>
      </w:r>
      <w:r w:rsidR="00D52FD0">
        <w:t xml:space="preserve"> </w:t>
      </w:r>
      <w:r w:rsidR="000A1AAE" w:rsidRPr="00A841AA">
        <w:t>AWAS</w:t>
      </w:r>
      <w:r w:rsidR="00D52FD0">
        <w:t xml:space="preserve"> </w:t>
      </w:r>
      <w:r w:rsidR="000A1AAE" w:rsidRPr="00A841AA">
        <w:t>already</w:t>
      </w:r>
      <w:r w:rsidR="00D52FD0">
        <w:t xml:space="preserve"> </w:t>
      </w:r>
      <w:r w:rsidR="000A1AAE" w:rsidRPr="00A841AA">
        <w:t>has</w:t>
      </w:r>
      <w:r w:rsidR="00D52FD0">
        <w:t xml:space="preserve"> </w:t>
      </w:r>
      <w:r w:rsidR="000A1AAE" w:rsidRPr="00A841AA">
        <w:t>a</w:t>
      </w:r>
      <w:r w:rsidR="00D52FD0">
        <w:t xml:space="preserve"> </w:t>
      </w:r>
      <w:r w:rsidR="000A1AAE" w:rsidRPr="00A841AA">
        <w:t>history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extensive</w:t>
      </w:r>
      <w:r w:rsidR="00D52FD0">
        <w:t xml:space="preserve"> </w:t>
      </w:r>
      <w:r w:rsidR="000A1AAE" w:rsidRPr="00A841AA">
        <w:t>experience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carrying</w:t>
      </w:r>
      <w:r w:rsidR="00D52FD0">
        <w:t xml:space="preserve"> </w:t>
      </w:r>
      <w:r w:rsidR="000A1AAE" w:rsidRPr="00A841AA">
        <w:t>out</w:t>
      </w:r>
      <w:r w:rsidR="00D52FD0">
        <w:t xml:space="preserve"> </w:t>
      </w:r>
      <w:r w:rsidR="000A1AAE" w:rsidRPr="00A841AA">
        <w:t>vulnerability</w:t>
      </w:r>
      <w:r w:rsidR="00D52FD0">
        <w:t xml:space="preserve"> </w:t>
      </w:r>
      <w:r w:rsidR="000A1AAE" w:rsidRPr="00A841AA">
        <w:t>assessments.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added</w:t>
      </w:r>
      <w:r w:rsidR="00D52FD0">
        <w:t xml:space="preserve"> </w:t>
      </w:r>
      <w:r w:rsidR="000A1AAE" w:rsidRPr="00A841AA">
        <w:t>value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EASO</w:t>
      </w:r>
      <w:r w:rsidR="00F14DA3">
        <w:t>’</w:t>
      </w:r>
      <w:r w:rsidR="000A1AAE" w:rsidRPr="00A841AA">
        <w:t>s</w:t>
      </w:r>
      <w:r w:rsidR="00D52FD0">
        <w:t xml:space="preserve"> </w:t>
      </w:r>
      <w:r w:rsidR="000A1AAE" w:rsidRPr="00A841AA">
        <w:t>support</w:t>
      </w:r>
      <w:r w:rsidR="00D52FD0">
        <w:t xml:space="preserve"> </w:t>
      </w:r>
      <w:r w:rsidR="000A1AAE" w:rsidRPr="00A841AA">
        <w:t>is</w:t>
      </w:r>
      <w:r w:rsidR="00D52FD0">
        <w:t xml:space="preserve"> </w:t>
      </w:r>
      <w:r w:rsidR="000A1AAE" w:rsidRPr="00A841AA">
        <w:t>a</w:t>
      </w:r>
      <w:r w:rsidR="00D52FD0">
        <w:t xml:space="preserve"> </w:t>
      </w:r>
      <w:r w:rsidR="000A1AAE" w:rsidRPr="00A841AA">
        <w:t>structured</w:t>
      </w:r>
      <w:r w:rsidR="00D52FD0">
        <w:t xml:space="preserve"> </w:t>
      </w:r>
      <w:r w:rsidR="000A1AAE" w:rsidRPr="00A841AA">
        <w:t>methodology</w:t>
      </w:r>
      <w:r w:rsidR="00D52FD0">
        <w:t xml:space="preserve"> </w:t>
      </w:r>
      <w:r w:rsidR="000A1AAE" w:rsidRPr="00A841AA">
        <w:t>for</w:t>
      </w:r>
      <w:r w:rsidR="00D52FD0">
        <w:t xml:space="preserve"> </w:t>
      </w:r>
      <w:r w:rsidR="000A1AAE" w:rsidRPr="00A841AA">
        <w:t>vulnerability</w:t>
      </w:r>
      <w:r w:rsidR="00D52FD0">
        <w:t xml:space="preserve"> </w:t>
      </w:r>
      <w:r w:rsidR="000A1AAE" w:rsidRPr="00A841AA">
        <w:t>assessments,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support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carry</w:t>
      </w:r>
      <w:r w:rsidR="00D52FD0">
        <w:t xml:space="preserve"> </w:t>
      </w:r>
      <w:r w:rsidR="000A1AAE" w:rsidRPr="00A841AA">
        <w:t>out</w:t>
      </w:r>
      <w:r w:rsidR="00D52FD0">
        <w:t xml:space="preserve"> </w:t>
      </w:r>
      <w:r w:rsidR="000A1AAE" w:rsidRPr="00A841AA">
        <w:t>more</w:t>
      </w:r>
      <w:r w:rsidR="00D52FD0">
        <w:t xml:space="preserve"> </w:t>
      </w:r>
      <w:r w:rsidR="000A1AAE" w:rsidRPr="00A841AA">
        <w:t>assessments</w:t>
      </w:r>
      <w:r w:rsidR="00D52FD0">
        <w:t xml:space="preserve"> </w:t>
      </w:r>
      <w:r w:rsidR="000A1AAE" w:rsidRPr="00A841AA">
        <w:t>which</w:t>
      </w:r>
      <w:r w:rsidR="00D52FD0">
        <w:t xml:space="preserve"> </w:t>
      </w:r>
      <w:r w:rsidR="000A1AAE" w:rsidRPr="00A841AA">
        <w:t>go</w:t>
      </w:r>
      <w:r w:rsidR="00D52FD0">
        <w:t xml:space="preserve"> </w:t>
      </w:r>
      <w:r w:rsidR="000A1AAE" w:rsidRPr="00A841AA">
        <w:t>beyond</w:t>
      </w:r>
      <w:r w:rsidR="00D52FD0">
        <w:t xml:space="preserve"> </w:t>
      </w:r>
      <w:r w:rsidR="000A1AAE" w:rsidRPr="00A841AA">
        <w:t>AWAS</w:t>
      </w:r>
      <w:r w:rsidR="00F14DA3">
        <w:t>’</w:t>
      </w:r>
      <w:r w:rsidR="00D52FD0">
        <w:t xml:space="preserve"> </w:t>
      </w:r>
      <w:r w:rsidR="000A1AAE" w:rsidRPr="00A841AA">
        <w:t>capacity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do</w:t>
      </w:r>
      <w:r w:rsidR="00D52FD0">
        <w:t xml:space="preserve"> </w:t>
      </w:r>
      <w:r w:rsidR="000A1AAE" w:rsidRPr="00A841AA">
        <w:t>so.</w:t>
      </w:r>
      <w:r w:rsidR="00D52FD0">
        <w:t xml:space="preserve"> </w:t>
      </w:r>
      <w:r w:rsidR="000A1AAE" w:rsidRPr="00A841AA">
        <w:t>This</w:t>
      </w:r>
      <w:r w:rsidR="00D52FD0">
        <w:t xml:space="preserve"> </w:t>
      </w:r>
      <w:r w:rsidR="000A1AAE" w:rsidRPr="00A841AA">
        <w:t>team</w:t>
      </w:r>
      <w:r w:rsidR="00D52FD0">
        <w:t xml:space="preserve"> </w:t>
      </w:r>
      <w:r w:rsidR="000A1AAE" w:rsidRPr="00A841AA">
        <w:t>was</w:t>
      </w:r>
      <w:r w:rsidR="00D52FD0">
        <w:t xml:space="preserve"> </w:t>
      </w:r>
      <w:r w:rsidR="000A1AAE" w:rsidRPr="00A841AA">
        <w:t>set</w:t>
      </w:r>
      <w:r w:rsidR="00D52FD0">
        <w:t xml:space="preserve"> </w:t>
      </w:r>
      <w:r w:rsidR="000A1AAE" w:rsidRPr="00A841AA">
        <w:t>up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ensure</w:t>
      </w:r>
      <w:r w:rsidR="00D52FD0">
        <w:t xml:space="preserve"> </w:t>
      </w:r>
      <w:r w:rsidR="000A1AAE" w:rsidRPr="00A841AA">
        <w:t>that</w:t>
      </w:r>
      <w:r w:rsidR="00D52FD0">
        <w:t xml:space="preserve"> </w:t>
      </w:r>
      <w:r w:rsidR="000A1AAE" w:rsidRPr="00A841AA">
        <w:t>vulnerable</w:t>
      </w:r>
      <w:r w:rsidR="00D52FD0">
        <w:t xml:space="preserve"> </w:t>
      </w:r>
      <w:r w:rsidR="000A1AAE" w:rsidRPr="00A841AA">
        <w:t>adults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centres</w:t>
      </w:r>
      <w:r w:rsidR="00D52FD0">
        <w:t xml:space="preserve"> </w:t>
      </w:r>
      <w:r w:rsidR="000A1AAE" w:rsidRPr="00A841AA">
        <w:t>are</w:t>
      </w:r>
      <w:r w:rsidR="00D52FD0">
        <w:t xml:space="preserve"> </w:t>
      </w:r>
      <w:r w:rsidR="000A1AAE" w:rsidRPr="00A841AA">
        <w:t>assessed</w:t>
      </w:r>
      <w:r w:rsidR="00D52FD0">
        <w:t xml:space="preserve"> </w:t>
      </w:r>
      <w:r w:rsidR="000A1AAE" w:rsidRPr="00A841AA">
        <w:t>accordingly.</w:t>
      </w:r>
      <w:r w:rsidR="00D52FD0">
        <w:t xml:space="preserve"> </w:t>
      </w:r>
      <w:r w:rsidR="000A1AAE" w:rsidRPr="00A841AA">
        <w:t>Referrals</w:t>
      </w:r>
      <w:r w:rsidR="00D52FD0">
        <w:t xml:space="preserve"> </w:t>
      </w:r>
      <w:r w:rsidR="000A1AAE" w:rsidRPr="00A841AA">
        <w:t>can</w:t>
      </w:r>
      <w:r w:rsidR="00D52FD0">
        <w:t xml:space="preserve"> </w:t>
      </w:r>
      <w:r w:rsidR="000A1AAE" w:rsidRPr="00A841AA">
        <w:t>be</w:t>
      </w:r>
      <w:r w:rsidR="00D52FD0">
        <w:t xml:space="preserve"> </w:t>
      </w:r>
      <w:r w:rsidR="000A1AAE" w:rsidRPr="00A841AA">
        <w:t>internal,</w:t>
      </w:r>
      <w:r w:rsidR="00D52FD0">
        <w:t xml:space="preserve"> </w:t>
      </w:r>
      <w:r w:rsidR="000A1AAE" w:rsidRPr="00A841AA">
        <w:t>whereby</w:t>
      </w:r>
      <w:r w:rsidR="00D52FD0">
        <w:t xml:space="preserve"> </w:t>
      </w:r>
      <w:r w:rsidR="000A1AAE" w:rsidRPr="00A841AA">
        <w:t>service</w:t>
      </w:r>
      <w:r w:rsidR="00D52FD0">
        <w:t xml:space="preserve"> </w:t>
      </w:r>
      <w:r w:rsidR="000A1AAE" w:rsidRPr="00A841AA">
        <w:t>users</w:t>
      </w:r>
      <w:r w:rsidR="00D52FD0">
        <w:t xml:space="preserve"> </w:t>
      </w:r>
      <w:r w:rsidR="000A1AAE" w:rsidRPr="00A841AA">
        <w:t>can</w:t>
      </w:r>
      <w:r w:rsidR="00D52FD0">
        <w:t xml:space="preserve"> </w:t>
      </w:r>
      <w:r w:rsidR="000A1AAE" w:rsidRPr="00A841AA">
        <w:t>be</w:t>
      </w:r>
      <w:r w:rsidR="00D52FD0">
        <w:t xml:space="preserve"> </w:t>
      </w:r>
      <w:r w:rsidR="000A1AAE" w:rsidRPr="00A841AA">
        <w:t>referred</w:t>
      </w:r>
      <w:r w:rsidR="00D52FD0">
        <w:t xml:space="preserve"> </w:t>
      </w:r>
      <w:r w:rsidR="000A1AAE" w:rsidRPr="00A841AA">
        <w:t>by</w:t>
      </w:r>
      <w:r w:rsidR="00D52FD0">
        <w:t xml:space="preserve"> </w:t>
      </w:r>
      <w:r w:rsidR="000A1AAE" w:rsidRPr="00A841AA">
        <w:t>all</w:t>
      </w:r>
      <w:r w:rsidR="00D52FD0">
        <w:t xml:space="preserve"> </w:t>
      </w:r>
      <w:r w:rsidR="000A1AAE" w:rsidRPr="00A841AA">
        <w:t>teams</w:t>
      </w:r>
      <w:r w:rsidR="00D52FD0">
        <w:t xml:space="preserve"> </w:t>
      </w:r>
      <w:r w:rsidR="000A1AAE" w:rsidRPr="00A841AA">
        <w:t>within</w:t>
      </w:r>
      <w:r w:rsidR="00D52FD0">
        <w:t xml:space="preserve"> </w:t>
      </w:r>
      <w:r w:rsidR="000A1AAE" w:rsidRPr="00A841AA">
        <w:t>AWAS:</w:t>
      </w:r>
    </w:p>
    <w:p w14:paraId="56EAE973" w14:textId="6E994807" w:rsidR="000A1AAE" w:rsidRPr="00A841AA" w:rsidRDefault="0044637E" w:rsidP="0044637E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  <w:rPr>
          <w:lang w:eastAsia="en-GB"/>
        </w:rPr>
      </w:pPr>
      <w:r w:rsidRPr="00A841AA">
        <w:rPr>
          <w:lang w:eastAsia="en-GB"/>
        </w:rPr>
        <w:t>•</w:t>
      </w:r>
      <w:r w:rsidRPr="00A841AA">
        <w:rPr>
          <w:lang w:eastAsia="en-GB"/>
        </w:rPr>
        <w:tab/>
      </w:r>
      <w:r w:rsidR="00014D84">
        <w:rPr>
          <w:lang w:eastAsia="en-GB"/>
        </w:rPr>
        <w:t xml:space="preserve"> </w:t>
      </w:r>
      <w:r w:rsidR="000A1AAE" w:rsidRPr="00A841AA">
        <w:rPr>
          <w:lang w:eastAsia="en-GB"/>
        </w:rPr>
        <w:t>coordinators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in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the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centres,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care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team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and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therapeutic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team.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All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other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entities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and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NGOs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who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visit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the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closed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and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open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centres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can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also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refer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people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by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using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a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specific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referral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form.</w:t>
      </w:r>
    </w:p>
    <w:p w14:paraId="0D0ACF26" w14:textId="5C03B876" w:rsidR="000A1AAE" w:rsidRPr="00A841AA" w:rsidRDefault="005977C6" w:rsidP="005977C6">
      <w:pPr>
        <w:pStyle w:val="H23G"/>
      </w:pPr>
      <w:r>
        <w:tab/>
      </w:r>
      <w:r>
        <w:tab/>
      </w:r>
      <w:r w:rsidR="000A1AAE" w:rsidRPr="00A841AA">
        <w:t>Statistical</w:t>
      </w:r>
      <w:r w:rsidR="00D52FD0">
        <w:t xml:space="preserve"> </w:t>
      </w:r>
      <w:r w:rsidR="000A1AAE" w:rsidRPr="00A841AA">
        <w:t>information</w:t>
      </w:r>
      <w:r w:rsidR="00D52FD0">
        <w:t xml:space="preserve"> </w:t>
      </w:r>
      <w:r w:rsidR="000A1AAE" w:rsidRPr="00A841AA">
        <w:t>about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victims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human</w:t>
      </w:r>
      <w:r w:rsidR="00D52FD0">
        <w:t xml:space="preserve"> </w:t>
      </w:r>
      <w:r w:rsidR="000A1AAE" w:rsidRPr="00A841AA">
        <w:t>trafficking</w:t>
      </w:r>
      <w:r w:rsidR="00D52FD0">
        <w:t xml:space="preserve"> </w:t>
      </w:r>
      <w:r w:rsidR="000A1AAE" w:rsidRPr="00A841AA">
        <w:t>between</w:t>
      </w:r>
      <w:r w:rsidR="00D52FD0">
        <w:t xml:space="preserve"> </w:t>
      </w:r>
      <w:r w:rsidR="000A1AAE" w:rsidRPr="00A841AA">
        <w:t>2014</w:t>
      </w:r>
      <w:r w:rsidR="00F14DA3">
        <w:t>–</w:t>
      </w:r>
      <w:r w:rsidR="000A1AAE" w:rsidRPr="00A841AA">
        <w:t>2020: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"/>
        <w:gridCol w:w="1009"/>
        <w:gridCol w:w="802"/>
        <w:gridCol w:w="734"/>
        <w:gridCol w:w="1022"/>
        <w:gridCol w:w="1342"/>
        <w:gridCol w:w="1647"/>
      </w:tblGrid>
      <w:tr w:rsidR="005977C6" w:rsidRPr="005977C6" w14:paraId="1B80521E" w14:textId="77777777" w:rsidTr="005977C6">
        <w:trPr>
          <w:tblHeader/>
        </w:trPr>
        <w:tc>
          <w:tcPr>
            <w:tcW w:w="81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75C53D4A" w14:textId="77777777" w:rsidR="005977C6" w:rsidRPr="005977C6" w:rsidRDefault="005977C6" w:rsidP="005977C6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</w:rPr>
            </w:pPr>
            <w:r w:rsidRPr="005977C6">
              <w:rPr>
                <w:i/>
                <w:sz w:val="16"/>
              </w:rPr>
              <w:t>Victims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2ACD32E6" w14:textId="77777777" w:rsidR="005977C6" w:rsidRPr="005977C6" w:rsidRDefault="005977C6" w:rsidP="005977C6">
            <w:pPr>
              <w:suppressAutoHyphens w:val="0"/>
              <w:spacing w:before="80" w:after="80" w:line="200" w:lineRule="exact"/>
              <w:ind w:right="113"/>
              <w:jc w:val="right"/>
              <w:rPr>
                <w:i/>
                <w:sz w:val="16"/>
              </w:rPr>
            </w:pPr>
            <w:r w:rsidRPr="005977C6">
              <w:rPr>
                <w:i/>
                <w:sz w:val="16"/>
              </w:rPr>
              <w:t>Formally Identified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1D267481" w14:textId="77777777" w:rsidR="005977C6" w:rsidRPr="005977C6" w:rsidRDefault="005977C6" w:rsidP="005977C6">
            <w:pPr>
              <w:suppressAutoHyphens w:val="0"/>
              <w:spacing w:before="80" w:after="80" w:line="200" w:lineRule="exact"/>
              <w:ind w:right="113"/>
              <w:jc w:val="right"/>
              <w:rPr>
                <w:i/>
                <w:sz w:val="16"/>
              </w:rPr>
            </w:pPr>
            <w:r w:rsidRPr="005977C6">
              <w:rPr>
                <w:i/>
                <w:sz w:val="16"/>
              </w:rPr>
              <w:t>Female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67502F42" w14:textId="77777777" w:rsidR="005977C6" w:rsidRPr="005977C6" w:rsidRDefault="005977C6" w:rsidP="005977C6">
            <w:pPr>
              <w:suppressAutoHyphens w:val="0"/>
              <w:spacing w:before="80" w:after="80" w:line="200" w:lineRule="exact"/>
              <w:ind w:right="113"/>
              <w:jc w:val="right"/>
              <w:rPr>
                <w:i/>
                <w:sz w:val="16"/>
              </w:rPr>
            </w:pPr>
            <w:r w:rsidRPr="005977C6">
              <w:rPr>
                <w:i/>
                <w:sz w:val="16"/>
              </w:rPr>
              <w:t>Male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0A31F23D" w14:textId="77777777" w:rsidR="005977C6" w:rsidRPr="005977C6" w:rsidRDefault="005977C6" w:rsidP="005977C6">
            <w:pPr>
              <w:suppressAutoHyphens w:val="0"/>
              <w:spacing w:before="80" w:after="80" w:line="200" w:lineRule="exact"/>
              <w:ind w:right="113"/>
              <w:jc w:val="right"/>
              <w:rPr>
                <w:i/>
                <w:sz w:val="16"/>
              </w:rPr>
            </w:pPr>
            <w:r w:rsidRPr="005977C6">
              <w:rPr>
                <w:i/>
                <w:sz w:val="16"/>
              </w:rPr>
              <w:t>Age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3926B9EB" w14:textId="77777777" w:rsidR="005977C6" w:rsidRPr="005977C6" w:rsidRDefault="005977C6" w:rsidP="005977C6">
            <w:pPr>
              <w:suppressAutoHyphens w:val="0"/>
              <w:spacing w:before="80" w:after="80" w:line="200" w:lineRule="exact"/>
              <w:ind w:right="113"/>
              <w:jc w:val="right"/>
              <w:rPr>
                <w:i/>
                <w:sz w:val="16"/>
              </w:rPr>
            </w:pPr>
            <w:r w:rsidRPr="005977C6">
              <w:rPr>
                <w:i/>
                <w:sz w:val="16"/>
              </w:rPr>
              <w:t>Nationality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1DB74936" w14:textId="77777777" w:rsidR="005977C6" w:rsidRPr="005977C6" w:rsidRDefault="005977C6" w:rsidP="005977C6">
            <w:pPr>
              <w:suppressAutoHyphens w:val="0"/>
              <w:spacing w:before="80" w:after="80" w:line="200" w:lineRule="exact"/>
              <w:ind w:right="113"/>
              <w:jc w:val="right"/>
              <w:rPr>
                <w:i/>
                <w:sz w:val="16"/>
              </w:rPr>
            </w:pPr>
            <w:r w:rsidRPr="005977C6">
              <w:rPr>
                <w:i/>
                <w:sz w:val="16"/>
              </w:rPr>
              <w:t>Exploitation</w:t>
            </w:r>
          </w:p>
        </w:tc>
      </w:tr>
      <w:tr w:rsidR="005977C6" w:rsidRPr="005977C6" w14:paraId="051BFCD7" w14:textId="77777777" w:rsidTr="005977C6">
        <w:tc>
          <w:tcPr>
            <w:tcW w:w="81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hideMark/>
          </w:tcPr>
          <w:p w14:paraId="7DD9496A" w14:textId="77777777" w:rsidR="000A1AAE" w:rsidRPr="005977C6" w:rsidRDefault="000A1AAE" w:rsidP="005977C6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  <w:r w:rsidRPr="005977C6">
              <w:rPr>
                <w:sz w:val="18"/>
              </w:rPr>
              <w:t>2014</w:t>
            </w:r>
          </w:p>
        </w:tc>
        <w:tc>
          <w:tcPr>
            <w:tcW w:w="10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3E25235" w14:textId="77777777" w:rsidR="000A1AAE" w:rsidRPr="005977C6" w:rsidRDefault="000A1AAE" w:rsidP="005977C6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</w:p>
        </w:tc>
        <w:tc>
          <w:tcPr>
            <w:tcW w:w="80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C7887E7" w14:textId="77777777" w:rsidR="000A1AAE" w:rsidRPr="005977C6" w:rsidRDefault="000A1AAE" w:rsidP="005977C6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</w:p>
        </w:tc>
        <w:tc>
          <w:tcPr>
            <w:tcW w:w="7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702A226" w14:textId="77777777" w:rsidR="000A1AAE" w:rsidRPr="005977C6" w:rsidRDefault="000A1AAE" w:rsidP="005977C6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</w:p>
        </w:tc>
        <w:tc>
          <w:tcPr>
            <w:tcW w:w="102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B13881C" w14:textId="77777777" w:rsidR="000A1AAE" w:rsidRPr="005977C6" w:rsidRDefault="000A1AAE" w:rsidP="005977C6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</w:p>
        </w:tc>
        <w:tc>
          <w:tcPr>
            <w:tcW w:w="134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759811F" w14:textId="77777777" w:rsidR="000A1AAE" w:rsidRPr="005977C6" w:rsidRDefault="000A1AAE" w:rsidP="005977C6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</w:p>
        </w:tc>
        <w:tc>
          <w:tcPr>
            <w:tcW w:w="164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FBB7247" w14:textId="77777777" w:rsidR="000A1AAE" w:rsidRPr="005977C6" w:rsidRDefault="000A1AAE" w:rsidP="005977C6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</w:p>
        </w:tc>
      </w:tr>
      <w:tr w:rsidR="000A1AAE" w:rsidRPr="005977C6" w14:paraId="5A2B83F0" w14:textId="77777777" w:rsidTr="005977C6">
        <w:tc>
          <w:tcPr>
            <w:tcW w:w="814" w:type="dxa"/>
            <w:tcBorders>
              <w:top w:val="single" w:sz="4" w:space="0" w:color="auto"/>
            </w:tcBorders>
            <w:shd w:val="clear" w:color="auto" w:fill="auto"/>
          </w:tcPr>
          <w:p w14:paraId="1DBF7F14" w14:textId="77777777" w:rsidR="000A1AAE" w:rsidRPr="005977C6" w:rsidRDefault="000A1AAE" w:rsidP="005977C6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567AD3DE" w14:textId="77777777" w:rsidR="000A1AAE" w:rsidRPr="005977C6" w:rsidRDefault="000A1AAE" w:rsidP="005977C6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5977C6">
              <w:rPr>
                <w:sz w:val="18"/>
              </w:rPr>
              <w:t>17</w:t>
            </w:r>
          </w:p>
        </w:tc>
        <w:tc>
          <w:tcPr>
            <w:tcW w:w="802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411ECEEE" w14:textId="77777777" w:rsidR="000A1AAE" w:rsidRPr="005977C6" w:rsidRDefault="000A1AAE" w:rsidP="005977C6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5977C6">
              <w:rPr>
                <w:sz w:val="18"/>
              </w:rPr>
              <w:t>3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55F54DC9" w14:textId="77777777" w:rsidR="000A1AAE" w:rsidRPr="005977C6" w:rsidRDefault="000A1AAE" w:rsidP="005977C6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5977C6">
              <w:rPr>
                <w:sz w:val="18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3EB6033E" w14:textId="77777777" w:rsidR="000A1AAE" w:rsidRPr="005977C6" w:rsidRDefault="000A1AAE" w:rsidP="005977C6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5977C6">
              <w:rPr>
                <w:sz w:val="18"/>
              </w:rPr>
              <w:t>adult</w:t>
            </w:r>
          </w:p>
        </w:tc>
        <w:tc>
          <w:tcPr>
            <w:tcW w:w="1342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67A73897" w14:textId="77777777" w:rsidR="000A1AAE" w:rsidRPr="005977C6" w:rsidRDefault="000A1AAE" w:rsidP="005977C6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5977C6">
              <w:rPr>
                <w:sz w:val="18"/>
              </w:rPr>
              <w:t>Chinese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1532D53F" w14:textId="77777777" w:rsidR="000A1AAE" w:rsidRPr="005977C6" w:rsidRDefault="000A1AAE" w:rsidP="005977C6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5977C6">
              <w:rPr>
                <w:sz w:val="18"/>
              </w:rPr>
              <w:t>Sexual</w:t>
            </w:r>
          </w:p>
        </w:tc>
      </w:tr>
      <w:tr w:rsidR="000A1AAE" w:rsidRPr="005977C6" w14:paraId="2D600DC1" w14:textId="77777777" w:rsidTr="005977C6">
        <w:tc>
          <w:tcPr>
            <w:tcW w:w="814" w:type="dxa"/>
            <w:shd w:val="clear" w:color="auto" w:fill="auto"/>
          </w:tcPr>
          <w:p w14:paraId="527174EA" w14:textId="77777777" w:rsidR="000A1AAE" w:rsidRPr="005977C6" w:rsidRDefault="000A1AAE" w:rsidP="005977C6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</w:p>
        </w:tc>
        <w:tc>
          <w:tcPr>
            <w:tcW w:w="1009" w:type="dxa"/>
            <w:shd w:val="clear" w:color="auto" w:fill="auto"/>
            <w:vAlign w:val="bottom"/>
          </w:tcPr>
          <w:p w14:paraId="659F0FF8" w14:textId="77777777" w:rsidR="000A1AAE" w:rsidRPr="005977C6" w:rsidRDefault="000A1AAE" w:rsidP="005977C6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</w:p>
        </w:tc>
        <w:tc>
          <w:tcPr>
            <w:tcW w:w="802" w:type="dxa"/>
            <w:shd w:val="clear" w:color="auto" w:fill="auto"/>
            <w:vAlign w:val="bottom"/>
            <w:hideMark/>
          </w:tcPr>
          <w:p w14:paraId="22348A91" w14:textId="77777777" w:rsidR="000A1AAE" w:rsidRPr="005977C6" w:rsidRDefault="000A1AAE" w:rsidP="005977C6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5977C6">
              <w:rPr>
                <w:sz w:val="18"/>
              </w:rPr>
              <w:t>1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4B49E9D" w14:textId="77777777" w:rsidR="000A1AAE" w:rsidRPr="005977C6" w:rsidRDefault="000A1AAE" w:rsidP="005977C6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5977C6">
              <w:rPr>
                <w:sz w:val="18"/>
              </w:rPr>
              <w:t>0</w:t>
            </w:r>
          </w:p>
        </w:tc>
        <w:tc>
          <w:tcPr>
            <w:tcW w:w="1022" w:type="dxa"/>
            <w:shd w:val="clear" w:color="auto" w:fill="auto"/>
            <w:vAlign w:val="bottom"/>
            <w:hideMark/>
          </w:tcPr>
          <w:p w14:paraId="3035C0E2" w14:textId="77777777" w:rsidR="000A1AAE" w:rsidRPr="005977C6" w:rsidRDefault="000A1AAE" w:rsidP="005977C6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5977C6">
              <w:rPr>
                <w:sz w:val="18"/>
              </w:rPr>
              <w:t>adult</w:t>
            </w:r>
          </w:p>
        </w:tc>
        <w:tc>
          <w:tcPr>
            <w:tcW w:w="1342" w:type="dxa"/>
            <w:shd w:val="clear" w:color="auto" w:fill="auto"/>
            <w:vAlign w:val="bottom"/>
            <w:hideMark/>
          </w:tcPr>
          <w:p w14:paraId="19355B65" w14:textId="77777777" w:rsidR="000A1AAE" w:rsidRPr="005977C6" w:rsidRDefault="000A1AAE" w:rsidP="005977C6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5977C6">
              <w:rPr>
                <w:sz w:val="18"/>
              </w:rPr>
              <w:t>Indonesian</w:t>
            </w:r>
          </w:p>
        </w:tc>
        <w:tc>
          <w:tcPr>
            <w:tcW w:w="1647" w:type="dxa"/>
            <w:shd w:val="clear" w:color="auto" w:fill="auto"/>
            <w:vAlign w:val="bottom"/>
            <w:hideMark/>
          </w:tcPr>
          <w:p w14:paraId="2EFFFB7F" w14:textId="77777777" w:rsidR="000A1AAE" w:rsidRPr="005977C6" w:rsidRDefault="000A1AAE" w:rsidP="005977C6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5977C6">
              <w:rPr>
                <w:sz w:val="18"/>
              </w:rPr>
              <w:t>Labour</w:t>
            </w:r>
          </w:p>
        </w:tc>
      </w:tr>
      <w:tr w:rsidR="000A1AAE" w:rsidRPr="005977C6" w14:paraId="1B17C859" w14:textId="77777777" w:rsidTr="005977C6">
        <w:tc>
          <w:tcPr>
            <w:tcW w:w="814" w:type="dxa"/>
            <w:shd w:val="clear" w:color="auto" w:fill="auto"/>
          </w:tcPr>
          <w:p w14:paraId="58FC7E0D" w14:textId="77777777" w:rsidR="000A1AAE" w:rsidRPr="005977C6" w:rsidRDefault="000A1AAE" w:rsidP="005977C6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</w:p>
        </w:tc>
        <w:tc>
          <w:tcPr>
            <w:tcW w:w="1009" w:type="dxa"/>
            <w:shd w:val="clear" w:color="auto" w:fill="auto"/>
            <w:vAlign w:val="bottom"/>
          </w:tcPr>
          <w:p w14:paraId="697CA9DD" w14:textId="77777777" w:rsidR="000A1AAE" w:rsidRPr="005977C6" w:rsidRDefault="000A1AAE" w:rsidP="005977C6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</w:p>
        </w:tc>
        <w:tc>
          <w:tcPr>
            <w:tcW w:w="802" w:type="dxa"/>
            <w:shd w:val="clear" w:color="auto" w:fill="auto"/>
            <w:vAlign w:val="bottom"/>
            <w:hideMark/>
          </w:tcPr>
          <w:p w14:paraId="6E8D67C3" w14:textId="77777777" w:rsidR="000A1AAE" w:rsidRPr="005977C6" w:rsidRDefault="000A1AAE" w:rsidP="005977C6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5977C6">
              <w:rPr>
                <w:sz w:val="18"/>
              </w:rPr>
              <w:t>0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1D293EF" w14:textId="77777777" w:rsidR="000A1AAE" w:rsidRPr="005977C6" w:rsidRDefault="000A1AAE" w:rsidP="005977C6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5977C6">
              <w:rPr>
                <w:sz w:val="18"/>
              </w:rPr>
              <w:t>1</w:t>
            </w:r>
          </w:p>
        </w:tc>
        <w:tc>
          <w:tcPr>
            <w:tcW w:w="1022" w:type="dxa"/>
            <w:shd w:val="clear" w:color="auto" w:fill="auto"/>
            <w:vAlign w:val="bottom"/>
            <w:hideMark/>
          </w:tcPr>
          <w:p w14:paraId="46820779" w14:textId="77777777" w:rsidR="000A1AAE" w:rsidRPr="005977C6" w:rsidRDefault="000A1AAE" w:rsidP="005977C6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5977C6">
              <w:rPr>
                <w:sz w:val="18"/>
              </w:rPr>
              <w:t>adult</w:t>
            </w:r>
          </w:p>
        </w:tc>
        <w:tc>
          <w:tcPr>
            <w:tcW w:w="1342" w:type="dxa"/>
            <w:shd w:val="clear" w:color="auto" w:fill="auto"/>
            <w:vAlign w:val="bottom"/>
            <w:hideMark/>
          </w:tcPr>
          <w:p w14:paraId="05658A06" w14:textId="77777777" w:rsidR="000A1AAE" w:rsidRPr="005977C6" w:rsidRDefault="000A1AAE" w:rsidP="005977C6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5977C6">
              <w:rPr>
                <w:sz w:val="18"/>
              </w:rPr>
              <w:t>Chinese</w:t>
            </w:r>
          </w:p>
        </w:tc>
        <w:tc>
          <w:tcPr>
            <w:tcW w:w="1647" w:type="dxa"/>
            <w:shd w:val="clear" w:color="auto" w:fill="auto"/>
            <w:vAlign w:val="bottom"/>
            <w:hideMark/>
          </w:tcPr>
          <w:p w14:paraId="236CAC39" w14:textId="77777777" w:rsidR="000A1AAE" w:rsidRPr="005977C6" w:rsidRDefault="000A1AAE" w:rsidP="005977C6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5977C6">
              <w:rPr>
                <w:sz w:val="18"/>
              </w:rPr>
              <w:t>Labour</w:t>
            </w:r>
          </w:p>
        </w:tc>
      </w:tr>
      <w:tr w:rsidR="000A1AAE" w:rsidRPr="005977C6" w14:paraId="6AA6BBE1" w14:textId="77777777" w:rsidTr="005977C6">
        <w:tc>
          <w:tcPr>
            <w:tcW w:w="814" w:type="dxa"/>
            <w:shd w:val="clear" w:color="auto" w:fill="auto"/>
          </w:tcPr>
          <w:p w14:paraId="7A6DB64D" w14:textId="77777777" w:rsidR="000A1AAE" w:rsidRPr="005977C6" w:rsidRDefault="000A1AAE" w:rsidP="005977C6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</w:p>
        </w:tc>
        <w:tc>
          <w:tcPr>
            <w:tcW w:w="1009" w:type="dxa"/>
            <w:shd w:val="clear" w:color="auto" w:fill="auto"/>
            <w:vAlign w:val="bottom"/>
          </w:tcPr>
          <w:p w14:paraId="5DF79C1C" w14:textId="77777777" w:rsidR="000A1AAE" w:rsidRPr="005977C6" w:rsidRDefault="000A1AAE" w:rsidP="005977C6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</w:p>
        </w:tc>
        <w:tc>
          <w:tcPr>
            <w:tcW w:w="802" w:type="dxa"/>
            <w:shd w:val="clear" w:color="auto" w:fill="auto"/>
            <w:vAlign w:val="bottom"/>
            <w:hideMark/>
          </w:tcPr>
          <w:p w14:paraId="7F2CCCFD" w14:textId="77777777" w:rsidR="000A1AAE" w:rsidRPr="005977C6" w:rsidRDefault="000A1AAE" w:rsidP="005977C6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5977C6">
              <w:rPr>
                <w:sz w:val="18"/>
              </w:rPr>
              <w:t>1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4C0F88C" w14:textId="77777777" w:rsidR="000A1AAE" w:rsidRPr="005977C6" w:rsidRDefault="000A1AAE" w:rsidP="005977C6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5977C6">
              <w:rPr>
                <w:sz w:val="18"/>
              </w:rPr>
              <w:t>0</w:t>
            </w:r>
          </w:p>
        </w:tc>
        <w:tc>
          <w:tcPr>
            <w:tcW w:w="1022" w:type="dxa"/>
            <w:shd w:val="clear" w:color="auto" w:fill="auto"/>
            <w:vAlign w:val="bottom"/>
            <w:hideMark/>
          </w:tcPr>
          <w:p w14:paraId="2A0C0FC4" w14:textId="77777777" w:rsidR="000A1AAE" w:rsidRPr="005977C6" w:rsidRDefault="000A1AAE" w:rsidP="005977C6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5977C6">
              <w:rPr>
                <w:sz w:val="18"/>
              </w:rPr>
              <w:t>adult</w:t>
            </w:r>
          </w:p>
        </w:tc>
        <w:tc>
          <w:tcPr>
            <w:tcW w:w="1342" w:type="dxa"/>
            <w:shd w:val="clear" w:color="auto" w:fill="auto"/>
            <w:vAlign w:val="bottom"/>
            <w:hideMark/>
          </w:tcPr>
          <w:p w14:paraId="2BC5A440" w14:textId="77777777" w:rsidR="000A1AAE" w:rsidRPr="005977C6" w:rsidRDefault="000A1AAE" w:rsidP="005977C6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5977C6">
              <w:rPr>
                <w:sz w:val="18"/>
              </w:rPr>
              <w:t>Romanian</w:t>
            </w:r>
          </w:p>
        </w:tc>
        <w:tc>
          <w:tcPr>
            <w:tcW w:w="1647" w:type="dxa"/>
            <w:shd w:val="clear" w:color="auto" w:fill="auto"/>
            <w:vAlign w:val="bottom"/>
            <w:hideMark/>
          </w:tcPr>
          <w:p w14:paraId="583B011E" w14:textId="77777777" w:rsidR="000A1AAE" w:rsidRPr="005977C6" w:rsidRDefault="000A1AAE" w:rsidP="005977C6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5977C6">
              <w:rPr>
                <w:sz w:val="18"/>
              </w:rPr>
              <w:t>Sexual</w:t>
            </w:r>
          </w:p>
        </w:tc>
      </w:tr>
      <w:tr w:rsidR="000A1AAE" w:rsidRPr="005977C6" w14:paraId="09B123DD" w14:textId="77777777" w:rsidTr="005977C6">
        <w:tc>
          <w:tcPr>
            <w:tcW w:w="814" w:type="dxa"/>
            <w:shd w:val="clear" w:color="auto" w:fill="auto"/>
          </w:tcPr>
          <w:p w14:paraId="19829ABB" w14:textId="77777777" w:rsidR="000A1AAE" w:rsidRPr="005977C6" w:rsidRDefault="000A1AAE" w:rsidP="005977C6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</w:p>
        </w:tc>
        <w:tc>
          <w:tcPr>
            <w:tcW w:w="1009" w:type="dxa"/>
            <w:shd w:val="clear" w:color="auto" w:fill="auto"/>
            <w:vAlign w:val="bottom"/>
          </w:tcPr>
          <w:p w14:paraId="4276B24E" w14:textId="77777777" w:rsidR="000A1AAE" w:rsidRPr="005977C6" w:rsidRDefault="000A1AAE" w:rsidP="005977C6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</w:p>
        </w:tc>
        <w:tc>
          <w:tcPr>
            <w:tcW w:w="802" w:type="dxa"/>
            <w:shd w:val="clear" w:color="auto" w:fill="auto"/>
            <w:vAlign w:val="bottom"/>
            <w:hideMark/>
          </w:tcPr>
          <w:p w14:paraId="5EA320EB" w14:textId="77777777" w:rsidR="000A1AAE" w:rsidRPr="005977C6" w:rsidRDefault="000A1AAE" w:rsidP="005977C6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5977C6">
              <w:rPr>
                <w:sz w:val="18"/>
              </w:rPr>
              <w:t>9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332B542" w14:textId="77777777" w:rsidR="000A1AAE" w:rsidRPr="005977C6" w:rsidRDefault="000A1AAE" w:rsidP="005977C6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5977C6">
              <w:rPr>
                <w:sz w:val="18"/>
              </w:rPr>
              <w:t>0</w:t>
            </w:r>
          </w:p>
        </w:tc>
        <w:tc>
          <w:tcPr>
            <w:tcW w:w="1022" w:type="dxa"/>
            <w:shd w:val="clear" w:color="auto" w:fill="auto"/>
            <w:vAlign w:val="bottom"/>
            <w:hideMark/>
          </w:tcPr>
          <w:p w14:paraId="3B606F4E" w14:textId="77777777" w:rsidR="000A1AAE" w:rsidRPr="005977C6" w:rsidRDefault="000A1AAE" w:rsidP="005977C6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5977C6">
              <w:rPr>
                <w:sz w:val="18"/>
              </w:rPr>
              <w:t>adult</w:t>
            </w:r>
          </w:p>
        </w:tc>
        <w:tc>
          <w:tcPr>
            <w:tcW w:w="1342" w:type="dxa"/>
            <w:shd w:val="clear" w:color="auto" w:fill="auto"/>
            <w:vAlign w:val="bottom"/>
            <w:hideMark/>
          </w:tcPr>
          <w:p w14:paraId="7D9AE45D" w14:textId="77777777" w:rsidR="000A1AAE" w:rsidRPr="005977C6" w:rsidRDefault="000A1AAE" w:rsidP="005977C6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5977C6">
              <w:rPr>
                <w:sz w:val="18"/>
              </w:rPr>
              <w:t>Vietnamese</w:t>
            </w:r>
          </w:p>
        </w:tc>
        <w:tc>
          <w:tcPr>
            <w:tcW w:w="1647" w:type="dxa"/>
            <w:shd w:val="clear" w:color="auto" w:fill="auto"/>
            <w:vAlign w:val="bottom"/>
            <w:hideMark/>
          </w:tcPr>
          <w:p w14:paraId="3A37CC9B" w14:textId="77777777" w:rsidR="000A1AAE" w:rsidRPr="005977C6" w:rsidRDefault="000A1AAE" w:rsidP="005977C6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5977C6">
              <w:rPr>
                <w:sz w:val="18"/>
              </w:rPr>
              <w:t>Labour</w:t>
            </w:r>
          </w:p>
        </w:tc>
      </w:tr>
      <w:tr w:rsidR="000A1AAE" w:rsidRPr="005977C6" w14:paraId="0B332864" w14:textId="77777777" w:rsidTr="005977C6">
        <w:tc>
          <w:tcPr>
            <w:tcW w:w="814" w:type="dxa"/>
            <w:shd w:val="clear" w:color="auto" w:fill="auto"/>
          </w:tcPr>
          <w:p w14:paraId="6BB988AF" w14:textId="77777777" w:rsidR="000A1AAE" w:rsidRPr="005977C6" w:rsidRDefault="000A1AAE" w:rsidP="005977C6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</w:p>
        </w:tc>
        <w:tc>
          <w:tcPr>
            <w:tcW w:w="1009" w:type="dxa"/>
            <w:shd w:val="clear" w:color="auto" w:fill="auto"/>
            <w:vAlign w:val="bottom"/>
          </w:tcPr>
          <w:p w14:paraId="47BD92A4" w14:textId="77777777" w:rsidR="000A1AAE" w:rsidRPr="005977C6" w:rsidRDefault="000A1AAE" w:rsidP="005977C6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</w:p>
        </w:tc>
        <w:tc>
          <w:tcPr>
            <w:tcW w:w="802" w:type="dxa"/>
            <w:shd w:val="clear" w:color="auto" w:fill="auto"/>
            <w:vAlign w:val="bottom"/>
            <w:hideMark/>
          </w:tcPr>
          <w:p w14:paraId="4EAF7B2A" w14:textId="77777777" w:rsidR="000A1AAE" w:rsidRPr="005977C6" w:rsidRDefault="000A1AAE" w:rsidP="005977C6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5977C6">
              <w:rPr>
                <w:sz w:val="18"/>
              </w:rPr>
              <w:t>2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D14CF14" w14:textId="77777777" w:rsidR="000A1AAE" w:rsidRPr="005977C6" w:rsidRDefault="000A1AAE" w:rsidP="005977C6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5977C6">
              <w:rPr>
                <w:sz w:val="18"/>
              </w:rPr>
              <w:t>0</w:t>
            </w:r>
          </w:p>
        </w:tc>
        <w:tc>
          <w:tcPr>
            <w:tcW w:w="1022" w:type="dxa"/>
            <w:shd w:val="clear" w:color="auto" w:fill="auto"/>
            <w:vAlign w:val="bottom"/>
            <w:hideMark/>
          </w:tcPr>
          <w:p w14:paraId="6258FD6B" w14:textId="77777777" w:rsidR="000A1AAE" w:rsidRPr="005977C6" w:rsidRDefault="000A1AAE" w:rsidP="005977C6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5977C6">
              <w:rPr>
                <w:sz w:val="18"/>
              </w:rPr>
              <w:t>adult</w:t>
            </w:r>
          </w:p>
        </w:tc>
        <w:tc>
          <w:tcPr>
            <w:tcW w:w="1342" w:type="dxa"/>
            <w:shd w:val="clear" w:color="auto" w:fill="auto"/>
            <w:vAlign w:val="bottom"/>
            <w:hideMark/>
          </w:tcPr>
          <w:p w14:paraId="0AFED2D5" w14:textId="77777777" w:rsidR="000A1AAE" w:rsidRPr="005977C6" w:rsidRDefault="000A1AAE" w:rsidP="005977C6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5977C6">
              <w:rPr>
                <w:sz w:val="18"/>
              </w:rPr>
              <w:t>Chinese</w:t>
            </w:r>
          </w:p>
        </w:tc>
        <w:tc>
          <w:tcPr>
            <w:tcW w:w="1647" w:type="dxa"/>
            <w:shd w:val="clear" w:color="auto" w:fill="auto"/>
            <w:vAlign w:val="bottom"/>
            <w:hideMark/>
          </w:tcPr>
          <w:p w14:paraId="6CEAEA80" w14:textId="77777777" w:rsidR="000A1AAE" w:rsidRPr="005977C6" w:rsidRDefault="000A1AAE" w:rsidP="005977C6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5977C6">
              <w:rPr>
                <w:sz w:val="18"/>
              </w:rPr>
              <w:t>Labour</w:t>
            </w:r>
          </w:p>
        </w:tc>
      </w:tr>
      <w:tr w:rsidR="005977C6" w:rsidRPr="005977C6" w14:paraId="5D05193B" w14:textId="77777777" w:rsidTr="005977C6"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9DC96B3" w14:textId="77777777" w:rsidR="000A1AAE" w:rsidRPr="005977C6" w:rsidRDefault="000A1AAE" w:rsidP="005977C6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  <w:r w:rsidRPr="005977C6">
              <w:rPr>
                <w:sz w:val="18"/>
              </w:rPr>
              <w:t>2015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E8E4924" w14:textId="77777777" w:rsidR="000A1AAE" w:rsidRPr="005977C6" w:rsidRDefault="000A1AAE" w:rsidP="005977C6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398A426" w14:textId="77777777" w:rsidR="000A1AAE" w:rsidRPr="005977C6" w:rsidRDefault="000A1AAE" w:rsidP="005977C6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1DE16E1" w14:textId="77777777" w:rsidR="000A1AAE" w:rsidRPr="005977C6" w:rsidRDefault="000A1AAE" w:rsidP="005977C6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0207DBE" w14:textId="77777777" w:rsidR="000A1AAE" w:rsidRPr="005977C6" w:rsidRDefault="000A1AAE" w:rsidP="005977C6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984D137" w14:textId="77777777" w:rsidR="000A1AAE" w:rsidRPr="005977C6" w:rsidRDefault="000A1AAE" w:rsidP="005977C6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75B1A19" w14:textId="77777777" w:rsidR="000A1AAE" w:rsidRPr="005977C6" w:rsidRDefault="000A1AAE" w:rsidP="005977C6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</w:p>
        </w:tc>
      </w:tr>
      <w:tr w:rsidR="000A1AAE" w:rsidRPr="005977C6" w14:paraId="2B0FA020" w14:textId="77777777" w:rsidTr="005977C6">
        <w:tc>
          <w:tcPr>
            <w:tcW w:w="814" w:type="dxa"/>
            <w:tcBorders>
              <w:top w:val="single" w:sz="4" w:space="0" w:color="auto"/>
            </w:tcBorders>
            <w:shd w:val="clear" w:color="auto" w:fill="auto"/>
          </w:tcPr>
          <w:p w14:paraId="27A5D8B5" w14:textId="77777777" w:rsidR="000A1AAE" w:rsidRPr="005977C6" w:rsidRDefault="000A1AAE" w:rsidP="005977C6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20775D4A" w14:textId="77777777" w:rsidR="000A1AAE" w:rsidRPr="005977C6" w:rsidRDefault="000A1AAE" w:rsidP="005977C6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5977C6">
              <w:rPr>
                <w:sz w:val="18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1E42A8F1" w14:textId="77777777" w:rsidR="000A1AAE" w:rsidRPr="005977C6" w:rsidRDefault="000A1AAE" w:rsidP="005977C6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5977C6">
              <w:rPr>
                <w:sz w:val="18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7E57DCD8" w14:textId="77777777" w:rsidR="000A1AAE" w:rsidRPr="005977C6" w:rsidRDefault="000A1AAE" w:rsidP="005977C6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5977C6">
              <w:rPr>
                <w:sz w:val="18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0BC04C9F" w14:textId="77777777" w:rsidR="000A1AAE" w:rsidRPr="005977C6" w:rsidRDefault="000A1AAE" w:rsidP="005977C6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5977C6">
              <w:rPr>
                <w:sz w:val="18"/>
              </w:rPr>
              <w:t>adult</w:t>
            </w:r>
          </w:p>
        </w:tc>
        <w:tc>
          <w:tcPr>
            <w:tcW w:w="1342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6B4836DE" w14:textId="77777777" w:rsidR="000A1AAE" w:rsidRPr="005977C6" w:rsidRDefault="000A1AAE" w:rsidP="005977C6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5977C6">
              <w:rPr>
                <w:sz w:val="18"/>
              </w:rPr>
              <w:t>Chinese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4C6DCAF3" w14:textId="77777777" w:rsidR="000A1AAE" w:rsidRPr="005977C6" w:rsidRDefault="000A1AAE" w:rsidP="005977C6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5977C6">
              <w:rPr>
                <w:sz w:val="18"/>
              </w:rPr>
              <w:t>Sexual</w:t>
            </w:r>
          </w:p>
        </w:tc>
      </w:tr>
      <w:tr w:rsidR="000A1AAE" w:rsidRPr="005977C6" w14:paraId="7C71BD76" w14:textId="77777777" w:rsidTr="005977C6">
        <w:tc>
          <w:tcPr>
            <w:tcW w:w="814" w:type="dxa"/>
            <w:shd w:val="clear" w:color="auto" w:fill="auto"/>
          </w:tcPr>
          <w:p w14:paraId="117EA8EB" w14:textId="77777777" w:rsidR="000A1AAE" w:rsidRPr="005977C6" w:rsidRDefault="000A1AAE" w:rsidP="005977C6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</w:p>
        </w:tc>
        <w:tc>
          <w:tcPr>
            <w:tcW w:w="1009" w:type="dxa"/>
            <w:shd w:val="clear" w:color="auto" w:fill="auto"/>
            <w:vAlign w:val="bottom"/>
          </w:tcPr>
          <w:p w14:paraId="4323092D" w14:textId="77777777" w:rsidR="000A1AAE" w:rsidRPr="005977C6" w:rsidRDefault="000A1AAE" w:rsidP="005977C6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</w:p>
        </w:tc>
        <w:tc>
          <w:tcPr>
            <w:tcW w:w="802" w:type="dxa"/>
            <w:shd w:val="clear" w:color="auto" w:fill="auto"/>
            <w:vAlign w:val="bottom"/>
            <w:hideMark/>
          </w:tcPr>
          <w:p w14:paraId="3223D9F7" w14:textId="77777777" w:rsidR="000A1AAE" w:rsidRPr="005977C6" w:rsidRDefault="000A1AAE" w:rsidP="005977C6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5977C6">
              <w:rPr>
                <w:sz w:val="18"/>
              </w:rPr>
              <w:t>1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46DB1AC" w14:textId="77777777" w:rsidR="000A1AAE" w:rsidRPr="005977C6" w:rsidRDefault="000A1AAE" w:rsidP="005977C6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5977C6">
              <w:rPr>
                <w:sz w:val="18"/>
              </w:rPr>
              <w:t>0</w:t>
            </w:r>
          </w:p>
        </w:tc>
        <w:tc>
          <w:tcPr>
            <w:tcW w:w="1022" w:type="dxa"/>
            <w:shd w:val="clear" w:color="auto" w:fill="auto"/>
            <w:vAlign w:val="bottom"/>
            <w:hideMark/>
          </w:tcPr>
          <w:p w14:paraId="1F45DE44" w14:textId="77777777" w:rsidR="000A1AAE" w:rsidRPr="005977C6" w:rsidRDefault="000A1AAE" w:rsidP="005977C6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5977C6">
              <w:rPr>
                <w:sz w:val="18"/>
              </w:rPr>
              <w:t>adult</w:t>
            </w:r>
          </w:p>
        </w:tc>
        <w:tc>
          <w:tcPr>
            <w:tcW w:w="1342" w:type="dxa"/>
            <w:shd w:val="clear" w:color="auto" w:fill="auto"/>
            <w:vAlign w:val="bottom"/>
            <w:hideMark/>
          </w:tcPr>
          <w:p w14:paraId="566C94D1" w14:textId="77777777" w:rsidR="000A1AAE" w:rsidRPr="005977C6" w:rsidRDefault="000A1AAE" w:rsidP="005977C6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5977C6">
              <w:rPr>
                <w:sz w:val="18"/>
              </w:rPr>
              <w:t>Italian</w:t>
            </w:r>
          </w:p>
        </w:tc>
        <w:tc>
          <w:tcPr>
            <w:tcW w:w="1647" w:type="dxa"/>
            <w:shd w:val="clear" w:color="auto" w:fill="auto"/>
            <w:vAlign w:val="bottom"/>
            <w:hideMark/>
          </w:tcPr>
          <w:p w14:paraId="1E960605" w14:textId="77777777" w:rsidR="000A1AAE" w:rsidRPr="005977C6" w:rsidRDefault="000A1AAE" w:rsidP="005977C6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5977C6">
              <w:rPr>
                <w:sz w:val="18"/>
              </w:rPr>
              <w:t>Sexual</w:t>
            </w:r>
          </w:p>
        </w:tc>
      </w:tr>
      <w:tr w:rsidR="005977C6" w:rsidRPr="005977C6" w14:paraId="5FDD08B8" w14:textId="77777777" w:rsidTr="005977C6"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3CB4AE6" w14:textId="77777777" w:rsidR="000A1AAE" w:rsidRPr="005977C6" w:rsidRDefault="000A1AAE" w:rsidP="005977C6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  <w:r w:rsidRPr="005977C6">
              <w:rPr>
                <w:sz w:val="18"/>
              </w:rPr>
              <w:t>2016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9052980" w14:textId="77777777" w:rsidR="000A1AAE" w:rsidRPr="005977C6" w:rsidRDefault="000A1AAE" w:rsidP="005977C6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6160C70" w14:textId="77777777" w:rsidR="000A1AAE" w:rsidRPr="005977C6" w:rsidRDefault="000A1AAE" w:rsidP="005977C6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6E7DE9C" w14:textId="77777777" w:rsidR="000A1AAE" w:rsidRPr="005977C6" w:rsidRDefault="000A1AAE" w:rsidP="005977C6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853C9CE" w14:textId="77777777" w:rsidR="000A1AAE" w:rsidRPr="005977C6" w:rsidRDefault="000A1AAE" w:rsidP="005977C6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171DA73" w14:textId="77777777" w:rsidR="000A1AAE" w:rsidRPr="005977C6" w:rsidRDefault="000A1AAE" w:rsidP="005977C6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7D635DC" w14:textId="77777777" w:rsidR="000A1AAE" w:rsidRPr="005977C6" w:rsidRDefault="000A1AAE" w:rsidP="005977C6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</w:p>
        </w:tc>
      </w:tr>
      <w:tr w:rsidR="005977C6" w:rsidRPr="005977C6" w14:paraId="2212D027" w14:textId="77777777" w:rsidTr="005977C6">
        <w:tc>
          <w:tcPr>
            <w:tcW w:w="814" w:type="dxa"/>
            <w:tcBorders>
              <w:top w:val="single" w:sz="4" w:space="0" w:color="auto"/>
            </w:tcBorders>
            <w:shd w:val="clear" w:color="auto" w:fill="auto"/>
          </w:tcPr>
          <w:p w14:paraId="3DA465D8" w14:textId="77777777" w:rsidR="000A1AAE" w:rsidRPr="005977C6" w:rsidRDefault="000A1AAE" w:rsidP="005977C6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66E3D1A1" w14:textId="77777777" w:rsidR="000A1AAE" w:rsidRPr="005977C6" w:rsidRDefault="000A1AAE" w:rsidP="005977C6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5977C6">
              <w:rPr>
                <w:sz w:val="18"/>
              </w:rPr>
              <w:t>31</w:t>
            </w:r>
          </w:p>
        </w:tc>
        <w:tc>
          <w:tcPr>
            <w:tcW w:w="802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4CEDF63D" w14:textId="77777777" w:rsidR="000A1AAE" w:rsidRPr="005977C6" w:rsidRDefault="000A1AAE" w:rsidP="005977C6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5977C6">
              <w:rPr>
                <w:sz w:val="18"/>
              </w:rPr>
              <w:t>13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600C5973" w14:textId="77777777" w:rsidR="000A1AAE" w:rsidRPr="005977C6" w:rsidRDefault="000A1AAE" w:rsidP="005977C6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5977C6">
              <w:rPr>
                <w:sz w:val="18"/>
              </w:rPr>
              <w:t>18</w:t>
            </w: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54D08211" w14:textId="77777777" w:rsidR="000A1AAE" w:rsidRPr="005977C6" w:rsidRDefault="000A1AAE" w:rsidP="005977C6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5977C6">
              <w:rPr>
                <w:sz w:val="18"/>
              </w:rPr>
              <w:t>adult</w:t>
            </w:r>
          </w:p>
        </w:tc>
        <w:tc>
          <w:tcPr>
            <w:tcW w:w="1342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5E1AB897" w14:textId="77777777" w:rsidR="000A1AAE" w:rsidRPr="005977C6" w:rsidRDefault="000A1AAE" w:rsidP="005977C6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5977C6">
              <w:rPr>
                <w:sz w:val="18"/>
              </w:rPr>
              <w:t>Philippines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422860B5" w14:textId="77777777" w:rsidR="000A1AAE" w:rsidRPr="005977C6" w:rsidRDefault="000A1AAE" w:rsidP="005977C6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5977C6">
              <w:rPr>
                <w:sz w:val="18"/>
              </w:rPr>
              <w:t>Labour</w:t>
            </w:r>
          </w:p>
        </w:tc>
      </w:tr>
      <w:tr w:rsidR="005977C6" w:rsidRPr="005977C6" w14:paraId="310118D1" w14:textId="77777777" w:rsidTr="005977C6"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E4F2C6C" w14:textId="77777777" w:rsidR="000A1AAE" w:rsidRPr="005977C6" w:rsidRDefault="000A1AAE" w:rsidP="005977C6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  <w:r w:rsidRPr="005977C6">
              <w:rPr>
                <w:sz w:val="18"/>
              </w:rPr>
              <w:t>2017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E6831A8" w14:textId="77777777" w:rsidR="000A1AAE" w:rsidRPr="005977C6" w:rsidRDefault="000A1AAE" w:rsidP="005977C6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E45CEC7" w14:textId="77777777" w:rsidR="000A1AAE" w:rsidRPr="005977C6" w:rsidRDefault="000A1AAE" w:rsidP="005977C6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71A6C7B" w14:textId="77777777" w:rsidR="000A1AAE" w:rsidRPr="005977C6" w:rsidRDefault="000A1AAE" w:rsidP="005977C6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BC06965" w14:textId="77777777" w:rsidR="000A1AAE" w:rsidRPr="005977C6" w:rsidRDefault="000A1AAE" w:rsidP="005977C6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F98492B" w14:textId="77777777" w:rsidR="000A1AAE" w:rsidRPr="005977C6" w:rsidRDefault="000A1AAE" w:rsidP="005977C6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03BCBAB" w14:textId="77777777" w:rsidR="000A1AAE" w:rsidRPr="005977C6" w:rsidRDefault="000A1AAE" w:rsidP="005977C6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</w:p>
        </w:tc>
      </w:tr>
      <w:tr w:rsidR="000A1AAE" w:rsidRPr="005977C6" w14:paraId="0BB80FDF" w14:textId="77777777" w:rsidTr="005977C6">
        <w:tc>
          <w:tcPr>
            <w:tcW w:w="814" w:type="dxa"/>
            <w:tcBorders>
              <w:top w:val="single" w:sz="4" w:space="0" w:color="auto"/>
            </w:tcBorders>
            <w:shd w:val="clear" w:color="auto" w:fill="auto"/>
          </w:tcPr>
          <w:p w14:paraId="1221DE86" w14:textId="77777777" w:rsidR="000A1AAE" w:rsidRPr="005977C6" w:rsidRDefault="000A1AAE" w:rsidP="005977C6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386270EE" w14:textId="77777777" w:rsidR="000A1AAE" w:rsidRPr="005977C6" w:rsidRDefault="000A1AAE" w:rsidP="005977C6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5977C6">
              <w:rPr>
                <w:sz w:val="18"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3393216B" w14:textId="77777777" w:rsidR="000A1AAE" w:rsidRPr="005977C6" w:rsidRDefault="000A1AAE" w:rsidP="005977C6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5977C6">
              <w:rPr>
                <w:sz w:val="18"/>
              </w:rPr>
              <w:t>3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2E75E03C" w14:textId="77777777" w:rsidR="000A1AAE" w:rsidRPr="005977C6" w:rsidRDefault="000A1AAE" w:rsidP="005977C6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5977C6">
              <w:rPr>
                <w:sz w:val="18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7B2839E1" w14:textId="77777777" w:rsidR="000A1AAE" w:rsidRPr="005977C6" w:rsidRDefault="000A1AAE" w:rsidP="005977C6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5977C6">
              <w:rPr>
                <w:sz w:val="18"/>
              </w:rPr>
              <w:t>adult</w:t>
            </w:r>
          </w:p>
        </w:tc>
        <w:tc>
          <w:tcPr>
            <w:tcW w:w="1342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51417602" w14:textId="77777777" w:rsidR="000A1AAE" w:rsidRPr="005977C6" w:rsidRDefault="000A1AAE" w:rsidP="005977C6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5977C6">
              <w:rPr>
                <w:sz w:val="18"/>
              </w:rPr>
              <w:t>Chinese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5758FB93" w14:textId="77777777" w:rsidR="000A1AAE" w:rsidRPr="005977C6" w:rsidRDefault="000A1AAE" w:rsidP="005977C6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5977C6">
              <w:rPr>
                <w:sz w:val="18"/>
              </w:rPr>
              <w:t>Sexual</w:t>
            </w:r>
          </w:p>
        </w:tc>
      </w:tr>
      <w:tr w:rsidR="000A1AAE" w:rsidRPr="005977C6" w14:paraId="483ECE6D" w14:textId="77777777" w:rsidTr="005977C6">
        <w:tc>
          <w:tcPr>
            <w:tcW w:w="814" w:type="dxa"/>
            <w:shd w:val="clear" w:color="auto" w:fill="auto"/>
          </w:tcPr>
          <w:p w14:paraId="2F458CD8" w14:textId="77777777" w:rsidR="000A1AAE" w:rsidRPr="005977C6" w:rsidRDefault="000A1AAE" w:rsidP="005977C6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</w:p>
        </w:tc>
        <w:tc>
          <w:tcPr>
            <w:tcW w:w="1009" w:type="dxa"/>
            <w:shd w:val="clear" w:color="auto" w:fill="auto"/>
            <w:vAlign w:val="bottom"/>
            <w:hideMark/>
          </w:tcPr>
          <w:p w14:paraId="1A39021A" w14:textId="77777777" w:rsidR="000A1AAE" w:rsidRPr="005977C6" w:rsidRDefault="000A1AAE" w:rsidP="005977C6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5977C6">
              <w:rPr>
                <w:sz w:val="18"/>
              </w:rPr>
              <w:t>2</w:t>
            </w:r>
          </w:p>
        </w:tc>
        <w:tc>
          <w:tcPr>
            <w:tcW w:w="802" w:type="dxa"/>
            <w:shd w:val="clear" w:color="auto" w:fill="auto"/>
            <w:vAlign w:val="bottom"/>
            <w:hideMark/>
          </w:tcPr>
          <w:p w14:paraId="18126BCD" w14:textId="77777777" w:rsidR="000A1AAE" w:rsidRPr="005977C6" w:rsidRDefault="000A1AAE" w:rsidP="005977C6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5977C6">
              <w:rPr>
                <w:sz w:val="18"/>
              </w:rPr>
              <w:t>2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5BE4E79" w14:textId="77777777" w:rsidR="000A1AAE" w:rsidRPr="005977C6" w:rsidRDefault="000A1AAE" w:rsidP="005977C6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5977C6">
              <w:rPr>
                <w:sz w:val="18"/>
              </w:rPr>
              <w:t>0</w:t>
            </w:r>
          </w:p>
        </w:tc>
        <w:tc>
          <w:tcPr>
            <w:tcW w:w="1022" w:type="dxa"/>
            <w:shd w:val="clear" w:color="auto" w:fill="auto"/>
            <w:vAlign w:val="bottom"/>
            <w:hideMark/>
          </w:tcPr>
          <w:p w14:paraId="40D537DF" w14:textId="77777777" w:rsidR="000A1AAE" w:rsidRPr="005977C6" w:rsidRDefault="000A1AAE" w:rsidP="005977C6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5977C6">
              <w:rPr>
                <w:sz w:val="18"/>
              </w:rPr>
              <w:t>adult</w:t>
            </w:r>
          </w:p>
        </w:tc>
        <w:tc>
          <w:tcPr>
            <w:tcW w:w="1342" w:type="dxa"/>
            <w:shd w:val="clear" w:color="auto" w:fill="auto"/>
            <w:vAlign w:val="bottom"/>
            <w:hideMark/>
          </w:tcPr>
          <w:p w14:paraId="4ECD3D87" w14:textId="77777777" w:rsidR="000A1AAE" w:rsidRPr="005977C6" w:rsidRDefault="000A1AAE" w:rsidP="005977C6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5977C6">
              <w:rPr>
                <w:sz w:val="18"/>
              </w:rPr>
              <w:t>Hungarian</w:t>
            </w:r>
          </w:p>
        </w:tc>
        <w:tc>
          <w:tcPr>
            <w:tcW w:w="1647" w:type="dxa"/>
            <w:shd w:val="clear" w:color="auto" w:fill="auto"/>
            <w:vAlign w:val="bottom"/>
            <w:hideMark/>
          </w:tcPr>
          <w:p w14:paraId="32BE43E1" w14:textId="77777777" w:rsidR="000A1AAE" w:rsidRPr="005977C6" w:rsidRDefault="000A1AAE" w:rsidP="005977C6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5977C6">
              <w:rPr>
                <w:sz w:val="18"/>
              </w:rPr>
              <w:t>Sexual</w:t>
            </w:r>
          </w:p>
        </w:tc>
      </w:tr>
      <w:tr w:rsidR="005977C6" w:rsidRPr="005977C6" w14:paraId="34F50E9B" w14:textId="77777777" w:rsidTr="005977C6"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DA40306" w14:textId="77777777" w:rsidR="000A1AAE" w:rsidRPr="005977C6" w:rsidRDefault="000A1AAE" w:rsidP="005977C6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  <w:r w:rsidRPr="005977C6">
              <w:rPr>
                <w:sz w:val="18"/>
              </w:rPr>
              <w:t>2018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814D466" w14:textId="77777777" w:rsidR="000A1AAE" w:rsidRPr="005977C6" w:rsidRDefault="000A1AAE" w:rsidP="005977C6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2252805" w14:textId="77777777" w:rsidR="000A1AAE" w:rsidRPr="005977C6" w:rsidRDefault="000A1AAE" w:rsidP="005977C6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67D0EED" w14:textId="77777777" w:rsidR="000A1AAE" w:rsidRPr="005977C6" w:rsidRDefault="000A1AAE" w:rsidP="005977C6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6B25C09" w14:textId="77777777" w:rsidR="000A1AAE" w:rsidRPr="005977C6" w:rsidRDefault="000A1AAE" w:rsidP="005977C6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381991E" w14:textId="77777777" w:rsidR="000A1AAE" w:rsidRPr="005977C6" w:rsidRDefault="000A1AAE" w:rsidP="005977C6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DDBD131" w14:textId="77777777" w:rsidR="000A1AAE" w:rsidRPr="005977C6" w:rsidRDefault="000A1AAE" w:rsidP="005977C6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</w:p>
        </w:tc>
      </w:tr>
      <w:tr w:rsidR="005977C6" w:rsidRPr="005977C6" w14:paraId="336950D5" w14:textId="77777777" w:rsidTr="005977C6">
        <w:tc>
          <w:tcPr>
            <w:tcW w:w="814" w:type="dxa"/>
            <w:tcBorders>
              <w:top w:val="single" w:sz="4" w:space="0" w:color="auto"/>
            </w:tcBorders>
            <w:shd w:val="clear" w:color="auto" w:fill="auto"/>
          </w:tcPr>
          <w:p w14:paraId="383E26ED" w14:textId="77777777" w:rsidR="000A1AAE" w:rsidRPr="005977C6" w:rsidRDefault="000A1AAE" w:rsidP="005977C6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43682B0A" w14:textId="77777777" w:rsidR="000A1AAE" w:rsidRPr="005977C6" w:rsidRDefault="000A1AAE" w:rsidP="005977C6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5977C6">
              <w:rPr>
                <w:sz w:val="18"/>
              </w:rPr>
              <w:t>19</w:t>
            </w:r>
          </w:p>
        </w:tc>
        <w:tc>
          <w:tcPr>
            <w:tcW w:w="802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0E47E96A" w14:textId="77777777" w:rsidR="000A1AAE" w:rsidRPr="005977C6" w:rsidRDefault="000A1AAE" w:rsidP="005977C6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5977C6">
              <w:rPr>
                <w:sz w:val="18"/>
              </w:rPr>
              <w:t>9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77D2459F" w14:textId="77777777" w:rsidR="000A1AAE" w:rsidRPr="005977C6" w:rsidRDefault="000A1AAE" w:rsidP="005977C6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5977C6">
              <w:rPr>
                <w:sz w:val="18"/>
              </w:rPr>
              <w:t>10</w:t>
            </w: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58C5D4DA" w14:textId="77777777" w:rsidR="000A1AAE" w:rsidRPr="005977C6" w:rsidRDefault="000A1AAE" w:rsidP="005977C6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5977C6">
              <w:rPr>
                <w:sz w:val="18"/>
              </w:rPr>
              <w:t>adult</w:t>
            </w:r>
          </w:p>
        </w:tc>
        <w:tc>
          <w:tcPr>
            <w:tcW w:w="1342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3883A535" w14:textId="77777777" w:rsidR="000A1AAE" w:rsidRPr="005977C6" w:rsidRDefault="000A1AAE" w:rsidP="005977C6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5977C6">
              <w:rPr>
                <w:sz w:val="18"/>
              </w:rPr>
              <w:t>Ukrainian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2D65BF51" w14:textId="77777777" w:rsidR="000A1AAE" w:rsidRPr="005977C6" w:rsidRDefault="000A1AAE" w:rsidP="005977C6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5977C6">
              <w:rPr>
                <w:sz w:val="18"/>
              </w:rPr>
              <w:t>Labour</w:t>
            </w:r>
          </w:p>
        </w:tc>
      </w:tr>
      <w:tr w:rsidR="000A1AAE" w:rsidRPr="005977C6" w14:paraId="456CC4FD" w14:textId="77777777" w:rsidTr="005977C6">
        <w:tc>
          <w:tcPr>
            <w:tcW w:w="814" w:type="dxa"/>
            <w:shd w:val="clear" w:color="auto" w:fill="auto"/>
          </w:tcPr>
          <w:p w14:paraId="6A4EBD04" w14:textId="77777777" w:rsidR="000A1AAE" w:rsidRPr="005977C6" w:rsidRDefault="000A1AAE" w:rsidP="005977C6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</w:p>
        </w:tc>
        <w:tc>
          <w:tcPr>
            <w:tcW w:w="1009" w:type="dxa"/>
            <w:shd w:val="clear" w:color="auto" w:fill="auto"/>
            <w:vAlign w:val="bottom"/>
            <w:hideMark/>
          </w:tcPr>
          <w:p w14:paraId="69B620C9" w14:textId="77777777" w:rsidR="000A1AAE" w:rsidRPr="005977C6" w:rsidRDefault="000A1AAE" w:rsidP="005977C6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5977C6">
              <w:rPr>
                <w:sz w:val="18"/>
              </w:rPr>
              <w:t>14</w:t>
            </w:r>
          </w:p>
        </w:tc>
        <w:tc>
          <w:tcPr>
            <w:tcW w:w="802" w:type="dxa"/>
            <w:shd w:val="clear" w:color="auto" w:fill="auto"/>
            <w:vAlign w:val="bottom"/>
            <w:hideMark/>
          </w:tcPr>
          <w:p w14:paraId="0B14B329" w14:textId="77777777" w:rsidR="000A1AAE" w:rsidRPr="005977C6" w:rsidRDefault="000A1AAE" w:rsidP="005977C6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5977C6">
              <w:rPr>
                <w:sz w:val="18"/>
              </w:rPr>
              <w:t>10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429F434" w14:textId="77777777" w:rsidR="000A1AAE" w:rsidRPr="005977C6" w:rsidRDefault="000A1AAE" w:rsidP="005977C6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5977C6">
              <w:rPr>
                <w:sz w:val="18"/>
              </w:rPr>
              <w:t>4</w:t>
            </w:r>
          </w:p>
        </w:tc>
        <w:tc>
          <w:tcPr>
            <w:tcW w:w="1022" w:type="dxa"/>
            <w:shd w:val="clear" w:color="auto" w:fill="auto"/>
            <w:vAlign w:val="bottom"/>
            <w:hideMark/>
          </w:tcPr>
          <w:p w14:paraId="488A2D3B" w14:textId="77777777" w:rsidR="000A1AAE" w:rsidRPr="005977C6" w:rsidRDefault="000A1AAE" w:rsidP="005977C6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5977C6">
              <w:rPr>
                <w:sz w:val="18"/>
              </w:rPr>
              <w:t>adult</w:t>
            </w:r>
          </w:p>
        </w:tc>
        <w:tc>
          <w:tcPr>
            <w:tcW w:w="1342" w:type="dxa"/>
            <w:shd w:val="clear" w:color="auto" w:fill="auto"/>
            <w:vAlign w:val="bottom"/>
            <w:hideMark/>
          </w:tcPr>
          <w:p w14:paraId="77F60F11" w14:textId="77777777" w:rsidR="000A1AAE" w:rsidRPr="005977C6" w:rsidRDefault="000A1AAE" w:rsidP="005977C6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5977C6">
              <w:rPr>
                <w:sz w:val="18"/>
              </w:rPr>
              <w:t>Philippines</w:t>
            </w:r>
          </w:p>
        </w:tc>
        <w:tc>
          <w:tcPr>
            <w:tcW w:w="1647" w:type="dxa"/>
            <w:shd w:val="clear" w:color="auto" w:fill="auto"/>
            <w:vAlign w:val="bottom"/>
            <w:hideMark/>
          </w:tcPr>
          <w:p w14:paraId="35ACE8D3" w14:textId="77777777" w:rsidR="000A1AAE" w:rsidRPr="005977C6" w:rsidRDefault="000A1AAE" w:rsidP="005977C6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5977C6">
              <w:rPr>
                <w:sz w:val="18"/>
              </w:rPr>
              <w:t>Labour</w:t>
            </w:r>
          </w:p>
        </w:tc>
      </w:tr>
      <w:tr w:rsidR="00112445" w:rsidRPr="005977C6" w14:paraId="05D44272" w14:textId="77777777" w:rsidTr="00112445">
        <w:tc>
          <w:tcPr>
            <w:tcW w:w="814" w:type="dxa"/>
            <w:tcBorders>
              <w:bottom w:val="nil"/>
            </w:tcBorders>
            <w:shd w:val="clear" w:color="auto" w:fill="auto"/>
          </w:tcPr>
          <w:p w14:paraId="78CDEBAF" w14:textId="77777777" w:rsidR="000A1AAE" w:rsidRPr="005977C6" w:rsidRDefault="000A1AAE" w:rsidP="005977C6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</w:p>
        </w:tc>
        <w:tc>
          <w:tcPr>
            <w:tcW w:w="1009" w:type="dxa"/>
            <w:tcBorders>
              <w:bottom w:val="nil"/>
            </w:tcBorders>
            <w:shd w:val="clear" w:color="auto" w:fill="auto"/>
            <w:vAlign w:val="bottom"/>
            <w:hideMark/>
          </w:tcPr>
          <w:p w14:paraId="0ED7873F" w14:textId="77777777" w:rsidR="000A1AAE" w:rsidRPr="005977C6" w:rsidRDefault="000A1AAE" w:rsidP="005977C6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5977C6">
              <w:rPr>
                <w:sz w:val="18"/>
              </w:rPr>
              <w:t>1</w:t>
            </w:r>
          </w:p>
        </w:tc>
        <w:tc>
          <w:tcPr>
            <w:tcW w:w="802" w:type="dxa"/>
            <w:tcBorders>
              <w:bottom w:val="nil"/>
            </w:tcBorders>
            <w:shd w:val="clear" w:color="auto" w:fill="auto"/>
            <w:vAlign w:val="bottom"/>
            <w:hideMark/>
          </w:tcPr>
          <w:p w14:paraId="7D6C3A4C" w14:textId="77777777" w:rsidR="000A1AAE" w:rsidRPr="005977C6" w:rsidRDefault="000A1AAE" w:rsidP="005977C6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5977C6">
              <w:rPr>
                <w:sz w:val="18"/>
              </w:rPr>
              <w:t>1</w:t>
            </w:r>
          </w:p>
        </w:tc>
        <w:tc>
          <w:tcPr>
            <w:tcW w:w="734" w:type="dxa"/>
            <w:tcBorders>
              <w:bottom w:val="nil"/>
            </w:tcBorders>
            <w:shd w:val="clear" w:color="auto" w:fill="auto"/>
            <w:vAlign w:val="bottom"/>
            <w:hideMark/>
          </w:tcPr>
          <w:p w14:paraId="3C058193" w14:textId="77777777" w:rsidR="000A1AAE" w:rsidRPr="005977C6" w:rsidRDefault="000A1AAE" w:rsidP="005977C6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5977C6">
              <w:rPr>
                <w:sz w:val="18"/>
              </w:rPr>
              <w:t>0</w:t>
            </w:r>
          </w:p>
        </w:tc>
        <w:tc>
          <w:tcPr>
            <w:tcW w:w="1022" w:type="dxa"/>
            <w:tcBorders>
              <w:bottom w:val="nil"/>
            </w:tcBorders>
            <w:shd w:val="clear" w:color="auto" w:fill="auto"/>
            <w:vAlign w:val="bottom"/>
            <w:hideMark/>
          </w:tcPr>
          <w:p w14:paraId="3A48C9EE" w14:textId="77777777" w:rsidR="000A1AAE" w:rsidRPr="005977C6" w:rsidRDefault="000A1AAE" w:rsidP="005977C6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5977C6">
              <w:rPr>
                <w:sz w:val="18"/>
              </w:rPr>
              <w:t>minor</w:t>
            </w:r>
          </w:p>
        </w:tc>
        <w:tc>
          <w:tcPr>
            <w:tcW w:w="1342" w:type="dxa"/>
            <w:tcBorders>
              <w:bottom w:val="nil"/>
            </w:tcBorders>
            <w:shd w:val="clear" w:color="auto" w:fill="auto"/>
            <w:vAlign w:val="bottom"/>
            <w:hideMark/>
          </w:tcPr>
          <w:p w14:paraId="15778E06" w14:textId="77777777" w:rsidR="000A1AAE" w:rsidRPr="005977C6" w:rsidRDefault="000A1AAE" w:rsidP="005977C6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5977C6">
              <w:rPr>
                <w:sz w:val="18"/>
              </w:rPr>
              <w:t>Maltese</w:t>
            </w:r>
          </w:p>
        </w:tc>
        <w:tc>
          <w:tcPr>
            <w:tcW w:w="1647" w:type="dxa"/>
            <w:tcBorders>
              <w:bottom w:val="nil"/>
            </w:tcBorders>
            <w:shd w:val="clear" w:color="auto" w:fill="auto"/>
            <w:vAlign w:val="bottom"/>
          </w:tcPr>
          <w:p w14:paraId="26903880" w14:textId="77777777" w:rsidR="000A1AAE" w:rsidRPr="005977C6" w:rsidRDefault="000A1AAE" w:rsidP="005977C6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</w:p>
        </w:tc>
      </w:tr>
      <w:tr w:rsidR="005977C6" w:rsidRPr="005977C6" w14:paraId="585F598C" w14:textId="77777777" w:rsidTr="00112445">
        <w:tc>
          <w:tcPr>
            <w:tcW w:w="814" w:type="dxa"/>
            <w:tcBorders>
              <w:top w:val="nil"/>
              <w:bottom w:val="nil"/>
            </w:tcBorders>
            <w:shd w:val="clear" w:color="auto" w:fill="auto"/>
          </w:tcPr>
          <w:p w14:paraId="3B05CEE1" w14:textId="77777777" w:rsidR="000A1AAE" w:rsidRPr="005977C6" w:rsidRDefault="000A1AAE" w:rsidP="005977C6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14:paraId="68DE61CE" w14:textId="77777777" w:rsidR="000A1AAE" w:rsidRPr="005977C6" w:rsidRDefault="000A1AAE" w:rsidP="005977C6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5977C6">
              <w:rPr>
                <w:sz w:val="18"/>
              </w:rPr>
              <w:t>1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14:paraId="365B1465" w14:textId="77777777" w:rsidR="000A1AAE" w:rsidRPr="005977C6" w:rsidRDefault="000A1AAE" w:rsidP="005977C6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5977C6">
              <w:rPr>
                <w:sz w:val="18"/>
              </w:rPr>
              <w:t>1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14:paraId="5F2A4A7F" w14:textId="77777777" w:rsidR="000A1AAE" w:rsidRPr="005977C6" w:rsidRDefault="000A1AAE" w:rsidP="005977C6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5977C6">
              <w:rPr>
                <w:sz w:val="18"/>
              </w:rPr>
              <w:t>0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14:paraId="7478C1E0" w14:textId="77777777" w:rsidR="000A1AAE" w:rsidRPr="005977C6" w:rsidRDefault="000A1AAE" w:rsidP="005977C6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5977C6">
              <w:rPr>
                <w:sz w:val="18"/>
              </w:rPr>
              <w:t>adult</w:t>
            </w:r>
          </w:p>
        </w:tc>
        <w:tc>
          <w:tcPr>
            <w:tcW w:w="1342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14:paraId="57B2A31D" w14:textId="77777777" w:rsidR="000A1AAE" w:rsidRPr="005977C6" w:rsidRDefault="000A1AAE" w:rsidP="005977C6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5977C6">
              <w:rPr>
                <w:sz w:val="18"/>
              </w:rPr>
              <w:t>Philippines</w:t>
            </w:r>
          </w:p>
        </w:tc>
        <w:tc>
          <w:tcPr>
            <w:tcW w:w="1647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14:paraId="7B28695F" w14:textId="77777777" w:rsidR="000A1AAE" w:rsidRPr="005977C6" w:rsidRDefault="000A1AAE" w:rsidP="005977C6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5977C6">
              <w:rPr>
                <w:sz w:val="18"/>
              </w:rPr>
              <w:t>Labour</w:t>
            </w:r>
          </w:p>
        </w:tc>
      </w:tr>
      <w:tr w:rsidR="005977C6" w:rsidRPr="005977C6" w14:paraId="54AA2265" w14:textId="77777777" w:rsidTr="00112445">
        <w:tc>
          <w:tcPr>
            <w:tcW w:w="814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5CFB2966" w14:textId="77777777" w:rsidR="000A1AAE" w:rsidRPr="005977C6" w:rsidRDefault="000A1AAE" w:rsidP="005977C6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  <w:r w:rsidRPr="005977C6">
              <w:rPr>
                <w:sz w:val="18"/>
              </w:rPr>
              <w:lastRenderedPageBreak/>
              <w:t>2019</w:t>
            </w:r>
          </w:p>
        </w:tc>
        <w:tc>
          <w:tcPr>
            <w:tcW w:w="1009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2A700A38" w14:textId="77777777" w:rsidR="000A1AAE" w:rsidRPr="005977C6" w:rsidRDefault="000A1AAE" w:rsidP="005977C6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</w:p>
        </w:tc>
        <w:tc>
          <w:tcPr>
            <w:tcW w:w="802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2744C9DB" w14:textId="77777777" w:rsidR="000A1AAE" w:rsidRPr="005977C6" w:rsidRDefault="000A1AAE" w:rsidP="005977C6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1500A34A" w14:textId="77777777" w:rsidR="000A1AAE" w:rsidRPr="005977C6" w:rsidRDefault="000A1AAE" w:rsidP="005977C6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</w:p>
        </w:tc>
        <w:tc>
          <w:tcPr>
            <w:tcW w:w="1022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5485015C" w14:textId="77777777" w:rsidR="000A1AAE" w:rsidRPr="005977C6" w:rsidRDefault="000A1AAE" w:rsidP="005977C6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</w:p>
        </w:tc>
        <w:tc>
          <w:tcPr>
            <w:tcW w:w="1342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0D91F819" w14:textId="77777777" w:rsidR="000A1AAE" w:rsidRPr="005977C6" w:rsidRDefault="000A1AAE" w:rsidP="005977C6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</w:p>
        </w:tc>
        <w:tc>
          <w:tcPr>
            <w:tcW w:w="1647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33E78A1C" w14:textId="77777777" w:rsidR="000A1AAE" w:rsidRPr="005977C6" w:rsidRDefault="000A1AAE" w:rsidP="005977C6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</w:p>
        </w:tc>
      </w:tr>
      <w:tr w:rsidR="005977C6" w:rsidRPr="005977C6" w14:paraId="1E23F607" w14:textId="77777777" w:rsidTr="007A0D2F"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F66ECF" w14:textId="77777777" w:rsidR="000A1AAE" w:rsidRPr="005977C6" w:rsidRDefault="000A1AAE" w:rsidP="005977C6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205C72E" w14:textId="77777777" w:rsidR="000A1AAE" w:rsidRPr="005977C6" w:rsidRDefault="000A1AAE" w:rsidP="005977C6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5977C6">
              <w:rPr>
                <w:sz w:val="18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2B6EA3C" w14:textId="77777777" w:rsidR="000A1AAE" w:rsidRPr="005977C6" w:rsidRDefault="000A1AAE" w:rsidP="005977C6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5977C6">
              <w:rPr>
                <w:sz w:val="18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E44ADF4" w14:textId="77777777" w:rsidR="000A1AAE" w:rsidRPr="005977C6" w:rsidRDefault="000A1AAE" w:rsidP="005977C6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5977C6">
              <w:rPr>
                <w:sz w:val="18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BD23F49" w14:textId="77777777" w:rsidR="000A1AAE" w:rsidRPr="005977C6" w:rsidRDefault="000A1AAE" w:rsidP="005977C6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5977C6">
              <w:rPr>
                <w:sz w:val="18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BD2B599" w14:textId="77777777" w:rsidR="000A1AAE" w:rsidRPr="005977C6" w:rsidRDefault="000A1AAE" w:rsidP="005977C6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5977C6">
              <w:rPr>
                <w:sz w:val="18"/>
              </w:rPr>
              <w:t>0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D8DA5F1" w14:textId="77777777" w:rsidR="000A1AAE" w:rsidRPr="005977C6" w:rsidRDefault="000A1AAE" w:rsidP="005977C6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5977C6">
              <w:rPr>
                <w:sz w:val="18"/>
              </w:rPr>
              <w:t>0</w:t>
            </w:r>
          </w:p>
        </w:tc>
      </w:tr>
      <w:tr w:rsidR="005977C6" w:rsidRPr="005977C6" w14:paraId="6AF622D0" w14:textId="77777777" w:rsidTr="007A0D2F"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4A23E76" w14:textId="77777777" w:rsidR="000A1AAE" w:rsidRPr="005977C6" w:rsidRDefault="000A1AAE" w:rsidP="005977C6">
            <w:pPr>
              <w:keepNext/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  <w:r w:rsidRPr="005977C6">
              <w:rPr>
                <w:sz w:val="18"/>
              </w:rPr>
              <w:t>2020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F431F7E" w14:textId="77777777" w:rsidR="000A1AAE" w:rsidRPr="005977C6" w:rsidRDefault="000A1AAE" w:rsidP="005977C6">
            <w:pPr>
              <w:keepNext/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D1BEA76" w14:textId="77777777" w:rsidR="000A1AAE" w:rsidRPr="005977C6" w:rsidRDefault="000A1AAE" w:rsidP="005977C6">
            <w:pPr>
              <w:keepNext/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2FE6180" w14:textId="77777777" w:rsidR="000A1AAE" w:rsidRPr="005977C6" w:rsidRDefault="000A1AAE" w:rsidP="005977C6">
            <w:pPr>
              <w:keepNext/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3EF1A8D" w14:textId="77777777" w:rsidR="000A1AAE" w:rsidRPr="005977C6" w:rsidRDefault="000A1AAE" w:rsidP="005977C6">
            <w:pPr>
              <w:keepNext/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6DA9620" w14:textId="77777777" w:rsidR="000A1AAE" w:rsidRPr="005977C6" w:rsidRDefault="000A1AAE" w:rsidP="005977C6">
            <w:pPr>
              <w:keepNext/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ABE209D" w14:textId="77777777" w:rsidR="000A1AAE" w:rsidRPr="005977C6" w:rsidRDefault="000A1AAE" w:rsidP="005977C6">
            <w:pPr>
              <w:keepNext/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</w:p>
        </w:tc>
      </w:tr>
      <w:tr w:rsidR="005977C6" w:rsidRPr="005977C6" w14:paraId="113BF6C8" w14:textId="77777777" w:rsidTr="005977C6">
        <w:tc>
          <w:tcPr>
            <w:tcW w:w="814" w:type="dxa"/>
            <w:tcBorders>
              <w:top w:val="single" w:sz="4" w:space="0" w:color="auto"/>
            </w:tcBorders>
            <w:shd w:val="clear" w:color="auto" w:fill="auto"/>
          </w:tcPr>
          <w:p w14:paraId="7FA28875" w14:textId="77777777" w:rsidR="000A1AAE" w:rsidRPr="005977C6" w:rsidRDefault="000A1AAE" w:rsidP="005977C6">
            <w:pPr>
              <w:keepNext/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1959FD4C" w14:textId="77777777" w:rsidR="000A1AAE" w:rsidRPr="005977C6" w:rsidRDefault="000A1AAE" w:rsidP="005977C6">
            <w:pPr>
              <w:keepNext/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5977C6">
              <w:rPr>
                <w:sz w:val="18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2C570BC7" w14:textId="77777777" w:rsidR="000A1AAE" w:rsidRPr="005977C6" w:rsidRDefault="000A1AAE" w:rsidP="005977C6">
            <w:pPr>
              <w:keepNext/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5977C6">
              <w:rPr>
                <w:sz w:val="18"/>
              </w:rPr>
              <w:t>4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226B897E" w14:textId="77777777" w:rsidR="000A1AAE" w:rsidRPr="005977C6" w:rsidRDefault="000A1AAE" w:rsidP="005977C6">
            <w:pPr>
              <w:keepNext/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5977C6">
              <w:rPr>
                <w:sz w:val="18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12866318" w14:textId="2107C20D" w:rsidR="000A1AAE" w:rsidRPr="005977C6" w:rsidRDefault="000A1AAE" w:rsidP="005977C6">
            <w:pPr>
              <w:keepNext/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5977C6">
              <w:rPr>
                <w:sz w:val="18"/>
              </w:rPr>
              <w:t>1</w:t>
            </w:r>
            <w:r w:rsidR="00D52FD0" w:rsidRPr="005977C6">
              <w:rPr>
                <w:sz w:val="18"/>
              </w:rPr>
              <w:t xml:space="preserve"> </w:t>
            </w:r>
            <w:r w:rsidRPr="005977C6">
              <w:rPr>
                <w:sz w:val="18"/>
              </w:rPr>
              <w:t>adult</w:t>
            </w:r>
          </w:p>
        </w:tc>
        <w:tc>
          <w:tcPr>
            <w:tcW w:w="1342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48944BA9" w14:textId="08191FA1" w:rsidR="000A1AAE" w:rsidRPr="005977C6" w:rsidRDefault="000A1AAE" w:rsidP="005977C6">
            <w:pPr>
              <w:keepNext/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5977C6">
              <w:rPr>
                <w:sz w:val="18"/>
              </w:rPr>
              <w:t>1</w:t>
            </w:r>
            <w:r w:rsidR="00D52FD0" w:rsidRPr="005977C6">
              <w:rPr>
                <w:sz w:val="18"/>
              </w:rPr>
              <w:t xml:space="preserve"> </w:t>
            </w:r>
            <w:r w:rsidRPr="005977C6">
              <w:rPr>
                <w:sz w:val="18"/>
              </w:rPr>
              <w:t>Philippines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7C277838" w14:textId="3F9782D0" w:rsidR="000A1AAE" w:rsidRPr="005977C6" w:rsidRDefault="000A1AAE" w:rsidP="005977C6">
            <w:pPr>
              <w:keepNext/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5977C6">
              <w:rPr>
                <w:sz w:val="18"/>
              </w:rPr>
              <w:t>Labour</w:t>
            </w:r>
            <w:r w:rsidR="00D52FD0" w:rsidRPr="005977C6">
              <w:rPr>
                <w:sz w:val="18"/>
              </w:rPr>
              <w:t xml:space="preserve"> </w:t>
            </w:r>
            <w:r w:rsidRPr="005977C6">
              <w:rPr>
                <w:sz w:val="18"/>
              </w:rPr>
              <w:t>and</w:t>
            </w:r>
            <w:r w:rsidR="00D52FD0" w:rsidRPr="005977C6">
              <w:rPr>
                <w:sz w:val="18"/>
              </w:rPr>
              <w:t xml:space="preserve"> </w:t>
            </w:r>
            <w:r w:rsidRPr="005977C6">
              <w:rPr>
                <w:sz w:val="18"/>
              </w:rPr>
              <w:t>sexual</w:t>
            </w:r>
          </w:p>
        </w:tc>
      </w:tr>
      <w:tr w:rsidR="000A1AAE" w:rsidRPr="005977C6" w14:paraId="64B4F3E2" w14:textId="77777777" w:rsidTr="005977C6">
        <w:tc>
          <w:tcPr>
            <w:tcW w:w="814" w:type="dxa"/>
            <w:shd w:val="clear" w:color="auto" w:fill="auto"/>
          </w:tcPr>
          <w:p w14:paraId="447702A4" w14:textId="77777777" w:rsidR="000A1AAE" w:rsidRPr="005977C6" w:rsidRDefault="000A1AAE" w:rsidP="005977C6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</w:p>
        </w:tc>
        <w:tc>
          <w:tcPr>
            <w:tcW w:w="1009" w:type="dxa"/>
            <w:shd w:val="clear" w:color="auto" w:fill="auto"/>
            <w:vAlign w:val="bottom"/>
          </w:tcPr>
          <w:p w14:paraId="24AD18F5" w14:textId="77777777" w:rsidR="000A1AAE" w:rsidRPr="005977C6" w:rsidRDefault="000A1AAE" w:rsidP="005977C6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</w:p>
        </w:tc>
        <w:tc>
          <w:tcPr>
            <w:tcW w:w="802" w:type="dxa"/>
            <w:shd w:val="clear" w:color="auto" w:fill="auto"/>
            <w:vAlign w:val="bottom"/>
          </w:tcPr>
          <w:p w14:paraId="1FA33E81" w14:textId="77777777" w:rsidR="000A1AAE" w:rsidRPr="005977C6" w:rsidRDefault="000A1AAE" w:rsidP="005977C6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</w:p>
        </w:tc>
        <w:tc>
          <w:tcPr>
            <w:tcW w:w="734" w:type="dxa"/>
            <w:shd w:val="clear" w:color="auto" w:fill="auto"/>
            <w:vAlign w:val="bottom"/>
          </w:tcPr>
          <w:p w14:paraId="54A1A9FD" w14:textId="77777777" w:rsidR="000A1AAE" w:rsidRPr="005977C6" w:rsidRDefault="000A1AAE" w:rsidP="005977C6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</w:p>
        </w:tc>
        <w:tc>
          <w:tcPr>
            <w:tcW w:w="1022" w:type="dxa"/>
            <w:shd w:val="clear" w:color="auto" w:fill="auto"/>
            <w:vAlign w:val="bottom"/>
            <w:hideMark/>
          </w:tcPr>
          <w:p w14:paraId="5903218E" w14:textId="499C0608" w:rsidR="000A1AAE" w:rsidRPr="005977C6" w:rsidRDefault="000A1AAE" w:rsidP="005977C6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5977C6">
              <w:rPr>
                <w:sz w:val="18"/>
              </w:rPr>
              <w:t>3</w:t>
            </w:r>
            <w:r w:rsidR="00D52FD0" w:rsidRPr="005977C6">
              <w:rPr>
                <w:sz w:val="18"/>
              </w:rPr>
              <w:t xml:space="preserve"> </w:t>
            </w:r>
            <w:r w:rsidRPr="005977C6">
              <w:rPr>
                <w:sz w:val="18"/>
              </w:rPr>
              <w:t>minors</w:t>
            </w:r>
          </w:p>
        </w:tc>
        <w:tc>
          <w:tcPr>
            <w:tcW w:w="1342" w:type="dxa"/>
            <w:shd w:val="clear" w:color="auto" w:fill="auto"/>
            <w:vAlign w:val="bottom"/>
            <w:hideMark/>
          </w:tcPr>
          <w:p w14:paraId="682B2BD6" w14:textId="78AD3D91" w:rsidR="000A1AAE" w:rsidRPr="005977C6" w:rsidRDefault="000A1AAE" w:rsidP="005977C6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5977C6">
              <w:rPr>
                <w:sz w:val="18"/>
              </w:rPr>
              <w:t>3</w:t>
            </w:r>
            <w:r w:rsidR="00D52FD0" w:rsidRPr="005977C6">
              <w:rPr>
                <w:sz w:val="18"/>
              </w:rPr>
              <w:t xml:space="preserve"> </w:t>
            </w:r>
            <w:r w:rsidRPr="005977C6">
              <w:rPr>
                <w:sz w:val="18"/>
              </w:rPr>
              <w:t>Maltese</w:t>
            </w:r>
          </w:p>
        </w:tc>
        <w:tc>
          <w:tcPr>
            <w:tcW w:w="1647" w:type="dxa"/>
            <w:shd w:val="clear" w:color="auto" w:fill="auto"/>
            <w:vAlign w:val="bottom"/>
            <w:hideMark/>
          </w:tcPr>
          <w:p w14:paraId="5B3D961E" w14:textId="77777777" w:rsidR="000A1AAE" w:rsidRPr="005977C6" w:rsidRDefault="000A1AAE" w:rsidP="005977C6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5977C6">
              <w:rPr>
                <w:sz w:val="18"/>
              </w:rPr>
              <w:t>Sexual</w:t>
            </w:r>
          </w:p>
        </w:tc>
      </w:tr>
    </w:tbl>
    <w:p w14:paraId="13C81BE6" w14:textId="4E6BC767" w:rsidR="000A1AAE" w:rsidRPr="00A841AA" w:rsidRDefault="000A1AAE" w:rsidP="005977C6">
      <w:pPr>
        <w:pStyle w:val="H23G"/>
      </w:pPr>
      <w:r>
        <w:tab/>
      </w:r>
      <w:r>
        <w:tab/>
      </w:r>
      <w:r w:rsidRPr="00A841AA">
        <w:t>Administrative</w:t>
      </w:r>
      <w:r w:rsidR="00D52FD0">
        <w:t xml:space="preserve"> </w:t>
      </w:r>
      <w:r w:rsidRPr="00A841AA">
        <w:t>detention</w:t>
      </w:r>
      <w:r w:rsidR="00D52FD0">
        <w:t xml:space="preserve"> </w:t>
      </w:r>
      <w:r w:rsidRPr="00A841AA">
        <w:t>of</w:t>
      </w:r>
      <w:r w:rsidR="00D52FD0">
        <w:t xml:space="preserve"> </w:t>
      </w:r>
      <w:r w:rsidRPr="00A841AA">
        <w:t>migrants</w:t>
      </w:r>
      <w:r w:rsidR="00D52FD0">
        <w:t xml:space="preserve"> </w:t>
      </w:r>
      <w:r w:rsidRPr="00A841AA">
        <w:t>and</w:t>
      </w:r>
      <w:r w:rsidR="00D52FD0">
        <w:t xml:space="preserve"> </w:t>
      </w:r>
      <w:r w:rsidRPr="00A841AA">
        <w:t>asylum</w:t>
      </w:r>
      <w:r w:rsidR="00D52FD0">
        <w:t xml:space="preserve"> </w:t>
      </w:r>
      <w:r w:rsidRPr="00A841AA">
        <w:t>seekers</w:t>
      </w:r>
    </w:p>
    <w:p w14:paraId="7EE304BE" w14:textId="32EAA3C3" w:rsidR="000A1AAE" w:rsidRPr="00A841AA" w:rsidRDefault="0044637E" w:rsidP="0044637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841AA">
        <w:t>53.</w:t>
      </w:r>
      <w:r w:rsidRPr="00A841AA">
        <w:tab/>
      </w:r>
      <w:r w:rsidR="000A1AAE" w:rsidRPr="00A841AA">
        <w:t>An</w:t>
      </w:r>
      <w:r w:rsidR="00D52FD0">
        <w:t xml:space="preserve"> </w:t>
      </w:r>
      <w:r w:rsidR="000A1AAE" w:rsidRPr="00A841AA">
        <w:t>individual</w:t>
      </w:r>
      <w:r w:rsidR="00D52FD0">
        <w:t xml:space="preserve"> </w:t>
      </w:r>
      <w:r w:rsidR="000A1AAE" w:rsidRPr="00A841AA">
        <w:t>assessment</w:t>
      </w:r>
      <w:r w:rsidR="00D52FD0">
        <w:t xml:space="preserve"> </w:t>
      </w:r>
      <w:r w:rsidR="000A1AAE" w:rsidRPr="00A841AA">
        <w:t>is</w:t>
      </w:r>
      <w:r w:rsidR="00D52FD0">
        <w:t xml:space="preserve"> </w:t>
      </w:r>
      <w:r w:rsidR="000A1AAE" w:rsidRPr="00A841AA">
        <w:t>carried</w:t>
      </w:r>
      <w:r w:rsidR="00D52FD0">
        <w:t xml:space="preserve"> </w:t>
      </w:r>
      <w:r w:rsidR="000A1AAE" w:rsidRPr="00A841AA">
        <w:t>out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respect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each</w:t>
      </w:r>
      <w:r w:rsidR="00D52FD0">
        <w:t xml:space="preserve"> </w:t>
      </w:r>
      <w:r w:rsidR="000A1AAE" w:rsidRPr="00A841AA">
        <w:t>asylum</w:t>
      </w:r>
      <w:r w:rsidR="00D52FD0">
        <w:t xml:space="preserve"> </w:t>
      </w:r>
      <w:r w:rsidR="000A1AAE" w:rsidRPr="00A841AA">
        <w:t>seeker</w:t>
      </w:r>
      <w:r w:rsidR="00D52FD0">
        <w:t xml:space="preserve"> </w:t>
      </w:r>
      <w:r w:rsidR="000A1AAE" w:rsidRPr="00A841AA">
        <w:t>who</w:t>
      </w:r>
      <w:r w:rsidR="00D52FD0">
        <w:t xml:space="preserve"> </w:t>
      </w:r>
      <w:r w:rsidR="000A1AAE" w:rsidRPr="00A841AA">
        <w:t>enters</w:t>
      </w:r>
      <w:r w:rsidR="00D52FD0">
        <w:t xml:space="preserve"> </w:t>
      </w:r>
      <w:r w:rsidR="000A1AAE" w:rsidRPr="00A841AA">
        <w:t>irregularly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detention</w:t>
      </w:r>
      <w:r w:rsidR="00D52FD0">
        <w:t xml:space="preserve"> </w:t>
      </w:r>
      <w:r w:rsidR="000A1AAE" w:rsidRPr="00A841AA">
        <w:t>order</w:t>
      </w:r>
      <w:r w:rsidR="00D52FD0">
        <w:t xml:space="preserve"> </w:t>
      </w:r>
      <w:r w:rsidR="000A1AAE" w:rsidRPr="00A841AA">
        <w:t>is</w:t>
      </w:r>
      <w:r w:rsidR="00D52FD0">
        <w:t xml:space="preserve"> </w:t>
      </w:r>
      <w:r w:rsidR="000A1AAE" w:rsidRPr="00A841AA">
        <w:t>issued</w:t>
      </w:r>
      <w:r w:rsidR="00D52FD0">
        <w:t xml:space="preserve"> </w:t>
      </w:r>
      <w:r w:rsidR="000A1AAE" w:rsidRPr="00A841AA">
        <w:t>only</w:t>
      </w:r>
      <w:r w:rsidR="00D52FD0">
        <w:t xml:space="preserve"> </w:t>
      </w:r>
      <w:r w:rsidR="000A1AAE" w:rsidRPr="00A841AA">
        <w:t>where</w:t>
      </w:r>
      <w:r w:rsidR="00D52FD0">
        <w:t xml:space="preserve"> </w:t>
      </w:r>
      <w:r w:rsidR="000A1AAE" w:rsidRPr="00A841AA">
        <w:t>necessary.</w:t>
      </w:r>
      <w:r w:rsidR="00D52FD0">
        <w:t xml:space="preserve"> </w:t>
      </w:r>
      <w:r w:rsidR="000A1AAE" w:rsidRPr="00A841AA">
        <w:t>Plans</w:t>
      </w:r>
      <w:r w:rsidR="00D52FD0">
        <w:t xml:space="preserve"> </w:t>
      </w:r>
      <w:r w:rsidR="000A1AAE" w:rsidRPr="00A841AA">
        <w:t>are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hand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make</w:t>
      </w:r>
      <w:r w:rsidR="00D52FD0">
        <w:t xml:space="preserve"> </w:t>
      </w:r>
      <w:r w:rsidR="000A1AAE" w:rsidRPr="00A841AA">
        <w:t>explicit</w:t>
      </w:r>
      <w:r w:rsidR="00D52FD0">
        <w:t xml:space="preserve"> </w:t>
      </w:r>
      <w:r w:rsidR="000A1AAE" w:rsidRPr="00A841AA">
        <w:t>reference</w:t>
      </w:r>
      <w:r w:rsidR="00D52FD0">
        <w:t xml:space="preserve"> </w:t>
      </w:r>
      <w:r w:rsidR="000A1AAE" w:rsidRPr="00A841AA">
        <w:t>that</w:t>
      </w:r>
      <w:r w:rsidR="00D52FD0">
        <w:t xml:space="preserve"> </w:t>
      </w:r>
      <w:r w:rsidR="000A1AAE" w:rsidRPr="00A841AA">
        <w:t>detention</w:t>
      </w:r>
      <w:r w:rsidR="00D52FD0">
        <w:t xml:space="preserve"> </w:t>
      </w:r>
      <w:r w:rsidR="000A1AAE" w:rsidRPr="00A841AA">
        <w:t>is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be</w:t>
      </w:r>
      <w:r w:rsidR="00D52FD0">
        <w:t xml:space="preserve"> </w:t>
      </w:r>
      <w:r w:rsidR="000A1AAE" w:rsidRPr="00A841AA">
        <w:t>a</w:t>
      </w:r>
      <w:r w:rsidR="00D52FD0">
        <w:t xml:space="preserve"> </w:t>
      </w:r>
      <w:r w:rsidR="000A1AAE" w:rsidRPr="00A841AA">
        <w:t>measure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last</w:t>
      </w:r>
      <w:r w:rsidR="00D52FD0">
        <w:t xml:space="preserve"> </w:t>
      </w:r>
      <w:r w:rsidR="000A1AAE" w:rsidRPr="00A841AA">
        <w:t>resort.</w:t>
      </w:r>
      <w:r w:rsidR="00D52FD0">
        <w:t xml:space="preserve"> </w:t>
      </w:r>
      <w:r w:rsidR="000A1AAE" w:rsidRPr="00A841AA">
        <w:t>At</w:t>
      </w:r>
      <w:r w:rsidR="00D52FD0">
        <w:t xml:space="preserve"> </w:t>
      </w:r>
      <w:r w:rsidR="000A1AAE" w:rsidRPr="00A841AA">
        <w:t>present</w:t>
      </w:r>
      <w:r w:rsidR="00D52FD0">
        <w:t xml:space="preserve"> </w:t>
      </w:r>
      <w:r w:rsidR="000A1AAE" w:rsidRPr="00A841AA">
        <w:t>there</w:t>
      </w:r>
      <w:r w:rsidR="00D52FD0">
        <w:t xml:space="preserve"> </w:t>
      </w:r>
      <w:r w:rsidR="000A1AAE" w:rsidRPr="00A841AA">
        <w:t>are</w:t>
      </w:r>
      <w:r w:rsidR="00D52FD0">
        <w:t xml:space="preserve"> </w:t>
      </w:r>
      <w:r w:rsidR="000A1AAE" w:rsidRPr="00A841AA">
        <w:t>no</w:t>
      </w:r>
      <w:r w:rsidR="00D52FD0">
        <w:t xml:space="preserve"> </w:t>
      </w:r>
      <w:r w:rsidR="000A1AAE" w:rsidRPr="00A841AA">
        <w:t>plans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reduce</w:t>
      </w:r>
      <w:r w:rsidR="00D52FD0">
        <w:t xml:space="preserve"> </w:t>
      </w:r>
      <w:r w:rsidR="000A1AAE" w:rsidRPr="00A841AA">
        <w:t>further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initial</w:t>
      </w:r>
      <w:r w:rsidR="00D52FD0">
        <w:t xml:space="preserve"> </w:t>
      </w:r>
      <w:r w:rsidR="000A1AAE" w:rsidRPr="00A841AA">
        <w:t>judicial</w:t>
      </w:r>
      <w:r w:rsidR="00D52FD0">
        <w:t xml:space="preserve"> </w:t>
      </w:r>
      <w:r w:rsidR="000A1AAE" w:rsidRPr="00A841AA">
        <w:t>review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detention</w:t>
      </w:r>
      <w:r w:rsidR="00D52FD0">
        <w:t xml:space="preserve"> </w:t>
      </w:r>
      <w:r w:rsidR="000A1AAE" w:rsidRPr="00A841AA">
        <w:t>orders.</w:t>
      </w:r>
    </w:p>
    <w:p w14:paraId="6639E415" w14:textId="3E3FDC13" w:rsidR="000A1AAE" w:rsidRPr="00A841AA" w:rsidRDefault="0044637E" w:rsidP="0044637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841AA">
        <w:t>54.</w:t>
      </w:r>
      <w:r w:rsidRPr="00A841AA">
        <w:tab/>
      </w:r>
      <w:r w:rsidR="000A1AAE" w:rsidRPr="00A841AA">
        <w:t>A</w:t>
      </w:r>
      <w:r w:rsidR="00D52FD0">
        <w:t xml:space="preserve"> </w:t>
      </w:r>
      <w:r w:rsidR="000A1AAE" w:rsidRPr="00A841AA">
        <w:t>therapeutic</w:t>
      </w:r>
      <w:r w:rsidR="00D52FD0">
        <w:t xml:space="preserve"> </w:t>
      </w:r>
      <w:r w:rsidR="000A1AAE" w:rsidRPr="00A841AA">
        <w:t>team</w:t>
      </w:r>
      <w:r w:rsidR="00D52FD0">
        <w:t xml:space="preserve"> </w:t>
      </w:r>
      <w:r w:rsidR="000A1AAE" w:rsidRPr="00A841AA">
        <w:t>has</w:t>
      </w:r>
      <w:r w:rsidR="00D52FD0">
        <w:t xml:space="preserve"> </w:t>
      </w:r>
      <w:r w:rsidR="000A1AAE" w:rsidRPr="00A841AA">
        <w:t>been</w:t>
      </w:r>
      <w:r w:rsidR="00D52FD0">
        <w:t xml:space="preserve"> </w:t>
      </w:r>
      <w:r w:rsidR="000A1AAE" w:rsidRPr="00A841AA">
        <w:t>set</w:t>
      </w:r>
      <w:r w:rsidR="00D52FD0">
        <w:t xml:space="preserve"> </w:t>
      </w:r>
      <w:r w:rsidR="000A1AAE" w:rsidRPr="00A841AA">
        <w:t>up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2019</w:t>
      </w:r>
      <w:r w:rsidR="00D52FD0">
        <w:t xml:space="preserve"> </w:t>
      </w:r>
      <w:r w:rsidR="000A1AAE" w:rsidRPr="00A841AA">
        <w:t>consisting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Assistant</w:t>
      </w:r>
      <w:r w:rsidR="00D52FD0">
        <w:t xml:space="preserve"> </w:t>
      </w:r>
      <w:r w:rsidR="000A1AAE" w:rsidRPr="00A841AA">
        <w:t>Psychological</w:t>
      </w:r>
      <w:r w:rsidR="00D52FD0">
        <w:t xml:space="preserve"> </w:t>
      </w:r>
      <w:r w:rsidR="000A1AAE" w:rsidRPr="00A841AA">
        <w:t>Officers</w:t>
      </w:r>
      <w:r w:rsidR="00D52FD0">
        <w:t xml:space="preserve"> </w:t>
      </w:r>
      <w:r w:rsidR="000A1AAE" w:rsidRPr="00A841AA">
        <w:t>(APO),</w:t>
      </w:r>
      <w:r w:rsidR="00D52FD0">
        <w:t xml:space="preserve"> </w:t>
      </w:r>
      <w:r w:rsidR="000A1AAE" w:rsidRPr="00A841AA">
        <w:t>interpreters,</w:t>
      </w:r>
      <w:r w:rsidR="00D52FD0">
        <w:t xml:space="preserve"> </w:t>
      </w:r>
      <w:r w:rsidR="000A1AAE" w:rsidRPr="00A841AA">
        <w:t>counsellors,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a</w:t>
      </w:r>
      <w:r w:rsidR="00D52FD0">
        <w:t xml:space="preserve"> </w:t>
      </w:r>
      <w:r w:rsidR="000A1AAE" w:rsidRPr="00A841AA">
        <w:t>psychologist</w:t>
      </w:r>
      <w:r w:rsidR="00D52FD0">
        <w:t xml:space="preserve"> </w:t>
      </w:r>
      <w:r w:rsidR="000A1AAE" w:rsidRPr="00A841AA">
        <w:t>who</w:t>
      </w:r>
      <w:r w:rsidR="00D52FD0">
        <w:t xml:space="preserve"> </w:t>
      </w:r>
      <w:r w:rsidR="000A1AAE" w:rsidRPr="00A841AA">
        <w:t>can</w:t>
      </w:r>
      <w:r w:rsidR="00D52FD0">
        <w:t xml:space="preserve"> </w:t>
      </w:r>
      <w:r w:rsidR="000A1AAE" w:rsidRPr="00A841AA">
        <w:t>be</w:t>
      </w:r>
      <w:r w:rsidR="00D52FD0">
        <w:t xml:space="preserve"> </w:t>
      </w:r>
      <w:r w:rsidR="000A1AAE" w:rsidRPr="00A841AA">
        <w:t>consulted</w:t>
      </w:r>
      <w:r w:rsidR="00D52FD0">
        <w:t xml:space="preserve"> </w:t>
      </w:r>
      <w:r w:rsidR="000A1AAE" w:rsidRPr="00A841AA">
        <w:t>daily.</w:t>
      </w:r>
      <w:r w:rsidR="00D52FD0">
        <w:t xml:space="preserve"> </w:t>
      </w:r>
      <w:r w:rsidR="000A1AAE" w:rsidRPr="00A841AA">
        <w:t>They</w:t>
      </w:r>
      <w:r w:rsidR="00D52FD0">
        <w:t xml:space="preserve"> </w:t>
      </w:r>
      <w:r w:rsidR="000A1AAE" w:rsidRPr="00A841AA">
        <w:t>also</w:t>
      </w:r>
      <w:r w:rsidR="00D52FD0">
        <w:t xml:space="preserve"> </w:t>
      </w:r>
      <w:r w:rsidR="000A1AAE" w:rsidRPr="00A841AA">
        <w:t>provide</w:t>
      </w:r>
      <w:r w:rsidR="00D52FD0">
        <w:t xml:space="preserve"> </w:t>
      </w:r>
      <w:r w:rsidR="000A1AAE" w:rsidRPr="00A841AA">
        <w:t>their</w:t>
      </w:r>
      <w:r w:rsidR="00D52FD0">
        <w:t xml:space="preserve"> </w:t>
      </w:r>
      <w:r w:rsidR="000A1AAE" w:rsidRPr="00A841AA">
        <w:t>services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open</w:t>
      </w:r>
      <w:r w:rsidR="00D52FD0">
        <w:t xml:space="preserve"> </w:t>
      </w:r>
      <w:r w:rsidR="000A1AAE" w:rsidRPr="00A841AA">
        <w:t>centres,</w:t>
      </w:r>
      <w:r w:rsidR="00D52FD0">
        <w:t xml:space="preserve"> </w:t>
      </w:r>
      <w:r w:rsidR="000A1AAE" w:rsidRPr="00A841AA">
        <w:t>detention</w:t>
      </w:r>
      <w:r w:rsidR="00D52FD0">
        <w:t xml:space="preserve"> </w:t>
      </w:r>
      <w:r w:rsidR="000A1AAE" w:rsidRPr="00A841AA">
        <w:t>centres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assess</w:t>
      </w:r>
      <w:r w:rsidR="00D52FD0">
        <w:t xml:space="preserve"> </w:t>
      </w:r>
      <w:r w:rsidR="000A1AAE" w:rsidRPr="00A841AA">
        <w:t>residents</w:t>
      </w:r>
      <w:r w:rsidR="00D52FD0">
        <w:t xml:space="preserve"> </w:t>
      </w:r>
      <w:r w:rsidR="000A1AAE" w:rsidRPr="00A841AA">
        <w:t>who</w:t>
      </w:r>
      <w:r w:rsidR="00D52FD0">
        <w:t xml:space="preserve"> </w:t>
      </w:r>
      <w:r w:rsidR="000A1AAE" w:rsidRPr="00A841AA">
        <w:t>are</w:t>
      </w:r>
      <w:r w:rsidR="00D52FD0">
        <w:t xml:space="preserve"> </w:t>
      </w:r>
      <w:r w:rsidR="000A1AAE" w:rsidRPr="00A841AA">
        <w:t>admitted</w:t>
      </w:r>
      <w:r w:rsidR="00D52FD0">
        <w:t xml:space="preserve"> </w:t>
      </w:r>
      <w:r w:rsidR="000A1AAE" w:rsidRPr="00A841AA">
        <w:t>at</w:t>
      </w:r>
      <w:r w:rsidR="00D52FD0">
        <w:t xml:space="preserve"> </w:t>
      </w:r>
      <w:r w:rsidR="000A1AAE" w:rsidRPr="00A841AA">
        <w:t>Mount</w:t>
      </w:r>
      <w:r w:rsidR="00D52FD0">
        <w:t xml:space="preserve"> </w:t>
      </w:r>
      <w:r w:rsidR="000A1AAE" w:rsidRPr="00A841AA">
        <w:t>Carmel</w:t>
      </w:r>
      <w:r w:rsidR="00D52FD0">
        <w:t xml:space="preserve"> </w:t>
      </w:r>
      <w:r w:rsidR="000A1AAE" w:rsidRPr="00A841AA">
        <w:t>Hospital.</w:t>
      </w:r>
      <w:r w:rsidR="00D52FD0">
        <w:t xml:space="preserve"> </w:t>
      </w:r>
      <w:r w:rsidR="000A1AAE" w:rsidRPr="00A841AA">
        <w:t>Interpreters</w:t>
      </w:r>
      <w:r w:rsidR="00D52FD0">
        <w:t xml:space="preserve"> </w:t>
      </w:r>
      <w:r w:rsidR="000A1AAE" w:rsidRPr="00A841AA">
        <w:t>are</w:t>
      </w:r>
      <w:r w:rsidR="00D52FD0">
        <w:t xml:space="preserve"> </w:t>
      </w:r>
      <w:r w:rsidR="000A1AAE" w:rsidRPr="00A841AA">
        <w:t>always</w:t>
      </w:r>
      <w:r w:rsidR="00D52FD0">
        <w:t xml:space="preserve"> </w:t>
      </w:r>
      <w:r w:rsidR="000A1AAE" w:rsidRPr="00A841AA">
        <w:t>present</w:t>
      </w:r>
      <w:r w:rsidR="00D52FD0">
        <w:t xml:space="preserve"> </w:t>
      </w:r>
      <w:r w:rsidR="000A1AAE" w:rsidRPr="00A841AA">
        <w:t>with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assessors.</w:t>
      </w:r>
    </w:p>
    <w:p w14:paraId="55EFEB98" w14:textId="505093B8" w:rsidR="000A1AAE" w:rsidRPr="00A841AA" w:rsidRDefault="0044637E" w:rsidP="0044637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841AA">
        <w:t>55.</w:t>
      </w:r>
      <w:r w:rsidRPr="00A841AA">
        <w:tab/>
      </w:r>
      <w:r w:rsidR="000A1AAE" w:rsidRPr="00A841AA">
        <w:t>The</w:t>
      </w:r>
      <w:r w:rsidR="00D52FD0">
        <w:t xml:space="preserve"> </w:t>
      </w:r>
      <w:r w:rsidR="000A1AAE" w:rsidRPr="00A841AA">
        <w:t>aims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assessment</w:t>
      </w:r>
      <w:r w:rsidR="00D52FD0">
        <w:t xml:space="preserve"> </w:t>
      </w:r>
      <w:r w:rsidR="000A1AAE" w:rsidRPr="00A841AA">
        <w:t>are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provide</w:t>
      </w:r>
      <w:r w:rsidR="00D52FD0">
        <w:t xml:space="preserve"> </w:t>
      </w:r>
      <w:r w:rsidR="000A1AAE" w:rsidRPr="00A841AA">
        <w:t>clients</w:t>
      </w:r>
      <w:r w:rsidR="00D52FD0">
        <w:t xml:space="preserve"> </w:t>
      </w:r>
      <w:r w:rsidR="000A1AAE" w:rsidRPr="00A841AA">
        <w:t>with</w:t>
      </w:r>
      <w:r w:rsidR="00D52FD0">
        <w:t xml:space="preserve"> </w:t>
      </w:r>
      <w:r w:rsidR="000A1AAE" w:rsidRPr="00A841AA">
        <w:t>a</w:t>
      </w:r>
      <w:r w:rsidR="00D52FD0">
        <w:t xml:space="preserve"> </w:t>
      </w:r>
      <w:r w:rsidR="000A1AAE" w:rsidRPr="00A841AA">
        <w:t>safe</w:t>
      </w:r>
      <w:r w:rsidR="00D52FD0">
        <w:t xml:space="preserve"> </w:t>
      </w:r>
      <w:r w:rsidR="000A1AAE" w:rsidRPr="00A841AA">
        <w:t>space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share</w:t>
      </w:r>
      <w:r w:rsidR="00D52FD0">
        <w:t xml:space="preserve"> </w:t>
      </w:r>
      <w:r w:rsidR="000A1AAE" w:rsidRPr="00A841AA">
        <w:t>their</w:t>
      </w:r>
      <w:r w:rsidR="00D52FD0">
        <w:t xml:space="preserve"> </w:t>
      </w:r>
      <w:r w:rsidR="000A1AAE" w:rsidRPr="00A841AA">
        <w:t>experiences,</w:t>
      </w:r>
      <w:r w:rsidR="00D52FD0">
        <w:t xml:space="preserve"> </w:t>
      </w:r>
      <w:r w:rsidR="000A1AAE" w:rsidRPr="00A841AA">
        <w:t>allowing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team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make</w:t>
      </w:r>
      <w:r w:rsidR="00D52FD0">
        <w:t xml:space="preserve"> </w:t>
      </w:r>
      <w:r w:rsidR="000A1AAE" w:rsidRPr="00A841AA">
        <w:t>appropriate</w:t>
      </w:r>
      <w:r w:rsidR="00D52FD0">
        <w:t xml:space="preserve"> </w:t>
      </w:r>
      <w:r w:rsidR="000A1AAE" w:rsidRPr="00A841AA">
        <w:t>referrals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suit</w:t>
      </w:r>
      <w:r w:rsidR="00D52FD0">
        <w:t xml:space="preserve"> </w:t>
      </w:r>
      <w:r w:rsidR="000A1AAE" w:rsidRPr="00A841AA">
        <w:t>their</w:t>
      </w:r>
      <w:r w:rsidR="00D52FD0">
        <w:t xml:space="preserve"> </w:t>
      </w:r>
      <w:r w:rsidR="000A1AAE" w:rsidRPr="00A841AA">
        <w:t>individual</w:t>
      </w:r>
      <w:r w:rsidR="00D52FD0">
        <w:t xml:space="preserve"> </w:t>
      </w:r>
      <w:r w:rsidR="000A1AAE" w:rsidRPr="00A841AA">
        <w:t>needs.</w:t>
      </w:r>
      <w:r w:rsidR="00D52FD0">
        <w:t xml:space="preserve"> </w:t>
      </w:r>
      <w:r w:rsidR="000A1AAE" w:rsidRPr="00A841AA">
        <w:t>Assessments</w:t>
      </w:r>
      <w:r w:rsidR="00D52FD0">
        <w:t xml:space="preserve"> </w:t>
      </w:r>
      <w:r w:rsidR="000A1AAE" w:rsidRPr="00A841AA">
        <w:t>are</w:t>
      </w:r>
      <w:r w:rsidR="00D52FD0">
        <w:t xml:space="preserve"> </w:t>
      </w:r>
      <w:r w:rsidR="000A1AAE" w:rsidRPr="00A841AA">
        <w:t>conducted</w:t>
      </w:r>
      <w:r w:rsidR="00D52FD0">
        <w:t xml:space="preserve"> </w:t>
      </w:r>
      <w:r w:rsidR="000A1AAE" w:rsidRPr="00A841AA">
        <w:t>on</w:t>
      </w:r>
      <w:r w:rsidR="00D52FD0">
        <w:t xml:space="preserve"> </w:t>
      </w:r>
      <w:r w:rsidR="000A1AAE" w:rsidRPr="00A841AA">
        <w:t>a</w:t>
      </w:r>
      <w:r w:rsidR="00D52FD0">
        <w:t xml:space="preserve"> </w:t>
      </w:r>
      <w:r w:rsidR="000A1AAE" w:rsidRPr="00A841AA">
        <w:t>voluntary</w:t>
      </w:r>
      <w:r w:rsidR="00D52FD0">
        <w:t xml:space="preserve"> </w:t>
      </w:r>
      <w:r w:rsidR="000A1AAE" w:rsidRPr="00A841AA">
        <w:t>basis</w:t>
      </w:r>
      <w:r w:rsidR="00D52FD0">
        <w:t xml:space="preserve"> </w:t>
      </w:r>
      <w:r w:rsidR="000A1AAE" w:rsidRPr="00A841AA">
        <w:t>with</w:t>
      </w:r>
      <w:r w:rsidR="00D52FD0">
        <w:t xml:space="preserve"> </w:t>
      </w:r>
      <w:r w:rsidR="000A1AAE" w:rsidRPr="00A841AA">
        <w:t>asylum</w:t>
      </w:r>
      <w:r w:rsidR="00D52FD0">
        <w:t xml:space="preserve"> </w:t>
      </w:r>
      <w:r w:rsidR="000A1AAE" w:rsidRPr="00A841AA">
        <w:t>seekers</w:t>
      </w:r>
      <w:r w:rsidR="00D52FD0">
        <w:t xml:space="preserve"> </w:t>
      </w:r>
      <w:r w:rsidR="000A1AAE" w:rsidRPr="00A841AA">
        <w:t>who</w:t>
      </w:r>
      <w:r w:rsidR="00D52FD0">
        <w:t xml:space="preserve"> </w:t>
      </w:r>
      <w:r w:rsidR="000A1AAE" w:rsidRPr="00A841AA">
        <w:t>are</w:t>
      </w:r>
      <w:r w:rsidR="00D52FD0">
        <w:t xml:space="preserve"> </w:t>
      </w:r>
      <w:r w:rsidR="000A1AAE" w:rsidRPr="00A841AA">
        <w:t>sixteen</w:t>
      </w:r>
      <w:r w:rsidR="00D52FD0">
        <w:t xml:space="preserve"> </w:t>
      </w:r>
      <w:r w:rsidR="000A1AAE" w:rsidRPr="00A841AA">
        <w:t>years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age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over.</w:t>
      </w:r>
    </w:p>
    <w:p w14:paraId="702E0A9F" w14:textId="1E3E1FA4" w:rsidR="000A1AAE" w:rsidRPr="00A841AA" w:rsidRDefault="0044637E" w:rsidP="0044637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841AA">
        <w:t>56.</w:t>
      </w:r>
      <w:r w:rsidRPr="00A841AA">
        <w:tab/>
      </w:r>
      <w:r w:rsidR="000A1AAE" w:rsidRPr="00A841AA">
        <w:t>In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case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an</w:t>
      </w:r>
      <w:r w:rsidR="00D52FD0">
        <w:t xml:space="preserve"> </w:t>
      </w:r>
      <w:r w:rsidR="000A1AAE" w:rsidRPr="00A841AA">
        <w:t>individual</w:t>
      </w:r>
      <w:r w:rsidR="00D52FD0">
        <w:t xml:space="preserve"> </w:t>
      </w:r>
      <w:r w:rsidR="000A1AAE" w:rsidRPr="00A841AA">
        <w:t>under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age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sixteen,</w:t>
      </w:r>
      <w:r w:rsidR="00D52FD0">
        <w:t xml:space="preserve"> </w:t>
      </w:r>
      <w:r w:rsidR="000A1AAE" w:rsidRPr="00A841AA">
        <w:t>consent</w:t>
      </w:r>
      <w:r w:rsidR="00D52FD0">
        <w:t xml:space="preserve"> </w:t>
      </w:r>
      <w:r w:rsidR="000A1AAE" w:rsidRPr="00A841AA">
        <w:t>may</w:t>
      </w:r>
      <w:r w:rsidR="00D52FD0">
        <w:t xml:space="preserve"> </w:t>
      </w:r>
      <w:r w:rsidR="000A1AAE" w:rsidRPr="00A841AA">
        <w:t>be</w:t>
      </w:r>
      <w:r w:rsidR="00D52FD0">
        <w:t xml:space="preserve"> </w:t>
      </w:r>
      <w:r w:rsidR="000A1AAE" w:rsidRPr="00A841AA">
        <w:t>gained</w:t>
      </w:r>
      <w:r w:rsidR="00D52FD0">
        <w:t xml:space="preserve"> </w:t>
      </w:r>
      <w:r w:rsidR="000A1AAE" w:rsidRPr="00A841AA">
        <w:t>from</w:t>
      </w:r>
      <w:r w:rsidR="00D52FD0">
        <w:t xml:space="preserve"> </w:t>
      </w:r>
      <w:r w:rsidR="000A1AAE" w:rsidRPr="00A841AA">
        <w:t>their</w:t>
      </w:r>
      <w:r w:rsidR="00D52FD0">
        <w:t xml:space="preserve"> </w:t>
      </w:r>
      <w:r w:rsidR="000A1AAE" w:rsidRPr="00A841AA">
        <w:t>parents</w:t>
      </w:r>
      <w:r w:rsidR="00D52FD0">
        <w:t xml:space="preserve"> </w:t>
      </w:r>
      <w:r w:rsidR="000A1AAE" w:rsidRPr="00A841AA">
        <w:t>or</w:t>
      </w:r>
      <w:r w:rsidR="00D52FD0">
        <w:t xml:space="preserve"> </w:t>
      </w:r>
      <w:r w:rsidR="000A1AAE" w:rsidRPr="00A841AA">
        <w:t>from</w:t>
      </w:r>
      <w:r w:rsidR="00D52FD0">
        <w:t xml:space="preserve"> </w:t>
      </w:r>
      <w:r w:rsidR="000A1AAE" w:rsidRPr="00A841AA">
        <w:t>their</w:t>
      </w:r>
      <w:r w:rsidR="00D52FD0">
        <w:t xml:space="preserve"> </w:t>
      </w:r>
      <w:r w:rsidR="000A1AAE" w:rsidRPr="00A841AA">
        <w:t>legal</w:t>
      </w:r>
      <w:r w:rsidR="00D52FD0">
        <w:t xml:space="preserve"> </w:t>
      </w:r>
      <w:r w:rsidR="000A1AAE" w:rsidRPr="00A841AA">
        <w:t>guardian.</w:t>
      </w:r>
      <w:r w:rsidR="00D52FD0">
        <w:t xml:space="preserve"> </w:t>
      </w:r>
      <w:r w:rsidR="000A1AAE" w:rsidRPr="00A841AA">
        <w:t>Due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nature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psychological</w:t>
      </w:r>
      <w:r w:rsidR="00D52FD0">
        <w:t xml:space="preserve"> </w:t>
      </w:r>
      <w:r w:rsidR="000A1AAE" w:rsidRPr="00A841AA">
        <w:t>assessments,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APO</w:t>
      </w:r>
      <w:r w:rsidR="00D52FD0">
        <w:t xml:space="preserve"> </w:t>
      </w:r>
      <w:r w:rsidR="000A1AAE" w:rsidRPr="00A841AA">
        <w:t>must</w:t>
      </w:r>
      <w:r w:rsidR="00D52FD0">
        <w:t xml:space="preserve"> </w:t>
      </w:r>
      <w:r w:rsidR="000A1AAE" w:rsidRPr="00A841AA">
        <w:t>wait</w:t>
      </w:r>
      <w:r w:rsidR="00D52FD0">
        <w:t xml:space="preserve"> </w:t>
      </w:r>
      <w:r w:rsidR="000A1AAE" w:rsidRPr="00A841AA">
        <w:t>for</w:t>
      </w:r>
      <w:r w:rsidR="00D52FD0">
        <w:t xml:space="preserve"> </w:t>
      </w:r>
      <w:r w:rsidR="000A1AAE" w:rsidRPr="00A841AA">
        <w:t>a</w:t>
      </w:r>
      <w:r w:rsidR="00D52FD0">
        <w:t xml:space="preserve"> </w:t>
      </w:r>
      <w:r w:rsidR="000A1AAE" w:rsidRPr="00A841AA">
        <w:t>minimum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four</w:t>
      </w:r>
      <w:r w:rsidR="00D52FD0">
        <w:t xml:space="preserve"> </w:t>
      </w:r>
      <w:r w:rsidR="000A1AAE" w:rsidRPr="00A841AA">
        <w:t>weeks</w:t>
      </w:r>
      <w:r w:rsidR="00D52FD0">
        <w:t xml:space="preserve"> </w:t>
      </w:r>
      <w:r w:rsidR="000A1AAE" w:rsidRPr="00A841AA">
        <w:t>post</w:t>
      </w:r>
      <w:r w:rsidR="00D52FD0">
        <w:t xml:space="preserve"> </w:t>
      </w:r>
      <w:r w:rsidR="000A1AAE" w:rsidRPr="00A841AA">
        <w:t>arrival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Malta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conduct</w:t>
      </w:r>
      <w:r w:rsidR="00D52FD0">
        <w:t xml:space="preserve"> </w:t>
      </w:r>
      <w:r w:rsidR="000A1AAE" w:rsidRPr="00A841AA">
        <w:t>assessments.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case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a</w:t>
      </w:r>
      <w:r w:rsidR="00D52FD0">
        <w:t xml:space="preserve"> </w:t>
      </w:r>
      <w:r w:rsidR="000A1AAE" w:rsidRPr="00A841AA">
        <w:t>client</w:t>
      </w:r>
      <w:r w:rsidR="00D52FD0">
        <w:t xml:space="preserve"> </w:t>
      </w:r>
      <w:r w:rsidR="000A1AAE" w:rsidRPr="00A841AA">
        <w:t>who</w:t>
      </w:r>
      <w:r w:rsidR="00D52FD0">
        <w:t xml:space="preserve"> </w:t>
      </w:r>
      <w:r w:rsidR="000A1AAE" w:rsidRPr="00A841AA">
        <w:t>appears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be</w:t>
      </w:r>
      <w:r w:rsidR="00D52FD0">
        <w:t xml:space="preserve"> </w:t>
      </w:r>
      <w:r w:rsidR="000A1AAE" w:rsidRPr="00A841AA">
        <w:t>vulnerable,</w:t>
      </w:r>
      <w:r w:rsidR="00D52FD0">
        <w:t xml:space="preserve"> </w:t>
      </w:r>
      <w:r w:rsidR="000A1AAE" w:rsidRPr="00A841AA">
        <w:t>APO</w:t>
      </w:r>
      <w:r w:rsidR="00D52FD0">
        <w:t xml:space="preserve"> </w:t>
      </w:r>
      <w:r w:rsidR="000A1AAE" w:rsidRPr="00A841AA">
        <w:t>will</w:t>
      </w:r>
      <w:r w:rsidR="00D52FD0">
        <w:t xml:space="preserve"> </w:t>
      </w:r>
      <w:r w:rsidR="000A1AAE" w:rsidRPr="00A841AA">
        <w:t>conduct</w:t>
      </w:r>
      <w:r w:rsidR="00D52FD0">
        <w:t xml:space="preserve"> </w:t>
      </w:r>
      <w:r w:rsidR="000A1AAE" w:rsidRPr="00A841AA">
        <w:t>interventions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refer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other</w:t>
      </w:r>
      <w:r w:rsidR="00D52FD0">
        <w:t xml:space="preserve"> </w:t>
      </w:r>
      <w:r w:rsidR="000A1AAE" w:rsidRPr="00A841AA">
        <w:t>professionals.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assessments</w:t>
      </w:r>
      <w:r w:rsidR="00D52FD0">
        <w:t xml:space="preserve"> </w:t>
      </w:r>
      <w:r w:rsidR="000A1AAE" w:rsidRPr="00A841AA">
        <w:t>consist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a</w:t>
      </w:r>
      <w:r w:rsidR="00D52FD0">
        <w:t xml:space="preserve"> </w:t>
      </w:r>
      <w:r w:rsidR="000A1AAE" w:rsidRPr="00A841AA">
        <w:t>Socio-Demographic</w:t>
      </w:r>
      <w:r w:rsidR="00D52FD0">
        <w:t xml:space="preserve"> </w:t>
      </w:r>
      <w:r w:rsidR="000A1AAE" w:rsidRPr="00A841AA">
        <w:t>Questionnaire</w:t>
      </w:r>
      <w:r w:rsidR="00D52FD0">
        <w:t xml:space="preserve"> </w:t>
      </w:r>
      <w:r w:rsidR="000A1AAE" w:rsidRPr="00A841AA">
        <w:t>–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gather</w:t>
      </w:r>
      <w:r w:rsidR="00D52FD0">
        <w:t xml:space="preserve"> </w:t>
      </w:r>
      <w:r w:rsidR="000A1AAE" w:rsidRPr="00A841AA">
        <w:t>information</w:t>
      </w:r>
      <w:r w:rsidR="00D52FD0">
        <w:t xml:space="preserve"> </w:t>
      </w:r>
      <w:r w:rsidR="000A1AAE" w:rsidRPr="00A841AA">
        <w:t>about</w:t>
      </w:r>
      <w:r w:rsidR="00D52FD0">
        <w:t xml:space="preserve"> </w:t>
      </w:r>
      <w:r w:rsidR="000A1AAE" w:rsidRPr="00A841AA">
        <w:t>clients</w:t>
      </w:r>
      <w:r w:rsidR="00F14DA3">
        <w:t>’</w:t>
      </w:r>
      <w:r w:rsidR="00D52FD0">
        <w:t xml:space="preserve"> </w:t>
      </w:r>
      <w:r w:rsidR="000A1AAE" w:rsidRPr="00A841AA">
        <w:t>life</w:t>
      </w:r>
      <w:r w:rsidR="00D52FD0">
        <w:t xml:space="preserve"> </w:t>
      </w:r>
      <w:r w:rsidR="000A1AAE" w:rsidRPr="00A841AA">
        <w:t>before</w:t>
      </w:r>
      <w:r w:rsidR="00D52FD0">
        <w:t xml:space="preserve"> </w:t>
      </w:r>
      <w:r w:rsidR="000A1AAE" w:rsidRPr="00A841AA">
        <w:t>migration,</w:t>
      </w:r>
      <w:r w:rsidR="00D52FD0">
        <w:t xml:space="preserve"> </w:t>
      </w:r>
      <w:r w:rsidR="000A1AAE" w:rsidRPr="00A841AA">
        <w:t>journey,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post</w:t>
      </w:r>
      <w:r w:rsidR="00D52FD0">
        <w:t xml:space="preserve"> </w:t>
      </w:r>
      <w:r w:rsidR="000A1AAE" w:rsidRPr="00A841AA">
        <w:t>migration</w:t>
      </w:r>
      <w:r w:rsidR="00D52FD0">
        <w:t xml:space="preserve"> </w:t>
      </w:r>
      <w:r w:rsidR="000A1AAE" w:rsidRPr="00A841AA">
        <w:t>experience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a</w:t>
      </w:r>
      <w:r w:rsidR="00D52FD0">
        <w:t xml:space="preserve"> </w:t>
      </w:r>
      <w:r w:rsidR="000A1AAE" w:rsidRPr="00A841AA">
        <w:t>Hopkins</w:t>
      </w:r>
      <w:r w:rsidR="00D52FD0">
        <w:t xml:space="preserve"> </w:t>
      </w:r>
      <w:r w:rsidR="000A1AAE" w:rsidRPr="00A841AA">
        <w:t>Symptom</w:t>
      </w:r>
      <w:r w:rsidR="00D52FD0">
        <w:t xml:space="preserve"> </w:t>
      </w:r>
      <w:r w:rsidR="000A1AAE" w:rsidRPr="00A841AA">
        <w:t>Checklist</w:t>
      </w:r>
      <w:r w:rsidR="00D52FD0">
        <w:t xml:space="preserve"> </w:t>
      </w:r>
      <w:r w:rsidR="000A1AAE" w:rsidRPr="00A841AA">
        <w:t>–</w:t>
      </w:r>
      <w:r w:rsidR="00D52FD0">
        <w:t xml:space="preserve"> </w:t>
      </w:r>
      <w:r w:rsidR="000A1AAE" w:rsidRPr="00A841AA">
        <w:t>psychological</w:t>
      </w:r>
      <w:r w:rsidR="00D52FD0">
        <w:t xml:space="preserve"> </w:t>
      </w:r>
      <w:r w:rsidR="000A1AAE" w:rsidRPr="00A841AA">
        <w:t>tool</w:t>
      </w:r>
      <w:r w:rsidR="00D52FD0">
        <w:t xml:space="preserve"> </w:t>
      </w:r>
      <w:r w:rsidR="000A1AAE" w:rsidRPr="00A841AA">
        <w:t>used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assess</w:t>
      </w:r>
      <w:r w:rsidR="00D52FD0">
        <w:t xml:space="preserve"> </w:t>
      </w:r>
      <w:r w:rsidR="000A1AAE" w:rsidRPr="00A841AA">
        <w:t>for</w:t>
      </w:r>
      <w:r w:rsidR="00D52FD0">
        <w:t xml:space="preserve"> </w:t>
      </w:r>
      <w:r w:rsidR="000A1AAE" w:rsidRPr="00A841AA">
        <w:t>anxiety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depression.</w:t>
      </w:r>
    </w:p>
    <w:p w14:paraId="315A5EE3" w14:textId="44B2E669" w:rsidR="000A1AAE" w:rsidRPr="00A841AA" w:rsidRDefault="0044637E" w:rsidP="0044637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841AA">
        <w:t>57.</w:t>
      </w:r>
      <w:r w:rsidRPr="00A841AA">
        <w:tab/>
      </w:r>
      <w:r w:rsidR="000A1AAE" w:rsidRPr="00A841AA">
        <w:t>The</w:t>
      </w:r>
      <w:r w:rsidR="00D52FD0">
        <w:t xml:space="preserve"> </w:t>
      </w:r>
      <w:r w:rsidR="000A1AAE" w:rsidRPr="00A841AA">
        <w:t>APOs</w:t>
      </w:r>
      <w:r w:rsidR="00D52FD0">
        <w:t xml:space="preserve"> </w:t>
      </w:r>
      <w:r w:rsidR="000A1AAE" w:rsidRPr="00A841AA">
        <w:t>also</w:t>
      </w:r>
      <w:r w:rsidR="00D52FD0">
        <w:t xml:space="preserve"> </w:t>
      </w:r>
      <w:r w:rsidR="000A1AAE" w:rsidRPr="00A841AA">
        <w:t>provide</w:t>
      </w:r>
      <w:r w:rsidR="00D52FD0">
        <w:t xml:space="preserve"> </w:t>
      </w:r>
      <w:r w:rsidR="000A1AAE" w:rsidRPr="00A841AA">
        <w:t>Information</w:t>
      </w:r>
      <w:r w:rsidR="00D52FD0">
        <w:t xml:space="preserve"> </w:t>
      </w:r>
      <w:r w:rsidR="000A1AAE" w:rsidRPr="00A841AA">
        <w:t>Sessions</w:t>
      </w:r>
      <w:r w:rsidR="00D52FD0">
        <w:t xml:space="preserve"> </w:t>
      </w:r>
      <w:r w:rsidR="000A1AAE" w:rsidRPr="00A841AA">
        <w:t>about</w:t>
      </w:r>
      <w:r w:rsidR="00D52FD0">
        <w:t xml:space="preserve"> </w:t>
      </w:r>
      <w:r w:rsidR="000A1AAE" w:rsidRPr="00A841AA">
        <w:t>AWAS</w:t>
      </w:r>
      <w:r w:rsidR="00D52FD0">
        <w:t xml:space="preserve"> </w:t>
      </w:r>
      <w:r w:rsidR="000A1AAE" w:rsidRPr="00A841AA">
        <w:t>psychosocial</w:t>
      </w:r>
      <w:r w:rsidR="00D52FD0">
        <w:t xml:space="preserve"> </w:t>
      </w:r>
      <w:r w:rsidR="000A1AAE" w:rsidRPr="00A841AA">
        <w:t>services,</w:t>
      </w:r>
      <w:r w:rsidR="00D52FD0">
        <w:t xml:space="preserve"> </w:t>
      </w:r>
      <w:r w:rsidR="000A1AAE" w:rsidRPr="00A841AA">
        <w:t>mental</w:t>
      </w:r>
      <w:r w:rsidR="00D52FD0">
        <w:t xml:space="preserve"> </w:t>
      </w:r>
      <w:r w:rsidR="000A1AAE" w:rsidRPr="00A841AA">
        <w:t>health,</w:t>
      </w:r>
      <w:r w:rsidR="00D52FD0">
        <w:t xml:space="preserve"> </w:t>
      </w:r>
      <w:r w:rsidR="000A1AAE" w:rsidRPr="00A841AA">
        <w:t>symptoms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anxiety,</w:t>
      </w:r>
      <w:r w:rsidR="00D52FD0">
        <w:t xml:space="preserve"> </w:t>
      </w:r>
      <w:r w:rsidR="000A1AAE" w:rsidRPr="00A841AA">
        <w:t>depression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PTSD</w:t>
      </w:r>
      <w:r w:rsidR="00D52FD0">
        <w:t xml:space="preserve"> </w:t>
      </w:r>
      <w:r w:rsidR="000A1AAE" w:rsidRPr="00A841AA">
        <w:t>on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third</w:t>
      </w:r>
      <w:r w:rsidR="00D52FD0">
        <w:t xml:space="preserve"> </w:t>
      </w:r>
      <w:r w:rsidR="000A1AAE" w:rsidRPr="00A841AA">
        <w:t>day</w:t>
      </w:r>
      <w:r w:rsidR="00D52FD0">
        <w:t xml:space="preserve"> </w:t>
      </w:r>
      <w:r w:rsidR="000A1AAE" w:rsidRPr="00A841AA">
        <w:t>upon</w:t>
      </w:r>
      <w:r w:rsidR="00D52FD0">
        <w:t xml:space="preserve"> </w:t>
      </w:r>
      <w:r w:rsidR="000A1AAE" w:rsidRPr="00A841AA">
        <w:t>new</w:t>
      </w:r>
      <w:r w:rsidR="00D52FD0">
        <w:t xml:space="preserve"> </w:t>
      </w:r>
      <w:r w:rsidR="000A1AAE" w:rsidRPr="00A841AA">
        <w:t>arrival.</w:t>
      </w:r>
    </w:p>
    <w:p w14:paraId="72F6FE4F" w14:textId="75472066" w:rsidR="000A1AAE" w:rsidRPr="00A841AA" w:rsidRDefault="0044637E" w:rsidP="0044637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841AA">
        <w:t>58.</w:t>
      </w:r>
      <w:r w:rsidRPr="00A841AA">
        <w:tab/>
      </w:r>
      <w:r w:rsidR="000A1AAE" w:rsidRPr="00A841AA">
        <w:t>In</w:t>
      </w:r>
      <w:r w:rsidR="00D52FD0">
        <w:t xml:space="preserve"> </w:t>
      </w:r>
      <w:r w:rsidR="000A1AAE" w:rsidRPr="00A841AA">
        <w:t>2020,</w:t>
      </w:r>
      <w:r w:rsidR="00D52FD0">
        <w:t xml:space="preserve"> </w:t>
      </w:r>
      <w:r w:rsidR="000A1AAE" w:rsidRPr="00A841AA">
        <w:t>AWAS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coordination</w:t>
      </w:r>
      <w:r w:rsidR="00D52FD0">
        <w:t xml:space="preserve"> </w:t>
      </w:r>
      <w:r w:rsidR="000A1AAE" w:rsidRPr="00A841AA">
        <w:t>with</w:t>
      </w:r>
      <w:r w:rsidR="00D52FD0">
        <w:t xml:space="preserve"> </w:t>
      </w:r>
      <w:r w:rsidR="000A1AAE" w:rsidRPr="00A841AA">
        <w:t>EASO,</w:t>
      </w:r>
      <w:r w:rsidR="00D52FD0">
        <w:t xml:space="preserve"> </w:t>
      </w:r>
      <w:r w:rsidR="000A1AAE" w:rsidRPr="00A841AA">
        <w:t>have</w:t>
      </w:r>
      <w:r w:rsidR="00D52FD0">
        <w:t xml:space="preserve"> </w:t>
      </w:r>
      <w:r w:rsidR="000A1AAE" w:rsidRPr="00A841AA">
        <w:t>introduced</w:t>
      </w:r>
      <w:r w:rsidR="00D52FD0">
        <w:t xml:space="preserve"> </w:t>
      </w:r>
      <w:r w:rsidR="000A1AAE" w:rsidRPr="00A841AA">
        <w:t>a</w:t>
      </w:r>
      <w:r w:rsidR="00D52FD0">
        <w:t xml:space="preserve"> </w:t>
      </w:r>
      <w:r w:rsidR="000A1AAE" w:rsidRPr="00A841AA">
        <w:t>new</w:t>
      </w:r>
      <w:r w:rsidR="00D52FD0">
        <w:t xml:space="preserve"> </w:t>
      </w:r>
      <w:r w:rsidR="000A1AAE" w:rsidRPr="00A841AA">
        <w:t>team</w:t>
      </w:r>
      <w:r w:rsidR="00D52FD0">
        <w:t xml:space="preserve"> </w:t>
      </w:r>
      <w:r w:rsidR="000A1AAE" w:rsidRPr="00A841AA">
        <w:t>which</w:t>
      </w:r>
      <w:r w:rsidR="00D52FD0">
        <w:t xml:space="preserve"> </w:t>
      </w:r>
      <w:r w:rsidR="000A1AAE" w:rsidRPr="00A841AA">
        <w:t>is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Vulnerability</w:t>
      </w:r>
      <w:r w:rsidR="00D52FD0">
        <w:t xml:space="preserve"> </w:t>
      </w:r>
      <w:r w:rsidR="000A1AAE" w:rsidRPr="00A841AA">
        <w:t>Assessment</w:t>
      </w:r>
      <w:r w:rsidR="00D52FD0">
        <w:t xml:space="preserve"> </w:t>
      </w:r>
      <w:r w:rsidR="000A1AAE" w:rsidRPr="00A841AA">
        <w:t>Team.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team</w:t>
      </w:r>
      <w:r w:rsidR="00D52FD0">
        <w:t xml:space="preserve"> </w:t>
      </w:r>
      <w:r w:rsidR="000A1AAE" w:rsidRPr="00A841AA">
        <w:t>is</w:t>
      </w:r>
      <w:r w:rsidR="00D52FD0">
        <w:t xml:space="preserve"> </w:t>
      </w:r>
      <w:r w:rsidR="000A1AAE" w:rsidRPr="00A841AA">
        <w:t>assessing</w:t>
      </w:r>
      <w:r w:rsidR="00D52FD0">
        <w:t xml:space="preserve"> </w:t>
      </w:r>
      <w:r w:rsidR="000A1AAE" w:rsidRPr="00A841AA">
        <w:t>potential</w:t>
      </w:r>
      <w:r w:rsidR="00D52FD0">
        <w:t xml:space="preserve"> </w:t>
      </w:r>
      <w:r w:rsidR="000A1AAE" w:rsidRPr="00A841AA">
        <w:t>vulnerable</w:t>
      </w:r>
      <w:r w:rsidR="00D52FD0">
        <w:t xml:space="preserve"> </w:t>
      </w:r>
      <w:r w:rsidR="000A1AAE" w:rsidRPr="00A841AA">
        <w:t>persons</w:t>
      </w:r>
      <w:r w:rsidR="00D52FD0">
        <w:t xml:space="preserve"> </w:t>
      </w:r>
      <w:r w:rsidR="000A1AAE" w:rsidRPr="00A841AA">
        <w:t>who</w:t>
      </w:r>
      <w:r w:rsidR="00D52FD0">
        <w:t xml:space="preserve"> </w:t>
      </w:r>
      <w:r w:rsidR="000A1AAE" w:rsidRPr="00A841AA">
        <w:t>are</w:t>
      </w:r>
      <w:r w:rsidR="00D52FD0">
        <w:t xml:space="preserve"> </w:t>
      </w:r>
      <w:r w:rsidR="000A1AAE" w:rsidRPr="00A841AA">
        <w:t>at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Initial</w:t>
      </w:r>
      <w:r w:rsidR="00D52FD0">
        <w:t xml:space="preserve"> </w:t>
      </w:r>
      <w:r w:rsidR="000A1AAE" w:rsidRPr="00A841AA">
        <w:t>Reception</w:t>
      </w:r>
      <w:r w:rsidR="00D52FD0">
        <w:t xml:space="preserve"> </w:t>
      </w:r>
      <w:r w:rsidR="000A1AAE" w:rsidRPr="00A841AA">
        <w:t>Centre,</w:t>
      </w:r>
      <w:r w:rsidR="00D52FD0">
        <w:t xml:space="preserve"> </w:t>
      </w:r>
      <w:r w:rsidR="000A1AAE" w:rsidRPr="00A841AA">
        <w:t>closed</w:t>
      </w:r>
      <w:r w:rsidR="00D52FD0">
        <w:t xml:space="preserve"> </w:t>
      </w:r>
      <w:r w:rsidR="000A1AAE" w:rsidRPr="00A841AA">
        <w:t>centres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open</w:t>
      </w:r>
      <w:r w:rsidR="00D52FD0">
        <w:t xml:space="preserve"> </w:t>
      </w:r>
      <w:r w:rsidR="000A1AAE" w:rsidRPr="00A841AA">
        <w:t>centres.</w:t>
      </w:r>
      <w:r w:rsidR="00D52FD0">
        <w:t xml:space="preserve"> </w:t>
      </w:r>
      <w:r w:rsidR="000A1AAE" w:rsidRPr="00A841AA">
        <w:t>AWAS</w:t>
      </w:r>
      <w:r w:rsidR="00D52FD0">
        <w:t xml:space="preserve"> </w:t>
      </w:r>
      <w:r w:rsidR="000A1AAE" w:rsidRPr="00A841AA">
        <w:t>already</w:t>
      </w:r>
      <w:r w:rsidR="00D52FD0">
        <w:t xml:space="preserve"> </w:t>
      </w:r>
      <w:r w:rsidR="000A1AAE" w:rsidRPr="00A841AA">
        <w:t>has</w:t>
      </w:r>
      <w:r w:rsidR="00D52FD0">
        <w:t xml:space="preserve"> </w:t>
      </w:r>
      <w:r w:rsidR="000A1AAE" w:rsidRPr="00A841AA">
        <w:t>a</w:t>
      </w:r>
      <w:r w:rsidR="00D52FD0">
        <w:t xml:space="preserve"> </w:t>
      </w:r>
      <w:r w:rsidR="000A1AAE" w:rsidRPr="00A841AA">
        <w:t>history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extensive</w:t>
      </w:r>
      <w:r w:rsidR="00D52FD0">
        <w:t xml:space="preserve"> </w:t>
      </w:r>
      <w:r w:rsidR="000A1AAE" w:rsidRPr="00A841AA">
        <w:t>experience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carrying</w:t>
      </w:r>
      <w:r w:rsidR="00D52FD0">
        <w:t xml:space="preserve"> </w:t>
      </w:r>
      <w:r w:rsidR="000A1AAE" w:rsidRPr="00A841AA">
        <w:t>out</w:t>
      </w:r>
      <w:r w:rsidR="00D52FD0">
        <w:t xml:space="preserve"> </w:t>
      </w:r>
      <w:r w:rsidR="000A1AAE" w:rsidRPr="00A841AA">
        <w:t>vulnerability</w:t>
      </w:r>
      <w:r w:rsidR="00D52FD0">
        <w:t xml:space="preserve"> </w:t>
      </w:r>
      <w:r w:rsidR="000A1AAE" w:rsidRPr="00A841AA">
        <w:t>assessments.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added</w:t>
      </w:r>
      <w:r w:rsidR="00D52FD0">
        <w:t xml:space="preserve"> </w:t>
      </w:r>
      <w:r w:rsidR="000A1AAE" w:rsidRPr="00A841AA">
        <w:t>value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EASO</w:t>
      </w:r>
      <w:r w:rsidR="00F14DA3">
        <w:t>’</w:t>
      </w:r>
      <w:r w:rsidR="000A1AAE" w:rsidRPr="00A841AA">
        <w:t>s</w:t>
      </w:r>
      <w:r w:rsidR="00D52FD0">
        <w:t xml:space="preserve"> </w:t>
      </w:r>
      <w:r w:rsidR="000A1AAE" w:rsidRPr="00A841AA">
        <w:t>support</w:t>
      </w:r>
      <w:r w:rsidR="00D52FD0">
        <w:t xml:space="preserve"> </w:t>
      </w:r>
      <w:r w:rsidR="000A1AAE" w:rsidRPr="00A841AA">
        <w:t>is</w:t>
      </w:r>
      <w:r w:rsidR="00D52FD0">
        <w:t xml:space="preserve"> </w:t>
      </w:r>
      <w:r w:rsidR="000A1AAE" w:rsidRPr="00A841AA">
        <w:t>a</w:t>
      </w:r>
      <w:r w:rsidR="00D52FD0">
        <w:t xml:space="preserve"> </w:t>
      </w:r>
      <w:r w:rsidR="000A1AAE" w:rsidRPr="00A841AA">
        <w:t>structured</w:t>
      </w:r>
      <w:r w:rsidR="00D52FD0">
        <w:t xml:space="preserve"> </w:t>
      </w:r>
      <w:r w:rsidR="000A1AAE" w:rsidRPr="00A841AA">
        <w:t>methodology</w:t>
      </w:r>
      <w:r w:rsidR="00D52FD0">
        <w:t xml:space="preserve"> </w:t>
      </w:r>
      <w:r w:rsidR="000A1AAE" w:rsidRPr="00A841AA">
        <w:t>for</w:t>
      </w:r>
      <w:r w:rsidR="00D52FD0">
        <w:t xml:space="preserve"> </w:t>
      </w:r>
      <w:r w:rsidR="000A1AAE" w:rsidRPr="00A841AA">
        <w:t>vulnerability</w:t>
      </w:r>
      <w:r w:rsidR="00D52FD0">
        <w:t xml:space="preserve"> </w:t>
      </w:r>
      <w:r w:rsidR="000A1AAE" w:rsidRPr="00A841AA">
        <w:t>assessments,</w:t>
      </w:r>
      <w:r w:rsidR="00D52FD0">
        <w:t xml:space="preserve"> </w:t>
      </w:r>
      <w:r w:rsidR="000A1AAE" w:rsidRPr="00A841AA">
        <w:t>support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carry</w:t>
      </w:r>
      <w:r w:rsidR="00D52FD0">
        <w:t xml:space="preserve"> </w:t>
      </w:r>
      <w:r w:rsidR="000A1AAE" w:rsidRPr="00A841AA">
        <w:t>out</w:t>
      </w:r>
      <w:r w:rsidR="00D52FD0">
        <w:t xml:space="preserve"> </w:t>
      </w:r>
      <w:r w:rsidR="000A1AAE" w:rsidRPr="00A841AA">
        <w:t>more</w:t>
      </w:r>
      <w:r w:rsidR="00D52FD0">
        <w:t xml:space="preserve"> </w:t>
      </w:r>
      <w:r w:rsidR="000A1AAE" w:rsidRPr="00A841AA">
        <w:t>assessments</w:t>
      </w:r>
      <w:r w:rsidR="00D52FD0">
        <w:t xml:space="preserve"> </w:t>
      </w:r>
      <w:r w:rsidR="000A1AAE" w:rsidRPr="00A841AA">
        <w:t>which</w:t>
      </w:r>
      <w:r w:rsidR="00D52FD0">
        <w:t xml:space="preserve"> </w:t>
      </w:r>
      <w:r w:rsidR="000A1AAE" w:rsidRPr="00A841AA">
        <w:t>go</w:t>
      </w:r>
      <w:r w:rsidR="00D52FD0">
        <w:t xml:space="preserve"> </w:t>
      </w:r>
      <w:r w:rsidR="000A1AAE" w:rsidRPr="00A841AA">
        <w:t>beyond</w:t>
      </w:r>
      <w:r w:rsidR="00D52FD0">
        <w:t xml:space="preserve"> </w:t>
      </w:r>
      <w:r w:rsidR="000A1AAE" w:rsidRPr="00A841AA">
        <w:t>AWAS</w:t>
      </w:r>
      <w:r w:rsidR="00F14DA3">
        <w:t>’</w:t>
      </w:r>
      <w:r w:rsidR="00D52FD0">
        <w:t xml:space="preserve"> </w:t>
      </w:r>
      <w:r w:rsidR="000A1AAE" w:rsidRPr="00A841AA">
        <w:t>capacity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do</w:t>
      </w:r>
      <w:r w:rsidR="00D52FD0">
        <w:t xml:space="preserve"> </w:t>
      </w:r>
      <w:r w:rsidR="000A1AAE" w:rsidRPr="00A841AA">
        <w:t>so.</w:t>
      </w:r>
      <w:r w:rsidR="00D52FD0">
        <w:t xml:space="preserve"> </w:t>
      </w:r>
      <w:r w:rsidR="000A1AAE" w:rsidRPr="00A841AA">
        <w:t>This</w:t>
      </w:r>
      <w:r w:rsidR="00D52FD0">
        <w:t xml:space="preserve"> </w:t>
      </w:r>
      <w:r w:rsidR="000A1AAE" w:rsidRPr="00A841AA">
        <w:t>was</w:t>
      </w:r>
      <w:r w:rsidR="00D52FD0">
        <w:t xml:space="preserve"> </w:t>
      </w:r>
      <w:r w:rsidR="000A1AAE" w:rsidRPr="00A841AA">
        <w:t>set</w:t>
      </w:r>
      <w:r w:rsidR="00D52FD0">
        <w:t xml:space="preserve"> </w:t>
      </w:r>
      <w:r w:rsidR="000A1AAE" w:rsidRPr="00A841AA">
        <w:t>up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ensure</w:t>
      </w:r>
      <w:r w:rsidR="00D52FD0">
        <w:t xml:space="preserve"> </w:t>
      </w:r>
      <w:r w:rsidR="000A1AAE" w:rsidRPr="00A841AA">
        <w:t>that</w:t>
      </w:r>
      <w:r w:rsidR="00D52FD0">
        <w:t xml:space="preserve"> </w:t>
      </w:r>
      <w:r w:rsidR="000A1AAE" w:rsidRPr="00A841AA">
        <w:t>vulnerable</w:t>
      </w:r>
      <w:r w:rsidR="00D52FD0">
        <w:t xml:space="preserve"> </w:t>
      </w:r>
      <w:r w:rsidR="000A1AAE" w:rsidRPr="00A841AA">
        <w:t>adults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centres</w:t>
      </w:r>
      <w:r w:rsidR="00D52FD0">
        <w:t xml:space="preserve"> </w:t>
      </w:r>
      <w:r w:rsidR="000A1AAE" w:rsidRPr="00A841AA">
        <w:t>are</w:t>
      </w:r>
      <w:r w:rsidR="00D52FD0">
        <w:t xml:space="preserve"> </w:t>
      </w:r>
      <w:r w:rsidR="000A1AAE" w:rsidRPr="00A841AA">
        <w:t>assessed</w:t>
      </w:r>
      <w:r w:rsidR="00D52FD0">
        <w:t xml:space="preserve"> </w:t>
      </w:r>
      <w:r w:rsidR="000A1AAE" w:rsidRPr="00A841AA">
        <w:t>accordingly.</w:t>
      </w:r>
      <w:r w:rsidR="00D52FD0">
        <w:t xml:space="preserve"> </w:t>
      </w:r>
      <w:r w:rsidR="000A1AAE" w:rsidRPr="00A841AA">
        <w:t>Referrals</w:t>
      </w:r>
      <w:r w:rsidR="00D52FD0">
        <w:t xml:space="preserve"> </w:t>
      </w:r>
      <w:r w:rsidR="000A1AAE" w:rsidRPr="00A841AA">
        <w:t>can</w:t>
      </w:r>
      <w:r w:rsidR="00D52FD0">
        <w:t xml:space="preserve"> </w:t>
      </w:r>
      <w:r w:rsidR="000A1AAE" w:rsidRPr="00A841AA">
        <w:t>be</w:t>
      </w:r>
      <w:r w:rsidR="00D52FD0">
        <w:t xml:space="preserve"> </w:t>
      </w:r>
      <w:r w:rsidR="000A1AAE" w:rsidRPr="00A841AA">
        <w:t>internal,</w:t>
      </w:r>
      <w:r w:rsidR="00D52FD0">
        <w:t xml:space="preserve"> </w:t>
      </w:r>
      <w:r w:rsidR="000A1AAE" w:rsidRPr="00A841AA">
        <w:t>whereby</w:t>
      </w:r>
      <w:r w:rsidR="00D52FD0">
        <w:t xml:space="preserve"> </w:t>
      </w:r>
      <w:r w:rsidR="000A1AAE" w:rsidRPr="00A841AA">
        <w:t>service</w:t>
      </w:r>
      <w:r w:rsidR="00D52FD0">
        <w:t xml:space="preserve"> </w:t>
      </w:r>
      <w:r w:rsidR="000A1AAE" w:rsidRPr="00A841AA">
        <w:t>users</w:t>
      </w:r>
      <w:r w:rsidR="00D52FD0">
        <w:t xml:space="preserve"> </w:t>
      </w:r>
      <w:r w:rsidR="000A1AAE" w:rsidRPr="00A841AA">
        <w:t>can</w:t>
      </w:r>
      <w:r w:rsidR="00D52FD0">
        <w:t xml:space="preserve"> </w:t>
      </w:r>
      <w:r w:rsidR="000A1AAE" w:rsidRPr="00A841AA">
        <w:t>be</w:t>
      </w:r>
      <w:r w:rsidR="00D52FD0">
        <w:t xml:space="preserve"> </w:t>
      </w:r>
      <w:r w:rsidR="000A1AAE" w:rsidRPr="00A841AA">
        <w:t>referred</w:t>
      </w:r>
      <w:r w:rsidR="00D52FD0">
        <w:t xml:space="preserve"> </w:t>
      </w:r>
      <w:r w:rsidR="000A1AAE" w:rsidRPr="00A841AA">
        <w:t>by</w:t>
      </w:r>
      <w:r w:rsidR="00D52FD0">
        <w:t xml:space="preserve"> </w:t>
      </w:r>
      <w:r w:rsidR="000A1AAE" w:rsidRPr="00A841AA">
        <w:t>all</w:t>
      </w:r>
      <w:r w:rsidR="00D52FD0">
        <w:t xml:space="preserve"> </w:t>
      </w:r>
      <w:r w:rsidR="000A1AAE" w:rsidRPr="00A841AA">
        <w:t>teams</w:t>
      </w:r>
      <w:r w:rsidR="00D52FD0">
        <w:t xml:space="preserve"> </w:t>
      </w:r>
      <w:r w:rsidR="000A1AAE" w:rsidRPr="00A841AA">
        <w:t>within</w:t>
      </w:r>
      <w:r w:rsidR="00D52FD0">
        <w:t xml:space="preserve"> </w:t>
      </w:r>
      <w:r w:rsidR="000A1AAE" w:rsidRPr="00A841AA">
        <w:t>AWAS:</w:t>
      </w:r>
      <w:r w:rsidR="00D52FD0">
        <w:t xml:space="preserve"> </w:t>
      </w:r>
      <w:r w:rsidR="000A1AAE" w:rsidRPr="00A841AA">
        <w:t>coordinators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centres,</w:t>
      </w:r>
      <w:r w:rsidR="00D52FD0">
        <w:t xml:space="preserve"> </w:t>
      </w:r>
      <w:r w:rsidR="000A1AAE" w:rsidRPr="00A841AA">
        <w:t>care</w:t>
      </w:r>
      <w:r w:rsidR="00D52FD0">
        <w:t xml:space="preserve"> </w:t>
      </w:r>
      <w:r w:rsidR="000A1AAE" w:rsidRPr="00A841AA">
        <w:t>team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therapeutic</w:t>
      </w:r>
      <w:r w:rsidR="00D52FD0">
        <w:t xml:space="preserve"> </w:t>
      </w:r>
      <w:r w:rsidR="000A1AAE" w:rsidRPr="00A841AA">
        <w:t>team.</w:t>
      </w:r>
      <w:r w:rsidR="00D52FD0">
        <w:t xml:space="preserve"> </w:t>
      </w:r>
      <w:r w:rsidR="000A1AAE" w:rsidRPr="00A841AA">
        <w:t>All</w:t>
      </w:r>
      <w:r w:rsidR="00D52FD0">
        <w:t xml:space="preserve"> </w:t>
      </w:r>
      <w:r w:rsidR="000A1AAE" w:rsidRPr="00A841AA">
        <w:t>other</w:t>
      </w:r>
      <w:r w:rsidR="00D52FD0">
        <w:t xml:space="preserve"> </w:t>
      </w:r>
      <w:r w:rsidR="000A1AAE" w:rsidRPr="00A841AA">
        <w:t>entities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NGOs</w:t>
      </w:r>
      <w:r w:rsidR="00D52FD0">
        <w:t xml:space="preserve"> </w:t>
      </w:r>
      <w:r w:rsidR="000A1AAE" w:rsidRPr="00A841AA">
        <w:t>who</w:t>
      </w:r>
      <w:r w:rsidR="00D52FD0">
        <w:t xml:space="preserve"> </w:t>
      </w:r>
      <w:r w:rsidR="000A1AAE" w:rsidRPr="00A841AA">
        <w:t>visit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closed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open</w:t>
      </w:r>
      <w:r w:rsidR="00D52FD0">
        <w:t xml:space="preserve"> </w:t>
      </w:r>
      <w:r w:rsidR="000A1AAE" w:rsidRPr="00A841AA">
        <w:t>centres</w:t>
      </w:r>
      <w:r w:rsidR="00D52FD0">
        <w:t xml:space="preserve"> </w:t>
      </w:r>
      <w:r w:rsidR="000A1AAE" w:rsidRPr="00A841AA">
        <w:t>can</w:t>
      </w:r>
      <w:r w:rsidR="00D52FD0">
        <w:t xml:space="preserve"> </w:t>
      </w:r>
      <w:r w:rsidR="000A1AAE" w:rsidRPr="00A841AA">
        <w:t>refer</w:t>
      </w:r>
      <w:r w:rsidR="00D52FD0">
        <w:t xml:space="preserve"> </w:t>
      </w:r>
      <w:r w:rsidR="000A1AAE" w:rsidRPr="00A841AA">
        <w:t>people</w:t>
      </w:r>
      <w:r w:rsidR="00D52FD0">
        <w:t xml:space="preserve"> </w:t>
      </w:r>
      <w:r w:rsidR="000A1AAE" w:rsidRPr="00A841AA">
        <w:t>by</w:t>
      </w:r>
      <w:r w:rsidR="00D52FD0">
        <w:t xml:space="preserve"> </w:t>
      </w:r>
      <w:r w:rsidR="000A1AAE" w:rsidRPr="00A841AA">
        <w:t>using</w:t>
      </w:r>
      <w:r w:rsidR="00D52FD0">
        <w:t xml:space="preserve"> </w:t>
      </w:r>
      <w:r w:rsidR="000A1AAE" w:rsidRPr="00A841AA">
        <w:t>a</w:t>
      </w:r>
      <w:r w:rsidR="00D52FD0">
        <w:t xml:space="preserve"> </w:t>
      </w:r>
      <w:r w:rsidR="000A1AAE" w:rsidRPr="00A841AA">
        <w:t>specific</w:t>
      </w:r>
      <w:r w:rsidR="00D52FD0">
        <w:t xml:space="preserve"> </w:t>
      </w:r>
      <w:r w:rsidR="000A1AAE" w:rsidRPr="00A841AA">
        <w:t>referral</w:t>
      </w:r>
      <w:r w:rsidR="00D52FD0">
        <w:t xml:space="preserve"> </w:t>
      </w:r>
      <w:r w:rsidR="000A1AAE" w:rsidRPr="00A841AA">
        <w:t>form.</w:t>
      </w:r>
    </w:p>
    <w:p w14:paraId="0887005C" w14:textId="1DE1AA18" w:rsidR="000A1AAE" w:rsidRPr="00A841AA" w:rsidRDefault="0044637E" w:rsidP="0044637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841AA">
        <w:t>59.</w:t>
      </w:r>
      <w:r w:rsidRPr="00A841AA">
        <w:tab/>
      </w:r>
      <w:r w:rsidR="000A1AAE" w:rsidRPr="00A841AA">
        <w:t>In</w:t>
      </w:r>
      <w:r w:rsidR="00D52FD0">
        <w:t xml:space="preserve"> </w:t>
      </w:r>
      <w:r w:rsidR="000A1AAE" w:rsidRPr="00A841AA">
        <w:t>2021,</w:t>
      </w:r>
      <w:r w:rsidR="00D52FD0">
        <w:t xml:space="preserve"> </w:t>
      </w:r>
      <w:r w:rsidR="000A1AAE" w:rsidRPr="00A841AA">
        <w:t>AWAS</w:t>
      </w:r>
      <w:r w:rsidR="00D52FD0">
        <w:t xml:space="preserve"> </w:t>
      </w:r>
      <w:r w:rsidR="000A1AAE" w:rsidRPr="00A841AA">
        <w:t>engaged</w:t>
      </w:r>
      <w:r w:rsidR="00D52FD0">
        <w:t xml:space="preserve"> </w:t>
      </w:r>
      <w:r w:rsidR="000A1AAE" w:rsidRPr="00A841AA">
        <w:t>three</w:t>
      </w:r>
      <w:r w:rsidR="00D52FD0">
        <w:t xml:space="preserve"> </w:t>
      </w:r>
      <w:r w:rsidR="000A1AAE" w:rsidRPr="00A841AA">
        <w:t>additional</w:t>
      </w:r>
      <w:r w:rsidR="00D52FD0">
        <w:t xml:space="preserve"> </w:t>
      </w:r>
      <w:r w:rsidR="000A1AAE" w:rsidRPr="00A841AA">
        <w:t>welfare</w:t>
      </w:r>
      <w:r w:rsidR="00D52FD0">
        <w:t xml:space="preserve"> </w:t>
      </w:r>
      <w:r w:rsidR="000A1AAE" w:rsidRPr="00A841AA">
        <w:t>officers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compliment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welfare</w:t>
      </w:r>
      <w:r w:rsidR="00D52FD0">
        <w:t xml:space="preserve"> </w:t>
      </w:r>
      <w:r w:rsidR="000A1AAE" w:rsidRPr="00A841AA">
        <w:t>coordinator</w:t>
      </w:r>
      <w:r w:rsidR="00D52FD0">
        <w:t xml:space="preserve"> </w:t>
      </w:r>
      <w:r w:rsidR="000A1AAE" w:rsidRPr="00A841AA">
        <w:t>within</w:t>
      </w:r>
      <w:r w:rsidR="00D52FD0">
        <w:t xml:space="preserve"> </w:t>
      </w:r>
      <w:r w:rsidR="000A1AAE" w:rsidRPr="00A841AA">
        <w:t>each</w:t>
      </w:r>
      <w:r w:rsidR="00D52FD0">
        <w:t xml:space="preserve"> </w:t>
      </w:r>
      <w:r w:rsidR="000A1AAE" w:rsidRPr="00A841AA">
        <w:t>centre.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role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these</w:t>
      </w:r>
      <w:r w:rsidR="00D52FD0">
        <w:t xml:space="preserve"> </w:t>
      </w:r>
      <w:r w:rsidR="000A1AAE" w:rsidRPr="00A841AA">
        <w:t>officers</w:t>
      </w:r>
      <w:r w:rsidR="00D52FD0">
        <w:t xml:space="preserve"> </w:t>
      </w:r>
      <w:r w:rsidR="000A1AAE" w:rsidRPr="00A841AA">
        <w:t>is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strictly</w:t>
      </w:r>
      <w:r w:rsidR="00D52FD0">
        <w:t xml:space="preserve"> </w:t>
      </w:r>
      <w:r w:rsidR="000A1AAE" w:rsidRPr="00A841AA">
        <w:t>follow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client</w:t>
      </w:r>
      <w:r w:rsidR="00F14DA3">
        <w:t>’</w:t>
      </w:r>
      <w:r w:rsidR="000A1AAE" w:rsidRPr="00A841AA">
        <w:t>s</w:t>
      </w:r>
      <w:r w:rsidR="00D52FD0">
        <w:t xml:space="preserve"> </w:t>
      </w:r>
      <w:r w:rsidR="000A1AAE" w:rsidRPr="00A841AA">
        <w:t>hand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hand</w:t>
      </w:r>
      <w:r w:rsidR="00D52FD0">
        <w:t xml:space="preserve"> </w:t>
      </w:r>
      <w:r w:rsidR="000A1AAE" w:rsidRPr="00A841AA">
        <w:t>with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residents</w:t>
      </w:r>
      <w:r w:rsidR="00F14DA3">
        <w:t>’</w:t>
      </w:r>
      <w:r w:rsidR="00D52FD0">
        <w:t xml:space="preserve"> </w:t>
      </w:r>
      <w:r w:rsidR="000A1AAE" w:rsidRPr="00A841AA">
        <w:t>social</w:t>
      </w:r>
      <w:r w:rsidR="00D52FD0">
        <w:t xml:space="preserve"> </w:t>
      </w:r>
      <w:r w:rsidR="000A1AAE" w:rsidRPr="00A841AA">
        <w:t>worker,</w:t>
      </w:r>
      <w:r w:rsidR="00D52FD0">
        <w:t xml:space="preserve"> </w:t>
      </w:r>
      <w:r w:rsidR="000A1AAE" w:rsidRPr="00A841AA">
        <w:t>welfare</w:t>
      </w:r>
      <w:r w:rsidR="00D52FD0">
        <w:t xml:space="preserve"> </w:t>
      </w:r>
      <w:r w:rsidR="000A1AAE" w:rsidRPr="00A841AA">
        <w:t>coordinator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psychosocial</w:t>
      </w:r>
      <w:r w:rsidR="00D52FD0">
        <w:t xml:space="preserve"> </w:t>
      </w:r>
      <w:r w:rsidR="000A1AAE" w:rsidRPr="00A841AA">
        <w:t>team.</w:t>
      </w:r>
      <w:r w:rsidR="00D52FD0">
        <w:t xml:space="preserve"> </w:t>
      </w:r>
      <w:r w:rsidR="000A1AAE" w:rsidRPr="00A841AA">
        <w:t>Additionally,</w:t>
      </w:r>
      <w:r w:rsidR="00D52FD0">
        <w:t xml:space="preserve"> </w:t>
      </w:r>
      <w:r w:rsidR="000A1AAE" w:rsidRPr="00A841AA">
        <w:t>AWAS</w:t>
      </w:r>
      <w:r w:rsidR="00D52FD0">
        <w:t xml:space="preserve"> </w:t>
      </w:r>
      <w:r w:rsidR="000A1AAE" w:rsidRPr="00A841AA">
        <w:t>plans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strengthen</w:t>
      </w:r>
      <w:r w:rsidR="00D52FD0">
        <w:t xml:space="preserve"> </w:t>
      </w:r>
      <w:r w:rsidR="000A1AAE" w:rsidRPr="00A841AA">
        <w:t>its</w:t>
      </w:r>
      <w:r w:rsidR="00D52FD0">
        <w:t xml:space="preserve"> </w:t>
      </w:r>
      <w:r w:rsidR="000A1AAE" w:rsidRPr="00A841AA">
        <w:t>team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vulnerability</w:t>
      </w:r>
      <w:r w:rsidR="00D52FD0">
        <w:t xml:space="preserve"> </w:t>
      </w:r>
      <w:r w:rsidR="000A1AAE" w:rsidRPr="00A841AA">
        <w:t>assessors</w:t>
      </w:r>
      <w:r w:rsidR="00D52FD0">
        <w:t xml:space="preserve"> </w:t>
      </w:r>
      <w:r w:rsidR="000A1AAE" w:rsidRPr="00A841AA">
        <w:t>by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recruitment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eight</w:t>
      </w:r>
      <w:r w:rsidR="00D52FD0">
        <w:t xml:space="preserve"> </w:t>
      </w:r>
      <w:r w:rsidR="000A1AAE" w:rsidRPr="00A841AA">
        <w:t>professionals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2022.</w:t>
      </w:r>
    </w:p>
    <w:p w14:paraId="7B58EF42" w14:textId="0F5DD5D9" w:rsidR="000E4FD0" w:rsidRDefault="0044637E" w:rsidP="0044637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>
        <w:t>60.</w:t>
      </w:r>
      <w:r>
        <w:tab/>
      </w:r>
      <w:r w:rsidR="000A1AAE" w:rsidRPr="00A841AA">
        <w:t>The</w:t>
      </w:r>
      <w:r w:rsidR="00D52FD0">
        <w:t xml:space="preserve"> </w:t>
      </w:r>
      <w:r w:rsidR="000A1AAE" w:rsidRPr="00A841AA">
        <w:t>principle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best</w:t>
      </w:r>
      <w:r w:rsidR="00D52FD0">
        <w:t xml:space="preserve"> </w:t>
      </w:r>
      <w:r w:rsidR="000A1AAE" w:rsidRPr="00A841AA">
        <w:t>interests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child,</w:t>
      </w:r>
      <w:r w:rsidR="00D52FD0">
        <w:t xml:space="preserve"> </w:t>
      </w:r>
      <w:r w:rsidR="000A1AAE" w:rsidRPr="00A841AA">
        <w:t>which</w:t>
      </w:r>
      <w:r w:rsidR="00D52FD0">
        <w:t xml:space="preserve"> </w:t>
      </w:r>
      <w:r w:rsidR="000A1AAE" w:rsidRPr="00A841AA">
        <w:t>has</w:t>
      </w:r>
      <w:r w:rsidR="00D52FD0">
        <w:t xml:space="preserve"> </w:t>
      </w:r>
      <w:r w:rsidR="000A1AAE" w:rsidRPr="00A841AA">
        <w:t>always</w:t>
      </w:r>
      <w:r w:rsidR="00D52FD0">
        <w:t xml:space="preserve"> </w:t>
      </w:r>
      <w:r w:rsidR="000A1AAE" w:rsidRPr="00A841AA">
        <w:t>been</w:t>
      </w:r>
      <w:r w:rsidR="00D52FD0">
        <w:t xml:space="preserve"> </w:t>
      </w:r>
      <w:r w:rsidR="000A1AAE" w:rsidRPr="00A841AA">
        <w:t>at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centre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Maltese</w:t>
      </w:r>
      <w:r w:rsidR="00D52FD0">
        <w:t xml:space="preserve"> </w:t>
      </w:r>
      <w:r w:rsidR="000A1AAE" w:rsidRPr="00A841AA">
        <w:t>administrative</w:t>
      </w:r>
      <w:r w:rsidR="00D52FD0">
        <w:t xml:space="preserve"> </w:t>
      </w:r>
      <w:r w:rsidR="000A1AAE" w:rsidRPr="00A841AA">
        <w:t>practice,</w:t>
      </w:r>
      <w:r w:rsidR="00D52FD0">
        <w:t xml:space="preserve"> </w:t>
      </w:r>
      <w:r w:rsidR="000A1AAE" w:rsidRPr="00A841AA">
        <w:t>is</w:t>
      </w:r>
      <w:r w:rsidR="00D52FD0">
        <w:t xml:space="preserve"> </w:t>
      </w:r>
      <w:r w:rsidR="000A1AAE" w:rsidRPr="00A841AA">
        <w:t>incorporated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definition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F14DA3">
        <w:t>‘</w:t>
      </w:r>
      <w:r w:rsidR="000A1AAE" w:rsidRPr="00A841AA">
        <w:t>representative</w:t>
      </w:r>
      <w:r w:rsidR="00F14DA3">
        <w:t>’</w:t>
      </w:r>
      <w:r w:rsidR="000A1AAE" w:rsidRPr="00A841AA">
        <w:t>,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Article</w:t>
      </w:r>
      <w:r w:rsidR="00D52FD0">
        <w:t xml:space="preserve"> </w:t>
      </w:r>
      <w:r w:rsidR="000A1AAE" w:rsidRPr="00A841AA">
        <w:t>17A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International</w:t>
      </w:r>
      <w:r w:rsidR="00D52FD0">
        <w:t xml:space="preserve"> </w:t>
      </w:r>
      <w:r w:rsidR="000A1AAE" w:rsidRPr="00A841AA">
        <w:t>Protection</w:t>
      </w:r>
      <w:r w:rsidR="00D52FD0">
        <w:t xml:space="preserve"> </w:t>
      </w:r>
      <w:r w:rsidR="000A1AAE" w:rsidRPr="00A841AA">
        <w:t>Act,</w:t>
      </w:r>
      <w:r w:rsidR="00D52FD0">
        <w:t xml:space="preserve"> </w:t>
      </w:r>
      <w:r w:rsidR="000A1AAE" w:rsidRPr="00A841AA">
        <w:t>which</w:t>
      </w:r>
      <w:r w:rsidR="00D52FD0">
        <w:t xml:space="preserve"> </w:t>
      </w:r>
      <w:r w:rsidR="000A1AAE" w:rsidRPr="00A841AA">
        <w:t>introduced</w:t>
      </w:r>
      <w:r w:rsidR="00D52FD0">
        <w:t xml:space="preserve"> </w:t>
      </w:r>
      <w:r w:rsidR="000A1AAE" w:rsidRPr="00A841AA">
        <w:t>Temporary</w:t>
      </w:r>
      <w:r w:rsidR="00D52FD0">
        <w:t xml:space="preserve"> </w:t>
      </w:r>
      <w:r w:rsidR="000A1AAE" w:rsidRPr="00A841AA">
        <w:t>Humanitarian</w:t>
      </w:r>
      <w:r w:rsidR="00D52FD0">
        <w:t xml:space="preserve"> </w:t>
      </w:r>
      <w:r w:rsidR="000A1AAE" w:rsidRPr="00A841AA">
        <w:t>Protection</w:t>
      </w:r>
      <w:r w:rsidR="00D52FD0">
        <w:t xml:space="preserve"> </w:t>
      </w:r>
      <w:r w:rsidR="000A1AAE" w:rsidRPr="00A841AA">
        <w:t>into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national</w:t>
      </w:r>
      <w:r w:rsidR="00D52FD0">
        <w:t xml:space="preserve"> </w:t>
      </w:r>
      <w:r w:rsidR="000A1AAE" w:rsidRPr="00A841AA">
        <w:t>legislative</w:t>
      </w:r>
      <w:r w:rsidR="00D52FD0">
        <w:t xml:space="preserve"> </w:t>
      </w:r>
      <w:r w:rsidR="000A1AAE" w:rsidRPr="00A841AA">
        <w:t>system</w:t>
      </w:r>
      <w:r w:rsidR="00D52FD0">
        <w:t xml:space="preserve"> </w:t>
      </w:r>
      <w:r w:rsidR="000A1AAE" w:rsidRPr="00A841AA">
        <w:t>by</w:t>
      </w:r>
      <w:r w:rsidR="00D52FD0">
        <w:t xml:space="preserve"> </w:t>
      </w:r>
      <w:r w:rsidR="000A1AAE" w:rsidRPr="00A841AA">
        <w:t>means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Act</w:t>
      </w:r>
      <w:r w:rsidR="00D52FD0">
        <w:t xml:space="preserve"> </w:t>
      </w:r>
      <w:r w:rsidR="000A1AAE" w:rsidRPr="00A841AA">
        <w:t>XL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2020.</w:t>
      </w:r>
      <w:r w:rsidR="00D52FD0">
        <w:t xml:space="preserve"> </w:t>
      </w:r>
      <w:r w:rsidR="000A1AAE" w:rsidRPr="00A841AA">
        <w:t>Moreover,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principle</w:t>
      </w:r>
      <w:r w:rsidR="00D52FD0">
        <w:t xml:space="preserve"> </w:t>
      </w:r>
      <w:r w:rsidR="000A1AAE" w:rsidRPr="00A841AA">
        <w:t>has</w:t>
      </w:r>
      <w:r w:rsidR="00D52FD0">
        <w:t xml:space="preserve"> </w:t>
      </w:r>
      <w:r w:rsidR="000A1AAE" w:rsidRPr="00A841AA">
        <w:t>been</w:t>
      </w:r>
      <w:r w:rsidR="00D52FD0">
        <w:t xml:space="preserve"> </w:t>
      </w:r>
      <w:r w:rsidR="000A1AAE" w:rsidRPr="00A841AA">
        <w:t>incorporated</w:t>
      </w:r>
      <w:r w:rsidR="00D52FD0">
        <w:t xml:space="preserve"> </w:t>
      </w:r>
      <w:r w:rsidR="000A1AAE" w:rsidRPr="00A841AA">
        <w:t>into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Reception</w:t>
      </w:r>
      <w:r w:rsidR="00D52FD0">
        <w:t xml:space="preserve"> </w:t>
      </w:r>
      <w:r w:rsidR="000A1AAE" w:rsidRPr="00A841AA">
        <w:t>Conditions</w:t>
      </w:r>
      <w:r w:rsidR="00D52FD0">
        <w:t xml:space="preserve"> </w:t>
      </w:r>
      <w:r w:rsidR="000A1AAE" w:rsidRPr="00A841AA">
        <w:t>Regulations</w:t>
      </w:r>
      <w:r w:rsidR="00D52FD0">
        <w:t xml:space="preserve"> </w:t>
      </w:r>
      <w:r w:rsidR="000A1AAE" w:rsidRPr="00A841AA">
        <w:t>since</w:t>
      </w:r>
      <w:r w:rsidR="00D52FD0">
        <w:t xml:space="preserve"> </w:t>
      </w:r>
      <w:r w:rsidR="000A1AAE" w:rsidRPr="00A841AA">
        <w:t>2015,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Regulations</w:t>
      </w:r>
      <w:r w:rsidR="00D52FD0">
        <w:t xml:space="preserve"> </w:t>
      </w:r>
      <w:r w:rsidR="000A1AAE" w:rsidRPr="00A841AA">
        <w:t>14</w:t>
      </w:r>
      <w:r w:rsidR="00D52FD0">
        <w:t xml:space="preserve"> </w:t>
      </w:r>
      <w:r w:rsidR="000A1AAE" w:rsidRPr="00A841AA">
        <w:t>thereof,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Procedural</w:t>
      </w:r>
      <w:r w:rsidR="00D52FD0">
        <w:t xml:space="preserve"> </w:t>
      </w:r>
      <w:r w:rsidR="000A1AAE" w:rsidRPr="00A841AA">
        <w:t>Standards</w:t>
      </w:r>
      <w:r w:rsidR="00D52FD0">
        <w:t xml:space="preserve"> </w:t>
      </w:r>
      <w:r w:rsidR="000A1AAE" w:rsidRPr="00A841AA">
        <w:t>for</w:t>
      </w:r>
      <w:r w:rsidR="00D52FD0">
        <w:t xml:space="preserve"> </w:t>
      </w:r>
      <w:r w:rsidR="000A1AAE" w:rsidRPr="00A841AA">
        <w:t>Granting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Withdrawing</w:t>
      </w:r>
      <w:r w:rsidR="00D52FD0">
        <w:t xml:space="preserve"> </w:t>
      </w:r>
      <w:r w:rsidR="000A1AAE" w:rsidRPr="00A841AA">
        <w:lastRenderedPageBreak/>
        <w:t>international</w:t>
      </w:r>
      <w:r w:rsidR="00D52FD0">
        <w:t xml:space="preserve"> </w:t>
      </w:r>
      <w:r w:rsidR="000A1AAE" w:rsidRPr="00A841AA">
        <w:t>Protection</w:t>
      </w:r>
      <w:r w:rsidR="00D52FD0">
        <w:t xml:space="preserve"> </w:t>
      </w:r>
      <w:r w:rsidR="000A1AAE" w:rsidRPr="00A841AA">
        <w:t>Regulations,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definition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F14DA3">
        <w:t>‘</w:t>
      </w:r>
      <w:r w:rsidR="000A1AAE" w:rsidRPr="00A841AA">
        <w:t>representative</w:t>
      </w:r>
      <w:r w:rsidR="00F14DA3">
        <w:t>’</w:t>
      </w:r>
      <w:r w:rsidR="000A1AAE" w:rsidRPr="00A841AA">
        <w:t>,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Regulation</w:t>
      </w:r>
      <w:r w:rsidR="00D52FD0">
        <w:t xml:space="preserve"> </w:t>
      </w:r>
      <w:r w:rsidR="000A1AAE" w:rsidRPr="00A841AA">
        <w:t>17,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Regulation</w:t>
      </w:r>
      <w:r w:rsidR="00D52FD0">
        <w:t xml:space="preserve"> </w:t>
      </w:r>
      <w:r w:rsidR="000A1AAE" w:rsidRPr="00A841AA">
        <w:t>18</w:t>
      </w:r>
      <w:r w:rsidR="00D52FD0">
        <w:t xml:space="preserve"> </w:t>
      </w:r>
      <w:r w:rsidR="000A1AAE" w:rsidRPr="00A841AA">
        <w:t>thereof,</w:t>
      </w:r>
      <w:r w:rsidR="00D52FD0">
        <w:t xml:space="preserve"> </w:t>
      </w:r>
      <w:r w:rsidR="000A1AAE" w:rsidRPr="00A841AA">
        <w:t>which</w:t>
      </w:r>
      <w:r w:rsidR="00D52FD0">
        <w:t xml:space="preserve"> </w:t>
      </w:r>
      <w:r w:rsidR="000A1AAE" w:rsidRPr="00A841AA">
        <w:t>Regulations</w:t>
      </w:r>
      <w:r w:rsidR="00D52FD0">
        <w:t xml:space="preserve"> </w:t>
      </w:r>
      <w:r w:rsidR="000A1AAE" w:rsidRPr="00A841AA">
        <w:t>have</w:t>
      </w:r>
      <w:r w:rsidR="00D52FD0">
        <w:t xml:space="preserve"> </w:t>
      </w:r>
      <w:r w:rsidR="000A1AAE" w:rsidRPr="00A841AA">
        <w:t>been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force</w:t>
      </w:r>
      <w:r w:rsidR="00D52FD0">
        <w:t xml:space="preserve"> </w:t>
      </w:r>
      <w:r w:rsidR="000A1AAE" w:rsidRPr="00A841AA">
        <w:t>since</w:t>
      </w:r>
      <w:r w:rsidR="00D52FD0">
        <w:t xml:space="preserve"> </w:t>
      </w:r>
      <w:r w:rsidR="000A1AAE" w:rsidRPr="00A841AA">
        <w:t>2015.</w:t>
      </w:r>
    </w:p>
    <w:p w14:paraId="29669E30" w14:textId="487D70D1" w:rsidR="000E4FD0" w:rsidRDefault="0044637E" w:rsidP="0044637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>
        <w:t>61.</w:t>
      </w:r>
      <w:r>
        <w:tab/>
      </w:r>
      <w:r w:rsidR="000A1AAE" w:rsidRPr="00A841AA">
        <w:t>Vulnerable</w:t>
      </w:r>
      <w:r w:rsidR="00D52FD0">
        <w:t xml:space="preserve"> </w:t>
      </w:r>
      <w:r w:rsidR="000A1AAE" w:rsidRPr="00A841AA">
        <w:t>persons</w:t>
      </w:r>
      <w:r w:rsidR="00D52FD0">
        <w:t xml:space="preserve"> </w:t>
      </w:r>
      <w:r w:rsidR="000A1AAE" w:rsidRPr="00A841AA">
        <w:t>as</w:t>
      </w:r>
      <w:r w:rsidR="00D52FD0">
        <w:t xml:space="preserve"> </w:t>
      </w:r>
      <w:r w:rsidR="000A1AAE" w:rsidRPr="00A841AA">
        <w:t>defined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Reception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Asylum</w:t>
      </w:r>
      <w:r w:rsidR="00D52FD0">
        <w:t xml:space="preserve"> </w:t>
      </w:r>
      <w:r w:rsidR="000A1AAE" w:rsidRPr="00A841AA">
        <w:t>Seekers</w:t>
      </w:r>
      <w:r w:rsidR="00D52FD0">
        <w:t xml:space="preserve"> </w:t>
      </w:r>
      <w:r w:rsidR="000A1AAE" w:rsidRPr="00A841AA">
        <w:t>Regulations,</w:t>
      </w:r>
      <w:r w:rsidR="00D52FD0">
        <w:t xml:space="preserve"> </w:t>
      </w:r>
      <w:r w:rsidR="000A1AAE" w:rsidRPr="00A841AA">
        <w:t>SL</w:t>
      </w:r>
      <w:r w:rsidR="00D52FD0">
        <w:t xml:space="preserve"> </w:t>
      </w:r>
      <w:r w:rsidR="000A1AAE" w:rsidRPr="00A841AA">
        <w:t>420.06,</w:t>
      </w:r>
      <w:r w:rsidR="00D52FD0">
        <w:t xml:space="preserve"> </w:t>
      </w:r>
      <w:r w:rsidR="000A1AAE" w:rsidRPr="00A841AA">
        <w:t>including</w:t>
      </w:r>
      <w:r w:rsidR="00D52FD0">
        <w:t xml:space="preserve"> </w:t>
      </w:r>
      <w:r w:rsidR="000A1AAE" w:rsidRPr="00A841AA">
        <w:t>minors,</w:t>
      </w:r>
      <w:r w:rsidR="00D52FD0">
        <w:t xml:space="preserve"> </w:t>
      </w:r>
      <w:r w:rsidR="000A1AAE" w:rsidRPr="00A841AA">
        <w:t>are</w:t>
      </w:r>
      <w:r w:rsidR="00D52FD0">
        <w:t xml:space="preserve"> </w:t>
      </w:r>
      <w:r w:rsidR="000A1AAE" w:rsidRPr="00A841AA">
        <w:t>not</w:t>
      </w:r>
      <w:r w:rsidR="00D52FD0">
        <w:t xml:space="preserve"> </w:t>
      </w:r>
      <w:r w:rsidR="000A1AAE" w:rsidRPr="00A841AA">
        <w:t>issued</w:t>
      </w:r>
      <w:r w:rsidR="00D52FD0">
        <w:t xml:space="preserve"> </w:t>
      </w:r>
      <w:r w:rsidR="000A1AAE" w:rsidRPr="00A841AA">
        <w:t>with</w:t>
      </w:r>
      <w:r w:rsidR="00D52FD0">
        <w:t xml:space="preserve"> </w:t>
      </w:r>
      <w:r w:rsidR="000A1AAE" w:rsidRPr="00A841AA">
        <w:t>Detention</w:t>
      </w:r>
      <w:r w:rsidR="00D52FD0">
        <w:t xml:space="preserve"> </w:t>
      </w:r>
      <w:r w:rsidR="000A1AAE" w:rsidRPr="00A841AA">
        <w:t>Orders</w:t>
      </w:r>
      <w:r w:rsidR="00D52FD0">
        <w:t xml:space="preserve"> </w:t>
      </w:r>
      <w:r w:rsidR="000A1AAE" w:rsidRPr="00A841AA">
        <w:t>by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immigration</w:t>
      </w:r>
      <w:r w:rsidR="00D52FD0">
        <w:t xml:space="preserve"> </w:t>
      </w:r>
      <w:r w:rsidR="000A1AAE" w:rsidRPr="00A841AA">
        <w:t>authorities</w:t>
      </w:r>
      <w:r w:rsidR="00D52FD0">
        <w:t xml:space="preserve"> </w:t>
      </w:r>
      <w:r w:rsidR="000A1AAE" w:rsidRPr="00A841AA">
        <w:t>upon</w:t>
      </w:r>
      <w:r w:rsidR="00D52FD0">
        <w:t xml:space="preserve"> </w:t>
      </w:r>
      <w:r w:rsidR="000A1AAE" w:rsidRPr="00A841AA">
        <w:t>discharge</w:t>
      </w:r>
      <w:r w:rsidR="00D52FD0">
        <w:t xml:space="preserve"> </w:t>
      </w:r>
      <w:r w:rsidR="000A1AAE" w:rsidRPr="00A841AA">
        <w:t>from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Initial</w:t>
      </w:r>
      <w:r w:rsidR="00D52FD0">
        <w:t xml:space="preserve"> </w:t>
      </w:r>
      <w:r w:rsidR="000A1AAE" w:rsidRPr="00A841AA">
        <w:t>Reception</w:t>
      </w:r>
      <w:r w:rsidR="00D52FD0">
        <w:t xml:space="preserve"> </w:t>
      </w:r>
      <w:r w:rsidR="000A1AAE" w:rsidRPr="00A841AA">
        <w:t>Centre</w:t>
      </w:r>
      <w:r w:rsidR="00D52FD0">
        <w:t xml:space="preserve"> </w:t>
      </w:r>
      <w:r w:rsidR="000A1AAE" w:rsidRPr="00A841AA">
        <w:t>(IRC).</w:t>
      </w:r>
      <w:r w:rsidR="00D52FD0">
        <w:t xml:space="preserve"> </w:t>
      </w:r>
      <w:r w:rsidR="000A1AAE" w:rsidRPr="00A841AA">
        <w:t>Such</w:t>
      </w:r>
      <w:r w:rsidR="00D52FD0">
        <w:t xml:space="preserve"> </w:t>
      </w:r>
      <w:r w:rsidR="000A1AAE" w:rsidRPr="00A841AA">
        <w:t>persons</w:t>
      </w:r>
      <w:r w:rsidR="00D52FD0">
        <w:t xml:space="preserve"> </w:t>
      </w:r>
      <w:r w:rsidR="000A1AAE" w:rsidRPr="00A841AA">
        <w:t>are</w:t>
      </w:r>
      <w:r w:rsidR="00D52FD0">
        <w:t xml:space="preserve"> </w:t>
      </w:r>
      <w:r w:rsidR="000A1AAE" w:rsidRPr="00A841AA">
        <w:t>therefore</w:t>
      </w:r>
      <w:r w:rsidR="00D52FD0">
        <w:t xml:space="preserve"> </w:t>
      </w:r>
      <w:r w:rsidR="000A1AAE" w:rsidRPr="00A841AA">
        <w:t>accommodated</w:t>
      </w:r>
      <w:r w:rsidR="00D52FD0">
        <w:t xml:space="preserve"> </w:t>
      </w:r>
      <w:r w:rsidR="000A1AAE" w:rsidRPr="00A841AA">
        <w:t>at</w:t>
      </w:r>
      <w:r w:rsidR="00D52FD0">
        <w:t xml:space="preserve"> </w:t>
      </w:r>
      <w:r w:rsidR="000A1AAE" w:rsidRPr="00A841AA">
        <w:t>Open</w:t>
      </w:r>
      <w:r w:rsidR="00D52FD0">
        <w:t xml:space="preserve"> </w:t>
      </w:r>
      <w:r w:rsidR="000A1AAE" w:rsidRPr="00A841AA">
        <w:t>Centres</w:t>
      </w:r>
      <w:r w:rsidR="00D52FD0">
        <w:t xml:space="preserve"> </w:t>
      </w:r>
      <w:r w:rsidR="000A1AAE" w:rsidRPr="00A841AA">
        <w:t>suited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their</w:t>
      </w:r>
      <w:r w:rsidR="00D52FD0">
        <w:t xml:space="preserve"> </w:t>
      </w:r>
      <w:r w:rsidR="000A1AAE" w:rsidRPr="00A841AA">
        <w:t>specific</w:t>
      </w:r>
      <w:r w:rsidR="00D52FD0">
        <w:t xml:space="preserve"> </w:t>
      </w:r>
      <w:r w:rsidR="000A1AAE" w:rsidRPr="00A841AA">
        <w:t>circumstances.</w:t>
      </w:r>
      <w:r w:rsidR="00D52FD0">
        <w:t xml:space="preserve"> </w:t>
      </w:r>
      <w:r w:rsidR="000A1AAE" w:rsidRPr="00A841AA">
        <w:t>Families</w:t>
      </w:r>
      <w:r w:rsidR="00D52FD0">
        <w:t xml:space="preserve"> </w:t>
      </w:r>
      <w:r w:rsidR="000A1AAE" w:rsidRPr="00A841AA">
        <w:t>involving</w:t>
      </w:r>
      <w:r w:rsidR="00D52FD0">
        <w:t xml:space="preserve"> </w:t>
      </w:r>
      <w:r w:rsidR="000A1AAE" w:rsidRPr="00A841AA">
        <w:t>children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unaccompanied</w:t>
      </w:r>
      <w:r w:rsidR="00D52FD0">
        <w:t xml:space="preserve"> </w:t>
      </w:r>
      <w:r w:rsidR="000A1AAE" w:rsidRPr="00A841AA">
        <w:t>minors</w:t>
      </w:r>
      <w:r w:rsidR="00D52FD0">
        <w:t xml:space="preserve"> </w:t>
      </w:r>
      <w:r w:rsidR="000A1AAE" w:rsidRPr="00A841AA">
        <w:t>are</w:t>
      </w:r>
      <w:r w:rsidR="00D52FD0">
        <w:t xml:space="preserve"> </w:t>
      </w:r>
      <w:r w:rsidR="000A1AAE" w:rsidRPr="00A841AA">
        <w:t>processed</w:t>
      </w:r>
      <w:r w:rsidR="00D52FD0">
        <w:t xml:space="preserve"> </w:t>
      </w:r>
      <w:r w:rsidR="000A1AAE" w:rsidRPr="00A841AA">
        <w:t>expeditiously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ensure</w:t>
      </w:r>
      <w:r w:rsidR="00D52FD0">
        <w:t xml:space="preserve"> </w:t>
      </w:r>
      <w:r w:rsidR="000A1AAE" w:rsidRPr="00A841AA">
        <w:t>that</w:t>
      </w:r>
      <w:r w:rsidR="00D52FD0">
        <w:t xml:space="preserve"> </w:t>
      </w:r>
      <w:r w:rsidR="000A1AAE" w:rsidRPr="00A841AA">
        <w:t>they</w:t>
      </w:r>
      <w:r w:rsidR="00D52FD0">
        <w:t xml:space="preserve"> </w:t>
      </w:r>
      <w:r w:rsidR="000A1AAE" w:rsidRPr="00A841AA">
        <w:t>can</w:t>
      </w:r>
      <w:r w:rsidR="00D52FD0">
        <w:t xml:space="preserve"> </w:t>
      </w:r>
      <w:r w:rsidR="000A1AAE" w:rsidRPr="00A841AA">
        <w:t>be</w:t>
      </w:r>
      <w:r w:rsidR="00D52FD0">
        <w:t xml:space="preserve"> </w:t>
      </w:r>
      <w:r w:rsidR="000A1AAE" w:rsidRPr="00A841AA">
        <w:t>moved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an</w:t>
      </w:r>
      <w:r w:rsidR="00D52FD0">
        <w:t xml:space="preserve"> </w:t>
      </w:r>
      <w:r w:rsidR="000A1AAE" w:rsidRPr="00A841AA">
        <w:t>open</w:t>
      </w:r>
      <w:r w:rsidR="00D52FD0">
        <w:t xml:space="preserve"> </w:t>
      </w:r>
      <w:r w:rsidR="000A1AAE" w:rsidRPr="00A841AA">
        <w:t>centre</w:t>
      </w:r>
      <w:r w:rsidR="00D52FD0">
        <w:t xml:space="preserve"> </w:t>
      </w:r>
      <w:r w:rsidR="000A1AAE" w:rsidRPr="00A841AA">
        <w:t>at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earliest</w:t>
      </w:r>
      <w:r w:rsidR="00D52FD0">
        <w:t xml:space="preserve"> </w:t>
      </w:r>
      <w:r w:rsidR="000A1AAE" w:rsidRPr="00A841AA">
        <w:t>possible.</w:t>
      </w:r>
      <w:r w:rsidR="00D52FD0">
        <w:t xml:space="preserve"> </w:t>
      </w:r>
      <w:r w:rsidR="000A1AAE" w:rsidRPr="00A841AA">
        <w:t>Persons</w:t>
      </w:r>
      <w:r w:rsidR="00D52FD0">
        <w:t xml:space="preserve"> </w:t>
      </w:r>
      <w:r w:rsidR="000A1AAE" w:rsidRPr="00A841AA">
        <w:t>who</w:t>
      </w:r>
      <w:r w:rsidR="00D52FD0">
        <w:t xml:space="preserve"> </w:t>
      </w:r>
      <w:r w:rsidR="000A1AAE" w:rsidRPr="00A841AA">
        <w:t>are</w:t>
      </w:r>
      <w:r w:rsidR="00D52FD0">
        <w:t xml:space="preserve"> </w:t>
      </w:r>
      <w:r w:rsidR="000A1AAE" w:rsidRPr="00A841AA">
        <w:t>confirmed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be</w:t>
      </w:r>
      <w:r w:rsidR="00D52FD0">
        <w:t xml:space="preserve"> </w:t>
      </w:r>
      <w:r w:rsidR="000A1AAE" w:rsidRPr="00A841AA">
        <w:t>minors</w:t>
      </w:r>
      <w:r w:rsidR="00D52FD0">
        <w:t xml:space="preserve"> </w:t>
      </w:r>
      <w:r w:rsidR="000A1AAE" w:rsidRPr="00A841AA">
        <w:t>following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age</w:t>
      </w:r>
      <w:r w:rsidR="00D52FD0">
        <w:t xml:space="preserve"> </w:t>
      </w:r>
      <w:r w:rsidR="000A1AAE" w:rsidRPr="00A841AA">
        <w:t>assessment</w:t>
      </w:r>
      <w:r w:rsidR="00D52FD0">
        <w:t xml:space="preserve"> </w:t>
      </w:r>
      <w:r w:rsidR="000A1AAE" w:rsidRPr="00A841AA">
        <w:t>test</w:t>
      </w:r>
      <w:r w:rsidR="00D52FD0">
        <w:t xml:space="preserve"> </w:t>
      </w:r>
      <w:r w:rsidR="000A1AAE" w:rsidRPr="00A841AA">
        <w:t>are</w:t>
      </w:r>
      <w:r w:rsidR="00D52FD0">
        <w:t xml:space="preserve"> </w:t>
      </w:r>
      <w:r w:rsidR="000A1AAE" w:rsidRPr="00A841AA">
        <w:t>transferred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open</w:t>
      </w:r>
      <w:r w:rsidR="00D52FD0">
        <w:t xml:space="preserve"> </w:t>
      </w:r>
      <w:r w:rsidR="000A1AAE" w:rsidRPr="00A841AA">
        <w:t>facilities</w:t>
      </w:r>
      <w:r w:rsidR="00D52FD0">
        <w:t xml:space="preserve"> </w:t>
      </w:r>
      <w:r w:rsidR="000A1AAE" w:rsidRPr="00A841AA">
        <w:t>immediately.</w:t>
      </w:r>
      <w:r w:rsidR="00D52FD0">
        <w:t xml:space="preserve"> </w:t>
      </w:r>
      <w:r w:rsidR="000A1AAE" w:rsidRPr="00A841AA">
        <w:t>AWAS</w:t>
      </w:r>
      <w:r w:rsidR="00D52FD0">
        <w:t xml:space="preserve"> </w:t>
      </w:r>
      <w:r w:rsidR="000A1AAE" w:rsidRPr="00A841AA">
        <w:t>require</w:t>
      </w:r>
      <w:r w:rsidR="00D52FD0">
        <w:t xml:space="preserve"> </w:t>
      </w:r>
      <w:r w:rsidR="000A1AAE" w:rsidRPr="00A841AA">
        <w:t>a</w:t>
      </w:r>
      <w:r w:rsidR="00D52FD0">
        <w:t xml:space="preserve"> </w:t>
      </w:r>
      <w:r w:rsidR="000A1AAE" w:rsidRPr="00A841AA">
        <w:t>medical</w:t>
      </w:r>
      <w:r w:rsidR="00D52FD0">
        <w:t xml:space="preserve"> </w:t>
      </w:r>
      <w:r w:rsidR="000A1AAE" w:rsidRPr="00A841AA">
        <w:t>bone</w:t>
      </w:r>
      <w:r w:rsidR="00D52FD0">
        <w:t xml:space="preserve"> </w:t>
      </w:r>
      <w:r w:rsidR="000A1AAE" w:rsidRPr="00A841AA">
        <w:t>test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any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those</w:t>
      </w:r>
      <w:r w:rsidR="00D52FD0">
        <w:t xml:space="preserve"> </w:t>
      </w:r>
      <w:r w:rsidR="000A1AAE" w:rsidRPr="00A841AA">
        <w:t>instances</w:t>
      </w:r>
      <w:r w:rsidR="00D52FD0">
        <w:t xml:space="preserve"> </w:t>
      </w:r>
      <w:r w:rsidR="000A1AAE" w:rsidRPr="00A841AA">
        <w:t>whereby</w:t>
      </w:r>
      <w:r w:rsidR="00D52FD0">
        <w:t xml:space="preserve"> </w:t>
      </w:r>
      <w:r w:rsidR="000A1AAE" w:rsidRPr="00A841AA">
        <w:t>uncertainty</w:t>
      </w:r>
      <w:r w:rsidR="00D52FD0">
        <w:t xml:space="preserve"> </w:t>
      </w:r>
      <w:r w:rsidR="000A1AAE" w:rsidRPr="00A841AA">
        <w:t>remains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age</w:t>
      </w:r>
      <w:r w:rsidR="00D52FD0">
        <w:t xml:space="preserve"> </w:t>
      </w:r>
      <w:r w:rsidR="000A1AAE" w:rsidRPr="00A841AA">
        <w:t>assessment</w:t>
      </w:r>
      <w:r w:rsidR="00D52FD0">
        <w:t xml:space="preserve"> </w:t>
      </w:r>
      <w:r w:rsidR="000A1AAE" w:rsidRPr="00A841AA">
        <w:t>process.</w:t>
      </w:r>
    </w:p>
    <w:p w14:paraId="29C3BAA4" w14:textId="0DBA8B44" w:rsidR="000A1AAE" w:rsidRPr="00A841AA" w:rsidRDefault="0044637E" w:rsidP="0044637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841AA">
        <w:t>62.</w:t>
      </w:r>
      <w:r w:rsidRPr="00A841AA">
        <w:tab/>
      </w:r>
      <w:r w:rsidR="000A1AAE" w:rsidRPr="00A841AA">
        <w:t>Throughout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age</w:t>
      </w:r>
      <w:r w:rsidR="00D52FD0">
        <w:t xml:space="preserve"> </w:t>
      </w:r>
      <w:r w:rsidR="000A1AAE" w:rsidRPr="00A841AA">
        <w:t>assessment</w:t>
      </w:r>
      <w:r w:rsidR="00D52FD0">
        <w:t xml:space="preserve"> </w:t>
      </w:r>
      <w:r w:rsidR="000A1AAE" w:rsidRPr="00A841AA">
        <w:t>process,</w:t>
      </w:r>
      <w:r w:rsidR="00D52FD0">
        <w:t xml:space="preserve"> </w:t>
      </w:r>
      <w:r w:rsidR="000A1AAE" w:rsidRPr="00A841AA">
        <w:t>those</w:t>
      </w:r>
      <w:r w:rsidR="00D52FD0">
        <w:t xml:space="preserve"> </w:t>
      </w:r>
      <w:r w:rsidR="000A1AAE" w:rsidRPr="00A841AA">
        <w:t>assessing</w:t>
      </w:r>
      <w:r w:rsidR="00D52FD0">
        <w:t xml:space="preserve"> </w:t>
      </w:r>
      <w:r w:rsidR="000A1AAE" w:rsidRPr="00A841AA">
        <w:t>try</w:t>
      </w:r>
      <w:r w:rsidR="00D52FD0">
        <w:t xml:space="preserve"> </w:t>
      </w:r>
      <w:r w:rsidR="000A1AAE" w:rsidRPr="00A841AA">
        <w:t>as</w:t>
      </w:r>
      <w:r w:rsidR="00D52FD0">
        <w:t xml:space="preserve"> </w:t>
      </w:r>
      <w:r w:rsidR="000A1AAE" w:rsidRPr="00A841AA">
        <w:t>much</w:t>
      </w:r>
      <w:r w:rsidR="00D52FD0">
        <w:t xml:space="preserve"> </w:t>
      </w:r>
      <w:r w:rsidR="000A1AAE" w:rsidRPr="00A841AA">
        <w:t>as</w:t>
      </w:r>
      <w:r w:rsidR="00D52FD0">
        <w:t xml:space="preserve"> </w:t>
      </w:r>
      <w:r w:rsidR="000A1AAE" w:rsidRPr="00A841AA">
        <w:t>possible</w:t>
      </w:r>
      <w:r w:rsidR="00D52FD0">
        <w:t xml:space="preserve"> </w:t>
      </w:r>
      <w:r w:rsidR="000A1AAE" w:rsidRPr="00A841AA">
        <w:t>give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benefit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doubt</w:t>
      </w:r>
      <w:r w:rsidR="00D52FD0">
        <w:t xml:space="preserve"> </w:t>
      </w:r>
      <w:r w:rsidR="000A1AAE" w:rsidRPr="00A841AA">
        <w:t>towards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alleged</w:t>
      </w:r>
      <w:r w:rsidR="00D52FD0">
        <w:t xml:space="preserve"> </w:t>
      </w:r>
      <w:r w:rsidR="000A1AAE" w:rsidRPr="00A841AA">
        <w:t>UMAS.</w:t>
      </w:r>
    </w:p>
    <w:p w14:paraId="54DBF11B" w14:textId="7BD3F713" w:rsidR="000A1AAE" w:rsidRPr="00A841AA" w:rsidRDefault="0044637E" w:rsidP="0044637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841AA">
        <w:t>63.</w:t>
      </w:r>
      <w:r w:rsidRPr="00A841AA">
        <w:tab/>
      </w:r>
      <w:r w:rsidR="000A1AAE" w:rsidRPr="00A841AA">
        <w:t>Furthermore,</w:t>
      </w:r>
      <w:r w:rsidR="00D52FD0">
        <w:t xml:space="preserve"> </w:t>
      </w:r>
      <w:r w:rsidR="000A1AAE" w:rsidRPr="00A841AA">
        <w:t>irrespective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status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their</w:t>
      </w:r>
      <w:r w:rsidR="00D52FD0">
        <w:t xml:space="preserve"> </w:t>
      </w:r>
      <w:r w:rsidR="000A1AAE" w:rsidRPr="00A841AA">
        <w:t>parents</w:t>
      </w:r>
      <w:r w:rsidR="00D52FD0">
        <w:t xml:space="preserve"> </w:t>
      </w:r>
      <w:r w:rsidR="000A1AAE" w:rsidRPr="00A841AA">
        <w:t>or</w:t>
      </w:r>
      <w:r w:rsidR="00D52FD0">
        <w:t xml:space="preserve"> </w:t>
      </w:r>
      <w:r w:rsidR="000A1AAE" w:rsidRPr="00A841AA">
        <w:t>their</w:t>
      </w:r>
      <w:r w:rsidR="00D52FD0">
        <w:t xml:space="preserve"> </w:t>
      </w:r>
      <w:r w:rsidR="000A1AAE" w:rsidRPr="00A841AA">
        <w:t>own</w:t>
      </w:r>
      <w:r w:rsidR="00D52FD0">
        <w:t xml:space="preserve"> </w:t>
      </w:r>
      <w:r w:rsidR="000A1AAE" w:rsidRPr="00A841AA">
        <w:t>status,</w:t>
      </w:r>
      <w:r w:rsidR="00D52FD0">
        <w:t xml:space="preserve"> </w:t>
      </w:r>
      <w:r w:rsidR="000A1AAE" w:rsidRPr="00A841AA">
        <w:t>all</w:t>
      </w:r>
      <w:r w:rsidR="00D52FD0">
        <w:t xml:space="preserve"> </w:t>
      </w:r>
      <w:r w:rsidR="000A1AAE" w:rsidRPr="00A841AA">
        <w:t>unaccompanied</w:t>
      </w:r>
      <w:r w:rsidR="00D52FD0">
        <w:t xml:space="preserve"> </w:t>
      </w:r>
      <w:r w:rsidR="000A1AAE" w:rsidRPr="00A841AA">
        <w:t>minors</w:t>
      </w:r>
      <w:r w:rsidR="00D52FD0">
        <w:t xml:space="preserve"> </w:t>
      </w:r>
      <w:r w:rsidR="000A1AAE" w:rsidRPr="00A841AA">
        <w:t>have</w:t>
      </w:r>
      <w:r w:rsidR="00D52FD0">
        <w:t xml:space="preserve"> </w:t>
      </w:r>
      <w:r w:rsidR="000A1AAE" w:rsidRPr="00A841AA">
        <w:t>access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State</w:t>
      </w:r>
      <w:r w:rsidR="00D52FD0">
        <w:t xml:space="preserve"> </w:t>
      </w:r>
      <w:r w:rsidR="000A1AAE" w:rsidRPr="00A841AA">
        <w:t>School</w:t>
      </w:r>
      <w:r w:rsidR="00D52FD0">
        <w:t xml:space="preserve"> </w:t>
      </w:r>
      <w:r w:rsidR="000A1AAE" w:rsidRPr="00A841AA">
        <w:t>education</w:t>
      </w:r>
      <w:r w:rsidR="00D52FD0">
        <w:t xml:space="preserve"> </w:t>
      </w:r>
      <w:r w:rsidR="000A1AAE" w:rsidRPr="00A841AA">
        <w:t>free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charge.</w:t>
      </w:r>
      <w:r w:rsidR="00D52FD0">
        <w:t xml:space="preserve"> </w:t>
      </w:r>
      <w:r w:rsidR="000A1AAE" w:rsidRPr="00A841AA">
        <w:t>Whenever</w:t>
      </w:r>
      <w:r w:rsidR="00D52FD0">
        <w:t xml:space="preserve"> </w:t>
      </w:r>
      <w:r w:rsidR="000A1AAE" w:rsidRPr="00A841AA">
        <w:t>necessary,</w:t>
      </w:r>
      <w:r w:rsidR="00D52FD0">
        <w:t xml:space="preserve"> </w:t>
      </w:r>
      <w:r w:rsidR="000A1AAE" w:rsidRPr="00A841AA">
        <w:t>particularly</w:t>
      </w:r>
      <w:r w:rsidR="00D52FD0">
        <w:t xml:space="preserve"> </w:t>
      </w:r>
      <w:r w:rsidR="000A1AAE" w:rsidRPr="00A841AA">
        <w:t>with</w:t>
      </w:r>
      <w:r w:rsidR="00D52FD0">
        <w:t xml:space="preserve"> </w:t>
      </w:r>
      <w:r w:rsidR="000A1AAE" w:rsidRPr="00A841AA">
        <w:t>reference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linguistic</w:t>
      </w:r>
      <w:r w:rsidR="00D52FD0">
        <w:t xml:space="preserve"> </w:t>
      </w:r>
      <w:r w:rsidR="000A1AAE" w:rsidRPr="00A841AA">
        <w:t>needs,</w:t>
      </w:r>
      <w:r w:rsidR="00D52FD0">
        <w:t xml:space="preserve"> </w:t>
      </w:r>
      <w:r w:rsidR="000A1AAE" w:rsidRPr="00A841AA">
        <w:t>preparatory</w:t>
      </w:r>
      <w:r w:rsidR="00D52FD0">
        <w:t xml:space="preserve"> </w:t>
      </w:r>
      <w:r w:rsidR="000A1AAE" w:rsidRPr="00A841AA">
        <w:t>classes</w:t>
      </w:r>
      <w:r w:rsidR="00D52FD0">
        <w:t xml:space="preserve"> </w:t>
      </w:r>
      <w:r w:rsidR="000A1AAE" w:rsidRPr="00A841AA">
        <w:t>are</w:t>
      </w:r>
      <w:r w:rsidR="00D52FD0">
        <w:t xml:space="preserve"> </w:t>
      </w:r>
      <w:r w:rsidR="000A1AAE" w:rsidRPr="00A841AA">
        <w:t>made</w:t>
      </w:r>
      <w:r w:rsidR="00D52FD0">
        <w:t xml:space="preserve"> </w:t>
      </w:r>
      <w:r w:rsidR="000A1AAE" w:rsidRPr="00A841AA">
        <w:t>available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such</w:t>
      </w:r>
      <w:r w:rsidR="00D52FD0">
        <w:t xml:space="preserve"> </w:t>
      </w:r>
      <w:r w:rsidR="000A1AAE" w:rsidRPr="00A841AA">
        <w:t>minors</w:t>
      </w:r>
      <w:r w:rsidR="00D52FD0">
        <w:t xml:space="preserve"> </w:t>
      </w:r>
      <w:r w:rsidR="000A1AAE" w:rsidRPr="00A841AA">
        <w:t>at</w:t>
      </w:r>
      <w:r w:rsidR="00D52FD0">
        <w:t xml:space="preserve"> </w:t>
      </w:r>
      <w:r w:rsidR="000A1AAE" w:rsidRPr="00A841AA">
        <w:t>State</w:t>
      </w:r>
      <w:r w:rsidR="00D52FD0">
        <w:t xml:space="preserve"> </w:t>
      </w:r>
      <w:r w:rsidR="000A1AAE" w:rsidRPr="00A841AA">
        <w:t>Schools.</w:t>
      </w:r>
      <w:r w:rsidR="00D52FD0">
        <w:t xml:space="preserve"> </w:t>
      </w:r>
      <w:r w:rsidR="000A1AAE" w:rsidRPr="00A841AA">
        <w:t>Procedures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trace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family</w:t>
      </w:r>
      <w:r w:rsidR="00D52FD0">
        <w:t xml:space="preserve"> </w:t>
      </w:r>
      <w:r w:rsidR="000A1AAE" w:rsidRPr="00A841AA">
        <w:t>members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Unaccompanied</w:t>
      </w:r>
      <w:r w:rsidR="00D52FD0">
        <w:t xml:space="preserve"> </w:t>
      </w:r>
      <w:r w:rsidR="000A1AAE" w:rsidRPr="00A841AA">
        <w:t>Minors</w:t>
      </w:r>
      <w:r w:rsidR="00D52FD0">
        <w:t xml:space="preserve"> </w:t>
      </w:r>
      <w:r w:rsidR="000A1AAE" w:rsidRPr="00A841AA">
        <w:t>are</w:t>
      </w:r>
      <w:r w:rsidR="00D52FD0">
        <w:t xml:space="preserve"> </w:t>
      </w:r>
      <w:r w:rsidR="000A1AAE" w:rsidRPr="00A841AA">
        <w:t>initiated</w:t>
      </w:r>
      <w:r w:rsidR="00D52FD0">
        <w:t xml:space="preserve"> </w:t>
      </w:r>
      <w:r w:rsidR="000A1AAE" w:rsidRPr="00A841AA">
        <w:t>once</w:t>
      </w:r>
      <w:r w:rsidR="00D52FD0">
        <w:t xml:space="preserve"> </w:t>
      </w:r>
      <w:r w:rsidR="000A1AAE" w:rsidRPr="00A841AA">
        <w:t>such</w:t>
      </w:r>
      <w:r w:rsidR="00D52FD0">
        <w:t xml:space="preserve"> </w:t>
      </w:r>
      <w:r w:rsidR="000A1AAE" w:rsidRPr="00A841AA">
        <w:t>minors</w:t>
      </w:r>
      <w:r w:rsidR="00D52FD0">
        <w:t xml:space="preserve"> </w:t>
      </w:r>
      <w:r w:rsidR="000A1AAE" w:rsidRPr="00A841AA">
        <w:t>are</w:t>
      </w:r>
      <w:r w:rsidR="00D52FD0">
        <w:t xml:space="preserve"> </w:t>
      </w:r>
      <w:r w:rsidR="000A1AAE" w:rsidRPr="00A841AA">
        <w:t>accorded</w:t>
      </w:r>
      <w:r w:rsidR="00D52FD0">
        <w:t xml:space="preserve"> </w:t>
      </w:r>
      <w:r w:rsidR="000A1AAE" w:rsidRPr="00A841AA">
        <w:t>International</w:t>
      </w:r>
      <w:r w:rsidR="00D52FD0">
        <w:t xml:space="preserve"> </w:t>
      </w:r>
      <w:r w:rsidR="000A1AAE" w:rsidRPr="00A841AA">
        <w:t>Protection,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accordance</w:t>
      </w:r>
      <w:r w:rsidR="00D52FD0">
        <w:t xml:space="preserve"> </w:t>
      </w:r>
      <w:r w:rsidR="000A1AAE" w:rsidRPr="00A841AA">
        <w:t>with</w:t>
      </w:r>
      <w:r w:rsidR="00D52FD0">
        <w:t xml:space="preserve"> </w:t>
      </w:r>
      <w:r w:rsidR="000A1AAE" w:rsidRPr="00A841AA">
        <w:t>Regulation</w:t>
      </w:r>
      <w:r w:rsidR="00D52FD0">
        <w:t xml:space="preserve"> </w:t>
      </w:r>
      <w:r w:rsidR="000A1AAE" w:rsidRPr="00A841AA">
        <w:t>18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Procedural</w:t>
      </w:r>
      <w:r w:rsidR="00D52FD0">
        <w:t xml:space="preserve"> </w:t>
      </w:r>
      <w:r w:rsidR="000A1AAE" w:rsidRPr="00A841AA">
        <w:t>Standards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Examining</w:t>
      </w:r>
      <w:r w:rsidR="00D52FD0">
        <w:t xml:space="preserve"> </w:t>
      </w:r>
      <w:r w:rsidR="000A1AAE" w:rsidRPr="00A841AA">
        <w:t>International</w:t>
      </w:r>
      <w:r w:rsidR="00D52FD0">
        <w:t xml:space="preserve"> </w:t>
      </w:r>
      <w:r w:rsidR="000A1AAE" w:rsidRPr="00A841AA">
        <w:t>Protection</w:t>
      </w:r>
      <w:r w:rsidR="00D52FD0">
        <w:t xml:space="preserve"> </w:t>
      </w:r>
      <w:r w:rsidR="000A1AAE" w:rsidRPr="00A841AA">
        <w:t>Regulations</w:t>
      </w:r>
      <w:r w:rsidR="00D52FD0">
        <w:t xml:space="preserve"> </w:t>
      </w:r>
      <w:r w:rsidR="000A1AAE" w:rsidRPr="00A841AA">
        <w:t>(SL</w:t>
      </w:r>
      <w:r w:rsidR="00D52FD0">
        <w:t xml:space="preserve"> </w:t>
      </w:r>
      <w:r w:rsidR="000A1AAE" w:rsidRPr="00A841AA">
        <w:t>420.07).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eventuality</w:t>
      </w:r>
      <w:r w:rsidR="00D52FD0">
        <w:t xml:space="preserve"> </w:t>
      </w:r>
      <w:r w:rsidR="000A1AAE" w:rsidRPr="00A841AA">
        <w:t>that</w:t>
      </w:r>
      <w:r w:rsidR="00D52FD0">
        <w:t xml:space="preserve"> </w:t>
      </w:r>
      <w:r w:rsidR="000A1AAE" w:rsidRPr="00A841AA">
        <w:t>family</w:t>
      </w:r>
      <w:r w:rsidR="00D52FD0">
        <w:t xml:space="preserve"> </w:t>
      </w:r>
      <w:r w:rsidR="000A1AAE" w:rsidRPr="00A841AA">
        <w:t>members</w:t>
      </w:r>
      <w:r w:rsidR="00D52FD0">
        <w:t xml:space="preserve"> </w:t>
      </w:r>
      <w:r w:rsidR="000A1AAE" w:rsidRPr="00A841AA">
        <w:t>are</w:t>
      </w:r>
      <w:r w:rsidR="00D52FD0">
        <w:t xml:space="preserve"> </w:t>
      </w:r>
      <w:r w:rsidR="000A1AAE" w:rsidRPr="00A841AA">
        <w:t>positively</w:t>
      </w:r>
      <w:r w:rsidR="00D52FD0">
        <w:t xml:space="preserve"> </w:t>
      </w:r>
      <w:r w:rsidR="000A1AAE" w:rsidRPr="00A841AA">
        <w:t>identified,</w:t>
      </w:r>
      <w:r w:rsidR="00D52FD0">
        <w:t xml:space="preserve"> </w:t>
      </w:r>
      <w:r w:rsidR="000A1AAE" w:rsidRPr="00A841AA">
        <w:t>further</w:t>
      </w:r>
      <w:r w:rsidR="00D52FD0">
        <w:t xml:space="preserve"> </w:t>
      </w:r>
      <w:r w:rsidR="000A1AAE" w:rsidRPr="00A841AA">
        <w:t>action</w:t>
      </w:r>
      <w:r w:rsidR="00D52FD0">
        <w:t xml:space="preserve"> </w:t>
      </w:r>
      <w:r w:rsidR="000A1AAE" w:rsidRPr="00A841AA">
        <w:t>would</w:t>
      </w:r>
      <w:r w:rsidR="00D52FD0">
        <w:t xml:space="preserve"> </w:t>
      </w:r>
      <w:r w:rsidR="000A1AAE" w:rsidRPr="00A841AA">
        <w:t>be</w:t>
      </w:r>
      <w:r w:rsidR="00D52FD0">
        <w:t xml:space="preserve"> </w:t>
      </w:r>
      <w:r w:rsidR="000A1AAE" w:rsidRPr="00A841AA">
        <w:t>taken,</w:t>
      </w:r>
      <w:r w:rsidR="00D52FD0">
        <w:t xml:space="preserve"> </w:t>
      </w:r>
      <w:r w:rsidR="000A1AAE" w:rsidRPr="00A841AA">
        <w:t>possibly</w:t>
      </w:r>
      <w:r w:rsidR="00D52FD0">
        <w:t xml:space="preserve"> </w:t>
      </w:r>
      <w:r w:rsidR="000A1AAE" w:rsidRPr="00A841AA">
        <w:t>with</w:t>
      </w:r>
      <w:r w:rsidR="00D52FD0">
        <w:t xml:space="preserve"> </w:t>
      </w:r>
      <w:r w:rsidR="000A1AAE" w:rsidRPr="00A841AA">
        <w:t>a</w:t>
      </w:r>
      <w:r w:rsidR="00D52FD0">
        <w:t xml:space="preserve"> </w:t>
      </w:r>
      <w:r w:rsidR="000A1AAE" w:rsidRPr="00A841AA">
        <w:t>view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reuniting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minor</w:t>
      </w:r>
      <w:r w:rsidR="00D52FD0">
        <w:t xml:space="preserve"> </w:t>
      </w:r>
      <w:r w:rsidR="000A1AAE" w:rsidRPr="00A841AA">
        <w:t>with</w:t>
      </w:r>
      <w:r w:rsidR="00D52FD0">
        <w:t xml:space="preserve"> </w:t>
      </w:r>
      <w:r w:rsidR="000A1AAE" w:rsidRPr="00A841AA">
        <w:t>his</w:t>
      </w:r>
      <w:r w:rsidR="00D52FD0">
        <w:t xml:space="preserve"> </w:t>
      </w:r>
      <w:r w:rsidR="000A1AAE" w:rsidRPr="00A841AA">
        <w:t>or</w:t>
      </w:r>
      <w:r w:rsidR="00D52FD0">
        <w:t xml:space="preserve"> </w:t>
      </w:r>
      <w:r w:rsidR="000A1AAE" w:rsidRPr="00A841AA">
        <w:t>her</w:t>
      </w:r>
      <w:r w:rsidR="00D52FD0">
        <w:t xml:space="preserve"> </w:t>
      </w:r>
      <w:r w:rsidR="000A1AAE" w:rsidRPr="00A841AA">
        <w:t>family</w:t>
      </w:r>
      <w:r w:rsidR="00D52FD0">
        <w:t xml:space="preserve"> </w:t>
      </w:r>
      <w:r w:rsidR="000A1AAE" w:rsidRPr="00A841AA">
        <w:t>members,</w:t>
      </w:r>
      <w:r w:rsidR="00D52FD0">
        <w:t xml:space="preserve"> </w:t>
      </w:r>
      <w:r w:rsidR="000A1AAE" w:rsidRPr="00A841AA">
        <w:t>provided</w:t>
      </w:r>
      <w:r w:rsidR="00D52FD0">
        <w:t xml:space="preserve"> </w:t>
      </w:r>
      <w:r w:rsidR="000A1AAE" w:rsidRPr="00A841AA">
        <w:t>that</w:t>
      </w:r>
      <w:r w:rsidR="00D52FD0">
        <w:t xml:space="preserve"> </w:t>
      </w:r>
      <w:r w:rsidR="000A1AAE" w:rsidRPr="00A841AA">
        <w:t>this</w:t>
      </w:r>
      <w:r w:rsidR="00D52FD0">
        <w:t xml:space="preserve"> </w:t>
      </w:r>
      <w:r w:rsidR="000A1AAE" w:rsidRPr="00A841AA">
        <w:t>is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best</w:t>
      </w:r>
      <w:r w:rsidR="00D52FD0">
        <w:t xml:space="preserve"> </w:t>
      </w:r>
      <w:r w:rsidR="000A1AAE" w:rsidRPr="00A841AA">
        <w:t>interest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child.</w:t>
      </w:r>
    </w:p>
    <w:p w14:paraId="14BD763F" w14:textId="3FF02BFA" w:rsidR="000A1AAE" w:rsidRPr="00A841AA" w:rsidRDefault="0044637E" w:rsidP="0044637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841AA">
        <w:t>64.</w:t>
      </w:r>
      <w:r w:rsidRPr="00A841AA">
        <w:tab/>
      </w:r>
      <w:r w:rsidR="000A1AAE" w:rsidRPr="00A841AA">
        <w:t>All</w:t>
      </w:r>
      <w:r w:rsidR="00D52FD0">
        <w:t xml:space="preserve"> </w:t>
      </w:r>
      <w:r w:rsidR="000A1AAE" w:rsidRPr="00A841AA">
        <w:t>unaccompanied</w:t>
      </w:r>
      <w:r w:rsidR="00D52FD0">
        <w:t xml:space="preserve"> </w:t>
      </w:r>
      <w:r w:rsidR="000A1AAE" w:rsidRPr="00A841AA">
        <w:t>minors</w:t>
      </w:r>
      <w:r w:rsidR="00D52FD0">
        <w:t xml:space="preserve"> </w:t>
      </w:r>
      <w:r w:rsidR="000A1AAE" w:rsidRPr="00A841AA">
        <w:t>are</w:t>
      </w:r>
      <w:r w:rsidR="00D52FD0">
        <w:t xml:space="preserve"> </w:t>
      </w:r>
      <w:r w:rsidR="000A1AAE" w:rsidRPr="00A841AA">
        <w:t>designated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a</w:t>
      </w:r>
      <w:r w:rsidR="00D52FD0">
        <w:t xml:space="preserve"> </w:t>
      </w:r>
      <w:r w:rsidR="000A1AAE" w:rsidRPr="00A841AA">
        <w:t>social</w:t>
      </w:r>
      <w:r w:rsidR="00D52FD0">
        <w:t xml:space="preserve"> </w:t>
      </w:r>
      <w:r w:rsidR="000A1AAE" w:rsidRPr="00A841AA">
        <w:t>worker</w:t>
      </w:r>
      <w:r w:rsidR="00D52FD0">
        <w:t xml:space="preserve"> </w:t>
      </w:r>
      <w:r w:rsidR="000A1AAE" w:rsidRPr="00A841AA">
        <w:t>who</w:t>
      </w:r>
      <w:r w:rsidR="00D52FD0">
        <w:t xml:space="preserve"> </w:t>
      </w:r>
      <w:r w:rsidR="000A1AAE" w:rsidRPr="00A841AA">
        <w:t>will</w:t>
      </w:r>
      <w:r w:rsidR="00D52FD0">
        <w:t xml:space="preserve"> </w:t>
      </w:r>
      <w:r w:rsidR="000A1AAE" w:rsidRPr="00A841AA">
        <w:t>assist</w:t>
      </w:r>
      <w:r w:rsidR="00D52FD0">
        <w:t xml:space="preserve"> </w:t>
      </w:r>
      <w:r w:rsidR="000A1AAE" w:rsidRPr="00A841AA">
        <w:t>them</w:t>
      </w:r>
      <w:r w:rsidR="00D52FD0">
        <w:t xml:space="preserve"> </w:t>
      </w:r>
      <w:r w:rsidR="000A1AAE" w:rsidRPr="00A841AA">
        <w:t>throughout</w:t>
      </w:r>
      <w:r w:rsidR="00D52FD0">
        <w:t xml:space="preserve"> </w:t>
      </w:r>
      <w:r w:rsidR="000A1AAE" w:rsidRPr="00A841AA">
        <w:t>their</w:t>
      </w:r>
      <w:r w:rsidR="00D52FD0">
        <w:t xml:space="preserve"> </w:t>
      </w:r>
      <w:r w:rsidR="000A1AAE" w:rsidRPr="00A841AA">
        <w:t>stay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centres</w:t>
      </w:r>
      <w:r w:rsidR="00D52FD0">
        <w:t xml:space="preserve"> </w:t>
      </w:r>
      <w:r w:rsidR="000A1AAE" w:rsidRPr="00A841AA">
        <w:t>managed</w:t>
      </w:r>
      <w:r w:rsidR="00D52FD0">
        <w:t xml:space="preserve"> </w:t>
      </w:r>
      <w:r w:rsidR="000A1AAE" w:rsidRPr="00A841AA">
        <w:t>by</w:t>
      </w:r>
      <w:r w:rsidR="00D52FD0">
        <w:t xml:space="preserve"> </w:t>
      </w:r>
      <w:r w:rsidR="000A1AAE" w:rsidRPr="00A841AA">
        <w:t>AWAS.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social</w:t>
      </w:r>
      <w:r w:rsidR="00D52FD0">
        <w:t xml:space="preserve"> </w:t>
      </w:r>
      <w:r w:rsidR="000A1AAE" w:rsidRPr="00A841AA">
        <w:t>worker</w:t>
      </w:r>
      <w:r w:rsidR="00D52FD0">
        <w:t xml:space="preserve"> </w:t>
      </w:r>
      <w:r w:rsidR="000A1AAE" w:rsidRPr="00A841AA">
        <w:t>along</w:t>
      </w:r>
      <w:r w:rsidR="00D52FD0">
        <w:t xml:space="preserve"> </w:t>
      </w:r>
      <w:r w:rsidR="000A1AAE" w:rsidRPr="00A841AA">
        <w:t>with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minor</w:t>
      </w:r>
      <w:r w:rsidR="00D52FD0">
        <w:t xml:space="preserve"> </w:t>
      </w:r>
      <w:r w:rsidR="000A1AAE" w:rsidRPr="00A841AA">
        <w:t>will</w:t>
      </w:r>
      <w:r w:rsidR="00D52FD0">
        <w:t xml:space="preserve"> </w:t>
      </w:r>
      <w:r w:rsidR="000A1AAE" w:rsidRPr="00A841AA">
        <w:t>carry</w:t>
      </w:r>
      <w:r w:rsidR="00D52FD0">
        <w:t xml:space="preserve"> </w:t>
      </w:r>
      <w:r w:rsidR="000A1AAE" w:rsidRPr="00A841AA">
        <w:t>out</w:t>
      </w:r>
      <w:r w:rsidR="00D52FD0">
        <w:t xml:space="preserve"> </w:t>
      </w:r>
      <w:r w:rsidR="000A1AAE" w:rsidRPr="00A841AA">
        <w:t>a</w:t>
      </w:r>
      <w:r w:rsidR="00D52FD0">
        <w:t xml:space="preserve"> </w:t>
      </w:r>
      <w:r w:rsidR="000A1AAE" w:rsidRPr="00A841AA">
        <w:t>holistic</w:t>
      </w:r>
      <w:r w:rsidR="00D52FD0">
        <w:t xml:space="preserve"> </w:t>
      </w:r>
      <w:r w:rsidR="000A1AAE" w:rsidRPr="00A841AA">
        <w:t>needs</w:t>
      </w:r>
      <w:r w:rsidR="00D52FD0">
        <w:t xml:space="preserve"> </w:t>
      </w:r>
      <w:r w:rsidR="000A1AAE" w:rsidRPr="00A841AA">
        <w:t>assessment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indicate</w:t>
      </w:r>
      <w:r w:rsidR="00D52FD0">
        <w:t xml:space="preserve"> </w:t>
      </w:r>
      <w:r w:rsidR="000A1AAE" w:rsidRPr="00A841AA">
        <w:t>which</w:t>
      </w:r>
      <w:r w:rsidR="00D52FD0">
        <w:t xml:space="preserve"> </w:t>
      </w:r>
      <w:r w:rsidR="000A1AAE" w:rsidRPr="00A841AA">
        <w:t>areas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minor</w:t>
      </w:r>
      <w:r w:rsidR="00D52FD0">
        <w:t xml:space="preserve"> </w:t>
      </w:r>
      <w:r w:rsidR="000A1AAE" w:rsidRPr="00A841AA">
        <w:t>requires</w:t>
      </w:r>
      <w:r w:rsidR="00D52FD0">
        <w:t xml:space="preserve"> </w:t>
      </w:r>
      <w:r w:rsidR="000A1AAE" w:rsidRPr="00A841AA">
        <w:t>support</w:t>
      </w:r>
      <w:r w:rsidR="00D52FD0">
        <w:t xml:space="preserve"> </w:t>
      </w:r>
      <w:r w:rsidR="000A1AAE" w:rsidRPr="00A841AA">
        <w:t>in.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2020</w:t>
      </w:r>
      <w:r w:rsidR="00D52FD0">
        <w:t xml:space="preserve"> </w:t>
      </w:r>
      <w:r w:rsidR="000A1AAE" w:rsidRPr="00A841AA">
        <w:t>AWAS</w:t>
      </w:r>
      <w:r w:rsidR="00D52FD0">
        <w:t xml:space="preserve"> </w:t>
      </w:r>
      <w:r w:rsidR="000A1AAE" w:rsidRPr="00A841AA">
        <w:t>founded</w:t>
      </w:r>
      <w:r w:rsidR="00D52FD0">
        <w:t xml:space="preserve"> </w:t>
      </w:r>
      <w:r w:rsidR="000A1AAE" w:rsidRPr="00A841AA">
        <w:t>a</w:t>
      </w:r>
      <w:r w:rsidR="00D52FD0">
        <w:t xml:space="preserve"> </w:t>
      </w:r>
      <w:r w:rsidR="000A1AAE" w:rsidRPr="00A841AA">
        <w:t>new</w:t>
      </w:r>
      <w:r w:rsidR="00D52FD0">
        <w:t xml:space="preserve"> </w:t>
      </w:r>
      <w:r w:rsidR="000A1AAE" w:rsidRPr="00A841AA">
        <w:t>service,</w:t>
      </w:r>
      <w:r w:rsidR="00D52FD0">
        <w:t xml:space="preserve"> </w:t>
      </w:r>
      <w:r w:rsidR="000A1AAE" w:rsidRPr="00A841AA">
        <w:t>known</w:t>
      </w:r>
      <w:r w:rsidR="00D52FD0">
        <w:t xml:space="preserve"> </w:t>
      </w:r>
      <w:r w:rsidR="000A1AAE" w:rsidRPr="00A841AA">
        <w:t>as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UMAS</w:t>
      </w:r>
      <w:r w:rsidR="00D52FD0">
        <w:t xml:space="preserve"> </w:t>
      </w:r>
      <w:r w:rsidR="000A1AAE" w:rsidRPr="00A841AA">
        <w:t>Protection</w:t>
      </w:r>
      <w:r w:rsidR="00D52FD0">
        <w:t xml:space="preserve"> </w:t>
      </w:r>
      <w:r w:rsidR="000A1AAE" w:rsidRPr="00A841AA">
        <w:t>Services,</w:t>
      </w:r>
      <w:r w:rsidR="00D52FD0">
        <w:t xml:space="preserve"> </w:t>
      </w:r>
      <w:r w:rsidR="000A1AAE" w:rsidRPr="00A841AA">
        <w:t>which</w:t>
      </w:r>
      <w:r w:rsidR="00D52FD0">
        <w:t xml:space="preserve"> </w:t>
      </w:r>
      <w:r w:rsidR="000A1AAE" w:rsidRPr="00A841AA">
        <w:t>is</w:t>
      </w:r>
      <w:r w:rsidR="00D52FD0">
        <w:t xml:space="preserve"> </w:t>
      </w:r>
      <w:r w:rsidR="000A1AAE" w:rsidRPr="00A841AA">
        <w:t>a</w:t>
      </w:r>
      <w:r w:rsidR="00D52FD0">
        <w:t xml:space="preserve"> </w:t>
      </w:r>
      <w:r w:rsidR="000A1AAE" w:rsidRPr="00A841AA">
        <w:t>dedicated</w:t>
      </w:r>
      <w:r w:rsidR="00D52FD0">
        <w:t xml:space="preserve"> </w:t>
      </w:r>
      <w:r w:rsidR="000A1AAE" w:rsidRPr="00A841AA">
        <w:t>service</w:t>
      </w:r>
      <w:r w:rsidR="00D52FD0">
        <w:t xml:space="preserve"> </w:t>
      </w:r>
      <w:r w:rsidR="000A1AAE" w:rsidRPr="00A841AA">
        <w:t>that</w:t>
      </w:r>
      <w:r w:rsidR="00D52FD0">
        <w:t xml:space="preserve"> </w:t>
      </w:r>
      <w:r w:rsidR="000A1AAE" w:rsidRPr="00A841AA">
        <w:t>ensure</w:t>
      </w:r>
      <w:r w:rsidR="00D52FD0">
        <w:t xml:space="preserve"> </w:t>
      </w:r>
      <w:r w:rsidR="000A1AAE" w:rsidRPr="00A841AA">
        <w:t>that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UMAS</w:t>
      </w:r>
      <w:r w:rsidR="00D52FD0">
        <w:t xml:space="preserve"> </w:t>
      </w:r>
      <w:r w:rsidR="000A1AAE" w:rsidRPr="00A841AA">
        <w:t>interest</w:t>
      </w:r>
      <w:r w:rsidR="00D52FD0">
        <w:t xml:space="preserve"> </w:t>
      </w:r>
      <w:r w:rsidR="000A1AAE" w:rsidRPr="00A841AA">
        <w:t>is</w:t>
      </w:r>
      <w:r w:rsidR="00D52FD0">
        <w:t xml:space="preserve"> </w:t>
      </w:r>
      <w:r w:rsidR="000A1AAE" w:rsidRPr="00A841AA">
        <w:t>safeguarded.</w:t>
      </w:r>
    </w:p>
    <w:p w14:paraId="0F0EBB6E" w14:textId="274C94AB" w:rsidR="000E4FD0" w:rsidRDefault="0044637E" w:rsidP="0044637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>
        <w:t>65.</w:t>
      </w:r>
      <w:r>
        <w:tab/>
      </w:r>
      <w:r w:rsidR="000A1AAE" w:rsidRPr="00A841AA">
        <w:t>The</w:t>
      </w:r>
      <w:r w:rsidR="00D52FD0">
        <w:t xml:space="preserve"> </w:t>
      </w:r>
      <w:r w:rsidR="000A1AAE" w:rsidRPr="00A841AA">
        <w:t>Principal</w:t>
      </w:r>
      <w:r w:rsidR="00D52FD0">
        <w:t xml:space="preserve"> </w:t>
      </w:r>
      <w:r w:rsidR="000A1AAE" w:rsidRPr="00A841AA">
        <w:t>Immigration</w:t>
      </w:r>
      <w:r w:rsidR="00D52FD0">
        <w:t xml:space="preserve"> </w:t>
      </w:r>
      <w:r w:rsidR="000A1AAE" w:rsidRPr="00A841AA">
        <w:t>Officer</w:t>
      </w:r>
      <w:r w:rsidR="00D52FD0">
        <w:t xml:space="preserve"> </w:t>
      </w:r>
      <w:r w:rsidR="000A1AAE" w:rsidRPr="00A841AA">
        <w:t>(Commissioner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Police)</w:t>
      </w:r>
      <w:r w:rsidR="00D52FD0">
        <w:t xml:space="preserve"> </w:t>
      </w:r>
      <w:r w:rsidR="000A1AAE" w:rsidRPr="00A841AA">
        <w:t>decides</w:t>
      </w:r>
      <w:r w:rsidR="00D52FD0">
        <w:t xml:space="preserve"> </w:t>
      </w:r>
      <w:r w:rsidR="000A1AAE" w:rsidRPr="00A841AA">
        <w:t>on</w:t>
      </w:r>
      <w:r w:rsidR="00D52FD0">
        <w:t xml:space="preserve"> </w:t>
      </w:r>
      <w:r w:rsidR="000A1AAE" w:rsidRPr="00A841AA">
        <w:t>whether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detain</w:t>
      </w:r>
      <w:r w:rsidR="00D52FD0">
        <w:t xml:space="preserve"> </w:t>
      </w:r>
      <w:r w:rsidR="000A1AAE" w:rsidRPr="00A841AA">
        <w:t>or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impose</w:t>
      </w:r>
      <w:r w:rsidR="00D52FD0">
        <w:t xml:space="preserve"> </w:t>
      </w:r>
      <w:r w:rsidR="000A1AAE" w:rsidRPr="00A841AA">
        <w:t>alternatives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detention</w:t>
      </w:r>
      <w:r w:rsidR="00D52FD0">
        <w:t xml:space="preserve"> </w:t>
      </w:r>
      <w:r w:rsidR="000A1AAE" w:rsidRPr="00A841AA">
        <w:t>on</w:t>
      </w:r>
      <w:r w:rsidR="00D52FD0">
        <w:t xml:space="preserve"> </w:t>
      </w:r>
      <w:r w:rsidR="000A1AAE" w:rsidRPr="00A841AA">
        <w:t>irregular</w:t>
      </w:r>
      <w:r w:rsidR="00D52FD0">
        <w:t xml:space="preserve"> </w:t>
      </w:r>
      <w:r w:rsidR="000A1AAE" w:rsidRPr="00A841AA">
        <w:t>migrants</w:t>
      </w:r>
      <w:r w:rsidR="00D52FD0">
        <w:t xml:space="preserve"> </w:t>
      </w:r>
      <w:r w:rsidR="000A1AAE" w:rsidRPr="00A841AA">
        <w:t>who</w:t>
      </w:r>
      <w:r w:rsidR="00D52FD0">
        <w:t xml:space="preserve"> </w:t>
      </w:r>
      <w:r w:rsidR="000A1AAE" w:rsidRPr="00A841AA">
        <w:t>apply</w:t>
      </w:r>
      <w:r w:rsidR="00D52FD0">
        <w:t xml:space="preserve"> </w:t>
      </w:r>
      <w:r w:rsidR="000A1AAE" w:rsidRPr="00A841AA">
        <w:t>for</w:t>
      </w:r>
      <w:r w:rsidR="00D52FD0">
        <w:t xml:space="preserve"> </w:t>
      </w:r>
      <w:r w:rsidR="000A1AAE" w:rsidRPr="00A841AA">
        <w:t>international</w:t>
      </w:r>
      <w:r w:rsidR="00D52FD0">
        <w:t xml:space="preserve"> </w:t>
      </w:r>
      <w:r w:rsidR="000A1AAE" w:rsidRPr="00A841AA">
        <w:t>protection</w:t>
      </w:r>
      <w:r w:rsidR="00D52FD0">
        <w:t xml:space="preserve"> </w:t>
      </w:r>
      <w:r w:rsidR="000A1AAE" w:rsidRPr="00A841AA">
        <w:t>(while</w:t>
      </w:r>
      <w:r w:rsidR="00D52FD0">
        <w:t xml:space="preserve"> </w:t>
      </w:r>
      <w:r w:rsidR="000A1AAE" w:rsidRPr="00A841AA">
        <w:t>they</w:t>
      </w:r>
      <w:r w:rsidR="00D52FD0">
        <w:t xml:space="preserve"> </w:t>
      </w:r>
      <w:r w:rsidR="000A1AAE" w:rsidRPr="00A841AA">
        <w:t>are</w:t>
      </w:r>
      <w:r w:rsidR="00D52FD0">
        <w:t xml:space="preserve"> </w:t>
      </w:r>
      <w:r w:rsidR="000A1AAE" w:rsidRPr="00A841AA">
        <w:t>staying</w:t>
      </w:r>
      <w:r w:rsidR="00D52FD0">
        <w:t xml:space="preserve"> </w:t>
      </w:r>
      <w:r w:rsidR="000A1AAE" w:rsidRPr="00A841AA">
        <w:t>at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IRC).</w:t>
      </w:r>
      <w:r w:rsidR="00D52FD0">
        <w:t xml:space="preserve"> </w:t>
      </w:r>
      <w:r w:rsidR="000A1AAE" w:rsidRPr="00A841AA">
        <w:t>Detention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Alternatives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Detention</w:t>
      </w:r>
      <w:r w:rsidR="00D52FD0">
        <w:t xml:space="preserve"> </w:t>
      </w:r>
      <w:r w:rsidR="000A1AAE" w:rsidRPr="00A841AA">
        <w:t>may</w:t>
      </w:r>
      <w:r w:rsidR="00D52FD0">
        <w:t xml:space="preserve"> </w:t>
      </w:r>
      <w:r w:rsidR="000A1AAE" w:rsidRPr="00A841AA">
        <w:t>only</w:t>
      </w:r>
      <w:r w:rsidR="00D52FD0">
        <w:t xml:space="preserve"> </w:t>
      </w:r>
      <w:r w:rsidR="000A1AAE" w:rsidRPr="00A841AA">
        <w:t>be</w:t>
      </w:r>
      <w:r w:rsidR="00D52FD0">
        <w:t xml:space="preserve"> </w:t>
      </w:r>
      <w:r w:rsidR="000A1AAE" w:rsidRPr="00A841AA">
        <w:t>imposed</w:t>
      </w:r>
      <w:r w:rsidR="00D52FD0">
        <w:t xml:space="preserve"> </w:t>
      </w:r>
      <w:r w:rsidR="000A1AAE" w:rsidRPr="00A841AA">
        <w:t>on</w:t>
      </w:r>
      <w:r w:rsidR="00D52FD0">
        <w:t xml:space="preserve"> </w:t>
      </w:r>
      <w:r w:rsidR="000A1AAE" w:rsidRPr="00A841AA">
        <w:t>persons</w:t>
      </w:r>
      <w:r w:rsidR="00D52FD0">
        <w:t xml:space="preserve"> </w:t>
      </w:r>
      <w:r w:rsidR="000A1AAE" w:rsidRPr="00A841AA">
        <w:t>who</w:t>
      </w:r>
      <w:r w:rsidR="00D52FD0">
        <w:t xml:space="preserve"> </w:t>
      </w:r>
      <w:r w:rsidR="000A1AAE" w:rsidRPr="00A841AA">
        <w:t>are</w:t>
      </w:r>
      <w:r w:rsidR="00D52FD0">
        <w:t xml:space="preserve"> </w:t>
      </w:r>
      <w:r w:rsidR="000A1AAE" w:rsidRPr="00A841AA">
        <w:t>not</w:t>
      </w:r>
      <w:r w:rsidR="00D52FD0">
        <w:t xml:space="preserve"> </w:t>
      </w:r>
      <w:r w:rsidR="000A1AAE" w:rsidRPr="00A841AA">
        <w:t>deemed</w:t>
      </w:r>
      <w:r w:rsidR="00D52FD0">
        <w:t xml:space="preserve"> </w:t>
      </w:r>
      <w:r w:rsidR="000A1AAE" w:rsidRPr="00A841AA">
        <w:t>vulnerable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terms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Reception</w:t>
      </w:r>
      <w:r w:rsidR="00D52FD0">
        <w:t xml:space="preserve"> </w:t>
      </w:r>
      <w:r w:rsidR="000A1AAE" w:rsidRPr="00A841AA">
        <w:t>Conditions</w:t>
      </w:r>
      <w:r w:rsidR="00D52FD0">
        <w:t xml:space="preserve"> </w:t>
      </w:r>
      <w:r w:rsidR="000A1AAE" w:rsidRPr="00A841AA">
        <w:t>Regulations</w:t>
      </w:r>
      <w:r w:rsidR="00D52FD0">
        <w:t xml:space="preserve"> </w:t>
      </w:r>
      <w:r w:rsidR="000A1AAE" w:rsidRPr="00A841AA">
        <w:t>(Subsidiary</w:t>
      </w:r>
      <w:r w:rsidR="00D52FD0">
        <w:t xml:space="preserve"> </w:t>
      </w:r>
      <w:r w:rsidR="000A1AAE" w:rsidRPr="00A841AA">
        <w:t>Legislation</w:t>
      </w:r>
      <w:r w:rsidR="00D52FD0">
        <w:t xml:space="preserve"> </w:t>
      </w:r>
      <w:r w:rsidR="000A1AAE" w:rsidRPr="00A841AA">
        <w:t>420.06).</w:t>
      </w:r>
    </w:p>
    <w:p w14:paraId="7FB672D9" w14:textId="2F24869A" w:rsidR="000E4FD0" w:rsidRDefault="0044637E" w:rsidP="0044637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>
        <w:t>66.</w:t>
      </w:r>
      <w:r>
        <w:tab/>
      </w:r>
      <w:r w:rsidR="000A1AAE" w:rsidRPr="00A841AA">
        <w:t>The</w:t>
      </w:r>
      <w:r w:rsidR="00D52FD0">
        <w:t xml:space="preserve"> </w:t>
      </w:r>
      <w:r w:rsidR="000A1AAE" w:rsidRPr="00A841AA">
        <w:t>regulations</w:t>
      </w:r>
      <w:r w:rsidR="00D52FD0">
        <w:t xml:space="preserve"> </w:t>
      </w:r>
      <w:r w:rsidR="000A1AAE" w:rsidRPr="00A841AA">
        <w:t>provide</w:t>
      </w:r>
      <w:r w:rsidR="00D52FD0">
        <w:t xml:space="preserve"> </w:t>
      </w:r>
      <w:r w:rsidR="000A1AAE" w:rsidRPr="00A841AA">
        <w:t>for</w:t>
      </w:r>
      <w:r w:rsidR="00D52FD0">
        <w:t xml:space="preserve"> </w:t>
      </w:r>
      <w:r w:rsidR="000A1AAE" w:rsidRPr="00A841AA">
        <w:t>recourse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alternatives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detention</w:t>
      </w:r>
      <w:r w:rsidR="00D52FD0">
        <w:t xml:space="preserve"> </w:t>
      </w:r>
      <w:r w:rsidR="000A1AAE" w:rsidRPr="00A841AA">
        <w:t>by</w:t>
      </w:r>
      <w:r w:rsidR="00D52FD0">
        <w:t xml:space="preserve"> </w:t>
      </w:r>
      <w:r w:rsidR="000A1AAE" w:rsidRPr="00A841AA">
        <w:t>Immigration</w:t>
      </w:r>
      <w:r w:rsidR="00D52FD0">
        <w:t xml:space="preserve"> </w:t>
      </w:r>
      <w:r w:rsidR="000A1AAE" w:rsidRPr="00A841AA">
        <w:t>Police.</w:t>
      </w:r>
      <w:r w:rsidR="00D52FD0">
        <w:t xml:space="preserve"> </w:t>
      </w:r>
      <w:r w:rsidR="000A1AAE" w:rsidRPr="00A841AA">
        <w:t>Such</w:t>
      </w:r>
      <w:r w:rsidR="00D52FD0">
        <w:t xml:space="preserve"> </w:t>
      </w:r>
      <w:r w:rsidR="000A1AAE" w:rsidRPr="00A841AA">
        <w:t>measures</w:t>
      </w:r>
      <w:r w:rsidR="00D52FD0">
        <w:t xml:space="preserve"> </w:t>
      </w:r>
      <w:r w:rsidR="000A1AAE" w:rsidRPr="00A841AA">
        <w:t>may</w:t>
      </w:r>
      <w:r w:rsidR="00D52FD0">
        <w:t xml:space="preserve"> </w:t>
      </w:r>
      <w:r w:rsidR="000A1AAE" w:rsidRPr="00A841AA">
        <w:t>have</w:t>
      </w:r>
      <w:r w:rsidR="00D52FD0">
        <w:t xml:space="preserve"> </w:t>
      </w:r>
      <w:r w:rsidR="000A1AAE" w:rsidRPr="00A841AA">
        <w:t>a</w:t>
      </w:r>
      <w:r w:rsidR="00D52FD0">
        <w:t xml:space="preserve"> </w:t>
      </w:r>
      <w:r w:rsidR="000A1AAE" w:rsidRPr="00A841AA">
        <w:t>duration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not</w:t>
      </w:r>
      <w:r w:rsidR="00D52FD0">
        <w:t xml:space="preserve"> </w:t>
      </w:r>
      <w:r w:rsidR="000A1AAE" w:rsidRPr="00A841AA">
        <w:t>more</w:t>
      </w:r>
      <w:r w:rsidR="00D52FD0">
        <w:t xml:space="preserve"> </w:t>
      </w:r>
      <w:r w:rsidR="000A1AAE" w:rsidRPr="00A841AA">
        <w:t>than</w:t>
      </w:r>
      <w:r w:rsidR="00D52FD0">
        <w:t xml:space="preserve"> </w:t>
      </w:r>
      <w:r w:rsidR="000A1AAE" w:rsidRPr="00A841AA">
        <w:t>9</w:t>
      </w:r>
      <w:r w:rsidR="00D52FD0">
        <w:t xml:space="preserve"> </w:t>
      </w:r>
      <w:r w:rsidR="000A1AAE" w:rsidRPr="00A841AA">
        <w:t>months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may</w:t>
      </w:r>
      <w:r w:rsidR="00D52FD0">
        <w:t xml:space="preserve"> </w:t>
      </w:r>
      <w:r w:rsidR="000A1AAE" w:rsidRPr="00A841AA">
        <w:t>take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form</w:t>
      </w:r>
      <w:r w:rsidR="00D52FD0">
        <w:t xml:space="preserve"> </w:t>
      </w:r>
      <w:r w:rsidR="000A1AAE" w:rsidRPr="00A841AA">
        <w:t>of:</w:t>
      </w:r>
    </w:p>
    <w:p w14:paraId="44C186F1" w14:textId="277ADAB1" w:rsidR="000E4FD0" w:rsidRDefault="0044637E" w:rsidP="0044637E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>
        <w:t>•</w:t>
      </w:r>
      <w:r>
        <w:tab/>
      </w:r>
      <w:r w:rsidR="000A1AAE" w:rsidRPr="00A841AA">
        <w:t>reporting</w:t>
      </w:r>
      <w:r w:rsidR="00D52FD0">
        <w:t xml:space="preserve"> </w:t>
      </w:r>
      <w:r w:rsidR="000A1AAE" w:rsidRPr="00A841AA">
        <w:t>at</w:t>
      </w:r>
      <w:r w:rsidR="00D52FD0">
        <w:t xml:space="preserve"> </w:t>
      </w:r>
      <w:r w:rsidR="000A1AAE" w:rsidRPr="00A841AA">
        <w:t>an</w:t>
      </w:r>
      <w:r w:rsidR="00D52FD0">
        <w:t xml:space="preserve"> </w:t>
      </w:r>
      <w:r w:rsidR="000A1AAE" w:rsidRPr="00A841AA">
        <w:t>assigned</w:t>
      </w:r>
      <w:r w:rsidR="00D52FD0">
        <w:t xml:space="preserve"> </w:t>
      </w:r>
      <w:r w:rsidR="000A1AAE" w:rsidRPr="00A841AA">
        <w:t>place</w:t>
      </w:r>
      <w:r w:rsidR="00D52FD0">
        <w:t xml:space="preserve"> </w:t>
      </w:r>
      <w:r w:rsidR="000A1AAE" w:rsidRPr="00A841AA">
        <w:t>within</w:t>
      </w:r>
      <w:r w:rsidR="00D52FD0">
        <w:t xml:space="preserve"> </w:t>
      </w:r>
      <w:r w:rsidR="000A1AAE" w:rsidRPr="00A841AA">
        <w:t>specified</w:t>
      </w:r>
      <w:r w:rsidR="00D52FD0">
        <w:t xml:space="preserve"> </w:t>
      </w:r>
      <w:r w:rsidR="000A1AAE" w:rsidRPr="00A841AA">
        <w:t>timeframes;</w:t>
      </w:r>
    </w:p>
    <w:p w14:paraId="1724D6DB" w14:textId="1B3DA8A1" w:rsidR="000E4FD0" w:rsidRDefault="0044637E" w:rsidP="0044637E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>
        <w:t>•</w:t>
      </w:r>
      <w:r>
        <w:tab/>
      </w:r>
      <w:r w:rsidR="000A1AAE" w:rsidRPr="00A841AA">
        <w:t>residence</w:t>
      </w:r>
      <w:r w:rsidR="00D52FD0">
        <w:t xml:space="preserve"> </w:t>
      </w:r>
      <w:r w:rsidR="000A1AAE" w:rsidRPr="00A841AA">
        <w:t>at</w:t>
      </w:r>
      <w:r w:rsidR="00D52FD0">
        <w:t xml:space="preserve"> </w:t>
      </w:r>
      <w:r w:rsidR="000A1AAE" w:rsidRPr="00A841AA">
        <w:t>an</w:t>
      </w:r>
      <w:r w:rsidR="00D52FD0">
        <w:t xml:space="preserve"> </w:t>
      </w:r>
      <w:r w:rsidR="000A1AAE" w:rsidRPr="00A841AA">
        <w:t>assigned</w:t>
      </w:r>
      <w:r w:rsidR="00D52FD0">
        <w:t xml:space="preserve"> </w:t>
      </w:r>
      <w:r w:rsidR="000A1AAE" w:rsidRPr="00A841AA">
        <w:t>place;</w:t>
      </w:r>
    </w:p>
    <w:p w14:paraId="45845354" w14:textId="5DF5013F" w:rsidR="000E4FD0" w:rsidRDefault="0044637E" w:rsidP="0044637E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>
        <w:t>•</w:t>
      </w:r>
      <w:r>
        <w:tab/>
      </w:r>
      <w:r w:rsidR="000A1AAE" w:rsidRPr="00A841AA">
        <w:t>deposit</w:t>
      </w:r>
      <w:r w:rsidR="00D52FD0">
        <w:t xml:space="preserve"> </w:t>
      </w:r>
      <w:r w:rsidR="000A1AAE" w:rsidRPr="00A841AA">
        <w:t>or</w:t>
      </w:r>
      <w:r w:rsidR="00D52FD0">
        <w:t xml:space="preserve"> </w:t>
      </w:r>
      <w:r w:rsidR="000A1AAE" w:rsidRPr="00A841AA">
        <w:t>surrender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documents;</w:t>
      </w:r>
      <w:r w:rsidR="00D52FD0">
        <w:t xml:space="preserve"> </w:t>
      </w:r>
      <w:r w:rsidR="000A1AAE" w:rsidRPr="00A841AA">
        <w:t>or</w:t>
      </w:r>
    </w:p>
    <w:p w14:paraId="0B9C21E0" w14:textId="6B6D5F7C" w:rsidR="000A1AAE" w:rsidRPr="00A841AA" w:rsidRDefault="0044637E" w:rsidP="0044637E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A841AA">
        <w:t>•</w:t>
      </w:r>
      <w:r w:rsidRPr="00A841AA">
        <w:tab/>
      </w:r>
      <w:r w:rsidR="000A1AAE" w:rsidRPr="00A841AA">
        <w:t>placing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a</w:t>
      </w:r>
      <w:r w:rsidR="00D52FD0">
        <w:t xml:space="preserve"> </w:t>
      </w:r>
      <w:r w:rsidR="000A1AAE" w:rsidRPr="00A841AA">
        <w:t>one-time</w:t>
      </w:r>
      <w:r w:rsidR="00D52FD0">
        <w:t xml:space="preserve"> </w:t>
      </w:r>
      <w:r w:rsidR="000A1AAE" w:rsidRPr="00A841AA">
        <w:t>guarantee</w:t>
      </w:r>
      <w:r w:rsidR="00D52FD0">
        <w:t xml:space="preserve"> </w:t>
      </w:r>
      <w:r w:rsidR="000A1AAE" w:rsidRPr="00A841AA">
        <w:t>or</w:t>
      </w:r>
      <w:r w:rsidR="00D52FD0">
        <w:t xml:space="preserve"> </w:t>
      </w:r>
      <w:r w:rsidR="000A1AAE" w:rsidRPr="00A841AA">
        <w:t>surety.</w:t>
      </w:r>
    </w:p>
    <w:p w14:paraId="7FCC3B54" w14:textId="458E7644" w:rsidR="000A1AAE" w:rsidRPr="00A841AA" w:rsidRDefault="000A1AAE" w:rsidP="00546F2E">
      <w:pPr>
        <w:pStyle w:val="H23G"/>
      </w:pPr>
      <w:r>
        <w:tab/>
      </w:r>
      <w:r>
        <w:tab/>
      </w:r>
      <w:r w:rsidRPr="00A841AA">
        <w:t>Below</w:t>
      </w:r>
      <w:r w:rsidR="00D52FD0">
        <w:t xml:space="preserve"> </w:t>
      </w:r>
      <w:r w:rsidRPr="00A841AA">
        <w:t>are</w:t>
      </w:r>
      <w:r w:rsidR="00D52FD0">
        <w:t xml:space="preserve"> </w:t>
      </w:r>
      <w:r w:rsidRPr="00A841AA">
        <w:t>figures</w:t>
      </w:r>
      <w:r w:rsidR="00D52FD0">
        <w:t xml:space="preserve"> </w:t>
      </w:r>
      <w:r w:rsidRPr="00A841AA">
        <w:t>for</w:t>
      </w:r>
      <w:r w:rsidR="00D52FD0">
        <w:t xml:space="preserve"> </w:t>
      </w:r>
      <w:r w:rsidRPr="00A841AA">
        <w:t>alternative</w:t>
      </w:r>
      <w:r w:rsidR="00D52FD0">
        <w:t xml:space="preserve"> </w:t>
      </w:r>
      <w:r w:rsidRPr="00A841AA">
        <w:t>to</w:t>
      </w:r>
      <w:r w:rsidR="00D52FD0">
        <w:t xml:space="preserve"> </w:t>
      </w:r>
      <w:r w:rsidRPr="00A841AA">
        <w:t>detention</w:t>
      </w:r>
      <w:r w:rsidR="00D52FD0">
        <w:t xml:space="preserve"> </w:t>
      </w:r>
      <w:r w:rsidRPr="00A841AA">
        <w:t>issued</w:t>
      </w:r>
      <w:r w:rsidR="00D52FD0">
        <w:t xml:space="preserve"> </w:t>
      </w:r>
      <w:r w:rsidRPr="00A841AA">
        <w:t>between</w:t>
      </w:r>
      <w:r w:rsidR="00D52FD0">
        <w:t xml:space="preserve"> </w:t>
      </w:r>
      <w:r w:rsidRPr="00A841AA">
        <w:t>2018</w:t>
      </w:r>
      <w:r w:rsidR="00F14DA3">
        <w:t>–</w:t>
      </w:r>
      <w:r w:rsidRPr="00A841AA">
        <w:t>2021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2"/>
        <w:gridCol w:w="1842"/>
        <w:gridCol w:w="1843"/>
        <w:gridCol w:w="1843"/>
      </w:tblGrid>
      <w:tr w:rsidR="00546F2E" w:rsidRPr="00546F2E" w14:paraId="3288972B" w14:textId="77777777" w:rsidTr="00546F2E">
        <w:trPr>
          <w:tblHeader/>
        </w:trPr>
        <w:tc>
          <w:tcPr>
            <w:tcW w:w="184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0D051E" w14:textId="77777777" w:rsidR="000A1AAE" w:rsidRPr="00546F2E" w:rsidRDefault="000A1AAE" w:rsidP="00546F2E">
            <w:pPr>
              <w:suppressAutoHyphens w:val="0"/>
              <w:spacing w:before="80" w:after="80" w:line="200" w:lineRule="exact"/>
              <w:ind w:right="113"/>
              <w:jc w:val="right"/>
              <w:rPr>
                <w:rFonts w:eastAsia="Calibri"/>
                <w:i/>
                <w:sz w:val="16"/>
              </w:rPr>
            </w:pPr>
            <w:r w:rsidRPr="00546F2E">
              <w:rPr>
                <w:rFonts w:eastAsia="Calibri"/>
                <w:i/>
                <w:sz w:val="16"/>
              </w:rPr>
              <w:t>2018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8A36A0" w14:textId="77777777" w:rsidR="000A1AAE" w:rsidRPr="00546F2E" w:rsidRDefault="000A1AAE" w:rsidP="00546F2E">
            <w:pPr>
              <w:suppressAutoHyphens w:val="0"/>
              <w:spacing w:before="80" w:after="80" w:line="200" w:lineRule="exact"/>
              <w:ind w:right="113"/>
              <w:jc w:val="right"/>
              <w:rPr>
                <w:rFonts w:eastAsia="Calibri"/>
                <w:i/>
                <w:sz w:val="16"/>
              </w:rPr>
            </w:pPr>
            <w:r w:rsidRPr="00546F2E">
              <w:rPr>
                <w:rFonts w:eastAsia="Calibri"/>
                <w:i/>
                <w:sz w:val="16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5E7316" w14:textId="77777777" w:rsidR="000A1AAE" w:rsidRPr="00546F2E" w:rsidRDefault="000A1AAE" w:rsidP="00546F2E">
            <w:pPr>
              <w:suppressAutoHyphens w:val="0"/>
              <w:spacing w:before="80" w:after="80" w:line="200" w:lineRule="exact"/>
              <w:ind w:right="113"/>
              <w:jc w:val="right"/>
              <w:rPr>
                <w:rFonts w:eastAsia="Calibri"/>
                <w:i/>
                <w:sz w:val="16"/>
              </w:rPr>
            </w:pPr>
            <w:r w:rsidRPr="00546F2E">
              <w:rPr>
                <w:rFonts w:eastAsia="Calibri"/>
                <w:i/>
                <w:sz w:val="16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720076" w14:textId="77777777" w:rsidR="000A1AAE" w:rsidRPr="00546F2E" w:rsidRDefault="000A1AAE" w:rsidP="00546F2E">
            <w:pPr>
              <w:suppressAutoHyphens w:val="0"/>
              <w:spacing w:before="80" w:after="80" w:line="200" w:lineRule="exact"/>
              <w:ind w:right="113"/>
              <w:jc w:val="right"/>
              <w:rPr>
                <w:rFonts w:eastAsia="Calibri"/>
                <w:i/>
                <w:sz w:val="16"/>
              </w:rPr>
            </w:pPr>
            <w:r w:rsidRPr="00546F2E">
              <w:rPr>
                <w:rFonts w:eastAsia="Calibri"/>
                <w:i/>
                <w:sz w:val="16"/>
              </w:rPr>
              <w:t>2021</w:t>
            </w:r>
          </w:p>
        </w:tc>
      </w:tr>
      <w:tr w:rsidR="000A1AAE" w:rsidRPr="00546F2E" w14:paraId="5F48C162" w14:textId="77777777" w:rsidTr="00546F2E">
        <w:tc>
          <w:tcPr>
            <w:tcW w:w="1842" w:type="dxa"/>
            <w:tcBorders>
              <w:top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C2077" w14:textId="77777777" w:rsidR="000A1AAE" w:rsidRPr="00546F2E" w:rsidRDefault="000A1AAE" w:rsidP="00546F2E">
            <w:pPr>
              <w:suppressAutoHyphens w:val="0"/>
              <w:spacing w:before="40" w:after="40" w:line="220" w:lineRule="exact"/>
              <w:ind w:right="113"/>
              <w:jc w:val="right"/>
              <w:rPr>
                <w:rFonts w:eastAsia="Calibri"/>
                <w:sz w:val="18"/>
              </w:rPr>
            </w:pPr>
            <w:r w:rsidRPr="00546F2E">
              <w:rPr>
                <w:rFonts w:eastAsia="Calibri"/>
                <w:sz w:val="18"/>
              </w:rPr>
              <w:t>710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1658E2" w14:textId="192FC1B8" w:rsidR="000A1AAE" w:rsidRPr="00546F2E" w:rsidRDefault="000A1AAE" w:rsidP="00546F2E">
            <w:pPr>
              <w:suppressAutoHyphens w:val="0"/>
              <w:spacing w:before="40" w:after="40" w:line="220" w:lineRule="exact"/>
              <w:ind w:right="113"/>
              <w:jc w:val="right"/>
              <w:rPr>
                <w:rFonts w:eastAsia="Calibri"/>
                <w:sz w:val="18"/>
              </w:rPr>
            </w:pPr>
            <w:r w:rsidRPr="00546F2E">
              <w:rPr>
                <w:rFonts w:eastAsia="Calibri"/>
                <w:sz w:val="18"/>
              </w:rPr>
              <w:t>1</w:t>
            </w:r>
            <w:r w:rsidR="00546F2E">
              <w:rPr>
                <w:rFonts w:eastAsia="Calibri"/>
                <w:sz w:val="18"/>
              </w:rPr>
              <w:t xml:space="preserve"> </w:t>
            </w:r>
            <w:r w:rsidRPr="00546F2E">
              <w:rPr>
                <w:rFonts w:eastAsia="Calibri"/>
                <w:sz w:val="18"/>
              </w:rPr>
              <w:t>380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5CC645" w14:textId="58276591" w:rsidR="000A1AAE" w:rsidRPr="00546F2E" w:rsidRDefault="000A1AAE" w:rsidP="00546F2E">
            <w:pPr>
              <w:suppressAutoHyphens w:val="0"/>
              <w:spacing w:before="40" w:after="40" w:line="220" w:lineRule="exact"/>
              <w:ind w:right="113"/>
              <w:jc w:val="right"/>
              <w:rPr>
                <w:rFonts w:eastAsia="Calibri"/>
                <w:sz w:val="18"/>
              </w:rPr>
            </w:pPr>
            <w:r w:rsidRPr="00546F2E">
              <w:rPr>
                <w:rFonts w:eastAsia="Calibri"/>
                <w:sz w:val="18"/>
              </w:rPr>
              <w:t>1</w:t>
            </w:r>
            <w:r w:rsidR="00546F2E">
              <w:rPr>
                <w:rFonts w:eastAsia="Calibri"/>
                <w:sz w:val="18"/>
              </w:rPr>
              <w:t xml:space="preserve"> </w:t>
            </w:r>
            <w:r w:rsidRPr="00546F2E">
              <w:rPr>
                <w:rFonts w:eastAsia="Calibri"/>
                <w:sz w:val="18"/>
              </w:rPr>
              <w:t>797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2F1BC2" w14:textId="77777777" w:rsidR="000A1AAE" w:rsidRPr="00546F2E" w:rsidRDefault="000A1AAE" w:rsidP="00546F2E">
            <w:pPr>
              <w:suppressAutoHyphens w:val="0"/>
              <w:spacing w:before="40" w:after="40" w:line="220" w:lineRule="exact"/>
              <w:ind w:right="113"/>
              <w:jc w:val="right"/>
              <w:rPr>
                <w:rFonts w:eastAsia="Calibri"/>
                <w:sz w:val="18"/>
              </w:rPr>
            </w:pPr>
            <w:r w:rsidRPr="00546F2E">
              <w:rPr>
                <w:rFonts w:eastAsia="Calibri"/>
                <w:sz w:val="18"/>
              </w:rPr>
              <w:t>538</w:t>
            </w:r>
          </w:p>
        </w:tc>
      </w:tr>
    </w:tbl>
    <w:p w14:paraId="052FB9A0" w14:textId="5D3A1B22" w:rsidR="000A1AAE" w:rsidRPr="00A841AA" w:rsidRDefault="00546F2E" w:rsidP="00546F2E">
      <w:pPr>
        <w:pStyle w:val="H23G"/>
      </w:pPr>
      <w:r>
        <w:tab/>
      </w:r>
      <w:r>
        <w:tab/>
      </w:r>
      <w:r w:rsidR="000A1AAE" w:rsidRPr="00A841AA">
        <w:t>Figures</w:t>
      </w:r>
      <w:r w:rsidR="00D52FD0">
        <w:t xml:space="preserve"> </w:t>
      </w:r>
      <w:r w:rsidR="000A1AAE" w:rsidRPr="00A841AA">
        <w:t>for</w:t>
      </w:r>
      <w:r w:rsidR="00D52FD0">
        <w:t xml:space="preserve"> </w:t>
      </w:r>
      <w:r w:rsidR="000A1AAE" w:rsidRPr="00A841AA">
        <w:t>Detention</w:t>
      </w:r>
      <w:r w:rsidR="00D52FD0">
        <w:t xml:space="preserve"> </w:t>
      </w:r>
      <w:r w:rsidR="000A1AAE" w:rsidRPr="00A841AA">
        <w:t>Orders</w:t>
      </w:r>
      <w:r w:rsidR="00D52FD0">
        <w:t xml:space="preserve"> </w:t>
      </w:r>
      <w:r w:rsidR="000A1AAE" w:rsidRPr="00A841AA">
        <w:t>issued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2"/>
        <w:gridCol w:w="1842"/>
        <w:gridCol w:w="1843"/>
        <w:gridCol w:w="1843"/>
      </w:tblGrid>
      <w:tr w:rsidR="00546F2E" w:rsidRPr="00546F2E" w14:paraId="60C4EFBD" w14:textId="77777777" w:rsidTr="00546F2E">
        <w:trPr>
          <w:tblHeader/>
        </w:trPr>
        <w:tc>
          <w:tcPr>
            <w:tcW w:w="184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F0ED9E" w14:textId="77777777" w:rsidR="000A1AAE" w:rsidRPr="00546F2E" w:rsidRDefault="000A1AAE" w:rsidP="00546F2E">
            <w:pPr>
              <w:suppressAutoHyphens w:val="0"/>
              <w:spacing w:before="80" w:after="80" w:line="200" w:lineRule="exact"/>
              <w:ind w:right="113"/>
              <w:jc w:val="right"/>
              <w:rPr>
                <w:rFonts w:eastAsia="Calibri"/>
                <w:i/>
                <w:sz w:val="16"/>
              </w:rPr>
            </w:pPr>
            <w:r w:rsidRPr="00546F2E">
              <w:rPr>
                <w:rFonts w:eastAsia="Calibri"/>
                <w:i/>
                <w:sz w:val="16"/>
              </w:rPr>
              <w:t>2018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D88C9B" w14:textId="77777777" w:rsidR="000A1AAE" w:rsidRPr="00546F2E" w:rsidRDefault="000A1AAE" w:rsidP="00546F2E">
            <w:pPr>
              <w:suppressAutoHyphens w:val="0"/>
              <w:spacing w:before="80" w:after="80" w:line="200" w:lineRule="exact"/>
              <w:ind w:right="113"/>
              <w:jc w:val="right"/>
              <w:rPr>
                <w:rFonts w:eastAsia="Calibri"/>
                <w:i/>
                <w:sz w:val="16"/>
              </w:rPr>
            </w:pPr>
            <w:r w:rsidRPr="00546F2E">
              <w:rPr>
                <w:rFonts w:eastAsia="Calibri"/>
                <w:i/>
                <w:sz w:val="16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96F7B6" w14:textId="77777777" w:rsidR="000A1AAE" w:rsidRPr="00546F2E" w:rsidRDefault="000A1AAE" w:rsidP="00546F2E">
            <w:pPr>
              <w:suppressAutoHyphens w:val="0"/>
              <w:spacing w:before="80" w:after="80" w:line="200" w:lineRule="exact"/>
              <w:ind w:right="113"/>
              <w:jc w:val="right"/>
              <w:rPr>
                <w:rFonts w:eastAsia="Calibri"/>
                <w:i/>
                <w:sz w:val="16"/>
              </w:rPr>
            </w:pPr>
            <w:r w:rsidRPr="00546F2E">
              <w:rPr>
                <w:rFonts w:eastAsia="Calibri"/>
                <w:i/>
                <w:sz w:val="16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AA066A" w14:textId="77777777" w:rsidR="000A1AAE" w:rsidRPr="00546F2E" w:rsidRDefault="000A1AAE" w:rsidP="00546F2E">
            <w:pPr>
              <w:suppressAutoHyphens w:val="0"/>
              <w:spacing w:before="80" w:after="80" w:line="200" w:lineRule="exact"/>
              <w:ind w:right="113"/>
              <w:jc w:val="right"/>
              <w:rPr>
                <w:rFonts w:eastAsia="Calibri"/>
                <w:i/>
                <w:sz w:val="16"/>
              </w:rPr>
            </w:pPr>
            <w:r w:rsidRPr="00546F2E">
              <w:rPr>
                <w:rFonts w:eastAsia="Calibri"/>
                <w:i/>
                <w:sz w:val="16"/>
              </w:rPr>
              <w:t>2021</w:t>
            </w:r>
          </w:p>
        </w:tc>
      </w:tr>
      <w:tr w:rsidR="000A1AAE" w:rsidRPr="00546F2E" w14:paraId="3C49808E" w14:textId="77777777" w:rsidTr="00546F2E">
        <w:tc>
          <w:tcPr>
            <w:tcW w:w="1842" w:type="dxa"/>
            <w:tcBorders>
              <w:top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E20B0" w14:textId="77777777" w:rsidR="000A1AAE" w:rsidRPr="00546F2E" w:rsidRDefault="000A1AAE" w:rsidP="00546F2E">
            <w:pPr>
              <w:suppressAutoHyphens w:val="0"/>
              <w:spacing w:before="40" w:after="40" w:line="220" w:lineRule="exact"/>
              <w:ind w:right="113"/>
              <w:jc w:val="right"/>
              <w:rPr>
                <w:rFonts w:eastAsia="Calibri"/>
                <w:sz w:val="18"/>
              </w:rPr>
            </w:pPr>
            <w:r w:rsidRPr="00546F2E">
              <w:rPr>
                <w:rFonts w:eastAsia="Calibri"/>
                <w:sz w:val="18"/>
              </w:rPr>
              <w:t>55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A909E1" w14:textId="77777777" w:rsidR="000A1AAE" w:rsidRPr="00546F2E" w:rsidRDefault="000A1AAE" w:rsidP="00546F2E">
            <w:pPr>
              <w:suppressAutoHyphens w:val="0"/>
              <w:spacing w:before="40" w:after="40" w:line="220" w:lineRule="exact"/>
              <w:ind w:right="113"/>
              <w:jc w:val="right"/>
              <w:rPr>
                <w:rFonts w:eastAsia="Calibri"/>
                <w:sz w:val="18"/>
              </w:rPr>
            </w:pPr>
            <w:r w:rsidRPr="00546F2E">
              <w:rPr>
                <w:rFonts w:eastAsia="Calibri"/>
                <w:sz w:val="18"/>
              </w:rPr>
              <w:t>259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ECE603" w14:textId="77777777" w:rsidR="000A1AAE" w:rsidRPr="00546F2E" w:rsidRDefault="000A1AAE" w:rsidP="00546F2E">
            <w:pPr>
              <w:suppressAutoHyphens w:val="0"/>
              <w:spacing w:before="40" w:after="40" w:line="220" w:lineRule="exact"/>
              <w:ind w:right="113"/>
              <w:jc w:val="right"/>
              <w:rPr>
                <w:rFonts w:eastAsia="Calibri"/>
                <w:sz w:val="18"/>
              </w:rPr>
            </w:pPr>
            <w:r w:rsidRPr="00546F2E">
              <w:rPr>
                <w:rFonts w:eastAsia="Calibri"/>
                <w:sz w:val="18"/>
              </w:rPr>
              <w:t>490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40E2CD" w14:textId="77777777" w:rsidR="000A1AAE" w:rsidRPr="00546F2E" w:rsidRDefault="000A1AAE" w:rsidP="00546F2E">
            <w:pPr>
              <w:suppressAutoHyphens w:val="0"/>
              <w:spacing w:before="40" w:after="40" w:line="220" w:lineRule="exact"/>
              <w:ind w:right="113"/>
              <w:jc w:val="right"/>
              <w:rPr>
                <w:rFonts w:eastAsia="Calibri"/>
                <w:sz w:val="18"/>
              </w:rPr>
            </w:pPr>
            <w:r w:rsidRPr="00546F2E">
              <w:rPr>
                <w:rFonts w:eastAsia="Calibri"/>
                <w:sz w:val="18"/>
              </w:rPr>
              <w:t>31</w:t>
            </w:r>
          </w:p>
        </w:tc>
      </w:tr>
    </w:tbl>
    <w:p w14:paraId="6AD59642" w14:textId="41F86501" w:rsidR="000A1AAE" w:rsidRPr="00A841AA" w:rsidRDefault="000A1AAE" w:rsidP="00546F2E">
      <w:pPr>
        <w:pStyle w:val="H23G"/>
      </w:pPr>
      <w:r>
        <w:lastRenderedPageBreak/>
        <w:tab/>
      </w:r>
      <w:r>
        <w:tab/>
      </w:r>
      <w:r w:rsidRPr="00A841AA">
        <w:t>Non-refoulement</w:t>
      </w:r>
      <w:r w:rsidR="00D52FD0">
        <w:t xml:space="preserve"> </w:t>
      </w:r>
      <w:r w:rsidRPr="00A841AA">
        <w:t>and</w:t>
      </w:r>
      <w:r w:rsidR="00D52FD0">
        <w:t xml:space="preserve"> </w:t>
      </w:r>
      <w:r w:rsidRPr="00A841AA">
        <w:t>refugee</w:t>
      </w:r>
      <w:r w:rsidR="00D52FD0">
        <w:t xml:space="preserve"> </w:t>
      </w:r>
      <w:r w:rsidRPr="00A841AA">
        <w:t>determination</w:t>
      </w:r>
      <w:r w:rsidR="00D52FD0">
        <w:t xml:space="preserve"> </w:t>
      </w:r>
      <w:r w:rsidRPr="00A841AA">
        <w:t>procedures</w:t>
      </w:r>
    </w:p>
    <w:p w14:paraId="6C49D98F" w14:textId="5635DD08" w:rsidR="000E4FD0" w:rsidRDefault="0044637E" w:rsidP="0044637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>
        <w:t>67.</w:t>
      </w:r>
      <w:r>
        <w:tab/>
      </w:r>
      <w:r w:rsidR="000A1AAE" w:rsidRPr="0050194B">
        <w:t>Newly</w:t>
      </w:r>
      <w:r w:rsidR="00D52FD0">
        <w:t xml:space="preserve"> </w:t>
      </w:r>
      <w:r w:rsidR="000A1AAE" w:rsidRPr="0050194B">
        <w:t>arrived</w:t>
      </w:r>
      <w:r w:rsidR="00D52FD0">
        <w:t xml:space="preserve"> </w:t>
      </w:r>
      <w:r w:rsidR="000A1AAE" w:rsidRPr="0050194B">
        <w:t>migrants</w:t>
      </w:r>
      <w:r w:rsidR="00D52FD0">
        <w:t xml:space="preserve"> </w:t>
      </w:r>
      <w:r w:rsidR="000A1AAE" w:rsidRPr="0050194B">
        <w:t>residing</w:t>
      </w:r>
      <w:r w:rsidR="00D52FD0">
        <w:t xml:space="preserve"> </w:t>
      </w:r>
      <w:r w:rsidR="000A1AAE" w:rsidRPr="0050194B">
        <w:t>at</w:t>
      </w:r>
      <w:r w:rsidR="00D52FD0">
        <w:t xml:space="preserve"> </w:t>
      </w:r>
      <w:r w:rsidR="000A1AAE" w:rsidRPr="0050194B">
        <w:t>the</w:t>
      </w:r>
      <w:r w:rsidR="00D52FD0">
        <w:t xml:space="preserve"> </w:t>
      </w:r>
      <w:r w:rsidR="000A1AAE" w:rsidRPr="0050194B">
        <w:t>Initial</w:t>
      </w:r>
      <w:r w:rsidR="00D52FD0">
        <w:t xml:space="preserve"> </w:t>
      </w:r>
      <w:r w:rsidR="000A1AAE" w:rsidRPr="0050194B">
        <w:t>Reception</w:t>
      </w:r>
      <w:r w:rsidR="00D52FD0">
        <w:t xml:space="preserve"> </w:t>
      </w:r>
      <w:r w:rsidR="000A1AAE" w:rsidRPr="0050194B">
        <w:t>Centre</w:t>
      </w:r>
      <w:r w:rsidR="00D52FD0">
        <w:t xml:space="preserve"> </w:t>
      </w:r>
      <w:r w:rsidR="000A1AAE" w:rsidRPr="0050194B">
        <w:t>(IRC)</w:t>
      </w:r>
      <w:r w:rsidR="00D52FD0">
        <w:t xml:space="preserve"> </w:t>
      </w:r>
      <w:r w:rsidR="000A1AAE" w:rsidRPr="0050194B">
        <w:t>are</w:t>
      </w:r>
      <w:r w:rsidR="00D52FD0">
        <w:t xml:space="preserve"> </w:t>
      </w:r>
      <w:r w:rsidR="000A1AAE" w:rsidRPr="0050194B">
        <w:t>provided</w:t>
      </w:r>
      <w:r w:rsidR="00D52FD0">
        <w:t xml:space="preserve"> </w:t>
      </w:r>
      <w:r w:rsidR="000A1AAE" w:rsidRPr="0050194B">
        <w:t>with</w:t>
      </w:r>
      <w:r w:rsidR="00D52FD0">
        <w:t xml:space="preserve"> </w:t>
      </w:r>
      <w:r w:rsidR="000A1AAE" w:rsidRPr="0050194B">
        <w:t>information</w:t>
      </w:r>
      <w:r w:rsidR="00D52FD0">
        <w:t xml:space="preserve"> </w:t>
      </w:r>
      <w:r w:rsidR="000A1AAE" w:rsidRPr="0050194B">
        <w:t>about</w:t>
      </w:r>
      <w:r w:rsidR="00D52FD0">
        <w:t xml:space="preserve"> </w:t>
      </w:r>
      <w:r w:rsidR="000A1AAE" w:rsidRPr="0050194B">
        <w:t>the</w:t>
      </w:r>
      <w:r w:rsidR="00D52FD0">
        <w:t xml:space="preserve"> </w:t>
      </w:r>
      <w:r w:rsidR="000A1AAE" w:rsidRPr="0050194B">
        <w:t>asylum</w:t>
      </w:r>
      <w:r w:rsidR="00D52FD0">
        <w:t xml:space="preserve"> </w:t>
      </w:r>
      <w:r w:rsidR="000A1AAE" w:rsidRPr="0050194B">
        <w:t>process</w:t>
      </w:r>
      <w:r w:rsidR="00D52FD0">
        <w:t xml:space="preserve"> </w:t>
      </w:r>
      <w:r w:rsidR="000A1AAE" w:rsidRPr="0050194B">
        <w:t>and</w:t>
      </w:r>
      <w:r w:rsidR="00D52FD0">
        <w:t xml:space="preserve"> </w:t>
      </w:r>
      <w:r w:rsidR="000A1AAE" w:rsidRPr="0050194B">
        <w:t>asked</w:t>
      </w:r>
      <w:r w:rsidR="00D52FD0">
        <w:t xml:space="preserve"> </w:t>
      </w:r>
      <w:r w:rsidR="000A1AAE" w:rsidRPr="0050194B">
        <w:t>whether</w:t>
      </w:r>
      <w:r w:rsidR="00D52FD0">
        <w:t xml:space="preserve"> </w:t>
      </w:r>
      <w:r w:rsidR="000A1AAE" w:rsidRPr="0050194B">
        <w:t>they</w:t>
      </w:r>
      <w:r w:rsidR="00D52FD0">
        <w:t xml:space="preserve"> </w:t>
      </w:r>
      <w:r w:rsidR="000A1AAE" w:rsidRPr="0050194B">
        <w:t>wish</w:t>
      </w:r>
      <w:r w:rsidR="00D52FD0">
        <w:t xml:space="preserve"> </w:t>
      </w:r>
      <w:r w:rsidR="000A1AAE" w:rsidRPr="0050194B">
        <w:t>to</w:t>
      </w:r>
      <w:r w:rsidR="00D52FD0">
        <w:t xml:space="preserve"> </w:t>
      </w:r>
      <w:r w:rsidR="000A1AAE" w:rsidRPr="0050194B">
        <w:t>apply</w:t>
      </w:r>
      <w:r w:rsidR="00D52FD0">
        <w:t xml:space="preserve"> </w:t>
      </w:r>
      <w:r w:rsidR="000A1AAE" w:rsidRPr="0050194B">
        <w:t>for</w:t>
      </w:r>
      <w:r w:rsidR="00D52FD0">
        <w:t xml:space="preserve"> </w:t>
      </w:r>
      <w:r w:rsidR="000A1AAE" w:rsidRPr="0050194B">
        <w:t>asylum.</w:t>
      </w:r>
      <w:r w:rsidR="00D52FD0">
        <w:t xml:space="preserve"> </w:t>
      </w:r>
      <w:r w:rsidR="000A1AAE" w:rsidRPr="0050194B">
        <w:t>Practically</w:t>
      </w:r>
      <w:r w:rsidR="00D52FD0">
        <w:t xml:space="preserve"> </w:t>
      </w:r>
      <w:r w:rsidR="000A1AAE" w:rsidRPr="0050194B">
        <w:t>all</w:t>
      </w:r>
      <w:r w:rsidR="00D52FD0">
        <w:t xml:space="preserve"> </w:t>
      </w:r>
      <w:r w:rsidR="000A1AAE" w:rsidRPr="0050194B">
        <w:t>migrants</w:t>
      </w:r>
      <w:r w:rsidR="00D52FD0">
        <w:t xml:space="preserve"> </w:t>
      </w:r>
      <w:r w:rsidR="000A1AAE" w:rsidRPr="0050194B">
        <w:t>rescued</w:t>
      </w:r>
      <w:r w:rsidR="00D52FD0">
        <w:t xml:space="preserve"> </w:t>
      </w:r>
      <w:r w:rsidR="000A1AAE" w:rsidRPr="0050194B">
        <w:t>at</w:t>
      </w:r>
      <w:r w:rsidR="00D52FD0">
        <w:t xml:space="preserve"> </w:t>
      </w:r>
      <w:r w:rsidR="000A1AAE" w:rsidRPr="0050194B">
        <w:t>sea</w:t>
      </w:r>
      <w:r w:rsidR="00D52FD0">
        <w:t xml:space="preserve"> </w:t>
      </w:r>
      <w:r w:rsidR="000A1AAE" w:rsidRPr="0050194B">
        <w:t>apply</w:t>
      </w:r>
      <w:r w:rsidR="00D52FD0">
        <w:t xml:space="preserve"> </w:t>
      </w:r>
      <w:r w:rsidR="000A1AAE" w:rsidRPr="0050194B">
        <w:t>for</w:t>
      </w:r>
      <w:r w:rsidR="00D52FD0">
        <w:t xml:space="preserve"> </w:t>
      </w:r>
      <w:r w:rsidR="000A1AAE" w:rsidRPr="0050194B">
        <w:t>international</w:t>
      </w:r>
      <w:r w:rsidR="00D52FD0">
        <w:t xml:space="preserve"> </w:t>
      </w:r>
      <w:r w:rsidR="000A1AAE" w:rsidRPr="0050194B">
        <w:t>protection.</w:t>
      </w:r>
      <w:r w:rsidR="00D52FD0">
        <w:t xml:space="preserve"> </w:t>
      </w:r>
      <w:r w:rsidR="000A1AAE" w:rsidRPr="0050194B">
        <w:t>Visits</w:t>
      </w:r>
      <w:r w:rsidR="00D52FD0">
        <w:t xml:space="preserve"> </w:t>
      </w:r>
      <w:r w:rsidR="000A1AAE" w:rsidRPr="0050194B">
        <w:t>by</w:t>
      </w:r>
      <w:r w:rsidR="00D52FD0">
        <w:t xml:space="preserve"> </w:t>
      </w:r>
      <w:r w:rsidR="000A1AAE" w:rsidRPr="0050194B">
        <w:t>lawyers</w:t>
      </w:r>
      <w:r w:rsidR="00D52FD0">
        <w:t xml:space="preserve"> </w:t>
      </w:r>
      <w:r w:rsidR="000A1AAE" w:rsidRPr="0050194B">
        <w:t>and</w:t>
      </w:r>
      <w:r w:rsidR="00D52FD0">
        <w:t xml:space="preserve"> </w:t>
      </w:r>
      <w:r w:rsidR="000A1AAE" w:rsidRPr="0050194B">
        <w:t>NGOS,</w:t>
      </w:r>
      <w:r w:rsidR="00D52FD0">
        <w:t xml:space="preserve"> </w:t>
      </w:r>
      <w:r w:rsidR="000A1AAE" w:rsidRPr="0050194B">
        <w:t>including</w:t>
      </w:r>
      <w:r w:rsidR="00D52FD0">
        <w:t xml:space="preserve"> </w:t>
      </w:r>
      <w:r w:rsidR="000A1AAE" w:rsidRPr="0050194B">
        <w:t>UNHCR,</w:t>
      </w:r>
      <w:r w:rsidR="00D52FD0">
        <w:t xml:space="preserve"> </w:t>
      </w:r>
      <w:r w:rsidR="000A1AAE" w:rsidRPr="0050194B">
        <w:t>are</w:t>
      </w:r>
      <w:r w:rsidR="00D52FD0">
        <w:t xml:space="preserve"> </w:t>
      </w:r>
      <w:r w:rsidR="000A1AAE" w:rsidRPr="0050194B">
        <w:t>allowed</w:t>
      </w:r>
      <w:r w:rsidR="00D52FD0">
        <w:t xml:space="preserve"> </w:t>
      </w:r>
      <w:r w:rsidR="000A1AAE" w:rsidRPr="0050194B">
        <w:t>at</w:t>
      </w:r>
      <w:r w:rsidR="00D52FD0">
        <w:t xml:space="preserve"> </w:t>
      </w:r>
      <w:r w:rsidR="000A1AAE" w:rsidRPr="0050194B">
        <w:t>IRC</w:t>
      </w:r>
      <w:r w:rsidR="00D52FD0">
        <w:t xml:space="preserve"> </w:t>
      </w:r>
      <w:r w:rsidR="000A1AAE" w:rsidRPr="0050194B">
        <w:t>and</w:t>
      </w:r>
      <w:r w:rsidR="00D52FD0">
        <w:t xml:space="preserve"> </w:t>
      </w:r>
      <w:r w:rsidR="000A1AAE" w:rsidRPr="0050194B">
        <w:t>closed</w:t>
      </w:r>
      <w:r w:rsidR="00D52FD0">
        <w:t xml:space="preserve"> </w:t>
      </w:r>
      <w:r w:rsidR="000A1AAE" w:rsidRPr="0050194B">
        <w:t>centres</w:t>
      </w:r>
      <w:r w:rsidR="00D52FD0">
        <w:t xml:space="preserve"> </w:t>
      </w:r>
      <w:r w:rsidR="000A1AAE" w:rsidRPr="0050194B">
        <w:t>to</w:t>
      </w:r>
      <w:r w:rsidR="00D52FD0">
        <w:t xml:space="preserve"> </w:t>
      </w:r>
      <w:r w:rsidR="000A1AAE" w:rsidRPr="0050194B">
        <w:t>provide</w:t>
      </w:r>
      <w:r w:rsidR="00D52FD0">
        <w:t xml:space="preserve"> </w:t>
      </w:r>
      <w:r w:rsidR="000A1AAE" w:rsidRPr="0050194B">
        <w:t>information</w:t>
      </w:r>
      <w:r w:rsidR="00D52FD0">
        <w:t xml:space="preserve"> </w:t>
      </w:r>
      <w:r w:rsidR="000A1AAE" w:rsidRPr="0050194B">
        <w:t>about</w:t>
      </w:r>
      <w:r w:rsidR="00D52FD0">
        <w:t xml:space="preserve"> </w:t>
      </w:r>
      <w:r w:rsidR="000A1AAE" w:rsidRPr="0050194B">
        <w:t>the</w:t>
      </w:r>
      <w:r w:rsidR="00D52FD0">
        <w:t xml:space="preserve"> </w:t>
      </w:r>
      <w:r w:rsidR="000A1AAE" w:rsidRPr="0050194B">
        <w:t>process.</w:t>
      </w:r>
    </w:p>
    <w:p w14:paraId="521522D2" w14:textId="0B3A4A02" w:rsidR="000A1AAE" w:rsidRPr="0050194B" w:rsidRDefault="0044637E" w:rsidP="0044637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50194B">
        <w:t>68.</w:t>
      </w:r>
      <w:r w:rsidRPr="0050194B">
        <w:tab/>
      </w:r>
      <w:r w:rsidR="000A1AAE" w:rsidRPr="0050194B">
        <w:t>Malta</w:t>
      </w:r>
      <w:r w:rsidR="00D52FD0">
        <w:t xml:space="preserve"> </w:t>
      </w:r>
      <w:r w:rsidR="000A1AAE" w:rsidRPr="0050194B">
        <w:t>abides</w:t>
      </w:r>
      <w:r w:rsidR="00D52FD0">
        <w:t xml:space="preserve"> </w:t>
      </w:r>
      <w:r w:rsidR="000A1AAE" w:rsidRPr="0050194B">
        <w:t>by</w:t>
      </w:r>
      <w:r w:rsidR="00D52FD0">
        <w:t xml:space="preserve"> </w:t>
      </w:r>
      <w:r w:rsidR="000A1AAE" w:rsidRPr="0050194B">
        <w:t>the</w:t>
      </w:r>
      <w:r w:rsidR="00D52FD0">
        <w:t xml:space="preserve"> </w:t>
      </w:r>
      <w:r w:rsidR="000A1AAE" w:rsidRPr="0050194B">
        <w:t>principle</w:t>
      </w:r>
      <w:r w:rsidR="00D52FD0">
        <w:t xml:space="preserve"> </w:t>
      </w:r>
      <w:r w:rsidR="000A1AAE" w:rsidRPr="0050194B">
        <w:t>of</w:t>
      </w:r>
      <w:r w:rsidR="00D52FD0">
        <w:t xml:space="preserve"> </w:t>
      </w:r>
      <w:r w:rsidR="000A1AAE" w:rsidRPr="0050194B">
        <w:t>non-refoulement</w:t>
      </w:r>
      <w:r w:rsidR="00D52FD0">
        <w:t xml:space="preserve"> </w:t>
      </w:r>
      <w:r w:rsidR="000A1AAE" w:rsidRPr="0050194B">
        <w:t>in</w:t>
      </w:r>
      <w:r w:rsidR="00D52FD0">
        <w:t xml:space="preserve"> </w:t>
      </w:r>
      <w:r w:rsidR="000A1AAE" w:rsidRPr="0050194B">
        <w:t>accordance</w:t>
      </w:r>
      <w:r w:rsidR="00D52FD0">
        <w:t xml:space="preserve"> </w:t>
      </w:r>
      <w:r w:rsidR="000A1AAE" w:rsidRPr="0050194B">
        <w:t>with</w:t>
      </w:r>
      <w:r w:rsidR="00D52FD0">
        <w:t xml:space="preserve"> </w:t>
      </w:r>
      <w:r w:rsidR="000A1AAE" w:rsidRPr="0050194B">
        <w:t>its</w:t>
      </w:r>
      <w:r w:rsidR="00D52FD0">
        <w:t xml:space="preserve"> </w:t>
      </w:r>
      <w:r w:rsidR="000A1AAE" w:rsidRPr="0050194B">
        <w:t>international</w:t>
      </w:r>
      <w:r w:rsidR="00D52FD0">
        <w:t xml:space="preserve"> </w:t>
      </w:r>
      <w:r w:rsidR="000A1AAE" w:rsidRPr="0050194B">
        <w:t>obligations</w:t>
      </w:r>
      <w:r w:rsidR="00D52FD0">
        <w:t xml:space="preserve"> </w:t>
      </w:r>
      <w:r w:rsidR="000A1AAE" w:rsidRPr="0050194B">
        <w:t>and</w:t>
      </w:r>
      <w:r w:rsidR="00D52FD0">
        <w:t xml:space="preserve"> </w:t>
      </w:r>
      <w:r w:rsidR="000A1AAE" w:rsidRPr="0050194B">
        <w:t>the</w:t>
      </w:r>
      <w:r w:rsidR="00D52FD0">
        <w:t xml:space="preserve"> </w:t>
      </w:r>
      <w:r w:rsidR="000A1AAE" w:rsidRPr="0050194B">
        <w:t>provisions</w:t>
      </w:r>
      <w:r w:rsidR="00D52FD0">
        <w:t xml:space="preserve"> </w:t>
      </w:r>
      <w:r w:rsidR="000A1AAE" w:rsidRPr="0050194B">
        <w:t>of</w:t>
      </w:r>
      <w:r w:rsidR="00D52FD0">
        <w:t xml:space="preserve"> </w:t>
      </w:r>
      <w:r w:rsidR="000A1AAE" w:rsidRPr="0050194B">
        <w:t>the</w:t>
      </w:r>
      <w:r w:rsidR="00D52FD0">
        <w:t xml:space="preserve"> </w:t>
      </w:r>
      <w:r w:rsidR="000A1AAE" w:rsidRPr="0050194B">
        <w:t>International</w:t>
      </w:r>
      <w:r w:rsidR="00D52FD0">
        <w:t xml:space="preserve"> </w:t>
      </w:r>
      <w:r w:rsidR="000A1AAE" w:rsidRPr="0050194B">
        <w:t>Protect</w:t>
      </w:r>
      <w:r w:rsidR="00D52FD0">
        <w:t xml:space="preserve"> </w:t>
      </w:r>
      <w:r w:rsidR="000A1AAE" w:rsidRPr="0050194B">
        <w:t>Act.</w:t>
      </w:r>
      <w:r w:rsidR="00D52FD0">
        <w:t xml:space="preserve"> </w:t>
      </w:r>
      <w:r w:rsidR="000A1AAE" w:rsidRPr="0050194B">
        <w:t>This</w:t>
      </w:r>
      <w:r w:rsidR="00D52FD0">
        <w:t xml:space="preserve"> </w:t>
      </w:r>
      <w:r w:rsidR="000A1AAE" w:rsidRPr="0050194B">
        <w:t>principle</w:t>
      </w:r>
      <w:r w:rsidR="00D52FD0">
        <w:t xml:space="preserve"> </w:t>
      </w:r>
      <w:r w:rsidR="000A1AAE" w:rsidRPr="0050194B">
        <w:t>applies</w:t>
      </w:r>
      <w:r w:rsidR="00D52FD0">
        <w:t xml:space="preserve"> </w:t>
      </w:r>
      <w:r w:rsidR="000A1AAE" w:rsidRPr="0050194B">
        <w:t>in</w:t>
      </w:r>
      <w:r w:rsidR="00D52FD0">
        <w:t xml:space="preserve"> </w:t>
      </w:r>
      <w:r w:rsidR="000A1AAE" w:rsidRPr="0050194B">
        <w:t>respect</w:t>
      </w:r>
      <w:r w:rsidR="00D52FD0">
        <w:t xml:space="preserve"> </w:t>
      </w:r>
      <w:r w:rsidR="000A1AAE" w:rsidRPr="0050194B">
        <w:t>of</w:t>
      </w:r>
      <w:r w:rsidR="00D52FD0">
        <w:t xml:space="preserve"> </w:t>
      </w:r>
      <w:r w:rsidR="000A1AAE" w:rsidRPr="0050194B">
        <w:t>all</w:t>
      </w:r>
      <w:r w:rsidR="00D52FD0">
        <w:t xml:space="preserve"> </w:t>
      </w:r>
      <w:r w:rsidR="000A1AAE" w:rsidRPr="0050194B">
        <w:t>asylum</w:t>
      </w:r>
      <w:r w:rsidR="00D52FD0">
        <w:t xml:space="preserve"> </w:t>
      </w:r>
      <w:r w:rsidR="000A1AAE" w:rsidRPr="0050194B">
        <w:t>seekers</w:t>
      </w:r>
      <w:r w:rsidR="00D52FD0">
        <w:t xml:space="preserve"> </w:t>
      </w:r>
      <w:r w:rsidR="000A1AAE" w:rsidRPr="0050194B">
        <w:t>and</w:t>
      </w:r>
      <w:r w:rsidR="00D52FD0">
        <w:t xml:space="preserve"> </w:t>
      </w:r>
      <w:r w:rsidR="000A1AAE" w:rsidRPr="0050194B">
        <w:t>beneficiaries</w:t>
      </w:r>
      <w:r w:rsidR="00D52FD0">
        <w:t xml:space="preserve"> </w:t>
      </w:r>
      <w:r w:rsidR="000A1AAE" w:rsidRPr="0050194B">
        <w:t>of</w:t>
      </w:r>
      <w:r w:rsidR="00D52FD0">
        <w:t xml:space="preserve"> </w:t>
      </w:r>
      <w:r w:rsidR="000A1AAE" w:rsidRPr="0050194B">
        <w:t>international</w:t>
      </w:r>
      <w:r w:rsidR="00D52FD0">
        <w:t xml:space="preserve"> </w:t>
      </w:r>
      <w:r w:rsidR="000A1AAE" w:rsidRPr="0050194B">
        <w:t>protection.</w:t>
      </w:r>
      <w:r w:rsidR="00D52FD0">
        <w:t xml:space="preserve"> </w:t>
      </w:r>
      <w:r w:rsidR="000A1AAE" w:rsidRPr="0050194B">
        <w:t>Furthermore,</w:t>
      </w:r>
      <w:r w:rsidR="00D52FD0">
        <w:t xml:space="preserve"> </w:t>
      </w:r>
      <w:r w:rsidR="000A1AAE" w:rsidRPr="0050194B">
        <w:t>the</w:t>
      </w:r>
      <w:r w:rsidR="00D52FD0">
        <w:t xml:space="preserve"> </w:t>
      </w:r>
      <w:r w:rsidR="000A1AAE" w:rsidRPr="0050194B">
        <w:t>International</w:t>
      </w:r>
      <w:r w:rsidR="00D52FD0">
        <w:t xml:space="preserve"> </w:t>
      </w:r>
      <w:r w:rsidR="000A1AAE" w:rsidRPr="0050194B">
        <w:t>Protection</w:t>
      </w:r>
      <w:r w:rsidR="00D52FD0">
        <w:t xml:space="preserve"> </w:t>
      </w:r>
      <w:r w:rsidR="000A1AAE" w:rsidRPr="0050194B">
        <w:t>Agency</w:t>
      </w:r>
      <w:r w:rsidR="00D52FD0">
        <w:t xml:space="preserve"> </w:t>
      </w:r>
      <w:r w:rsidR="000A1AAE" w:rsidRPr="0050194B">
        <w:t>(set</w:t>
      </w:r>
      <w:r w:rsidR="00D52FD0">
        <w:t xml:space="preserve"> </w:t>
      </w:r>
      <w:r w:rsidR="000A1AAE" w:rsidRPr="0050194B">
        <w:t>up</w:t>
      </w:r>
      <w:r w:rsidR="00D52FD0">
        <w:t xml:space="preserve"> </w:t>
      </w:r>
      <w:r w:rsidR="000A1AAE" w:rsidRPr="0050194B">
        <w:t>in</w:t>
      </w:r>
      <w:r w:rsidR="00D52FD0">
        <w:t xml:space="preserve"> </w:t>
      </w:r>
      <w:r w:rsidR="000A1AAE" w:rsidRPr="0050194B">
        <w:t>2020)</w:t>
      </w:r>
      <w:r w:rsidR="00D52FD0">
        <w:t xml:space="preserve"> </w:t>
      </w:r>
      <w:r w:rsidR="000A1AAE" w:rsidRPr="0050194B">
        <w:t>is</w:t>
      </w:r>
      <w:r w:rsidR="00D52FD0">
        <w:t xml:space="preserve"> </w:t>
      </w:r>
      <w:r w:rsidR="000A1AAE" w:rsidRPr="0050194B">
        <w:t>taking</w:t>
      </w:r>
      <w:r w:rsidR="00D52FD0">
        <w:t xml:space="preserve"> </w:t>
      </w:r>
      <w:r w:rsidR="000A1AAE" w:rsidRPr="0050194B">
        <w:t>all</w:t>
      </w:r>
      <w:r w:rsidR="00D52FD0">
        <w:t xml:space="preserve"> </w:t>
      </w:r>
      <w:r w:rsidR="000A1AAE" w:rsidRPr="0050194B">
        <w:t>necessary</w:t>
      </w:r>
      <w:r w:rsidR="00D52FD0">
        <w:t xml:space="preserve"> </w:t>
      </w:r>
      <w:r w:rsidR="000A1AAE" w:rsidRPr="0050194B">
        <w:t>measures</w:t>
      </w:r>
      <w:r w:rsidR="00D52FD0">
        <w:t xml:space="preserve"> </w:t>
      </w:r>
      <w:r w:rsidR="000A1AAE" w:rsidRPr="0050194B">
        <w:t>to</w:t>
      </w:r>
      <w:r w:rsidR="00D52FD0">
        <w:t xml:space="preserve"> </w:t>
      </w:r>
      <w:r w:rsidR="000A1AAE" w:rsidRPr="0050194B">
        <w:t>ensure</w:t>
      </w:r>
      <w:r w:rsidR="00D52FD0">
        <w:t xml:space="preserve"> </w:t>
      </w:r>
      <w:r w:rsidR="000A1AAE" w:rsidRPr="0050194B">
        <w:t>that</w:t>
      </w:r>
      <w:r w:rsidR="00D52FD0">
        <w:t xml:space="preserve"> </w:t>
      </w:r>
      <w:r w:rsidR="000A1AAE" w:rsidRPr="0050194B">
        <w:t>as</w:t>
      </w:r>
      <w:r w:rsidR="00D52FD0">
        <w:t xml:space="preserve"> </w:t>
      </w:r>
      <w:r w:rsidR="000A1AAE" w:rsidRPr="0050194B">
        <w:t>far</w:t>
      </w:r>
      <w:r w:rsidR="00D52FD0">
        <w:t xml:space="preserve"> </w:t>
      </w:r>
      <w:r w:rsidR="000A1AAE" w:rsidRPr="0050194B">
        <w:t>as</w:t>
      </w:r>
      <w:r w:rsidR="00D52FD0">
        <w:t xml:space="preserve"> </w:t>
      </w:r>
      <w:r w:rsidR="000A1AAE" w:rsidRPr="0050194B">
        <w:t>possible,</w:t>
      </w:r>
      <w:r w:rsidR="00D52FD0">
        <w:t xml:space="preserve"> </w:t>
      </w:r>
      <w:r w:rsidR="000A1AAE" w:rsidRPr="0050194B">
        <w:t>applications</w:t>
      </w:r>
      <w:r w:rsidR="00D52FD0">
        <w:t xml:space="preserve"> </w:t>
      </w:r>
      <w:r w:rsidR="000A1AAE" w:rsidRPr="0050194B">
        <w:t>are</w:t>
      </w:r>
      <w:r w:rsidR="00D52FD0">
        <w:t xml:space="preserve"> </w:t>
      </w:r>
      <w:r w:rsidR="000A1AAE" w:rsidRPr="0050194B">
        <w:t>assessed</w:t>
      </w:r>
      <w:r w:rsidR="00D52FD0">
        <w:t xml:space="preserve"> </w:t>
      </w:r>
      <w:r w:rsidR="000A1AAE" w:rsidRPr="0050194B">
        <w:t>within</w:t>
      </w:r>
      <w:r w:rsidR="00D52FD0">
        <w:t xml:space="preserve"> </w:t>
      </w:r>
      <w:r w:rsidR="000A1AAE" w:rsidRPr="0050194B">
        <w:t>a</w:t>
      </w:r>
      <w:r w:rsidR="00D52FD0">
        <w:t xml:space="preserve"> </w:t>
      </w:r>
      <w:r w:rsidR="000A1AAE" w:rsidRPr="0050194B">
        <w:t>reasonable</w:t>
      </w:r>
      <w:r w:rsidR="00D52FD0">
        <w:t xml:space="preserve"> </w:t>
      </w:r>
      <w:r w:rsidR="000A1AAE" w:rsidRPr="0050194B">
        <w:t>period.</w:t>
      </w:r>
      <w:r w:rsidR="00D52FD0">
        <w:t xml:space="preserve"> </w:t>
      </w:r>
      <w:r w:rsidR="000A1AAE" w:rsidRPr="0050194B">
        <w:t>This</w:t>
      </w:r>
      <w:r w:rsidR="00D52FD0">
        <w:t xml:space="preserve"> </w:t>
      </w:r>
      <w:r w:rsidR="000A1AAE" w:rsidRPr="0050194B">
        <w:t>includes</w:t>
      </w:r>
      <w:r w:rsidR="00D52FD0">
        <w:t xml:space="preserve"> </w:t>
      </w:r>
      <w:r w:rsidR="000A1AAE" w:rsidRPr="0050194B">
        <w:t>moving</w:t>
      </w:r>
      <w:r w:rsidR="00D52FD0">
        <w:t xml:space="preserve"> </w:t>
      </w:r>
      <w:r w:rsidR="000A1AAE" w:rsidRPr="0050194B">
        <w:t>to</w:t>
      </w:r>
      <w:r w:rsidR="00D52FD0">
        <w:t xml:space="preserve"> </w:t>
      </w:r>
      <w:r w:rsidR="000A1AAE" w:rsidRPr="0050194B">
        <w:t>new</w:t>
      </w:r>
      <w:r w:rsidR="00D52FD0">
        <w:t xml:space="preserve"> </w:t>
      </w:r>
      <w:r w:rsidR="000A1AAE" w:rsidRPr="0050194B">
        <w:t>premises</w:t>
      </w:r>
      <w:r w:rsidR="00D52FD0">
        <w:t xml:space="preserve"> </w:t>
      </w:r>
      <w:r w:rsidR="000A1AAE" w:rsidRPr="0050194B">
        <w:t>that</w:t>
      </w:r>
      <w:r w:rsidR="00D52FD0">
        <w:t xml:space="preserve"> </w:t>
      </w:r>
      <w:r w:rsidR="000A1AAE" w:rsidRPr="0050194B">
        <w:t>are</w:t>
      </w:r>
      <w:r w:rsidR="00D52FD0">
        <w:t xml:space="preserve"> </w:t>
      </w:r>
      <w:r w:rsidR="000A1AAE" w:rsidRPr="0050194B">
        <w:t>more</w:t>
      </w:r>
      <w:r w:rsidR="00D52FD0">
        <w:t xml:space="preserve"> </w:t>
      </w:r>
      <w:r w:rsidR="000A1AAE" w:rsidRPr="0050194B">
        <w:t>adequate</w:t>
      </w:r>
      <w:r w:rsidR="00D52FD0">
        <w:t xml:space="preserve"> </w:t>
      </w:r>
      <w:r w:rsidR="000A1AAE" w:rsidRPr="0050194B">
        <w:t>for</w:t>
      </w:r>
      <w:r w:rsidR="00D52FD0">
        <w:t xml:space="preserve"> </w:t>
      </w:r>
      <w:r w:rsidR="000A1AAE" w:rsidRPr="0050194B">
        <w:t>the</w:t>
      </w:r>
      <w:r w:rsidR="00D52FD0">
        <w:t xml:space="preserve"> </w:t>
      </w:r>
      <w:r w:rsidR="000A1AAE" w:rsidRPr="0050194B">
        <w:t>running</w:t>
      </w:r>
      <w:r w:rsidR="00D52FD0">
        <w:t xml:space="preserve"> </w:t>
      </w:r>
      <w:r w:rsidR="000A1AAE" w:rsidRPr="0050194B">
        <w:t>of</w:t>
      </w:r>
      <w:r w:rsidR="00D52FD0">
        <w:t xml:space="preserve"> </w:t>
      </w:r>
      <w:r w:rsidR="000A1AAE" w:rsidRPr="0050194B">
        <w:t>its</w:t>
      </w:r>
      <w:r w:rsidR="00D52FD0">
        <w:t xml:space="preserve"> </w:t>
      </w:r>
      <w:r w:rsidR="000A1AAE" w:rsidRPr="0050194B">
        <w:t>operations,</w:t>
      </w:r>
      <w:r w:rsidR="00D52FD0">
        <w:t xml:space="preserve"> </w:t>
      </w:r>
      <w:r w:rsidR="000A1AAE" w:rsidRPr="0050194B">
        <w:t>extending</w:t>
      </w:r>
      <w:r w:rsidR="00D52FD0">
        <w:t xml:space="preserve"> </w:t>
      </w:r>
      <w:r w:rsidR="000A1AAE" w:rsidRPr="0050194B">
        <w:t>IPA</w:t>
      </w:r>
      <w:r w:rsidR="00F14DA3">
        <w:t>’</w:t>
      </w:r>
      <w:r w:rsidR="000A1AAE" w:rsidRPr="0050194B">
        <w:t>s</w:t>
      </w:r>
      <w:r w:rsidR="00D52FD0">
        <w:t xml:space="preserve"> </w:t>
      </w:r>
      <w:r w:rsidR="000A1AAE" w:rsidRPr="0050194B">
        <w:t>presence</w:t>
      </w:r>
      <w:r w:rsidR="00D52FD0">
        <w:t xml:space="preserve"> </w:t>
      </w:r>
      <w:r w:rsidR="000A1AAE" w:rsidRPr="0050194B">
        <w:t>at</w:t>
      </w:r>
      <w:r w:rsidR="00D52FD0">
        <w:t xml:space="preserve"> </w:t>
      </w:r>
      <w:r w:rsidR="000A1AAE" w:rsidRPr="0050194B">
        <w:t>the</w:t>
      </w:r>
      <w:r w:rsidR="00D52FD0">
        <w:t xml:space="preserve"> </w:t>
      </w:r>
      <w:r w:rsidR="000A1AAE" w:rsidRPr="0050194B">
        <w:t>Initial</w:t>
      </w:r>
      <w:r w:rsidR="00D52FD0">
        <w:t xml:space="preserve"> </w:t>
      </w:r>
      <w:r w:rsidR="000A1AAE" w:rsidRPr="0050194B">
        <w:t>Reception</w:t>
      </w:r>
      <w:r w:rsidR="00D52FD0">
        <w:t xml:space="preserve"> </w:t>
      </w:r>
      <w:r w:rsidR="000A1AAE" w:rsidRPr="0050194B">
        <w:t>Centres</w:t>
      </w:r>
      <w:r w:rsidR="00D52FD0">
        <w:t xml:space="preserve"> </w:t>
      </w:r>
      <w:r w:rsidR="000A1AAE" w:rsidRPr="0050194B">
        <w:t>as</w:t>
      </w:r>
      <w:r w:rsidR="00D52FD0">
        <w:t xml:space="preserve"> </w:t>
      </w:r>
      <w:r w:rsidR="000A1AAE" w:rsidRPr="0050194B">
        <w:t>well</w:t>
      </w:r>
      <w:r w:rsidR="00D52FD0">
        <w:t xml:space="preserve"> </w:t>
      </w:r>
      <w:r w:rsidR="000A1AAE" w:rsidRPr="0050194B">
        <w:t>as</w:t>
      </w:r>
      <w:r w:rsidR="00D52FD0">
        <w:t xml:space="preserve"> </w:t>
      </w:r>
      <w:r w:rsidR="000A1AAE" w:rsidRPr="0050194B">
        <w:t>the</w:t>
      </w:r>
      <w:r w:rsidR="00D52FD0">
        <w:t xml:space="preserve"> </w:t>
      </w:r>
      <w:r w:rsidR="000A1AAE" w:rsidRPr="0050194B">
        <w:t>beefing</w:t>
      </w:r>
      <w:r w:rsidR="00D52FD0">
        <w:t xml:space="preserve"> </w:t>
      </w:r>
      <w:r w:rsidR="000A1AAE" w:rsidRPr="0050194B">
        <w:t>up</w:t>
      </w:r>
      <w:r w:rsidR="00D52FD0">
        <w:t xml:space="preserve"> </w:t>
      </w:r>
      <w:r w:rsidR="000A1AAE" w:rsidRPr="0050194B">
        <w:t>of</w:t>
      </w:r>
      <w:r w:rsidR="00D52FD0">
        <w:t xml:space="preserve"> </w:t>
      </w:r>
      <w:r w:rsidR="000A1AAE" w:rsidRPr="0050194B">
        <w:t>human</w:t>
      </w:r>
      <w:r w:rsidR="00D52FD0">
        <w:t xml:space="preserve"> </w:t>
      </w:r>
      <w:r w:rsidR="000A1AAE" w:rsidRPr="0050194B">
        <w:t>resources</w:t>
      </w:r>
      <w:r w:rsidR="00D52FD0">
        <w:t xml:space="preserve"> </w:t>
      </w:r>
      <w:r w:rsidR="000A1AAE" w:rsidRPr="0050194B">
        <w:t>in</w:t>
      </w:r>
      <w:r w:rsidR="00D52FD0">
        <w:t xml:space="preserve"> </w:t>
      </w:r>
      <w:r w:rsidR="000A1AAE" w:rsidRPr="0050194B">
        <w:t>lines</w:t>
      </w:r>
      <w:r w:rsidR="00D52FD0">
        <w:t xml:space="preserve"> </w:t>
      </w:r>
      <w:r w:rsidR="000A1AAE" w:rsidRPr="0050194B">
        <w:t>with</w:t>
      </w:r>
      <w:r w:rsidR="00D52FD0">
        <w:t xml:space="preserve"> </w:t>
      </w:r>
      <w:r w:rsidR="000A1AAE" w:rsidRPr="0050194B">
        <w:t>the</w:t>
      </w:r>
      <w:r w:rsidR="00D52FD0">
        <w:t xml:space="preserve"> </w:t>
      </w:r>
      <w:r w:rsidR="000A1AAE" w:rsidRPr="0050194B">
        <w:t>plans</w:t>
      </w:r>
      <w:r w:rsidR="00D52FD0">
        <w:t xml:space="preserve"> </w:t>
      </w:r>
      <w:r w:rsidR="000A1AAE" w:rsidRPr="0050194B">
        <w:t>of</w:t>
      </w:r>
      <w:r w:rsidR="00D52FD0">
        <w:t xml:space="preserve"> </w:t>
      </w:r>
      <w:r w:rsidR="000A1AAE" w:rsidRPr="0050194B">
        <w:t>the</w:t>
      </w:r>
      <w:r w:rsidR="00D52FD0">
        <w:t xml:space="preserve"> </w:t>
      </w:r>
      <w:r w:rsidR="000A1AAE" w:rsidRPr="0050194B">
        <w:t>IPA.</w:t>
      </w:r>
      <w:r w:rsidR="00D52FD0">
        <w:t xml:space="preserve"> </w:t>
      </w:r>
      <w:r w:rsidR="000A1AAE" w:rsidRPr="0050194B">
        <w:t>In</w:t>
      </w:r>
      <w:r w:rsidR="00D52FD0">
        <w:t xml:space="preserve"> </w:t>
      </w:r>
      <w:r w:rsidR="000A1AAE" w:rsidRPr="0050194B">
        <w:t>total,</w:t>
      </w:r>
      <w:r w:rsidR="00D52FD0">
        <w:t xml:space="preserve"> </w:t>
      </w:r>
      <w:r w:rsidR="000A1AAE" w:rsidRPr="0050194B">
        <w:t>there</w:t>
      </w:r>
      <w:r w:rsidR="00D52FD0">
        <w:t xml:space="preserve"> </w:t>
      </w:r>
      <w:r w:rsidR="000A1AAE" w:rsidRPr="0050194B">
        <w:t>were</w:t>
      </w:r>
      <w:r w:rsidR="00D52FD0">
        <w:t xml:space="preserve"> </w:t>
      </w:r>
      <w:r w:rsidR="000A1AAE" w:rsidRPr="0050194B">
        <w:t>9</w:t>
      </w:r>
      <w:r w:rsidR="00D52FD0">
        <w:t xml:space="preserve"> </w:t>
      </w:r>
      <w:r w:rsidR="000A1AAE" w:rsidRPr="0050194B">
        <w:t>additional</w:t>
      </w:r>
      <w:r w:rsidR="00D52FD0">
        <w:t xml:space="preserve"> </w:t>
      </w:r>
      <w:r w:rsidR="000A1AAE" w:rsidRPr="0050194B">
        <w:t>recruits</w:t>
      </w:r>
      <w:r w:rsidR="00D52FD0">
        <w:t xml:space="preserve"> </w:t>
      </w:r>
      <w:r w:rsidR="000A1AAE" w:rsidRPr="0050194B">
        <w:t>in</w:t>
      </w:r>
      <w:r w:rsidR="00D52FD0">
        <w:t xml:space="preserve"> </w:t>
      </w:r>
      <w:r w:rsidR="000A1AAE" w:rsidRPr="0050194B">
        <w:t>2020</w:t>
      </w:r>
      <w:r w:rsidR="00D52FD0">
        <w:t xml:space="preserve"> </w:t>
      </w:r>
      <w:r w:rsidR="000A1AAE" w:rsidRPr="0050194B">
        <w:t>and</w:t>
      </w:r>
      <w:r w:rsidR="00D52FD0">
        <w:t xml:space="preserve"> </w:t>
      </w:r>
      <w:r w:rsidR="000A1AAE" w:rsidRPr="0050194B">
        <w:t>2021.</w:t>
      </w:r>
      <w:r w:rsidR="00D52FD0">
        <w:t xml:space="preserve"> </w:t>
      </w:r>
      <w:r w:rsidR="000A1AAE" w:rsidRPr="0050194B">
        <w:t>These</w:t>
      </w:r>
      <w:r w:rsidR="00D52FD0">
        <w:t xml:space="preserve"> </w:t>
      </w:r>
      <w:r w:rsidR="000A1AAE" w:rsidRPr="0050194B">
        <w:t>measures</w:t>
      </w:r>
      <w:r w:rsidR="00D52FD0">
        <w:t xml:space="preserve"> </w:t>
      </w:r>
      <w:r w:rsidR="000A1AAE" w:rsidRPr="0050194B">
        <w:t>have</w:t>
      </w:r>
      <w:r w:rsidR="00D52FD0">
        <w:t xml:space="preserve"> </w:t>
      </w:r>
      <w:r w:rsidR="000A1AAE" w:rsidRPr="0050194B">
        <w:t>resulted</w:t>
      </w:r>
      <w:r w:rsidR="00D52FD0">
        <w:t xml:space="preserve"> </w:t>
      </w:r>
      <w:r w:rsidR="000A1AAE" w:rsidRPr="0050194B">
        <w:t>in:</w:t>
      </w:r>
    </w:p>
    <w:p w14:paraId="0FE5BC64" w14:textId="46C83F89" w:rsidR="000A1AAE" w:rsidRPr="00A841AA" w:rsidRDefault="0044637E" w:rsidP="0044637E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A841AA">
        <w:t>•</w:t>
      </w:r>
      <w:r w:rsidRPr="00A841AA">
        <w:tab/>
      </w:r>
      <w:r w:rsidR="000A1AAE" w:rsidRPr="00A841AA">
        <w:t>Elimination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backlog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asylum</w:t>
      </w:r>
      <w:r w:rsidR="00D52FD0">
        <w:t xml:space="preserve"> </w:t>
      </w:r>
      <w:r w:rsidR="000A1AAE" w:rsidRPr="00A841AA">
        <w:t>seekers</w:t>
      </w:r>
      <w:r w:rsidR="00D52FD0">
        <w:t xml:space="preserve"> </w:t>
      </w:r>
      <w:r w:rsidR="000A1AAE" w:rsidRPr="00A841AA">
        <w:t>awaiting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submit</w:t>
      </w:r>
      <w:r w:rsidR="00D52FD0">
        <w:t xml:space="preserve"> </w:t>
      </w:r>
      <w:r w:rsidR="000A1AAE" w:rsidRPr="00A841AA">
        <w:t>their</w:t>
      </w:r>
      <w:r w:rsidR="00D52FD0">
        <w:t xml:space="preserve"> </w:t>
      </w:r>
      <w:r w:rsidR="000A1AAE" w:rsidRPr="00A841AA">
        <w:t>application</w:t>
      </w:r>
      <w:r w:rsidR="00D52FD0">
        <w:t xml:space="preserve"> </w:t>
      </w:r>
      <w:r w:rsidR="000A1AAE" w:rsidRPr="00A841AA">
        <w:t>for</w:t>
      </w:r>
      <w:r w:rsidR="00D52FD0">
        <w:t xml:space="preserve"> </w:t>
      </w:r>
      <w:r w:rsidR="000A1AAE" w:rsidRPr="00A841AA">
        <w:t>asylum;</w:t>
      </w:r>
    </w:p>
    <w:p w14:paraId="00398496" w14:textId="72126561" w:rsidR="000E4FD0" w:rsidRDefault="0044637E" w:rsidP="0044637E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>
        <w:t>•</w:t>
      </w:r>
      <w:r>
        <w:tab/>
      </w:r>
      <w:r w:rsidR="000A1AAE" w:rsidRPr="00A841AA">
        <w:t>Elimination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waiting</w:t>
      </w:r>
      <w:r w:rsidR="00D52FD0">
        <w:t xml:space="preserve"> </w:t>
      </w:r>
      <w:r w:rsidR="000A1AAE" w:rsidRPr="00A841AA">
        <w:t>time</w:t>
      </w:r>
      <w:r w:rsidR="00D52FD0">
        <w:t xml:space="preserve"> </w:t>
      </w:r>
      <w:r w:rsidR="000A1AAE" w:rsidRPr="00A841AA">
        <w:t>between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moment</w:t>
      </w:r>
      <w:r w:rsidR="00D52FD0">
        <w:t xml:space="preserve"> </w:t>
      </w:r>
      <w:r w:rsidR="000A1AAE" w:rsidRPr="00A841AA">
        <w:t>a</w:t>
      </w:r>
      <w:r w:rsidR="00D52FD0">
        <w:t xml:space="preserve"> </w:t>
      </w:r>
      <w:r w:rsidR="000A1AAE" w:rsidRPr="00A841AA">
        <w:t>migrant</w:t>
      </w:r>
      <w:r w:rsidR="00D52FD0">
        <w:t xml:space="preserve"> </w:t>
      </w:r>
      <w:r w:rsidR="000A1AAE" w:rsidRPr="00A841AA">
        <w:t>leaves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initial</w:t>
      </w:r>
      <w:r w:rsidR="00D52FD0">
        <w:t xml:space="preserve"> </w:t>
      </w:r>
      <w:r w:rsidR="000A1AAE" w:rsidRPr="00A841AA">
        <w:t>reception</w:t>
      </w:r>
      <w:r w:rsidR="00D52FD0">
        <w:t xml:space="preserve"> </w:t>
      </w:r>
      <w:r w:rsidR="000A1AAE" w:rsidRPr="00A841AA">
        <w:t>centre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apply</w:t>
      </w:r>
      <w:r w:rsidR="00D52FD0">
        <w:t xml:space="preserve"> </w:t>
      </w:r>
      <w:r w:rsidR="000A1AAE" w:rsidRPr="00A841AA">
        <w:t>for</w:t>
      </w:r>
      <w:r w:rsidR="00D52FD0">
        <w:t xml:space="preserve"> </w:t>
      </w:r>
      <w:r w:rsidR="000A1AAE" w:rsidRPr="00A841AA">
        <w:t>asylum.</w:t>
      </w:r>
      <w:r w:rsidR="00D52FD0">
        <w:t xml:space="preserve"> </w:t>
      </w:r>
      <w:r w:rsidR="000A1AAE" w:rsidRPr="00A841AA">
        <w:t>Applications</w:t>
      </w:r>
      <w:r w:rsidR="00D52FD0">
        <w:t xml:space="preserve"> </w:t>
      </w:r>
      <w:r w:rsidR="000A1AAE" w:rsidRPr="00A841AA">
        <w:t>are</w:t>
      </w:r>
      <w:r w:rsidR="00D52FD0">
        <w:t xml:space="preserve"> </w:t>
      </w:r>
      <w:r w:rsidR="000A1AAE" w:rsidRPr="00A841AA">
        <w:t>being</w:t>
      </w:r>
      <w:r w:rsidR="00D52FD0">
        <w:t xml:space="preserve"> </w:t>
      </w:r>
      <w:r w:rsidR="000A1AAE" w:rsidRPr="00A841AA">
        <w:t>registered</w:t>
      </w:r>
      <w:r w:rsidR="00D52FD0">
        <w:t xml:space="preserve"> </w:t>
      </w:r>
      <w:r w:rsidR="000A1AAE" w:rsidRPr="00A841AA">
        <w:t>immediately</w:t>
      </w:r>
      <w:r w:rsidR="00D52FD0">
        <w:t xml:space="preserve"> </w:t>
      </w:r>
      <w:r w:rsidR="000A1AAE" w:rsidRPr="00A841AA">
        <w:t>after</w:t>
      </w:r>
      <w:r w:rsidR="00D52FD0">
        <w:t xml:space="preserve"> </w:t>
      </w:r>
      <w:r w:rsidR="000A1AAE" w:rsidRPr="00A841AA">
        <w:t>asylum</w:t>
      </w:r>
      <w:r w:rsidR="00D52FD0">
        <w:t xml:space="preserve"> </w:t>
      </w:r>
      <w:r w:rsidR="000A1AAE" w:rsidRPr="00A841AA">
        <w:t>seekers</w:t>
      </w:r>
      <w:r w:rsidR="00D52FD0">
        <w:t xml:space="preserve"> </w:t>
      </w:r>
      <w:r w:rsidR="000A1AAE" w:rsidRPr="00A841AA">
        <w:t>are</w:t>
      </w:r>
      <w:r w:rsidR="00D52FD0">
        <w:t xml:space="preserve"> </w:t>
      </w:r>
      <w:r w:rsidR="000A1AAE" w:rsidRPr="00A841AA">
        <w:t>transferred</w:t>
      </w:r>
      <w:r w:rsidR="00D52FD0">
        <w:t xml:space="preserve"> </w:t>
      </w:r>
      <w:r w:rsidR="000A1AAE" w:rsidRPr="00A841AA">
        <w:t>from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initial</w:t>
      </w:r>
      <w:r w:rsidR="00D52FD0">
        <w:t xml:space="preserve"> </w:t>
      </w:r>
      <w:r w:rsidR="000A1AAE" w:rsidRPr="00A841AA">
        <w:t>reception</w:t>
      </w:r>
      <w:r w:rsidR="00D52FD0">
        <w:t xml:space="preserve"> </w:t>
      </w:r>
      <w:r w:rsidR="000A1AAE" w:rsidRPr="00A841AA">
        <w:t>centre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an</w:t>
      </w:r>
      <w:r w:rsidR="00D52FD0">
        <w:t xml:space="preserve"> </w:t>
      </w:r>
      <w:r w:rsidR="000A1AAE" w:rsidRPr="00A841AA">
        <w:t>open</w:t>
      </w:r>
      <w:r w:rsidR="00D52FD0">
        <w:t xml:space="preserve"> </w:t>
      </w:r>
      <w:r w:rsidR="000A1AAE" w:rsidRPr="00A841AA">
        <w:t>centre.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issuance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an</w:t>
      </w:r>
      <w:r w:rsidR="00D52FD0">
        <w:t xml:space="preserve"> </w:t>
      </w:r>
      <w:r w:rsidR="000A1AAE" w:rsidRPr="00A841AA">
        <w:t>Asylum</w:t>
      </w:r>
      <w:r w:rsidR="00D52FD0">
        <w:t xml:space="preserve"> </w:t>
      </w:r>
      <w:r w:rsidR="000A1AAE" w:rsidRPr="00A841AA">
        <w:t>Seeker</w:t>
      </w:r>
      <w:r w:rsidR="00F14DA3">
        <w:t>’</w:t>
      </w:r>
      <w:r w:rsidR="000A1AAE" w:rsidRPr="00A841AA">
        <w:t>s</w:t>
      </w:r>
      <w:r w:rsidR="00D52FD0">
        <w:t xml:space="preserve"> </w:t>
      </w:r>
      <w:r w:rsidR="000A1AAE" w:rsidRPr="00A841AA">
        <w:t>Document</w:t>
      </w:r>
      <w:r w:rsidR="00D52FD0">
        <w:t xml:space="preserve"> </w:t>
      </w:r>
      <w:r w:rsidR="000A1AAE" w:rsidRPr="00A841AA">
        <w:t>(ASD)</w:t>
      </w:r>
      <w:r w:rsidR="00D52FD0">
        <w:t xml:space="preserve"> </w:t>
      </w:r>
      <w:r w:rsidR="000A1AAE" w:rsidRPr="00A841AA">
        <w:t>at</w:t>
      </w:r>
      <w:r w:rsidR="00D52FD0">
        <w:t xml:space="preserve"> </w:t>
      </w:r>
      <w:r w:rsidR="000A1AAE" w:rsidRPr="00A841AA">
        <w:t>such</w:t>
      </w:r>
      <w:r w:rsidR="00D52FD0">
        <w:t xml:space="preserve"> </w:t>
      </w:r>
      <w:r w:rsidR="000A1AAE" w:rsidRPr="00A841AA">
        <w:t>an</w:t>
      </w:r>
      <w:r w:rsidR="00D52FD0">
        <w:t xml:space="preserve"> </w:t>
      </w:r>
      <w:r w:rsidR="000A1AAE" w:rsidRPr="00A841AA">
        <w:t>early</w:t>
      </w:r>
      <w:r w:rsidR="00D52FD0">
        <w:t xml:space="preserve"> </w:t>
      </w:r>
      <w:r w:rsidR="000A1AAE" w:rsidRPr="00A841AA">
        <w:t>stage</w:t>
      </w:r>
      <w:r w:rsidR="00D52FD0">
        <w:t xml:space="preserve"> </w:t>
      </w:r>
      <w:r w:rsidR="000A1AAE" w:rsidRPr="00A841AA">
        <w:t>is</w:t>
      </w:r>
      <w:r w:rsidR="00D52FD0">
        <w:t xml:space="preserve"> </w:t>
      </w:r>
      <w:r w:rsidR="000A1AAE" w:rsidRPr="00A841AA">
        <w:t>giving</w:t>
      </w:r>
      <w:r w:rsidR="00D52FD0">
        <w:t xml:space="preserve"> </w:t>
      </w:r>
      <w:r w:rsidR="000A1AAE" w:rsidRPr="00A841AA">
        <w:t>more</w:t>
      </w:r>
      <w:r w:rsidR="00D52FD0">
        <w:t xml:space="preserve"> </w:t>
      </w:r>
      <w:r w:rsidR="000A1AAE" w:rsidRPr="00A841AA">
        <w:t>stability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asylum</w:t>
      </w:r>
      <w:r w:rsidR="00D52FD0">
        <w:t xml:space="preserve"> </w:t>
      </w:r>
      <w:r w:rsidR="000A1AAE" w:rsidRPr="00A841AA">
        <w:t>seekers,</w:t>
      </w:r>
      <w:r w:rsidR="00D52FD0">
        <w:t xml:space="preserve"> </w:t>
      </w:r>
      <w:r w:rsidR="000A1AAE" w:rsidRPr="00A841AA">
        <w:t>particularly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terms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applying</w:t>
      </w:r>
      <w:r w:rsidR="00D52FD0">
        <w:t xml:space="preserve"> </w:t>
      </w:r>
      <w:r w:rsidR="000A1AAE" w:rsidRPr="00A841AA">
        <w:t>for</w:t>
      </w:r>
      <w:r w:rsidR="00D52FD0">
        <w:t xml:space="preserve"> </w:t>
      </w:r>
      <w:r w:rsidR="000A1AAE" w:rsidRPr="00A841AA">
        <w:t>a</w:t>
      </w:r>
      <w:r w:rsidR="00D52FD0">
        <w:t xml:space="preserve"> </w:t>
      </w:r>
      <w:r w:rsidR="000A1AAE" w:rsidRPr="00A841AA">
        <w:t>work</w:t>
      </w:r>
      <w:r w:rsidR="00D52FD0">
        <w:t xml:space="preserve"> </w:t>
      </w:r>
      <w:r w:rsidR="000A1AAE" w:rsidRPr="00A841AA">
        <w:t>permit.</w:t>
      </w:r>
    </w:p>
    <w:p w14:paraId="6C8BD20E" w14:textId="74C62F52" w:rsidR="000A1AAE" w:rsidRPr="00A841AA" w:rsidRDefault="0044637E" w:rsidP="0044637E">
      <w:pPr>
        <w:pStyle w:val="ParaNoG"/>
        <w:numPr>
          <w:ilvl w:val="0"/>
          <w:numId w:val="0"/>
        </w:numPr>
        <w:tabs>
          <w:tab w:val="left" w:pos="0"/>
        </w:tabs>
        <w:ind w:left="1134"/>
        <w:rPr>
          <w:lang w:eastAsia="en-GB"/>
        </w:rPr>
      </w:pPr>
      <w:r w:rsidRPr="00A841AA">
        <w:rPr>
          <w:lang w:eastAsia="en-GB"/>
        </w:rPr>
        <w:t>69.</w:t>
      </w:r>
      <w:r w:rsidRPr="00A841AA">
        <w:rPr>
          <w:lang w:eastAsia="en-GB"/>
        </w:rPr>
        <w:tab/>
      </w:r>
      <w:r w:rsidR="000A1AAE" w:rsidRPr="00F75E0D">
        <w:t>It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should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also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be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noted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that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applications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are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assessed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on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an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individual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basis.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Interpreters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are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made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available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throughout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the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asylum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process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and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decisions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are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communicated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in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writing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in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a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language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understood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by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the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asylum</w:t>
      </w:r>
      <w:r w:rsidR="00D52FD0">
        <w:rPr>
          <w:lang w:eastAsia="en-GB"/>
        </w:rPr>
        <w:t xml:space="preserve"> </w:t>
      </w:r>
      <w:r w:rsidR="000A1AAE" w:rsidRPr="00A841AA">
        <w:rPr>
          <w:lang w:eastAsia="en-GB"/>
        </w:rPr>
        <w:t>seeker.</w:t>
      </w:r>
    </w:p>
    <w:p w14:paraId="4B065C65" w14:textId="134219D7" w:rsidR="000A1AAE" w:rsidRPr="00A841AA" w:rsidRDefault="000A1AAE" w:rsidP="00107B8D">
      <w:pPr>
        <w:pStyle w:val="H23G"/>
      </w:pPr>
      <w:r>
        <w:tab/>
      </w:r>
      <w:r>
        <w:tab/>
      </w:r>
      <w:r w:rsidRPr="00A841AA">
        <w:t>Living</w:t>
      </w:r>
      <w:r w:rsidR="00D52FD0">
        <w:t xml:space="preserve"> </w:t>
      </w:r>
      <w:r w:rsidRPr="00A841AA">
        <w:t>conditions</w:t>
      </w:r>
      <w:r w:rsidR="00D52FD0">
        <w:t xml:space="preserve"> </w:t>
      </w:r>
      <w:r w:rsidRPr="00A841AA">
        <w:t>in</w:t>
      </w:r>
      <w:r w:rsidR="00D52FD0">
        <w:t xml:space="preserve"> </w:t>
      </w:r>
      <w:r w:rsidRPr="00A841AA">
        <w:t>detention</w:t>
      </w:r>
      <w:r w:rsidR="00D52FD0">
        <w:t xml:space="preserve"> </w:t>
      </w:r>
      <w:r w:rsidRPr="00A841AA">
        <w:t>centres</w:t>
      </w:r>
    </w:p>
    <w:p w14:paraId="4DE8286A" w14:textId="6B31E90B" w:rsidR="000E4FD0" w:rsidRDefault="0044637E" w:rsidP="0044637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>
        <w:t>70.</w:t>
      </w:r>
      <w:r>
        <w:tab/>
      </w:r>
      <w:r w:rsidR="000A1AAE" w:rsidRPr="0050194B">
        <w:t>Despite</w:t>
      </w:r>
      <w:r w:rsidR="00D52FD0">
        <w:t xml:space="preserve"> </w:t>
      </w:r>
      <w:r w:rsidR="000A1AAE" w:rsidRPr="0050194B">
        <w:t>that</w:t>
      </w:r>
      <w:r w:rsidR="00D52FD0">
        <w:t xml:space="preserve"> </w:t>
      </w:r>
      <w:r w:rsidR="000A1AAE" w:rsidRPr="0050194B">
        <w:t>Malta</w:t>
      </w:r>
      <w:r w:rsidR="00D52FD0">
        <w:t xml:space="preserve"> </w:t>
      </w:r>
      <w:r w:rsidR="000A1AAE" w:rsidRPr="0050194B">
        <w:t>carries</w:t>
      </w:r>
      <w:r w:rsidR="00D52FD0">
        <w:t xml:space="preserve"> </w:t>
      </w:r>
      <w:r w:rsidR="000A1AAE" w:rsidRPr="0050194B">
        <w:t>the</w:t>
      </w:r>
      <w:r w:rsidR="00D52FD0">
        <w:t xml:space="preserve"> </w:t>
      </w:r>
      <w:r w:rsidR="000A1AAE" w:rsidRPr="0050194B">
        <w:t>responsibility</w:t>
      </w:r>
      <w:r w:rsidR="00D52FD0">
        <w:t xml:space="preserve"> </w:t>
      </w:r>
      <w:r w:rsidR="000A1AAE" w:rsidRPr="0050194B">
        <w:t>of</w:t>
      </w:r>
      <w:r w:rsidR="00D52FD0">
        <w:t xml:space="preserve"> </w:t>
      </w:r>
      <w:r w:rsidR="000A1AAE" w:rsidRPr="0050194B">
        <w:t>the</w:t>
      </w:r>
      <w:r w:rsidR="00D52FD0">
        <w:t xml:space="preserve"> </w:t>
      </w:r>
      <w:r w:rsidR="000A1AAE" w:rsidRPr="0050194B">
        <w:t>largest</w:t>
      </w:r>
      <w:r w:rsidR="00D52FD0">
        <w:t xml:space="preserve"> </w:t>
      </w:r>
      <w:r w:rsidR="000A1AAE" w:rsidRPr="0050194B">
        <w:t>share</w:t>
      </w:r>
      <w:r w:rsidR="00D52FD0">
        <w:t xml:space="preserve"> </w:t>
      </w:r>
      <w:r w:rsidR="000A1AAE" w:rsidRPr="0050194B">
        <w:t>of</w:t>
      </w:r>
      <w:r w:rsidR="00D52FD0">
        <w:t xml:space="preserve"> </w:t>
      </w:r>
      <w:r w:rsidR="000A1AAE" w:rsidRPr="0050194B">
        <w:t>irregular</w:t>
      </w:r>
      <w:r w:rsidR="00D52FD0">
        <w:t xml:space="preserve"> </w:t>
      </w:r>
      <w:r w:rsidR="000A1AAE" w:rsidRPr="0050194B">
        <w:t>migrants</w:t>
      </w:r>
      <w:r w:rsidR="00D52FD0">
        <w:t xml:space="preserve"> </w:t>
      </w:r>
      <w:r w:rsidR="000A1AAE" w:rsidRPr="0050194B">
        <w:t>per</w:t>
      </w:r>
      <w:r w:rsidR="00D52FD0">
        <w:t xml:space="preserve"> </w:t>
      </w:r>
      <w:r w:rsidR="000A1AAE" w:rsidRPr="0050194B">
        <w:t>capita</w:t>
      </w:r>
      <w:r w:rsidR="00D52FD0">
        <w:t xml:space="preserve"> </w:t>
      </w:r>
      <w:r w:rsidR="000A1AAE" w:rsidRPr="0050194B">
        <w:t>in</w:t>
      </w:r>
      <w:r w:rsidR="00D52FD0">
        <w:t xml:space="preserve"> </w:t>
      </w:r>
      <w:r w:rsidR="000A1AAE" w:rsidRPr="0050194B">
        <w:t>the</w:t>
      </w:r>
      <w:r w:rsidR="00D52FD0">
        <w:t xml:space="preserve"> </w:t>
      </w:r>
      <w:r w:rsidR="000A1AAE" w:rsidRPr="0050194B">
        <w:t>EU,</w:t>
      </w:r>
      <w:r w:rsidR="00D52FD0">
        <w:t xml:space="preserve"> </w:t>
      </w:r>
      <w:r w:rsidR="000A1AAE" w:rsidRPr="0050194B">
        <w:t>the</w:t>
      </w:r>
      <w:r w:rsidR="00D52FD0">
        <w:t xml:space="preserve"> </w:t>
      </w:r>
      <w:r w:rsidR="000A1AAE" w:rsidRPr="0050194B">
        <w:t>Government</w:t>
      </w:r>
      <w:r w:rsidR="00D52FD0">
        <w:t xml:space="preserve"> </w:t>
      </w:r>
      <w:r w:rsidR="000A1AAE" w:rsidRPr="0050194B">
        <w:t>of</w:t>
      </w:r>
      <w:r w:rsidR="00D52FD0">
        <w:t xml:space="preserve"> </w:t>
      </w:r>
      <w:r w:rsidR="000A1AAE" w:rsidRPr="0050194B">
        <w:t>Malta</w:t>
      </w:r>
      <w:r w:rsidR="00D52FD0">
        <w:t xml:space="preserve"> </w:t>
      </w:r>
      <w:r w:rsidR="000A1AAE" w:rsidRPr="0050194B">
        <w:t>has</w:t>
      </w:r>
      <w:r w:rsidR="00D52FD0">
        <w:t xml:space="preserve"> </w:t>
      </w:r>
      <w:r w:rsidR="000A1AAE" w:rsidRPr="0050194B">
        <w:t>constantly</w:t>
      </w:r>
      <w:r w:rsidR="00D52FD0">
        <w:t xml:space="preserve"> </w:t>
      </w:r>
      <w:r w:rsidR="000A1AAE" w:rsidRPr="0050194B">
        <w:t>remained</w:t>
      </w:r>
      <w:r w:rsidR="00D52FD0">
        <w:t xml:space="preserve"> </w:t>
      </w:r>
      <w:r w:rsidR="000A1AAE" w:rsidRPr="0050194B">
        <w:t>committed</w:t>
      </w:r>
      <w:r w:rsidR="00D52FD0">
        <w:t xml:space="preserve"> </w:t>
      </w:r>
      <w:r w:rsidR="000A1AAE" w:rsidRPr="0050194B">
        <w:t>to</w:t>
      </w:r>
      <w:r w:rsidR="00D52FD0">
        <w:t xml:space="preserve"> </w:t>
      </w:r>
      <w:r w:rsidR="000A1AAE" w:rsidRPr="0050194B">
        <w:t>safeguard</w:t>
      </w:r>
      <w:r w:rsidR="00D52FD0">
        <w:t xml:space="preserve"> </w:t>
      </w:r>
      <w:r w:rsidR="000A1AAE" w:rsidRPr="0050194B">
        <w:t>the</w:t>
      </w:r>
      <w:r w:rsidR="00D52FD0">
        <w:t xml:space="preserve"> </w:t>
      </w:r>
      <w:r w:rsidR="000A1AAE" w:rsidRPr="0050194B">
        <w:t>minimum</w:t>
      </w:r>
      <w:r w:rsidR="00D52FD0">
        <w:t xml:space="preserve"> </w:t>
      </w:r>
      <w:r w:rsidR="000A1AAE" w:rsidRPr="0050194B">
        <w:t>standards</w:t>
      </w:r>
      <w:r w:rsidR="00D52FD0">
        <w:t xml:space="preserve"> </w:t>
      </w:r>
      <w:r w:rsidR="000A1AAE" w:rsidRPr="0050194B">
        <w:t>in</w:t>
      </w:r>
      <w:r w:rsidR="00D52FD0">
        <w:t xml:space="preserve"> </w:t>
      </w:r>
      <w:r w:rsidR="000A1AAE" w:rsidRPr="0050194B">
        <w:t>the</w:t>
      </w:r>
      <w:r w:rsidR="00D52FD0">
        <w:t xml:space="preserve"> </w:t>
      </w:r>
      <w:r w:rsidR="000A1AAE" w:rsidRPr="0050194B">
        <w:t>humane</w:t>
      </w:r>
      <w:r w:rsidR="00D52FD0">
        <w:t xml:space="preserve"> </w:t>
      </w:r>
      <w:r w:rsidR="000A1AAE" w:rsidRPr="0050194B">
        <w:t>and</w:t>
      </w:r>
      <w:r w:rsidR="00D52FD0">
        <w:t xml:space="preserve"> </w:t>
      </w:r>
      <w:r w:rsidR="000A1AAE" w:rsidRPr="0050194B">
        <w:t>safe</w:t>
      </w:r>
      <w:r w:rsidR="00D52FD0">
        <w:t xml:space="preserve"> </w:t>
      </w:r>
      <w:r w:rsidR="000A1AAE" w:rsidRPr="0050194B">
        <w:t>reception</w:t>
      </w:r>
      <w:r w:rsidR="00D52FD0">
        <w:t xml:space="preserve"> </w:t>
      </w:r>
      <w:r w:rsidR="000A1AAE" w:rsidRPr="0050194B">
        <w:t>of</w:t>
      </w:r>
      <w:r w:rsidR="00D52FD0">
        <w:t xml:space="preserve"> </w:t>
      </w:r>
      <w:r w:rsidR="000A1AAE" w:rsidRPr="0050194B">
        <w:t>migrants.</w:t>
      </w:r>
    </w:p>
    <w:p w14:paraId="5A10F5E7" w14:textId="1E16C936" w:rsidR="000A1AAE" w:rsidRPr="0050194B" w:rsidRDefault="0044637E" w:rsidP="0044637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50194B">
        <w:t>71.</w:t>
      </w:r>
      <w:r w:rsidRPr="0050194B">
        <w:tab/>
      </w:r>
      <w:r w:rsidR="000A1AAE" w:rsidRPr="0050194B">
        <w:t>The</w:t>
      </w:r>
      <w:r w:rsidR="00D52FD0">
        <w:t xml:space="preserve"> </w:t>
      </w:r>
      <w:r w:rsidR="000A1AAE" w:rsidRPr="0050194B">
        <w:t>following</w:t>
      </w:r>
      <w:r w:rsidR="00D52FD0">
        <w:t xml:space="preserve"> </w:t>
      </w:r>
      <w:r w:rsidR="000A1AAE" w:rsidRPr="0050194B">
        <w:t>measures</w:t>
      </w:r>
      <w:r w:rsidR="00D52FD0">
        <w:t xml:space="preserve"> </w:t>
      </w:r>
      <w:r w:rsidR="000A1AAE" w:rsidRPr="0050194B">
        <w:t>have</w:t>
      </w:r>
      <w:r w:rsidR="00D52FD0">
        <w:t xml:space="preserve"> </w:t>
      </w:r>
      <w:r w:rsidR="000A1AAE" w:rsidRPr="0050194B">
        <w:t>been</w:t>
      </w:r>
      <w:r w:rsidR="00D52FD0">
        <w:t xml:space="preserve"> </w:t>
      </w:r>
      <w:r w:rsidR="000A1AAE" w:rsidRPr="0050194B">
        <w:t>taken</w:t>
      </w:r>
      <w:r w:rsidR="00D52FD0">
        <w:t xml:space="preserve"> </w:t>
      </w:r>
      <w:r w:rsidR="000A1AAE" w:rsidRPr="0050194B">
        <w:t>to</w:t>
      </w:r>
      <w:r w:rsidR="00D52FD0">
        <w:t xml:space="preserve"> </w:t>
      </w:r>
      <w:r w:rsidR="000A1AAE" w:rsidRPr="0050194B">
        <w:t>ensure</w:t>
      </w:r>
      <w:r w:rsidR="00D52FD0">
        <w:t xml:space="preserve"> </w:t>
      </w:r>
      <w:r w:rsidR="000A1AAE" w:rsidRPr="0050194B">
        <w:t>adequate</w:t>
      </w:r>
      <w:r w:rsidR="00D52FD0">
        <w:t xml:space="preserve"> </w:t>
      </w:r>
      <w:r w:rsidR="000A1AAE" w:rsidRPr="0050194B">
        <w:t>personal</w:t>
      </w:r>
      <w:r w:rsidR="00D52FD0">
        <w:t xml:space="preserve"> </w:t>
      </w:r>
      <w:r w:rsidR="000A1AAE" w:rsidRPr="0050194B">
        <w:t>space</w:t>
      </w:r>
      <w:r w:rsidR="00D52FD0">
        <w:t xml:space="preserve"> </w:t>
      </w:r>
      <w:r w:rsidR="000A1AAE" w:rsidRPr="0050194B">
        <w:t>for</w:t>
      </w:r>
      <w:r w:rsidR="00D52FD0">
        <w:t xml:space="preserve"> </w:t>
      </w:r>
      <w:r w:rsidR="000A1AAE" w:rsidRPr="0050194B">
        <w:t>detainees</w:t>
      </w:r>
      <w:r w:rsidR="00D52FD0">
        <w:t xml:space="preserve"> </w:t>
      </w:r>
      <w:r w:rsidR="000A1AAE" w:rsidRPr="0050194B">
        <w:t>and</w:t>
      </w:r>
      <w:r w:rsidR="00D52FD0">
        <w:t xml:space="preserve"> </w:t>
      </w:r>
      <w:r w:rsidR="000A1AAE" w:rsidRPr="0050194B">
        <w:t>alleviate</w:t>
      </w:r>
      <w:r w:rsidR="00D52FD0">
        <w:t xml:space="preserve"> </w:t>
      </w:r>
      <w:r w:rsidR="000A1AAE" w:rsidRPr="0050194B">
        <w:t>pressure</w:t>
      </w:r>
      <w:r w:rsidR="00D52FD0">
        <w:t xml:space="preserve"> </w:t>
      </w:r>
      <w:r w:rsidR="000A1AAE" w:rsidRPr="0050194B">
        <w:t>from</w:t>
      </w:r>
      <w:r w:rsidR="00D52FD0">
        <w:t xml:space="preserve"> </w:t>
      </w:r>
      <w:r w:rsidR="000A1AAE" w:rsidRPr="0050194B">
        <w:t>closed</w:t>
      </w:r>
      <w:r w:rsidR="00D52FD0">
        <w:t xml:space="preserve"> </w:t>
      </w:r>
      <w:r w:rsidR="000A1AAE" w:rsidRPr="0050194B">
        <w:t>centres:</w:t>
      </w:r>
    </w:p>
    <w:p w14:paraId="57B69348" w14:textId="515935F3" w:rsidR="000A1AAE" w:rsidRPr="0050194B" w:rsidRDefault="00D82847" w:rsidP="00D82847">
      <w:pPr>
        <w:pStyle w:val="ParaNoG"/>
        <w:numPr>
          <w:ilvl w:val="0"/>
          <w:numId w:val="0"/>
        </w:numPr>
        <w:ind w:left="1134"/>
      </w:pPr>
      <w:r>
        <w:tab/>
      </w:r>
      <w:r w:rsidR="000A1AAE">
        <w:t>(a)</w:t>
      </w:r>
      <w:r w:rsidR="000A1AAE" w:rsidRPr="0050194B">
        <w:tab/>
        <w:t>Regeneration</w:t>
      </w:r>
      <w:r w:rsidR="00D52FD0">
        <w:t xml:space="preserve"> </w:t>
      </w:r>
      <w:r w:rsidR="000A1AAE" w:rsidRPr="0050194B">
        <w:t>of</w:t>
      </w:r>
      <w:r w:rsidR="00D52FD0">
        <w:t xml:space="preserve"> </w:t>
      </w:r>
      <w:r w:rsidR="000A1AAE" w:rsidRPr="0050194B">
        <w:t>an</w:t>
      </w:r>
      <w:r w:rsidR="00D52FD0">
        <w:t xml:space="preserve"> </w:t>
      </w:r>
      <w:r w:rsidR="000A1AAE" w:rsidRPr="0050194B">
        <w:t>open</w:t>
      </w:r>
      <w:r w:rsidR="00D52FD0">
        <w:t xml:space="preserve"> </w:t>
      </w:r>
      <w:r w:rsidR="000A1AAE" w:rsidRPr="0050194B">
        <w:t>migrants</w:t>
      </w:r>
      <w:r w:rsidR="00F14DA3">
        <w:t>’</w:t>
      </w:r>
      <w:r w:rsidR="00D52FD0">
        <w:t xml:space="preserve"> </w:t>
      </w:r>
      <w:r w:rsidR="000A1AAE" w:rsidRPr="0050194B">
        <w:t>facility</w:t>
      </w:r>
      <w:r w:rsidR="00D52FD0">
        <w:t xml:space="preserve"> </w:t>
      </w:r>
      <w:r w:rsidR="000A1AAE" w:rsidRPr="0050194B">
        <w:t>in</w:t>
      </w:r>
      <w:r w:rsidR="00D52FD0">
        <w:t xml:space="preserve"> </w:t>
      </w:r>
      <w:r w:rsidR="000A1AAE" w:rsidRPr="0050194B">
        <w:t>Hal</w:t>
      </w:r>
      <w:r w:rsidR="00D52FD0">
        <w:t xml:space="preserve"> </w:t>
      </w:r>
      <w:r w:rsidR="000A1AAE" w:rsidRPr="0050194B">
        <w:t>Far</w:t>
      </w:r>
      <w:r w:rsidR="00D52FD0">
        <w:t xml:space="preserve"> </w:t>
      </w:r>
      <w:r w:rsidR="000A1AAE" w:rsidRPr="0050194B">
        <w:t>Hangar</w:t>
      </w:r>
      <w:r w:rsidR="00D52FD0">
        <w:t xml:space="preserve"> </w:t>
      </w:r>
      <w:r w:rsidR="000A1AAE" w:rsidRPr="0050194B">
        <w:t>Open</w:t>
      </w:r>
      <w:r w:rsidR="00D52FD0">
        <w:t xml:space="preserve"> </w:t>
      </w:r>
      <w:r w:rsidR="000A1AAE" w:rsidRPr="0050194B">
        <w:t>Centre,</w:t>
      </w:r>
      <w:r w:rsidR="00D52FD0">
        <w:t xml:space="preserve"> </w:t>
      </w:r>
      <w:r w:rsidR="000A1AAE" w:rsidRPr="0050194B">
        <w:t>which</w:t>
      </w:r>
      <w:r w:rsidR="00D52FD0">
        <w:t xml:space="preserve"> </w:t>
      </w:r>
      <w:r w:rsidR="000A1AAE" w:rsidRPr="0050194B">
        <w:t>increased</w:t>
      </w:r>
      <w:r w:rsidR="00D52FD0">
        <w:t xml:space="preserve"> </w:t>
      </w:r>
      <w:r w:rsidR="000A1AAE" w:rsidRPr="0050194B">
        <w:t>the</w:t>
      </w:r>
      <w:r w:rsidR="00D52FD0">
        <w:t xml:space="preserve"> </w:t>
      </w:r>
      <w:r w:rsidR="000A1AAE" w:rsidRPr="0050194B">
        <w:t>capacity</w:t>
      </w:r>
      <w:r w:rsidR="00D52FD0">
        <w:t xml:space="preserve"> </w:t>
      </w:r>
      <w:r w:rsidR="000A1AAE" w:rsidRPr="0050194B">
        <w:t>by</w:t>
      </w:r>
      <w:r w:rsidR="00D52FD0">
        <w:t xml:space="preserve"> </w:t>
      </w:r>
      <w:r w:rsidR="000A1AAE" w:rsidRPr="0050194B">
        <w:t>780</w:t>
      </w:r>
      <w:r w:rsidR="00D52FD0">
        <w:t xml:space="preserve"> </w:t>
      </w:r>
      <w:r w:rsidR="000A1AAE" w:rsidRPr="0050194B">
        <w:t>spaces</w:t>
      </w:r>
      <w:r w:rsidR="00D52FD0">
        <w:t xml:space="preserve"> </w:t>
      </w:r>
      <w:r w:rsidR="000A1AAE" w:rsidRPr="0050194B">
        <w:t>and</w:t>
      </w:r>
      <w:r w:rsidR="00D52FD0">
        <w:t xml:space="preserve"> </w:t>
      </w:r>
      <w:r w:rsidR="000A1AAE" w:rsidRPr="0050194B">
        <w:t>made</w:t>
      </w:r>
      <w:r w:rsidR="00D52FD0">
        <w:t xml:space="preserve"> </w:t>
      </w:r>
      <w:r w:rsidR="000A1AAE" w:rsidRPr="0050194B">
        <w:t>it</w:t>
      </w:r>
      <w:r w:rsidR="00D52FD0">
        <w:t xml:space="preserve"> </w:t>
      </w:r>
      <w:r w:rsidR="000A1AAE" w:rsidRPr="0050194B">
        <w:t>possible</w:t>
      </w:r>
      <w:r w:rsidR="00D52FD0">
        <w:t xml:space="preserve"> </w:t>
      </w:r>
      <w:r w:rsidR="000A1AAE" w:rsidRPr="0050194B">
        <w:t>to</w:t>
      </w:r>
      <w:r w:rsidR="00D52FD0">
        <w:t xml:space="preserve"> </w:t>
      </w:r>
      <w:r w:rsidR="000A1AAE" w:rsidRPr="0050194B">
        <w:t>reduce</w:t>
      </w:r>
      <w:r w:rsidR="00D52FD0">
        <w:t xml:space="preserve"> </w:t>
      </w:r>
      <w:r w:rsidR="000A1AAE" w:rsidRPr="0050194B">
        <w:t>drastically</w:t>
      </w:r>
      <w:r w:rsidR="00D52FD0">
        <w:t xml:space="preserve"> </w:t>
      </w:r>
      <w:r w:rsidR="000A1AAE" w:rsidRPr="0050194B">
        <w:t>the</w:t>
      </w:r>
      <w:r w:rsidR="00D52FD0">
        <w:t xml:space="preserve"> </w:t>
      </w:r>
      <w:r w:rsidR="000A1AAE" w:rsidRPr="0050194B">
        <w:t>number</w:t>
      </w:r>
      <w:r w:rsidR="00D52FD0">
        <w:t xml:space="preserve"> </w:t>
      </w:r>
      <w:r w:rsidR="000A1AAE" w:rsidRPr="0050194B">
        <w:t>of</w:t>
      </w:r>
      <w:r w:rsidR="00D52FD0">
        <w:t xml:space="preserve"> </w:t>
      </w:r>
      <w:r w:rsidR="000A1AAE" w:rsidRPr="0050194B">
        <w:t>migrants</w:t>
      </w:r>
      <w:r w:rsidR="00D52FD0">
        <w:t xml:space="preserve"> </w:t>
      </w:r>
      <w:r w:rsidR="000A1AAE" w:rsidRPr="0050194B">
        <w:t>awaiting</w:t>
      </w:r>
      <w:r w:rsidR="00D52FD0">
        <w:t xml:space="preserve"> </w:t>
      </w:r>
      <w:r w:rsidR="000A1AAE" w:rsidRPr="0050194B">
        <w:t>accommodation</w:t>
      </w:r>
      <w:r w:rsidR="00D52FD0">
        <w:t xml:space="preserve"> </w:t>
      </w:r>
      <w:r w:rsidR="000A1AAE" w:rsidRPr="0050194B">
        <w:t>in</w:t>
      </w:r>
      <w:r w:rsidR="00D52FD0">
        <w:t xml:space="preserve"> </w:t>
      </w:r>
      <w:r w:rsidR="000A1AAE" w:rsidRPr="0050194B">
        <w:t>the</w:t>
      </w:r>
      <w:r w:rsidR="00D52FD0">
        <w:t xml:space="preserve"> </w:t>
      </w:r>
      <w:r w:rsidR="000A1AAE" w:rsidRPr="0050194B">
        <w:t>community.</w:t>
      </w:r>
      <w:r w:rsidR="00D52FD0">
        <w:t xml:space="preserve"> </w:t>
      </w:r>
      <w:r w:rsidR="000A1AAE" w:rsidRPr="0050194B">
        <w:t>The</w:t>
      </w:r>
      <w:r w:rsidR="00D52FD0">
        <w:t xml:space="preserve"> </w:t>
      </w:r>
      <w:r w:rsidR="000A1AAE" w:rsidRPr="0050194B">
        <w:t>opening</w:t>
      </w:r>
      <w:r w:rsidR="00D52FD0">
        <w:t xml:space="preserve"> </w:t>
      </w:r>
      <w:r w:rsidR="000A1AAE" w:rsidRPr="0050194B">
        <w:t>of</w:t>
      </w:r>
      <w:r w:rsidR="00D52FD0">
        <w:t xml:space="preserve"> </w:t>
      </w:r>
      <w:r w:rsidR="000A1AAE" w:rsidRPr="0050194B">
        <w:t>this</w:t>
      </w:r>
      <w:r w:rsidR="00D52FD0">
        <w:t xml:space="preserve"> </w:t>
      </w:r>
      <w:r w:rsidR="000A1AAE" w:rsidRPr="0050194B">
        <w:t>centre</w:t>
      </w:r>
      <w:r w:rsidR="00D52FD0">
        <w:t xml:space="preserve"> </w:t>
      </w:r>
      <w:r w:rsidR="000A1AAE" w:rsidRPr="0050194B">
        <w:t>alleviated</w:t>
      </w:r>
      <w:r w:rsidR="00D52FD0">
        <w:t xml:space="preserve"> </w:t>
      </w:r>
      <w:r w:rsidR="000A1AAE" w:rsidRPr="0050194B">
        <w:t>the</w:t>
      </w:r>
      <w:r w:rsidR="00D52FD0">
        <w:t xml:space="preserve"> </w:t>
      </w:r>
      <w:r w:rsidR="000A1AAE" w:rsidRPr="0050194B">
        <w:t>pressure</w:t>
      </w:r>
      <w:r w:rsidR="00D52FD0">
        <w:t xml:space="preserve"> </w:t>
      </w:r>
      <w:r w:rsidR="000A1AAE" w:rsidRPr="0050194B">
        <w:t>within</w:t>
      </w:r>
      <w:r w:rsidR="00D52FD0">
        <w:t xml:space="preserve"> </w:t>
      </w:r>
      <w:r w:rsidR="000A1AAE" w:rsidRPr="0050194B">
        <w:t>initial</w:t>
      </w:r>
      <w:r w:rsidR="00D52FD0">
        <w:t xml:space="preserve"> </w:t>
      </w:r>
      <w:r w:rsidR="000A1AAE" w:rsidRPr="0050194B">
        <w:t>reception</w:t>
      </w:r>
      <w:r w:rsidR="00D52FD0">
        <w:t xml:space="preserve"> </w:t>
      </w:r>
      <w:r w:rsidR="000A1AAE" w:rsidRPr="0050194B">
        <w:t>centres;</w:t>
      </w:r>
    </w:p>
    <w:p w14:paraId="123D0E5F" w14:textId="13CD0F78" w:rsidR="000A1AAE" w:rsidRPr="0050194B" w:rsidRDefault="00D82847" w:rsidP="00D82847">
      <w:pPr>
        <w:pStyle w:val="ParaNoG"/>
        <w:numPr>
          <w:ilvl w:val="0"/>
          <w:numId w:val="0"/>
        </w:numPr>
        <w:ind w:left="1134"/>
      </w:pPr>
      <w:r>
        <w:tab/>
      </w:r>
      <w:r w:rsidR="000A1AAE">
        <w:t>(b)</w:t>
      </w:r>
      <w:r w:rsidR="000A1AAE" w:rsidRPr="0050194B">
        <w:tab/>
        <w:t>Increase</w:t>
      </w:r>
      <w:r w:rsidR="00D52FD0">
        <w:t xml:space="preserve"> </w:t>
      </w:r>
      <w:r w:rsidR="000A1AAE" w:rsidRPr="0050194B">
        <w:t>the</w:t>
      </w:r>
      <w:r w:rsidR="00D52FD0">
        <w:t xml:space="preserve"> </w:t>
      </w:r>
      <w:r w:rsidR="000A1AAE" w:rsidRPr="0050194B">
        <w:t>efficiency</w:t>
      </w:r>
      <w:r w:rsidR="00D52FD0">
        <w:t xml:space="preserve"> </w:t>
      </w:r>
      <w:r w:rsidR="000A1AAE" w:rsidRPr="0050194B">
        <w:t>of</w:t>
      </w:r>
      <w:r w:rsidR="00D52FD0">
        <w:t xml:space="preserve"> </w:t>
      </w:r>
      <w:r w:rsidR="000A1AAE" w:rsidRPr="0050194B">
        <w:t>relocation</w:t>
      </w:r>
      <w:r w:rsidR="00D52FD0">
        <w:t xml:space="preserve"> </w:t>
      </w:r>
      <w:r w:rsidR="000A1AAE" w:rsidRPr="0050194B">
        <w:t>and</w:t>
      </w:r>
      <w:r w:rsidR="00D52FD0">
        <w:t xml:space="preserve"> </w:t>
      </w:r>
      <w:r w:rsidR="000A1AAE" w:rsidRPr="0050194B">
        <w:t>returns</w:t>
      </w:r>
      <w:r w:rsidR="00D52FD0">
        <w:t xml:space="preserve"> </w:t>
      </w:r>
      <w:r w:rsidR="000A1AAE" w:rsidRPr="0050194B">
        <w:t>to</w:t>
      </w:r>
      <w:r w:rsidR="00D52FD0">
        <w:t xml:space="preserve"> </w:t>
      </w:r>
      <w:r w:rsidR="000A1AAE" w:rsidRPr="0050194B">
        <w:t>alleviate</w:t>
      </w:r>
      <w:r w:rsidR="00D52FD0">
        <w:t xml:space="preserve"> </w:t>
      </w:r>
      <w:r w:rsidR="000A1AAE" w:rsidRPr="0050194B">
        <w:t>the</w:t>
      </w:r>
      <w:r w:rsidR="00D52FD0">
        <w:t xml:space="preserve"> </w:t>
      </w:r>
      <w:r w:rsidR="000A1AAE" w:rsidRPr="0050194B">
        <w:t>unprecedented</w:t>
      </w:r>
      <w:r w:rsidR="00D52FD0">
        <w:t xml:space="preserve"> </w:t>
      </w:r>
      <w:r w:rsidR="000A1AAE" w:rsidRPr="0050194B">
        <w:t>pressure</w:t>
      </w:r>
      <w:r w:rsidR="00D52FD0">
        <w:t xml:space="preserve"> </w:t>
      </w:r>
      <w:r w:rsidR="000A1AAE" w:rsidRPr="0050194B">
        <w:t>on</w:t>
      </w:r>
      <w:r w:rsidR="00D52FD0">
        <w:t xml:space="preserve"> </w:t>
      </w:r>
      <w:r w:rsidR="000A1AAE" w:rsidRPr="0050194B">
        <w:t>Malta</w:t>
      </w:r>
      <w:r w:rsidR="00F14DA3">
        <w:t>’</w:t>
      </w:r>
      <w:r w:rsidR="000A1AAE" w:rsidRPr="0050194B">
        <w:t>s</w:t>
      </w:r>
      <w:r w:rsidR="00D52FD0">
        <w:t xml:space="preserve"> </w:t>
      </w:r>
      <w:r w:rsidR="000A1AAE" w:rsidRPr="0050194B">
        <w:t>reception</w:t>
      </w:r>
      <w:r w:rsidR="00D52FD0">
        <w:t xml:space="preserve"> </w:t>
      </w:r>
      <w:r w:rsidR="000A1AAE" w:rsidRPr="0050194B">
        <w:t>system,</w:t>
      </w:r>
      <w:r w:rsidR="00D52FD0">
        <w:t xml:space="preserve"> </w:t>
      </w:r>
      <w:r w:rsidR="000A1AAE" w:rsidRPr="0050194B">
        <w:t>including</w:t>
      </w:r>
      <w:r w:rsidR="00D52FD0">
        <w:t xml:space="preserve"> </w:t>
      </w:r>
      <w:r w:rsidR="000A1AAE" w:rsidRPr="0050194B">
        <w:t>the</w:t>
      </w:r>
      <w:r w:rsidR="00D52FD0">
        <w:t xml:space="preserve"> </w:t>
      </w:r>
      <w:r w:rsidR="000A1AAE" w:rsidRPr="0050194B">
        <w:t>introduction</w:t>
      </w:r>
      <w:r w:rsidR="00D52FD0">
        <w:t xml:space="preserve"> </w:t>
      </w:r>
      <w:r w:rsidR="000A1AAE" w:rsidRPr="0050194B">
        <w:t>of</w:t>
      </w:r>
      <w:r w:rsidR="00D52FD0">
        <w:t xml:space="preserve"> </w:t>
      </w:r>
      <w:r w:rsidR="000A1AAE" w:rsidRPr="0050194B">
        <w:t>a</w:t>
      </w:r>
      <w:r w:rsidR="00D52FD0">
        <w:t xml:space="preserve"> </w:t>
      </w:r>
      <w:r w:rsidR="000A1AAE" w:rsidRPr="0050194B">
        <w:t>new</w:t>
      </w:r>
      <w:r w:rsidR="00D52FD0">
        <w:t xml:space="preserve"> </w:t>
      </w:r>
      <w:r w:rsidR="000A1AAE" w:rsidRPr="0050194B">
        <w:t>cash</w:t>
      </w:r>
      <w:r w:rsidR="00D52FD0">
        <w:t xml:space="preserve"> </w:t>
      </w:r>
      <w:r w:rsidR="000A1AAE" w:rsidRPr="0050194B">
        <w:t>incentive</w:t>
      </w:r>
      <w:r w:rsidR="00D52FD0">
        <w:t xml:space="preserve"> </w:t>
      </w:r>
      <w:r w:rsidR="000A1AAE" w:rsidRPr="0050194B">
        <w:t>scheme</w:t>
      </w:r>
      <w:r w:rsidR="00D52FD0">
        <w:t xml:space="preserve"> </w:t>
      </w:r>
      <w:r w:rsidR="000A1AAE" w:rsidRPr="0050194B">
        <w:t>for</w:t>
      </w:r>
      <w:r w:rsidR="00D52FD0">
        <w:t xml:space="preserve"> </w:t>
      </w:r>
      <w:r w:rsidR="000A1AAE" w:rsidRPr="0050194B">
        <w:t>voluntary</w:t>
      </w:r>
      <w:r w:rsidR="00D52FD0">
        <w:t xml:space="preserve"> </w:t>
      </w:r>
      <w:r w:rsidR="000A1AAE" w:rsidRPr="0050194B">
        <w:t>returns;</w:t>
      </w:r>
    </w:p>
    <w:p w14:paraId="2355A415" w14:textId="77777777" w:rsidR="000E4FD0" w:rsidRDefault="00D82847" w:rsidP="00D82847">
      <w:pPr>
        <w:pStyle w:val="ParaNoG"/>
        <w:numPr>
          <w:ilvl w:val="0"/>
          <w:numId w:val="0"/>
        </w:numPr>
        <w:ind w:left="1134"/>
      </w:pPr>
      <w:r>
        <w:tab/>
      </w:r>
      <w:r w:rsidR="000A1AAE">
        <w:t>(c)</w:t>
      </w:r>
      <w:r w:rsidR="000A1AAE" w:rsidRPr="0050194B">
        <w:tab/>
        <w:t>Built</w:t>
      </w:r>
      <w:r w:rsidR="00D52FD0">
        <w:t xml:space="preserve"> </w:t>
      </w:r>
      <w:r w:rsidR="000A1AAE" w:rsidRPr="0050194B">
        <w:t>up</w:t>
      </w:r>
      <w:r w:rsidR="00D52FD0">
        <w:t xml:space="preserve"> </w:t>
      </w:r>
      <w:r w:rsidR="000A1AAE" w:rsidRPr="0050194B">
        <w:t>two</w:t>
      </w:r>
      <w:r w:rsidR="00D52FD0">
        <w:t xml:space="preserve"> </w:t>
      </w:r>
      <w:r w:rsidR="000A1AAE" w:rsidRPr="0050194B">
        <w:t>new</w:t>
      </w:r>
      <w:r w:rsidR="00D52FD0">
        <w:t xml:space="preserve"> </w:t>
      </w:r>
      <w:r w:rsidR="000A1AAE" w:rsidRPr="0050194B">
        <w:t>compounds</w:t>
      </w:r>
      <w:r w:rsidR="00D52FD0">
        <w:t xml:space="preserve"> </w:t>
      </w:r>
      <w:r w:rsidR="000A1AAE" w:rsidRPr="0050194B">
        <w:t>within</w:t>
      </w:r>
      <w:r w:rsidR="00D52FD0">
        <w:t xml:space="preserve"> </w:t>
      </w:r>
      <w:r w:rsidR="000A1AAE" w:rsidRPr="0050194B">
        <w:t>the</w:t>
      </w:r>
      <w:r w:rsidR="00D52FD0">
        <w:t xml:space="preserve"> </w:t>
      </w:r>
      <w:r w:rsidR="000A1AAE" w:rsidRPr="0050194B">
        <w:t>Safi</w:t>
      </w:r>
      <w:r w:rsidR="00D52FD0">
        <w:t xml:space="preserve"> </w:t>
      </w:r>
      <w:r w:rsidR="000A1AAE" w:rsidRPr="0050194B">
        <w:t>Detention</w:t>
      </w:r>
      <w:r w:rsidR="00D52FD0">
        <w:t xml:space="preserve"> </w:t>
      </w:r>
      <w:r w:rsidR="000A1AAE" w:rsidRPr="0050194B">
        <w:t>Centre</w:t>
      </w:r>
      <w:r w:rsidR="00D52FD0">
        <w:t xml:space="preserve"> </w:t>
      </w:r>
      <w:r w:rsidR="000A1AAE" w:rsidRPr="0050194B">
        <w:t>to</w:t>
      </w:r>
      <w:r w:rsidR="00D52FD0">
        <w:t xml:space="preserve"> </w:t>
      </w:r>
      <w:r w:rsidR="000A1AAE" w:rsidRPr="0050194B">
        <w:t>reduce</w:t>
      </w:r>
      <w:r w:rsidR="00D52FD0">
        <w:t xml:space="preserve"> </w:t>
      </w:r>
      <w:r w:rsidR="000A1AAE" w:rsidRPr="0050194B">
        <w:t>overcrowding</w:t>
      </w:r>
      <w:r w:rsidR="00D52FD0">
        <w:t xml:space="preserve"> </w:t>
      </w:r>
      <w:r w:rsidR="000A1AAE" w:rsidRPr="0050194B">
        <w:t>–</w:t>
      </w:r>
      <w:r w:rsidR="00D52FD0">
        <w:t xml:space="preserve"> </w:t>
      </w:r>
      <w:r w:rsidR="000A1AAE" w:rsidRPr="0050194B">
        <w:t>the</w:t>
      </w:r>
      <w:r w:rsidR="00D52FD0">
        <w:t xml:space="preserve"> </w:t>
      </w:r>
      <w:r w:rsidR="000A1AAE" w:rsidRPr="0050194B">
        <w:t>two</w:t>
      </w:r>
      <w:r w:rsidR="00D52FD0">
        <w:t xml:space="preserve"> </w:t>
      </w:r>
      <w:r w:rsidR="000A1AAE" w:rsidRPr="0050194B">
        <w:t>compounds</w:t>
      </w:r>
      <w:r w:rsidR="00D52FD0">
        <w:t xml:space="preserve"> </w:t>
      </w:r>
      <w:r w:rsidR="000A1AAE" w:rsidRPr="0050194B">
        <w:t>started</w:t>
      </w:r>
      <w:r w:rsidR="00D52FD0">
        <w:t xml:space="preserve"> </w:t>
      </w:r>
      <w:r w:rsidR="000A1AAE" w:rsidRPr="0050194B">
        <w:t>to</w:t>
      </w:r>
      <w:r w:rsidR="00D52FD0">
        <w:t xml:space="preserve"> </w:t>
      </w:r>
      <w:r w:rsidR="000A1AAE" w:rsidRPr="0050194B">
        <w:t>be</w:t>
      </w:r>
      <w:r w:rsidR="00D52FD0">
        <w:t xml:space="preserve"> </w:t>
      </w:r>
      <w:r w:rsidR="000A1AAE" w:rsidRPr="0050194B">
        <w:t>used</w:t>
      </w:r>
      <w:r w:rsidR="00D52FD0">
        <w:t xml:space="preserve"> </w:t>
      </w:r>
      <w:r w:rsidR="000A1AAE" w:rsidRPr="0050194B">
        <w:t>in</w:t>
      </w:r>
      <w:r w:rsidR="00D52FD0">
        <w:t xml:space="preserve"> </w:t>
      </w:r>
      <w:r w:rsidR="000A1AAE" w:rsidRPr="0050194B">
        <w:t>August</w:t>
      </w:r>
      <w:r w:rsidR="00D52FD0">
        <w:t xml:space="preserve"> </w:t>
      </w:r>
      <w:r w:rsidR="000A1AAE" w:rsidRPr="0050194B">
        <w:t>2020</w:t>
      </w:r>
      <w:r w:rsidR="00D52FD0">
        <w:t xml:space="preserve"> </w:t>
      </w:r>
      <w:r w:rsidR="000A1AAE" w:rsidRPr="0050194B">
        <w:t>and</w:t>
      </w:r>
      <w:r w:rsidR="00D52FD0">
        <w:t xml:space="preserve"> </w:t>
      </w:r>
      <w:r w:rsidR="000A1AAE" w:rsidRPr="0050194B">
        <w:t>June</w:t>
      </w:r>
      <w:r w:rsidR="00D52FD0">
        <w:t xml:space="preserve"> </w:t>
      </w:r>
      <w:r w:rsidR="000A1AAE" w:rsidRPr="0050194B">
        <w:t>2021.</w:t>
      </w:r>
      <w:r w:rsidR="00D52FD0">
        <w:t xml:space="preserve"> </w:t>
      </w:r>
      <w:r w:rsidR="000A1AAE" w:rsidRPr="0050194B">
        <w:t>Migrants</w:t>
      </w:r>
      <w:r w:rsidR="00D52FD0">
        <w:t xml:space="preserve"> </w:t>
      </w:r>
      <w:r w:rsidR="000A1AAE" w:rsidRPr="0050194B">
        <w:t>are</w:t>
      </w:r>
      <w:r w:rsidR="00D52FD0">
        <w:t xml:space="preserve"> </w:t>
      </w:r>
      <w:r w:rsidR="000A1AAE" w:rsidRPr="0050194B">
        <w:t>now</w:t>
      </w:r>
      <w:r w:rsidR="00D52FD0">
        <w:t xml:space="preserve"> </w:t>
      </w:r>
      <w:r w:rsidR="000A1AAE" w:rsidRPr="0050194B">
        <w:t>housed</w:t>
      </w:r>
      <w:r w:rsidR="00D52FD0">
        <w:t xml:space="preserve"> </w:t>
      </w:r>
      <w:r w:rsidR="000A1AAE" w:rsidRPr="0050194B">
        <w:t>according</w:t>
      </w:r>
      <w:r w:rsidR="00D52FD0">
        <w:t xml:space="preserve"> </w:t>
      </w:r>
      <w:r w:rsidR="000A1AAE" w:rsidRPr="0050194B">
        <w:t>to</w:t>
      </w:r>
      <w:r w:rsidR="00D52FD0">
        <w:t xml:space="preserve"> </w:t>
      </w:r>
      <w:r w:rsidR="000A1AAE" w:rsidRPr="0050194B">
        <w:t>protection</w:t>
      </w:r>
      <w:r w:rsidR="00D52FD0">
        <w:t xml:space="preserve"> </w:t>
      </w:r>
      <w:r w:rsidR="000A1AAE" w:rsidRPr="0050194B">
        <w:t>needs.</w:t>
      </w:r>
    </w:p>
    <w:p w14:paraId="1F040EDA" w14:textId="77777777" w:rsidR="000E4FD0" w:rsidRDefault="00D82847" w:rsidP="00D82847">
      <w:pPr>
        <w:pStyle w:val="ParaNoG"/>
        <w:numPr>
          <w:ilvl w:val="0"/>
          <w:numId w:val="0"/>
        </w:numPr>
        <w:ind w:left="1134"/>
      </w:pPr>
      <w:r>
        <w:tab/>
      </w:r>
      <w:r w:rsidR="000A1AAE">
        <w:t>(d)</w:t>
      </w:r>
      <w:r w:rsidR="000A1AAE" w:rsidRPr="0050194B">
        <w:tab/>
        <w:t>Built</w:t>
      </w:r>
      <w:r w:rsidR="00D52FD0">
        <w:t xml:space="preserve"> </w:t>
      </w:r>
      <w:r w:rsidR="000A1AAE" w:rsidRPr="0050194B">
        <w:t>a</w:t>
      </w:r>
      <w:r w:rsidR="00D52FD0">
        <w:t xml:space="preserve"> </w:t>
      </w:r>
      <w:r w:rsidR="000A1AAE" w:rsidRPr="0050194B">
        <w:t>clinic</w:t>
      </w:r>
      <w:r w:rsidR="00D52FD0">
        <w:t xml:space="preserve"> </w:t>
      </w:r>
      <w:r w:rsidR="000A1AAE" w:rsidRPr="0050194B">
        <w:t>inside</w:t>
      </w:r>
      <w:r w:rsidR="00D52FD0">
        <w:t xml:space="preserve"> </w:t>
      </w:r>
      <w:r w:rsidR="000A1AAE" w:rsidRPr="0050194B">
        <w:t>the</w:t>
      </w:r>
      <w:r w:rsidR="00D52FD0">
        <w:t xml:space="preserve"> </w:t>
      </w:r>
      <w:r w:rsidR="000A1AAE" w:rsidRPr="0050194B">
        <w:t>Safi</w:t>
      </w:r>
      <w:r w:rsidR="00D52FD0">
        <w:t xml:space="preserve"> </w:t>
      </w:r>
      <w:r w:rsidR="000A1AAE" w:rsidRPr="0050194B">
        <w:t>Detention</w:t>
      </w:r>
      <w:r w:rsidR="00D52FD0">
        <w:t xml:space="preserve"> </w:t>
      </w:r>
      <w:r w:rsidR="000A1AAE" w:rsidRPr="0050194B">
        <w:t>Centre</w:t>
      </w:r>
      <w:r w:rsidR="00D52FD0">
        <w:t xml:space="preserve"> </w:t>
      </w:r>
      <w:r w:rsidR="000A1AAE" w:rsidRPr="0050194B">
        <w:t>which</w:t>
      </w:r>
      <w:r w:rsidR="00D52FD0">
        <w:t xml:space="preserve"> </w:t>
      </w:r>
      <w:r w:rsidR="000A1AAE" w:rsidRPr="0050194B">
        <w:t>serves</w:t>
      </w:r>
      <w:r w:rsidR="00D52FD0">
        <w:t xml:space="preserve"> </w:t>
      </w:r>
      <w:r w:rsidR="000A1AAE" w:rsidRPr="0050194B">
        <w:t>the</w:t>
      </w:r>
      <w:r w:rsidR="00D52FD0">
        <w:t xml:space="preserve"> </w:t>
      </w:r>
      <w:r w:rsidR="000A1AAE" w:rsidRPr="0050194B">
        <w:t>purpose</w:t>
      </w:r>
      <w:r w:rsidR="00D52FD0">
        <w:t xml:space="preserve"> </w:t>
      </w:r>
      <w:r w:rsidR="000A1AAE" w:rsidRPr="0050194B">
        <w:t>of</w:t>
      </w:r>
      <w:r w:rsidR="00D52FD0">
        <w:t xml:space="preserve"> </w:t>
      </w:r>
      <w:r w:rsidR="000A1AAE" w:rsidRPr="0050194B">
        <w:t>a</w:t>
      </w:r>
      <w:r w:rsidR="00D52FD0">
        <w:t xml:space="preserve"> </w:t>
      </w:r>
      <w:r w:rsidR="000A1AAE" w:rsidRPr="0050194B">
        <w:t>health</w:t>
      </w:r>
      <w:r w:rsidR="00D52FD0">
        <w:t xml:space="preserve"> </w:t>
      </w:r>
      <w:r w:rsidR="000A1AAE" w:rsidRPr="0050194B">
        <w:t>centre.</w:t>
      </w:r>
      <w:r w:rsidR="00D52FD0">
        <w:t xml:space="preserve"> </w:t>
      </w:r>
      <w:r w:rsidR="000A1AAE" w:rsidRPr="0050194B">
        <w:t>The</w:t>
      </w:r>
      <w:r w:rsidR="00D52FD0">
        <w:t xml:space="preserve"> </w:t>
      </w:r>
      <w:r w:rsidR="000A1AAE" w:rsidRPr="0050194B">
        <w:t>clinic</w:t>
      </w:r>
      <w:r w:rsidR="00D52FD0">
        <w:t xml:space="preserve"> </w:t>
      </w:r>
      <w:r w:rsidR="000A1AAE" w:rsidRPr="0050194B">
        <w:t>started</w:t>
      </w:r>
      <w:r w:rsidR="00D52FD0">
        <w:t xml:space="preserve"> </w:t>
      </w:r>
      <w:r w:rsidR="000A1AAE" w:rsidRPr="0050194B">
        <w:t>to</w:t>
      </w:r>
      <w:r w:rsidR="00D52FD0">
        <w:t xml:space="preserve"> </w:t>
      </w:r>
      <w:r w:rsidR="000A1AAE" w:rsidRPr="0050194B">
        <w:t>be</w:t>
      </w:r>
      <w:r w:rsidR="00D52FD0">
        <w:t xml:space="preserve"> </w:t>
      </w:r>
      <w:r w:rsidR="000A1AAE" w:rsidRPr="0050194B">
        <w:t>used</w:t>
      </w:r>
      <w:r w:rsidR="00D52FD0">
        <w:t xml:space="preserve"> </w:t>
      </w:r>
      <w:r w:rsidR="000A1AAE" w:rsidRPr="0050194B">
        <w:t>in</w:t>
      </w:r>
      <w:r w:rsidR="00D52FD0">
        <w:t xml:space="preserve"> </w:t>
      </w:r>
      <w:r w:rsidR="000A1AAE" w:rsidRPr="0050194B">
        <w:t>February</w:t>
      </w:r>
      <w:r w:rsidR="00D52FD0">
        <w:t xml:space="preserve"> </w:t>
      </w:r>
      <w:r w:rsidR="000A1AAE" w:rsidRPr="0050194B">
        <w:t>2021</w:t>
      </w:r>
      <w:r w:rsidR="00D52FD0">
        <w:t xml:space="preserve"> </w:t>
      </w:r>
      <w:r w:rsidR="000A1AAE" w:rsidRPr="0050194B">
        <w:t>and</w:t>
      </w:r>
      <w:r w:rsidR="00D52FD0">
        <w:t xml:space="preserve"> </w:t>
      </w:r>
      <w:r w:rsidR="000A1AAE" w:rsidRPr="0050194B">
        <w:t>made</w:t>
      </w:r>
      <w:r w:rsidR="00D52FD0">
        <w:t xml:space="preserve"> </w:t>
      </w:r>
      <w:r w:rsidR="000A1AAE" w:rsidRPr="0050194B">
        <w:t>it</w:t>
      </w:r>
      <w:r w:rsidR="00D52FD0">
        <w:t xml:space="preserve"> </w:t>
      </w:r>
      <w:r w:rsidR="000A1AAE" w:rsidRPr="0050194B">
        <w:t>possible</w:t>
      </w:r>
      <w:r w:rsidR="00D52FD0">
        <w:t xml:space="preserve"> </w:t>
      </w:r>
      <w:r w:rsidR="000A1AAE" w:rsidRPr="0050194B">
        <w:t>to</w:t>
      </w:r>
      <w:r w:rsidR="00D52FD0">
        <w:t xml:space="preserve"> </w:t>
      </w:r>
      <w:r w:rsidR="000A1AAE" w:rsidRPr="0050194B">
        <w:t>provide</w:t>
      </w:r>
      <w:r w:rsidR="00D52FD0">
        <w:t xml:space="preserve"> </w:t>
      </w:r>
      <w:r w:rsidR="000A1AAE" w:rsidRPr="0050194B">
        <w:t>a</w:t>
      </w:r>
      <w:r w:rsidR="00D52FD0">
        <w:t xml:space="preserve"> </w:t>
      </w:r>
      <w:r w:rsidR="000A1AAE" w:rsidRPr="0050194B">
        <w:t>wide</w:t>
      </w:r>
      <w:r w:rsidR="00D52FD0">
        <w:t xml:space="preserve"> </w:t>
      </w:r>
      <w:r w:rsidR="000A1AAE" w:rsidRPr="0050194B">
        <w:t>range</w:t>
      </w:r>
      <w:r w:rsidR="00D52FD0">
        <w:t xml:space="preserve"> </w:t>
      </w:r>
      <w:r w:rsidR="000A1AAE" w:rsidRPr="0050194B">
        <w:t>of</w:t>
      </w:r>
      <w:r w:rsidR="00D52FD0">
        <w:t xml:space="preserve"> </w:t>
      </w:r>
      <w:r w:rsidR="000A1AAE" w:rsidRPr="0050194B">
        <w:t>health</w:t>
      </w:r>
      <w:r w:rsidR="00D52FD0">
        <w:t xml:space="preserve"> </w:t>
      </w:r>
      <w:r w:rsidR="000A1AAE" w:rsidRPr="0050194B">
        <w:t>services</w:t>
      </w:r>
      <w:r w:rsidR="00D52FD0">
        <w:t xml:space="preserve"> </w:t>
      </w:r>
      <w:r w:rsidR="000A1AAE" w:rsidRPr="0050194B">
        <w:t>on</w:t>
      </w:r>
      <w:r w:rsidR="00D52FD0">
        <w:t xml:space="preserve"> </w:t>
      </w:r>
      <w:r w:rsidR="000A1AAE" w:rsidRPr="0050194B">
        <w:t>site.</w:t>
      </w:r>
      <w:r w:rsidR="00D52FD0">
        <w:t xml:space="preserve"> </w:t>
      </w:r>
      <w:r w:rsidR="000A1AAE" w:rsidRPr="0050194B">
        <w:t>Visiting</w:t>
      </w:r>
      <w:r w:rsidR="00D52FD0">
        <w:t xml:space="preserve"> </w:t>
      </w:r>
      <w:r w:rsidR="000A1AAE" w:rsidRPr="0050194B">
        <w:t>consultants</w:t>
      </w:r>
      <w:r w:rsidR="00D52FD0">
        <w:t xml:space="preserve"> </w:t>
      </w:r>
      <w:r w:rsidR="000A1AAE" w:rsidRPr="0050194B">
        <w:t>are</w:t>
      </w:r>
      <w:r w:rsidR="00D52FD0">
        <w:t xml:space="preserve"> </w:t>
      </w:r>
      <w:r w:rsidR="000A1AAE" w:rsidRPr="0050194B">
        <w:t>carrying</w:t>
      </w:r>
      <w:r w:rsidR="00D52FD0">
        <w:t xml:space="preserve"> </w:t>
      </w:r>
      <w:r w:rsidR="000A1AAE" w:rsidRPr="0050194B">
        <w:t>out</w:t>
      </w:r>
      <w:r w:rsidR="00D52FD0">
        <w:t xml:space="preserve"> </w:t>
      </w:r>
      <w:r w:rsidR="000A1AAE" w:rsidRPr="0050194B">
        <w:t>specialist</w:t>
      </w:r>
      <w:r w:rsidR="00D52FD0">
        <w:t xml:space="preserve"> </w:t>
      </w:r>
      <w:r w:rsidR="000A1AAE" w:rsidRPr="0050194B">
        <w:t>reviews</w:t>
      </w:r>
      <w:r w:rsidR="00D52FD0">
        <w:t xml:space="preserve"> </w:t>
      </w:r>
      <w:r w:rsidR="000A1AAE" w:rsidRPr="0050194B">
        <w:t>such</w:t>
      </w:r>
      <w:r w:rsidR="00D52FD0">
        <w:t xml:space="preserve"> </w:t>
      </w:r>
      <w:r w:rsidR="000A1AAE" w:rsidRPr="0050194B">
        <w:t>as</w:t>
      </w:r>
      <w:r w:rsidR="00D52FD0">
        <w:t xml:space="preserve"> </w:t>
      </w:r>
      <w:r w:rsidR="000A1AAE" w:rsidRPr="0050194B">
        <w:t>TB</w:t>
      </w:r>
      <w:r w:rsidR="00D52FD0">
        <w:t xml:space="preserve"> </w:t>
      </w:r>
      <w:r w:rsidR="000A1AAE" w:rsidRPr="0050194B">
        <w:t>clinic,</w:t>
      </w:r>
      <w:r w:rsidR="00D52FD0">
        <w:t xml:space="preserve"> </w:t>
      </w:r>
      <w:r w:rsidR="000A1AAE" w:rsidRPr="0050194B">
        <w:t>GU</w:t>
      </w:r>
      <w:r w:rsidR="00D52FD0">
        <w:t xml:space="preserve"> </w:t>
      </w:r>
      <w:r w:rsidR="000A1AAE" w:rsidRPr="0050194B">
        <w:t>&amp;</w:t>
      </w:r>
      <w:r w:rsidR="00D52FD0">
        <w:t xml:space="preserve"> </w:t>
      </w:r>
      <w:r w:rsidR="000A1AAE" w:rsidRPr="0050194B">
        <w:t>dermatology</w:t>
      </w:r>
      <w:r w:rsidR="00D52FD0">
        <w:t xml:space="preserve"> </w:t>
      </w:r>
      <w:r w:rsidR="000A1AAE" w:rsidRPr="0050194B">
        <w:t>and</w:t>
      </w:r>
      <w:r w:rsidR="00D52FD0">
        <w:t xml:space="preserve"> </w:t>
      </w:r>
      <w:r w:rsidR="000A1AAE" w:rsidRPr="0050194B">
        <w:t>ophtalmic</w:t>
      </w:r>
      <w:r w:rsidR="00D52FD0">
        <w:t xml:space="preserve"> </w:t>
      </w:r>
      <w:r w:rsidR="000A1AAE" w:rsidRPr="0050194B">
        <w:t>inhouse.</w:t>
      </w:r>
    </w:p>
    <w:p w14:paraId="7A8CC3B4" w14:textId="27847187" w:rsidR="000A1AAE" w:rsidRPr="0050194B" w:rsidRDefault="00D82847" w:rsidP="00D82847">
      <w:pPr>
        <w:pStyle w:val="ParaNoG"/>
        <w:numPr>
          <w:ilvl w:val="0"/>
          <w:numId w:val="0"/>
        </w:numPr>
        <w:ind w:left="1134"/>
      </w:pPr>
      <w:r>
        <w:tab/>
      </w:r>
      <w:r w:rsidR="000A1AAE">
        <w:t>(e)</w:t>
      </w:r>
      <w:r w:rsidR="000A1AAE" w:rsidRPr="0050194B">
        <w:tab/>
        <w:t>Despite</w:t>
      </w:r>
      <w:r w:rsidR="00D52FD0">
        <w:t xml:space="preserve"> </w:t>
      </w:r>
      <w:r w:rsidR="000A1AAE" w:rsidRPr="0050194B">
        <w:t>the</w:t>
      </w:r>
      <w:r w:rsidR="00D52FD0">
        <w:t xml:space="preserve"> </w:t>
      </w:r>
      <w:r w:rsidR="000A1AAE" w:rsidRPr="0050194B">
        <w:t>ongoing</w:t>
      </w:r>
      <w:r w:rsidR="00D52FD0">
        <w:t xml:space="preserve"> </w:t>
      </w:r>
      <w:r w:rsidR="000A1AAE" w:rsidRPr="0050194B">
        <w:t>migratory</w:t>
      </w:r>
      <w:r w:rsidR="00D52FD0">
        <w:t xml:space="preserve"> </w:t>
      </w:r>
      <w:r w:rsidR="000A1AAE" w:rsidRPr="0050194B">
        <w:t>pressure,</w:t>
      </w:r>
      <w:r w:rsidR="00D52FD0">
        <w:t xml:space="preserve"> </w:t>
      </w:r>
      <w:r w:rsidR="000A1AAE" w:rsidRPr="0050194B">
        <w:t>an</w:t>
      </w:r>
      <w:r w:rsidR="00D52FD0">
        <w:t xml:space="preserve"> </w:t>
      </w:r>
      <w:r w:rsidR="000A1AAE" w:rsidRPr="0050194B">
        <w:t>extensive</w:t>
      </w:r>
      <w:r w:rsidR="00D52FD0">
        <w:t xml:space="preserve"> </w:t>
      </w:r>
      <w:r w:rsidR="000A1AAE" w:rsidRPr="0050194B">
        <w:t>large-scale</w:t>
      </w:r>
      <w:r w:rsidR="00D52FD0">
        <w:t xml:space="preserve"> </w:t>
      </w:r>
      <w:r w:rsidR="000A1AAE" w:rsidRPr="0050194B">
        <w:t>refurbishing</w:t>
      </w:r>
      <w:r w:rsidR="00D52FD0">
        <w:t xml:space="preserve"> </w:t>
      </w:r>
      <w:r w:rsidR="000A1AAE" w:rsidRPr="0050194B">
        <w:t>and</w:t>
      </w:r>
      <w:r w:rsidR="00D52FD0">
        <w:t xml:space="preserve"> </w:t>
      </w:r>
      <w:r w:rsidR="000A1AAE" w:rsidRPr="0050194B">
        <w:t>maintenance</w:t>
      </w:r>
      <w:r w:rsidR="00D52FD0">
        <w:t xml:space="preserve"> </w:t>
      </w:r>
      <w:r w:rsidR="000A1AAE" w:rsidRPr="0050194B">
        <w:t>exercise</w:t>
      </w:r>
      <w:r w:rsidR="00D52FD0">
        <w:t xml:space="preserve"> </w:t>
      </w:r>
      <w:r w:rsidR="000A1AAE" w:rsidRPr="0050194B">
        <w:t>has</w:t>
      </w:r>
      <w:r w:rsidR="00D52FD0">
        <w:t xml:space="preserve"> </w:t>
      </w:r>
      <w:r w:rsidR="000A1AAE" w:rsidRPr="0050194B">
        <w:t>been</w:t>
      </w:r>
      <w:r w:rsidR="00D52FD0">
        <w:t xml:space="preserve"> </w:t>
      </w:r>
      <w:r w:rsidR="000A1AAE" w:rsidRPr="0050194B">
        <w:t>carried</w:t>
      </w:r>
      <w:r w:rsidR="00D52FD0">
        <w:t xml:space="preserve"> </w:t>
      </w:r>
      <w:r w:rsidR="000A1AAE" w:rsidRPr="0050194B">
        <w:t>out.</w:t>
      </w:r>
      <w:r w:rsidR="00D52FD0">
        <w:t xml:space="preserve"> </w:t>
      </w:r>
      <w:r w:rsidR="000A1AAE" w:rsidRPr="0050194B">
        <w:t>This</w:t>
      </w:r>
      <w:r w:rsidR="00D52FD0">
        <w:t xml:space="preserve"> </w:t>
      </w:r>
      <w:r w:rsidR="000A1AAE" w:rsidRPr="0050194B">
        <w:t>process</w:t>
      </w:r>
      <w:r w:rsidR="00D52FD0">
        <w:t xml:space="preserve"> </w:t>
      </w:r>
      <w:r w:rsidR="000A1AAE" w:rsidRPr="0050194B">
        <w:t>will</w:t>
      </w:r>
      <w:r w:rsidR="00D52FD0">
        <w:t xml:space="preserve"> </w:t>
      </w:r>
      <w:r w:rsidR="000A1AAE" w:rsidRPr="0050194B">
        <w:t>continue</w:t>
      </w:r>
      <w:r w:rsidR="00D52FD0">
        <w:t xml:space="preserve"> </w:t>
      </w:r>
      <w:r w:rsidR="000A1AAE" w:rsidRPr="0050194B">
        <w:t>until</w:t>
      </w:r>
      <w:r w:rsidR="00D52FD0">
        <w:t xml:space="preserve"> </w:t>
      </w:r>
      <w:r w:rsidR="000A1AAE" w:rsidRPr="0050194B">
        <w:t>all</w:t>
      </w:r>
      <w:r w:rsidR="00D52FD0">
        <w:t xml:space="preserve"> </w:t>
      </w:r>
      <w:r w:rsidR="000A1AAE" w:rsidRPr="0050194B">
        <w:t>parts</w:t>
      </w:r>
      <w:r w:rsidR="00D52FD0">
        <w:t xml:space="preserve"> </w:t>
      </w:r>
      <w:r w:rsidR="000A1AAE" w:rsidRPr="0050194B">
        <w:t>of</w:t>
      </w:r>
      <w:r w:rsidR="00D52FD0">
        <w:t xml:space="preserve"> </w:t>
      </w:r>
      <w:r w:rsidR="000A1AAE" w:rsidRPr="0050194B">
        <w:t>the</w:t>
      </w:r>
      <w:r w:rsidR="00D52FD0">
        <w:t xml:space="preserve"> </w:t>
      </w:r>
      <w:r w:rsidR="000A1AAE" w:rsidRPr="0050194B">
        <w:t>Safi</w:t>
      </w:r>
      <w:r w:rsidR="00D52FD0">
        <w:t xml:space="preserve"> </w:t>
      </w:r>
      <w:r w:rsidR="000A1AAE" w:rsidRPr="0050194B">
        <w:t>Detention</w:t>
      </w:r>
      <w:r w:rsidR="00D52FD0">
        <w:t xml:space="preserve"> </w:t>
      </w:r>
      <w:r w:rsidR="000A1AAE" w:rsidRPr="0050194B">
        <w:t>Centre</w:t>
      </w:r>
      <w:r w:rsidR="00D52FD0">
        <w:t xml:space="preserve"> </w:t>
      </w:r>
      <w:r w:rsidR="000A1AAE" w:rsidRPr="0050194B">
        <w:t>would</w:t>
      </w:r>
      <w:r w:rsidR="00D52FD0">
        <w:t xml:space="preserve"> </w:t>
      </w:r>
      <w:r w:rsidR="000A1AAE" w:rsidRPr="0050194B">
        <w:t>have</w:t>
      </w:r>
      <w:r w:rsidR="00D52FD0">
        <w:t xml:space="preserve"> </w:t>
      </w:r>
      <w:r w:rsidR="000A1AAE" w:rsidRPr="0050194B">
        <w:t>been</w:t>
      </w:r>
      <w:r w:rsidR="00D52FD0">
        <w:t xml:space="preserve"> </w:t>
      </w:r>
      <w:r w:rsidR="000A1AAE" w:rsidRPr="0050194B">
        <w:t>renovated.</w:t>
      </w:r>
      <w:r w:rsidR="00D52FD0">
        <w:t xml:space="preserve"> </w:t>
      </w:r>
      <w:r w:rsidR="000A1AAE" w:rsidRPr="0050194B">
        <w:t>Adjustments</w:t>
      </w:r>
      <w:r w:rsidR="00D52FD0">
        <w:t xml:space="preserve"> </w:t>
      </w:r>
      <w:r w:rsidR="000A1AAE" w:rsidRPr="0050194B">
        <w:t>were</w:t>
      </w:r>
      <w:r w:rsidR="00D52FD0">
        <w:t xml:space="preserve"> </w:t>
      </w:r>
      <w:r w:rsidR="000A1AAE" w:rsidRPr="0050194B">
        <w:t>made</w:t>
      </w:r>
      <w:r w:rsidR="00D52FD0">
        <w:t xml:space="preserve"> </w:t>
      </w:r>
      <w:r w:rsidR="000A1AAE" w:rsidRPr="0050194B">
        <w:t>to</w:t>
      </w:r>
      <w:r w:rsidR="00D52FD0">
        <w:t xml:space="preserve"> </w:t>
      </w:r>
      <w:r w:rsidR="000A1AAE" w:rsidRPr="0050194B">
        <w:t>include</w:t>
      </w:r>
      <w:r w:rsidR="00D52FD0">
        <w:t xml:space="preserve"> </w:t>
      </w:r>
      <w:r w:rsidR="000A1AAE" w:rsidRPr="0050194B">
        <w:t>emergency</w:t>
      </w:r>
      <w:r w:rsidR="00D52FD0">
        <w:t xml:space="preserve"> </w:t>
      </w:r>
      <w:r w:rsidR="000A1AAE" w:rsidRPr="0050194B">
        <w:t>lighting,</w:t>
      </w:r>
      <w:r w:rsidR="00D52FD0">
        <w:t xml:space="preserve"> </w:t>
      </w:r>
      <w:r w:rsidR="000A1AAE" w:rsidRPr="0050194B">
        <w:t>new</w:t>
      </w:r>
      <w:r w:rsidR="00D52FD0">
        <w:t xml:space="preserve"> </w:t>
      </w:r>
      <w:r w:rsidR="000A1AAE" w:rsidRPr="0050194B">
        <w:t>bathroom</w:t>
      </w:r>
      <w:r w:rsidR="00D52FD0">
        <w:t xml:space="preserve"> </w:t>
      </w:r>
      <w:r w:rsidR="000A1AAE" w:rsidRPr="0050194B">
        <w:t>finishing</w:t>
      </w:r>
      <w:r w:rsidR="00D52FD0">
        <w:t xml:space="preserve"> </w:t>
      </w:r>
      <w:r w:rsidR="000A1AAE" w:rsidRPr="0050194B">
        <w:t>which</w:t>
      </w:r>
      <w:r w:rsidR="00D52FD0">
        <w:t xml:space="preserve"> </w:t>
      </w:r>
      <w:r w:rsidR="000A1AAE" w:rsidRPr="0050194B">
        <w:t>are</w:t>
      </w:r>
      <w:r w:rsidR="00D52FD0">
        <w:t xml:space="preserve"> </w:t>
      </w:r>
      <w:r w:rsidR="000A1AAE" w:rsidRPr="0050194B">
        <w:t>vandal-proof,</w:t>
      </w:r>
      <w:r w:rsidR="00D52FD0">
        <w:t xml:space="preserve"> </w:t>
      </w:r>
      <w:r w:rsidR="000A1AAE" w:rsidRPr="0050194B">
        <w:t>more</w:t>
      </w:r>
      <w:r w:rsidR="00D52FD0">
        <w:t xml:space="preserve"> </w:t>
      </w:r>
      <w:r w:rsidR="000A1AAE" w:rsidRPr="0050194B">
        <w:t>secure</w:t>
      </w:r>
      <w:r w:rsidR="00D52FD0">
        <w:t xml:space="preserve"> </w:t>
      </w:r>
      <w:r w:rsidR="000A1AAE" w:rsidRPr="0050194B">
        <w:t>windows</w:t>
      </w:r>
      <w:r w:rsidR="00D52FD0">
        <w:t xml:space="preserve"> </w:t>
      </w:r>
      <w:r w:rsidR="000A1AAE" w:rsidRPr="0050194B">
        <w:t>and</w:t>
      </w:r>
      <w:r w:rsidR="00D52FD0">
        <w:t xml:space="preserve"> </w:t>
      </w:r>
      <w:r w:rsidR="000A1AAE" w:rsidRPr="0050194B">
        <w:t>electrical</w:t>
      </w:r>
      <w:r w:rsidR="00D52FD0">
        <w:t xml:space="preserve"> </w:t>
      </w:r>
      <w:r w:rsidR="000A1AAE" w:rsidRPr="0050194B">
        <w:t>systems,</w:t>
      </w:r>
      <w:r w:rsidR="00D52FD0">
        <w:t xml:space="preserve"> </w:t>
      </w:r>
      <w:r w:rsidR="000A1AAE" w:rsidRPr="0050194B">
        <w:t>improvements</w:t>
      </w:r>
      <w:r w:rsidR="00D52FD0">
        <w:t xml:space="preserve"> </w:t>
      </w:r>
      <w:r w:rsidR="000A1AAE" w:rsidRPr="0050194B">
        <w:t>to</w:t>
      </w:r>
      <w:r w:rsidR="00D52FD0">
        <w:t xml:space="preserve"> </w:t>
      </w:r>
      <w:r w:rsidR="000A1AAE" w:rsidRPr="0050194B">
        <w:t>the</w:t>
      </w:r>
      <w:r w:rsidR="00D52FD0">
        <w:t xml:space="preserve"> </w:t>
      </w:r>
      <w:r w:rsidR="000A1AAE" w:rsidRPr="0050194B">
        <w:t>sewage</w:t>
      </w:r>
      <w:r w:rsidR="00D52FD0">
        <w:t xml:space="preserve"> </w:t>
      </w:r>
      <w:r w:rsidR="000A1AAE" w:rsidRPr="0050194B">
        <w:t>system</w:t>
      </w:r>
      <w:r w:rsidR="00D52FD0">
        <w:t xml:space="preserve"> </w:t>
      </w:r>
      <w:r w:rsidR="000A1AAE" w:rsidRPr="0050194B">
        <w:t>and</w:t>
      </w:r>
      <w:r w:rsidR="00D52FD0">
        <w:t xml:space="preserve"> </w:t>
      </w:r>
      <w:r w:rsidR="000A1AAE" w:rsidRPr="0050194B">
        <w:t>the</w:t>
      </w:r>
      <w:r w:rsidR="00D52FD0">
        <w:t xml:space="preserve"> </w:t>
      </w:r>
      <w:r w:rsidR="000A1AAE" w:rsidRPr="0050194B">
        <w:t>installation</w:t>
      </w:r>
      <w:r w:rsidR="00D52FD0">
        <w:t xml:space="preserve"> </w:t>
      </w:r>
      <w:r w:rsidR="000A1AAE" w:rsidRPr="0050194B">
        <w:t>of</w:t>
      </w:r>
      <w:r w:rsidR="00D52FD0">
        <w:t xml:space="preserve"> </w:t>
      </w:r>
      <w:r w:rsidR="000A1AAE" w:rsidRPr="0050194B">
        <w:t>a</w:t>
      </w:r>
      <w:r w:rsidR="00D52FD0">
        <w:t xml:space="preserve"> </w:t>
      </w:r>
      <w:r w:rsidR="000A1AAE" w:rsidRPr="0050194B">
        <w:t>new</w:t>
      </w:r>
      <w:r w:rsidR="00D52FD0">
        <w:t xml:space="preserve"> </w:t>
      </w:r>
      <w:r w:rsidR="000A1AAE" w:rsidRPr="0050194B">
        <w:t>CCTV-camera</w:t>
      </w:r>
      <w:r w:rsidR="00D52FD0">
        <w:t xml:space="preserve"> </w:t>
      </w:r>
      <w:r w:rsidR="000A1AAE" w:rsidRPr="0050194B">
        <w:t>system,</w:t>
      </w:r>
      <w:r w:rsidR="00D52FD0">
        <w:t xml:space="preserve"> </w:t>
      </w:r>
      <w:r w:rsidR="000A1AAE" w:rsidRPr="0050194B">
        <w:t>among</w:t>
      </w:r>
      <w:r w:rsidR="00D52FD0">
        <w:t xml:space="preserve"> </w:t>
      </w:r>
      <w:r w:rsidR="000A1AAE" w:rsidRPr="0050194B">
        <w:t>others.</w:t>
      </w:r>
    </w:p>
    <w:p w14:paraId="053CBD7D" w14:textId="0E2E3793" w:rsidR="000A1AAE" w:rsidRPr="0050194B" w:rsidRDefault="0044637E" w:rsidP="0044637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50194B">
        <w:lastRenderedPageBreak/>
        <w:t>72.</w:t>
      </w:r>
      <w:r w:rsidRPr="0050194B">
        <w:tab/>
      </w:r>
      <w:r w:rsidR="000A1AAE" w:rsidRPr="0050194B">
        <w:t>Other</w:t>
      </w:r>
      <w:r w:rsidR="00D52FD0">
        <w:t xml:space="preserve"> </w:t>
      </w:r>
      <w:r w:rsidR="000A1AAE" w:rsidRPr="0050194B">
        <w:t>efforts</w:t>
      </w:r>
      <w:r w:rsidR="00D52FD0">
        <w:t xml:space="preserve"> </w:t>
      </w:r>
      <w:r w:rsidR="000A1AAE" w:rsidRPr="0050194B">
        <w:t>aimed</w:t>
      </w:r>
      <w:r w:rsidR="00D52FD0">
        <w:t xml:space="preserve"> </w:t>
      </w:r>
      <w:r w:rsidR="000A1AAE" w:rsidRPr="0050194B">
        <w:t>at</w:t>
      </w:r>
      <w:r w:rsidR="00D52FD0">
        <w:t xml:space="preserve"> </w:t>
      </w:r>
      <w:r w:rsidR="000A1AAE" w:rsidRPr="0050194B">
        <w:t>improving</w:t>
      </w:r>
      <w:r w:rsidR="00D52FD0">
        <w:t xml:space="preserve"> </w:t>
      </w:r>
      <w:r w:rsidR="000A1AAE" w:rsidRPr="0050194B">
        <w:t>the</w:t>
      </w:r>
      <w:r w:rsidR="00D52FD0">
        <w:t xml:space="preserve"> </w:t>
      </w:r>
      <w:r w:rsidR="000A1AAE" w:rsidRPr="0050194B">
        <w:t>living</w:t>
      </w:r>
      <w:r w:rsidR="00D52FD0">
        <w:t xml:space="preserve"> </w:t>
      </w:r>
      <w:r w:rsidR="000A1AAE" w:rsidRPr="0050194B">
        <w:t>conditions</w:t>
      </w:r>
      <w:r w:rsidR="00D52FD0">
        <w:t xml:space="preserve"> </w:t>
      </w:r>
      <w:r w:rsidR="000A1AAE" w:rsidRPr="0050194B">
        <w:t>in</w:t>
      </w:r>
      <w:r w:rsidR="00D52FD0">
        <w:t xml:space="preserve"> </w:t>
      </w:r>
      <w:r w:rsidR="000A1AAE" w:rsidRPr="0050194B">
        <w:t>closed</w:t>
      </w:r>
      <w:r w:rsidR="00D52FD0">
        <w:t xml:space="preserve"> </w:t>
      </w:r>
      <w:r w:rsidR="000A1AAE" w:rsidRPr="0050194B">
        <w:t>centres</w:t>
      </w:r>
      <w:r w:rsidR="00D52FD0">
        <w:t xml:space="preserve"> </w:t>
      </w:r>
      <w:r w:rsidR="000A1AAE" w:rsidRPr="0050194B">
        <w:t>include:</w:t>
      </w:r>
    </w:p>
    <w:p w14:paraId="04D7F118" w14:textId="77777777" w:rsidR="000E4FD0" w:rsidRDefault="00F73985" w:rsidP="00F73985">
      <w:pPr>
        <w:pStyle w:val="ParaNoG"/>
        <w:numPr>
          <w:ilvl w:val="0"/>
          <w:numId w:val="0"/>
        </w:numPr>
        <w:ind w:left="1134"/>
      </w:pPr>
      <w:r>
        <w:tab/>
      </w:r>
      <w:r w:rsidR="000A1AAE">
        <w:t>(a)</w:t>
      </w:r>
      <w:r w:rsidR="000A1AAE" w:rsidRPr="0050194B">
        <w:tab/>
        <w:t>All</w:t>
      </w:r>
      <w:r w:rsidR="00D52FD0">
        <w:t xml:space="preserve"> </w:t>
      </w:r>
      <w:r w:rsidR="000A1AAE" w:rsidRPr="0050194B">
        <w:t>compounds</w:t>
      </w:r>
      <w:r w:rsidR="00D52FD0">
        <w:t xml:space="preserve"> </w:t>
      </w:r>
      <w:r w:rsidR="000A1AAE" w:rsidRPr="0050194B">
        <w:t>have</w:t>
      </w:r>
      <w:r w:rsidR="00D52FD0">
        <w:t xml:space="preserve"> </w:t>
      </w:r>
      <w:r w:rsidR="000A1AAE" w:rsidRPr="0050194B">
        <w:t>access</w:t>
      </w:r>
      <w:r w:rsidR="00D52FD0">
        <w:t xml:space="preserve"> </w:t>
      </w:r>
      <w:r w:rsidR="000A1AAE" w:rsidRPr="0050194B">
        <w:t>to</w:t>
      </w:r>
      <w:r w:rsidR="00D52FD0">
        <w:t xml:space="preserve"> </w:t>
      </w:r>
      <w:r w:rsidR="000A1AAE" w:rsidRPr="0050194B">
        <w:t>outdoor</w:t>
      </w:r>
      <w:r w:rsidR="00D52FD0">
        <w:t xml:space="preserve"> </w:t>
      </w:r>
      <w:r w:rsidR="000A1AAE" w:rsidRPr="0050194B">
        <w:t>and</w:t>
      </w:r>
      <w:r w:rsidR="00D52FD0">
        <w:t xml:space="preserve"> </w:t>
      </w:r>
      <w:r w:rsidR="000A1AAE" w:rsidRPr="0050194B">
        <w:t>recreational</w:t>
      </w:r>
      <w:r w:rsidR="00D52FD0">
        <w:t xml:space="preserve"> </w:t>
      </w:r>
      <w:r w:rsidR="000A1AAE" w:rsidRPr="0050194B">
        <w:t>areas</w:t>
      </w:r>
      <w:r w:rsidR="00D52FD0">
        <w:t xml:space="preserve"> </w:t>
      </w:r>
      <w:r w:rsidR="000A1AAE" w:rsidRPr="0050194B">
        <w:t>during</w:t>
      </w:r>
      <w:r w:rsidR="00D52FD0">
        <w:t xml:space="preserve"> </w:t>
      </w:r>
      <w:r w:rsidR="000A1AAE" w:rsidRPr="0050194B">
        <w:t>daytime.</w:t>
      </w:r>
      <w:r w:rsidR="00D52FD0">
        <w:t xml:space="preserve"> </w:t>
      </w:r>
      <w:r w:rsidR="000A1AAE" w:rsidRPr="0050194B">
        <w:t>Books,</w:t>
      </w:r>
      <w:r w:rsidR="00D52FD0">
        <w:t xml:space="preserve"> </w:t>
      </w:r>
      <w:r w:rsidR="000A1AAE" w:rsidRPr="0050194B">
        <w:t>balls,</w:t>
      </w:r>
      <w:r w:rsidR="00D52FD0">
        <w:t xml:space="preserve"> </w:t>
      </w:r>
      <w:r w:rsidR="000A1AAE" w:rsidRPr="0050194B">
        <w:t>cards</w:t>
      </w:r>
      <w:r w:rsidR="00D52FD0">
        <w:t xml:space="preserve"> </w:t>
      </w:r>
      <w:r w:rsidR="000A1AAE" w:rsidRPr="0050194B">
        <w:t>and</w:t>
      </w:r>
      <w:r w:rsidR="00D52FD0">
        <w:t xml:space="preserve"> </w:t>
      </w:r>
      <w:r w:rsidR="000A1AAE" w:rsidRPr="0050194B">
        <w:t>board</w:t>
      </w:r>
      <w:r w:rsidR="00D52FD0">
        <w:t xml:space="preserve"> </w:t>
      </w:r>
      <w:r w:rsidR="000A1AAE" w:rsidRPr="0050194B">
        <w:t>games</w:t>
      </w:r>
      <w:r w:rsidR="00D52FD0">
        <w:t xml:space="preserve"> </w:t>
      </w:r>
      <w:r w:rsidR="000A1AAE" w:rsidRPr="0050194B">
        <w:t>are</w:t>
      </w:r>
      <w:r w:rsidR="00D52FD0">
        <w:t xml:space="preserve"> </w:t>
      </w:r>
      <w:r w:rsidR="000A1AAE" w:rsidRPr="0050194B">
        <w:t>available.</w:t>
      </w:r>
      <w:r w:rsidR="00D52FD0">
        <w:t xml:space="preserve"> </w:t>
      </w:r>
      <w:r w:rsidR="000A1AAE" w:rsidRPr="0050194B">
        <w:t>A</w:t>
      </w:r>
      <w:r w:rsidR="00D52FD0">
        <w:t xml:space="preserve"> </w:t>
      </w:r>
      <w:r w:rsidR="000A1AAE" w:rsidRPr="0050194B">
        <w:t>plan</w:t>
      </w:r>
      <w:r w:rsidR="00D52FD0">
        <w:t xml:space="preserve"> </w:t>
      </w:r>
      <w:r w:rsidR="000A1AAE" w:rsidRPr="0050194B">
        <w:t>is</w:t>
      </w:r>
      <w:r w:rsidR="00D52FD0">
        <w:t xml:space="preserve"> </w:t>
      </w:r>
      <w:r w:rsidR="000A1AAE" w:rsidRPr="0050194B">
        <w:t>in</w:t>
      </w:r>
      <w:r w:rsidR="00D52FD0">
        <w:t xml:space="preserve"> </w:t>
      </w:r>
      <w:r w:rsidR="000A1AAE" w:rsidRPr="0050194B">
        <w:t>place</w:t>
      </w:r>
      <w:r w:rsidR="00D52FD0">
        <w:t xml:space="preserve"> </w:t>
      </w:r>
      <w:r w:rsidR="000A1AAE" w:rsidRPr="0050194B">
        <w:t>to</w:t>
      </w:r>
      <w:r w:rsidR="00D52FD0">
        <w:t xml:space="preserve"> </w:t>
      </w:r>
      <w:r w:rsidR="000A1AAE" w:rsidRPr="0050194B">
        <w:t>have</w:t>
      </w:r>
      <w:r w:rsidR="00D52FD0">
        <w:t xml:space="preserve"> </w:t>
      </w:r>
      <w:r w:rsidR="000A1AAE" w:rsidRPr="0050194B">
        <w:t>a</w:t>
      </w:r>
      <w:r w:rsidR="00D52FD0">
        <w:t xml:space="preserve"> </w:t>
      </w:r>
      <w:r w:rsidR="000A1AAE" w:rsidRPr="0050194B">
        <w:t>structured</w:t>
      </w:r>
      <w:r w:rsidR="00D52FD0">
        <w:t xml:space="preserve"> </w:t>
      </w:r>
      <w:r w:rsidR="000A1AAE" w:rsidRPr="0050194B">
        <w:t>education</w:t>
      </w:r>
      <w:r w:rsidR="00D52FD0">
        <w:t xml:space="preserve"> </w:t>
      </w:r>
      <w:r w:rsidR="000A1AAE" w:rsidRPr="0050194B">
        <w:t>and</w:t>
      </w:r>
      <w:r w:rsidR="00D52FD0">
        <w:t xml:space="preserve"> </w:t>
      </w:r>
      <w:r w:rsidR="000A1AAE" w:rsidRPr="0050194B">
        <w:t>physical</w:t>
      </w:r>
      <w:r w:rsidR="00D52FD0">
        <w:t xml:space="preserve"> </w:t>
      </w:r>
      <w:r w:rsidR="000A1AAE" w:rsidRPr="0050194B">
        <w:t>activity</w:t>
      </w:r>
      <w:r w:rsidR="00D52FD0">
        <w:t xml:space="preserve"> </w:t>
      </w:r>
      <w:r w:rsidR="000A1AAE" w:rsidRPr="0050194B">
        <w:t>programme</w:t>
      </w:r>
      <w:r w:rsidR="00D52FD0">
        <w:t xml:space="preserve"> </w:t>
      </w:r>
      <w:r w:rsidR="000A1AAE" w:rsidRPr="0050194B">
        <w:t>which</w:t>
      </w:r>
      <w:r w:rsidR="00D52FD0">
        <w:t xml:space="preserve"> </w:t>
      </w:r>
      <w:r w:rsidR="000A1AAE" w:rsidRPr="0050194B">
        <w:t>includes</w:t>
      </w:r>
      <w:r w:rsidR="00D52FD0">
        <w:t xml:space="preserve"> </w:t>
      </w:r>
      <w:r w:rsidR="000A1AAE" w:rsidRPr="0050194B">
        <w:t>training</w:t>
      </w:r>
      <w:r w:rsidR="00D52FD0">
        <w:t xml:space="preserve"> </w:t>
      </w:r>
      <w:r w:rsidR="000A1AAE" w:rsidRPr="0050194B">
        <w:t>in</w:t>
      </w:r>
      <w:r w:rsidR="00D52FD0">
        <w:t xml:space="preserve"> </w:t>
      </w:r>
      <w:r w:rsidR="000A1AAE" w:rsidRPr="0050194B">
        <w:t>the</w:t>
      </w:r>
      <w:r w:rsidR="00D52FD0">
        <w:t xml:space="preserve"> </w:t>
      </w:r>
      <w:r w:rsidR="000A1AAE" w:rsidRPr="0050194B">
        <w:t>English</w:t>
      </w:r>
      <w:r w:rsidR="00D52FD0">
        <w:t xml:space="preserve"> </w:t>
      </w:r>
      <w:r w:rsidR="000A1AAE" w:rsidRPr="0050194B">
        <w:t>language,</w:t>
      </w:r>
      <w:r w:rsidR="00D52FD0">
        <w:t xml:space="preserve"> </w:t>
      </w:r>
      <w:r w:rsidR="000A1AAE" w:rsidRPr="0050194B">
        <w:t>professional</w:t>
      </w:r>
      <w:r w:rsidR="00D52FD0">
        <w:t xml:space="preserve"> </w:t>
      </w:r>
      <w:r w:rsidR="000A1AAE" w:rsidRPr="0050194B">
        <w:t>football</w:t>
      </w:r>
      <w:r w:rsidR="00D52FD0">
        <w:t xml:space="preserve"> </w:t>
      </w:r>
      <w:r w:rsidR="000A1AAE" w:rsidRPr="0050194B">
        <w:t>training</w:t>
      </w:r>
      <w:r w:rsidR="00D52FD0">
        <w:t xml:space="preserve"> </w:t>
      </w:r>
      <w:r w:rsidR="000A1AAE" w:rsidRPr="0050194B">
        <w:t>and</w:t>
      </w:r>
      <w:r w:rsidR="00D52FD0">
        <w:t xml:space="preserve"> </w:t>
      </w:r>
      <w:r w:rsidR="000A1AAE" w:rsidRPr="0050194B">
        <w:t>other</w:t>
      </w:r>
      <w:r w:rsidR="00D52FD0">
        <w:t xml:space="preserve"> </w:t>
      </w:r>
      <w:r w:rsidR="000A1AAE" w:rsidRPr="0050194B">
        <w:t>training</w:t>
      </w:r>
      <w:r w:rsidR="00D52FD0">
        <w:t xml:space="preserve"> </w:t>
      </w:r>
      <w:r w:rsidR="000A1AAE" w:rsidRPr="0050194B">
        <w:t>in</w:t>
      </w:r>
      <w:r w:rsidR="00D52FD0">
        <w:t xml:space="preserve"> </w:t>
      </w:r>
      <w:r w:rsidR="000A1AAE" w:rsidRPr="0050194B">
        <w:t>information</w:t>
      </w:r>
      <w:r w:rsidR="00D52FD0">
        <w:t xml:space="preserve"> </w:t>
      </w:r>
      <w:r w:rsidR="000A1AAE" w:rsidRPr="0050194B">
        <w:t>technology,</w:t>
      </w:r>
      <w:r w:rsidR="00D52FD0">
        <w:t xml:space="preserve"> </w:t>
      </w:r>
      <w:r w:rsidR="000A1AAE" w:rsidRPr="0050194B">
        <w:t>first</w:t>
      </w:r>
      <w:r w:rsidR="00D52FD0">
        <w:t xml:space="preserve"> </w:t>
      </w:r>
      <w:r w:rsidR="000A1AAE" w:rsidRPr="0050194B">
        <w:t>aid</w:t>
      </w:r>
      <w:r w:rsidR="00D52FD0">
        <w:t xml:space="preserve"> </w:t>
      </w:r>
      <w:r w:rsidR="000A1AAE" w:rsidRPr="0050194B">
        <w:t>and</w:t>
      </w:r>
      <w:r w:rsidR="00D52FD0">
        <w:t xml:space="preserve"> </w:t>
      </w:r>
      <w:r w:rsidR="000A1AAE" w:rsidRPr="0050194B">
        <w:t>other</w:t>
      </w:r>
      <w:r w:rsidR="00D52FD0">
        <w:t xml:space="preserve"> </w:t>
      </w:r>
      <w:r w:rsidR="000A1AAE" w:rsidRPr="0050194B">
        <w:t>basic</w:t>
      </w:r>
      <w:r w:rsidR="00D52FD0">
        <w:t xml:space="preserve"> </w:t>
      </w:r>
      <w:r w:rsidR="000A1AAE" w:rsidRPr="0050194B">
        <w:t>life</w:t>
      </w:r>
      <w:r w:rsidR="00D52FD0">
        <w:t xml:space="preserve"> </w:t>
      </w:r>
      <w:r w:rsidR="000A1AAE" w:rsidRPr="0050194B">
        <w:t>skills.</w:t>
      </w:r>
    </w:p>
    <w:p w14:paraId="66031659" w14:textId="77777777" w:rsidR="000E4FD0" w:rsidRDefault="00F73985" w:rsidP="00F73985">
      <w:pPr>
        <w:pStyle w:val="ParaNoG"/>
        <w:numPr>
          <w:ilvl w:val="0"/>
          <w:numId w:val="0"/>
        </w:numPr>
        <w:ind w:left="1134"/>
      </w:pPr>
      <w:r>
        <w:tab/>
      </w:r>
      <w:r w:rsidR="000A1AAE">
        <w:t>(b)</w:t>
      </w:r>
      <w:r w:rsidR="000A1AAE">
        <w:tab/>
      </w:r>
      <w:r w:rsidR="000A1AAE" w:rsidRPr="0050194B">
        <w:t>Communication</w:t>
      </w:r>
      <w:r w:rsidR="00D52FD0">
        <w:t xml:space="preserve"> </w:t>
      </w:r>
      <w:r w:rsidR="000A1AAE" w:rsidRPr="0050194B">
        <w:t>with</w:t>
      </w:r>
      <w:r w:rsidR="00D52FD0">
        <w:t xml:space="preserve"> </w:t>
      </w:r>
      <w:r w:rsidR="000A1AAE" w:rsidRPr="0050194B">
        <w:t>the</w:t>
      </w:r>
      <w:r w:rsidR="00D52FD0">
        <w:t xml:space="preserve"> </w:t>
      </w:r>
      <w:r w:rsidR="000A1AAE" w:rsidRPr="0050194B">
        <w:t>outside</w:t>
      </w:r>
      <w:r w:rsidR="00D52FD0">
        <w:t xml:space="preserve"> </w:t>
      </w:r>
      <w:r w:rsidR="000A1AAE" w:rsidRPr="0050194B">
        <w:t>world,</w:t>
      </w:r>
      <w:r w:rsidR="00D52FD0">
        <w:t xml:space="preserve"> </w:t>
      </w:r>
      <w:r w:rsidR="000A1AAE" w:rsidRPr="0050194B">
        <w:t>especially</w:t>
      </w:r>
      <w:r w:rsidR="00D52FD0">
        <w:t xml:space="preserve"> </w:t>
      </w:r>
      <w:r w:rsidR="000A1AAE" w:rsidRPr="0050194B">
        <w:t>international</w:t>
      </w:r>
      <w:r w:rsidR="00D52FD0">
        <w:t xml:space="preserve"> </w:t>
      </w:r>
      <w:r w:rsidR="000A1AAE" w:rsidRPr="0050194B">
        <w:t>calls</w:t>
      </w:r>
      <w:r w:rsidR="00D52FD0">
        <w:t xml:space="preserve"> </w:t>
      </w:r>
      <w:r w:rsidR="000A1AAE" w:rsidRPr="0050194B">
        <w:t>with</w:t>
      </w:r>
      <w:r w:rsidR="00D52FD0">
        <w:t xml:space="preserve"> </w:t>
      </w:r>
      <w:r w:rsidR="000A1AAE" w:rsidRPr="0050194B">
        <w:t>family</w:t>
      </w:r>
      <w:r w:rsidR="00D52FD0">
        <w:t xml:space="preserve"> </w:t>
      </w:r>
      <w:r w:rsidR="000A1AAE" w:rsidRPr="0050194B">
        <w:t>members,</w:t>
      </w:r>
      <w:r w:rsidR="00D52FD0">
        <w:t xml:space="preserve"> </w:t>
      </w:r>
      <w:r w:rsidR="000A1AAE" w:rsidRPr="0050194B">
        <w:t>is</w:t>
      </w:r>
      <w:r w:rsidR="00D52FD0">
        <w:t xml:space="preserve"> </w:t>
      </w:r>
      <w:r w:rsidR="000A1AAE" w:rsidRPr="0050194B">
        <w:t>possible</w:t>
      </w:r>
      <w:r w:rsidR="00D52FD0">
        <w:t xml:space="preserve"> </w:t>
      </w:r>
      <w:r w:rsidR="000A1AAE" w:rsidRPr="0050194B">
        <w:t>in</w:t>
      </w:r>
      <w:r w:rsidR="00D52FD0">
        <w:t xml:space="preserve"> </w:t>
      </w:r>
      <w:r w:rsidR="000A1AAE" w:rsidRPr="0050194B">
        <w:t>all</w:t>
      </w:r>
      <w:r w:rsidR="00D52FD0">
        <w:t xml:space="preserve"> </w:t>
      </w:r>
      <w:r w:rsidR="000A1AAE" w:rsidRPr="0050194B">
        <w:t>section</w:t>
      </w:r>
      <w:r w:rsidR="00D52FD0">
        <w:t xml:space="preserve"> </w:t>
      </w:r>
      <w:r w:rsidR="000A1AAE" w:rsidRPr="0050194B">
        <w:t>of</w:t>
      </w:r>
      <w:r w:rsidR="00D52FD0">
        <w:t xml:space="preserve"> </w:t>
      </w:r>
      <w:r w:rsidR="000A1AAE" w:rsidRPr="0050194B">
        <w:t>the</w:t>
      </w:r>
      <w:r w:rsidR="00D52FD0">
        <w:t xml:space="preserve"> </w:t>
      </w:r>
      <w:r w:rsidR="000A1AAE" w:rsidRPr="0050194B">
        <w:t>closed</w:t>
      </w:r>
      <w:r w:rsidR="00D52FD0">
        <w:t xml:space="preserve"> </w:t>
      </w:r>
      <w:r w:rsidR="000A1AAE" w:rsidRPr="0050194B">
        <w:t>centres.</w:t>
      </w:r>
      <w:r w:rsidR="00D52FD0">
        <w:t xml:space="preserve"> </w:t>
      </w:r>
      <w:r w:rsidR="000A1AAE" w:rsidRPr="0050194B">
        <w:t>A</w:t>
      </w:r>
      <w:r w:rsidR="00D52FD0">
        <w:t xml:space="preserve"> </w:t>
      </w:r>
      <w:r w:rsidR="000A1AAE" w:rsidRPr="0050194B">
        <w:t>new</w:t>
      </w:r>
      <w:r w:rsidR="00D52FD0">
        <w:t xml:space="preserve"> </w:t>
      </w:r>
      <w:r w:rsidR="000A1AAE" w:rsidRPr="0050194B">
        <w:t>area</w:t>
      </w:r>
      <w:r w:rsidR="00D52FD0">
        <w:t xml:space="preserve"> </w:t>
      </w:r>
      <w:r w:rsidR="000A1AAE" w:rsidRPr="0050194B">
        <w:t>has</w:t>
      </w:r>
      <w:r w:rsidR="00D52FD0">
        <w:t xml:space="preserve"> </w:t>
      </w:r>
      <w:r w:rsidR="000A1AAE" w:rsidRPr="0050194B">
        <w:t>been</w:t>
      </w:r>
      <w:r w:rsidR="00D52FD0">
        <w:t xml:space="preserve"> </w:t>
      </w:r>
      <w:r w:rsidR="000A1AAE" w:rsidRPr="0050194B">
        <w:t>designated</w:t>
      </w:r>
      <w:r w:rsidR="00D52FD0">
        <w:t xml:space="preserve"> </w:t>
      </w:r>
      <w:r w:rsidR="000A1AAE" w:rsidRPr="0050194B">
        <w:t>to</w:t>
      </w:r>
      <w:r w:rsidR="00D52FD0">
        <w:t xml:space="preserve"> </w:t>
      </w:r>
      <w:r w:rsidR="000A1AAE" w:rsidRPr="0050194B">
        <w:t>hold</w:t>
      </w:r>
      <w:r w:rsidR="00D52FD0">
        <w:t xml:space="preserve"> </w:t>
      </w:r>
      <w:r w:rsidR="000A1AAE" w:rsidRPr="0050194B">
        <w:t>these</w:t>
      </w:r>
      <w:r w:rsidR="00D52FD0">
        <w:t xml:space="preserve"> </w:t>
      </w:r>
      <w:r w:rsidR="000A1AAE" w:rsidRPr="0050194B">
        <w:t>visits</w:t>
      </w:r>
      <w:r w:rsidR="00D52FD0">
        <w:t xml:space="preserve"> </w:t>
      </w:r>
      <w:r w:rsidR="000A1AAE" w:rsidRPr="0050194B">
        <w:t>in</w:t>
      </w:r>
      <w:r w:rsidR="00D52FD0">
        <w:t xml:space="preserve"> </w:t>
      </w:r>
      <w:r w:rsidR="000A1AAE" w:rsidRPr="0050194B">
        <w:t>private</w:t>
      </w:r>
      <w:r w:rsidR="00D52FD0">
        <w:t xml:space="preserve"> </w:t>
      </w:r>
      <w:r w:rsidR="000A1AAE" w:rsidRPr="0050194B">
        <w:t>with</w:t>
      </w:r>
      <w:r w:rsidR="00D52FD0">
        <w:t xml:space="preserve"> </w:t>
      </w:r>
      <w:r w:rsidR="000A1AAE" w:rsidRPr="0050194B">
        <w:t>NGOs,</w:t>
      </w:r>
      <w:r w:rsidR="00D52FD0">
        <w:t xml:space="preserve"> </w:t>
      </w:r>
      <w:r w:rsidR="000A1AAE" w:rsidRPr="0050194B">
        <w:t>lawyers</w:t>
      </w:r>
      <w:r w:rsidR="00D52FD0">
        <w:t xml:space="preserve"> </w:t>
      </w:r>
      <w:r w:rsidR="000A1AAE" w:rsidRPr="0050194B">
        <w:t>and</w:t>
      </w:r>
      <w:r w:rsidR="00D52FD0">
        <w:t xml:space="preserve"> </w:t>
      </w:r>
      <w:r w:rsidR="000A1AAE" w:rsidRPr="0050194B">
        <w:t>community</w:t>
      </w:r>
      <w:r w:rsidR="00D52FD0">
        <w:t xml:space="preserve"> </w:t>
      </w:r>
      <w:r w:rsidR="000A1AAE" w:rsidRPr="0050194B">
        <w:t>representatives.</w:t>
      </w:r>
    </w:p>
    <w:p w14:paraId="25E76008" w14:textId="77777777" w:rsidR="000E4FD0" w:rsidRDefault="00F73985" w:rsidP="00F73985">
      <w:pPr>
        <w:pStyle w:val="ParaNoG"/>
        <w:numPr>
          <w:ilvl w:val="0"/>
          <w:numId w:val="0"/>
        </w:numPr>
        <w:ind w:left="1134"/>
      </w:pPr>
      <w:r>
        <w:tab/>
      </w:r>
      <w:r w:rsidR="000A1AAE">
        <w:t>(c)</w:t>
      </w:r>
      <w:r w:rsidR="000A1AAE" w:rsidRPr="0050194B">
        <w:tab/>
        <w:t>A</w:t>
      </w:r>
      <w:r w:rsidR="00D52FD0">
        <w:t xml:space="preserve"> </w:t>
      </w:r>
      <w:r w:rsidR="000A1AAE" w:rsidRPr="0050194B">
        <w:t>new</w:t>
      </w:r>
      <w:r w:rsidR="00D52FD0">
        <w:t xml:space="preserve"> </w:t>
      </w:r>
      <w:r w:rsidR="000A1AAE" w:rsidRPr="0050194B">
        <w:t>post</w:t>
      </w:r>
      <w:r w:rsidR="00D52FD0">
        <w:t xml:space="preserve"> </w:t>
      </w:r>
      <w:r w:rsidR="000A1AAE" w:rsidRPr="0050194B">
        <w:t>of</w:t>
      </w:r>
      <w:r w:rsidR="00D52FD0">
        <w:t xml:space="preserve"> </w:t>
      </w:r>
      <w:r w:rsidR="000A1AAE" w:rsidRPr="0050194B">
        <w:t>a</w:t>
      </w:r>
      <w:r w:rsidR="00D52FD0">
        <w:t xml:space="preserve"> </w:t>
      </w:r>
      <w:r w:rsidR="000A1AAE" w:rsidRPr="0050194B">
        <w:t>welfare</w:t>
      </w:r>
      <w:r w:rsidR="00D52FD0">
        <w:t xml:space="preserve"> </w:t>
      </w:r>
      <w:r w:rsidR="000A1AAE" w:rsidRPr="0050194B">
        <w:t>officer</w:t>
      </w:r>
      <w:r w:rsidR="00D52FD0">
        <w:t xml:space="preserve"> </w:t>
      </w:r>
      <w:r w:rsidR="000A1AAE" w:rsidRPr="0050194B">
        <w:t>has</w:t>
      </w:r>
      <w:r w:rsidR="00D52FD0">
        <w:t xml:space="preserve"> </w:t>
      </w:r>
      <w:r w:rsidR="000A1AAE" w:rsidRPr="0050194B">
        <w:t>been</w:t>
      </w:r>
      <w:r w:rsidR="00D52FD0">
        <w:t xml:space="preserve"> </w:t>
      </w:r>
      <w:r w:rsidR="000A1AAE" w:rsidRPr="0050194B">
        <w:t>created</w:t>
      </w:r>
      <w:r w:rsidR="00D52FD0">
        <w:t xml:space="preserve"> </w:t>
      </w:r>
      <w:r w:rsidR="000A1AAE" w:rsidRPr="0050194B">
        <w:t>to</w:t>
      </w:r>
      <w:r w:rsidR="00D52FD0">
        <w:t xml:space="preserve"> </w:t>
      </w:r>
      <w:r w:rsidR="000A1AAE" w:rsidRPr="0050194B">
        <w:t>ensure</w:t>
      </w:r>
      <w:r w:rsidR="00D52FD0">
        <w:t xml:space="preserve"> </w:t>
      </w:r>
      <w:r w:rsidR="000A1AAE" w:rsidRPr="0050194B">
        <w:t>an</w:t>
      </w:r>
      <w:r w:rsidR="00D52FD0">
        <w:t xml:space="preserve"> </w:t>
      </w:r>
      <w:r w:rsidR="000A1AAE" w:rsidRPr="0050194B">
        <w:t>adequate</w:t>
      </w:r>
      <w:r w:rsidR="00D52FD0">
        <w:t xml:space="preserve"> </w:t>
      </w:r>
      <w:r w:rsidR="000A1AAE" w:rsidRPr="0050194B">
        <w:t>balance</w:t>
      </w:r>
      <w:r w:rsidR="00D52FD0">
        <w:t xml:space="preserve"> </w:t>
      </w:r>
      <w:r w:rsidR="000A1AAE" w:rsidRPr="0050194B">
        <w:t>between</w:t>
      </w:r>
      <w:r w:rsidR="00D52FD0">
        <w:t xml:space="preserve"> </w:t>
      </w:r>
      <w:r w:rsidR="000A1AAE" w:rsidRPr="0050194B">
        <w:t>security</w:t>
      </w:r>
      <w:r w:rsidR="00D52FD0">
        <w:t xml:space="preserve"> </w:t>
      </w:r>
      <w:r w:rsidR="000A1AAE" w:rsidRPr="0050194B">
        <w:t>and</w:t>
      </w:r>
      <w:r w:rsidR="00D52FD0">
        <w:t xml:space="preserve"> </w:t>
      </w:r>
      <w:r w:rsidR="000A1AAE" w:rsidRPr="0050194B">
        <w:t>welfare.</w:t>
      </w:r>
      <w:r w:rsidR="00D52FD0">
        <w:t xml:space="preserve"> </w:t>
      </w:r>
      <w:r w:rsidR="000A1AAE" w:rsidRPr="0050194B">
        <w:t>Reporting</w:t>
      </w:r>
      <w:r w:rsidR="00D52FD0">
        <w:t xml:space="preserve"> </w:t>
      </w:r>
      <w:r w:rsidR="000A1AAE" w:rsidRPr="0050194B">
        <w:t>has</w:t>
      </w:r>
      <w:r w:rsidR="00D52FD0">
        <w:t xml:space="preserve"> </w:t>
      </w:r>
      <w:r w:rsidR="000A1AAE" w:rsidRPr="0050194B">
        <w:t>been</w:t>
      </w:r>
      <w:r w:rsidR="00D52FD0">
        <w:t xml:space="preserve"> </w:t>
      </w:r>
      <w:r w:rsidR="000A1AAE" w:rsidRPr="0050194B">
        <w:t>introduced</w:t>
      </w:r>
      <w:r w:rsidR="00D52FD0">
        <w:t xml:space="preserve"> </w:t>
      </w:r>
      <w:r w:rsidR="000A1AAE" w:rsidRPr="0050194B">
        <w:t>with</w:t>
      </w:r>
      <w:r w:rsidR="00D52FD0">
        <w:t xml:space="preserve"> </w:t>
      </w:r>
      <w:r w:rsidR="000A1AAE" w:rsidRPr="0050194B">
        <w:t>respect</w:t>
      </w:r>
      <w:r w:rsidR="00D52FD0">
        <w:t xml:space="preserve"> </w:t>
      </w:r>
      <w:r w:rsidR="000A1AAE" w:rsidRPr="0050194B">
        <w:t>to</w:t>
      </w:r>
      <w:r w:rsidR="00D52FD0">
        <w:t xml:space="preserve"> </w:t>
      </w:r>
      <w:r w:rsidR="000A1AAE" w:rsidRPr="0050194B">
        <w:t>incidents</w:t>
      </w:r>
      <w:r w:rsidR="00D52FD0">
        <w:t xml:space="preserve"> </w:t>
      </w:r>
      <w:r w:rsidR="000A1AAE" w:rsidRPr="0050194B">
        <w:t>arising</w:t>
      </w:r>
      <w:r w:rsidR="00D52FD0">
        <w:t xml:space="preserve"> </w:t>
      </w:r>
      <w:r w:rsidR="000A1AAE" w:rsidRPr="0050194B">
        <w:t>inside</w:t>
      </w:r>
      <w:r w:rsidR="00D52FD0">
        <w:t xml:space="preserve"> </w:t>
      </w:r>
      <w:r w:rsidR="000A1AAE" w:rsidRPr="0050194B">
        <w:t>the</w:t>
      </w:r>
      <w:r w:rsidR="00D52FD0">
        <w:t xml:space="preserve"> </w:t>
      </w:r>
      <w:r w:rsidR="000A1AAE" w:rsidRPr="0050194B">
        <w:t>closed</w:t>
      </w:r>
      <w:r w:rsidR="00D52FD0">
        <w:t xml:space="preserve"> </w:t>
      </w:r>
      <w:r w:rsidR="000A1AAE" w:rsidRPr="0050194B">
        <w:t>centres,</w:t>
      </w:r>
      <w:r w:rsidR="00D52FD0">
        <w:t xml:space="preserve"> </w:t>
      </w:r>
      <w:r w:rsidR="000A1AAE" w:rsidRPr="0050194B">
        <w:t>complaints</w:t>
      </w:r>
      <w:r w:rsidR="00D52FD0">
        <w:t xml:space="preserve"> </w:t>
      </w:r>
      <w:r w:rsidR="000A1AAE" w:rsidRPr="0050194B">
        <w:t>raised</w:t>
      </w:r>
      <w:r w:rsidR="00D52FD0">
        <w:t xml:space="preserve"> </w:t>
      </w:r>
      <w:r w:rsidR="000A1AAE" w:rsidRPr="0050194B">
        <w:t>by</w:t>
      </w:r>
      <w:r w:rsidR="00D52FD0">
        <w:t xml:space="preserve"> </w:t>
      </w:r>
      <w:r w:rsidR="000A1AAE" w:rsidRPr="0050194B">
        <w:t>detainees</w:t>
      </w:r>
      <w:r w:rsidR="00D52FD0">
        <w:t xml:space="preserve"> </w:t>
      </w:r>
      <w:r w:rsidR="000A1AAE" w:rsidRPr="0050194B">
        <w:t>and</w:t>
      </w:r>
      <w:r w:rsidR="00D52FD0">
        <w:t xml:space="preserve"> </w:t>
      </w:r>
      <w:r w:rsidR="000A1AAE" w:rsidRPr="0050194B">
        <w:t>visits</w:t>
      </w:r>
      <w:r w:rsidR="00D52FD0">
        <w:t xml:space="preserve"> </w:t>
      </w:r>
      <w:r w:rsidR="000A1AAE" w:rsidRPr="0050194B">
        <w:t>by</w:t>
      </w:r>
      <w:r w:rsidR="00D52FD0">
        <w:t xml:space="preserve"> </w:t>
      </w:r>
      <w:r w:rsidR="000A1AAE" w:rsidRPr="0050194B">
        <w:t>lawyers,</w:t>
      </w:r>
      <w:r w:rsidR="00D52FD0">
        <w:t xml:space="preserve"> </w:t>
      </w:r>
      <w:r w:rsidR="000A1AAE" w:rsidRPr="0050194B">
        <w:t>family</w:t>
      </w:r>
      <w:r w:rsidR="00D52FD0">
        <w:t xml:space="preserve"> </w:t>
      </w:r>
      <w:r w:rsidR="000A1AAE" w:rsidRPr="0050194B">
        <w:t>members</w:t>
      </w:r>
      <w:r w:rsidR="00D52FD0">
        <w:t xml:space="preserve"> </w:t>
      </w:r>
      <w:r w:rsidR="000A1AAE" w:rsidRPr="0050194B">
        <w:t>and</w:t>
      </w:r>
      <w:r w:rsidR="00D52FD0">
        <w:t xml:space="preserve"> </w:t>
      </w:r>
      <w:r w:rsidR="000A1AAE" w:rsidRPr="0050194B">
        <w:t>NGOs.</w:t>
      </w:r>
    </w:p>
    <w:p w14:paraId="349FA639" w14:textId="77777777" w:rsidR="000E4FD0" w:rsidRDefault="00F73985" w:rsidP="00F73985">
      <w:pPr>
        <w:pStyle w:val="ParaNoG"/>
        <w:numPr>
          <w:ilvl w:val="0"/>
          <w:numId w:val="0"/>
        </w:numPr>
        <w:ind w:left="1134"/>
      </w:pPr>
      <w:r>
        <w:tab/>
      </w:r>
      <w:r w:rsidR="000A1AAE">
        <w:t>(d)</w:t>
      </w:r>
      <w:r w:rsidR="000A1AAE" w:rsidRPr="0050194B">
        <w:tab/>
        <w:t>Increase</w:t>
      </w:r>
      <w:r w:rsidR="00D52FD0">
        <w:t xml:space="preserve"> </w:t>
      </w:r>
      <w:r w:rsidR="000A1AAE" w:rsidRPr="0050194B">
        <w:t>in</w:t>
      </w:r>
      <w:r w:rsidR="00D52FD0">
        <w:t xml:space="preserve"> </w:t>
      </w:r>
      <w:r w:rsidR="000A1AAE" w:rsidRPr="0050194B">
        <w:t>investment</w:t>
      </w:r>
      <w:r w:rsidR="00D52FD0">
        <w:t xml:space="preserve"> </w:t>
      </w:r>
      <w:r w:rsidR="000A1AAE" w:rsidRPr="0050194B">
        <w:t>in</w:t>
      </w:r>
      <w:r w:rsidR="00D52FD0">
        <w:t xml:space="preserve"> </w:t>
      </w:r>
      <w:r w:rsidR="000A1AAE" w:rsidRPr="0050194B">
        <w:t>human</w:t>
      </w:r>
      <w:r w:rsidR="00D52FD0">
        <w:t xml:space="preserve"> </w:t>
      </w:r>
      <w:r w:rsidR="000A1AAE" w:rsidRPr="0050194B">
        <w:t>resources</w:t>
      </w:r>
      <w:r w:rsidR="00D52FD0">
        <w:t xml:space="preserve"> </w:t>
      </w:r>
      <w:r w:rsidR="000A1AAE" w:rsidRPr="0050194B">
        <w:t>in</w:t>
      </w:r>
      <w:r w:rsidR="00D52FD0">
        <w:t xml:space="preserve"> </w:t>
      </w:r>
      <w:r w:rsidR="000A1AAE" w:rsidRPr="0050194B">
        <w:t>open</w:t>
      </w:r>
      <w:r w:rsidR="00D52FD0">
        <w:t xml:space="preserve"> </w:t>
      </w:r>
      <w:r w:rsidR="000A1AAE" w:rsidRPr="0050194B">
        <w:t>and</w:t>
      </w:r>
      <w:r w:rsidR="00D52FD0">
        <w:t xml:space="preserve"> </w:t>
      </w:r>
      <w:r w:rsidR="000A1AAE" w:rsidRPr="0050194B">
        <w:t>closed</w:t>
      </w:r>
      <w:r w:rsidR="00D52FD0">
        <w:t xml:space="preserve"> </w:t>
      </w:r>
      <w:r w:rsidR="000A1AAE" w:rsidRPr="0050194B">
        <w:t>facilities,</w:t>
      </w:r>
      <w:r w:rsidR="00D52FD0">
        <w:t xml:space="preserve"> </w:t>
      </w:r>
      <w:r w:rsidR="000A1AAE" w:rsidRPr="0050194B">
        <w:t>not</w:t>
      </w:r>
      <w:r w:rsidR="00D52FD0">
        <w:t xml:space="preserve"> </w:t>
      </w:r>
      <w:r w:rsidR="000A1AAE" w:rsidRPr="0050194B">
        <w:t>only</w:t>
      </w:r>
      <w:r w:rsidR="00D52FD0">
        <w:t xml:space="preserve"> </w:t>
      </w:r>
      <w:r w:rsidR="000A1AAE" w:rsidRPr="0050194B">
        <w:t>through</w:t>
      </w:r>
      <w:r w:rsidR="00D52FD0">
        <w:t xml:space="preserve"> </w:t>
      </w:r>
      <w:r w:rsidR="000A1AAE" w:rsidRPr="0050194B">
        <w:t>the</w:t>
      </w:r>
      <w:r w:rsidR="00D52FD0">
        <w:t xml:space="preserve"> </w:t>
      </w:r>
      <w:r w:rsidR="000A1AAE" w:rsidRPr="0050194B">
        <w:t>recruitment</w:t>
      </w:r>
      <w:r w:rsidR="00D52FD0">
        <w:t xml:space="preserve"> </w:t>
      </w:r>
      <w:r w:rsidR="000A1AAE" w:rsidRPr="0050194B">
        <w:t>of</w:t>
      </w:r>
      <w:r w:rsidR="00D52FD0">
        <w:t xml:space="preserve"> </w:t>
      </w:r>
      <w:r w:rsidR="000A1AAE" w:rsidRPr="0050194B">
        <w:t>additional</w:t>
      </w:r>
      <w:r w:rsidR="00D52FD0">
        <w:t xml:space="preserve"> </w:t>
      </w:r>
      <w:r w:rsidR="000A1AAE" w:rsidRPr="0050194B">
        <w:t>staff</w:t>
      </w:r>
      <w:r w:rsidR="00D52FD0">
        <w:t xml:space="preserve"> </w:t>
      </w:r>
      <w:r w:rsidR="000A1AAE" w:rsidRPr="0050194B">
        <w:t>but</w:t>
      </w:r>
      <w:r w:rsidR="00D52FD0">
        <w:t xml:space="preserve"> </w:t>
      </w:r>
      <w:r w:rsidR="000A1AAE" w:rsidRPr="0050194B">
        <w:t>also</w:t>
      </w:r>
      <w:r w:rsidR="00D52FD0">
        <w:t xml:space="preserve"> </w:t>
      </w:r>
      <w:r w:rsidR="000A1AAE" w:rsidRPr="0050194B">
        <w:t>their</w:t>
      </w:r>
      <w:r w:rsidR="00D52FD0">
        <w:t xml:space="preserve"> </w:t>
      </w:r>
      <w:r w:rsidR="000A1AAE" w:rsidRPr="0050194B">
        <w:t>training.</w:t>
      </w:r>
      <w:r w:rsidR="00D52FD0">
        <w:t xml:space="preserve"> </w:t>
      </w:r>
      <w:r w:rsidR="000A1AAE" w:rsidRPr="0050194B">
        <w:t>New</w:t>
      </w:r>
      <w:r w:rsidR="00D52FD0">
        <w:t xml:space="preserve"> </w:t>
      </w:r>
      <w:r w:rsidR="000A1AAE" w:rsidRPr="0050194B">
        <w:t>staff</w:t>
      </w:r>
      <w:r w:rsidR="00D52FD0">
        <w:t xml:space="preserve"> </w:t>
      </w:r>
      <w:r w:rsidR="000A1AAE" w:rsidRPr="0050194B">
        <w:t>included</w:t>
      </w:r>
      <w:r w:rsidR="00D52FD0">
        <w:t xml:space="preserve"> </w:t>
      </w:r>
      <w:r w:rsidR="000A1AAE" w:rsidRPr="0050194B">
        <w:t>professionals</w:t>
      </w:r>
      <w:r w:rsidR="00D52FD0">
        <w:t xml:space="preserve"> </w:t>
      </w:r>
      <w:r w:rsidR="000A1AAE" w:rsidRPr="0050194B">
        <w:t>in</w:t>
      </w:r>
      <w:r w:rsidR="00D52FD0">
        <w:t xml:space="preserve"> </w:t>
      </w:r>
      <w:r w:rsidR="000A1AAE" w:rsidRPr="0050194B">
        <w:t>the</w:t>
      </w:r>
      <w:r w:rsidR="00D52FD0">
        <w:t xml:space="preserve"> </w:t>
      </w:r>
      <w:r w:rsidR="000A1AAE" w:rsidRPr="0050194B">
        <w:t>field</w:t>
      </w:r>
      <w:r w:rsidR="00D52FD0">
        <w:t xml:space="preserve"> </w:t>
      </w:r>
      <w:r w:rsidR="000A1AAE" w:rsidRPr="0050194B">
        <w:t>of</w:t>
      </w:r>
      <w:r w:rsidR="00D52FD0">
        <w:t xml:space="preserve"> </w:t>
      </w:r>
      <w:r w:rsidR="000A1AAE" w:rsidRPr="0050194B">
        <w:t>social</w:t>
      </w:r>
      <w:r w:rsidR="00D52FD0">
        <w:t xml:space="preserve"> </w:t>
      </w:r>
      <w:r w:rsidR="000A1AAE" w:rsidRPr="0050194B">
        <w:t>work,</w:t>
      </w:r>
      <w:r w:rsidR="00D52FD0">
        <w:t xml:space="preserve"> </w:t>
      </w:r>
      <w:r w:rsidR="000A1AAE" w:rsidRPr="0050194B">
        <w:t>support</w:t>
      </w:r>
      <w:r w:rsidR="00D52FD0">
        <w:t xml:space="preserve"> </w:t>
      </w:r>
      <w:r w:rsidR="000A1AAE" w:rsidRPr="0050194B">
        <w:t>workers,</w:t>
      </w:r>
      <w:r w:rsidR="00D52FD0">
        <w:t xml:space="preserve"> </w:t>
      </w:r>
      <w:r w:rsidR="000A1AAE" w:rsidRPr="0050194B">
        <w:t>reception</w:t>
      </w:r>
      <w:r w:rsidR="00D52FD0">
        <w:t xml:space="preserve"> </w:t>
      </w:r>
      <w:r w:rsidR="000A1AAE" w:rsidRPr="0050194B">
        <w:t>facility</w:t>
      </w:r>
      <w:r w:rsidR="00D52FD0">
        <w:t xml:space="preserve"> </w:t>
      </w:r>
      <w:r w:rsidR="000A1AAE" w:rsidRPr="0050194B">
        <w:t>officers,</w:t>
      </w:r>
      <w:r w:rsidR="00D52FD0">
        <w:t xml:space="preserve"> </w:t>
      </w:r>
      <w:r w:rsidR="000A1AAE" w:rsidRPr="0050194B">
        <w:t>psychological</w:t>
      </w:r>
      <w:r w:rsidR="00D52FD0">
        <w:t xml:space="preserve"> </w:t>
      </w:r>
      <w:r w:rsidR="000A1AAE" w:rsidRPr="0050194B">
        <w:t>officers,</w:t>
      </w:r>
      <w:r w:rsidR="00D52FD0">
        <w:t xml:space="preserve"> </w:t>
      </w:r>
      <w:r w:rsidR="000A1AAE" w:rsidRPr="0050194B">
        <w:t>counsellors,</w:t>
      </w:r>
      <w:r w:rsidR="00D52FD0">
        <w:t xml:space="preserve"> </w:t>
      </w:r>
      <w:r w:rsidR="000A1AAE" w:rsidRPr="0050194B">
        <w:t>welfare</w:t>
      </w:r>
      <w:r w:rsidR="00D52FD0">
        <w:t xml:space="preserve"> </w:t>
      </w:r>
      <w:r w:rsidR="000A1AAE" w:rsidRPr="0050194B">
        <w:t>officers,</w:t>
      </w:r>
      <w:r w:rsidR="00D52FD0">
        <w:t xml:space="preserve"> </w:t>
      </w:r>
      <w:r w:rsidR="000A1AAE" w:rsidRPr="0050194B">
        <w:t>and</w:t>
      </w:r>
      <w:r w:rsidR="00D52FD0">
        <w:t xml:space="preserve"> </w:t>
      </w:r>
      <w:r w:rsidR="000A1AAE" w:rsidRPr="0050194B">
        <w:t>psychologists.</w:t>
      </w:r>
      <w:r w:rsidR="00D52FD0">
        <w:t xml:space="preserve"> </w:t>
      </w:r>
      <w:r w:rsidR="000A1AAE" w:rsidRPr="0050194B">
        <w:t>Detention</w:t>
      </w:r>
      <w:r w:rsidR="00D52FD0">
        <w:t xml:space="preserve"> </w:t>
      </w:r>
      <w:r w:rsidR="000A1AAE" w:rsidRPr="0050194B">
        <w:t>Service</w:t>
      </w:r>
      <w:r w:rsidR="00D52FD0">
        <w:t xml:space="preserve"> </w:t>
      </w:r>
      <w:r w:rsidR="000A1AAE" w:rsidRPr="0050194B">
        <w:t>(DS)</w:t>
      </w:r>
      <w:r w:rsidR="00D52FD0">
        <w:t xml:space="preserve"> </w:t>
      </w:r>
      <w:r w:rsidR="000A1AAE" w:rsidRPr="0050194B">
        <w:t>recruited</w:t>
      </w:r>
      <w:r w:rsidR="00D52FD0">
        <w:t xml:space="preserve"> </w:t>
      </w:r>
      <w:r w:rsidR="000A1AAE" w:rsidRPr="0050194B">
        <w:t>106</w:t>
      </w:r>
      <w:r w:rsidR="00D52FD0">
        <w:t xml:space="preserve"> </w:t>
      </w:r>
      <w:r w:rsidR="000A1AAE" w:rsidRPr="0050194B">
        <w:t>new</w:t>
      </w:r>
      <w:r w:rsidR="00D52FD0">
        <w:t xml:space="preserve"> </w:t>
      </w:r>
      <w:r w:rsidR="000A1AAE" w:rsidRPr="0050194B">
        <w:t>detention</w:t>
      </w:r>
      <w:r w:rsidR="00D52FD0">
        <w:t xml:space="preserve"> </w:t>
      </w:r>
      <w:r w:rsidR="000A1AAE" w:rsidRPr="0050194B">
        <w:t>officers</w:t>
      </w:r>
      <w:r w:rsidR="00D52FD0">
        <w:t xml:space="preserve"> </w:t>
      </w:r>
      <w:r w:rsidR="000A1AAE" w:rsidRPr="0050194B">
        <w:t>in</w:t>
      </w:r>
      <w:r w:rsidR="00D52FD0">
        <w:t xml:space="preserve"> </w:t>
      </w:r>
      <w:r w:rsidR="000A1AAE" w:rsidRPr="0050194B">
        <w:t>2020,</w:t>
      </w:r>
      <w:r w:rsidR="00D52FD0">
        <w:t xml:space="preserve"> </w:t>
      </w:r>
      <w:r w:rsidR="000A1AAE" w:rsidRPr="0050194B">
        <w:t>almost</w:t>
      </w:r>
      <w:r w:rsidR="00D52FD0">
        <w:t xml:space="preserve"> </w:t>
      </w:r>
      <w:r w:rsidR="000A1AAE" w:rsidRPr="0050194B">
        <w:t>doubling</w:t>
      </w:r>
      <w:r w:rsidR="00D52FD0">
        <w:t xml:space="preserve"> </w:t>
      </w:r>
      <w:r w:rsidR="000A1AAE" w:rsidRPr="0050194B">
        <w:t>in</w:t>
      </w:r>
      <w:r w:rsidR="00D52FD0">
        <w:t xml:space="preserve"> </w:t>
      </w:r>
      <w:r w:rsidR="000A1AAE" w:rsidRPr="0050194B">
        <w:t>number.</w:t>
      </w:r>
      <w:r w:rsidR="00D52FD0">
        <w:t xml:space="preserve"> </w:t>
      </w:r>
      <w:r w:rsidR="000A1AAE" w:rsidRPr="0050194B">
        <w:t>AWAS</w:t>
      </w:r>
      <w:r w:rsidR="00D52FD0">
        <w:t xml:space="preserve"> </w:t>
      </w:r>
      <w:r w:rsidR="000A1AAE" w:rsidRPr="0050194B">
        <w:t>increased</w:t>
      </w:r>
      <w:r w:rsidR="00D52FD0">
        <w:t xml:space="preserve"> </w:t>
      </w:r>
      <w:r w:rsidR="000A1AAE" w:rsidRPr="0050194B">
        <w:t>its</w:t>
      </w:r>
      <w:r w:rsidR="00D52FD0">
        <w:t xml:space="preserve"> </w:t>
      </w:r>
      <w:r w:rsidR="000A1AAE" w:rsidRPr="0050194B">
        <w:t>staff</w:t>
      </w:r>
      <w:r w:rsidR="00D52FD0">
        <w:t xml:space="preserve"> </w:t>
      </w:r>
      <w:r w:rsidR="000A1AAE" w:rsidRPr="0050194B">
        <w:t>capacity</w:t>
      </w:r>
      <w:r w:rsidR="00D52FD0">
        <w:t xml:space="preserve"> </w:t>
      </w:r>
      <w:r w:rsidR="000A1AAE" w:rsidRPr="0050194B">
        <w:t>from</w:t>
      </w:r>
      <w:r w:rsidR="00D52FD0">
        <w:t xml:space="preserve"> </w:t>
      </w:r>
      <w:r w:rsidR="000A1AAE" w:rsidRPr="0050194B">
        <w:t>89</w:t>
      </w:r>
      <w:r w:rsidR="00D52FD0">
        <w:t xml:space="preserve"> </w:t>
      </w:r>
      <w:r w:rsidR="000A1AAE" w:rsidRPr="0050194B">
        <w:t>in</w:t>
      </w:r>
      <w:r w:rsidR="00D52FD0">
        <w:t xml:space="preserve"> </w:t>
      </w:r>
      <w:r w:rsidR="000A1AAE" w:rsidRPr="0050194B">
        <w:t>2019</w:t>
      </w:r>
      <w:r w:rsidR="00D52FD0">
        <w:t xml:space="preserve"> </w:t>
      </w:r>
      <w:r w:rsidR="000A1AAE" w:rsidRPr="0050194B">
        <w:t>to</w:t>
      </w:r>
      <w:r w:rsidR="00D52FD0">
        <w:t xml:space="preserve"> </w:t>
      </w:r>
      <w:r w:rsidR="000A1AAE" w:rsidRPr="0050194B">
        <w:t>211</w:t>
      </w:r>
      <w:r w:rsidR="00D52FD0">
        <w:t xml:space="preserve"> </w:t>
      </w:r>
      <w:r w:rsidR="000A1AAE" w:rsidRPr="0050194B">
        <w:t>by</w:t>
      </w:r>
      <w:r w:rsidR="00D52FD0">
        <w:t xml:space="preserve"> </w:t>
      </w:r>
      <w:r w:rsidR="000A1AAE" w:rsidRPr="0050194B">
        <w:t>end</w:t>
      </w:r>
      <w:r w:rsidR="00D52FD0">
        <w:t xml:space="preserve"> </w:t>
      </w:r>
      <w:r w:rsidR="000A1AAE" w:rsidRPr="0050194B">
        <w:t>of</w:t>
      </w:r>
      <w:r w:rsidR="00D52FD0">
        <w:t xml:space="preserve"> </w:t>
      </w:r>
      <w:r w:rsidR="000A1AAE" w:rsidRPr="0050194B">
        <w:t>2020.</w:t>
      </w:r>
      <w:r w:rsidR="00D52FD0">
        <w:t xml:space="preserve"> </w:t>
      </w:r>
      <w:r w:rsidR="000A1AAE" w:rsidRPr="0050194B">
        <w:t>The</w:t>
      </w:r>
      <w:r w:rsidR="00D52FD0">
        <w:t xml:space="preserve"> </w:t>
      </w:r>
      <w:r w:rsidR="000A1AAE" w:rsidRPr="0050194B">
        <w:t>process</w:t>
      </w:r>
      <w:r w:rsidR="00D52FD0">
        <w:t xml:space="preserve"> </w:t>
      </w:r>
      <w:r w:rsidR="000A1AAE" w:rsidRPr="0050194B">
        <w:t>for</w:t>
      </w:r>
      <w:r w:rsidR="00D52FD0">
        <w:t xml:space="preserve"> </w:t>
      </w:r>
      <w:r w:rsidR="000A1AAE" w:rsidRPr="0050194B">
        <w:t>the</w:t>
      </w:r>
      <w:r w:rsidR="00D52FD0">
        <w:t xml:space="preserve"> </w:t>
      </w:r>
      <w:r w:rsidR="000A1AAE" w:rsidRPr="0050194B">
        <w:t>recruitment</w:t>
      </w:r>
      <w:r w:rsidR="00D52FD0">
        <w:t xml:space="preserve"> </w:t>
      </w:r>
      <w:r w:rsidR="000A1AAE" w:rsidRPr="0050194B">
        <w:t>of</w:t>
      </w:r>
      <w:r w:rsidR="00D52FD0">
        <w:t xml:space="preserve"> </w:t>
      </w:r>
      <w:r w:rsidR="000A1AAE" w:rsidRPr="0050194B">
        <w:t>additional</w:t>
      </w:r>
      <w:r w:rsidR="00D52FD0">
        <w:t xml:space="preserve"> </w:t>
      </w:r>
      <w:r w:rsidR="000A1AAE" w:rsidRPr="0050194B">
        <w:t>staff</w:t>
      </w:r>
      <w:r w:rsidR="00D52FD0">
        <w:t xml:space="preserve"> </w:t>
      </w:r>
      <w:r w:rsidR="000A1AAE" w:rsidRPr="0050194B">
        <w:t>is</w:t>
      </w:r>
      <w:r w:rsidR="00D52FD0">
        <w:t xml:space="preserve"> </w:t>
      </w:r>
      <w:r w:rsidR="000A1AAE" w:rsidRPr="0050194B">
        <w:t>also</w:t>
      </w:r>
      <w:r w:rsidR="00D52FD0">
        <w:t xml:space="preserve"> </w:t>
      </w:r>
      <w:r w:rsidR="000A1AAE" w:rsidRPr="0050194B">
        <w:t>ongoing.</w:t>
      </w:r>
      <w:r w:rsidR="00D52FD0">
        <w:t xml:space="preserve"> </w:t>
      </w:r>
      <w:r w:rsidR="000A1AAE" w:rsidRPr="0050194B">
        <w:t>DS</w:t>
      </w:r>
      <w:r w:rsidR="00D52FD0">
        <w:t xml:space="preserve"> </w:t>
      </w:r>
      <w:r w:rsidR="000A1AAE" w:rsidRPr="0050194B">
        <w:t>is</w:t>
      </w:r>
      <w:r w:rsidR="00D52FD0">
        <w:t xml:space="preserve"> </w:t>
      </w:r>
      <w:r w:rsidR="000A1AAE" w:rsidRPr="0050194B">
        <w:t>no</w:t>
      </w:r>
      <w:r w:rsidR="00D52FD0">
        <w:t xml:space="preserve"> </w:t>
      </w:r>
      <w:r w:rsidR="000A1AAE" w:rsidRPr="0050194B">
        <w:t>longer</w:t>
      </w:r>
      <w:r w:rsidR="00D52FD0">
        <w:t xml:space="preserve"> </w:t>
      </w:r>
      <w:r w:rsidR="000A1AAE" w:rsidRPr="0050194B">
        <w:t>making</w:t>
      </w:r>
      <w:r w:rsidR="00D52FD0">
        <w:t xml:space="preserve"> </w:t>
      </w:r>
      <w:r w:rsidR="000A1AAE" w:rsidRPr="0050194B">
        <w:t>use</w:t>
      </w:r>
      <w:r w:rsidR="00D52FD0">
        <w:t xml:space="preserve"> </w:t>
      </w:r>
      <w:r w:rsidR="000A1AAE" w:rsidRPr="0050194B">
        <w:t>of</w:t>
      </w:r>
      <w:r w:rsidR="00D52FD0">
        <w:t xml:space="preserve"> </w:t>
      </w:r>
      <w:r w:rsidR="000A1AAE" w:rsidRPr="0050194B">
        <w:t>private</w:t>
      </w:r>
      <w:r w:rsidR="00D52FD0">
        <w:t xml:space="preserve"> </w:t>
      </w:r>
      <w:r w:rsidR="000A1AAE" w:rsidRPr="0050194B">
        <w:t>security</w:t>
      </w:r>
      <w:r w:rsidR="00D52FD0">
        <w:t xml:space="preserve"> </w:t>
      </w:r>
      <w:r w:rsidR="000A1AAE" w:rsidRPr="0050194B">
        <w:t>officials.</w:t>
      </w:r>
    </w:p>
    <w:p w14:paraId="214C0C95" w14:textId="385BCBA1" w:rsidR="000A1AAE" w:rsidRPr="0050194B" w:rsidRDefault="00F73985" w:rsidP="00F73985">
      <w:pPr>
        <w:pStyle w:val="ParaNoG"/>
        <w:numPr>
          <w:ilvl w:val="0"/>
          <w:numId w:val="0"/>
        </w:numPr>
        <w:ind w:left="1134"/>
      </w:pPr>
      <w:r>
        <w:tab/>
      </w:r>
      <w:r w:rsidR="000A1AAE">
        <w:t>(e)</w:t>
      </w:r>
      <w:r w:rsidR="000A1AAE" w:rsidRPr="0050194B">
        <w:tab/>
        <w:t>Regular</w:t>
      </w:r>
      <w:r w:rsidR="00D52FD0">
        <w:t xml:space="preserve"> </w:t>
      </w:r>
      <w:r w:rsidR="000A1AAE" w:rsidRPr="0050194B">
        <w:t>visits</w:t>
      </w:r>
      <w:r w:rsidR="00D52FD0">
        <w:t xml:space="preserve"> </w:t>
      </w:r>
      <w:r w:rsidR="000A1AAE" w:rsidRPr="0050194B">
        <w:t>by</w:t>
      </w:r>
      <w:r w:rsidR="00D52FD0">
        <w:t xml:space="preserve"> </w:t>
      </w:r>
      <w:r w:rsidR="000A1AAE" w:rsidRPr="0050194B">
        <w:t>spiritual</w:t>
      </w:r>
      <w:r w:rsidR="00D52FD0">
        <w:t xml:space="preserve"> </w:t>
      </w:r>
      <w:r w:rsidR="000A1AAE" w:rsidRPr="0050194B">
        <w:t>directors</w:t>
      </w:r>
      <w:r w:rsidR="00D52FD0">
        <w:t xml:space="preserve"> </w:t>
      </w:r>
      <w:r w:rsidR="000A1AAE" w:rsidRPr="0050194B">
        <w:t>take</w:t>
      </w:r>
      <w:r w:rsidR="00D52FD0">
        <w:t xml:space="preserve"> </w:t>
      </w:r>
      <w:r w:rsidR="000A1AAE" w:rsidRPr="0050194B">
        <w:t>place</w:t>
      </w:r>
      <w:r w:rsidR="00D52FD0">
        <w:t xml:space="preserve"> </w:t>
      </w:r>
      <w:r w:rsidR="000A1AAE" w:rsidRPr="0050194B">
        <w:t>regularly.</w:t>
      </w:r>
      <w:r w:rsidR="00D52FD0">
        <w:t xml:space="preserve"> </w:t>
      </w:r>
      <w:r w:rsidR="000A1AAE" w:rsidRPr="0050194B">
        <w:t>Religious</w:t>
      </w:r>
      <w:r w:rsidR="00D52FD0">
        <w:t xml:space="preserve"> </w:t>
      </w:r>
      <w:r w:rsidR="000A1AAE" w:rsidRPr="0050194B">
        <w:t>books,</w:t>
      </w:r>
      <w:r w:rsidR="00D52FD0">
        <w:t xml:space="preserve"> </w:t>
      </w:r>
      <w:r w:rsidR="000A1AAE" w:rsidRPr="0050194B">
        <w:t>praying</w:t>
      </w:r>
      <w:r w:rsidR="00D52FD0">
        <w:t xml:space="preserve"> </w:t>
      </w:r>
      <w:r w:rsidR="000A1AAE" w:rsidRPr="0050194B">
        <w:t>rugs</w:t>
      </w:r>
      <w:r w:rsidR="00D52FD0">
        <w:t xml:space="preserve"> </w:t>
      </w:r>
      <w:r w:rsidR="000A1AAE" w:rsidRPr="0050194B">
        <w:t>and</w:t>
      </w:r>
      <w:r w:rsidR="00D52FD0">
        <w:t xml:space="preserve"> </w:t>
      </w:r>
      <w:r w:rsidR="000A1AAE" w:rsidRPr="0050194B">
        <w:t>food</w:t>
      </w:r>
      <w:r w:rsidR="00D52FD0">
        <w:t xml:space="preserve"> </w:t>
      </w:r>
      <w:r w:rsidR="000A1AAE" w:rsidRPr="0050194B">
        <w:t>associated</w:t>
      </w:r>
      <w:r w:rsidR="00D52FD0">
        <w:t xml:space="preserve"> </w:t>
      </w:r>
      <w:r w:rsidR="000A1AAE" w:rsidRPr="0050194B">
        <w:t>with</w:t>
      </w:r>
      <w:r w:rsidR="00D52FD0">
        <w:t xml:space="preserve"> </w:t>
      </w:r>
      <w:r w:rsidR="000A1AAE" w:rsidRPr="0050194B">
        <w:t>religious</w:t>
      </w:r>
      <w:r w:rsidR="00D52FD0">
        <w:t xml:space="preserve"> </w:t>
      </w:r>
      <w:r w:rsidR="000A1AAE" w:rsidRPr="0050194B">
        <w:t>festivals</w:t>
      </w:r>
      <w:r w:rsidR="00D52FD0">
        <w:t xml:space="preserve"> </w:t>
      </w:r>
      <w:r w:rsidR="000A1AAE" w:rsidRPr="0050194B">
        <w:t>are</w:t>
      </w:r>
      <w:r w:rsidR="00D52FD0">
        <w:t xml:space="preserve"> </w:t>
      </w:r>
      <w:r w:rsidR="000A1AAE" w:rsidRPr="0050194B">
        <w:t>distributed</w:t>
      </w:r>
      <w:r w:rsidR="00D52FD0">
        <w:t xml:space="preserve"> </w:t>
      </w:r>
      <w:r w:rsidR="000A1AAE" w:rsidRPr="0050194B">
        <w:t>during</w:t>
      </w:r>
      <w:r w:rsidR="00D52FD0">
        <w:t xml:space="preserve"> </w:t>
      </w:r>
      <w:r w:rsidR="000A1AAE" w:rsidRPr="0050194B">
        <w:t>these</w:t>
      </w:r>
      <w:r w:rsidR="00D52FD0">
        <w:t xml:space="preserve"> </w:t>
      </w:r>
      <w:r w:rsidR="000A1AAE" w:rsidRPr="0050194B">
        <w:t>visits.</w:t>
      </w:r>
    </w:p>
    <w:p w14:paraId="249899B6" w14:textId="77777777" w:rsidR="000E4FD0" w:rsidRDefault="00F73985" w:rsidP="00F73985">
      <w:pPr>
        <w:pStyle w:val="ParaNoG"/>
        <w:numPr>
          <w:ilvl w:val="0"/>
          <w:numId w:val="0"/>
        </w:numPr>
        <w:ind w:left="1134"/>
        <w:rPr>
          <w:rFonts w:eastAsia="Calibri"/>
          <w:color w:val="000000"/>
        </w:rPr>
      </w:pPr>
      <w:r>
        <w:tab/>
      </w:r>
      <w:r w:rsidR="000A1AAE">
        <w:t>(f)</w:t>
      </w:r>
      <w:r w:rsidR="000A1AAE" w:rsidRPr="0050194B">
        <w:tab/>
        <w:t>Hermes</w:t>
      </w:r>
      <w:r w:rsidR="00D52FD0">
        <w:t xml:space="preserve"> </w:t>
      </w:r>
      <w:r w:rsidR="000A1AAE" w:rsidRPr="0050194B">
        <w:t>Block,</w:t>
      </w:r>
      <w:r w:rsidR="00D52FD0">
        <w:t xml:space="preserve"> </w:t>
      </w:r>
      <w:r w:rsidR="000A1AAE" w:rsidRPr="0050194B">
        <w:t>formerly</w:t>
      </w:r>
      <w:r w:rsidR="00D52FD0">
        <w:t xml:space="preserve"> </w:t>
      </w:r>
      <w:r w:rsidR="000A1AAE" w:rsidRPr="0050194B">
        <w:t>used</w:t>
      </w:r>
      <w:r w:rsidR="00D52FD0">
        <w:t xml:space="preserve"> </w:t>
      </w:r>
      <w:r w:rsidR="000A1AAE" w:rsidRPr="0050194B">
        <w:t>as</w:t>
      </w:r>
      <w:r w:rsidR="00D52FD0">
        <w:t xml:space="preserve"> </w:t>
      </w:r>
      <w:r w:rsidR="000A1AAE" w:rsidRPr="0050194B">
        <w:t>a</w:t>
      </w:r>
      <w:r w:rsidR="00D52FD0">
        <w:t xml:space="preserve"> </w:t>
      </w:r>
      <w:r w:rsidR="000A1AAE" w:rsidRPr="0050194B">
        <w:t>detention</w:t>
      </w:r>
      <w:r w:rsidR="00D52FD0">
        <w:t xml:space="preserve"> </w:t>
      </w:r>
      <w:r w:rsidR="000A1AAE" w:rsidRPr="0050194B">
        <w:t>centre,</w:t>
      </w:r>
      <w:r w:rsidR="00D52FD0">
        <w:t xml:space="preserve"> </w:t>
      </w:r>
      <w:r w:rsidR="000A1AAE" w:rsidRPr="0050194B">
        <w:t>has</w:t>
      </w:r>
      <w:r w:rsidR="00D52FD0">
        <w:t xml:space="preserve"> </w:t>
      </w:r>
      <w:r w:rsidR="000A1AAE" w:rsidRPr="0050194B">
        <w:t>been</w:t>
      </w:r>
      <w:r w:rsidR="00D52FD0">
        <w:t xml:space="preserve"> </w:t>
      </w:r>
      <w:r w:rsidR="000A1AAE" w:rsidRPr="0050194B">
        <w:t>closed</w:t>
      </w:r>
      <w:r w:rsidR="00D52FD0">
        <w:t xml:space="preserve"> </w:t>
      </w:r>
      <w:r w:rsidR="000A1AAE" w:rsidRPr="0050194B">
        <w:t>down</w:t>
      </w:r>
      <w:r w:rsidR="00D52FD0">
        <w:t xml:space="preserve"> </w:t>
      </w:r>
      <w:r w:rsidR="000A1AAE" w:rsidRPr="0050194B">
        <w:t>to</w:t>
      </w:r>
      <w:r w:rsidR="00D52FD0">
        <w:t xml:space="preserve"> </w:t>
      </w:r>
      <w:r w:rsidR="000A1AAE" w:rsidRPr="0050194B">
        <w:t>undergo</w:t>
      </w:r>
      <w:r w:rsidR="00D52FD0">
        <w:t xml:space="preserve"> </w:t>
      </w:r>
      <w:r w:rsidR="000A1AAE" w:rsidRPr="0050194B">
        <w:t>extensive</w:t>
      </w:r>
      <w:r w:rsidR="00D52FD0">
        <w:t xml:space="preserve"> </w:t>
      </w:r>
      <w:r w:rsidR="000A1AAE" w:rsidRPr="0050194B">
        <w:t>maintenance</w:t>
      </w:r>
      <w:r w:rsidR="00D52FD0">
        <w:t xml:space="preserve"> </w:t>
      </w:r>
      <w:r w:rsidR="000A1AAE" w:rsidRPr="0050194B">
        <w:t>and</w:t>
      </w:r>
      <w:r w:rsidR="00D52FD0">
        <w:t xml:space="preserve"> </w:t>
      </w:r>
      <w:r w:rsidR="000A1AAE" w:rsidRPr="0050194B">
        <w:t>renovation</w:t>
      </w:r>
      <w:r w:rsidR="00D52FD0">
        <w:t xml:space="preserve"> </w:t>
      </w:r>
      <w:r w:rsidR="000A1AAE" w:rsidRPr="0050194B">
        <w:t>works.</w:t>
      </w:r>
    </w:p>
    <w:p w14:paraId="6BAEF27B" w14:textId="6BB89E2A" w:rsidR="000A1AAE" w:rsidRPr="00A841AA" w:rsidRDefault="000A1AAE" w:rsidP="00F73985">
      <w:pPr>
        <w:pStyle w:val="H23G"/>
      </w:pPr>
      <w:r>
        <w:tab/>
      </w:r>
      <w:r>
        <w:tab/>
      </w:r>
      <w:r w:rsidRPr="00A841AA">
        <w:t>The</w:t>
      </w:r>
      <w:r w:rsidR="00D52FD0">
        <w:t xml:space="preserve"> </w:t>
      </w:r>
      <w:r w:rsidRPr="00A841AA">
        <w:t>right</w:t>
      </w:r>
      <w:r w:rsidR="00D52FD0">
        <w:t xml:space="preserve"> </w:t>
      </w:r>
      <w:r w:rsidRPr="00A841AA">
        <w:t>to</w:t>
      </w:r>
      <w:r w:rsidR="00D52FD0">
        <w:t xml:space="preserve"> </w:t>
      </w:r>
      <w:r w:rsidRPr="00A841AA">
        <w:t>a</w:t>
      </w:r>
      <w:r w:rsidR="00D52FD0">
        <w:t xml:space="preserve"> </w:t>
      </w:r>
      <w:r w:rsidRPr="00A841AA">
        <w:t>fair</w:t>
      </w:r>
      <w:r w:rsidR="00D52FD0">
        <w:t xml:space="preserve"> </w:t>
      </w:r>
      <w:r w:rsidRPr="00A841AA">
        <w:t>trial</w:t>
      </w:r>
    </w:p>
    <w:p w14:paraId="31994DA6" w14:textId="68548990" w:rsidR="000A1AAE" w:rsidRPr="0050194B" w:rsidRDefault="0044637E" w:rsidP="0044637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50194B">
        <w:t>73.</w:t>
      </w:r>
      <w:r w:rsidRPr="0050194B">
        <w:tab/>
      </w:r>
      <w:r w:rsidR="000A1AAE" w:rsidRPr="0050194B">
        <w:t>According</w:t>
      </w:r>
      <w:r w:rsidR="00D52FD0">
        <w:t xml:space="preserve"> </w:t>
      </w:r>
      <w:r w:rsidR="000A1AAE" w:rsidRPr="0050194B">
        <w:t>to</w:t>
      </w:r>
      <w:r w:rsidR="00D52FD0">
        <w:t xml:space="preserve"> </w:t>
      </w:r>
      <w:r w:rsidR="000A1AAE" w:rsidRPr="0050194B">
        <w:t>Article</w:t>
      </w:r>
      <w:r w:rsidR="00D52FD0">
        <w:t xml:space="preserve"> </w:t>
      </w:r>
      <w:r w:rsidR="000A1AAE" w:rsidRPr="0050194B">
        <w:t>355AUA</w:t>
      </w:r>
      <w:r w:rsidR="00D52FD0">
        <w:t xml:space="preserve"> </w:t>
      </w:r>
      <w:r w:rsidR="000A1AAE" w:rsidRPr="0050194B">
        <w:t>of</w:t>
      </w:r>
      <w:r w:rsidR="00D52FD0">
        <w:t xml:space="preserve"> </w:t>
      </w:r>
      <w:r w:rsidR="000A1AAE" w:rsidRPr="0050194B">
        <w:t>the</w:t>
      </w:r>
      <w:r w:rsidR="00D52FD0">
        <w:t xml:space="preserve"> </w:t>
      </w:r>
      <w:r w:rsidR="000A1AAE" w:rsidRPr="0050194B">
        <w:t>Criminal</w:t>
      </w:r>
      <w:r w:rsidR="00D52FD0">
        <w:t xml:space="preserve"> </w:t>
      </w:r>
      <w:r w:rsidR="000A1AAE" w:rsidRPr="0050194B">
        <w:t>Code:</w:t>
      </w:r>
    </w:p>
    <w:p w14:paraId="749AA0EC" w14:textId="79CED797" w:rsidR="000E4FD0" w:rsidRDefault="006724F8" w:rsidP="006724F8">
      <w:pPr>
        <w:pStyle w:val="ParaNoG"/>
        <w:numPr>
          <w:ilvl w:val="0"/>
          <w:numId w:val="0"/>
        </w:numPr>
        <w:ind w:left="1134"/>
      </w:pPr>
      <w:r>
        <w:tab/>
      </w:r>
      <w:r w:rsidR="000A1AAE" w:rsidRPr="0050194B">
        <w:t>(1)</w:t>
      </w:r>
      <w:r w:rsidR="000A1AAE">
        <w:tab/>
      </w:r>
      <w:r w:rsidR="000A1AAE" w:rsidRPr="0050194B">
        <w:t>The</w:t>
      </w:r>
      <w:r w:rsidR="00D52FD0">
        <w:t xml:space="preserve"> </w:t>
      </w:r>
      <w:r w:rsidR="000A1AAE" w:rsidRPr="0050194B">
        <w:t>suspect</w:t>
      </w:r>
      <w:r w:rsidR="00D52FD0">
        <w:t xml:space="preserve"> </w:t>
      </w:r>
      <w:r w:rsidR="000A1AAE" w:rsidRPr="0050194B">
        <w:t>or</w:t>
      </w:r>
      <w:r w:rsidR="00D52FD0">
        <w:t xml:space="preserve"> </w:t>
      </w:r>
      <w:r w:rsidR="000A1AAE" w:rsidRPr="0050194B">
        <w:t>the</w:t>
      </w:r>
      <w:r w:rsidR="00D52FD0">
        <w:t xml:space="preserve"> </w:t>
      </w:r>
      <w:r w:rsidR="000A1AAE" w:rsidRPr="0050194B">
        <w:t>accused</w:t>
      </w:r>
      <w:r w:rsidR="00D52FD0">
        <w:t xml:space="preserve"> </w:t>
      </w:r>
      <w:r w:rsidR="000A1AAE" w:rsidRPr="0050194B">
        <w:t>person</w:t>
      </w:r>
      <w:r w:rsidR="00D52FD0">
        <w:t xml:space="preserve"> </w:t>
      </w:r>
      <w:r w:rsidR="000A1AAE" w:rsidRPr="0050194B">
        <w:t>shall</w:t>
      </w:r>
      <w:r w:rsidR="00D52FD0">
        <w:t xml:space="preserve"> </w:t>
      </w:r>
      <w:r w:rsidR="000A1AAE" w:rsidRPr="0050194B">
        <w:t>have</w:t>
      </w:r>
      <w:r w:rsidR="00D52FD0">
        <w:t xml:space="preserve"> </w:t>
      </w:r>
      <w:r w:rsidR="000A1AAE" w:rsidRPr="0050194B">
        <w:t>the</w:t>
      </w:r>
      <w:r w:rsidR="00D52FD0">
        <w:t xml:space="preserve"> </w:t>
      </w:r>
      <w:r w:rsidR="000A1AAE" w:rsidRPr="0050194B">
        <w:t>right</w:t>
      </w:r>
      <w:r w:rsidR="00D52FD0">
        <w:t xml:space="preserve"> </w:t>
      </w:r>
      <w:r w:rsidR="000A1AAE" w:rsidRPr="0050194B">
        <w:t>of</w:t>
      </w:r>
      <w:r w:rsidR="00D52FD0">
        <w:t xml:space="preserve"> </w:t>
      </w:r>
      <w:r w:rsidR="000A1AAE" w:rsidRPr="0050194B">
        <w:t>access</w:t>
      </w:r>
      <w:r w:rsidR="00D52FD0">
        <w:t xml:space="preserve"> </w:t>
      </w:r>
      <w:r w:rsidR="000A1AAE" w:rsidRPr="0050194B">
        <w:t>to</w:t>
      </w:r>
      <w:r w:rsidR="00D52FD0">
        <w:t xml:space="preserve"> </w:t>
      </w:r>
      <w:r w:rsidR="000A1AAE" w:rsidRPr="0050194B">
        <w:t>a</w:t>
      </w:r>
      <w:r w:rsidR="00D52FD0">
        <w:t xml:space="preserve"> </w:t>
      </w:r>
      <w:r w:rsidR="000A1AAE" w:rsidRPr="0050194B">
        <w:t>lawyer</w:t>
      </w:r>
      <w:r w:rsidR="00D52FD0">
        <w:t xml:space="preserve"> </w:t>
      </w:r>
      <w:r w:rsidR="000A1AAE" w:rsidRPr="0050194B">
        <w:t>in</w:t>
      </w:r>
      <w:r w:rsidR="00D52FD0">
        <w:t xml:space="preserve"> </w:t>
      </w:r>
      <w:r w:rsidR="000A1AAE" w:rsidRPr="0050194B">
        <w:t>such</w:t>
      </w:r>
      <w:r w:rsidR="00D52FD0">
        <w:t xml:space="preserve"> </w:t>
      </w:r>
      <w:r w:rsidR="000A1AAE" w:rsidRPr="0050194B">
        <w:t>time</w:t>
      </w:r>
      <w:r w:rsidR="00D52FD0">
        <w:t xml:space="preserve"> </w:t>
      </w:r>
      <w:r w:rsidR="000A1AAE" w:rsidRPr="0050194B">
        <w:t>and</w:t>
      </w:r>
      <w:r w:rsidR="00D52FD0">
        <w:t xml:space="preserve"> </w:t>
      </w:r>
      <w:r w:rsidR="000A1AAE" w:rsidRPr="0050194B">
        <w:t>in</w:t>
      </w:r>
      <w:r w:rsidR="00D52FD0">
        <w:t xml:space="preserve"> </w:t>
      </w:r>
      <w:r w:rsidR="000A1AAE" w:rsidRPr="0050194B">
        <w:t>such</w:t>
      </w:r>
      <w:r w:rsidR="00D52FD0">
        <w:t xml:space="preserve"> </w:t>
      </w:r>
      <w:r w:rsidR="000A1AAE" w:rsidRPr="0050194B">
        <w:t>a</w:t>
      </w:r>
      <w:r w:rsidR="00D52FD0">
        <w:t xml:space="preserve"> </w:t>
      </w:r>
      <w:r w:rsidR="000A1AAE" w:rsidRPr="0050194B">
        <w:t>manner</w:t>
      </w:r>
      <w:r w:rsidR="00D52FD0">
        <w:t xml:space="preserve"> </w:t>
      </w:r>
      <w:r w:rsidR="000A1AAE" w:rsidRPr="0050194B">
        <w:t>so</w:t>
      </w:r>
      <w:r w:rsidR="00D52FD0">
        <w:t xml:space="preserve"> </w:t>
      </w:r>
      <w:r w:rsidR="000A1AAE" w:rsidRPr="0050194B">
        <w:t>as</w:t>
      </w:r>
      <w:r w:rsidR="00D52FD0">
        <w:t xml:space="preserve"> </w:t>
      </w:r>
      <w:r w:rsidR="000A1AAE" w:rsidRPr="0050194B">
        <w:t>to</w:t>
      </w:r>
      <w:r w:rsidR="00D52FD0">
        <w:t xml:space="preserve"> </w:t>
      </w:r>
      <w:r w:rsidR="000A1AAE" w:rsidRPr="0050194B">
        <w:t>allow</w:t>
      </w:r>
      <w:r w:rsidR="00D52FD0">
        <w:t xml:space="preserve"> </w:t>
      </w:r>
      <w:r w:rsidR="000A1AAE" w:rsidRPr="0050194B">
        <w:t>him</w:t>
      </w:r>
      <w:r w:rsidR="00D52FD0">
        <w:t xml:space="preserve"> </w:t>
      </w:r>
      <w:r w:rsidR="000A1AAE" w:rsidRPr="0050194B">
        <w:t>to</w:t>
      </w:r>
      <w:r w:rsidR="00D52FD0">
        <w:t xml:space="preserve"> </w:t>
      </w:r>
      <w:r w:rsidR="000A1AAE" w:rsidRPr="0050194B">
        <w:t>exercise</w:t>
      </w:r>
      <w:r w:rsidR="00D52FD0">
        <w:t xml:space="preserve"> </w:t>
      </w:r>
      <w:r w:rsidR="000A1AAE" w:rsidRPr="0050194B">
        <w:t>his</w:t>
      </w:r>
      <w:r w:rsidR="00D52FD0">
        <w:t xml:space="preserve"> </w:t>
      </w:r>
      <w:r w:rsidR="000A1AAE" w:rsidRPr="0050194B">
        <w:t>rights</w:t>
      </w:r>
      <w:r w:rsidR="00D52FD0">
        <w:t xml:space="preserve"> </w:t>
      </w:r>
      <w:r w:rsidR="000A1AAE" w:rsidRPr="0050194B">
        <w:t>of</w:t>
      </w:r>
      <w:r w:rsidR="00D52FD0">
        <w:t xml:space="preserve"> </w:t>
      </w:r>
      <w:r w:rsidR="000A1AAE" w:rsidRPr="0050194B">
        <w:t>defence</w:t>
      </w:r>
      <w:r w:rsidR="00D52FD0">
        <w:t xml:space="preserve"> </w:t>
      </w:r>
      <w:r w:rsidR="000A1AAE" w:rsidRPr="0050194B">
        <w:t>practically</w:t>
      </w:r>
      <w:r w:rsidR="00D52FD0">
        <w:t xml:space="preserve"> </w:t>
      </w:r>
      <w:r w:rsidR="000A1AAE" w:rsidRPr="0050194B">
        <w:t>and</w:t>
      </w:r>
      <w:r w:rsidR="00D52FD0">
        <w:t xml:space="preserve"> </w:t>
      </w:r>
      <w:r w:rsidR="000A1AAE" w:rsidRPr="0050194B">
        <w:t>effectively.</w:t>
      </w:r>
    </w:p>
    <w:p w14:paraId="3B919A8B" w14:textId="0F31BC83" w:rsidR="000E4FD0" w:rsidRDefault="006724F8" w:rsidP="006724F8">
      <w:pPr>
        <w:pStyle w:val="ParaNoG"/>
        <w:numPr>
          <w:ilvl w:val="0"/>
          <w:numId w:val="0"/>
        </w:numPr>
        <w:ind w:left="1134"/>
      </w:pPr>
      <w:r>
        <w:tab/>
      </w:r>
      <w:r w:rsidR="000A1AAE" w:rsidRPr="0050194B">
        <w:t>(2)</w:t>
      </w:r>
      <w:r w:rsidR="000A1AAE">
        <w:tab/>
      </w:r>
      <w:r w:rsidR="000A1AAE" w:rsidRPr="0050194B">
        <w:t>The</w:t>
      </w:r>
      <w:r w:rsidR="00D52FD0">
        <w:t xml:space="preserve"> </w:t>
      </w:r>
      <w:r w:rsidR="000A1AAE" w:rsidRPr="0050194B">
        <w:t>suspect</w:t>
      </w:r>
      <w:r w:rsidR="00D52FD0">
        <w:t xml:space="preserve"> </w:t>
      </w:r>
      <w:r w:rsidR="000A1AAE" w:rsidRPr="0050194B">
        <w:t>or</w:t>
      </w:r>
      <w:r w:rsidR="00D52FD0">
        <w:t xml:space="preserve"> </w:t>
      </w:r>
      <w:r w:rsidR="000A1AAE" w:rsidRPr="0050194B">
        <w:t>the</w:t>
      </w:r>
      <w:r w:rsidR="00D52FD0">
        <w:t xml:space="preserve"> </w:t>
      </w:r>
      <w:r w:rsidR="000A1AAE" w:rsidRPr="0050194B">
        <w:t>accused</w:t>
      </w:r>
      <w:r w:rsidR="00D52FD0">
        <w:t xml:space="preserve"> </w:t>
      </w:r>
      <w:r w:rsidR="000A1AAE" w:rsidRPr="0050194B">
        <w:t>person</w:t>
      </w:r>
      <w:r w:rsidR="00D52FD0">
        <w:t xml:space="preserve"> </w:t>
      </w:r>
      <w:r w:rsidR="000A1AAE" w:rsidRPr="0050194B">
        <w:t>shall</w:t>
      </w:r>
      <w:r w:rsidR="00D52FD0">
        <w:t xml:space="preserve"> </w:t>
      </w:r>
      <w:r w:rsidR="000A1AAE" w:rsidRPr="0050194B">
        <w:t>have</w:t>
      </w:r>
      <w:r w:rsidR="00D52FD0">
        <w:t xml:space="preserve"> </w:t>
      </w:r>
      <w:r w:rsidR="000A1AAE" w:rsidRPr="0050194B">
        <w:t>access</w:t>
      </w:r>
      <w:r w:rsidR="00D52FD0">
        <w:t xml:space="preserve"> </w:t>
      </w:r>
      <w:r w:rsidR="000A1AAE" w:rsidRPr="0050194B">
        <w:t>to</w:t>
      </w:r>
      <w:r w:rsidR="00D52FD0">
        <w:t xml:space="preserve"> </w:t>
      </w:r>
      <w:r w:rsidR="000A1AAE" w:rsidRPr="0050194B">
        <w:t>a</w:t>
      </w:r>
      <w:r w:rsidR="00D52FD0">
        <w:t xml:space="preserve"> </w:t>
      </w:r>
      <w:r w:rsidR="000A1AAE" w:rsidRPr="0050194B">
        <w:t>lawyer</w:t>
      </w:r>
      <w:r w:rsidR="00D52FD0">
        <w:t xml:space="preserve"> </w:t>
      </w:r>
      <w:r w:rsidR="000A1AAE" w:rsidRPr="0050194B">
        <w:t>without</w:t>
      </w:r>
      <w:r w:rsidR="00D52FD0">
        <w:t xml:space="preserve"> </w:t>
      </w:r>
      <w:r w:rsidR="000A1AAE" w:rsidRPr="0050194B">
        <w:t>undue</w:t>
      </w:r>
      <w:r w:rsidR="00D52FD0">
        <w:t xml:space="preserve"> </w:t>
      </w:r>
      <w:r w:rsidR="000A1AAE" w:rsidRPr="0050194B">
        <w:t>delay.</w:t>
      </w:r>
      <w:r w:rsidR="00D52FD0">
        <w:t xml:space="preserve"> </w:t>
      </w:r>
      <w:r w:rsidR="000A1AAE" w:rsidRPr="0050194B">
        <w:t>In</w:t>
      </w:r>
      <w:r w:rsidR="00D52FD0">
        <w:t xml:space="preserve"> </w:t>
      </w:r>
      <w:r w:rsidR="000A1AAE" w:rsidRPr="0050194B">
        <w:t>any</w:t>
      </w:r>
      <w:r w:rsidR="00D52FD0">
        <w:t xml:space="preserve"> </w:t>
      </w:r>
      <w:r w:rsidR="000A1AAE" w:rsidRPr="0050194B">
        <w:t>event,</w:t>
      </w:r>
      <w:r w:rsidR="00D52FD0">
        <w:t xml:space="preserve"> </w:t>
      </w:r>
      <w:r w:rsidR="000A1AAE" w:rsidRPr="0050194B">
        <w:t>the</w:t>
      </w:r>
      <w:r w:rsidR="00D52FD0">
        <w:t xml:space="preserve"> </w:t>
      </w:r>
      <w:r w:rsidR="000A1AAE" w:rsidRPr="0050194B">
        <w:t>suspect</w:t>
      </w:r>
      <w:r w:rsidR="00D52FD0">
        <w:t xml:space="preserve"> </w:t>
      </w:r>
      <w:r w:rsidR="000A1AAE" w:rsidRPr="0050194B">
        <w:t>or</w:t>
      </w:r>
      <w:r w:rsidR="00D52FD0">
        <w:t xml:space="preserve"> </w:t>
      </w:r>
      <w:r w:rsidR="000A1AAE" w:rsidRPr="0050194B">
        <w:t>the</w:t>
      </w:r>
      <w:r w:rsidR="00D52FD0">
        <w:t xml:space="preserve"> </w:t>
      </w:r>
      <w:r w:rsidR="000A1AAE" w:rsidRPr="0050194B">
        <w:t>accused</w:t>
      </w:r>
      <w:r w:rsidR="00D52FD0">
        <w:t xml:space="preserve"> </w:t>
      </w:r>
      <w:r w:rsidR="000A1AAE" w:rsidRPr="0050194B">
        <w:t>person</w:t>
      </w:r>
      <w:r w:rsidR="00D52FD0">
        <w:t xml:space="preserve"> </w:t>
      </w:r>
      <w:r w:rsidR="000A1AAE" w:rsidRPr="0050194B">
        <w:t>shall</w:t>
      </w:r>
      <w:r w:rsidR="00D52FD0">
        <w:t xml:space="preserve"> </w:t>
      </w:r>
      <w:r w:rsidR="000A1AAE" w:rsidRPr="0050194B">
        <w:t>have</w:t>
      </w:r>
      <w:r w:rsidR="00D52FD0">
        <w:t xml:space="preserve"> </w:t>
      </w:r>
      <w:r w:rsidR="000A1AAE" w:rsidRPr="0050194B">
        <w:t>access</w:t>
      </w:r>
      <w:r w:rsidR="00D52FD0">
        <w:t xml:space="preserve"> </w:t>
      </w:r>
      <w:r w:rsidR="000A1AAE" w:rsidRPr="0050194B">
        <w:t>to</w:t>
      </w:r>
      <w:r w:rsidR="00D52FD0">
        <w:t xml:space="preserve"> </w:t>
      </w:r>
      <w:r w:rsidR="000A1AAE" w:rsidRPr="0050194B">
        <w:t>a</w:t>
      </w:r>
      <w:r w:rsidR="00D52FD0">
        <w:t xml:space="preserve"> </w:t>
      </w:r>
      <w:r w:rsidR="000A1AAE" w:rsidRPr="0050194B">
        <w:t>lawyer</w:t>
      </w:r>
      <w:r w:rsidR="00D52FD0">
        <w:t xml:space="preserve"> </w:t>
      </w:r>
      <w:r w:rsidR="000A1AAE" w:rsidRPr="0050194B">
        <w:t>from</w:t>
      </w:r>
      <w:r w:rsidR="00D52FD0">
        <w:t xml:space="preserve"> </w:t>
      </w:r>
      <w:r w:rsidR="000A1AAE" w:rsidRPr="0050194B">
        <w:t>whichever</w:t>
      </w:r>
      <w:r w:rsidR="00D52FD0">
        <w:t xml:space="preserve"> </w:t>
      </w:r>
      <w:r w:rsidR="000A1AAE" w:rsidRPr="0050194B">
        <w:t>of</w:t>
      </w:r>
      <w:r w:rsidR="00D52FD0">
        <w:t xml:space="preserve"> </w:t>
      </w:r>
      <w:r w:rsidR="000A1AAE" w:rsidRPr="0050194B">
        <w:t>the</w:t>
      </w:r>
      <w:r w:rsidR="00D52FD0">
        <w:t xml:space="preserve"> </w:t>
      </w:r>
      <w:r w:rsidR="000A1AAE" w:rsidRPr="0050194B">
        <w:t>following</w:t>
      </w:r>
      <w:r w:rsidR="00D52FD0">
        <w:t xml:space="preserve"> </w:t>
      </w:r>
      <w:r w:rsidR="000A1AAE" w:rsidRPr="0050194B">
        <w:t>points</w:t>
      </w:r>
      <w:r w:rsidR="00D52FD0">
        <w:t xml:space="preserve"> </w:t>
      </w:r>
      <w:r w:rsidR="000A1AAE" w:rsidRPr="0050194B">
        <w:t>in</w:t>
      </w:r>
      <w:r w:rsidR="00D52FD0">
        <w:t xml:space="preserve"> </w:t>
      </w:r>
      <w:r w:rsidR="000A1AAE" w:rsidRPr="0050194B">
        <w:t>time</w:t>
      </w:r>
      <w:r w:rsidR="00D52FD0">
        <w:t xml:space="preserve"> </w:t>
      </w:r>
      <w:r w:rsidR="000A1AAE" w:rsidRPr="0050194B">
        <w:t>is</w:t>
      </w:r>
      <w:r w:rsidR="00D52FD0">
        <w:t xml:space="preserve"> </w:t>
      </w:r>
      <w:r w:rsidR="000A1AAE" w:rsidRPr="0050194B">
        <w:t>the</w:t>
      </w:r>
      <w:r w:rsidR="00D52FD0">
        <w:t xml:space="preserve"> </w:t>
      </w:r>
      <w:r w:rsidR="000A1AAE" w:rsidRPr="0050194B">
        <w:t>earliest:</w:t>
      </w:r>
    </w:p>
    <w:p w14:paraId="1F9E1B62" w14:textId="02199C6D" w:rsidR="000E4FD0" w:rsidRDefault="006724F8" w:rsidP="006724F8">
      <w:pPr>
        <w:pStyle w:val="ParaNoG"/>
        <w:numPr>
          <w:ilvl w:val="0"/>
          <w:numId w:val="0"/>
        </w:numPr>
        <w:ind w:left="1134"/>
      </w:pPr>
      <w:r>
        <w:tab/>
      </w:r>
      <w:r w:rsidR="000A1AAE" w:rsidRPr="0050194B">
        <w:t>(a)</w:t>
      </w:r>
      <w:r>
        <w:tab/>
      </w:r>
      <w:r w:rsidR="000A1AAE" w:rsidRPr="0050194B">
        <w:t>before</w:t>
      </w:r>
      <w:r w:rsidR="00D52FD0">
        <w:t xml:space="preserve"> </w:t>
      </w:r>
      <w:r w:rsidR="000A1AAE" w:rsidRPr="0050194B">
        <w:t>they</w:t>
      </w:r>
      <w:r w:rsidR="00D52FD0">
        <w:t xml:space="preserve"> </w:t>
      </w:r>
      <w:r w:rsidR="000A1AAE" w:rsidRPr="0050194B">
        <w:t>are</w:t>
      </w:r>
      <w:r w:rsidR="00D52FD0">
        <w:t xml:space="preserve"> </w:t>
      </w:r>
      <w:r w:rsidR="000A1AAE" w:rsidRPr="0050194B">
        <w:t>questioned</w:t>
      </w:r>
      <w:r w:rsidR="00D52FD0">
        <w:t xml:space="preserve"> </w:t>
      </w:r>
      <w:r w:rsidR="000A1AAE" w:rsidRPr="0050194B">
        <w:t>by</w:t>
      </w:r>
      <w:r w:rsidR="00D52FD0">
        <w:t xml:space="preserve"> </w:t>
      </w:r>
      <w:r w:rsidR="000A1AAE" w:rsidRPr="0050194B">
        <w:t>the</w:t>
      </w:r>
      <w:r w:rsidR="00D52FD0">
        <w:t xml:space="preserve"> </w:t>
      </w:r>
      <w:r w:rsidR="000A1AAE" w:rsidRPr="0050194B">
        <w:t>Executive</w:t>
      </w:r>
      <w:r w:rsidR="00D52FD0">
        <w:t xml:space="preserve"> </w:t>
      </w:r>
      <w:r w:rsidR="000A1AAE" w:rsidRPr="0050194B">
        <w:t>Police</w:t>
      </w:r>
      <w:r w:rsidR="00D52FD0">
        <w:t xml:space="preserve"> </w:t>
      </w:r>
      <w:r w:rsidR="000A1AAE" w:rsidRPr="0050194B">
        <w:t>or</w:t>
      </w:r>
      <w:r w:rsidR="00D52FD0">
        <w:t xml:space="preserve"> </w:t>
      </w:r>
      <w:r w:rsidR="000A1AAE" w:rsidRPr="0050194B">
        <w:t>CRIMINAL</w:t>
      </w:r>
      <w:r w:rsidR="00D52FD0">
        <w:t xml:space="preserve"> </w:t>
      </w:r>
      <w:r w:rsidR="000A1AAE" w:rsidRPr="0050194B">
        <w:t>CODE</w:t>
      </w:r>
      <w:r w:rsidR="00D52FD0">
        <w:t xml:space="preserve"> </w:t>
      </w:r>
      <w:r w:rsidR="000A1AAE" w:rsidRPr="0050194B">
        <w:t>[CAP.</w:t>
      </w:r>
      <w:r w:rsidR="00D52FD0">
        <w:t xml:space="preserve"> </w:t>
      </w:r>
      <w:r w:rsidR="000A1AAE" w:rsidRPr="0050194B">
        <w:t>9.</w:t>
      </w:r>
      <w:r w:rsidR="00D52FD0">
        <w:t xml:space="preserve"> </w:t>
      </w:r>
      <w:r w:rsidR="000A1AAE" w:rsidRPr="0050194B">
        <w:t>207</w:t>
      </w:r>
      <w:r w:rsidR="00D52FD0">
        <w:t xml:space="preserve"> </w:t>
      </w:r>
      <w:r w:rsidR="000A1AAE" w:rsidRPr="0050194B">
        <w:t>by</w:t>
      </w:r>
      <w:r w:rsidR="00D52FD0">
        <w:t xml:space="preserve"> </w:t>
      </w:r>
      <w:r w:rsidR="000A1AAE" w:rsidRPr="0050194B">
        <w:t>another</w:t>
      </w:r>
      <w:r w:rsidR="00D52FD0">
        <w:t xml:space="preserve"> </w:t>
      </w:r>
      <w:r w:rsidR="000A1AAE" w:rsidRPr="0050194B">
        <w:t>law</w:t>
      </w:r>
      <w:r w:rsidR="00D52FD0">
        <w:t xml:space="preserve"> </w:t>
      </w:r>
      <w:r w:rsidR="000A1AAE" w:rsidRPr="0050194B">
        <w:t>enforcement</w:t>
      </w:r>
      <w:r w:rsidR="00D52FD0">
        <w:t xml:space="preserve"> </w:t>
      </w:r>
      <w:r w:rsidR="000A1AAE" w:rsidRPr="0050194B">
        <w:t>or</w:t>
      </w:r>
      <w:r w:rsidR="00D52FD0">
        <w:t xml:space="preserve"> </w:t>
      </w:r>
      <w:r w:rsidR="000A1AAE" w:rsidRPr="0050194B">
        <w:t>judicial</w:t>
      </w:r>
      <w:r w:rsidR="00D52FD0">
        <w:t xml:space="preserve"> </w:t>
      </w:r>
      <w:r w:rsidR="000A1AAE" w:rsidRPr="0050194B">
        <w:t>authority</w:t>
      </w:r>
      <w:r w:rsidR="00D52FD0">
        <w:t xml:space="preserve"> </w:t>
      </w:r>
      <w:r w:rsidR="000A1AAE" w:rsidRPr="0050194B">
        <w:t>in</w:t>
      </w:r>
      <w:r w:rsidR="00D52FD0">
        <w:t xml:space="preserve"> </w:t>
      </w:r>
      <w:r w:rsidR="000A1AAE" w:rsidRPr="0050194B">
        <w:t>respect</w:t>
      </w:r>
      <w:r w:rsidR="00D52FD0">
        <w:t xml:space="preserve"> </w:t>
      </w:r>
      <w:r w:rsidR="000A1AAE" w:rsidRPr="0050194B">
        <w:t>of</w:t>
      </w:r>
      <w:r w:rsidR="00D52FD0">
        <w:t xml:space="preserve"> </w:t>
      </w:r>
      <w:r w:rsidR="000A1AAE" w:rsidRPr="0050194B">
        <w:t>the</w:t>
      </w:r>
      <w:r w:rsidR="00D52FD0">
        <w:t xml:space="preserve"> </w:t>
      </w:r>
      <w:r w:rsidR="000A1AAE" w:rsidRPr="0050194B">
        <w:t>commission</w:t>
      </w:r>
      <w:r w:rsidR="00D52FD0">
        <w:t xml:space="preserve"> </w:t>
      </w:r>
      <w:r w:rsidR="000A1AAE" w:rsidRPr="0050194B">
        <w:t>of</w:t>
      </w:r>
      <w:r w:rsidR="00D52FD0">
        <w:t xml:space="preserve"> </w:t>
      </w:r>
      <w:r w:rsidR="000A1AAE" w:rsidRPr="0050194B">
        <w:t>a</w:t>
      </w:r>
      <w:r w:rsidR="00D52FD0">
        <w:t xml:space="preserve"> </w:t>
      </w:r>
      <w:r w:rsidR="000A1AAE" w:rsidRPr="0050194B">
        <w:t>criminal</w:t>
      </w:r>
      <w:r w:rsidR="00D52FD0">
        <w:t xml:space="preserve"> </w:t>
      </w:r>
      <w:r w:rsidR="000A1AAE" w:rsidRPr="0050194B">
        <w:t>offence;</w:t>
      </w:r>
    </w:p>
    <w:p w14:paraId="38D7E324" w14:textId="2B92A2DE" w:rsidR="000E4FD0" w:rsidRDefault="006724F8" w:rsidP="006724F8">
      <w:pPr>
        <w:pStyle w:val="ParaNoG"/>
        <w:numPr>
          <w:ilvl w:val="0"/>
          <w:numId w:val="0"/>
        </w:numPr>
        <w:ind w:left="1134"/>
      </w:pPr>
      <w:r>
        <w:tab/>
      </w:r>
      <w:r w:rsidR="000A1AAE" w:rsidRPr="0050194B">
        <w:t>(b)</w:t>
      </w:r>
      <w:r>
        <w:tab/>
      </w:r>
      <w:r w:rsidR="000A1AAE" w:rsidRPr="0050194B">
        <w:t>upon</w:t>
      </w:r>
      <w:r w:rsidR="00D52FD0">
        <w:t xml:space="preserve"> </w:t>
      </w:r>
      <w:r w:rsidR="000A1AAE" w:rsidRPr="0050194B">
        <w:t>the</w:t>
      </w:r>
      <w:r w:rsidR="00D52FD0">
        <w:t xml:space="preserve"> </w:t>
      </w:r>
      <w:r w:rsidR="000A1AAE" w:rsidRPr="0050194B">
        <w:t>carrying</w:t>
      </w:r>
      <w:r w:rsidR="00D52FD0">
        <w:t xml:space="preserve"> </w:t>
      </w:r>
      <w:r w:rsidR="000A1AAE" w:rsidRPr="0050194B">
        <w:t>out</w:t>
      </w:r>
      <w:r w:rsidR="00D52FD0">
        <w:t xml:space="preserve"> </w:t>
      </w:r>
      <w:r w:rsidR="000A1AAE" w:rsidRPr="0050194B">
        <w:t>by</w:t>
      </w:r>
      <w:r w:rsidR="00D52FD0">
        <w:t xml:space="preserve"> </w:t>
      </w:r>
      <w:r w:rsidR="000A1AAE" w:rsidRPr="0050194B">
        <w:t>investigating</w:t>
      </w:r>
      <w:r w:rsidR="00D52FD0">
        <w:t xml:space="preserve"> </w:t>
      </w:r>
      <w:r w:rsidR="000A1AAE" w:rsidRPr="0050194B">
        <w:t>or</w:t>
      </w:r>
      <w:r w:rsidR="00D52FD0">
        <w:t xml:space="preserve"> </w:t>
      </w:r>
      <w:r w:rsidR="000A1AAE" w:rsidRPr="0050194B">
        <w:t>other</w:t>
      </w:r>
      <w:r w:rsidR="00D52FD0">
        <w:t xml:space="preserve"> </w:t>
      </w:r>
      <w:r w:rsidR="000A1AAE" w:rsidRPr="0050194B">
        <w:t>competent</w:t>
      </w:r>
      <w:r w:rsidR="00D52FD0">
        <w:t xml:space="preserve"> </w:t>
      </w:r>
      <w:r w:rsidR="000A1AAE" w:rsidRPr="0050194B">
        <w:t>authorities</w:t>
      </w:r>
      <w:r w:rsidR="00D52FD0">
        <w:t xml:space="preserve"> </w:t>
      </w:r>
      <w:r w:rsidR="000A1AAE" w:rsidRPr="0050194B">
        <w:t>of</w:t>
      </w:r>
      <w:r w:rsidR="00D52FD0">
        <w:t xml:space="preserve"> </w:t>
      </w:r>
      <w:r w:rsidR="000A1AAE" w:rsidRPr="0050194B">
        <w:t>an</w:t>
      </w:r>
      <w:r w:rsidR="00D52FD0">
        <w:t xml:space="preserve"> </w:t>
      </w:r>
      <w:r w:rsidR="000A1AAE" w:rsidRPr="0050194B">
        <w:t>investigative</w:t>
      </w:r>
      <w:r w:rsidR="00D52FD0">
        <w:t xml:space="preserve"> </w:t>
      </w:r>
      <w:r w:rsidR="000A1AAE" w:rsidRPr="0050194B">
        <w:t>or</w:t>
      </w:r>
      <w:r w:rsidR="00D52FD0">
        <w:t xml:space="preserve"> </w:t>
      </w:r>
      <w:r w:rsidR="000A1AAE" w:rsidRPr="0050194B">
        <w:t>other</w:t>
      </w:r>
      <w:r w:rsidR="00D52FD0">
        <w:t xml:space="preserve"> </w:t>
      </w:r>
      <w:r w:rsidR="000A1AAE" w:rsidRPr="0050194B">
        <w:t>evidence-gathering</w:t>
      </w:r>
      <w:r w:rsidR="00D52FD0">
        <w:t xml:space="preserve"> </w:t>
      </w:r>
      <w:r w:rsidR="000A1AAE" w:rsidRPr="0050194B">
        <w:t>act</w:t>
      </w:r>
      <w:r w:rsidR="00D52FD0">
        <w:t xml:space="preserve"> </w:t>
      </w:r>
      <w:r w:rsidR="000A1AAE" w:rsidRPr="0050194B">
        <w:t>in</w:t>
      </w:r>
      <w:r w:rsidR="00D52FD0">
        <w:t xml:space="preserve"> </w:t>
      </w:r>
      <w:r w:rsidR="000A1AAE" w:rsidRPr="0050194B">
        <w:t>accordance</w:t>
      </w:r>
      <w:r w:rsidR="00D52FD0">
        <w:t xml:space="preserve"> </w:t>
      </w:r>
      <w:r w:rsidR="000A1AAE" w:rsidRPr="0050194B">
        <w:t>with</w:t>
      </w:r>
      <w:r w:rsidR="00D52FD0">
        <w:t xml:space="preserve"> </w:t>
      </w:r>
      <w:r w:rsidR="000A1AAE" w:rsidRPr="0050194B">
        <w:t>sub-article</w:t>
      </w:r>
      <w:r w:rsidR="00D52FD0">
        <w:t xml:space="preserve"> </w:t>
      </w:r>
      <w:r w:rsidR="000A1AAE" w:rsidRPr="0050194B">
        <w:t>(8)(e);</w:t>
      </w:r>
    </w:p>
    <w:p w14:paraId="08647B4E" w14:textId="337EEB01" w:rsidR="000E4FD0" w:rsidRDefault="006724F8" w:rsidP="006724F8">
      <w:pPr>
        <w:pStyle w:val="ParaNoG"/>
        <w:numPr>
          <w:ilvl w:val="0"/>
          <w:numId w:val="0"/>
        </w:numPr>
        <w:ind w:left="1134"/>
      </w:pPr>
      <w:r>
        <w:tab/>
      </w:r>
      <w:r w:rsidR="000A1AAE" w:rsidRPr="0050194B">
        <w:t>(c)</w:t>
      </w:r>
      <w:r>
        <w:tab/>
      </w:r>
      <w:r w:rsidR="000A1AAE" w:rsidRPr="0050194B">
        <w:t>without</w:t>
      </w:r>
      <w:r w:rsidR="00D52FD0">
        <w:t xml:space="preserve"> </w:t>
      </w:r>
      <w:r w:rsidR="000A1AAE" w:rsidRPr="0050194B">
        <w:t>undue</w:t>
      </w:r>
      <w:r w:rsidR="00D52FD0">
        <w:t xml:space="preserve"> </w:t>
      </w:r>
      <w:r w:rsidR="000A1AAE" w:rsidRPr="0050194B">
        <w:t>delay</w:t>
      </w:r>
      <w:r w:rsidR="00D52FD0">
        <w:t xml:space="preserve"> </w:t>
      </w:r>
      <w:r w:rsidR="000A1AAE" w:rsidRPr="0050194B">
        <w:t>after</w:t>
      </w:r>
      <w:r w:rsidR="00D52FD0">
        <w:t xml:space="preserve"> </w:t>
      </w:r>
      <w:r w:rsidR="000A1AAE" w:rsidRPr="0050194B">
        <w:t>deprivation</w:t>
      </w:r>
      <w:r w:rsidR="00D52FD0">
        <w:t xml:space="preserve"> </w:t>
      </w:r>
      <w:r w:rsidR="000A1AAE" w:rsidRPr="0050194B">
        <w:t>of</w:t>
      </w:r>
      <w:r w:rsidR="00D52FD0">
        <w:t xml:space="preserve"> </w:t>
      </w:r>
      <w:r w:rsidR="000A1AAE" w:rsidRPr="0050194B">
        <w:t>liberty;</w:t>
      </w:r>
    </w:p>
    <w:p w14:paraId="5831E927" w14:textId="270A535E" w:rsidR="000A1AAE" w:rsidRPr="0050194B" w:rsidRDefault="006724F8" w:rsidP="006724F8">
      <w:pPr>
        <w:pStyle w:val="ParaNoG"/>
        <w:numPr>
          <w:ilvl w:val="0"/>
          <w:numId w:val="0"/>
        </w:numPr>
        <w:ind w:left="1134"/>
      </w:pPr>
      <w:r>
        <w:tab/>
      </w:r>
      <w:r w:rsidR="000A1AAE" w:rsidRPr="0050194B">
        <w:t>(d)</w:t>
      </w:r>
      <w:r>
        <w:tab/>
      </w:r>
      <w:r w:rsidR="000A1AAE" w:rsidRPr="0050194B">
        <w:t>where</w:t>
      </w:r>
      <w:r w:rsidR="00D52FD0">
        <w:t xml:space="preserve"> </w:t>
      </w:r>
      <w:r w:rsidR="000A1AAE" w:rsidRPr="0050194B">
        <w:t>they</w:t>
      </w:r>
      <w:r w:rsidR="00D52FD0">
        <w:t xml:space="preserve"> </w:t>
      </w:r>
      <w:r w:rsidR="000A1AAE" w:rsidRPr="0050194B">
        <w:t>have</w:t>
      </w:r>
      <w:r w:rsidR="00D52FD0">
        <w:t xml:space="preserve"> </w:t>
      </w:r>
      <w:r w:rsidR="000A1AAE" w:rsidRPr="0050194B">
        <w:t>been</w:t>
      </w:r>
      <w:r w:rsidR="00D52FD0">
        <w:t xml:space="preserve"> </w:t>
      </w:r>
      <w:r w:rsidR="000A1AAE" w:rsidRPr="0050194B">
        <w:t>summoned</w:t>
      </w:r>
      <w:r w:rsidR="00D52FD0">
        <w:t xml:space="preserve"> </w:t>
      </w:r>
      <w:r w:rsidR="000A1AAE" w:rsidRPr="0050194B">
        <w:t>to</w:t>
      </w:r>
      <w:r w:rsidR="00D52FD0">
        <w:t xml:space="preserve"> </w:t>
      </w:r>
      <w:r w:rsidR="000A1AAE" w:rsidRPr="0050194B">
        <w:t>appear</w:t>
      </w:r>
      <w:r w:rsidR="00D52FD0">
        <w:t xml:space="preserve"> </w:t>
      </w:r>
      <w:r w:rsidR="000A1AAE" w:rsidRPr="0050194B">
        <w:t>before</w:t>
      </w:r>
      <w:r w:rsidR="00D52FD0">
        <w:t xml:space="preserve"> </w:t>
      </w:r>
      <w:r w:rsidR="000A1AAE" w:rsidRPr="0050194B">
        <w:t>a</w:t>
      </w:r>
      <w:r w:rsidR="00D52FD0">
        <w:t xml:space="preserve"> </w:t>
      </w:r>
      <w:r w:rsidR="000A1AAE" w:rsidRPr="0050194B">
        <w:t>court</w:t>
      </w:r>
      <w:r w:rsidR="00D52FD0">
        <w:t xml:space="preserve"> </w:t>
      </w:r>
      <w:r w:rsidR="000A1AAE" w:rsidRPr="0050194B">
        <w:t>having</w:t>
      </w:r>
      <w:r w:rsidR="00D52FD0">
        <w:t xml:space="preserve"> </w:t>
      </w:r>
      <w:r w:rsidR="000A1AAE" w:rsidRPr="0050194B">
        <w:t>jurisdiction</w:t>
      </w:r>
      <w:r w:rsidR="00D52FD0">
        <w:t xml:space="preserve"> </w:t>
      </w:r>
      <w:r w:rsidR="000A1AAE" w:rsidRPr="0050194B">
        <w:t>in</w:t>
      </w:r>
      <w:r w:rsidR="00D52FD0">
        <w:t xml:space="preserve"> </w:t>
      </w:r>
      <w:r w:rsidR="000A1AAE" w:rsidRPr="0050194B">
        <w:t>criminal</w:t>
      </w:r>
      <w:r w:rsidR="00D52FD0">
        <w:t xml:space="preserve"> </w:t>
      </w:r>
      <w:r w:rsidR="000A1AAE" w:rsidRPr="0050194B">
        <w:t>matters,</w:t>
      </w:r>
      <w:r w:rsidR="00D52FD0">
        <w:t xml:space="preserve"> </w:t>
      </w:r>
      <w:r w:rsidR="000A1AAE" w:rsidRPr="0050194B">
        <w:t>in</w:t>
      </w:r>
      <w:r w:rsidR="00D52FD0">
        <w:t xml:space="preserve"> </w:t>
      </w:r>
      <w:r w:rsidR="000A1AAE" w:rsidRPr="0050194B">
        <w:t>due</w:t>
      </w:r>
      <w:r w:rsidR="00D52FD0">
        <w:t xml:space="preserve"> </w:t>
      </w:r>
      <w:r w:rsidR="000A1AAE" w:rsidRPr="0050194B">
        <w:t>time</w:t>
      </w:r>
      <w:r w:rsidR="00D52FD0">
        <w:t xml:space="preserve"> </w:t>
      </w:r>
      <w:r w:rsidR="000A1AAE" w:rsidRPr="0050194B">
        <w:t>before</w:t>
      </w:r>
      <w:r w:rsidR="00D52FD0">
        <w:t xml:space="preserve"> </w:t>
      </w:r>
      <w:r w:rsidR="000A1AAE" w:rsidRPr="0050194B">
        <w:t>they</w:t>
      </w:r>
      <w:r w:rsidR="00D52FD0">
        <w:t xml:space="preserve"> </w:t>
      </w:r>
      <w:r w:rsidR="000A1AAE" w:rsidRPr="0050194B">
        <w:t>appear</w:t>
      </w:r>
      <w:r w:rsidR="00D52FD0">
        <w:t xml:space="preserve"> </w:t>
      </w:r>
      <w:r w:rsidR="000A1AAE" w:rsidRPr="0050194B">
        <w:t>before</w:t>
      </w:r>
      <w:r w:rsidR="00D52FD0">
        <w:t xml:space="preserve"> </w:t>
      </w:r>
      <w:r w:rsidR="000A1AAE" w:rsidRPr="0050194B">
        <w:t>that</w:t>
      </w:r>
      <w:r w:rsidR="00D52FD0">
        <w:t xml:space="preserve"> </w:t>
      </w:r>
      <w:r w:rsidR="000A1AAE" w:rsidRPr="0050194B">
        <w:t>court.</w:t>
      </w:r>
    </w:p>
    <w:p w14:paraId="0DCA6B04" w14:textId="483EEB28" w:rsidR="000A1AAE" w:rsidRPr="00A841AA" w:rsidRDefault="000A1AAE" w:rsidP="00D31EEB">
      <w:pPr>
        <w:pStyle w:val="H23G"/>
        <w:rPr>
          <w:i/>
        </w:rPr>
      </w:pPr>
      <w:r>
        <w:tab/>
      </w:r>
      <w:r>
        <w:tab/>
      </w:r>
      <w:r w:rsidRPr="00A841AA">
        <w:t>Juvenile</w:t>
      </w:r>
      <w:r w:rsidR="00D52FD0">
        <w:t xml:space="preserve"> </w:t>
      </w:r>
      <w:r w:rsidRPr="00A841AA">
        <w:t>justice</w:t>
      </w:r>
    </w:p>
    <w:p w14:paraId="297836DF" w14:textId="586CFDE1" w:rsidR="000A1AAE" w:rsidRPr="0050194B" w:rsidRDefault="0044637E" w:rsidP="0044637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50194B">
        <w:t>74.</w:t>
      </w:r>
      <w:r w:rsidRPr="0050194B">
        <w:tab/>
      </w:r>
      <w:r w:rsidR="000A1AAE" w:rsidRPr="0050194B">
        <w:t>In</w:t>
      </w:r>
      <w:r w:rsidR="00D52FD0">
        <w:t xml:space="preserve"> </w:t>
      </w:r>
      <w:r w:rsidR="000A1AAE" w:rsidRPr="0050194B">
        <w:t>the</w:t>
      </w:r>
      <w:r w:rsidR="00D52FD0">
        <w:t xml:space="preserve"> </w:t>
      </w:r>
      <w:r w:rsidR="000A1AAE" w:rsidRPr="0050194B">
        <w:t>Maltese</w:t>
      </w:r>
      <w:r w:rsidR="00D52FD0">
        <w:t xml:space="preserve"> </w:t>
      </w:r>
      <w:r w:rsidR="000A1AAE" w:rsidRPr="0050194B">
        <w:t>Juvenile</w:t>
      </w:r>
      <w:r w:rsidR="00D52FD0">
        <w:t xml:space="preserve"> </w:t>
      </w:r>
      <w:r w:rsidR="000A1AAE" w:rsidRPr="0050194B">
        <w:t>Court</w:t>
      </w:r>
      <w:r w:rsidR="00D52FD0">
        <w:t xml:space="preserve"> </w:t>
      </w:r>
      <w:r w:rsidR="000A1AAE" w:rsidRPr="0050194B">
        <w:t>Act,</w:t>
      </w:r>
      <w:r w:rsidR="00D52FD0">
        <w:t xml:space="preserve"> </w:t>
      </w:r>
      <w:r w:rsidR="000A1AAE" w:rsidRPr="0050194B">
        <w:t>Chapter</w:t>
      </w:r>
      <w:r w:rsidR="00D52FD0">
        <w:t xml:space="preserve"> </w:t>
      </w:r>
      <w:r w:rsidR="000A1AAE" w:rsidRPr="0050194B">
        <w:t>287</w:t>
      </w:r>
      <w:r w:rsidR="00D52FD0">
        <w:t xml:space="preserve"> </w:t>
      </w:r>
      <w:r w:rsidR="000A1AAE" w:rsidRPr="0050194B">
        <w:t>of</w:t>
      </w:r>
      <w:r w:rsidR="00D52FD0">
        <w:t xml:space="preserve"> </w:t>
      </w:r>
      <w:r w:rsidR="000A1AAE" w:rsidRPr="0050194B">
        <w:t>the</w:t>
      </w:r>
      <w:r w:rsidR="00D52FD0">
        <w:t xml:space="preserve"> </w:t>
      </w:r>
      <w:r w:rsidR="000A1AAE" w:rsidRPr="0050194B">
        <w:t>Laws</w:t>
      </w:r>
      <w:r w:rsidR="00D52FD0">
        <w:t xml:space="preserve"> </w:t>
      </w:r>
      <w:r w:rsidR="000A1AAE" w:rsidRPr="0050194B">
        <w:t>of</w:t>
      </w:r>
      <w:r w:rsidR="00D52FD0">
        <w:t xml:space="preserve"> </w:t>
      </w:r>
      <w:r w:rsidR="000A1AAE" w:rsidRPr="0050194B">
        <w:t>Malta,</w:t>
      </w:r>
      <w:r w:rsidR="00D52FD0">
        <w:t xml:space="preserve"> </w:t>
      </w:r>
      <w:r w:rsidR="000A1AAE" w:rsidRPr="0050194B">
        <w:t>a</w:t>
      </w:r>
      <w:r w:rsidR="00D52FD0">
        <w:t xml:space="preserve"> </w:t>
      </w:r>
      <w:r w:rsidR="000A1AAE" w:rsidRPr="0050194B">
        <w:t>child</w:t>
      </w:r>
      <w:r w:rsidR="00D52FD0">
        <w:t xml:space="preserve"> </w:t>
      </w:r>
      <w:r w:rsidR="000A1AAE" w:rsidRPr="0050194B">
        <w:t>or</w:t>
      </w:r>
      <w:r w:rsidR="00D52FD0">
        <w:t xml:space="preserve"> </w:t>
      </w:r>
      <w:r w:rsidR="000A1AAE" w:rsidRPr="0050194B">
        <w:t>young</w:t>
      </w:r>
      <w:r w:rsidR="00D52FD0">
        <w:t xml:space="preserve"> </w:t>
      </w:r>
      <w:r w:rsidR="000A1AAE" w:rsidRPr="0050194B">
        <w:t>person</w:t>
      </w:r>
      <w:r w:rsidR="00D52FD0">
        <w:t xml:space="preserve"> </w:t>
      </w:r>
      <w:r w:rsidR="000A1AAE" w:rsidRPr="0050194B">
        <w:t>is</w:t>
      </w:r>
      <w:r w:rsidR="00D52FD0">
        <w:t xml:space="preserve"> </w:t>
      </w:r>
      <w:r w:rsidR="000A1AAE" w:rsidRPr="0050194B">
        <w:t>outlined</w:t>
      </w:r>
      <w:r w:rsidR="00D52FD0">
        <w:t xml:space="preserve"> </w:t>
      </w:r>
      <w:r w:rsidR="000A1AAE" w:rsidRPr="0050194B">
        <w:t>as</w:t>
      </w:r>
      <w:r w:rsidR="00D52FD0">
        <w:t xml:space="preserve"> </w:t>
      </w:r>
      <w:r w:rsidR="000A1AAE" w:rsidRPr="0050194B">
        <w:t>one</w:t>
      </w:r>
      <w:r w:rsidR="00D52FD0">
        <w:t xml:space="preserve"> </w:t>
      </w:r>
      <w:r w:rsidR="000A1AAE" w:rsidRPr="0050194B">
        <w:t>who</w:t>
      </w:r>
      <w:r w:rsidR="00D52FD0">
        <w:t xml:space="preserve"> </w:t>
      </w:r>
      <w:r w:rsidR="000A1AAE" w:rsidRPr="0050194B">
        <w:t>has</w:t>
      </w:r>
      <w:r w:rsidR="00D52FD0">
        <w:t xml:space="preserve"> </w:t>
      </w:r>
      <w:r w:rsidR="000A1AAE" w:rsidRPr="0050194B">
        <w:t>not</w:t>
      </w:r>
      <w:r w:rsidR="00D52FD0">
        <w:t xml:space="preserve"> </w:t>
      </w:r>
      <w:r w:rsidR="000A1AAE" w:rsidRPr="0050194B">
        <w:t>yet</w:t>
      </w:r>
      <w:r w:rsidR="00D52FD0">
        <w:t xml:space="preserve"> </w:t>
      </w:r>
      <w:r w:rsidR="000A1AAE" w:rsidRPr="0050194B">
        <w:t>attained</w:t>
      </w:r>
      <w:r w:rsidR="00D52FD0">
        <w:t xml:space="preserve"> </w:t>
      </w:r>
      <w:r w:rsidR="000A1AAE" w:rsidRPr="0050194B">
        <w:t>the</w:t>
      </w:r>
      <w:r w:rsidR="00D52FD0">
        <w:t xml:space="preserve"> </w:t>
      </w:r>
      <w:r w:rsidR="000A1AAE" w:rsidRPr="0050194B">
        <w:t>age</w:t>
      </w:r>
      <w:r w:rsidR="00D52FD0">
        <w:t xml:space="preserve"> </w:t>
      </w:r>
      <w:r w:rsidR="000A1AAE" w:rsidRPr="0050194B">
        <w:t>of</w:t>
      </w:r>
      <w:r w:rsidR="00D52FD0">
        <w:t xml:space="preserve"> </w:t>
      </w:r>
      <w:r w:rsidR="000A1AAE" w:rsidRPr="0050194B">
        <w:t>sixteen</w:t>
      </w:r>
      <w:r w:rsidR="00D52FD0">
        <w:t xml:space="preserve"> </w:t>
      </w:r>
      <w:r w:rsidR="000A1AAE" w:rsidRPr="0050194B">
        <w:t>(16)</w:t>
      </w:r>
      <w:r w:rsidR="00D52FD0">
        <w:t xml:space="preserve"> </w:t>
      </w:r>
      <w:r w:rsidR="000A1AAE" w:rsidRPr="0050194B">
        <w:t>years.</w:t>
      </w:r>
      <w:r w:rsidR="00D52FD0">
        <w:t xml:space="preserve"> </w:t>
      </w:r>
      <w:r w:rsidR="000A1AAE" w:rsidRPr="0050194B">
        <w:t>A</w:t>
      </w:r>
      <w:r w:rsidR="00D52FD0">
        <w:t xml:space="preserve"> </w:t>
      </w:r>
      <w:r w:rsidR="000A1AAE" w:rsidRPr="0050194B">
        <w:t>denotable</w:t>
      </w:r>
      <w:r w:rsidR="00D52FD0">
        <w:t xml:space="preserve"> </w:t>
      </w:r>
      <w:r w:rsidR="000A1AAE" w:rsidRPr="0050194B">
        <w:t>feature</w:t>
      </w:r>
      <w:r w:rsidR="00D52FD0">
        <w:t xml:space="preserve"> </w:t>
      </w:r>
      <w:r w:rsidR="000A1AAE" w:rsidRPr="0050194B">
        <w:t>of</w:t>
      </w:r>
      <w:r w:rsidR="00D52FD0">
        <w:t xml:space="preserve"> </w:t>
      </w:r>
      <w:r w:rsidR="000A1AAE" w:rsidRPr="0050194B">
        <w:t>the</w:t>
      </w:r>
      <w:r w:rsidR="00D52FD0">
        <w:t xml:space="preserve"> </w:t>
      </w:r>
      <w:r w:rsidR="000A1AAE" w:rsidRPr="0050194B">
        <w:t>Maltese</w:t>
      </w:r>
      <w:r w:rsidR="00D52FD0">
        <w:t xml:space="preserve"> </w:t>
      </w:r>
      <w:r w:rsidR="000A1AAE" w:rsidRPr="0050194B">
        <w:t>system</w:t>
      </w:r>
      <w:r w:rsidR="00D52FD0">
        <w:t xml:space="preserve"> </w:t>
      </w:r>
      <w:r w:rsidR="000A1AAE" w:rsidRPr="0050194B">
        <w:t>is</w:t>
      </w:r>
      <w:r w:rsidR="00D52FD0">
        <w:t xml:space="preserve"> </w:t>
      </w:r>
      <w:r w:rsidR="000A1AAE" w:rsidRPr="0050194B">
        <w:t>that</w:t>
      </w:r>
      <w:r w:rsidR="00D52FD0">
        <w:t xml:space="preserve"> </w:t>
      </w:r>
      <w:r w:rsidR="000A1AAE" w:rsidRPr="0050194B">
        <w:t>the</w:t>
      </w:r>
      <w:r w:rsidR="00D52FD0">
        <w:t xml:space="preserve"> </w:t>
      </w:r>
      <w:r w:rsidR="000A1AAE" w:rsidRPr="0050194B">
        <w:t>position</w:t>
      </w:r>
      <w:r w:rsidR="00D52FD0">
        <w:t xml:space="preserve"> </w:t>
      </w:r>
      <w:r w:rsidR="000A1AAE" w:rsidRPr="0050194B">
        <w:t>of</w:t>
      </w:r>
      <w:r w:rsidR="00D52FD0">
        <w:t xml:space="preserve"> </w:t>
      </w:r>
      <w:r w:rsidR="000A1AAE" w:rsidRPr="0050194B">
        <w:t>the</w:t>
      </w:r>
      <w:r w:rsidR="00D52FD0">
        <w:t xml:space="preserve"> </w:t>
      </w:r>
      <w:r w:rsidR="000A1AAE" w:rsidRPr="0050194B">
        <w:t>juveniles</w:t>
      </w:r>
      <w:r w:rsidR="00D52FD0">
        <w:t xml:space="preserve"> </w:t>
      </w:r>
      <w:r w:rsidR="000A1AAE" w:rsidRPr="0050194B">
        <w:t>accused</w:t>
      </w:r>
      <w:r w:rsidR="00D52FD0">
        <w:t xml:space="preserve"> </w:t>
      </w:r>
      <w:r w:rsidR="000A1AAE" w:rsidRPr="0050194B">
        <w:t>in</w:t>
      </w:r>
      <w:r w:rsidR="00D52FD0">
        <w:t xml:space="preserve"> </w:t>
      </w:r>
      <w:r w:rsidR="000A1AAE" w:rsidRPr="0050194B">
        <w:t>criminal</w:t>
      </w:r>
      <w:r w:rsidR="00D52FD0">
        <w:t xml:space="preserve"> </w:t>
      </w:r>
      <w:r w:rsidR="000A1AAE" w:rsidRPr="0050194B">
        <w:t>proceedings</w:t>
      </w:r>
      <w:r w:rsidR="00D52FD0">
        <w:t xml:space="preserve"> </w:t>
      </w:r>
      <w:r w:rsidR="000A1AAE" w:rsidRPr="0050194B">
        <w:t>does</w:t>
      </w:r>
      <w:r w:rsidR="00D52FD0">
        <w:t xml:space="preserve"> </w:t>
      </w:r>
      <w:r w:rsidR="000A1AAE" w:rsidRPr="0050194B">
        <w:t>not</w:t>
      </w:r>
      <w:r w:rsidR="00D52FD0">
        <w:t xml:space="preserve"> </w:t>
      </w:r>
      <w:r w:rsidR="000A1AAE" w:rsidRPr="0050194B">
        <w:t>significantly</w:t>
      </w:r>
      <w:r w:rsidR="00D52FD0">
        <w:t xml:space="preserve"> </w:t>
      </w:r>
      <w:r w:rsidR="000A1AAE" w:rsidRPr="0050194B">
        <w:t>differ</w:t>
      </w:r>
      <w:r w:rsidR="00D52FD0">
        <w:t xml:space="preserve"> </w:t>
      </w:r>
      <w:r w:rsidR="000A1AAE" w:rsidRPr="0050194B">
        <w:t>from</w:t>
      </w:r>
      <w:r w:rsidR="00D52FD0">
        <w:t xml:space="preserve"> </w:t>
      </w:r>
      <w:r w:rsidR="000A1AAE" w:rsidRPr="0050194B">
        <w:t>that</w:t>
      </w:r>
      <w:r w:rsidR="00D52FD0">
        <w:t xml:space="preserve"> </w:t>
      </w:r>
      <w:r w:rsidR="000A1AAE" w:rsidRPr="0050194B">
        <w:t>of</w:t>
      </w:r>
      <w:r w:rsidR="00D52FD0">
        <w:t xml:space="preserve"> </w:t>
      </w:r>
      <w:r w:rsidR="000A1AAE" w:rsidRPr="0050194B">
        <w:t>adults.</w:t>
      </w:r>
      <w:r w:rsidR="00D52FD0">
        <w:t xml:space="preserve"> </w:t>
      </w:r>
      <w:r w:rsidR="000A1AAE" w:rsidRPr="0050194B">
        <w:t>This</w:t>
      </w:r>
      <w:r w:rsidR="00D52FD0">
        <w:t xml:space="preserve"> </w:t>
      </w:r>
      <w:r w:rsidR="000A1AAE" w:rsidRPr="0050194B">
        <w:t>is</w:t>
      </w:r>
      <w:r w:rsidR="00D52FD0">
        <w:t xml:space="preserve"> </w:t>
      </w:r>
      <w:r w:rsidR="000A1AAE" w:rsidRPr="0050194B">
        <w:t>portrayed</w:t>
      </w:r>
      <w:r w:rsidR="00D52FD0">
        <w:t xml:space="preserve"> </w:t>
      </w:r>
      <w:r w:rsidR="000A1AAE" w:rsidRPr="0050194B">
        <w:t>as</w:t>
      </w:r>
      <w:r w:rsidR="00D52FD0">
        <w:t xml:space="preserve"> </w:t>
      </w:r>
      <w:r w:rsidR="000A1AAE" w:rsidRPr="0050194B">
        <w:t>from</w:t>
      </w:r>
      <w:r w:rsidR="00D52FD0">
        <w:t xml:space="preserve"> </w:t>
      </w:r>
      <w:r w:rsidR="000A1AAE" w:rsidRPr="0050194B">
        <w:t>the</w:t>
      </w:r>
      <w:r w:rsidR="00D52FD0">
        <w:t xml:space="preserve"> </w:t>
      </w:r>
      <w:r w:rsidR="000A1AAE" w:rsidRPr="0050194B">
        <w:t>pre-trial</w:t>
      </w:r>
      <w:r w:rsidR="00D52FD0">
        <w:t xml:space="preserve"> </w:t>
      </w:r>
      <w:r w:rsidR="000A1AAE" w:rsidRPr="0050194B">
        <w:t>phase</w:t>
      </w:r>
      <w:r w:rsidR="00D52FD0">
        <w:t xml:space="preserve"> </w:t>
      </w:r>
      <w:r w:rsidR="000A1AAE" w:rsidRPr="0050194B">
        <w:t>where</w:t>
      </w:r>
      <w:r w:rsidR="00D52FD0">
        <w:t xml:space="preserve"> </w:t>
      </w:r>
      <w:r w:rsidR="000A1AAE" w:rsidRPr="0050194B">
        <w:t>unvaryingly,</w:t>
      </w:r>
      <w:r w:rsidR="00D52FD0">
        <w:t xml:space="preserve"> </w:t>
      </w:r>
      <w:r w:rsidR="000A1AAE" w:rsidRPr="0050194B">
        <w:t>adult</w:t>
      </w:r>
      <w:r w:rsidR="00D52FD0">
        <w:t xml:space="preserve"> </w:t>
      </w:r>
      <w:r w:rsidR="000A1AAE" w:rsidRPr="0050194B">
        <w:t>and</w:t>
      </w:r>
      <w:r w:rsidR="00D52FD0">
        <w:t xml:space="preserve"> </w:t>
      </w:r>
      <w:r w:rsidR="000A1AAE" w:rsidRPr="0050194B">
        <w:t>minor</w:t>
      </w:r>
      <w:r w:rsidR="00D52FD0">
        <w:t xml:space="preserve"> </w:t>
      </w:r>
      <w:r w:rsidR="000A1AAE" w:rsidRPr="0050194B">
        <w:t>suspects</w:t>
      </w:r>
      <w:r w:rsidR="00D52FD0">
        <w:t xml:space="preserve"> </w:t>
      </w:r>
      <w:r w:rsidR="000A1AAE" w:rsidRPr="0050194B">
        <w:t>shall</w:t>
      </w:r>
      <w:r w:rsidR="00D52FD0">
        <w:t xml:space="preserve"> </w:t>
      </w:r>
      <w:r w:rsidR="000A1AAE" w:rsidRPr="0050194B">
        <w:t>be</w:t>
      </w:r>
      <w:r w:rsidR="00D52FD0">
        <w:t xml:space="preserve"> </w:t>
      </w:r>
      <w:r w:rsidR="000A1AAE" w:rsidRPr="0050194B">
        <w:t>informed</w:t>
      </w:r>
      <w:r w:rsidR="00D52FD0">
        <w:t xml:space="preserve"> </w:t>
      </w:r>
      <w:r w:rsidR="000A1AAE" w:rsidRPr="0050194B">
        <w:t>of</w:t>
      </w:r>
      <w:r w:rsidR="00D52FD0">
        <w:t xml:space="preserve"> </w:t>
      </w:r>
      <w:r w:rsidR="000A1AAE" w:rsidRPr="0050194B">
        <w:t>the</w:t>
      </w:r>
      <w:r w:rsidR="00D52FD0">
        <w:t xml:space="preserve"> </w:t>
      </w:r>
      <w:r w:rsidR="000A1AAE" w:rsidRPr="0050194B">
        <w:t>arrest</w:t>
      </w:r>
      <w:r w:rsidR="00D52FD0">
        <w:t xml:space="preserve"> </w:t>
      </w:r>
      <w:r w:rsidR="000A1AAE" w:rsidRPr="0050194B">
        <w:t>or</w:t>
      </w:r>
      <w:r w:rsidR="00D52FD0">
        <w:t xml:space="preserve"> </w:t>
      </w:r>
      <w:r w:rsidR="000A1AAE" w:rsidRPr="0050194B">
        <w:t>detention</w:t>
      </w:r>
      <w:r w:rsidR="00D52FD0">
        <w:t xml:space="preserve"> </w:t>
      </w:r>
      <w:r w:rsidR="000A1AAE" w:rsidRPr="0050194B">
        <w:t>in</w:t>
      </w:r>
      <w:r w:rsidR="00D52FD0">
        <w:t xml:space="preserve"> </w:t>
      </w:r>
      <w:r w:rsidR="000A1AAE" w:rsidRPr="0050194B">
        <w:t>comprehensible</w:t>
      </w:r>
      <w:r w:rsidR="00D52FD0">
        <w:t xml:space="preserve"> </w:t>
      </w:r>
      <w:r w:rsidR="000A1AAE" w:rsidRPr="0050194B">
        <w:t>discourse</w:t>
      </w:r>
      <w:r w:rsidR="00D52FD0">
        <w:t xml:space="preserve"> </w:t>
      </w:r>
      <w:r w:rsidR="000A1AAE" w:rsidRPr="0050194B">
        <w:t>and</w:t>
      </w:r>
      <w:r w:rsidR="00D52FD0">
        <w:t xml:space="preserve"> </w:t>
      </w:r>
      <w:r w:rsidR="000A1AAE" w:rsidRPr="0050194B">
        <w:t>if</w:t>
      </w:r>
      <w:r w:rsidR="00D52FD0">
        <w:t xml:space="preserve"> </w:t>
      </w:r>
      <w:r w:rsidR="000A1AAE" w:rsidRPr="0050194B">
        <w:t>need</w:t>
      </w:r>
      <w:r w:rsidR="00D52FD0">
        <w:t xml:space="preserve"> </w:t>
      </w:r>
      <w:r w:rsidR="000A1AAE" w:rsidRPr="0050194B">
        <w:t>be,</w:t>
      </w:r>
      <w:r w:rsidR="00D52FD0">
        <w:t xml:space="preserve"> </w:t>
      </w:r>
      <w:r w:rsidR="000A1AAE" w:rsidRPr="0050194B">
        <w:t>by</w:t>
      </w:r>
      <w:r w:rsidR="00D52FD0">
        <w:t xml:space="preserve"> </w:t>
      </w:r>
      <w:r w:rsidR="000A1AAE" w:rsidRPr="0050194B">
        <w:t>the</w:t>
      </w:r>
      <w:r w:rsidR="00D52FD0">
        <w:t xml:space="preserve"> </w:t>
      </w:r>
      <w:r w:rsidR="000A1AAE" w:rsidRPr="0050194B">
        <w:t>aid</w:t>
      </w:r>
      <w:r w:rsidR="00D52FD0">
        <w:t xml:space="preserve"> </w:t>
      </w:r>
      <w:r w:rsidR="000A1AAE" w:rsidRPr="0050194B">
        <w:t>of</w:t>
      </w:r>
      <w:r w:rsidR="00D52FD0">
        <w:t xml:space="preserve"> </w:t>
      </w:r>
      <w:r w:rsidR="000A1AAE" w:rsidRPr="0050194B">
        <w:t>an</w:t>
      </w:r>
      <w:r w:rsidR="00D52FD0">
        <w:t xml:space="preserve"> </w:t>
      </w:r>
      <w:r w:rsidR="000A1AAE" w:rsidRPr="0050194B">
        <w:t>interpreter</w:t>
      </w:r>
      <w:r w:rsidR="00D52FD0">
        <w:t xml:space="preserve"> </w:t>
      </w:r>
      <w:r w:rsidR="000A1AAE" w:rsidRPr="0050194B">
        <w:t>and</w:t>
      </w:r>
      <w:r w:rsidR="00D52FD0">
        <w:t xml:space="preserve"> </w:t>
      </w:r>
      <w:r w:rsidR="000A1AAE" w:rsidRPr="0050194B">
        <w:t>be</w:t>
      </w:r>
      <w:r w:rsidR="00D52FD0">
        <w:t xml:space="preserve"> </w:t>
      </w:r>
      <w:r w:rsidR="000A1AAE" w:rsidRPr="0050194B">
        <w:t>brought</w:t>
      </w:r>
      <w:r w:rsidR="00D52FD0">
        <w:t xml:space="preserve"> </w:t>
      </w:r>
      <w:r w:rsidR="000A1AAE" w:rsidRPr="0050194B">
        <w:t>before</w:t>
      </w:r>
      <w:r w:rsidR="00D52FD0">
        <w:t xml:space="preserve"> </w:t>
      </w:r>
      <w:r w:rsidR="000A1AAE" w:rsidRPr="0050194B">
        <w:t>a</w:t>
      </w:r>
      <w:r w:rsidR="00D52FD0">
        <w:t xml:space="preserve"> </w:t>
      </w:r>
      <w:r w:rsidR="000A1AAE" w:rsidRPr="0050194B">
        <w:t>court</w:t>
      </w:r>
      <w:r w:rsidR="00D52FD0">
        <w:t xml:space="preserve"> </w:t>
      </w:r>
      <w:r w:rsidR="000A1AAE" w:rsidRPr="0050194B">
        <w:t>within</w:t>
      </w:r>
      <w:r w:rsidR="00D52FD0">
        <w:t xml:space="preserve"> </w:t>
      </w:r>
      <w:r w:rsidR="000A1AAE" w:rsidRPr="0050194B">
        <w:t>the</w:t>
      </w:r>
      <w:r w:rsidR="00D52FD0">
        <w:t xml:space="preserve"> </w:t>
      </w:r>
      <w:r w:rsidR="000A1AAE" w:rsidRPr="0050194B">
        <w:t>same</w:t>
      </w:r>
      <w:r w:rsidR="00D52FD0">
        <w:t xml:space="preserve"> </w:t>
      </w:r>
      <w:r w:rsidR="000A1AAE" w:rsidRPr="0050194B">
        <w:t>timeframe</w:t>
      </w:r>
      <w:r w:rsidR="00D52FD0">
        <w:t xml:space="preserve"> </w:t>
      </w:r>
      <w:r w:rsidR="000A1AAE" w:rsidRPr="0050194B">
        <w:t>after</w:t>
      </w:r>
      <w:r w:rsidR="00D52FD0">
        <w:t xml:space="preserve"> </w:t>
      </w:r>
      <w:r w:rsidR="000A1AAE" w:rsidRPr="0050194B">
        <w:t>arrest:</w:t>
      </w:r>
      <w:r w:rsidR="00D52FD0">
        <w:t xml:space="preserve"> </w:t>
      </w:r>
      <w:r w:rsidR="000A1AAE" w:rsidRPr="0050194B">
        <w:t>48</w:t>
      </w:r>
      <w:r w:rsidR="00D52FD0">
        <w:t xml:space="preserve"> </w:t>
      </w:r>
      <w:r w:rsidR="000A1AAE" w:rsidRPr="0050194B">
        <w:t>hours</w:t>
      </w:r>
      <w:r w:rsidR="00D52FD0">
        <w:t xml:space="preserve"> </w:t>
      </w:r>
      <w:r w:rsidR="000A1AAE" w:rsidRPr="0050194B">
        <w:t>and</w:t>
      </w:r>
      <w:r w:rsidR="00D52FD0">
        <w:t xml:space="preserve"> </w:t>
      </w:r>
      <w:r w:rsidR="000A1AAE" w:rsidRPr="0050194B">
        <w:t>if</w:t>
      </w:r>
      <w:r w:rsidR="00D52FD0">
        <w:t xml:space="preserve"> </w:t>
      </w:r>
      <w:r w:rsidR="000A1AAE" w:rsidRPr="0050194B">
        <w:t>not,</w:t>
      </w:r>
      <w:r w:rsidR="00D52FD0">
        <w:t xml:space="preserve"> </w:t>
      </w:r>
      <w:r w:rsidR="000A1AAE" w:rsidRPr="0050194B">
        <w:t>be</w:t>
      </w:r>
      <w:r w:rsidR="00D52FD0">
        <w:t xml:space="preserve"> </w:t>
      </w:r>
      <w:r w:rsidR="000A1AAE" w:rsidRPr="0050194B">
        <w:t>released.</w:t>
      </w:r>
      <w:r w:rsidR="00D52FD0">
        <w:t xml:space="preserve"> </w:t>
      </w:r>
      <w:r w:rsidR="000A1AAE" w:rsidRPr="0050194B">
        <w:t>This</w:t>
      </w:r>
      <w:r w:rsidR="00D52FD0">
        <w:t xml:space="preserve"> </w:t>
      </w:r>
      <w:r w:rsidR="000A1AAE" w:rsidRPr="0050194B">
        <w:t>is</w:t>
      </w:r>
      <w:r w:rsidR="00D52FD0">
        <w:t xml:space="preserve"> </w:t>
      </w:r>
      <w:r w:rsidR="000A1AAE" w:rsidRPr="0050194B">
        <w:t>further</w:t>
      </w:r>
      <w:r w:rsidR="00D52FD0">
        <w:t xml:space="preserve"> </w:t>
      </w:r>
      <w:r w:rsidR="000A1AAE" w:rsidRPr="0050194B">
        <w:t>signified</w:t>
      </w:r>
      <w:r w:rsidR="00D52FD0">
        <w:t xml:space="preserve"> </w:t>
      </w:r>
      <w:r w:rsidR="000A1AAE" w:rsidRPr="0050194B">
        <w:t>by</w:t>
      </w:r>
      <w:r w:rsidR="00D52FD0">
        <w:t xml:space="preserve"> </w:t>
      </w:r>
      <w:r w:rsidR="000A1AAE" w:rsidRPr="0050194B">
        <w:t>the</w:t>
      </w:r>
      <w:r w:rsidR="00D52FD0">
        <w:t xml:space="preserve"> </w:t>
      </w:r>
      <w:r w:rsidR="000A1AAE" w:rsidRPr="0050194B">
        <w:t>scarcity</w:t>
      </w:r>
      <w:r w:rsidR="00D52FD0">
        <w:t xml:space="preserve"> </w:t>
      </w:r>
      <w:r w:rsidR="000A1AAE" w:rsidRPr="0050194B">
        <w:t>in</w:t>
      </w:r>
      <w:r w:rsidR="00D52FD0">
        <w:t xml:space="preserve"> </w:t>
      </w:r>
      <w:r w:rsidR="000A1AAE" w:rsidRPr="0050194B">
        <w:t>the</w:t>
      </w:r>
      <w:r w:rsidR="00D52FD0">
        <w:t xml:space="preserve"> </w:t>
      </w:r>
      <w:r w:rsidR="000A1AAE" w:rsidRPr="0050194B">
        <w:t>special</w:t>
      </w:r>
      <w:r w:rsidR="00D52FD0">
        <w:t xml:space="preserve"> </w:t>
      </w:r>
      <w:r w:rsidR="000A1AAE" w:rsidRPr="0050194B">
        <w:t>rights</w:t>
      </w:r>
      <w:r w:rsidR="00D52FD0">
        <w:t xml:space="preserve"> </w:t>
      </w:r>
      <w:r w:rsidR="000A1AAE" w:rsidRPr="0050194B">
        <w:t>awarded</w:t>
      </w:r>
      <w:r w:rsidR="00D52FD0">
        <w:t xml:space="preserve"> </w:t>
      </w:r>
      <w:r w:rsidR="000A1AAE" w:rsidRPr="0050194B">
        <w:t>to</w:t>
      </w:r>
      <w:r w:rsidR="00D52FD0">
        <w:t xml:space="preserve"> </w:t>
      </w:r>
      <w:r w:rsidR="000A1AAE" w:rsidRPr="0050194B">
        <w:t>minors</w:t>
      </w:r>
      <w:r w:rsidR="00D52FD0">
        <w:t xml:space="preserve"> </w:t>
      </w:r>
      <w:r w:rsidR="000A1AAE" w:rsidRPr="0050194B">
        <w:t>during</w:t>
      </w:r>
      <w:r w:rsidR="00D52FD0">
        <w:t xml:space="preserve"> </w:t>
      </w:r>
      <w:r w:rsidR="000A1AAE" w:rsidRPr="0050194B">
        <w:t>the</w:t>
      </w:r>
      <w:r w:rsidR="00D52FD0">
        <w:t xml:space="preserve"> </w:t>
      </w:r>
      <w:r w:rsidR="000A1AAE" w:rsidRPr="0050194B">
        <w:lastRenderedPageBreak/>
        <w:t>criminal</w:t>
      </w:r>
      <w:r w:rsidR="00D52FD0">
        <w:t xml:space="preserve"> </w:t>
      </w:r>
      <w:r w:rsidR="000A1AAE" w:rsidRPr="0050194B">
        <w:t>procedure.</w:t>
      </w:r>
      <w:r w:rsidR="00D52FD0">
        <w:t xml:space="preserve"> </w:t>
      </w:r>
      <w:r w:rsidR="000A1AAE" w:rsidRPr="0050194B">
        <w:t>The</w:t>
      </w:r>
      <w:r w:rsidR="00D52FD0">
        <w:t xml:space="preserve"> </w:t>
      </w:r>
      <w:r w:rsidR="000A1AAE" w:rsidRPr="0050194B">
        <w:t>right</w:t>
      </w:r>
      <w:r w:rsidR="00D52FD0">
        <w:t xml:space="preserve"> </w:t>
      </w:r>
      <w:r w:rsidR="000A1AAE" w:rsidRPr="0050194B">
        <w:t>of</w:t>
      </w:r>
      <w:r w:rsidR="00D52FD0">
        <w:t xml:space="preserve"> </w:t>
      </w:r>
      <w:r w:rsidR="000A1AAE" w:rsidRPr="0050194B">
        <w:t>interpretation</w:t>
      </w:r>
      <w:r w:rsidR="00D52FD0">
        <w:t xml:space="preserve"> </w:t>
      </w:r>
      <w:r w:rsidR="000A1AAE" w:rsidRPr="0050194B">
        <w:t>and</w:t>
      </w:r>
      <w:r w:rsidR="00D52FD0">
        <w:t xml:space="preserve"> </w:t>
      </w:r>
      <w:r w:rsidR="000A1AAE" w:rsidRPr="0050194B">
        <w:t>the</w:t>
      </w:r>
      <w:r w:rsidR="00D52FD0">
        <w:t xml:space="preserve"> </w:t>
      </w:r>
      <w:r w:rsidR="000A1AAE" w:rsidRPr="0050194B">
        <w:t>right</w:t>
      </w:r>
      <w:r w:rsidR="00D52FD0">
        <w:t xml:space="preserve"> </w:t>
      </w:r>
      <w:r w:rsidR="000A1AAE" w:rsidRPr="0050194B">
        <w:t>to</w:t>
      </w:r>
      <w:r w:rsidR="00D52FD0">
        <w:t xml:space="preserve"> </w:t>
      </w:r>
      <w:r w:rsidR="000A1AAE" w:rsidRPr="0050194B">
        <w:t>have</w:t>
      </w:r>
      <w:r w:rsidR="00D52FD0">
        <w:t xml:space="preserve"> </w:t>
      </w:r>
      <w:r w:rsidR="000A1AAE" w:rsidRPr="0050194B">
        <w:t>all</w:t>
      </w:r>
      <w:r w:rsidR="00D52FD0">
        <w:t xml:space="preserve"> </w:t>
      </w:r>
      <w:r w:rsidR="000A1AAE" w:rsidRPr="0050194B">
        <w:t>the</w:t>
      </w:r>
      <w:r w:rsidR="00D52FD0">
        <w:t xml:space="preserve"> </w:t>
      </w:r>
      <w:r w:rsidR="000A1AAE" w:rsidRPr="0050194B">
        <w:t>relevant</w:t>
      </w:r>
      <w:r w:rsidR="00D52FD0">
        <w:t xml:space="preserve"> </w:t>
      </w:r>
      <w:r w:rsidR="000A1AAE" w:rsidRPr="0050194B">
        <w:t>documents</w:t>
      </w:r>
      <w:r w:rsidR="00D52FD0">
        <w:t xml:space="preserve"> </w:t>
      </w:r>
      <w:r w:rsidR="000A1AAE" w:rsidRPr="0050194B">
        <w:t>including</w:t>
      </w:r>
      <w:r w:rsidR="00D52FD0">
        <w:t xml:space="preserve"> </w:t>
      </w:r>
      <w:r w:rsidR="000A1AAE" w:rsidRPr="0050194B">
        <w:t>indictments</w:t>
      </w:r>
      <w:r w:rsidR="00D52FD0">
        <w:t xml:space="preserve"> </w:t>
      </w:r>
      <w:r w:rsidR="000A1AAE" w:rsidRPr="0050194B">
        <w:t>and</w:t>
      </w:r>
      <w:r w:rsidR="00D52FD0">
        <w:t xml:space="preserve"> </w:t>
      </w:r>
      <w:r w:rsidR="000A1AAE" w:rsidRPr="0050194B">
        <w:t>judgments,</w:t>
      </w:r>
      <w:r w:rsidR="00D52FD0">
        <w:t xml:space="preserve"> </w:t>
      </w:r>
      <w:r w:rsidR="000A1AAE" w:rsidRPr="0050194B">
        <w:t>translated</w:t>
      </w:r>
      <w:r w:rsidR="00D52FD0">
        <w:t xml:space="preserve"> </w:t>
      </w:r>
      <w:r w:rsidR="000A1AAE" w:rsidRPr="0050194B">
        <w:t>within</w:t>
      </w:r>
      <w:r w:rsidR="00D52FD0">
        <w:t xml:space="preserve"> </w:t>
      </w:r>
      <w:r w:rsidR="000A1AAE" w:rsidRPr="0050194B">
        <w:t>a</w:t>
      </w:r>
      <w:r w:rsidR="00D52FD0">
        <w:t xml:space="preserve"> </w:t>
      </w:r>
      <w:r w:rsidR="000A1AAE" w:rsidRPr="0050194B">
        <w:t>reasonable</w:t>
      </w:r>
      <w:r w:rsidR="00D52FD0">
        <w:t xml:space="preserve"> </w:t>
      </w:r>
      <w:r w:rsidR="000A1AAE" w:rsidRPr="0050194B">
        <w:t>period</w:t>
      </w:r>
      <w:r w:rsidR="00D52FD0">
        <w:t xml:space="preserve"> </w:t>
      </w:r>
      <w:r w:rsidR="000A1AAE" w:rsidRPr="0050194B">
        <w:t>is</w:t>
      </w:r>
      <w:r w:rsidR="00D52FD0">
        <w:t xml:space="preserve"> </w:t>
      </w:r>
      <w:r w:rsidR="000A1AAE" w:rsidRPr="0050194B">
        <w:t>an</w:t>
      </w:r>
      <w:r w:rsidR="00D52FD0">
        <w:t xml:space="preserve"> </w:t>
      </w:r>
      <w:r w:rsidR="000A1AAE" w:rsidRPr="0050194B">
        <w:t>example</w:t>
      </w:r>
      <w:r w:rsidR="00D52FD0">
        <w:t xml:space="preserve"> </w:t>
      </w:r>
      <w:r w:rsidR="000A1AAE" w:rsidRPr="0050194B">
        <w:t>of</w:t>
      </w:r>
      <w:r w:rsidR="00D52FD0">
        <w:t xml:space="preserve"> </w:t>
      </w:r>
      <w:r w:rsidR="000A1AAE" w:rsidRPr="0050194B">
        <w:t>a</w:t>
      </w:r>
      <w:r w:rsidR="00D52FD0">
        <w:t xml:space="preserve"> </w:t>
      </w:r>
      <w:r w:rsidR="000A1AAE" w:rsidRPr="0050194B">
        <w:t>right</w:t>
      </w:r>
      <w:r w:rsidR="00D52FD0">
        <w:t xml:space="preserve"> </w:t>
      </w:r>
      <w:r w:rsidR="000A1AAE" w:rsidRPr="0050194B">
        <w:t>applying</w:t>
      </w:r>
      <w:r w:rsidR="00D52FD0">
        <w:t xml:space="preserve"> </w:t>
      </w:r>
      <w:r w:rsidR="000A1AAE" w:rsidRPr="0050194B">
        <w:t>indifferently</w:t>
      </w:r>
      <w:r w:rsidR="00D52FD0">
        <w:t xml:space="preserve"> </w:t>
      </w:r>
      <w:r w:rsidR="000A1AAE" w:rsidRPr="0050194B">
        <w:t>whether</w:t>
      </w:r>
      <w:r w:rsidR="00D52FD0">
        <w:t xml:space="preserve"> </w:t>
      </w:r>
      <w:r w:rsidR="000A1AAE" w:rsidRPr="0050194B">
        <w:t>the</w:t>
      </w:r>
      <w:r w:rsidR="00D52FD0">
        <w:t xml:space="preserve"> </w:t>
      </w:r>
      <w:r w:rsidR="000A1AAE" w:rsidRPr="0050194B">
        <w:t>accused</w:t>
      </w:r>
      <w:r w:rsidR="00D52FD0">
        <w:t xml:space="preserve"> </w:t>
      </w:r>
      <w:r w:rsidR="000A1AAE" w:rsidRPr="0050194B">
        <w:t>is</w:t>
      </w:r>
      <w:r w:rsidR="00D52FD0">
        <w:t xml:space="preserve"> </w:t>
      </w:r>
      <w:r w:rsidR="000A1AAE" w:rsidRPr="0050194B">
        <w:t>an</w:t>
      </w:r>
      <w:r w:rsidR="00D52FD0">
        <w:t xml:space="preserve"> </w:t>
      </w:r>
      <w:r w:rsidR="000A1AAE" w:rsidRPr="0050194B">
        <w:t>adult</w:t>
      </w:r>
      <w:r w:rsidR="00D52FD0">
        <w:t xml:space="preserve"> </w:t>
      </w:r>
      <w:r w:rsidR="000A1AAE" w:rsidRPr="0050194B">
        <w:t>or</w:t>
      </w:r>
      <w:r w:rsidR="00D52FD0">
        <w:t xml:space="preserve"> </w:t>
      </w:r>
      <w:r w:rsidR="000A1AAE" w:rsidRPr="0050194B">
        <w:t>a</w:t>
      </w:r>
      <w:r w:rsidR="00D52FD0">
        <w:t xml:space="preserve"> </w:t>
      </w:r>
      <w:r w:rsidR="000A1AAE" w:rsidRPr="0050194B">
        <w:t>juvenile.</w:t>
      </w:r>
    </w:p>
    <w:p w14:paraId="03DDC841" w14:textId="755EFF17" w:rsidR="000A1AAE" w:rsidRPr="0050194B" w:rsidRDefault="0044637E" w:rsidP="0044637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50194B">
        <w:t>75.</w:t>
      </w:r>
      <w:r w:rsidRPr="0050194B">
        <w:tab/>
      </w:r>
      <w:r w:rsidR="000A1AAE" w:rsidRPr="0050194B">
        <w:t>A</w:t>
      </w:r>
      <w:r w:rsidR="00D52FD0">
        <w:t xml:space="preserve"> </w:t>
      </w:r>
      <w:r w:rsidR="000A1AAE" w:rsidRPr="0050194B">
        <w:t>dissimilar</w:t>
      </w:r>
      <w:r w:rsidR="00D52FD0">
        <w:t xml:space="preserve"> </w:t>
      </w:r>
      <w:r w:rsidR="000A1AAE" w:rsidRPr="0050194B">
        <w:t>approach</w:t>
      </w:r>
      <w:r w:rsidR="00D52FD0">
        <w:t xml:space="preserve"> </w:t>
      </w:r>
      <w:r w:rsidR="000A1AAE" w:rsidRPr="0050194B">
        <w:t>depending</w:t>
      </w:r>
      <w:r w:rsidR="00D52FD0">
        <w:t xml:space="preserve"> </w:t>
      </w:r>
      <w:r w:rsidR="000A1AAE" w:rsidRPr="0050194B">
        <w:t>on</w:t>
      </w:r>
      <w:r w:rsidR="00D52FD0">
        <w:t xml:space="preserve"> </w:t>
      </w:r>
      <w:r w:rsidR="000A1AAE" w:rsidRPr="0050194B">
        <w:t>the</w:t>
      </w:r>
      <w:r w:rsidR="00D52FD0">
        <w:t xml:space="preserve"> </w:t>
      </w:r>
      <w:r w:rsidR="000A1AAE" w:rsidRPr="0050194B">
        <w:t>age</w:t>
      </w:r>
      <w:r w:rsidR="00D52FD0">
        <w:t xml:space="preserve"> </w:t>
      </w:r>
      <w:r w:rsidR="000A1AAE" w:rsidRPr="0050194B">
        <w:t>of</w:t>
      </w:r>
      <w:r w:rsidR="00D52FD0">
        <w:t xml:space="preserve"> </w:t>
      </w:r>
      <w:r w:rsidR="000A1AAE" w:rsidRPr="0050194B">
        <w:t>the</w:t>
      </w:r>
      <w:r w:rsidR="00D52FD0">
        <w:t xml:space="preserve"> </w:t>
      </w:r>
      <w:r w:rsidR="000A1AAE" w:rsidRPr="0050194B">
        <w:t>minor</w:t>
      </w:r>
      <w:r w:rsidR="00D52FD0">
        <w:t xml:space="preserve"> </w:t>
      </w:r>
      <w:r w:rsidR="000A1AAE" w:rsidRPr="0050194B">
        <w:t>is</w:t>
      </w:r>
      <w:r w:rsidR="00D52FD0">
        <w:t xml:space="preserve"> </w:t>
      </w:r>
      <w:r w:rsidR="000A1AAE" w:rsidRPr="0050194B">
        <w:t>taken</w:t>
      </w:r>
      <w:r w:rsidR="00D52FD0">
        <w:t xml:space="preserve"> </w:t>
      </w:r>
      <w:r w:rsidR="000A1AAE" w:rsidRPr="0050194B">
        <w:t>during</w:t>
      </w:r>
      <w:r w:rsidR="00D52FD0">
        <w:t xml:space="preserve"> </w:t>
      </w:r>
      <w:r w:rsidR="000A1AAE" w:rsidRPr="0050194B">
        <w:t>the</w:t>
      </w:r>
      <w:r w:rsidR="00D52FD0">
        <w:t xml:space="preserve"> </w:t>
      </w:r>
      <w:r w:rsidR="000A1AAE" w:rsidRPr="0050194B">
        <w:t>hearing</w:t>
      </w:r>
      <w:r w:rsidR="00D52FD0">
        <w:t xml:space="preserve"> </w:t>
      </w:r>
      <w:r w:rsidR="000A1AAE" w:rsidRPr="0050194B">
        <w:t>itself.</w:t>
      </w:r>
      <w:r w:rsidR="00D52FD0">
        <w:t xml:space="preserve"> </w:t>
      </w:r>
      <w:r w:rsidR="000A1AAE" w:rsidRPr="0050194B">
        <w:t>As</w:t>
      </w:r>
      <w:r w:rsidR="00D52FD0">
        <w:t xml:space="preserve"> </w:t>
      </w:r>
      <w:r w:rsidR="000A1AAE" w:rsidRPr="0050194B">
        <w:t>per</w:t>
      </w:r>
      <w:r w:rsidR="00D52FD0">
        <w:t xml:space="preserve"> </w:t>
      </w:r>
      <w:r w:rsidR="000A1AAE" w:rsidRPr="0050194B">
        <w:t>the</w:t>
      </w:r>
      <w:r w:rsidR="00D52FD0">
        <w:t xml:space="preserve"> </w:t>
      </w:r>
      <w:r w:rsidR="000A1AAE" w:rsidRPr="0050194B">
        <w:t>Juvenile</w:t>
      </w:r>
      <w:r w:rsidR="00D52FD0">
        <w:t xml:space="preserve"> </w:t>
      </w:r>
      <w:r w:rsidR="000A1AAE" w:rsidRPr="0050194B">
        <w:t>Court</w:t>
      </w:r>
      <w:r w:rsidR="00D52FD0">
        <w:t xml:space="preserve"> </w:t>
      </w:r>
      <w:r w:rsidR="000A1AAE" w:rsidRPr="0050194B">
        <w:t>Act,</w:t>
      </w:r>
      <w:r w:rsidR="00D52FD0">
        <w:t xml:space="preserve"> </w:t>
      </w:r>
      <w:r w:rsidR="000A1AAE" w:rsidRPr="0050194B">
        <w:t>juveniles</w:t>
      </w:r>
      <w:r w:rsidR="00D52FD0">
        <w:t xml:space="preserve"> </w:t>
      </w:r>
      <w:r w:rsidR="000A1AAE" w:rsidRPr="0050194B">
        <w:t>charged</w:t>
      </w:r>
      <w:r w:rsidR="00D52FD0">
        <w:t xml:space="preserve"> </w:t>
      </w:r>
      <w:r w:rsidR="000A1AAE" w:rsidRPr="0050194B">
        <w:t>in</w:t>
      </w:r>
      <w:r w:rsidR="00D52FD0">
        <w:t xml:space="preserve"> </w:t>
      </w:r>
      <w:r w:rsidR="000A1AAE" w:rsidRPr="0050194B">
        <w:t>proceedings</w:t>
      </w:r>
      <w:r w:rsidR="00D52FD0">
        <w:t xml:space="preserve"> </w:t>
      </w:r>
      <w:r w:rsidR="000A1AAE" w:rsidRPr="0050194B">
        <w:t>who</w:t>
      </w:r>
      <w:r w:rsidR="00D52FD0">
        <w:t xml:space="preserve"> </w:t>
      </w:r>
      <w:r w:rsidR="000A1AAE" w:rsidRPr="0050194B">
        <w:t>are</w:t>
      </w:r>
      <w:r w:rsidR="00D52FD0">
        <w:t xml:space="preserve"> </w:t>
      </w:r>
      <w:r w:rsidR="000A1AAE" w:rsidRPr="0050194B">
        <w:t>under</w:t>
      </w:r>
      <w:r w:rsidR="00D52FD0">
        <w:t xml:space="preserve"> </w:t>
      </w:r>
      <w:r w:rsidR="000A1AAE" w:rsidRPr="0050194B">
        <w:t>the</w:t>
      </w:r>
      <w:r w:rsidR="00D52FD0">
        <w:t xml:space="preserve"> </w:t>
      </w:r>
      <w:r w:rsidR="000A1AAE" w:rsidRPr="0050194B">
        <w:t>age</w:t>
      </w:r>
      <w:r w:rsidR="00D52FD0">
        <w:t xml:space="preserve"> </w:t>
      </w:r>
      <w:r w:rsidR="000A1AAE" w:rsidRPr="0050194B">
        <w:t>of</w:t>
      </w:r>
      <w:r w:rsidR="00D52FD0">
        <w:t xml:space="preserve"> </w:t>
      </w:r>
      <w:r w:rsidR="000A1AAE" w:rsidRPr="0050194B">
        <w:t>sixteen</w:t>
      </w:r>
      <w:r w:rsidR="00D52FD0">
        <w:t xml:space="preserve"> </w:t>
      </w:r>
      <w:r w:rsidR="000A1AAE" w:rsidRPr="0050194B">
        <w:t>are</w:t>
      </w:r>
      <w:r w:rsidR="00D52FD0">
        <w:t xml:space="preserve"> </w:t>
      </w:r>
      <w:r w:rsidR="000A1AAE" w:rsidRPr="0050194B">
        <w:t>ex</w:t>
      </w:r>
      <w:r w:rsidR="00D52FD0">
        <w:t xml:space="preserve"> </w:t>
      </w:r>
      <w:r w:rsidR="000A1AAE" w:rsidRPr="0050194B">
        <w:t>lege</w:t>
      </w:r>
      <w:r w:rsidR="00D52FD0">
        <w:t xml:space="preserve"> </w:t>
      </w:r>
      <w:r w:rsidR="000A1AAE" w:rsidRPr="0050194B">
        <w:t>safeguarded</w:t>
      </w:r>
      <w:r w:rsidR="00D52FD0">
        <w:t xml:space="preserve"> </w:t>
      </w:r>
      <w:r w:rsidR="000A1AAE" w:rsidRPr="0050194B">
        <w:t>by</w:t>
      </w:r>
      <w:r w:rsidR="00D52FD0">
        <w:t xml:space="preserve"> </w:t>
      </w:r>
      <w:r w:rsidR="000A1AAE" w:rsidRPr="0050194B">
        <w:t>this</w:t>
      </w:r>
      <w:r w:rsidR="00D52FD0">
        <w:t xml:space="preserve"> </w:t>
      </w:r>
      <w:r w:rsidR="000A1AAE" w:rsidRPr="0050194B">
        <w:t>institution,</w:t>
      </w:r>
      <w:r w:rsidR="00D52FD0">
        <w:t xml:space="preserve"> </w:t>
      </w:r>
      <w:r w:rsidR="000A1AAE" w:rsidRPr="0050194B">
        <w:t>which</w:t>
      </w:r>
      <w:r w:rsidR="00D52FD0">
        <w:t xml:space="preserve"> </w:t>
      </w:r>
      <w:r w:rsidR="000A1AAE" w:rsidRPr="0050194B">
        <w:t>excludes</w:t>
      </w:r>
      <w:r w:rsidR="00D52FD0">
        <w:t xml:space="preserve"> </w:t>
      </w:r>
      <w:r w:rsidR="000A1AAE" w:rsidRPr="0050194B">
        <w:t>the</w:t>
      </w:r>
      <w:r w:rsidR="00D52FD0">
        <w:t xml:space="preserve"> </w:t>
      </w:r>
      <w:r w:rsidR="000A1AAE" w:rsidRPr="0050194B">
        <w:t>public</w:t>
      </w:r>
      <w:r w:rsidR="00D52FD0">
        <w:t xml:space="preserve"> </w:t>
      </w:r>
      <w:r w:rsidR="000A1AAE" w:rsidRPr="0050194B">
        <w:t>from</w:t>
      </w:r>
      <w:r w:rsidR="00D52FD0">
        <w:t xml:space="preserve"> </w:t>
      </w:r>
      <w:r w:rsidR="000A1AAE" w:rsidRPr="0050194B">
        <w:t>the</w:t>
      </w:r>
      <w:r w:rsidR="00D52FD0">
        <w:t xml:space="preserve"> </w:t>
      </w:r>
      <w:r w:rsidR="000A1AAE" w:rsidRPr="0050194B">
        <w:t>hearings</w:t>
      </w:r>
      <w:r w:rsidR="00D52FD0">
        <w:t xml:space="preserve"> </w:t>
      </w:r>
      <w:r w:rsidR="000A1AAE" w:rsidRPr="0050194B">
        <w:t>concerning</w:t>
      </w:r>
      <w:r w:rsidR="00D52FD0">
        <w:t xml:space="preserve"> </w:t>
      </w:r>
      <w:r w:rsidR="000A1AAE" w:rsidRPr="0050194B">
        <w:t>them,</w:t>
      </w:r>
      <w:r w:rsidR="00D52FD0">
        <w:t xml:space="preserve"> </w:t>
      </w:r>
      <w:r w:rsidR="000A1AAE" w:rsidRPr="0050194B">
        <w:t>whereas</w:t>
      </w:r>
      <w:r w:rsidR="00D52FD0">
        <w:t xml:space="preserve"> </w:t>
      </w:r>
      <w:r w:rsidR="000A1AAE" w:rsidRPr="0050194B">
        <w:t>per</w:t>
      </w:r>
      <w:r w:rsidR="00D52FD0">
        <w:t xml:space="preserve"> </w:t>
      </w:r>
      <w:r w:rsidR="000A1AAE" w:rsidRPr="0050194B">
        <w:t>Article</w:t>
      </w:r>
      <w:r w:rsidR="00D52FD0">
        <w:t xml:space="preserve"> </w:t>
      </w:r>
      <w:r w:rsidR="000A1AAE" w:rsidRPr="0050194B">
        <w:t>7</w:t>
      </w:r>
      <w:r w:rsidR="00D52FD0">
        <w:t xml:space="preserve"> </w:t>
      </w:r>
      <w:r w:rsidR="000A1AAE" w:rsidRPr="0050194B">
        <w:t>of</w:t>
      </w:r>
      <w:r w:rsidR="00D52FD0">
        <w:t xml:space="preserve"> </w:t>
      </w:r>
      <w:r w:rsidR="000A1AAE" w:rsidRPr="0050194B">
        <w:t>the</w:t>
      </w:r>
      <w:r w:rsidR="00D52FD0">
        <w:t xml:space="preserve"> </w:t>
      </w:r>
      <w:r w:rsidR="000A1AAE" w:rsidRPr="0050194B">
        <w:t>Juvenile</w:t>
      </w:r>
      <w:r w:rsidR="00D52FD0">
        <w:t xml:space="preserve"> </w:t>
      </w:r>
      <w:r w:rsidR="000A1AAE" w:rsidRPr="0050194B">
        <w:t>Court</w:t>
      </w:r>
      <w:r w:rsidR="00D52FD0">
        <w:t xml:space="preserve"> </w:t>
      </w:r>
      <w:r w:rsidR="000A1AAE" w:rsidRPr="0050194B">
        <w:t>Act,</w:t>
      </w:r>
      <w:r w:rsidR="00D52FD0">
        <w:t xml:space="preserve"> </w:t>
      </w:r>
      <w:r w:rsidR="000A1AAE" w:rsidRPr="0050194B">
        <w:t>save</w:t>
      </w:r>
      <w:r w:rsidR="00D52FD0">
        <w:t xml:space="preserve"> </w:t>
      </w:r>
      <w:r w:rsidR="000A1AAE" w:rsidRPr="0050194B">
        <w:t>cases</w:t>
      </w:r>
      <w:r w:rsidR="00D52FD0">
        <w:t xml:space="preserve"> </w:t>
      </w:r>
      <w:r w:rsidR="000A1AAE" w:rsidRPr="0050194B">
        <w:t>where</w:t>
      </w:r>
      <w:r w:rsidR="00D52FD0">
        <w:t xml:space="preserve"> </w:t>
      </w:r>
      <w:r w:rsidR="000A1AAE" w:rsidRPr="0050194B">
        <w:t>consent</w:t>
      </w:r>
      <w:r w:rsidR="00D52FD0">
        <w:t xml:space="preserve"> </w:t>
      </w:r>
      <w:r w:rsidR="000A1AAE" w:rsidRPr="0050194B">
        <w:t>is</w:t>
      </w:r>
      <w:r w:rsidR="00D52FD0">
        <w:t xml:space="preserve"> </w:t>
      </w:r>
      <w:r w:rsidR="000A1AAE" w:rsidRPr="0050194B">
        <w:t>attained</w:t>
      </w:r>
      <w:r w:rsidR="00D52FD0">
        <w:t xml:space="preserve"> </w:t>
      </w:r>
      <w:r w:rsidR="000A1AAE" w:rsidRPr="0050194B">
        <w:t>from</w:t>
      </w:r>
      <w:r w:rsidR="00D52FD0">
        <w:t xml:space="preserve"> </w:t>
      </w:r>
      <w:r w:rsidR="000A1AAE" w:rsidRPr="0050194B">
        <w:t>the</w:t>
      </w:r>
      <w:r w:rsidR="00D52FD0">
        <w:t xml:space="preserve"> </w:t>
      </w:r>
      <w:r w:rsidR="000A1AAE" w:rsidRPr="0050194B">
        <w:t>Juvenile</w:t>
      </w:r>
      <w:r w:rsidR="00D52FD0">
        <w:t xml:space="preserve"> </w:t>
      </w:r>
      <w:r w:rsidR="000A1AAE" w:rsidRPr="0050194B">
        <w:t>Court,</w:t>
      </w:r>
      <w:r w:rsidR="00D52FD0">
        <w:t xml:space="preserve"> </w:t>
      </w:r>
      <w:r w:rsidR="000A1AAE" w:rsidRPr="0050194B">
        <w:t>only</w:t>
      </w:r>
      <w:r w:rsidR="00D52FD0">
        <w:t xml:space="preserve"> </w:t>
      </w:r>
      <w:r w:rsidR="000A1AAE" w:rsidRPr="0050194B">
        <w:t>the</w:t>
      </w:r>
      <w:r w:rsidR="00D52FD0">
        <w:t xml:space="preserve"> </w:t>
      </w:r>
      <w:r w:rsidR="000A1AAE" w:rsidRPr="0050194B">
        <w:t>Court</w:t>
      </w:r>
      <w:r w:rsidR="00D52FD0">
        <w:t xml:space="preserve"> </w:t>
      </w:r>
      <w:r w:rsidR="000A1AAE" w:rsidRPr="0050194B">
        <w:t>and</w:t>
      </w:r>
      <w:r w:rsidR="00D52FD0">
        <w:t xml:space="preserve"> </w:t>
      </w:r>
      <w:r w:rsidR="000A1AAE" w:rsidRPr="0050194B">
        <w:t>prosecution</w:t>
      </w:r>
      <w:r w:rsidR="00D52FD0">
        <w:t xml:space="preserve"> </w:t>
      </w:r>
      <w:r w:rsidR="000A1AAE" w:rsidRPr="0050194B">
        <w:t>officials,</w:t>
      </w:r>
      <w:r w:rsidR="00D52FD0">
        <w:t xml:space="preserve"> </w:t>
      </w:r>
      <w:r w:rsidR="000A1AAE" w:rsidRPr="0050194B">
        <w:t>the</w:t>
      </w:r>
      <w:r w:rsidR="00D52FD0">
        <w:t xml:space="preserve"> </w:t>
      </w:r>
      <w:r w:rsidR="000A1AAE" w:rsidRPr="0050194B">
        <w:t>parties,</w:t>
      </w:r>
      <w:r w:rsidR="00D52FD0">
        <w:t xml:space="preserve"> </w:t>
      </w:r>
      <w:r w:rsidR="000A1AAE" w:rsidRPr="0050194B">
        <w:t>their</w:t>
      </w:r>
      <w:r w:rsidR="00D52FD0">
        <w:t xml:space="preserve"> </w:t>
      </w:r>
      <w:r w:rsidR="000A1AAE" w:rsidRPr="0050194B">
        <w:t>lawyers</w:t>
      </w:r>
      <w:r w:rsidR="00D52FD0">
        <w:t xml:space="preserve"> </w:t>
      </w:r>
      <w:r w:rsidR="000A1AAE" w:rsidRPr="0050194B">
        <w:t>or</w:t>
      </w:r>
      <w:r w:rsidR="00D52FD0">
        <w:t xml:space="preserve"> </w:t>
      </w:r>
      <w:r w:rsidR="000A1AAE" w:rsidRPr="0050194B">
        <w:t>other</w:t>
      </w:r>
      <w:r w:rsidR="00D52FD0">
        <w:t xml:space="preserve"> </w:t>
      </w:r>
      <w:r w:rsidR="000A1AAE" w:rsidRPr="0050194B">
        <w:t>lawyers,</w:t>
      </w:r>
      <w:r w:rsidR="00D52FD0">
        <w:t xml:space="preserve"> </w:t>
      </w:r>
      <w:r w:rsidR="000A1AAE" w:rsidRPr="0050194B">
        <w:t>representatives</w:t>
      </w:r>
      <w:r w:rsidR="00D52FD0">
        <w:t xml:space="preserve"> </w:t>
      </w:r>
      <w:r w:rsidR="000A1AAE" w:rsidRPr="0050194B">
        <w:t>of</w:t>
      </w:r>
      <w:r w:rsidR="00D52FD0">
        <w:t xml:space="preserve"> </w:t>
      </w:r>
      <w:r w:rsidR="000A1AAE" w:rsidRPr="0050194B">
        <w:t>the</w:t>
      </w:r>
      <w:r w:rsidR="00D52FD0">
        <w:t xml:space="preserve"> </w:t>
      </w:r>
      <w:r w:rsidR="000A1AAE" w:rsidRPr="0050194B">
        <w:t>Ministry</w:t>
      </w:r>
      <w:r w:rsidR="00D52FD0">
        <w:t xml:space="preserve"> </w:t>
      </w:r>
      <w:r w:rsidR="000A1AAE" w:rsidRPr="0050194B">
        <w:t>concerned,</w:t>
      </w:r>
      <w:r w:rsidR="00D52FD0">
        <w:t xml:space="preserve"> </w:t>
      </w:r>
      <w:r w:rsidR="000A1AAE" w:rsidRPr="0050194B">
        <w:t>witnesses</w:t>
      </w:r>
      <w:r w:rsidR="00D52FD0">
        <w:t xml:space="preserve"> </w:t>
      </w:r>
      <w:r w:rsidR="000A1AAE" w:rsidRPr="0050194B">
        <w:t>or</w:t>
      </w:r>
      <w:r w:rsidR="00D52FD0">
        <w:t xml:space="preserve"> </w:t>
      </w:r>
      <w:r w:rsidR="000A1AAE" w:rsidRPr="0050194B">
        <w:t>individuals</w:t>
      </w:r>
      <w:r w:rsidR="00D52FD0">
        <w:t xml:space="preserve"> </w:t>
      </w:r>
      <w:r w:rsidR="000A1AAE" w:rsidRPr="0050194B">
        <w:t>having</w:t>
      </w:r>
      <w:r w:rsidR="00D52FD0">
        <w:t xml:space="preserve"> </w:t>
      </w:r>
      <w:r w:rsidR="000A1AAE" w:rsidRPr="0050194B">
        <w:t>a</w:t>
      </w:r>
      <w:r w:rsidR="00D52FD0">
        <w:t xml:space="preserve"> </w:t>
      </w:r>
      <w:r w:rsidR="000A1AAE" w:rsidRPr="0050194B">
        <w:t>direct</w:t>
      </w:r>
      <w:r w:rsidR="00D52FD0">
        <w:t xml:space="preserve"> </w:t>
      </w:r>
      <w:r w:rsidR="000A1AAE" w:rsidRPr="0050194B">
        <w:t>interest</w:t>
      </w:r>
      <w:r w:rsidR="00D52FD0">
        <w:t xml:space="preserve"> </w:t>
      </w:r>
      <w:r w:rsidR="000A1AAE" w:rsidRPr="0050194B">
        <w:t>in</w:t>
      </w:r>
      <w:r w:rsidR="00D52FD0">
        <w:t xml:space="preserve"> </w:t>
      </w:r>
      <w:r w:rsidR="000A1AAE" w:rsidRPr="0050194B">
        <w:t>the</w:t>
      </w:r>
      <w:r w:rsidR="00D52FD0">
        <w:t xml:space="preserve"> </w:t>
      </w:r>
      <w:r w:rsidR="000A1AAE" w:rsidRPr="0050194B">
        <w:t>case,</w:t>
      </w:r>
      <w:r w:rsidR="00D52FD0">
        <w:t xml:space="preserve"> </w:t>
      </w:r>
      <w:r w:rsidR="000A1AAE" w:rsidRPr="0050194B">
        <w:t>parents,</w:t>
      </w:r>
      <w:r w:rsidR="00D52FD0">
        <w:t xml:space="preserve"> </w:t>
      </w:r>
      <w:r w:rsidR="000A1AAE" w:rsidRPr="0050194B">
        <w:t>relatives</w:t>
      </w:r>
      <w:r w:rsidR="00D52FD0">
        <w:t xml:space="preserve"> </w:t>
      </w:r>
      <w:r w:rsidR="000A1AAE" w:rsidRPr="0050194B">
        <w:t>or</w:t>
      </w:r>
      <w:r w:rsidR="00D52FD0">
        <w:t xml:space="preserve"> </w:t>
      </w:r>
      <w:r w:rsidR="000A1AAE" w:rsidRPr="0050194B">
        <w:t>guardians</w:t>
      </w:r>
      <w:r w:rsidR="00D52FD0">
        <w:t xml:space="preserve"> </w:t>
      </w:r>
      <w:r w:rsidR="000A1AAE" w:rsidRPr="0050194B">
        <w:t>of</w:t>
      </w:r>
      <w:r w:rsidR="00D52FD0">
        <w:t xml:space="preserve"> </w:t>
      </w:r>
      <w:r w:rsidR="000A1AAE" w:rsidRPr="0050194B">
        <w:t>the</w:t>
      </w:r>
      <w:r w:rsidR="00D52FD0">
        <w:t xml:space="preserve"> </w:t>
      </w:r>
      <w:r w:rsidR="000A1AAE" w:rsidRPr="0050194B">
        <w:t>child</w:t>
      </w:r>
      <w:r w:rsidR="00D52FD0">
        <w:t xml:space="preserve"> </w:t>
      </w:r>
      <w:r w:rsidR="000A1AAE" w:rsidRPr="0050194B">
        <w:t>or</w:t>
      </w:r>
      <w:r w:rsidR="00D52FD0">
        <w:t xml:space="preserve"> </w:t>
      </w:r>
      <w:r w:rsidR="000A1AAE" w:rsidRPr="0050194B">
        <w:t>bona</w:t>
      </w:r>
      <w:r w:rsidR="00D52FD0">
        <w:t xml:space="preserve"> </w:t>
      </w:r>
      <w:r w:rsidR="000A1AAE" w:rsidRPr="0050194B">
        <w:t>fidae</w:t>
      </w:r>
      <w:r w:rsidR="00D52FD0">
        <w:t xml:space="preserve"> </w:t>
      </w:r>
      <w:r w:rsidR="000A1AAE" w:rsidRPr="0050194B">
        <w:t>representatives</w:t>
      </w:r>
      <w:r w:rsidR="00D52FD0">
        <w:t xml:space="preserve"> </w:t>
      </w:r>
      <w:r w:rsidR="000A1AAE" w:rsidRPr="0050194B">
        <w:t>of</w:t>
      </w:r>
      <w:r w:rsidR="00D52FD0">
        <w:t xml:space="preserve"> </w:t>
      </w:r>
      <w:r w:rsidR="000A1AAE" w:rsidRPr="0050194B">
        <w:t>newspapers</w:t>
      </w:r>
      <w:r w:rsidR="00D52FD0">
        <w:t xml:space="preserve"> </w:t>
      </w:r>
      <w:r w:rsidR="000A1AAE" w:rsidRPr="0050194B">
        <w:t>may</w:t>
      </w:r>
      <w:r w:rsidR="00D52FD0">
        <w:t xml:space="preserve"> </w:t>
      </w:r>
      <w:r w:rsidR="000A1AAE" w:rsidRPr="0050194B">
        <w:t>be</w:t>
      </w:r>
      <w:r w:rsidR="00D52FD0">
        <w:t xml:space="preserve"> </w:t>
      </w:r>
      <w:r w:rsidR="000A1AAE" w:rsidRPr="0050194B">
        <w:t>present</w:t>
      </w:r>
      <w:r w:rsidR="00D52FD0">
        <w:t xml:space="preserve"> </w:t>
      </w:r>
      <w:r w:rsidR="000A1AAE" w:rsidRPr="0050194B">
        <w:t>to</w:t>
      </w:r>
      <w:r w:rsidR="00D52FD0">
        <w:t xml:space="preserve"> </w:t>
      </w:r>
      <w:r w:rsidR="000A1AAE" w:rsidRPr="0050194B">
        <w:t>the</w:t>
      </w:r>
      <w:r w:rsidR="00D52FD0">
        <w:t xml:space="preserve"> </w:t>
      </w:r>
      <w:r w:rsidR="000A1AAE" w:rsidRPr="0050194B">
        <w:t>proceedings</w:t>
      </w:r>
      <w:r w:rsidR="00D52FD0">
        <w:t xml:space="preserve"> </w:t>
      </w:r>
      <w:r w:rsidR="000A1AAE" w:rsidRPr="0050194B">
        <w:t>or</w:t>
      </w:r>
      <w:r w:rsidR="00D52FD0">
        <w:t xml:space="preserve"> </w:t>
      </w:r>
      <w:r w:rsidR="000A1AAE" w:rsidRPr="0050194B">
        <w:t>in</w:t>
      </w:r>
      <w:r w:rsidR="00D52FD0">
        <w:t xml:space="preserve"> </w:t>
      </w:r>
      <w:r w:rsidR="000A1AAE" w:rsidRPr="0050194B">
        <w:t>a</w:t>
      </w:r>
      <w:r w:rsidR="00D52FD0">
        <w:t xml:space="preserve"> </w:t>
      </w:r>
      <w:r w:rsidR="000A1AAE" w:rsidRPr="0050194B">
        <w:t>room</w:t>
      </w:r>
      <w:r w:rsidR="00D52FD0">
        <w:t xml:space="preserve"> </w:t>
      </w:r>
      <w:r w:rsidR="000A1AAE" w:rsidRPr="0050194B">
        <w:t>adjacent</w:t>
      </w:r>
      <w:r w:rsidR="00D52FD0">
        <w:t xml:space="preserve"> </w:t>
      </w:r>
      <w:r w:rsidR="000A1AAE" w:rsidRPr="0050194B">
        <w:t>to</w:t>
      </w:r>
      <w:r w:rsidR="00D52FD0">
        <w:t xml:space="preserve"> </w:t>
      </w:r>
      <w:r w:rsidR="000A1AAE" w:rsidRPr="0050194B">
        <w:t>where</w:t>
      </w:r>
      <w:r w:rsidR="00D52FD0">
        <w:t xml:space="preserve"> </w:t>
      </w:r>
      <w:r w:rsidR="000A1AAE" w:rsidRPr="0050194B">
        <w:t>these</w:t>
      </w:r>
      <w:r w:rsidR="00D52FD0">
        <w:t xml:space="preserve"> </w:t>
      </w:r>
      <w:r w:rsidR="000A1AAE" w:rsidRPr="0050194B">
        <w:t>are</w:t>
      </w:r>
      <w:r w:rsidR="00D52FD0">
        <w:t xml:space="preserve"> </w:t>
      </w:r>
      <w:r w:rsidR="000A1AAE" w:rsidRPr="0050194B">
        <w:t>being</w:t>
      </w:r>
      <w:r w:rsidR="00D52FD0">
        <w:t xml:space="preserve"> </w:t>
      </w:r>
      <w:r w:rsidR="000A1AAE" w:rsidRPr="0050194B">
        <w:t>heard.</w:t>
      </w:r>
      <w:r w:rsidR="00D52FD0">
        <w:t xml:space="preserve"> </w:t>
      </w:r>
      <w:r w:rsidR="000A1AAE" w:rsidRPr="0050194B">
        <w:t>Furthermore,</w:t>
      </w:r>
      <w:r w:rsidR="00D52FD0">
        <w:t xml:space="preserve"> </w:t>
      </w:r>
      <w:r w:rsidR="000A1AAE" w:rsidRPr="0050194B">
        <w:t>what</w:t>
      </w:r>
      <w:r w:rsidR="00D52FD0">
        <w:t xml:space="preserve"> </w:t>
      </w:r>
      <w:r w:rsidR="000A1AAE" w:rsidRPr="0050194B">
        <w:t>is</w:t>
      </w:r>
      <w:r w:rsidR="00D52FD0">
        <w:t xml:space="preserve"> </w:t>
      </w:r>
      <w:r w:rsidR="000A1AAE" w:rsidRPr="0050194B">
        <w:t>reported</w:t>
      </w:r>
      <w:r w:rsidR="00D52FD0">
        <w:t xml:space="preserve"> </w:t>
      </w:r>
      <w:r w:rsidR="000A1AAE" w:rsidRPr="0050194B">
        <w:t>with</w:t>
      </w:r>
      <w:r w:rsidR="00D52FD0">
        <w:t xml:space="preserve"> </w:t>
      </w:r>
      <w:r w:rsidR="000A1AAE" w:rsidRPr="0050194B">
        <w:t>regards</w:t>
      </w:r>
      <w:r w:rsidR="00D52FD0">
        <w:t xml:space="preserve"> </w:t>
      </w:r>
      <w:r w:rsidR="000A1AAE" w:rsidRPr="0050194B">
        <w:t>to</w:t>
      </w:r>
      <w:r w:rsidR="00D52FD0">
        <w:t xml:space="preserve"> </w:t>
      </w:r>
      <w:r w:rsidR="000A1AAE" w:rsidRPr="0050194B">
        <w:t>these</w:t>
      </w:r>
      <w:r w:rsidR="00D52FD0">
        <w:t xml:space="preserve"> </w:t>
      </w:r>
      <w:r w:rsidR="000A1AAE" w:rsidRPr="0050194B">
        <w:t>proceedings</w:t>
      </w:r>
      <w:r w:rsidR="00D52FD0">
        <w:t xml:space="preserve"> </w:t>
      </w:r>
      <w:r w:rsidR="000A1AAE" w:rsidRPr="0050194B">
        <w:t>is</w:t>
      </w:r>
      <w:r w:rsidR="00D52FD0">
        <w:t xml:space="preserve"> </w:t>
      </w:r>
      <w:r w:rsidR="000A1AAE" w:rsidRPr="0050194B">
        <w:t>also</w:t>
      </w:r>
      <w:r w:rsidR="00D52FD0">
        <w:t xml:space="preserve"> </w:t>
      </w:r>
      <w:r w:rsidR="000A1AAE" w:rsidRPr="0050194B">
        <w:t>controlled.</w:t>
      </w:r>
      <w:r w:rsidR="00D52FD0">
        <w:t xml:space="preserve"> </w:t>
      </w:r>
      <w:r w:rsidR="000A1AAE" w:rsidRPr="0050194B">
        <w:t>It</w:t>
      </w:r>
      <w:r w:rsidR="00D52FD0">
        <w:t xml:space="preserve"> </w:t>
      </w:r>
      <w:r w:rsidR="000A1AAE" w:rsidRPr="0050194B">
        <w:t>is</w:t>
      </w:r>
      <w:r w:rsidR="00D52FD0">
        <w:t xml:space="preserve"> </w:t>
      </w:r>
      <w:r w:rsidR="000A1AAE" w:rsidRPr="0050194B">
        <w:t>essential</w:t>
      </w:r>
      <w:r w:rsidR="00D52FD0">
        <w:t xml:space="preserve"> </w:t>
      </w:r>
      <w:r w:rsidR="000A1AAE" w:rsidRPr="0050194B">
        <w:t>that</w:t>
      </w:r>
      <w:r w:rsidR="00D52FD0">
        <w:t xml:space="preserve"> </w:t>
      </w:r>
      <w:r w:rsidR="000A1AAE" w:rsidRPr="0050194B">
        <w:t>no</w:t>
      </w:r>
      <w:r w:rsidR="00D52FD0">
        <w:t xml:space="preserve"> </w:t>
      </w:r>
      <w:r w:rsidR="000A1AAE" w:rsidRPr="0050194B">
        <w:t>media</w:t>
      </w:r>
      <w:r w:rsidR="00D52FD0">
        <w:t xml:space="preserve"> </w:t>
      </w:r>
      <w:r w:rsidR="000A1AAE" w:rsidRPr="0050194B">
        <w:t>platform</w:t>
      </w:r>
      <w:r w:rsidR="00D52FD0">
        <w:t xml:space="preserve"> </w:t>
      </w:r>
      <w:r w:rsidR="000A1AAE" w:rsidRPr="0050194B">
        <w:t>shall</w:t>
      </w:r>
      <w:r w:rsidR="00D52FD0">
        <w:t xml:space="preserve"> </w:t>
      </w:r>
      <w:r w:rsidR="000A1AAE" w:rsidRPr="0050194B">
        <w:t>reveal</w:t>
      </w:r>
      <w:r w:rsidR="00D52FD0">
        <w:t xml:space="preserve"> </w:t>
      </w:r>
      <w:r w:rsidR="000A1AAE" w:rsidRPr="0050194B">
        <w:t>the</w:t>
      </w:r>
      <w:r w:rsidR="00D52FD0">
        <w:t xml:space="preserve"> </w:t>
      </w:r>
      <w:r w:rsidR="000A1AAE" w:rsidRPr="0050194B">
        <w:t>identity</w:t>
      </w:r>
      <w:r w:rsidR="00D52FD0">
        <w:t xml:space="preserve"> </w:t>
      </w:r>
      <w:r w:rsidR="000A1AAE" w:rsidRPr="0050194B">
        <w:t>of</w:t>
      </w:r>
      <w:r w:rsidR="00D52FD0">
        <w:t xml:space="preserve"> </w:t>
      </w:r>
      <w:r w:rsidR="000A1AAE" w:rsidRPr="0050194B">
        <w:t>the</w:t>
      </w:r>
      <w:r w:rsidR="00D52FD0">
        <w:t xml:space="preserve"> </w:t>
      </w:r>
      <w:r w:rsidR="000A1AAE" w:rsidRPr="0050194B">
        <w:t>child</w:t>
      </w:r>
      <w:r w:rsidR="00D52FD0">
        <w:t xml:space="preserve"> </w:t>
      </w:r>
      <w:r w:rsidR="000A1AAE" w:rsidRPr="0050194B">
        <w:t>or</w:t>
      </w:r>
      <w:r w:rsidR="00D52FD0">
        <w:t xml:space="preserve"> </w:t>
      </w:r>
      <w:r w:rsidR="000A1AAE" w:rsidRPr="0050194B">
        <w:t>young</w:t>
      </w:r>
      <w:r w:rsidR="00D52FD0">
        <w:t xml:space="preserve"> </w:t>
      </w:r>
      <w:r w:rsidR="000A1AAE" w:rsidRPr="0050194B">
        <w:t>person</w:t>
      </w:r>
      <w:r w:rsidR="00D52FD0">
        <w:t xml:space="preserve"> </w:t>
      </w:r>
      <w:r w:rsidR="000A1AAE" w:rsidRPr="0050194B">
        <w:t>or</w:t>
      </w:r>
      <w:r w:rsidR="00D52FD0">
        <w:t xml:space="preserve"> </w:t>
      </w:r>
      <w:r w:rsidR="000A1AAE" w:rsidRPr="0050194B">
        <w:t>lead</w:t>
      </w:r>
      <w:r w:rsidR="00D52FD0">
        <w:t xml:space="preserve"> </w:t>
      </w:r>
      <w:r w:rsidR="000A1AAE" w:rsidRPr="0050194B">
        <w:t>to</w:t>
      </w:r>
      <w:r w:rsidR="00D52FD0">
        <w:t xml:space="preserve"> </w:t>
      </w:r>
      <w:r w:rsidR="000A1AAE" w:rsidRPr="0050194B">
        <w:t>its</w:t>
      </w:r>
      <w:r w:rsidR="00D52FD0">
        <w:t xml:space="preserve"> </w:t>
      </w:r>
      <w:r w:rsidR="000A1AAE" w:rsidRPr="0050194B">
        <w:t>revelation,</w:t>
      </w:r>
      <w:r w:rsidR="00D52FD0">
        <w:t xml:space="preserve"> </w:t>
      </w:r>
      <w:r w:rsidR="000A1AAE" w:rsidRPr="0050194B">
        <w:t>unless</w:t>
      </w:r>
      <w:r w:rsidR="00D52FD0">
        <w:t xml:space="preserve"> </w:t>
      </w:r>
      <w:r w:rsidR="000A1AAE" w:rsidRPr="0050194B">
        <w:t>the</w:t>
      </w:r>
      <w:r w:rsidR="00D52FD0">
        <w:t xml:space="preserve"> </w:t>
      </w:r>
      <w:r w:rsidR="000A1AAE" w:rsidRPr="0050194B">
        <w:t>Juvenile</w:t>
      </w:r>
      <w:r w:rsidR="00D52FD0">
        <w:t xml:space="preserve"> </w:t>
      </w:r>
      <w:r w:rsidR="000A1AAE" w:rsidRPr="0050194B">
        <w:t>Court</w:t>
      </w:r>
      <w:r w:rsidR="00D52FD0">
        <w:t xml:space="preserve"> </w:t>
      </w:r>
      <w:r w:rsidR="000A1AAE" w:rsidRPr="0050194B">
        <w:t>or</w:t>
      </w:r>
      <w:r w:rsidR="00D52FD0">
        <w:t xml:space="preserve"> </w:t>
      </w:r>
      <w:r w:rsidR="000A1AAE" w:rsidRPr="0050194B">
        <w:t>the</w:t>
      </w:r>
      <w:r w:rsidR="00D52FD0">
        <w:t xml:space="preserve"> </w:t>
      </w:r>
      <w:r w:rsidR="000A1AAE" w:rsidRPr="0050194B">
        <w:t>Minister</w:t>
      </w:r>
      <w:r w:rsidR="00D52FD0">
        <w:t xml:space="preserve"> </w:t>
      </w:r>
      <w:r w:rsidR="000A1AAE" w:rsidRPr="0050194B">
        <w:t>are</w:t>
      </w:r>
      <w:r w:rsidR="00D52FD0">
        <w:t xml:space="preserve"> </w:t>
      </w:r>
      <w:r w:rsidR="000A1AAE" w:rsidRPr="0050194B">
        <w:t>satisfied</w:t>
      </w:r>
      <w:r w:rsidR="00D52FD0">
        <w:t xml:space="preserve"> </w:t>
      </w:r>
      <w:r w:rsidR="000A1AAE" w:rsidRPr="0050194B">
        <w:t>that</w:t>
      </w:r>
      <w:r w:rsidR="00D52FD0">
        <w:t xml:space="preserve"> </w:t>
      </w:r>
      <w:r w:rsidR="000A1AAE" w:rsidRPr="0050194B">
        <w:t>it</w:t>
      </w:r>
      <w:r w:rsidR="00D52FD0">
        <w:t xml:space="preserve"> </w:t>
      </w:r>
      <w:r w:rsidR="000A1AAE" w:rsidRPr="0050194B">
        <w:t>is</w:t>
      </w:r>
      <w:r w:rsidR="00D52FD0">
        <w:t xml:space="preserve"> </w:t>
      </w:r>
      <w:r w:rsidR="000A1AAE" w:rsidRPr="0050194B">
        <w:t>appropriate</w:t>
      </w:r>
      <w:r w:rsidR="00D52FD0">
        <w:t xml:space="preserve"> </w:t>
      </w:r>
      <w:r w:rsidR="000A1AAE" w:rsidRPr="0050194B">
        <w:t>to</w:t>
      </w:r>
      <w:r w:rsidR="00D52FD0">
        <w:t xml:space="preserve"> </w:t>
      </w:r>
      <w:r w:rsidR="000A1AAE" w:rsidRPr="0050194B">
        <w:t>do</w:t>
      </w:r>
      <w:r w:rsidR="00D52FD0">
        <w:t xml:space="preserve"> </w:t>
      </w:r>
      <w:r w:rsidR="000A1AAE" w:rsidRPr="0050194B">
        <w:t>so</w:t>
      </w:r>
      <w:r w:rsidR="00D52FD0">
        <w:t xml:space="preserve"> </w:t>
      </w:r>
      <w:r w:rsidR="000A1AAE" w:rsidRPr="0050194B">
        <w:t>for</w:t>
      </w:r>
      <w:r w:rsidR="00D52FD0">
        <w:t xml:space="preserve"> </w:t>
      </w:r>
      <w:r w:rsidR="000A1AAE" w:rsidRPr="0050194B">
        <w:t>the</w:t>
      </w:r>
      <w:r w:rsidR="00D52FD0">
        <w:t xml:space="preserve"> </w:t>
      </w:r>
      <w:r w:rsidR="000A1AAE" w:rsidRPr="0050194B">
        <w:t>purpose</w:t>
      </w:r>
      <w:r w:rsidR="00D52FD0">
        <w:t xml:space="preserve"> </w:t>
      </w:r>
      <w:r w:rsidR="000A1AAE" w:rsidRPr="0050194B">
        <w:t>of</w:t>
      </w:r>
      <w:r w:rsidR="00D52FD0">
        <w:t xml:space="preserve"> </w:t>
      </w:r>
      <w:r w:rsidR="000A1AAE" w:rsidRPr="0050194B">
        <w:t>avoiding</w:t>
      </w:r>
      <w:r w:rsidR="00D52FD0">
        <w:t xml:space="preserve"> </w:t>
      </w:r>
      <w:r w:rsidR="000A1AAE" w:rsidRPr="0050194B">
        <w:t>injustice</w:t>
      </w:r>
      <w:r w:rsidR="00D52FD0">
        <w:t xml:space="preserve"> </w:t>
      </w:r>
      <w:r w:rsidR="000A1AAE" w:rsidRPr="0050194B">
        <w:t>to</w:t>
      </w:r>
      <w:r w:rsidR="00D52FD0">
        <w:t xml:space="preserve"> </w:t>
      </w:r>
      <w:r w:rsidR="000A1AAE" w:rsidRPr="0050194B">
        <w:t>a</w:t>
      </w:r>
      <w:r w:rsidR="00D52FD0">
        <w:t xml:space="preserve"> </w:t>
      </w:r>
      <w:r w:rsidR="000A1AAE" w:rsidRPr="0050194B">
        <w:t>child</w:t>
      </w:r>
      <w:r w:rsidR="00D52FD0">
        <w:t xml:space="preserve"> </w:t>
      </w:r>
      <w:r w:rsidR="000A1AAE" w:rsidRPr="0050194B">
        <w:t>or</w:t>
      </w:r>
      <w:r w:rsidR="00D52FD0">
        <w:t xml:space="preserve"> </w:t>
      </w:r>
      <w:r w:rsidR="000A1AAE" w:rsidRPr="0050194B">
        <w:t>young</w:t>
      </w:r>
      <w:r w:rsidR="00D52FD0">
        <w:t xml:space="preserve"> </w:t>
      </w:r>
      <w:r w:rsidR="000A1AAE" w:rsidRPr="0050194B">
        <w:t>person.</w:t>
      </w:r>
    </w:p>
    <w:p w14:paraId="6E5824C6" w14:textId="3CFDF2F9" w:rsidR="000A1AAE" w:rsidRPr="0050194B" w:rsidRDefault="0044637E" w:rsidP="0044637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50194B">
        <w:t>76.</w:t>
      </w:r>
      <w:r w:rsidRPr="0050194B">
        <w:tab/>
      </w:r>
      <w:r w:rsidR="000A1AAE" w:rsidRPr="0050194B">
        <w:t>Further</w:t>
      </w:r>
      <w:r w:rsidR="00D52FD0">
        <w:t xml:space="preserve"> </w:t>
      </w:r>
      <w:r w:rsidR="000A1AAE" w:rsidRPr="0050194B">
        <w:t>rights</w:t>
      </w:r>
      <w:r w:rsidR="00D52FD0">
        <w:t xml:space="preserve"> </w:t>
      </w:r>
      <w:r w:rsidR="000A1AAE" w:rsidRPr="0050194B">
        <w:t>in</w:t>
      </w:r>
      <w:r w:rsidR="00D52FD0">
        <w:t xml:space="preserve"> </w:t>
      </w:r>
      <w:r w:rsidR="000A1AAE" w:rsidRPr="0050194B">
        <w:t>Malta</w:t>
      </w:r>
      <w:r w:rsidR="00D52FD0">
        <w:t xml:space="preserve"> </w:t>
      </w:r>
      <w:r w:rsidR="000A1AAE" w:rsidRPr="0050194B">
        <w:t>include</w:t>
      </w:r>
      <w:r w:rsidR="00D52FD0">
        <w:t xml:space="preserve"> </w:t>
      </w:r>
      <w:r w:rsidR="000A1AAE" w:rsidRPr="0050194B">
        <w:t>the</w:t>
      </w:r>
      <w:r w:rsidR="00D52FD0">
        <w:t xml:space="preserve"> </w:t>
      </w:r>
      <w:r w:rsidR="000A1AAE" w:rsidRPr="0050194B">
        <w:t>right</w:t>
      </w:r>
      <w:r w:rsidR="00D52FD0">
        <w:t xml:space="preserve"> </w:t>
      </w:r>
      <w:r w:rsidR="000A1AAE" w:rsidRPr="0050194B">
        <w:t>to</w:t>
      </w:r>
      <w:r w:rsidR="00D52FD0">
        <w:t xml:space="preserve"> </w:t>
      </w:r>
      <w:r w:rsidR="000A1AAE" w:rsidRPr="0050194B">
        <w:t>remain</w:t>
      </w:r>
      <w:r w:rsidR="00D52FD0">
        <w:t xml:space="preserve"> </w:t>
      </w:r>
      <w:r w:rsidR="000A1AAE" w:rsidRPr="0050194B">
        <w:t>silent,</w:t>
      </w:r>
      <w:r w:rsidR="00D52FD0">
        <w:t xml:space="preserve"> </w:t>
      </w:r>
      <w:r w:rsidR="000A1AAE" w:rsidRPr="0050194B">
        <w:t>to</w:t>
      </w:r>
      <w:r w:rsidR="00D52FD0">
        <w:t xml:space="preserve"> </w:t>
      </w:r>
      <w:r w:rsidR="000A1AAE" w:rsidRPr="0050194B">
        <w:t>consult</w:t>
      </w:r>
      <w:r w:rsidR="00D52FD0">
        <w:t xml:space="preserve"> </w:t>
      </w:r>
      <w:r w:rsidR="000A1AAE" w:rsidRPr="0050194B">
        <w:t>any</w:t>
      </w:r>
      <w:r w:rsidR="00D52FD0">
        <w:t xml:space="preserve"> </w:t>
      </w:r>
      <w:r w:rsidR="000A1AAE" w:rsidRPr="0050194B">
        <w:t>medical</w:t>
      </w:r>
      <w:r w:rsidR="00D52FD0">
        <w:t xml:space="preserve"> </w:t>
      </w:r>
      <w:r w:rsidR="000A1AAE" w:rsidRPr="0050194B">
        <w:t>practitioner</w:t>
      </w:r>
      <w:r w:rsidR="00D52FD0">
        <w:t xml:space="preserve"> </w:t>
      </w:r>
      <w:r w:rsidR="000A1AAE" w:rsidRPr="0050194B">
        <w:t>if</w:t>
      </w:r>
      <w:r w:rsidR="00D52FD0">
        <w:t xml:space="preserve"> </w:t>
      </w:r>
      <w:r w:rsidR="000A1AAE" w:rsidRPr="0050194B">
        <w:t>accessible</w:t>
      </w:r>
      <w:r w:rsidR="00D52FD0">
        <w:t xml:space="preserve"> </w:t>
      </w:r>
      <w:r w:rsidR="000A1AAE" w:rsidRPr="0050194B">
        <w:t>and</w:t>
      </w:r>
      <w:r w:rsidR="00D52FD0">
        <w:t xml:space="preserve"> </w:t>
      </w:r>
      <w:r w:rsidR="000A1AAE" w:rsidRPr="0050194B">
        <w:t>to</w:t>
      </w:r>
      <w:r w:rsidR="00D52FD0">
        <w:t xml:space="preserve"> </w:t>
      </w:r>
      <w:r w:rsidR="000A1AAE" w:rsidRPr="0050194B">
        <w:t>have</w:t>
      </w:r>
      <w:r w:rsidR="00D52FD0">
        <w:t xml:space="preserve"> </w:t>
      </w:r>
      <w:r w:rsidR="000A1AAE" w:rsidRPr="0050194B">
        <w:t>at</w:t>
      </w:r>
      <w:r w:rsidR="00D52FD0">
        <w:t xml:space="preserve"> </w:t>
      </w:r>
      <w:r w:rsidR="000A1AAE" w:rsidRPr="0050194B">
        <w:t>least</w:t>
      </w:r>
      <w:r w:rsidR="00D52FD0">
        <w:t xml:space="preserve"> </w:t>
      </w:r>
      <w:r w:rsidR="000A1AAE" w:rsidRPr="0050194B">
        <w:t>one</w:t>
      </w:r>
      <w:r w:rsidR="00D52FD0">
        <w:t xml:space="preserve"> </w:t>
      </w:r>
      <w:r w:rsidR="000A1AAE" w:rsidRPr="0050194B">
        <w:t>individual</w:t>
      </w:r>
      <w:r w:rsidR="00D52FD0">
        <w:t xml:space="preserve"> </w:t>
      </w:r>
      <w:r w:rsidR="000A1AAE" w:rsidRPr="0050194B">
        <w:t>informed</w:t>
      </w:r>
      <w:r w:rsidR="00D52FD0">
        <w:t xml:space="preserve"> </w:t>
      </w:r>
      <w:r w:rsidR="000A1AAE" w:rsidRPr="0050194B">
        <w:t>of</w:t>
      </w:r>
      <w:r w:rsidR="00D52FD0">
        <w:t xml:space="preserve"> </w:t>
      </w:r>
      <w:r w:rsidR="000A1AAE" w:rsidRPr="0050194B">
        <w:t>the</w:t>
      </w:r>
      <w:r w:rsidR="00D52FD0">
        <w:t xml:space="preserve"> </w:t>
      </w:r>
      <w:r w:rsidR="000A1AAE" w:rsidRPr="0050194B">
        <w:t>arrest</w:t>
      </w:r>
      <w:r w:rsidR="00D52FD0">
        <w:t xml:space="preserve"> </w:t>
      </w:r>
      <w:r w:rsidR="000A1AAE" w:rsidRPr="0050194B">
        <w:t>or</w:t>
      </w:r>
      <w:r w:rsidR="00D52FD0">
        <w:t xml:space="preserve"> </w:t>
      </w:r>
      <w:r w:rsidR="000A1AAE" w:rsidRPr="0050194B">
        <w:t>detention</w:t>
      </w:r>
      <w:r w:rsidR="00D52FD0">
        <w:t xml:space="preserve"> </w:t>
      </w:r>
      <w:r w:rsidR="000A1AAE" w:rsidRPr="0050194B">
        <w:t>and</w:t>
      </w:r>
      <w:r w:rsidR="00D52FD0">
        <w:t xml:space="preserve"> </w:t>
      </w:r>
      <w:r w:rsidR="000A1AAE" w:rsidRPr="0050194B">
        <w:t>be</w:t>
      </w:r>
      <w:r w:rsidR="00D52FD0">
        <w:t xml:space="preserve"> </w:t>
      </w:r>
      <w:r w:rsidR="000A1AAE" w:rsidRPr="0050194B">
        <w:t>able</w:t>
      </w:r>
      <w:r w:rsidR="00D52FD0">
        <w:t xml:space="preserve"> </w:t>
      </w:r>
      <w:r w:rsidR="000A1AAE" w:rsidRPr="0050194B">
        <w:t>to</w:t>
      </w:r>
      <w:r w:rsidR="00D52FD0">
        <w:t xml:space="preserve"> </w:t>
      </w:r>
      <w:r w:rsidR="000A1AAE" w:rsidRPr="0050194B">
        <w:t>communicate</w:t>
      </w:r>
      <w:r w:rsidR="00D52FD0">
        <w:t xml:space="preserve"> </w:t>
      </w:r>
      <w:r w:rsidR="000A1AAE" w:rsidRPr="0050194B">
        <w:t>with</w:t>
      </w:r>
      <w:r w:rsidR="00D52FD0">
        <w:t xml:space="preserve"> </w:t>
      </w:r>
      <w:r w:rsidR="000A1AAE" w:rsidRPr="0050194B">
        <w:t>such</w:t>
      </w:r>
      <w:r w:rsidR="00D52FD0">
        <w:t xml:space="preserve"> </w:t>
      </w:r>
      <w:r w:rsidR="000A1AAE" w:rsidRPr="0050194B">
        <w:t>individual</w:t>
      </w:r>
      <w:r w:rsidR="00D52FD0">
        <w:t xml:space="preserve"> </w:t>
      </w:r>
      <w:r w:rsidR="000A1AAE" w:rsidRPr="0050194B">
        <w:t>without</w:t>
      </w:r>
      <w:r w:rsidR="00D52FD0">
        <w:t xml:space="preserve"> </w:t>
      </w:r>
      <w:r w:rsidR="000A1AAE" w:rsidRPr="0050194B">
        <w:t>undue</w:t>
      </w:r>
      <w:r w:rsidR="00D52FD0">
        <w:t xml:space="preserve"> </w:t>
      </w:r>
      <w:r w:rsidR="000A1AAE" w:rsidRPr="0050194B">
        <w:t>delay.</w:t>
      </w:r>
      <w:r w:rsidR="00D52FD0">
        <w:t xml:space="preserve"> </w:t>
      </w:r>
      <w:r w:rsidR="000A1AAE" w:rsidRPr="0050194B">
        <w:t>This</w:t>
      </w:r>
      <w:r w:rsidR="00D52FD0">
        <w:t xml:space="preserve"> </w:t>
      </w:r>
      <w:r w:rsidR="000A1AAE" w:rsidRPr="0050194B">
        <w:t>equally</w:t>
      </w:r>
      <w:r w:rsidR="00D52FD0">
        <w:t xml:space="preserve"> </w:t>
      </w:r>
      <w:r w:rsidR="000A1AAE" w:rsidRPr="0050194B">
        <w:t>applies</w:t>
      </w:r>
      <w:r w:rsidR="00D52FD0">
        <w:t xml:space="preserve"> </w:t>
      </w:r>
      <w:r w:rsidR="000A1AAE" w:rsidRPr="0050194B">
        <w:t>when</w:t>
      </w:r>
      <w:r w:rsidR="00D52FD0">
        <w:t xml:space="preserve"> </w:t>
      </w:r>
      <w:r w:rsidR="000A1AAE" w:rsidRPr="0050194B">
        <w:t>the</w:t>
      </w:r>
      <w:r w:rsidR="00D52FD0">
        <w:t xml:space="preserve"> </w:t>
      </w:r>
      <w:r w:rsidR="000A1AAE" w:rsidRPr="0050194B">
        <w:t>arrestee</w:t>
      </w:r>
      <w:r w:rsidR="00D52FD0">
        <w:t xml:space="preserve"> </w:t>
      </w:r>
      <w:r w:rsidR="000A1AAE" w:rsidRPr="0050194B">
        <w:t>or</w:t>
      </w:r>
      <w:r w:rsidR="00D52FD0">
        <w:t xml:space="preserve"> </w:t>
      </w:r>
      <w:r w:rsidR="000A1AAE" w:rsidRPr="0050194B">
        <w:t>detainee</w:t>
      </w:r>
      <w:r w:rsidR="00D52FD0">
        <w:t xml:space="preserve"> </w:t>
      </w:r>
      <w:r w:rsidR="000A1AAE" w:rsidRPr="0050194B">
        <w:t>is</w:t>
      </w:r>
      <w:r w:rsidR="00D52FD0">
        <w:t xml:space="preserve"> </w:t>
      </w:r>
      <w:r w:rsidR="000A1AAE" w:rsidRPr="0050194B">
        <w:t>a</w:t>
      </w:r>
      <w:r w:rsidR="00D52FD0">
        <w:t xml:space="preserve"> </w:t>
      </w:r>
      <w:r w:rsidR="000A1AAE" w:rsidRPr="0050194B">
        <w:t>minor,</w:t>
      </w:r>
      <w:r w:rsidR="00D52FD0">
        <w:t xml:space="preserve"> </w:t>
      </w:r>
      <w:r w:rsidR="000A1AAE" w:rsidRPr="0050194B">
        <w:t>except</w:t>
      </w:r>
      <w:r w:rsidR="00D52FD0">
        <w:t xml:space="preserve"> </w:t>
      </w:r>
      <w:r w:rsidR="000A1AAE" w:rsidRPr="0050194B">
        <w:t>for</w:t>
      </w:r>
      <w:r w:rsidR="00D52FD0">
        <w:t xml:space="preserve"> </w:t>
      </w:r>
      <w:r w:rsidR="000A1AAE" w:rsidRPr="0050194B">
        <w:t>the</w:t>
      </w:r>
      <w:r w:rsidR="00D52FD0">
        <w:t xml:space="preserve"> </w:t>
      </w:r>
      <w:r w:rsidR="000A1AAE" w:rsidRPr="0050194B">
        <w:t>fact</w:t>
      </w:r>
      <w:r w:rsidR="00D52FD0">
        <w:t xml:space="preserve"> </w:t>
      </w:r>
      <w:r w:rsidR="000A1AAE" w:rsidRPr="0050194B">
        <w:t>that</w:t>
      </w:r>
      <w:r w:rsidR="00D52FD0">
        <w:t xml:space="preserve"> </w:t>
      </w:r>
      <w:r w:rsidR="000A1AAE" w:rsidRPr="0050194B">
        <w:t>in</w:t>
      </w:r>
      <w:r w:rsidR="00D52FD0">
        <w:t xml:space="preserve"> </w:t>
      </w:r>
      <w:r w:rsidR="000A1AAE" w:rsidRPr="0050194B">
        <w:t>such</w:t>
      </w:r>
      <w:r w:rsidR="00D52FD0">
        <w:t xml:space="preserve"> </w:t>
      </w:r>
      <w:r w:rsidR="000A1AAE" w:rsidRPr="0050194B">
        <w:t>case,</w:t>
      </w:r>
      <w:r w:rsidR="00D52FD0">
        <w:t xml:space="preserve"> </w:t>
      </w:r>
      <w:r w:rsidR="000A1AAE" w:rsidRPr="0050194B">
        <w:t>at</w:t>
      </w:r>
      <w:r w:rsidR="00D52FD0">
        <w:t xml:space="preserve"> </w:t>
      </w:r>
      <w:r w:rsidR="000A1AAE" w:rsidRPr="0050194B">
        <w:t>least</w:t>
      </w:r>
      <w:r w:rsidR="00D52FD0">
        <w:t xml:space="preserve"> </w:t>
      </w:r>
      <w:r w:rsidR="000A1AAE" w:rsidRPr="0050194B">
        <w:t>one</w:t>
      </w:r>
      <w:r w:rsidR="00D52FD0">
        <w:t xml:space="preserve"> </w:t>
      </w:r>
      <w:r w:rsidR="000A1AAE" w:rsidRPr="0050194B">
        <w:t>person</w:t>
      </w:r>
      <w:r w:rsidR="00D52FD0">
        <w:t xml:space="preserve"> </w:t>
      </w:r>
      <w:r w:rsidR="000A1AAE" w:rsidRPr="0050194B">
        <w:t>having</w:t>
      </w:r>
      <w:r w:rsidR="00D52FD0">
        <w:t xml:space="preserve"> </w:t>
      </w:r>
      <w:r w:rsidR="000A1AAE" w:rsidRPr="0050194B">
        <w:t>parental</w:t>
      </w:r>
      <w:r w:rsidR="00D52FD0">
        <w:t xml:space="preserve"> </w:t>
      </w:r>
      <w:r w:rsidR="000A1AAE" w:rsidRPr="0050194B">
        <w:t>authority,</w:t>
      </w:r>
      <w:r w:rsidR="00D52FD0">
        <w:t xml:space="preserve"> </w:t>
      </w:r>
      <w:r w:rsidR="000A1AAE" w:rsidRPr="0050194B">
        <w:t>tutorship,</w:t>
      </w:r>
      <w:r w:rsidR="00D52FD0">
        <w:t xml:space="preserve"> </w:t>
      </w:r>
      <w:r w:rsidR="000A1AAE" w:rsidRPr="0050194B">
        <w:t>curatorship</w:t>
      </w:r>
      <w:r w:rsidR="00D52FD0">
        <w:t xml:space="preserve"> </w:t>
      </w:r>
      <w:r w:rsidR="000A1AAE" w:rsidRPr="0050194B">
        <w:t>or</w:t>
      </w:r>
      <w:r w:rsidR="00D52FD0">
        <w:t xml:space="preserve"> </w:t>
      </w:r>
      <w:r w:rsidR="000A1AAE" w:rsidRPr="0050194B">
        <w:t>guardianship</w:t>
      </w:r>
      <w:r w:rsidR="00D52FD0">
        <w:t xml:space="preserve"> </w:t>
      </w:r>
      <w:r w:rsidR="000A1AAE" w:rsidRPr="0050194B">
        <w:t>over</w:t>
      </w:r>
      <w:r w:rsidR="00D52FD0">
        <w:t xml:space="preserve"> </w:t>
      </w:r>
      <w:r w:rsidR="000A1AAE" w:rsidRPr="0050194B">
        <w:t>the</w:t>
      </w:r>
      <w:r w:rsidR="00D52FD0">
        <w:t xml:space="preserve"> </w:t>
      </w:r>
      <w:r w:rsidR="000A1AAE" w:rsidRPr="0050194B">
        <w:t>minor</w:t>
      </w:r>
      <w:r w:rsidR="00D52FD0">
        <w:t xml:space="preserve"> </w:t>
      </w:r>
      <w:r w:rsidR="000A1AAE" w:rsidRPr="0050194B">
        <w:t>shall</w:t>
      </w:r>
      <w:r w:rsidR="00D52FD0">
        <w:t xml:space="preserve"> </w:t>
      </w:r>
      <w:r w:rsidR="000A1AAE" w:rsidRPr="0050194B">
        <w:t>be</w:t>
      </w:r>
      <w:r w:rsidR="00D52FD0">
        <w:t xml:space="preserve"> </w:t>
      </w:r>
      <w:r w:rsidR="000A1AAE" w:rsidRPr="0050194B">
        <w:t>made</w:t>
      </w:r>
      <w:r w:rsidR="00D52FD0">
        <w:t xml:space="preserve"> </w:t>
      </w:r>
      <w:r w:rsidR="000A1AAE" w:rsidRPr="0050194B">
        <w:t>aware</w:t>
      </w:r>
      <w:r w:rsidR="00D52FD0">
        <w:t xml:space="preserve"> </w:t>
      </w:r>
      <w:r w:rsidR="000A1AAE" w:rsidRPr="0050194B">
        <w:t>of</w:t>
      </w:r>
      <w:r w:rsidR="00D52FD0">
        <w:t xml:space="preserve"> </w:t>
      </w:r>
      <w:r w:rsidR="000A1AAE" w:rsidRPr="0050194B">
        <w:t>the</w:t>
      </w:r>
      <w:r w:rsidR="00D52FD0">
        <w:t xml:space="preserve"> </w:t>
      </w:r>
      <w:r w:rsidR="000A1AAE" w:rsidRPr="0050194B">
        <w:t>punishment</w:t>
      </w:r>
      <w:r w:rsidR="00D52FD0">
        <w:t xml:space="preserve"> </w:t>
      </w:r>
      <w:r w:rsidR="000A1AAE" w:rsidRPr="0050194B">
        <w:t>and</w:t>
      </w:r>
      <w:r w:rsidR="00D52FD0">
        <w:t xml:space="preserve"> </w:t>
      </w:r>
      <w:r w:rsidR="000A1AAE" w:rsidRPr="0050194B">
        <w:t>the</w:t>
      </w:r>
      <w:r w:rsidR="00D52FD0">
        <w:t xml:space="preserve"> </w:t>
      </w:r>
      <w:r w:rsidR="000A1AAE" w:rsidRPr="0050194B">
        <w:t>reasons</w:t>
      </w:r>
      <w:r w:rsidR="00D52FD0">
        <w:t xml:space="preserve"> </w:t>
      </w:r>
      <w:r w:rsidR="000A1AAE" w:rsidRPr="0050194B">
        <w:t>leading</w:t>
      </w:r>
      <w:r w:rsidR="00D52FD0">
        <w:t xml:space="preserve"> </w:t>
      </w:r>
      <w:r w:rsidR="000A1AAE" w:rsidRPr="0050194B">
        <w:t>to</w:t>
      </w:r>
      <w:r w:rsidR="00D52FD0">
        <w:t xml:space="preserve"> </w:t>
      </w:r>
      <w:r w:rsidR="000A1AAE" w:rsidRPr="0050194B">
        <w:t>it.</w:t>
      </w:r>
      <w:r w:rsidR="00D52FD0">
        <w:t xml:space="preserve"> </w:t>
      </w:r>
      <w:r w:rsidR="000A1AAE" w:rsidRPr="0050194B">
        <w:t>Similarly,</w:t>
      </w:r>
      <w:r w:rsidR="00D52FD0">
        <w:t xml:space="preserve"> </w:t>
      </w:r>
      <w:r w:rsidR="000A1AAE" w:rsidRPr="0050194B">
        <w:t>whilst</w:t>
      </w:r>
      <w:r w:rsidR="00D52FD0">
        <w:t xml:space="preserve"> </w:t>
      </w:r>
      <w:r w:rsidR="000A1AAE" w:rsidRPr="0050194B">
        <w:t>the</w:t>
      </w:r>
      <w:r w:rsidR="00D52FD0">
        <w:t xml:space="preserve"> </w:t>
      </w:r>
      <w:r w:rsidR="000A1AAE" w:rsidRPr="0050194B">
        <w:t>method</w:t>
      </w:r>
      <w:r w:rsidR="00D52FD0">
        <w:t xml:space="preserve"> </w:t>
      </w:r>
      <w:r w:rsidR="000A1AAE" w:rsidRPr="0050194B">
        <w:t>of</w:t>
      </w:r>
      <w:r w:rsidR="00D52FD0">
        <w:t xml:space="preserve"> </w:t>
      </w:r>
      <w:r w:rsidR="000A1AAE" w:rsidRPr="0050194B">
        <w:t>questioning</w:t>
      </w:r>
      <w:r w:rsidR="00D52FD0">
        <w:t xml:space="preserve"> </w:t>
      </w:r>
      <w:r w:rsidR="000A1AAE" w:rsidRPr="0050194B">
        <w:t>of</w:t>
      </w:r>
      <w:r w:rsidR="00D52FD0">
        <w:t xml:space="preserve"> </w:t>
      </w:r>
      <w:r w:rsidR="000A1AAE" w:rsidRPr="0050194B">
        <w:t>suspects</w:t>
      </w:r>
      <w:r w:rsidR="00D52FD0">
        <w:t xml:space="preserve"> </w:t>
      </w:r>
      <w:r w:rsidR="000A1AAE" w:rsidRPr="0050194B">
        <w:t>as</w:t>
      </w:r>
      <w:r w:rsidR="00D52FD0">
        <w:t xml:space="preserve"> </w:t>
      </w:r>
      <w:r w:rsidR="000A1AAE" w:rsidRPr="0050194B">
        <w:t>applicable</w:t>
      </w:r>
      <w:r w:rsidR="00D52FD0">
        <w:t xml:space="preserve"> </w:t>
      </w:r>
      <w:r w:rsidR="000A1AAE" w:rsidRPr="0050194B">
        <w:t>to</w:t>
      </w:r>
      <w:r w:rsidR="00D52FD0">
        <w:t xml:space="preserve"> </w:t>
      </w:r>
      <w:r w:rsidR="000A1AAE" w:rsidRPr="0050194B">
        <w:t>adults</w:t>
      </w:r>
      <w:r w:rsidR="00D52FD0">
        <w:t xml:space="preserve"> </w:t>
      </w:r>
      <w:r w:rsidR="000A1AAE" w:rsidRPr="0050194B">
        <w:t>also</w:t>
      </w:r>
      <w:r w:rsidR="00D52FD0">
        <w:t xml:space="preserve"> </w:t>
      </w:r>
      <w:r w:rsidR="000A1AAE" w:rsidRPr="0050194B">
        <w:t>applies</w:t>
      </w:r>
      <w:r w:rsidR="00D52FD0">
        <w:t xml:space="preserve"> </w:t>
      </w:r>
      <w:r w:rsidR="000A1AAE" w:rsidRPr="0050194B">
        <w:t>to</w:t>
      </w:r>
      <w:r w:rsidR="00D52FD0">
        <w:t xml:space="preserve"> </w:t>
      </w:r>
      <w:r w:rsidR="000A1AAE" w:rsidRPr="0050194B">
        <w:t>minor</w:t>
      </w:r>
      <w:r w:rsidR="00D52FD0">
        <w:t xml:space="preserve"> </w:t>
      </w:r>
      <w:r w:rsidR="000A1AAE" w:rsidRPr="0050194B">
        <w:t>suspects,</w:t>
      </w:r>
      <w:r w:rsidR="00D52FD0">
        <w:t xml:space="preserve"> </w:t>
      </w:r>
      <w:r w:rsidR="000A1AAE" w:rsidRPr="0050194B">
        <w:t>special</w:t>
      </w:r>
      <w:r w:rsidR="00D52FD0">
        <w:t xml:space="preserve"> </w:t>
      </w:r>
      <w:r w:rsidR="000A1AAE" w:rsidRPr="0050194B">
        <w:t>attention</w:t>
      </w:r>
      <w:r w:rsidR="00D52FD0">
        <w:t xml:space="preserve"> </w:t>
      </w:r>
      <w:r w:rsidR="000A1AAE" w:rsidRPr="0050194B">
        <w:t>must</w:t>
      </w:r>
      <w:r w:rsidR="00D52FD0">
        <w:t xml:space="preserve"> </w:t>
      </w:r>
      <w:r w:rsidR="000A1AAE" w:rsidRPr="0050194B">
        <w:t>be</w:t>
      </w:r>
      <w:r w:rsidR="00D52FD0">
        <w:t xml:space="preserve"> </w:t>
      </w:r>
      <w:r w:rsidR="000A1AAE" w:rsidRPr="0050194B">
        <w:t>given</w:t>
      </w:r>
      <w:r w:rsidR="00D52FD0">
        <w:t xml:space="preserve"> </w:t>
      </w:r>
      <w:r w:rsidR="000A1AAE" w:rsidRPr="0050194B">
        <w:t>to</w:t>
      </w:r>
      <w:r w:rsidR="00D52FD0">
        <w:t xml:space="preserve"> </w:t>
      </w:r>
      <w:r w:rsidR="000A1AAE" w:rsidRPr="0050194B">
        <w:t>the</w:t>
      </w:r>
      <w:r w:rsidR="00D52FD0">
        <w:t xml:space="preserve"> </w:t>
      </w:r>
      <w:r w:rsidR="000A1AAE" w:rsidRPr="0050194B">
        <w:t>interviewing</w:t>
      </w:r>
      <w:r w:rsidR="00D52FD0">
        <w:t xml:space="preserve"> </w:t>
      </w:r>
      <w:r w:rsidR="000A1AAE" w:rsidRPr="0050194B">
        <w:t>of</w:t>
      </w:r>
      <w:r w:rsidR="00D52FD0">
        <w:t xml:space="preserve"> </w:t>
      </w:r>
      <w:r w:rsidR="000A1AAE" w:rsidRPr="0050194B">
        <w:t>minors.</w:t>
      </w:r>
      <w:r w:rsidR="00D52FD0">
        <w:t xml:space="preserve"> </w:t>
      </w:r>
      <w:r w:rsidR="000A1AAE" w:rsidRPr="0050194B">
        <w:t>If</w:t>
      </w:r>
      <w:r w:rsidR="00D52FD0">
        <w:t xml:space="preserve"> </w:t>
      </w:r>
      <w:r w:rsidR="000A1AAE" w:rsidRPr="0050194B">
        <w:t>possible,</w:t>
      </w:r>
      <w:r w:rsidR="00D52FD0">
        <w:t xml:space="preserve"> </w:t>
      </w:r>
      <w:r w:rsidR="000A1AAE" w:rsidRPr="0050194B">
        <w:t>the</w:t>
      </w:r>
      <w:r w:rsidR="00D52FD0">
        <w:t xml:space="preserve"> </w:t>
      </w:r>
      <w:r w:rsidR="000A1AAE" w:rsidRPr="0050194B">
        <w:t>interview</w:t>
      </w:r>
      <w:r w:rsidR="00D52FD0">
        <w:t xml:space="preserve"> </w:t>
      </w:r>
      <w:r w:rsidR="000A1AAE" w:rsidRPr="0050194B">
        <w:t>is</w:t>
      </w:r>
      <w:r w:rsidR="00D52FD0">
        <w:t xml:space="preserve"> </w:t>
      </w:r>
      <w:r w:rsidR="000A1AAE" w:rsidRPr="0050194B">
        <w:t>led</w:t>
      </w:r>
      <w:r w:rsidR="00D52FD0">
        <w:t xml:space="preserve"> </w:t>
      </w:r>
      <w:r w:rsidR="000A1AAE" w:rsidRPr="0050194B">
        <w:t>in</w:t>
      </w:r>
      <w:r w:rsidR="00D52FD0">
        <w:t xml:space="preserve"> </w:t>
      </w:r>
      <w:r w:rsidR="000A1AAE" w:rsidRPr="0050194B">
        <w:t>the</w:t>
      </w:r>
      <w:r w:rsidR="00D52FD0">
        <w:t xml:space="preserve"> </w:t>
      </w:r>
      <w:r w:rsidR="000A1AAE" w:rsidRPr="0050194B">
        <w:t>presence</w:t>
      </w:r>
      <w:r w:rsidR="00D52FD0">
        <w:t xml:space="preserve"> </w:t>
      </w:r>
      <w:r w:rsidR="000A1AAE" w:rsidRPr="0050194B">
        <w:t>of</w:t>
      </w:r>
      <w:r w:rsidR="00D52FD0">
        <w:t xml:space="preserve"> </w:t>
      </w:r>
      <w:r w:rsidR="000A1AAE" w:rsidRPr="0050194B">
        <w:t>a</w:t>
      </w:r>
      <w:r w:rsidR="00D52FD0">
        <w:t xml:space="preserve"> </w:t>
      </w:r>
      <w:r w:rsidR="000A1AAE" w:rsidRPr="0050194B">
        <w:t>parent,</w:t>
      </w:r>
      <w:r w:rsidR="00D52FD0">
        <w:t xml:space="preserve"> </w:t>
      </w:r>
      <w:r w:rsidR="000A1AAE" w:rsidRPr="0050194B">
        <w:t>tutor</w:t>
      </w:r>
      <w:r w:rsidR="00D52FD0">
        <w:t xml:space="preserve"> </w:t>
      </w:r>
      <w:r w:rsidR="000A1AAE" w:rsidRPr="0050194B">
        <w:t>or</w:t>
      </w:r>
      <w:r w:rsidR="00D52FD0">
        <w:t xml:space="preserve"> </w:t>
      </w:r>
      <w:r w:rsidR="000A1AAE" w:rsidRPr="0050194B">
        <w:t>another</w:t>
      </w:r>
      <w:r w:rsidR="00D52FD0">
        <w:t xml:space="preserve"> </w:t>
      </w:r>
      <w:r w:rsidR="000A1AAE" w:rsidRPr="0050194B">
        <w:t>individual</w:t>
      </w:r>
      <w:r w:rsidR="00D52FD0">
        <w:t xml:space="preserve"> </w:t>
      </w:r>
      <w:r w:rsidR="000A1AAE" w:rsidRPr="0050194B">
        <w:t>of</w:t>
      </w:r>
      <w:r w:rsidR="00D52FD0">
        <w:t xml:space="preserve"> </w:t>
      </w:r>
      <w:r w:rsidR="000A1AAE" w:rsidRPr="0050194B">
        <w:t>the</w:t>
      </w:r>
      <w:r w:rsidR="00D52FD0">
        <w:t xml:space="preserve"> </w:t>
      </w:r>
      <w:r w:rsidR="000A1AAE" w:rsidRPr="0050194B">
        <w:t>same</w:t>
      </w:r>
      <w:r w:rsidR="00D52FD0">
        <w:t xml:space="preserve"> </w:t>
      </w:r>
      <w:r w:rsidR="000A1AAE" w:rsidRPr="0050194B">
        <w:t>sex</w:t>
      </w:r>
      <w:r w:rsidR="00D52FD0">
        <w:t xml:space="preserve"> </w:t>
      </w:r>
      <w:r w:rsidR="000A1AAE" w:rsidRPr="0050194B">
        <w:t>as</w:t>
      </w:r>
      <w:r w:rsidR="00D52FD0">
        <w:t xml:space="preserve"> </w:t>
      </w:r>
      <w:r w:rsidR="000A1AAE" w:rsidRPr="0050194B">
        <w:t>the</w:t>
      </w:r>
      <w:r w:rsidR="00D52FD0">
        <w:t xml:space="preserve"> </w:t>
      </w:r>
      <w:r w:rsidR="000A1AAE" w:rsidRPr="0050194B">
        <w:t>interviewee</w:t>
      </w:r>
      <w:r w:rsidR="00D52FD0">
        <w:t xml:space="preserve"> </w:t>
      </w:r>
      <w:r w:rsidR="000A1AAE" w:rsidRPr="0050194B">
        <w:t>and</w:t>
      </w:r>
      <w:r w:rsidR="00D52FD0">
        <w:t xml:space="preserve"> </w:t>
      </w:r>
      <w:r w:rsidR="000A1AAE" w:rsidRPr="0050194B">
        <w:t>who</w:t>
      </w:r>
      <w:r w:rsidR="00D52FD0">
        <w:t xml:space="preserve"> </w:t>
      </w:r>
      <w:r w:rsidR="000A1AAE" w:rsidRPr="0050194B">
        <w:t>is</w:t>
      </w:r>
      <w:r w:rsidR="00D52FD0">
        <w:t xml:space="preserve"> </w:t>
      </w:r>
      <w:r w:rsidR="000A1AAE" w:rsidRPr="0050194B">
        <w:t>not</w:t>
      </w:r>
      <w:r w:rsidR="00D52FD0">
        <w:t xml:space="preserve"> </w:t>
      </w:r>
      <w:r w:rsidR="000A1AAE" w:rsidRPr="0050194B">
        <w:t>a</w:t>
      </w:r>
      <w:r w:rsidR="00D52FD0">
        <w:t xml:space="preserve"> </w:t>
      </w:r>
      <w:r w:rsidR="000A1AAE" w:rsidRPr="0050194B">
        <w:t>member</w:t>
      </w:r>
      <w:r w:rsidR="00D52FD0">
        <w:t xml:space="preserve"> </w:t>
      </w:r>
      <w:r w:rsidR="000A1AAE" w:rsidRPr="0050194B">
        <w:t>of</w:t>
      </w:r>
      <w:r w:rsidR="00D52FD0">
        <w:t xml:space="preserve"> </w:t>
      </w:r>
      <w:r w:rsidR="000A1AAE" w:rsidRPr="0050194B">
        <w:t>the</w:t>
      </w:r>
      <w:r w:rsidR="00D52FD0">
        <w:t xml:space="preserve"> </w:t>
      </w:r>
      <w:r w:rsidR="000A1AAE" w:rsidRPr="0050194B">
        <w:t>Police</w:t>
      </w:r>
      <w:r w:rsidR="00D52FD0">
        <w:t xml:space="preserve"> </w:t>
      </w:r>
      <w:r w:rsidR="000A1AAE" w:rsidRPr="0050194B">
        <w:t>Force,</w:t>
      </w:r>
      <w:r w:rsidR="00D52FD0">
        <w:t xml:space="preserve"> </w:t>
      </w:r>
      <w:r w:rsidR="000A1AAE" w:rsidRPr="0050194B">
        <w:t>who</w:t>
      </w:r>
      <w:r w:rsidR="00D52FD0">
        <w:t xml:space="preserve"> </w:t>
      </w:r>
      <w:r w:rsidR="000A1AAE" w:rsidRPr="0050194B">
        <w:t>might</w:t>
      </w:r>
      <w:r w:rsidR="00D52FD0">
        <w:t xml:space="preserve"> </w:t>
      </w:r>
      <w:r w:rsidR="000A1AAE" w:rsidRPr="0050194B">
        <w:t>as</w:t>
      </w:r>
      <w:r w:rsidR="00D52FD0">
        <w:t xml:space="preserve"> </w:t>
      </w:r>
      <w:r w:rsidR="000A1AAE" w:rsidRPr="0050194B">
        <w:t>an</w:t>
      </w:r>
      <w:r w:rsidR="00D52FD0">
        <w:t xml:space="preserve"> </w:t>
      </w:r>
      <w:r w:rsidR="000A1AAE" w:rsidRPr="0050194B">
        <w:t>example</w:t>
      </w:r>
      <w:r w:rsidR="00D52FD0">
        <w:t xml:space="preserve"> </w:t>
      </w:r>
      <w:r w:rsidR="000A1AAE" w:rsidRPr="0050194B">
        <w:t>be</w:t>
      </w:r>
      <w:r w:rsidR="00D52FD0">
        <w:t xml:space="preserve"> </w:t>
      </w:r>
      <w:r w:rsidR="000A1AAE" w:rsidRPr="0050194B">
        <w:t>a</w:t>
      </w:r>
      <w:r w:rsidR="00D52FD0">
        <w:t xml:space="preserve"> </w:t>
      </w:r>
      <w:r w:rsidR="000A1AAE" w:rsidRPr="0050194B">
        <w:t>social</w:t>
      </w:r>
      <w:r w:rsidR="00D52FD0">
        <w:t xml:space="preserve"> </w:t>
      </w:r>
      <w:r w:rsidR="000A1AAE" w:rsidRPr="0050194B">
        <w:t>worker</w:t>
      </w:r>
      <w:r w:rsidR="00D52FD0">
        <w:t xml:space="preserve"> </w:t>
      </w:r>
      <w:r w:rsidR="000A1AAE" w:rsidRPr="0050194B">
        <w:t>or</w:t>
      </w:r>
      <w:r w:rsidR="00D52FD0">
        <w:t xml:space="preserve"> </w:t>
      </w:r>
      <w:r w:rsidR="000A1AAE" w:rsidRPr="0050194B">
        <w:t>the</w:t>
      </w:r>
      <w:r w:rsidR="00D52FD0">
        <w:t xml:space="preserve"> </w:t>
      </w:r>
      <w:r w:rsidR="000A1AAE" w:rsidRPr="0050194B">
        <w:t>person</w:t>
      </w:r>
      <w:r w:rsidR="00D52FD0">
        <w:t xml:space="preserve"> </w:t>
      </w:r>
      <w:r w:rsidR="000A1AAE" w:rsidRPr="0050194B">
        <w:t>having</w:t>
      </w:r>
      <w:r w:rsidR="00D52FD0">
        <w:t xml:space="preserve"> </w:t>
      </w:r>
      <w:r w:rsidR="000A1AAE" w:rsidRPr="0050194B">
        <w:t>effective</w:t>
      </w:r>
      <w:r w:rsidR="00D52FD0">
        <w:t xml:space="preserve"> </w:t>
      </w:r>
      <w:r w:rsidR="000A1AAE" w:rsidRPr="0050194B">
        <w:t>care</w:t>
      </w:r>
      <w:r w:rsidR="00D52FD0">
        <w:t xml:space="preserve"> </w:t>
      </w:r>
      <w:r w:rsidR="000A1AAE" w:rsidRPr="0050194B">
        <w:t>and</w:t>
      </w:r>
      <w:r w:rsidR="00D52FD0">
        <w:t xml:space="preserve"> </w:t>
      </w:r>
      <w:r w:rsidR="000A1AAE" w:rsidRPr="0050194B">
        <w:t>custody</w:t>
      </w:r>
      <w:r w:rsidR="00D52FD0">
        <w:t xml:space="preserve"> </w:t>
      </w:r>
      <w:r w:rsidR="000A1AAE" w:rsidRPr="0050194B">
        <w:t>of</w:t>
      </w:r>
      <w:r w:rsidR="00D52FD0">
        <w:t xml:space="preserve"> </w:t>
      </w:r>
      <w:r w:rsidR="000A1AAE" w:rsidRPr="0050194B">
        <w:t>the</w:t>
      </w:r>
      <w:r w:rsidR="00D52FD0">
        <w:t xml:space="preserve"> </w:t>
      </w:r>
      <w:r w:rsidR="000A1AAE" w:rsidRPr="0050194B">
        <w:t>juvenile.</w:t>
      </w:r>
    </w:p>
    <w:p w14:paraId="4687C4DA" w14:textId="54CFA51B" w:rsidR="000A1AAE" w:rsidRPr="0050194B" w:rsidRDefault="0044637E" w:rsidP="0044637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50194B">
        <w:t>77.</w:t>
      </w:r>
      <w:r w:rsidRPr="0050194B">
        <w:tab/>
      </w:r>
      <w:r w:rsidR="000A1AAE" w:rsidRPr="0050194B">
        <w:t>In</w:t>
      </w:r>
      <w:r w:rsidR="00D52FD0">
        <w:t xml:space="preserve"> </w:t>
      </w:r>
      <w:r w:rsidR="000A1AAE" w:rsidRPr="0050194B">
        <w:t>Malta,</w:t>
      </w:r>
      <w:r w:rsidR="00D52FD0">
        <w:t xml:space="preserve"> </w:t>
      </w:r>
      <w:r w:rsidR="000A1AAE" w:rsidRPr="0050194B">
        <w:t>along</w:t>
      </w:r>
      <w:r w:rsidR="00D52FD0">
        <w:t xml:space="preserve"> </w:t>
      </w:r>
      <w:r w:rsidR="000A1AAE" w:rsidRPr="0050194B">
        <w:t>with</w:t>
      </w:r>
      <w:r w:rsidR="00D52FD0">
        <w:t xml:space="preserve"> </w:t>
      </w:r>
      <w:r w:rsidR="000A1AAE" w:rsidRPr="0050194B">
        <w:t>non-custodial</w:t>
      </w:r>
      <w:r w:rsidR="00D52FD0">
        <w:t xml:space="preserve"> </w:t>
      </w:r>
      <w:r w:rsidR="000A1AAE" w:rsidRPr="0050194B">
        <w:t>fines</w:t>
      </w:r>
      <w:r w:rsidR="00D52FD0">
        <w:t xml:space="preserve"> </w:t>
      </w:r>
      <w:r w:rsidR="000A1AAE" w:rsidRPr="0050194B">
        <w:t>and</w:t>
      </w:r>
      <w:r w:rsidR="00D52FD0">
        <w:t xml:space="preserve"> </w:t>
      </w:r>
      <w:r w:rsidR="000A1AAE" w:rsidRPr="0050194B">
        <w:t>the</w:t>
      </w:r>
      <w:r w:rsidR="00D52FD0">
        <w:t xml:space="preserve"> </w:t>
      </w:r>
      <w:r w:rsidR="000A1AAE" w:rsidRPr="0050194B">
        <w:t>possibility</w:t>
      </w:r>
      <w:r w:rsidR="00D52FD0">
        <w:t xml:space="preserve"> </w:t>
      </w:r>
      <w:r w:rsidR="000A1AAE" w:rsidRPr="0050194B">
        <w:t>of</w:t>
      </w:r>
      <w:r w:rsidR="00D52FD0">
        <w:t xml:space="preserve"> </w:t>
      </w:r>
      <w:r w:rsidR="000A1AAE" w:rsidRPr="0050194B">
        <w:t>the</w:t>
      </w:r>
      <w:r w:rsidR="00D52FD0">
        <w:t xml:space="preserve"> </w:t>
      </w:r>
      <w:r w:rsidR="000A1AAE" w:rsidRPr="0050194B">
        <w:t>accused</w:t>
      </w:r>
      <w:r w:rsidR="00D52FD0">
        <w:t xml:space="preserve"> </w:t>
      </w:r>
      <w:r w:rsidR="000A1AAE" w:rsidRPr="0050194B">
        <w:t>being</w:t>
      </w:r>
      <w:r w:rsidR="00D52FD0">
        <w:t xml:space="preserve"> </w:t>
      </w:r>
      <w:r w:rsidR="000A1AAE" w:rsidRPr="0050194B">
        <w:t>placed</w:t>
      </w:r>
      <w:r w:rsidR="00D52FD0">
        <w:t xml:space="preserve"> </w:t>
      </w:r>
      <w:r w:rsidR="000A1AAE" w:rsidRPr="0050194B">
        <w:t>for</w:t>
      </w:r>
      <w:r w:rsidR="00D52FD0">
        <w:t xml:space="preserve"> </w:t>
      </w:r>
      <w:r w:rsidR="000A1AAE" w:rsidRPr="0050194B">
        <w:t>some</w:t>
      </w:r>
      <w:r w:rsidR="00D52FD0">
        <w:t xml:space="preserve"> </w:t>
      </w:r>
      <w:r w:rsidR="000A1AAE" w:rsidRPr="0050194B">
        <w:t>time</w:t>
      </w:r>
      <w:r w:rsidR="00D52FD0">
        <w:t xml:space="preserve"> </w:t>
      </w:r>
      <w:r w:rsidR="000A1AAE" w:rsidRPr="0050194B">
        <w:t>in</w:t>
      </w:r>
      <w:r w:rsidR="00D52FD0">
        <w:t xml:space="preserve"> </w:t>
      </w:r>
      <w:r w:rsidR="000A1AAE" w:rsidRPr="0050194B">
        <w:t>the</w:t>
      </w:r>
      <w:r w:rsidR="00D52FD0">
        <w:t xml:space="preserve"> </w:t>
      </w:r>
      <w:r w:rsidR="000A1AAE" w:rsidRPr="0050194B">
        <w:t>care</w:t>
      </w:r>
      <w:r w:rsidR="00D52FD0">
        <w:t xml:space="preserve"> </w:t>
      </w:r>
      <w:r w:rsidR="000A1AAE" w:rsidRPr="0050194B">
        <w:t>of</w:t>
      </w:r>
      <w:r w:rsidR="00D52FD0">
        <w:t xml:space="preserve"> </w:t>
      </w:r>
      <w:r w:rsidR="000A1AAE" w:rsidRPr="0050194B">
        <w:t>a</w:t>
      </w:r>
      <w:r w:rsidR="00D52FD0">
        <w:t xml:space="preserve"> </w:t>
      </w:r>
      <w:r w:rsidR="000A1AAE" w:rsidRPr="0050194B">
        <w:t>probation</w:t>
      </w:r>
      <w:r w:rsidR="00D52FD0">
        <w:t xml:space="preserve"> </w:t>
      </w:r>
      <w:r w:rsidR="000A1AAE" w:rsidRPr="0050194B">
        <w:t>officer</w:t>
      </w:r>
      <w:r w:rsidR="00D52FD0">
        <w:t xml:space="preserve"> </w:t>
      </w:r>
      <w:r w:rsidR="000A1AAE" w:rsidRPr="0050194B">
        <w:t>a</w:t>
      </w:r>
      <w:r w:rsidR="00D52FD0">
        <w:t xml:space="preserve"> </w:t>
      </w:r>
      <w:r w:rsidR="000A1AAE" w:rsidRPr="0050194B">
        <w:t>copy</w:t>
      </w:r>
      <w:r w:rsidR="00D52FD0">
        <w:t xml:space="preserve"> </w:t>
      </w:r>
      <w:r w:rsidR="000A1AAE" w:rsidRPr="0050194B">
        <w:t>of</w:t>
      </w:r>
      <w:r w:rsidR="00D52FD0">
        <w:t xml:space="preserve"> </w:t>
      </w:r>
      <w:r w:rsidR="000A1AAE" w:rsidRPr="0050194B">
        <w:t>which</w:t>
      </w:r>
      <w:r w:rsidR="00D52FD0">
        <w:t xml:space="preserve"> </w:t>
      </w:r>
      <w:r w:rsidR="000A1AAE" w:rsidRPr="0050194B">
        <w:t>probation</w:t>
      </w:r>
      <w:r w:rsidR="00D52FD0">
        <w:t xml:space="preserve"> </w:t>
      </w:r>
      <w:r w:rsidR="000A1AAE" w:rsidRPr="0050194B">
        <w:t>order</w:t>
      </w:r>
      <w:r w:rsidR="00D52FD0">
        <w:t xml:space="preserve"> </w:t>
      </w:r>
      <w:r w:rsidR="000A1AAE" w:rsidRPr="0050194B">
        <w:t>shall</w:t>
      </w:r>
      <w:r w:rsidR="00D52FD0">
        <w:t xml:space="preserve"> </w:t>
      </w:r>
      <w:r w:rsidR="000A1AAE" w:rsidRPr="0050194B">
        <w:t>be</w:t>
      </w:r>
      <w:r w:rsidR="00D52FD0">
        <w:t xml:space="preserve"> </w:t>
      </w:r>
      <w:r w:rsidR="000A1AAE" w:rsidRPr="0050194B">
        <w:t>distributed</w:t>
      </w:r>
      <w:r w:rsidR="00D52FD0">
        <w:t xml:space="preserve"> </w:t>
      </w:r>
      <w:r w:rsidR="000A1AAE" w:rsidRPr="0050194B">
        <w:t>to</w:t>
      </w:r>
      <w:r w:rsidR="00D52FD0">
        <w:t xml:space="preserve"> </w:t>
      </w:r>
      <w:r w:rsidR="000A1AAE" w:rsidRPr="0050194B">
        <w:t>the</w:t>
      </w:r>
      <w:r w:rsidR="00D52FD0">
        <w:t xml:space="preserve"> </w:t>
      </w:r>
      <w:r w:rsidR="000A1AAE" w:rsidRPr="0050194B">
        <w:t>parent</w:t>
      </w:r>
      <w:r w:rsidR="00D52FD0">
        <w:t xml:space="preserve"> </w:t>
      </w:r>
      <w:r w:rsidR="000A1AAE" w:rsidRPr="0050194B">
        <w:t>or</w:t>
      </w:r>
      <w:r w:rsidR="00D52FD0">
        <w:t xml:space="preserve"> </w:t>
      </w:r>
      <w:r w:rsidR="000A1AAE" w:rsidRPr="0050194B">
        <w:t>person</w:t>
      </w:r>
      <w:r w:rsidR="00D52FD0">
        <w:t xml:space="preserve"> </w:t>
      </w:r>
      <w:r w:rsidR="000A1AAE" w:rsidRPr="0050194B">
        <w:t>charged</w:t>
      </w:r>
      <w:r w:rsidR="00D52FD0">
        <w:t xml:space="preserve"> </w:t>
      </w:r>
      <w:r w:rsidR="000A1AAE" w:rsidRPr="0050194B">
        <w:t>with</w:t>
      </w:r>
      <w:r w:rsidR="00D52FD0">
        <w:t xml:space="preserve"> </w:t>
      </w:r>
      <w:r w:rsidR="000A1AAE" w:rsidRPr="0050194B">
        <w:t>the</w:t>
      </w:r>
      <w:r w:rsidR="00D52FD0">
        <w:t xml:space="preserve"> </w:t>
      </w:r>
      <w:r w:rsidR="000A1AAE" w:rsidRPr="0050194B">
        <w:t>upbringing</w:t>
      </w:r>
      <w:r w:rsidR="00D52FD0">
        <w:t xml:space="preserve"> </w:t>
      </w:r>
      <w:r w:rsidR="000A1AAE" w:rsidRPr="0050194B">
        <w:t>of</w:t>
      </w:r>
      <w:r w:rsidR="00D52FD0">
        <w:t xml:space="preserve"> </w:t>
      </w:r>
      <w:r w:rsidR="000A1AAE" w:rsidRPr="0050194B">
        <w:t>the</w:t>
      </w:r>
      <w:r w:rsidR="00D52FD0">
        <w:t xml:space="preserve"> </w:t>
      </w:r>
      <w:r w:rsidR="000A1AAE" w:rsidRPr="0050194B">
        <w:t>probationer</w:t>
      </w:r>
      <w:r w:rsidR="00D52FD0">
        <w:t xml:space="preserve"> </w:t>
      </w:r>
      <w:r w:rsidR="000A1AAE" w:rsidRPr="0050194B">
        <w:t>if</w:t>
      </w:r>
      <w:r w:rsidR="00D52FD0">
        <w:t xml:space="preserve"> </w:t>
      </w:r>
      <w:r w:rsidR="000A1AAE" w:rsidRPr="0050194B">
        <w:t>the</w:t>
      </w:r>
      <w:r w:rsidR="00D52FD0">
        <w:t xml:space="preserve"> </w:t>
      </w:r>
      <w:r w:rsidR="000A1AAE" w:rsidRPr="0050194B">
        <w:t>latter</w:t>
      </w:r>
      <w:r w:rsidR="00D52FD0">
        <w:t xml:space="preserve"> </w:t>
      </w:r>
      <w:r w:rsidR="000A1AAE" w:rsidRPr="0050194B">
        <w:t>is</w:t>
      </w:r>
      <w:r w:rsidR="00D52FD0">
        <w:t xml:space="preserve"> </w:t>
      </w:r>
      <w:r w:rsidR="000A1AAE" w:rsidRPr="0050194B">
        <w:t>a</w:t>
      </w:r>
      <w:r w:rsidR="00D52FD0">
        <w:t xml:space="preserve"> </w:t>
      </w:r>
      <w:r w:rsidR="000A1AAE" w:rsidRPr="0050194B">
        <w:t>minor,</w:t>
      </w:r>
      <w:r w:rsidR="00D52FD0">
        <w:t xml:space="preserve"> </w:t>
      </w:r>
      <w:r w:rsidR="000A1AAE" w:rsidRPr="0050194B">
        <w:t>juveniles</w:t>
      </w:r>
      <w:r w:rsidR="00D52FD0">
        <w:t xml:space="preserve"> </w:t>
      </w:r>
      <w:r w:rsidR="000A1AAE" w:rsidRPr="0050194B">
        <w:t>who</w:t>
      </w:r>
      <w:r w:rsidR="00D52FD0">
        <w:t xml:space="preserve"> </w:t>
      </w:r>
      <w:r w:rsidR="000A1AAE" w:rsidRPr="0050194B">
        <w:t>are</w:t>
      </w:r>
      <w:r w:rsidR="00D52FD0">
        <w:t xml:space="preserve"> </w:t>
      </w:r>
      <w:r w:rsidR="000A1AAE" w:rsidRPr="0050194B">
        <w:t>between</w:t>
      </w:r>
      <w:r w:rsidR="00D52FD0">
        <w:t xml:space="preserve"> </w:t>
      </w:r>
      <w:r w:rsidR="000A1AAE" w:rsidRPr="0050194B">
        <w:t>fourteen</w:t>
      </w:r>
      <w:r w:rsidR="00D52FD0">
        <w:t xml:space="preserve"> </w:t>
      </w:r>
      <w:r w:rsidR="000A1AAE" w:rsidRPr="0050194B">
        <w:t>and</w:t>
      </w:r>
      <w:r w:rsidR="00D52FD0">
        <w:t xml:space="preserve"> </w:t>
      </w:r>
      <w:r w:rsidR="000A1AAE" w:rsidRPr="0050194B">
        <w:t>sixteen</w:t>
      </w:r>
      <w:r w:rsidR="00D52FD0">
        <w:t xml:space="preserve"> </w:t>
      </w:r>
      <w:r w:rsidR="000A1AAE" w:rsidRPr="0050194B">
        <w:t>years</w:t>
      </w:r>
      <w:r w:rsidR="00D52FD0">
        <w:t xml:space="preserve"> </w:t>
      </w:r>
      <w:r w:rsidR="000A1AAE" w:rsidRPr="0050194B">
        <w:t>of</w:t>
      </w:r>
      <w:r w:rsidR="00D52FD0">
        <w:t xml:space="preserve"> </w:t>
      </w:r>
      <w:r w:rsidR="000A1AAE" w:rsidRPr="0050194B">
        <w:t>age</w:t>
      </w:r>
      <w:r w:rsidR="00D52FD0">
        <w:t xml:space="preserve"> </w:t>
      </w:r>
      <w:r w:rsidR="000A1AAE" w:rsidRPr="0050194B">
        <w:t>acting</w:t>
      </w:r>
      <w:r w:rsidR="00D52FD0">
        <w:t xml:space="preserve"> </w:t>
      </w:r>
      <w:r w:rsidR="000A1AAE" w:rsidRPr="0050194B">
        <w:t>with</w:t>
      </w:r>
      <w:r w:rsidR="00D52FD0">
        <w:t xml:space="preserve"> </w:t>
      </w:r>
      <w:r w:rsidR="000A1AAE" w:rsidRPr="0050194B">
        <w:t>mischievous</w:t>
      </w:r>
      <w:r w:rsidR="00D52FD0">
        <w:t xml:space="preserve"> </w:t>
      </w:r>
      <w:r w:rsidR="000A1AAE" w:rsidRPr="0050194B">
        <w:t>discretion</w:t>
      </w:r>
      <w:r w:rsidR="00D52FD0">
        <w:t xml:space="preserve"> </w:t>
      </w:r>
      <w:r w:rsidR="000A1AAE" w:rsidRPr="0050194B">
        <w:t>and</w:t>
      </w:r>
      <w:r w:rsidR="00D52FD0">
        <w:t xml:space="preserve"> </w:t>
      </w:r>
      <w:r w:rsidR="000A1AAE" w:rsidRPr="0050194B">
        <w:t>in</w:t>
      </w:r>
      <w:r w:rsidR="00D52FD0">
        <w:t xml:space="preserve"> </w:t>
      </w:r>
      <w:r w:rsidR="000A1AAE" w:rsidRPr="0050194B">
        <w:t>the</w:t>
      </w:r>
      <w:r w:rsidR="00D52FD0">
        <w:t xml:space="preserve"> </w:t>
      </w:r>
      <w:r w:rsidR="000A1AAE" w:rsidRPr="0050194B">
        <w:t>case</w:t>
      </w:r>
      <w:r w:rsidR="00D52FD0">
        <w:t xml:space="preserve"> </w:t>
      </w:r>
      <w:r w:rsidR="000A1AAE" w:rsidRPr="0050194B">
        <w:t>where</w:t>
      </w:r>
      <w:r w:rsidR="00D52FD0">
        <w:t xml:space="preserve"> </w:t>
      </w:r>
      <w:r w:rsidR="000A1AAE" w:rsidRPr="0050194B">
        <w:t>the</w:t>
      </w:r>
      <w:r w:rsidR="00D52FD0">
        <w:t xml:space="preserve"> </w:t>
      </w:r>
      <w:r w:rsidR="000A1AAE" w:rsidRPr="0050194B">
        <w:t>minor</w:t>
      </w:r>
      <w:r w:rsidR="00D52FD0">
        <w:t xml:space="preserve"> </w:t>
      </w:r>
      <w:r w:rsidR="000A1AAE" w:rsidRPr="0050194B">
        <w:t>is</w:t>
      </w:r>
      <w:r w:rsidR="00D52FD0">
        <w:t xml:space="preserve"> </w:t>
      </w:r>
      <w:r w:rsidR="000A1AAE" w:rsidRPr="0050194B">
        <w:t>aged</w:t>
      </w:r>
      <w:r w:rsidR="00D52FD0">
        <w:t xml:space="preserve"> </w:t>
      </w:r>
      <w:r w:rsidR="000A1AAE" w:rsidRPr="0050194B">
        <w:t>between</w:t>
      </w:r>
      <w:r w:rsidR="00D52FD0">
        <w:t xml:space="preserve"> </w:t>
      </w:r>
      <w:r w:rsidR="000A1AAE" w:rsidRPr="0050194B">
        <w:t>sixteen</w:t>
      </w:r>
      <w:r w:rsidR="00D52FD0">
        <w:t xml:space="preserve"> </w:t>
      </w:r>
      <w:r w:rsidR="000A1AAE" w:rsidRPr="0050194B">
        <w:t>and</w:t>
      </w:r>
      <w:r w:rsidR="00D52FD0">
        <w:t xml:space="preserve"> </w:t>
      </w:r>
      <w:r w:rsidR="000A1AAE" w:rsidRPr="0050194B">
        <w:t>eighteen</w:t>
      </w:r>
      <w:r w:rsidR="00D52FD0">
        <w:t xml:space="preserve"> </w:t>
      </w:r>
      <w:r w:rsidR="000A1AAE" w:rsidRPr="0050194B">
        <w:t>years,</w:t>
      </w:r>
      <w:r w:rsidR="00D52FD0">
        <w:t xml:space="preserve"> </w:t>
      </w:r>
      <w:r w:rsidR="000A1AAE" w:rsidRPr="0050194B">
        <w:t>the</w:t>
      </w:r>
      <w:r w:rsidR="00D52FD0">
        <w:t xml:space="preserve"> </w:t>
      </w:r>
      <w:r w:rsidR="000A1AAE" w:rsidRPr="0050194B">
        <w:t>applicable</w:t>
      </w:r>
      <w:r w:rsidR="00D52FD0">
        <w:t xml:space="preserve"> </w:t>
      </w:r>
      <w:r w:rsidR="000A1AAE" w:rsidRPr="0050194B">
        <w:t>penalty</w:t>
      </w:r>
      <w:r w:rsidR="00D52FD0">
        <w:t xml:space="preserve"> </w:t>
      </w:r>
      <w:r w:rsidR="000A1AAE" w:rsidRPr="0050194B">
        <w:t>is</w:t>
      </w:r>
      <w:r w:rsidR="00D52FD0">
        <w:t xml:space="preserve"> </w:t>
      </w:r>
      <w:r w:rsidR="000A1AAE" w:rsidRPr="0050194B">
        <w:t>decreased</w:t>
      </w:r>
      <w:r w:rsidR="00D52FD0">
        <w:t xml:space="preserve"> </w:t>
      </w:r>
      <w:r w:rsidR="000A1AAE" w:rsidRPr="0050194B">
        <w:t>by</w:t>
      </w:r>
      <w:r w:rsidR="00D52FD0">
        <w:t xml:space="preserve"> </w:t>
      </w:r>
      <w:r w:rsidR="000A1AAE" w:rsidRPr="0050194B">
        <w:t>one</w:t>
      </w:r>
      <w:r w:rsidR="00D52FD0">
        <w:t xml:space="preserve"> </w:t>
      </w:r>
      <w:r w:rsidR="000A1AAE" w:rsidRPr="0050194B">
        <w:t>or</w:t>
      </w:r>
      <w:r w:rsidR="00D52FD0">
        <w:t xml:space="preserve"> </w:t>
      </w:r>
      <w:r w:rsidR="000A1AAE" w:rsidRPr="0050194B">
        <w:t>two</w:t>
      </w:r>
      <w:r w:rsidR="00D52FD0">
        <w:t xml:space="preserve"> </w:t>
      </w:r>
      <w:r w:rsidR="000A1AAE" w:rsidRPr="0050194B">
        <w:t>degrees.</w:t>
      </w:r>
      <w:r w:rsidR="00D52FD0">
        <w:t xml:space="preserve"> </w:t>
      </w:r>
      <w:r w:rsidR="000A1AAE" w:rsidRPr="0050194B">
        <w:t>Minors</w:t>
      </w:r>
      <w:r w:rsidR="00D52FD0">
        <w:t xml:space="preserve"> </w:t>
      </w:r>
      <w:r w:rsidR="000A1AAE" w:rsidRPr="0050194B">
        <w:t>under</w:t>
      </w:r>
      <w:r w:rsidR="00D52FD0">
        <w:t xml:space="preserve"> </w:t>
      </w:r>
      <w:r w:rsidR="000A1AAE" w:rsidRPr="0050194B">
        <w:t>sixteen</w:t>
      </w:r>
      <w:r w:rsidR="00D52FD0">
        <w:t xml:space="preserve"> </w:t>
      </w:r>
      <w:r w:rsidR="000A1AAE" w:rsidRPr="0050194B">
        <w:t>years</w:t>
      </w:r>
      <w:r w:rsidR="00D52FD0">
        <w:t xml:space="preserve"> </w:t>
      </w:r>
      <w:r w:rsidR="000A1AAE" w:rsidRPr="0050194B">
        <w:t>of</w:t>
      </w:r>
      <w:r w:rsidR="00D52FD0">
        <w:t xml:space="preserve"> </w:t>
      </w:r>
      <w:r w:rsidR="000A1AAE" w:rsidRPr="0050194B">
        <w:t>age</w:t>
      </w:r>
      <w:r w:rsidR="00D52FD0">
        <w:t xml:space="preserve"> </w:t>
      </w:r>
      <w:r w:rsidR="000A1AAE" w:rsidRPr="0050194B">
        <w:t>are</w:t>
      </w:r>
      <w:r w:rsidR="00D52FD0">
        <w:t xml:space="preserve"> </w:t>
      </w:r>
      <w:r w:rsidR="000A1AAE" w:rsidRPr="0050194B">
        <w:t>exempt</w:t>
      </w:r>
      <w:r w:rsidR="00D52FD0">
        <w:t xml:space="preserve"> </w:t>
      </w:r>
      <w:r w:rsidR="000A1AAE" w:rsidRPr="0050194B">
        <w:t>from</w:t>
      </w:r>
      <w:r w:rsidR="00D52FD0">
        <w:t xml:space="preserve"> </w:t>
      </w:r>
      <w:r w:rsidR="000A1AAE" w:rsidRPr="0050194B">
        <w:t>criminal</w:t>
      </w:r>
      <w:r w:rsidR="00D52FD0">
        <w:t xml:space="preserve"> </w:t>
      </w:r>
      <w:r w:rsidR="000A1AAE" w:rsidRPr="0050194B">
        <w:t>responsibility</w:t>
      </w:r>
      <w:r w:rsidR="00D52FD0">
        <w:t xml:space="preserve"> </w:t>
      </w:r>
      <w:r w:rsidR="000A1AAE" w:rsidRPr="0050194B">
        <w:t>for</w:t>
      </w:r>
      <w:r w:rsidR="00D52FD0">
        <w:t xml:space="preserve"> </w:t>
      </w:r>
      <w:r w:rsidR="000A1AAE" w:rsidRPr="0050194B">
        <w:t>any</w:t>
      </w:r>
      <w:r w:rsidR="00D52FD0">
        <w:t xml:space="preserve"> </w:t>
      </w:r>
      <w:r w:rsidR="000A1AAE" w:rsidRPr="0050194B">
        <w:t>act</w:t>
      </w:r>
      <w:r w:rsidR="00D52FD0">
        <w:t xml:space="preserve"> </w:t>
      </w:r>
      <w:r w:rsidR="000A1AAE" w:rsidRPr="0050194B">
        <w:t>or</w:t>
      </w:r>
      <w:r w:rsidR="00D52FD0">
        <w:t xml:space="preserve"> </w:t>
      </w:r>
      <w:r w:rsidR="000A1AAE" w:rsidRPr="0050194B">
        <w:t>omission</w:t>
      </w:r>
      <w:r w:rsidR="00D52FD0">
        <w:t xml:space="preserve"> </w:t>
      </w:r>
      <w:r w:rsidR="000A1AAE" w:rsidRPr="0050194B">
        <w:t>done</w:t>
      </w:r>
      <w:r w:rsidR="00D52FD0">
        <w:t xml:space="preserve"> </w:t>
      </w:r>
      <w:r w:rsidR="000A1AAE" w:rsidRPr="0050194B">
        <w:t>without</w:t>
      </w:r>
      <w:r w:rsidR="00D52FD0">
        <w:t xml:space="preserve"> </w:t>
      </w:r>
      <w:r w:rsidR="000A1AAE" w:rsidRPr="0050194B">
        <w:t>any</w:t>
      </w:r>
      <w:r w:rsidR="00D52FD0">
        <w:t xml:space="preserve"> </w:t>
      </w:r>
      <w:r w:rsidR="000A1AAE" w:rsidRPr="0050194B">
        <w:t>mischievous</w:t>
      </w:r>
      <w:r w:rsidR="00D52FD0">
        <w:t xml:space="preserve"> </w:t>
      </w:r>
      <w:r w:rsidR="000A1AAE" w:rsidRPr="0050194B">
        <w:t>discretion.</w:t>
      </w:r>
    </w:p>
    <w:p w14:paraId="6197C206" w14:textId="087392B3" w:rsidR="000A1AAE" w:rsidRPr="0050194B" w:rsidRDefault="0044637E" w:rsidP="0044637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50194B">
        <w:t>78.</w:t>
      </w:r>
      <w:r w:rsidRPr="0050194B">
        <w:tab/>
      </w:r>
      <w:r w:rsidR="000A1AAE" w:rsidRPr="0050194B">
        <w:t>The</w:t>
      </w:r>
      <w:r w:rsidR="00D52FD0">
        <w:t xml:space="preserve"> </w:t>
      </w:r>
      <w:r w:rsidR="000A1AAE" w:rsidRPr="0050194B">
        <w:t>adoption</w:t>
      </w:r>
      <w:r w:rsidR="00D52FD0">
        <w:t xml:space="preserve"> </w:t>
      </w:r>
      <w:r w:rsidR="000A1AAE" w:rsidRPr="0050194B">
        <w:t>of</w:t>
      </w:r>
      <w:r w:rsidR="00D52FD0">
        <w:t xml:space="preserve"> </w:t>
      </w:r>
      <w:r w:rsidR="000A1AAE" w:rsidRPr="0050194B">
        <w:t>the</w:t>
      </w:r>
      <w:r w:rsidR="00D52FD0">
        <w:t xml:space="preserve"> </w:t>
      </w:r>
      <w:r w:rsidR="000A1AAE" w:rsidRPr="0050194B">
        <w:t>Minor</w:t>
      </w:r>
      <w:r w:rsidR="00D52FD0">
        <w:t xml:space="preserve"> </w:t>
      </w:r>
      <w:r w:rsidR="000A1AAE" w:rsidRPr="0050194B">
        <w:t>Protection</w:t>
      </w:r>
      <w:r w:rsidR="00D52FD0">
        <w:t xml:space="preserve"> </w:t>
      </w:r>
      <w:r w:rsidR="000A1AAE" w:rsidRPr="0050194B">
        <w:t>(Alternative</w:t>
      </w:r>
      <w:r w:rsidR="00D52FD0">
        <w:t xml:space="preserve"> </w:t>
      </w:r>
      <w:r w:rsidR="000A1AAE" w:rsidRPr="0050194B">
        <w:t>Care)</w:t>
      </w:r>
      <w:r w:rsidR="00D52FD0">
        <w:t xml:space="preserve"> </w:t>
      </w:r>
      <w:r w:rsidR="000A1AAE" w:rsidRPr="0050194B">
        <w:t>Act</w:t>
      </w:r>
      <w:r w:rsidR="00D52FD0">
        <w:t xml:space="preserve"> </w:t>
      </w:r>
      <w:r w:rsidR="000A1AAE" w:rsidRPr="0050194B">
        <w:t>of</w:t>
      </w:r>
      <w:r w:rsidR="00D52FD0">
        <w:t xml:space="preserve"> </w:t>
      </w:r>
      <w:r w:rsidR="000A1AAE" w:rsidRPr="0050194B">
        <w:t>2020,</w:t>
      </w:r>
      <w:r w:rsidR="00D52FD0">
        <w:t xml:space="preserve"> </w:t>
      </w:r>
      <w:r w:rsidR="000A1AAE" w:rsidRPr="0050194B">
        <w:t>Chapter</w:t>
      </w:r>
      <w:r w:rsidR="00D52FD0">
        <w:t xml:space="preserve"> </w:t>
      </w:r>
      <w:r w:rsidR="000A1AAE" w:rsidRPr="0050194B">
        <w:t>602</w:t>
      </w:r>
      <w:r w:rsidR="00D52FD0">
        <w:t xml:space="preserve"> </w:t>
      </w:r>
      <w:r w:rsidR="000A1AAE" w:rsidRPr="0050194B">
        <w:t>of</w:t>
      </w:r>
      <w:r w:rsidR="00D52FD0">
        <w:t xml:space="preserve"> </w:t>
      </w:r>
      <w:r w:rsidR="000A1AAE" w:rsidRPr="0050194B">
        <w:t>the</w:t>
      </w:r>
      <w:r w:rsidR="00D52FD0">
        <w:t xml:space="preserve"> </w:t>
      </w:r>
      <w:r w:rsidR="000A1AAE" w:rsidRPr="0050194B">
        <w:t>Laws</w:t>
      </w:r>
      <w:r w:rsidR="00D52FD0">
        <w:t xml:space="preserve"> </w:t>
      </w:r>
      <w:r w:rsidR="000A1AAE" w:rsidRPr="0050194B">
        <w:t>of</w:t>
      </w:r>
      <w:r w:rsidR="00D52FD0">
        <w:t xml:space="preserve"> </w:t>
      </w:r>
      <w:r w:rsidR="000A1AAE" w:rsidRPr="0050194B">
        <w:t>Malta</w:t>
      </w:r>
      <w:r w:rsidR="00D52FD0">
        <w:t xml:space="preserve"> </w:t>
      </w:r>
      <w:r w:rsidR="000A1AAE" w:rsidRPr="0050194B">
        <w:t>updates</w:t>
      </w:r>
      <w:r w:rsidR="00D52FD0">
        <w:t xml:space="preserve"> </w:t>
      </w:r>
      <w:r w:rsidR="000A1AAE" w:rsidRPr="0050194B">
        <w:t>the</w:t>
      </w:r>
      <w:r w:rsidR="00D52FD0">
        <w:t xml:space="preserve"> </w:t>
      </w:r>
      <w:r w:rsidR="000A1AAE" w:rsidRPr="0050194B">
        <w:t>Children</w:t>
      </w:r>
      <w:r w:rsidR="00D52FD0">
        <w:t xml:space="preserve"> </w:t>
      </w:r>
      <w:r w:rsidR="000A1AAE" w:rsidRPr="0050194B">
        <w:t>and</w:t>
      </w:r>
      <w:r w:rsidR="00D52FD0">
        <w:t xml:space="preserve"> </w:t>
      </w:r>
      <w:r w:rsidR="000A1AAE" w:rsidRPr="0050194B">
        <w:t>Young</w:t>
      </w:r>
      <w:r w:rsidR="00D52FD0">
        <w:t xml:space="preserve"> </w:t>
      </w:r>
      <w:r w:rsidR="000A1AAE" w:rsidRPr="0050194B">
        <w:t>Persons</w:t>
      </w:r>
      <w:r w:rsidR="00D52FD0">
        <w:t xml:space="preserve"> </w:t>
      </w:r>
      <w:r w:rsidR="000A1AAE" w:rsidRPr="0050194B">
        <w:t>(Care</w:t>
      </w:r>
      <w:r w:rsidR="00D52FD0">
        <w:t xml:space="preserve"> </w:t>
      </w:r>
      <w:r w:rsidR="000A1AAE" w:rsidRPr="0050194B">
        <w:t>Orders)</w:t>
      </w:r>
      <w:r w:rsidR="00D52FD0">
        <w:t xml:space="preserve"> </w:t>
      </w:r>
      <w:r w:rsidR="000A1AAE" w:rsidRPr="0050194B">
        <w:t>Act</w:t>
      </w:r>
      <w:r w:rsidR="00D52FD0">
        <w:t xml:space="preserve"> </w:t>
      </w:r>
      <w:r w:rsidR="000A1AAE" w:rsidRPr="0050194B">
        <w:t>of</w:t>
      </w:r>
      <w:r w:rsidR="00D52FD0">
        <w:t xml:space="preserve"> </w:t>
      </w:r>
      <w:r w:rsidR="000A1AAE" w:rsidRPr="0050194B">
        <w:t>1980</w:t>
      </w:r>
      <w:r w:rsidR="00D52FD0">
        <w:t xml:space="preserve"> </w:t>
      </w:r>
      <w:r w:rsidR="000A1AAE" w:rsidRPr="0050194B">
        <w:t>(not</w:t>
      </w:r>
      <w:r w:rsidR="00D52FD0">
        <w:t xml:space="preserve"> </w:t>
      </w:r>
      <w:r w:rsidR="000A1AAE" w:rsidRPr="0050194B">
        <w:t>all</w:t>
      </w:r>
      <w:r w:rsidR="00D52FD0">
        <w:t xml:space="preserve"> </w:t>
      </w:r>
      <w:r w:rsidR="000A1AAE" w:rsidRPr="0050194B">
        <w:t>provisions</w:t>
      </w:r>
      <w:r w:rsidR="00D52FD0">
        <w:t xml:space="preserve"> </w:t>
      </w:r>
      <w:r w:rsidR="000A1AAE" w:rsidRPr="0050194B">
        <w:t>are</w:t>
      </w:r>
      <w:r w:rsidR="00D52FD0">
        <w:t xml:space="preserve"> </w:t>
      </w:r>
      <w:r w:rsidR="000A1AAE" w:rsidRPr="0050194B">
        <w:t>in</w:t>
      </w:r>
      <w:r w:rsidR="00D52FD0">
        <w:t xml:space="preserve"> </w:t>
      </w:r>
      <w:r w:rsidR="000A1AAE" w:rsidRPr="0050194B">
        <w:t>force).</w:t>
      </w:r>
      <w:r w:rsidR="00D52FD0">
        <w:t xml:space="preserve"> </w:t>
      </w:r>
      <w:r w:rsidR="000A1AAE" w:rsidRPr="0050194B">
        <w:t>This</w:t>
      </w:r>
      <w:r w:rsidR="00D52FD0">
        <w:t xml:space="preserve"> </w:t>
      </w:r>
      <w:r w:rsidR="000A1AAE" w:rsidRPr="0050194B">
        <w:t>law</w:t>
      </w:r>
      <w:r w:rsidR="00D52FD0">
        <w:t xml:space="preserve"> </w:t>
      </w:r>
      <w:r w:rsidR="000A1AAE" w:rsidRPr="0050194B">
        <w:t>addresses</w:t>
      </w:r>
      <w:r w:rsidR="00D52FD0">
        <w:t xml:space="preserve"> </w:t>
      </w:r>
      <w:r w:rsidR="000A1AAE" w:rsidRPr="0050194B">
        <w:t>issues</w:t>
      </w:r>
      <w:r w:rsidR="00D52FD0">
        <w:t xml:space="preserve"> </w:t>
      </w:r>
      <w:r w:rsidR="000A1AAE" w:rsidRPr="0050194B">
        <w:t>such</w:t>
      </w:r>
      <w:r w:rsidR="00D52FD0">
        <w:t xml:space="preserve"> </w:t>
      </w:r>
      <w:r w:rsidR="000A1AAE" w:rsidRPr="0050194B">
        <w:t>as</w:t>
      </w:r>
      <w:r w:rsidR="00D52FD0">
        <w:t xml:space="preserve"> </w:t>
      </w:r>
      <w:r w:rsidR="000A1AAE" w:rsidRPr="0050194B">
        <w:t>when</w:t>
      </w:r>
      <w:r w:rsidR="00D52FD0">
        <w:t xml:space="preserve"> </w:t>
      </w:r>
      <w:r w:rsidR="000A1AAE" w:rsidRPr="0050194B">
        <w:t>minors</w:t>
      </w:r>
      <w:r w:rsidR="00D52FD0">
        <w:t xml:space="preserve"> </w:t>
      </w:r>
      <w:r w:rsidR="000A1AAE" w:rsidRPr="0050194B">
        <w:t>protected</w:t>
      </w:r>
      <w:r w:rsidR="00D52FD0">
        <w:t xml:space="preserve"> </w:t>
      </w:r>
      <w:r w:rsidR="000A1AAE" w:rsidRPr="0050194B">
        <w:t>by</w:t>
      </w:r>
      <w:r w:rsidR="00D52FD0">
        <w:t xml:space="preserve"> </w:t>
      </w:r>
      <w:r w:rsidR="000A1AAE" w:rsidRPr="0050194B">
        <w:t>a</w:t>
      </w:r>
      <w:r w:rsidR="00D52FD0">
        <w:t xml:space="preserve"> </w:t>
      </w:r>
      <w:r w:rsidR="000A1AAE" w:rsidRPr="0050194B">
        <w:t>care</w:t>
      </w:r>
      <w:r w:rsidR="00D52FD0">
        <w:t xml:space="preserve"> </w:t>
      </w:r>
      <w:r w:rsidR="000A1AAE" w:rsidRPr="0050194B">
        <w:t>order</w:t>
      </w:r>
      <w:r w:rsidR="00D52FD0">
        <w:t xml:space="preserve"> </w:t>
      </w:r>
      <w:r w:rsidR="000A1AAE" w:rsidRPr="0050194B">
        <w:t>would</w:t>
      </w:r>
      <w:r w:rsidR="00D52FD0">
        <w:t xml:space="preserve"> </w:t>
      </w:r>
      <w:r w:rsidR="000A1AAE" w:rsidRPr="0050194B">
        <w:t>end</w:t>
      </w:r>
      <w:r w:rsidR="00D52FD0">
        <w:t xml:space="preserve"> </w:t>
      </w:r>
      <w:r w:rsidR="000A1AAE" w:rsidRPr="0050194B">
        <w:t>up</w:t>
      </w:r>
      <w:r w:rsidR="00D52FD0">
        <w:t xml:space="preserve"> </w:t>
      </w:r>
      <w:r w:rsidR="000A1AAE" w:rsidRPr="0050194B">
        <w:t>stuck</w:t>
      </w:r>
      <w:r w:rsidR="00D52FD0">
        <w:t xml:space="preserve"> </w:t>
      </w:r>
      <w:r w:rsidR="000A1AAE" w:rsidRPr="0050194B">
        <w:t>in</w:t>
      </w:r>
      <w:r w:rsidR="00D52FD0">
        <w:t xml:space="preserve"> </w:t>
      </w:r>
      <w:r w:rsidR="000A1AAE" w:rsidRPr="0050194B">
        <w:t>the</w:t>
      </w:r>
      <w:r w:rsidR="00D52FD0">
        <w:t xml:space="preserve"> </w:t>
      </w:r>
      <w:r w:rsidR="000A1AAE" w:rsidRPr="0050194B">
        <w:t>system</w:t>
      </w:r>
      <w:r w:rsidR="00D52FD0">
        <w:t xml:space="preserve"> </w:t>
      </w:r>
      <w:r w:rsidR="000A1AAE" w:rsidRPr="0050194B">
        <w:t>until</w:t>
      </w:r>
      <w:r w:rsidR="00D52FD0">
        <w:t xml:space="preserve"> </w:t>
      </w:r>
      <w:r w:rsidR="000A1AAE" w:rsidRPr="0050194B">
        <w:t>they</w:t>
      </w:r>
      <w:r w:rsidR="00D52FD0">
        <w:t xml:space="preserve"> </w:t>
      </w:r>
      <w:r w:rsidR="000A1AAE" w:rsidRPr="0050194B">
        <w:t>became</w:t>
      </w:r>
      <w:r w:rsidR="00D52FD0">
        <w:t xml:space="preserve"> </w:t>
      </w:r>
      <w:r w:rsidR="000A1AAE" w:rsidRPr="0050194B">
        <w:t>of</w:t>
      </w:r>
      <w:r w:rsidR="00D52FD0">
        <w:t xml:space="preserve"> </w:t>
      </w:r>
      <w:r w:rsidR="000A1AAE" w:rsidRPr="0050194B">
        <w:t>age,</w:t>
      </w:r>
      <w:r w:rsidR="00D52FD0">
        <w:t xml:space="preserve"> </w:t>
      </w:r>
      <w:r w:rsidR="000A1AAE" w:rsidRPr="0050194B">
        <w:t>with</w:t>
      </w:r>
      <w:r w:rsidR="00D52FD0">
        <w:t xml:space="preserve"> </w:t>
      </w:r>
      <w:r w:rsidR="000A1AAE" w:rsidRPr="0050194B">
        <w:t>their</w:t>
      </w:r>
      <w:r w:rsidR="00D52FD0">
        <w:t xml:space="preserve"> </w:t>
      </w:r>
      <w:r w:rsidR="000A1AAE" w:rsidRPr="0050194B">
        <w:t>future</w:t>
      </w:r>
      <w:r w:rsidR="00D52FD0">
        <w:t xml:space="preserve"> </w:t>
      </w:r>
      <w:r w:rsidR="000A1AAE" w:rsidRPr="0050194B">
        <w:t>reviewed</w:t>
      </w:r>
      <w:r w:rsidR="00D52FD0">
        <w:t xml:space="preserve"> </w:t>
      </w:r>
      <w:r w:rsidR="000A1AAE" w:rsidRPr="0050194B">
        <w:t>every</w:t>
      </w:r>
      <w:r w:rsidR="00D52FD0">
        <w:t xml:space="preserve"> </w:t>
      </w:r>
      <w:r w:rsidR="000A1AAE" w:rsidRPr="0050194B">
        <w:t>six</w:t>
      </w:r>
      <w:r w:rsidR="00D52FD0">
        <w:t xml:space="preserve"> </w:t>
      </w:r>
      <w:r w:rsidR="000A1AAE" w:rsidRPr="0050194B">
        <w:t>months.</w:t>
      </w:r>
    </w:p>
    <w:p w14:paraId="15FB506D" w14:textId="19485F0F" w:rsidR="000A1AAE" w:rsidRPr="0050194B" w:rsidRDefault="0044637E" w:rsidP="0044637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50194B">
        <w:t>79.</w:t>
      </w:r>
      <w:r w:rsidRPr="0050194B">
        <w:tab/>
      </w:r>
      <w:r w:rsidR="000A1AAE" w:rsidRPr="0050194B">
        <w:t>Juvenile</w:t>
      </w:r>
      <w:r w:rsidR="00D52FD0">
        <w:t xml:space="preserve"> </w:t>
      </w:r>
      <w:r w:rsidR="000A1AAE" w:rsidRPr="0050194B">
        <w:t>care</w:t>
      </w:r>
      <w:r w:rsidR="00D52FD0">
        <w:t xml:space="preserve"> </w:t>
      </w:r>
      <w:r w:rsidR="000A1AAE" w:rsidRPr="0050194B">
        <w:t>orders</w:t>
      </w:r>
      <w:r w:rsidR="00D52FD0">
        <w:t xml:space="preserve"> </w:t>
      </w:r>
      <w:r w:rsidR="000A1AAE" w:rsidRPr="0050194B">
        <w:t>(also</w:t>
      </w:r>
      <w:r w:rsidR="00D52FD0">
        <w:t xml:space="preserve"> </w:t>
      </w:r>
      <w:r w:rsidR="000A1AAE" w:rsidRPr="0050194B">
        <w:t>of</w:t>
      </w:r>
      <w:r w:rsidR="00D52FD0">
        <w:t xml:space="preserve"> </w:t>
      </w:r>
      <w:r w:rsidR="000A1AAE" w:rsidRPr="0050194B">
        <w:t>a</w:t>
      </w:r>
      <w:r w:rsidR="00D52FD0">
        <w:t xml:space="preserve"> </w:t>
      </w:r>
      <w:r w:rsidR="000A1AAE" w:rsidRPr="0050194B">
        <w:t>correctional</w:t>
      </w:r>
      <w:r w:rsidR="00D52FD0">
        <w:t xml:space="preserve"> </w:t>
      </w:r>
      <w:r w:rsidR="000A1AAE" w:rsidRPr="0050194B">
        <w:t>nature)</w:t>
      </w:r>
      <w:r w:rsidR="00D52FD0">
        <w:t xml:space="preserve"> </w:t>
      </w:r>
      <w:r w:rsidR="000A1AAE" w:rsidRPr="0050194B">
        <w:t>were</w:t>
      </w:r>
      <w:r w:rsidR="00D52FD0">
        <w:t xml:space="preserve"> </w:t>
      </w:r>
      <w:r w:rsidR="000A1AAE" w:rsidRPr="0050194B">
        <w:t>shifted</w:t>
      </w:r>
      <w:r w:rsidR="00D52FD0">
        <w:t xml:space="preserve"> </w:t>
      </w:r>
      <w:r w:rsidR="000A1AAE" w:rsidRPr="0050194B">
        <w:t>from</w:t>
      </w:r>
      <w:r w:rsidR="00D52FD0">
        <w:t xml:space="preserve"> </w:t>
      </w:r>
      <w:r w:rsidR="000A1AAE" w:rsidRPr="0050194B">
        <w:t>the</w:t>
      </w:r>
      <w:r w:rsidR="00D52FD0">
        <w:t xml:space="preserve"> </w:t>
      </w:r>
      <w:r w:rsidR="000A1AAE" w:rsidRPr="0050194B">
        <w:t>minister</w:t>
      </w:r>
      <w:r w:rsidR="00F14DA3">
        <w:t>’</w:t>
      </w:r>
      <w:r w:rsidR="000A1AAE" w:rsidRPr="0050194B">
        <w:t>s</w:t>
      </w:r>
      <w:r w:rsidR="00D52FD0">
        <w:t xml:space="preserve"> </w:t>
      </w:r>
      <w:r w:rsidR="000A1AAE" w:rsidRPr="0050194B">
        <w:t>responsibility,</w:t>
      </w:r>
      <w:r w:rsidR="00D52FD0">
        <w:t xml:space="preserve"> </w:t>
      </w:r>
      <w:r w:rsidR="000A1AAE" w:rsidRPr="0050194B">
        <w:t>to</w:t>
      </w:r>
      <w:r w:rsidR="00D52FD0">
        <w:t xml:space="preserve"> </w:t>
      </w:r>
      <w:r w:rsidR="000A1AAE" w:rsidRPr="0050194B">
        <w:t>the</w:t>
      </w:r>
      <w:r w:rsidR="00D52FD0">
        <w:t xml:space="preserve"> </w:t>
      </w:r>
      <w:r w:rsidR="000A1AAE" w:rsidRPr="0050194B">
        <w:t>responsibility</w:t>
      </w:r>
      <w:r w:rsidR="00D52FD0">
        <w:t xml:space="preserve"> </w:t>
      </w:r>
      <w:r w:rsidR="000A1AAE" w:rsidRPr="0050194B">
        <w:t>of</w:t>
      </w:r>
      <w:r w:rsidR="00D52FD0">
        <w:t xml:space="preserve"> </w:t>
      </w:r>
      <w:r w:rsidR="000A1AAE" w:rsidRPr="0050194B">
        <w:t>a</w:t>
      </w:r>
      <w:r w:rsidR="00D52FD0">
        <w:t xml:space="preserve"> </w:t>
      </w:r>
      <w:r w:rsidR="000A1AAE" w:rsidRPr="0050194B">
        <w:t>Juvenile</w:t>
      </w:r>
      <w:r w:rsidR="00D52FD0">
        <w:t xml:space="preserve"> </w:t>
      </w:r>
      <w:r w:rsidR="000A1AAE" w:rsidRPr="0050194B">
        <w:t>Court.</w:t>
      </w:r>
      <w:r w:rsidR="00D52FD0">
        <w:t xml:space="preserve"> </w:t>
      </w:r>
      <w:r w:rsidR="000A1AAE" w:rsidRPr="0050194B">
        <w:t>Three</w:t>
      </w:r>
      <w:r w:rsidR="00D52FD0">
        <w:t xml:space="preserve"> </w:t>
      </w:r>
      <w:r w:rsidR="000A1AAE" w:rsidRPr="0050194B">
        <w:t>alternatives</w:t>
      </w:r>
      <w:r w:rsidR="00D52FD0">
        <w:t xml:space="preserve"> </w:t>
      </w:r>
      <w:r w:rsidR="000A1AAE" w:rsidRPr="0050194B">
        <w:t>to</w:t>
      </w:r>
      <w:r w:rsidR="00D52FD0">
        <w:t xml:space="preserve"> </w:t>
      </w:r>
      <w:r w:rsidR="000A1AAE" w:rsidRPr="0050194B">
        <w:t>care</w:t>
      </w:r>
      <w:r w:rsidR="00D52FD0">
        <w:t xml:space="preserve"> </w:t>
      </w:r>
      <w:r w:rsidR="000A1AAE" w:rsidRPr="0050194B">
        <w:t>orders</w:t>
      </w:r>
      <w:r w:rsidR="00D52FD0">
        <w:t xml:space="preserve"> </w:t>
      </w:r>
      <w:r w:rsidR="000A1AAE" w:rsidRPr="0050194B">
        <w:t>(now</w:t>
      </w:r>
      <w:r w:rsidR="00D52FD0">
        <w:t xml:space="preserve"> </w:t>
      </w:r>
      <w:r w:rsidR="000A1AAE" w:rsidRPr="0050194B">
        <w:t>called</w:t>
      </w:r>
      <w:r w:rsidR="00D52FD0">
        <w:t xml:space="preserve"> </w:t>
      </w:r>
      <w:r w:rsidR="00F14DA3">
        <w:t>‘</w:t>
      </w:r>
      <w:r w:rsidR="000A1AAE" w:rsidRPr="0050194B">
        <w:t>protection</w:t>
      </w:r>
      <w:r w:rsidR="00D52FD0">
        <w:t xml:space="preserve"> </w:t>
      </w:r>
      <w:r w:rsidR="000A1AAE" w:rsidRPr="0050194B">
        <w:t>orders</w:t>
      </w:r>
      <w:r w:rsidR="00F14DA3">
        <w:t>’</w:t>
      </w:r>
      <w:r w:rsidR="000A1AAE" w:rsidRPr="0050194B">
        <w:t>)</w:t>
      </w:r>
      <w:r w:rsidR="00D52FD0">
        <w:t xml:space="preserve"> </w:t>
      </w:r>
      <w:r w:rsidR="000A1AAE" w:rsidRPr="0050194B">
        <w:t>were</w:t>
      </w:r>
      <w:r w:rsidR="00D52FD0">
        <w:t xml:space="preserve"> </w:t>
      </w:r>
      <w:r w:rsidR="000A1AAE" w:rsidRPr="0050194B">
        <w:t>introduced,</w:t>
      </w:r>
      <w:r w:rsidR="00D52FD0">
        <w:t xml:space="preserve"> </w:t>
      </w:r>
      <w:r w:rsidR="000A1AAE" w:rsidRPr="0050194B">
        <w:t>to</w:t>
      </w:r>
      <w:r w:rsidR="00D52FD0">
        <w:t xml:space="preserve"> </w:t>
      </w:r>
      <w:r w:rsidR="000A1AAE" w:rsidRPr="0050194B">
        <w:t>avoid</w:t>
      </w:r>
      <w:r w:rsidR="00D52FD0">
        <w:t xml:space="preserve"> </w:t>
      </w:r>
      <w:r w:rsidR="000A1AAE" w:rsidRPr="0050194B">
        <w:t>care</w:t>
      </w:r>
      <w:r w:rsidR="00D52FD0">
        <w:t xml:space="preserve"> </w:t>
      </w:r>
      <w:r w:rsidR="000A1AAE" w:rsidRPr="0050194B">
        <w:t>orders</w:t>
      </w:r>
      <w:r w:rsidR="00D52FD0">
        <w:t xml:space="preserve"> </w:t>
      </w:r>
      <w:r w:rsidR="000A1AAE" w:rsidRPr="0050194B">
        <w:t>serving</w:t>
      </w:r>
      <w:r w:rsidR="00D52FD0">
        <w:t xml:space="preserve"> </w:t>
      </w:r>
      <w:r w:rsidR="000A1AAE" w:rsidRPr="0050194B">
        <w:t>as</w:t>
      </w:r>
      <w:r w:rsidR="00D52FD0">
        <w:t xml:space="preserve"> </w:t>
      </w:r>
      <w:r w:rsidR="000A1AAE" w:rsidRPr="0050194B">
        <w:t>a</w:t>
      </w:r>
      <w:r w:rsidR="00D52FD0">
        <w:t xml:space="preserve"> </w:t>
      </w:r>
      <w:r w:rsidR="000A1AAE" w:rsidRPr="0050194B">
        <w:t>catch-all</w:t>
      </w:r>
      <w:r w:rsidR="00D52FD0">
        <w:t xml:space="preserve"> </w:t>
      </w:r>
      <w:r w:rsidR="000A1AAE" w:rsidRPr="0050194B">
        <w:t>solution.</w:t>
      </w:r>
      <w:r w:rsidR="00D52FD0">
        <w:t xml:space="preserve"> </w:t>
      </w:r>
      <w:r w:rsidR="000A1AAE" w:rsidRPr="0050194B">
        <w:t>The</w:t>
      </w:r>
      <w:r w:rsidR="00D52FD0">
        <w:t xml:space="preserve"> </w:t>
      </w:r>
      <w:r w:rsidR="000A1AAE" w:rsidRPr="0050194B">
        <w:t>children</w:t>
      </w:r>
      <w:r w:rsidR="00D52FD0">
        <w:t xml:space="preserve"> </w:t>
      </w:r>
      <w:r w:rsidR="000A1AAE" w:rsidRPr="0050194B">
        <w:t>involved</w:t>
      </w:r>
      <w:r w:rsidR="00D52FD0">
        <w:t xml:space="preserve"> </w:t>
      </w:r>
      <w:r w:rsidR="000A1AAE" w:rsidRPr="0050194B">
        <w:t>will</w:t>
      </w:r>
      <w:r w:rsidR="00D52FD0">
        <w:t xml:space="preserve"> </w:t>
      </w:r>
      <w:r w:rsidR="000A1AAE" w:rsidRPr="0050194B">
        <w:t>now</w:t>
      </w:r>
      <w:r w:rsidR="00D52FD0">
        <w:t xml:space="preserve"> </w:t>
      </w:r>
      <w:r w:rsidR="000A1AAE" w:rsidRPr="0050194B">
        <w:t>participate</w:t>
      </w:r>
      <w:r w:rsidR="00D52FD0">
        <w:t xml:space="preserve"> </w:t>
      </w:r>
      <w:r w:rsidR="000A1AAE" w:rsidRPr="0050194B">
        <w:t>at</w:t>
      </w:r>
      <w:r w:rsidR="00D52FD0">
        <w:t xml:space="preserve"> </w:t>
      </w:r>
      <w:r w:rsidR="000A1AAE" w:rsidRPr="0050194B">
        <w:t>every</w:t>
      </w:r>
      <w:r w:rsidR="00D52FD0">
        <w:t xml:space="preserve"> </w:t>
      </w:r>
      <w:r w:rsidR="000A1AAE" w:rsidRPr="0050194B">
        <w:t>stage</w:t>
      </w:r>
      <w:r w:rsidR="00D52FD0">
        <w:t xml:space="preserve"> </w:t>
      </w:r>
      <w:r w:rsidR="000A1AAE" w:rsidRPr="0050194B">
        <w:t>of</w:t>
      </w:r>
      <w:r w:rsidR="00D52FD0">
        <w:t xml:space="preserve"> </w:t>
      </w:r>
      <w:r w:rsidR="000A1AAE" w:rsidRPr="0050194B">
        <w:t>the</w:t>
      </w:r>
      <w:r w:rsidR="00D52FD0">
        <w:t xml:space="preserve"> </w:t>
      </w:r>
      <w:r w:rsidR="000A1AAE" w:rsidRPr="0050194B">
        <w:t>process,</w:t>
      </w:r>
      <w:r w:rsidR="00D52FD0">
        <w:t xml:space="preserve"> </w:t>
      </w:r>
      <w:r w:rsidR="000A1AAE" w:rsidRPr="0050194B">
        <w:t>with</w:t>
      </w:r>
      <w:r w:rsidR="00D52FD0">
        <w:t xml:space="preserve"> </w:t>
      </w:r>
      <w:r w:rsidR="000A1AAE" w:rsidRPr="0050194B">
        <w:t>a</w:t>
      </w:r>
      <w:r w:rsidR="00D52FD0">
        <w:t xml:space="preserve"> </w:t>
      </w:r>
      <w:r w:rsidR="000A1AAE" w:rsidRPr="0050194B">
        <w:t>Children</w:t>
      </w:r>
      <w:r w:rsidR="00F14DA3">
        <w:t>’</w:t>
      </w:r>
      <w:r w:rsidR="000A1AAE" w:rsidRPr="0050194B">
        <w:t>s</w:t>
      </w:r>
      <w:r w:rsidR="00D52FD0">
        <w:t xml:space="preserve"> </w:t>
      </w:r>
      <w:r w:rsidR="000A1AAE" w:rsidRPr="0050194B">
        <w:t>Advocate</w:t>
      </w:r>
      <w:r w:rsidR="00D52FD0">
        <w:t xml:space="preserve"> </w:t>
      </w:r>
      <w:r w:rsidR="000A1AAE" w:rsidRPr="0050194B">
        <w:t>representing</w:t>
      </w:r>
      <w:r w:rsidR="00D52FD0">
        <w:t xml:space="preserve"> </w:t>
      </w:r>
      <w:r w:rsidR="000A1AAE" w:rsidRPr="0050194B">
        <w:t>their</w:t>
      </w:r>
      <w:r w:rsidR="00D52FD0">
        <w:t xml:space="preserve"> </w:t>
      </w:r>
      <w:r w:rsidR="000A1AAE" w:rsidRPr="0050194B">
        <w:t>interests.</w:t>
      </w:r>
      <w:r w:rsidR="00D52FD0">
        <w:t xml:space="preserve"> </w:t>
      </w:r>
      <w:r w:rsidR="000A1AAE" w:rsidRPr="0050194B">
        <w:t>To</w:t>
      </w:r>
      <w:r w:rsidR="00D52FD0">
        <w:t xml:space="preserve"> </w:t>
      </w:r>
      <w:r w:rsidR="000A1AAE" w:rsidRPr="0050194B">
        <w:t>offer</w:t>
      </w:r>
      <w:r w:rsidR="00D52FD0">
        <w:t xml:space="preserve"> </w:t>
      </w:r>
      <w:r w:rsidR="000A1AAE" w:rsidRPr="0050194B">
        <w:t>them</w:t>
      </w:r>
      <w:r w:rsidR="00D52FD0">
        <w:t xml:space="preserve"> </w:t>
      </w:r>
      <w:r w:rsidR="000A1AAE" w:rsidRPr="0050194B">
        <w:t>a</w:t>
      </w:r>
      <w:r w:rsidR="00D52FD0">
        <w:t xml:space="preserve"> </w:t>
      </w:r>
      <w:r w:rsidR="000A1AAE" w:rsidRPr="0050194B">
        <w:t>feeling</w:t>
      </w:r>
      <w:r w:rsidR="00D52FD0">
        <w:t xml:space="preserve"> </w:t>
      </w:r>
      <w:r w:rsidR="000A1AAE" w:rsidRPr="0050194B">
        <w:t>of</w:t>
      </w:r>
      <w:r w:rsidR="00D52FD0">
        <w:t xml:space="preserve"> </w:t>
      </w:r>
      <w:r w:rsidR="000A1AAE" w:rsidRPr="0050194B">
        <w:t>security,</w:t>
      </w:r>
      <w:r w:rsidR="00D52FD0">
        <w:t xml:space="preserve"> </w:t>
      </w:r>
      <w:r w:rsidR="000A1AAE" w:rsidRPr="0050194B">
        <w:t>they</w:t>
      </w:r>
      <w:r w:rsidR="00D52FD0">
        <w:t xml:space="preserve"> </w:t>
      </w:r>
      <w:r w:rsidR="000A1AAE" w:rsidRPr="0050194B">
        <w:t>do</w:t>
      </w:r>
      <w:r w:rsidR="00D52FD0">
        <w:t xml:space="preserve"> </w:t>
      </w:r>
      <w:r w:rsidR="000A1AAE" w:rsidRPr="0050194B">
        <w:t>not</w:t>
      </w:r>
      <w:r w:rsidR="00D52FD0">
        <w:t xml:space="preserve"> </w:t>
      </w:r>
      <w:r w:rsidR="000A1AAE" w:rsidRPr="0050194B">
        <w:t>need</w:t>
      </w:r>
      <w:r w:rsidR="00D52FD0">
        <w:t xml:space="preserve"> </w:t>
      </w:r>
      <w:r w:rsidR="000A1AAE" w:rsidRPr="0050194B">
        <w:t>to</w:t>
      </w:r>
      <w:r w:rsidR="00D52FD0">
        <w:t xml:space="preserve"> </w:t>
      </w:r>
      <w:r w:rsidR="000A1AAE" w:rsidRPr="0050194B">
        <w:t>be</w:t>
      </w:r>
      <w:r w:rsidR="00D52FD0">
        <w:t xml:space="preserve"> </w:t>
      </w:r>
      <w:r w:rsidR="000A1AAE" w:rsidRPr="0050194B">
        <w:t>heard</w:t>
      </w:r>
      <w:r w:rsidR="00D52FD0">
        <w:t xml:space="preserve"> </w:t>
      </w:r>
      <w:r w:rsidR="000A1AAE" w:rsidRPr="0050194B">
        <w:t>in</w:t>
      </w:r>
      <w:r w:rsidR="00D52FD0">
        <w:t xml:space="preserve"> </w:t>
      </w:r>
      <w:r w:rsidR="000A1AAE" w:rsidRPr="0050194B">
        <w:t>court,</w:t>
      </w:r>
      <w:r w:rsidR="00D52FD0">
        <w:t xml:space="preserve"> </w:t>
      </w:r>
      <w:r w:rsidR="000A1AAE" w:rsidRPr="0050194B">
        <w:t>but</w:t>
      </w:r>
      <w:r w:rsidR="00D52FD0">
        <w:t xml:space="preserve"> </w:t>
      </w:r>
      <w:r w:rsidR="000A1AAE" w:rsidRPr="0050194B">
        <w:t>can</w:t>
      </w:r>
      <w:r w:rsidR="00D52FD0">
        <w:t xml:space="preserve"> </w:t>
      </w:r>
      <w:r w:rsidR="000A1AAE" w:rsidRPr="0050194B">
        <w:t>do</w:t>
      </w:r>
      <w:r w:rsidR="00D52FD0">
        <w:t xml:space="preserve"> </w:t>
      </w:r>
      <w:r w:rsidR="000A1AAE" w:rsidRPr="0050194B">
        <w:t>so</w:t>
      </w:r>
      <w:r w:rsidR="00D52FD0">
        <w:t xml:space="preserve"> </w:t>
      </w:r>
      <w:r w:rsidR="000A1AAE" w:rsidRPr="0050194B">
        <w:t>in</w:t>
      </w:r>
      <w:r w:rsidR="00D52FD0">
        <w:t xml:space="preserve"> </w:t>
      </w:r>
      <w:r w:rsidR="000A1AAE" w:rsidRPr="0050194B">
        <w:t>a</w:t>
      </w:r>
      <w:r w:rsidR="00D52FD0">
        <w:t xml:space="preserve"> </w:t>
      </w:r>
      <w:r w:rsidR="000A1AAE" w:rsidRPr="0050194B">
        <w:t>suitably</w:t>
      </w:r>
      <w:r w:rsidR="00D52FD0">
        <w:t xml:space="preserve"> </w:t>
      </w:r>
      <w:r w:rsidR="000A1AAE" w:rsidRPr="0050194B">
        <w:t>calm</w:t>
      </w:r>
      <w:r w:rsidR="00D52FD0">
        <w:t xml:space="preserve"> </w:t>
      </w:r>
      <w:r w:rsidR="000A1AAE" w:rsidRPr="0050194B">
        <w:t>environment.</w:t>
      </w:r>
    </w:p>
    <w:p w14:paraId="65491CD1" w14:textId="5312F4DB" w:rsidR="000A1AAE" w:rsidRPr="0050194B" w:rsidRDefault="0044637E" w:rsidP="0044637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50194B">
        <w:t>80.</w:t>
      </w:r>
      <w:r w:rsidRPr="0050194B">
        <w:tab/>
      </w:r>
      <w:r w:rsidR="000A1AAE" w:rsidRPr="0050194B">
        <w:t>Every</w:t>
      </w:r>
      <w:r w:rsidR="00D52FD0">
        <w:t xml:space="preserve"> </w:t>
      </w:r>
      <w:r w:rsidR="000A1AAE" w:rsidRPr="0050194B">
        <w:t>professional</w:t>
      </w:r>
      <w:r w:rsidR="00D52FD0">
        <w:t xml:space="preserve"> </w:t>
      </w:r>
      <w:r w:rsidR="000A1AAE" w:rsidRPr="0050194B">
        <w:t>involved</w:t>
      </w:r>
      <w:r w:rsidR="00D52FD0">
        <w:t xml:space="preserve"> </w:t>
      </w:r>
      <w:r w:rsidR="000A1AAE" w:rsidRPr="0050194B">
        <w:t>in</w:t>
      </w:r>
      <w:r w:rsidR="00D52FD0">
        <w:t xml:space="preserve"> </w:t>
      </w:r>
      <w:r w:rsidR="000A1AAE" w:rsidRPr="0050194B">
        <w:t>the</w:t>
      </w:r>
      <w:r w:rsidR="00D52FD0">
        <w:t xml:space="preserve"> </w:t>
      </w:r>
      <w:r w:rsidR="000A1AAE" w:rsidRPr="0050194B">
        <w:t>process</w:t>
      </w:r>
      <w:r w:rsidR="00D52FD0">
        <w:t xml:space="preserve"> </w:t>
      </w:r>
      <w:r w:rsidR="000A1AAE" w:rsidRPr="0050194B">
        <w:t>will</w:t>
      </w:r>
      <w:r w:rsidR="00D52FD0">
        <w:t xml:space="preserve"> </w:t>
      </w:r>
      <w:r w:rsidR="000A1AAE" w:rsidRPr="0050194B">
        <w:t>now</w:t>
      </w:r>
      <w:r w:rsidR="00D52FD0">
        <w:t xml:space="preserve"> </w:t>
      </w:r>
      <w:r w:rsidR="000A1AAE" w:rsidRPr="0050194B">
        <w:t>receive</w:t>
      </w:r>
      <w:r w:rsidR="00D52FD0">
        <w:t xml:space="preserve"> </w:t>
      </w:r>
      <w:r w:rsidR="000A1AAE" w:rsidRPr="0050194B">
        <w:t>specialised</w:t>
      </w:r>
      <w:r w:rsidR="00D52FD0">
        <w:t xml:space="preserve"> </w:t>
      </w:r>
      <w:r w:rsidR="000A1AAE" w:rsidRPr="0050194B">
        <w:t>training,</w:t>
      </w:r>
      <w:r w:rsidR="00D52FD0">
        <w:t xml:space="preserve"> </w:t>
      </w:r>
      <w:r w:rsidR="000A1AAE" w:rsidRPr="0050194B">
        <w:t>while</w:t>
      </w:r>
      <w:r w:rsidR="00D52FD0">
        <w:t xml:space="preserve"> </w:t>
      </w:r>
      <w:r w:rsidR="000A1AAE" w:rsidRPr="0050194B">
        <w:t>the</w:t>
      </w:r>
      <w:r w:rsidR="00D52FD0">
        <w:t xml:space="preserve"> </w:t>
      </w:r>
      <w:r w:rsidR="000A1AAE" w:rsidRPr="0050194B">
        <w:t>law</w:t>
      </w:r>
      <w:r w:rsidR="00D52FD0">
        <w:t xml:space="preserve"> </w:t>
      </w:r>
      <w:r w:rsidR="000A1AAE" w:rsidRPr="0050194B">
        <w:t>introduced</w:t>
      </w:r>
      <w:r w:rsidR="00D52FD0">
        <w:t xml:space="preserve"> </w:t>
      </w:r>
      <w:r w:rsidR="000A1AAE" w:rsidRPr="0050194B">
        <w:t>new</w:t>
      </w:r>
      <w:r w:rsidR="00D52FD0">
        <w:t xml:space="preserve"> </w:t>
      </w:r>
      <w:r w:rsidR="000A1AAE" w:rsidRPr="0050194B">
        <w:t>offences</w:t>
      </w:r>
      <w:r w:rsidR="00D52FD0">
        <w:t xml:space="preserve"> </w:t>
      </w:r>
      <w:r w:rsidR="000A1AAE" w:rsidRPr="0050194B">
        <w:t>for</w:t>
      </w:r>
      <w:r w:rsidR="00D52FD0">
        <w:t xml:space="preserve"> </w:t>
      </w:r>
      <w:r w:rsidR="000A1AAE" w:rsidRPr="0050194B">
        <w:t>anyone</w:t>
      </w:r>
      <w:r w:rsidR="00D52FD0">
        <w:t xml:space="preserve"> </w:t>
      </w:r>
      <w:r w:rsidR="000A1AAE" w:rsidRPr="0050194B">
        <w:t>who</w:t>
      </w:r>
      <w:r w:rsidR="00D52FD0">
        <w:t xml:space="preserve"> </w:t>
      </w:r>
      <w:r w:rsidR="000A1AAE" w:rsidRPr="0050194B">
        <w:t>hinders</w:t>
      </w:r>
      <w:r w:rsidR="00D52FD0">
        <w:t xml:space="preserve"> </w:t>
      </w:r>
      <w:r w:rsidR="000A1AAE" w:rsidRPr="0050194B">
        <w:t>or</w:t>
      </w:r>
      <w:r w:rsidR="00D52FD0">
        <w:t xml:space="preserve"> </w:t>
      </w:r>
      <w:r w:rsidR="000A1AAE" w:rsidRPr="0050194B">
        <w:t>obstructs</w:t>
      </w:r>
      <w:r w:rsidR="00D52FD0">
        <w:t xml:space="preserve"> </w:t>
      </w:r>
      <w:r w:rsidR="000A1AAE" w:rsidRPr="0050194B">
        <w:t>their</w:t>
      </w:r>
      <w:r w:rsidR="00D52FD0">
        <w:t xml:space="preserve"> </w:t>
      </w:r>
      <w:r w:rsidR="000A1AAE" w:rsidRPr="0050194B">
        <w:t>work</w:t>
      </w:r>
      <w:r w:rsidR="00D52FD0">
        <w:t xml:space="preserve"> </w:t>
      </w:r>
      <w:r w:rsidR="000A1AAE" w:rsidRPr="0050194B">
        <w:t>or</w:t>
      </w:r>
      <w:r w:rsidR="00D52FD0">
        <w:t xml:space="preserve"> </w:t>
      </w:r>
      <w:r w:rsidR="000A1AAE" w:rsidRPr="0050194B">
        <w:t>who</w:t>
      </w:r>
      <w:r w:rsidR="00D52FD0">
        <w:t xml:space="preserve"> </w:t>
      </w:r>
      <w:r w:rsidR="000A1AAE" w:rsidRPr="0050194B">
        <w:t>acts</w:t>
      </w:r>
      <w:r w:rsidR="00D52FD0">
        <w:t xml:space="preserve"> </w:t>
      </w:r>
      <w:r w:rsidR="000A1AAE" w:rsidRPr="0050194B">
        <w:t>in</w:t>
      </w:r>
      <w:r w:rsidR="00D52FD0">
        <w:t xml:space="preserve"> </w:t>
      </w:r>
      <w:r w:rsidR="000A1AAE" w:rsidRPr="0050194B">
        <w:t>a</w:t>
      </w:r>
      <w:r w:rsidR="00D52FD0">
        <w:t xml:space="preserve"> </w:t>
      </w:r>
      <w:r w:rsidR="000A1AAE" w:rsidRPr="0050194B">
        <w:t>violent</w:t>
      </w:r>
      <w:r w:rsidR="00D52FD0">
        <w:t xml:space="preserve"> </w:t>
      </w:r>
      <w:r w:rsidR="000A1AAE" w:rsidRPr="0050194B">
        <w:t>manner</w:t>
      </w:r>
      <w:r w:rsidR="00D52FD0">
        <w:t xml:space="preserve"> </w:t>
      </w:r>
      <w:r w:rsidR="000A1AAE" w:rsidRPr="0050194B">
        <w:t>towards</w:t>
      </w:r>
      <w:r w:rsidR="00D52FD0">
        <w:t xml:space="preserve"> </w:t>
      </w:r>
      <w:r w:rsidR="000A1AAE" w:rsidRPr="0050194B">
        <w:t>them.</w:t>
      </w:r>
      <w:r w:rsidR="00D52FD0">
        <w:t xml:space="preserve"> </w:t>
      </w:r>
      <w:r w:rsidR="000A1AAE" w:rsidRPr="0050194B">
        <w:t>A</w:t>
      </w:r>
      <w:r w:rsidR="00D52FD0">
        <w:t xml:space="preserve"> </w:t>
      </w:r>
      <w:r w:rsidR="000A1AAE" w:rsidRPr="0050194B">
        <w:t>time</w:t>
      </w:r>
      <w:r w:rsidR="00D52FD0">
        <w:t xml:space="preserve"> </w:t>
      </w:r>
      <w:r w:rsidR="000A1AAE" w:rsidRPr="0050194B">
        <w:t>frame</w:t>
      </w:r>
      <w:r w:rsidR="00D52FD0">
        <w:t xml:space="preserve"> </w:t>
      </w:r>
      <w:r w:rsidR="000A1AAE" w:rsidRPr="0050194B">
        <w:t>for</w:t>
      </w:r>
      <w:r w:rsidR="00D52FD0">
        <w:t xml:space="preserve"> </w:t>
      </w:r>
      <w:r w:rsidR="000A1AAE" w:rsidRPr="0050194B">
        <w:t>the</w:t>
      </w:r>
      <w:r w:rsidR="00D52FD0">
        <w:t xml:space="preserve"> </w:t>
      </w:r>
      <w:r w:rsidR="000A1AAE" w:rsidRPr="0050194B">
        <w:t>minor</w:t>
      </w:r>
      <w:r w:rsidR="00D52FD0">
        <w:t xml:space="preserve"> </w:t>
      </w:r>
      <w:r w:rsidR="000A1AAE" w:rsidRPr="0050194B">
        <w:t>to</w:t>
      </w:r>
      <w:r w:rsidR="00D52FD0">
        <w:t xml:space="preserve"> </w:t>
      </w:r>
      <w:r w:rsidR="000A1AAE" w:rsidRPr="0050194B">
        <w:t>return</w:t>
      </w:r>
      <w:r w:rsidR="00D52FD0">
        <w:t xml:space="preserve"> </w:t>
      </w:r>
      <w:r w:rsidR="000A1AAE" w:rsidRPr="0050194B">
        <w:t>to</w:t>
      </w:r>
      <w:r w:rsidR="00D52FD0">
        <w:t xml:space="preserve"> </w:t>
      </w:r>
      <w:r w:rsidR="000A1AAE" w:rsidRPr="0050194B">
        <w:t>their</w:t>
      </w:r>
      <w:r w:rsidR="00D52FD0">
        <w:t xml:space="preserve"> </w:t>
      </w:r>
      <w:r w:rsidR="000A1AAE" w:rsidRPr="0050194B">
        <w:t>natural</w:t>
      </w:r>
      <w:r w:rsidR="00D52FD0">
        <w:t xml:space="preserve"> </w:t>
      </w:r>
      <w:r w:rsidR="000A1AAE" w:rsidRPr="0050194B">
        <w:t>family</w:t>
      </w:r>
      <w:r w:rsidR="00D52FD0">
        <w:t xml:space="preserve"> </w:t>
      </w:r>
      <w:r w:rsidR="000A1AAE" w:rsidRPr="0050194B">
        <w:t>will</w:t>
      </w:r>
      <w:r w:rsidR="00D52FD0">
        <w:t xml:space="preserve"> </w:t>
      </w:r>
      <w:r w:rsidR="000A1AAE" w:rsidRPr="0050194B">
        <w:t>be</w:t>
      </w:r>
      <w:r w:rsidR="00D52FD0">
        <w:t xml:space="preserve"> </w:t>
      </w:r>
      <w:r w:rsidR="000A1AAE" w:rsidRPr="0050194B">
        <w:t>set,</w:t>
      </w:r>
      <w:r w:rsidR="00D52FD0">
        <w:t xml:space="preserve"> </w:t>
      </w:r>
      <w:r w:rsidR="000A1AAE" w:rsidRPr="0050194B">
        <w:t>while</w:t>
      </w:r>
      <w:r w:rsidR="00D52FD0">
        <w:t xml:space="preserve"> </w:t>
      </w:r>
      <w:r w:rsidR="000A1AAE" w:rsidRPr="0050194B">
        <w:t>further</w:t>
      </w:r>
      <w:r w:rsidR="00D52FD0">
        <w:t xml:space="preserve"> </w:t>
      </w:r>
      <w:r w:rsidR="000A1AAE" w:rsidRPr="0050194B">
        <w:t>amendments</w:t>
      </w:r>
      <w:r w:rsidR="00D52FD0">
        <w:t xml:space="preserve"> </w:t>
      </w:r>
      <w:r w:rsidR="000A1AAE" w:rsidRPr="0050194B">
        <w:t>seek</w:t>
      </w:r>
      <w:r w:rsidR="00D52FD0">
        <w:t xml:space="preserve"> </w:t>
      </w:r>
      <w:r w:rsidR="000A1AAE" w:rsidRPr="0050194B">
        <w:t>to</w:t>
      </w:r>
      <w:r w:rsidR="00D52FD0">
        <w:t xml:space="preserve"> </w:t>
      </w:r>
      <w:r w:rsidR="000A1AAE" w:rsidRPr="0050194B">
        <w:t>provide</w:t>
      </w:r>
      <w:r w:rsidR="00D52FD0">
        <w:t xml:space="preserve"> </w:t>
      </w:r>
      <w:r w:rsidR="000A1AAE" w:rsidRPr="0050194B">
        <w:t>a</w:t>
      </w:r>
      <w:r w:rsidR="00D52FD0">
        <w:t xml:space="preserve"> </w:t>
      </w:r>
      <w:r w:rsidR="000A1AAE" w:rsidRPr="0050194B">
        <w:t>sense</w:t>
      </w:r>
      <w:r w:rsidR="00D52FD0">
        <w:t xml:space="preserve"> </w:t>
      </w:r>
      <w:r w:rsidR="000A1AAE" w:rsidRPr="0050194B">
        <w:t>of</w:t>
      </w:r>
      <w:r w:rsidR="00D52FD0">
        <w:t xml:space="preserve"> </w:t>
      </w:r>
      <w:r w:rsidR="000A1AAE" w:rsidRPr="0050194B">
        <w:t>permanency</w:t>
      </w:r>
      <w:r w:rsidR="00D52FD0">
        <w:t xml:space="preserve"> </w:t>
      </w:r>
      <w:r w:rsidR="000A1AAE" w:rsidRPr="0050194B">
        <w:t>and</w:t>
      </w:r>
      <w:r w:rsidR="00D52FD0">
        <w:t xml:space="preserve"> </w:t>
      </w:r>
      <w:r w:rsidR="000A1AAE" w:rsidRPr="0050194B">
        <w:t>stability</w:t>
      </w:r>
      <w:r w:rsidR="00D52FD0">
        <w:t xml:space="preserve"> </w:t>
      </w:r>
      <w:r w:rsidR="000A1AAE" w:rsidRPr="0050194B">
        <w:t>in</w:t>
      </w:r>
      <w:r w:rsidR="00D52FD0">
        <w:t xml:space="preserve"> </w:t>
      </w:r>
      <w:r w:rsidR="000A1AAE" w:rsidRPr="0050194B">
        <w:t>cases</w:t>
      </w:r>
      <w:r w:rsidR="00D52FD0">
        <w:t xml:space="preserve"> </w:t>
      </w:r>
      <w:r w:rsidR="000A1AAE" w:rsidRPr="0050194B">
        <w:t>where</w:t>
      </w:r>
      <w:r w:rsidR="00D52FD0">
        <w:t xml:space="preserve"> </w:t>
      </w:r>
      <w:r w:rsidR="000A1AAE" w:rsidRPr="0050194B">
        <w:t>such</w:t>
      </w:r>
      <w:r w:rsidR="00D52FD0">
        <w:t xml:space="preserve"> </w:t>
      </w:r>
      <w:r w:rsidR="000A1AAE" w:rsidRPr="0050194B">
        <w:t>a</w:t>
      </w:r>
      <w:r w:rsidR="00D52FD0">
        <w:t xml:space="preserve"> </w:t>
      </w:r>
      <w:r w:rsidR="000A1AAE" w:rsidRPr="0050194B">
        <w:t>return</w:t>
      </w:r>
      <w:r w:rsidR="00D52FD0">
        <w:t xml:space="preserve"> </w:t>
      </w:r>
      <w:r w:rsidR="000A1AAE" w:rsidRPr="0050194B">
        <w:t>will</w:t>
      </w:r>
      <w:r w:rsidR="00D52FD0">
        <w:t xml:space="preserve"> </w:t>
      </w:r>
      <w:r w:rsidR="000A1AAE" w:rsidRPr="0050194B">
        <w:t>not</w:t>
      </w:r>
      <w:r w:rsidR="00D52FD0">
        <w:t xml:space="preserve"> </w:t>
      </w:r>
      <w:r w:rsidR="000A1AAE" w:rsidRPr="0050194B">
        <w:t>be</w:t>
      </w:r>
      <w:r w:rsidR="00D52FD0">
        <w:t xml:space="preserve"> </w:t>
      </w:r>
      <w:r w:rsidR="000A1AAE" w:rsidRPr="0050194B">
        <w:t>possible.</w:t>
      </w:r>
      <w:r w:rsidR="00D52FD0">
        <w:t xml:space="preserve"> </w:t>
      </w:r>
      <w:r w:rsidR="000A1AAE" w:rsidRPr="0050194B">
        <w:t>The</w:t>
      </w:r>
      <w:r w:rsidR="00D52FD0">
        <w:t xml:space="preserve"> </w:t>
      </w:r>
      <w:r w:rsidR="000A1AAE" w:rsidRPr="0050194B">
        <w:t>new</w:t>
      </w:r>
      <w:r w:rsidR="00D52FD0">
        <w:t xml:space="preserve"> </w:t>
      </w:r>
      <w:r w:rsidR="000A1AAE" w:rsidRPr="0050194B">
        <w:t>act</w:t>
      </w:r>
      <w:r w:rsidR="00D52FD0">
        <w:t xml:space="preserve"> </w:t>
      </w:r>
      <w:r w:rsidR="000A1AAE" w:rsidRPr="0050194B">
        <w:t>also</w:t>
      </w:r>
      <w:r w:rsidR="00D52FD0">
        <w:t xml:space="preserve"> </w:t>
      </w:r>
      <w:r w:rsidR="000A1AAE" w:rsidRPr="0050194B">
        <w:t>introduces</w:t>
      </w:r>
      <w:r w:rsidR="00D52FD0">
        <w:t xml:space="preserve"> </w:t>
      </w:r>
      <w:r w:rsidR="000A1AAE" w:rsidRPr="0050194B">
        <w:t>a</w:t>
      </w:r>
      <w:r w:rsidR="00D52FD0">
        <w:t xml:space="preserve"> </w:t>
      </w:r>
      <w:r w:rsidR="000A1AAE" w:rsidRPr="0050194B">
        <w:t>right</w:t>
      </w:r>
      <w:r w:rsidR="00D52FD0">
        <w:t xml:space="preserve"> </w:t>
      </w:r>
      <w:r w:rsidR="000A1AAE" w:rsidRPr="0050194B">
        <w:t>to</w:t>
      </w:r>
      <w:r w:rsidR="00D52FD0">
        <w:t xml:space="preserve"> </w:t>
      </w:r>
      <w:r w:rsidR="000A1AAE" w:rsidRPr="0050194B">
        <w:t>appeal</w:t>
      </w:r>
      <w:r w:rsidR="00D52FD0">
        <w:t xml:space="preserve"> </w:t>
      </w:r>
      <w:r w:rsidR="000A1AAE" w:rsidRPr="0050194B">
        <w:t>at</w:t>
      </w:r>
      <w:r w:rsidR="00D52FD0">
        <w:t xml:space="preserve"> </w:t>
      </w:r>
      <w:r w:rsidR="000A1AAE" w:rsidRPr="0050194B">
        <w:t>every</w:t>
      </w:r>
      <w:r w:rsidR="00D52FD0">
        <w:t xml:space="preserve"> </w:t>
      </w:r>
      <w:r w:rsidR="000A1AAE" w:rsidRPr="0050194B">
        <w:t>stage</w:t>
      </w:r>
      <w:r w:rsidR="00D52FD0">
        <w:t xml:space="preserve"> </w:t>
      </w:r>
      <w:r w:rsidR="000A1AAE" w:rsidRPr="0050194B">
        <w:t>of</w:t>
      </w:r>
      <w:r w:rsidR="00D52FD0">
        <w:t xml:space="preserve"> </w:t>
      </w:r>
      <w:r w:rsidR="000A1AAE" w:rsidRPr="0050194B">
        <w:t>proceedings.</w:t>
      </w:r>
    </w:p>
    <w:p w14:paraId="40E3791C" w14:textId="1789CCFB" w:rsidR="000A1AAE" w:rsidRPr="00A841AA" w:rsidRDefault="000A1AAE" w:rsidP="00D31EEB">
      <w:pPr>
        <w:pStyle w:val="H23G"/>
      </w:pPr>
      <w:r>
        <w:tab/>
      </w:r>
      <w:r>
        <w:tab/>
      </w:r>
      <w:r w:rsidRPr="00A841AA">
        <w:t>Right</w:t>
      </w:r>
      <w:r w:rsidR="00D52FD0">
        <w:t xml:space="preserve"> </w:t>
      </w:r>
      <w:r w:rsidRPr="00A841AA">
        <w:t>to</w:t>
      </w:r>
      <w:r w:rsidR="00D52FD0">
        <w:t xml:space="preserve"> </w:t>
      </w:r>
      <w:r w:rsidRPr="00A841AA">
        <w:t>vote</w:t>
      </w:r>
      <w:r w:rsidR="00D52FD0">
        <w:t xml:space="preserve"> </w:t>
      </w:r>
      <w:r w:rsidRPr="00A841AA">
        <w:t>of</w:t>
      </w:r>
      <w:r w:rsidR="00D52FD0">
        <w:t xml:space="preserve"> </w:t>
      </w:r>
      <w:r w:rsidRPr="00A841AA">
        <w:t>blind</w:t>
      </w:r>
      <w:r w:rsidR="00D52FD0">
        <w:t xml:space="preserve"> </w:t>
      </w:r>
      <w:r w:rsidRPr="00A841AA">
        <w:t>persons</w:t>
      </w:r>
    </w:p>
    <w:p w14:paraId="71A9F252" w14:textId="1BC797B0" w:rsidR="000A1AAE" w:rsidRPr="00A841AA" w:rsidRDefault="0044637E" w:rsidP="0044637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841AA">
        <w:t>81.</w:t>
      </w:r>
      <w:r w:rsidRPr="00A841AA">
        <w:tab/>
      </w:r>
      <w:r w:rsidR="000A1AAE" w:rsidRPr="00A841AA">
        <w:t>Blind</w:t>
      </w:r>
      <w:r w:rsidR="00D52FD0">
        <w:t xml:space="preserve"> </w:t>
      </w:r>
      <w:r w:rsidR="000A1AAE" w:rsidRPr="00A841AA">
        <w:t>persons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persons</w:t>
      </w:r>
      <w:r w:rsidR="00D52FD0">
        <w:t xml:space="preserve"> </w:t>
      </w:r>
      <w:r w:rsidR="000A1AAE" w:rsidRPr="00A841AA">
        <w:t>with</w:t>
      </w:r>
      <w:r w:rsidR="00D52FD0">
        <w:t xml:space="preserve"> </w:t>
      </w:r>
      <w:r w:rsidR="000A1AAE" w:rsidRPr="00A841AA">
        <w:t>visual</w:t>
      </w:r>
      <w:r w:rsidR="00D52FD0">
        <w:t xml:space="preserve"> </w:t>
      </w:r>
      <w:r w:rsidR="000A1AAE" w:rsidRPr="00A841AA">
        <w:t>impairments</w:t>
      </w:r>
      <w:r w:rsidR="00D52FD0">
        <w:t xml:space="preserve"> </w:t>
      </w:r>
      <w:r w:rsidR="000A1AAE" w:rsidRPr="00A841AA">
        <w:t>can</w:t>
      </w:r>
      <w:r w:rsidR="00D52FD0">
        <w:t xml:space="preserve"> </w:t>
      </w:r>
      <w:r w:rsidR="000A1AAE" w:rsidRPr="00A841AA">
        <w:t>request</w:t>
      </w:r>
      <w:r w:rsidR="00D52FD0">
        <w:t xml:space="preserve"> </w:t>
      </w:r>
      <w:r w:rsidR="000A1AAE" w:rsidRPr="00A841AA">
        <w:t>a</w:t>
      </w:r>
      <w:r w:rsidR="00D52FD0">
        <w:t xml:space="preserve"> </w:t>
      </w:r>
      <w:r w:rsidR="000A1AAE" w:rsidRPr="00A841AA">
        <w:t>Braille</w:t>
      </w:r>
      <w:r w:rsidR="00D52FD0">
        <w:t xml:space="preserve"> </w:t>
      </w:r>
      <w:r w:rsidR="000A1AAE" w:rsidRPr="00A841AA">
        <w:t>ballot</w:t>
      </w:r>
      <w:r w:rsidR="00D52FD0">
        <w:t xml:space="preserve"> </w:t>
      </w:r>
      <w:r w:rsidR="000A1AAE" w:rsidRPr="00A841AA">
        <w:t>at</w:t>
      </w:r>
      <w:r w:rsidR="00D52FD0">
        <w:t xml:space="preserve"> </w:t>
      </w:r>
      <w:r w:rsidR="000A1AAE" w:rsidRPr="00A841AA">
        <w:t>polling</w:t>
      </w:r>
      <w:r w:rsidR="00D52FD0">
        <w:t xml:space="preserve"> </w:t>
      </w:r>
      <w:r w:rsidR="000A1AAE" w:rsidRPr="00A841AA">
        <w:t>stations,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Electoral</w:t>
      </w:r>
      <w:r w:rsidR="00D52FD0">
        <w:t xml:space="preserve"> </w:t>
      </w:r>
      <w:r w:rsidR="000A1AAE" w:rsidRPr="00A841AA">
        <w:t>Commission</w:t>
      </w:r>
      <w:r w:rsidR="00D52FD0">
        <w:t xml:space="preserve"> </w:t>
      </w:r>
      <w:r w:rsidR="000A1AAE" w:rsidRPr="00A841AA">
        <w:t>ensures</w:t>
      </w:r>
      <w:r w:rsidR="00D52FD0">
        <w:t xml:space="preserve"> </w:t>
      </w:r>
      <w:r w:rsidR="000A1AAE" w:rsidRPr="00A841AA">
        <w:t>that</w:t>
      </w:r>
      <w:r w:rsidR="00D52FD0">
        <w:t xml:space="preserve"> </w:t>
      </w:r>
      <w:r w:rsidR="000A1AAE" w:rsidRPr="00A841AA">
        <w:t>a</w:t>
      </w:r>
      <w:r w:rsidR="00D52FD0">
        <w:t xml:space="preserve"> </w:t>
      </w:r>
      <w:r w:rsidR="000A1AAE" w:rsidRPr="00A841AA">
        <w:t>number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these</w:t>
      </w:r>
      <w:r w:rsidR="00D52FD0">
        <w:t xml:space="preserve"> </w:t>
      </w:r>
      <w:r w:rsidR="000A1AAE" w:rsidRPr="00A841AA">
        <w:t>ballots</w:t>
      </w:r>
      <w:r w:rsidR="00D52FD0">
        <w:t xml:space="preserve"> </w:t>
      </w:r>
      <w:r w:rsidR="000A1AAE" w:rsidRPr="00A841AA">
        <w:t>are</w:t>
      </w:r>
      <w:r w:rsidR="00D52FD0">
        <w:t xml:space="preserve"> </w:t>
      </w:r>
      <w:r w:rsidR="000A1AAE" w:rsidRPr="00A841AA">
        <w:lastRenderedPageBreak/>
        <w:t>available</w:t>
      </w:r>
      <w:r w:rsidR="00D52FD0">
        <w:t xml:space="preserve"> </w:t>
      </w:r>
      <w:r w:rsidR="000A1AAE" w:rsidRPr="00A841AA">
        <w:t>for</w:t>
      </w:r>
      <w:r w:rsidR="00D52FD0">
        <w:t xml:space="preserve"> </w:t>
      </w:r>
      <w:r w:rsidR="000A1AAE" w:rsidRPr="00A841AA">
        <w:t>this</w:t>
      </w:r>
      <w:r w:rsidR="00D52FD0">
        <w:t xml:space="preserve"> </w:t>
      </w:r>
      <w:r w:rsidR="000A1AAE" w:rsidRPr="00A841AA">
        <w:t>purpose.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layout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standard</w:t>
      </w:r>
      <w:r w:rsidR="00D52FD0">
        <w:t xml:space="preserve"> </w:t>
      </w:r>
      <w:r w:rsidR="000A1AAE" w:rsidRPr="00A841AA">
        <w:t>ballots</w:t>
      </w:r>
      <w:r w:rsidR="00D52FD0">
        <w:t xml:space="preserve"> </w:t>
      </w:r>
      <w:r w:rsidR="000A1AAE" w:rsidRPr="00A841AA">
        <w:t>has</w:t>
      </w:r>
      <w:r w:rsidR="00D52FD0">
        <w:t xml:space="preserve"> </w:t>
      </w:r>
      <w:r w:rsidR="000A1AAE" w:rsidRPr="00A841AA">
        <w:t>also</w:t>
      </w:r>
      <w:r w:rsidR="00D52FD0">
        <w:t xml:space="preserve"> </w:t>
      </w:r>
      <w:r w:rsidR="000A1AAE" w:rsidRPr="00A841AA">
        <w:t>been</w:t>
      </w:r>
      <w:r w:rsidR="00D52FD0">
        <w:t xml:space="preserve"> </w:t>
      </w:r>
      <w:r w:rsidR="000A1AAE" w:rsidRPr="00A841AA">
        <w:t>changed,</w:t>
      </w:r>
      <w:r w:rsidR="00D52FD0">
        <w:t xml:space="preserve"> </w:t>
      </w:r>
      <w:r w:rsidR="000A1AAE" w:rsidRPr="00A841AA">
        <w:t>using</w:t>
      </w:r>
      <w:r w:rsidR="00D52FD0">
        <w:t xml:space="preserve"> </w:t>
      </w:r>
      <w:r w:rsidR="000A1AAE" w:rsidRPr="00A841AA">
        <w:t>clearer</w:t>
      </w:r>
      <w:r w:rsidR="00D52FD0">
        <w:t xml:space="preserve"> </w:t>
      </w:r>
      <w:r w:rsidR="000A1AAE" w:rsidRPr="00A841AA">
        <w:t>structure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a</w:t>
      </w:r>
      <w:r w:rsidR="00D52FD0">
        <w:t xml:space="preserve"> </w:t>
      </w:r>
      <w:r w:rsidR="000A1AAE" w:rsidRPr="00A841AA">
        <w:t>larger</w:t>
      </w:r>
      <w:r w:rsidR="00D52FD0">
        <w:t xml:space="preserve"> </w:t>
      </w:r>
      <w:r w:rsidR="000A1AAE" w:rsidRPr="00A841AA">
        <w:t>typeface.</w:t>
      </w:r>
      <w:r w:rsidR="00D52FD0">
        <w:t xml:space="preserve"> </w:t>
      </w:r>
      <w:r w:rsidR="000A1AAE" w:rsidRPr="00A841AA">
        <w:t>Internal</w:t>
      </w:r>
      <w:r w:rsidR="00D52FD0">
        <w:t xml:space="preserve"> </w:t>
      </w:r>
      <w:r w:rsidR="000A1AAE" w:rsidRPr="00A841AA">
        <w:t>discussions</w:t>
      </w:r>
      <w:r w:rsidR="00D52FD0">
        <w:t xml:space="preserve"> </w:t>
      </w:r>
      <w:r w:rsidR="000A1AAE" w:rsidRPr="00A841AA">
        <w:t>are</w:t>
      </w:r>
      <w:r w:rsidR="00D52FD0">
        <w:t xml:space="preserve"> </w:t>
      </w:r>
      <w:r w:rsidR="000A1AAE" w:rsidRPr="00A841AA">
        <w:t>also</w:t>
      </w:r>
      <w:r w:rsidR="00D52FD0">
        <w:t xml:space="preserve"> </w:t>
      </w:r>
      <w:r w:rsidR="000A1AAE" w:rsidRPr="00A841AA">
        <w:t>constantly</w:t>
      </w:r>
      <w:r w:rsidR="00D52FD0">
        <w:t xml:space="preserve"> </w:t>
      </w:r>
      <w:r w:rsidR="000A1AAE" w:rsidRPr="00A841AA">
        <w:t>ongoing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ensure</w:t>
      </w:r>
      <w:r w:rsidR="00D52FD0">
        <w:t xml:space="preserve"> </w:t>
      </w:r>
      <w:r w:rsidR="000A1AAE" w:rsidRPr="00A841AA">
        <w:t>further</w:t>
      </w:r>
      <w:r w:rsidR="00D52FD0">
        <w:t xml:space="preserve"> </w:t>
      </w:r>
      <w:r w:rsidR="000A1AAE" w:rsidRPr="00A841AA">
        <w:t>access.</w:t>
      </w:r>
    </w:p>
    <w:p w14:paraId="1FC23B1D" w14:textId="267DB4F2" w:rsidR="000A1AAE" w:rsidRPr="00825CCA" w:rsidRDefault="000A1AAE" w:rsidP="00D31EEB">
      <w:pPr>
        <w:pStyle w:val="H23G"/>
      </w:pPr>
      <w:r>
        <w:tab/>
      </w:r>
      <w:r>
        <w:tab/>
      </w:r>
      <w:r w:rsidRPr="00825CCA">
        <w:t>Freedom</w:t>
      </w:r>
      <w:r w:rsidR="00D52FD0">
        <w:t xml:space="preserve"> </w:t>
      </w:r>
      <w:r w:rsidRPr="00825CCA">
        <w:t>of</w:t>
      </w:r>
      <w:r w:rsidR="00D52FD0">
        <w:t xml:space="preserve"> </w:t>
      </w:r>
      <w:r w:rsidRPr="00825CCA">
        <w:t>expression</w:t>
      </w:r>
      <w:r w:rsidR="00D52FD0">
        <w:t xml:space="preserve"> </w:t>
      </w:r>
      <w:r w:rsidRPr="00825CCA">
        <w:t>and</w:t>
      </w:r>
      <w:r w:rsidR="00D52FD0">
        <w:t xml:space="preserve"> </w:t>
      </w:r>
      <w:r w:rsidRPr="00825CCA">
        <w:t>freedom</w:t>
      </w:r>
      <w:r w:rsidR="00D52FD0">
        <w:t xml:space="preserve"> </w:t>
      </w:r>
      <w:r w:rsidRPr="00825CCA">
        <w:t>of</w:t>
      </w:r>
      <w:r w:rsidR="00D52FD0">
        <w:t xml:space="preserve"> </w:t>
      </w:r>
      <w:r w:rsidRPr="00825CCA">
        <w:t>conscience</w:t>
      </w:r>
      <w:r w:rsidR="00D52FD0">
        <w:t xml:space="preserve"> </w:t>
      </w:r>
      <w:r w:rsidRPr="00825CCA">
        <w:t>and</w:t>
      </w:r>
      <w:r w:rsidR="00D52FD0">
        <w:t xml:space="preserve"> </w:t>
      </w:r>
      <w:r w:rsidRPr="00825CCA">
        <w:t>religious</w:t>
      </w:r>
      <w:r w:rsidR="00D52FD0">
        <w:t xml:space="preserve"> </w:t>
      </w:r>
      <w:r w:rsidRPr="00825CCA">
        <w:t>belief</w:t>
      </w:r>
    </w:p>
    <w:p w14:paraId="79627CCE" w14:textId="1465ADC2" w:rsidR="000A1AAE" w:rsidRPr="00A841AA" w:rsidRDefault="0044637E" w:rsidP="0044637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841AA">
        <w:t>82.</w:t>
      </w:r>
      <w:r w:rsidRPr="00A841AA">
        <w:tab/>
      </w:r>
      <w:r w:rsidR="000A1AAE" w:rsidRPr="00A841AA">
        <w:t>The</w:t>
      </w:r>
      <w:r w:rsidR="00D52FD0">
        <w:t xml:space="preserve"> </w:t>
      </w:r>
      <w:r w:rsidR="000A1AAE" w:rsidRPr="00A841AA">
        <w:t>legal</w:t>
      </w:r>
      <w:r w:rsidR="00D52FD0">
        <w:t xml:space="preserve"> </w:t>
      </w:r>
      <w:r w:rsidR="000A1AAE" w:rsidRPr="00A841AA">
        <w:t>regime</w:t>
      </w:r>
      <w:r w:rsidR="00D52FD0">
        <w:t xml:space="preserve"> </w:t>
      </w:r>
      <w:r w:rsidR="000A1AAE" w:rsidRPr="00A841AA">
        <w:t>regarding</w:t>
      </w:r>
      <w:r w:rsidR="00D52FD0">
        <w:t xml:space="preserve"> </w:t>
      </w:r>
      <w:r w:rsidR="000A1AAE" w:rsidRPr="00A841AA">
        <w:t>media</w:t>
      </w:r>
      <w:r w:rsidR="00D52FD0">
        <w:t xml:space="preserve"> </w:t>
      </w:r>
      <w:r w:rsidR="000A1AAE" w:rsidRPr="00A841AA">
        <w:t>freedom</w:t>
      </w:r>
      <w:r w:rsidR="00D52FD0">
        <w:t xml:space="preserve"> </w:t>
      </w:r>
      <w:r w:rsidR="000A1AAE" w:rsidRPr="00A841AA">
        <w:t>has</w:t>
      </w:r>
      <w:r w:rsidR="00D52FD0">
        <w:t xml:space="preserve"> </w:t>
      </w:r>
      <w:r w:rsidR="000A1AAE" w:rsidRPr="00A841AA">
        <w:t>been</w:t>
      </w:r>
      <w:r w:rsidR="00D52FD0">
        <w:t xml:space="preserve"> </w:t>
      </w:r>
      <w:r w:rsidR="000A1AAE" w:rsidRPr="00A841AA">
        <w:t>amended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make</w:t>
      </w:r>
      <w:r w:rsidR="00D52FD0">
        <w:t xml:space="preserve"> </w:t>
      </w:r>
      <w:r w:rsidR="000A1AAE" w:rsidRPr="00A841AA">
        <w:t>it</w:t>
      </w:r>
      <w:r w:rsidR="00D52FD0">
        <w:t xml:space="preserve"> </w:t>
      </w:r>
      <w:r w:rsidR="000A1AAE" w:rsidRPr="00A841AA">
        <w:t>more</w:t>
      </w:r>
      <w:r w:rsidR="00D52FD0">
        <w:t xml:space="preserve"> </w:t>
      </w:r>
      <w:r w:rsidR="000A1AAE" w:rsidRPr="00A841AA">
        <w:t>protective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right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freedom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expression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journalists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media</w:t>
      </w:r>
      <w:r w:rsidR="00D52FD0">
        <w:t xml:space="preserve"> </w:t>
      </w:r>
      <w:r w:rsidR="000A1AAE" w:rsidRPr="00A841AA">
        <w:t>houses</w:t>
      </w:r>
      <w:r w:rsidR="00D52FD0">
        <w:t xml:space="preserve"> </w:t>
      </w:r>
      <w:r w:rsidR="000A1AAE" w:rsidRPr="00A841AA">
        <w:t>through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enactment</w:t>
      </w:r>
      <w:r w:rsidR="00D52FD0">
        <w:t xml:space="preserve"> </w:t>
      </w:r>
      <w:r w:rsidR="000A1AAE" w:rsidRPr="00A841AA">
        <w:t>on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14th</w:t>
      </w:r>
      <w:r w:rsidR="00D52FD0">
        <w:t xml:space="preserve"> </w:t>
      </w:r>
      <w:r w:rsidR="000A1AAE" w:rsidRPr="00A841AA">
        <w:t>May</w:t>
      </w:r>
      <w:r w:rsidR="00D52FD0">
        <w:t xml:space="preserve"> </w:t>
      </w:r>
      <w:r w:rsidR="000A1AAE" w:rsidRPr="00A841AA">
        <w:t>2018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Media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Defamation</w:t>
      </w:r>
      <w:r w:rsidR="00D52FD0">
        <w:t xml:space="preserve"> </w:t>
      </w:r>
      <w:r w:rsidR="000A1AAE" w:rsidRPr="00A841AA">
        <w:t>Act</w:t>
      </w:r>
      <w:r w:rsidR="00D52FD0">
        <w:t xml:space="preserve"> </w:t>
      </w:r>
      <w:r w:rsidR="000A1AAE" w:rsidRPr="00A841AA">
        <w:t>(Chapter</w:t>
      </w:r>
      <w:r w:rsidR="00D52FD0">
        <w:t xml:space="preserve"> </w:t>
      </w:r>
      <w:r w:rsidR="000A1AAE" w:rsidRPr="00A841AA">
        <w:t>579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Laws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Malta).</w:t>
      </w:r>
      <w:r w:rsidR="00D52FD0">
        <w:t xml:space="preserve"> </w:t>
      </w:r>
      <w:r w:rsidR="000A1AAE" w:rsidRPr="00A841AA">
        <w:t>For</w:t>
      </w:r>
      <w:r w:rsidR="00D52FD0">
        <w:t xml:space="preserve"> </w:t>
      </w:r>
      <w:r w:rsidR="000A1AAE" w:rsidRPr="00A841AA">
        <w:t>instance,</w:t>
      </w:r>
      <w:r w:rsidR="00D52FD0">
        <w:t xml:space="preserve"> </w:t>
      </w:r>
      <w:r w:rsidR="000A1AAE" w:rsidRPr="00A841AA">
        <w:t>Malta</w:t>
      </w:r>
      <w:r w:rsidR="00D52FD0">
        <w:t xml:space="preserve"> </w:t>
      </w:r>
      <w:r w:rsidR="000A1AAE" w:rsidRPr="00A841AA">
        <w:t>removed</w:t>
      </w:r>
      <w:r w:rsidR="00D52FD0">
        <w:t xml:space="preserve"> </w:t>
      </w:r>
      <w:r w:rsidR="000A1AAE" w:rsidRPr="00A841AA">
        <w:t>criminal</w:t>
      </w:r>
      <w:r w:rsidR="00D52FD0">
        <w:t xml:space="preserve"> </w:t>
      </w:r>
      <w:r w:rsidR="000A1AAE" w:rsidRPr="00A841AA">
        <w:t>libel</w:t>
      </w:r>
      <w:r w:rsidR="00D52FD0">
        <w:t xml:space="preserve"> </w:t>
      </w:r>
      <w:r w:rsidR="000A1AAE" w:rsidRPr="00A841AA">
        <w:t>from</w:t>
      </w:r>
      <w:r w:rsidR="00D52FD0">
        <w:t xml:space="preserve"> </w:t>
      </w:r>
      <w:r w:rsidR="000A1AAE" w:rsidRPr="00A841AA">
        <w:t>its</w:t>
      </w:r>
      <w:r w:rsidR="00D52FD0">
        <w:t xml:space="preserve"> </w:t>
      </w:r>
      <w:r w:rsidR="000A1AAE" w:rsidRPr="00A841AA">
        <w:t>legal</w:t>
      </w:r>
      <w:r w:rsidR="00D52FD0">
        <w:t xml:space="preserve"> </w:t>
      </w:r>
      <w:r w:rsidR="000A1AAE" w:rsidRPr="00A841AA">
        <w:t>system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introduced</w:t>
      </w:r>
      <w:r w:rsidR="00D52FD0">
        <w:t xml:space="preserve"> </w:t>
      </w:r>
      <w:r w:rsidR="000A1AAE" w:rsidRPr="00A841AA">
        <w:t>provisions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Act</w:t>
      </w:r>
      <w:r w:rsidR="00D52FD0">
        <w:t xml:space="preserve"> </w:t>
      </w:r>
      <w:r w:rsidR="000A1AAE" w:rsidRPr="00A841AA">
        <w:t>against</w:t>
      </w:r>
      <w:r w:rsidR="00D52FD0">
        <w:t xml:space="preserve"> </w:t>
      </w:r>
      <w:r w:rsidR="000A1AAE" w:rsidRPr="00A841AA">
        <w:t>strategies</w:t>
      </w:r>
      <w:r w:rsidR="00D52FD0">
        <w:t xml:space="preserve"> </w:t>
      </w:r>
      <w:r w:rsidR="000A1AAE" w:rsidRPr="00A841AA">
        <w:t>which</w:t>
      </w:r>
      <w:r w:rsidR="00D52FD0">
        <w:t xml:space="preserve"> </w:t>
      </w:r>
      <w:r w:rsidR="000A1AAE" w:rsidRPr="00A841AA">
        <w:t>may</w:t>
      </w:r>
      <w:r w:rsidR="00D52FD0">
        <w:t xml:space="preserve"> </w:t>
      </w:r>
      <w:r w:rsidR="000A1AAE" w:rsidRPr="00A841AA">
        <w:t>be</w:t>
      </w:r>
      <w:r w:rsidR="00D52FD0">
        <w:t xml:space="preserve"> </w:t>
      </w:r>
      <w:r w:rsidR="000A1AAE" w:rsidRPr="00A841AA">
        <w:t>used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multiply</w:t>
      </w:r>
      <w:r w:rsidR="00D52FD0">
        <w:t xml:space="preserve"> </w:t>
      </w:r>
      <w:r w:rsidR="000A1AAE" w:rsidRPr="00A841AA">
        <w:t>actions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libel</w:t>
      </w:r>
      <w:r w:rsidR="00D52FD0">
        <w:t xml:space="preserve"> </w:t>
      </w:r>
      <w:r w:rsidR="000A1AAE" w:rsidRPr="00A841AA">
        <w:t>on</w:t>
      </w:r>
      <w:r w:rsidR="00D52FD0">
        <w:t xml:space="preserve"> </w:t>
      </w:r>
      <w:r w:rsidR="000A1AAE" w:rsidRPr="00A841AA">
        <w:t>essentially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same</w:t>
      </w:r>
      <w:r w:rsidR="00D52FD0">
        <w:t xml:space="preserve"> </w:t>
      </w:r>
      <w:r w:rsidR="000A1AAE" w:rsidRPr="00A841AA">
        <w:t>issues.</w:t>
      </w:r>
      <w:r w:rsidR="00D52FD0">
        <w:t xml:space="preserve"> </w:t>
      </w:r>
      <w:r w:rsidR="000A1AAE" w:rsidRPr="00A841AA">
        <w:t>Articles</w:t>
      </w:r>
      <w:r w:rsidR="00D52FD0">
        <w:t xml:space="preserve"> </w:t>
      </w:r>
      <w:r w:rsidR="000A1AAE" w:rsidRPr="00A841AA">
        <w:t>163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164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Title</w:t>
      </w:r>
      <w:r w:rsidR="00D52FD0">
        <w:t xml:space="preserve"> </w:t>
      </w:r>
      <w:r w:rsidR="000A1AAE" w:rsidRPr="00A841AA">
        <w:t>IV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Criminal</w:t>
      </w:r>
      <w:r w:rsidR="00D52FD0">
        <w:t xml:space="preserve"> </w:t>
      </w:r>
      <w:r w:rsidR="000A1AAE" w:rsidRPr="00A841AA">
        <w:t>Code</w:t>
      </w:r>
      <w:r w:rsidR="00D52FD0">
        <w:t xml:space="preserve"> </w:t>
      </w:r>
      <w:r w:rsidR="000A1AAE" w:rsidRPr="00A841AA">
        <w:t>which</w:t>
      </w:r>
      <w:r w:rsidR="00D52FD0">
        <w:t xml:space="preserve"> </w:t>
      </w:r>
      <w:r w:rsidR="000A1AAE" w:rsidRPr="00A841AA">
        <w:t>dealt</w:t>
      </w:r>
      <w:r w:rsidR="00D52FD0">
        <w:t xml:space="preserve"> </w:t>
      </w:r>
      <w:r w:rsidR="000A1AAE" w:rsidRPr="00A841AA">
        <w:t>with</w:t>
      </w:r>
      <w:r w:rsidR="00D52FD0">
        <w:t xml:space="preserve"> </w:t>
      </w:r>
      <w:r w:rsidR="000A1AAE" w:rsidRPr="00A841AA">
        <w:t>crimes</w:t>
      </w:r>
      <w:r w:rsidR="00D52FD0">
        <w:t xml:space="preserve"> </w:t>
      </w:r>
      <w:r w:rsidR="000A1AAE" w:rsidRPr="00A841AA">
        <w:t>against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religious</w:t>
      </w:r>
      <w:r w:rsidR="00D52FD0">
        <w:t xml:space="preserve"> </w:t>
      </w:r>
      <w:r w:rsidR="000A1AAE" w:rsidRPr="00A841AA">
        <w:t>sentiment</w:t>
      </w:r>
      <w:r w:rsidR="00D52FD0">
        <w:t xml:space="preserve"> </w:t>
      </w:r>
      <w:r w:rsidR="000A1AAE" w:rsidRPr="00A841AA">
        <w:t>specifically</w:t>
      </w:r>
      <w:r w:rsidR="00D52FD0">
        <w:t xml:space="preserve"> </w:t>
      </w:r>
      <w:r w:rsidR="000A1AAE" w:rsidRPr="00A841AA">
        <w:t>with</w:t>
      </w:r>
      <w:r w:rsidR="00D52FD0">
        <w:t xml:space="preserve"> </w:t>
      </w:r>
      <w:r w:rsidR="000A1AAE" w:rsidRPr="00A841AA">
        <w:t>vilification</w:t>
      </w:r>
      <w:r w:rsidR="00D52FD0">
        <w:t xml:space="preserve"> </w:t>
      </w:r>
      <w:r w:rsidR="000A1AAE" w:rsidRPr="00A841AA">
        <w:t>were</w:t>
      </w:r>
      <w:r w:rsidR="00D52FD0">
        <w:t xml:space="preserve"> </w:t>
      </w:r>
      <w:r w:rsidR="000A1AAE" w:rsidRPr="00A841AA">
        <w:t>deleted</w:t>
      </w:r>
      <w:r w:rsidR="00D52FD0">
        <w:t xml:space="preserve"> </w:t>
      </w:r>
      <w:r w:rsidR="000A1AAE" w:rsidRPr="00A841AA">
        <w:t>by</w:t>
      </w:r>
      <w:r w:rsidR="00D52FD0">
        <w:t xml:space="preserve"> </w:t>
      </w:r>
      <w:r w:rsidR="000A1AAE" w:rsidRPr="00A841AA">
        <w:t>means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Act</w:t>
      </w:r>
      <w:r w:rsidR="00D52FD0">
        <w:t xml:space="preserve"> </w:t>
      </w:r>
      <w:r w:rsidR="000A1AAE" w:rsidRPr="00A841AA">
        <w:t>XXXVII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2016.</w:t>
      </w:r>
    </w:p>
    <w:p w14:paraId="525AF0A8" w14:textId="4E8811F9" w:rsidR="000A1AAE" w:rsidRPr="00825CCA" w:rsidRDefault="000A1AAE" w:rsidP="00EB1966">
      <w:pPr>
        <w:pStyle w:val="HChG"/>
      </w:pPr>
      <w:r>
        <w:tab/>
      </w:r>
      <w:r>
        <w:tab/>
        <w:t>Section</w:t>
      </w:r>
      <w:r w:rsidR="00D52FD0">
        <w:t xml:space="preserve"> </w:t>
      </w:r>
      <w:r>
        <w:t>B</w:t>
      </w:r>
    </w:p>
    <w:p w14:paraId="05CF46C2" w14:textId="5B8EDA4E" w:rsidR="000A1AAE" w:rsidRDefault="000A1AAE" w:rsidP="00EB1966">
      <w:pPr>
        <w:pStyle w:val="H1G"/>
        <w:rPr>
          <w:rFonts w:eastAsia="Calibri"/>
        </w:rPr>
      </w:pPr>
      <w:r>
        <w:tab/>
      </w:r>
      <w:r>
        <w:tab/>
      </w:r>
      <w:r w:rsidRPr="00504902">
        <w:t>Reply</w:t>
      </w:r>
      <w:r w:rsidR="00D52FD0">
        <w:t xml:space="preserve"> </w:t>
      </w:r>
      <w:r w:rsidRPr="00504902">
        <w:t>to</w:t>
      </w:r>
      <w:r w:rsidR="00D52FD0">
        <w:t xml:space="preserve"> </w:t>
      </w:r>
      <w:r w:rsidRPr="00504902">
        <w:t>paragraph</w:t>
      </w:r>
      <w:r w:rsidR="00D52FD0">
        <w:t xml:space="preserve"> </w:t>
      </w:r>
      <w:r w:rsidRPr="00504902">
        <w:t>2</w:t>
      </w:r>
      <w:r w:rsidR="00D52FD0">
        <w:t xml:space="preserve"> </w:t>
      </w:r>
      <w:r w:rsidRPr="00504902">
        <w:t>of</w:t>
      </w:r>
      <w:r w:rsidR="00D52FD0">
        <w:t xml:space="preserve"> </w:t>
      </w:r>
      <w:r w:rsidRPr="00504902">
        <w:t>the</w:t>
      </w:r>
      <w:r w:rsidR="00D52FD0">
        <w:t xml:space="preserve"> </w:t>
      </w:r>
      <w:r w:rsidRPr="00504902">
        <w:t>list</w:t>
      </w:r>
      <w:r w:rsidR="00D52FD0">
        <w:t xml:space="preserve"> </w:t>
      </w:r>
      <w:r w:rsidRPr="00504902">
        <w:t>of</w:t>
      </w:r>
      <w:r w:rsidR="00D52FD0">
        <w:t xml:space="preserve"> </w:t>
      </w:r>
      <w:r w:rsidRPr="00504902">
        <w:t>issues</w:t>
      </w:r>
      <w:r w:rsidR="00D52FD0">
        <w:t xml:space="preserve"> </w:t>
      </w:r>
      <w:r w:rsidRPr="00504902">
        <w:t>prior</w:t>
      </w:r>
      <w:r w:rsidR="00D52FD0">
        <w:t xml:space="preserve"> </w:t>
      </w:r>
      <w:r w:rsidRPr="00504902">
        <w:t>to</w:t>
      </w:r>
      <w:r w:rsidR="00D52FD0">
        <w:t xml:space="preserve"> </w:t>
      </w:r>
      <w:r w:rsidRPr="00504902">
        <w:t>reporting</w:t>
      </w:r>
      <w:r w:rsidR="00D52FD0">
        <w:t xml:space="preserve"> </w:t>
      </w:r>
      <w:r w:rsidRPr="00504902">
        <w:t>(</w:t>
      </w:r>
      <w:hyperlink r:id="rId9" w:history="1">
        <w:r w:rsidRPr="00B05830">
          <w:rPr>
            <w:rStyle w:val="Hyperlink"/>
            <w:color w:val="000000" w:themeColor="text1"/>
          </w:rPr>
          <w:t>CCPR/C/MLT/QPR/3</w:t>
        </w:r>
      </w:hyperlink>
      <w:r w:rsidRPr="00504902">
        <w:t>)</w:t>
      </w:r>
    </w:p>
    <w:p w14:paraId="7BDA3F43" w14:textId="15951C26" w:rsidR="000A1AAE" w:rsidRPr="00A841AA" w:rsidRDefault="0044637E" w:rsidP="0044637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841AA">
        <w:t>83.</w:t>
      </w:r>
      <w:r w:rsidRPr="00A841AA">
        <w:tab/>
      </w:r>
      <w:r w:rsidR="000A1AAE" w:rsidRPr="00A841AA">
        <w:t>Domestic</w:t>
      </w:r>
      <w:r w:rsidR="00D52FD0">
        <w:t xml:space="preserve"> </w:t>
      </w:r>
      <w:r w:rsidR="000A1AAE" w:rsidRPr="00A841AA">
        <w:t>legislation</w:t>
      </w:r>
      <w:r w:rsidR="00D52FD0">
        <w:t xml:space="preserve"> </w:t>
      </w:r>
      <w:r w:rsidR="000A1AAE" w:rsidRPr="00A841AA">
        <w:t>is</w:t>
      </w:r>
      <w:r w:rsidR="00D52FD0">
        <w:t xml:space="preserve"> </w:t>
      </w:r>
      <w:r w:rsidR="000A1AAE" w:rsidRPr="00A841AA">
        <w:t>examined,</w:t>
      </w:r>
      <w:r w:rsidR="00D52FD0">
        <w:t xml:space="preserve"> </w:t>
      </w:r>
      <w:r w:rsidR="000A1AAE" w:rsidRPr="00A841AA">
        <w:t>during</w:t>
      </w:r>
      <w:r w:rsidR="00D52FD0">
        <w:t xml:space="preserve"> </w:t>
      </w:r>
      <w:r w:rsidR="000A1AAE" w:rsidRPr="00A841AA">
        <w:t>drafting</w:t>
      </w:r>
      <w:r w:rsidR="00D52FD0">
        <w:t xml:space="preserve"> </w:t>
      </w:r>
      <w:r w:rsidR="000A1AAE" w:rsidRPr="00A841AA">
        <w:t>stage,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ensure</w:t>
      </w:r>
      <w:r w:rsidR="00D52FD0">
        <w:t xml:space="preserve"> </w:t>
      </w:r>
      <w:r w:rsidR="000A1AAE" w:rsidRPr="00A841AA">
        <w:t>that</w:t>
      </w:r>
      <w:r w:rsidR="00D52FD0">
        <w:t xml:space="preserve"> </w:t>
      </w:r>
      <w:r w:rsidR="000A1AAE" w:rsidRPr="00A841AA">
        <w:t>it</w:t>
      </w:r>
      <w:r w:rsidR="00D52FD0">
        <w:t xml:space="preserve"> </w:t>
      </w:r>
      <w:r w:rsidR="000A1AAE" w:rsidRPr="00A841AA">
        <w:t>is</w:t>
      </w:r>
      <w:r w:rsidR="00D52FD0">
        <w:t xml:space="preserve"> </w:t>
      </w:r>
      <w:r w:rsidR="000A1AAE" w:rsidRPr="00A841AA">
        <w:t>compliant</w:t>
      </w:r>
      <w:r w:rsidR="00D52FD0">
        <w:t xml:space="preserve"> </w:t>
      </w:r>
      <w:r w:rsidR="000A1AAE" w:rsidRPr="00A841AA">
        <w:t>with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provisions</w:t>
      </w:r>
      <w:r w:rsidR="00D52FD0">
        <w:t xml:space="preserve"> </w:t>
      </w:r>
      <w:r w:rsidR="000A1AAE" w:rsidRPr="00A841AA">
        <w:t>respecting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guaranteeing</w:t>
      </w:r>
      <w:r w:rsidR="00D52FD0">
        <w:t xml:space="preserve"> </w:t>
      </w:r>
      <w:r w:rsidR="000A1AAE" w:rsidRPr="00A841AA">
        <w:t>fundamental</w:t>
      </w:r>
      <w:r w:rsidR="00D52FD0">
        <w:t xml:space="preserve"> </w:t>
      </w:r>
      <w:r w:rsidR="000A1AAE" w:rsidRPr="00A841AA">
        <w:t>human</w:t>
      </w:r>
      <w:r w:rsidR="00D52FD0">
        <w:t xml:space="preserve"> </w:t>
      </w:r>
      <w:r w:rsidR="000A1AAE" w:rsidRPr="00A841AA">
        <w:t>rights.</w:t>
      </w:r>
      <w:r w:rsidR="00D52FD0">
        <w:t xml:space="preserve"> </w:t>
      </w:r>
      <w:r w:rsidR="000A1AAE" w:rsidRPr="00A841AA">
        <w:t>Continuous</w:t>
      </w:r>
      <w:r w:rsidR="00D52FD0">
        <w:t xml:space="preserve"> </w:t>
      </w:r>
      <w:r w:rsidR="000A1AAE" w:rsidRPr="00A841AA">
        <w:t>training</w:t>
      </w:r>
      <w:r w:rsidR="00D52FD0">
        <w:t xml:space="preserve"> </w:t>
      </w:r>
      <w:r w:rsidR="000A1AAE" w:rsidRPr="00A841AA">
        <w:t>on</w:t>
      </w:r>
      <w:r w:rsidR="00D52FD0">
        <w:t xml:space="preserve"> </w:t>
      </w:r>
      <w:r w:rsidR="000A1AAE" w:rsidRPr="00A841AA">
        <w:t>human</w:t>
      </w:r>
      <w:r w:rsidR="00D52FD0">
        <w:t xml:space="preserve"> </w:t>
      </w:r>
      <w:r w:rsidR="000A1AAE" w:rsidRPr="00A841AA">
        <w:t>rights</w:t>
      </w:r>
      <w:r w:rsidR="00D52FD0">
        <w:t xml:space="preserve"> </w:t>
      </w:r>
      <w:r w:rsidR="000A1AAE" w:rsidRPr="00A841AA">
        <w:t>protections</w:t>
      </w:r>
      <w:r w:rsidR="00D52FD0">
        <w:t xml:space="preserve"> </w:t>
      </w:r>
      <w:r w:rsidR="000A1AAE" w:rsidRPr="00A841AA">
        <w:t>is</w:t>
      </w:r>
      <w:r w:rsidR="00D52FD0">
        <w:t xml:space="preserve"> </w:t>
      </w:r>
      <w:r w:rsidR="000A1AAE" w:rsidRPr="00A841AA">
        <w:t>provided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judiciary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prosecutors.</w:t>
      </w:r>
    </w:p>
    <w:p w14:paraId="1AF2184F" w14:textId="77777777" w:rsidR="000E4FD0" w:rsidRDefault="000A1AAE" w:rsidP="00EB1966">
      <w:pPr>
        <w:pStyle w:val="H23G"/>
      </w:pPr>
      <w:r>
        <w:tab/>
      </w:r>
      <w:r>
        <w:tab/>
      </w:r>
      <w:r w:rsidRPr="00504902">
        <w:t>Reply</w:t>
      </w:r>
      <w:r w:rsidR="00D52FD0">
        <w:t xml:space="preserve"> </w:t>
      </w:r>
      <w:r w:rsidRPr="00504902">
        <w:t>to</w:t>
      </w:r>
      <w:r w:rsidR="00D52FD0">
        <w:t xml:space="preserve"> </w:t>
      </w:r>
      <w:r w:rsidRPr="00504902">
        <w:t>paragraph</w:t>
      </w:r>
      <w:r w:rsidR="00D52FD0">
        <w:t xml:space="preserve"> </w:t>
      </w:r>
      <w:r>
        <w:t>3</w:t>
      </w:r>
      <w:r w:rsidR="00D52FD0">
        <w:t xml:space="preserve"> </w:t>
      </w:r>
      <w:r w:rsidRPr="00504902">
        <w:t>of</w:t>
      </w:r>
      <w:r w:rsidR="00D52FD0">
        <w:t xml:space="preserve"> </w:t>
      </w:r>
      <w:r w:rsidRPr="00504902">
        <w:t>the</w:t>
      </w:r>
      <w:r w:rsidR="00D52FD0">
        <w:t xml:space="preserve"> </w:t>
      </w:r>
      <w:r w:rsidRPr="00504902">
        <w:t>list</w:t>
      </w:r>
      <w:r w:rsidR="00D52FD0">
        <w:t xml:space="preserve"> </w:t>
      </w:r>
      <w:r w:rsidRPr="00504902">
        <w:t>of</w:t>
      </w:r>
      <w:r w:rsidR="00D52FD0">
        <w:t xml:space="preserve"> </w:t>
      </w:r>
      <w:r w:rsidRPr="00504902">
        <w:t>issues</w:t>
      </w:r>
    </w:p>
    <w:p w14:paraId="3F16F104" w14:textId="21500323" w:rsidR="000A1AAE" w:rsidRPr="00A841AA" w:rsidRDefault="0044637E" w:rsidP="0044637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841AA">
        <w:t>84.</w:t>
      </w:r>
      <w:r w:rsidRPr="00A841AA">
        <w:tab/>
      </w:r>
      <w:r w:rsidR="000A1AAE" w:rsidRPr="00A841AA">
        <w:t>Please</w:t>
      </w:r>
      <w:r w:rsidR="00D52FD0">
        <w:t xml:space="preserve"> </w:t>
      </w:r>
      <w:r w:rsidR="000A1AAE" w:rsidRPr="00A841AA">
        <w:t>refer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input</w:t>
      </w:r>
      <w:r w:rsidR="00D52FD0">
        <w:t xml:space="preserve"> </w:t>
      </w:r>
      <w:r w:rsidR="000A1AAE" w:rsidRPr="00A841AA">
        <w:t>provided</w:t>
      </w:r>
      <w:r w:rsidR="00D52FD0">
        <w:t xml:space="preserve"> </w:t>
      </w:r>
      <w:r w:rsidR="000A1AAE" w:rsidRPr="00580559">
        <w:t>under</w:t>
      </w:r>
      <w:r w:rsidR="00D52FD0">
        <w:t xml:space="preserve"> </w:t>
      </w:r>
      <w:r w:rsidR="000A1AAE" w:rsidRPr="00580559">
        <w:t>section</w:t>
      </w:r>
      <w:r w:rsidR="00D52FD0">
        <w:t xml:space="preserve"> </w:t>
      </w:r>
      <w:r w:rsidR="000A1AAE" w:rsidRPr="00580559">
        <w:t>A</w:t>
      </w:r>
      <w:r w:rsidR="00D52FD0">
        <w:t xml:space="preserve"> </w:t>
      </w:r>
      <w:r w:rsidR="000A1AAE" w:rsidRPr="00580559">
        <w:t>on</w:t>
      </w:r>
      <w:r w:rsidR="00D52FD0">
        <w:t xml:space="preserve"> </w:t>
      </w:r>
      <w:r w:rsidR="000A1AAE" w:rsidRPr="00580559">
        <w:t>page</w:t>
      </w:r>
      <w:r w:rsidR="00D52FD0">
        <w:t xml:space="preserve"> </w:t>
      </w:r>
      <w:r w:rsidR="000A1AAE" w:rsidRPr="00580559">
        <w:t>2.</w:t>
      </w:r>
    </w:p>
    <w:p w14:paraId="6E290DED" w14:textId="5917DD12" w:rsidR="000A1AAE" w:rsidRPr="00825CCA" w:rsidRDefault="000A1AAE" w:rsidP="00EB1966">
      <w:pPr>
        <w:pStyle w:val="H1G"/>
      </w:pPr>
      <w:r>
        <w:tab/>
      </w:r>
      <w:r>
        <w:tab/>
      </w:r>
      <w:r w:rsidRPr="00825CCA">
        <w:t>National</w:t>
      </w:r>
      <w:r w:rsidR="00D52FD0">
        <w:t xml:space="preserve"> </w:t>
      </w:r>
      <w:r w:rsidRPr="00825CCA">
        <w:t>Human</w:t>
      </w:r>
      <w:r w:rsidR="00D52FD0">
        <w:t xml:space="preserve"> </w:t>
      </w:r>
      <w:r w:rsidRPr="00825CCA">
        <w:t>Rights</w:t>
      </w:r>
      <w:r w:rsidR="00D52FD0">
        <w:t xml:space="preserve"> </w:t>
      </w:r>
      <w:r w:rsidRPr="00825CCA">
        <w:t>Institution</w:t>
      </w:r>
      <w:r w:rsidR="00D52FD0">
        <w:t xml:space="preserve"> </w:t>
      </w:r>
      <w:r w:rsidRPr="00825CCA">
        <w:t>(art.</w:t>
      </w:r>
      <w:r w:rsidR="00D52FD0">
        <w:t xml:space="preserve"> </w:t>
      </w:r>
      <w:r w:rsidRPr="00825CCA">
        <w:t>2)</w:t>
      </w:r>
    </w:p>
    <w:p w14:paraId="643DBEE5" w14:textId="77777777" w:rsidR="000E4FD0" w:rsidRDefault="000A1AAE" w:rsidP="00EB1966">
      <w:pPr>
        <w:pStyle w:val="H23G"/>
      </w:pPr>
      <w:r>
        <w:tab/>
      </w:r>
      <w:r>
        <w:tab/>
      </w:r>
      <w:r w:rsidRPr="00504902">
        <w:t>Reply</w:t>
      </w:r>
      <w:r w:rsidR="00D52FD0">
        <w:t xml:space="preserve"> </w:t>
      </w:r>
      <w:r w:rsidRPr="00504902">
        <w:t>to</w:t>
      </w:r>
      <w:r w:rsidR="00D52FD0">
        <w:t xml:space="preserve"> </w:t>
      </w:r>
      <w:r w:rsidRPr="00504902">
        <w:t>paragraph</w:t>
      </w:r>
      <w:r w:rsidR="00D52FD0">
        <w:t xml:space="preserve"> </w:t>
      </w:r>
      <w:r>
        <w:t>4</w:t>
      </w:r>
      <w:r w:rsidR="00D52FD0">
        <w:t xml:space="preserve"> </w:t>
      </w:r>
      <w:r w:rsidRPr="00504902">
        <w:t>of</w:t>
      </w:r>
      <w:r w:rsidR="00D52FD0">
        <w:t xml:space="preserve"> </w:t>
      </w:r>
      <w:r w:rsidRPr="00504902">
        <w:t>the</w:t>
      </w:r>
      <w:r w:rsidR="00D52FD0">
        <w:t xml:space="preserve"> </w:t>
      </w:r>
      <w:r w:rsidRPr="00504902">
        <w:t>list</w:t>
      </w:r>
      <w:r w:rsidR="00D52FD0">
        <w:t xml:space="preserve"> </w:t>
      </w:r>
      <w:r w:rsidRPr="00504902">
        <w:t>of</w:t>
      </w:r>
      <w:r w:rsidR="00D52FD0">
        <w:t xml:space="preserve"> </w:t>
      </w:r>
      <w:r w:rsidRPr="00504902">
        <w:t>issues</w:t>
      </w:r>
    </w:p>
    <w:p w14:paraId="0BA29FEC" w14:textId="4E25F5B5" w:rsidR="000E4FD0" w:rsidRDefault="0044637E" w:rsidP="0044637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>
        <w:t>85.</w:t>
      </w:r>
      <w:r>
        <w:tab/>
      </w:r>
      <w:r w:rsidR="000A1AAE" w:rsidRPr="00A841AA">
        <w:t>Government</w:t>
      </w:r>
      <w:r w:rsidR="00D52FD0">
        <w:t xml:space="preserve"> </w:t>
      </w:r>
      <w:r w:rsidR="000A1AAE" w:rsidRPr="00A841AA">
        <w:t>has</w:t>
      </w:r>
      <w:r w:rsidR="00D52FD0">
        <w:t xml:space="preserve"> </w:t>
      </w:r>
      <w:r w:rsidR="000A1AAE" w:rsidRPr="00A841AA">
        <w:t>drafted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presented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House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Representatives</w:t>
      </w:r>
      <w:r w:rsidR="00D52FD0">
        <w:t xml:space="preserve"> </w:t>
      </w:r>
      <w:r w:rsidR="000A1AAE" w:rsidRPr="00A841AA">
        <w:t>two</w:t>
      </w:r>
      <w:r w:rsidR="00D52FD0">
        <w:t xml:space="preserve"> </w:t>
      </w:r>
      <w:r w:rsidR="000A1AAE" w:rsidRPr="00A841AA">
        <w:t>Bills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this</w:t>
      </w:r>
      <w:r w:rsidR="00D52FD0">
        <w:t xml:space="preserve"> </w:t>
      </w:r>
      <w:r w:rsidR="000A1AAE" w:rsidRPr="00A841AA">
        <w:t>respect:</w:t>
      </w:r>
      <w:r w:rsidR="00D52FD0">
        <w:t xml:space="preserve"> </w:t>
      </w:r>
      <w:r w:rsidR="000A1AAE" w:rsidRPr="00A841AA">
        <w:t>Bill</w:t>
      </w:r>
      <w:r w:rsidR="00D52FD0">
        <w:t xml:space="preserve"> </w:t>
      </w:r>
      <w:r w:rsidR="000A1AAE" w:rsidRPr="00A841AA">
        <w:t>96,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Equality</w:t>
      </w:r>
      <w:r w:rsidR="00D52FD0">
        <w:t xml:space="preserve"> </w:t>
      </w:r>
      <w:r w:rsidR="000A1AAE" w:rsidRPr="00A841AA">
        <w:t>Bill,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Bill</w:t>
      </w:r>
      <w:r w:rsidR="00D52FD0">
        <w:t xml:space="preserve"> </w:t>
      </w:r>
      <w:r w:rsidR="000A1AAE" w:rsidRPr="00A841AA">
        <w:t>97,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Human</w:t>
      </w:r>
      <w:r w:rsidR="00D52FD0">
        <w:t xml:space="preserve"> </w:t>
      </w:r>
      <w:r w:rsidR="000A1AAE" w:rsidRPr="00A841AA">
        <w:t>Rights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Equality</w:t>
      </w:r>
      <w:r w:rsidR="00D52FD0">
        <w:t xml:space="preserve"> </w:t>
      </w:r>
      <w:r w:rsidR="000A1AAE" w:rsidRPr="00A841AA">
        <w:t>Commission</w:t>
      </w:r>
      <w:r w:rsidR="00D52FD0">
        <w:t xml:space="preserve"> </w:t>
      </w:r>
      <w:r w:rsidR="000A1AAE" w:rsidRPr="00A841AA">
        <w:t>Bill.</w:t>
      </w:r>
    </w:p>
    <w:p w14:paraId="6FA1BE9E" w14:textId="2DBD31A3" w:rsidR="000E4FD0" w:rsidRDefault="0044637E" w:rsidP="0044637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>
        <w:t>86.</w:t>
      </w:r>
      <w:r>
        <w:tab/>
      </w:r>
      <w:r w:rsidR="000A1AAE" w:rsidRPr="00A841AA">
        <w:t>The</w:t>
      </w:r>
      <w:r w:rsidR="00D52FD0">
        <w:t xml:space="preserve"> </w:t>
      </w:r>
      <w:r w:rsidR="000A1AAE" w:rsidRPr="00A841AA">
        <w:t>Equality</w:t>
      </w:r>
      <w:r w:rsidR="00D52FD0">
        <w:t xml:space="preserve"> </w:t>
      </w:r>
      <w:r w:rsidR="000A1AAE" w:rsidRPr="00A841AA">
        <w:t>Bill</w:t>
      </w:r>
      <w:r w:rsidR="00D52FD0">
        <w:t xml:space="preserve"> </w:t>
      </w:r>
      <w:r w:rsidR="000A1AAE" w:rsidRPr="00A841AA">
        <w:t>strengthens</w:t>
      </w:r>
      <w:r w:rsidR="00D52FD0">
        <w:t xml:space="preserve"> </w:t>
      </w:r>
      <w:r w:rsidR="000A1AAE" w:rsidRPr="00A841AA">
        <w:t>Malta</w:t>
      </w:r>
      <w:r w:rsidR="00F14DA3">
        <w:t>’</w:t>
      </w:r>
      <w:r w:rsidR="000A1AAE" w:rsidRPr="00A841AA">
        <w:t>s</w:t>
      </w:r>
      <w:r w:rsidR="00D52FD0">
        <w:t xml:space="preserve"> </w:t>
      </w:r>
      <w:r w:rsidR="000A1AAE" w:rsidRPr="00A841AA">
        <w:t>anti-discrimination</w:t>
      </w:r>
      <w:r w:rsidR="00D52FD0">
        <w:t xml:space="preserve"> </w:t>
      </w:r>
      <w:r w:rsidR="000A1AAE" w:rsidRPr="00A841AA">
        <w:t>legal</w:t>
      </w:r>
      <w:r w:rsidR="00D52FD0">
        <w:t xml:space="preserve"> </w:t>
      </w:r>
      <w:r w:rsidR="000A1AAE" w:rsidRPr="00A841AA">
        <w:t>framework</w:t>
      </w:r>
      <w:r w:rsidR="00D52FD0">
        <w:t xml:space="preserve"> </w:t>
      </w:r>
      <w:r w:rsidR="000A1AAE" w:rsidRPr="00A841AA">
        <w:t>by</w:t>
      </w:r>
      <w:r w:rsidR="00D52FD0">
        <w:t xml:space="preserve"> </w:t>
      </w:r>
      <w:r w:rsidR="000A1AAE" w:rsidRPr="00A841AA">
        <w:t>consolidating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elevating</w:t>
      </w:r>
      <w:r w:rsidR="00D52FD0">
        <w:t xml:space="preserve"> </w:t>
      </w:r>
      <w:r w:rsidR="000A1AAE" w:rsidRPr="00A841AA">
        <w:t>equality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non-discrimination</w:t>
      </w:r>
      <w:r w:rsidR="00D52FD0">
        <w:t xml:space="preserve"> </w:t>
      </w:r>
      <w:r w:rsidR="000A1AAE" w:rsidRPr="00A841AA">
        <w:t>provisions,</w:t>
      </w:r>
      <w:r w:rsidR="00D52FD0">
        <w:t xml:space="preserve"> </w:t>
      </w:r>
      <w:r w:rsidR="000A1AAE" w:rsidRPr="00A841AA">
        <w:t>which</w:t>
      </w:r>
      <w:r w:rsidR="00D52FD0">
        <w:t xml:space="preserve"> </w:t>
      </w:r>
      <w:r w:rsidR="000A1AAE" w:rsidRPr="00A841AA">
        <w:t>are</w:t>
      </w:r>
      <w:r w:rsidR="00D52FD0">
        <w:t xml:space="preserve"> </w:t>
      </w:r>
      <w:r w:rsidR="000A1AAE" w:rsidRPr="00A841AA">
        <w:t>presently</w:t>
      </w:r>
      <w:r w:rsidR="00D52FD0">
        <w:t xml:space="preserve"> </w:t>
      </w:r>
      <w:r w:rsidR="000A1AAE" w:rsidRPr="00A841AA">
        <w:t>applied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a</w:t>
      </w:r>
      <w:r w:rsidR="00D52FD0">
        <w:t xml:space="preserve"> </w:t>
      </w:r>
      <w:r w:rsidR="000A1AAE" w:rsidRPr="00A841AA">
        <w:t>piecemeal</w:t>
      </w:r>
      <w:r w:rsidR="00D52FD0">
        <w:t xml:space="preserve"> </w:t>
      </w:r>
      <w:r w:rsidR="000A1AAE" w:rsidRPr="00A841AA">
        <w:t>manner.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Bill</w:t>
      </w:r>
      <w:r w:rsidR="00D52FD0">
        <w:t xml:space="preserve"> </w:t>
      </w:r>
      <w:r w:rsidR="000A1AAE" w:rsidRPr="00A841AA">
        <w:t>also</w:t>
      </w:r>
      <w:r w:rsidR="00D52FD0">
        <w:t xml:space="preserve"> </w:t>
      </w:r>
      <w:r w:rsidR="000A1AAE" w:rsidRPr="00A841AA">
        <w:t>brings</w:t>
      </w:r>
      <w:r w:rsidR="00D52FD0">
        <w:t xml:space="preserve"> </w:t>
      </w:r>
      <w:r w:rsidR="000A1AAE" w:rsidRPr="00A841AA">
        <w:t>together</w:t>
      </w:r>
      <w:r w:rsidR="00D52FD0">
        <w:t xml:space="preserve"> </w:t>
      </w:r>
      <w:r w:rsidR="000A1AAE" w:rsidRPr="00A841AA">
        <w:t>all</w:t>
      </w:r>
      <w:r w:rsidR="00D52FD0">
        <w:t xml:space="preserve"> </w:t>
      </w:r>
      <w:r w:rsidR="000A1AAE" w:rsidRPr="00A841AA">
        <w:t>protected</w:t>
      </w:r>
      <w:r w:rsidR="00D52FD0">
        <w:t xml:space="preserve"> </w:t>
      </w:r>
      <w:r w:rsidR="000A1AAE" w:rsidRPr="00A841AA">
        <w:t>characteristics</w:t>
      </w:r>
      <w:r w:rsidR="00D52FD0">
        <w:t xml:space="preserve"> </w:t>
      </w:r>
      <w:r w:rsidR="000A1AAE" w:rsidRPr="00A841AA">
        <w:t>currently</w:t>
      </w:r>
      <w:r w:rsidR="00D52FD0">
        <w:t xml:space="preserve"> </w:t>
      </w:r>
      <w:r w:rsidR="000A1AAE" w:rsidRPr="00A841AA">
        <w:t>protected</w:t>
      </w:r>
      <w:r w:rsidR="00D52FD0">
        <w:t xml:space="preserve"> </w:t>
      </w:r>
      <w:r w:rsidR="000A1AAE" w:rsidRPr="00A841AA">
        <w:t>by</w:t>
      </w:r>
      <w:r w:rsidR="00D52FD0">
        <w:t xml:space="preserve"> </w:t>
      </w:r>
      <w:r w:rsidR="000A1AAE" w:rsidRPr="00A841AA">
        <w:t>local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international</w:t>
      </w:r>
      <w:r w:rsidR="00D52FD0">
        <w:t xml:space="preserve"> </w:t>
      </w:r>
      <w:r w:rsidR="000A1AAE" w:rsidRPr="00A841AA">
        <w:t>law,</w:t>
      </w:r>
      <w:r w:rsidR="00D52FD0">
        <w:t xml:space="preserve"> </w:t>
      </w:r>
      <w:r w:rsidR="000A1AAE" w:rsidRPr="00A841AA">
        <w:t>defines</w:t>
      </w:r>
      <w:r w:rsidR="00D52FD0">
        <w:t xml:space="preserve"> </w:t>
      </w:r>
      <w:r w:rsidR="000A1AAE" w:rsidRPr="00A841AA">
        <w:t>discrimination</w:t>
      </w:r>
      <w:r w:rsidR="00D52FD0">
        <w:t xml:space="preserve"> </w:t>
      </w:r>
      <w:r w:rsidR="000A1AAE" w:rsidRPr="00A841AA">
        <w:t>widely,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secures</w:t>
      </w:r>
      <w:r w:rsidR="00D52FD0">
        <w:t xml:space="preserve"> </w:t>
      </w:r>
      <w:r w:rsidR="000A1AAE" w:rsidRPr="00A841AA">
        <w:t>protection</w:t>
      </w:r>
      <w:r w:rsidR="00D52FD0">
        <w:t xml:space="preserve"> </w:t>
      </w:r>
      <w:r w:rsidR="000A1AAE" w:rsidRPr="00A841AA">
        <w:t>from</w:t>
      </w:r>
      <w:r w:rsidR="00D52FD0">
        <w:t xml:space="preserve"> </w:t>
      </w:r>
      <w:r w:rsidR="000A1AAE" w:rsidRPr="00A841AA">
        <w:t>discrimination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all</w:t>
      </w:r>
      <w:r w:rsidR="00D52FD0">
        <w:t xml:space="preserve"> </w:t>
      </w:r>
      <w:r w:rsidR="000A1AAE" w:rsidRPr="00A841AA">
        <w:t>spheres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life.</w:t>
      </w:r>
    </w:p>
    <w:p w14:paraId="36DC958F" w14:textId="445C8DEA" w:rsidR="000E4FD0" w:rsidRDefault="0044637E" w:rsidP="0044637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>
        <w:t>87.</w:t>
      </w:r>
      <w:r>
        <w:tab/>
      </w:r>
      <w:r w:rsidR="000A1AAE" w:rsidRPr="00A841AA">
        <w:t>The</w:t>
      </w:r>
      <w:r w:rsidR="00D52FD0">
        <w:t xml:space="preserve"> </w:t>
      </w:r>
      <w:r w:rsidR="000A1AAE" w:rsidRPr="00A841AA">
        <w:t>Human</w:t>
      </w:r>
      <w:r w:rsidR="00D52FD0">
        <w:t xml:space="preserve"> </w:t>
      </w:r>
      <w:r w:rsidR="000A1AAE" w:rsidRPr="00A841AA">
        <w:t>Rights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Equality</w:t>
      </w:r>
      <w:r w:rsidR="00D52FD0">
        <w:t xml:space="preserve"> </w:t>
      </w:r>
      <w:r w:rsidR="000A1AAE" w:rsidRPr="00A841AA">
        <w:t>Commission</w:t>
      </w:r>
      <w:r w:rsidR="00D52FD0">
        <w:t xml:space="preserve"> </w:t>
      </w:r>
      <w:r w:rsidR="000A1AAE" w:rsidRPr="00A841AA">
        <w:t>Bill</w:t>
      </w:r>
      <w:r w:rsidR="00D52FD0">
        <w:t xml:space="preserve"> </w:t>
      </w:r>
      <w:r w:rsidR="000A1AAE" w:rsidRPr="00A841AA">
        <w:t>establishes</w:t>
      </w:r>
      <w:r w:rsidR="00D52FD0">
        <w:t xml:space="preserve"> </w:t>
      </w:r>
      <w:r w:rsidR="000A1AAE" w:rsidRPr="00A841AA">
        <w:t>Malta</w:t>
      </w:r>
      <w:r w:rsidR="00F14DA3">
        <w:t>’</w:t>
      </w:r>
      <w:r w:rsidR="000A1AAE" w:rsidRPr="00A841AA">
        <w:t>s</w:t>
      </w:r>
      <w:r w:rsidR="00D52FD0">
        <w:t xml:space="preserve"> </w:t>
      </w:r>
      <w:r w:rsidR="000A1AAE" w:rsidRPr="00A841AA">
        <w:t>first</w:t>
      </w:r>
      <w:r w:rsidR="00D52FD0">
        <w:t xml:space="preserve"> </w:t>
      </w:r>
      <w:r w:rsidR="000A1AAE" w:rsidRPr="00A841AA">
        <w:t>National</w:t>
      </w:r>
      <w:r w:rsidR="00D52FD0">
        <w:t xml:space="preserve"> </w:t>
      </w:r>
      <w:r w:rsidR="000A1AAE" w:rsidRPr="00A841AA">
        <w:t>Human</w:t>
      </w:r>
      <w:r w:rsidR="00D52FD0">
        <w:t xml:space="preserve"> </w:t>
      </w:r>
      <w:r w:rsidR="000A1AAE" w:rsidRPr="00A841AA">
        <w:t>Rights</w:t>
      </w:r>
      <w:r w:rsidR="00D52FD0">
        <w:t xml:space="preserve"> </w:t>
      </w:r>
      <w:r w:rsidR="000A1AAE" w:rsidRPr="00A841AA">
        <w:t>Institution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full</w:t>
      </w:r>
      <w:r w:rsidR="00D52FD0">
        <w:t xml:space="preserve"> </w:t>
      </w:r>
      <w:r w:rsidR="000A1AAE" w:rsidRPr="00A841AA">
        <w:t>accordance</w:t>
      </w:r>
      <w:r w:rsidR="00D52FD0">
        <w:t xml:space="preserve"> </w:t>
      </w:r>
      <w:r w:rsidR="000A1AAE" w:rsidRPr="00A841AA">
        <w:t>with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Paris</w:t>
      </w:r>
      <w:r w:rsidR="00D52FD0">
        <w:t xml:space="preserve"> </w:t>
      </w:r>
      <w:r w:rsidR="000A1AAE" w:rsidRPr="00A841AA">
        <w:t>Principles.</w:t>
      </w:r>
    </w:p>
    <w:p w14:paraId="2C35DF69" w14:textId="046F7EB5" w:rsidR="000A1AAE" w:rsidRPr="00A841AA" w:rsidRDefault="0044637E" w:rsidP="0044637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841AA">
        <w:t>88.</w:t>
      </w:r>
      <w:r w:rsidRPr="00A841AA">
        <w:tab/>
      </w:r>
      <w:r w:rsidR="000A1AAE" w:rsidRPr="00A841AA">
        <w:t>With</w:t>
      </w:r>
      <w:r w:rsidR="00D52FD0">
        <w:t xml:space="preserve"> </w:t>
      </w:r>
      <w:r w:rsidR="000A1AAE" w:rsidRPr="00A841AA">
        <w:t>respect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Equality</w:t>
      </w:r>
      <w:r w:rsidR="00D52FD0">
        <w:t xml:space="preserve"> </w:t>
      </w:r>
      <w:r w:rsidR="000A1AAE" w:rsidRPr="00A841AA">
        <w:t>Bill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Human</w:t>
      </w:r>
      <w:r w:rsidR="00D52FD0">
        <w:t xml:space="preserve"> </w:t>
      </w:r>
      <w:r w:rsidR="000A1AAE" w:rsidRPr="00A841AA">
        <w:t>Rights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Equality</w:t>
      </w:r>
      <w:r w:rsidR="00D52FD0">
        <w:t xml:space="preserve"> </w:t>
      </w:r>
      <w:r w:rsidR="000A1AAE" w:rsidRPr="00A841AA">
        <w:t>Commission</w:t>
      </w:r>
      <w:r w:rsidR="00D52FD0">
        <w:t xml:space="preserve"> </w:t>
      </w:r>
      <w:r w:rsidR="000A1AAE" w:rsidRPr="00A841AA">
        <w:t>Bill,</w:t>
      </w:r>
      <w:r w:rsidR="00D52FD0">
        <w:t xml:space="preserve"> </w:t>
      </w:r>
      <w:r w:rsidR="000A1AAE" w:rsidRPr="00A841AA">
        <w:t>three</w:t>
      </w:r>
      <w:r w:rsidR="00D52FD0">
        <w:t xml:space="preserve"> </w:t>
      </w:r>
      <w:r w:rsidR="000A1AAE" w:rsidRPr="00A841AA">
        <w:t>public</w:t>
      </w:r>
      <w:r w:rsidR="00D52FD0">
        <w:t xml:space="preserve"> </w:t>
      </w:r>
      <w:r w:rsidR="000A1AAE" w:rsidRPr="00A841AA">
        <w:t>consultations</w:t>
      </w:r>
      <w:r w:rsidR="00D52FD0">
        <w:t xml:space="preserve"> </w:t>
      </w:r>
      <w:r w:rsidR="000A1AAE" w:rsidRPr="00A841AA">
        <w:t>were</w:t>
      </w:r>
      <w:r w:rsidR="00D52FD0">
        <w:t xml:space="preserve"> </w:t>
      </w:r>
      <w:r w:rsidR="000A1AAE" w:rsidRPr="00A841AA">
        <w:t>carried</w:t>
      </w:r>
      <w:r w:rsidR="00D52FD0">
        <w:t xml:space="preserve"> </w:t>
      </w:r>
      <w:r w:rsidR="000A1AAE" w:rsidRPr="00A841AA">
        <w:t>out.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Scoping</w:t>
      </w:r>
      <w:r w:rsidR="00D52FD0">
        <w:t xml:space="preserve"> </w:t>
      </w:r>
      <w:r w:rsidR="000A1AAE" w:rsidRPr="00A841AA">
        <w:t>Consultation</w:t>
      </w:r>
      <w:r w:rsidR="00D52FD0">
        <w:t xml:space="preserve"> </w:t>
      </w:r>
      <w:r w:rsidR="000A1AAE" w:rsidRPr="00A841AA">
        <w:t>was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first</w:t>
      </w:r>
      <w:r w:rsidR="00D52FD0">
        <w:t xml:space="preserve"> </w:t>
      </w:r>
      <w:r w:rsidR="000A1AAE" w:rsidRPr="00A841AA">
        <w:t>public</w:t>
      </w:r>
      <w:r w:rsidR="00D52FD0">
        <w:t xml:space="preserve"> </w:t>
      </w:r>
      <w:r w:rsidR="000A1AAE" w:rsidRPr="00A841AA">
        <w:t>consultation,</w:t>
      </w:r>
      <w:r w:rsidR="00D52FD0">
        <w:t xml:space="preserve"> </w:t>
      </w:r>
      <w:r w:rsidR="000A1AAE" w:rsidRPr="00A841AA">
        <w:t>followed</w:t>
      </w:r>
      <w:r w:rsidR="00D52FD0">
        <w:t xml:space="preserve"> </w:t>
      </w:r>
      <w:r w:rsidR="000A1AAE" w:rsidRPr="00A841AA">
        <w:t>by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White</w:t>
      </w:r>
      <w:r w:rsidR="00D52FD0">
        <w:t xml:space="preserve"> </w:t>
      </w:r>
      <w:r w:rsidR="000A1AAE" w:rsidRPr="00A841AA">
        <w:t>Paper</w:t>
      </w:r>
      <w:r w:rsidR="00D52FD0">
        <w:t xml:space="preserve"> </w:t>
      </w:r>
      <w:r w:rsidR="000A1AAE" w:rsidRPr="00A841AA">
        <w:t>Consultation</w:t>
      </w:r>
      <w:r w:rsidR="00D52FD0">
        <w:t xml:space="preserve"> </w:t>
      </w:r>
      <w:r w:rsidR="000A1AAE" w:rsidRPr="00A841AA">
        <w:t>through</w:t>
      </w:r>
      <w:r w:rsidR="00D52FD0">
        <w:t xml:space="preserve"> </w:t>
      </w:r>
      <w:r w:rsidR="000A1AAE" w:rsidRPr="00A841AA">
        <w:t>which</w:t>
      </w:r>
      <w:r w:rsidR="00D52FD0">
        <w:t xml:space="preserve"> </w:t>
      </w:r>
      <w:r w:rsidR="000A1AAE" w:rsidRPr="00A841AA">
        <w:t>two</w:t>
      </w:r>
      <w:r w:rsidR="00D52FD0">
        <w:t xml:space="preserve"> </w:t>
      </w:r>
      <w:r w:rsidR="000A1AAE" w:rsidRPr="00A841AA">
        <w:t>legislative</w:t>
      </w:r>
      <w:r w:rsidR="00D52FD0">
        <w:t xml:space="preserve"> </w:t>
      </w:r>
      <w:r w:rsidR="000A1AAE" w:rsidRPr="00A841AA">
        <w:t>initiatives</w:t>
      </w:r>
      <w:r w:rsidR="00D52FD0">
        <w:t xml:space="preserve"> </w:t>
      </w:r>
      <w:r w:rsidR="000A1AAE" w:rsidRPr="00A841AA">
        <w:t>were</w:t>
      </w:r>
      <w:r w:rsidR="00D52FD0">
        <w:t xml:space="preserve"> </w:t>
      </w:r>
      <w:r w:rsidR="000A1AAE" w:rsidRPr="00A841AA">
        <w:t>launched</w:t>
      </w:r>
      <w:r w:rsidR="00D52FD0">
        <w:t xml:space="preserve"> </w:t>
      </w:r>
      <w:r w:rsidR="000A1AAE" w:rsidRPr="00A841AA">
        <w:t>–</w:t>
      </w:r>
      <w:r w:rsidR="00D52FD0">
        <w:t xml:space="preserve"> </w:t>
      </w:r>
      <w:r w:rsidR="000A1AAE" w:rsidRPr="00A841AA">
        <w:t>a</w:t>
      </w:r>
      <w:r w:rsidR="00D52FD0">
        <w:t xml:space="preserve"> </w:t>
      </w:r>
      <w:r w:rsidR="000A1AAE" w:rsidRPr="00A841AA">
        <w:t>Bill</w:t>
      </w:r>
      <w:r w:rsidR="00D52FD0">
        <w:t xml:space="preserve"> </w:t>
      </w:r>
      <w:r w:rsidR="000A1AAE" w:rsidRPr="00A841AA">
        <w:t>towards</w:t>
      </w:r>
      <w:r w:rsidR="00D52FD0">
        <w:t xml:space="preserve"> </w:t>
      </w:r>
      <w:r w:rsidR="000A1AAE" w:rsidRPr="00A841AA">
        <w:t>an</w:t>
      </w:r>
      <w:r w:rsidR="00D52FD0">
        <w:t xml:space="preserve"> </w:t>
      </w:r>
      <w:r w:rsidR="000A1AAE" w:rsidRPr="00A841AA">
        <w:t>Equality</w:t>
      </w:r>
      <w:r w:rsidR="00D52FD0">
        <w:t xml:space="preserve"> </w:t>
      </w:r>
      <w:r w:rsidR="000A1AAE" w:rsidRPr="00A841AA">
        <w:t>Act</w:t>
      </w:r>
      <w:r w:rsidR="00D52FD0">
        <w:t xml:space="preserve"> </w:t>
      </w:r>
      <w:r w:rsidR="000A1AAE" w:rsidRPr="00A841AA">
        <w:t>aimed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meet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highest</w:t>
      </w:r>
      <w:r w:rsidR="00D52FD0">
        <w:t xml:space="preserve"> </w:t>
      </w:r>
      <w:r w:rsidR="000A1AAE" w:rsidRPr="00A841AA">
        <w:t>anti-discrimination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equality</w:t>
      </w:r>
      <w:r w:rsidR="00D52FD0">
        <w:t xml:space="preserve"> </w:t>
      </w:r>
      <w:r w:rsidR="000A1AAE" w:rsidRPr="00A841AA">
        <w:t>standards,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a</w:t>
      </w:r>
      <w:r w:rsidR="00D52FD0">
        <w:t xml:space="preserve"> </w:t>
      </w:r>
      <w:r w:rsidR="000A1AAE" w:rsidRPr="00A841AA">
        <w:t>Bill</w:t>
      </w:r>
      <w:r w:rsidR="00D52FD0">
        <w:t xml:space="preserve"> </w:t>
      </w:r>
      <w:r w:rsidR="000A1AAE" w:rsidRPr="00A841AA">
        <w:t>towards</w:t>
      </w:r>
      <w:r w:rsidR="00D52FD0">
        <w:t xml:space="preserve"> </w:t>
      </w:r>
      <w:r w:rsidR="000A1AAE" w:rsidRPr="00A841AA">
        <w:t>a</w:t>
      </w:r>
      <w:r w:rsidR="00D52FD0">
        <w:t xml:space="preserve"> </w:t>
      </w:r>
      <w:r w:rsidR="000A1AAE" w:rsidRPr="00A841AA">
        <w:t>Human</w:t>
      </w:r>
      <w:r w:rsidR="00D52FD0">
        <w:t xml:space="preserve"> </w:t>
      </w:r>
      <w:r w:rsidR="000A1AAE" w:rsidRPr="00A841AA">
        <w:t>Rights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Equality</w:t>
      </w:r>
      <w:r w:rsidR="00D52FD0">
        <w:t xml:space="preserve"> </w:t>
      </w:r>
      <w:r w:rsidR="000A1AAE" w:rsidRPr="00A841AA">
        <w:t>Commission</w:t>
      </w:r>
      <w:r w:rsidR="00D52FD0">
        <w:t xml:space="preserve"> </w:t>
      </w:r>
      <w:r w:rsidR="000A1AAE" w:rsidRPr="00A841AA">
        <w:t>Act</w:t>
      </w:r>
      <w:r w:rsidR="00D52FD0">
        <w:t xml:space="preserve"> </w:t>
      </w:r>
      <w:r w:rsidR="000A1AAE" w:rsidRPr="00A841AA">
        <w:t>that</w:t>
      </w:r>
      <w:r w:rsidR="00D52FD0">
        <w:t xml:space="preserve"> </w:t>
      </w:r>
      <w:r w:rsidR="000A1AAE" w:rsidRPr="00A841AA">
        <w:t>will</w:t>
      </w:r>
      <w:r w:rsidR="00D52FD0">
        <w:t xml:space="preserve"> </w:t>
      </w:r>
      <w:r w:rsidR="000A1AAE" w:rsidRPr="00A841AA">
        <w:t>set</w:t>
      </w:r>
      <w:r w:rsidR="00D52FD0">
        <w:t xml:space="preserve"> </w:t>
      </w:r>
      <w:r w:rsidR="000A1AAE" w:rsidRPr="00A841AA">
        <w:t>up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Commission.</w:t>
      </w:r>
      <w:r w:rsidR="00D52FD0">
        <w:t xml:space="preserve"> </w:t>
      </w:r>
      <w:r w:rsidR="000A1AAE" w:rsidRPr="00A841AA">
        <w:t>Moreover,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last</w:t>
      </w:r>
      <w:r w:rsidR="00D52FD0">
        <w:t xml:space="preserve"> </w:t>
      </w:r>
      <w:r w:rsidR="000A1AAE" w:rsidRPr="00A841AA">
        <w:t>public</w:t>
      </w:r>
      <w:r w:rsidR="00D52FD0">
        <w:t xml:space="preserve"> </w:t>
      </w:r>
      <w:r w:rsidR="000A1AAE" w:rsidRPr="00A841AA">
        <w:t>consultation</w:t>
      </w:r>
      <w:r w:rsidR="00D52FD0">
        <w:t xml:space="preserve"> </w:t>
      </w:r>
      <w:r w:rsidR="000A1AAE" w:rsidRPr="00A841AA">
        <w:t>on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aforementioned</w:t>
      </w:r>
      <w:r w:rsidR="00D52FD0">
        <w:t xml:space="preserve"> </w:t>
      </w:r>
      <w:r w:rsidR="000A1AAE" w:rsidRPr="00A841AA">
        <w:t>Bills</w:t>
      </w:r>
      <w:r w:rsidR="00D52FD0">
        <w:t xml:space="preserve"> </w:t>
      </w:r>
      <w:r w:rsidR="000A1AAE" w:rsidRPr="00A841AA">
        <w:t>was</w:t>
      </w:r>
      <w:r w:rsidR="00D52FD0">
        <w:t xml:space="preserve"> </w:t>
      </w:r>
      <w:r w:rsidR="000A1AAE" w:rsidRPr="00A841AA">
        <w:t>carried</w:t>
      </w:r>
      <w:r w:rsidR="00D52FD0">
        <w:t xml:space="preserve"> </w:t>
      </w:r>
      <w:r w:rsidR="000A1AAE" w:rsidRPr="00A841AA">
        <w:t>out</w:t>
      </w:r>
      <w:r w:rsidR="00D52FD0">
        <w:t xml:space="preserve"> </w:t>
      </w:r>
      <w:r w:rsidR="000A1AAE" w:rsidRPr="00A841AA">
        <w:t>prior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their</w:t>
      </w:r>
      <w:r w:rsidR="00D52FD0">
        <w:t xml:space="preserve"> </w:t>
      </w:r>
      <w:r w:rsidR="000A1AAE" w:rsidRPr="00A841AA">
        <w:t>presentation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Parliament</w:t>
      </w:r>
      <w:r w:rsidR="00D52FD0">
        <w:t xml:space="preserve"> </w:t>
      </w:r>
      <w:r w:rsidR="000A1AAE" w:rsidRPr="00A841AA">
        <w:t>for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first</w:t>
      </w:r>
      <w:r w:rsidR="00D52FD0">
        <w:t xml:space="preserve"> </w:t>
      </w:r>
      <w:r w:rsidR="000A1AAE" w:rsidRPr="00A841AA">
        <w:t>reading.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scope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latter</w:t>
      </w:r>
      <w:r w:rsidR="00D52FD0">
        <w:t xml:space="preserve"> </w:t>
      </w:r>
      <w:r w:rsidR="000A1AAE" w:rsidRPr="00A841AA">
        <w:t>consultations</w:t>
      </w:r>
      <w:r w:rsidR="00D52FD0">
        <w:t xml:space="preserve"> </w:t>
      </w:r>
      <w:r w:rsidR="000A1AAE" w:rsidRPr="00A841AA">
        <w:t>was</w:t>
      </w:r>
      <w:r w:rsidR="00D52FD0">
        <w:t xml:space="preserve"> </w:t>
      </w:r>
      <w:r w:rsidR="000A1AAE" w:rsidRPr="00A841AA">
        <w:t>that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encouraging</w:t>
      </w:r>
      <w:r w:rsidR="00D52FD0">
        <w:t xml:space="preserve"> </w:t>
      </w:r>
      <w:r w:rsidR="000A1AAE" w:rsidRPr="00A841AA">
        <w:t>input</w:t>
      </w:r>
      <w:r w:rsidR="00D52FD0">
        <w:t xml:space="preserve"> </w:t>
      </w:r>
      <w:r w:rsidR="000A1AAE" w:rsidRPr="00A841AA">
        <w:t>on</w:t>
      </w:r>
      <w:r w:rsidR="00D52FD0">
        <w:t xml:space="preserve"> </w:t>
      </w:r>
      <w:r w:rsidR="000A1AAE" w:rsidRPr="00A841AA">
        <w:t>any</w:t>
      </w:r>
      <w:r w:rsidR="00D52FD0">
        <w:t xml:space="preserve"> </w:t>
      </w:r>
      <w:r w:rsidR="000A1AAE" w:rsidRPr="00A841AA">
        <w:t>issues</w:t>
      </w:r>
      <w:r w:rsidR="00D52FD0">
        <w:t xml:space="preserve"> </w:t>
      </w:r>
      <w:r w:rsidR="000A1AAE" w:rsidRPr="00A841AA">
        <w:t>with</w:t>
      </w:r>
      <w:r w:rsidR="00D52FD0">
        <w:t xml:space="preserve"> </w:t>
      </w:r>
      <w:r w:rsidR="000A1AAE" w:rsidRPr="00A841AA">
        <w:t>respect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Articles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any</w:t>
      </w:r>
      <w:r w:rsidR="00D52FD0">
        <w:t xml:space="preserve"> </w:t>
      </w:r>
      <w:r w:rsidR="000A1AAE" w:rsidRPr="00A841AA">
        <w:t>one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Bills,</w:t>
      </w:r>
      <w:r w:rsidR="00D52FD0">
        <w:t xml:space="preserve"> </w:t>
      </w:r>
      <w:r w:rsidR="000A1AAE" w:rsidRPr="00A841AA">
        <w:t>alongside</w:t>
      </w:r>
      <w:r w:rsidR="00D52FD0">
        <w:t xml:space="preserve"> </w:t>
      </w:r>
      <w:r w:rsidR="000A1AAE" w:rsidRPr="00A841AA">
        <w:t>comments</w:t>
      </w:r>
      <w:r w:rsidR="00D52FD0">
        <w:t xml:space="preserve"> </w:t>
      </w:r>
      <w:r w:rsidR="000A1AAE" w:rsidRPr="00A841AA">
        <w:t>on</w:t>
      </w:r>
      <w:r w:rsidR="00D52FD0">
        <w:t xml:space="preserve"> </w:t>
      </w:r>
      <w:r w:rsidR="000A1AAE" w:rsidRPr="00A841AA">
        <w:t>what</w:t>
      </w:r>
      <w:r w:rsidR="00D52FD0">
        <w:t xml:space="preserve"> </w:t>
      </w:r>
      <w:r w:rsidR="000A1AAE" w:rsidRPr="00A841AA">
        <w:t>needs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be</w:t>
      </w:r>
      <w:r w:rsidR="00D52FD0">
        <w:t xml:space="preserve"> </w:t>
      </w:r>
      <w:r w:rsidR="000A1AAE" w:rsidRPr="00A841AA">
        <w:t>added</w:t>
      </w:r>
      <w:r w:rsidR="00D52FD0">
        <w:t xml:space="preserve"> </w:t>
      </w:r>
      <w:r w:rsidR="000A1AAE" w:rsidRPr="00A841AA">
        <w:t>and/or</w:t>
      </w:r>
      <w:r w:rsidR="00D52FD0">
        <w:t xml:space="preserve"> </w:t>
      </w:r>
      <w:r w:rsidR="000A1AAE" w:rsidRPr="00A841AA">
        <w:t>removed;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voicing</w:t>
      </w:r>
      <w:r w:rsidR="00D52FD0">
        <w:t xml:space="preserve"> </w:t>
      </w:r>
      <w:r w:rsidR="000A1AAE" w:rsidRPr="00A841AA">
        <w:t>any</w:t>
      </w:r>
      <w:r w:rsidR="00D52FD0">
        <w:t xml:space="preserve"> </w:t>
      </w:r>
      <w:r w:rsidR="000A1AAE" w:rsidRPr="00A841AA">
        <w:t>concerns</w:t>
      </w:r>
      <w:r w:rsidR="00D52FD0">
        <w:t xml:space="preserve"> </w:t>
      </w:r>
      <w:r w:rsidR="000A1AAE" w:rsidRPr="00A841AA">
        <w:t>on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Bills,</w:t>
      </w:r>
      <w:r w:rsidR="00D52FD0">
        <w:t xml:space="preserve"> </w:t>
      </w:r>
      <w:r w:rsidR="000A1AAE" w:rsidRPr="00A841AA">
        <w:t>while</w:t>
      </w:r>
      <w:r w:rsidR="00D52FD0">
        <w:t xml:space="preserve"> </w:t>
      </w:r>
      <w:r w:rsidR="000A1AAE" w:rsidRPr="00A841AA">
        <w:t>subsequently</w:t>
      </w:r>
      <w:r w:rsidR="00D52FD0">
        <w:t xml:space="preserve"> </w:t>
      </w:r>
      <w:r w:rsidR="000A1AAE" w:rsidRPr="00A841AA">
        <w:t>providing</w:t>
      </w:r>
      <w:r w:rsidR="00D52FD0">
        <w:t xml:space="preserve"> </w:t>
      </w:r>
      <w:r w:rsidR="000A1AAE" w:rsidRPr="00A841AA">
        <w:t>concise</w:t>
      </w:r>
      <w:r w:rsidR="00D52FD0">
        <w:t xml:space="preserve"> </w:t>
      </w:r>
      <w:r w:rsidR="000A1AAE" w:rsidRPr="00A841AA">
        <w:t>explanations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alternate</w:t>
      </w:r>
      <w:r w:rsidR="00D52FD0">
        <w:t xml:space="preserve"> </w:t>
      </w:r>
      <w:r w:rsidR="000A1AAE" w:rsidRPr="00A841AA">
        <w:t>proposals.</w:t>
      </w:r>
    </w:p>
    <w:p w14:paraId="29C89BAF" w14:textId="4C16094C" w:rsidR="000A1AAE" w:rsidRPr="00A841AA" w:rsidRDefault="0044637E" w:rsidP="0044637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841AA">
        <w:t>89.</w:t>
      </w:r>
      <w:r w:rsidRPr="00A841AA">
        <w:tab/>
      </w:r>
      <w:r w:rsidR="000A1AAE" w:rsidRPr="00A841AA">
        <w:t>Alongside</w:t>
      </w:r>
      <w:r w:rsidR="00D52FD0">
        <w:t xml:space="preserve"> </w:t>
      </w:r>
      <w:r w:rsidR="000A1AAE" w:rsidRPr="00A841AA">
        <w:t>public</w:t>
      </w:r>
      <w:r w:rsidR="00D52FD0">
        <w:t xml:space="preserve"> </w:t>
      </w:r>
      <w:r w:rsidR="000A1AAE" w:rsidRPr="00A841AA">
        <w:t>consultations,</w:t>
      </w:r>
      <w:r w:rsidR="00D52FD0">
        <w:t xml:space="preserve"> </w:t>
      </w:r>
      <w:r w:rsidR="000A1AAE" w:rsidRPr="00A841AA">
        <w:t>a</w:t>
      </w:r>
      <w:r w:rsidR="00D52FD0">
        <w:t xml:space="preserve"> </w:t>
      </w:r>
      <w:r w:rsidR="000A1AAE" w:rsidRPr="00A841AA">
        <w:t>stakeholder</w:t>
      </w:r>
      <w:r w:rsidR="00D52FD0">
        <w:t xml:space="preserve"> </w:t>
      </w:r>
      <w:r w:rsidR="000A1AAE" w:rsidRPr="00A841AA">
        <w:t>consultation</w:t>
      </w:r>
      <w:r w:rsidR="00D52FD0">
        <w:t xml:space="preserve"> </w:t>
      </w:r>
      <w:r w:rsidR="000A1AAE" w:rsidRPr="00A841AA">
        <w:t>was</w:t>
      </w:r>
      <w:r w:rsidR="00D52FD0">
        <w:t xml:space="preserve"> </w:t>
      </w:r>
      <w:r w:rsidR="000A1AAE" w:rsidRPr="00A841AA">
        <w:t>also</w:t>
      </w:r>
      <w:r w:rsidR="00D52FD0">
        <w:t xml:space="preserve"> </w:t>
      </w:r>
      <w:r w:rsidR="000A1AAE" w:rsidRPr="00A841AA">
        <w:t>carried</w:t>
      </w:r>
      <w:r w:rsidR="00D52FD0">
        <w:t xml:space="preserve"> </w:t>
      </w:r>
      <w:r w:rsidR="000A1AAE" w:rsidRPr="00A841AA">
        <w:t>out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which</w:t>
      </w:r>
      <w:r w:rsidR="00D52FD0">
        <w:t xml:space="preserve"> </w:t>
      </w:r>
      <w:r w:rsidR="000A1AAE" w:rsidRPr="00A841AA">
        <w:t>international</w:t>
      </w:r>
      <w:r w:rsidR="00D52FD0">
        <w:t xml:space="preserve"> </w:t>
      </w:r>
      <w:r w:rsidR="000A1AAE" w:rsidRPr="00A841AA">
        <w:t>experts,</w:t>
      </w:r>
      <w:r w:rsidR="00D52FD0">
        <w:t xml:space="preserve"> </w:t>
      </w:r>
      <w:r w:rsidR="000A1AAE" w:rsidRPr="00A841AA">
        <w:t>social</w:t>
      </w:r>
      <w:r w:rsidR="00D52FD0">
        <w:t xml:space="preserve"> </w:t>
      </w:r>
      <w:r w:rsidR="000A1AAE" w:rsidRPr="00A841AA">
        <w:t>partners,</w:t>
      </w:r>
      <w:r w:rsidR="00D52FD0">
        <w:t xml:space="preserve"> </w:t>
      </w:r>
      <w:r w:rsidR="000A1AAE" w:rsidRPr="00A841AA">
        <w:t>government</w:t>
      </w:r>
      <w:r w:rsidR="00D52FD0">
        <w:t xml:space="preserve"> </w:t>
      </w:r>
      <w:r w:rsidR="000A1AAE" w:rsidRPr="00A841AA">
        <w:t>institutions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civil</w:t>
      </w:r>
      <w:r w:rsidR="00D52FD0">
        <w:t xml:space="preserve"> </w:t>
      </w:r>
      <w:r w:rsidR="000A1AAE" w:rsidRPr="00A841AA">
        <w:t>society</w:t>
      </w:r>
      <w:r w:rsidR="00D52FD0">
        <w:t xml:space="preserve"> </w:t>
      </w:r>
      <w:r w:rsidR="000A1AAE" w:rsidRPr="00A841AA">
        <w:t>participated</w:t>
      </w:r>
      <w:r w:rsidR="00D52FD0">
        <w:t xml:space="preserve"> </w:t>
      </w:r>
      <w:r w:rsidR="000A1AAE" w:rsidRPr="00A841AA">
        <w:t>accordingly.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scope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this</w:t>
      </w:r>
      <w:r w:rsidR="00D52FD0">
        <w:t xml:space="preserve"> </w:t>
      </w:r>
      <w:r w:rsidR="000A1AAE" w:rsidRPr="00A841AA">
        <w:t>consultation</w:t>
      </w:r>
      <w:r w:rsidR="00D52FD0">
        <w:t xml:space="preserve"> </w:t>
      </w:r>
      <w:r w:rsidR="000A1AAE" w:rsidRPr="00A841AA">
        <w:t>was</w:t>
      </w:r>
      <w:r w:rsidR="00D52FD0">
        <w:t xml:space="preserve"> </w:t>
      </w:r>
      <w:r w:rsidR="000A1AAE" w:rsidRPr="00A841AA">
        <w:t>that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developing</w:t>
      </w:r>
      <w:r w:rsidR="00D52FD0">
        <w:t xml:space="preserve"> </w:t>
      </w:r>
      <w:r w:rsidR="000A1AAE" w:rsidRPr="00A841AA">
        <w:t>a</w:t>
      </w:r>
      <w:r w:rsidR="00D52FD0">
        <w:t xml:space="preserve"> </w:t>
      </w:r>
      <w:r w:rsidR="000A1AAE" w:rsidRPr="00A841AA">
        <w:t>robust</w:t>
      </w:r>
      <w:r w:rsidR="00D52FD0">
        <w:t xml:space="preserve"> </w:t>
      </w:r>
      <w:r w:rsidR="000A1AAE" w:rsidRPr="00A841AA">
        <w:t>legal</w:t>
      </w:r>
      <w:r w:rsidR="00D52FD0">
        <w:t xml:space="preserve"> </w:t>
      </w:r>
      <w:r w:rsidR="000A1AAE" w:rsidRPr="00A841AA">
        <w:lastRenderedPageBreak/>
        <w:t>framework,</w:t>
      </w:r>
      <w:r w:rsidR="00D52FD0">
        <w:t xml:space="preserve"> </w:t>
      </w:r>
      <w:r w:rsidR="000A1AAE" w:rsidRPr="00A841AA">
        <w:t>which</w:t>
      </w:r>
      <w:r w:rsidR="00D52FD0">
        <w:t xml:space="preserve"> </w:t>
      </w:r>
      <w:r w:rsidR="000A1AAE" w:rsidRPr="00A841AA">
        <w:t>ensures</w:t>
      </w:r>
      <w:r w:rsidR="00D52FD0">
        <w:t xml:space="preserve"> </w:t>
      </w:r>
      <w:r w:rsidR="000A1AAE" w:rsidRPr="00A841AA">
        <w:t>effective</w:t>
      </w:r>
      <w:r w:rsidR="00D52FD0">
        <w:t xml:space="preserve"> </w:t>
      </w:r>
      <w:r w:rsidR="000A1AAE" w:rsidRPr="00A841AA">
        <w:t>protection</w:t>
      </w:r>
      <w:r w:rsidR="00D52FD0">
        <w:t xml:space="preserve"> </w:t>
      </w:r>
      <w:r w:rsidR="000A1AAE" w:rsidRPr="00A841AA">
        <w:t>from</w:t>
      </w:r>
      <w:r w:rsidR="00D52FD0">
        <w:t xml:space="preserve"> </w:t>
      </w:r>
      <w:r w:rsidR="000A1AAE" w:rsidRPr="00A841AA">
        <w:t>discrimination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equality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all</w:t>
      </w:r>
      <w:r w:rsidR="00D52FD0">
        <w:t xml:space="preserve"> </w:t>
      </w:r>
      <w:r w:rsidR="000A1AAE" w:rsidRPr="00A841AA">
        <w:t>spheres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life.</w:t>
      </w:r>
    </w:p>
    <w:p w14:paraId="10094891" w14:textId="1B41F30D" w:rsidR="000A1AAE" w:rsidRPr="00A841AA" w:rsidRDefault="0044637E" w:rsidP="0044637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841AA">
        <w:t>90.</w:t>
      </w:r>
      <w:r w:rsidRPr="00A841AA">
        <w:tab/>
      </w:r>
      <w:r w:rsidR="000A1AAE" w:rsidRPr="00A841AA">
        <w:t>The</w:t>
      </w:r>
      <w:r w:rsidR="00D52FD0">
        <w:t xml:space="preserve"> </w:t>
      </w:r>
      <w:r w:rsidR="000A1AAE" w:rsidRPr="00A841AA">
        <w:t>Equality</w:t>
      </w:r>
      <w:r w:rsidR="00D52FD0">
        <w:t xml:space="preserve"> </w:t>
      </w:r>
      <w:r w:rsidR="000A1AAE" w:rsidRPr="00A841AA">
        <w:t>Bill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Human</w:t>
      </w:r>
      <w:r w:rsidR="00D52FD0">
        <w:t xml:space="preserve"> </w:t>
      </w:r>
      <w:r w:rsidR="000A1AAE" w:rsidRPr="00A841AA">
        <w:t>Rights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Equality</w:t>
      </w:r>
      <w:r w:rsidR="00D52FD0">
        <w:t xml:space="preserve"> </w:t>
      </w:r>
      <w:r w:rsidR="000A1AAE" w:rsidRPr="00A841AA">
        <w:t>Commission</w:t>
      </w:r>
      <w:r w:rsidR="00D52FD0">
        <w:t xml:space="preserve"> </w:t>
      </w:r>
      <w:r w:rsidR="000A1AAE" w:rsidRPr="00A841AA">
        <w:t>Bill</w:t>
      </w:r>
      <w:r w:rsidR="00D52FD0">
        <w:t xml:space="preserve"> </w:t>
      </w:r>
      <w:r w:rsidR="000A1AAE" w:rsidRPr="00A841AA">
        <w:t>are</w:t>
      </w:r>
      <w:r w:rsidR="00D52FD0">
        <w:t xml:space="preserve"> </w:t>
      </w:r>
      <w:r w:rsidR="000A1AAE" w:rsidRPr="00A841AA">
        <w:t>currently</w:t>
      </w:r>
      <w:r w:rsidR="00D52FD0">
        <w:t xml:space="preserve"> </w:t>
      </w:r>
      <w:r w:rsidR="000A1AAE" w:rsidRPr="00A841AA">
        <w:t>at</w:t>
      </w:r>
      <w:r w:rsidR="00D52FD0">
        <w:t xml:space="preserve"> </w:t>
      </w:r>
      <w:r w:rsidR="000A1AAE" w:rsidRPr="00A841AA">
        <w:t>Committee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awaiting</w:t>
      </w:r>
      <w:r w:rsidR="00D52FD0">
        <w:t xml:space="preserve"> </w:t>
      </w:r>
      <w:r w:rsidR="000A1AAE" w:rsidRPr="00A841AA">
        <w:t>Committee</w:t>
      </w:r>
      <w:r w:rsidR="00D52FD0">
        <w:t xml:space="preserve"> </w:t>
      </w:r>
      <w:r w:rsidR="000A1AAE" w:rsidRPr="00A841AA">
        <w:t>stage,</w:t>
      </w:r>
      <w:r w:rsidR="00D52FD0">
        <w:t xml:space="preserve"> </w:t>
      </w:r>
      <w:r w:rsidR="000A1AAE" w:rsidRPr="00A841AA">
        <w:t>respectively.</w:t>
      </w:r>
    </w:p>
    <w:p w14:paraId="4F319ACC" w14:textId="790AB84B" w:rsidR="000A1AAE" w:rsidRPr="00825CCA" w:rsidRDefault="000A1AAE" w:rsidP="005E3E76">
      <w:pPr>
        <w:pStyle w:val="H1G"/>
      </w:pPr>
      <w:r>
        <w:tab/>
      </w:r>
      <w:r>
        <w:tab/>
      </w:r>
      <w:r w:rsidRPr="00825CCA">
        <w:t>Anti-corruption</w:t>
      </w:r>
      <w:r w:rsidR="00D52FD0">
        <w:t xml:space="preserve"> </w:t>
      </w:r>
      <w:r w:rsidRPr="00825CCA">
        <w:t>measures</w:t>
      </w:r>
      <w:r w:rsidR="00D52FD0">
        <w:t xml:space="preserve"> </w:t>
      </w:r>
      <w:r w:rsidRPr="00825CCA">
        <w:t>(arts.</w:t>
      </w:r>
      <w:r w:rsidR="00D52FD0">
        <w:t xml:space="preserve"> </w:t>
      </w:r>
      <w:r w:rsidRPr="00825CCA">
        <w:t>2</w:t>
      </w:r>
      <w:r w:rsidR="00D52FD0">
        <w:t xml:space="preserve"> </w:t>
      </w:r>
      <w:r w:rsidRPr="00825CCA">
        <w:t>and</w:t>
      </w:r>
      <w:r w:rsidR="00D52FD0">
        <w:t xml:space="preserve"> </w:t>
      </w:r>
      <w:r w:rsidRPr="00825CCA">
        <w:t>25)</w:t>
      </w:r>
    </w:p>
    <w:p w14:paraId="3D0C5FD2" w14:textId="0358C3BF" w:rsidR="000A1AAE" w:rsidRDefault="000A1AAE" w:rsidP="005E3E76">
      <w:pPr>
        <w:pStyle w:val="H23G"/>
        <w:rPr>
          <w:rFonts w:eastAsia="Calibri"/>
        </w:rPr>
      </w:pPr>
      <w:r>
        <w:tab/>
      </w:r>
      <w:r>
        <w:tab/>
      </w:r>
      <w:r w:rsidRPr="00504902">
        <w:t>Reply</w:t>
      </w:r>
      <w:r w:rsidR="00D52FD0">
        <w:t xml:space="preserve"> </w:t>
      </w:r>
      <w:r w:rsidRPr="00504902">
        <w:t>to</w:t>
      </w:r>
      <w:r w:rsidR="00D52FD0">
        <w:t xml:space="preserve"> </w:t>
      </w:r>
      <w:r w:rsidRPr="00504902">
        <w:t>paragraph</w:t>
      </w:r>
      <w:r w:rsidR="00D52FD0">
        <w:t xml:space="preserve"> </w:t>
      </w:r>
      <w:r>
        <w:t>5</w:t>
      </w:r>
      <w:r w:rsidR="00D52FD0">
        <w:t xml:space="preserve"> </w:t>
      </w:r>
      <w:r w:rsidRPr="00504902">
        <w:t>of</w:t>
      </w:r>
      <w:r w:rsidR="00D52FD0">
        <w:t xml:space="preserve"> </w:t>
      </w:r>
      <w:r w:rsidRPr="00504902">
        <w:t>the</w:t>
      </w:r>
      <w:r w:rsidR="00D52FD0">
        <w:t xml:space="preserve"> </w:t>
      </w:r>
      <w:r w:rsidRPr="00504902">
        <w:t>list</w:t>
      </w:r>
      <w:r w:rsidR="00D52FD0">
        <w:t xml:space="preserve"> </w:t>
      </w:r>
      <w:r w:rsidRPr="00504902">
        <w:t>of</w:t>
      </w:r>
      <w:r w:rsidR="00D52FD0">
        <w:t xml:space="preserve"> </w:t>
      </w:r>
      <w:r w:rsidRPr="00504902">
        <w:t>issues</w:t>
      </w:r>
    </w:p>
    <w:p w14:paraId="2604776D" w14:textId="5B74648A" w:rsidR="000E4FD0" w:rsidRDefault="0044637E" w:rsidP="0044637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>
        <w:t>91.</w:t>
      </w:r>
      <w:r>
        <w:tab/>
      </w:r>
      <w:r w:rsidR="000A1AAE" w:rsidRPr="00A841AA">
        <w:t>A</w:t>
      </w:r>
      <w:r w:rsidR="00D52FD0">
        <w:t xml:space="preserve"> </w:t>
      </w:r>
      <w:r w:rsidR="000A1AAE" w:rsidRPr="00A841AA">
        <w:t>financial</w:t>
      </w:r>
      <w:r w:rsidR="00D52FD0">
        <w:t xml:space="preserve"> </w:t>
      </w:r>
      <w:r w:rsidR="000A1AAE" w:rsidRPr="00A841AA">
        <w:t>crime</w:t>
      </w:r>
      <w:r w:rsidR="00D52FD0">
        <w:t xml:space="preserve"> </w:t>
      </w:r>
      <w:r w:rsidR="000A1AAE" w:rsidRPr="00A841AA">
        <w:t>investigation</w:t>
      </w:r>
      <w:r w:rsidR="00D52FD0">
        <w:t xml:space="preserve"> </w:t>
      </w:r>
      <w:r w:rsidR="000A1AAE" w:rsidRPr="00A841AA">
        <w:t>department</w:t>
      </w:r>
      <w:r w:rsidR="00D52FD0">
        <w:t xml:space="preserve"> </w:t>
      </w:r>
      <w:r w:rsidR="000A1AAE" w:rsidRPr="00A841AA">
        <w:t>was</w:t>
      </w:r>
      <w:r w:rsidR="00D52FD0">
        <w:t xml:space="preserve"> </w:t>
      </w:r>
      <w:r w:rsidR="000A1AAE" w:rsidRPr="00A841AA">
        <w:t>set</w:t>
      </w:r>
      <w:r w:rsidR="00D52FD0">
        <w:t xml:space="preserve"> </w:t>
      </w:r>
      <w:r w:rsidR="000A1AAE" w:rsidRPr="00A841AA">
        <w:t>up</w:t>
      </w:r>
      <w:r w:rsidR="00D52FD0">
        <w:t xml:space="preserve"> </w:t>
      </w:r>
      <w:r w:rsidR="000A1AAE" w:rsidRPr="00A841AA">
        <w:t>within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Police</w:t>
      </w:r>
      <w:r w:rsidR="00D52FD0">
        <w:t xml:space="preserve"> </w:t>
      </w:r>
      <w:r w:rsidR="000A1AAE" w:rsidRPr="00A841AA">
        <w:t>Force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extensive</w:t>
      </w:r>
      <w:r w:rsidR="00D52FD0">
        <w:t xml:space="preserve"> </w:t>
      </w:r>
      <w:r w:rsidR="000A1AAE" w:rsidRPr="00A841AA">
        <w:t>recruitment</w:t>
      </w:r>
      <w:r w:rsidR="00D52FD0">
        <w:t xml:space="preserve"> </w:t>
      </w:r>
      <w:r w:rsidR="000A1AAE" w:rsidRPr="00A841AA">
        <w:t>took</w:t>
      </w:r>
      <w:r w:rsidR="00D52FD0">
        <w:t xml:space="preserve"> </w:t>
      </w:r>
      <w:r w:rsidR="000A1AAE" w:rsidRPr="00A841AA">
        <w:t>place</w:t>
      </w:r>
      <w:r w:rsidR="00D52FD0">
        <w:t xml:space="preserve"> </w:t>
      </w:r>
      <w:r w:rsidR="000A1AAE" w:rsidRPr="00A841AA">
        <w:t>during</w:t>
      </w:r>
      <w:r w:rsidR="00D52FD0">
        <w:t xml:space="preserve"> </w:t>
      </w:r>
      <w:r w:rsidR="000A1AAE" w:rsidRPr="00A841AA">
        <w:t>2020.</w:t>
      </w:r>
    </w:p>
    <w:p w14:paraId="02140EF0" w14:textId="3D78B995" w:rsidR="000A1AAE" w:rsidRPr="00A841AA" w:rsidRDefault="0044637E" w:rsidP="0044637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841AA">
        <w:t>92.</w:t>
      </w:r>
      <w:r w:rsidRPr="00A841AA">
        <w:tab/>
      </w:r>
      <w:r w:rsidR="000A1AAE" w:rsidRPr="00A841AA">
        <w:t>With</w:t>
      </w:r>
      <w:r w:rsidR="00D52FD0">
        <w:t xml:space="preserve"> </w:t>
      </w:r>
      <w:r w:rsidR="000A1AAE" w:rsidRPr="00A841AA">
        <w:t>effect</w:t>
      </w:r>
      <w:r w:rsidR="00D52FD0">
        <w:t xml:space="preserve"> </w:t>
      </w:r>
      <w:r w:rsidR="000A1AAE" w:rsidRPr="00A841AA">
        <w:t>from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18th</w:t>
      </w:r>
      <w:r w:rsidR="00D52FD0">
        <w:t xml:space="preserve"> </w:t>
      </w:r>
      <w:r w:rsidR="000A1AAE" w:rsidRPr="00A841AA">
        <w:t>December</w:t>
      </w:r>
      <w:r w:rsidR="00D52FD0">
        <w:t xml:space="preserve"> </w:t>
      </w:r>
      <w:r w:rsidR="000A1AAE" w:rsidRPr="00A841AA">
        <w:t>2019,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Office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Attorney</w:t>
      </w:r>
      <w:r w:rsidR="00D52FD0">
        <w:t xml:space="preserve"> </w:t>
      </w:r>
      <w:r w:rsidR="000A1AAE" w:rsidRPr="00A841AA">
        <w:t>General</w:t>
      </w:r>
      <w:r w:rsidR="00D52FD0">
        <w:t xml:space="preserve"> </w:t>
      </w:r>
      <w:r w:rsidR="000A1AAE" w:rsidRPr="00A841AA">
        <w:t>became</w:t>
      </w:r>
      <w:r w:rsidR="00D52FD0">
        <w:t xml:space="preserve"> </w:t>
      </w:r>
      <w:r w:rsidR="000A1AAE" w:rsidRPr="00A841AA">
        <w:t>an</w:t>
      </w:r>
      <w:r w:rsidR="00D52FD0">
        <w:t xml:space="preserve"> </w:t>
      </w:r>
      <w:r w:rsidR="000A1AAE" w:rsidRPr="00A841AA">
        <w:t>exclusive</w:t>
      </w:r>
      <w:r w:rsidR="00D52FD0">
        <w:t xml:space="preserve"> </w:t>
      </w:r>
      <w:r w:rsidR="000A1AAE" w:rsidRPr="00A841AA">
        <w:t>prosecutorial</w:t>
      </w:r>
      <w:r w:rsidR="00D52FD0">
        <w:t xml:space="preserve"> </w:t>
      </w:r>
      <w:r w:rsidR="000A1AAE" w:rsidRPr="00A841AA">
        <w:t>service</w:t>
      </w:r>
      <w:r w:rsidR="00D52FD0">
        <w:t xml:space="preserve"> </w:t>
      </w:r>
      <w:r w:rsidR="000A1AAE" w:rsidRPr="00A841AA">
        <w:t>(with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advisory</w:t>
      </w:r>
      <w:r w:rsidR="00D52FD0">
        <w:t xml:space="preserve"> </w:t>
      </w:r>
      <w:r w:rsidR="000A1AAE" w:rsidRPr="00A841AA">
        <w:t>role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Attorney</w:t>
      </w:r>
      <w:r w:rsidR="00D52FD0">
        <w:t xml:space="preserve"> </w:t>
      </w:r>
      <w:r w:rsidR="000A1AAE" w:rsidRPr="00A841AA">
        <w:t>General</w:t>
      </w:r>
      <w:r w:rsidR="00D52FD0">
        <w:t xml:space="preserve"> </w:t>
      </w:r>
      <w:r w:rsidR="000A1AAE" w:rsidRPr="00A841AA">
        <w:t>entrusted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State</w:t>
      </w:r>
      <w:r w:rsidR="00D52FD0">
        <w:t xml:space="preserve"> </w:t>
      </w:r>
      <w:r w:rsidR="000A1AAE" w:rsidRPr="00A841AA">
        <w:t>Advocate).</w:t>
      </w:r>
      <w:r w:rsidR="00D52FD0">
        <w:t xml:space="preserve"> </w:t>
      </w:r>
      <w:r w:rsidR="000A1AAE" w:rsidRPr="00A841AA">
        <w:t>Extensive</w:t>
      </w:r>
      <w:r w:rsidR="00D52FD0">
        <w:t xml:space="preserve"> </w:t>
      </w:r>
      <w:r w:rsidR="000A1AAE" w:rsidRPr="00A841AA">
        <w:t>recruitment</w:t>
      </w:r>
      <w:r w:rsidR="00D52FD0">
        <w:t xml:space="preserve"> </w:t>
      </w:r>
      <w:r w:rsidR="000A1AAE" w:rsidRPr="00A841AA">
        <w:t>took</w:t>
      </w:r>
      <w:r w:rsidR="00D52FD0">
        <w:t xml:space="preserve"> </w:t>
      </w:r>
      <w:r w:rsidR="000A1AAE" w:rsidRPr="00A841AA">
        <w:t>place</w:t>
      </w:r>
      <w:r w:rsidR="00D52FD0">
        <w:t xml:space="preserve"> </w:t>
      </w:r>
      <w:r w:rsidR="000A1AAE" w:rsidRPr="00A841AA">
        <w:t>within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Office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Attorney</w:t>
      </w:r>
      <w:r w:rsidR="00D52FD0">
        <w:t xml:space="preserve"> </w:t>
      </w:r>
      <w:r w:rsidR="000A1AAE" w:rsidRPr="00A841AA">
        <w:t>General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2020</w:t>
      </w:r>
      <w:r w:rsidR="00D52FD0">
        <w:t xml:space="preserve"> </w:t>
      </w:r>
      <w:r w:rsidR="000A1AAE" w:rsidRPr="00A841AA">
        <w:t>with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number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prosecutors</w:t>
      </w:r>
      <w:r w:rsidR="00D52FD0">
        <w:t xml:space="preserve"> </w:t>
      </w:r>
      <w:r w:rsidR="000A1AAE" w:rsidRPr="00A841AA">
        <w:t>increasing</w:t>
      </w:r>
      <w:r w:rsidR="00D52FD0">
        <w:t xml:space="preserve"> </w:t>
      </w:r>
      <w:r w:rsidR="000A1AAE" w:rsidRPr="00A841AA">
        <w:t>from</w:t>
      </w:r>
      <w:r w:rsidR="00D52FD0">
        <w:t xml:space="preserve"> </w:t>
      </w:r>
      <w:r w:rsidR="000A1AAE" w:rsidRPr="00A841AA">
        <w:t>16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33.</w:t>
      </w:r>
      <w:r w:rsidR="00D52FD0">
        <w:t xml:space="preserve"> </w:t>
      </w:r>
      <w:r w:rsidR="000A1AAE" w:rsidRPr="00A841AA">
        <w:t>This</w:t>
      </w:r>
      <w:r w:rsidR="00D52FD0">
        <w:t xml:space="preserve"> </w:t>
      </w:r>
      <w:r w:rsidR="000A1AAE" w:rsidRPr="00A841AA">
        <w:t>led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taking</w:t>
      </w:r>
      <w:r w:rsidR="00D52FD0">
        <w:t xml:space="preserve"> </w:t>
      </w:r>
      <w:r w:rsidR="000A1AAE" w:rsidRPr="00A841AA">
        <w:t>over</w:t>
      </w:r>
      <w:r w:rsidR="00D52FD0">
        <w:t xml:space="preserve"> </w:t>
      </w:r>
      <w:r w:rsidR="000A1AAE" w:rsidRPr="00A841AA">
        <w:t>from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Police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decision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prosecute</w:t>
      </w:r>
      <w:r w:rsidR="00D52FD0">
        <w:t xml:space="preserve"> </w:t>
      </w:r>
      <w:r w:rsidR="000A1AAE" w:rsidRPr="00A841AA">
        <w:t>by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Attorney</w:t>
      </w:r>
      <w:r w:rsidR="00D52FD0">
        <w:t xml:space="preserve"> </w:t>
      </w:r>
      <w:r w:rsidR="000A1AAE" w:rsidRPr="00A841AA">
        <w:t>General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serious</w:t>
      </w:r>
      <w:r w:rsidR="00D52FD0">
        <w:t xml:space="preserve"> </w:t>
      </w:r>
      <w:r w:rsidR="000A1AAE" w:rsidRPr="00A841AA">
        <w:t>offences</w:t>
      </w:r>
      <w:r w:rsidR="00D52FD0">
        <w:t xml:space="preserve"> </w:t>
      </w:r>
      <w:r w:rsidR="000A1AAE" w:rsidRPr="00A841AA">
        <w:t>such</w:t>
      </w:r>
      <w:r w:rsidR="00D52FD0">
        <w:t xml:space="preserve"> </w:t>
      </w:r>
      <w:r w:rsidR="000A1AAE" w:rsidRPr="00A841AA">
        <w:t>as</w:t>
      </w:r>
      <w:r w:rsidR="00D52FD0">
        <w:t xml:space="preserve"> </w:t>
      </w:r>
      <w:r w:rsidR="000A1AAE" w:rsidRPr="00A841AA">
        <w:t>corruption,</w:t>
      </w:r>
      <w:r w:rsidR="00D52FD0">
        <w:t xml:space="preserve"> </w:t>
      </w:r>
      <w:r w:rsidR="000A1AAE" w:rsidRPr="00A841AA">
        <w:t>money</w:t>
      </w:r>
      <w:r w:rsidR="00D52FD0">
        <w:t xml:space="preserve"> </w:t>
      </w:r>
      <w:r w:rsidR="000A1AAE" w:rsidRPr="00A841AA">
        <w:t>laundering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wilful</w:t>
      </w:r>
      <w:r w:rsidR="00D52FD0">
        <w:t xml:space="preserve"> </w:t>
      </w:r>
      <w:r w:rsidR="000A1AAE" w:rsidRPr="00A841AA">
        <w:t>homicide</w:t>
      </w:r>
      <w:r w:rsidR="00D52FD0">
        <w:t xml:space="preserve"> </w:t>
      </w:r>
      <w:r w:rsidR="000A1AAE" w:rsidRPr="00A841AA">
        <w:t>cases.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Office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Attorney</w:t>
      </w:r>
      <w:r w:rsidR="00D52FD0">
        <w:t xml:space="preserve"> </w:t>
      </w:r>
      <w:r w:rsidR="000A1AAE" w:rsidRPr="00A841AA">
        <w:t>General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Police</w:t>
      </w:r>
      <w:r w:rsidR="00D52FD0">
        <w:t xml:space="preserve"> </w:t>
      </w:r>
      <w:r w:rsidR="000A1AAE" w:rsidRPr="00A841AA">
        <w:t>concluded</w:t>
      </w:r>
      <w:r w:rsidR="00D52FD0">
        <w:t xml:space="preserve"> </w:t>
      </w:r>
      <w:r w:rsidR="000A1AAE" w:rsidRPr="00A841AA">
        <w:t>Standard</w:t>
      </w:r>
      <w:r w:rsidR="00D52FD0">
        <w:t xml:space="preserve"> </w:t>
      </w:r>
      <w:r w:rsidR="000A1AAE" w:rsidRPr="00A841AA">
        <w:t>Operating</w:t>
      </w:r>
      <w:r w:rsidR="00D52FD0">
        <w:t xml:space="preserve"> </w:t>
      </w:r>
      <w:r w:rsidR="000A1AAE" w:rsidRPr="00A841AA">
        <w:t>Procedures</w:t>
      </w:r>
      <w:r w:rsidR="00D52FD0">
        <w:t xml:space="preserve"> </w:t>
      </w:r>
      <w:r w:rsidR="000A1AAE" w:rsidRPr="00A841AA">
        <w:t>(SOPs)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guarantee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smooth</w:t>
      </w:r>
      <w:r w:rsidR="00D52FD0">
        <w:t xml:space="preserve"> </w:t>
      </w:r>
      <w:r w:rsidR="000A1AAE" w:rsidRPr="00A841AA">
        <w:t>transition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prosecutorial</w:t>
      </w:r>
      <w:r w:rsidR="00D52FD0">
        <w:t xml:space="preserve"> </w:t>
      </w:r>
      <w:r w:rsidR="000A1AAE" w:rsidRPr="00A841AA">
        <w:t>duties</w:t>
      </w:r>
      <w:r w:rsidR="00D52FD0">
        <w:t xml:space="preserve"> </w:t>
      </w:r>
      <w:r w:rsidR="000A1AAE" w:rsidRPr="00A841AA">
        <w:t>that</w:t>
      </w:r>
      <w:r w:rsidR="00D52FD0">
        <w:t xml:space="preserve"> </w:t>
      </w:r>
      <w:r w:rsidR="000A1AAE" w:rsidRPr="00A841AA">
        <w:t>are</w:t>
      </w:r>
      <w:r w:rsidR="00D52FD0">
        <w:t xml:space="preserve"> </w:t>
      </w:r>
      <w:r w:rsidR="000A1AAE" w:rsidRPr="00A841AA">
        <w:t>entrusted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prosecutors</w:t>
      </w:r>
      <w:r w:rsidR="00D52FD0">
        <w:t xml:space="preserve"> </w:t>
      </w:r>
      <w:r w:rsidR="000A1AAE" w:rsidRPr="00A841AA">
        <w:t>at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Office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Attorney</w:t>
      </w:r>
      <w:r w:rsidR="00D52FD0">
        <w:t xml:space="preserve"> </w:t>
      </w:r>
      <w:r w:rsidR="000A1AAE" w:rsidRPr="00A841AA">
        <w:t>General.</w:t>
      </w:r>
      <w:r w:rsidR="00D52FD0">
        <w:t xml:space="preserve"> </w:t>
      </w:r>
      <w:r w:rsidR="000A1AAE" w:rsidRPr="00A841AA">
        <w:t>From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1st</w:t>
      </w:r>
      <w:r w:rsidR="00D52FD0">
        <w:t xml:space="preserve"> </w:t>
      </w:r>
      <w:r w:rsidR="000A1AAE" w:rsidRPr="00A841AA">
        <w:t>October</w:t>
      </w:r>
      <w:r w:rsidR="00D52FD0">
        <w:t xml:space="preserve"> </w:t>
      </w:r>
      <w:r w:rsidR="000A1AAE" w:rsidRPr="00A841AA">
        <w:t>2020</w:t>
      </w:r>
      <w:r w:rsidR="00D52FD0">
        <w:t xml:space="preserve"> </w:t>
      </w:r>
      <w:r w:rsidR="000A1AAE" w:rsidRPr="00A841AA">
        <w:t>(when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Attorney</w:t>
      </w:r>
      <w:r w:rsidR="00D52FD0">
        <w:t xml:space="preserve"> </w:t>
      </w:r>
      <w:r w:rsidR="000A1AAE" w:rsidRPr="00A841AA">
        <w:t>General</w:t>
      </w:r>
      <w:r w:rsidR="00D52FD0">
        <w:t xml:space="preserve"> </w:t>
      </w:r>
      <w:r w:rsidR="000A1AAE" w:rsidRPr="00A841AA">
        <w:t>took</w:t>
      </w:r>
      <w:r w:rsidR="00D52FD0">
        <w:t xml:space="preserve"> </w:t>
      </w:r>
      <w:r w:rsidR="000A1AAE" w:rsidRPr="00A841AA">
        <w:t>over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decision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prosecute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prosecutions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serious</w:t>
      </w:r>
      <w:r w:rsidR="00D52FD0">
        <w:t xml:space="preserve"> </w:t>
      </w:r>
      <w:r w:rsidR="000A1AAE" w:rsidRPr="00A841AA">
        <w:t>offences)</w:t>
      </w:r>
      <w:r w:rsidR="00D52FD0">
        <w:t xml:space="preserve"> </w:t>
      </w:r>
      <w:r w:rsidR="000A1AAE" w:rsidRPr="00A841AA">
        <w:t>until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14th</w:t>
      </w:r>
      <w:r w:rsidR="00D52FD0">
        <w:t xml:space="preserve"> </w:t>
      </w:r>
      <w:r w:rsidR="000A1AAE" w:rsidRPr="00A841AA">
        <w:t>May</w:t>
      </w:r>
      <w:r w:rsidR="00D52FD0">
        <w:t xml:space="preserve"> </w:t>
      </w:r>
      <w:r w:rsidR="000A1AAE" w:rsidRPr="00A841AA">
        <w:t>2021,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Office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Attorney</w:t>
      </w:r>
      <w:r w:rsidR="00D52FD0">
        <w:t xml:space="preserve"> </w:t>
      </w:r>
      <w:r w:rsidR="000A1AAE" w:rsidRPr="00A841AA">
        <w:t>General</w:t>
      </w:r>
      <w:r w:rsidR="00D52FD0">
        <w:t xml:space="preserve"> </w:t>
      </w:r>
      <w:r w:rsidR="000A1AAE" w:rsidRPr="00A841AA">
        <w:t>instituted</w:t>
      </w:r>
      <w:r w:rsidR="00D52FD0">
        <w:t xml:space="preserve"> </w:t>
      </w:r>
      <w:r w:rsidR="000A1AAE" w:rsidRPr="00A841AA">
        <w:t>32</w:t>
      </w:r>
      <w:r w:rsidR="00D52FD0">
        <w:t xml:space="preserve"> </w:t>
      </w:r>
      <w:r w:rsidR="000A1AAE" w:rsidRPr="00A841AA">
        <w:t>prosecutions</w:t>
      </w:r>
      <w:r w:rsidR="00D52FD0">
        <w:t xml:space="preserve"> </w:t>
      </w:r>
      <w:r w:rsidR="000A1AAE" w:rsidRPr="00A841AA">
        <w:t>24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which</w:t>
      </w:r>
      <w:r w:rsidR="00D52FD0">
        <w:t xml:space="preserve"> </w:t>
      </w:r>
      <w:r w:rsidR="000A1AAE" w:rsidRPr="00A841AA">
        <w:t>related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money</w:t>
      </w:r>
      <w:r w:rsidR="00D52FD0">
        <w:t xml:space="preserve"> </w:t>
      </w:r>
      <w:r w:rsidR="000A1AAE" w:rsidRPr="00A841AA">
        <w:t>laundering</w:t>
      </w:r>
      <w:r w:rsidR="00D52FD0">
        <w:t xml:space="preserve"> </w:t>
      </w:r>
      <w:r w:rsidR="000A1AAE" w:rsidRPr="00A841AA">
        <w:t>offences,</w:t>
      </w:r>
      <w:r w:rsidR="00D52FD0">
        <w:t xml:space="preserve"> </w:t>
      </w:r>
      <w:r w:rsidR="000A1AAE" w:rsidRPr="00A841AA">
        <w:t>3</w:t>
      </w:r>
      <w:r w:rsidR="00D52FD0">
        <w:t xml:space="preserve"> </w:t>
      </w:r>
      <w:r w:rsidR="000A1AAE" w:rsidRPr="00A841AA">
        <w:t>relating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wilful</w:t>
      </w:r>
      <w:r w:rsidR="00D52FD0">
        <w:t xml:space="preserve"> </w:t>
      </w:r>
      <w:r w:rsidR="000A1AAE" w:rsidRPr="00A841AA">
        <w:t>homicide,</w:t>
      </w:r>
      <w:r w:rsidR="00D52FD0">
        <w:t xml:space="preserve"> </w:t>
      </w:r>
      <w:r w:rsidR="000A1AAE" w:rsidRPr="00A841AA">
        <w:t>4</w:t>
      </w:r>
      <w:r w:rsidR="00D52FD0">
        <w:t xml:space="preserve"> </w:t>
      </w:r>
      <w:r w:rsidR="000A1AAE" w:rsidRPr="00A841AA">
        <w:t>relating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attempted</w:t>
      </w:r>
      <w:r w:rsidR="00D52FD0">
        <w:t xml:space="preserve"> </w:t>
      </w:r>
      <w:r w:rsidR="000A1AAE" w:rsidRPr="00A841AA">
        <w:t>homicide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1</w:t>
      </w:r>
      <w:r w:rsidR="00D52FD0">
        <w:t xml:space="preserve"> </w:t>
      </w:r>
      <w:r w:rsidR="000A1AAE" w:rsidRPr="00A841AA">
        <w:t>relating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attempted</w:t>
      </w:r>
      <w:r w:rsidR="00D52FD0">
        <w:t xml:space="preserve"> </w:t>
      </w:r>
      <w:r w:rsidR="000A1AAE" w:rsidRPr="00A841AA">
        <w:t>bribery.</w:t>
      </w:r>
      <w:r w:rsidR="00D52FD0">
        <w:t xml:space="preserve"> </w:t>
      </w:r>
      <w:r w:rsidR="000A1AAE" w:rsidRPr="00A841AA">
        <w:t>Amongst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persons</w:t>
      </w:r>
      <w:r w:rsidR="00D52FD0">
        <w:t xml:space="preserve"> </w:t>
      </w:r>
      <w:r w:rsidR="000A1AAE" w:rsidRPr="00A841AA">
        <w:t>prosecuted,</w:t>
      </w:r>
      <w:r w:rsidR="00D52FD0">
        <w:t xml:space="preserve"> </w:t>
      </w:r>
      <w:r w:rsidR="000A1AAE" w:rsidRPr="00A841AA">
        <w:t>there</w:t>
      </w:r>
      <w:r w:rsidR="00D52FD0">
        <w:t xml:space="preserve"> </w:t>
      </w:r>
      <w:r w:rsidR="000A1AAE" w:rsidRPr="00A841AA">
        <w:t>is</w:t>
      </w:r>
      <w:r w:rsidR="00D52FD0">
        <w:t xml:space="preserve"> </w:t>
      </w:r>
      <w:r w:rsidR="000A1AAE" w:rsidRPr="00A841AA">
        <w:t>an</w:t>
      </w:r>
      <w:r w:rsidR="00D52FD0">
        <w:t xml:space="preserve"> </w:t>
      </w:r>
      <w:r w:rsidR="000A1AAE" w:rsidRPr="00A841AA">
        <w:t>ex-PEP.</w:t>
      </w:r>
    </w:p>
    <w:p w14:paraId="568DBE6A" w14:textId="2CAE8032" w:rsidR="000A1AAE" w:rsidRPr="00A841AA" w:rsidRDefault="0044637E" w:rsidP="0044637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841AA">
        <w:t>93.</w:t>
      </w:r>
      <w:r w:rsidRPr="00A841AA">
        <w:tab/>
      </w:r>
      <w:r w:rsidR="000A1AAE" w:rsidRPr="00A841AA">
        <w:t>Prosecutors</w:t>
      </w:r>
      <w:r w:rsidR="00D52FD0">
        <w:t xml:space="preserve"> </w:t>
      </w:r>
      <w:r w:rsidR="000A1AAE" w:rsidRPr="00A841AA">
        <w:t>at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Office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Attorney</w:t>
      </w:r>
      <w:r w:rsidR="00D52FD0">
        <w:t xml:space="preserve"> </w:t>
      </w:r>
      <w:r w:rsidR="000A1AAE" w:rsidRPr="00A841AA">
        <w:t>General</w:t>
      </w:r>
      <w:r w:rsidR="00D52FD0">
        <w:t xml:space="preserve"> </w:t>
      </w:r>
      <w:r w:rsidR="000A1AAE" w:rsidRPr="00A841AA">
        <w:t>were</w:t>
      </w:r>
      <w:r w:rsidR="00D52FD0">
        <w:t xml:space="preserve"> </w:t>
      </w:r>
      <w:r w:rsidR="000A1AAE" w:rsidRPr="00A841AA">
        <w:t>organized</w:t>
      </w:r>
      <w:r w:rsidR="00D52FD0">
        <w:t xml:space="preserve"> </w:t>
      </w:r>
      <w:r w:rsidR="000A1AAE" w:rsidRPr="00A841AA">
        <w:t>into</w:t>
      </w:r>
      <w:r w:rsidR="00D52FD0">
        <w:t xml:space="preserve"> </w:t>
      </w:r>
      <w:r w:rsidR="000A1AAE" w:rsidRPr="00A841AA">
        <w:t>four</w:t>
      </w:r>
      <w:r w:rsidR="00D52FD0">
        <w:t xml:space="preserve"> </w:t>
      </w:r>
      <w:r w:rsidR="000A1AAE" w:rsidRPr="00A841AA">
        <w:t>units</w:t>
      </w:r>
      <w:r w:rsidR="00D52FD0">
        <w:t xml:space="preserve"> </w:t>
      </w:r>
      <w:r w:rsidR="000A1AAE" w:rsidRPr="00A841AA">
        <w:t>(Litigation</w:t>
      </w:r>
      <w:r w:rsidR="00D52FD0">
        <w:t xml:space="preserve"> </w:t>
      </w:r>
      <w:r w:rsidR="000A1AAE" w:rsidRPr="00A841AA">
        <w:t>unit;</w:t>
      </w:r>
      <w:r w:rsidR="00D52FD0">
        <w:t xml:space="preserve"> </w:t>
      </w:r>
      <w:r w:rsidR="000A1AAE" w:rsidRPr="00A841AA">
        <w:t>international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mutual</w:t>
      </w:r>
      <w:r w:rsidR="00D52FD0">
        <w:t xml:space="preserve"> </w:t>
      </w:r>
      <w:r w:rsidR="000A1AAE" w:rsidRPr="00A841AA">
        <w:t>assistance</w:t>
      </w:r>
      <w:r w:rsidR="00D52FD0">
        <w:t xml:space="preserve"> </w:t>
      </w:r>
      <w:r w:rsidR="000A1AAE" w:rsidRPr="00A841AA">
        <w:t>unit;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genere</w:t>
      </w:r>
      <w:r w:rsidR="00D52FD0">
        <w:t xml:space="preserve"> </w:t>
      </w:r>
      <w:r w:rsidR="000A1AAE" w:rsidRPr="00A841AA">
        <w:t>unit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EU</w:t>
      </w:r>
      <w:r w:rsidR="00D52FD0">
        <w:t xml:space="preserve"> </w:t>
      </w:r>
      <w:r w:rsidR="000A1AAE" w:rsidRPr="00A841AA">
        <w:t>Affairs</w:t>
      </w:r>
      <w:r w:rsidR="00D52FD0">
        <w:t xml:space="preserve"> </w:t>
      </w:r>
      <w:r w:rsidR="000A1AAE" w:rsidRPr="00A841AA">
        <w:t>unit)</w:t>
      </w:r>
      <w:r w:rsidR="00D52FD0">
        <w:t xml:space="preserve"> </w:t>
      </w:r>
      <w:r w:rsidR="000A1AAE" w:rsidRPr="00A841AA">
        <w:t>with</w:t>
      </w:r>
      <w:r w:rsidR="00D52FD0">
        <w:t xml:space="preserve"> </w:t>
      </w:r>
      <w:r w:rsidR="000A1AAE" w:rsidRPr="00A841AA">
        <w:t>prosecutors</w:t>
      </w:r>
      <w:r w:rsidR="00D52FD0">
        <w:t xml:space="preserve"> </w:t>
      </w:r>
      <w:r w:rsidR="000A1AAE" w:rsidRPr="00A841AA">
        <w:t>within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litigation</w:t>
      </w:r>
      <w:r w:rsidR="00D52FD0">
        <w:t xml:space="preserve"> </w:t>
      </w:r>
      <w:r w:rsidR="000A1AAE" w:rsidRPr="00A841AA">
        <w:t>unit</w:t>
      </w:r>
      <w:r w:rsidR="00D52FD0">
        <w:t xml:space="preserve"> </w:t>
      </w:r>
      <w:r w:rsidR="000A1AAE" w:rsidRPr="00A841AA">
        <w:t>divided</w:t>
      </w:r>
      <w:r w:rsidR="00D52FD0">
        <w:t xml:space="preserve"> </w:t>
      </w:r>
      <w:r w:rsidR="000A1AAE" w:rsidRPr="00A841AA">
        <w:t>according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offences.</w:t>
      </w:r>
      <w:r w:rsidR="00D52FD0">
        <w:t xml:space="preserve"> </w:t>
      </w:r>
      <w:r w:rsidR="000A1AAE" w:rsidRPr="00A841AA">
        <w:t>Currently</w:t>
      </w:r>
      <w:r w:rsidR="00D52FD0">
        <w:t xml:space="preserve"> </w:t>
      </w:r>
      <w:r w:rsidR="000A1AAE" w:rsidRPr="00A841AA">
        <w:t>13</w:t>
      </w:r>
      <w:r w:rsidR="00D52FD0">
        <w:t xml:space="preserve"> </w:t>
      </w:r>
      <w:r w:rsidR="000A1AAE" w:rsidRPr="00A841AA">
        <w:t>prosecutors</w:t>
      </w:r>
      <w:r w:rsidR="00D52FD0">
        <w:t xml:space="preserve"> </w:t>
      </w:r>
      <w:r w:rsidR="000A1AAE" w:rsidRPr="00A841AA">
        <w:t>are</w:t>
      </w:r>
      <w:r w:rsidR="00D52FD0">
        <w:t xml:space="preserve"> </w:t>
      </w:r>
      <w:r w:rsidR="000A1AAE" w:rsidRPr="00A841AA">
        <w:t>responsible</w:t>
      </w:r>
      <w:r w:rsidR="00D52FD0">
        <w:t xml:space="preserve"> </w:t>
      </w:r>
      <w:r w:rsidR="000A1AAE" w:rsidRPr="00A841AA">
        <w:t>for</w:t>
      </w:r>
      <w:r w:rsidR="00D52FD0">
        <w:t xml:space="preserve"> </w:t>
      </w:r>
      <w:r w:rsidR="000A1AAE" w:rsidRPr="00A841AA">
        <w:t>economic</w:t>
      </w:r>
      <w:r w:rsidR="00D52FD0">
        <w:t xml:space="preserve"> </w:t>
      </w:r>
      <w:r w:rsidR="000A1AAE" w:rsidRPr="00A841AA">
        <w:t>crime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this</w:t>
      </w:r>
      <w:r w:rsidR="00D52FD0">
        <w:t xml:space="preserve"> </w:t>
      </w:r>
      <w:r w:rsidR="000A1AAE" w:rsidRPr="00A841AA">
        <w:t>segregation</w:t>
      </w:r>
      <w:r w:rsidR="00D52FD0">
        <w:t xml:space="preserve"> </w:t>
      </w:r>
      <w:r w:rsidR="000A1AAE" w:rsidRPr="00A841AA">
        <w:t>is</w:t>
      </w:r>
      <w:r w:rsidR="00D52FD0">
        <w:t xml:space="preserve"> </w:t>
      </w:r>
      <w:r w:rsidR="000A1AAE" w:rsidRPr="00A841AA">
        <w:t>resulting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ensuring</w:t>
      </w:r>
      <w:r w:rsidR="00D52FD0">
        <w:t xml:space="preserve"> </w:t>
      </w:r>
      <w:r w:rsidR="000A1AAE" w:rsidRPr="00A841AA">
        <w:t>specialization</w:t>
      </w:r>
      <w:r w:rsidR="00D52FD0">
        <w:t xml:space="preserve"> </w:t>
      </w:r>
      <w:r w:rsidR="000A1AAE" w:rsidRPr="00A841AA">
        <w:t>amongst</w:t>
      </w:r>
      <w:r w:rsidR="00D52FD0">
        <w:t xml:space="preserve"> </w:t>
      </w:r>
      <w:r w:rsidR="000A1AAE" w:rsidRPr="00A841AA">
        <w:t>prosecutors.</w:t>
      </w:r>
      <w:r w:rsidR="00D52FD0">
        <w:t xml:space="preserve"> </w:t>
      </w:r>
      <w:r w:rsidR="000A1AAE" w:rsidRPr="00A841AA">
        <w:t>Continuous</w:t>
      </w:r>
      <w:r w:rsidR="00D52FD0">
        <w:t xml:space="preserve"> </w:t>
      </w:r>
      <w:r w:rsidR="000A1AAE" w:rsidRPr="00A841AA">
        <w:t>training</w:t>
      </w:r>
      <w:r w:rsidR="00D52FD0">
        <w:t xml:space="preserve"> </w:t>
      </w:r>
      <w:r w:rsidR="000A1AAE" w:rsidRPr="00A841AA">
        <w:t>is</w:t>
      </w:r>
      <w:r w:rsidR="00D52FD0">
        <w:t xml:space="preserve"> </w:t>
      </w:r>
      <w:r w:rsidR="000A1AAE" w:rsidRPr="00A841AA">
        <w:t>being</w:t>
      </w:r>
      <w:r w:rsidR="00D52FD0">
        <w:t xml:space="preserve"> </w:t>
      </w:r>
      <w:r w:rsidR="000A1AAE" w:rsidRPr="00A841AA">
        <w:t>provided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prosecutors</w:t>
      </w:r>
      <w:r w:rsidR="00D52FD0">
        <w:t xml:space="preserve"> </w:t>
      </w:r>
      <w:r w:rsidR="000A1AAE" w:rsidRPr="00A841AA">
        <w:t>through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organization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webinars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in-house</w:t>
      </w:r>
      <w:r w:rsidR="00D52FD0">
        <w:t xml:space="preserve"> </w:t>
      </w:r>
      <w:r w:rsidR="000A1AAE" w:rsidRPr="00A841AA">
        <w:t>training.</w:t>
      </w:r>
      <w:r w:rsidR="00D52FD0">
        <w:t xml:space="preserve"> </w:t>
      </w:r>
      <w:r w:rsidR="000A1AAE" w:rsidRPr="00A841AA">
        <w:t>Briefing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debriefing</w:t>
      </w:r>
      <w:r w:rsidR="00D52FD0">
        <w:t xml:space="preserve"> </w:t>
      </w:r>
      <w:r w:rsidR="000A1AAE" w:rsidRPr="00A841AA">
        <w:t>sessions</w:t>
      </w:r>
      <w:r w:rsidR="00D52FD0">
        <w:t xml:space="preserve"> </w:t>
      </w:r>
      <w:r w:rsidR="000A1AAE" w:rsidRPr="00A841AA">
        <w:t>take</w:t>
      </w:r>
      <w:r w:rsidR="00D52FD0">
        <w:t xml:space="preserve"> </w:t>
      </w:r>
      <w:r w:rsidR="000A1AAE" w:rsidRPr="00A841AA">
        <w:t>place</w:t>
      </w:r>
      <w:r w:rsidR="00D52FD0">
        <w:t xml:space="preserve"> </w:t>
      </w:r>
      <w:r w:rsidR="000A1AAE" w:rsidRPr="00A841AA">
        <w:t>regularly</w:t>
      </w:r>
      <w:r w:rsidR="00D52FD0">
        <w:t xml:space="preserve"> </w:t>
      </w:r>
      <w:r w:rsidR="000A1AAE" w:rsidRPr="00A841AA">
        <w:t>at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Office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Attorney</w:t>
      </w:r>
      <w:r w:rsidR="00D52FD0">
        <w:t xml:space="preserve"> </w:t>
      </w:r>
      <w:r w:rsidR="000A1AAE" w:rsidRPr="00A841AA">
        <w:t>General.</w:t>
      </w:r>
    </w:p>
    <w:p w14:paraId="16CECF51" w14:textId="57A33ED6" w:rsidR="000A1AAE" w:rsidRPr="00A841AA" w:rsidRDefault="0044637E" w:rsidP="0044637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841AA">
        <w:t>94.</w:t>
      </w:r>
      <w:r w:rsidRPr="00A841AA">
        <w:tab/>
      </w:r>
      <w:r w:rsidR="000A1AAE" w:rsidRPr="00A841AA">
        <w:t>The</w:t>
      </w:r>
      <w:r w:rsidR="00D52FD0">
        <w:t xml:space="preserve"> </w:t>
      </w:r>
      <w:r w:rsidR="000A1AAE" w:rsidRPr="00A841AA">
        <w:t>method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appointment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members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judiciary</w:t>
      </w:r>
      <w:r w:rsidR="00D52FD0">
        <w:t xml:space="preserve"> </w:t>
      </w:r>
      <w:r w:rsidR="000A1AAE" w:rsidRPr="00A841AA">
        <w:t>was</w:t>
      </w:r>
      <w:r w:rsidR="00D52FD0">
        <w:t xml:space="preserve"> </w:t>
      </w:r>
      <w:r w:rsidR="000A1AAE" w:rsidRPr="00A841AA">
        <w:t>drastically</w:t>
      </w:r>
      <w:r w:rsidR="00D52FD0">
        <w:t xml:space="preserve"> </w:t>
      </w:r>
      <w:r w:rsidR="000A1AAE" w:rsidRPr="00A841AA">
        <w:t>changed</w:t>
      </w:r>
      <w:r w:rsidR="00D52FD0">
        <w:t xml:space="preserve"> </w:t>
      </w:r>
      <w:r w:rsidR="000A1AAE" w:rsidRPr="00A841AA">
        <w:t>through</w:t>
      </w:r>
      <w:r w:rsidR="00D52FD0">
        <w:t xml:space="preserve"> </w:t>
      </w:r>
      <w:r w:rsidR="000A1AAE" w:rsidRPr="00A841AA">
        <w:t>constitutional</w:t>
      </w:r>
      <w:r w:rsidR="00D52FD0">
        <w:t xml:space="preserve"> </w:t>
      </w:r>
      <w:r w:rsidR="000A1AAE" w:rsidRPr="00A841AA">
        <w:t>amendments</w:t>
      </w:r>
      <w:r w:rsidR="00D52FD0">
        <w:t xml:space="preserve"> </w:t>
      </w:r>
      <w:r w:rsidR="000A1AAE" w:rsidRPr="00A841AA">
        <w:t>that</w:t>
      </w:r>
      <w:r w:rsidR="00D52FD0">
        <w:t xml:space="preserve"> </w:t>
      </w:r>
      <w:r w:rsidR="000A1AAE" w:rsidRPr="00A841AA">
        <w:t>were</w:t>
      </w:r>
      <w:r w:rsidR="00D52FD0">
        <w:t xml:space="preserve"> </w:t>
      </w:r>
      <w:r w:rsidR="000A1AAE" w:rsidRPr="00A841AA">
        <w:t>enacted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2020.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amendments</w:t>
      </w:r>
      <w:r w:rsidR="00D52FD0">
        <w:t xml:space="preserve"> </w:t>
      </w:r>
      <w:r w:rsidR="000A1AAE" w:rsidRPr="00A841AA">
        <w:t>provide</w:t>
      </w:r>
      <w:r w:rsidR="00D52FD0">
        <w:t xml:space="preserve"> </w:t>
      </w:r>
      <w:r w:rsidR="000A1AAE" w:rsidRPr="00A841AA">
        <w:t>for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issuing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a</w:t>
      </w:r>
      <w:r w:rsidR="00D52FD0">
        <w:t xml:space="preserve"> </w:t>
      </w:r>
      <w:r w:rsidR="000A1AAE" w:rsidRPr="00A841AA">
        <w:t>public</w:t>
      </w:r>
      <w:r w:rsidR="00D52FD0">
        <w:t xml:space="preserve"> </w:t>
      </w:r>
      <w:r w:rsidR="000A1AAE" w:rsidRPr="00A841AA">
        <w:t>call</w:t>
      </w:r>
      <w:r w:rsidR="00D52FD0">
        <w:t xml:space="preserve"> </w:t>
      </w:r>
      <w:r w:rsidR="000A1AAE" w:rsidRPr="00A841AA">
        <w:t>when</w:t>
      </w:r>
      <w:r w:rsidR="00D52FD0">
        <w:t xml:space="preserve"> </w:t>
      </w:r>
      <w:r w:rsidR="000A1AAE" w:rsidRPr="00A841AA">
        <w:t>there</w:t>
      </w:r>
      <w:r w:rsidR="00D52FD0">
        <w:t xml:space="preserve"> </w:t>
      </w:r>
      <w:r w:rsidR="000A1AAE" w:rsidRPr="00A841AA">
        <w:t>is</w:t>
      </w:r>
      <w:r w:rsidR="00D52FD0">
        <w:t xml:space="preserve"> </w:t>
      </w:r>
      <w:r w:rsidR="000A1AAE" w:rsidRPr="00A841AA">
        <w:t>a</w:t>
      </w:r>
      <w:r w:rsidR="00D52FD0">
        <w:t xml:space="preserve"> </w:t>
      </w:r>
      <w:r w:rsidR="000A1AAE" w:rsidRPr="00A841AA">
        <w:t>vacancy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office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Judge</w:t>
      </w:r>
      <w:r w:rsidR="00D52FD0">
        <w:t xml:space="preserve"> </w:t>
      </w:r>
      <w:r w:rsidR="000A1AAE" w:rsidRPr="00A841AA">
        <w:t>or</w:t>
      </w:r>
      <w:r w:rsidR="00D52FD0">
        <w:t xml:space="preserve"> </w:t>
      </w:r>
      <w:r w:rsidR="000A1AAE" w:rsidRPr="00A841AA">
        <w:t>Magistrate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stipulates</w:t>
      </w:r>
      <w:r w:rsidR="00D52FD0">
        <w:t xml:space="preserve"> </w:t>
      </w:r>
      <w:r w:rsidR="000A1AAE" w:rsidRPr="00A841AA">
        <w:t>a</w:t>
      </w:r>
      <w:r w:rsidR="00D52FD0">
        <w:t xml:space="preserve"> </w:t>
      </w:r>
      <w:r w:rsidR="000A1AAE" w:rsidRPr="00A841AA">
        <w:t>list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objective</w:t>
      </w:r>
      <w:r w:rsidR="00D52FD0">
        <w:t xml:space="preserve"> </w:t>
      </w:r>
      <w:r w:rsidR="000A1AAE" w:rsidRPr="00A841AA">
        <w:t>eligibility</w:t>
      </w:r>
      <w:r w:rsidR="00D52FD0">
        <w:t xml:space="preserve"> </w:t>
      </w:r>
      <w:r w:rsidR="000A1AAE" w:rsidRPr="00A841AA">
        <w:t>criteria.</w:t>
      </w:r>
      <w:r w:rsidR="00D52FD0">
        <w:t xml:space="preserve"> </w:t>
      </w:r>
      <w:r w:rsidR="000A1AAE" w:rsidRPr="00A841AA">
        <w:t>Furthermore,</w:t>
      </w:r>
      <w:r w:rsidR="00D52FD0">
        <w:t xml:space="preserve"> </w:t>
      </w:r>
      <w:r w:rsidR="000A1AAE" w:rsidRPr="00A841AA">
        <w:t>members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judiciary</w:t>
      </w:r>
      <w:r w:rsidR="00D52FD0">
        <w:t xml:space="preserve"> </w:t>
      </w:r>
      <w:r w:rsidR="000A1AAE" w:rsidRPr="00A841AA">
        <w:t>shall</w:t>
      </w:r>
      <w:r w:rsidR="00D52FD0">
        <w:t xml:space="preserve"> </w:t>
      </w:r>
      <w:r w:rsidR="000A1AAE" w:rsidRPr="00A841AA">
        <w:t>be</w:t>
      </w:r>
      <w:r w:rsidR="00D52FD0">
        <w:t xml:space="preserve"> </w:t>
      </w:r>
      <w:r w:rsidR="000A1AAE" w:rsidRPr="00A841AA">
        <w:t>appointed</w:t>
      </w:r>
      <w:r w:rsidR="00D52FD0">
        <w:t xml:space="preserve"> </w:t>
      </w:r>
      <w:r w:rsidR="000A1AAE" w:rsidRPr="00A841AA">
        <w:t>by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President</w:t>
      </w:r>
      <w:r w:rsidR="00D52FD0">
        <w:t xml:space="preserve"> </w:t>
      </w:r>
      <w:r w:rsidR="000A1AAE" w:rsidRPr="00A841AA">
        <w:t>exclusively</w:t>
      </w:r>
      <w:r w:rsidR="00D52FD0">
        <w:t xml:space="preserve"> </w:t>
      </w:r>
      <w:r w:rsidR="000A1AAE" w:rsidRPr="00A841AA">
        <w:t>from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names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three</w:t>
      </w:r>
      <w:r w:rsidR="00D52FD0">
        <w:t xml:space="preserve"> </w:t>
      </w:r>
      <w:r w:rsidR="000A1AAE" w:rsidRPr="00A841AA">
        <w:t>candidates</w:t>
      </w:r>
      <w:r w:rsidR="00D52FD0">
        <w:t xml:space="preserve"> </w:t>
      </w:r>
      <w:r w:rsidR="000A1AAE" w:rsidRPr="00A841AA">
        <w:t>submitted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President</w:t>
      </w:r>
      <w:r w:rsidR="00D52FD0">
        <w:t xml:space="preserve"> </w:t>
      </w:r>
      <w:r w:rsidR="000A1AAE" w:rsidRPr="00A841AA">
        <w:t>by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Judicial</w:t>
      </w:r>
      <w:r w:rsidR="00D52FD0">
        <w:t xml:space="preserve"> </w:t>
      </w:r>
      <w:r w:rsidR="000A1AAE" w:rsidRPr="00A841AA">
        <w:t>Appointments</w:t>
      </w:r>
      <w:r w:rsidR="00D52FD0">
        <w:t xml:space="preserve"> </w:t>
      </w:r>
      <w:r w:rsidR="000A1AAE" w:rsidRPr="00A841AA">
        <w:t>Committee.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Chief</w:t>
      </w:r>
      <w:r w:rsidR="00D52FD0">
        <w:t xml:space="preserve"> </w:t>
      </w:r>
      <w:r w:rsidR="000A1AAE" w:rsidRPr="00A841AA">
        <w:t>Justice</w:t>
      </w:r>
      <w:r w:rsidR="00D52FD0">
        <w:t xml:space="preserve"> </w:t>
      </w:r>
      <w:r w:rsidR="000A1AAE" w:rsidRPr="00A841AA">
        <w:t>will</w:t>
      </w:r>
      <w:r w:rsidR="00D52FD0">
        <w:t xml:space="preserve"> </w:t>
      </w:r>
      <w:r w:rsidR="000A1AAE" w:rsidRPr="00A841AA">
        <w:t>be</w:t>
      </w:r>
      <w:r w:rsidR="00D52FD0">
        <w:t xml:space="preserve"> </w:t>
      </w:r>
      <w:r w:rsidR="000A1AAE" w:rsidRPr="00A841AA">
        <w:t>appointed</w:t>
      </w:r>
      <w:r w:rsidR="00D52FD0">
        <w:t xml:space="preserve"> </w:t>
      </w:r>
      <w:r w:rsidR="000A1AAE" w:rsidRPr="00A841AA">
        <w:t>by</w:t>
      </w:r>
      <w:r w:rsidR="00D52FD0">
        <w:t xml:space="preserve"> </w:t>
      </w:r>
      <w:r w:rsidR="000A1AAE" w:rsidRPr="00A841AA">
        <w:t>a</w:t>
      </w:r>
      <w:r w:rsidR="00D52FD0">
        <w:t xml:space="preserve"> </w:t>
      </w:r>
      <w:r w:rsidR="000A1AAE" w:rsidRPr="00A841AA">
        <w:t>Parliamentary</w:t>
      </w:r>
      <w:r w:rsidR="00D52FD0">
        <w:t xml:space="preserve"> </w:t>
      </w:r>
      <w:r w:rsidR="000A1AAE" w:rsidRPr="00A841AA">
        <w:t>process</w:t>
      </w:r>
      <w:r w:rsidR="00D52FD0">
        <w:t xml:space="preserve"> </w:t>
      </w:r>
      <w:r w:rsidR="000A1AAE" w:rsidRPr="00A841AA">
        <w:t>with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appointment</w:t>
      </w:r>
      <w:r w:rsidR="00D52FD0">
        <w:t xml:space="preserve"> </w:t>
      </w:r>
      <w:r w:rsidR="000A1AAE" w:rsidRPr="00A841AA">
        <w:t>requiring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approval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two-thirds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Members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House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Representatives.</w:t>
      </w:r>
      <w:r w:rsidR="00D52FD0">
        <w:t xml:space="preserve"> </w:t>
      </w:r>
      <w:r w:rsidR="000A1AAE" w:rsidRPr="00A841AA">
        <w:t>Should</w:t>
      </w:r>
      <w:r w:rsidR="00D52FD0">
        <w:t xml:space="preserve"> </w:t>
      </w:r>
      <w:r w:rsidR="000A1AAE" w:rsidRPr="00A841AA">
        <w:t>such</w:t>
      </w:r>
      <w:r w:rsidR="00D52FD0">
        <w:t xml:space="preserve"> </w:t>
      </w:r>
      <w:r w:rsidR="000A1AAE" w:rsidRPr="00A841AA">
        <w:t>a</w:t>
      </w:r>
      <w:r w:rsidR="00D52FD0">
        <w:t xml:space="preserve"> </w:t>
      </w:r>
      <w:r w:rsidR="000A1AAE" w:rsidRPr="00A841AA">
        <w:t>majority</w:t>
      </w:r>
      <w:r w:rsidR="00D52FD0">
        <w:t xml:space="preserve"> </w:t>
      </w:r>
      <w:r w:rsidR="000A1AAE" w:rsidRPr="00A841AA">
        <w:t>not</w:t>
      </w:r>
      <w:r w:rsidR="00D52FD0">
        <w:t xml:space="preserve"> </w:t>
      </w:r>
      <w:r w:rsidR="000A1AAE" w:rsidRPr="00A841AA">
        <w:t>be</w:t>
      </w:r>
      <w:r w:rsidR="00D52FD0">
        <w:t xml:space="preserve"> </w:t>
      </w:r>
      <w:r w:rsidR="000A1AAE" w:rsidRPr="00A841AA">
        <w:t>achieved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sitting</w:t>
      </w:r>
      <w:r w:rsidR="00D52FD0">
        <w:t xml:space="preserve"> </w:t>
      </w:r>
      <w:r w:rsidR="000A1AAE" w:rsidRPr="00A841AA">
        <w:t>Chief</w:t>
      </w:r>
      <w:r w:rsidR="00D52FD0">
        <w:t xml:space="preserve"> </w:t>
      </w:r>
      <w:r w:rsidR="000A1AAE" w:rsidRPr="00A841AA">
        <w:t>Justice</w:t>
      </w:r>
      <w:r w:rsidR="00D52FD0">
        <w:t xml:space="preserve"> </w:t>
      </w:r>
      <w:r w:rsidR="000A1AAE" w:rsidRPr="00A841AA">
        <w:t>will</w:t>
      </w:r>
      <w:r w:rsidR="00D52FD0">
        <w:t xml:space="preserve"> </w:t>
      </w:r>
      <w:r w:rsidR="000A1AAE" w:rsidRPr="00A841AA">
        <w:t>remain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office</w:t>
      </w:r>
      <w:r w:rsidR="00D52FD0">
        <w:t xml:space="preserve"> </w:t>
      </w:r>
      <w:r w:rsidR="000A1AAE" w:rsidRPr="00A841AA">
        <w:t>until</w:t>
      </w:r>
      <w:r w:rsidR="00D52FD0">
        <w:t xml:space="preserve"> </w:t>
      </w:r>
      <w:r w:rsidR="000A1AAE" w:rsidRPr="00A841AA">
        <w:t>such</w:t>
      </w:r>
      <w:r w:rsidR="00D52FD0">
        <w:t xml:space="preserve"> </w:t>
      </w:r>
      <w:r w:rsidR="000A1AAE" w:rsidRPr="00A841AA">
        <w:t>a</w:t>
      </w:r>
      <w:r w:rsidR="00D52FD0">
        <w:t xml:space="preserve"> </w:t>
      </w:r>
      <w:r w:rsidR="000A1AAE" w:rsidRPr="00A841AA">
        <w:t>majority</w:t>
      </w:r>
      <w:r w:rsidR="00D52FD0">
        <w:t xml:space="preserve"> </w:t>
      </w:r>
      <w:r w:rsidR="000A1AAE" w:rsidRPr="00A841AA">
        <w:t>can</w:t>
      </w:r>
      <w:r w:rsidR="00D52FD0">
        <w:t xml:space="preserve"> </w:t>
      </w:r>
      <w:r w:rsidR="000A1AAE" w:rsidRPr="00A841AA">
        <w:t>be</w:t>
      </w:r>
      <w:r w:rsidR="00D52FD0">
        <w:t xml:space="preserve"> </w:t>
      </w:r>
      <w:r w:rsidR="000A1AAE" w:rsidRPr="00A841AA">
        <w:t>reached.</w:t>
      </w:r>
    </w:p>
    <w:p w14:paraId="360B9382" w14:textId="040BE6D5" w:rsidR="000E4FD0" w:rsidRDefault="0044637E" w:rsidP="0044637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>
        <w:t>95.</w:t>
      </w:r>
      <w:r>
        <w:tab/>
      </w:r>
      <w:r w:rsidR="000A1AAE" w:rsidRPr="00A841AA">
        <w:t>In</w:t>
      </w:r>
      <w:r w:rsidR="00D52FD0">
        <w:t xml:space="preserve"> </w:t>
      </w:r>
      <w:r w:rsidR="000A1AAE" w:rsidRPr="00A841AA">
        <w:t>June</w:t>
      </w:r>
      <w:r w:rsidR="00D52FD0">
        <w:t xml:space="preserve"> </w:t>
      </w:r>
      <w:r w:rsidR="000A1AAE" w:rsidRPr="00A841AA">
        <w:t>2020,</w:t>
      </w:r>
      <w:r w:rsidR="00D52FD0">
        <w:t xml:space="preserve"> </w:t>
      </w:r>
      <w:r w:rsidR="000A1AAE" w:rsidRPr="00A841AA">
        <w:t>a</w:t>
      </w:r>
      <w:r w:rsidR="00D52FD0">
        <w:t xml:space="preserve"> </w:t>
      </w:r>
      <w:r w:rsidR="000A1AAE" w:rsidRPr="00A841AA">
        <w:t>new</w:t>
      </w:r>
      <w:r w:rsidR="00D52FD0">
        <w:t xml:space="preserve"> </w:t>
      </w:r>
      <w:r w:rsidR="000A1AAE" w:rsidRPr="00A841AA">
        <w:t>Police</w:t>
      </w:r>
      <w:r w:rsidR="00D52FD0">
        <w:t xml:space="preserve"> </w:t>
      </w:r>
      <w:r w:rsidR="000A1AAE" w:rsidRPr="00A841AA">
        <w:t>Commissioner</w:t>
      </w:r>
      <w:r w:rsidR="00D52FD0">
        <w:t xml:space="preserve"> </w:t>
      </w:r>
      <w:r w:rsidR="000A1AAE" w:rsidRPr="00A841AA">
        <w:t>was</w:t>
      </w:r>
      <w:r w:rsidR="00D52FD0">
        <w:t xml:space="preserve"> </w:t>
      </w:r>
      <w:r w:rsidR="000A1AAE" w:rsidRPr="00A841AA">
        <w:t>appointed</w:t>
      </w:r>
      <w:r w:rsidR="00D52FD0">
        <w:t xml:space="preserve"> </w:t>
      </w:r>
      <w:r w:rsidR="000A1AAE" w:rsidRPr="00A841AA">
        <w:t>as</w:t>
      </w:r>
      <w:r w:rsidR="00D52FD0">
        <w:t xml:space="preserve"> </w:t>
      </w:r>
      <w:r w:rsidR="000A1AAE" w:rsidRPr="00A841AA">
        <w:t>per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new</w:t>
      </w:r>
      <w:r w:rsidR="00D52FD0">
        <w:t xml:space="preserve"> </w:t>
      </w:r>
      <w:r w:rsidR="000A1AAE" w:rsidRPr="00A841AA">
        <w:t>procedure</w:t>
      </w:r>
      <w:r w:rsidR="00D52FD0">
        <w:t xml:space="preserve"> </w:t>
      </w:r>
      <w:r w:rsidR="000A1AAE" w:rsidRPr="00A841AA">
        <w:t>set</w:t>
      </w:r>
      <w:r w:rsidR="00D52FD0">
        <w:t xml:space="preserve"> </w:t>
      </w:r>
      <w:r w:rsidR="000A1AAE" w:rsidRPr="00A841AA">
        <w:t>out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revised</w:t>
      </w:r>
      <w:r w:rsidR="00D52FD0">
        <w:t xml:space="preserve"> </w:t>
      </w:r>
      <w:r w:rsidR="000A1AAE" w:rsidRPr="00A841AA">
        <w:t>law.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manner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appointment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Police</w:t>
      </w:r>
      <w:r w:rsidR="00D52FD0">
        <w:t xml:space="preserve"> </w:t>
      </w:r>
      <w:r w:rsidR="000A1AAE" w:rsidRPr="00A841AA">
        <w:t>Commissioner</w:t>
      </w:r>
      <w:r w:rsidR="00D52FD0">
        <w:t xml:space="preserve"> </w:t>
      </w:r>
      <w:r w:rsidR="000A1AAE" w:rsidRPr="00A841AA">
        <w:t>has</w:t>
      </w:r>
      <w:r w:rsidR="00D52FD0">
        <w:t xml:space="preserve"> </w:t>
      </w:r>
      <w:r w:rsidR="000A1AAE" w:rsidRPr="00A841AA">
        <w:t>been</w:t>
      </w:r>
      <w:r w:rsidR="00D52FD0">
        <w:t xml:space="preserve"> </w:t>
      </w:r>
      <w:r w:rsidR="000A1AAE" w:rsidRPr="00A841AA">
        <w:t>overhauled,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be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line</w:t>
      </w:r>
      <w:r w:rsidR="00D52FD0">
        <w:t xml:space="preserve"> </w:t>
      </w:r>
      <w:r w:rsidR="000A1AAE" w:rsidRPr="00A841AA">
        <w:t>with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recommendation</w:t>
      </w:r>
      <w:r w:rsidR="00D52FD0">
        <w:t xml:space="preserve"> </w:t>
      </w:r>
      <w:r w:rsidR="000A1AAE" w:rsidRPr="00A841AA">
        <w:t>made</w:t>
      </w:r>
      <w:r w:rsidR="00D52FD0">
        <w:t xml:space="preserve"> </w:t>
      </w:r>
      <w:r w:rsidR="000A1AAE" w:rsidRPr="00A841AA">
        <w:t>by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Venice</w:t>
      </w:r>
      <w:r w:rsidR="00D52FD0">
        <w:t xml:space="preserve"> </w:t>
      </w:r>
      <w:r w:rsidR="000A1AAE" w:rsidRPr="00A841AA">
        <w:t>Commission.</w:t>
      </w:r>
      <w:r w:rsidR="00D52FD0">
        <w:t xml:space="preserve"> </w:t>
      </w:r>
      <w:r w:rsidR="000A1AAE" w:rsidRPr="00A841AA">
        <w:t>This</w:t>
      </w:r>
      <w:r w:rsidR="00D52FD0">
        <w:t xml:space="preserve"> </w:t>
      </w:r>
      <w:r w:rsidR="000A1AAE" w:rsidRPr="00A841AA">
        <w:t>was</w:t>
      </w:r>
      <w:r w:rsidR="00D52FD0">
        <w:t xml:space="preserve"> </w:t>
      </w:r>
      <w:r w:rsidR="000A1AAE" w:rsidRPr="00A841AA">
        <w:t>achieved</w:t>
      </w:r>
      <w:r w:rsidR="00D52FD0">
        <w:t xml:space="preserve"> </w:t>
      </w:r>
      <w:r w:rsidR="000A1AAE" w:rsidRPr="00A841AA">
        <w:t>by</w:t>
      </w:r>
      <w:r w:rsidR="00D52FD0">
        <w:t xml:space="preserve"> </w:t>
      </w:r>
      <w:r w:rsidR="000A1AAE" w:rsidRPr="00A841AA">
        <w:t>an</w:t>
      </w:r>
      <w:r w:rsidR="00D52FD0">
        <w:t xml:space="preserve"> </w:t>
      </w:r>
      <w:r w:rsidR="000A1AAE" w:rsidRPr="00A841AA">
        <w:t>amendment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Police</w:t>
      </w:r>
      <w:r w:rsidR="00D52FD0">
        <w:t xml:space="preserve"> </w:t>
      </w:r>
      <w:r w:rsidR="000A1AAE" w:rsidRPr="00A841AA">
        <w:t>Act</w:t>
      </w:r>
      <w:r w:rsidR="00D52FD0">
        <w:t xml:space="preserve"> </w:t>
      </w:r>
      <w:r w:rsidR="000A1AAE" w:rsidRPr="00A841AA">
        <w:t>(Chapter</w:t>
      </w:r>
      <w:r w:rsidR="00D52FD0">
        <w:t xml:space="preserve"> </w:t>
      </w:r>
      <w:r w:rsidR="000A1AAE" w:rsidRPr="00A841AA">
        <w:t>164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Laws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Malta)</w:t>
      </w:r>
      <w:r w:rsidR="00D52FD0">
        <w:t xml:space="preserve"> </w:t>
      </w:r>
      <w:r w:rsidR="000A1AAE" w:rsidRPr="00A841AA">
        <w:t>as</w:t>
      </w:r>
      <w:r w:rsidR="00D52FD0">
        <w:t xml:space="preserve"> </w:t>
      </w:r>
      <w:r w:rsidR="000A1AAE" w:rsidRPr="00A841AA">
        <w:t>well</w:t>
      </w:r>
      <w:r w:rsidR="00D52FD0">
        <w:t xml:space="preserve"> </w:t>
      </w:r>
      <w:r w:rsidR="000A1AAE" w:rsidRPr="00A841AA">
        <w:t>as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Constitution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Malta.</w:t>
      </w:r>
      <w:r w:rsidR="00D52FD0">
        <w:t xml:space="preserve"> </w:t>
      </w:r>
      <w:r w:rsidR="000A1AAE" w:rsidRPr="00A841AA">
        <w:t>These</w:t>
      </w:r>
      <w:r w:rsidR="00D52FD0">
        <w:t xml:space="preserve"> </w:t>
      </w:r>
      <w:r w:rsidR="000A1AAE" w:rsidRPr="00A841AA">
        <w:t>amendments</w:t>
      </w:r>
      <w:r w:rsidR="00D52FD0">
        <w:t xml:space="preserve"> </w:t>
      </w:r>
      <w:r w:rsidR="000A1AAE" w:rsidRPr="00A841AA">
        <w:t>were</w:t>
      </w:r>
      <w:r w:rsidR="00D52FD0">
        <w:t xml:space="preserve"> </w:t>
      </w:r>
      <w:r w:rsidR="000A1AAE" w:rsidRPr="00A841AA">
        <w:t>carried</w:t>
      </w:r>
      <w:r w:rsidR="00D52FD0">
        <w:t xml:space="preserve"> </w:t>
      </w:r>
      <w:r w:rsidR="000A1AAE" w:rsidRPr="00A841AA">
        <w:t>out</w:t>
      </w:r>
      <w:r w:rsidR="00D52FD0">
        <w:t xml:space="preserve"> </w:t>
      </w:r>
      <w:r w:rsidR="000A1AAE" w:rsidRPr="00A841AA">
        <w:t>via</w:t>
      </w:r>
      <w:r w:rsidR="00D52FD0">
        <w:t xml:space="preserve"> </w:t>
      </w:r>
      <w:r w:rsidR="000A1AAE" w:rsidRPr="00A841AA">
        <w:t>Act</w:t>
      </w:r>
      <w:r w:rsidR="00D52FD0">
        <w:t xml:space="preserve"> </w:t>
      </w:r>
      <w:r w:rsidR="000A1AAE" w:rsidRPr="00A841AA">
        <w:t>XIX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2020.</w:t>
      </w:r>
      <w:r w:rsidR="00D52FD0">
        <w:t xml:space="preserve"> </w:t>
      </w:r>
      <w:r w:rsidR="000A1AAE" w:rsidRPr="00A841AA">
        <w:t>Article</w:t>
      </w:r>
      <w:r w:rsidR="00D52FD0">
        <w:t xml:space="preserve"> </w:t>
      </w:r>
      <w:r w:rsidR="000A1AAE" w:rsidRPr="00A841AA">
        <w:t>6(2)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Police</w:t>
      </w:r>
      <w:r w:rsidR="00D52FD0">
        <w:t xml:space="preserve"> </w:t>
      </w:r>
      <w:r w:rsidR="000A1AAE" w:rsidRPr="00A841AA">
        <w:t>Act</w:t>
      </w:r>
      <w:r w:rsidR="00D52FD0">
        <w:t xml:space="preserve"> </w:t>
      </w:r>
      <w:r w:rsidR="000A1AAE" w:rsidRPr="00A841AA">
        <w:t>(Chapter</w:t>
      </w:r>
      <w:r w:rsidR="00D52FD0">
        <w:t xml:space="preserve"> </w:t>
      </w:r>
      <w:r w:rsidR="000A1AAE" w:rsidRPr="00A841AA">
        <w:t>164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Laws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Malta)</w:t>
      </w:r>
      <w:r w:rsidR="00D52FD0">
        <w:t xml:space="preserve"> </w:t>
      </w:r>
      <w:r w:rsidR="000A1AAE" w:rsidRPr="00A841AA">
        <w:t>lays</w:t>
      </w:r>
      <w:r w:rsidR="00D52FD0">
        <w:t xml:space="preserve"> </w:t>
      </w:r>
      <w:r w:rsidR="000A1AAE" w:rsidRPr="00A841AA">
        <w:t>down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procedure</w:t>
      </w:r>
      <w:r w:rsidR="00D52FD0">
        <w:t xml:space="preserve"> </w:t>
      </w:r>
      <w:r w:rsidR="000A1AAE" w:rsidRPr="00A841AA">
        <w:t>as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when</w:t>
      </w:r>
      <w:r w:rsidR="00D52FD0">
        <w:t xml:space="preserve"> </w:t>
      </w:r>
      <w:r w:rsidR="000A1AAE" w:rsidRPr="00A841AA">
        <w:t>there</w:t>
      </w:r>
      <w:r w:rsidR="00D52FD0">
        <w:t xml:space="preserve"> </w:t>
      </w:r>
      <w:r w:rsidR="000A1AAE" w:rsidRPr="00A841AA">
        <w:t>is</w:t>
      </w:r>
      <w:r w:rsidR="00D52FD0">
        <w:t xml:space="preserve"> </w:t>
      </w:r>
      <w:r w:rsidR="000A1AAE" w:rsidRPr="00A841AA">
        <w:t>a</w:t>
      </w:r>
      <w:r w:rsidR="00D52FD0">
        <w:t xml:space="preserve"> </w:t>
      </w:r>
      <w:r w:rsidR="000A1AAE" w:rsidRPr="00A841AA">
        <w:t>vacancy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office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Police</w:t>
      </w:r>
      <w:r w:rsidR="00D52FD0">
        <w:t xml:space="preserve"> </w:t>
      </w:r>
      <w:r w:rsidR="000A1AAE" w:rsidRPr="00A841AA">
        <w:t>Commissioner.</w:t>
      </w:r>
      <w:r w:rsidR="00D52FD0">
        <w:t xml:space="preserve"> </w:t>
      </w:r>
      <w:r w:rsidR="000A1AAE" w:rsidRPr="00A841AA">
        <w:t>Firstly,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Public</w:t>
      </w:r>
      <w:r w:rsidR="00D52FD0">
        <w:t xml:space="preserve"> </w:t>
      </w:r>
      <w:r w:rsidR="000A1AAE" w:rsidRPr="00A841AA">
        <w:t>Service</w:t>
      </w:r>
      <w:r w:rsidR="00D52FD0">
        <w:t xml:space="preserve"> </w:t>
      </w:r>
      <w:r w:rsidR="000A1AAE" w:rsidRPr="00A841AA">
        <w:t>Commission</w:t>
      </w:r>
      <w:r w:rsidR="00D52FD0">
        <w:t xml:space="preserve"> </w:t>
      </w:r>
      <w:r w:rsidR="000A1AAE" w:rsidRPr="00A841AA">
        <w:t>is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issue</w:t>
      </w:r>
      <w:r w:rsidR="00D52FD0">
        <w:t xml:space="preserve"> </w:t>
      </w:r>
      <w:r w:rsidR="000A1AAE" w:rsidRPr="00A841AA">
        <w:t>a</w:t>
      </w:r>
      <w:r w:rsidR="00D52FD0">
        <w:t xml:space="preserve"> </w:t>
      </w:r>
      <w:r w:rsidR="000A1AAE" w:rsidRPr="00A841AA">
        <w:t>public</w:t>
      </w:r>
      <w:r w:rsidR="00D52FD0">
        <w:t xml:space="preserve"> </w:t>
      </w:r>
      <w:r w:rsidR="000A1AAE" w:rsidRPr="00A841AA">
        <w:t>call</w:t>
      </w:r>
      <w:r w:rsidR="00D52FD0">
        <w:t xml:space="preserve"> </w:t>
      </w:r>
      <w:r w:rsidR="000A1AAE" w:rsidRPr="00A841AA">
        <w:t>for</w:t>
      </w:r>
      <w:r w:rsidR="00D52FD0">
        <w:t xml:space="preserve"> </w:t>
      </w:r>
      <w:r w:rsidR="000A1AAE" w:rsidRPr="00A841AA">
        <w:t>applications,</w:t>
      </w:r>
      <w:r w:rsidR="00D52FD0">
        <w:t xml:space="preserve"> </w:t>
      </w:r>
      <w:r w:rsidR="000A1AAE" w:rsidRPr="00A841AA">
        <w:t>subject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necessary</w:t>
      </w:r>
      <w:r w:rsidR="00D52FD0">
        <w:t xml:space="preserve"> </w:t>
      </w:r>
      <w:r w:rsidR="000A1AAE" w:rsidRPr="00A841AA">
        <w:t>qualifications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experience</w:t>
      </w:r>
      <w:r w:rsidR="00D52FD0">
        <w:t xml:space="preserve"> </w:t>
      </w:r>
      <w:r w:rsidR="000A1AAE" w:rsidRPr="00A841AA">
        <w:t>required</w:t>
      </w:r>
      <w:r w:rsidR="00D52FD0">
        <w:t xml:space="preserve"> </w:t>
      </w:r>
      <w:r w:rsidR="000A1AAE" w:rsidRPr="00A841AA">
        <w:t>for</w:t>
      </w:r>
      <w:r w:rsidR="00D52FD0">
        <w:t xml:space="preserve"> </w:t>
      </w:r>
      <w:r w:rsidR="000A1AAE" w:rsidRPr="00A841AA">
        <w:t>a</w:t>
      </w:r>
      <w:r w:rsidR="00D52FD0">
        <w:t xml:space="preserve"> </w:t>
      </w:r>
      <w:r w:rsidR="000A1AAE" w:rsidRPr="00A841AA">
        <w:t>person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be</w:t>
      </w:r>
      <w:r w:rsidR="00D52FD0">
        <w:t xml:space="preserve"> </w:t>
      </w:r>
      <w:r w:rsidR="000A1AAE" w:rsidRPr="00A841AA">
        <w:t>eligible</w:t>
      </w:r>
      <w:r w:rsidR="00D52FD0">
        <w:t xml:space="preserve"> </w:t>
      </w:r>
      <w:r w:rsidR="000A1AAE" w:rsidRPr="00A841AA">
        <w:t>for</w:t>
      </w:r>
      <w:r w:rsidR="00D52FD0">
        <w:t xml:space="preserve"> </w:t>
      </w:r>
      <w:r w:rsidR="000A1AAE" w:rsidRPr="00A841AA">
        <w:t>appointment.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Public</w:t>
      </w:r>
      <w:r w:rsidR="00D52FD0">
        <w:t xml:space="preserve"> </w:t>
      </w:r>
      <w:r w:rsidR="000A1AAE" w:rsidRPr="00A841AA">
        <w:t>Service</w:t>
      </w:r>
      <w:r w:rsidR="00D52FD0">
        <w:t xml:space="preserve"> </w:t>
      </w:r>
      <w:r w:rsidR="000A1AAE" w:rsidRPr="00A841AA">
        <w:t>Commission</w:t>
      </w:r>
      <w:r w:rsidR="00D52FD0">
        <w:t xml:space="preserve"> </w:t>
      </w:r>
      <w:r w:rsidR="000A1AAE" w:rsidRPr="00A841AA">
        <w:t>is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then</w:t>
      </w:r>
      <w:r w:rsidR="00D52FD0">
        <w:t xml:space="preserve"> </w:t>
      </w:r>
      <w:r w:rsidR="000A1AAE" w:rsidRPr="00A841AA">
        <w:t>evaluate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applications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then</w:t>
      </w:r>
      <w:r w:rsidR="00D52FD0">
        <w:t xml:space="preserve"> </w:t>
      </w:r>
      <w:r w:rsidR="000A1AAE" w:rsidRPr="00A841AA">
        <w:t>draw</w:t>
      </w:r>
      <w:r w:rsidR="00D52FD0">
        <w:t xml:space="preserve"> </w:t>
      </w:r>
      <w:r w:rsidR="000A1AAE" w:rsidRPr="00A841AA">
        <w:t>up</w:t>
      </w:r>
      <w:r w:rsidR="00D52FD0">
        <w:t xml:space="preserve"> </w:t>
      </w:r>
      <w:r w:rsidR="000A1AAE" w:rsidRPr="00A841AA">
        <w:t>a</w:t>
      </w:r>
      <w:r w:rsidR="00D52FD0">
        <w:t xml:space="preserve"> </w:t>
      </w:r>
      <w:r w:rsidR="000A1AAE" w:rsidRPr="00A841AA">
        <w:t>shortlist</w:t>
      </w:r>
      <w:r w:rsidR="00D52FD0">
        <w:t xml:space="preserve"> </w:t>
      </w:r>
      <w:r w:rsidR="000A1AAE" w:rsidRPr="00A841AA">
        <w:t>indicating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two</w:t>
      </w:r>
      <w:r w:rsidR="00D52FD0">
        <w:t xml:space="preserve"> </w:t>
      </w:r>
      <w:r w:rsidR="000A1AAE" w:rsidRPr="00A841AA">
        <w:t>most</w:t>
      </w:r>
      <w:r w:rsidR="00D52FD0">
        <w:t xml:space="preserve"> </w:t>
      </w:r>
      <w:r w:rsidR="000A1AAE" w:rsidRPr="00A841AA">
        <w:t>suitable</w:t>
      </w:r>
      <w:r w:rsidR="00D52FD0">
        <w:t xml:space="preserve"> </w:t>
      </w:r>
      <w:r w:rsidR="000A1AAE" w:rsidRPr="00A841AA">
        <w:t>candidates.</w:t>
      </w:r>
      <w:r w:rsidR="00D52FD0">
        <w:t xml:space="preserve"> </w:t>
      </w:r>
      <w:r w:rsidR="000A1AAE" w:rsidRPr="00A841AA">
        <w:t>Following</w:t>
      </w:r>
      <w:r w:rsidR="00D52FD0">
        <w:t xml:space="preserve"> </w:t>
      </w:r>
      <w:r w:rsidR="000A1AAE" w:rsidRPr="00A841AA">
        <w:t>this</w:t>
      </w:r>
      <w:r w:rsidR="00D52FD0">
        <w:t xml:space="preserve"> </w:t>
      </w:r>
      <w:r w:rsidR="000A1AAE" w:rsidRPr="00A841AA">
        <w:t>step,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Public</w:t>
      </w:r>
      <w:r w:rsidR="00D52FD0">
        <w:t xml:space="preserve"> </w:t>
      </w:r>
      <w:r w:rsidR="000A1AAE" w:rsidRPr="00A841AA">
        <w:t>Service</w:t>
      </w:r>
      <w:r w:rsidR="00D52FD0">
        <w:t xml:space="preserve"> </w:t>
      </w:r>
      <w:r w:rsidR="000A1AAE" w:rsidRPr="00A841AA">
        <w:t>Commission</w:t>
      </w:r>
      <w:r w:rsidR="00D52FD0">
        <w:t xml:space="preserve"> </w:t>
      </w:r>
      <w:r w:rsidR="000A1AAE" w:rsidRPr="00A841AA">
        <w:t>is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refer</w:t>
      </w:r>
      <w:r w:rsidR="00D52FD0">
        <w:t xml:space="preserve"> </w:t>
      </w:r>
      <w:r w:rsidR="000A1AAE" w:rsidRPr="00A841AA">
        <w:t>this</w:t>
      </w:r>
      <w:r w:rsidR="00D52FD0">
        <w:t xml:space="preserve"> </w:t>
      </w:r>
      <w:r w:rsidR="000A1AAE" w:rsidRPr="00A841AA">
        <w:t>shortlist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Cabinet.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Cabinet</w:t>
      </w:r>
      <w:r w:rsidR="00D52FD0">
        <w:t xml:space="preserve"> </w:t>
      </w:r>
      <w:r w:rsidR="000A1AAE" w:rsidRPr="00A841AA">
        <w:t>is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consider</w:t>
      </w:r>
      <w:r w:rsidR="00D52FD0">
        <w:t xml:space="preserve"> </w:t>
      </w:r>
      <w:r w:rsidR="000A1AAE" w:rsidRPr="00A841AA">
        <w:t>both</w:t>
      </w:r>
      <w:r w:rsidR="00D52FD0">
        <w:t xml:space="preserve"> </w:t>
      </w:r>
      <w:r w:rsidR="000A1AAE" w:rsidRPr="00A841AA">
        <w:t>candidates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then</w:t>
      </w:r>
      <w:r w:rsidR="00D52FD0">
        <w:t xml:space="preserve"> </w:t>
      </w:r>
      <w:r w:rsidR="000A1AAE" w:rsidRPr="00A841AA">
        <w:t>nominate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most</w:t>
      </w:r>
      <w:r w:rsidR="00D52FD0">
        <w:t xml:space="preserve"> </w:t>
      </w:r>
      <w:r w:rsidR="000A1AAE" w:rsidRPr="00A841AA">
        <w:t>suitable</w:t>
      </w:r>
      <w:r w:rsidR="00D52FD0">
        <w:t xml:space="preserve"> </w:t>
      </w:r>
      <w:r w:rsidR="000A1AAE" w:rsidRPr="00A841AA">
        <w:t>candidate</w:t>
      </w:r>
      <w:r w:rsidR="00D52FD0">
        <w:t xml:space="preserve"> </w:t>
      </w:r>
      <w:r w:rsidR="000A1AAE" w:rsidRPr="00A841AA">
        <w:t>for</w:t>
      </w:r>
      <w:r w:rsidR="00D52FD0">
        <w:t xml:space="preserve"> </w:t>
      </w:r>
      <w:r w:rsidR="000A1AAE" w:rsidRPr="00A841AA">
        <w:t>a</w:t>
      </w:r>
      <w:r w:rsidR="00D52FD0">
        <w:t xml:space="preserve"> </w:t>
      </w:r>
      <w:r w:rsidR="000A1AAE" w:rsidRPr="00A841AA">
        <w:t>hearing</w:t>
      </w:r>
      <w:r w:rsidR="00D52FD0">
        <w:t xml:space="preserve"> </w:t>
      </w:r>
      <w:r w:rsidR="000A1AAE" w:rsidRPr="00A841AA">
        <w:t>before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Parliamentary</w:t>
      </w:r>
      <w:r w:rsidR="00D52FD0">
        <w:t xml:space="preserve"> </w:t>
      </w:r>
      <w:r w:rsidR="000A1AAE" w:rsidRPr="00A841AA">
        <w:t>Public</w:t>
      </w:r>
      <w:r w:rsidR="00D52FD0">
        <w:t xml:space="preserve"> </w:t>
      </w:r>
      <w:r w:rsidR="000A1AAE" w:rsidRPr="00A841AA">
        <w:t>Appointments</w:t>
      </w:r>
      <w:r w:rsidR="00D52FD0">
        <w:t xml:space="preserve"> </w:t>
      </w:r>
      <w:r w:rsidR="000A1AAE" w:rsidRPr="00A841AA">
        <w:t>Committee.</w:t>
      </w:r>
      <w:r w:rsidR="00D52FD0">
        <w:t xml:space="preserve"> </w:t>
      </w:r>
      <w:r w:rsidR="000A1AAE" w:rsidRPr="00A841AA">
        <w:t>If</w:t>
      </w:r>
      <w:r w:rsidR="00D52FD0">
        <w:t xml:space="preserve"> </w:t>
      </w:r>
      <w:r w:rsidR="000A1AAE" w:rsidRPr="00A841AA">
        <w:t>this</w:t>
      </w:r>
      <w:r w:rsidR="00D52FD0">
        <w:t xml:space="preserve"> </w:t>
      </w:r>
      <w:r w:rsidR="000A1AAE" w:rsidRPr="00A841AA">
        <w:t>Committee</w:t>
      </w:r>
      <w:r w:rsidR="00D52FD0">
        <w:t xml:space="preserve"> </w:t>
      </w:r>
      <w:r w:rsidR="000A1AAE" w:rsidRPr="00A841AA">
        <w:t>advises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favour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appointment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selected</w:t>
      </w:r>
      <w:r w:rsidR="00D52FD0">
        <w:t xml:space="preserve"> </w:t>
      </w:r>
      <w:r w:rsidR="000A1AAE" w:rsidRPr="00A841AA">
        <w:t>candidate,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Prime</w:t>
      </w:r>
      <w:r w:rsidR="00D52FD0">
        <w:t xml:space="preserve"> </w:t>
      </w:r>
      <w:r w:rsidR="000A1AAE" w:rsidRPr="00A841AA">
        <w:t>Minister</w:t>
      </w:r>
      <w:r w:rsidR="00D52FD0">
        <w:t xml:space="preserve"> </w:t>
      </w:r>
      <w:r w:rsidR="000A1AAE" w:rsidRPr="00A841AA">
        <w:t>shall</w:t>
      </w:r>
      <w:r w:rsidR="00D52FD0">
        <w:t xml:space="preserve"> </w:t>
      </w:r>
      <w:r w:rsidR="000A1AAE" w:rsidRPr="00A841AA">
        <w:t>appoint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selected</w:t>
      </w:r>
      <w:r w:rsidR="00D52FD0">
        <w:t xml:space="preserve"> </w:t>
      </w:r>
      <w:r w:rsidR="000A1AAE" w:rsidRPr="00A841AA">
        <w:t>candidate</w:t>
      </w:r>
      <w:r w:rsidR="00D52FD0">
        <w:t xml:space="preserve"> </w:t>
      </w:r>
      <w:r w:rsidR="000A1AAE" w:rsidRPr="00A841AA">
        <w:t>after</w:t>
      </w:r>
      <w:r w:rsidR="00D52FD0">
        <w:t xml:space="preserve"> </w:t>
      </w:r>
      <w:r w:rsidR="000A1AAE" w:rsidRPr="00A841AA">
        <w:t>consultation</w:t>
      </w:r>
      <w:r w:rsidR="00D52FD0">
        <w:t xml:space="preserve"> </w:t>
      </w:r>
      <w:r w:rsidR="000A1AAE" w:rsidRPr="00A841AA">
        <w:t>with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Public</w:t>
      </w:r>
      <w:r w:rsidR="00D52FD0">
        <w:t xml:space="preserve"> </w:t>
      </w:r>
      <w:r w:rsidR="000A1AAE" w:rsidRPr="00A841AA">
        <w:lastRenderedPageBreak/>
        <w:t>Service</w:t>
      </w:r>
      <w:r w:rsidR="00D52FD0">
        <w:t xml:space="preserve"> </w:t>
      </w:r>
      <w:r w:rsidR="000A1AAE" w:rsidRPr="00A841AA">
        <w:t>Commission.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current</w:t>
      </w:r>
      <w:r w:rsidR="00D52FD0">
        <w:t xml:space="preserve"> </w:t>
      </w:r>
      <w:r w:rsidR="000A1AAE" w:rsidRPr="00A841AA">
        <w:t>Police</w:t>
      </w:r>
      <w:r w:rsidR="00D52FD0">
        <w:t xml:space="preserve"> </w:t>
      </w:r>
      <w:r w:rsidR="000A1AAE" w:rsidRPr="00A841AA">
        <w:t>Commissioner</w:t>
      </w:r>
      <w:r w:rsidR="00D52FD0">
        <w:t xml:space="preserve"> </w:t>
      </w:r>
      <w:r w:rsidR="000A1AAE" w:rsidRPr="00A841AA">
        <w:t>has</w:t>
      </w:r>
      <w:r w:rsidR="00D52FD0">
        <w:t xml:space="preserve"> </w:t>
      </w:r>
      <w:r w:rsidR="000A1AAE" w:rsidRPr="00A841AA">
        <w:t>been</w:t>
      </w:r>
      <w:r w:rsidR="00D52FD0">
        <w:t xml:space="preserve"> </w:t>
      </w:r>
      <w:r w:rsidR="000A1AAE" w:rsidRPr="00A841AA">
        <w:t>appointed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June</w:t>
      </w:r>
      <w:r w:rsidR="00D52FD0">
        <w:t xml:space="preserve"> </w:t>
      </w:r>
      <w:r w:rsidR="000A1AAE" w:rsidRPr="00A841AA">
        <w:t>2020,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accordance</w:t>
      </w:r>
      <w:r w:rsidR="00D52FD0">
        <w:t xml:space="preserve"> </w:t>
      </w:r>
      <w:r w:rsidR="000A1AAE" w:rsidRPr="00A841AA">
        <w:t>with</w:t>
      </w:r>
      <w:r w:rsidR="00D52FD0">
        <w:t xml:space="preserve"> </w:t>
      </w:r>
      <w:r w:rsidR="000A1AAE" w:rsidRPr="00A841AA">
        <w:t>this</w:t>
      </w:r>
      <w:r w:rsidR="00D52FD0">
        <w:t xml:space="preserve"> </w:t>
      </w:r>
      <w:r w:rsidR="000A1AAE" w:rsidRPr="00A841AA">
        <w:t>new</w:t>
      </w:r>
      <w:r w:rsidR="00D52FD0">
        <w:t xml:space="preserve"> </w:t>
      </w:r>
      <w:r w:rsidR="000A1AAE" w:rsidRPr="00A841AA">
        <w:t>procedure.</w:t>
      </w:r>
    </w:p>
    <w:p w14:paraId="2A15E123" w14:textId="0BD84CED" w:rsidR="000A1AAE" w:rsidRPr="00A841AA" w:rsidRDefault="0044637E" w:rsidP="0044637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841AA">
        <w:t>96.</w:t>
      </w:r>
      <w:r w:rsidRPr="00A841AA">
        <w:tab/>
      </w:r>
      <w:r w:rsidR="000A1AAE" w:rsidRPr="00A841AA">
        <w:t>Following</w:t>
      </w:r>
      <w:r w:rsidR="00D52FD0">
        <w:t xml:space="preserve"> </w:t>
      </w:r>
      <w:r w:rsidR="000A1AAE" w:rsidRPr="00A841AA">
        <w:t>this,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Malta</w:t>
      </w:r>
      <w:r w:rsidR="00D52FD0">
        <w:t xml:space="preserve"> </w:t>
      </w:r>
      <w:r w:rsidR="000A1AAE" w:rsidRPr="00A841AA">
        <w:t>Police</w:t>
      </w:r>
      <w:r w:rsidR="00D52FD0">
        <w:t xml:space="preserve"> </w:t>
      </w:r>
      <w:r w:rsidR="000A1AAE" w:rsidRPr="00A841AA">
        <w:t>Force</w:t>
      </w:r>
      <w:r w:rsidR="00D52FD0">
        <w:t xml:space="preserve"> </w:t>
      </w:r>
      <w:r w:rsidR="000A1AAE" w:rsidRPr="00A841AA">
        <w:t>launched</w:t>
      </w:r>
      <w:r w:rsidR="00D52FD0">
        <w:t xml:space="preserve"> </w:t>
      </w:r>
      <w:r w:rsidR="000A1AAE" w:rsidRPr="00A841AA">
        <w:t>its</w:t>
      </w:r>
      <w:r w:rsidR="00D52FD0">
        <w:t xml:space="preserve"> </w:t>
      </w:r>
      <w:r w:rsidR="000A1AAE" w:rsidRPr="00A841AA">
        <w:t>Transformation</w:t>
      </w:r>
      <w:r w:rsidR="00D52FD0">
        <w:t xml:space="preserve"> </w:t>
      </w:r>
      <w:r w:rsidR="000A1AAE" w:rsidRPr="00A841AA">
        <w:t>Strategy</w:t>
      </w:r>
      <w:r w:rsidR="00D52FD0">
        <w:t xml:space="preserve"> </w:t>
      </w:r>
      <w:r w:rsidR="000A1AAE" w:rsidRPr="00A841AA">
        <w:t>for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years</w:t>
      </w:r>
      <w:r w:rsidR="00D52FD0">
        <w:t xml:space="preserve"> </w:t>
      </w:r>
      <w:r w:rsidR="000A1AAE" w:rsidRPr="00A841AA">
        <w:t>2020</w:t>
      </w:r>
      <w:r w:rsidR="00F14DA3">
        <w:t>–</w:t>
      </w:r>
      <w:r w:rsidR="000A1AAE" w:rsidRPr="00A841AA">
        <w:t>2025.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desired</w:t>
      </w:r>
      <w:r w:rsidR="00D52FD0">
        <w:t xml:space="preserve"> </w:t>
      </w:r>
      <w:r w:rsidR="000A1AAE" w:rsidRPr="00A841AA">
        <w:t>outcomes</w:t>
      </w:r>
      <w:r w:rsidR="00D52FD0">
        <w:t xml:space="preserve"> </w:t>
      </w:r>
      <w:r w:rsidR="000A1AAE" w:rsidRPr="00A841AA">
        <w:t>are</w:t>
      </w:r>
      <w:r w:rsidR="00D52FD0">
        <w:t xml:space="preserve"> </w:t>
      </w:r>
      <w:r w:rsidR="000A1AAE" w:rsidRPr="00A841AA">
        <w:t>as</w:t>
      </w:r>
      <w:r w:rsidR="00D52FD0">
        <w:t xml:space="preserve"> </w:t>
      </w:r>
      <w:r w:rsidR="000A1AAE" w:rsidRPr="00A841AA">
        <w:t>follows:</w:t>
      </w:r>
      <w:r w:rsidR="00D52FD0">
        <w:t xml:space="preserve"> </w:t>
      </w:r>
      <w:r w:rsidR="000A1AAE" w:rsidRPr="00A841AA">
        <w:t>i)</w:t>
      </w:r>
      <w:r w:rsidR="00D52FD0">
        <w:t xml:space="preserve"> </w:t>
      </w:r>
      <w:r w:rsidR="000A1AAE" w:rsidRPr="00A841AA">
        <w:t>increase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trust,</w:t>
      </w:r>
      <w:r w:rsidR="00D52FD0">
        <w:t xml:space="preserve"> </w:t>
      </w:r>
      <w:r w:rsidR="000A1AAE" w:rsidRPr="00A841AA">
        <w:t>confidence,</w:t>
      </w:r>
      <w:r w:rsidR="00D52FD0">
        <w:t xml:space="preserve"> </w:t>
      </w:r>
      <w:r w:rsidR="000A1AAE" w:rsidRPr="00A841AA">
        <w:t>legitimacy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responsiveness</w:t>
      </w:r>
      <w:r w:rsidR="00D52FD0">
        <w:t xml:space="preserve"> </w:t>
      </w:r>
      <w:r w:rsidR="000A1AAE" w:rsidRPr="00A841AA">
        <w:t>externally</w:t>
      </w:r>
      <w:r w:rsidR="00D52FD0">
        <w:t xml:space="preserve"> </w:t>
      </w:r>
      <w:r w:rsidR="000A1AAE" w:rsidRPr="00A841AA">
        <w:t>from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perspective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community,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internally</w:t>
      </w:r>
      <w:r w:rsidR="00D52FD0">
        <w:t xml:space="preserve"> </w:t>
      </w:r>
      <w:r w:rsidR="000A1AAE" w:rsidRPr="00A841AA">
        <w:t>from</w:t>
      </w:r>
      <w:r w:rsidR="00D52FD0">
        <w:t xml:space="preserve"> </w:t>
      </w:r>
      <w:r w:rsidR="000A1AAE" w:rsidRPr="00A841AA">
        <w:t>police</w:t>
      </w:r>
      <w:r w:rsidR="00D52FD0">
        <w:t xml:space="preserve"> </w:t>
      </w:r>
      <w:r w:rsidR="000A1AAE" w:rsidRPr="00A841AA">
        <w:t>officers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staff;</w:t>
      </w:r>
      <w:r w:rsidR="00D52FD0">
        <w:t xml:space="preserve"> </w:t>
      </w:r>
      <w:r w:rsidR="000A1AAE" w:rsidRPr="00A841AA">
        <w:t>(ii)</w:t>
      </w:r>
      <w:r w:rsidR="00D52FD0">
        <w:t xml:space="preserve"> </w:t>
      </w:r>
      <w:r w:rsidR="000A1AAE" w:rsidRPr="00A841AA">
        <w:t>transformation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current</w:t>
      </w:r>
      <w:r w:rsidR="00D52FD0">
        <w:t xml:space="preserve"> </w:t>
      </w:r>
      <w:r w:rsidR="000A1AAE" w:rsidRPr="00A841AA">
        <w:t>police</w:t>
      </w:r>
      <w:r w:rsidR="00D52FD0">
        <w:t xml:space="preserve"> </w:t>
      </w:r>
      <w:r w:rsidR="000A1AAE" w:rsidRPr="00A841AA">
        <w:t>organisation</w:t>
      </w:r>
      <w:r w:rsidR="00D52FD0">
        <w:t xml:space="preserve"> </w:t>
      </w:r>
      <w:r w:rsidR="000A1AAE" w:rsidRPr="00A841AA">
        <w:t>into</w:t>
      </w:r>
      <w:r w:rsidR="00D52FD0">
        <w:t xml:space="preserve"> </w:t>
      </w:r>
      <w:r w:rsidR="000A1AAE" w:rsidRPr="00A841AA">
        <w:t>a</w:t>
      </w:r>
      <w:r w:rsidR="00D52FD0">
        <w:t xml:space="preserve"> </w:t>
      </w:r>
      <w:r w:rsidR="000A1AAE" w:rsidRPr="00A841AA">
        <w:t>flexible,</w:t>
      </w:r>
      <w:r w:rsidR="00D52FD0">
        <w:t xml:space="preserve"> </w:t>
      </w:r>
      <w:r w:rsidR="000A1AAE" w:rsidRPr="00A841AA">
        <w:t>efficient,</w:t>
      </w:r>
      <w:r w:rsidR="00D52FD0">
        <w:t xml:space="preserve"> </w:t>
      </w:r>
      <w:r w:rsidR="000A1AAE" w:rsidRPr="00A841AA">
        <w:t>data-driven,</w:t>
      </w:r>
      <w:r w:rsidR="00D52FD0">
        <w:t xml:space="preserve"> </w:t>
      </w:r>
      <w:r w:rsidR="000A1AAE" w:rsidRPr="00A841AA">
        <w:t>community</w:t>
      </w:r>
      <w:r w:rsidR="00D52FD0">
        <w:t xml:space="preserve"> </w:t>
      </w:r>
      <w:r w:rsidR="000A1AAE" w:rsidRPr="00A841AA">
        <w:t>centric,</w:t>
      </w:r>
      <w:r w:rsidR="00D52FD0">
        <w:t xml:space="preserve"> </w:t>
      </w:r>
      <w:r w:rsidR="000A1AAE" w:rsidRPr="00A841AA">
        <w:t>outcome-focused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modern</w:t>
      </w:r>
      <w:r w:rsidR="00D52FD0">
        <w:t xml:space="preserve"> </w:t>
      </w:r>
      <w:r w:rsidR="000A1AAE" w:rsidRPr="00A841AA">
        <w:t>Police</w:t>
      </w:r>
      <w:r w:rsidR="00D52FD0">
        <w:t xml:space="preserve"> </w:t>
      </w:r>
      <w:r w:rsidR="000A1AAE" w:rsidRPr="00A841AA">
        <w:t>Force;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(iii)</w:t>
      </w:r>
      <w:r w:rsidR="00D52FD0">
        <w:t xml:space="preserve"> </w:t>
      </w:r>
      <w:r w:rsidR="000A1AAE" w:rsidRPr="00A841AA">
        <w:t>innovation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sustainment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positive</w:t>
      </w:r>
      <w:r w:rsidR="00D52FD0">
        <w:t xml:space="preserve"> </w:t>
      </w:r>
      <w:r w:rsidR="000A1AAE" w:rsidRPr="00A841AA">
        <w:t>changes</w:t>
      </w:r>
      <w:r w:rsidR="00D52FD0">
        <w:t xml:space="preserve"> </w:t>
      </w:r>
      <w:r w:rsidR="000A1AAE" w:rsidRPr="00A841AA">
        <w:t>resulting</w:t>
      </w:r>
      <w:r w:rsidR="00D52FD0">
        <w:t xml:space="preserve"> </w:t>
      </w:r>
      <w:r w:rsidR="000A1AAE" w:rsidRPr="00A841AA">
        <w:t>from</w:t>
      </w:r>
      <w:r w:rsidR="00D52FD0">
        <w:t xml:space="preserve"> </w:t>
      </w:r>
      <w:r w:rsidR="000A1AAE" w:rsidRPr="00A841AA">
        <w:t>reform</w:t>
      </w:r>
      <w:r w:rsidR="00D52FD0">
        <w:t xml:space="preserve"> </w:t>
      </w:r>
      <w:r w:rsidR="000A1AAE" w:rsidRPr="00A841AA">
        <w:t>through</w:t>
      </w:r>
      <w:r w:rsidR="00D52FD0">
        <w:t xml:space="preserve"> </w:t>
      </w:r>
      <w:r w:rsidR="000A1AAE" w:rsidRPr="00A841AA">
        <w:t>leadership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management</w:t>
      </w:r>
      <w:r w:rsidR="00D52FD0">
        <w:t xml:space="preserve"> </w:t>
      </w:r>
      <w:r w:rsidR="000A1AAE" w:rsidRPr="00A841AA">
        <w:t>practices</w:t>
      </w:r>
      <w:r w:rsidR="00D52FD0">
        <w:t xml:space="preserve"> </w:t>
      </w:r>
      <w:r w:rsidR="000A1AAE" w:rsidRPr="00A841AA">
        <w:t>that</w:t>
      </w:r>
      <w:r w:rsidR="00D52FD0">
        <w:t xml:space="preserve"> </w:t>
      </w:r>
      <w:r w:rsidR="000A1AAE" w:rsidRPr="00A841AA">
        <w:t>are</w:t>
      </w:r>
      <w:r w:rsidR="00D52FD0">
        <w:t xml:space="preserve"> </w:t>
      </w:r>
      <w:r w:rsidR="000A1AAE" w:rsidRPr="00A841AA">
        <w:t>both</w:t>
      </w:r>
      <w:r w:rsidR="00D52FD0">
        <w:t xml:space="preserve"> </w:t>
      </w:r>
      <w:r w:rsidR="000A1AAE" w:rsidRPr="00A841AA">
        <w:t>effective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efficient.</w:t>
      </w:r>
    </w:p>
    <w:p w14:paraId="6B48BB7D" w14:textId="4F79B9C3" w:rsidR="000E4FD0" w:rsidRDefault="0044637E" w:rsidP="0044637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>
        <w:t>97.</w:t>
      </w:r>
      <w:r>
        <w:tab/>
      </w:r>
      <w:r w:rsidR="000A1AAE" w:rsidRPr="00A841AA">
        <w:t>Eleven</w:t>
      </w:r>
      <w:r w:rsidR="00D52FD0">
        <w:t xml:space="preserve"> </w:t>
      </w:r>
      <w:r w:rsidR="000A1AAE" w:rsidRPr="00A841AA">
        <w:t>strategic</w:t>
      </w:r>
      <w:r w:rsidR="00D52FD0">
        <w:t xml:space="preserve"> </w:t>
      </w:r>
      <w:r w:rsidR="000A1AAE" w:rsidRPr="00A841AA">
        <w:t>objectives</w:t>
      </w:r>
      <w:r w:rsidR="00D52FD0">
        <w:t xml:space="preserve"> </w:t>
      </w:r>
      <w:r w:rsidR="000A1AAE" w:rsidRPr="00A841AA">
        <w:t>have</w:t>
      </w:r>
      <w:r w:rsidR="00D52FD0">
        <w:t xml:space="preserve"> </w:t>
      </w:r>
      <w:r w:rsidR="000A1AAE" w:rsidRPr="00A841AA">
        <w:t>been</w:t>
      </w:r>
      <w:r w:rsidR="00D52FD0">
        <w:t xml:space="preserve"> </w:t>
      </w:r>
      <w:r w:rsidR="000A1AAE" w:rsidRPr="00A841AA">
        <w:t>identified</w:t>
      </w:r>
      <w:r w:rsidR="00D52FD0">
        <w:t xml:space="preserve"> </w:t>
      </w:r>
      <w:r w:rsidR="000A1AAE" w:rsidRPr="00A841AA">
        <w:t>based</w:t>
      </w:r>
      <w:r w:rsidR="00D52FD0">
        <w:t xml:space="preserve"> </w:t>
      </w:r>
      <w:r w:rsidR="000A1AAE" w:rsidRPr="00A841AA">
        <w:t>on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three</w:t>
      </w:r>
      <w:r w:rsidR="00D52FD0">
        <w:t xml:space="preserve"> </w:t>
      </w:r>
      <w:r w:rsidR="000A1AAE" w:rsidRPr="00A841AA">
        <w:t>desired</w:t>
      </w:r>
      <w:r w:rsidR="00D52FD0">
        <w:t xml:space="preserve"> </w:t>
      </w:r>
      <w:r w:rsidR="000A1AAE" w:rsidRPr="00A841AA">
        <w:t>outcomes.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key</w:t>
      </w:r>
      <w:r w:rsidR="00D52FD0">
        <w:t xml:space="preserve"> </w:t>
      </w:r>
      <w:r w:rsidR="000A1AAE" w:rsidRPr="00A841AA">
        <w:t>strategic</w:t>
      </w:r>
      <w:r w:rsidR="00D52FD0">
        <w:t xml:space="preserve"> </w:t>
      </w:r>
      <w:r w:rsidR="000A1AAE" w:rsidRPr="00A841AA">
        <w:t>objectives</w:t>
      </w:r>
      <w:r w:rsidR="00D52FD0">
        <w:t xml:space="preserve"> </w:t>
      </w:r>
      <w:r w:rsidR="000A1AAE" w:rsidRPr="00A841AA">
        <w:t>most</w:t>
      </w:r>
      <w:r w:rsidR="00D52FD0">
        <w:t xml:space="preserve"> </w:t>
      </w:r>
      <w:r w:rsidR="000A1AAE" w:rsidRPr="00A841AA">
        <w:t>relevant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material</w:t>
      </w:r>
      <w:r w:rsidR="00D52FD0">
        <w:t xml:space="preserve"> </w:t>
      </w:r>
      <w:r w:rsidR="000A1AAE" w:rsidRPr="00A841AA">
        <w:t>scope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European</w:t>
      </w:r>
      <w:r w:rsidR="00D52FD0">
        <w:t xml:space="preserve"> </w:t>
      </w:r>
      <w:r w:rsidR="000A1AAE" w:rsidRPr="00A841AA">
        <w:t>Rule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Law</w:t>
      </w:r>
      <w:r w:rsidR="00D52FD0">
        <w:t xml:space="preserve"> </w:t>
      </w:r>
      <w:r w:rsidR="000A1AAE" w:rsidRPr="00A841AA">
        <w:t>Mechanism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overall</w:t>
      </w:r>
      <w:r w:rsidR="00D52FD0">
        <w:t xml:space="preserve"> </w:t>
      </w:r>
      <w:r w:rsidR="000A1AAE" w:rsidRPr="00A841AA">
        <w:t>institutional</w:t>
      </w:r>
      <w:r w:rsidR="00D52FD0">
        <w:t xml:space="preserve"> </w:t>
      </w:r>
      <w:r w:rsidR="000A1AAE" w:rsidRPr="00A841AA">
        <w:t>reforms</w:t>
      </w:r>
      <w:r w:rsidR="00D52FD0">
        <w:t xml:space="preserve"> </w:t>
      </w:r>
      <w:r w:rsidR="000A1AAE" w:rsidRPr="00A841AA">
        <w:t>being</w:t>
      </w:r>
      <w:r w:rsidR="00D52FD0">
        <w:t xml:space="preserve"> </w:t>
      </w:r>
      <w:r w:rsidR="000A1AAE" w:rsidRPr="00A841AA">
        <w:t>undertaken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Malta</w:t>
      </w:r>
      <w:r w:rsidR="00D52FD0">
        <w:t xml:space="preserve"> </w:t>
      </w:r>
      <w:r w:rsidR="000A1AAE" w:rsidRPr="00A841AA">
        <w:t>are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following:</w:t>
      </w:r>
    </w:p>
    <w:p w14:paraId="1EF8D663" w14:textId="77777777" w:rsidR="000E4FD0" w:rsidRDefault="005E3E76" w:rsidP="005E3E76">
      <w:pPr>
        <w:pStyle w:val="ParaNoG"/>
        <w:numPr>
          <w:ilvl w:val="0"/>
          <w:numId w:val="0"/>
        </w:numPr>
        <w:ind w:left="1134"/>
      </w:pPr>
      <w:r>
        <w:tab/>
      </w:r>
      <w:r w:rsidR="000A1AAE">
        <w:t>(a)</w:t>
      </w:r>
      <w:r w:rsidR="000A1AAE" w:rsidRPr="00825CCA">
        <w:tab/>
        <w:t>To</w:t>
      </w:r>
      <w:r w:rsidR="00D52FD0">
        <w:t xml:space="preserve"> </w:t>
      </w:r>
      <w:r w:rsidR="000A1AAE" w:rsidRPr="00825CCA">
        <w:t>communicate</w:t>
      </w:r>
      <w:r w:rsidR="00D52FD0">
        <w:t xml:space="preserve"> </w:t>
      </w:r>
      <w:r w:rsidR="000A1AAE" w:rsidRPr="00825CCA">
        <w:t>with</w:t>
      </w:r>
      <w:r w:rsidR="00D52FD0">
        <w:t xml:space="preserve"> </w:t>
      </w:r>
      <w:r w:rsidR="000A1AAE" w:rsidRPr="00825CCA">
        <w:t>the</w:t>
      </w:r>
      <w:r w:rsidR="00D52FD0">
        <w:t xml:space="preserve"> </w:t>
      </w:r>
      <w:r w:rsidR="000A1AAE" w:rsidRPr="00825CCA">
        <w:t>public</w:t>
      </w:r>
      <w:r w:rsidR="00D52FD0">
        <w:t xml:space="preserve"> </w:t>
      </w:r>
      <w:r w:rsidR="000A1AAE" w:rsidRPr="00825CCA">
        <w:t>in</w:t>
      </w:r>
      <w:r w:rsidR="00D52FD0">
        <w:t xml:space="preserve"> </w:t>
      </w:r>
      <w:r w:rsidR="000A1AAE" w:rsidRPr="00825CCA">
        <w:t>a</w:t>
      </w:r>
      <w:r w:rsidR="00D52FD0">
        <w:t xml:space="preserve"> </w:t>
      </w:r>
      <w:r w:rsidR="000A1AAE" w:rsidRPr="00825CCA">
        <w:t>clear,</w:t>
      </w:r>
      <w:r w:rsidR="00D52FD0">
        <w:t xml:space="preserve"> </w:t>
      </w:r>
      <w:r w:rsidR="000A1AAE" w:rsidRPr="00825CCA">
        <w:t>consistent</w:t>
      </w:r>
      <w:r w:rsidR="00D52FD0">
        <w:t xml:space="preserve"> </w:t>
      </w:r>
      <w:r w:rsidR="000A1AAE" w:rsidRPr="00825CCA">
        <w:t>and</w:t>
      </w:r>
      <w:r w:rsidR="00D52FD0">
        <w:t xml:space="preserve"> </w:t>
      </w:r>
      <w:r w:rsidR="000A1AAE" w:rsidRPr="00825CCA">
        <w:t>transparent</w:t>
      </w:r>
      <w:r w:rsidR="00D52FD0">
        <w:t xml:space="preserve"> </w:t>
      </w:r>
      <w:r w:rsidR="000A1AAE" w:rsidRPr="00825CCA">
        <w:t>manner:</w:t>
      </w:r>
      <w:r w:rsidR="00D52FD0">
        <w:t xml:space="preserve"> </w:t>
      </w:r>
      <w:r w:rsidR="000A1AAE" w:rsidRPr="00825CCA">
        <w:t>This</w:t>
      </w:r>
      <w:r w:rsidR="00D52FD0">
        <w:t xml:space="preserve"> </w:t>
      </w:r>
      <w:r w:rsidR="000A1AAE" w:rsidRPr="00825CCA">
        <w:t>would</w:t>
      </w:r>
      <w:r w:rsidR="00D52FD0">
        <w:t xml:space="preserve"> </w:t>
      </w:r>
      <w:r w:rsidR="000A1AAE" w:rsidRPr="00825CCA">
        <w:t>be</w:t>
      </w:r>
      <w:r w:rsidR="00D52FD0">
        <w:t xml:space="preserve"> </w:t>
      </w:r>
      <w:r w:rsidR="000A1AAE" w:rsidRPr="00825CCA">
        <w:t>done</w:t>
      </w:r>
      <w:r w:rsidR="00D52FD0">
        <w:t xml:space="preserve"> </w:t>
      </w:r>
      <w:r w:rsidR="000A1AAE" w:rsidRPr="00825CCA">
        <w:t>through</w:t>
      </w:r>
      <w:r w:rsidR="00D52FD0">
        <w:t xml:space="preserve"> </w:t>
      </w:r>
      <w:r w:rsidR="000A1AAE" w:rsidRPr="00825CCA">
        <w:t>holding</w:t>
      </w:r>
      <w:r w:rsidR="00D52FD0">
        <w:t xml:space="preserve"> </w:t>
      </w:r>
      <w:r w:rsidR="000A1AAE" w:rsidRPr="00825CCA">
        <w:t>frequent</w:t>
      </w:r>
      <w:r w:rsidR="00D52FD0">
        <w:t xml:space="preserve"> </w:t>
      </w:r>
      <w:r w:rsidR="000A1AAE" w:rsidRPr="00825CCA">
        <w:t>and</w:t>
      </w:r>
      <w:r w:rsidR="00D52FD0">
        <w:t xml:space="preserve"> </w:t>
      </w:r>
      <w:r w:rsidR="000A1AAE" w:rsidRPr="00825CCA">
        <w:t>open</w:t>
      </w:r>
      <w:r w:rsidR="00D52FD0">
        <w:t xml:space="preserve"> </w:t>
      </w:r>
      <w:r w:rsidR="000A1AAE" w:rsidRPr="00825CCA">
        <w:t>consultation</w:t>
      </w:r>
      <w:r w:rsidR="00D52FD0">
        <w:t xml:space="preserve"> </w:t>
      </w:r>
      <w:r w:rsidR="000A1AAE" w:rsidRPr="00825CCA">
        <w:t>with</w:t>
      </w:r>
      <w:r w:rsidR="00D52FD0">
        <w:t xml:space="preserve"> </w:t>
      </w:r>
      <w:r w:rsidR="000A1AAE" w:rsidRPr="00825CCA">
        <w:t>public</w:t>
      </w:r>
      <w:r w:rsidR="00D52FD0">
        <w:t xml:space="preserve"> </w:t>
      </w:r>
      <w:r w:rsidR="000A1AAE" w:rsidRPr="00825CCA">
        <w:t>interest</w:t>
      </w:r>
      <w:r w:rsidR="00D52FD0">
        <w:t xml:space="preserve"> </w:t>
      </w:r>
      <w:r w:rsidR="000A1AAE" w:rsidRPr="00825CCA">
        <w:t>bodies,</w:t>
      </w:r>
      <w:r w:rsidR="00D52FD0">
        <w:t xml:space="preserve"> </w:t>
      </w:r>
      <w:r w:rsidR="000A1AAE" w:rsidRPr="00825CCA">
        <w:t>holding</w:t>
      </w:r>
      <w:r w:rsidR="00D52FD0">
        <w:t xml:space="preserve"> </w:t>
      </w:r>
      <w:r w:rsidR="000A1AAE" w:rsidRPr="00825CCA">
        <w:t>periodic</w:t>
      </w:r>
      <w:r w:rsidR="00D52FD0">
        <w:t xml:space="preserve"> </w:t>
      </w:r>
      <w:r w:rsidR="000A1AAE" w:rsidRPr="00825CCA">
        <w:t>press</w:t>
      </w:r>
      <w:r w:rsidR="00D52FD0">
        <w:t xml:space="preserve"> </w:t>
      </w:r>
      <w:r w:rsidR="000A1AAE" w:rsidRPr="00825CCA">
        <w:t>briefings,</w:t>
      </w:r>
      <w:r w:rsidR="00D52FD0">
        <w:t xml:space="preserve"> </w:t>
      </w:r>
      <w:r w:rsidR="000A1AAE" w:rsidRPr="00825CCA">
        <w:t>listening</w:t>
      </w:r>
      <w:r w:rsidR="00D52FD0">
        <w:t xml:space="preserve"> </w:t>
      </w:r>
      <w:r w:rsidR="000A1AAE" w:rsidRPr="00825CCA">
        <w:t>to</w:t>
      </w:r>
      <w:r w:rsidR="00D52FD0">
        <w:t xml:space="preserve"> </w:t>
      </w:r>
      <w:r w:rsidR="000A1AAE" w:rsidRPr="00825CCA">
        <w:t>feedback</w:t>
      </w:r>
      <w:r w:rsidR="00D52FD0">
        <w:t xml:space="preserve"> </w:t>
      </w:r>
      <w:r w:rsidR="000A1AAE" w:rsidRPr="00825CCA">
        <w:t>from</w:t>
      </w:r>
      <w:r w:rsidR="00D52FD0">
        <w:t xml:space="preserve"> </w:t>
      </w:r>
      <w:r w:rsidR="000A1AAE" w:rsidRPr="00825CCA">
        <w:t>the</w:t>
      </w:r>
      <w:r w:rsidR="00D52FD0">
        <w:t xml:space="preserve"> </w:t>
      </w:r>
      <w:r w:rsidR="000A1AAE" w:rsidRPr="00825CCA">
        <w:t>public</w:t>
      </w:r>
      <w:r w:rsidR="00D52FD0">
        <w:t xml:space="preserve"> </w:t>
      </w:r>
      <w:r w:rsidR="000A1AAE" w:rsidRPr="00825CCA">
        <w:t>about</w:t>
      </w:r>
      <w:r w:rsidR="00D52FD0">
        <w:t xml:space="preserve"> </w:t>
      </w:r>
      <w:r w:rsidR="000A1AAE" w:rsidRPr="00825CCA">
        <w:t>the</w:t>
      </w:r>
      <w:r w:rsidR="00D52FD0">
        <w:t xml:space="preserve"> </w:t>
      </w:r>
      <w:r w:rsidR="000A1AAE" w:rsidRPr="00825CCA">
        <w:t>service</w:t>
      </w:r>
      <w:r w:rsidR="00D52FD0">
        <w:t xml:space="preserve"> </w:t>
      </w:r>
      <w:r w:rsidR="000A1AAE" w:rsidRPr="00825CCA">
        <w:t>by</w:t>
      </w:r>
      <w:r w:rsidR="00D52FD0">
        <w:t xml:space="preserve"> </w:t>
      </w:r>
      <w:r w:rsidR="000A1AAE" w:rsidRPr="00825CCA">
        <w:t>the</w:t>
      </w:r>
      <w:r w:rsidR="00D52FD0">
        <w:t xml:space="preserve"> </w:t>
      </w:r>
      <w:r w:rsidR="000A1AAE" w:rsidRPr="00825CCA">
        <w:t>police</w:t>
      </w:r>
      <w:r w:rsidR="00D52FD0">
        <w:t xml:space="preserve"> </w:t>
      </w:r>
      <w:r w:rsidR="000A1AAE" w:rsidRPr="00825CCA">
        <w:t>etc.</w:t>
      </w:r>
    </w:p>
    <w:p w14:paraId="3ECC4974" w14:textId="77777777" w:rsidR="000E4FD0" w:rsidRDefault="005E3E76" w:rsidP="005E3E76">
      <w:pPr>
        <w:pStyle w:val="ParaNoG"/>
        <w:numPr>
          <w:ilvl w:val="0"/>
          <w:numId w:val="0"/>
        </w:numPr>
        <w:ind w:left="1134"/>
      </w:pPr>
      <w:r>
        <w:tab/>
      </w:r>
      <w:r w:rsidR="000A1AAE">
        <w:t>(b)</w:t>
      </w:r>
      <w:r w:rsidR="000A1AAE" w:rsidRPr="00825CCA">
        <w:tab/>
        <w:t>Holding</w:t>
      </w:r>
      <w:r w:rsidR="00D52FD0">
        <w:t xml:space="preserve"> </w:t>
      </w:r>
      <w:r w:rsidR="000A1AAE" w:rsidRPr="00825CCA">
        <w:t>itself</w:t>
      </w:r>
      <w:r w:rsidR="00D52FD0">
        <w:t xml:space="preserve"> </w:t>
      </w:r>
      <w:r w:rsidR="000A1AAE" w:rsidRPr="00825CCA">
        <w:t>accountable</w:t>
      </w:r>
      <w:r w:rsidR="00D52FD0">
        <w:t xml:space="preserve"> </w:t>
      </w:r>
      <w:r w:rsidR="000A1AAE" w:rsidRPr="00825CCA">
        <w:t>at</w:t>
      </w:r>
      <w:r w:rsidR="00D52FD0">
        <w:t xml:space="preserve"> </w:t>
      </w:r>
      <w:r w:rsidR="000A1AAE" w:rsidRPr="00825CCA">
        <w:t>all</w:t>
      </w:r>
      <w:r w:rsidR="00D52FD0">
        <w:t xml:space="preserve"> </w:t>
      </w:r>
      <w:r w:rsidR="000A1AAE" w:rsidRPr="00825CCA">
        <w:t>times:</w:t>
      </w:r>
      <w:r w:rsidR="00D52FD0">
        <w:t xml:space="preserve"> </w:t>
      </w:r>
      <w:r w:rsidR="000A1AAE" w:rsidRPr="00825CCA">
        <w:t>This</w:t>
      </w:r>
      <w:r w:rsidR="00D52FD0">
        <w:t xml:space="preserve"> </w:t>
      </w:r>
      <w:r w:rsidR="000A1AAE" w:rsidRPr="00825CCA">
        <w:t>would</w:t>
      </w:r>
      <w:r w:rsidR="00D52FD0">
        <w:t xml:space="preserve"> </w:t>
      </w:r>
      <w:r w:rsidR="000A1AAE" w:rsidRPr="00825CCA">
        <w:t>be</w:t>
      </w:r>
      <w:r w:rsidR="00D52FD0">
        <w:t xml:space="preserve"> </w:t>
      </w:r>
      <w:r w:rsidR="000A1AAE" w:rsidRPr="00825CCA">
        <w:t>done</w:t>
      </w:r>
      <w:r w:rsidR="00D52FD0">
        <w:t xml:space="preserve"> </w:t>
      </w:r>
      <w:r w:rsidR="000A1AAE" w:rsidRPr="00825CCA">
        <w:t>by</w:t>
      </w:r>
      <w:r w:rsidR="00D52FD0">
        <w:t xml:space="preserve"> </w:t>
      </w:r>
      <w:r w:rsidR="000A1AAE" w:rsidRPr="00825CCA">
        <w:t>drawing</w:t>
      </w:r>
      <w:r w:rsidR="00D52FD0">
        <w:t xml:space="preserve"> </w:t>
      </w:r>
      <w:r w:rsidR="000A1AAE" w:rsidRPr="00825CCA">
        <w:t>up</w:t>
      </w:r>
      <w:r w:rsidR="00D52FD0">
        <w:t xml:space="preserve"> </w:t>
      </w:r>
      <w:r w:rsidR="000A1AAE" w:rsidRPr="00825CCA">
        <w:t>internal</w:t>
      </w:r>
      <w:r w:rsidR="00D52FD0">
        <w:t xml:space="preserve"> </w:t>
      </w:r>
      <w:r w:rsidR="000A1AAE" w:rsidRPr="00825CCA">
        <w:t>performance</w:t>
      </w:r>
      <w:r w:rsidR="00D52FD0">
        <w:t xml:space="preserve"> </w:t>
      </w:r>
      <w:r w:rsidR="000A1AAE" w:rsidRPr="00825CCA">
        <w:t>targets,</w:t>
      </w:r>
      <w:r w:rsidR="00D52FD0">
        <w:t xml:space="preserve"> </w:t>
      </w:r>
      <w:r w:rsidR="000A1AAE" w:rsidRPr="00825CCA">
        <w:t>publishing</w:t>
      </w:r>
      <w:r w:rsidR="00D52FD0">
        <w:t xml:space="preserve"> </w:t>
      </w:r>
      <w:r w:rsidR="000A1AAE" w:rsidRPr="00825CCA">
        <w:t>key</w:t>
      </w:r>
      <w:r w:rsidR="00D52FD0">
        <w:t xml:space="preserve"> </w:t>
      </w:r>
      <w:r w:rsidR="000A1AAE" w:rsidRPr="00825CCA">
        <w:t>indicators</w:t>
      </w:r>
      <w:r w:rsidR="00D52FD0">
        <w:t xml:space="preserve"> </w:t>
      </w:r>
      <w:r w:rsidR="000A1AAE" w:rsidRPr="00825CCA">
        <w:t>on</w:t>
      </w:r>
      <w:r w:rsidR="00D52FD0">
        <w:t xml:space="preserve"> </w:t>
      </w:r>
      <w:r w:rsidR="000A1AAE" w:rsidRPr="00825CCA">
        <w:t>the</w:t>
      </w:r>
      <w:r w:rsidR="00D52FD0">
        <w:t xml:space="preserve"> </w:t>
      </w:r>
      <w:r w:rsidR="000A1AAE" w:rsidRPr="00825CCA">
        <w:t>performance</w:t>
      </w:r>
      <w:r w:rsidR="00D52FD0">
        <w:t xml:space="preserve"> </w:t>
      </w:r>
      <w:r w:rsidR="000A1AAE" w:rsidRPr="00825CCA">
        <w:t>of</w:t>
      </w:r>
      <w:r w:rsidR="00D52FD0">
        <w:t xml:space="preserve"> </w:t>
      </w:r>
      <w:r w:rsidR="000A1AAE" w:rsidRPr="00825CCA">
        <w:t>the</w:t>
      </w:r>
      <w:r w:rsidR="00D52FD0">
        <w:t xml:space="preserve"> </w:t>
      </w:r>
      <w:r w:rsidR="000A1AAE" w:rsidRPr="00825CCA">
        <w:t>Force</w:t>
      </w:r>
      <w:r w:rsidR="00D52FD0">
        <w:t xml:space="preserve"> </w:t>
      </w:r>
      <w:r w:rsidR="000A1AAE" w:rsidRPr="00825CCA">
        <w:t>and</w:t>
      </w:r>
      <w:r w:rsidR="00D52FD0">
        <w:t xml:space="preserve"> </w:t>
      </w:r>
      <w:r w:rsidR="000A1AAE" w:rsidRPr="00825CCA">
        <w:t>implementing</w:t>
      </w:r>
      <w:r w:rsidR="00D52FD0">
        <w:t xml:space="preserve"> </w:t>
      </w:r>
      <w:r w:rsidR="000A1AAE" w:rsidRPr="00825CCA">
        <w:t>operational</w:t>
      </w:r>
      <w:r w:rsidR="00D52FD0">
        <w:t xml:space="preserve"> </w:t>
      </w:r>
      <w:r w:rsidR="000A1AAE" w:rsidRPr="00825CCA">
        <w:t>internal</w:t>
      </w:r>
      <w:r w:rsidR="00D52FD0">
        <w:t xml:space="preserve"> </w:t>
      </w:r>
      <w:r w:rsidR="000A1AAE" w:rsidRPr="00825CCA">
        <w:t>audit</w:t>
      </w:r>
      <w:r w:rsidR="00D52FD0">
        <w:t xml:space="preserve"> </w:t>
      </w:r>
      <w:r w:rsidR="000A1AAE" w:rsidRPr="00825CCA">
        <w:t>and</w:t>
      </w:r>
      <w:r w:rsidR="00D52FD0">
        <w:t xml:space="preserve"> </w:t>
      </w:r>
      <w:r w:rsidR="000A1AAE" w:rsidRPr="00825CCA">
        <w:t>quality</w:t>
      </w:r>
      <w:r w:rsidR="00D52FD0">
        <w:t xml:space="preserve"> </w:t>
      </w:r>
      <w:r w:rsidR="000A1AAE" w:rsidRPr="00825CCA">
        <w:t>control</w:t>
      </w:r>
      <w:r w:rsidR="00D52FD0">
        <w:t xml:space="preserve"> </w:t>
      </w:r>
      <w:r w:rsidR="000A1AAE" w:rsidRPr="00825CCA">
        <w:t>measures.</w:t>
      </w:r>
    </w:p>
    <w:p w14:paraId="0679EE8B" w14:textId="77777777" w:rsidR="000E4FD0" w:rsidRDefault="005E3E76" w:rsidP="005E3E76">
      <w:pPr>
        <w:pStyle w:val="ParaNoG"/>
        <w:numPr>
          <w:ilvl w:val="0"/>
          <w:numId w:val="0"/>
        </w:numPr>
        <w:ind w:left="1134"/>
      </w:pPr>
      <w:r>
        <w:tab/>
      </w:r>
      <w:r w:rsidR="000A1AAE">
        <w:t>(c)</w:t>
      </w:r>
      <w:r w:rsidR="000A1AAE" w:rsidRPr="00825CCA">
        <w:tab/>
        <w:t>Strengthening</w:t>
      </w:r>
      <w:r w:rsidR="00D52FD0">
        <w:t xml:space="preserve"> </w:t>
      </w:r>
      <w:r w:rsidR="000A1AAE" w:rsidRPr="00825CCA">
        <w:t>anti-corruption</w:t>
      </w:r>
      <w:r w:rsidR="00D52FD0">
        <w:t xml:space="preserve"> </w:t>
      </w:r>
      <w:r w:rsidR="000A1AAE" w:rsidRPr="00825CCA">
        <w:t>measures</w:t>
      </w:r>
      <w:r w:rsidR="00D52FD0">
        <w:t xml:space="preserve"> </w:t>
      </w:r>
      <w:r w:rsidR="000A1AAE" w:rsidRPr="00825CCA">
        <w:t>and</w:t>
      </w:r>
      <w:r w:rsidR="00D52FD0">
        <w:t xml:space="preserve"> </w:t>
      </w:r>
      <w:r w:rsidR="000A1AAE" w:rsidRPr="00825CCA">
        <w:t>safeguards:</w:t>
      </w:r>
      <w:r w:rsidR="00D52FD0">
        <w:t xml:space="preserve"> </w:t>
      </w:r>
      <w:r w:rsidR="000A1AAE" w:rsidRPr="00825CCA">
        <w:t>This</w:t>
      </w:r>
      <w:r w:rsidR="00D52FD0">
        <w:t xml:space="preserve"> </w:t>
      </w:r>
      <w:r w:rsidR="000A1AAE" w:rsidRPr="00825CCA">
        <w:t>would</w:t>
      </w:r>
      <w:r w:rsidR="00D52FD0">
        <w:t xml:space="preserve"> </w:t>
      </w:r>
      <w:r w:rsidR="000A1AAE" w:rsidRPr="00825CCA">
        <w:t>be</w:t>
      </w:r>
      <w:r w:rsidR="00D52FD0">
        <w:t xml:space="preserve"> </w:t>
      </w:r>
      <w:r w:rsidR="000A1AAE" w:rsidRPr="00825CCA">
        <w:t>achieved</w:t>
      </w:r>
      <w:r w:rsidR="00D52FD0">
        <w:t xml:space="preserve"> </w:t>
      </w:r>
      <w:r w:rsidR="000A1AAE" w:rsidRPr="00825CCA">
        <w:t>through</w:t>
      </w:r>
      <w:r w:rsidR="00D52FD0">
        <w:t xml:space="preserve"> </w:t>
      </w:r>
      <w:r w:rsidR="000A1AAE" w:rsidRPr="00825CCA">
        <w:t>continuous</w:t>
      </w:r>
      <w:r w:rsidR="00D52FD0">
        <w:t xml:space="preserve"> </w:t>
      </w:r>
      <w:r w:rsidR="000A1AAE" w:rsidRPr="00825CCA">
        <w:t>screening</w:t>
      </w:r>
      <w:r w:rsidR="00D52FD0">
        <w:t xml:space="preserve"> </w:t>
      </w:r>
      <w:r w:rsidR="000A1AAE" w:rsidRPr="00825CCA">
        <w:t>of</w:t>
      </w:r>
      <w:r w:rsidR="00D52FD0">
        <w:t xml:space="preserve"> </w:t>
      </w:r>
      <w:r w:rsidR="000A1AAE" w:rsidRPr="00825CCA">
        <w:t>police</w:t>
      </w:r>
      <w:r w:rsidR="00D52FD0">
        <w:t xml:space="preserve"> </w:t>
      </w:r>
      <w:r w:rsidR="000A1AAE" w:rsidRPr="00825CCA">
        <w:t>officers,</w:t>
      </w:r>
      <w:r w:rsidR="00D52FD0">
        <w:t xml:space="preserve"> </w:t>
      </w:r>
      <w:r w:rsidR="000A1AAE" w:rsidRPr="00825CCA">
        <w:t>offering</w:t>
      </w:r>
      <w:r w:rsidR="00D52FD0">
        <w:t xml:space="preserve"> </w:t>
      </w:r>
      <w:r w:rsidR="000A1AAE" w:rsidRPr="00825CCA">
        <w:t>adequate</w:t>
      </w:r>
      <w:r w:rsidR="00D52FD0">
        <w:t xml:space="preserve"> </w:t>
      </w:r>
      <w:r w:rsidR="000A1AAE" w:rsidRPr="00825CCA">
        <w:t>protection</w:t>
      </w:r>
      <w:r w:rsidR="00D52FD0">
        <w:t xml:space="preserve"> </w:t>
      </w:r>
      <w:r w:rsidR="000A1AAE" w:rsidRPr="00825CCA">
        <w:t>to</w:t>
      </w:r>
      <w:r w:rsidR="00D52FD0">
        <w:t xml:space="preserve"> </w:t>
      </w:r>
      <w:r w:rsidR="000A1AAE" w:rsidRPr="00825CCA">
        <w:t>whistle-blowers</w:t>
      </w:r>
      <w:r w:rsidR="00D52FD0">
        <w:t xml:space="preserve"> </w:t>
      </w:r>
      <w:r w:rsidR="000A1AAE" w:rsidRPr="00825CCA">
        <w:t>and</w:t>
      </w:r>
      <w:r w:rsidR="00D52FD0">
        <w:t xml:space="preserve"> </w:t>
      </w:r>
      <w:r w:rsidR="000A1AAE" w:rsidRPr="00825CCA">
        <w:t>conducting</w:t>
      </w:r>
      <w:r w:rsidR="00D52FD0">
        <w:t xml:space="preserve"> </w:t>
      </w:r>
      <w:r w:rsidR="000A1AAE" w:rsidRPr="00825CCA">
        <w:t>regular</w:t>
      </w:r>
      <w:r w:rsidR="00D52FD0">
        <w:t xml:space="preserve"> </w:t>
      </w:r>
      <w:r w:rsidR="000A1AAE" w:rsidRPr="00825CCA">
        <w:t>drug</w:t>
      </w:r>
      <w:r w:rsidR="00D52FD0">
        <w:t xml:space="preserve"> </w:t>
      </w:r>
      <w:r w:rsidR="000A1AAE" w:rsidRPr="00825CCA">
        <w:t>testing</w:t>
      </w:r>
      <w:r w:rsidR="00D52FD0">
        <w:t xml:space="preserve"> </w:t>
      </w:r>
      <w:r w:rsidR="000A1AAE" w:rsidRPr="00825CCA">
        <w:t>of</w:t>
      </w:r>
      <w:r w:rsidR="00D52FD0">
        <w:t xml:space="preserve"> </w:t>
      </w:r>
      <w:r w:rsidR="000A1AAE" w:rsidRPr="00825CCA">
        <w:t>personnel.</w:t>
      </w:r>
    </w:p>
    <w:p w14:paraId="1E9F56D4" w14:textId="12407FF6" w:rsidR="000E4FD0" w:rsidRDefault="0044637E" w:rsidP="0044637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>
        <w:t>98.</w:t>
      </w:r>
      <w:r>
        <w:tab/>
      </w:r>
      <w:r w:rsidR="000A1AAE" w:rsidRPr="00A841AA">
        <w:t>The</w:t>
      </w:r>
      <w:r w:rsidR="00D52FD0">
        <w:t xml:space="preserve"> </w:t>
      </w:r>
      <w:r w:rsidR="000A1AAE" w:rsidRPr="00A841AA">
        <w:t>implementation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Transformation</w:t>
      </w:r>
      <w:r w:rsidR="00D52FD0">
        <w:t xml:space="preserve"> </w:t>
      </w:r>
      <w:r w:rsidR="000A1AAE" w:rsidRPr="00A841AA">
        <w:t>Strategy</w:t>
      </w:r>
      <w:r w:rsidR="00D52FD0">
        <w:t xml:space="preserve"> </w:t>
      </w:r>
      <w:r w:rsidR="000A1AAE" w:rsidRPr="00A841AA">
        <w:t>will</w:t>
      </w:r>
      <w:r w:rsidR="00D52FD0">
        <w:t xml:space="preserve"> </w:t>
      </w:r>
      <w:r w:rsidR="000A1AAE" w:rsidRPr="00A841AA">
        <w:t>be</w:t>
      </w:r>
      <w:r w:rsidR="00D52FD0">
        <w:t xml:space="preserve"> </w:t>
      </w:r>
      <w:r w:rsidR="000A1AAE" w:rsidRPr="00A841AA">
        <w:t>under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scrutiny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Board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Governors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ensure</w:t>
      </w:r>
      <w:r w:rsidR="00D52FD0">
        <w:t xml:space="preserve"> </w:t>
      </w:r>
      <w:r w:rsidR="000A1AAE" w:rsidRPr="00A841AA">
        <w:t>concrete</w:t>
      </w:r>
      <w:r w:rsidR="00D52FD0">
        <w:t xml:space="preserve"> </w:t>
      </w:r>
      <w:r w:rsidR="000A1AAE" w:rsidRPr="00A841AA">
        <w:t>deliverables.</w:t>
      </w:r>
      <w:r w:rsidR="00D52FD0">
        <w:t xml:space="preserve"> </w:t>
      </w:r>
      <w:r w:rsidR="000A1AAE" w:rsidRPr="00A841AA">
        <w:t>EU</w:t>
      </w:r>
      <w:r w:rsidR="00D52FD0">
        <w:t xml:space="preserve"> </w:t>
      </w:r>
      <w:r w:rsidR="000A1AAE" w:rsidRPr="00A841AA">
        <w:t>funding</w:t>
      </w:r>
      <w:r w:rsidR="00D52FD0">
        <w:t xml:space="preserve"> </w:t>
      </w:r>
      <w:r w:rsidR="000A1AAE" w:rsidRPr="00A841AA">
        <w:t>was</w:t>
      </w:r>
      <w:r w:rsidR="00D52FD0">
        <w:t xml:space="preserve"> </w:t>
      </w:r>
      <w:r w:rsidR="000A1AAE" w:rsidRPr="00A841AA">
        <w:t>used</w:t>
      </w:r>
      <w:r w:rsidR="00D52FD0">
        <w:t xml:space="preserve"> </w:t>
      </w:r>
      <w:r w:rsidR="000A1AAE" w:rsidRPr="00A841AA">
        <w:t>for</w:t>
      </w:r>
      <w:r w:rsidR="00D52FD0">
        <w:t xml:space="preserve"> </w:t>
      </w:r>
      <w:r w:rsidR="000A1AAE" w:rsidRPr="00A841AA">
        <w:t>this</w:t>
      </w:r>
      <w:r w:rsidR="00D52FD0">
        <w:t xml:space="preserve"> </w:t>
      </w:r>
      <w:r w:rsidR="000A1AAE" w:rsidRPr="00A841AA">
        <w:t>Strategy</w:t>
      </w:r>
      <w:r w:rsidR="00D52FD0">
        <w:t xml:space="preserve"> </w:t>
      </w:r>
      <w:r w:rsidR="000A1AAE" w:rsidRPr="00A841AA">
        <w:t>also</w:t>
      </w:r>
      <w:r w:rsidR="00D52FD0">
        <w:t xml:space="preserve"> </w:t>
      </w:r>
      <w:r w:rsidR="000A1AAE" w:rsidRPr="00A841AA">
        <w:t>with</w:t>
      </w:r>
      <w:r w:rsidR="00D52FD0">
        <w:t xml:space="preserve"> </w:t>
      </w:r>
      <w:r w:rsidR="000A1AAE" w:rsidRPr="00A841AA">
        <w:t>a</w:t>
      </w:r>
      <w:r w:rsidR="00D52FD0">
        <w:t xml:space="preserve"> </w:t>
      </w:r>
      <w:r w:rsidR="000A1AAE" w:rsidRPr="00A841AA">
        <w:t>view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add</w:t>
      </w:r>
      <w:r w:rsidR="00D52FD0">
        <w:t xml:space="preserve"> </w:t>
      </w:r>
      <w:r w:rsidR="000A1AAE" w:rsidRPr="00A841AA">
        <w:t>a</w:t>
      </w:r>
      <w:r w:rsidR="00D52FD0">
        <w:t xml:space="preserve"> </w:t>
      </w:r>
      <w:r w:rsidR="000A1AAE" w:rsidRPr="00A841AA">
        <w:t>level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European</w:t>
      </w:r>
      <w:r w:rsidR="00D52FD0">
        <w:t xml:space="preserve"> </w:t>
      </w:r>
      <w:r w:rsidR="000A1AAE" w:rsidRPr="00A841AA">
        <w:t>Commission</w:t>
      </w:r>
      <w:r w:rsidR="00D52FD0">
        <w:t xml:space="preserve"> </w:t>
      </w:r>
      <w:r w:rsidR="000A1AAE" w:rsidRPr="00A841AA">
        <w:t>scrutiny.</w:t>
      </w:r>
    </w:p>
    <w:p w14:paraId="6C64E94C" w14:textId="3800D036" w:rsidR="000E4FD0" w:rsidRDefault="0044637E" w:rsidP="0044637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>
        <w:t>99.</w:t>
      </w:r>
      <w:r>
        <w:tab/>
      </w:r>
      <w:r w:rsidR="000A1AAE" w:rsidRPr="00A841AA">
        <w:t>An</w:t>
      </w:r>
      <w:r w:rsidR="00D52FD0">
        <w:t xml:space="preserve"> </w:t>
      </w:r>
      <w:r w:rsidR="000A1AAE" w:rsidRPr="00A841AA">
        <w:t>Anti-Fraud</w:t>
      </w:r>
      <w:r w:rsidR="00D52FD0">
        <w:t xml:space="preserve"> </w:t>
      </w:r>
      <w:r w:rsidR="000A1AAE" w:rsidRPr="00A841AA">
        <w:t>&amp;</w:t>
      </w:r>
      <w:r w:rsidR="00D52FD0">
        <w:t xml:space="preserve"> </w:t>
      </w:r>
      <w:r w:rsidR="000A1AAE" w:rsidRPr="00A841AA">
        <w:t>Corruption</w:t>
      </w:r>
      <w:r w:rsidR="00D52FD0">
        <w:t xml:space="preserve"> </w:t>
      </w:r>
      <w:r w:rsidR="000A1AAE" w:rsidRPr="00A841AA">
        <w:t>Policy</w:t>
      </w:r>
      <w:r w:rsidR="00D52FD0">
        <w:t xml:space="preserve"> </w:t>
      </w:r>
      <w:r w:rsidR="000A1AAE" w:rsidRPr="00A841AA">
        <w:t>which</w:t>
      </w:r>
      <w:r w:rsidR="00D52FD0">
        <w:t xml:space="preserve"> </w:t>
      </w:r>
      <w:r w:rsidR="000A1AAE" w:rsidRPr="00A841AA">
        <w:t>provides</w:t>
      </w:r>
      <w:r w:rsidR="00D52FD0">
        <w:t xml:space="preserve"> </w:t>
      </w:r>
      <w:r w:rsidR="000A1AAE" w:rsidRPr="00A841AA">
        <w:t>a</w:t>
      </w:r>
      <w:r w:rsidR="00D52FD0">
        <w:t xml:space="preserve"> </w:t>
      </w:r>
      <w:r w:rsidR="000A1AAE" w:rsidRPr="00A841AA">
        <w:t>framework</w:t>
      </w:r>
      <w:r w:rsidR="00D52FD0">
        <w:t xml:space="preserve"> </w:t>
      </w:r>
      <w:r w:rsidR="000A1AAE" w:rsidRPr="00A841AA">
        <w:t>for</w:t>
      </w:r>
      <w:r w:rsidR="00D52FD0">
        <w:t xml:space="preserve"> </w:t>
      </w:r>
      <w:r w:rsidR="000A1AAE" w:rsidRPr="00A841AA">
        <w:t>identifying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preventing</w:t>
      </w:r>
      <w:r w:rsidR="00D52FD0">
        <w:t xml:space="preserve"> </w:t>
      </w:r>
      <w:r w:rsidR="000A1AAE" w:rsidRPr="00A841AA">
        <w:t>corruption</w:t>
      </w:r>
      <w:r w:rsidR="00D52FD0">
        <w:t xml:space="preserve"> </w:t>
      </w:r>
      <w:r w:rsidR="000A1AAE" w:rsidRPr="00A841AA">
        <w:t>within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Police</w:t>
      </w:r>
      <w:r w:rsidR="00D52FD0">
        <w:t xml:space="preserve"> </w:t>
      </w:r>
      <w:r w:rsidR="000A1AAE" w:rsidRPr="00A841AA">
        <w:t>force</w:t>
      </w:r>
      <w:r w:rsidR="00D52FD0">
        <w:t xml:space="preserve"> </w:t>
      </w:r>
      <w:r w:rsidR="000A1AAE" w:rsidRPr="00A841AA">
        <w:t>has</w:t>
      </w:r>
      <w:r w:rsidR="00D52FD0">
        <w:t xml:space="preserve"> </w:t>
      </w:r>
      <w:r w:rsidR="000A1AAE" w:rsidRPr="00A841AA">
        <w:t>been</w:t>
      </w:r>
      <w:r w:rsidR="00D52FD0">
        <w:t xml:space="preserve"> </w:t>
      </w:r>
      <w:r w:rsidR="000A1AAE" w:rsidRPr="00A841AA">
        <w:t>introduced.</w:t>
      </w:r>
      <w:r w:rsidR="00D52FD0">
        <w:t xml:space="preserve"> </w:t>
      </w:r>
      <w:r w:rsidR="000A1AAE" w:rsidRPr="00A841AA">
        <w:t>This</w:t>
      </w:r>
      <w:r w:rsidR="00D52FD0">
        <w:t xml:space="preserve"> </w:t>
      </w:r>
      <w:r w:rsidR="000A1AAE" w:rsidRPr="00A841AA">
        <w:t>policy</w:t>
      </w:r>
      <w:r w:rsidR="00D52FD0">
        <w:t xml:space="preserve"> </w:t>
      </w:r>
      <w:r w:rsidR="000A1AAE" w:rsidRPr="00A841AA">
        <w:t>assists</w:t>
      </w:r>
      <w:r w:rsidR="00D52FD0">
        <w:t xml:space="preserve"> </w:t>
      </w:r>
      <w:r w:rsidR="000A1AAE" w:rsidRPr="00A841AA">
        <w:t>individuals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their</w:t>
      </w:r>
      <w:r w:rsidR="00D52FD0">
        <w:t xml:space="preserve"> </w:t>
      </w:r>
      <w:r w:rsidR="000A1AAE" w:rsidRPr="00A841AA">
        <w:t>supervisors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ensuring</w:t>
      </w:r>
      <w:r w:rsidR="00D52FD0">
        <w:t xml:space="preserve"> </w:t>
      </w:r>
      <w:r w:rsidR="000A1AAE" w:rsidRPr="00A841AA">
        <w:t>that</w:t>
      </w:r>
      <w:r w:rsidR="00D52FD0">
        <w:t xml:space="preserve"> </w:t>
      </w:r>
      <w:r w:rsidR="000A1AAE" w:rsidRPr="00A841AA">
        <w:t>their</w:t>
      </w:r>
      <w:r w:rsidR="00D52FD0">
        <w:t xml:space="preserve"> </w:t>
      </w:r>
      <w:r w:rsidR="000A1AAE" w:rsidRPr="00A841AA">
        <w:t>actions</w:t>
      </w:r>
      <w:r w:rsidR="00D52FD0">
        <w:t xml:space="preserve"> </w:t>
      </w:r>
      <w:r w:rsidR="000A1AAE" w:rsidRPr="00A841AA">
        <w:t>can</w:t>
      </w:r>
      <w:r w:rsidR="00D52FD0">
        <w:t xml:space="preserve"> </w:t>
      </w:r>
      <w:r w:rsidR="000A1AAE" w:rsidRPr="00A841AA">
        <w:t>withstand</w:t>
      </w:r>
      <w:r w:rsidR="00D52FD0">
        <w:t xml:space="preserve"> </w:t>
      </w:r>
      <w:r w:rsidR="000A1AAE" w:rsidRPr="00A841AA">
        <w:t>scrutiny.</w:t>
      </w:r>
      <w:r w:rsidR="00D52FD0">
        <w:t xml:space="preserve"> </w:t>
      </w:r>
      <w:r w:rsidR="000A1AAE" w:rsidRPr="00A841AA">
        <w:t>This</w:t>
      </w:r>
      <w:r w:rsidR="00D52FD0">
        <w:t xml:space="preserve"> </w:t>
      </w:r>
      <w:r w:rsidR="000A1AAE" w:rsidRPr="00A841AA">
        <w:t>policy</w:t>
      </w:r>
      <w:r w:rsidR="00D52FD0">
        <w:t xml:space="preserve"> </w:t>
      </w:r>
      <w:r w:rsidR="000A1AAE" w:rsidRPr="00A841AA">
        <w:t>also</w:t>
      </w:r>
      <w:r w:rsidR="00D52FD0">
        <w:t xml:space="preserve"> </w:t>
      </w:r>
      <w:r w:rsidR="000A1AAE" w:rsidRPr="00A841AA">
        <w:t>defines</w:t>
      </w:r>
      <w:r w:rsidR="00D52FD0">
        <w:t xml:space="preserve"> </w:t>
      </w:r>
      <w:r w:rsidR="000A1AAE" w:rsidRPr="00A841AA">
        <w:t>corruption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fraud</w:t>
      </w:r>
      <w:r w:rsidR="00D52FD0">
        <w:t xml:space="preserve"> </w:t>
      </w:r>
      <w:r w:rsidR="000A1AAE" w:rsidRPr="00A841AA">
        <w:t>within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context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policing.</w:t>
      </w:r>
      <w:r w:rsidR="00D52FD0">
        <w:t xml:space="preserve"> </w:t>
      </w:r>
      <w:r w:rsidR="000A1AAE" w:rsidRPr="00A841AA">
        <w:t>It</w:t>
      </w:r>
      <w:r w:rsidR="00D52FD0">
        <w:t xml:space="preserve"> </w:t>
      </w:r>
      <w:r w:rsidR="000A1AAE" w:rsidRPr="00A841AA">
        <w:t>provides</w:t>
      </w:r>
      <w:r w:rsidR="00D52FD0">
        <w:t xml:space="preserve"> </w:t>
      </w:r>
      <w:r w:rsidR="000A1AAE" w:rsidRPr="00A841AA">
        <w:t>a</w:t>
      </w:r>
      <w:r w:rsidR="00D52FD0">
        <w:t xml:space="preserve"> </w:t>
      </w:r>
      <w:r w:rsidR="000A1AAE" w:rsidRPr="00A841AA">
        <w:t>framework</w:t>
      </w:r>
      <w:r w:rsidR="00D52FD0">
        <w:t xml:space="preserve"> </w:t>
      </w:r>
      <w:r w:rsidR="000A1AAE" w:rsidRPr="00A841AA">
        <w:t>for</w:t>
      </w:r>
      <w:r w:rsidR="00D52FD0">
        <w:t xml:space="preserve"> </w:t>
      </w:r>
      <w:r w:rsidR="000A1AAE" w:rsidRPr="00A841AA">
        <w:t>identifying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preventing</w:t>
      </w:r>
      <w:r w:rsidR="00D52FD0">
        <w:t xml:space="preserve"> </w:t>
      </w:r>
      <w:r w:rsidR="000A1AAE" w:rsidRPr="00A841AA">
        <w:t>corruption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details</w:t>
      </w:r>
      <w:r w:rsidR="00D52FD0">
        <w:t xml:space="preserve"> </w:t>
      </w:r>
      <w:r w:rsidR="000A1AAE" w:rsidRPr="00A841AA">
        <w:t>what</w:t>
      </w:r>
      <w:r w:rsidR="00D52FD0">
        <w:t xml:space="preserve"> </w:t>
      </w:r>
      <w:r w:rsidR="000A1AAE" w:rsidRPr="00A841AA">
        <w:t>actions</w:t>
      </w:r>
      <w:r w:rsidR="00D52FD0">
        <w:t xml:space="preserve"> </w:t>
      </w:r>
      <w:r w:rsidR="000A1AAE" w:rsidRPr="00A841AA">
        <w:t>should</w:t>
      </w:r>
      <w:r w:rsidR="00D52FD0">
        <w:t xml:space="preserve"> </w:t>
      </w:r>
      <w:r w:rsidR="000A1AAE" w:rsidRPr="00A841AA">
        <w:t>be</w:t>
      </w:r>
      <w:r w:rsidR="00D52FD0">
        <w:t xml:space="preserve"> </w:t>
      </w:r>
      <w:r w:rsidR="000A1AAE" w:rsidRPr="00A841AA">
        <w:t>taken</w:t>
      </w:r>
      <w:r w:rsidR="00D52FD0">
        <w:t xml:space="preserve"> </w:t>
      </w:r>
      <w:r w:rsidR="000A1AAE" w:rsidRPr="00A841AA">
        <w:t>by</w:t>
      </w:r>
      <w:r w:rsidR="00D52FD0">
        <w:t xml:space="preserve"> </w:t>
      </w:r>
      <w:r w:rsidR="000A1AAE" w:rsidRPr="00A841AA">
        <w:t>an</w:t>
      </w:r>
      <w:r w:rsidR="00D52FD0">
        <w:t xml:space="preserve"> </w:t>
      </w:r>
      <w:r w:rsidR="000A1AAE" w:rsidRPr="00A841AA">
        <w:t>individual</w:t>
      </w:r>
      <w:r w:rsidR="00D52FD0">
        <w:t xml:space="preserve"> </w:t>
      </w:r>
      <w:r w:rsidR="000A1AAE" w:rsidRPr="00A841AA">
        <w:t>where</w:t>
      </w:r>
      <w:r w:rsidR="00D52FD0">
        <w:t xml:space="preserve"> </w:t>
      </w:r>
      <w:r w:rsidR="000A1AAE" w:rsidRPr="00A841AA">
        <w:t>corruption</w:t>
      </w:r>
      <w:r w:rsidR="00D52FD0">
        <w:t xml:space="preserve"> </w:t>
      </w:r>
      <w:r w:rsidR="000A1AAE" w:rsidRPr="00A841AA">
        <w:t>and/or</w:t>
      </w:r>
      <w:r w:rsidR="00D52FD0">
        <w:t xml:space="preserve"> </w:t>
      </w:r>
      <w:r w:rsidR="000A1AAE" w:rsidRPr="00A841AA">
        <w:t>fraud</w:t>
      </w:r>
      <w:r w:rsidR="00D52FD0">
        <w:t xml:space="preserve"> </w:t>
      </w:r>
      <w:r w:rsidR="000A1AAE" w:rsidRPr="00A841AA">
        <w:t>is</w:t>
      </w:r>
      <w:r w:rsidR="00D52FD0">
        <w:t xml:space="preserve"> </w:t>
      </w:r>
      <w:r w:rsidR="000A1AAE" w:rsidRPr="00A841AA">
        <w:t>suspected</w:t>
      </w:r>
      <w:r w:rsidR="00D52FD0">
        <w:t xml:space="preserve"> </w:t>
      </w:r>
      <w:r w:rsidR="000A1AAE" w:rsidRPr="00A841AA">
        <w:t>or</w:t>
      </w:r>
      <w:r w:rsidR="00D52FD0">
        <w:t xml:space="preserve"> </w:t>
      </w:r>
      <w:r w:rsidR="000A1AAE" w:rsidRPr="00A841AA">
        <w:t>has</w:t>
      </w:r>
      <w:r w:rsidR="00D52FD0">
        <w:t xml:space="preserve"> </w:t>
      </w:r>
      <w:r w:rsidR="000A1AAE" w:rsidRPr="00A841AA">
        <w:t>been</w:t>
      </w:r>
      <w:r w:rsidR="00D52FD0">
        <w:t xml:space="preserve"> </w:t>
      </w:r>
      <w:r w:rsidR="000A1AAE" w:rsidRPr="00A841AA">
        <w:t>committed</w:t>
      </w:r>
      <w:r w:rsidR="00D52FD0">
        <w:t xml:space="preserve"> </w:t>
      </w:r>
      <w:r w:rsidR="000A1AAE" w:rsidRPr="00A841AA">
        <w:t>by</w:t>
      </w:r>
      <w:r w:rsidR="00D52FD0">
        <w:t xml:space="preserve"> </w:t>
      </w:r>
      <w:r w:rsidR="000A1AAE" w:rsidRPr="00A841AA">
        <w:t>colleagues.</w:t>
      </w:r>
    </w:p>
    <w:p w14:paraId="7F7EF8D5" w14:textId="613E8F00" w:rsidR="000E4FD0" w:rsidRDefault="0044637E" w:rsidP="0044637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>
        <w:t>100.</w:t>
      </w:r>
      <w:r>
        <w:tab/>
      </w:r>
      <w:r w:rsidR="000A1AAE" w:rsidRPr="00A841AA">
        <w:t>A</w:t>
      </w:r>
      <w:r w:rsidR="00D52FD0">
        <w:t xml:space="preserve"> </w:t>
      </w:r>
      <w:r w:rsidR="000A1AAE" w:rsidRPr="00A841AA">
        <w:t>revised</w:t>
      </w:r>
      <w:r w:rsidR="00D52FD0">
        <w:t xml:space="preserve"> </w:t>
      </w:r>
      <w:r w:rsidR="000A1AAE" w:rsidRPr="00A841AA">
        <w:t>Code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Ethics</w:t>
      </w:r>
      <w:r w:rsidR="00D52FD0">
        <w:t xml:space="preserve"> </w:t>
      </w:r>
      <w:r w:rsidR="000A1AAE" w:rsidRPr="00A841AA">
        <w:t>was</w:t>
      </w:r>
      <w:r w:rsidR="00D52FD0">
        <w:t xml:space="preserve"> </w:t>
      </w:r>
      <w:r w:rsidR="000A1AAE" w:rsidRPr="00A841AA">
        <w:t>also</w:t>
      </w:r>
      <w:r w:rsidR="00D52FD0">
        <w:t xml:space="preserve"> </w:t>
      </w:r>
      <w:r w:rsidR="000A1AAE" w:rsidRPr="00A841AA">
        <w:t>introduced</w:t>
      </w:r>
      <w:r w:rsidR="00D52FD0">
        <w:t xml:space="preserve"> </w:t>
      </w:r>
      <w:r w:rsidR="000A1AAE" w:rsidRPr="00A841AA">
        <w:t>which</w:t>
      </w:r>
      <w:r w:rsidR="00D52FD0">
        <w:t xml:space="preserve"> </w:t>
      </w:r>
      <w:r w:rsidR="000A1AAE" w:rsidRPr="00A841AA">
        <w:t>is</w:t>
      </w:r>
      <w:r w:rsidR="00D52FD0">
        <w:t xml:space="preserve"> </w:t>
      </w:r>
      <w:r w:rsidR="000A1AAE" w:rsidRPr="00A841AA">
        <w:t>embedded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day-to-day</w:t>
      </w:r>
      <w:r w:rsidR="00D52FD0">
        <w:t xml:space="preserve"> </w:t>
      </w:r>
      <w:r w:rsidR="000A1AAE" w:rsidRPr="00A841AA">
        <w:t>thinking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actions.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new</w:t>
      </w:r>
      <w:r w:rsidR="00D52FD0">
        <w:t xml:space="preserve"> </w:t>
      </w:r>
      <w:r w:rsidR="000A1AAE" w:rsidRPr="00A841AA">
        <w:t>Code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Ethics</w:t>
      </w:r>
      <w:r w:rsidR="00D52FD0">
        <w:t xml:space="preserve"> </w:t>
      </w:r>
      <w:r w:rsidR="000A1AAE" w:rsidRPr="00A841AA">
        <w:t>presents</w:t>
      </w:r>
      <w:r w:rsidR="00D52FD0">
        <w:t xml:space="preserve"> </w:t>
      </w:r>
      <w:r w:rsidR="000A1AAE" w:rsidRPr="00A841AA">
        <w:t>an</w:t>
      </w:r>
      <w:r w:rsidR="00D52FD0">
        <w:t xml:space="preserve"> </w:t>
      </w:r>
      <w:r w:rsidR="000A1AAE" w:rsidRPr="00A841AA">
        <w:t>opportunity</w:t>
      </w:r>
      <w:r w:rsidR="00D52FD0">
        <w:t xml:space="preserve"> </w:t>
      </w:r>
      <w:r w:rsidR="000A1AAE" w:rsidRPr="00A841AA">
        <w:t>for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Force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revitalise</w:t>
      </w:r>
      <w:r w:rsidR="00D52FD0">
        <w:t xml:space="preserve"> </w:t>
      </w:r>
      <w:r w:rsidR="000A1AAE" w:rsidRPr="00A841AA">
        <w:t>itself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re-focus</w:t>
      </w:r>
      <w:r w:rsidR="00D52FD0">
        <w:t xml:space="preserve"> </w:t>
      </w:r>
      <w:r w:rsidR="000A1AAE" w:rsidRPr="00A841AA">
        <w:t>its</w:t>
      </w:r>
      <w:r w:rsidR="00D52FD0">
        <w:t xml:space="preserve"> </w:t>
      </w:r>
      <w:r w:rsidR="000A1AAE" w:rsidRPr="00A841AA">
        <w:t>attention</w:t>
      </w:r>
      <w:r w:rsidR="00D52FD0">
        <w:t xml:space="preserve"> </w:t>
      </w:r>
      <w:r w:rsidR="000A1AAE" w:rsidRPr="00A841AA">
        <w:t>on</w:t>
      </w:r>
      <w:r w:rsidR="00D52FD0">
        <w:t xml:space="preserve"> </w:t>
      </w:r>
      <w:r w:rsidR="000A1AAE" w:rsidRPr="00A841AA">
        <w:t>improving</w:t>
      </w:r>
      <w:r w:rsidR="00D52FD0">
        <w:t xml:space="preserve"> </w:t>
      </w:r>
      <w:r w:rsidR="000A1AAE" w:rsidRPr="00A841AA">
        <w:t>levels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confidence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trust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police.</w:t>
      </w:r>
      <w:r w:rsidR="00D52FD0">
        <w:t xml:space="preserve"> </w:t>
      </w:r>
      <w:r w:rsidR="000A1AAE" w:rsidRPr="00A841AA">
        <w:t>This</w:t>
      </w:r>
      <w:r w:rsidR="00D52FD0">
        <w:t xml:space="preserve"> </w:t>
      </w:r>
      <w:r w:rsidR="000A1AAE" w:rsidRPr="00A841AA">
        <w:t>document</w:t>
      </w:r>
      <w:r w:rsidR="00D52FD0">
        <w:t xml:space="preserve"> </w:t>
      </w:r>
      <w:r w:rsidR="000A1AAE" w:rsidRPr="00A841AA">
        <w:t>binds</w:t>
      </w:r>
      <w:r w:rsidR="00D52FD0">
        <w:t xml:space="preserve"> </w:t>
      </w:r>
      <w:r w:rsidR="000A1AAE" w:rsidRPr="00A841AA">
        <w:t>every</w:t>
      </w:r>
      <w:r w:rsidR="00D52FD0">
        <w:t xml:space="preserve"> </w:t>
      </w:r>
      <w:r w:rsidR="000A1AAE" w:rsidRPr="00A841AA">
        <w:t>sworn</w:t>
      </w:r>
      <w:r w:rsidR="00D52FD0">
        <w:t xml:space="preserve"> </w:t>
      </w:r>
      <w:r w:rsidR="000A1AAE" w:rsidRPr="00A841AA">
        <w:t>officer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Force,</w:t>
      </w:r>
      <w:r w:rsidR="00D52FD0">
        <w:t xml:space="preserve"> </w:t>
      </w:r>
      <w:r w:rsidR="000A1AAE" w:rsidRPr="00A841AA">
        <w:t>from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Commissioner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Constable,</w:t>
      </w:r>
      <w:r w:rsidR="00D52FD0">
        <w:t xml:space="preserve"> </w:t>
      </w:r>
      <w:r w:rsidR="000A1AAE" w:rsidRPr="00A841AA">
        <w:t>setting</w:t>
      </w:r>
      <w:r w:rsidR="00D52FD0">
        <w:t xml:space="preserve"> </w:t>
      </w:r>
      <w:r w:rsidR="000A1AAE" w:rsidRPr="00A841AA">
        <w:t>out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standards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behaviour</w:t>
      </w:r>
      <w:r w:rsidR="00D52FD0">
        <w:t xml:space="preserve"> </w:t>
      </w:r>
      <w:r w:rsidR="000A1AAE" w:rsidRPr="00A841AA">
        <w:t>leading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more</w:t>
      </w:r>
      <w:r w:rsidR="00D52FD0">
        <w:t xml:space="preserve"> </w:t>
      </w:r>
      <w:r w:rsidR="000A1AAE" w:rsidRPr="00A841AA">
        <w:t>correct</w:t>
      </w:r>
      <w:r w:rsidR="00D52FD0">
        <w:t xml:space="preserve"> </w:t>
      </w:r>
      <w:r w:rsidR="000A1AAE" w:rsidRPr="00A841AA">
        <w:t>decision</w:t>
      </w:r>
      <w:r w:rsidR="00D52FD0">
        <w:t xml:space="preserve"> </w:t>
      </w:r>
      <w:r w:rsidR="000A1AAE" w:rsidRPr="00A841AA">
        <w:t>making.</w:t>
      </w:r>
      <w:r w:rsidR="00D52FD0">
        <w:t xml:space="preserve"> </w:t>
      </w:r>
      <w:r w:rsidR="000A1AAE" w:rsidRPr="00A841AA">
        <w:t>Additionally,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Code</w:t>
      </w:r>
      <w:r w:rsidR="00D52FD0">
        <w:t xml:space="preserve"> </w:t>
      </w:r>
      <w:r w:rsidR="000A1AAE" w:rsidRPr="00A841AA">
        <w:t>outlines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values</w:t>
      </w:r>
      <w:r w:rsidR="00D52FD0">
        <w:t xml:space="preserve"> </w:t>
      </w:r>
      <w:r w:rsidR="000A1AAE" w:rsidRPr="00A841AA">
        <w:t>which</w:t>
      </w:r>
      <w:r w:rsidR="00D52FD0">
        <w:t xml:space="preserve"> </w:t>
      </w:r>
      <w:r w:rsidR="000A1AAE" w:rsidRPr="00A841AA">
        <w:t>shall</w:t>
      </w:r>
      <w:r w:rsidR="00D52FD0">
        <w:t xml:space="preserve"> </w:t>
      </w:r>
      <w:r w:rsidR="000A1AAE" w:rsidRPr="00A841AA">
        <w:t>guide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principles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policing</w:t>
      </w:r>
      <w:r w:rsidR="00D52FD0">
        <w:t xml:space="preserve"> </w:t>
      </w:r>
      <w:r w:rsidR="000A1AAE" w:rsidRPr="00A841AA">
        <w:t>whilst</w:t>
      </w:r>
      <w:r w:rsidR="00D52FD0">
        <w:t xml:space="preserve"> </w:t>
      </w:r>
      <w:r w:rsidR="000A1AAE" w:rsidRPr="00A841AA">
        <w:t>emphasising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adequate</w:t>
      </w:r>
      <w:r w:rsidR="00D52FD0">
        <w:t xml:space="preserve"> </w:t>
      </w:r>
      <w:r w:rsidR="000A1AAE" w:rsidRPr="00A841AA">
        <w:t>handling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varied</w:t>
      </w:r>
      <w:r w:rsidR="00D52FD0">
        <w:t xml:space="preserve"> </w:t>
      </w:r>
      <w:r w:rsidR="000A1AAE" w:rsidRPr="00A841AA">
        <w:t>stakeholders,</w:t>
      </w:r>
      <w:r w:rsidR="00D52FD0">
        <w:t xml:space="preserve"> </w:t>
      </w:r>
      <w:r w:rsidR="000A1AAE" w:rsidRPr="00A841AA">
        <w:t>including</w:t>
      </w:r>
      <w:r w:rsidR="00D52FD0">
        <w:t xml:space="preserve"> </w:t>
      </w:r>
      <w:r w:rsidR="000A1AAE" w:rsidRPr="00A841AA">
        <w:t>victims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crime,</w:t>
      </w:r>
      <w:r w:rsidR="00D52FD0">
        <w:t xml:space="preserve"> </w:t>
      </w:r>
      <w:r w:rsidR="000A1AAE" w:rsidRPr="00A841AA">
        <w:t>witnesses,</w:t>
      </w:r>
      <w:r w:rsidR="00D52FD0">
        <w:t xml:space="preserve"> </w:t>
      </w:r>
      <w:r w:rsidR="000A1AAE" w:rsidRPr="00A841AA">
        <w:t>offenders,</w:t>
      </w:r>
      <w:r w:rsidR="00D52FD0">
        <w:t xml:space="preserve"> </w:t>
      </w:r>
      <w:r w:rsidR="000A1AAE" w:rsidRPr="00A841AA">
        <w:t>defence</w:t>
      </w:r>
      <w:r w:rsidR="00D52FD0">
        <w:t xml:space="preserve"> </w:t>
      </w:r>
      <w:r w:rsidR="000A1AAE" w:rsidRPr="00A841AA">
        <w:t>lawyers,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judiciary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media.</w:t>
      </w:r>
    </w:p>
    <w:p w14:paraId="0444C6B5" w14:textId="423AB500" w:rsidR="000E4FD0" w:rsidRDefault="0044637E" w:rsidP="0044637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>
        <w:t>101.</w:t>
      </w:r>
      <w:r>
        <w:tab/>
      </w:r>
      <w:r w:rsidR="000A1AAE" w:rsidRPr="00A841AA">
        <w:t>The</w:t>
      </w:r>
      <w:r w:rsidR="00D52FD0">
        <w:t xml:space="preserve"> </w:t>
      </w:r>
      <w:r w:rsidR="000A1AAE" w:rsidRPr="00A841AA">
        <w:t>new</w:t>
      </w:r>
      <w:r w:rsidR="00D52FD0">
        <w:t xml:space="preserve"> </w:t>
      </w:r>
      <w:r w:rsidR="000A1AAE" w:rsidRPr="00A841AA">
        <w:t>Code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Ethics</w:t>
      </w:r>
      <w:r w:rsidR="00D52FD0">
        <w:t xml:space="preserve"> </w:t>
      </w:r>
      <w:r w:rsidR="000A1AAE" w:rsidRPr="00A841AA">
        <w:t>will</w:t>
      </w:r>
      <w:r w:rsidR="00D52FD0">
        <w:t xml:space="preserve"> </w:t>
      </w:r>
      <w:r w:rsidR="000A1AAE" w:rsidRPr="00A841AA">
        <w:t>improve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delivery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service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gives</w:t>
      </w:r>
      <w:r w:rsidR="00D52FD0">
        <w:t xml:space="preserve"> </w:t>
      </w:r>
      <w:r w:rsidR="000A1AAE" w:rsidRPr="00A841AA">
        <w:t>a</w:t>
      </w:r>
      <w:r w:rsidR="00D52FD0">
        <w:t xml:space="preserve"> </w:t>
      </w:r>
      <w:r w:rsidR="000A1AAE" w:rsidRPr="00A841AA">
        <w:t>practical</w:t>
      </w:r>
      <w:r w:rsidR="00D52FD0">
        <w:t xml:space="preserve"> </w:t>
      </w:r>
      <w:r w:rsidR="000A1AAE" w:rsidRPr="00A841AA">
        <w:t>focus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benchmark</w:t>
      </w:r>
      <w:r w:rsidR="00D52FD0">
        <w:t xml:space="preserve"> </w:t>
      </w:r>
      <w:r w:rsidR="000A1AAE" w:rsidRPr="00A841AA">
        <w:t>around</w:t>
      </w:r>
      <w:r w:rsidR="00D52FD0">
        <w:t xml:space="preserve"> </w:t>
      </w:r>
      <w:r w:rsidR="000A1AAE" w:rsidRPr="00A841AA">
        <w:t>quality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consistency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help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Police</w:t>
      </w:r>
      <w:r w:rsidR="00D52FD0">
        <w:t xml:space="preserve"> </w:t>
      </w:r>
      <w:r w:rsidR="000A1AAE" w:rsidRPr="00A841AA">
        <w:t>Force</w:t>
      </w:r>
      <w:r w:rsidR="00D52FD0">
        <w:t xml:space="preserve"> </w:t>
      </w:r>
      <w:r w:rsidR="000A1AAE" w:rsidRPr="00A841AA">
        <w:t>build</w:t>
      </w:r>
      <w:r w:rsidR="00D52FD0">
        <w:t xml:space="preserve"> </w:t>
      </w:r>
      <w:r w:rsidR="000A1AAE" w:rsidRPr="00A841AA">
        <w:t>public</w:t>
      </w:r>
      <w:r w:rsidR="00D52FD0">
        <w:t xml:space="preserve"> </w:t>
      </w:r>
      <w:r w:rsidR="000A1AAE" w:rsidRPr="00A841AA">
        <w:t>confidence</w:t>
      </w:r>
      <w:r w:rsidR="00D52FD0">
        <w:t xml:space="preserve"> </w:t>
      </w:r>
      <w:r w:rsidR="000A1AAE" w:rsidRPr="00A841AA">
        <w:t>through</w:t>
      </w:r>
      <w:r w:rsidR="00D52FD0">
        <w:t xml:space="preserve"> </w:t>
      </w:r>
      <w:r w:rsidR="000A1AAE" w:rsidRPr="00A841AA">
        <w:t>greater</w:t>
      </w:r>
      <w:r w:rsidR="00D52FD0">
        <w:t xml:space="preserve"> </w:t>
      </w:r>
      <w:r w:rsidR="000A1AAE" w:rsidRPr="00A841AA">
        <w:t>transparency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accountability.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Code</w:t>
      </w:r>
      <w:r w:rsidR="00D52FD0">
        <w:t xml:space="preserve"> </w:t>
      </w:r>
      <w:r w:rsidR="000A1AAE" w:rsidRPr="00A841AA">
        <w:t>will</w:t>
      </w:r>
      <w:r w:rsidR="00D52FD0">
        <w:t xml:space="preserve"> </w:t>
      </w:r>
      <w:r w:rsidR="000A1AAE" w:rsidRPr="00A841AA">
        <w:t>be</w:t>
      </w:r>
      <w:r w:rsidR="00D52FD0">
        <w:t xml:space="preserve"> </w:t>
      </w:r>
      <w:r w:rsidR="000A1AAE" w:rsidRPr="00A841AA">
        <w:t>a</w:t>
      </w:r>
      <w:r w:rsidR="00D52FD0">
        <w:t xml:space="preserve"> </w:t>
      </w:r>
      <w:r w:rsidR="000A1AAE" w:rsidRPr="00A841AA">
        <w:t>living</w:t>
      </w:r>
      <w:r w:rsidR="00D52FD0">
        <w:t xml:space="preserve"> </w:t>
      </w:r>
      <w:r w:rsidR="000A1AAE" w:rsidRPr="00A841AA">
        <w:t>document</w:t>
      </w:r>
      <w:r w:rsidR="00D52FD0">
        <w:t xml:space="preserve"> </w:t>
      </w:r>
      <w:r w:rsidR="000A1AAE" w:rsidRPr="00A841AA">
        <w:t>which</w:t>
      </w:r>
      <w:r w:rsidR="00D52FD0">
        <w:t xml:space="preserve"> </w:t>
      </w:r>
      <w:r w:rsidR="000A1AAE" w:rsidRPr="00A841AA">
        <w:t>will</w:t>
      </w:r>
      <w:r w:rsidR="00D52FD0">
        <w:t xml:space="preserve"> </w:t>
      </w:r>
      <w:r w:rsidR="000A1AAE" w:rsidRPr="00A841AA">
        <w:t>be</w:t>
      </w:r>
      <w:r w:rsidR="00D52FD0">
        <w:t xml:space="preserve"> </w:t>
      </w:r>
      <w:r w:rsidR="000A1AAE" w:rsidRPr="00A841AA">
        <w:t>reviewed</w:t>
      </w:r>
      <w:r w:rsidR="00D52FD0">
        <w:t xml:space="preserve"> </w:t>
      </w:r>
      <w:r w:rsidR="000A1AAE" w:rsidRPr="00A841AA">
        <w:t>at</w:t>
      </w:r>
      <w:r w:rsidR="00D52FD0">
        <w:t xml:space="preserve"> </w:t>
      </w:r>
      <w:r w:rsidR="000A1AAE" w:rsidRPr="00A841AA">
        <w:t>least</w:t>
      </w:r>
      <w:r w:rsidR="00D52FD0">
        <w:t xml:space="preserve"> </w:t>
      </w:r>
      <w:r w:rsidR="000A1AAE" w:rsidRPr="00A841AA">
        <w:t>every</w:t>
      </w:r>
      <w:r w:rsidR="00D52FD0">
        <w:t xml:space="preserve"> </w:t>
      </w:r>
      <w:r w:rsidR="000A1AAE" w:rsidRPr="00A841AA">
        <w:t>five</w:t>
      </w:r>
      <w:r w:rsidR="00D52FD0">
        <w:t xml:space="preserve"> </w:t>
      </w:r>
      <w:r w:rsidR="000A1AAE" w:rsidRPr="00A841AA">
        <w:t>(5)</w:t>
      </w:r>
      <w:r w:rsidR="00D52FD0">
        <w:t xml:space="preserve"> </w:t>
      </w:r>
      <w:r w:rsidR="000A1AAE" w:rsidRPr="00A841AA">
        <w:t>years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revised</w:t>
      </w:r>
      <w:r w:rsidR="00D52FD0">
        <w:t xml:space="preserve"> </w:t>
      </w:r>
      <w:r w:rsidR="000A1AAE" w:rsidRPr="00A841AA">
        <w:t>as</w:t>
      </w:r>
      <w:r w:rsidR="00D52FD0">
        <w:t xml:space="preserve"> </w:t>
      </w:r>
      <w:r w:rsidR="000A1AAE" w:rsidRPr="00A841AA">
        <w:t>appropriate.</w:t>
      </w:r>
    </w:p>
    <w:p w14:paraId="13D4E611" w14:textId="4417057F" w:rsidR="000A1AAE" w:rsidRPr="00A841AA" w:rsidRDefault="0044637E" w:rsidP="0044637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841AA">
        <w:t>102.</w:t>
      </w:r>
      <w:r w:rsidRPr="00A841AA">
        <w:tab/>
      </w:r>
      <w:r w:rsidR="000A1AAE" w:rsidRPr="00A841AA">
        <w:t>In</w:t>
      </w:r>
      <w:r w:rsidR="00D52FD0">
        <w:t xml:space="preserve"> </w:t>
      </w:r>
      <w:r w:rsidR="000A1AAE" w:rsidRPr="00A841AA">
        <w:t>addition,</w:t>
      </w:r>
      <w:r w:rsidR="00D52FD0">
        <w:t xml:space="preserve"> </w:t>
      </w:r>
      <w:r w:rsidR="000A1AAE" w:rsidRPr="00A841AA">
        <w:t>a</w:t>
      </w:r>
      <w:r w:rsidR="00D52FD0">
        <w:t xml:space="preserve"> </w:t>
      </w:r>
      <w:r w:rsidR="000A1AAE" w:rsidRPr="00A841AA">
        <w:t>Business</w:t>
      </w:r>
      <w:r w:rsidR="00D52FD0">
        <w:t xml:space="preserve"> </w:t>
      </w:r>
      <w:r w:rsidR="000A1AAE" w:rsidRPr="00A841AA">
        <w:t>Interest</w:t>
      </w:r>
      <w:r w:rsidR="00D52FD0">
        <w:t xml:space="preserve"> </w:t>
      </w:r>
      <w:r w:rsidR="000A1AAE" w:rsidRPr="00A841AA">
        <w:t>&amp;</w:t>
      </w:r>
      <w:r w:rsidR="00D52FD0">
        <w:t xml:space="preserve"> </w:t>
      </w:r>
      <w:r w:rsidR="000A1AAE" w:rsidRPr="00A841AA">
        <w:t>Additional</w:t>
      </w:r>
      <w:r w:rsidR="00D52FD0">
        <w:t xml:space="preserve"> </w:t>
      </w:r>
      <w:r w:rsidR="000A1AAE" w:rsidRPr="00A841AA">
        <w:t>Occupations</w:t>
      </w:r>
      <w:r w:rsidR="00D52FD0">
        <w:t xml:space="preserve"> </w:t>
      </w:r>
      <w:r w:rsidR="000A1AAE" w:rsidRPr="00A841AA">
        <w:t>Policy</w:t>
      </w:r>
      <w:r w:rsidR="00D52FD0">
        <w:t xml:space="preserve"> </w:t>
      </w:r>
      <w:r w:rsidR="000A1AAE" w:rsidRPr="00A841AA">
        <w:t>was</w:t>
      </w:r>
      <w:r w:rsidR="00D52FD0">
        <w:t xml:space="preserve"> </w:t>
      </w:r>
      <w:r w:rsidR="000A1AAE" w:rsidRPr="00A841AA">
        <w:t>launched</w:t>
      </w:r>
      <w:r w:rsidR="00D52FD0">
        <w:t xml:space="preserve"> </w:t>
      </w:r>
      <w:r w:rsidR="000A1AAE" w:rsidRPr="00A841AA">
        <w:t>on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25th</w:t>
      </w:r>
      <w:r w:rsidR="00D52FD0">
        <w:t xml:space="preserve"> </w:t>
      </w:r>
      <w:r w:rsidR="000A1AAE" w:rsidRPr="00A841AA">
        <w:t>November</w:t>
      </w:r>
      <w:r w:rsidR="00D52FD0">
        <w:t xml:space="preserve"> </w:t>
      </w:r>
      <w:r w:rsidR="000A1AAE" w:rsidRPr="00A841AA">
        <w:t>2020</w:t>
      </w:r>
      <w:r w:rsidR="00D52FD0">
        <w:t xml:space="preserve"> </w:t>
      </w:r>
      <w:r w:rsidR="000A1AAE" w:rsidRPr="00A841AA">
        <w:t>which</w:t>
      </w:r>
      <w:r w:rsidR="00D52FD0">
        <w:t xml:space="preserve"> </w:t>
      </w:r>
      <w:r w:rsidR="000A1AAE" w:rsidRPr="00A841AA">
        <w:t>sets</w:t>
      </w:r>
      <w:r w:rsidR="00D52FD0">
        <w:t xml:space="preserve"> </w:t>
      </w:r>
      <w:r w:rsidR="000A1AAE" w:rsidRPr="00A841AA">
        <w:t>out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framework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ensure</w:t>
      </w:r>
      <w:r w:rsidR="00D52FD0">
        <w:t xml:space="preserve"> </w:t>
      </w:r>
      <w:r w:rsidR="000A1AAE" w:rsidRPr="00A841AA">
        <w:t>there</w:t>
      </w:r>
      <w:r w:rsidR="00D52FD0">
        <w:t xml:space="preserve"> </w:t>
      </w:r>
      <w:r w:rsidR="000A1AAE" w:rsidRPr="00A841AA">
        <w:t>will</w:t>
      </w:r>
      <w:r w:rsidR="00D52FD0">
        <w:t xml:space="preserve"> </w:t>
      </w:r>
      <w:r w:rsidR="000A1AAE" w:rsidRPr="00A841AA">
        <w:t>be</w:t>
      </w:r>
      <w:r w:rsidR="00D52FD0">
        <w:t xml:space="preserve"> </w:t>
      </w:r>
      <w:r w:rsidR="000A1AAE" w:rsidRPr="00A841AA">
        <w:t>no</w:t>
      </w:r>
      <w:r w:rsidR="00D52FD0">
        <w:t xml:space="preserve"> </w:t>
      </w:r>
      <w:r w:rsidR="000A1AAE" w:rsidRPr="00A841AA">
        <w:t>conflict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interest,</w:t>
      </w:r>
      <w:r w:rsidR="00D52FD0">
        <w:t xml:space="preserve"> </w:t>
      </w:r>
      <w:r w:rsidR="000A1AAE" w:rsidRPr="00A841AA">
        <w:t>arising</w:t>
      </w:r>
      <w:r w:rsidR="00D52FD0">
        <w:t xml:space="preserve"> </w:t>
      </w:r>
      <w:r w:rsidR="000A1AAE" w:rsidRPr="00A841AA">
        <w:t>from</w:t>
      </w:r>
      <w:r w:rsidR="00D52FD0">
        <w:t xml:space="preserve"> </w:t>
      </w:r>
      <w:r w:rsidR="000A1AAE" w:rsidRPr="00A841AA">
        <w:t>any</w:t>
      </w:r>
      <w:r w:rsidR="00D52FD0">
        <w:t xml:space="preserve"> </w:t>
      </w:r>
      <w:r w:rsidR="000A1AAE" w:rsidRPr="00A841AA">
        <w:t>parallel</w:t>
      </w:r>
      <w:r w:rsidR="00D52FD0">
        <w:t xml:space="preserve"> </w:t>
      </w:r>
      <w:r w:rsidR="000A1AAE" w:rsidRPr="00A841AA">
        <w:t>activity.</w:t>
      </w:r>
    </w:p>
    <w:p w14:paraId="698AC6E8" w14:textId="135BCEBE" w:rsidR="000A1AAE" w:rsidRPr="00A841AA" w:rsidRDefault="0044637E" w:rsidP="0044637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841AA">
        <w:t>103.</w:t>
      </w:r>
      <w:r w:rsidRPr="00A841AA">
        <w:tab/>
      </w:r>
      <w:r w:rsidR="000A1AAE" w:rsidRPr="00A841AA">
        <w:t>The</w:t>
      </w:r>
      <w:r w:rsidR="00D52FD0">
        <w:t xml:space="preserve"> </w:t>
      </w:r>
      <w:r w:rsidR="000A1AAE" w:rsidRPr="00A841AA">
        <w:t>reform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Malta</w:t>
      </w:r>
      <w:r w:rsidR="00D52FD0">
        <w:t xml:space="preserve"> </w:t>
      </w:r>
      <w:r w:rsidR="000A1AAE" w:rsidRPr="00A841AA">
        <w:t>Police</w:t>
      </w:r>
      <w:r w:rsidR="00D52FD0">
        <w:t xml:space="preserve"> </w:t>
      </w:r>
      <w:r w:rsidR="000A1AAE" w:rsidRPr="00A841AA">
        <w:t>Financial</w:t>
      </w:r>
      <w:r w:rsidR="00D52FD0">
        <w:t xml:space="preserve"> </w:t>
      </w:r>
      <w:r w:rsidR="000A1AAE" w:rsidRPr="00A841AA">
        <w:t>Crimes</w:t>
      </w:r>
      <w:r w:rsidR="00D52FD0">
        <w:t xml:space="preserve"> </w:t>
      </w:r>
      <w:r w:rsidR="000A1AAE" w:rsidRPr="00A841AA">
        <w:t>Investigations</w:t>
      </w:r>
      <w:r w:rsidR="00D52FD0">
        <w:t xml:space="preserve"> </w:t>
      </w:r>
      <w:r w:rsidR="000A1AAE" w:rsidRPr="00A841AA">
        <w:t>Department</w:t>
      </w:r>
      <w:r w:rsidR="00D52FD0">
        <w:t xml:space="preserve"> </w:t>
      </w:r>
      <w:r w:rsidR="000A1AAE" w:rsidRPr="00A841AA">
        <w:t>is</w:t>
      </w:r>
      <w:r w:rsidR="00D52FD0">
        <w:t xml:space="preserve"> </w:t>
      </w:r>
      <w:r w:rsidR="000A1AAE" w:rsidRPr="00A841AA">
        <w:t>proceeding</w:t>
      </w:r>
      <w:r w:rsidR="00D52FD0">
        <w:t xml:space="preserve"> </w:t>
      </w:r>
      <w:r w:rsidR="000A1AAE" w:rsidRPr="00A841AA">
        <w:t>according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plan,</w:t>
      </w:r>
      <w:r w:rsidR="00D52FD0">
        <w:t xml:space="preserve"> </w:t>
      </w:r>
      <w:r w:rsidR="000A1AAE" w:rsidRPr="00A841AA">
        <w:t>with</w:t>
      </w:r>
      <w:r w:rsidR="00D52FD0">
        <w:t xml:space="preserve"> </w:t>
      </w:r>
      <w:r w:rsidR="000A1AAE" w:rsidRPr="00A841AA">
        <w:t>additional</w:t>
      </w:r>
      <w:r w:rsidR="00D52FD0">
        <w:t xml:space="preserve"> </w:t>
      </w:r>
      <w:r w:rsidR="000A1AAE" w:rsidRPr="00A841AA">
        <w:t>personnel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training</w:t>
      </w:r>
      <w:r w:rsidR="00D52FD0">
        <w:t xml:space="preserve"> </w:t>
      </w:r>
      <w:r w:rsidR="000A1AAE" w:rsidRPr="00A841AA">
        <w:t>being</w:t>
      </w:r>
      <w:r w:rsidR="00D52FD0">
        <w:t xml:space="preserve"> </w:t>
      </w:r>
      <w:r w:rsidR="000A1AAE" w:rsidRPr="00A841AA">
        <w:t>provided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cater</w:t>
      </w:r>
      <w:r w:rsidR="00D52FD0">
        <w:t xml:space="preserve"> </w:t>
      </w:r>
      <w:r w:rsidR="000A1AAE" w:rsidRPr="00A841AA">
        <w:t>for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demands</w:t>
      </w:r>
      <w:r w:rsidR="00D52FD0">
        <w:t xml:space="preserve"> </w:t>
      </w:r>
      <w:r w:rsidR="000A1AAE" w:rsidRPr="00A841AA">
        <w:t>that</w:t>
      </w:r>
      <w:r w:rsidR="00D52FD0">
        <w:t xml:space="preserve"> </w:t>
      </w:r>
      <w:r w:rsidR="000A1AAE" w:rsidRPr="00A841AA">
        <w:t>are</w:t>
      </w:r>
      <w:r w:rsidR="00D52FD0">
        <w:t xml:space="preserve"> </w:t>
      </w:r>
      <w:r w:rsidR="000A1AAE" w:rsidRPr="00A841AA">
        <w:t>being</w:t>
      </w:r>
      <w:r w:rsidR="00D52FD0">
        <w:t xml:space="preserve"> </w:t>
      </w:r>
      <w:r w:rsidR="000A1AAE" w:rsidRPr="00A841AA">
        <w:t>placed</w:t>
      </w:r>
      <w:r w:rsidR="00D52FD0">
        <w:t xml:space="preserve"> </w:t>
      </w:r>
      <w:r w:rsidR="000A1AAE" w:rsidRPr="00A841AA">
        <w:t>on</w:t>
      </w:r>
      <w:r w:rsidR="00D52FD0">
        <w:t xml:space="preserve"> </w:t>
      </w:r>
      <w:r w:rsidR="000A1AAE" w:rsidRPr="00A841AA">
        <w:t>this</w:t>
      </w:r>
      <w:r w:rsidR="00D52FD0">
        <w:t xml:space="preserve"> </w:t>
      </w:r>
      <w:r w:rsidR="000A1AAE" w:rsidRPr="00A841AA">
        <w:t>sector.</w:t>
      </w:r>
    </w:p>
    <w:p w14:paraId="0BFD9CFC" w14:textId="148A2937" w:rsidR="000A1AAE" w:rsidRPr="00A841AA" w:rsidRDefault="0044637E" w:rsidP="0044637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841AA">
        <w:t>104.</w:t>
      </w:r>
      <w:r w:rsidRPr="00A841AA">
        <w:tab/>
      </w:r>
      <w:r w:rsidR="000A1AAE" w:rsidRPr="00A841AA">
        <w:t>As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1st</w:t>
      </w:r>
      <w:r w:rsidR="00D52FD0">
        <w:t xml:space="preserve"> </w:t>
      </w:r>
      <w:r w:rsidR="000A1AAE" w:rsidRPr="00A841AA">
        <w:t>June</w:t>
      </w:r>
      <w:r w:rsidR="00D52FD0">
        <w:t xml:space="preserve"> </w:t>
      </w:r>
      <w:r w:rsidR="000A1AAE" w:rsidRPr="00A841AA">
        <w:t>2020,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Financial</w:t>
      </w:r>
      <w:r w:rsidR="00D52FD0">
        <w:t xml:space="preserve"> </w:t>
      </w:r>
      <w:r w:rsidR="000A1AAE" w:rsidRPr="00A841AA">
        <w:t>Crimes</w:t>
      </w:r>
      <w:r w:rsidR="00D52FD0">
        <w:t xml:space="preserve"> </w:t>
      </w:r>
      <w:r w:rsidR="000A1AAE" w:rsidRPr="00A841AA">
        <w:t>Investigations</w:t>
      </w:r>
      <w:r w:rsidR="00D52FD0">
        <w:t xml:space="preserve"> </w:t>
      </w:r>
      <w:r w:rsidR="000A1AAE" w:rsidRPr="00A841AA">
        <w:t>Department</w:t>
      </w:r>
      <w:r w:rsidR="00D52FD0">
        <w:t xml:space="preserve"> </w:t>
      </w:r>
      <w:r w:rsidR="000A1AAE" w:rsidRPr="00A841AA">
        <w:t>is</w:t>
      </w:r>
      <w:r w:rsidR="00D52FD0">
        <w:t xml:space="preserve"> </w:t>
      </w:r>
      <w:r w:rsidR="000A1AAE" w:rsidRPr="00A841AA">
        <w:t>made</w:t>
      </w:r>
      <w:r w:rsidR="00D52FD0">
        <w:t xml:space="preserve"> </w:t>
      </w:r>
      <w:r w:rsidR="000A1AAE" w:rsidRPr="00A841AA">
        <w:t>up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following</w:t>
      </w:r>
      <w:r w:rsidR="00D52FD0">
        <w:t xml:space="preserve"> </w:t>
      </w:r>
      <w:r w:rsidR="000A1AAE" w:rsidRPr="00A841AA">
        <w:t>personnel:</w:t>
      </w:r>
    </w:p>
    <w:p w14:paraId="1B7C15D6" w14:textId="54EC9E85" w:rsidR="000A1AAE" w:rsidRPr="00857B1D" w:rsidRDefault="0044637E" w:rsidP="0044637E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857B1D">
        <w:lastRenderedPageBreak/>
        <w:t>•</w:t>
      </w:r>
      <w:r w:rsidRPr="00857B1D">
        <w:tab/>
      </w:r>
      <w:r w:rsidR="000A1AAE" w:rsidRPr="00857B1D">
        <w:t>One</w:t>
      </w:r>
      <w:r w:rsidR="00D52FD0">
        <w:t xml:space="preserve"> </w:t>
      </w:r>
      <w:r w:rsidR="000A1AAE" w:rsidRPr="00857B1D">
        <w:t>Assistant</w:t>
      </w:r>
      <w:r w:rsidR="00D52FD0">
        <w:t xml:space="preserve"> </w:t>
      </w:r>
      <w:r w:rsidR="000A1AAE" w:rsidRPr="00857B1D">
        <w:t>Commissioner</w:t>
      </w:r>
      <w:r w:rsidR="00D52FD0">
        <w:t xml:space="preserve"> </w:t>
      </w:r>
      <w:r w:rsidR="000A1AAE" w:rsidRPr="00857B1D">
        <w:t>acting</w:t>
      </w:r>
      <w:r w:rsidR="00D52FD0">
        <w:t xml:space="preserve"> </w:t>
      </w:r>
      <w:r w:rsidR="000A1AAE" w:rsidRPr="00857B1D">
        <w:t>as</w:t>
      </w:r>
      <w:r w:rsidR="00D52FD0">
        <w:t xml:space="preserve"> </w:t>
      </w:r>
      <w:r w:rsidR="000A1AAE" w:rsidRPr="00857B1D">
        <w:t>Head</w:t>
      </w:r>
      <w:r w:rsidR="00D52FD0">
        <w:t xml:space="preserve"> </w:t>
      </w:r>
      <w:r w:rsidR="000A1AAE" w:rsidRPr="00857B1D">
        <w:t>of</w:t>
      </w:r>
      <w:r w:rsidR="00D52FD0">
        <w:t xml:space="preserve"> </w:t>
      </w:r>
      <w:r w:rsidR="000A1AAE" w:rsidRPr="00857B1D">
        <w:t>Department</w:t>
      </w:r>
      <w:r w:rsidR="00D52FD0">
        <w:t xml:space="preserve"> </w:t>
      </w:r>
      <w:r w:rsidR="000A1AAE" w:rsidRPr="00857B1D">
        <w:t>aided</w:t>
      </w:r>
      <w:r w:rsidR="00D52FD0">
        <w:t xml:space="preserve"> </w:t>
      </w:r>
      <w:r w:rsidR="000A1AAE" w:rsidRPr="00857B1D">
        <w:t>by</w:t>
      </w:r>
      <w:r w:rsidR="00D52FD0">
        <w:t xml:space="preserve"> </w:t>
      </w:r>
      <w:r w:rsidR="000A1AAE" w:rsidRPr="00857B1D">
        <w:t>one</w:t>
      </w:r>
      <w:r w:rsidR="00D52FD0">
        <w:t xml:space="preserve"> </w:t>
      </w:r>
      <w:r w:rsidR="000A1AAE" w:rsidRPr="00857B1D">
        <w:t>Superintendent</w:t>
      </w:r>
      <w:r w:rsidR="00D52FD0">
        <w:t xml:space="preserve"> </w:t>
      </w:r>
      <w:r w:rsidR="000A1AAE" w:rsidRPr="00857B1D">
        <w:t>heading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Economic</w:t>
      </w:r>
      <w:r w:rsidR="00D52FD0">
        <w:t xml:space="preserve"> </w:t>
      </w:r>
      <w:r w:rsidR="000A1AAE" w:rsidRPr="00857B1D">
        <w:t>Crimes</w:t>
      </w:r>
      <w:r w:rsidR="00D52FD0">
        <w:t xml:space="preserve"> </w:t>
      </w:r>
      <w:r w:rsidR="000A1AAE" w:rsidRPr="00857B1D">
        <w:t>and</w:t>
      </w:r>
      <w:r w:rsidR="00D52FD0">
        <w:t xml:space="preserve"> </w:t>
      </w:r>
      <w:r w:rsidR="000A1AAE" w:rsidRPr="00857B1D">
        <w:t>Anti-Money</w:t>
      </w:r>
      <w:r w:rsidR="00D52FD0">
        <w:t xml:space="preserve"> </w:t>
      </w:r>
      <w:r w:rsidR="000A1AAE" w:rsidRPr="00857B1D">
        <w:t>Laundering</w:t>
      </w:r>
      <w:r w:rsidR="00D52FD0">
        <w:t xml:space="preserve"> </w:t>
      </w:r>
      <w:r w:rsidR="000A1AAE" w:rsidRPr="00857B1D">
        <w:t>Squads.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selection</w:t>
      </w:r>
      <w:r w:rsidR="00D52FD0">
        <w:t xml:space="preserve"> </w:t>
      </w:r>
      <w:r w:rsidR="000A1AAE" w:rsidRPr="00857B1D">
        <w:t>process</w:t>
      </w:r>
      <w:r w:rsidR="00D52FD0">
        <w:t xml:space="preserve"> </w:t>
      </w:r>
      <w:r w:rsidR="000A1AAE" w:rsidRPr="00857B1D">
        <w:t>for</w:t>
      </w:r>
      <w:r w:rsidR="00D52FD0">
        <w:t xml:space="preserve"> </w:t>
      </w:r>
      <w:r w:rsidR="000A1AAE" w:rsidRPr="00857B1D">
        <w:t>additional</w:t>
      </w:r>
      <w:r w:rsidR="00D52FD0">
        <w:t xml:space="preserve"> </w:t>
      </w:r>
      <w:r w:rsidR="000A1AAE" w:rsidRPr="00857B1D">
        <w:t>superintendents</w:t>
      </w:r>
      <w:r w:rsidR="00D52FD0">
        <w:t xml:space="preserve"> </w:t>
      </w:r>
      <w:r w:rsidR="000A1AAE" w:rsidRPr="00857B1D">
        <w:t>within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Malta</w:t>
      </w:r>
      <w:r w:rsidR="00D52FD0">
        <w:t xml:space="preserve"> </w:t>
      </w:r>
      <w:r w:rsidR="000A1AAE" w:rsidRPr="00857B1D">
        <w:t>Police</w:t>
      </w:r>
      <w:r w:rsidR="00D52FD0">
        <w:t xml:space="preserve"> </w:t>
      </w:r>
      <w:r w:rsidR="000A1AAE" w:rsidRPr="00857B1D">
        <w:t>is</w:t>
      </w:r>
      <w:r w:rsidR="00D52FD0">
        <w:t xml:space="preserve"> </w:t>
      </w:r>
      <w:r w:rsidR="000A1AAE" w:rsidRPr="00857B1D">
        <w:t>in</w:t>
      </w:r>
      <w:r w:rsidR="00D52FD0">
        <w:t xml:space="preserve"> </w:t>
      </w:r>
      <w:r w:rsidR="000A1AAE" w:rsidRPr="00857B1D">
        <w:t>progress.</w:t>
      </w:r>
    </w:p>
    <w:p w14:paraId="025E859E" w14:textId="5F76356E" w:rsidR="000A1AAE" w:rsidRPr="00857B1D" w:rsidRDefault="0044637E" w:rsidP="0044637E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857B1D">
        <w:t>•</w:t>
      </w:r>
      <w:r w:rsidRPr="00857B1D">
        <w:tab/>
      </w:r>
      <w:r w:rsidR="000A1AAE" w:rsidRPr="00857B1D">
        <w:t>Eight</w:t>
      </w:r>
      <w:r w:rsidR="00D52FD0">
        <w:t xml:space="preserve"> </w:t>
      </w:r>
      <w:r w:rsidR="000A1AAE" w:rsidRPr="00857B1D">
        <w:t>investigators</w:t>
      </w:r>
      <w:r w:rsidR="00D52FD0">
        <w:t xml:space="preserve"> </w:t>
      </w:r>
      <w:r w:rsidR="000A1AAE" w:rsidRPr="00857B1D">
        <w:t>are</w:t>
      </w:r>
      <w:r w:rsidR="00D52FD0">
        <w:t xml:space="preserve"> </w:t>
      </w:r>
      <w:r w:rsidR="000A1AAE" w:rsidRPr="00857B1D">
        <w:t>assigned</w:t>
      </w:r>
      <w:r w:rsidR="00D52FD0">
        <w:t xml:space="preserve"> </w:t>
      </w:r>
      <w:r w:rsidR="000A1AAE" w:rsidRPr="00857B1D">
        <w:t>to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Economic</w:t>
      </w:r>
      <w:r w:rsidR="00D52FD0">
        <w:t xml:space="preserve"> </w:t>
      </w:r>
      <w:r w:rsidR="000A1AAE" w:rsidRPr="00857B1D">
        <w:t>Crimes</w:t>
      </w:r>
      <w:r w:rsidR="00D52FD0">
        <w:t xml:space="preserve"> </w:t>
      </w:r>
      <w:r w:rsidR="000A1AAE" w:rsidRPr="00857B1D">
        <w:t>Squad</w:t>
      </w:r>
      <w:r w:rsidR="00D52FD0">
        <w:t xml:space="preserve"> </w:t>
      </w:r>
      <w:r w:rsidR="000A1AAE" w:rsidRPr="00857B1D">
        <w:t>and</w:t>
      </w:r>
      <w:r w:rsidR="00D52FD0">
        <w:t xml:space="preserve"> </w:t>
      </w:r>
      <w:r w:rsidR="000A1AAE" w:rsidRPr="00857B1D">
        <w:t>four</w:t>
      </w:r>
      <w:r w:rsidR="00D52FD0">
        <w:t xml:space="preserve"> </w:t>
      </w:r>
      <w:r w:rsidR="000A1AAE" w:rsidRPr="00857B1D">
        <w:t>investigators</w:t>
      </w:r>
      <w:r w:rsidR="00D52FD0">
        <w:t xml:space="preserve"> </w:t>
      </w:r>
      <w:r w:rsidR="000A1AAE" w:rsidRPr="00857B1D">
        <w:t>are</w:t>
      </w:r>
      <w:r w:rsidR="00D52FD0">
        <w:t xml:space="preserve"> </w:t>
      </w:r>
      <w:r w:rsidR="000A1AAE" w:rsidRPr="00857B1D">
        <w:t>assigned</w:t>
      </w:r>
      <w:r w:rsidR="00D52FD0">
        <w:t xml:space="preserve"> </w:t>
      </w:r>
      <w:r w:rsidR="000A1AAE" w:rsidRPr="00857B1D">
        <w:t>to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Anti-Money</w:t>
      </w:r>
      <w:r w:rsidR="00D52FD0">
        <w:t xml:space="preserve"> </w:t>
      </w:r>
      <w:r w:rsidR="000A1AAE" w:rsidRPr="00857B1D">
        <w:t>Laundering</w:t>
      </w:r>
      <w:r w:rsidR="00D52FD0">
        <w:t xml:space="preserve"> </w:t>
      </w:r>
      <w:r w:rsidR="000A1AAE" w:rsidRPr="00857B1D">
        <w:t>Squad.</w:t>
      </w:r>
      <w:r w:rsidR="00D52FD0">
        <w:t xml:space="preserve"> </w:t>
      </w:r>
      <w:r w:rsidR="000A1AAE" w:rsidRPr="00857B1D">
        <w:t>Nine</w:t>
      </w:r>
      <w:r w:rsidR="00D52FD0">
        <w:t xml:space="preserve"> </w:t>
      </w:r>
      <w:r w:rsidR="000A1AAE" w:rsidRPr="00857B1D">
        <w:t>officer</w:t>
      </w:r>
      <w:r w:rsidR="00D52FD0">
        <w:t xml:space="preserve"> </w:t>
      </w:r>
      <w:r w:rsidR="000A1AAE" w:rsidRPr="00857B1D">
        <w:t>cadets</w:t>
      </w:r>
      <w:r w:rsidR="00D52FD0">
        <w:t xml:space="preserve"> </w:t>
      </w:r>
      <w:r w:rsidR="000A1AAE" w:rsidRPr="00857B1D">
        <w:t>are</w:t>
      </w:r>
      <w:r w:rsidR="00D52FD0">
        <w:t xml:space="preserve"> </w:t>
      </w:r>
      <w:r w:rsidR="000A1AAE" w:rsidRPr="00857B1D">
        <w:t>currently</w:t>
      </w:r>
      <w:r w:rsidR="00D52FD0">
        <w:t xml:space="preserve"> </w:t>
      </w:r>
      <w:r w:rsidR="000A1AAE" w:rsidRPr="00857B1D">
        <w:t>receiving</w:t>
      </w:r>
      <w:r w:rsidR="00D52FD0">
        <w:t xml:space="preserve"> </w:t>
      </w:r>
      <w:r w:rsidR="000A1AAE" w:rsidRPr="00857B1D">
        <w:t>training</w:t>
      </w:r>
      <w:r w:rsidR="00D52FD0">
        <w:t xml:space="preserve"> </w:t>
      </w:r>
      <w:r w:rsidR="000A1AAE" w:rsidRPr="00857B1D">
        <w:t>with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Department</w:t>
      </w:r>
      <w:r w:rsidR="00D52FD0">
        <w:t xml:space="preserve"> </w:t>
      </w:r>
      <w:r w:rsidR="000A1AAE" w:rsidRPr="00857B1D">
        <w:t>and</w:t>
      </w:r>
      <w:r w:rsidR="00D52FD0">
        <w:t xml:space="preserve"> </w:t>
      </w:r>
      <w:r w:rsidR="000A1AAE" w:rsidRPr="00857B1D">
        <w:t>these</w:t>
      </w:r>
      <w:r w:rsidR="00D52FD0">
        <w:t xml:space="preserve"> </w:t>
      </w:r>
      <w:r w:rsidR="000A1AAE" w:rsidRPr="00857B1D">
        <w:t>will</w:t>
      </w:r>
      <w:r w:rsidR="00D52FD0">
        <w:t xml:space="preserve"> </w:t>
      </w:r>
      <w:r w:rsidR="000A1AAE" w:rsidRPr="00857B1D">
        <w:t>be</w:t>
      </w:r>
      <w:r w:rsidR="00D52FD0">
        <w:t xml:space="preserve"> </w:t>
      </w:r>
      <w:r w:rsidR="000A1AAE" w:rsidRPr="00857B1D">
        <w:t>promoted</w:t>
      </w:r>
      <w:r w:rsidR="00D52FD0">
        <w:t xml:space="preserve"> </w:t>
      </w:r>
      <w:r w:rsidR="000A1AAE" w:rsidRPr="00857B1D">
        <w:t>to</w:t>
      </w:r>
      <w:r w:rsidR="00D52FD0">
        <w:t xml:space="preserve"> </w:t>
      </w:r>
      <w:r w:rsidR="000A1AAE" w:rsidRPr="00857B1D">
        <w:t>inspectors</w:t>
      </w:r>
      <w:r w:rsidR="00D52FD0">
        <w:t xml:space="preserve"> </w:t>
      </w:r>
      <w:r w:rsidR="000A1AAE" w:rsidRPr="00857B1D">
        <w:t>in</w:t>
      </w:r>
      <w:r w:rsidR="00D52FD0">
        <w:t xml:space="preserve"> </w:t>
      </w:r>
      <w:r w:rsidR="000A1AAE" w:rsidRPr="00857B1D">
        <w:t>a</w:t>
      </w:r>
      <w:r w:rsidR="00D52FD0">
        <w:t xml:space="preserve"> </w:t>
      </w:r>
      <w:r w:rsidR="000A1AAE" w:rsidRPr="00857B1D">
        <w:t>few</w:t>
      </w:r>
      <w:r w:rsidR="00D52FD0">
        <w:t xml:space="preserve"> </w:t>
      </w:r>
      <w:r w:rsidR="000A1AAE" w:rsidRPr="00857B1D">
        <w:t>months</w:t>
      </w:r>
      <w:r w:rsidR="00F14DA3">
        <w:t>’</w:t>
      </w:r>
      <w:r w:rsidR="00D52FD0">
        <w:t xml:space="preserve"> </w:t>
      </w:r>
      <w:r w:rsidR="000A1AAE" w:rsidRPr="00857B1D">
        <w:t>time</w:t>
      </w:r>
      <w:r w:rsidR="00D52FD0">
        <w:t xml:space="preserve"> </w:t>
      </w:r>
      <w:r w:rsidR="000A1AAE" w:rsidRPr="00857B1D">
        <w:t>after</w:t>
      </w:r>
      <w:r w:rsidR="00D52FD0">
        <w:t xml:space="preserve"> </w:t>
      </w:r>
      <w:r w:rsidR="000A1AAE" w:rsidRPr="00857B1D">
        <w:t>receiving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necessary</w:t>
      </w:r>
      <w:r w:rsidR="00D52FD0">
        <w:t xml:space="preserve"> </w:t>
      </w:r>
      <w:r w:rsidR="000A1AAE" w:rsidRPr="00857B1D">
        <w:t>academic</w:t>
      </w:r>
      <w:r w:rsidR="00D52FD0">
        <w:t xml:space="preserve"> </w:t>
      </w:r>
      <w:r w:rsidR="000A1AAE" w:rsidRPr="00857B1D">
        <w:t>training.</w:t>
      </w:r>
      <w:r w:rsidR="00D52FD0">
        <w:t xml:space="preserve"> </w:t>
      </w:r>
      <w:r w:rsidR="000A1AAE" w:rsidRPr="00857B1D">
        <w:t>Eight</w:t>
      </w:r>
      <w:r w:rsidR="00D52FD0">
        <w:t xml:space="preserve"> </w:t>
      </w:r>
      <w:r w:rsidR="000A1AAE" w:rsidRPr="00857B1D">
        <w:t>of</w:t>
      </w:r>
      <w:r w:rsidR="00D52FD0">
        <w:t xml:space="preserve"> </w:t>
      </w:r>
      <w:r w:rsidR="000A1AAE" w:rsidRPr="00857B1D">
        <w:t>these</w:t>
      </w:r>
      <w:r w:rsidR="00D52FD0">
        <w:t xml:space="preserve"> </w:t>
      </w:r>
      <w:r w:rsidR="000A1AAE" w:rsidRPr="00857B1D">
        <w:t>cadets</w:t>
      </w:r>
      <w:r w:rsidR="00D52FD0">
        <w:t xml:space="preserve"> </w:t>
      </w:r>
      <w:r w:rsidR="000A1AAE" w:rsidRPr="00857B1D">
        <w:t>will</w:t>
      </w:r>
      <w:r w:rsidR="00D52FD0">
        <w:t xml:space="preserve"> </w:t>
      </w:r>
      <w:r w:rsidR="000A1AAE" w:rsidRPr="00857B1D">
        <w:t>be</w:t>
      </w:r>
      <w:r w:rsidR="00D52FD0">
        <w:t xml:space="preserve"> </w:t>
      </w:r>
      <w:r w:rsidR="000A1AAE" w:rsidRPr="00857B1D">
        <w:t>assigned</w:t>
      </w:r>
      <w:r w:rsidR="00D52FD0">
        <w:t xml:space="preserve"> </w:t>
      </w:r>
      <w:r w:rsidR="000A1AAE" w:rsidRPr="00857B1D">
        <w:t>to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Anti-Money</w:t>
      </w:r>
      <w:r w:rsidR="00D52FD0">
        <w:t xml:space="preserve"> </w:t>
      </w:r>
      <w:r w:rsidR="000A1AAE" w:rsidRPr="00857B1D">
        <w:t>Laundering</w:t>
      </w:r>
      <w:r w:rsidR="00D52FD0">
        <w:t xml:space="preserve"> </w:t>
      </w:r>
      <w:r w:rsidR="000A1AAE" w:rsidRPr="00857B1D">
        <w:t>Squad,</w:t>
      </w:r>
      <w:r w:rsidR="00D52FD0">
        <w:t xml:space="preserve"> </w:t>
      </w:r>
      <w:r w:rsidR="000A1AAE" w:rsidRPr="00857B1D">
        <w:t>and</w:t>
      </w:r>
      <w:r w:rsidR="00D52FD0">
        <w:t xml:space="preserve"> </w:t>
      </w:r>
      <w:r w:rsidR="000A1AAE" w:rsidRPr="00857B1D">
        <w:t>one</w:t>
      </w:r>
      <w:r w:rsidR="00D52FD0">
        <w:t xml:space="preserve"> </w:t>
      </w:r>
      <w:r w:rsidR="000A1AAE" w:rsidRPr="00857B1D">
        <w:t>to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Economic</w:t>
      </w:r>
      <w:r w:rsidR="00D52FD0">
        <w:t xml:space="preserve"> </w:t>
      </w:r>
      <w:r w:rsidR="000A1AAE" w:rsidRPr="00857B1D">
        <w:t>Crimes</w:t>
      </w:r>
      <w:r w:rsidR="00D52FD0">
        <w:t xml:space="preserve"> </w:t>
      </w:r>
      <w:r w:rsidR="000A1AAE" w:rsidRPr="00857B1D">
        <w:t>Squad.</w:t>
      </w:r>
    </w:p>
    <w:p w14:paraId="7F38ADD3" w14:textId="0058886C" w:rsidR="000A1AAE" w:rsidRPr="00857B1D" w:rsidRDefault="0044637E" w:rsidP="0044637E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857B1D">
        <w:t>•</w:t>
      </w:r>
      <w:r w:rsidRPr="00857B1D">
        <w:tab/>
      </w:r>
      <w:r w:rsidR="000A1AAE" w:rsidRPr="00857B1D">
        <w:t>Currently,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Department</w:t>
      </w:r>
      <w:r w:rsidR="00D52FD0">
        <w:t xml:space="preserve"> </w:t>
      </w:r>
      <w:r w:rsidR="000A1AAE" w:rsidRPr="00857B1D">
        <w:t>has</w:t>
      </w:r>
      <w:r w:rsidR="00D52FD0">
        <w:t xml:space="preserve"> </w:t>
      </w:r>
      <w:r w:rsidR="000A1AAE" w:rsidRPr="00857B1D">
        <w:t>one</w:t>
      </w:r>
      <w:r w:rsidR="00D52FD0">
        <w:t xml:space="preserve"> </w:t>
      </w:r>
      <w:r w:rsidR="000A1AAE" w:rsidRPr="00857B1D">
        <w:t>financial</w:t>
      </w:r>
      <w:r w:rsidR="00D52FD0">
        <w:t xml:space="preserve"> </w:t>
      </w:r>
      <w:r w:rsidR="000A1AAE" w:rsidRPr="00857B1D">
        <w:t>analyst</w:t>
      </w:r>
      <w:r w:rsidR="00D52FD0">
        <w:t xml:space="preserve"> </w:t>
      </w:r>
      <w:r w:rsidR="000A1AAE" w:rsidRPr="00857B1D">
        <w:t>working</w:t>
      </w:r>
      <w:r w:rsidR="00D52FD0">
        <w:t xml:space="preserve"> </w:t>
      </w:r>
      <w:r w:rsidR="000A1AAE" w:rsidRPr="00857B1D">
        <w:t>full</w:t>
      </w:r>
      <w:r w:rsidR="00D52FD0">
        <w:t xml:space="preserve"> </w:t>
      </w:r>
      <w:r w:rsidR="000A1AAE" w:rsidRPr="00857B1D">
        <w:t>time.</w:t>
      </w:r>
      <w:r w:rsidR="00D52FD0">
        <w:t xml:space="preserve"> </w:t>
      </w:r>
      <w:r w:rsidR="000A1AAE" w:rsidRPr="00857B1D">
        <w:t>Vacancy</w:t>
      </w:r>
      <w:r w:rsidR="00D52FD0">
        <w:t xml:space="preserve"> </w:t>
      </w:r>
      <w:r w:rsidR="000A1AAE" w:rsidRPr="00857B1D">
        <w:t>calls</w:t>
      </w:r>
      <w:r w:rsidR="00D52FD0">
        <w:t xml:space="preserve"> </w:t>
      </w:r>
      <w:r w:rsidR="000A1AAE" w:rsidRPr="00857B1D">
        <w:t>for</w:t>
      </w:r>
      <w:r w:rsidR="00D52FD0">
        <w:t xml:space="preserve"> </w:t>
      </w:r>
      <w:r w:rsidR="000A1AAE" w:rsidRPr="00857B1D">
        <w:t>more</w:t>
      </w:r>
      <w:r w:rsidR="00D52FD0">
        <w:t xml:space="preserve"> </w:t>
      </w:r>
      <w:r w:rsidR="000A1AAE" w:rsidRPr="00857B1D">
        <w:t>analysts</w:t>
      </w:r>
      <w:r w:rsidR="00D52FD0">
        <w:t xml:space="preserve"> </w:t>
      </w:r>
      <w:r w:rsidR="000A1AAE" w:rsidRPr="00857B1D">
        <w:t>will</w:t>
      </w:r>
      <w:r w:rsidR="00D52FD0">
        <w:t xml:space="preserve"> </w:t>
      </w:r>
      <w:r w:rsidR="000A1AAE" w:rsidRPr="00857B1D">
        <w:t>be</w:t>
      </w:r>
      <w:r w:rsidR="00D52FD0">
        <w:t xml:space="preserve"> </w:t>
      </w:r>
      <w:r w:rsidR="000A1AAE" w:rsidRPr="00857B1D">
        <w:t>issued</w:t>
      </w:r>
      <w:r w:rsidR="00D52FD0">
        <w:t xml:space="preserve"> </w:t>
      </w:r>
      <w:r w:rsidR="000A1AAE" w:rsidRPr="00857B1D">
        <w:t>in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coming</w:t>
      </w:r>
      <w:r w:rsidR="00D52FD0">
        <w:t xml:space="preserve"> </w:t>
      </w:r>
      <w:r w:rsidR="000A1AAE" w:rsidRPr="00857B1D">
        <w:t>days</w:t>
      </w:r>
      <w:r w:rsidR="00D52FD0">
        <w:t xml:space="preserve"> </w:t>
      </w:r>
      <w:r w:rsidR="000A1AAE" w:rsidRPr="00857B1D">
        <w:t>for</w:t>
      </w:r>
      <w:r w:rsidR="00D52FD0">
        <w:t xml:space="preserve"> </w:t>
      </w:r>
      <w:r w:rsidR="000A1AAE" w:rsidRPr="00857B1D">
        <w:t>an</w:t>
      </w:r>
      <w:r w:rsidR="00D52FD0">
        <w:t xml:space="preserve"> </w:t>
      </w:r>
      <w:r w:rsidR="000A1AAE" w:rsidRPr="00857B1D">
        <w:t>additional</w:t>
      </w:r>
      <w:r w:rsidR="00D52FD0">
        <w:t xml:space="preserve"> </w:t>
      </w:r>
      <w:r w:rsidR="000A1AAE" w:rsidRPr="00857B1D">
        <w:t>five</w:t>
      </w:r>
      <w:r w:rsidR="00D52FD0">
        <w:t xml:space="preserve"> </w:t>
      </w:r>
      <w:r w:rsidR="000A1AAE" w:rsidRPr="00857B1D">
        <w:t>analysts.</w:t>
      </w:r>
    </w:p>
    <w:p w14:paraId="3C717709" w14:textId="298C2447" w:rsidR="000A1AAE" w:rsidRPr="00857B1D" w:rsidRDefault="0044637E" w:rsidP="0044637E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857B1D">
        <w:t>•</w:t>
      </w:r>
      <w:r w:rsidRPr="00857B1D">
        <w:tab/>
      </w:r>
      <w:r w:rsidR="000A1AAE" w:rsidRPr="00857B1D">
        <w:t>Sixty</w:t>
      </w:r>
      <w:r w:rsidR="00D52FD0">
        <w:t xml:space="preserve"> </w:t>
      </w:r>
      <w:r w:rsidR="000A1AAE" w:rsidRPr="00857B1D">
        <w:t>Non-Commissioned</w:t>
      </w:r>
      <w:r w:rsidR="00D52FD0">
        <w:t xml:space="preserve"> </w:t>
      </w:r>
      <w:r w:rsidR="000A1AAE" w:rsidRPr="00857B1D">
        <w:t>Officers</w:t>
      </w:r>
      <w:r w:rsidR="00D52FD0">
        <w:t xml:space="preserve"> </w:t>
      </w:r>
      <w:r w:rsidR="000A1AAE" w:rsidRPr="00857B1D">
        <w:t>(Police</w:t>
      </w:r>
      <w:r w:rsidR="00D52FD0">
        <w:t xml:space="preserve"> </w:t>
      </w:r>
      <w:r w:rsidR="000A1AAE" w:rsidRPr="00857B1D">
        <w:t>Constables</w:t>
      </w:r>
      <w:r w:rsidR="00D52FD0">
        <w:t xml:space="preserve"> </w:t>
      </w:r>
      <w:r w:rsidR="000A1AAE" w:rsidRPr="00857B1D">
        <w:t>and</w:t>
      </w:r>
      <w:r w:rsidR="00D52FD0">
        <w:t xml:space="preserve"> </w:t>
      </w:r>
      <w:r w:rsidR="000A1AAE" w:rsidRPr="00857B1D">
        <w:t>Sergeants)</w:t>
      </w:r>
      <w:r w:rsidR="00D52FD0">
        <w:t xml:space="preserve"> </w:t>
      </w:r>
      <w:r w:rsidR="000A1AAE" w:rsidRPr="00857B1D">
        <w:t>assisting</w:t>
      </w:r>
      <w:r w:rsidR="00D52FD0">
        <w:t xml:space="preserve"> </w:t>
      </w:r>
      <w:r w:rsidR="000A1AAE" w:rsidRPr="00857B1D">
        <w:t>in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Department</w:t>
      </w:r>
      <w:r w:rsidR="00F14DA3">
        <w:t>’</w:t>
      </w:r>
      <w:r w:rsidR="000A1AAE" w:rsidRPr="00857B1D">
        <w:t>s</w:t>
      </w:r>
      <w:r w:rsidR="00D52FD0">
        <w:t xml:space="preserve"> </w:t>
      </w:r>
      <w:r w:rsidR="000A1AAE" w:rsidRPr="00857B1D">
        <w:t>daily</w:t>
      </w:r>
      <w:r w:rsidR="00D52FD0">
        <w:t xml:space="preserve"> </w:t>
      </w:r>
      <w:r w:rsidR="000A1AAE" w:rsidRPr="00857B1D">
        <w:t>work.</w:t>
      </w:r>
    </w:p>
    <w:p w14:paraId="67F056BB" w14:textId="1339C01F" w:rsidR="000A1AAE" w:rsidRPr="00A841AA" w:rsidRDefault="0044637E" w:rsidP="0044637E">
      <w:pPr>
        <w:pStyle w:val="ParaNoG"/>
        <w:numPr>
          <w:ilvl w:val="0"/>
          <w:numId w:val="0"/>
        </w:numPr>
        <w:tabs>
          <w:tab w:val="left" w:pos="0"/>
        </w:tabs>
        <w:spacing w:after="240"/>
        <w:ind w:left="1134"/>
      </w:pPr>
      <w:r w:rsidRPr="00A841AA">
        <w:t>105.</w:t>
      </w:r>
      <w:r w:rsidRPr="00A841AA">
        <w:tab/>
      </w:r>
      <w:r w:rsidR="000A1AAE" w:rsidRPr="00A841AA">
        <w:t>The</w:t>
      </w:r>
      <w:r w:rsidR="00D52FD0">
        <w:t xml:space="preserve"> </w:t>
      </w:r>
      <w:r w:rsidR="000A1AAE" w:rsidRPr="00A841AA">
        <w:t>chart</w:t>
      </w:r>
      <w:r w:rsidR="00D52FD0">
        <w:t xml:space="preserve"> </w:t>
      </w:r>
      <w:r w:rsidR="000A1AAE" w:rsidRPr="00A841AA">
        <w:t>hereunder</w:t>
      </w:r>
      <w:r w:rsidR="00D52FD0">
        <w:t xml:space="preserve"> </w:t>
      </w:r>
      <w:r w:rsidR="000A1AAE" w:rsidRPr="00A841AA">
        <w:t>illustrates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changes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personnel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predictions</w:t>
      </w:r>
      <w:r w:rsidR="00D52FD0">
        <w:t xml:space="preserve"> </w:t>
      </w:r>
      <w:r w:rsidR="000A1AAE" w:rsidRPr="00A841AA">
        <w:t>till</w:t>
      </w:r>
      <w:r w:rsidR="00D52FD0">
        <w:t xml:space="preserve"> </w:t>
      </w:r>
      <w:r w:rsidR="000A1AAE" w:rsidRPr="00A841AA">
        <w:t>end</w:t>
      </w:r>
      <w:r w:rsidR="00D52FD0">
        <w:t xml:space="preserve"> </w:t>
      </w:r>
      <w:r w:rsidR="000A1AAE" w:rsidRPr="00A841AA">
        <w:t>December</w:t>
      </w:r>
      <w:r w:rsidR="00D52FD0">
        <w:t xml:space="preserve"> </w:t>
      </w:r>
      <w:r w:rsidR="000A1AAE" w:rsidRPr="00A841AA">
        <w:t>2021.</w:t>
      </w:r>
    </w:p>
    <w:p w14:paraId="0A3C2232" w14:textId="77777777" w:rsidR="000A1AAE" w:rsidRPr="00F31847" w:rsidRDefault="000A1AAE" w:rsidP="009D4C09">
      <w:pPr>
        <w:pStyle w:val="ParaNoG"/>
        <w:numPr>
          <w:ilvl w:val="0"/>
          <w:numId w:val="0"/>
        </w:numPr>
        <w:ind w:left="1134"/>
        <w:rPr>
          <w:rFonts w:eastAsia="Calibri"/>
        </w:rPr>
      </w:pPr>
      <w:r w:rsidRPr="00825CCA">
        <w:rPr>
          <w:rFonts w:eastAsia="Calibri"/>
          <w:noProof/>
          <w:lang w:eastAsia="en-GB"/>
        </w:rPr>
        <w:drawing>
          <wp:inline distT="0" distB="0" distL="0" distR="0" wp14:anchorId="45CDF86E" wp14:editId="09C0803C">
            <wp:extent cx="5038223" cy="238125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2045" cy="2383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F89EF9" w14:textId="63E15A19" w:rsidR="000A1AAE" w:rsidRDefault="000A1AAE" w:rsidP="009D4C09">
      <w:pPr>
        <w:pStyle w:val="H1G"/>
      </w:pPr>
      <w:r>
        <w:tab/>
      </w:r>
      <w:r>
        <w:tab/>
      </w:r>
      <w:r w:rsidRPr="00825CCA">
        <w:t>Non-discrimination</w:t>
      </w:r>
      <w:r w:rsidR="00D52FD0">
        <w:t xml:space="preserve"> </w:t>
      </w:r>
      <w:r w:rsidRPr="00825CCA">
        <w:t>(arts.</w:t>
      </w:r>
      <w:r w:rsidR="00D52FD0">
        <w:t xml:space="preserve"> </w:t>
      </w:r>
      <w:r w:rsidRPr="00825CCA">
        <w:t>2,</w:t>
      </w:r>
      <w:r w:rsidR="00D52FD0">
        <w:t xml:space="preserve"> </w:t>
      </w:r>
      <w:r w:rsidRPr="00825CCA">
        <w:t>20</w:t>
      </w:r>
      <w:r w:rsidR="00D52FD0">
        <w:t xml:space="preserve"> </w:t>
      </w:r>
      <w:r w:rsidRPr="00825CCA">
        <w:t>and</w:t>
      </w:r>
      <w:r w:rsidR="00D52FD0">
        <w:t xml:space="preserve"> </w:t>
      </w:r>
      <w:r w:rsidRPr="00825CCA">
        <w:t>26)</w:t>
      </w:r>
    </w:p>
    <w:p w14:paraId="3FF782E2" w14:textId="4121ACC9" w:rsidR="000A1AAE" w:rsidRPr="00825CCA" w:rsidRDefault="000A1AAE" w:rsidP="009D4C09">
      <w:pPr>
        <w:pStyle w:val="H23G"/>
        <w:rPr>
          <w:rFonts w:eastAsia="Calibri"/>
        </w:rPr>
      </w:pPr>
      <w:r>
        <w:tab/>
      </w:r>
      <w:r>
        <w:tab/>
      </w:r>
      <w:r w:rsidRPr="00504902">
        <w:t>Reply</w:t>
      </w:r>
      <w:r w:rsidR="00D52FD0">
        <w:t xml:space="preserve"> </w:t>
      </w:r>
      <w:r w:rsidRPr="00504902">
        <w:t>to</w:t>
      </w:r>
      <w:r w:rsidR="00D52FD0">
        <w:t xml:space="preserve"> </w:t>
      </w:r>
      <w:r w:rsidRPr="00504902">
        <w:t>paragraph</w:t>
      </w:r>
      <w:r w:rsidR="00D52FD0">
        <w:t xml:space="preserve"> </w:t>
      </w:r>
      <w:r>
        <w:t>6</w:t>
      </w:r>
      <w:r w:rsidR="00D52FD0">
        <w:t xml:space="preserve"> </w:t>
      </w:r>
      <w:r w:rsidRPr="00504902">
        <w:t>of</w:t>
      </w:r>
      <w:r w:rsidR="00D52FD0">
        <w:t xml:space="preserve"> </w:t>
      </w:r>
      <w:r w:rsidRPr="00504902">
        <w:t>the</w:t>
      </w:r>
      <w:r w:rsidR="00D52FD0">
        <w:t xml:space="preserve"> </w:t>
      </w:r>
      <w:r w:rsidRPr="00504902">
        <w:t>list</w:t>
      </w:r>
      <w:r w:rsidR="00D52FD0">
        <w:t xml:space="preserve"> </w:t>
      </w:r>
      <w:r w:rsidRPr="00504902">
        <w:t>of</w:t>
      </w:r>
      <w:r w:rsidR="00D52FD0">
        <w:t xml:space="preserve"> </w:t>
      </w:r>
      <w:r w:rsidRPr="00504902">
        <w:t>issues</w:t>
      </w:r>
    </w:p>
    <w:p w14:paraId="3DF84FFE" w14:textId="4F413276" w:rsidR="000E4FD0" w:rsidRDefault="0044637E" w:rsidP="0044637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>
        <w:t>106.</w:t>
      </w:r>
      <w:r>
        <w:tab/>
      </w:r>
      <w:r w:rsidR="000A1AAE" w:rsidRPr="00A841AA">
        <w:t>The</w:t>
      </w:r>
      <w:r w:rsidR="00D52FD0">
        <w:t xml:space="preserve"> </w:t>
      </w:r>
      <w:r w:rsidR="000A1AAE" w:rsidRPr="00A841AA">
        <w:t>proposed</w:t>
      </w:r>
      <w:r w:rsidR="00D52FD0">
        <w:t xml:space="preserve"> </w:t>
      </w:r>
      <w:r w:rsidR="000A1AAE" w:rsidRPr="00A841AA">
        <w:t>Equality</w:t>
      </w:r>
      <w:r w:rsidR="00D52FD0">
        <w:t xml:space="preserve"> </w:t>
      </w:r>
      <w:r w:rsidR="000A1AAE" w:rsidRPr="00A841AA">
        <w:t>Bill,</w:t>
      </w:r>
      <w:r w:rsidR="00D52FD0">
        <w:t xml:space="preserve"> </w:t>
      </w:r>
      <w:r w:rsidR="000A1AAE" w:rsidRPr="00A841AA">
        <w:t>currently</w:t>
      </w:r>
      <w:r w:rsidR="00D52FD0">
        <w:t xml:space="preserve"> </w:t>
      </w:r>
      <w:r w:rsidR="000A1AAE" w:rsidRPr="00A841AA">
        <w:t>being</w:t>
      </w:r>
      <w:r w:rsidR="00D52FD0">
        <w:t xml:space="preserve"> </w:t>
      </w:r>
      <w:r w:rsidR="000A1AAE" w:rsidRPr="00A841AA">
        <w:t>debated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Parliament,</w:t>
      </w:r>
      <w:r w:rsidR="00D52FD0">
        <w:t xml:space="preserve"> </w:t>
      </w:r>
      <w:r w:rsidR="000A1AAE" w:rsidRPr="00A841AA">
        <w:t>strengthens</w:t>
      </w:r>
      <w:r w:rsidR="00D52FD0">
        <w:t xml:space="preserve"> </w:t>
      </w:r>
      <w:r w:rsidR="000A1AAE" w:rsidRPr="00A841AA">
        <w:t>Malta</w:t>
      </w:r>
      <w:r w:rsidR="00F14DA3">
        <w:t>’</w:t>
      </w:r>
      <w:r w:rsidR="000A1AAE" w:rsidRPr="00A841AA">
        <w:t>s</w:t>
      </w:r>
      <w:r w:rsidR="00D52FD0">
        <w:t xml:space="preserve"> </w:t>
      </w:r>
      <w:r w:rsidR="000A1AAE" w:rsidRPr="00A841AA">
        <w:t>anti-discrimination</w:t>
      </w:r>
      <w:r w:rsidR="00D52FD0">
        <w:t xml:space="preserve"> </w:t>
      </w:r>
      <w:r w:rsidR="000A1AAE" w:rsidRPr="00A841AA">
        <w:t>legal</w:t>
      </w:r>
      <w:r w:rsidR="00D52FD0">
        <w:t xml:space="preserve"> </w:t>
      </w:r>
      <w:r w:rsidR="000A1AAE" w:rsidRPr="00A841AA">
        <w:t>framework</w:t>
      </w:r>
      <w:r w:rsidR="00D52FD0">
        <w:t xml:space="preserve"> </w:t>
      </w:r>
      <w:r w:rsidR="000A1AAE" w:rsidRPr="00A841AA">
        <w:t>by</w:t>
      </w:r>
      <w:r w:rsidR="00D52FD0">
        <w:t xml:space="preserve"> </w:t>
      </w:r>
      <w:r w:rsidR="000A1AAE" w:rsidRPr="00A841AA">
        <w:t>consolidating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elevating</w:t>
      </w:r>
      <w:r w:rsidR="00D52FD0">
        <w:t xml:space="preserve"> </w:t>
      </w:r>
      <w:r w:rsidR="000A1AAE" w:rsidRPr="00A841AA">
        <w:t>equality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non-discrimination</w:t>
      </w:r>
      <w:r w:rsidR="00D52FD0">
        <w:t xml:space="preserve"> </w:t>
      </w:r>
      <w:r w:rsidR="000A1AAE" w:rsidRPr="00A841AA">
        <w:t>provisions,</w:t>
      </w:r>
      <w:r w:rsidR="00D52FD0">
        <w:t xml:space="preserve"> </w:t>
      </w:r>
      <w:r w:rsidR="000A1AAE" w:rsidRPr="00A841AA">
        <w:t>which</w:t>
      </w:r>
      <w:r w:rsidR="00D52FD0">
        <w:t xml:space="preserve"> </w:t>
      </w:r>
      <w:r w:rsidR="000A1AAE" w:rsidRPr="00A841AA">
        <w:t>are</w:t>
      </w:r>
      <w:r w:rsidR="00D52FD0">
        <w:t xml:space="preserve"> </w:t>
      </w:r>
      <w:r w:rsidR="000A1AAE" w:rsidRPr="00A841AA">
        <w:t>presently</w:t>
      </w:r>
      <w:r w:rsidR="00D52FD0">
        <w:t xml:space="preserve"> </w:t>
      </w:r>
      <w:r w:rsidR="000A1AAE" w:rsidRPr="00A841AA">
        <w:t>applied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a</w:t>
      </w:r>
      <w:r w:rsidR="00D52FD0">
        <w:t xml:space="preserve"> </w:t>
      </w:r>
      <w:r w:rsidR="000A1AAE" w:rsidRPr="00A841AA">
        <w:t>piecemeal</w:t>
      </w:r>
      <w:r w:rsidR="00D52FD0">
        <w:t xml:space="preserve"> </w:t>
      </w:r>
      <w:r w:rsidR="000A1AAE" w:rsidRPr="00A841AA">
        <w:t>manner.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Bill</w:t>
      </w:r>
      <w:r w:rsidR="00D52FD0">
        <w:t xml:space="preserve"> </w:t>
      </w:r>
      <w:r w:rsidR="000A1AAE" w:rsidRPr="00A841AA">
        <w:t>also</w:t>
      </w:r>
      <w:r w:rsidR="00D52FD0">
        <w:t xml:space="preserve"> </w:t>
      </w:r>
      <w:r w:rsidR="000A1AAE" w:rsidRPr="00A841AA">
        <w:t>brings</w:t>
      </w:r>
      <w:r w:rsidR="00D52FD0">
        <w:t xml:space="preserve"> </w:t>
      </w:r>
      <w:r w:rsidR="000A1AAE" w:rsidRPr="00A841AA">
        <w:t>together</w:t>
      </w:r>
      <w:r w:rsidR="00D52FD0">
        <w:t xml:space="preserve"> </w:t>
      </w:r>
      <w:r w:rsidR="000A1AAE" w:rsidRPr="00A841AA">
        <w:t>all</w:t>
      </w:r>
      <w:r w:rsidR="00D52FD0">
        <w:t xml:space="preserve"> </w:t>
      </w:r>
      <w:r w:rsidR="000A1AAE" w:rsidRPr="00A841AA">
        <w:t>protected</w:t>
      </w:r>
      <w:r w:rsidR="00D52FD0">
        <w:t xml:space="preserve"> </w:t>
      </w:r>
      <w:r w:rsidR="000A1AAE" w:rsidRPr="00A841AA">
        <w:t>characteristics</w:t>
      </w:r>
      <w:r w:rsidR="00D52FD0">
        <w:t xml:space="preserve"> </w:t>
      </w:r>
      <w:r w:rsidR="000A1AAE" w:rsidRPr="00A841AA">
        <w:t>currently</w:t>
      </w:r>
      <w:r w:rsidR="00D52FD0">
        <w:t xml:space="preserve"> </w:t>
      </w:r>
      <w:r w:rsidR="000A1AAE" w:rsidRPr="00A841AA">
        <w:t>protected</w:t>
      </w:r>
      <w:r w:rsidR="00D52FD0">
        <w:t xml:space="preserve"> </w:t>
      </w:r>
      <w:r w:rsidR="000A1AAE" w:rsidRPr="00A841AA">
        <w:t>by</w:t>
      </w:r>
      <w:r w:rsidR="00D52FD0">
        <w:t xml:space="preserve"> </w:t>
      </w:r>
      <w:r w:rsidR="000A1AAE" w:rsidRPr="00A841AA">
        <w:t>local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international</w:t>
      </w:r>
      <w:r w:rsidR="00D52FD0">
        <w:t xml:space="preserve"> </w:t>
      </w:r>
      <w:r w:rsidR="000A1AAE" w:rsidRPr="00A841AA">
        <w:t>law,</w:t>
      </w:r>
      <w:r w:rsidR="00D52FD0">
        <w:t xml:space="preserve"> </w:t>
      </w:r>
      <w:r w:rsidR="000A1AAE" w:rsidRPr="00A841AA">
        <w:t>defines</w:t>
      </w:r>
      <w:r w:rsidR="00D52FD0">
        <w:t xml:space="preserve"> </w:t>
      </w:r>
      <w:r w:rsidR="000A1AAE" w:rsidRPr="00A841AA">
        <w:t>discrimination</w:t>
      </w:r>
      <w:r w:rsidR="00D52FD0">
        <w:t xml:space="preserve"> </w:t>
      </w:r>
      <w:r w:rsidR="000A1AAE" w:rsidRPr="00A841AA">
        <w:t>widely,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secures</w:t>
      </w:r>
      <w:r w:rsidR="00D52FD0">
        <w:t xml:space="preserve"> </w:t>
      </w:r>
      <w:r w:rsidR="000A1AAE" w:rsidRPr="00A841AA">
        <w:t>protection</w:t>
      </w:r>
      <w:r w:rsidR="00D52FD0">
        <w:t xml:space="preserve"> </w:t>
      </w:r>
      <w:r w:rsidR="000A1AAE" w:rsidRPr="00A841AA">
        <w:t>from</w:t>
      </w:r>
      <w:r w:rsidR="00D52FD0">
        <w:t xml:space="preserve"> </w:t>
      </w:r>
      <w:r w:rsidR="000A1AAE" w:rsidRPr="00A841AA">
        <w:t>discrimination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all</w:t>
      </w:r>
      <w:r w:rsidR="00D52FD0">
        <w:t xml:space="preserve"> </w:t>
      </w:r>
      <w:r w:rsidR="000A1AAE" w:rsidRPr="00A841AA">
        <w:t>spheres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life.</w:t>
      </w:r>
      <w:r w:rsidR="00D52FD0">
        <w:t xml:space="preserve"> </w:t>
      </w:r>
      <w:r w:rsidR="000A1AAE" w:rsidRPr="00A841AA">
        <w:t>Among</w:t>
      </w:r>
      <w:r w:rsidR="00D52FD0">
        <w:t xml:space="preserve"> </w:t>
      </w:r>
      <w:r w:rsidR="000A1AAE" w:rsidRPr="00A841AA">
        <w:t>other</w:t>
      </w:r>
      <w:r w:rsidR="00D52FD0">
        <w:t xml:space="preserve"> </w:t>
      </w:r>
      <w:r w:rsidR="000A1AAE" w:rsidRPr="00A841AA">
        <w:t>protected</w:t>
      </w:r>
      <w:r w:rsidR="00D52FD0">
        <w:t xml:space="preserve"> </w:t>
      </w:r>
      <w:r w:rsidR="000A1AAE" w:rsidRPr="00A841AA">
        <w:t>characteristics,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Equality</w:t>
      </w:r>
      <w:r w:rsidR="00D52FD0">
        <w:t xml:space="preserve"> </w:t>
      </w:r>
      <w:r w:rsidR="000A1AAE" w:rsidRPr="00A841AA">
        <w:t>Bill</w:t>
      </w:r>
      <w:r w:rsidR="00D52FD0">
        <w:t xml:space="preserve"> </w:t>
      </w:r>
      <w:r w:rsidR="000A1AAE" w:rsidRPr="00A841AA">
        <w:t>proposes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characteristic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language,</w:t>
      </w:r>
      <w:r w:rsidR="00D52FD0">
        <w:t xml:space="preserve"> </w:t>
      </w:r>
      <w:r w:rsidR="000A1AAE" w:rsidRPr="00A841AA">
        <w:t>defined</w:t>
      </w:r>
      <w:r w:rsidR="00D52FD0">
        <w:t xml:space="preserve"> </w:t>
      </w:r>
      <w:r w:rsidR="000A1AAE" w:rsidRPr="00A841AA">
        <w:t>as</w:t>
      </w:r>
      <w:r w:rsidR="00D52FD0">
        <w:t xml:space="preserve"> </w:t>
      </w:r>
      <w:r w:rsidR="00F14DA3">
        <w:t>“</w:t>
      </w:r>
      <w:r w:rsidR="000A1AAE" w:rsidRPr="00A841AA">
        <w:t>any</w:t>
      </w:r>
      <w:r w:rsidR="00D52FD0">
        <w:t xml:space="preserve"> </w:t>
      </w:r>
      <w:r w:rsidR="000A1AAE" w:rsidRPr="00A841AA">
        <w:t>spoken,</w:t>
      </w:r>
      <w:r w:rsidR="00D52FD0">
        <w:t xml:space="preserve"> </w:t>
      </w:r>
      <w:r w:rsidR="000A1AAE" w:rsidRPr="00A841AA">
        <w:t>written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sign</w:t>
      </w:r>
      <w:r w:rsidR="00D52FD0">
        <w:t xml:space="preserve"> </w:t>
      </w:r>
      <w:r w:rsidR="000A1AAE" w:rsidRPr="00A841AA">
        <w:t>language</w:t>
      </w:r>
      <w:r w:rsidR="00D52FD0">
        <w:t xml:space="preserve"> </w:t>
      </w:r>
      <w:r w:rsidR="000A1AAE" w:rsidRPr="00A841AA">
        <w:t>officially</w:t>
      </w:r>
      <w:r w:rsidR="00D52FD0">
        <w:t xml:space="preserve"> </w:t>
      </w:r>
      <w:r w:rsidR="000A1AAE" w:rsidRPr="00A841AA">
        <w:t>recognised</w:t>
      </w:r>
      <w:r w:rsidR="00D52FD0">
        <w:t xml:space="preserve"> </w:t>
      </w:r>
      <w:r w:rsidR="000A1AAE" w:rsidRPr="00A841AA">
        <w:t>at</w:t>
      </w:r>
      <w:r w:rsidR="00D52FD0">
        <w:t xml:space="preserve"> </w:t>
      </w:r>
      <w:r w:rsidR="000A1AAE" w:rsidRPr="00A841AA">
        <w:t>law</w:t>
      </w:r>
      <w:r w:rsidR="00F14DA3">
        <w:t>”</w:t>
      </w:r>
      <w:r w:rsidR="000A1AAE" w:rsidRPr="00A841AA">
        <w:t>.</w:t>
      </w:r>
    </w:p>
    <w:p w14:paraId="7464AC6C" w14:textId="26882005" w:rsidR="000E4FD0" w:rsidRDefault="0044637E" w:rsidP="0044637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>
        <w:t>107.</w:t>
      </w:r>
      <w:r>
        <w:tab/>
      </w:r>
      <w:r w:rsidR="000A1AAE" w:rsidRPr="00A841AA">
        <w:t>Government</w:t>
      </w:r>
      <w:r w:rsidR="00D52FD0">
        <w:t xml:space="preserve"> </w:t>
      </w:r>
      <w:r w:rsidR="000A1AAE" w:rsidRPr="00A841AA">
        <w:t>has</w:t>
      </w:r>
      <w:r w:rsidR="00D52FD0">
        <w:t xml:space="preserve"> </w:t>
      </w:r>
      <w:r w:rsidR="000A1AAE" w:rsidRPr="00A841AA">
        <w:t>undertaken</w:t>
      </w:r>
      <w:r w:rsidR="00D52FD0">
        <w:t xml:space="preserve"> </w:t>
      </w:r>
      <w:r w:rsidR="000A1AAE" w:rsidRPr="00A841AA">
        <w:t>an</w:t>
      </w:r>
      <w:r w:rsidR="00D52FD0">
        <w:t xml:space="preserve"> </w:t>
      </w:r>
      <w:r w:rsidR="000A1AAE" w:rsidRPr="00A841AA">
        <w:t>ongoing</w:t>
      </w:r>
      <w:r w:rsidR="00D52FD0">
        <w:t xml:space="preserve"> </w:t>
      </w:r>
      <w:r w:rsidR="000A1AAE" w:rsidRPr="00A841AA">
        <w:t>legislative</w:t>
      </w:r>
      <w:r w:rsidR="00D52FD0">
        <w:t xml:space="preserve"> </w:t>
      </w:r>
      <w:r w:rsidR="000A1AAE" w:rsidRPr="00A841AA">
        <w:t>exercise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amend</w:t>
      </w:r>
      <w:r w:rsidR="00D52FD0">
        <w:t xml:space="preserve"> </w:t>
      </w:r>
      <w:r w:rsidR="000A1AAE" w:rsidRPr="00A841AA">
        <w:t>or</w:t>
      </w:r>
      <w:r w:rsidR="00D52FD0">
        <w:t xml:space="preserve"> </w:t>
      </w:r>
      <w:r w:rsidR="000A1AAE" w:rsidRPr="00A841AA">
        <w:t>repeal,</w:t>
      </w:r>
      <w:r w:rsidR="00D52FD0">
        <w:t xml:space="preserve"> </w:t>
      </w:r>
      <w:r w:rsidR="000A1AAE" w:rsidRPr="00A841AA">
        <w:t>as</w:t>
      </w:r>
      <w:r w:rsidR="00D52FD0">
        <w:t xml:space="preserve"> </w:t>
      </w:r>
      <w:r w:rsidR="000A1AAE" w:rsidRPr="00A841AA">
        <w:t>necessary,</w:t>
      </w:r>
      <w:r w:rsidR="00D52FD0">
        <w:t xml:space="preserve"> </w:t>
      </w:r>
      <w:r w:rsidR="000A1AAE" w:rsidRPr="00A841AA">
        <w:t>provisions</w:t>
      </w:r>
      <w:r w:rsidR="00D52FD0">
        <w:t xml:space="preserve"> </w:t>
      </w:r>
      <w:r w:rsidR="000A1AAE" w:rsidRPr="00A841AA">
        <w:t>which</w:t>
      </w:r>
      <w:r w:rsidR="00D52FD0">
        <w:t xml:space="preserve"> </w:t>
      </w:r>
      <w:r w:rsidR="000A1AAE" w:rsidRPr="00A841AA">
        <w:t>are</w:t>
      </w:r>
      <w:r w:rsidR="00D52FD0">
        <w:t xml:space="preserve"> </w:t>
      </w:r>
      <w:r w:rsidR="000A1AAE" w:rsidRPr="00A841AA">
        <w:t>incompatible</w:t>
      </w:r>
      <w:r w:rsidR="00D52FD0">
        <w:t xml:space="preserve"> </w:t>
      </w:r>
      <w:r w:rsidR="000A1AAE" w:rsidRPr="00A841AA">
        <w:t>with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principle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non-discrimination.</w:t>
      </w:r>
      <w:r w:rsidR="00D52FD0">
        <w:t xml:space="preserve"> </w:t>
      </w:r>
      <w:r w:rsidR="000A1AAE" w:rsidRPr="00A841AA">
        <w:t>As</w:t>
      </w:r>
      <w:r w:rsidR="00D52FD0">
        <w:t xml:space="preserve"> </w:t>
      </w:r>
      <w:r w:rsidR="000A1AAE" w:rsidRPr="00A841AA">
        <w:t>a</w:t>
      </w:r>
      <w:r w:rsidR="00D52FD0">
        <w:t xml:space="preserve"> </w:t>
      </w:r>
      <w:r w:rsidR="000A1AAE" w:rsidRPr="00A841AA">
        <w:t>result,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December</w:t>
      </w:r>
      <w:r w:rsidR="00D52FD0">
        <w:t xml:space="preserve"> </w:t>
      </w:r>
      <w:r w:rsidR="000A1AAE" w:rsidRPr="00A841AA">
        <w:t>2020,</w:t>
      </w:r>
      <w:r w:rsidR="00D52FD0">
        <w:t xml:space="preserve"> </w:t>
      </w:r>
      <w:r w:rsidR="000A1AAE" w:rsidRPr="00A841AA">
        <w:t>for</w:t>
      </w:r>
      <w:r w:rsidR="00D52FD0">
        <w:t xml:space="preserve"> </w:t>
      </w:r>
      <w:r w:rsidR="000A1AAE" w:rsidRPr="00A841AA">
        <w:t>instance,</w:t>
      </w:r>
      <w:r w:rsidR="00D52FD0">
        <w:t xml:space="preserve"> </w:t>
      </w:r>
      <w:r w:rsidR="000A1AAE" w:rsidRPr="00A841AA">
        <w:t>Government</w:t>
      </w:r>
      <w:r w:rsidR="00D52FD0">
        <w:t xml:space="preserve"> </w:t>
      </w:r>
      <w:r w:rsidR="000A1AAE" w:rsidRPr="00A841AA">
        <w:t>repealed</w:t>
      </w:r>
      <w:r w:rsidR="00D52FD0">
        <w:t xml:space="preserve"> </w:t>
      </w:r>
      <w:r w:rsidR="000A1AAE" w:rsidRPr="00A841AA">
        <w:t>clauses</w:t>
      </w:r>
      <w:r w:rsidR="00D52FD0">
        <w:t xml:space="preserve"> </w:t>
      </w:r>
      <w:r w:rsidR="000A1AAE" w:rsidRPr="00A841AA">
        <w:t>calling</w:t>
      </w:r>
      <w:r w:rsidR="00D52FD0">
        <w:t xml:space="preserve"> </w:t>
      </w:r>
      <w:r w:rsidR="000A1AAE" w:rsidRPr="00A841AA">
        <w:t>upon</w:t>
      </w:r>
      <w:r w:rsidR="00D52FD0">
        <w:t xml:space="preserve"> </w:t>
      </w:r>
      <w:r w:rsidR="000A1AAE" w:rsidRPr="00A841AA">
        <w:t>women</w:t>
      </w:r>
      <w:r w:rsidR="00D52FD0">
        <w:t xml:space="preserve"> </w:t>
      </w:r>
      <w:r w:rsidR="000A1AAE" w:rsidRPr="00A841AA">
        <w:t>alone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state</w:t>
      </w:r>
      <w:r w:rsidR="00D52FD0">
        <w:t xml:space="preserve"> </w:t>
      </w:r>
      <w:r w:rsidR="000A1AAE" w:rsidRPr="00A841AA">
        <w:t>their</w:t>
      </w:r>
      <w:r w:rsidR="00D52FD0">
        <w:t xml:space="preserve"> </w:t>
      </w:r>
      <w:r w:rsidR="000A1AAE" w:rsidRPr="00A841AA">
        <w:t>civil</w:t>
      </w:r>
      <w:r w:rsidR="00D52FD0">
        <w:t xml:space="preserve"> </w:t>
      </w:r>
      <w:r w:rsidR="000A1AAE" w:rsidRPr="00A841AA">
        <w:t>status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notarial</w:t>
      </w:r>
      <w:r w:rsidR="00D52FD0">
        <w:t xml:space="preserve"> </w:t>
      </w:r>
      <w:r w:rsidR="000A1AAE" w:rsidRPr="00A841AA">
        <w:t>deeds.</w:t>
      </w:r>
    </w:p>
    <w:p w14:paraId="2F0658CA" w14:textId="4A1F1C29" w:rsidR="000A1AAE" w:rsidRPr="00A841AA" w:rsidRDefault="0044637E" w:rsidP="0044637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841AA">
        <w:t>108.</w:t>
      </w:r>
      <w:r w:rsidRPr="00A841AA">
        <w:tab/>
      </w:r>
      <w:r w:rsidR="000A1AAE" w:rsidRPr="00A841AA">
        <w:t>Government</w:t>
      </w:r>
      <w:r w:rsidR="00D52FD0">
        <w:t xml:space="preserve"> </w:t>
      </w:r>
      <w:r w:rsidR="000A1AAE" w:rsidRPr="00A841AA">
        <w:t>is</w:t>
      </w:r>
      <w:r w:rsidR="00D52FD0">
        <w:t xml:space="preserve"> </w:t>
      </w:r>
      <w:r w:rsidR="000A1AAE" w:rsidRPr="00A841AA">
        <w:t>currently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final</w:t>
      </w:r>
      <w:r w:rsidR="00D52FD0">
        <w:t xml:space="preserve"> </w:t>
      </w:r>
      <w:r w:rsidR="000A1AAE" w:rsidRPr="00A841AA">
        <w:t>drafting</w:t>
      </w:r>
      <w:r w:rsidR="00D52FD0">
        <w:t xml:space="preserve"> </w:t>
      </w:r>
      <w:r w:rsidR="000A1AAE" w:rsidRPr="00A841AA">
        <w:t>phases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Malta</w:t>
      </w:r>
      <w:r w:rsidR="00F14DA3">
        <w:t>’</w:t>
      </w:r>
      <w:r w:rsidR="000A1AAE" w:rsidRPr="00A841AA">
        <w:t>s</w:t>
      </w:r>
      <w:r w:rsidR="00D52FD0">
        <w:t xml:space="preserve"> </w:t>
      </w:r>
      <w:r w:rsidR="000A1AAE" w:rsidRPr="00A841AA">
        <w:t>first</w:t>
      </w:r>
      <w:r w:rsidR="00D52FD0">
        <w:t xml:space="preserve"> </w:t>
      </w:r>
      <w:r w:rsidR="000A1AAE" w:rsidRPr="00A841AA">
        <w:t>National</w:t>
      </w:r>
      <w:r w:rsidR="00D52FD0">
        <w:t xml:space="preserve"> </w:t>
      </w:r>
      <w:r w:rsidR="000A1AAE" w:rsidRPr="00A841AA">
        <w:t>Action</w:t>
      </w:r>
      <w:r w:rsidR="00D52FD0">
        <w:t xml:space="preserve"> </w:t>
      </w:r>
      <w:r w:rsidR="000A1AAE" w:rsidRPr="00A841AA">
        <w:t>Plan</w:t>
      </w:r>
      <w:r w:rsidR="00D52FD0">
        <w:t xml:space="preserve"> </w:t>
      </w:r>
      <w:r w:rsidR="000A1AAE" w:rsidRPr="00A841AA">
        <w:t>against</w:t>
      </w:r>
      <w:r w:rsidR="00D52FD0">
        <w:t xml:space="preserve"> </w:t>
      </w:r>
      <w:r w:rsidR="000A1AAE" w:rsidRPr="00A841AA">
        <w:t>Racism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Xenophobia</w:t>
      </w:r>
      <w:r w:rsidR="00D52FD0">
        <w:t xml:space="preserve"> </w:t>
      </w:r>
      <w:r w:rsidR="000A1AAE" w:rsidRPr="00A841AA">
        <w:t>(NAPRAX).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goals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NAPRAX</w:t>
      </w:r>
      <w:r w:rsidR="00D52FD0">
        <w:t xml:space="preserve"> </w:t>
      </w:r>
      <w:r w:rsidR="000A1AAE" w:rsidRPr="00A841AA">
        <w:t>are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(i)</w:t>
      </w:r>
      <w:r w:rsidR="00D52FD0">
        <w:t xml:space="preserve"> </w:t>
      </w:r>
      <w:r w:rsidR="000A1AAE" w:rsidRPr="00A841AA">
        <w:t>confront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eliminate</w:t>
      </w:r>
      <w:r w:rsidR="00D52FD0">
        <w:t xml:space="preserve"> </w:t>
      </w:r>
      <w:r w:rsidR="000A1AAE" w:rsidRPr="00A841AA">
        <w:t>racism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all</w:t>
      </w:r>
      <w:r w:rsidR="00D52FD0">
        <w:t xml:space="preserve"> </w:t>
      </w:r>
      <w:r w:rsidR="000A1AAE" w:rsidRPr="00A841AA">
        <w:t>its</w:t>
      </w:r>
      <w:r w:rsidR="00D52FD0">
        <w:t xml:space="preserve"> </w:t>
      </w:r>
      <w:r w:rsidR="000A1AAE" w:rsidRPr="00A841AA">
        <w:t>forms,</w:t>
      </w:r>
      <w:r w:rsidR="00D52FD0">
        <w:t xml:space="preserve"> </w:t>
      </w:r>
      <w:r w:rsidR="000A1AAE" w:rsidRPr="00A841AA">
        <w:t>individual,</w:t>
      </w:r>
      <w:r w:rsidR="00D52FD0">
        <w:t xml:space="preserve"> </w:t>
      </w:r>
      <w:r w:rsidR="000A1AAE" w:rsidRPr="00A841AA">
        <w:t>systemic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societal;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(ii)</w:t>
      </w:r>
      <w:r w:rsidR="00D52FD0">
        <w:t xml:space="preserve"> </w:t>
      </w:r>
      <w:r w:rsidR="000A1AAE" w:rsidRPr="00A841AA">
        <w:t>stimulate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support</w:t>
      </w:r>
      <w:r w:rsidR="00D52FD0">
        <w:t xml:space="preserve"> </w:t>
      </w:r>
      <w:r w:rsidR="000A1AAE" w:rsidRPr="00A841AA">
        <w:t>intercultural</w:t>
      </w:r>
      <w:r w:rsidR="00D52FD0">
        <w:t xml:space="preserve"> </w:t>
      </w:r>
      <w:r w:rsidR="000A1AAE" w:rsidRPr="00A841AA">
        <w:t>inclusion.</w:t>
      </w:r>
      <w:r w:rsidR="00D52FD0">
        <w:t xml:space="preserve"> </w:t>
      </w:r>
      <w:r w:rsidR="000A1AAE" w:rsidRPr="00A841AA">
        <w:t>Following</w:t>
      </w:r>
      <w:r w:rsidR="00D52FD0">
        <w:t xml:space="preserve"> </w:t>
      </w:r>
      <w:r w:rsidR="000A1AAE" w:rsidRPr="00A841AA">
        <w:t>a</w:t>
      </w:r>
      <w:r w:rsidR="00D52FD0">
        <w:t xml:space="preserve"> </w:t>
      </w:r>
      <w:r w:rsidR="000A1AAE" w:rsidRPr="00A841AA">
        <w:t>fruitful</w:t>
      </w:r>
      <w:r w:rsidR="00D52FD0">
        <w:t xml:space="preserve"> </w:t>
      </w:r>
      <w:r w:rsidR="000A1AAE" w:rsidRPr="00A841AA">
        <w:t>Public</w:t>
      </w:r>
      <w:r w:rsidR="00D52FD0">
        <w:t xml:space="preserve"> </w:t>
      </w:r>
      <w:r w:rsidR="000A1AAE" w:rsidRPr="00A841AA">
        <w:t>Consultation</w:t>
      </w:r>
      <w:r w:rsidR="00D52FD0">
        <w:t xml:space="preserve"> </w:t>
      </w:r>
      <w:r w:rsidR="000A1AAE" w:rsidRPr="00A841AA">
        <w:t>during</w:t>
      </w:r>
      <w:r w:rsidR="00D52FD0">
        <w:t xml:space="preserve"> </w:t>
      </w:r>
      <w:r w:rsidR="000A1AAE" w:rsidRPr="00A841AA">
        <w:t>2020,</w:t>
      </w:r>
      <w:r w:rsidR="00D52FD0">
        <w:t xml:space="preserve"> </w:t>
      </w:r>
      <w:r w:rsidR="000A1AAE" w:rsidRPr="00A841AA">
        <w:t>a</w:t>
      </w:r>
      <w:r w:rsidR="00D52FD0">
        <w:t xml:space="preserve"> </w:t>
      </w:r>
      <w:r w:rsidR="000A1AAE" w:rsidRPr="00A841AA">
        <w:t>draft</w:t>
      </w:r>
      <w:r w:rsidR="00D52FD0">
        <w:t xml:space="preserve"> </w:t>
      </w:r>
      <w:r w:rsidR="000A1AAE" w:rsidRPr="00A841AA">
        <w:t>final</w:t>
      </w:r>
      <w:r w:rsidR="00D52FD0">
        <w:t xml:space="preserve"> </w:t>
      </w:r>
      <w:r w:rsidR="000A1AAE" w:rsidRPr="00A841AA">
        <w:t>document</w:t>
      </w:r>
      <w:r w:rsidR="00D52FD0">
        <w:t xml:space="preserve"> </w:t>
      </w:r>
      <w:r w:rsidR="000A1AAE" w:rsidRPr="00A841AA">
        <w:t>was</w:t>
      </w:r>
      <w:r w:rsidR="00D52FD0">
        <w:t xml:space="preserve"> </w:t>
      </w:r>
      <w:r w:rsidR="000A1AAE" w:rsidRPr="00A841AA">
        <w:t>redacted.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process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redaction</w:t>
      </w:r>
      <w:r w:rsidR="00D52FD0">
        <w:t xml:space="preserve"> </w:t>
      </w:r>
      <w:r w:rsidR="000A1AAE" w:rsidRPr="00A841AA">
        <w:t>included</w:t>
      </w:r>
      <w:r w:rsidR="00D52FD0">
        <w:t xml:space="preserve"> </w:t>
      </w:r>
      <w:r w:rsidR="000A1AAE" w:rsidRPr="00A841AA">
        <w:t>important</w:t>
      </w:r>
      <w:r w:rsidR="00D52FD0">
        <w:t xml:space="preserve"> </w:t>
      </w:r>
      <w:r w:rsidR="000A1AAE" w:rsidRPr="00A841AA">
        <w:t>consultations</w:t>
      </w:r>
      <w:r w:rsidR="00D52FD0">
        <w:t xml:space="preserve"> </w:t>
      </w:r>
      <w:r w:rsidR="000A1AAE" w:rsidRPr="00A841AA">
        <w:t>with</w:t>
      </w:r>
      <w:r w:rsidR="00D52FD0">
        <w:t xml:space="preserve"> </w:t>
      </w:r>
      <w:r w:rsidR="000A1AAE" w:rsidRPr="00A841AA">
        <w:t>Council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Europe</w:t>
      </w:r>
      <w:r w:rsidR="00D52FD0">
        <w:t xml:space="preserve"> </w:t>
      </w:r>
      <w:r w:rsidR="000A1AAE" w:rsidRPr="00A841AA">
        <w:t>(CoE)</w:t>
      </w:r>
      <w:r w:rsidR="00D52FD0">
        <w:t xml:space="preserve"> </w:t>
      </w:r>
      <w:r w:rsidR="000A1AAE" w:rsidRPr="00A841AA">
        <w:t>experts.</w:t>
      </w:r>
      <w:r w:rsidR="00D52FD0">
        <w:t xml:space="preserve"> </w:t>
      </w:r>
      <w:r w:rsidR="000A1AAE" w:rsidRPr="00A841AA">
        <w:t>Presently,</w:t>
      </w:r>
      <w:r w:rsidR="00D52FD0">
        <w:t xml:space="preserve"> </w:t>
      </w:r>
      <w:r w:rsidR="000A1AAE" w:rsidRPr="00A841AA">
        <w:t>a</w:t>
      </w:r>
      <w:r w:rsidR="00D52FD0">
        <w:t xml:space="preserve"> </w:t>
      </w:r>
      <w:r w:rsidR="000A1AAE" w:rsidRPr="00A841AA">
        <w:t>number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measures</w:t>
      </w:r>
      <w:r w:rsidR="00D52FD0">
        <w:t xml:space="preserve"> </w:t>
      </w:r>
      <w:r w:rsidR="000A1AAE" w:rsidRPr="00A841AA">
        <w:t>are</w:t>
      </w:r>
      <w:r w:rsidR="00D52FD0">
        <w:t xml:space="preserve"> </w:t>
      </w:r>
      <w:r w:rsidR="000A1AAE" w:rsidRPr="00A841AA">
        <w:lastRenderedPageBreak/>
        <w:t>being</w:t>
      </w:r>
      <w:r w:rsidR="00D52FD0">
        <w:t xml:space="preserve"> </w:t>
      </w:r>
      <w:r w:rsidR="000A1AAE" w:rsidRPr="00A841AA">
        <w:t>refined,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it</w:t>
      </w:r>
      <w:r w:rsidR="00D52FD0">
        <w:t xml:space="preserve"> </w:t>
      </w:r>
      <w:r w:rsidR="000A1AAE" w:rsidRPr="00A841AA">
        <w:t>expected</w:t>
      </w:r>
      <w:r w:rsidR="00D52FD0">
        <w:t xml:space="preserve"> </w:t>
      </w:r>
      <w:r w:rsidR="000A1AAE" w:rsidRPr="00A841AA">
        <w:t>that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NAPRAX</w:t>
      </w:r>
      <w:r w:rsidR="00D52FD0">
        <w:t xml:space="preserve"> </w:t>
      </w:r>
      <w:r w:rsidR="000A1AAE" w:rsidRPr="00A841AA">
        <w:t>will</w:t>
      </w:r>
      <w:r w:rsidR="00D52FD0">
        <w:t xml:space="preserve"> </w:t>
      </w:r>
      <w:r w:rsidR="000A1AAE" w:rsidRPr="00A841AA">
        <w:t>be</w:t>
      </w:r>
      <w:r w:rsidR="00D52FD0">
        <w:t xml:space="preserve"> </w:t>
      </w:r>
      <w:r w:rsidR="000A1AAE" w:rsidRPr="00A841AA">
        <w:t>presented</w:t>
      </w:r>
      <w:r w:rsidR="00D52FD0">
        <w:t xml:space="preserve"> </w:t>
      </w:r>
      <w:r w:rsidR="000A1AAE" w:rsidRPr="00A841AA">
        <w:t>for</w:t>
      </w:r>
      <w:r w:rsidR="00D52FD0">
        <w:t xml:space="preserve"> </w:t>
      </w:r>
      <w:r w:rsidR="000A1AAE" w:rsidRPr="00A841AA">
        <w:t>final</w:t>
      </w:r>
      <w:r w:rsidR="00D52FD0">
        <w:t xml:space="preserve"> </w:t>
      </w:r>
      <w:r w:rsidR="000A1AAE" w:rsidRPr="00A841AA">
        <w:t>approval</w:t>
      </w:r>
      <w:r w:rsidR="00D52FD0">
        <w:t xml:space="preserve"> </w:t>
      </w:r>
      <w:r w:rsidR="000A1AAE" w:rsidRPr="00A841AA">
        <w:t>during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coming</w:t>
      </w:r>
      <w:r w:rsidR="00D52FD0">
        <w:t xml:space="preserve"> </w:t>
      </w:r>
      <w:r w:rsidR="000A1AAE" w:rsidRPr="00A841AA">
        <w:t>months.</w:t>
      </w:r>
    </w:p>
    <w:p w14:paraId="218919B2" w14:textId="043A42BE" w:rsidR="000A1AAE" w:rsidRPr="00A841AA" w:rsidRDefault="0044637E" w:rsidP="0044637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841AA">
        <w:t>109.</w:t>
      </w:r>
      <w:r w:rsidRPr="00A841AA">
        <w:tab/>
      </w:r>
      <w:r w:rsidR="000A1AAE" w:rsidRPr="00A841AA">
        <w:t>The</w:t>
      </w:r>
      <w:r w:rsidR="00D52FD0">
        <w:t xml:space="preserve"> </w:t>
      </w:r>
      <w:r w:rsidR="000A1AAE" w:rsidRPr="00A841AA">
        <w:t>Hate</w:t>
      </w:r>
      <w:r w:rsidR="00D52FD0">
        <w:t xml:space="preserve"> </w:t>
      </w:r>
      <w:r w:rsidR="000A1AAE" w:rsidRPr="00A841AA">
        <w:t>Crime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Speech</w:t>
      </w:r>
      <w:r w:rsidR="00D52FD0">
        <w:t xml:space="preserve"> </w:t>
      </w:r>
      <w:r w:rsidR="000A1AAE" w:rsidRPr="00A841AA">
        <w:t>Unit</w:t>
      </w:r>
      <w:r w:rsidR="00D52FD0">
        <w:t xml:space="preserve"> </w:t>
      </w:r>
      <w:r w:rsidR="000A1AAE" w:rsidRPr="00A841AA">
        <w:t>was</w:t>
      </w:r>
      <w:r w:rsidR="00D52FD0">
        <w:t xml:space="preserve"> </w:t>
      </w:r>
      <w:r w:rsidR="000A1AAE" w:rsidRPr="00A841AA">
        <w:t>established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address</w:t>
      </w:r>
      <w:r w:rsidR="00D52FD0">
        <w:t xml:space="preserve"> </w:t>
      </w:r>
      <w:r w:rsidR="000A1AAE" w:rsidRPr="00A841AA">
        <w:t>issues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hate</w:t>
      </w:r>
      <w:r w:rsidR="00D52FD0">
        <w:t xml:space="preserve"> </w:t>
      </w:r>
      <w:r w:rsidR="000A1AAE" w:rsidRPr="00A841AA">
        <w:t>speech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hate</w:t>
      </w:r>
      <w:r w:rsidR="00D52FD0">
        <w:t xml:space="preserve"> </w:t>
      </w:r>
      <w:r w:rsidR="000A1AAE" w:rsidRPr="00A841AA">
        <w:t>crime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Malta,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support</w:t>
      </w:r>
      <w:r w:rsidR="00D52FD0">
        <w:t xml:space="preserve"> </w:t>
      </w:r>
      <w:r w:rsidR="000A1AAE" w:rsidRPr="00A841AA">
        <w:t>victims</w:t>
      </w:r>
      <w:r w:rsidR="00D52FD0">
        <w:t xml:space="preserve"> </w:t>
      </w:r>
      <w:r w:rsidR="000A1AAE" w:rsidRPr="00A841AA">
        <w:t>through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provision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free</w:t>
      </w:r>
      <w:r w:rsidR="00D52FD0">
        <w:t xml:space="preserve"> </w:t>
      </w:r>
      <w:r w:rsidR="000A1AAE" w:rsidRPr="00A841AA">
        <w:t>therapeutic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legal</w:t>
      </w:r>
      <w:r w:rsidR="00D52FD0">
        <w:t xml:space="preserve"> </w:t>
      </w:r>
      <w:r w:rsidR="000A1AAE" w:rsidRPr="00A841AA">
        <w:t>services.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team</w:t>
      </w:r>
      <w:r w:rsidR="00D52FD0">
        <w:t xml:space="preserve"> </w:t>
      </w:r>
      <w:r w:rsidR="000A1AAE" w:rsidRPr="00A841AA">
        <w:t>consists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Head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Unit,</w:t>
      </w:r>
      <w:r w:rsidR="00D52FD0">
        <w:t xml:space="preserve"> </w:t>
      </w:r>
      <w:r w:rsidR="000A1AAE" w:rsidRPr="00A841AA">
        <w:t>a</w:t>
      </w:r>
      <w:r w:rsidR="00D52FD0">
        <w:t xml:space="preserve"> </w:t>
      </w:r>
      <w:r w:rsidR="000A1AAE" w:rsidRPr="00A841AA">
        <w:t>Therapeutic</w:t>
      </w:r>
      <w:r w:rsidR="00D52FD0">
        <w:t xml:space="preserve"> </w:t>
      </w:r>
      <w:r w:rsidR="000A1AAE" w:rsidRPr="00A841AA">
        <w:t>Deputy</w:t>
      </w:r>
      <w:r w:rsidR="00D52FD0">
        <w:t xml:space="preserve"> </w:t>
      </w:r>
      <w:r w:rsidR="000A1AAE" w:rsidRPr="00A841AA">
        <w:t>Unit</w:t>
      </w:r>
      <w:r w:rsidR="00D52FD0">
        <w:t xml:space="preserve"> </w:t>
      </w:r>
      <w:r w:rsidR="000A1AAE" w:rsidRPr="00A841AA">
        <w:t>Leader,</w:t>
      </w:r>
      <w:r w:rsidR="00D52FD0">
        <w:t xml:space="preserve"> </w:t>
      </w:r>
      <w:r w:rsidR="000A1AAE" w:rsidRPr="00A841AA">
        <w:t>4</w:t>
      </w:r>
      <w:r w:rsidR="00D52FD0">
        <w:t xml:space="preserve"> </w:t>
      </w:r>
      <w:r w:rsidR="000A1AAE" w:rsidRPr="00A841AA">
        <w:t>Therapeutic</w:t>
      </w:r>
      <w:r w:rsidR="00D52FD0">
        <w:t xml:space="preserve"> </w:t>
      </w:r>
      <w:r w:rsidR="000A1AAE" w:rsidRPr="00A841AA">
        <w:t>Assistants,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a</w:t>
      </w:r>
      <w:r w:rsidR="00D52FD0">
        <w:t xml:space="preserve"> </w:t>
      </w:r>
      <w:r w:rsidR="000A1AAE" w:rsidRPr="00A841AA">
        <w:t>lawyer</w:t>
      </w:r>
      <w:r w:rsidR="00D52FD0">
        <w:t xml:space="preserve"> </w:t>
      </w:r>
      <w:r w:rsidR="000A1AAE" w:rsidRPr="00A841AA">
        <w:t>specialising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hate</w:t>
      </w:r>
      <w:r w:rsidR="00D52FD0">
        <w:t xml:space="preserve"> </w:t>
      </w:r>
      <w:r w:rsidR="000A1AAE" w:rsidRPr="00A841AA">
        <w:t>crime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speech</w:t>
      </w:r>
      <w:r w:rsidR="00D52FD0">
        <w:t xml:space="preserve"> </w:t>
      </w:r>
      <w:r w:rsidR="000A1AAE" w:rsidRPr="00A841AA">
        <w:t>legislation.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Unit</w:t>
      </w:r>
      <w:r w:rsidR="00D52FD0">
        <w:t xml:space="preserve"> </w:t>
      </w:r>
      <w:r w:rsidR="000A1AAE" w:rsidRPr="00A841AA">
        <w:t>provides</w:t>
      </w:r>
      <w:r w:rsidR="00D52FD0">
        <w:t xml:space="preserve"> </w:t>
      </w:r>
      <w:r w:rsidR="000A1AAE" w:rsidRPr="00A841AA">
        <w:t>a</w:t>
      </w:r>
      <w:r w:rsidR="00D52FD0">
        <w:t xml:space="preserve"> </w:t>
      </w:r>
      <w:r w:rsidR="000A1AAE" w:rsidRPr="00A841AA">
        <w:t>multidisciplinary</w:t>
      </w:r>
      <w:r w:rsidR="00D52FD0">
        <w:t xml:space="preserve"> </w:t>
      </w:r>
      <w:r w:rsidR="000A1AAE" w:rsidRPr="00A841AA">
        <w:t>service,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refers</w:t>
      </w:r>
      <w:r w:rsidR="00D52FD0">
        <w:t xml:space="preserve"> </w:t>
      </w:r>
      <w:r w:rsidR="000A1AAE" w:rsidRPr="00A841AA">
        <w:t>victims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internal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external</w:t>
      </w:r>
      <w:r w:rsidR="00D52FD0">
        <w:t xml:space="preserve"> </w:t>
      </w:r>
      <w:r w:rsidR="000A1AAE" w:rsidRPr="00A841AA">
        <w:t>services,</w:t>
      </w:r>
      <w:r w:rsidR="00D52FD0">
        <w:t xml:space="preserve"> </w:t>
      </w:r>
      <w:r w:rsidR="000A1AAE" w:rsidRPr="00A841AA">
        <w:t>on</w:t>
      </w:r>
      <w:r w:rsidR="00D52FD0">
        <w:t xml:space="preserve"> </w:t>
      </w:r>
      <w:r w:rsidR="000A1AAE" w:rsidRPr="00A841AA">
        <w:t>a</w:t>
      </w:r>
      <w:r w:rsidR="00D52FD0">
        <w:t xml:space="preserve"> </w:t>
      </w:r>
      <w:r w:rsidR="000A1AAE" w:rsidRPr="00A841AA">
        <w:t>case-by-case</w:t>
      </w:r>
      <w:r w:rsidR="00D52FD0">
        <w:t xml:space="preserve"> </w:t>
      </w:r>
      <w:r w:rsidR="000A1AAE" w:rsidRPr="00A841AA">
        <w:t>basis,</w:t>
      </w:r>
      <w:r w:rsidR="00D52FD0">
        <w:t xml:space="preserve"> </w:t>
      </w:r>
      <w:r w:rsidR="000A1AAE" w:rsidRPr="00A841AA">
        <w:t>over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above</w:t>
      </w:r>
      <w:r w:rsidR="00D52FD0">
        <w:t xml:space="preserve"> </w:t>
      </w:r>
      <w:r w:rsidR="000A1AAE" w:rsidRPr="00A841AA">
        <w:t>pro</w:t>
      </w:r>
      <w:r w:rsidR="00D52FD0">
        <w:t xml:space="preserve"> </w:t>
      </w:r>
      <w:r w:rsidR="000A1AAE" w:rsidRPr="00A841AA">
        <w:t>bono</w:t>
      </w:r>
      <w:r w:rsidR="00D52FD0">
        <w:t xml:space="preserve"> </w:t>
      </w:r>
      <w:r w:rsidR="000A1AAE" w:rsidRPr="00A841AA">
        <w:t>legal</w:t>
      </w:r>
      <w:r w:rsidR="00D52FD0">
        <w:t xml:space="preserve"> </w:t>
      </w:r>
      <w:r w:rsidR="000A1AAE" w:rsidRPr="00A841AA">
        <w:t>aid.</w:t>
      </w:r>
      <w:r w:rsidR="00D52FD0">
        <w:t xml:space="preserve"> </w:t>
      </w:r>
      <w:r w:rsidR="000A1AAE" w:rsidRPr="00A841AA">
        <w:t>It</w:t>
      </w:r>
      <w:r w:rsidR="00D52FD0">
        <w:t xml:space="preserve"> </w:t>
      </w:r>
      <w:r w:rsidR="000A1AAE" w:rsidRPr="00A841AA">
        <w:t>also</w:t>
      </w:r>
      <w:r w:rsidR="00D52FD0">
        <w:t xml:space="preserve"> </w:t>
      </w:r>
      <w:r w:rsidR="000A1AAE" w:rsidRPr="00A841AA">
        <w:t>compiles</w:t>
      </w:r>
      <w:r w:rsidR="00D52FD0">
        <w:t xml:space="preserve"> </w:t>
      </w:r>
      <w:r w:rsidR="000A1AAE" w:rsidRPr="00A841AA">
        <w:t>statistics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processes</w:t>
      </w:r>
      <w:r w:rsidR="00D52FD0">
        <w:t xml:space="preserve"> </w:t>
      </w:r>
      <w:r w:rsidR="000A1AAE" w:rsidRPr="00A841AA">
        <w:t>cases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hate</w:t>
      </w:r>
      <w:r w:rsidR="00D52FD0">
        <w:t xml:space="preserve"> </w:t>
      </w:r>
      <w:r w:rsidR="000A1AAE" w:rsidRPr="00A841AA">
        <w:t>crime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hate</w:t>
      </w:r>
      <w:r w:rsidR="00D52FD0">
        <w:t xml:space="preserve"> </w:t>
      </w:r>
      <w:r w:rsidR="000A1AAE" w:rsidRPr="00A841AA">
        <w:t>speech</w:t>
      </w:r>
      <w:r w:rsidR="00D52FD0">
        <w:t xml:space="preserve"> </w:t>
      </w:r>
      <w:r w:rsidR="000A1AAE" w:rsidRPr="00A841AA">
        <w:t>which</w:t>
      </w:r>
      <w:r w:rsidR="00D52FD0">
        <w:t xml:space="preserve"> </w:t>
      </w:r>
      <w:r w:rsidR="000A1AAE" w:rsidRPr="00A841AA">
        <w:t>are</w:t>
      </w:r>
      <w:r w:rsidR="00D52FD0">
        <w:t xml:space="preserve"> </w:t>
      </w:r>
      <w:r w:rsidR="000A1AAE" w:rsidRPr="00A841AA">
        <w:t>reported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Unit,</w:t>
      </w:r>
      <w:r w:rsidR="00D52FD0">
        <w:t xml:space="preserve"> </w:t>
      </w:r>
      <w:r w:rsidR="000A1AAE" w:rsidRPr="00A841AA">
        <w:t>conducts</w:t>
      </w:r>
      <w:r w:rsidR="00D52FD0">
        <w:t xml:space="preserve"> </w:t>
      </w:r>
      <w:r w:rsidR="000A1AAE" w:rsidRPr="00A841AA">
        <w:t>research</w:t>
      </w:r>
      <w:r w:rsidR="00D52FD0">
        <w:t xml:space="preserve"> </w:t>
      </w:r>
      <w:r w:rsidR="000A1AAE" w:rsidRPr="00A841AA">
        <w:t>on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issue,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educates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trains</w:t>
      </w:r>
      <w:r w:rsidR="00D52FD0">
        <w:t xml:space="preserve"> </w:t>
      </w:r>
      <w:r w:rsidR="000A1AAE" w:rsidRPr="00A841AA">
        <w:t>both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general</w:t>
      </w:r>
      <w:r w:rsidR="00D52FD0">
        <w:t xml:space="preserve"> </w:t>
      </w:r>
      <w:r w:rsidR="000A1AAE" w:rsidRPr="00A841AA">
        <w:t>public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professionals.</w:t>
      </w:r>
    </w:p>
    <w:p w14:paraId="23AB931D" w14:textId="2469A70C" w:rsidR="000A1AAE" w:rsidRPr="00A841AA" w:rsidRDefault="0044637E" w:rsidP="0044637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841AA">
        <w:t>110.</w:t>
      </w:r>
      <w:r w:rsidRPr="00A841AA">
        <w:tab/>
      </w:r>
      <w:r w:rsidR="000A1AAE" w:rsidRPr="00A841AA">
        <w:t>The</w:t>
      </w:r>
      <w:r w:rsidR="00D52FD0">
        <w:t xml:space="preserve"> </w:t>
      </w:r>
      <w:r w:rsidR="000A1AAE" w:rsidRPr="00A841AA">
        <w:t>Equality</w:t>
      </w:r>
      <w:r w:rsidR="00D52FD0">
        <w:t xml:space="preserve"> </w:t>
      </w:r>
      <w:r w:rsidR="000A1AAE" w:rsidRPr="00A841AA">
        <w:t>Bill</w:t>
      </w:r>
      <w:r w:rsidR="00D52FD0">
        <w:t xml:space="preserve"> </w:t>
      </w:r>
      <w:r w:rsidR="000A1AAE" w:rsidRPr="00A841AA">
        <w:t>is</w:t>
      </w:r>
      <w:r w:rsidR="00D52FD0">
        <w:t xml:space="preserve"> </w:t>
      </w:r>
      <w:r w:rsidR="000A1AAE" w:rsidRPr="00A841AA">
        <w:t>an</w:t>
      </w:r>
      <w:r w:rsidR="00D52FD0">
        <w:t xml:space="preserve"> </w:t>
      </w:r>
      <w:r w:rsidR="000A1AAE" w:rsidRPr="00A841AA">
        <w:t>Act</w:t>
      </w:r>
      <w:r w:rsidR="00D52FD0">
        <w:t xml:space="preserve"> </w:t>
      </w:r>
      <w:r w:rsidR="000A1AAE" w:rsidRPr="00A841AA">
        <w:t>which</w:t>
      </w:r>
      <w:r w:rsidR="00D52FD0">
        <w:t xml:space="preserve"> </w:t>
      </w:r>
      <w:r w:rsidR="000A1AAE" w:rsidRPr="00A841AA">
        <w:t>is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prohibit</w:t>
      </w:r>
      <w:r w:rsidR="00D52FD0">
        <w:t xml:space="preserve"> </w:t>
      </w:r>
      <w:r w:rsidR="000A1AAE" w:rsidRPr="00A841AA">
        <w:t>discrimination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various</w:t>
      </w:r>
      <w:r w:rsidR="00D52FD0">
        <w:t xml:space="preserve"> </w:t>
      </w:r>
      <w:r w:rsidR="000A1AAE" w:rsidRPr="00A841AA">
        <w:t>spheres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life,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promote</w:t>
      </w:r>
      <w:r w:rsidR="00D52FD0">
        <w:t xml:space="preserve"> </w:t>
      </w:r>
      <w:r w:rsidR="000A1AAE" w:rsidRPr="00A841AA">
        <w:t>equality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prevent</w:t>
      </w:r>
      <w:r w:rsidR="00D52FD0">
        <w:t xml:space="preserve"> </w:t>
      </w:r>
      <w:r w:rsidR="000A1AAE" w:rsidRPr="00A841AA">
        <w:t>discrimination,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incorporate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relevant</w:t>
      </w:r>
      <w:r w:rsidR="00D52FD0">
        <w:t xml:space="preserve"> </w:t>
      </w:r>
      <w:r w:rsidR="000A1AAE" w:rsidRPr="00A841AA">
        <w:t>provisions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Council</w:t>
      </w:r>
      <w:r w:rsidR="00D52FD0">
        <w:t xml:space="preserve"> </w:t>
      </w:r>
      <w:r w:rsidR="000A1AAE" w:rsidRPr="00A841AA">
        <w:t>Directive</w:t>
      </w:r>
      <w:r w:rsidR="00D52FD0">
        <w:t xml:space="preserve"> </w:t>
      </w:r>
      <w:r w:rsidR="000A1AAE" w:rsidRPr="00A841AA">
        <w:t>2000/43/EC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29</w:t>
      </w:r>
      <w:r w:rsidR="00D52FD0">
        <w:t xml:space="preserve"> </w:t>
      </w:r>
      <w:r w:rsidR="000A1AAE" w:rsidRPr="00A841AA">
        <w:t>June</w:t>
      </w:r>
      <w:r w:rsidR="00D52FD0">
        <w:t xml:space="preserve"> </w:t>
      </w:r>
      <w:r w:rsidR="000A1AAE" w:rsidRPr="00A841AA">
        <w:t>2000</w:t>
      </w:r>
      <w:r w:rsidR="00D52FD0">
        <w:t xml:space="preserve"> </w:t>
      </w:r>
      <w:r w:rsidR="000A1AAE" w:rsidRPr="00A841AA">
        <w:t>implementing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principle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equal</w:t>
      </w:r>
      <w:r w:rsidR="00D52FD0">
        <w:t xml:space="preserve"> </w:t>
      </w:r>
      <w:r w:rsidR="000A1AAE" w:rsidRPr="00A841AA">
        <w:t>treatment</w:t>
      </w:r>
      <w:r w:rsidR="00D52FD0">
        <w:t xml:space="preserve"> </w:t>
      </w:r>
      <w:r w:rsidR="000A1AAE" w:rsidRPr="00A841AA">
        <w:t>between</w:t>
      </w:r>
      <w:r w:rsidR="00D52FD0">
        <w:t xml:space="preserve"> </w:t>
      </w:r>
      <w:r w:rsidR="000A1AAE" w:rsidRPr="00A841AA">
        <w:t>persons</w:t>
      </w:r>
      <w:r w:rsidR="00D52FD0">
        <w:t xml:space="preserve"> </w:t>
      </w:r>
      <w:r w:rsidR="000A1AAE" w:rsidRPr="00A841AA">
        <w:t>irrespective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racial</w:t>
      </w:r>
      <w:r w:rsidR="00D52FD0">
        <w:t xml:space="preserve"> </w:t>
      </w:r>
      <w:r w:rsidR="000A1AAE" w:rsidRPr="00A841AA">
        <w:t>or</w:t>
      </w:r>
      <w:r w:rsidR="00D52FD0">
        <w:t xml:space="preserve"> </w:t>
      </w:r>
      <w:r w:rsidR="000A1AAE" w:rsidRPr="00A841AA">
        <w:t>ethnic</w:t>
      </w:r>
      <w:r w:rsidR="00D52FD0">
        <w:t xml:space="preserve"> </w:t>
      </w:r>
      <w:r w:rsidR="000A1AAE" w:rsidRPr="00A841AA">
        <w:t>origin,</w:t>
      </w:r>
      <w:r w:rsidR="00D52FD0">
        <w:t xml:space="preserve"> </w:t>
      </w:r>
      <w:r w:rsidR="000A1AAE" w:rsidRPr="00A841AA">
        <w:t>Council</w:t>
      </w:r>
      <w:r w:rsidR="00D52FD0">
        <w:t xml:space="preserve"> </w:t>
      </w:r>
      <w:r w:rsidR="000A1AAE" w:rsidRPr="00A841AA">
        <w:t>Directive</w:t>
      </w:r>
      <w:r w:rsidR="00D52FD0">
        <w:t xml:space="preserve"> </w:t>
      </w:r>
      <w:r w:rsidR="000A1AAE" w:rsidRPr="00A841AA">
        <w:t>2000/78/EC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27</w:t>
      </w:r>
      <w:r w:rsidR="00D52FD0">
        <w:t xml:space="preserve"> </w:t>
      </w:r>
      <w:r w:rsidR="000A1AAE" w:rsidRPr="00A841AA">
        <w:t>November</w:t>
      </w:r>
      <w:r w:rsidR="00D52FD0">
        <w:t xml:space="preserve"> </w:t>
      </w:r>
      <w:r w:rsidR="000A1AAE" w:rsidRPr="00A841AA">
        <w:t>2000</w:t>
      </w:r>
      <w:r w:rsidR="00D52FD0">
        <w:t xml:space="preserve"> </w:t>
      </w:r>
      <w:r w:rsidR="000A1AAE" w:rsidRPr="00A841AA">
        <w:t>establishing</w:t>
      </w:r>
      <w:r w:rsidR="00D52FD0">
        <w:t xml:space="preserve"> </w:t>
      </w:r>
      <w:r w:rsidR="000A1AAE" w:rsidRPr="00A841AA">
        <w:t>a</w:t>
      </w:r>
      <w:r w:rsidR="00D52FD0">
        <w:t xml:space="preserve"> </w:t>
      </w:r>
      <w:r w:rsidR="000A1AAE" w:rsidRPr="00A841AA">
        <w:t>general</w:t>
      </w:r>
      <w:r w:rsidR="00D52FD0">
        <w:t xml:space="preserve"> </w:t>
      </w:r>
      <w:r w:rsidR="000A1AAE" w:rsidRPr="00A841AA">
        <w:t>framework</w:t>
      </w:r>
      <w:r w:rsidR="00D52FD0">
        <w:t xml:space="preserve"> </w:t>
      </w:r>
      <w:r w:rsidR="000A1AAE" w:rsidRPr="00A841AA">
        <w:t>for</w:t>
      </w:r>
      <w:r w:rsidR="00D52FD0">
        <w:t xml:space="preserve"> </w:t>
      </w:r>
      <w:r w:rsidR="000A1AAE" w:rsidRPr="00A841AA">
        <w:t>equal</w:t>
      </w:r>
      <w:r w:rsidR="00D52FD0">
        <w:t xml:space="preserve"> </w:t>
      </w:r>
      <w:r w:rsidR="000A1AAE" w:rsidRPr="00A841AA">
        <w:t>treatment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employment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occupation,</w:t>
      </w:r>
      <w:r w:rsidR="00D52FD0">
        <w:t xml:space="preserve"> </w:t>
      </w:r>
      <w:r w:rsidR="000A1AAE" w:rsidRPr="00A841AA">
        <w:t>Council</w:t>
      </w:r>
      <w:r w:rsidR="00D52FD0">
        <w:t xml:space="preserve"> </w:t>
      </w:r>
      <w:r w:rsidR="000A1AAE" w:rsidRPr="00A841AA">
        <w:t>Directive</w:t>
      </w:r>
      <w:r w:rsidR="00D52FD0">
        <w:t xml:space="preserve"> </w:t>
      </w:r>
      <w:r w:rsidR="000A1AAE" w:rsidRPr="00A841AA">
        <w:t>2004/113/EC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13</w:t>
      </w:r>
      <w:r w:rsidR="00D52FD0">
        <w:t xml:space="preserve"> </w:t>
      </w:r>
      <w:r w:rsidR="000A1AAE" w:rsidRPr="00A841AA">
        <w:t>December</w:t>
      </w:r>
      <w:r w:rsidR="00D52FD0">
        <w:t xml:space="preserve"> </w:t>
      </w:r>
      <w:r w:rsidR="000A1AAE" w:rsidRPr="00A841AA">
        <w:t>2004</w:t>
      </w:r>
      <w:r w:rsidR="00D52FD0">
        <w:t xml:space="preserve"> </w:t>
      </w:r>
      <w:r w:rsidR="000A1AAE" w:rsidRPr="00A841AA">
        <w:t>implementing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principle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equal</w:t>
      </w:r>
      <w:r w:rsidR="00D52FD0">
        <w:t xml:space="preserve"> </w:t>
      </w:r>
      <w:r w:rsidR="000A1AAE" w:rsidRPr="00A841AA">
        <w:t>treatment</w:t>
      </w:r>
      <w:r w:rsidR="00D52FD0">
        <w:t xml:space="preserve"> </w:t>
      </w:r>
      <w:r w:rsidR="000A1AAE" w:rsidRPr="00A841AA">
        <w:t>between</w:t>
      </w:r>
      <w:r w:rsidR="00D52FD0">
        <w:t xml:space="preserve"> </w:t>
      </w:r>
      <w:r w:rsidR="000A1AAE" w:rsidRPr="00A841AA">
        <w:t>men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women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access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goods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services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their</w:t>
      </w:r>
      <w:r w:rsidR="00D52FD0">
        <w:t xml:space="preserve"> </w:t>
      </w:r>
      <w:r w:rsidR="000A1AAE" w:rsidRPr="00A841AA">
        <w:t>supply,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Communication</w:t>
      </w:r>
      <w:r w:rsidR="00D52FD0">
        <w:t xml:space="preserve"> </w:t>
      </w:r>
      <w:r w:rsidR="000A1AAE" w:rsidRPr="00A841AA">
        <w:t>from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European</w:t>
      </w:r>
      <w:r w:rsidR="00D52FD0">
        <w:t xml:space="preserve"> </w:t>
      </w:r>
      <w:r w:rsidR="000A1AAE" w:rsidRPr="00A841AA">
        <w:t>Commission</w:t>
      </w:r>
      <w:r w:rsidR="00D52FD0">
        <w:t xml:space="preserve"> </w:t>
      </w:r>
      <w:r w:rsidR="000A1AAE" w:rsidRPr="00A841AA">
        <w:t>(22.12.2011</w:t>
      </w:r>
      <w:r w:rsidR="00D52FD0">
        <w:t xml:space="preserve"> </w:t>
      </w:r>
      <w:r w:rsidR="000A1AAE" w:rsidRPr="00A841AA">
        <w:t>C</w:t>
      </w:r>
      <w:r w:rsidR="00D52FD0">
        <w:t xml:space="preserve"> </w:t>
      </w:r>
      <w:r w:rsidR="000A1AAE" w:rsidRPr="00A841AA">
        <w:t>(2011)</w:t>
      </w:r>
      <w:r w:rsidR="00D52FD0">
        <w:t xml:space="preserve"> </w:t>
      </w:r>
      <w:r w:rsidR="000A1AAE" w:rsidRPr="00A841AA">
        <w:t>9497)</w:t>
      </w:r>
      <w:r w:rsidR="00D52FD0">
        <w:t xml:space="preserve"> </w:t>
      </w:r>
      <w:r w:rsidR="000A1AAE" w:rsidRPr="00A841AA">
        <w:t>containing</w:t>
      </w:r>
      <w:r w:rsidR="00D52FD0">
        <w:t xml:space="preserve"> </w:t>
      </w:r>
      <w:r w:rsidR="000A1AAE" w:rsidRPr="00A841AA">
        <w:t>Guidelines</w:t>
      </w:r>
      <w:r w:rsidR="00D52FD0">
        <w:t xml:space="preserve"> </w:t>
      </w:r>
      <w:r w:rsidR="000A1AAE" w:rsidRPr="00A841AA">
        <w:t>on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application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Council</w:t>
      </w:r>
      <w:r w:rsidR="00D52FD0">
        <w:t xml:space="preserve"> </w:t>
      </w:r>
      <w:r w:rsidR="000A1AAE" w:rsidRPr="00A841AA">
        <w:t>Directive</w:t>
      </w:r>
      <w:r w:rsidR="00D52FD0">
        <w:t xml:space="preserve"> </w:t>
      </w:r>
      <w:r w:rsidR="000A1AAE" w:rsidRPr="00A841AA">
        <w:t>2004/113/EC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insurance,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light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judgment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Court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Justice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European</w:t>
      </w:r>
      <w:r w:rsidR="00D52FD0">
        <w:t xml:space="preserve"> </w:t>
      </w:r>
      <w:r w:rsidR="000A1AAE" w:rsidRPr="00A841AA">
        <w:t>Union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Case</w:t>
      </w:r>
      <w:r w:rsidR="00D52FD0">
        <w:t xml:space="preserve"> </w:t>
      </w:r>
      <w:r w:rsidR="000A1AAE" w:rsidRPr="00A841AA">
        <w:t>C-236/09</w:t>
      </w:r>
      <w:r w:rsidR="00D52FD0">
        <w:t xml:space="preserve"> </w:t>
      </w:r>
      <w:r w:rsidR="000A1AAE" w:rsidRPr="00A841AA">
        <w:t>(Test-Achats),</w:t>
      </w:r>
      <w:r w:rsidR="00D52FD0">
        <w:t xml:space="preserve"> </w:t>
      </w:r>
      <w:r w:rsidR="000A1AAE" w:rsidRPr="00A841AA">
        <w:t>Council</w:t>
      </w:r>
      <w:r w:rsidR="00D52FD0">
        <w:t xml:space="preserve"> </w:t>
      </w:r>
      <w:r w:rsidR="000A1AAE" w:rsidRPr="00A841AA">
        <w:t>Directive</w:t>
      </w:r>
      <w:r w:rsidR="00D52FD0">
        <w:t xml:space="preserve"> </w:t>
      </w:r>
      <w:r w:rsidR="000A1AAE" w:rsidRPr="00A841AA">
        <w:t>2006/54/EC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5</w:t>
      </w:r>
      <w:r w:rsidR="00D52FD0">
        <w:t xml:space="preserve"> </w:t>
      </w:r>
      <w:r w:rsidR="000A1AAE" w:rsidRPr="00A841AA">
        <w:t>July</w:t>
      </w:r>
      <w:r w:rsidR="00D52FD0">
        <w:t xml:space="preserve"> </w:t>
      </w:r>
      <w:r w:rsidR="000A1AAE" w:rsidRPr="00A841AA">
        <w:t>2006</w:t>
      </w:r>
      <w:r w:rsidR="00D52FD0">
        <w:t xml:space="preserve"> </w:t>
      </w:r>
      <w:r w:rsidR="000A1AAE" w:rsidRPr="00A841AA">
        <w:t>implementing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principle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equal</w:t>
      </w:r>
      <w:r w:rsidR="00D52FD0">
        <w:t xml:space="preserve"> </w:t>
      </w:r>
      <w:r w:rsidR="000A1AAE" w:rsidRPr="00A841AA">
        <w:t>opportunities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equal</w:t>
      </w:r>
      <w:r w:rsidR="00D52FD0">
        <w:t xml:space="preserve"> </w:t>
      </w:r>
      <w:r w:rsidR="000A1AAE" w:rsidRPr="00A841AA">
        <w:t>treatment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men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women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matters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employment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occupation</w:t>
      </w:r>
      <w:r w:rsidR="00D52FD0">
        <w:t xml:space="preserve"> </w:t>
      </w:r>
      <w:r w:rsidR="000A1AAE" w:rsidRPr="00A841AA">
        <w:t>(recast),</w:t>
      </w:r>
      <w:r w:rsidR="00D52FD0">
        <w:t xml:space="preserve"> </w:t>
      </w:r>
      <w:r w:rsidR="000A1AAE" w:rsidRPr="00A841AA">
        <w:t>Council</w:t>
      </w:r>
      <w:r w:rsidR="00D52FD0">
        <w:t xml:space="preserve"> </w:t>
      </w:r>
      <w:r w:rsidR="000A1AAE" w:rsidRPr="00A841AA">
        <w:t>Directive</w:t>
      </w:r>
      <w:r w:rsidR="00D52FD0">
        <w:t xml:space="preserve"> </w:t>
      </w:r>
      <w:r w:rsidR="000A1AAE" w:rsidRPr="00A841AA">
        <w:t>2010/41/EU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7</w:t>
      </w:r>
      <w:r w:rsidR="00D52FD0">
        <w:t xml:space="preserve"> </w:t>
      </w:r>
      <w:r w:rsidR="000A1AAE" w:rsidRPr="00A841AA">
        <w:t>July</w:t>
      </w:r>
      <w:r w:rsidR="00D52FD0">
        <w:t xml:space="preserve"> </w:t>
      </w:r>
      <w:r w:rsidR="000A1AAE" w:rsidRPr="00A841AA">
        <w:t>2010</w:t>
      </w:r>
      <w:r w:rsidR="00D52FD0">
        <w:t xml:space="preserve"> </w:t>
      </w:r>
      <w:r w:rsidR="000A1AAE" w:rsidRPr="00A841AA">
        <w:t>on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application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principle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equal</w:t>
      </w:r>
      <w:r w:rsidR="00D52FD0">
        <w:t xml:space="preserve"> </w:t>
      </w:r>
      <w:r w:rsidR="000A1AAE" w:rsidRPr="00A841AA">
        <w:t>treatment</w:t>
      </w:r>
      <w:r w:rsidR="00D52FD0">
        <w:t xml:space="preserve"> </w:t>
      </w:r>
      <w:r w:rsidR="000A1AAE" w:rsidRPr="00A841AA">
        <w:t>between</w:t>
      </w:r>
      <w:r w:rsidR="00D52FD0">
        <w:t xml:space="preserve"> </w:t>
      </w:r>
      <w:r w:rsidR="000A1AAE" w:rsidRPr="00A841AA">
        <w:t>men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women</w:t>
      </w:r>
      <w:r w:rsidR="00D52FD0">
        <w:t xml:space="preserve"> </w:t>
      </w:r>
      <w:r w:rsidR="000A1AAE" w:rsidRPr="00A841AA">
        <w:t>engaged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an</w:t>
      </w:r>
      <w:r w:rsidR="00D52FD0">
        <w:t xml:space="preserve"> </w:t>
      </w:r>
      <w:r w:rsidR="000A1AAE" w:rsidRPr="00A841AA">
        <w:t>activity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a</w:t>
      </w:r>
      <w:r w:rsidR="00D52FD0">
        <w:t xml:space="preserve"> </w:t>
      </w:r>
      <w:r w:rsidR="000A1AAE" w:rsidRPr="00A841AA">
        <w:t>self-employed</w:t>
      </w:r>
      <w:r w:rsidR="00D52FD0">
        <w:t xml:space="preserve"> </w:t>
      </w:r>
      <w:r w:rsidR="000A1AAE" w:rsidRPr="00A841AA">
        <w:t>capacity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repealing</w:t>
      </w:r>
      <w:r w:rsidR="00D52FD0">
        <w:t xml:space="preserve"> </w:t>
      </w:r>
      <w:r w:rsidR="000A1AAE" w:rsidRPr="00A841AA">
        <w:t>Council</w:t>
      </w:r>
      <w:r w:rsidR="00D52FD0">
        <w:t xml:space="preserve"> </w:t>
      </w:r>
      <w:r w:rsidR="000A1AAE" w:rsidRPr="00A841AA">
        <w:t>Directive</w:t>
      </w:r>
      <w:r w:rsidR="00D52FD0">
        <w:t xml:space="preserve"> </w:t>
      </w:r>
      <w:r w:rsidR="000A1AAE" w:rsidRPr="00A841AA">
        <w:t>86/613/EEC,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repeal</w:t>
      </w:r>
      <w:r w:rsidR="00D52FD0">
        <w:t xml:space="preserve"> </w:t>
      </w:r>
      <w:r w:rsidR="000A1AAE" w:rsidRPr="00A841AA">
        <w:t>Chapter</w:t>
      </w:r>
      <w:r w:rsidR="00D52FD0">
        <w:t xml:space="preserve"> </w:t>
      </w:r>
      <w:r w:rsidR="000A1AAE" w:rsidRPr="00A841AA">
        <w:t>456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Laws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Malta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its</w:t>
      </w:r>
      <w:r w:rsidR="00D52FD0">
        <w:t xml:space="preserve"> </w:t>
      </w:r>
      <w:r w:rsidR="000A1AAE" w:rsidRPr="00A841AA">
        <w:t>subsidiary</w:t>
      </w:r>
      <w:r w:rsidR="00D52FD0">
        <w:t xml:space="preserve"> </w:t>
      </w:r>
      <w:r w:rsidR="000A1AAE" w:rsidRPr="00A841AA">
        <w:t>legislation.</w:t>
      </w:r>
    </w:p>
    <w:p w14:paraId="08378406" w14:textId="13C91650" w:rsidR="000A1AAE" w:rsidRPr="00A841AA" w:rsidRDefault="0044637E" w:rsidP="0044637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841AA">
        <w:t>111.</w:t>
      </w:r>
      <w:r w:rsidRPr="00A841AA">
        <w:tab/>
      </w:r>
      <w:r w:rsidR="000A1AAE" w:rsidRPr="00A841AA">
        <w:t>The</w:t>
      </w:r>
      <w:r w:rsidR="00D52FD0">
        <w:t xml:space="preserve"> </w:t>
      </w:r>
      <w:r w:rsidR="000A1AAE" w:rsidRPr="00A841AA">
        <w:t>Human</w:t>
      </w:r>
      <w:r w:rsidR="00D52FD0">
        <w:t xml:space="preserve"> </w:t>
      </w:r>
      <w:r w:rsidR="000A1AAE" w:rsidRPr="00A841AA">
        <w:t>Rights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Equality</w:t>
      </w:r>
      <w:r w:rsidR="00D52FD0">
        <w:t xml:space="preserve"> </w:t>
      </w:r>
      <w:r w:rsidR="000A1AAE" w:rsidRPr="00A841AA">
        <w:t>Commission</w:t>
      </w:r>
      <w:r w:rsidR="00D52FD0">
        <w:t xml:space="preserve"> </w:t>
      </w:r>
      <w:r w:rsidR="000A1AAE" w:rsidRPr="00A841AA">
        <w:t>Bill</w:t>
      </w:r>
      <w:r w:rsidR="00D52FD0">
        <w:t xml:space="preserve"> </w:t>
      </w:r>
      <w:r w:rsidR="000A1AAE" w:rsidRPr="00A841AA">
        <w:t>is</w:t>
      </w:r>
      <w:r w:rsidR="00D52FD0">
        <w:t xml:space="preserve"> </w:t>
      </w:r>
      <w:r w:rsidR="000A1AAE" w:rsidRPr="00A841AA">
        <w:t>an</w:t>
      </w:r>
      <w:r w:rsidR="00D52FD0">
        <w:t xml:space="preserve"> </w:t>
      </w:r>
      <w:r w:rsidR="000A1AAE" w:rsidRPr="00A841AA">
        <w:t>Act</w:t>
      </w:r>
      <w:r w:rsidR="00D52FD0">
        <w:t xml:space="preserve"> </w:t>
      </w:r>
      <w:r w:rsidR="000A1AAE" w:rsidRPr="00A841AA">
        <w:t>which</w:t>
      </w:r>
      <w:r w:rsidR="00D52FD0">
        <w:t xml:space="preserve"> </w:t>
      </w:r>
      <w:r w:rsidR="000A1AAE" w:rsidRPr="00A841AA">
        <w:t>provides</w:t>
      </w:r>
      <w:r w:rsidR="00D52FD0">
        <w:t xml:space="preserve"> </w:t>
      </w:r>
      <w:r w:rsidR="000A1AAE" w:rsidRPr="00A841AA">
        <w:t>for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establishment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a</w:t>
      </w:r>
      <w:r w:rsidR="00D52FD0">
        <w:t xml:space="preserve"> </w:t>
      </w:r>
      <w:r w:rsidR="000A1AAE" w:rsidRPr="00A841AA">
        <w:t>body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be</w:t>
      </w:r>
      <w:r w:rsidR="00D52FD0">
        <w:t xml:space="preserve"> </w:t>
      </w:r>
      <w:r w:rsidR="000A1AAE" w:rsidRPr="00A841AA">
        <w:t>known</w:t>
      </w:r>
      <w:r w:rsidR="00D52FD0">
        <w:t xml:space="preserve"> </w:t>
      </w:r>
      <w:r w:rsidR="000A1AAE" w:rsidRPr="00A841AA">
        <w:t>as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Human</w:t>
      </w:r>
      <w:r w:rsidR="00D52FD0">
        <w:t xml:space="preserve"> </w:t>
      </w:r>
      <w:r w:rsidR="000A1AAE" w:rsidRPr="00A841AA">
        <w:t>Rights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Equality</w:t>
      </w:r>
      <w:r w:rsidR="00D52FD0">
        <w:t xml:space="preserve"> </w:t>
      </w:r>
      <w:r w:rsidR="000A1AAE" w:rsidRPr="00A841AA">
        <w:t>Commission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line</w:t>
      </w:r>
      <w:r w:rsidR="00D52FD0">
        <w:t xml:space="preserve"> </w:t>
      </w:r>
      <w:r w:rsidR="000A1AAE" w:rsidRPr="00A841AA">
        <w:t>with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principles</w:t>
      </w:r>
      <w:r w:rsidR="00D52FD0">
        <w:t xml:space="preserve"> </w:t>
      </w:r>
      <w:r w:rsidR="000A1AAE" w:rsidRPr="00A841AA">
        <w:t>relating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Status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National</w:t>
      </w:r>
      <w:r w:rsidR="00D52FD0">
        <w:t xml:space="preserve"> </w:t>
      </w:r>
      <w:r w:rsidR="000A1AAE" w:rsidRPr="00A841AA">
        <w:t>Institutions</w:t>
      </w:r>
      <w:r w:rsidR="00D52FD0">
        <w:t xml:space="preserve"> </w:t>
      </w:r>
      <w:r w:rsidR="000A1AAE" w:rsidRPr="00A841AA">
        <w:t>(The</w:t>
      </w:r>
      <w:r w:rsidR="00D52FD0">
        <w:t xml:space="preserve"> </w:t>
      </w:r>
      <w:r w:rsidR="000A1AAE" w:rsidRPr="00A841AA">
        <w:t>Paris</w:t>
      </w:r>
      <w:r w:rsidR="00D52FD0">
        <w:t xml:space="preserve"> </w:t>
      </w:r>
      <w:r w:rsidR="000A1AAE" w:rsidRPr="00A841AA">
        <w:t>Principles)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European</w:t>
      </w:r>
      <w:r w:rsidR="00D52FD0">
        <w:t xml:space="preserve"> </w:t>
      </w:r>
      <w:r w:rsidR="000A1AAE" w:rsidRPr="00A841AA">
        <w:t>Union</w:t>
      </w:r>
      <w:r w:rsidR="00D52FD0">
        <w:t xml:space="preserve"> </w:t>
      </w:r>
      <w:r w:rsidR="000A1AAE" w:rsidRPr="00A841AA">
        <w:t>equality</w:t>
      </w:r>
      <w:r w:rsidR="00D52FD0">
        <w:t xml:space="preserve"> </w:t>
      </w:r>
      <w:r w:rsidR="000A1AAE" w:rsidRPr="00A841AA">
        <w:t>legislation,</w:t>
      </w:r>
      <w:r w:rsidR="00D52FD0">
        <w:t xml:space="preserve"> </w:t>
      </w:r>
      <w:r w:rsidR="000A1AAE" w:rsidRPr="00A841AA">
        <w:t>responsible</w:t>
      </w:r>
      <w:r w:rsidR="00D52FD0">
        <w:t xml:space="preserve"> </w:t>
      </w:r>
      <w:r w:rsidR="000A1AAE" w:rsidRPr="00A841AA">
        <w:t>for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promotion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protection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human</w:t>
      </w:r>
      <w:r w:rsidR="00D52FD0">
        <w:t xml:space="preserve"> </w:t>
      </w:r>
      <w:r w:rsidR="000A1AAE" w:rsidRPr="00A841AA">
        <w:t>rights</w:t>
      </w:r>
      <w:r w:rsidR="00D52FD0">
        <w:t xml:space="preserve"> </w:t>
      </w:r>
      <w:r w:rsidR="000A1AAE" w:rsidRPr="00A841AA">
        <w:t>including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right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equal</w:t>
      </w:r>
      <w:r w:rsidR="00D52FD0">
        <w:t xml:space="preserve"> </w:t>
      </w:r>
      <w:r w:rsidR="000A1AAE" w:rsidRPr="00A841AA">
        <w:t>treatment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non-discrimination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Malta;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provide</w:t>
      </w:r>
      <w:r w:rsidR="00D52FD0">
        <w:t xml:space="preserve"> </w:t>
      </w:r>
      <w:r w:rsidR="000A1AAE" w:rsidRPr="00A841AA">
        <w:t>for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dissolution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National</w:t>
      </w:r>
      <w:r w:rsidR="00D52FD0">
        <w:t xml:space="preserve"> </w:t>
      </w:r>
      <w:r w:rsidR="000A1AAE" w:rsidRPr="00A841AA">
        <w:t>Commission</w:t>
      </w:r>
      <w:r w:rsidR="00D52FD0">
        <w:t xml:space="preserve"> </w:t>
      </w:r>
      <w:r w:rsidR="000A1AAE" w:rsidRPr="00A841AA">
        <w:t>for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Promotion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Equality</w:t>
      </w:r>
      <w:r w:rsidR="00D52FD0">
        <w:t xml:space="preserve"> </w:t>
      </w:r>
      <w:r w:rsidR="000A1AAE" w:rsidRPr="00A841AA">
        <w:t>for</w:t>
      </w:r>
      <w:r w:rsidR="00D52FD0">
        <w:t xml:space="preserve"> </w:t>
      </w:r>
      <w:r w:rsidR="000A1AAE" w:rsidRPr="00A841AA">
        <w:t>Men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Women</w:t>
      </w:r>
      <w:r w:rsidR="00D52FD0">
        <w:t xml:space="preserve"> </w:t>
      </w:r>
      <w:r w:rsidR="000A1AAE" w:rsidRPr="00A841AA">
        <w:t>(NCPE)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provide</w:t>
      </w:r>
      <w:r w:rsidR="00D52FD0">
        <w:t xml:space="preserve"> </w:t>
      </w:r>
      <w:r w:rsidR="000A1AAE" w:rsidRPr="00A841AA">
        <w:t>for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conferral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its</w:t>
      </w:r>
      <w:r w:rsidR="00D52FD0">
        <w:t xml:space="preserve"> </w:t>
      </w:r>
      <w:r w:rsidR="000A1AAE" w:rsidRPr="00A841AA">
        <w:t>functions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Human</w:t>
      </w:r>
      <w:r w:rsidR="00D52FD0">
        <w:t xml:space="preserve"> </w:t>
      </w:r>
      <w:r w:rsidR="000A1AAE" w:rsidRPr="00A841AA">
        <w:t>Rights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Equality</w:t>
      </w:r>
      <w:r w:rsidR="00D52FD0">
        <w:t xml:space="preserve"> </w:t>
      </w:r>
      <w:r w:rsidR="000A1AAE" w:rsidRPr="00A841AA">
        <w:t>Commission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make</w:t>
      </w:r>
      <w:r w:rsidR="00D52FD0">
        <w:t xml:space="preserve"> </w:t>
      </w:r>
      <w:r w:rsidR="000A1AAE" w:rsidRPr="00A841AA">
        <w:t>provision</w:t>
      </w:r>
      <w:r w:rsidR="00D52FD0">
        <w:t xml:space="preserve"> </w:t>
      </w:r>
      <w:r w:rsidR="000A1AAE" w:rsidRPr="00A841AA">
        <w:t>with</w:t>
      </w:r>
      <w:r w:rsidR="00D52FD0">
        <w:t xml:space="preserve"> </w:t>
      </w:r>
      <w:r w:rsidR="000A1AAE" w:rsidRPr="00A841AA">
        <w:t>respect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matters</w:t>
      </w:r>
      <w:r w:rsidR="00D52FD0">
        <w:t xml:space="preserve"> </w:t>
      </w:r>
      <w:r w:rsidR="000A1AAE" w:rsidRPr="00A841AA">
        <w:t>ancillary</w:t>
      </w:r>
      <w:r w:rsidR="00D52FD0">
        <w:t xml:space="preserve"> </w:t>
      </w:r>
      <w:r w:rsidR="000A1AAE" w:rsidRPr="00A841AA">
        <w:t>thereto</w:t>
      </w:r>
      <w:r w:rsidR="00D52FD0">
        <w:t xml:space="preserve"> </w:t>
      </w:r>
      <w:r w:rsidR="000A1AAE" w:rsidRPr="00A841AA">
        <w:t>or</w:t>
      </w:r>
      <w:r w:rsidR="00D52FD0">
        <w:t xml:space="preserve"> </w:t>
      </w:r>
      <w:r w:rsidR="000A1AAE" w:rsidRPr="00A841AA">
        <w:t>connected</w:t>
      </w:r>
      <w:r w:rsidR="00D52FD0">
        <w:t xml:space="preserve"> </w:t>
      </w:r>
      <w:r w:rsidR="000A1AAE" w:rsidRPr="00A841AA">
        <w:t>therewith.</w:t>
      </w:r>
    </w:p>
    <w:p w14:paraId="535CBD92" w14:textId="564AEF3F" w:rsidR="000E4FD0" w:rsidRDefault="0044637E" w:rsidP="0044637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>
        <w:t>112.</w:t>
      </w:r>
      <w:r>
        <w:tab/>
      </w:r>
      <w:r w:rsidR="000A1AAE" w:rsidRPr="00A841AA">
        <w:t>The</w:t>
      </w:r>
      <w:r w:rsidR="00D52FD0">
        <w:t xml:space="preserve"> </w:t>
      </w:r>
      <w:r w:rsidR="000A1AAE" w:rsidRPr="00A841AA">
        <w:t>new</w:t>
      </w:r>
      <w:r w:rsidR="00D52FD0">
        <w:t xml:space="preserve"> </w:t>
      </w:r>
      <w:r w:rsidR="000A1AAE" w:rsidRPr="00A841AA">
        <w:t>Equality</w:t>
      </w:r>
      <w:r w:rsidR="00D52FD0">
        <w:t xml:space="preserve"> </w:t>
      </w:r>
      <w:r w:rsidR="000A1AAE" w:rsidRPr="00A841AA">
        <w:t>Bill</w:t>
      </w:r>
      <w:r w:rsidR="00D52FD0">
        <w:t xml:space="preserve"> </w:t>
      </w:r>
      <w:r w:rsidR="000A1AAE" w:rsidRPr="00A841AA">
        <w:t>being</w:t>
      </w:r>
      <w:r w:rsidR="00D52FD0">
        <w:t xml:space="preserve"> </w:t>
      </w:r>
      <w:r w:rsidR="000A1AAE" w:rsidRPr="00A841AA">
        <w:t>discussed</w:t>
      </w:r>
      <w:r w:rsidR="00D52FD0">
        <w:t xml:space="preserve"> </w:t>
      </w:r>
      <w:r w:rsidR="000A1AAE" w:rsidRPr="00A841AA">
        <w:t>by</w:t>
      </w:r>
      <w:r w:rsidR="00D52FD0">
        <w:t xml:space="preserve"> </w:t>
      </w:r>
      <w:r w:rsidR="000A1AAE" w:rsidRPr="00A841AA">
        <w:t>Maltese</w:t>
      </w:r>
      <w:r w:rsidR="00D52FD0">
        <w:t xml:space="preserve"> </w:t>
      </w:r>
      <w:r w:rsidR="000A1AAE" w:rsidRPr="00A841AA">
        <w:t>Parliament,</w:t>
      </w:r>
      <w:r w:rsidR="00D52FD0">
        <w:t xml:space="preserve"> </w:t>
      </w:r>
      <w:r w:rsidR="000A1AAE" w:rsidRPr="00A841AA">
        <w:t>once</w:t>
      </w:r>
      <w:r w:rsidR="00D52FD0">
        <w:t xml:space="preserve"> </w:t>
      </w:r>
      <w:r w:rsidR="000A1AAE" w:rsidRPr="00A841AA">
        <w:t>enacted,</w:t>
      </w:r>
      <w:r w:rsidR="00D52FD0">
        <w:t xml:space="preserve"> </w:t>
      </w:r>
      <w:r w:rsidR="000A1AAE" w:rsidRPr="00A841AA">
        <w:t>would</w:t>
      </w:r>
      <w:r w:rsidR="00D52FD0">
        <w:t xml:space="preserve"> </w:t>
      </w:r>
      <w:r w:rsidR="000A1AAE" w:rsidRPr="00A841AA">
        <w:t>further</w:t>
      </w:r>
      <w:r w:rsidR="00D52FD0">
        <w:t xml:space="preserve"> </w:t>
      </w:r>
      <w:r w:rsidR="000A1AAE" w:rsidRPr="00A841AA">
        <w:t>prohibit</w:t>
      </w:r>
      <w:r w:rsidR="00D52FD0">
        <w:t xml:space="preserve"> </w:t>
      </w:r>
      <w:r w:rsidR="000A1AAE" w:rsidRPr="00A841AA">
        <w:t>discrimination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is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place</w:t>
      </w:r>
      <w:r w:rsidR="00D52FD0">
        <w:t xml:space="preserve"> </w:t>
      </w:r>
      <w:r w:rsidR="000A1AAE" w:rsidRPr="00A841AA">
        <w:t>an</w:t>
      </w:r>
      <w:r w:rsidR="00D52FD0">
        <w:t xml:space="preserve"> </w:t>
      </w:r>
      <w:r w:rsidR="000A1AAE" w:rsidRPr="00A841AA">
        <w:t>equality</w:t>
      </w:r>
      <w:r w:rsidR="00D52FD0">
        <w:t xml:space="preserve"> </w:t>
      </w:r>
      <w:r w:rsidR="000A1AAE" w:rsidRPr="00A841AA">
        <w:t>duty</w:t>
      </w:r>
      <w:r w:rsidR="00D52FD0">
        <w:t xml:space="preserve"> </w:t>
      </w:r>
      <w:r w:rsidR="000A1AAE" w:rsidRPr="00A841AA">
        <w:t>on</w:t>
      </w:r>
      <w:r w:rsidR="00D52FD0">
        <w:t xml:space="preserve"> </w:t>
      </w:r>
      <w:r w:rsidR="000A1AAE" w:rsidRPr="00A841AA">
        <w:t>educational</w:t>
      </w:r>
      <w:r w:rsidR="00D52FD0">
        <w:t xml:space="preserve"> </w:t>
      </w:r>
      <w:r w:rsidR="000A1AAE" w:rsidRPr="00A841AA">
        <w:t>establishments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F14DA3">
        <w:t>“</w:t>
      </w:r>
      <w:r w:rsidR="000A1AAE" w:rsidRPr="00A841AA">
        <w:t>promote</w:t>
      </w:r>
      <w:r w:rsidR="00D52FD0">
        <w:t xml:space="preserve"> </w:t>
      </w:r>
      <w:r w:rsidR="000A1AAE" w:rsidRPr="00A841AA">
        <w:t>diversity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respect</w:t>
      </w:r>
      <w:r w:rsidR="00D52FD0">
        <w:t xml:space="preserve"> </w:t>
      </w:r>
      <w:r w:rsidR="000A1AAE" w:rsidRPr="00A841AA">
        <w:t>towards</w:t>
      </w:r>
      <w:r w:rsidR="00D52FD0">
        <w:t xml:space="preserve"> </w:t>
      </w:r>
      <w:r w:rsidR="000A1AAE" w:rsidRPr="00A841AA">
        <w:t>any</w:t>
      </w:r>
      <w:r w:rsidR="00D52FD0">
        <w:t xml:space="preserve"> </w:t>
      </w:r>
      <w:r w:rsidR="000A1AAE" w:rsidRPr="00A841AA">
        <w:t>person,</w:t>
      </w:r>
      <w:r w:rsidR="00D52FD0">
        <w:t xml:space="preserve"> </w:t>
      </w:r>
      <w:r w:rsidR="000A1AAE" w:rsidRPr="00A841AA">
        <w:t>paying</w:t>
      </w:r>
      <w:r w:rsidR="00D52FD0">
        <w:t xml:space="preserve"> </w:t>
      </w:r>
      <w:r w:rsidR="000A1AAE" w:rsidRPr="00A841AA">
        <w:t>particular</w:t>
      </w:r>
      <w:r w:rsidR="00D52FD0">
        <w:t xml:space="preserve"> </w:t>
      </w:r>
      <w:r w:rsidR="000A1AAE" w:rsidRPr="00A841AA">
        <w:t>attention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diversity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particular</w:t>
      </w:r>
      <w:r w:rsidR="00D52FD0">
        <w:t xml:space="preserve"> </w:t>
      </w:r>
      <w:r w:rsidR="000A1AAE" w:rsidRPr="00A841AA">
        <w:t>combinations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protected</w:t>
      </w:r>
      <w:r w:rsidR="00D52FD0">
        <w:t xml:space="preserve"> </w:t>
      </w:r>
      <w:r w:rsidR="000A1AAE" w:rsidRPr="00A841AA">
        <w:t>characteristics</w:t>
      </w:r>
      <w:r w:rsidR="00F14DA3">
        <w:t>”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on</w:t>
      </w:r>
      <w:r w:rsidR="00D52FD0">
        <w:t xml:space="preserve"> </w:t>
      </w:r>
      <w:r w:rsidR="000A1AAE" w:rsidRPr="00A841AA">
        <w:t>employers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F14DA3">
        <w:t>“</w:t>
      </w:r>
      <w:r w:rsidR="000A1AAE" w:rsidRPr="00A841AA">
        <w:t>implement</w:t>
      </w:r>
      <w:r w:rsidR="00D52FD0">
        <w:t xml:space="preserve"> </w:t>
      </w:r>
      <w:r w:rsidR="000A1AAE" w:rsidRPr="00A841AA">
        <w:t>policies,</w:t>
      </w:r>
      <w:r w:rsidR="00D52FD0">
        <w:t xml:space="preserve"> </w:t>
      </w:r>
      <w:r w:rsidR="000A1AAE" w:rsidRPr="00A841AA">
        <w:t>rules,</w:t>
      </w:r>
      <w:r w:rsidR="00D52FD0">
        <w:t xml:space="preserve"> </w:t>
      </w:r>
      <w:r w:rsidR="000A1AAE" w:rsidRPr="00A841AA">
        <w:t>or</w:t>
      </w:r>
      <w:r w:rsidR="00D52FD0">
        <w:t xml:space="preserve"> </w:t>
      </w:r>
      <w:r w:rsidR="000A1AAE" w:rsidRPr="00A841AA">
        <w:t>guidelines</w:t>
      </w:r>
      <w:r w:rsidR="00D52FD0">
        <w:t xml:space="preserve"> </w:t>
      </w:r>
      <w:r w:rsidR="000A1AAE" w:rsidRPr="00A841AA">
        <w:t>about</w:t>
      </w:r>
      <w:r w:rsidR="00D52FD0">
        <w:t xml:space="preserve"> </w:t>
      </w:r>
      <w:r w:rsidR="000A1AAE" w:rsidRPr="00A841AA">
        <w:t>equality,</w:t>
      </w:r>
      <w:r w:rsidR="00D52FD0">
        <w:t xml:space="preserve"> </w:t>
      </w:r>
      <w:r w:rsidR="000A1AAE" w:rsidRPr="00A841AA">
        <w:t>equal</w:t>
      </w:r>
      <w:r w:rsidR="00D52FD0">
        <w:t xml:space="preserve"> </w:t>
      </w:r>
      <w:r w:rsidR="000A1AAE" w:rsidRPr="00A841AA">
        <w:t>treatment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non-discrimination</w:t>
      </w:r>
      <w:r w:rsidR="00D52FD0">
        <w:t xml:space="preserve"> </w:t>
      </w:r>
      <w:r w:rsidR="000A1AAE" w:rsidRPr="00A841AA">
        <w:t>as</w:t>
      </w:r>
      <w:r w:rsidR="00D52FD0">
        <w:t xml:space="preserve"> </w:t>
      </w:r>
      <w:r w:rsidR="000A1AAE" w:rsidRPr="00A841AA">
        <w:t>may</w:t>
      </w:r>
      <w:r w:rsidR="00D52FD0">
        <w:t xml:space="preserve"> </w:t>
      </w:r>
      <w:r w:rsidR="000A1AAE" w:rsidRPr="00A841AA">
        <w:t>be</w:t>
      </w:r>
      <w:r w:rsidR="00D52FD0">
        <w:t xml:space="preserve"> </w:t>
      </w:r>
      <w:r w:rsidR="000A1AAE" w:rsidRPr="00A841AA">
        <w:t>necessary</w:t>
      </w:r>
      <w:r w:rsidR="00F14DA3">
        <w:t>”</w:t>
      </w:r>
      <w:r w:rsidR="000A1AAE" w:rsidRPr="00A841AA">
        <w:t>.</w:t>
      </w:r>
      <w:r w:rsidR="00D52FD0">
        <w:t xml:space="preserve"> </w:t>
      </w:r>
      <w:r w:rsidR="000A1AAE" w:rsidRPr="00A841AA">
        <w:t>Additionally,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new</w:t>
      </w:r>
      <w:r w:rsidR="00D52FD0">
        <w:t xml:space="preserve"> </w:t>
      </w:r>
      <w:r w:rsidR="000A1AAE" w:rsidRPr="00A841AA">
        <w:t>Equality</w:t>
      </w:r>
      <w:r w:rsidR="00D52FD0">
        <w:t xml:space="preserve"> </w:t>
      </w:r>
      <w:r w:rsidR="000A1AAE" w:rsidRPr="00A841AA">
        <w:t>Bill</w:t>
      </w:r>
      <w:r w:rsidR="00D52FD0">
        <w:t xml:space="preserve"> </w:t>
      </w:r>
      <w:r w:rsidR="000A1AAE" w:rsidRPr="00A841AA">
        <w:t>is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place</w:t>
      </w:r>
      <w:r w:rsidR="00D52FD0">
        <w:t xml:space="preserve"> </w:t>
      </w:r>
      <w:r w:rsidR="000A1AAE" w:rsidRPr="00A841AA">
        <w:t>an</w:t>
      </w:r>
      <w:r w:rsidR="00D52FD0">
        <w:t xml:space="preserve"> </w:t>
      </w:r>
      <w:r w:rsidR="000A1AAE" w:rsidRPr="00A841AA">
        <w:t>even</w:t>
      </w:r>
      <w:r w:rsidR="00D52FD0">
        <w:t xml:space="preserve"> </w:t>
      </w:r>
      <w:r w:rsidR="000A1AAE" w:rsidRPr="00A841AA">
        <w:t>stronger</w:t>
      </w:r>
      <w:r w:rsidR="00D52FD0">
        <w:t xml:space="preserve"> </w:t>
      </w:r>
      <w:r w:rsidR="000A1AAE" w:rsidRPr="00A841AA">
        <w:t>equality</w:t>
      </w:r>
      <w:r w:rsidR="00D52FD0">
        <w:t xml:space="preserve"> </w:t>
      </w:r>
      <w:r w:rsidR="000A1AAE" w:rsidRPr="00A841AA">
        <w:t>duty</w:t>
      </w:r>
      <w:r w:rsidR="00D52FD0">
        <w:t xml:space="preserve"> </w:t>
      </w:r>
      <w:r w:rsidR="000A1AAE" w:rsidRPr="00A841AA">
        <w:t>on</w:t>
      </w:r>
      <w:r w:rsidR="00D52FD0">
        <w:t xml:space="preserve"> </w:t>
      </w:r>
      <w:r w:rsidR="000A1AAE" w:rsidRPr="00A841AA">
        <w:t>public</w:t>
      </w:r>
      <w:r w:rsidR="00D52FD0">
        <w:t xml:space="preserve"> </w:t>
      </w:r>
      <w:r w:rsidR="000A1AAE" w:rsidRPr="00A841AA">
        <w:t>administration</w:t>
      </w:r>
      <w:r w:rsidR="00D52FD0">
        <w:t xml:space="preserve"> </w:t>
      </w:r>
      <w:r w:rsidR="000A1AAE" w:rsidRPr="00A841AA">
        <w:t>which</w:t>
      </w:r>
      <w:r w:rsidR="00D52FD0">
        <w:t xml:space="preserve"> </w:t>
      </w:r>
      <w:r w:rsidR="000A1AAE" w:rsidRPr="00A841AA">
        <w:t>is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be</w:t>
      </w:r>
      <w:r w:rsidR="00D52FD0">
        <w:t xml:space="preserve"> </w:t>
      </w:r>
      <w:r w:rsidR="000A1AAE" w:rsidRPr="00A841AA">
        <w:t>obliged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F14DA3">
        <w:t>“</w:t>
      </w:r>
      <w:r w:rsidR="000A1AAE" w:rsidRPr="00A841AA">
        <w:t>ensure</w:t>
      </w:r>
      <w:r w:rsidR="00D52FD0">
        <w:t xml:space="preserve"> </w:t>
      </w:r>
      <w:r w:rsidR="000A1AAE" w:rsidRPr="00A841AA">
        <w:t>equality</w:t>
      </w:r>
      <w:r w:rsidR="00D52FD0">
        <w:t xml:space="preserve"> </w:t>
      </w:r>
      <w:r w:rsidR="000A1AAE" w:rsidRPr="00A841AA">
        <w:t>mainstreaming</w:t>
      </w:r>
      <w:r w:rsidR="00D52FD0">
        <w:t xml:space="preserve"> </w:t>
      </w:r>
      <w:r w:rsidR="000A1AAE" w:rsidRPr="00A841AA">
        <w:t>when</w:t>
      </w:r>
      <w:r w:rsidR="00D52FD0">
        <w:t xml:space="preserve"> </w:t>
      </w:r>
      <w:r w:rsidR="000A1AAE" w:rsidRPr="00A841AA">
        <w:t>formulating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implementing</w:t>
      </w:r>
      <w:r w:rsidR="00D52FD0">
        <w:t xml:space="preserve"> </w:t>
      </w:r>
      <w:r w:rsidR="000A1AAE" w:rsidRPr="00A841AA">
        <w:t>laws,</w:t>
      </w:r>
      <w:r w:rsidR="00D52FD0">
        <w:t xml:space="preserve"> </w:t>
      </w:r>
      <w:r w:rsidR="000A1AAE" w:rsidRPr="00A841AA">
        <w:t>regulations,</w:t>
      </w:r>
      <w:r w:rsidR="00D52FD0">
        <w:t xml:space="preserve"> </w:t>
      </w:r>
      <w:r w:rsidR="000A1AAE" w:rsidRPr="00A841AA">
        <w:t>administrative</w:t>
      </w:r>
      <w:r w:rsidR="00D52FD0">
        <w:t xml:space="preserve"> </w:t>
      </w:r>
      <w:r w:rsidR="000A1AAE" w:rsidRPr="00A841AA">
        <w:t>provisions,</w:t>
      </w:r>
      <w:r w:rsidR="00D52FD0">
        <w:t xml:space="preserve"> </w:t>
      </w:r>
      <w:r w:rsidR="000A1AAE" w:rsidRPr="00A841AA">
        <w:t>policies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activities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all</w:t>
      </w:r>
      <w:r w:rsidR="00D52FD0">
        <w:t xml:space="preserve"> </w:t>
      </w:r>
      <w:r w:rsidR="000A1AAE" w:rsidRPr="00A841AA">
        <w:t>areas</w:t>
      </w:r>
      <w:r w:rsidR="00F14DA3">
        <w:t>”</w:t>
      </w:r>
      <w:r w:rsidR="000A1AAE" w:rsidRPr="00A841AA">
        <w:t>.</w:t>
      </w:r>
    </w:p>
    <w:p w14:paraId="5FF3F669" w14:textId="32F0ADDE" w:rsidR="000A1AAE" w:rsidRPr="00A841AA" w:rsidRDefault="0044637E" w:rsidP="0044637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841AA">
        <w:t>113.</w:t>
      </w:r>
      <w:r w:rsidRPr="00A841AA">
        <w:tab/>
      </w:r>
      <w:r w:rsidR="000A1AAE" w:rsidRPr="00A841AA">
        <w:t>One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tools</w:t>
      </w:r>
      <w:r w:rsidR="00D52FD0">
        <w:t xml:space="preserve"> </w:t>
      </w:r>
      <w:r w:rsidR="000A1AAE" w:rsidRPr="00A841AA">
        <w:t>which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NCPE</w:t>
      </w:r>
      <w:r w:rsidR="00D52FD0">
        <w:t xml:space="preserve"> </w:t>
      </w:r>
      <w:r w:rsidR="000A1AAE" w:rsidRPr="00A841AA">
        <w:t>makes</w:t>
      </w:r>
      <w:r w:rsidR="00D52FD0">
        <w:t xml:space="preserve"> </w:t>
      </w:r>
      <w:r w:rsidR="000A1AAE" w:rsidRPr="00A841AA">
        <w:t>use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throughout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year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by</w:t>
      </w:r>
      <w:r w:rsidR="00D52FD0">
        <w:t xml:space="preserve"> </w:t>
      </w:r>
      <w:r w:rsidR="000A1AAE" w:rsidRPr="00A841AA">
        <w:t>which</w:t>
      </w:r>
      <w:r w:rsidR="00D52FD0">
        <w:t xml:space="preserve"> </w:t>
      </w:r>
      <w:r w:rsidR="000A1AAE" w:rsidRPr="00A841AA">
        <w:t>it</w:t>
      </w:r>
      <w:r w:rsidR="00D52FD0">
        <w:t xml:space="preserve"> </w:t>
      </w:r>
      <w:r w:rsidR="000A1AAE" w:rsidRPr="00A841AA">
        <w:t>is</w:t>
      </w:r>
      <w:r w:rsidR="00D52FD0">
        <w:t xml:space="preserve"> </w:t>
      </w:r>
      <w:r w:rsidR="000A1AAE" w:rsidRPr="00A841AA">
        <w:t>able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implement</w:t>
      </w:r>
      <w:r w:rsidR="00D52FD0">
        <w:t xml:space="preserve"> </w:t>
      </w:r>
      <w:r w:rsidR="000A1AAE" w:rsidRPr="00A841AA">
        <w:t>its</w:t>
      </w:r>
      <w:r w:rsidR="00D52FD0">
        <w:t xml:space="preserve"> </w:t>
      </w:r>
      <w:r w:rsidR="000A1AAE" w:rsidRPr="00A841AA">
        <w:t>remit,</w:t>
      </w:r>
      <w:r w:rsidR="00D52FD0">
        <w:t xml:space="preserve"> </w:t>
      </w:r>
      <w:r w:rsidR="000A1AAE" w:rsidRPr="00A841AA">
        <w:t>particularly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racial</w:t>
      </w:r>
      <w:r w:rsidR="00D52FD0">
        <w:t xml:space="preserve"> </w:t>
      </w:r>
      <w:r w:rsidR="000A1AAE" w:rsidRPr="00A841AA">
        <w:t>or</w:t>
      </w:r>
      <w:r w:rsidR="00D52FD0">
        <w:t xml:space="preserve"> </w:t>
      </w:r>
      <w:r w:rsidR="000A1AAE" w:rsidRPr="00A841AA">
        <w:t>ethnic</w:t>
      </w:r>
      <w:r w:rsidR="00D52FD0">
        <w:t xml:space="preserve"> </w:t>
      </w:r>
      <w:r w:rsidR="000A1AAE" w:rsidRPr="00A841AA">
        <w:t>origin</w:t>
      </w:r>
      <w:r w:rsidR="00D52FD0">
        <w:t xml:space="preserve"> </w:t>
      </w:r>
      <w:r w:rsidR="000A1AAE" w:rsidRPr="00A841AA">
        <w:t>ground,</w:t>
      </w:r>
      <w:r w:rsidR="00D52FD0">
        <w:t xml:space="preserve"> </w:t>
      </w:r>
      <w:r w:rsidR="000A1AAE" w:rsidRPr="00A841AA">
        <w:t>is</w:t>
      </w:r>
      <w:r w:rsidR="00D52FD0">
        <w:t xml:space="preserve"> </w:t>
      </w:r>
      <w:r w:rsidR="000A1AAE" w:rsidRPr="00A841AA">
        <w:t>by</w:t>
      </w:r>
      <w:r w:rsidR="00D52FD0">
        <w:t xml:space="preserve"> </w:t>
      </w:r>
      <w:r w:rsidR="000A1AAE" w:rsidRPr="00A841AA">
        <w:t>means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awareness-raising</w:t>
      </w:r>
      <w:r w:rsidR="00D52FD0">
        <w:t xml:space="preserve"> </w:t>
      </w:r>
      <w:r w:rsidR="000A1AAE" w:rsidRPr="00A841AA">
        <w:t>campaigns.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NCPE</w:t>
      </w:r>
      <w:r w:rsidR="00D52FD0">
        <w:t xml:space="preserve"> </w:t>
      </w:r>
      <w:r w:rsidR="000A1AAE" w:rsidRPr="00A841AA">
        <w:t>carries</w:t>
      </w:r>
      <w:r w:rsidR="00D52FD0">
        <w:t xml:space="preserve"> </w:t>
      </w:r>
      <w:r w:rsidR="000A1AAE" w:rsidRPr="00A841AA">
        <w:t>out</w:t>
      </w:r>
      <w:r w:rsidR="00D52FD0">
        <w:t xml:space="preserve"> </w:t>
      </w:r>
      <w:r w:rsidR="000A1AAE" w:rsidRPr="00A841AA">
        <w:t>such</w:t>
      </w:r>
      <w:r w:rsidR="00D52FD0">
        <w:t xml:space="preserve"> </w:t>
      </w:r>
      <w:r w:rsidR="000A1AAE" w:rsidRPr="00A841AA">
        <w:t>campaigns</w:t>
      </w:r>
      <w:r w:rsidR="00D52FD0">
        <w:t xml:space="preserve"> </w:t>
      </w:r>
      <w:r w:rsidR="000A1AAE" w:rsidRPr="00A841AA">
        <w:t>by</w:t>
      </w:r>
      <w:r w:rsidR="00D52FD0">
        <w:t xml:space="preserve"> </w:t>
      </w:r>
      <w:r w:rsidR="000A1AAE" w:rsidRPr="00A841AA">
        <w:t>making</w:t>
      </w:r>
      <w:r w:rsidR="00D52FD0">
        <w:t xml:space="preserve"> </w:t>
      </w:r>
      <w:r w:rsidR="000A1AAE" w:rsidRPr="00A841AA">
        <w:t>use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its</w:t>
      </w:r>
      <w:r w:rsidR="00D52FD0">
        <w:t xml:space="preserve"> </w:t>
      </w:r>
      <w:r w:rsidR="000A1AAE" w:rsidRPr="00A841AA">
        <w:t>social</w:t>
      </w:r>
      <w:r w:rsidR="00D52FD0">
        <w:t xml:space="preserve"> </w:t>
      </w:r>
      <w:r w:rsidR="000A1AAE" w:rsidRPr="00A841AA">
        <w:t>media</w:t>
      </w:r>
      <w:r w:rsidR="00D52FD0">
        <w:t xml:space="preserve"> </w:t>
      </w:r>
      <w:r w:rsidR="000A1AAE" w:rsidRPr="00A841AA">
        <w:t>platforms,</w:t>
      </w:r>
      <w:r w:rsidR="00D52FD0">
        <w:t xml:space="preserve"> </w:t>
      </w:r>
      <w:r w:rsidR="000A1AAE" w:rsidRPr="00A841AA">
        <w:t>by</w:t>
      </w:r>
      <w:r w:rsidR="00D52FD0">
        <w:t xml:space="preserve"> </w:t>
      </w:r>
      <w:r w:rsidR="000A1AAE" w:rsidRPr="00A841AA">
        <w:t>organising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participating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conferences,</w:t>
      </w:r>
      <w:r w:rsidR="00D52FD0">
        <w:t xml:space="preserve"> </w:t>
      </w:r>
      <w:r w:rsidR="000A1AAE" w:rsidRPr="00A841AA">
        <w:t>through</w:t>
      </w:r>
      <w:r w:rsidR="00D52FD0">
        <w:t xml:space="preserve"> </w:t>
      </w:r>
      <w:r w:rsidR="000A1AAE" w:rsidRPr="00A841AA">
        <w:t>appearances</w:t>
      </w:r>
      <w:r w:rsidR="00D52FD0">
        <w:t xml:space="preserve"> </w:t>
      </w:r>
      <w:r w:rsidR="000A1AAE" w:rsidRPr="00A841AA">
        <w:t>on</w:t>
      </w:r>
      <w:r w:rsidR="00D52FD0">
        <w:t xml:space="preserve"> </w:t>
      </w:r>
      <w:r w:rsidR="000A1AAE" w:rsidRPr="00A841AA">
        <w:t>local</w:t>
      </w:r>
      <w:r w:rsidR="00D52FD0">
        <w:t xml:space="preserve"> </w:t>
      </w:r>
      <w:r w:rsidR="000A1AAE" w:rsidRPr="00A841AA">
        <w:t>television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radio</w:t>
      </w:r>
      <w:r w:rsidR="00D52FD0">
        <w:t xml:space="preserve"> </w:t>
      </w:r>
      <w:r w:rsidR="000A1AAE" w:rsidRPr="00A841AA">
        <w:t>stations,</w:t>
      </w:r>
      <w:r w:rsidR="00D52FD0">
        <w:t xml:space="preserve"> </w:t>
      </w:r>
      <w:r w:rsidR="000A1AAE" w:rsidRPr="00A841AA">
        <w:t>by</w:t>
      </w:r>
      <w:r w:rsidR="00D52FD0">
        <w:t xml:space="preserve"> </w:t>
      </w:r>
      <w:r w:rsidR="000A1AAE" w:rsidRPr="00A841AA">
        <w:t>publishing</w:t>
      </w:r>
      <w:r w:rsidR="00D52FD0">
        <w:t xml:space="preserve"> </w:t>
      </w:r>
      <w:r w:rsidR="000A1AAE" w:rsidRPr="00A841AA">
        <w:t>press</w:t>
      </w:r>
      <w:r w:rsidR="00D52FD0">
        <w:t xml:space="preserve"> </w:t>
      </w:r>
      <w:r w:rsidR="000A1AAE" w:rsidRPr="00A841AA">
        <w:t>statements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through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projects</w:t>
      </w:r>
      <w:r w:rsidR="00D52FD0">
        <w:t xml:space="preserve"> </w:t>
      </w:r>
      <w:r w:rsidR="000A1AAE" w:rsidRPr="00A841AA">
        <w:t>that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NCPE</w:t>
      </w:r>
      <w:r w:rsidR="00D52FD0">
        <w:t xml:space="preserve"> </w:t>
      </w:r>
      <w:r w:rsidR="000A1AAE" w:rsidRPr="00A841AA">
        <w:t>carries</w:t>
      </w:r>
      <w:r w:rsidR="00D52FD0">
        <w:t xml:space="preserve"> </w:t>
      </w:r>
      <w:r w:rsidR="000A1AAE" w:rsidRPr="00A841AA">
        <w:t>out.</w:t>
      </w:r>
    </w:p>
    <w:p w14:paraId="103F7831" w14:textId="071104C5" w:rsidR="000E4FD0" w:rsidRDefault="0044637E" w:rsidP="0044637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>
        <w:t>114.</w:t>
      </w:r>
      <w:r>
        <w:tab/>
      </w:r>
      <w:r w:rsidR="000A1AAE" w:rsidRPr="00A841AA">
        <w:t>With</w:t>
      </w:r>
      <w:r w:rsidR="00D52FD0">
        <w:t xml:space="preserve"> </w:t>
      </w:r>
      <w:r w:rsidR="000A1AAE" w:rsidRPr="00A841AA">
        <w:t>regards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persons</w:t>
      </w:r>
      <w:r w:rsidR="00D52FD0">
        <w:t xml:space="preserve"> </w:t>
      </w:r>
      <w:r w:rsidR="000A1AAE" w:rsidRPr="00A841AA">
        <w:t>with</w:t>
      </w:r>
      <w:r w:rsidR="00D52FD0">
        <w:t xml:space="preserve"> </w:t>
      </w:r>
      <w:r w:rsidR="000A1AAE" w:rsidRPr="00A841AA">
        <w:t>disabilities,</w:t>
      </w:r>
      <w:r w:rsidR="00D52FD0">
        <w:t xml:space="preserve"> </w:t>
      </w:r>
      <w:r w:rsidR="000A1AAE" w:rsidRPr="00A841AA">
        <w:t>Malta</w:t>
      </w:r>
      <w:r w:rsidR="00D52FD0">
        <w:t xml:space="preserve"> </w:t>
      </w:r>
      <w:r w:rsidR="000A1AAE" w:rsidRPr="00A841AA">
        <w:t>issued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United</w:t>
      </w:r>
      <w:r w:rsidR="00D52FD0">
        <w:t xml:space="preserve"> </w:t>
      </w:r>
      <w:r w:rsidR="000A1AAE" w:rsidRPr="00A841AA">
        <w:t>Nations</w:t>
      </w:r>
      <w:r w:rsidR="00D52FD0">
        <w:t xml:space="preserve"> </w:t>
      </w:r>
      <w:r w:rsidR="000A1AAE" w:rsidRPr="00A841AA">
        <w:t>Convention</w:t>
      </w:r>
      <w:r w:rsidR="00D52FD0">
        <w:t xml:space="preserve"> </w:t>
      </w:r>
      <w:r w:rsidR="000A1AAE" w:rsidRPr="00A841AA">
        <w:t>on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Rights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Persons</w:t>
      </w:r>
      <w:r w:rsidR="00D52FD0">
        <w:t xml:space="preserve"> </w:t>
      </w:r>
      <w:r w:rsidR="000A1AAE" w:rsidRPr="00A841AA">
        <w:t>with</w:t>
      </w:r>
      <w:r w:rsidR="00D52FD0">
        <w:t xml:space="preserve"> </w:t>
      </w:r>
      <w:r w:rsidR="000A1AAE" w:rsidRPr="00A841AA">
        <w:t>Disabilities</w:t>
      </w:r>
      <w:r w:rsidR="00D52FD0">
        <w:t xml:space="preserve"> </w:t>
      </w:r>
      <w:r w:rsidR="000A1AAE" w:rsidRPr="00A841AA">
        <w:t>Bill,</w:t>
      </w:r>
      <w:r w:rsidR="00D52FD0">
        <w:t xml:space="preserve"> </w:t>
      </w:r>
      <w:r w:rsidR="000A1AAE" w:rsidRPr="00A841AA">
        <w:t>2021,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Equal</w:t>
      </w:r>
      <w:r w:rsidR="00D52FD0">
        <w:t xml:space="preserve"> </w:t>
      </w:r>
      <w:r w:rsidR="000A1AAE" w:rsidRPr="00A841AA">
        <w:t>Opportunities</w:t>
      </w:r>
      <w:r w:rsidR="00D52FD0">
        <w:t xml:space="preserve"> </w:t>
      </w:r>
      <w:r w:rsidR="000A1AAE" w:rsidRPr="00A841AA">
        <w:t>(Persons</w:t>
      </w:r>
      <w:r w:rsidR="00D52FD0">
        <w:t xml:space="preserve"> </w:t>
      </w:r>
      <w:r w:rsidR="000A1AAE" w:rsidRPr="00A841AA">
        <w:t>with</w:t>
      </w:r>
      <w:r w:rsidR="00D52FD0">
        <w:t xml:space="preserve"> </w:t>
      </w:r>
      <w:r w:rsidR="000A1AAE" w:rsidRPr="00A841AA">
        <w:t>Disability)</w:t>
      </w:r>
      <w:r w:rsidR="00D52FD0">
        <w:t xml:space="preserve"> </w:t>
      </w:r>
      <w:r w:rsidR="000A1AAE" w:rsidRPr="00A841AA">
        <w:t>(Amendment)</w:t>
      </w:r>
      <w:r w:rsidR="00D52FD0">
        <w:t xml:space="preserve"> </w:t>
      </w:r>
      <w:r w:rsidR="000A1AAE" w:rsidRPr="00A841AA">
        <w:t>Bill,</w:t>
      </w:r>
      <w:r w:rsidR="00D52FD0">
        <w:t xml:space="preserve"> </w:t>
      </w:r>
      <w:r w:rsidR="000A1AAE" w:rsidRPr="00A841AA">
        <w:t>2021,</w:t>
      </w:r>
      <w:r w:rsidR="00D52FD0">
        <w:t xml:space="preserve"> </w:t>
      </w:r>
      <w:r w:rsidR="000A1AAE" w:rsidRPr="00A841AA">
        <w:t>for</w:t>
      </w:r>
      <w:r w:rsidR="00D52FD0">
        <w:t xml:space="preserve"> </w:t>
      </w:r>
      <w:r w:rsidR="000A1AAE" w:rsidRPr="00A841AA">
        <w:t>Public</w:t>
      </w:r>
      <w:r w:rsidR="00D52FD0">
        <w:t xml:space="preserve"> </w:t>
      </w:r>
      <w:r w:rsidR="000A1AAE" w:rsidRPr="00A841AA">
        <w:t>Consultation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May</w:t>
      </w:r>
      <w:r w:rsidR="00D52FD0">
        <w:t xml:space="preserve"> </w:t>
      </w:r>
      <w:r w:rsidR="000A1AAE" w:rsidRPr="00A841AA">
        <w:t>2021.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former</w:t>
      </w:r>
      <w:r w:rsidR="00D52FD0">
        <w:t xml:space="preserve"> </w:t>
      </w:r>
      <w:r w:rsidR="000A1AAE" w:rsidRPr="00A841AA">
        <w:t>will</w:t>
      </w:r>
      <w:r w:rsidR="00D52FD0">
        <w:t xml:space="preserve"> </w:t>
      </w:r>
      <w:r w:rsidR="000A1AAE" w:rsidRPr="00A841AA">
        <w:t>ensure</w:t>
      </w:r>
      <w:r w:rsidR="00D52FD0">
        <w:t xml:space="preserve"> </w:t>
      </w:r>
      <w:r w:rsidR="000A1AAE" w:rsidRPr="00A841AA">
        <w:t>applicability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substantive</w:t>
      </w:r>
      <w:r w:rsidR="00D52FD0">
        <w:t xml:space="preserve"> </w:t>
      </w:r>
      <w:r w:rsidR="000A1AAE" w:rsidRPr="00A841AA">
        <w:t>Convention</w:t>
      </w:r>
      <w:r w:rsidR="00D52FD0">
        <w:t xml:space="preserve"> </w:t>
      </w:r>
      <w:r w:rsidR="000A1AAE" w:rsidRPr="00A841AA">
        <w:t>Articles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domestic</w:t>
      </w:r>
      <w:r w:rsidR="00D52FD0">
        <w:t xml:space="preserve"> </w:t>
      </w:r>
      <w:r w:rsidR="000A1AAE" w:rsidRPr="00A841AA">
        <w:t>legal</w:t>
      </w:r>
      <w:r w:rsidR="00D52FD0">
        <w:t xml:space="preserve"> </w:t>
      </w:r>
      <w:r w:rsidR="000A1AAE" w:rsidRPr="00A841AA">
        <w:t>framework,</w:t>
      </w:r>
      <w:r w:rsidR="00D52FD0">
        <w:t xml:space="preserve"> </w:t>
      </w:r>
      <w:r w:rsidR="000A1AAE" w:rsidRPr="00A841AA">
        <w:t>while</w:t>
      </w:r>
      <w:r w:rsidR="00D52FD0">
        <w:t xml:space="preserve"> </w:t>
      </w:r>
      <w:r w:rsidR="000A1AAE" w:rsidRPr="00A841AA">
        <w:t>giving</w:t>
      </w:r>
      <w:r w:rsidR="00D52FD0">
        <w:t xml:space="preserve"> </w:t>
      </w:r>
      <w:r w:rsidR="000A1AAE" w:rsidRPr="00A841AA">
        <w:t>a</w:t>
      </w:r>
      <w:r w:rsidR="00D52FD0">
        <w:t xml:space="preserve"> </w:t>
      </w:r>
      <w:r w:rsidR="000A1AAE" w:rsidRPr="00A841AA">
        <w:t>legal</w:t>
      </w:r>
      <w:r w:rsidR="00D52FD0">
        <w:t xml:space="preserve"> </w:t>
      </w:r>
      <w:r w:rsidR="000A1AAE" w:rsidRPr="00A841AA">
        <w:t>basis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national</w:t>
      </w:r>
      <w:r w:rsidR="00D52FD0">
        <w:t xml:space="preserve"> </w:t>
      </w:r>
      <w:r w:rsidR="000A1AAE" w:rsidRPr="00A841AA">
        <w:t>focal</w:t>
      </w:r>
      <w:r w:rsidR="00D52FD0">
        <w:t xml:space="preserve"> </w:t>
      </w:r>
      <w:r w:rsidR="000A1AAE" w:rsidRPr="00A841AA">
        <w:t>point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national</w:t>
      </w:r>
      <w:r w:rsidR="00D52FD0">
        <w:t xml:space="preserve"> </w:t>
      </w:r>
      <w:r w:rsidR="000A1AAE" w:rsidRPr="00A841AA">
        <w:t>coordination</w:t>
      </w:r>
      <w:r w:rsidR="00D52FD0">
        <w:t xml:space="preserve"> </w:t>
      </w:r>
      <w:r w:rsidR="000A1AAE" w:rsidRPr="00A841AA">
        <w:t>mechanism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setting</w:t>
      </w:r>
      <w:r w:rsidR="00D52FD0">
        <w:t xml:space="preserve"> </w:t>
      </w:r>
      <w:r w:rsidR="000A1AAE" w:rsidRPr="00A841AA">
        <w:t>up</w:t>
      </w:r>
      <w:r w:rsidR="00D52FD0">
        <w:t xml:space="preserve"> </w:t>
      </w:r>
      <w:r w:rsidR="000A1AAE" w:rsidRPr="00A841AA">
        <w:t>a</w:t>
      </w:r>
      <w:r w:rsidR="00D52FD0">
        <w:t xml:space="preserve"> </w:t>
      </w:r>
      <w:r w:rsidR="000A1AAE" w:rsidRPr="00A841AA">
        <w:t>civil</w:t>
      </w:r>
      <w:r w:rsidR="00D52FD0">
        <w:t xml:space="preserve"> </w:t>
      </w:r>
      <w:r w:rsidR="000A1AAE" w:rsidRPr="00A841AA">
        <w:t>society</w:t>
      </w:r>
      <w:r w:rsidR="00D52FD0">
        <w:t xml:space="preserve"> </w:t>
      </w:r>
      <w:r w:rsidR="000A1AAE" w:rsidRPr="00A841AA">
        <w:t>participation</w:t>
      </w:r>
      <w:r w:rsidR="00D52FD0">
        <w:t xml:space="preserve"> </w:t>
      </w:r>
      <w:r w:rsidR="000A1AAE" w:rsidRPr="00A841AA">
        <w:t>mechanism.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latter</w:t>
      </w:r>
      <w:r w:rsidR="00D52FD0">
        <w:t xml:space="preserve"> </w:t>
      </w:r>
      <w:r w:rsidR="000A1AAE" w:rsidRPr="00A841AA">
        <w:t>sets</w:t>
      </w:r>
      <w:r w:rsidR="00D52FD0">
        <w:t xml:space="preserve"> </w:t>
      </w:r>
      <w:r w:rsidR="000A1AAE" w:rsidRPr="00A841AA">
        <w:t>up</w:t>
      </w:r>
      <w:r w:rsidR="00D52FD0">
        <w:t xml:space="preserve"> </w:t>
      </w:r>
      <w:r w:rsidR="000A1AAE" w:rsidRPr="00A841AA">
        <w:t>a</w:t>
      </w:r>
      <w:r w:rsidR="00D52FD0">
        <w:t xml:space="preserve"> </w:t>
      </w:r>
      <w:r w:rsidR="000A1AAE" w:rsidRPr="00A841AA">
        <w:t>UNCRPD</w:t>
      </w:r>
      <w:r w:rsidR="00D52FD0">
        <w:t xml:space="preserve"> </w:t>
      </w:r>
      <w:r w:rsidR="000A1AAE" w:rsidRPr="00A841AA">
        <w:t>Redress</w:t>
      </w:r>
      <w:r w:rsidR="00D52FD0">
        <w:t xml:space="preserve"> </w:t>
      </w:r>
      <w:r w:rsidR="000A1AAE" w:rsidRPr="00A841AA">
        <w:lastRenderedPageBreak/>
        <w:t>Panel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respect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discrimination</w:t>
      </w:r>
      <w:r w:rsidR="00D52FD0">
        <w:t xml:space="preserve"> </w:t>
      </w:r>
      <w:r w:rsidR="000A1AAE" w:rsidRPr="00A841AA">
        <w:t>claims</w:t>
      </w:r>
      <w:r w:rsidR="00D52FD0">
        <w:t xml:space="preserve"> </w:t>
      </w:r>
      <w:r w:rsidR="000A1AAE" w:rsidRPr="00A841AA">
        <w:t>linked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substantive</w:t>
      </w:r>
      <w:r w:rsidR="00D52FD0">
        <w:t xml:space="preserve"> </w:t>
      </w:r>
      <w:r w:rsidR="000A1AAE" w:rsidRPr="00A841AA">
        <w:t>Convention</w:t>
      </w:r>
      <w:r w:rsidR="00D52FD0">
        <w:t xml:space="preserve"> </w:t>
      </w:r>
      <w:r w:rsidR="000A1AAE" w:rsidRPr="00A841AA">
        <w:t>articles,</w:t>
      </w:r>
      <w:r w:rsidR="00D52FD0">
        <w:t xml:space="preserve"> </w:t>
      </w:r>
      <w:r w:rsidR="000A1AAE" w:rsidRPr="00A841AA">
        <w:t>while</w:t>
      </w:r>
      <w:r w:rsidR="00D52FD0">
        <w:t xml:space="preserve"> </w:t>
      </w:r>
      <w:r w:rsidR="000A1AAE" w:rsidRPr="00A841AA">
        <w:t>strengthening</w:t>
      </w:r>
      <w:r w:rsidR="00D52FD0">
        <w:t xml:space="preserve"> </w:t>
      </w:r>
      <w:r w:rsidR="000A1AAE" w:rsidRPr="00A841AA">
        <w:t>other</w:t>
      </w:r>
      <w:r w:rsidR="00D52FD0">
        <w:t xml:space="preserve"> </w:t>
      </w:r>
      <w:r w:rsidR="000A1AAE" w:rsidRPr="00A841AA">
        <w:t>existing</w:t>
      </w:r>
      <w:r w:rsidR="00D52FD0">
        <w:t xml:space="preserve"> </w:t>
      </w:r>
      <w:r w:rsidR="000A1AAE" w:rsidRPr="00A841AA">
        <w:t>avenues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redress,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giving</w:t>
      </w:r>
      <w:r w:rsidR="00D52FD0">
        <w:t xml:space="preserve"> </w:t>
      </w:r>
      <w:r w:rsidR="000A1AAE" w:rsidRPr="00A841AA">
        <w:t>a</w:t>
      </w:r>
      <w:r w:rsidR="00D52FD0">
        <w:t xml:space="preserve"> </w:t>
      </w:r>
      <w:r w:rsidR="000A1AAE" w:rsidRPr="00A841AA">
        <w:t>structured</w:t>
      </w:r>
      <w:r w:rsidR="00D52FD0">
        <w:t xml:space="preserve"> </w:t>
      </w:r>
      <w:r w:rsidR="000A1AAE" w:rsidRPr="00A841AA">
        <w:t>legal</w:t>
      </w:r>
      <w:r w:rsidR="00D52FD0">
        <w:t xml:space="preserve"> </w:t>
      </w:r>
      <w:r w:rsidR="000A1AAE" w:rsidRPr="00A841AA">
        <w:t>basis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investigation,</w:t>
      </w:r>
      <w:r w:rsidR="00D52FD0">
        <w:t xml:space="preserve"> </w:t>
      </w:r>
      <w:r w:rsidR="000A1AAE" w:rsidRPr="00A841AA">
        <w:t>compliance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enforcement</w:t>
      </w:r>
      <w:r w:rsidR="00D52FD0">
        <w:t xml:space="preserve"> </w:t>
      </w:r>
      <w:r w:rsidR="000A1AAE" w:rsidRPr="00A841AA">
        <w:t>functions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Malta</w:t>
      </w:r>
      <w:r w:rsidR="00F14DA3">
        <w:t>’</w:t>
      </w:r>
      <w:r w:rsidR="000A1AAE" w:rsidRPr="00A841AA">
        <w:t>s</w:t>
      </w:r>
      <w:r w:rsidR="00D52FD0">
        <w:t xml:space="preserve"> </w:t>
      </w:r>
      <w:r w:rsidR="000A1AAE" w:rsidRPr="00A841AA">
        <w:t>disability</w:t>
      </w:r>
      <w:r w:rsidR="00D52FD0">
        <w:t xml:space="preserve"> </w:t>
      </w:r>
      <w:r w:rsidR="000A1AAE" w:rsidRPr="00A841AA">
        <w:t>regulator.</w:t>
      </w:r>
    </w:p>
    <w:p w14:paraId="2F5E61E9" w14:textId="27E17B2F" w:rsidR="000A1AAE" w:rsidRPr="00825CCA" w:rsidRDefault="000A1AAE" w:rsidP="00014D84">
      <w:pPr>
        <w:pStyle w:val="H4G"/>
      </w:pPr>
      <w:r>
        <w:tab/>
      </w:r>
      <w:r>
        <w:tab/>
      </w:r>
      <w:r w:rsidRPr="00825CCA">
        <w:t>Discrimination</w:t>
      </w:r>
      <w:r w:rsidR="00D52FD0">
        <w:t xml:space="preserve"> </w:t>
      </w:r>
      <w:r w:rsidRPr="00825CCA">
        <w:t>against</w:t>
      </w:r>
      <w:r w:rsidR="00D52FD0">
        <w:t xml:space="preserve"> </w:t>
      </w:r>
      <w:r w:rsidRPr="00825CCA">
        <w:t>LGBT</w:t>
      </w:r>
      <w:r w:rsidR="00D52FD0">
        <w:t xml:space="preserve"> </w:t>
      </w:r>
      <w:r w:rsidRPr="00825CCA">
        <w:t>persons</w:t>
      </w:r>
    </w:p>
    <w:p w14:paraId="13C4660F" w14:textId="06019DD7" w:rsidR="000E4FD0" w:rsidRDefault="0044637E" w:rsidP="0044637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>
        <w:t>115.</w:t>
      </w:r>
      <w:r>
        <w:tab/>
      </w:r>
      <w:r w:rsidR="000A1AAE" w:rsidRPr="00A841AA">
        <w:t>2015: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Gender</w:t>
      </w:r>
      <w:r w:rsidR="00D52FD0">
        <w:t xml:space="preserve"> </w:t>
      </w:r>
      <w:r w:rsidR="000A1AAE" w:rsidRPr="00A841AA">
        <w:t>Identity,</w:t>
      </w:r>
      <w:r w:rsidR="00D52FD0">
        <w:t xml:space="preserve"> </w:t>
      </w:r>
      <w:r w:rsidR="000A1AAE" w:rsidRPr="00A841AA">
        <w:t>Gender</w:t>
      </w:r>
      <w:r w:rsidR="00D52FD0">
        <w:t xml:space="preserve"> </w:t>
      </w:r>
      <w:r w:rsidR="000A1AAE" w:rsidRPr="00A841AA">
        <w:t>Expression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Sex</w:t>
      </w:r>
      <w:r w:rsidR="00D52FD0">
        <w:t xml:space="preserve"> </w:t>
      </w:r>
      <w:r w:rsidR="000A1AAE" w:rsidRPr="00A841AA">
        <w:t>Characteristics</w:t>
      </w:r>
      <w:r w:rsidR="00D52FD0">
        <w:t xml:space="preserve"> </w:t>
      </w:r>
      <w:r w:rsidR="000A1AAE" w:rsidRPr="00A841AA">
        <w:t>(GIGESC)</w:t>
      </w:r>
      <w:r w:rsidR="00D52FD0">
        <w:t xml:space="preserve"> </w:t>
      </w:r>
      <w:r w:rsidR="000A1AAE" w:rsidRPr="00A841AA">
        <w:t>Act</w:t>
      </w:r>
      <w:r w:rsidR="00D52FD0">
        <w:t xml:space="preserve"> </w:t>
      </w:r>
      <w:r w:rsidR="000A1AAE" w:rsidRPr="00A841AA">
        <w:t>was</w:t>
      </w:r>
      <w:r w:rsidR="00D52FD0">
        <w:t xml:space="preserve"> </w:t>
      </w:r>
      <w:r w:rsidR="000A1AAE" w:rsidRPr="00A841AA">
        <w:t>adopted,</w:t>
      </w:r>
      <w:r w:rsidR="00D52FD0">
        <w:t xml:space="preserve"> </w:t>
      </w:r>
      <w:r w:rsidR="000A1AAE" w:rsidRPr="00A841AA">
        <w:t>granting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right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recognition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one</w:t>
      </w:r>
      <w:r w:rsidR="00F14DA3">
        <w:t>’</w:t>
      </w:r>
      <w:r w:rsidR="000A1AAE" w:rsidRPr="00A841AA">
        <w:t>s</w:t>
      </w:r>
      <w:r w:rsidR="00D52FD0">
        <w:t xml:space="preserve"> </w:t>
      </w:r>
      <w:r w:rsidR="000A1AAE" w:rsidRPr="00A841AA">
        <w:t>gender</w:t>
      </w:r>
      <w:r w:rsidR="00D52FD0">
        <w:t xml:space="preserve"> </w:t>
      </w:r>
      <w:r w:rsidR="000A1AAE" w:rsidRPr="00A841AA">
        <w:t>identity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right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bodily</w:t>
      </w:r>
      <w:r w:rsidR="00D52FD0">
        <w:t xml:space="preserve"> </w:t>
      </w:r>
      <w:r w:rsidR="000A1AAE" w:rsidRPr="00A841AA">
        <w:t>integrity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physical</w:t>
      </w:r>
      <w:r w:rsidR="00D52FD0">
        <w:t xml:space="preserve"> </w:t>
      </w:r>
      <w:r w:rsidR="000A1AAE" w:rsidRPr="00A841AA">
        <w:t>autonomy</w:t>
      </w:r>
      <w:r w:rsidR="00D52FD0">
        <w:t xml:space="preserve"> </w:t>
      </w:r>
      <w:r w:rsidR="000A1AAE" w:rsidRPr="00A841AA">
        <w:t>(Act</w:t>
      </w:r>
      <w:r w:rsidR="00D52FD0">
        <w:t xml:space="preserve"> </w:t>
      </w:r>
      <w:r w:rsidR="000A1AAE" w:rsidRPr="00A841AA">
        <w:t>XI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2015).</w:t>
      </w:r>
    </w:p>
    <w:p w14:paraId="468AD014" w14:textId="3DD0956F" w:rsidR="000E4FD0" w:rsidRDefault="0044637E" w:rsidP="0044637E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  <w:rPr>
          <w:lang w:eastAsia="en-GB"/>
        </w:rPr>
      </w:pPr>
      <w:r>
        <w:rPr>
          <w:lang w:eastAsia="en-GB"/>
        </w:rPr>
        <w:t>•</w:t>
      </w:r>
      <w:r>
        <w:rPr>
          <w:lang w:eastAsia="en-GB"/>
        </w:rPr>
        <w:tab/>
      </w:r>
      <w:r w:rsidR="000A1AAE" w:rsidRPr="00504902">
        <w:rPr>
          <w:lang w:eastAsia="en-GB"/>
        </w:rPr>
        <w:t>Three</w:t>
      </w:r>
      <w:r w:rsidR="00D52FD0">
        <w:rPr>
          <w:lang w:eastAsia="en-GB"/>
        </w:rPr>
        <w:t xml:space="preserve"> </w:t>
      </w:r>
      <w:r w:rsidR="000A1AAE" w:rsidRPr="00504902">
        <w:rPr>
          <w:lang w:eastAsia="en-GB"/>
        </w:rPr>
        <w:t>amendments</w:t>
      </w:r>
      <w:r w:rsidR="00D52FD0">
        <w:rPr>
          <w:lang w:eastAsia="en-GB"/>
        </w:rPr>
        <w:t xml:space="preserve"> </w:t>
      </w:r>
      <w:r w:rsidR="000A1AAE" w:rsidRPr="00504902">
        <w:rPr>
          <w:lang w:eastAsia="en-GB"/>
        </w:rPr>
        <w:t>have</w:t>
      </w:r>
      <w:r w:rsidR="00D52FD0">
        <w:rPr>
          <w:lang w:eastAsia="en-GB"/>
        </w:rPr>
        <w:t xml:space="preserve"> </w:t>
      </w:r>
      <w:r w:rsidR="000A1AAE" w:rsidRPr="00504902">
        <w:rPr>
          <w:lang w:eastAsia="en-GB"/>
        </w:rPr>
        <w:t>since</w:t>
      </w:r>
      <w:r w:rsidR="00D52FD0">
        <w:rPr>
          <w:lang w:eastAsia="en-GB"/>
        </w:rPr>
        <w:t xml:space="preserve"> </w:t>
      </w:r>
      <w:r w:rsidR="000A1AAE" w:rsidRPr="00504902">
        <w:rPr>
          <w:lang w:eastAsia="en-GB"/>
        </w:rPr>
        <w:t>been</w:t>
      </w:r>
      <w:r w:rsidR="00D52FD0">
        <w:rPr>
          <w:lang w:eastAsia="en-GB"/>
        </w:rPr>
        <w:t xml:space="preserve"> </w:t>
      </w:r>
      <w:r w:rsidR="000A1AAE" w:rsidRPr="00504902">
        <w:rPr>
          <w:lang w:eastAsia="en-GB"/>
        </w:rPr>
        <w:t>affected</w:t>
      </w:r>
      <w:r w:rsidR="00D52FD0">
        <w:rPr>
          <w:lang w:eastAsia="en-GB"/>
        </w:rPr>
        <w:t xml:space="preserve"> </w:t>
      </w:r>
      <w:r w:rsidR="000A1AAE" w:rsidRPr="00504902">
        <w:rPr>
          <w:lang w:eastAsia="en-GB"/>
        </w:rPr>
        <w:t>to</w:t>
      </w:r>
      <w:r w:rsidR="00D52FD0">
        <w:rPr>
          <w:lang w:eastAsia="en-GB"/>
        </w:rPr>
        <w:t xml:space="preserve"> </w:t>
      </w:r>
      <w:r w:rsidR="000A1AAE" w:rsidRPr="00504902">
        <w:rPr>
          <w:lang w:eastAsia="en-GB"/>
        </w:rPr>
        <w:t>the</w:t>
      </w:r>
      <w:r w:rsidR="00D52FD0">
        <w:rPr>
          <w:lang w:eastAsia="en-GB"/>
        </w:rPr>
        <w:t xml:space="preserve"> </w:t>
      </w:r>
      <w:r w:rsidR="000A1AAE" w:rsidRPr="00504902">
        <w:rPr>
          <w:lang w:eastAsia="en-GB"/>
        </w:rPr>
        <w:t>Gender</w:t>
      </w:r>
      <w:r w:rsidR="00D52FD0">
        <w:rPr>
          <w:lang w:eastAsia="en-GB"/>
        </w:rPr>
        <w:t xml:space="preserve"> </w:t>
      </w:r>
      <w:r w:rsidR="000A1AAE" w:rsidRPr="00504902">
        <w:rPr>
          <w:lang w:eastAsia="en-GB"/>
        </w:rPr>
        <w:t>Identity,</w:t>
      </w:r>
      <w:r w:rsidR="00D52FD0">
        <w:rPr>
          <w:lang w:eastAsia="en-GB"/>
        </w:rPr>
        <w:t xml:space="preserve"> </w:t>
      </w:r>
      <w:r w:rsidR="000A1AAE" w:rsidRPr="00504902">
        <w:rPr>
          <w:lang w:eastAsia="en-GB"/>
        </w:rPr>
        <w:t>Gender</w:t>
      </w:r>
      <w:r w:rsidR="00D52FD0">
        <w:rPr>
          <w:lang w:eastAsia="en-GB"/>
        </w:rPr>
        <w:t xml:space="preserve"> </w:t>
      </w:r>
      <w:r w:rsidR="000A1AAE" w:rsidRPr="00504902">
        <w:rPr>
          <w:lang w:eastAsia="en-GB"/>
        </w:rPr>
        <w:t>Expression</w:t>
      </w:r>
      <w:r w:rsidR="00D52FD0">
        <w:rPr>
          <w:lang w:eastAsia="en-GB"/>
        </w:rPr>
        <w:t xml:space="preserve"> </w:t>
      </w:r>
      <w:r w:rsidR="000A1AAE" w:rsidRPr="00504902">
        <w:rPr>
          <w:lang w:eastAsia="en-GB"/>
        </w:rPr>
        <w:t>and</w:t>
      </w:r>
      <w:r w:rsidR="00D52FD0">
        <w:rPr>
          <w:lang w:eastAsia="en-GB"/>
        </w:rPr>
        <w:t xml:space="preserve"> </w:t>
      </w:r>
      <w:r w:rsidR="000A1AAE" w:rsidRPr="00504902">
        <w:rPr>
          <w:lang w:eastAsia="en-GB"/>
        </w:rPr>
        <w:t>Sex</w:t>
      </w:r>
      <w:r w:rsidR="00D52FD0">
        <w:rPr>
          <w:lang w:eastAsia="en-GB"/>
        </w:rPr>
        <w:t xml:space="preserve"> </w:t>
      </w:r>
      <w:r w:rsidR="000A1AAE" w:rsidRPr="00504902">
        <w:rPr>
          <w:lang w:eastAsia="en-GB"/>
        </w:rPr>
        <w:t>Characteristics</w:t>
      </w:r>
      <w:r w:rsidR="00D52FD0">
        <w:rPr>
          <w:lang w:eastAsia="en-GB"/>
        </w:rPr>
        <w:t xml:space="preserve"> </w:t>
      </w:r>
      <w:r w:rsidR="000A1AAE" w:rsidRPr="00504902">
        <w:rPr>
          <w:lang w:eastAsia="en-GB"/>
        </w:rPr>
        <w:t>Act:</w:t>
      </w:r>
    </w:p>
    <w:p w14:paraId="5A1CF0E4" w14:textId="1C31CEA0" w:rsidR="000E4FD0" w:rsidRDefault="0044637E" w:rsidP="0044637E">
      <w:pPr>
        <w:pStyle w:val="Bullet2G"/>
        <w:numPr>
          <w:ilvl w:val="0"/>
          <w:numId w:val="0"/>
        </w:numPr>
        <w:tabs>
          <w:tab w:val="left" w:pos="2268"/>
        </w:tabs>
        <w:ind w:left="2268" w:hanging="170"/>
      </w:pPr>
      <w:r>
        <w:t>•</w:t>
      </w:r>
      <w:r>
        <w:tab/>
      </w:r>
      <w:r w:rsidR="000A1AAE" w:rsidRPr="00504902">
        <w:t>the</w:t>
      </w:r>
      <w:r w:rsidR="00D52FD0">
        <w:t xml:space="preserve"> </w:t>
      </w:r>
      <w:r w:rsidR="000A1AAE" w:rsidRPr="00504902">
        <w:t>first</w:t>
      </w:r>
      <w:r w:rsidR="00D52FD0">
        <w:t xml:space="preserve"> </w:t>
      </w:r>
      <w:r w:rsidR="000A1AAE" w:rsidRPr="00504902">
        <w:t>to</w:t>
      </w:r>
      <w:r w:rsidR="00D52FD0">
        <w:t xml:space="preserve"> </w:t>
      </w:r>
      <w:r w:rsidR="000A1AAE" w:rsidRPr="00504902">
        <w:t>ensure</w:t>
      </w:r>
      <w:r w:rsidR="00D52FD0">
        <w:t xml:space="preserve"> </w:t>
      </w:r>
      <w:r w:rsidR="000A1AAE" w:rsidRPr="00504902">
        <w:t>that</w:t>
      </w:r>
      <w:r w:rsidR="00D52FD0">
        <w:t xml:space="preserve"> </w:t>
      </w:r>
      <w:r w:rsidR="000A1AAE" w:rsidRPr="00504902">
        <w:t>the</w:t>
      </w:r>
      <w:r w:rsidR="00D52FD0">
        <w:t xml:space="preserve"> </w:t>
      </w:r>
      <w:r w:rsidR="000A1AAE" w:rsidRPr="00504902">
        <w:t>provisions</w:t>
      </w:r>
      <w:r w:rsidR="00D52FD0">
        <w:t xml:space="preserve"> </w:t>
      </w:r>
      <w:r w:rsidR="000A1AAE" w:rsidRPr="00504902">
        <w:t>of</w:t>
      </w:r>
      <w:r w:rsidR="00D52FD0">
        <w:t xml:space="preserve"> </w:t>
      </w:r>
      <w:r w:rsidR="000A1AAE" w:rsidRPr="00504902">
        <w:t>the</w:t>
      </w:r>
      <w:r w:rsidR="00D52FD0">
        <w:t xml:space="preserve"> </w:t>
      </w:r>
      <w:r w:rsidR="000A1AAE" w:rsidRPr="00504902">
        <w:t>Act</w:t>
      </w:r>
      <w:r w:rsidR="00D52FD0">
        <w:t xml:space="preserve"> </w:t>
      </w:r>
      <w:r w:rsidR="000A1AAE" w:rsidRPr="00504902">
        <w:t>fully</w:t>
      </w:r>
      <w:r w:rsidR="00D52FD0">
        <w:t xml:space="preserve"> </w:t>
      </w:r>
      <w:r w:rsidR="000A1AAE" w:rsidRPr="00504902">
        <w:t>apply</w:t>
      </w:r>
      <w:r w:rsidR="00D52FD0">
        <w:t xml:space="preserve"> </w:t>
      </w:r>
      <w:r w:rsidR="000A1AAE" w:rsidRPr="00504902">
        <w:t>to</w:t>
      </w:r>
      <w:r w:rsidR="00D52FD0">
        <w:t xml:space="preserve"> </w:t>
      </w:r>
      <w:r w:rsidR="000A1AAE" w:rsidRPr="00504902">
        <w:t>adopted</w:t>
      </w:r>
      <w:r w:rsidR="00D52FD0">
        <w:t xml:space="preserve"> </w:t>
      </w:r>
      <w:r w:rsidR="000A1AAE" w:rsidRPr="00504902">
        <w:t>persons</w:t>
      </w:r>
      <w:r w:rsidR="00D52FD0">
        <w:t xml:space="preserve"> </w:t>
      </w:r>
      <w:r w:rsidR="000A1AAE" w:rsidRPr="00504902">
        <w:t>(Act</w:t>
      </w:r>
      <w:r w:rsidR="00D52FD0">
        <w:t xml:space="preserve"> </w:t>
      </w:r>
      <w:r w:rsidR="000A1AAE" w:rsidRPr="00504902">
        <w:t>XX</w:t>
      </w:r>
      <w:r w:rsidR="00D52FD0">
        <w:t xml:space="preserve"> </w:t>
      </w:r>
      <w:r w:rsidR="000A1AAE" w:rsidRPr="00504902">
        <w:t>of</w:t>
      </w:r>
      <w:r w:rsidR="00D52FD0">
        <w:t xml:space="preserve"> </w:t>
      </w:r>
      <w:r w:rsidR="000A1AAE" w:rsidRPr="00504902">
        <w:t>2015);</w:t>
      </w:r>
    </w:p>
    <w:p w14:paraId="25E8FCB5" w14:textId="25507F56" w:rsidR="000E4FD0" w:rsidRDefault="0044637E" w:rsidP="0044637E">
      <w:pPr>
        <w:pStyle w:val="Bullet2G"/>
        <w:numPr>
          <w:ilvl w:val="0"/>
          <w:numId w:val="0"/>
        </w:numPr>
        <w:tabs>
          <w:tab w:val="left" w:pos="2268"/>
        </w:tabs>
        <w:ind w:left="2268" w:hanging="170"/>
      </w:pPr>
      <w:r>
        <w:t>•</w:t>
      </w:r>
      <w:r>
        <w:tab/>
      </w:r>
      <w:r w:rsidR="000A1AAE" w:rsidRPr="00504902">
        <w:t>the</w:t>
      </w:r>
      <w:r w:rsidR="00D52FD0">
        <w:t xml:space="preserve"> </w:t>
      </w:r>
      <w:r w:rsidR="000A1AAE" w:rsidRPr="00504902">
        <w:t>second</w:t>
      </w:r>
      <w:r w:rsidR="00D52FD0">
        <w:t xml:space="preserve"> </w:t>
      </w:r>
      <w:r w:rsidR="000A1AAE" w:rsidRPr="00504902">
        <w:t>to</w:t>
      </w:r>
      <w:r w:rsidR="00D52FD0">
        <w:t xml:space="preserve"> </w:t>
      </w:r>
      <w:r w:rsidR="000A1AAE" w:rsidRPr="00504902">
        <w:t>ensure</w:t>
      </w:r>
      <w:r w:rsidR="00D52FD0">
        <w:t xml:space="preserve"> </w:t>
      </w:r>
      <w:r w:rsidR="000A1AAE" w:rsidRPr="00504902">
        <w:t>that</w:t>
      </w:r>
      <w:r w:rsidR="00D52FD0">
        <w:t xml:space="preserve"> </w:t>
      </w:r>
      <w:r w:rsidR="000A1AAE" w:rsidRPr="00504902">
        <w:t>the</w:t>
      </w:r>
      <w:r w:rsidR="00D52FD0">
        <w:t xml:space="preserve"> </w:t>
      </w:r>
      <w:r w:rsidR="000A1AAE" w:rsidRPr="00504902">
        <w:t>effects</w:t>
      </w:r>
      <w:r w:rsidR="00D52FD0">
        <w:t xml:space="preserve"> </w:t>
      </w:r>
      <w:r w:rsidR="000A1AAE" w:rsidRPr="00504902">
        <w:t>of</w:t>
      </w:r>
      <w:r w:rsidR="00D52FD0">
        <w:t xml:space="preserve"> </w:t>
      </w:r>
      <w:r w:rsidR="000A1AAE" w:rsidRPr="00504902">
        <w:t>the</w:t>
      </w:r>
      <w:r w:rsidR="00D52FD0">
        <w:t xml:space="preserve"> </w:t>
      </w:r>
      <w:r w:rsidR="000A1AAE" w:rsidRPr="00504902">
        <w:t>Act</w:t>
      </w:r>
      <w:r w:rsidR="00D52FD0">
        <w:t xml:space="preserve"> </w:t>
      </w:r>
      <w:r w:rsidR="000A1AAE" w:rsidRPr="00504902">
        <w:t>extend</w:t>
      </w:r>
      <w:r w:rsidR="00D52FD0">
        <w:t xml:space="preserve"> </w:t>
      </w:r>
      <w:r w:rsidR="000A1AAE" w:rsidRPr="00504902">
        <w:t>to</w:t>
      </w:r>
      <w:r w:rsidR="00D52FD0">
        <w:t xml:space="preserve"> </w:t>
      </w:r>
      <w:r w:rsidR="000A1AAE" w:rsidRPr="00504902">
        <w:t>persons</w:t>
      </w:r>
      <w:r w:rsidR="00D52FD0">
        <w:t xml:space="preserve"> </w:t>
      </w:r>
      <w:r w:rsidR="000A1AAE" w:rsidRPr="00504902">
        <w:t>in</w:t>
      </w:r>
      <w:r w:rsidR="00D52FD0">
        <w:t xml:space="preserve"> </w:t>
      </w:r>
      <w:r w:rsidR="000A1AAE" w:rsidRPr="00504902">
        <w:t>detention</w:t>
      </w:r>
      <w:r w:rsidR="00D52FD0">
        <w:t xml:space="preserve"> </w:t>
      </w:r>
      <w:r w:rsidR="000A1AAE" w:rsidRPr="00504902">
        <w:t>(regardless</w:t>
      </w:r>
      <w:r w:rsidR="00D52FD0">
        <w:t xml:space="preserve"> </w:t>
      </w:r>
      <w:r w:rsidR="000A1AAE" w:rsidRPr="00504902">
        <w:t>of</w:t>
      </w:r>
      <w:r w:rsidR="00D52FD0">
        <w:t xml:space="preserve"> </w:t>
      </w:r>
      <w:r w:rsidR="000A1AAE" w:rsidRPr="00504902">
        <w:t>nationality),</w:t>
      </w:r>
      <w:r w:rsidR="00D52FD0">
        <w:t xml:space="preserve"> </w:t>
      </w:r>
      <w:r w:rsidR="000A1AAE" w:rsidRPr="00504902">
        <w:t>as</w:t>
      </w:r>
      <w:r w:rsidR="00D52FD0">
        <w:t xml:space="preserve"> </w:t>
      </w:r>
      <w:r w:rsidR="000A1AAE" w:rsidRPr="00504902">
        <w:t>well</w:t>
      </w:r>
      <w:r w:rsidR="00D52FD0">
        <w:t xml:space="preserve"> </w:t>
      </w:r>
      <w:r w:rsidR="000A1AAE" w:rsidRPr="00504902">
        <w:t>as</w:t>
      </w:r>
      <w:r w:rsidR="00D52FD0">
        <w:t xml:space="preserve"> </w:t>
      </w:r>
      <w:r w:rsidR="000A1AAE" w:rsidRPr="00504902">
        <w:t>to</w:t>
      </w:r>
      <w:r w:rsidR="00D52FD0">
        <w:t xml:space="preserve"> </w:t>
      </w:r>
      <w:r w:rsidR="000A1AAE" w:rsidRPr="00504902">
        <w:t>depathologise</w:t>
      </w:r>
      <w:r w:rsidR="00D52FD0">
        <w:t xml:space="preserve"> </w:t>
      </w:r>
      <w:r w:rsidR="000A1AAE" w:rsidRPr="00504902">
        <w:t>all</w:t>
      </w:r>
      <w:r w:rsidR="00D52FD0">
        <w:t xml:space="preserve"> </w:t>
      </w:r>
      <w:r w:rsidR="000A1AAE" w:rsidRPr="00504902">
        <w:t>sexual</w:t>
      </w:r>
      <w:r w:rsidR="00D52FD0">
        <w:t xml:space="preserve"> </w:t>
      </w:r>
      <w:r w:rsidR="000A1AAE" w:rsidRPr="00504902">
        <w:t>orientations,</w:t>
      </w:r>
      <w:r w:rsidR="00D52FD0">
        <w:t xml:space="preserve"> </w:t>
      </w:r>
      <w:r w:rsidR="000A1AAE" w:rsidRPr="00504902">
        <w:t>gender</w:t>
      </w:r>
      <w:r w:rsidR="00D52FD0">
        <w:t xml:space="preserve"> </w:t>
      </w:r>
      <w:r w:rsidR="000A1AAE" w:rsidRPr="00504902">
        <w:t>identities</w:t>
      </w:r>
      <w:r w:rsidR="00D52FD0">
        <w:t xml:space="preserve"> </w:t>
      </w:r>
      <w:r w:rsidR="000A1AAE" w:rsidRPr="00504902">
        <w:t>and</w:t>
      </w:r>
      <w:r w:rsidR="00D52FD0">
        <w:t xml:space="preserve"> </w:t>
      </w:r>
      <w:r w:rsidR="000A1AAE" w:rsidRPr="00504902">
        <w:t>gender</w:t>
      </w:r>
      <w:r w:rsidR="00D52FD0">
        <w:t xml:space="preserve"> </w:t>
      </w:r>
      <w:r w:rsidR="000A1AAE" w:rsidRPr="00504902">
        <w:t>expressions</w:t>
      </w:r>
      <w:r w:rsidR="00D52FD0">
        <w:t xml:space="preserve"> </w:t>
      </w:r>
      <w:r w:rsidR="000A1AAE" w:rsidRPr="00504902">
        <w:t>(Act</w:t>
      </w:r>
      <w:r w:rsidR="00D52FD0">
        <w:t xml:space="preserve"> </w:t>
      </w:r>
      <w:r w:rsidR="000A1AAE" w:rsidRPr="00504902">
        <w:t>LVI</w:t>
      </w:r>
      <w:r w:rsidR="00D52FD0">
        <w:t xml:space="preserve"> </w:t>
      </w:r>
      <w:r w:rsidR="000A1AAE" w:rsidRPr="00504902">
        <w:t>of</w:t>
      </w:r>
      <w:r w:rsidR="00D52FD0">
        <w:t xml:space="preserve"> </w:t>
      </w:r>
      <w:r w:rsidR="000A1AAE" w:rsidRPr="00504902">
        <w:t>2016);</w:t>
      </w:r>
      <w:r w:rsidR="00D52FD0">
        <w:t xml:space="preserve"> </w:t>
      </w:r>
      <w:r w:rsidR="000A1AAE" w:rsidRPr="00504902">
        <w:t>and</w:t>
      </w:r>
    </w:p>
    <w:p w14:paraId="47C2950F" w14:textId="51EA51C9" w:rsidR="000A1AAE" w:rsidRPr="00F31847" w:rsidRDefault="0044637E" w:rsidP="0044637E">
      <w:pPr>
        <w:pStyle w:val="Bullet2G"/>
        <w:numPr>
          <w:ilvl w:val="0"/>
          <w:numId w:val="0"/>
        </w:numPr>
        <w:tabs>
          <w:tab w:val="left" w:pos="2268"/>
        </w:tabs>
        <w:ind w:left="2268" w:hanging="170"/>
      </w:pPr>
      <w:r w:rsidRPr="00F31847">
        <w:t>•</w:t>
      </w:r>
      <w:r w:rsidRPr="00F31847">
        <w:tab/>
      </w:r>
      <w:r w:rsidR="000A1AAE" w:rsidRPr="00504902">
        <w:t>the</w:t>
      </w:r>
      <w:r w:rsidR="00D52FD0">
        <w:t xml:space="preserve"> </w:t>
      </w:r>
      <w:r w:rsidR="000A1AAE" w:rsidRPr="00504902">
        <w:t>third</w:t>
      </w:r>
      <w:r w:rsidR="00D52FD0">
        <w:t xml:space="preserve"> </w:t>
      </w:r>
      <w:r w:rsidR="000A1AAE" w:rsidRPr="00504902">
        <w:t>to</w:t>
      </w:r>
      <w:r w:rsidR="00D52FD0">
        <w:t xml:space="preserve"> </w:t>
      </w:r>
      <w:r w:rsidR="000A1AAE" w:rsidRPr="00504902">
        <w:t>conform</w:t>
      </w:r>
      <w:r w:rsidR="00D52FD0">
        <w:t xml:space="preserve"> </w:t>
      </w:r>
      <w:r w:rsidR="000A1AAE" w:rsidRPr="00504902">
        <w:t>the</w:t>
      </w:r>
      <w:r w:rsidR="00D52FD0">
        <w:t xml:space="preserve"> </w:t>
      </w:r>
      <w:r w:rsidR="000A1AAE" w:rsidRPr="00504902">
        <w:t>penalties</w:t>
      </w:r>
      <w:r w:rsidR="00D52FD0">
        <w:t xml:space="preserve"> </w:t>
      </w:r>
      <w:r w:rsidR="000A1AAE" w:rsidRPr="00504902">
        <w:t>applicable</w:t>
      </w:r>
      <w:r w:rsidR="00D52FD0">
        <w:t xml:space="preserve"> </w:t>
      </w:r>
      <w:r w:rsidR="000A1AAE" w:rsidRPr="00504902">
        <w:t>to</w:t>
      </w:r>
      <w:r w:rsidR="00D52FD0">
        <w:t xml:space="preserve"> </w:t>
      </w:r>
      <w:r w:rsidR="000A1AAE" w:rsidRPr="00504902">
        <w:t>intersex</w:t>
      </w:r>
      <w:r w:rsidR="00D52FD0">
        <w:t xml:space="preserve"> </w:t>
      </w:r>
      <w:r w:rsidR="000A1AAE" w:rsidRPr="00504902">
        <w:t>genital</w:t>
      </w:r>
      <w:r w:rsidR="00D52FD0">
        <w:t xml:space="preserve"> </w:t>
      </w:r>
      <w:r w:rsidR="000A1AAE" w:rsidRPr="00504902">
        <w:t>mutilation</w:t>
      </w:r>
      <w:r w:rsidR="00D52FD0">
        <w:t xml:space="preserve"> </w:t>
      </w:r>
      <w:r w:rsidR="000A1AAE" w:rsidRPr="00504902">
        <w:t>to</w:t>
      </w:r>
      <w:r w:rsidR="00D52FD0">
        <w:t xml:space="preserve"> </w:t>
      </w:r>
      <w:r w:rsidR="000A1AAE" w:rsidRPr="00504902">
        <w:t>the</w:t>
      </w:r>
      <w:r w:rsidR="00D52FD0">
        <w:t xml:space="preserve"> </w:t>
      </w:r>
      <w:r w:rsidR="000A1AAE" w:rsidRPr="00504902">
        <w:t>penalties</w:t>
      </w:r>
      <w:r w:rsidR="00D52FD0">
        <w:t xml:space="preserve"> </w:t>
      </w:r>
      <w:r w:rsidR="000A1AAE" w:rsidRPr="00504902">
        <w:t>applicable</w:t>
      </w:r>
      <w:r w:rsidR="00D52FD0">
        <w:t xml:space="preserve"> </w:t>
      </w:r>
      <w:r w:rsidR="000A1AAE" w:rsidRPr="00504902">
        <w:t>to</w:t>
      </w:r>
      <w:r w:rsidR="00D52FD0">
        <w:t xml:space="preserve"> </w:t>
      </w:r>
      <w:r w:rsidR="000A1AAE" w:rsidRPr="00504902">
        <w:t>female</w:t>
      </w:r>
      <w:r w:rsidR="00D52FD0">
        <w:t xml:space="preserve"> </w:t>
      </w:r>
      <w:r w:rsidR="000A1AAE" w:rsidRPr="00504902">
        <w:t>genital</w:t>
      </w:r>
      <w:r w:rsidR="00D52FD0">
        <w:t xml:space="preserve"> </w:t>
      </w:r>
      <w:r w:rsidR="000A1AAE" w:rsidRPr="00504902">
        <w:t>mutilation</w:t>
      </w:r>
      <w:r w:rsidR="00D52FD0">
        <w:t xml:space="preserve"> </w:t>
      </w:r>
      <w:r w:rsidR="000A1AAE" w:rsidRPr="00504902">
        <w:t>(Act</w:t>
      </w:r>
      <w:r w:rsidR="00D52FD0">
        <w:t xml:space="preserve"> </w:t>
      </w:r>
      <w:r w:rsidR="000A1AAE" w:rsidRPr="00504902">
        <w:t>XIII</w:t>
      </w:r>
      <w:r w:rsidR="00D52FD0">
        <w:t xml:space="preserve"> </w:t>
      </w:r>
      <w:r w:rsidR="000A1AAE" w:rsidRPr="00504902">
        <w:t>of</w:t>
      </w:r>
      <w:r w:rsidR="00D52FD0">
        <w:t xml:space="preserve"> </w:t>
      </w:r>
      <w:r w:rsidR="000A1AAE" w:rsidRPr="00504902">
        <w:t>2018).</w:t>
      </w:r>
    </w:p>
    <w:p w14:paraId="0EDD3C77" w14:textId="7A6D65E1" w:rsidR="000A1AAE" w:rsidRPr="00A841AA" w:rsidRDefault="0044637E" w:rsidP="0044637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841AA">
        <w:t>116.</w:t>
      </w:r>
      <w:r w:rsidRPr="00A841AA">
        <w:tab/>
      </w:r>
      <w:r w:rsidR="000A1AAE" w:rsidRPr="00A841AA">
        <w:t>2015: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Trans,</w:t>
      </w:r>
      <w:r w:rsidR="00D52FD0">
        <w:t xml:space="preserve"> </w:t>
      </w:r>
      <w:r w:rsidR="000A1AAE" w:rsidRPr="00A841AA">
        <w:t>Gender</w:t>
      </w:r>
      <w:r w:rsidR="00D52FD0">
        <w:t xml:space="preserve"> </w:t>
      </w:r>
      <w:r w:rsidR="000A1AAE" w:rsidRPr="00A841AA">
        <w:t>Variant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Intersex</w:t>
      </w:r>
      <w:r w:rsidR="00D52FD0">
        <w:t xml:space="preserve"> </w:t>
      </w:r>
      <w:r w:rsidR="000A1AAE" w:rsidRPr="00A841AA">
        <w:t>Students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Schools</w:t>
      </w:r>
      <w:r w:rsidR="00D52FD0">
        <w:t xml:space="preserve"> </w:t>
      </w:r>
      <w:r w:rsidR="000A1AAE" w:rsidRPr="00A841AA">
        <w:t>Policy</w:t>
      </w:r>
      <w:r w:rsidR="00D52FD0">
        <w:t xml:space="preserve"> </w:t>
      </w:r>
      <w:r w:rsidR="000A1AAE" w:rsidRPr="00A841AA">
        <w:t>which</w:t>
      </w:r>
      <w:r w:rsidR="00D52FD0">
        <w:t xml:space="preserve"> </w:t>
      </w:r>
      <w:r w:rsidR="000A1AAE" w:rsidRPr="00A841AA">
        <w:t>provides</w:t>
      </w:r>
      <w:r w:rsidR="00D52FD0">
        <w:t xml:space="preserve"> </w:t>
      </w:r>
      <w:r w:rsidR="000A1AAE" w:rsidRPr="00A841AA">
        <w:t>guidelines</w:t>
      </w:r>
      <w:r w:rsidR="00D52FD0">
        <w:t xml:space="preserve"> </w:t>
      </w:r>
      <w:r w:rsidR="000A1AAE" w:rsidRPr="00A841AA">
        <w:t>on</w:t>
      </w:r>
      <w:r w:rsidR="00D52FD0">
        <w:t xml:space="preserve"> </w:t>
      </w:r>
      <w:r w:rsidR="000A1AAE" w:rsidRPr="00A841AA">
        <w:t>how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implement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provisions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GIGESC</w:t>
      </w:r>
      <w:r w:rsidR="00D52FD0">
        <w:t xml:space="preserve"> </w:t>
      </w:r>
      <w:r w:rsidR="000A1AAE" w:rsidRPr="00A841AA">
        <w:t>Act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schools</w:t>
      </w:r>
      <w:r w:rsidR="00D52FD0">
        <w:t xml:space="preserve"> </w:t>
      </w:r>
      <w:r w:rsidR="000A1AAE" w:rsidRPr="00A841AA">
        <w:t>was</w:t>
      </w:r>
      <w:r w:rsidR="00D52FD0">
        <w:t xml:space="preserve"> </w:t>
      </w:r>
      <w:r w:rsidR="000A1AAE" w:rsidRPr="00A841AA">
        <w:t>launched.</w:t>
      </w:r>
    </w:p>
    <w:p w14:paraId="586556CE" w14:textId="4E324AD3" w:rsidR="000A1AAE" w:rsidRPr="00A841AA" w:rsidRDefault="0044637E" w:rsidP="0044637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841AA">
        <w:t>117.</w:t>
      </w:r>
      <w:r w:rsidRPr="00A841AA">
        <w:tab/>
      </w:r>
      <w:r w:rsidR="000A1AAE" w:rsidRPr="00A841AA">
        <w:t>2015:</w:t>
      </w:r>
      <w:r w:rsidR="00D52FD0">
        <w:t xml:space="preserve"> </w:t>
      </w:r>
      <w:r w:rsidR="000A1AAE" w:rsidRPr="00A841AA">
        <w:t>Adoption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LGBTIQ</w:t>
      </w:r>
      <w:r w:rsidR="00D52FD0">
        <w:t xml:space="preserve"> </w:t>
      </w:r>
      <w:r w:rsidR="000A1AAE" w:rsidRPr="00A841AA">
        <w:t>Action</w:t>
      </w:r>
      <w:r w:rsidR="00D52FD0">
        <w:t xml:space="preserve"> </w:t>
      </w:r>
      <w:r w:rsidR="000A1AAE" w:rsidRPr="00A841AA">
        <w:t>Plan</w:t>
      </w:r>
      <w:r w:rsidR="00D52FD0">
        <w:t xml:space="preserve"> </w:t>
      </w:r>
      <w:r w:rsidR="000A1AAE" w:rsidRPr="00A841AA">
        <w:t>2015</w:t>
      </w:r>
      <w:r w:rsidR="00F14DA3">
        <w:t>–</w:t>
      </w:r>
      <w:r w:rsidR="000A1AAE" w:rsidRPr="00A841AA">
        <w:t>2017</w:t>
      </w:r>
      <w:r w:rsidR="000A1AAE">
        <w:t>.</w:t>
      </w:r>
    </w:p>
    <w:p w14:paraId="42BFF1CE" w14:textId="209D50D2" w:rsidR="000A1AAE" w:rsidRPr="00A841AA" w:rsidRDefault="0044637E" w:rsidP="0044637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841AA">
        <w:t>118.</w:t>
      </w:r>
      <w:r w:rsidRPr="00A841AA">
        <w:tab/>
      </w:r>
      <w:r w:rsidR="000A1AAE" w:rsidRPr="00A841AA">
        <w:t>2016: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Affirmation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Sexual</w:t>
      </w:r>
      <w:r w:rsidR="00D52FD0">
        <w:t xml:space="preserve"> </w:t>
      </w:r>
      <w:r w:rsidR="000A1AAE" w:rsidRPr="00A841AA">
        <w:t>Orientation,</w:t>
      </w:r>
      <w:r w:rsidR="00D52FD0">
        <w:t xml:space="preserve"> </w:t>
      </w:r>
      <w:r w:rsidR="000A1AAE" w:rsidRPr="00A841AA">
        <w:t>Gender</w:t>
      </w:r>
      <w:r w:rsidR="00D52FD0">
        <w:t xml:space="preserve"> </w:t>
      </w:r>
      <w:r w:rsidR="000A1AAE" w:rsidRPr="00A841AA">
        <w:t>Identity,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Gender</w:t>
      </w:r>
      <w:r w:rsidR="00D52FD0">
        <w:t xml:space="preserve"> </w:t>
      </w:r>
      <w:r w:rsidR="000A1AAE" w:rsidRPr="00A841AA">
        <w:t>Expression</w:t>
      </w:r>
      <w:r w:rsidR="00D52FD0">
        <w:t xml:space="preserve"> </w:t>
      </w:r>
      <w:r w:rsidR="000A1AAE" w:rsidRPr="00A841AA">
        <w:t>Act</w:t>
      </w:r>
      <w:r w:rsidR="00D52FD0">
        <w:t xml:space="preserve"> </w:t>
      </w:r>
      <w:r w:rsidR="000A1AAE" w:rsidRPr="00A841AA">
        <w:t>was</w:t>
      </w:r>
      <w:r w:rsidR="00D52FD0">
        <w:t xml:space="preserve"> </w:t>
      </w:r>
      <w:r w:rsidR="000A1AAE" w:rsidRPr="00A841AA">
        <w:t>enacted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end</w:t>
      </w:r>
      <w:r w:rsidR="00D52FD0">
        <w:t xml:space="preserve"> </w:t>
      </w:r>
      <w:r w:rsidR="000A1AAE" w:rsidRPr="00A841AA">
        <w:t>harmful</w:t>
      </w:r>
      <w:r w:rsidR="00D52FD0">
        <w:t xml:space="preserve"> </w:t>
      </w:r>
      <w:r w:rsidR="000A1AAE" w:rsidRPr="00A841AA">
        <w:t>conversion</w:t>
      </w:r>
      <w:r w:rsidR="00D52FD0">
        <w:t xml:space="preserve"> </w:t>
      </w:r>
      <w:r w:rsidR="000A1AAE" w:rsidRPr="00A841AA">
        <w:t>practices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affirm</w:t>
      </w:r>
      <w:r w:rsidR="00D52FD0">
        <w:t xml:space="preserve"> </w:t>
      </w:r>
      <w:r w:rsidR="000A1AAE" w:rsidRPr="00A841AA">
        <w:t>that</w:t>
      </w:r>
      <w:r w:rsidR="00D52FD0">
        <w:t xml:space="preserve"> </w:t>
      </w:r>
      <w:r w:rsidR="000A1AAE" w:rsidRPr="00A841AA">
        <w:t>all</w:t>
      </w:r>
      <w:r w:rsidR="00D52FD0">
        <w:t xml:space="preserve"> </w:t>
      </w:r>
      <w:r w:rsidR="000A1AAE" w:rsidRPr="00A841AA">
        <w:t>sexualities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genders</w:t>
      </w:r>
      <w:r w:rsidR="00D52FD0">
        <w:t xml:space="preserve"> </w:t>
      </w:r>
      <w:r w:rsidR="000A1AAE" w:rsidRPr="00A841AA">
        <w:t>are</w:t>
      </w:r>
      <w:r w:rsidR="00D52FD0">
        <w:t xml:space="preserve"> </w:t>
      </w:r>
      <w:r w:rsidR="000A1AAE" w:rsidRPr="00A841AA">
        <w:t>equal</w:t>
      </w:r>
      <w:r w:rsidR="00D52FD0">
        <w:t xml:space="preserve"> </w:t>
      </w:r>
      <w:r w:rsidR="000A1AAE" w:rsidRPr="00A841AA">
        <w:t>before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law</w:t>
      </w:r>
      <w:r w:rsidR="00D52FD0">
        <w:t xml:space="preserve"> </w:t>
      </w:r>
      <w:r w:rsidR="000A1AAE" w:rsidRPr="00A841AA">
        <w:t>(Act</w:t>
      </w:r>
      <w:r w:rsidR="00D52FD0">
        <w:t xml:space="preserve"> </w:t>
      </w:r>
      <w:r w:rsidR="000A1AAE" w:rsidRPr="00A841AA">
        <w:t>LV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2016).</w:t>
      </w:r>
    </w:p>
    <w:p w14:paraId="58AC44ED" w14:textId="3E7B70A5" w:rsidR="000A1AAE" w:rsidRPr="00A841AA" w:rsidRDefault="0044637E" w:rsidP="0044637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841AA">
        <w:t>119.</w:t>
      </w:r>
      <w:r w:rsidRPr="00A841AA">
        <w:tab/>
      </w:r>
      <w:r w:rsidR="000A1AAE" w:rsidRPr="00A841AA">
        <w:t>2017: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Marriage</w:t>
      </w:r>
      <w:r w:rsidR="00D52FD0">
        <w:t xml:space="preserve"> </w:t>
      </w:r>
      <w:r w:rsidR="000A1AAE" w:rsidRPr="00A841AA">
        <w:t>Act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other</w:t>
      </w:r>
      <w:r w:rsidR="00D52FD0">
        <w:t xml:space="preserve"> </w:t>
      </w:r>
      <w:r w:rsidR="000A1AAE" w:rsidRPr="00A841AA">
        <w:t>Laws</w:t>
      </w:r>
      <w:r w:rsidR="00D52FD0">
        <w:t xml:space="preserve"> </w:t>
      </w:r>
      <w:r w:rsidR="000A1AAE" w:rsidRPr="00A841AA">
        <w:t>(Amendment)</w:t>
      </w:r>
      <w:r w:rsidR="00D52FD0">
        <w:t xml:space="preserve"> </w:t>
      </w:r>
      <w:r w:rsidR="000A1AAE" w:rsidRPr="00A841AA">
        <w:t>Act</w:t>
      </w:r>
      <w:r w:rsidR="00D52FD0">
        <w:t xml:space="preserve"> </w:t>
      </w:r>
      <w:r w:rsidR="000A1AAE" w:rsidRPr="00A841AA">
        <w:t>was</w:t>
      </w:r>
      <w:r w:rsidR="00D52FD0">
        <w:t xml:space="preserve"> </w:t>
      </w:r>
      <w:r w:rsidR="000A1AAE" w:rsidRPr="00A841AA">
        <w:t>introduced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order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remove</w:t>
      </w:r>
      <w:r w:rsidR="00D52FD0">
        <w:t xml:space="preserve"> </w:t>
      </w:r>
      <w:r w:rsidR="000A1AAE" w:rsidRPr="00A841AA">
        <w:t>all</w:t>
      </w:r>
      <w:r w:rsidR="00D52FD0">
        <w:t xml:space="preserve"> </w:t>
      </w:r>
      <w:r w:rsidR="000A1AAE" w:rsidRPr="00A841AA">
        <w:t>distinction</w:t>
      </w:r>
      <w:r w:rsidR="00D52FD0">
        <w:t xml:space="preserve"> </w:t>
      </w:r>
      <w:r w:rsidR="000A1AAE" w:rsidRPr="00A841AA">
        <w:t>between</w:t>
      </w:r>
      <w:r w:rsidR="00D52FD0">
        <w:t xml:space="preserve"> </w:t>
      </w:r>
      <w:r w:rsidR="000A1AAE" w:rsidRPr="00A841AA">
        <w:t>different-sex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same-sex</w:t>
      </w:r>
      <w:r w:rsidR="00D52FD0">
        <w:t xml:space="preserve"> </w:t>
      </w:r>
      <w:r w:rsidR="000A1AAE" w:rsidRPr="00A841AA">
        <w:t>couples</w:t>
      </w:r>
      <w:r w:rsidR="00D52FD0">
        <w:t xml:space="preserve"> </w:t>
      </w:r>
      <w:r w:rsidR="000A1AAE" w:rsidRPr="00A841AA">
        <w:t>before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law</w:t>
      </w:r>
      <w:r w:rsidR="00D52FD0">
        <w:t xml:space="preserve"> </w:t>
      </w:r>
      <w:r w:rsidR="000A1AAE" w:rsidRPr="00A841AA">
        <w:t>(Act</w:t>
      </w:r>
      <w:r w:rsidR="00D52FD0">
        <w:t xml:space="preserve"> </w:t>
      </w:r>
      <w:r w:rsidR="000A1AAE" w:rsidRPr="00A841AA">
        <w:t>XXIII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2017).</w:t>
      </w:r>
      <w:r w:rsidR="00D52FD0">
        <w:t xml:space="preserve"> </w:t>
      </w:r>
      <w:r w:rsidR="000A1AAE" w:rsidRPr="00A841AA">
        <w:t>A</w:t>
      </w:r>
      <w:r w:rsidR="00D52FD0">
        <w:t xml:space="preserve"> </w:t>
      </w:r>
      <w:r w:rsidR="000A1AAE" w:rsidRPr="00A841AA">
        <w:t>legal</w:t>
      </w:r>
      <w:r w:rsidR="00D52FD0">
        <w:t xml:space="preserve"> </w:t>
      </w:r>
      <w:r w:rsidR="000A1AAE" w:rsidRPr="00A841AA">
        <w:t>notice</w:t>
      </w:r>
      <w:r w:rsidR="00D52FD0">
        <w:t xml:space="preserve"> </w:t>
      </w:r>
      <w:r w:rsidR="000A1AAE" w:rsidRPr="00A841AA">
        <w:t>introduced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right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convert</w:t>
      </w:r>
      <w:r w:rsidR="00D52FD0">
        <w:t xml:space="preserve"> </w:t>
      </w:r>
      <w:r w:rsidR="000A1AAE" w:rsidRPr="00A841AA">
        <w:t>civil</w:t>
      </w:r>
      <w:r w:rsidR="00D52FD0">
        <w:t xml:space="preserve"> </w:t>
      </w:r>
      <w:r w:rsidR="000A1AAE" w:rsidRPr="00A841AA">
        <w:t>unions</w:t>
      </w:r>
      <w:r w:rsidR="00D52FD0">
        <w:t xml:space="preserve"> </w:t>
      </w:r>
      <w:r w:rsidR="000A1AAE" w:rsidRPr="00A841AA">
        <w:t>into</w:t>
      </w:r>
      <w:r w:rsidR="00D52FD0">
        <w:t xml:space="preserve"> </w:t>
      </w:r>
      <w:r w:rsidR="000A1AAE" w:rsidRPr="00A841AA">
        <w:t>marriages</w:t>
      </w:r>
      <w:r w:rsidR="00D52FD0">
        <w:t xml:space="preserve"> </w:t>
      </w:r>
      <w:r w:rsidR="000A1AAE" w:rsidRPr="00A841AA">
        <w:t>(LN</w:t>
      </w:r>
      <w:r w:rsidR="00D52FD0">
        <w:t xml:space="preserve"> </w:t>
      </w:r>
      <w:r w:rsidR="000A1AAE" w:rsidRPr="00A841AA">
        <w:t>382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2017).</w:t>
      </w:r>
    </w:p>
    <w:p w14:paraId="63DD10D0" w14:textId="72479065" w:rsidR="000A1AAE" w:rsidRPr="00A841AA" w:rsidRDefault="0044637E" w:rsidP="0044637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841AA">
        <w:t>120.</w:t>
      </w:r>
      <w:r w:rsidRPr="00A841AA">
        <w:tab/>
      </w:r>
      <w:r w:rsidR="000A1AAE" w:rsidRPr="00A841AA">
        <w:t>2017:</w:t>
      </w:r>
      <w:r w:rsidR="00D52FD0">
        <w:t xml:space="preserve"> </w:t>
      </w:r>
      <w:r w:rsidR="000A1AAE" w:rsidRPr="00A841AA">
        <w:t>A</w:t>
      </w:r>
      <w:r w:rsidR="00D52FD0">
        <w:t xml:space="preserve"> </w:t>
      </w:r>
      <w:r w:rsidR="000A1AAE" w:rsidRPr="00A841AA">
        <w:t>legal</w:t>
      </w:r>
      <w:r w:rsidR="00D52FD0">
        <w:t xml:space="preserve"> </w:t>
      </w:r>
      <w:r w:rsidR="000A1AAE" w:rsidRPr="00A841AA">
        <w:t>notice</w:t>
      </w:r>
      <w:r w:rsidR="00D52FD0">
        <w:t xml:space="preserve"> </w:t>
      </w:r>
      <w:r w:rsidR="000A1AAE" w:rsidRPr="00A841AA">
        <w:t>introduced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vitro</w:t>
      </w:r>
      <w:r w:rsidR="00D52FD0">
        <w:t xml:space="preserve"> </w:t>
      </w:r>
      <w:r w:rsidR="000A1AAE" w:rsidRPr="00A841AA">
        <w:t>fertilisation</w:t>
      </w:r>
      <w:r w:rsidR="00D52FD0">
        <w:t xml:space="preserve"> </w:t>
      </w:r>
      <w:r w:rsidR="000A1AAE" w:rsidRPr="00A841AA">
        <w:t>(IVF)</w:t>
      </w:r>
      <w:r w:rsidR="00D52FD0">
        <w:t xml:space="preserve"> </w:t>
      </w:r>
      <w:r w:rsidR="000A1AAE" w:rsidRPr="00A841AA">
        <w:t>leave</w:t>
      </w:r>
      <w:r w:rsidR="00D52FD0">
        <w:t xml:space="preserve"> </w:t>
      </w:r>
      <w:r w:rsidR="000A1AAE" w:rsidRPr="00A841AA">
        <w:t>for</w:t>
      </w:r>
      <w:r w:rsidR="00D52FD0">
        <w:t xml:space="preserve"> </w:t>
      </w:r>
      <w:r w:rsidR="000A1AAE" w:rsidRPr="00A841AA">
        <w:t>all</w:t>
      </w:r>
      <w:r w:rsidR="00D52FD0">
        <w:t xml:space="preserve"> </w:t>
      </w:r>
      <w:r w:rsidR="000A1AAE" w:rsidRPr="00A841AA">
        <w:t>couples</w:t>
      </w:r>
      <w:r w:rsidR="00D52FD0">
        <w:t xml:space="preserve"> </w:t>
      </w:r>
      <w:r w:rsidR="000A1AAE" w:rsidRPr="00A841AA">
        <w:t>regardless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their</w:t>
      </w:r>
      <w:r w:rsidR="00D52FD0">
        <w:t xml:space="preserve"> </w:t>
      </w:r>
      <w:r w:rsidR="000A1AAE" w:rsidRPr="00A841AA">
        <w:t>sexual</w:t>
      </w:r>
      <w:r w:rsidR="00D52FD0">
        <w:t xml:space="preserve"> </w:t>
      </w:r>
      <w:r w:rsidR="000A1AAE" w:rsidRPr="00A841AA">
        <w:t>orientation.</w:t>
      </w:r>
      <w:r w:rsidR="00D52FD0">
        <w:t xml:space="preserve"> </w:t>
      </w:r>
      <w:r w:rsidR="000A1AAE" w:rsidRPr="00A841AA">
        <w:t>This</w:t>
      </w:r>
      <w:r w:rsidR="00D52FD0">
        <w:t xml:space="preserve"> </w:t>
      </w:r>
      <w:r w:rsidR="000A1AAE" w:rsidRPr="00A841AA">
        <w:t>was</w:t>
      </w:r>
      <w:r w:rsidR="00D52FD0">
        <w:t xml:space="preserve"> </w:t>
      </w:r>
      <w:r w:rsidR="000A1AAE" w:rsidRPr="00A841AA">
        <w:t>further</w:t>
      </w:r>
      <w:r w:rsidR="00D52FD0">
        <w:t xml:space="preserve"> </w:t>
      </w:r>
      <w:r w:rsidR="000A1AAE" w:rsidRPr="00A841AA">
        <w:t>amended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2020</w:t>
      </w:r>
      <w:r w:rsidR="00D52FD0">
        <w:t xml:space="preserve"> </w:t>
      </w:r>
      <w:r w:rsidR="000A1AAE" w:rsidRPr="00A841AA">
        <w:t>L.N.</w:t>
      </w:r>
      <w:r w:rsidR="00D52FD0">
        <w:t xml:space="preserve"> </w:t>
      </w:r>
      <w:r w:rsidR="000A1AAE" w:rsidRPr="00A841AA">
        <w:t>156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2017</w:t>
      </w:r>
      <w:r w:rsidR="00D52FD0">
        <w:t xml:space="preserve"> </w:t>
      </w:r>
      <w:r w:rsidR="000A1AAE" w:rsidRPr="00A841AA">
        <w:t>as</w:t>
      </w:r>
      <w:r w:rsidR="00D52FD0">
        <w:t xml:space="preserve"> </w:t>
      </w:r>
      <w:r w:rsidR="000A1AAE" w:rsidRPr="00A841AA">
        <w:t>amended</w:t>
      </w:r>
      <w:r w:rsidR="00D52FD0">
        <w:t xml:space="preserve"> </w:t>
      </w:r>
      <w:r w:rsidR="000A1AAE" w:rsidRPr="00A841AA">
        <w:t>by</w:t>
      </w:r>
      <w:r w:rsidR="00D52FD0">
        <w:t xml:space="preserve"> </w:t>
      </w:r>
      <w:r w:rsidR="000A1AAE" w:rsidRPr="00A841AA">
        <w:t>Act</w:t>
      </w:r>
      <w:r w:rsidR="00D52FD0">
        <w:t xml:space="preserve"> </w:t>
      </w:r>
      <w:r w:rsidR="000A1AAE" w:rsidRPr="00A841AA">
        <w:t>XXIV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2018;</w:t>
      </w:r>
      <w:r w:rsidR="00D52FD0">
        <w:t xml:space="preserve"> </w:t>
      </w:r>
      <w:r w:rsidR="000A1AAE" w:rsidRPr="00A841AA">
        <w:t>L.N.</w:t>
      </w:r>
      <w:r w:rsidR="00D52FD0">
        <w:t xml:space="preserve"> </w:t>
      </w:r>
      <w:r w:rsidR="000A1AAE" w:rsidRPr="00A841AA">
        <w:t>263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2020).</w:t>
      </w:r>
    </w:p>
    <w:p w14:paraId="32DAD7CD" w14:textId="556A839A" w:rsidR="000A1AAE" w:rsidRPr="00A841AA" w:rsidRDefault="0044637E" w:rsidP="0044637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841AA">
        <w:t>121.</w:t>
      </w:r>
      <w:r w:rsidRPr="00A841AA">
        <w:tab/>
      </w:r>
      <w:r w:rsidR="000A1AAE" w:rsidRPr="00A841AA">
        <w:t>2017: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F14DA3">
        <w:t>‘</w:t>
      </w:r>
      <w:r w:rsidR="000A1AAE" w:rsidRPr="00A841AA">
        <w:t>X</w:t>
      </w:r>
      <w:r w:rsidR="00F14DA3">
        <w:t>’</w:t>
      </w:r>
      <w:r w:rsidR="00D52FD0">
        <w:t xml:space="preserve"> </w:t>
      </w:r>
      <w:r w:rsidR="000A1AAE" w:rsidRPr="00A841AA">
        <w:t>marker</w:t>
      </w:r>
      <w:r w:rsidR="00D52FD0">
        <w:t xml:space="preserve"> </w:t>
      </w:r>
      <w:r w:rsidR="000A1AAE" w:rsidRPr="00A841AA">
        <w:t>was</w:t>
      </w:r>
      <w:r w:rsidR="00D52FD0">
        <w:t xml:space="preserve"> </w:t>
      </w:r>
      <w:r w:rsidR="000A1AAE" w:rsidRPr="00A841AA">
        <w:t>introduced</w:t>
      </w:r>
      <w:r w:rsidR="00D52FD0">
        <w:t xml:space="preserve"> </w:t>
      </w:r>
      <w:r w:rsidR="000A1AAE" w:rsidRPr="00A841AA">
        <w:t>as</w:t>
      </w:r>
      <w:r w:rsidR="00D52FD0">
        <w:t xml:space="preserve"> </w:t>
      </w:r>
      <w:r w:rsidR="000A1AAE" w:rsidRPr="00A841AA">
        <w:t>an</w:t>
      </w:r>
      <w:r w:rsidR="00D52FD0">
        <w:t xml:space="preserve"> </w:t>
      </w:r>
      <w:r w:rsidR="000A1AAE" w:rsidRPr="00A841AA">
        <w:t>alternative</w:t>
      </w:r>
      <w:r w:rsidR="00D52FD0">
        <w:t xml:space="preserve"> </w:t>
      </w:r>
      <w:r w:rsidR="000A1AAE" w:rsidRPr="00A841AA">
        <w:t>option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F14DA3">
        <w:t>‘</w:t>
      </w:r>
      <w:r w:rsidR="000A1AAE" w:rsidRPr="00A841AA">
        <w:t>M</w:t>
      </w:r>
      <w:r w:rsidR="00F14DA3">
        <w:t>’</w:t>
      </w:r>
      <w:r w:rsidR="00D52FD0">
        <w:t xml:space="preserve"> </w:t>
      </w:r>
      <w:r w:rsidR="000A1AAE" w:rsidRPr="00A841AA">
        <w:t>or</w:t>
      </w:r>
      <w:r w:rsidR="00D52FD0">
        <w:t xml:space="preserve"> </w:t>
      </w:r>
      <w:r w:rsidR="00F14DA3">
        <w:t>‘</w:t>
      </w:r>
      <w:r w:rsidR="000A1AAE" w:rsidRPr="00A841AA">
        <w:t>F</w:t>
      </w:r>
      <w:r w:rsidR="00F14DA3">
        <w:t>’</w:t>
      </w:r>
      <w:r w:rsidR="00D52FD0">
        <w:t xml:space="preserve"> </w:t>
      </w:r>
      <w:r w:rsidR="000A1AAE" w:rsidRPr="00A841AA">
        <w:t>on</w:t>
      </w:r>
      <w:r w:rsidR="00D52FD0">
        <w:t xml:space="preserve"> </w:t>
      </w:r>
      <w:r w:rsidR="000A1AAE" w:rsidRPr="00A841AA">
        <w:t>identity</w:t>
      </w:r>
      <w:r w:rsidR="00D52FD0">
        <w:t xml:space="preserve"> </w:t>
      </w:r>
      <w:r w:rsidR="000A1AAE" w:rsidRPr="00A841AA">
        <w:t>cards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passports.</w:t>
      </w:r>
    </w:p>
    <w:p w14:paraId="10959DF4" w14:textId="67D44511" w:rsidR="000A1AAE" w:rsidRPr="00A841AA" w:rsidRDefault="0044637E" w:rsidP="0044637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841AA">
        <w:t>122.</w:t>
      </w:r>
      <w:r w:rsidRPr="00A841AA">
        <w:tab/>
      </w:r>
      <w:r w:rsidR="000A1AAE" w:rsidRPr="00A841AA">
        <w:t>2018:</w:t>
      </w:r>
      <w:r w:rsidR="00D52FD0">
        <w:t xml:space="preserve"> </w:t>
      </w:r>
      <w:r w:rsidR="000A1AAE" w:rsidRPr="00A841AA">
        <w:t>A</w:t>
      </w:r>
      <w:r w:rsidR="00D52FD0">
        <w:t xml:space="preserve"> </w:t>
      </w:r>
      <w:r w:rsidR="000A1AAE" w:rsidRPr="00A841AA">
        <w:t>legal</w:t>
      </w:r>
      <w:r w:rsidR="00D52FD0">
        <w:t xml:space="preserve"> </w:t>
      </w:r>
      <w:r w:rsidR="000A1AAE" w:rsidRPr="00A841AA">
        <w:t>notice</w:t>
      </w:r>
      <w:r w:rsidR="00D52FD0">
        <w:t xml:space="preserve"> </w:t>
      </w:r>
      <w:r w:rsidR="000A1AAE" w:rsidRPr="00A841AA">
        <w:t>introduced</w:t>
      </w:r>
      <w:r w:rsidR="00D52FD0">
        <w:t xml:space="preserve"> </w:t>
      </w:r>
      <w:r w:rsidR="00F14DA3">
        <w:t>‘</w:t>
      </w:r>
      <w:r w:rsidR="000A1AAE" w:rsidRPr="00A841AA">
        <w:t>gender</w:t>
      </w:r>
      <w:r w:rsidR="00D52FD0">
        <w:t xml:space="preserve"> </w:t>
      </w:r>
      <w:r w:rsidR="000A1AAE" w:rsidRPr="00A841AA">
        <w:t>identity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sex</w:t>
      </w:r>
      <w:r w:rsidR="00D52FD0">
        <w:t xml:space="preserve"> </w:t>
      </w:r>
      <w:r w:rsidR="000A1AAE" w:rsidRPr="00A841AA">
        <w:t>characteristics</w:t>
      </w:r>
      <w:r w:rsidR="00D52FD0">
        <w:t xml:space="preserve"> </w:t>
      </w:r>
      <w:r w:rsidR="000A1AAE" w:rsidRPr="00A841AA">
        <w:t>related</w:t>
      </w:r>
      <w:r w:rsidR="00D52FD0">
        <w:t xml:space="preserve"> </w:t>
      </w:r>
      <w:r w:rsidR="000A1AAE" w:rsidRPr="00A841AA">
        <w:t>conditions</w:t>
      </w:r>
      <w:r w:rsidR="00F14DA3">
        <w:t>’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entitlement</w:t>
      </w:r>
      <w:r w:rsidR="00D52FD0">
        <w:t xml:space="preserve"> </w:t>
      </w:r>
      <w:r w:rsidR="000A1AAE" w:rsidRPr="00A841AA">
        <w:t>schedule</w:t>
      </w:r>
      <w:r w:rsidR="00D52FD0">
        <w:t xml:space="preserve"> </w:t>
      </w:r>
      <w:r w:rsidR="000A1AAE" w:rsidRPr="00A841AA">
        <w:t>relative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National</w:t>
      </w:r>
      <w:r w:rsidR="00D52FD0">
        <w:t xml:space="preserve"> </w:t>
      </w:r>
      <w:r w:rsidR="000A1AAE" w:rsidRPr="00A841AA">
        <w:t>Health</w:t>
      </w:r>
      <w:r w:rsidR="00D52FD0">
        <w:t xml:space="preserve"> </w:t>
      </w:r>
      <w:r w:rsidR="000A1AAE" w:rsidRPr="00A841AA">
        <w:t>Service</w:t>
      </w:r>
      <w:r w:rsidR="00D52FD0">
        <w:t xml:space="preserve"> </w:t>
      </w:r>
      <w:r w:rsidR="000A1AAE" w:rsidRPr="00A841AA">
        <w:t>(NHS)</w:t>
      </w:r>
      <w:r w:rsidR="00D52FD0">
        <w:t xml:space="preserve"> </w:t>
      </w:r>
      <w:r w:rsidR="000A1AAE" w:rsidRPr="00A841AA">
        <w:t>(LN</w:t>
      </w:r>
      <w:r w:rsidR="00D52FD0">
        <w:t xml:space="preserve"> </w:t>
      </w:r>
      <w:r w:rsidR="000A1AAE" w:rsidRPr="00A841AA">
        <w:t>44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2018).</w:t>
      </w:r>
      <w:r w:rsidR="00D52FD0">
        <w:t xml:space="preserve"> </w:t>
      </w:r>
      <w:r w:rsidR="000A1AAE" w:rsidRPr="00A841AA">
        <w:t>A</w:t>
      </w:r>
      <w:r w:rsidR="00D52FD0">
        <w:t xml:space="preserve"> </w:t>
      </w:r>
      <w:r w:rsidR="000A1AAE" w:rsidRPr="00A841AA">
        <w:t>consultation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ensure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best</w:t>
      </w:r>
      <w:r w:rsidR="00D52FD0">
        <w:t xml:space="preserve"> </w:t>
      </w:r>
      <w:r w:rsidR="000A1AAE" w:rsidRPr="00A841AA">
        <w:t>healthcare</w:t>
      </w:r>
      <w:r w:rsidR="00D52FD0">
        <w:t xml:space="preserve"> </w:t>
      </w:r>
      <w:r w:rsidR="000A1AAE" w:rsidRPr="00A841AA">
        <w:t>services</w:t>
      </w:r>
      <w:r w:rsidR="00D52FD0">
        <w:t xml:space="preserve"> </w:t>
      </w:r>
      <w:r w:rsidR="000A1AAE" w:rsidRPr="00A841AA">
        <w:t>on</w:t>
      </w:r>
      <w:r w:rsidR="00D52FD0">
        <w:t xml:space="preserve"> </w:t>
      </w:r>
      <w:r w:rsidR="000A1AAE" w:rsidRPr="00A841AA">
        <w:t>these</w:t>
      </w:r>
      <w:r w:rsidR="00D52FD0">
        <w:t xml:space="preserve"> </w:t>
      </w:r>
      <w:r w:rsidR="000A1AAE" w:rsidRPr="00A841AA">
        <w:t>grounds</w:t>
      </w:r>
      <w:r w:rsidR="00D52FD0">
        <w:t xml:space="preserve"> </w:t>
      </w:r>
      <w:r w:rsidR="000A1AAE" w:rsidRPr="00A841AA">
        <w:t>was</w:t>
      </w:r>
      <w:r w:rsidR="00D52FD0">
        <w:t xml:space="preserve"> </w:t>
      </w:r>
      <w:r w:rsidR="000A1AAE" w:rsidRPr="00A841AA">
        <w:t>subsequently</w:t>
      </w:r>
      <w:r w:rsidR="00D52FD0">
        <w:t xml:space="preserve"> </w:t>
      </w:r>
      <w:r w:rsidR="000A1AAE" w:rsidRPr="00A841AA">
        <w:t>launched.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Gender</w:t>
      </w:r>
      <w:r w:rsidR="00D52FD0">
        <w:t xml:space="preserve"> </w:t>
      </w:r>
      <w:r w:rsidR="000A1AAE" w:rsidRPr="00A841AA">
        <w:t>Wellbeing</w:t>
      </w:r>
      <w:r w:rsidR="00D52FD0">
        <w:t xml:space="preserve"> </w:t>
      </w:r>
      <w:r w:rsidR="000A1AAE" w:rsidRPr="00A841AA">
        <w:t>Clinic</w:t>
      </w:r>
      <w:r w:rsidR="00D52FD0">
        <w:t xml:space="preserve"> </w:t>
      </w:r>
      <w:r w:rsidR="000A1AAE" w:rsidRPr="00A841AA">
        <w:t>started</w:t>
      </w:r>
      <w:r w:rsidR="00D52FD0">
        <w:t xml:space="preserve"> </w:t>
      </w:r>
      <w:r w:rsidR="000A1AAE" w:rsidRPr="00A841AA">
        <w:t>providing</w:t>
      </w:r>
      <w:r w:rsidR="00D52FD0">
        <w:t xml:space="preserve"> </w:t>
      </w:r>
      <w:r w:rsidR="000A1AAE" w:rsidRPr="00A841AA">
        <w:t>Trans</w:t>
      </w:r>
      <w:r w:rsidR="00D52FD0">
        <w:t xml:space="preserve"> </w:t>
      </w:r>
      <w:r w:rsidR="000A1AAE" w:rsidRPr="00A841AA">
        <w:t>Specific</w:t>
      </w:r>
      <w:r w:rsidR="00D52FD0">
        <w:t xml:space="preserve"> </w:t>
      </w:r>
      <w:r w:rsidR="000A1AAE" w:rsidRPr="00A841AA">
        <w:t>Healthcare</w:t>
      </w:r>
      <w:r w:rsidR="00D52FD0">
        <w:t xml:space="preserve"> </w:t>
      </w:r>
      <w:r w:rsidR="000A1AAE" w:rsidRPr="00A841AA">
        <w:t>Services</w:t>
      </w:r>
      <w:r w:rsidR="00D52FD0">
        <w:t xml:space="preserve"> </w:t>
      </w:r>
      <w:r w:rsidR="000A1AAE" w:rsidRPr="00A841AA">
        <w:t>as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November</w:t>
      </w:r>
      <w:r w:rsidR="00D52FD0">
        <w:t xml:space="preserve"> </w:t>
      </w:r>
      <w:r w:rsidR="000A1AAE" w:rsidRPr="00A841AA">
        <w:t>2018.</w:t>
      </w:r>
    </w:p>
    <w:p w14:paraId="56D9623F" w14:textId="3AC66317" w:rsidR="000A1AAE" w:rsidRPr="00A841AA" w:rsidRDefault="0044637E" w:rsidP="0044637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841AA">
        <w:t>123.</w:t>
      </w:r>
      <w:r w:rsidRPr="00A841AA">
        <w:tab/>
      </w:r>
      <w:r w:rsidR="000A1AAE" w:rsidRPr="00A841AA">
        <w:t>2018: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Embryo</w:t>
      </w:r>
      <w:r w:rsidR="00D52FD0">
        <w:t xml:space="preserve"> </w:t>
      </w:r>
      <w:r w:rsidR="000A1AAE" w:rsidRPr="00A841AA">
        <w:t>Protection</w:t>
      </w:r>
      <w:r w:rsidR="00D52FD0">
        <w:t xml:space="preserve"> </w:t>
      </w:r>
      <w:r w:rsidR="000A1AAE" w:rsidRPr="00A841AA">
        <w:t>Act</w:t>
      </w:r>
      <w:r w:rsidR="00D52FD0">
        <w:t xml:space="preserve"> </w:t>
      </w:r>
      <w:r w:rsidR="000A1AAE" w:rsidRPr="00A841AA">
        <w:t>was</w:t>
      </w:r>
      <w:r w:rsidR="00D52FD0">
        <w:t xml:space="preserve"> </w:t>
      </w:r>
      <w:r w:rsidR="000A1AAE" w:rsidRPr="00A841AA">
        <w:t>amended,</w:t>
      </w:r>
      <w:r w:rsidR="00D52FD0">
        <w:t xml:space="preserve"> </w:t>
      </w:r>
      <w:r w:rsidR="000A1AAE" w:rsidRPr="00A841AA">
        <w:t>redefining</w:t>
      </w:r>
      <w:r w:rsidR="00D52FD0">
        <w:t xml:space="preserve"> </w:t>
      </w:r>
      <w:r w:rsidR="00F14DA3">
        <w:t>‘</w:t>
      </w:r>
      <w:r w:rsidR="000A1AAE" w:rsidRPr="00A841AA">
        <w:t>prospective</w:t>
      </w:r>
      <w:r w:rsidR="00D52FD0">
        <w:t xml:space="preserve"> </w:t>
      </w:r>
      <w:r w:rsidR="000A1AAE" w:rsidRPr="00A841AA">
        <w:t>parent</w:t>
      </w:r>
      <w:r w:rsidR="00F14DA3">
        <w:t>’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removing</w:t>
      </w:r>
      <w:r w:rsidR="00D52FD0">
        <w:t xml:space="preserve"> </w:t>
      </w:r>
      <w:r w:rsidR="000A1AAE" w:rsidRPr="00A841AA">
        <w:t>any</w:t>
      </w:r>
      <w:r w:rsidR="00D52FD0">
        <w:t xml:space="preserve"> </w:t>
      </w:r>
      <w:r w:rsidR="000A1AAE" w:rsidRPr="00A841AA">
        <w:t>discriminatory</w:t>
      </w:r>
      <w:r w:rsidR="00D52FD0">
        <w:t xml:space="preserve"> </w:t>
      </w:r>
      <w:r w:rsidR="000A1AAE" w:rsidRPr="00A841AA">
        <w:t>exclusions</w:t>
      </w:r>
      <w:r w:rsidR="00D52FD0">
        <w:t xml:space="preserve"> </w:t>
      </w:r>
      <w:r w:rsidR="000A1AAE" w:rsidRPr="00A841AA">
        <w:t>on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basis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SOGIGESC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catering</w:t>
      </w:r>
      <w:r w:rsidR="00D52FD0">
        <w:t xml:space="preserve"> </w:t>
      </w:r>
      <w:r w:rsidR="000A1AAE" w:rsidRPr="00A841AA">
        <w:t>for</w:t>
      </w:r>
      <w:r w:rsidR="00D52FD0">
        <w:t xml:space="preserve"> </w:t>
      </w:r>
      <w:r w:rsidR="000A1AAE" w:rsidRPr="00A841AA">
        <w:t>third-party</w:t>
      </w:r>
      <w:r w:rsidR="00D52FD0">
        <w:t xml:space="preserve"> </w:t>
      </w:r>
      <w:r w:rsidR="000A1AAE" w:rsidRPr="00A841AA">
        <w:t>donations</w:t>
      </w:r>
      <w:r w:rsidR="00D52FD0">
        <w:t xml:space="preserve"> </w:t>
      </w:r>
      <w:r w:rsidR="000A1AAE" w:rsidRPr="00A841AA">
        <w:t>(Act</w:t>
      </w:r>
      <w:r w:rsidR="00D52FD0">
        <w:t xml:space="preserve"> </w:t>
      </w:r>
      <w:r w:rsidR="000A1AAE" w:rsidRPr="00A841AA">
        <w:t>XXIV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2018).</w:t>
      </w:r>
    </w:p>
    <w:p w14:paraId="6C9AE519" w14:textId="5140B757" w:rsidR="000A1AAE" w:rsidRPr="00A841AA" w:rsidRDefault="0044637E" w:rsidP="0044637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841AA">
        <w:t>124.</w:t>
      </w:r>
      <w:r w:rsidRPr="00A841AA">
        <w:tab/>
      </w:r>
      <w:r w:rsidR="000A1AAE" w:rsidRPr="00A841AA">
        <w:t>2018: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National</w:t>
      </w:r>
      <w:r w:rsidR="00D52FD0">
        <w:t xml:space="preserve"> </w:t>
      </w:r>
      <w:r w:rsidR="000A1AAE" w:rsidRPr="00A841AA">
        <w:t>Police</w:t>
      </w:r>
      <w:r w:rsidR="00D52FD0">
        <w:t xml:space="preserve"> </w:t>
      </w:r>
      <w:r w:rsidR="000A1AAE" w:rsidRPr="00A841AA">
        <w:t>System</w:t>
      </w:r>
      <w:r w:rsidR="00D52FD0">
        <w:t xml:space="preserve"> </w:t>
      </w:r>
      <w:r w:rsidR="000A1AAE" w:rsidRPr="00A841AA">
        <w:t>was</w:t>
      </w:r>
      <w:r w:rsidR="00D52FD0">
        <w:t xml:space="preserve"> </w:t>
      </w:r>
      <w:r w:rsidR="000A1AAE" w:rsidRPr="00A841AA">
        <w:t>amended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facilitate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capture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reporting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hate</w:t>
      </w:r>
      <w:r w:rsidR="00D52FD0">
        <w:t xml:space="preserve"> </w:t>
      </w:r>
      <w:r w:rsidR="000A1AAE" w:rsidRPr="00A841AA">
        <w:t>crime</w:t>
      </w:r>
      <w:r w:rsidR="00D52FD0">
        <w:t xml:space="preserve"> </w:t>
      </w:r>
      <w:r w:rsidR="000A1AAE" w:rsidRPr="00A841AA">
        <w:t>when</w:t>
      </w:r>
      <w:r w:rsidR="00D52FD0">
        <w:t xml:space="preserve"> </w:t>
      </w:r>
      <w:r w:rsidR="000A1AAE" w:rsidRPr="00A841AA">
        <w:t>such</w:t>
      </w:r>
      <w:r w:rsidR="00D52FD0">
        <w:t xml:space="preserve"> </w:t>
      </w:r>
      <w:r w:rsidR="000A1AAE" w:rsidRPr="00A841AA">
        <w:t>incidents</w:t>
      </w:r>
      <w:r w:rsidR="00D52FD0">
        <w:t xml:space="preserve"> </w:t>
      </w:r>
      <w:r w:rsidR="000A1AAE" w:rsidRPr="00A841AA">
        <w:t>are</w:t>
      </w:r>
      <w:r w:rsidR="00D52FD0">
        <w:t xml:space="preserve"> </w:t>
      </w:r>
      <w:r w:rsidR="000A1AAE" w:rsidRPr="00A841AA">
        <w:t>reported.</w:t>
      </w:r>
      <w:r w:rsidR="00D52FD0">
        <w:t xml:space="preserve"> </w:t>
      </w:r>
      <w:r w:rsidR="000A1AAE" w:rsidRPr="00A841AA">
        <w:t>A</w:t>
      </w:r>
      <w:r w:rsidR="00D52FD0">
        <w:t xml:space="preserve"> </w:t>
      </w:r>
      <w:r w:rsidR="000A1AAE" w:rsidRPr="00A841AA">
        <w:t>number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police</w:t>
      </w:r>
      <w:r w:rsidR="00D52FD0">
        <w:t xml:space="preserve"> </w:t>
      </w:r>
      <w:r w:rsidR="000A1AAE" w:rsidRPr="00A841AA">
        <w:t>officers</w:t>
      </w:r>
      <w:r w:rsidR="00D52FD0">
        <w:t xml:space="preserve"> </w:t>
      </w:r>
      <w:r w:rsidR="000A1AAE" w:rsidRPr="00A841AA">
        <w:t>also</w:t>
      </w:r>
      <w:r w:rsidR="00D52FD0">
        <w:t xml:space="preserve"> </w:t>
      </w:r>
      <w:r w:rsidR="000A1AAE" w:rsidRPr="00A841AA">
        <w:t>underwent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Training</w:t>
      </w:r>
      <w:r w:rsidR="00D52FD0">
        <w:t xml:space="preserve"> </w:t>
      </w:r>
      <w:r w:rsidR="000A1AAE" w:rsidRPr="00A841AA">
        <w:t>against</w:t>
      </w:r>
      <w:r w:rsidR="00D52FD0">
        <w:t xml:space="preserve"> </w:t>
      </w:r>
      <w:r w:rsidR="000A1AAE" w:rsidRPr="00A841AA">
        <w:t>Hate</w:t>
      </w:r>
      <w:r w:rsidR="00D52FD0">
        <w:t xml:space="preserve"> </w:t>
      </w:r>
      <w:r w:rsidR="000A1AAE" w:rsidRPr="00A841AA">
        <w:t>Crimes</w:t>
      </w:r>
      <w:r w:rsidR="00D52FD0">
        <w:t xml:space="preserve"> </w:t>
      </w:r>
      <w:r w:rsidR="000A1AAE" w:rsidRPr="00A841AA">
        <w:t>for</w:t>
      </w:r>
      <w:r w:rsidR="00D52FD0">
        <w:t xml:space="preserve"> </w:t>
      </w:r>
      <w:r w:rsidR="000A1AAE" w:rsidRPr="00A841AA">
        <w:t>Law</w:t>
      </w:r>
      <w:r w:rsidR="00D52FD0">
        <w:t xml:space="preserve"> </w:t>
      </w:r>
      <w:r w:rsidR="000A1AAE" w:rsidRPr="00A841AA">
        <w:t>Enforcement</w:t>
      </w:r>
      <w:r w:rsidR="00D52FD0">
        <w:t xml:space="preserve"> </w:t>
      </w:r>
      <w:r w:rsidR="000A1AAE" w:rsidRPr="00A841AA">
        <w:t>(TAHCLE)</w:t>
      </w:r>
      <w:r w:rsidR="00D52FD0">
        <w:t xml:space="preserve"> </w:t>
      </w:r>
      <w:r w:rsidR="000A1AAE" w:rsidRPr="00A841AA">
        <w:t>Train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Trainers</w:t>
      </w:r>
      <w:r w:rsidR="00D52FD0">
        <w:t xml:space="preserve"> </w:t>
      </w:r>
      <w:r w:rsidR="000A1AAE" w:rsidRPr="00A841AA">
        <w:t>Programme</w:t>
      </w:r>
      <w:r w:rsidR="00D52FD0">
        <w:t xml:space="preserve"> </w:t>
      </w:r>
      <w:r w:rsidR="000A1AAE" w:rsidRPr="00A841AA">
        <w:t>organised</w:t>
      </w:r>
      <w:r w:rsidR="00D52FD0">
        <w:t xml:space="preserve"> </w:t>
      </w:r>
      <w:r w:rsidR="000A1AAE" w:rsidRPr="00A841AA">
        <w:t>by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office</w:t>
      </w:r>
      <w:r w:rsidR="00D52FD0">
        <w:t xml:space="preserve"> </w:t>
      </w:r>
      <w:r w:rsidR="000A1AAE" w:rsidRPr="00A841AA">
        <w:t>for</w:t>
      </w:r>
      <w:r w:rsidR="00D52FD0">
        <w:t xml:space="preserve"> </w:t>
      </w:r>
      <w:r w:rsidR="000A1AAE" w:rsidRPr="00A841AA">
        <w:t>Democratic</w:t>
      </w:r>
      <w:r w:rsidR="00D52FD0">
        <w:t xml:space="preserve"> </w:t>
      </w:r>
      <w:r w:rsidR="000A1AAE" w:rsidRPr="00A841AA">
        <w:t>Institutions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Human</w:t>
      </w:r>
      <w:r w:rsidR="00D52FD0">
        <w:t xml:space="preserve"> </w:t>
      </w:r>
      <w:r w:rsidR="000A1AAE" w:rsidRPr="00A841AA">
        <w:t>Rights</w:t>
      </w:r>
      <w:r w:rsidR="00D52FD0">
        <w:t xml:space="preserve"> </w:t>
      </w:r>
      <w:r w:rsidR="000A1AAE" w:rsidRPr="00A841AA">
        <w:t>(ODIHR)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Organization</w:t>
      </w:r>
      <w:r w:rsidR="00D52FD0">
        <w:t xml:space="preserve"> </w:t>
      </w:r>
      <w:r w:rsidR="000A1AAE" w:rsidRPr="00A841AA">
        <w:t>for</w:t>
      </w:r>
      <w:r w:rsidR="00D52FD0">
        <w:t xml:space="preserve"> </w:t>
      </w:r>
      <w:r w:rsidR="000A1AAE" w:rsidRPr="00A841AA">
        <w:t>Security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Cooperation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Europe</w:t>
      </w:r>
      <w:r w:rsidR="00D52FD0">
        <w:t xml:space="preserve"> </w:t>
      </w:r>
      <w:r w:rsidR="000A1AAE" w:rsidRPr="00A841AA">
        <w:t>(OSCE)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have</w:t>
      </w:r>
      <w:r w:rsidR="00D52FD0">
        <w:t xml:space="preserve"> </w:t>
      </w:r>
      <w:r w:rsidR="000A1AAE" w:rsidRPr="00A841AA">
        <w:t>since</w:t>
      </w:r>
      <w:r w:rsidR="00D52FD0">
        <w:t xml:space="preserve"> </w:t>
      </w:r>
      <w:r w:rsidR="000A1AAE" w:rsidRPr="00A841AA">
        <w:t>then</w:t>
      </w:r>
      <w:r w:rsidR="00D52FD0">
        <w:t xml:space="preserve"> </w:t>
      </w:r>
      <w:r w:rsidR="000A1AAE" w:rsidRPr="00A841AA">
        <w:t>trained</w:t>
      </w:r>
      <w:r w:rsidR="00D52FD0">
        <w:t xml:space="preserve"> </w:t>
      </w:r>
      <w:r w:rsidR="000A1AAE" w:rsidRPr="00A841AA">
        <w:t>over</w:t>
      </w:r>
      <w:r w:rsidR="00D52FD0">
        <w:t xml:space="preserve"> </w:t>
      </w:r>
      <w:r w:rsidR="000A1AAE" w:rsidRPr="00A841AA">
        <w:t>800</w:t>
      </w:r>
      <w:r w:rsidR="00D52FD0">
        <w:t xml:space="preserve"> </w:t>
      </w:r>
      <w:r w:rsidR="000A1AAE" w:rsidRPr="00A841AA">
        <w:t>police</w:t>
      </w:r>
      <w:r w:rsidR="00D52FD0">
        <w:t xml:space="preserve"> </w:t>
      </w:r>
      <w:r w:rsidR="000A1AAE" w:rsidRPr="00A841AA">
        <w:t>recruits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officers.</w:t>
      </w:r>
    </w:p>
    <w:p w14:paraId="0D53E499" w14:textId="505E6B21" w:rsidR="000A1AAE" w:rsidRPr="00A841AA" w:rsidRDefault="0044637E" w:rsidP="0044637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841AA">
        <w:t>125.</w:t>
      </w:r>
      <w:r w:rsidRPr="00A841AA">
        <w:tab/>
      </w:r>
      <w:r w:rsidR="000A1AAE" w:rsidRPr="00A841AA">
        <w:t>2018:</w:t>
      </w:r>
      <w:r w:rsidR="00D52FD0">
        <w:t xml:space="preserve"> </w:t>
      </w:r>
      <w:r w:rsidR="000A1AAE" w:rsidRPr="00A841AA">
        <w:t>Adoption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LGBTIQ</w:t>
      </w:r>
      <w:r w:rsidR="00D52FD0">
        <w:t xml:space="preserve"> </w:t>
      </w:r>
      <w:r w:rsidR="000A1AAE" w:rsidRPr="00A841AA">
        <w:t>Equality</w:t>
      </w:r>
      <w:r w:rsidR="00D52FD0">
        <w:t xml:space="preserve"> </w:t>
      </w:r>
      <w:r w:rsidR="000A1AAE" w:rsidRPr="00A841AA">
        <w:t>Strategy</w:t>
      </w:r>
      <w:r w:rsidR="00D52FD0">
        <w:t xml:space="preserve"> </w:t>
      </w:r>
      <w:r w:rsidR="000A1AAE" w:rsidRPr="00A841AA">
        <w:t>&amp;</w:t>
      </w:r>
      <w:r w:rsidR="00D52FD0">
        <w:t xml:space="preserve"> </w:t>
      </w:r>
      <w:r w:rsidR="000A1AAE" w:rsidRPr="00A841AA">
        <w:t>Action</w:t>
      </w:r>
      <w:r w:rsidR="00D52FD0">
        <w:t xml:space="preserve"> </w:t>
      </w:r>
      <w:r w:rsidR="000A1AAE" w:rsidRPr="00A841AA">
        <w:t>Plan</w:t>
      </w:r>
      <w:r w:rsidR="00D52FD0">
        <w:t xml:space="preserve"> </w:t>
      </w:r>
      <w:r w:rsidR="000A1AAE" w:rsidRPr="00A841AA">
        <w:t>2018</w:t>
      </w:r>
      <w:r w:rsidR="00F14DA3">
        <w:t>–</w:t>
      </w:r>
      <w:r w:rsidR="000A1AAE" w:rsidRPr="00A841AA">
        <w:t>2022.</w:t>
      </w:r>
    </w:p>
    <w:p w14:paraId="66758670" w14:textId="0ABEAF79" w:rsidR="000A1AAE" w:rsidRPr="00A841AA" w:rsidRDefault="0044637E" w:rsidP="0044637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841AA">
        <w:t>126.</w:t>
      </w:r>
      <w:r w:rsidRPr="00A841AA">
        <w:tab/>
      </w:r>
      <w:r w:rsidR="000A1AAE" w:rsidRPr="00A841AA">
        <w:t>2018:</w:t>
      </w:r>
      <w:r w:rsidR="00D52FD0">
        <w:t xml:space="preserve"> </w:t>
      </w:r>
      <w:r w:rsidR="000A1AAE" w:rsidRPr="00A841AA">
        <w:t>Setting</w:t>
      </w:r>
      <w:r w:rsidR="00D52FD0">
        <w:t xml:space="preserve"> </w:t>
      </w:r>
      <w:r w:rsidR="000A1AAE" w:rsidRPr="00A841AA">
        <w:t>up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Sexual</w:t>
      </w:r>
      <w:r w:rsidR="00D52FD0">
        <w:t xml:space="preserve"> </w:t>
      </w:r>
      <w:r w:rsidR="000A1AAE" w:rsidRPr="00A841AA">
        <w:t>Orientation,</w:t>
      </w:r>
      <w:r w:rsidR="00D52FD0">
        <w:t xml:space="preserve"> </w:t>
      </w:r>
      <w:r w:rsidR="000A1AAE" w:rsidRPr="00A841AA">
        <w:t>Gender</w:t>
      </w:r>
      <w:r w:rsidR="00D52FD0">
        <w:t xml:space="preserve"> </w:t>
      </w:r>
      <w:r w:rsidR="000A1AAE" w:rsidRPr="00A841AA">
        <w:t>Identity,</w:t>
      </w:r>
      <w:r w:rsidR="00D52FD0">
        <w:t xml:space="preserve"> </w:t>
      </w:r>
      <w:r w:rsidR="000A1AAE" w:rsidRPr="00A841AA">
        <w:t>Gender</w:t>
      </w:r>
      <w:r w:rsidR="00D52FD0">
        <w:t xml:space="preserve"> </w:t>
      </w:r>
      <w:r w:rsidR="000A1AAE" w:rsidRPr="00A841AA">
        <w:t>Expression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Sex</w:t>
      </w:r>
      <w:r w:rsidR="00D52FD0">
        <w:t xml:space="preserve"> </w:t>
      </w:r>
      <w:r w:rsidR="000A1AAE" w:rsidRPr="00A841AA">
        <w:t>Characteristics</w:t>
      </w:r>
      <w:r w:rsidR="00D52FD0">
        <w:t xml:space="preserve"> </w:t>
      </w:r>
      <w:r w:rsidR="000A1AAE" w:rsidRPr="00A841AA">
        <w:t>(SOGIGESC)</w:t>
      </w:r>
      <w:r w:rsidR="00D52FD0">
        <w:t xml:space="preserve"> </w:t>
      </w:r>
      <w:r w:rsidR="000A1AAE" w:rsidRPr="00A841AA">
        <w:t>Unit</w:t>
      </w:r>
      <w:r w:rsidR="00D52FD0">
        <w:t xml:space="preserve"> </w:t>
      </w:r>
      <w:r w:rsidR="000A1AAE" w:rsidRPr="00A841AA">
        <w:t>within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Human</w:t>
      </w:r>
      <w:r w:rsidR="00D52FD0">
        <w:t xml:space="preserve"> </w:t>
      </w:r>
      <w:r w:rsidR="000A1AAE" w:rsidRPr="00A841AA">
        <w:t>Rights</w:t>
      </w:r>
      <w:r w:rsidR="00D52FD0">
        <w:t xml:space="preserve"> </w:t>
      </w:r>
      <w:r w:rsidR="000A1AAE" w:rsidRPr="00A841AA">
        <w:t>Directorate</w:t>
      </w:r>
      <w:r w:rsidR="00D52FD0">
        <w:t xml:space="preserve"> </w:t>
      </w:r>
      <w:r w:rsidR="000A1AAE" w:rsidRPr="00A841AA">
        <w:t>responsible</w:t>
      </w:r>
      <w:r w:rsidR="00D52FD0">
        <w:t xml:space="preserve"> </w:t>
      </w:r>
      <w:r w:rsidR="000A1AAE" w:rsidRPr="00A841AA">
        <w:t>for</w:t>
      </w:r>
      <w:r w:rsidR="00D52FD0">
        <w:t xml:space="preserve"> </w:t>
      </w:r>
      <w:r w:rsidR="000A1AAE" w:rsidRPr="00A841AA">
        <w:t>monitoring</w:t>
      </w:r>
      <w:r w:rsidR="00D52FD0">
        <w:t xml:space="preserve"> </w:t>
      </w:r>
      <w:r w:rsidR="000A1AAE" w:rsidRPr="00A841AA">
        <w:t>implementation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LGBTIQ</w:t>
      </w:r>
      <w:r w:rsidR="00D52FD0">
        <w:t xml:space="preserve"> </w:t>
      </w:r>
      <w:r w:rsidR="000A1AAE" w:rsidRPr="00A841AA">
        <w:t>Equality</w:t>
      </w:r>
      <w:r w:rsidR="00D52FD0">
        <w:t xml:space="preserve"> </w:t>
      </w:r>
      <w:r w:rsidR="000A1AAE" w:rsidRPr="00A841AA">
        <w:t>Strategy</w:t>
      </w:r>
      <w:r w:rsidR="00D52FD0">
        <w:t xml:space="preserve"> </w:t>
      </w:r>
      <w:r w:rsidR="000A1AAE" w:rsidRPr="00A841AA">
        <w:t>&amp;</w:t>
      </w:r>
      <w:r w:rsidR="00D52FD0">
        <w:t xml:space="preserve"> </w:t>
      </w:r>
      <w:r w:rsidR="000A1AAE" w:rsidRPr="00A841AA">
        <w:t>Action</w:t>
      </w:r>
      <w:r w:rsidR="00D52FD0">
        <w:t xml:space="preserve"> </w:t>
      </w:r>
      <w:r w:rsidR="000A1AAE" w:rsidRPr="00A841AA">
        <w:t>Plan</w:t>
      </w:r>
      <w:r w:rsidR="00D52FD0">
        <w:t xml:space="preserve"> </w:t>
      </w:r>
      <w:r w:rsidR="000A1AAE" w:rsidRPr="00A841AA">
        <w:t>2018</w:t>
      </w:r>
      <w:r w:rsidR="00F14DA3">
        <w:t>–</w:t>
      </w:r>
      <w:r w:rsidR="000A1AAE" w:rsidRPr="00A841AA">
        <w:t>2022.</w:t>
      </w:r>
      <w:r w:rsidR="00D52FD0">
        <w:t xml:space="preserve"> </w:t>
      </w:r>
      <w:r w:rsidR="000A1AAE" w:rsidRPr="00A841AA">
        <w:t>An</w:t>
      </w:r>
      <w:r w:rsidR="00D52FD0">
        <w:t xml:space="preserve"> </w:t>
      </w:r>
      <w:r w:rsidR="000A1AAE" w:rsidRPr="00A841AA">
        <w:lastRenderedPageBreak/>
        <w:t>annual</w:t>
      </w:r>
      <w:r w:rsidR="00D52FD0">
        <w:t xml:space="preserve"> </w:t>
      </w:r>
      <w:r w:rsidR="000A1AAE" w:rsidRPr="00A841AA">
        <w:t>report</w:t>
      </w:r>
      <w:r w:rsidR="00D52FD0">
        <w:t xml:space="preserve"> </w:t>
      </w:r>
      <w:r w:rsidR="000A1AAE" w:rsidRPr="00A841AA">
        <w:t>is</w:t>
      </w:r>
      <w:r w:rsidR="00D52FD0">
        <w:t xml:space="preserve"> </w:t>
      </w:r>
      <w:r w:rsidR="000A1AAE" w:rsidRPr="00A841AA">
        <w:t>published</w:t>
      </w:r>
      <w:r w:rsidR="00D52FD0">
        <w:t xml:space="preserve"> </w:t>
      </w:r>
      <w:r w:rsidR="000A1AAE" w:rsidRPr="00A841AA">
        <w:t>each</w:t>
      </w:r>
      <w:r w:rsidR="00D52FD0">
        <w:t xml:space="preserve"> </w:t>
      </w:r>
      <w:r w:rsidR="000A1AAE" w:rsidRPr="00A841AA">
        <w:t>year</w:t>
      </w:r>
      <w:r w:rsidR="00D52FD0">
        <w:t xml:space="preserve"> </w:t>
      </w:r>
      <w:r w:rsidR="000A1AAE" w:rsidRPr="00A841AA">
        <w:t>during</w:t>
      </w:r>
      <w:r w:rsidR="00D52FD0">
        <w:t xml:space="preserve"> </w:t>
      </w:r>
      <w:r w:rsidR="000A1AAE" w:rsidRPr="00A841AA">
        <w:t>a</w:t>
      </w:r>
      <w:r w:rsidR="00D52FD0">
        <w:t xml:space="preserve"> </w:t>
      </w:r>
      <w:r w:rsidR="000A1AAE" w:rsidRPr="00A841AA">
        <w:t>public</w:t>
      </w:r>
      <w:r w:rsidR="00D52FD0">
        <w:t xml:space="preserve"> </w:t>
      </w:r>
      <w:r w:rsidR="000A1AAE" w:rsidRPr="00A841AA">
        <w:t>conference</w:t>
      </w:r>
      <w:r w:rsidR="00D52FD0">
        <w:t xml:space="preserve"> </w:t>
      </w:r>
      <w:r w:rsidR="000A1AAE" w:rsidRPr="00A841AA">
        <w:t>reporting</w:t>
      </w:r>
      <w:r w:rsidR="00D52FD0">
        <w:t xml:space="preserve"> </w:t>
      </w:r>
      <w:r w:rsidR="000A1AAE" w:rsidRPr="00A841AA">
        <w:t>on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progress</w:t>
      </w:r>
      <w:r w:rsidR="00D52FD0">
        <w:t xml:space="preserve"> </w:t>
      </w:r>
      <w:r w:rsidR="000A1AAE" w:rsidRPr="00A841AA">
        <w:t>made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work</w:t>
      </w:r>
      <w:r w:rsidR="00D52FD0">
        <w:t xml:space="preserve"> </w:t>
      </w:r>
      <w:r w:rsidR="000A1AAE" w:rsidRPr="00A841AA">
        <w:t>conducted</w:t>
      </w:r>
      <w:r w:rsidR="00D52FD0">
        <w:t xml:space="preserve"> </w:t>
      </w:r>
      <w:r w:rsidR="000A1AAE" w:rsidRPr="00A841AA">
        <w:t>by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SOGIGESC</w:t>
      </w:r>
      <w:r w:rsidR="00D52FD0">
        <w:t xml:space="preserve"> </w:t>
      </w:r>
      <w:r w:rsidR="000A1AAE" w:rsidRPr="00A841AA">
        <w:t>Unit.</w:t>
      </w:r>
    </w:p>
    <w:p w14:paraId="45B3741E" w14:textId="4ADFE771" w:rsidR="000A1AAE" w:rsidRPr="00A841AA" w:rsidRDefault="0044637E" w:rsidP="0044637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841AA">
        <w:t>127.</w:t>
      </w:r>
      <w:r w:rsidRPr="00A841AA">
        <w:tab/>
      </w:r>
      <w:r w:rsidR="000A1AAE" w:rsidRPr="00A841AA">
        <w:t>2020: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Civil</w:t>
      </w:r>
      <w:r w:rsidR="00D52FD0">
        <w:t xml:space="preserve"> </w:t>
      </w:r>
      <w:r w:rsidR="000A1AAE" w:rsidRPr="00A841AA">
        <w:t>Code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Various</w:t>
      </w:r>
      <w:r w:rsidR="00D52FD0">
        <w:t xml:space="preserve"> </w:t>
      </w:r>
      <w:r w:rsidR="000A1AAE" w:rsidRPr="00A841AA">
        <w:t>Other</w:t>
      </w:r>
      <w:r w:rsidR="00D52FD0">
        <w:t xml:space="preserve"> </w:t>
      </w:r>
      <w:r w:rsidR="000A1AAE" w:rsidRPr="00A841AA">
        <w:t>Laws</w:t>
      </w:r>
      <w:r w:rsidR="00D52FD0">
        <w:t xml:space="preserve"> </w:t>
      </w:r>
      <w:r w:rsidR="000A1AAE" w:rsidRPr="00A841AA">
        <w:t>(Amendment)</w:t>
      </w:r>
      <w:r w:rsidR="00D52FD0">
        <w:t xml:space="preserve"> </w:t>
      </w:r>
      <w:r w:rsidR="000A1AAE" w:rsidRPr="00A841AA">
        <w:t>Act</w:t>
      </w:r>
      <w:r w:rsidR="00D52FD0">
        <w:t xml:space="preserve"> </w:t>
      </w:r>
      <w:r w:rsidR="000A1AAE" w:rsidRPr="00A841AA">
        <w:t>introduced</w:t>
      </w:r>
      <w:r w:rsidR="00D52FD0">
        <w:t xml:space="preserve"> </w:t>
      </w:r>
      <w:r w:rsidR="000A1AAE" w:rsidRPr="00A841AA">
        <w:t>various</w:t>
      </w:r>
      <w:r w:rsidR="00D52FD0">
        <w:t xml:space="preserve"> </w:t>
      </w:r>
      <w:r w:rsidR="000A1AAE" w:rsidRPr="00A841AA">
        <w:t>provisions</w:t>
      </w:r>
      <w:r w:rsidR="00D52FD0">
        <w:t xml:space="preserve"> </w:t>
      </w:r>
      <w:r w:rsidR="000A1AAE" w:rsidRPr="00A841AA">
        <w:t>including</w:t>
      </w:r>
      <w:r w:rsidR="00D52FD0">
        <w:t xml:space="preserve"> </w:t>
      </w:r>
      <w:r w:rsidR="000A1AAE" w:rsidRPr="00A841AA">
        <w:t>(Act</w:t>
      </w:r>
      <w:r w:rsidR="00D52FD0">
        <w:t xml:space="preserve"> </w:t>
      </w:r>
      <w:r w:rsidR="000A1AAE" w:rsidRPr="00A841AA">
        <w:t>LXV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2020):</w:t>
      </w:r>
    </w:p>
    <w:p w14:paraId="107A7F4A" w14:textId="3845050F" w:rsidR="000A1AAE" w:rsidRPr="00825CCA" w:rsidRDefault="0044637E" w:rsidP="0044637E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825CCA">
        <w:t>•</w:t>
      </w:r>
      <w:r w:rsidRPr="00825CCA">
        <w:tab/>
      </w:r>
      <w:r w:rsidR="000A1AAE" w:rsidRPr="00825CCA">
        <w:t>To</w:t>
      </w:r>
      <w:r w:rsidR="00D52FD0">
        <w:t xml:space="preserve"> </w:t>
      </w:r>
      <w:r w:rsidR="000A1AAE" w:rsidRPr="00825CCA">
        <w:t>use</w:t>
      </w:r>
      <w:r w:rsidR="00D52FD0">
        <w:t xml:space="preserve"> </w:t>
      </w:r>
      <w:r w:rsidR="000A1AAE" w:rsidRPr="00825CCA">
        <w:t>as</w:t>
      </w:r>
      <w:r w:rsidR="00D52FD0">
        <w:t xml:space="preserve"> </w:t>
      </w:r>
      <w:r w:rsidR="000A1AAE" w:rsidRPr="00825CCA">
        <w:t>far</w:t>
      </w:r>
      <w:r w:rsidR="00D52FD0">
        <w:t xml:space="preserve"> </w:t>
      </w:r>
      <w:r w:rsidR="000A1AAE" w:rsidRPr="00825CCA">
        <w:t>as</w:t>
      </w:r>
      <w:r w:rsidR="00D52FD0">
        <w:t xml:space="preserve"> </w:t>
      </w:r>
      <w:r w:rsidR="000A1AAE" w:rsidRPr="00825CCA">
        <w:t>possible</w:t>
      </w:r>
      <w:r w:rsidR="00D52FD0">
        <w:t xml:space="preserve"> </w:t>
      </w:r>
      <w:r w:rsidR="000A1AAE" w:rsidRPr="00825CCA">
        <w:t>gender</w:t>
      </w:r>
      <w:r w:rsidR="00D52FD0">
        <w:t xml:space="preserve"> </w:t>
      </w:r>
      <w:r w:rsidR="000A1AAE" w:rsidRPr="00825CCA">
        <w:t>inclusive</w:t>
      </w:r>
      <w:r w:rsidR="00D52FD0">
        <w:t xml:space="preserve"> </w:t>
      </w:r>
      <w:r w:rsidR="000A1AAE" w:rsidRPr="00825CCA">
        <w:t>terminology;</w:t>
      </w:r>
    </w:p>
    <w:p w14:paraId="2CB3A247" w14:textId="58EA86DF" w:rsidR="000E4FD0" w:rsidRDefault="0044637E" w:rsidP="0044637E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>
        <w:t>•</w:t>
      </w:r>
      <w:r>
        <w:tab/>
      </w:r>
      <w:r w:rsidR="000A1AAE" w:rsidRPr="00825CCA">
        <w:t>To</w:t>
      </w:r>
      <w:r w:rsidR="00D52FD0">
        <w:t xml:space="preserve"> </w:t>
      </w:r>
      <w:r w:rsidR="000A1AAE" w:rsidRPr="00825CCA">
        <w:t>allow</w:t>
      </w:r>
      <w:r w:rsidR="00D52FD0">
        <w:t xml:space="preserve"> </w:t>
      </w:r>
      <w:r w:rsidR="000A1AAE" w:rsidRPr="00825CCA">
        <w:t>the</w:t>
      </w:r>
      <w:r w:rsidR="00D52FD0">
        <w:t xml:space="preserve"> </w:t>
      </w:r>
      <w:r w:rsidR="000A1AAE" w:rsidRPr="00825CCA">
        <w:t>change</w:t>
      </w:r>
      <w:r w:rsidR="00D52FD0">
        <w:t xml:space="preserve"> </w:t>
      </w:r>
      <w:r w:rsidR="000A1AAE" w:rsidRPr="00825CCA">
        <w:t>of</w:t>
      </w:r>
      <w:r w:rsidR="00D52FD0">
        <w:t xml:space="preserve"> </w:t>
      </w:r>
      <w:r w:rsidR="000A1AAE" w:rsidRPr="00825CCA">
        <w:t>the</w:t>
      </w:r>
      <w:r w:rsidR="00D52FD0">
        <w:t xml:space="preserve"> </w:t>
      </w:r>
      <w:r w:rsidR="000A1AAE" w:rsidRPr="00825CCA">
        <w:t>registered</w:t>
      </w:r>
      <w:r w:rsidR="00D52FD0">
        <w:t xml:space="preserve"> </w:t>
      </w:r>
      <w:r w:rsidR="000A1AAE" w:rsidRPr="00825CCA">
        <w:t>sex</w:t>
      </w:r>
      <w:r w:rsidR="00D52FD0">
        <w:t xml:space="preserve"> </w:t>
      </w:r>
      <w:r w:rsidR="000A1AAE" w:rsidRPr="00825CCA">
        <w:t>to</w:t>
      </w:r>
      <w:r w:rsidR="00D52FD0">
        <w:t xml:space="preserve"> </w:t>
      </w:r>
      <w:r w:rsidR="000A1AAE" w:rsidRPr="00825CCA">
        <w:t>reflect</w:t>
      </w:r>
      <w:r w:rsidR="00D52FD0">
        <w:t xml:space="preserve"> </w:t>
      </w:r>
      <w:r w:rsidR="000A1AAE" w:rsidRPr="00825CCA">
        <w:t>the</w:t>
      </w:r>
      <w:r w:rsidR="00D52FD0">
        <w:t xml:space="preserve"> </w:t>
      </w:r>
      <w:r w:rsidR="000A1AAE" w:rsidRPr="00825CCA">
        <w:t>gender</w:t>
      </w:r>
      <w:r w:rsidR="00D52FD0">
        <w:t xml:space="preserve"> </w:t>
      </w:r>
      <w:r w:rsidR="000A1AAE" w:rsidRPr="00825CCA">
        <w:t>identity</w:t>
      </w:r>
      <w:r w:rsidR="00D52FD0">
        <w:t xml:space="preserve"> </w:t>
      </w:r>
      <w:r w:rsidR="000A1AAE" w:rsidRPr="00825CCA">
        <w:t>of</w:t>
      </w:r>
      <w:r w:rsidR="00D52FD0">
        <w:t xml:space="preserve"> </w:t>
      </w:r>
      <w:r w:rsidR="000A1AAE" w:rsidRPr="00825CCA">
        <w:t>individuals</w:t>
      </w:r>
      <w:r w:rsidR="00D52FD0">
        <w:t xml:space="preserve"> </w:t>
      </w:r>
      <w:r w:rsidR="000A1AAE" w:rsidRPr="00825CCA">
        <w:t>as</w:t>
      </w:r>
      <w:r w:rsidR="00D52FD0">
        <w:t xml:space="preserve"> </w:t>
      </w:r>
      <w:r w:rsidR="000A1AAE" w:rsidRPr="00825CCA">
        <w:t>provided</w:t>
      </w:r>
      <w:r w:rsidR="00D52FD0">
        <w:t xml:space="preserve"> </w:t>
      </w:r>
      <w:r w:rsidR="000A1AAE" w:rsidRPr="00825CCA">
        <w:t>for</w:t>
      </w:r>
      <w:r w:rsidR="00D52FD0">
        <w:t xml:space="preserve"> </w:t>
      </w:r>
      <w:r w:rsidR="000A1AAE" w:rsidRPr="00825CCA">
        <w:t>in</w:t>
      </w:r>
      <w:r w:rsidR="00D52FD0">
        <w:t xml:space="preserve"> </w:t>
      </w:r>
      <w:r w:rsidR="000A1AAE" w:rsidRPr="00825CCA">
        <w:t>the</w:t>
      </w:r>
      <w:r w:rsidR="00D52FD0">
        <w:t xml:space="preserve"> </w:t>
      </w:r>
      <w:r w:rsidR="00F14DA3">
        <w:t>‘</w:t>
      </w:r>
      <w:r w:rsidR="000A1AAE" w:rsidRPr="00825CCA">
        <w:t>Gender</w:t>
      </w:r>
      <w:r w:rsidR="00D52FD0">
        <w:t xml:space="preserve"> </w:t>
      </w:r>
      <w:r w:rsidR="000A1AAE" w:rsidRPr="00825CCA">
        <w:t>Identity,</w:t>
      </w:r>
      <w:r w:rsidR="00D52FD0">
        <w:t xml:space="preserve"> </w:t>
      </w:r>
      <w:r w:rsidR="000A1AAE" w:rsidRPr="00825CCA">
        <w:t>Gender</w:t>
      </w:r>
      <w:r w:rsidR="00D52FD0">
        <w:t xml:space="preserve"> </w:t>
      </w:r>
      <w:r w:rsidR="000A1AAE" w:rsidRPr="00825CCA">
        <w:t>Expression</w:t>
      </w:r>
      <w:r w:rsidR="00D52FD0">
        <w:t xml:space="preserve"> </w:t>
      </w:r>
      <w:r w:rsidR="000A1AAE" w:rsidRPr="00825CCA">
        <w:t>and</w:t>
      </w:r>
      <w:r w:rsidR="00D52FD0">
        <w:t xml:space="preserve"> </w:t>
      </w:r>
      <w:r w:rsidR="000A1AAE" w:rsidRPr="00825CCA">
        <w:t>Sex</w:t>
      </w:r>
      <w:r w:rsidR="00D52FD0">
        <w:t xml:space="preserve"> </w:t>
      </w:r>
      <w:r w:rsidR="000A1AAE" w:rsidRPr="00825CCA">
        <w:t>Characteristics</w:t>
      </w:r>
      <w:r w:rsidR="00D52FD0">
        <w:t xml:space="preserve"> </w:t>
      </w:r>
      <w:r w:rsidR="000A1AAE" w:rsidRPr="00825CCA">
        <w:t>Act</w:t>
      </w:r>
      <w:r w:rsidR="00F14DA3">
        <w:t>’</w:t>
      </w:r>
      <w:r w:rsidR="00D52FD0">
        <w:t xml:space="preserve"> </w:t>
      </w:r>
      <w:r w:rsidR="000A1AAE" w:rsidRPr="00825CCA">
        <w:t>–</w:t>
      </w:r>
      <w:r w:rsidR="00D52FD0">
        <w:t xml:space="preserve"> </w:t>
      </w:r>
      <w:r w:rsidR="000A1AAE" w:rsidRPr="00825CCA">
        <w:t>Cap.</w:t>
      </w:r>
      <w:r w:rsidR="00D52FD0">
        <w:t xml:space="preserve"> </w:t>
      </w:r>
      <w:r w:rsidR="000A1AAE" w:rsidRPr="00825CCA">
        <w:t>540</w:t>
      </w:r>
      <w:r w:rsidR="00D52FD0">
        <w:t xml:space="preserve"> </w:t>
      </w:r>
      <w:r w:rsidR="000A1AAE" w:rsidRPr="00825CCA">
        <w:t>of</w:t>
      </w:r>
      <w:r w:rsidR="00D52FD0">
        <w:t xml:space="preserve"> </w:t>
      </w:r>
      <w:r w:rsidR="000A1AAE" w:rsidRPr="00825CCA">
        <w:t>the</w:t>
      </w:r>
      <w:r w:rsidR="00D52FD0">
        <w:t xml:space="preserve"> </w:t>
      </w:r>
      <w:r w:rsidR="000A1AAE" w:rsidRPr="00825CCA">
        <w:t>Laws</w:t>
      </w:r>
      <w:r w:rsidR="00D52FD0">
        <w:t xml:space="preserve"> </w:t>
      </w:r>
      <w:r w:rsidR="000A1AAE" w:rsidRPr="00825CCA">
        <w:t>of</w:t>
      </w:r>
      <w:r w:rsidR="00D52FD0">
        <w:t xml:space="preserve"> </w:t>
      </w:r>
      <w:r w:rsidR="000A1AAE" w:rsidRPr="00825CCA">
        <w:t>Malta;</w:t>
      </w:r>
    </w:p>
    <w:p w14:paraId="1B75168E" w14:textId="1939C941" w:rsidR="000A1AAE" w:rsidRPr="00825CCA" w:rsidRDefault="0044637E" w:rsidP="0044637E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825CCA">
        <w:t>•</w:t>
      </w:r>
      <w:r w:rsidRPr="00825CCA">
        <w:tab/>
      </w:r>
      <w:r w:rsidR="000A1AAE" w:rsidRPr="00825CCA">
        <w:t>To</w:t>
      </w:r>
      <w:r w:rsidR="00D52FD0">
        <w:t xml:space="preserve"> </w:t>
      </w:r>
      <w:r w:rsidR="000A1AAE" w:rsidRPr="00825CCA">
        <w:t>ensure</w:t>
      </w:r>
      <w:r w:rsidR="00D52FD0">
        <w:t xml:space="preserve"> </w:t>
      </w:r>
      <w:r w:rsidR="000A1AAE" w:rsidRPr="00825CCA">
        <w:t>that</w:t>
      </w:r>
      <w:r w:rsidR="00D52FD0">
        <w:t xml:space="preserve"> </w:t>
      </w:r>
      <w:r w:rsidR="000A1AAE" w:rsidRPr="00825CCA">
        <w:t>what</w:t>
      </w:r>
      <w:r w:rsidR="00D52FD0">
        <w:t xml:space="preserve"> </w:t>
      </w:r>
      <w:r w:rsidR="000A1AAE" w:rsidRPr="00825CCA">
        <w:t>applies</w:t>
      </w:r>
      <w:r w:rsidR="00D52FD0">
        <w:t xml:space="preserve"> </w:t>
      </w:r>
      <w:r w:rsidR="000A1AAE" w:rsidRPr="00825CCA">
        <w:t>to</w:t>
      </w:r>
      <w:r w:rsidR="00D52FD0">
        <w:t xml:space="preserve"> </w:t>
      </w:r>
      <w:r w:rsidR="000A1AAE" w:rsidRPr="00825CCA">
        <w:t>a</w:t>
      </w:r>
      <w:r w:rsidR="00D52FD0">
        <w:t xml:space="preserve"> </w:t>
      </w:r>
      <w:r w:rsidR="000A1AAE" w:rsidRPr="00825CCA">
        <w:t>civil</w:t>
      </w:r>
      <w:r w:rsidR="00D52FD0">
        <w:t xml:space="preserve"> </w:t>
      </w:r>
      <w:r w:rsidR="000A1AAE" w:rsidRPr="00825CCA">
        <w:t>marriage,</w:t>
      </w:r>
      <w:r w:rsidR="00D52FD0">
        <w:t xml:space="preserve"> </w:t>
      </w:r>
      <w:r w:rsidR="000A1AAE" w:rsidRPr="00825CCA">
        <w:t>applies</w:t>
      </w:r>
      <w:r w:rsidR="00D52FD0">
        <w:t xml:space="preserve"> </w:t>
      </w:r>
      <w:r w:rsidR="000A1AAE" w:rsidRPr="00825CCA">
        <w:t>equally</w:t>
      </w:r>
      <w:r w:rsidR="00D52FD0">
        <w:t xml:space="preserve"> </w:t>
      </w:r>
      <w:r w:rsidR="000A1AAE" w:rsidRPr="00825CCA">
        <w:t>to</w:t>
      </w:r>
      <w:r w:rsidR="00D52FD0">
        <w:t xml:space="preserve"> </w:t>
      </w:r>
      <w:r w:rsidR="000A1AAE" w:rsidRPr="00825CCA">
        <w:t>a</w:t>
      </w:r>
      <w:r w:rsidR="00D52FD0">
        <w:t xml:space="preserve"> </w:t>
      </w:r>
      <w:r w:rsidR="000A1AAE" w:rsidRPr="00825CCA">
        <w:t>civil</w:t>
      </w:r>
      <w:r w:rsidR="00D52FD0">
        <w:t xml:space="preserve"> </w:t>
      </w:r>
      <w:r w:rsidR="000A1AAE" w:rsidRPr="00825CCA">
        <w:t>union</w:t>
      </w:r>
      <w:r w:rsidR="000A1AAE">
        <w:t>.</w:t>
      </w:r>
    </w:p>
    <w:p w14:paraId="75EEFA2F" w14:textId="7932497A" w:rsidR="000A1AAE" w:rsidRPr="00A841AA" w:rsidRDefault="0044637E" w:rsidP="0044637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841AA">
        <w:t>128.</w:t>
      </w:r>
      <w:r w:rsidRPr="00A841AA">
        <w:tab/>
      </w:r>
      <w:r w:rsidR="000A1AAE" w:rsidRPr="00A841AA">
        <w:t>2020: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Procedural</w:t>
      </w:r>
      <w:r w:rsidR="00D52FD0">
        <w:t xml:space="preserve"> </w:t>
      </w:r>
      <w:r w:rsidR="000A1AAE" w:rsidRPr="00A841AA">
        <w:t>Standards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Examining</w:t>
      </w:r>
      <w:r w:rsidR="00D52FD0">
        <w:t xml:space="preserve"> </w:t>
      </w:r>
      <w:r w:rsidR="000A1AAE" w:rsidRPr="00A841AA">
        <w:t>Applications</w:t>
      </w:r>
      <w:r w:rsidR="00D52FD0">
        <w:t xml:space="preserve"> </w:t>
      </w:r>
      <w:r w:rsidR="000A1AAE" w:rsidRPr="00A841AA">
        <w:t>for</w:t>
      </w:r>
      <w:r w:rsidR="00D52FD0">
        <w:t xml:space="preserve"> </w:t>
      </w:r>
      <w:r w:rsidR="000A1AAE" w:rsidRPr="00A841AA">
        <w:t>Refugee</w:t>
      </w:r>
      <w:r w:rsidR="00D52FD0">
        <w:t xml:space="preserve"> </w:t>
      </w:r>
      <w:r w:rsidR="000A1AAE" w:rsidRPr="00A841AA">
        <w:t>Status</w:t>
      </w:r>
      <w:r w:rsidR="00D52FD0">
        <w:t xml:space="preserve"> </w:t>
      </w:r>
      <w:r w:rsidR="000A1AAE" w:rsidRPr="00A841AA">
        <w:t>Regulations</w:t>
      </w:r>
      <w:r w:rsidR="00D52FD0">
        <w:t xml:space="preserve"> </w:t>
      </w:r>
      <w:r w:rsidR="000A1AAE" w:rsidRPr="00A841AA">
        <w:t>were</w:t>
      </w:r>
      <w:r w:rsidR="00D52FD0">
        <w:t xml:space="preserve"> </w:t>
      </w:r>
      <w:r w:rsidR="000A1AAE" w:rsidRPr="00A841AA">
        <w:t>amended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also</w:t>
      </w:r>
      <w:r w:rsidR="00D52FD0">
        <w:t xml:space="preserve"> </w:t>
      </w:r>
      <w:r w:rsidR="000A1AAE" w:rsidRPr="00A841AA">
        <w:t>include</w:t>
      </w:r>
      <w:r w:rsidR="00D52FD0">
        <w:t xml:space="preserve"> </w:t>
      </w:r>
      <w:r w:rsidR="000A1AAE" w:rsidRPr="00A841AA">
        <w:t>consideration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gender</w:t>
      </w:r>
      <w:r w:rsidR="00D52FD0">
        <w:t xml:space="preserve"> </w:t>
      </w:r>
      <w:r w:rsidR="000A1AAE" w:rsidRPr="00A841AA">
        <w:t>identity,</w:t>
      </w:r>
      <w:r w:rsidR="00D52FD0">
        <w:t xml:space="preserve"> </w:t>
      </w:r>
      <w:r w:rsidR="000A1AAE" w:rsidRPr="00A841AA">
        <w:t>gender</w:t>
      </w:r>
      <w:r w:rsidR="00D52FD0">
        <w:t xml:space="preserve"> </w:t>
      </w:r>
      <w:r w:rsidR="000A1AAE" w:rsidRPr="00A841AA">
        <w:t>expression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sex</w:t>
      </w:r>
      <w:r w:rsidR="00D52FD0">
        <w:t xml:space="preserve"> </w:t>
      </w:r>
      <w:r w:rsidR="000A1AAE" w:rsidRPr="00A841AA">
        <w:t>characteristics</w:t>
      </w:r>
      <w:r w:rsidR="00D52FD0">
        <w:t xml:space="preserve"> </w:t>
      </w:r>
      <w:r w:rsidR="000A1AAE" w:rsidRPr="00A841AA">
        <w:t>(LN</w:t>
      </w:r>
      <w:r w:rsidR="00D52FD0">
        <w:t xml:space="preserve"> </w:t>
      </w:r>
      <w:r w:rsidR="000A1AAE" w:rsidRPr="00A841AA">
        <w:t>416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2015,</w:t>
      </w:r>
      <w:r w:rsidR="00D52FD0">
        <w:t xml:space="preserve"> </w:t>
      </w:r>
      <w:r w:rsidR="000A1AAE" w:rsidRPr="00A841AA">
        <w:t>as</w:t>
      </w:r>
      <w:r w:rsidR="00D52FD0">
        <w:t xml:space="preserve"> </w:t>
      </w:r>
      <w:r w:rsidR="000A1AAE" w:rsidRPr="00A841AA">
        <w:t>amended</w:t>
      </w:r>
      <w:r w:rsidR="00D52FD0">
        <w:t xml:space="preserve"> </w:t>
      </w:r>
      <w:r w:rsidR="000A1AAE" w:rsidRPr="00A841AA">
        <w:t>by</w:t>
      </w:r>
      <w:r w:rsidR="00D52FD0">
        <w:t xml:space="preserve"> </w:t>
      </w:r>
      <w:r w:rsidR="000A1AAE" w:rsidRPr="00A841AA">
        <w:t>Act</w:t>
      </w:r>
      <w:r w:rsidR="00D52FD0">
        <w:t xml:space="preserve"> </w:t>
      </w:r>
      <w:r w:rsidR="000A1AAE" w:rsidRPr="00A841AA">
        <w:t>XL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2020).</w:t>
      </w:r>
    </w:p>
    <w:p w14:paraId="6C00CA8B" w14:textId="5ADD5C7F" w:rsidR="000A1AAE" w:rsidRPr="00A841AA" w:rsidRDefault="0044637E" w:rsidP="0044637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841AA">
        <w:t>129.</w:t>
      </w:r>
      <w:r w:rsidRPr="00A841AA">
        <w:tab/>
      </w:r>
      <w:r w:rsidR="000A1AAE" w:rsidRPr="00A841AA">
        <w:t>Also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2020,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International</w:t>
      </w:r>
      <w:r w:rsidR="00D52FD0">
        <w:t xml:space="preserve"> </w:t>
      </w:r>
      <w:r w:rsidR="000A1AAE" w:rsidRPr="00A841AA">
        <w:t>Protection</w:t>
      </w:r>
      <w:r w:rsidR="00D52FD0">
        <w:t xml:space="preserve"> </w:t>
      </w:r>
      <w:r w:rsidR="000A1AAE" w:rsidRPr="00A841AA">
        <w:t>Agency</w:t>
      </w:r>
      <w:r w:rsidR="00D52FD0">
        <w:t xml:space="preserve"> </w:t>
      </w:r>
      <w:r w:rsidR="000A1AAE" w:rsidRPr="00A841AA">
        <w:t>(set</w:t>
      </w:r>
      <w:r w:rsidR="00D52FD0">
        <w:t xml:space="preserve"> </w:t>
      </w:r>
      <w:r w:rsidR="000A1AAE" w:rsidRPr="00A841AA">
        <w:t>up</w:t>
      </w:r>
      <w:r w:rsidR="00D52FD0">
        <w:t xml:space="preserve"> </w:t>
      </w:r>
      <w:r w:rsidR="000A1AAE" w:rsidRPr="00A841AA">
        <w:t>that</w:t>
      </w:r>
      <w:r w:rsidR="00D52FD0">
        <w:t xml:space="preserve"> </w:t>
      </w:r>
      <w:r w:rsidR="000A1AAE" w:rsidRPr="00A841AA">
        <w:t>same</w:t>
      </w:r>
      <w:r w:rsidR="00D52FD0">
        <w:t xml:space="preserve"> </w:t>
      </w:r>
      <w:r w:rsidR="000A1AAE" w:rsidRPr="00A841AA">
        <w:t>year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improve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examination</w:t>
      </w:r>
      <w:r w:rsidR="00D52FD0">
        <w:t xml:space="preserve"> </w:t>
      </w:r>
      <w:r w:rsidR="000A1AAE" w:rsidRPr="00A841AA">
        <w:t>process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applications</w:t>
      </w:r>
      <w:r w:rsidR="00D52FD0">
        <w:t xml:space="preserve"> </w:t>
      </w:r>
      <w:r w:rsidR="000A1AAE" w:rsidRPr="00A841AA">
        <w:t>for</w:t>
      </w:r>
      <w:r w:rsidR="00D52FD0">
        <w:t xml:space="preserve"> </w:t>
      </w:r>
      <w:r w:rsidR="000A1AAE" w:rsidRPr="00A841AA">
        <w:t>international</w:t>
      </w:r>
      <w:r w:rsidR="00D52FD0">
        <w:t xml:space="preserve"> </w:t>
      </w:r>
      <w:r w:rsidR="000A1AAE" w:rsidRPr="00A841AA">
        <w:t>protection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accordance</w:t>
      </w:r>
      <w:r w:rsidR="00D52FD0">
        <w:t xml:space="preserve"> </w:t>
      </w:r>
      <w:r w:rsidR="000A1AAE" w:rsidRPr="00A841AA">
        <w:t>with</w:t>
      </w:r>
      <w:r w:rsidR="00D52FD0">
        <w:t xml:space="preserve"> </w:t>
      </w:r>
      <w:r w:rsidR="000A1AAE" w:rsidRPr="00A841AA">
        <w:t>Maltese</w:t>
      </w:r>
      <w:r w:rsidR="00D52FD0">
        <w:t xml:space="preserve"> </w:t>
      </w:r>
      <w:r w:rsidR="000A1AAE" w:rsidRPr="00A841AA">
        <w:t>law)</w:t>
      </w:r>
      <w:r w:rsidR="00D52FD0">
        <w:t xml:space="preserve"> </w:t>
      </w:r>
      <w:r w:rsidR="000A1AAE" w:rsidRPr="00A841AA">
        <w:t>adopted</w:t>
      </w:r>
      <w:r w:rsidR="00D52FD0">
        <w:t xml:space="preserve"> </w:t>
      </w:r>
      <w:r w:rsidR="000A1AAE" w:rsidRPr="00A841AA">
        <w:t>internal</w:t>
      </w:r>
      <w:r w:rsidR="00D52FD0">
        <w:t xml:space="preserve"> </w:t>
      </w:r>
      <w:r w:rsidR="000A1AAE" w:rsidRPr="00A841AA">
        <w:t>guidelines</w:t>
      </w:r>
      <w:r w:rsidR="00D52FD0">
        <w:t xml:space="preserve"> </w:t>
      </w:r>
      <w:r w:rsidR="000A1AAE" w:rsidRPr="00A841AA">
        <w:t>for</w:t>
      </w:r>
      <w:r w:rsidR="00D52FD0">
        <w:t xml:space="preserve"> </w:t>
      </w:r>
      <w:r w:rsidR="000A1AAE" w:rsidRPr="00A841AA">
        <w:t>Case</w:t>
      </w:r>
      <w:r w:rsidR="00D52FD0">
        <w:t xml:space="preserve"> </w:t>
      </w:r>
      <w:r w:rsidR="000A1AAE" w:rsidRPr="00A841AA">
        <w:t>Officers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processing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Sexual</w:t>
      </w:r>
      <w:r w:rsidR="00D52FD0">
        <w:t xml:space="preserve"> </w:t>
      </w:r>
      <w:r w:rsidR="000A1AAE" w:rsidRPr="00A841AA">
        <w:t>Orientation,</w:t>
      </w:r>
      <w:r w:rsidR="00D52FD0">
        <w:t xml:space="preserve"> </w:t>
      </w:r>
      <w:r w:rsidR="000A1AAE" w:rsidRPr="00A841AA">
        <w:t>Gender</w:t>
      </w:r>
      <w:r w:rsidR="00D52FD0">
        <w:t xml:space="preserve"> </w:t>
      </w:r>
      <w:r w:rsidR="000A1AAE" w:rsidRPr="00A841AA">
        <w:t>Identity,</w:t>
      </w:r>
      <w:r w:rsidR="00D52FD0">
        <w:t xml:space="preserve"> </w:t>
      </w:r>
      <w:r w:rsidR="000A1AAE" w:rsidRPr="00A841AA">
        <w:t>Gender</w:t>
      </w:r>
      <w:r w:rsidR="00D52FD0">
        <w:t xml:space="preserve"> </w:t>
      </w:r>
      <w:r w:rsidR="000A1AAE" w:rsidRPr="00A841AA">
        <w:t>Expression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Sex</w:t>
      </w:r>
      <w:r w:rsidR="00D52FD0">
        <w:t xml:space="preserve"> </w:t>
      </w:r>
      <w:r w:rsidR="000A1AAE" w:rsidRPr="00A841AA">
        <w:t>Characteristics</w:t>
      </w:r>
      <w:r w:rsidR="00D52FD0">
        <w:t xml:space="preserve"> </w:t>
      </w:r>
      <w:r w:rsidR="000A1AAE" w:rsidRPr="00A841AA">
        <w:t>Unit</w:t>
      </w:r>
      <w:r w:rsidR="00D52FD0">
        <w:t xml:space="preserve"> </w:t>
      </w:r>
      <w:r w:rsidR="000A1AAE" w:rsidRPr="00A841AA">
        <w:t>(SOGIGESC)</w:t>
      </w:r>
      <w:r w:rsidR="00D52FD0">
        <w:t xml:space="preserve"> </w:t>
      </w:r>
      <w:r w:rsidR="000A1AAE" w:rsidRPr="00A841AA">
        <w:t>related</w:t>
      </w:r>
      <w:r w:rsidR="00D52FD0">
        <w:t xml:space="preserve"> </w:t>
      </w:r>
      <w:r w:rsidR="000A1AAE" w:rsidRPr="00A841AA">
        <w:t>claims.</w:t>
      </w:r>
    </w:p>
    <w:p w14:paraId="03E2BEE8" w14:textId="78DD3F96" w:rsidR="000E4FD0" w:rsidRDefault="0044637E" w:rsidP="0044637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>
        <w:t>130.</w:t>
      </w:r>
      <w:r>
        <w:tab/>
      </w:r>
      <w:r w:rsidR="000A1AAE" w:rsidRPr="00A841AA">
        <w:t>In</w:t>
      </w:r>
      <w:r w:rsidR="00D52FD0">
        <w:t xml:space="preserve"> </w:t>
      </w:r>
      <w:r w:rsidR="000A1AAE" w:rsidRPr="00A841AA">
        <w:t>April</w:t>
      </w:r>
      <w:r w:rsidR="00D52FD0">
        <w:t xml:space="preserve"> </w:t>
      </w:r>
      <w:r w:rsidR="000A1AAE" w:rsidRPr="00A841AA">
        <w:t>2020,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NCPE</w:t>
      </w:r>
      <w:r w:rsidR="00D52FD0">
        <w:t xml:space="preserve"> </w:t>
      </w:r>
      <w:r w:rsidR="000A1AAE" w:rsidRPr="00A841AA">
        <w:t>started</w:t>
      </w:r>
      <w:r w:rsidR="00D52FD0">
        <w:t xml:space="preserve"> </w:t>
      </w:r>
      <w:r w:rsidR="000A1AAE" w:rsidRPr="00A841AA">
        <w:t>working</w:t>
      </w:r>
      <w:r w:rsidR="00D52FD0">
        <w:t xml:space="preserve"> </w:t>
      </w:r>
      <w:r w:rsidR="000A1AAE" w:rsidRPr="00A841AA">
        <w:t>on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Empowerment</w:t>
      </w:r>
      <w:r w:rsidR="00D52FD0">
        <w:t xml:space="preserve"> </w:t>
      </w:r>
      <w:r w:rsidR="000A1AAE" w:rsidRPr="00A841AA">
        <w:t>for</w:t>
      </w:r>
      <w:r w:rsidR="00D52FD0">
        <w:t xml:space="preserve"> </w:t>
      </w:r>
      <w:r w:rsidR="000A1AAE" w:rsidRPr="00A841AA">
        <w:t>Diversity</w:t>
      </w:r>
      <w:r w:rsidR="00D52FD0">
        <w:t xml:space="preserve"> </w:t>
      </w:r>
      <w:r w:rsidR="000A1AAE" w:rsidRPr="00A841AA">
        <w:t>(E4D)</w:t>
      </w:r>
      <w:r w:rsidR="00D52FD0">
        <w:t xml:space="preserve"> </w:t>
      </w:r>
      <w:r w:rsidR="000A1AAE" w:rsidRPr="00A841AA">
        <w:t>project.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aim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project</w:t>
      </w:r>
      <w:r w:rsidR="00D52FD0">
        <w:t xml:space="preserve"> </w:t>
      </w:r>
      <w:r w:rsidR="000A1AAE" w:rsidRPr="00A841AA">
        <w:t>is</w:t>
      </w:r>
      <w:r w:rsidR="00D52FD0">
        <w:t xml:space="preserve"> </w:t>
      </w:r>
      <w:r w:rsidR="000A1AAE" w:rsidRPr="00A841AA">
        <w:t>that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addressing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societal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cultural</w:t>
      </w:r>
      <w:r w:rsidR="00D52FD0">
        <w:t xml:space="preserve"> </w:t>
      </w:r>
      <w:r w:rsidR="000A1AAE" w:rsidRPr="00A841AA">
        <w:t>impact</w:t>
      </w:r>
      <w:r w:rsidR="00D52FD0">
        <w:t xml:space="preserve"> </w:t>
      </w:r>
      <w:r w:rsidR="000A1AAE" w:rsidRPr="00A841AA">
        <w:t>led</w:t>
      </w:r>
      <w:r w:rsidR="00D52FD0">
        <w:t xml:space="preserve"> </w:t>
      </w:r>
      <w:r w:rsidR="000A1AAE" w:rsidRPr="00A841AA">
        <w:t>by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enactment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laws</w:t>
      </w:r>
      <w:r w:rsidR="00D52FD0">
        <w:t xml:space="preserve"> </w:t>
      </w:r>
      <w:r w:rsidR="000A1AAE" w:rsidRPr="00A841AA">
        <w:t>which</w:t>
      </w:r>
      <w:r w:rsidR="00D52FD0">
        <w:t xml:space="preserve"> </w:t>
      </w:r>
      <w:r w:rsidR="000A1AAE" w:rsidRPr="00A841AA">
        <w:t>have</w:t>
      </w:r>
      <w:r w:rsidR="00D52FD0">
        <w:t xml:space="preserve"> </w:t>
      </w:r>
      <w:r w:rsidR="000A1AAE" w:rsidRPr="00A841AA">
        <w:t>passed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last</w:t>
      </w:r>
      <w:r w:rsidR="00D52FD0">
        <w:t xml:space="preserve"> </w:t>
      </w:r>
      <w:r w:rsidR="000A1AAE" w:rsidRPr="00A841AA">
        <w:t>five</w:t>
      </w:r>
      <w:r w:rsidR="00D52FD0">
        <w:t xml:space="preserve"> </w:t>
      </w:r>
      <w:r w:rsidR="000A1AAE" w:rsidRPr="00A841AA">
        <w:t>years,</w:t>
      </w:r>
      <w:r w:rsidR="00D52FD0">
        <w:t xml:space="preserve"> </w:t>
      </w:r>
      <w:r w:rsidR="000A1AAE" w:rsidRPr="00A841AA">
        <w:t>vis-à-vis</w:t>
      </w:r>
      <w:r w:rsidR="00D52FD0">
        <w:t xml:space="preserve"> </w:t>
      </w:r>
      <w:r w:rsidR="000A1AAE" w:rsidRPr="00A841AA">
        <w:t>LGBTIQ+</w:t>
      </w:r>
      <w:r w:rsidR="00D52FD0">
        <w:t xml:space="preserve"> </w:t>
      </w:r>
      <w:r w:rsidR="000A1AAE" w:rsidRPr="00A841AA">
        <w:t>rights.</w:t>
      </w:r>
    </w:p>
    <w:p w14:paraId="10182BE7" w14:textId="0265510B" w:rsidR="000A1AAE" w:rsidRDefault="000A1AAE" w:rsidP="00196329">
      <w:pPr>
        <w:pStyle w:val="H23G"/>
        <w:rPr>
          <w:rFonts w:eastAsia="Calibri"/>
        </w:rPr>
      </w:pPr>
      <w:r>
        <w:tab/>
      </w:r>
      <w:r>
        <w:tab/>
      </w:r>
      <w:r w:rsidRPr="00504902">
        <w:t>Reply</w:t>
      </w:r>
      <w:r w:rsidR="00D52FD0">
        <w:t xml:space="preserve"> </w:t>
      </w:r>
      <w:r w:rsidRPr="00504902">
        <w:t>to</w:t>
      </w:r>
      <w:r w:rsidR="00D52FD0">
        <w:t xml:space="preserve"> </w:t>
      </w:r>
      <w:r w:rsidRPr="00504902">
        <w:t>paragraph</w:t>
      </w:r>
      <w:r w:rsidR="00D52FD0">
        <w:t xml:space="preserve"> </w:t>
      </w:r>
      <w:r>
        <w:t>7</w:t>
      </w:r>
      <w:r w:rsidR="00D52FD0">
        <w:t xml:space="preserve"> </w:t>
      </w:r>
      <w:r w:rsidRPr="00504902">
        <w:t>of</w:t>
      </w:r>
      <w:r w:rsidR="00D52FD0">
        <w:t xml:space="preserve"> </w:t>
      </w:r>
      <w:r w:rsidRPr="00504902">
        <w:t>the</w:t>
      </w:r>
      <w:r w:rsidR="00D52FD0">
        <w:t xml:space="preserve"> </w:t>
      </w:r>
      <w:r w:rsidRPr="00504902">
        <w:t>list</w:t>
      </w:r>
      <w:r w:rsidR="00D52FD0">
        <w:t xml:space="preserve"> </w:t>
      </w:r>
      <w:r w:rsidRPr="00504902">
        <w:t>of</w:t>
      </w:r>
      <w:r w:rsidR="00D52FD0">
        <w:t xml:space="preserve"> </w:t>
      </w:r>
      <w:r w:rsidRPr="00504902">
        <w:t>issues</w:t>
      </w:r>
    </w:p>
    <w:p w14:paraId="0A58FD23" w14:textId="2444A792" w:rsidR="000A1AAE" w:rsidRPr="00A841AA" w:rsidRDefault="0044637E" w:rsidP="0044637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841AA">
        <w:t>131.</w:t>
      </w:r>
      <w:r w:rsidRPr="00A841AA">
        <w:tab/>
      </w:r>
      <w:r w:rsidR="000A1AAE" w:rsidRPr="00A841AA">
        <w:t>Since</w:t>
      </w:r>
      <w:r w:rsidR="00D52FD0">
        <w:t xml:space="preserve"> </w:t>
      </w:r>
      <w:r w:rsidR="000A1AAE" w:rsidRPr="00A841AA">
        <w:t>2020,</w:t>
      </w:r>
      <w:r w:rsidR="00D52FD0">
        <w:t xml:space="preserve"> </w:t>
      </w:r>
      <w:r w:rsidR="000A1AAE" w:rsidRPr="00A841AA">
        <w:t>reports</w:t>
      </w:r>
      <w:r w:rsidR="00D52FD0">
        <w:t xml:space="preserve"> </w:t>
      </w:r>
      <w:r w:rsidR="000A1AAE" w:rsidRPr="00A841AA">
        <w:t>on</w:t>
      </w:r>
      <w:r w:rsidR="00D52FD0">
        <w:t xml:space="preserve"> </w:t>
      </w:r>
      <w:r w:rsidR="000A1AAE" w:rsidRPr="00A841AA">
        <w:t>online</w:t>
      </w:r>
      <w:r w:rsidR="00D52FD0">
        <w:t xml:space="preserve"> </w:t>
      </w:r>
      <w:r w:rsidR="000A1AAE" w:rsidRPr="00A841AA">
        <w:t>hate</w:t>
      </w:r>
      <w:r w:rsidR="00D52FD0">
        <w:t xml:space="preserve"> </w:t>
      </w:r>
      <w:r w:rsidR="000A1AAE" w:rsidRPr="00A841AA">
        <w:t>speech</w:t>
      </w:r>
      <w:r w:rsidR="00D52FD0">
        <w:t xml:space="preserve"> </w:t>
      </w:r>
      <w:r w:rsidR="000A1AAE" w:rsidRPr="00A841AA">
        <w:t>are</w:t>
      </w:r>
      <w:r w:rsidR="00D52FD0">
        <w:t xml:space="preserve"> </w:t>
      </w:r>
      <w:r w:rsidR="000A1AAE" w:rsidRPr="00A841AA">
        <w:t>being</w:t>
      </w:r>
      <w:r w:rsidR="00D52FD0">
        <w:t xml:space="preserve"> </w:t>
      </w:r>
      <w:r w:rsidR="000A1AAE" w:rsidRPr="00A841AA">
        <w:t>investigated</w:t>
      </w:r>
      <w:r w:rsidR="00D52FD0">
        <w:t xml:space="preserve"> </w:t>
      </w:r>
      <w:r w:rsidR="000A1AAE" w:rsidRPr="00A841AA">
        <w:t>by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Vice</w:t>
      </w:r>
      <w:r w:rsidR="00D52FD0">
        <w:t xml:space="preserve"> </w:t>
      </w:r>
      <w:r w:rsidR="000A1AAE" w:rsidRPr="00A841AA">
        <w:t>Squad,</w:t>
      </w:r>
      <w:r w:rsidR="00D52FD0">
        <w:t xml:space="preserve"> </w:t>
      </w:r>
      <w:r w:rsidR="000A1AAE" w:rsidRPr="00A841AA">
        <w:t>which</w:t>
      </w:r>
      <w:r w:rsidR="00D52FD0">
        <w:t xml:space="preserve"> </w:t>
      </w:r>
      <w:r w:rsidR="000A1AAE" w:rsidRPr="00A841AA">
        <w:t>is</w:t>
      </w:r>
      <w:r w:rsidR="00D52FD0">
        <w:t xml:space="preserve"> </w:t>
      </w:r>
      <w:r w:rsidR="000A1AAE" w:rsidRPr="00A841AA">
        <w:t>a</w:t>
      </w:r>
      <w:r w:rsidR="00D52FD0">
        <w:t xml:space="preserve"> </w:t>
      </w:r>
      <w:r w:rsidR="000A1AAE" w:rsidRPr="00A841AA">
        <w:t>specialized</w:t>
      </w:r>
      <w:r w:rsidR="00D52FD0">
        <w:t xml:space="preserve"> </w:t>
      </w:r>
      <w:r w:rsidR="000A1AAE" w:rsidRPr="00A841AA">
        <w:t>branch</w:t>
      </w:r>
      <w:r w:rsidR="00D52FD0">
        <w:t xml:space="preserve"> </w:t>
      </w:r>
      <w:r w:rsidR="000A1AAE" w:rsidRPr="00A841AA">
        <w:t>within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Police</w:t>
      </w:r>
      <w:r w:rsidR="00D52FD0">
        <w:t xml:space="preserve"> </w:t>
      </w:r>
      <w:r w:rsidR="000A1AAE" w:rsidRPr="00A841AA">
        <w:t>Force.</w:t>
      </w:r>
      <w:r w:rsidR="00D52FD0">
        <w:t xml:space="preserve"> </w:t>
      </w:r>
      <w:r w:rsidR="000A1AAE" w:rsidRPr="00A841AA">
        <w:t>Previously,</w:t>
      </w:r>
      <w:r w:rsidR="00D52FD0">
        <w:t xml:space="preserve"> </w:t>
      </w:r>
      <w:r w:rsidR="000A1AAE" w:rsidRPr="00A841AA">
        <w:t>this</w:t>
      </w:r>
      <w:r w:rsidR="00D52FD0">
        <w:t xml:space="preserve"> </w:t>
      </w:r>
      <w:r w:rsidR="000A1AAE" w:rsidRPr="00A841AA">
        <w:t>crime</w:t>
      </w:r>
      <w:r w:rsidR="00D52FD0">
        <w:t xml:space="preserve"> </w:t>
      </w:r>
      <w:r w:rsidR="000A1AAE" w:rsidRPr="00A841AA">
        <w:t>was</w:t>
      </w:r>
      <w:r w:rsidR="00D52FD0">
        <w:t xml:space="preserve"> </w:t>
      </w:r>
      <w:r w:rsidR="000A1AAE" w:rsidRPr="00A841AA">
        <w:t>investigated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prosecuted</w:t>
      </w:r>
      <w:r w:rsidR="00D52FD0">
        <w:t xml:space="preserve"> </w:t>
      </w:r>
      <w:r w:rsidR="000A1AAE" w:rsidRPr="00A841AA">
        <w:t>by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divisional</w:t>
      </w:r>
      <w:r w:rsidR="00D52FD0">
        <w:t xml:space="preserve"> </w:t>
      </w:r>
      <w:r w:rsidR="000A1AAE" w:rsidRPr="00A841AA">
        <w:t>police.</w:t>
      </w:r>
    </w:p>
    <w:p w14:paraId="12F3CE62" w14:textId="2908E1A3" w:rsidR="000A1AAE" w:rsidRPr="00825CCA" w:rsidRDefault="000A1AAE" w:rsidP="00196329">
      <w:pPr>
        <w:pStyle w:val="H1G"/>
      </w:pPr>
      <w:r>
        <w:tab/>
      </w:r>
      <w:r>
        <w:tab/>
      </w:r>
      <w:r w:rsidRPr="00825CCA">
        <w:t>Gender</w:t>
      </w:r>
      <w:r w:rsidR="00D52FD0">
        <w:t xml:space="preserve"> </w:t>
      </w:r>
      <w:r w:rsidRPr="00825CCA">
        <w:t>equality</w:t>
      </w:r>
      <w:r w:rsidR="00D52FD0">
        <w:t xml:space="preserve"> </w:t>
      </w:r>
      <w:r w:rsidRPr="00825CCA">
        <w:t>(arts.</w:t>
      </w:r>
      <w:r w:rsidR="00D52FD0">
        <w:t xml:space="preserve"> </w:t>
      </w:r>
      <w:r w:rsidRPr="00825CCA">
        <w:t>2,</w:t>
      </w:r>
      <w:r w:rsidR="00D52FD0">
        <w:t xml:space="preserve"> </w:t>
      </w:r>
      <w:r w:rsidRPr="00825CCA">
        <w:t>3</w:t>
      </w:r>
      <w:r w:rsidR="00D52FD0">
        <w:t xml:space="preserve"> </w:t>
      </w:r>
      <w:r w:rsidRPr="00825CCA">
        <w:t>and</w:t>
      </w:r>
      <w:r w:rsidR="00D52FD0">
        <w:t xml:space="preserve"> </w:t>
      </w:r>
      <w:r w:rsidRPr="00825CCA">
        <w:t>25)</w:t>
      </w:r>
    </w:p>
    <w:p w14:paraId="2E412E97" w14:textId="63E50749" w:rsidR="000A1AAE" w:rsidRDefault="000A1AAE" w:rsidP="00196329">
      <w:pPr>
        <w:pStyle w:val="H23G"/>
        <w:rPr>
          <w:rFonts w:eastAsia="Calibri"/>
        </w:rPr>
      </w:pPr>
      <w:r>
        <w:tab/>
      </w:r>
      <w:r>
        <w:tab/>
      </w:r>
      <w:r w:rsidRPr="00504902">
        <w:t>Reply</w:t>
      </w:r>
      <w:r w:rsidR="00D52FD0">
        <w:t xml:space="preserve"> </w:t>
      </w:r>
      <w:r w:rsidRPr="00504902">
        <w:t>to</w:t>
      </w:r>
      <w:r w:rsidR="00D52FD0">
        <w:t xml:space="preserve"> </w:t>
      </w:r>
      <w:r w:rsidRPr="00504902">
        <w:t>paragraph</w:t>
      </w:r>
      <w:r w:rsidR="00D52FD0">
        <w:t xml:space="preserve"> </w:t>
      </w:r>
      <w:r>
        <w:t>8</w:t>
      </w:r>
      <w:r w:rsidR="00D52FD0">
        <w:t xml:space="preserve"> </w:t>
      </w:r>
      <w:r w:rsidRPr="00504902">
        <w:t>of</w:t>
      </w:r>
      <w:r w:rsidR="00D52FD0">
        <w:t xml:space="preserve"> </w:t>
      </w:r>
      <w:r w:rsidRPr="00504902">
        <w:t>the</w:t>
      </w:r>
      <w:r w:rsidR="00D52FD0">
        <w:t xml:space="preserve"> </w:t>
      </w:r>
      <w:r w:rsidRPr="00504902">
        <w:t>list</w:t>
      </w:r>
      <w:r w:rsidR="00D52FD0">
        <w:t xml:space="preserve"> </w:t>
      </w:r>
      <w:r w:rsidRPr="00504902">
        <w:t>of</w:t>
      </w:r>
      <w:r w:rsidR="00D52FD0">
        <w:t xml:space="preserve"> </w:t>
      </w:r>
      <w:r w:rsidRPr="00504902">
        <w:t>issues</w:t>
      </w:r>
    </w:p>
    <w:p w14:paraId="3EE906EA" w14:textId="3980FBB2" w:rsidR="000E4FD0" w:rsidRDefault="0044637E" w:rsidP="0044637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>
        <w:t>132.</w:t>
      </w:r>
      <w:r>
        <w:tab/>
      </w:r>
      <w:r w:rsidR="000A1AAE" w:rsidRPr="00A841AA">
        <w:t>Since</w:t>
      </w:r>
      <w:r w:rsidR="00D52FD0">
        <w:t xml:space="preserve"> </w:t>
      </w:r>
      <w:r w:rsidR="000A1AAE" w:rsidRPr="00A841AA">
        <w:t>June</w:t>
      </w:r>
      <w:r w:rsidR="00D52FD0">
        <w:t xml:space="preserve"> </w:t>
      </w:r>
      <w:r w:rsidR="000A1AAE" w:rsidRPr="00A841AA">
        <w:t>2000,</w:t>
      </w:r>
      <w:r w:rsidR="00D52FD0">
        <w:t xml:space="preserve"> </w:t>
      </w:r>
      <w:r w:rsidR="000A1AAE" w:rsidRPr="00A841AA">
        <w:t>gender</w:t>
      </w:r>
      <w:r w:rsidR="00D52FD0">
        <w:t xml:space="preserve"> </w:t>
      </w:r>
      <w:r w:rsidR="000A1AAE" w:rsidRPr="00A841AA">
        <w:t>mainstreaming</w:t>
      </w:r>
      <w:r w:rsidR="00D52FD0">
        <w:t xml:space="preserve"> </w:t>
      </w:r>
      <w:r w:rsidR="000A1AAE" w:rsidRPr="00A841AA">
        <w:t>became</w:t>
      </w:r>
      <w:r w:rsidR="00D52FD0">
        <w:t xml:space="preserve"> </w:t>
      </w:r>
      <w:r w:rsidR="000A1AAE" w:rsidRPr="00A841AA">
        <w:t>official</w:t>
      </w:r>
      <w:r w:rsidR="00D52FD0">
        <w:t xml:space="preserve"> </w:t>
      </w:r>
      <w:r w:rsidR="000A1AAE" w:rsidRPr="00A841AA">
        <w:t>government</w:t>
      </w:r>
      <w:r w:rsidR="00D52FD0">
        <w:t xml:space="preserve"> </w:t>
      </w:r>
      <w:r w:rsidR="000A1AAE" w:rsidRPr="00A841AA">
        <w:t>policy,</w:t>
      </w:r>
      <w:r w:rsidR="00D52FD0">
        <w:t xml:space="preserve"> </w:t>
      </w:r>
      <w:r w:rsidR="000A1AAE" w:rsidRPr="00A841AA">
        <w:t>which</w:t>
      </w:r>
      <w:r w:rsidR="00D52FD0">
        <w:t xml:space="preserve"> </w:t>
      </w:r>
      <w:r w:rsidR="000A1AAE" w:rsidRPr="00A841AA">
        <w:t>policy</w:t>
      </w:r>
      <w:r w:rsidR="00D52FD0">
        <w:t xml:space="preserve"> </w:t>
      </w:r>
      <w:r w:rsidR="000A1AAE" w:rsidRPr="00A841AA">
        <w:t>was</w:t>
      </w:r>
      <w:r w:rsidR="00D52FD0">
        <w:t xml:space="preserve"> </w:t>
      </w:r>
      <w:r w:rsidR="000A1AAE" w:rsidRPr="00A841AA">
        <w:t>reiterated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2012</w:t>
      </w:r>
      <w:r w:rsidR="00D52FD0">
        <w:t xml:space="preserve"> </w:t>
      </w:r>
      <w:r w:rsidR="000A1AAE" w:rsidRPr="00A841AA">
        <w:t>through</w:t>
      </w:r>
      <w:r w:rsidR="00D52FD0">
        <w:t xml:space="preserve"> </w:t>
      </w:r>
      <w:r w:rsidR="000A1AAE" w:rsidRPr="00A841AA">
        <w:t>OPM</w:t>
      </w:r>
      <w:r w:rsidR="00D52FD0">
        <w:t xml:space="preserve"> </w:t>
      </w:r>
      <w:r w:rsidR="000A1AAE" w:rsidRPr="00A841AA">
        <w:t>Circular</w:t>
      </w:r>
      <w:r w:rsidR="00D52FD0">
        <w:t xml:space="preserve"> </w:t>
      </w:r>
      <w:r w:rsidR="000A1AAE" w:rsidRPr="00A841AA">
        <w:t>No.</w:t>
      </w:r>
      <w:r w:rsidR="00D52FD0">
        <w:t xml:space="preserve"> </w:t>
      </w:r>
      <w:r w:rsidR="000A1AAE" w:rsidRPr="00A841AA">
        <w:t>15/2012.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scope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policy</w:t>
      </w:r>
      <w:r w:rsidR="00D52FD0">
        <w:t xml:space="preserve"> </w:t>
      </w:r>
      <w:r w:rsidR="000A1AAE" w:rsidRPr="00A841AA">
        <w:t>was</w:t>
      </w:r>
      <w:r w:rsidR="00D52FD0">
        <w:t xml:space="preserve"> </w:t>
      </w:r>
      <w:r w:rsidR="000A1AAE" w:rsidRPr="00A841AA">
        <w:t>that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ensuring</w:t>
      </w:r>
      <w:r w:rsidR="00D52FD0">
        <w:t xml:space="preserve"> </w:t>
      </w:r>
      <w:r w:rsidR="000A1AAE" w:rsidRPr="00A841AA">
        <w:t>that</w:t>
      </w:r>
      <w:r w:rsidR="00D52FD0">
        <w:t xml:space="preserve"> </w:t>
      </w:r>
      <w:r w:rsidR="000A1AAE" w:rsidRPr="00A841AA">
        <w:t>policies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practices</w:t>
      </w:r>
      <w:r w:rsidR="00D52FD0">
        <w:t xml:space="preserve"> </w:t>
      </w:r>
      <w:r w:rsidR="000A1AAE" w:rsidRPr="00A841AA">
        <w:t>are</w:t>
      </w:r>
      <w:r w:rsidR="00D52FD0">
        <w:t xml:space="preserve"> </w:t>
      </w:r>
      <w:r w:rsidR="000A1AAE" w:rsidRPr="00A841AA">
        <w:t>gender</w:t>
      </w:r>
      <w:r w:rsidR="00D52FD0">
        <w:t xml:space="preserve"> </w:t>
      </w:r>
      <w:r w:rsidR="000A1AAE" w:rsidRPr="00A841AA">
        <w:t>mainstreamed,</w:t>
      </w:r>
      <w:r w:rsidR="00D52FD0">
        <w:t xml:space="preserve"> </w:t>
      </w:r>
      <w:r w:rsidR="000A1AAE" w:rsidRPr="00A841AA">
        <w:t>as</w:t>
      </w:r>
      <w:r w:rsidR="00D52FD0">
        <w:t xml:space="preserve"> </w:t>
      </w:r>
      <w:r w:rsidR="000A1AAE" w:rsidRPr="00A841AA">
        <w:t>well</w:t>
      </w:r>
      <w:r w:rsidR="00D52FD0">
        <w:t xml:space="preserve"> </w:t>
      </w:r>
      <w:r w:rsidR="000A1AAE" w:rsidRPr="00A841AA">
        <w:t>as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obtain</w:t>
      </w:r>
      <w:r w:rsidR="00D52FD0">
        <w:t xml:space="preserve"> </w:t>
      </w:r>
      <w:r w:rsidR="000A1AAE" w:rsidRPr="00A841AA">
        <w:t>a</w:t>
      </w:r>
      <w:r w:rsidR="00D52FD0">
        <w:t xml:space="preserve"> </w:t>
      </w:r>
      <w:r w:rsidR="000A1AAE" w:rsidRPr="00A841AA">
        <w:t>consolidated</w:t>
      </w:r>
      <w:r w:rsidR="00D52FD0">
        <w:t xml:space="preserve"> </w:t>
      </w:r>
      <w:r w:rsidR="000A1AAE" w:rsidRPr="00A841AA">
        <w:t>yearly</w:t>
      </w:r>
      <w:r w:rsidR="00D52FD0">
        <w:t xml:space="preserve"> </w:t>
      </w:r>
      <w:r w:rsidR="000A1AAE" w:rsidRPr="00A841AA">
        <w:t>report</w:t>
      </w:r>
      <w:r w:rsidR="00D52FD0">
        <w:t xml:space="preserve"> </w:t>
      </w:r>
      <w:r w:rsidR="000A1AAE" w:rsidRPr="00A841AA">
        <w:t>on</w:t>
      </w:r>
      <w:r w:rsidR="00D52FD0">
        <w:t xml:space="preserve"> </w:t>
      </w:r>
      <w:r w:rsidR="000A1AAE" w:rsidRPr="00A841AA">
        <w:t>what</w:t>
      </w:r>
      <w:r w:rsidR="00D52FD0">
        <w:t xml:space="preserve"> </w:t>
      </w:r>
      <w:r w:rsidR="000A1AAE" w:rsidRPr="00A841AA">
        <w:t>is</w:t>
      </w:r>
      <w:r w:rsidR="00D52FD0">
        <w:t xml:space="preserve"> </w:t>
      </w:r>
      <w:r w:rsidR="000A1AAE" w:rsidRPr="00A841AA">
        <w:t>happening</w:t>
      </w:r>
      <w:r w:rsidR="00D52FD0">
        <w:t xml:space="preserve"> </w:t>
      </w:r>
      <w:r w:rsidR="000A1AAE" w:rsidRPr="00A841AA">
        <w:t>throughout</w:t>
      </w:r>
      <w:r w:rsidR="00D52FD0">
        <w:t xml:space="preserve"> </w:t>
      </w:r>
      <w:r w:rsidR="000A1AAE" w:rsidRPr="00A841AA">
        <w:t>governmental</w:t>
      </w:r>
      <w:r w:rsidR="00D52FD0">
        <w:t xml:space="preserve"> </w:t>
      </w:r>
      <w:r w:rsidR="000A1AAE" w:rsidRPr="00A841AA">
        <w:t>departments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entities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relation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gender</w:t>
      </w:r>
      <w:r w:rsidR="00D52FD0">
        <w:t xml:space="preserve"> </w:t>
      </w:r>
      <w:r w:rsidR="000A1AAE" w:rsidRPr="00A841AA">
        <w:t>mainstreaming.</w:t>
      </w:r>
      <w:r w:rsidR="00D52FD0">
        <w:t xml:space="preserve"> </w:t>
      </w:r>
      <w:r w:rsidR="000A1AAE" w:rsidRPr="00A841AA">
        <w:t>Every</w:t>
      </w:r>
      <w:r w:rsidR="00D52FD0">
        <w:t xml:space="preserve"> </w:t>
      </w:r>
      <w:r w:rsidR="000A1AAE" w:rsidRPr="00A841AA">
        <w:t>department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entity</w:t>
      </w:r>
      <w:r w:rsidR="00D52FD0">
        <w:t xml:space="preserve"> </w:t>
      </w:r>
      <w:r w:rsidR="000A1AAE" w:rsidRPr="00A841AA">
        <w:t>is</w:t>
      </w:r>
      <w:r w:rsidR="00D52FD0">
        <w:t xml:space="preserve"> </w:t>
      </w:r>
      <w:r w:rsidR="000A1AAE" w:rsidRPr="00A841AA">
        <w:t>requested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prepare</w:t>
      </w:r>
      <w:r w:rsidR="00D52FD0">
        <w:t xml:space="preserve"> </w:t>
      </w:r>
      <w:r w:rsidR="000A1AAE" w:rsidRPr="00A841AA">
        <w:t>a</w:t>
      </w:r>
      <w:r w:rsidR="00D52FD0">
        <w:t xml:space="preserve"> </w:t>
      </w:r>
      <w:r w:rsidR="000A1AAE" w:rsidRPr="00A841AA">
        <w:t>report</w:t>
      </w:r>
      <w:r w:rsidR="00D52FD0">
        <w:t xml:space="preserve"> </w:t>
      </w:r>
      <w:r w:rsidR="000A1AAE" w:rsidRPr="00A841AA">
        <w:t>on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measures</w:t>
      </w:r>
      <w:r w:rsidR="00D52FD0">
        <w:t xml:space="preserve"> </w:t>
      </w:r>
      <w:r w:rsidR="000A1AAE" w:rsidRPr="00A841AA">
        <w:t>taken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progress</w:t>
      </w:r>
      <w:r w:rsidR="00D52FD0">
        <w:t xml:space="preserve"> </w:t>
      </w:r>
      <w:r w:rsidR="000A1AAE" w:rsidRPr="00A841AA">
        <w:t>achieved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sphere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gender</w:t>
      </w:r>
      <w:r w:rsidR="00D52FD0">
        <w:t xml:space="preserve"> </w:t>
      </w:r>
      <w:r w:rsidR="000A1AAE" w:rsidRPr="00A841AA">
        <w:t>equality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mainstreaming.</w:t>
      </w:r>
      <w:r w:rsidR="00D52FD0">
        <w:t xml:space="preserve"> </w:t>
      </w:r>
      <w:r w:rsidR="000A1AAE" w:rsidRPr="00A841AA">
        <w:t>This</w:t>
      </w:r>
      <w:r w:rsidR="00D52FD0">
        <w:t xml:space="preserve"> </w:t>
      </w:r>
      <w:r w:rsidR="000A1AAE" w:rsidRPr="00A841AA">
        <w:t>annual</w:t>
      </w:r>
      <w:r w:rsidR="00D52FD0">
        <w:t xml:space="preserve"> </w:t>
      </w:r>
      <w:r w:rsidR="000A1AAE" w:rsidRPr="00A841AA">
        <w:t>report</w:t>
      </w:r>
      <w:r w:rsidR="00D52FD0">
        <w:t xml:space="preserve"> </w:t>
      </w:r>
      <w:r w:rsidR="000A1AAE" w:rsidRPr="00A841AA">
        <w:t>is</w:t>
      </w:r>
      <w:r w:rsidR="00D52FD0">
        <w:t xml:space="preserve"> </w:t>
      </w:r>
      <w:r w:rsidR="000A1AAE" w:rsidRPr="00A841AA">
        <w:t>then</w:t>
      </w:r>
      <w:r w:rsidR="00D52FD0">
        <w:t xml:space="preserve"> </w:t>
      </w:r>
      <w:r w:rsidR="000A1AAE" w:rsidRPr="00A841AA">
        <w:t>forwarded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NCPE</w:t>
      </w:r>
      <w:r w:rsidR="00D52FD0">
        <w:t xml:space="preserve"> </w:t>
      </w:r>
      <w:r w:rsidR="000A1AAE" w:rsidRPr="00A841AA">
        <w:t>with</w:t>
      </w:r>
      <w:r w:rsidR="00D52FD0">
        <w:t xml:space="preserve"> </w:t>
      </w:r>
      <w:r w:rsidR="000A1AAE" w:rsidRPr="00A841AA">
        <w:t>a</w:t>
      </w:r>
      <w:r w:rsidR="00D52FD0">
        <w:t xml:space="preserve"> </w:t>
      </w:r>
      <w:r w:rsidR="000A1AAE" w:rsidRPr="00A841AA">
        <w:t>synopsis</w:t>
      </w:r>
      <w:r w:rsidR="00D52FD0">
        <w:t xml:space="preserve"> </w:t>
      </w:r>
      <w:r w:rsidR="000A1AAE" w:rsidRPr="00A841AA">
        <w:t>also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be</w:t>
      </w:r>
      <w:r w:rsidR="00D52FD0">
        <w:t xml:space="preserve"> </w:t>
      </w:r>
      <w:r w:rsidR="000A1AAE" w:rsidRPr="00A841AA">
        <w:t>included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department</w:t>
      </w:r>
      <w:r w:rsidR="00F14DA3">
        <w:t>’</w:t>
      </w:r>
      <w:r w:rsidR="000A1AAE" w:rsidRPr="00A841AA">
        <w:t>s</w:t>
      </w:r>
      <w:r w:rsidR="00D52FD0">
        <w:t xml:space="preserve"> </w:t>
      </w:r>
      <w:r w:rsidR="000A1AAE" w:rsidRPr="00A841AA">
        <w:t>annual</w:t>
      </w:r>
      <w:r w:rsidR="00D52FD0">
        <w:t xml:space="preserve"> </w:t>
      </w:r>
      <w:r w:rsidR="000A1AAE" w:rsidRPr="00A841AA">
        <w:t>report.</w:t>
      </w:r>
    </w:p>
    <w:p w14:paraId="01269970" w14:textId="153BFDB6" w:rsidR="000E4FD0" w:rsidRDefault="0044637E" w:rsidP="0044637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>
        <w:t>133.</w:t>
      </w:r>
      <w:r>
        <w:tab/>
      </w:r>
      <w:r w:rsidR="000A1AAE" w:rsidRPr="00A841AA">
        <w:t>The</w:t>
      </w:r>
      <w:r w:rsidR="00D52FD0">
        <w:t xml:space="preserve"> </w:t>
      </w:r>
      <w:r w:rsidR="000A1AAE" w:rsidRPr="00A841AA">
        <w:t>Equality</w:t>
      </w:r>
      <w:r w:rsidR="00D52FD0">
        <w:t xml:space="preserve"> </w:t>
      </w:r>
      <w:r w:rsidR="000A1AAE" w:rsidRPr="00A841AA">
        <w:t>Bill</w:t>
      </w:r>
      <w:r w:rsidR="00D52FD0">
        <w:t xml:space="preserve"> </w:t>
      </w:r>
      <w:r w:rsidR="000A1AAE" w:rsidRPr="00A841AA">
        <w:t>states</w:t>
      </w:r>
      <w:r w:rsidR="00D52FD0">
        <w:t xml:space="preserve"> </w:t>
      </w:r>
      <w:r w:rsidR="000A1AAE" w:rsidRPr="00A841AA">
        <w:t>that,</w:t>
      </w:r>
      <w:r w:rsidR="00D52FD0">
        <w:t xml:space="preserve"> </w:t>
      </w:r>
      <w:r w:rsidR="000A1AAE" w:rsidRPr="00A841AA">
        <w:t>once</w:t>
      </w:r>
      <w:r w:rsidR="00D52FD0">
        <w:t xml:space="preserve"> </w:t>
      </w:r>
      <w:r w:rsidR="000A1AAE" w:rsidRPr="00A841AA">
        <w:t>enacted,</w:t>
      </w:r>
      <w:r w:rsidR="00D52FD0">
        <w:t xml:space="preserve"> </w:t>
      </w:r>
      <w:r w:rsidR="000A1AAE" w:rsidRPr="00A841AA">
        <w:t>at</w:t>
      </w:r>
      <w:r w:rsidR="00D52FD0">
        <w:t xml:space="preserve"> </w:t>
      </w:r>
      <w:r w:rsidR="000A1AAE" w:rsidRPr="00A841AA">
        <w:t>least</w:t>
      </w:r>
      <w:r w:rsidR="00D52FD0">
        <w:t xml:space="preserve"> </w:t>
      </w:r>
      <w:r w:rsidR="000A1AAE" w:rsidRPr="00A841AA">
        <w:t>40%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appointments</w:t>
      </w:r>
      <w:r w:rsidR="00D52FD0">
        <w:t xml:space="preserve"> </w:t>
      </w:r>
      <w:r w:rsidR="000A1AAE" w:rsidRPr="00A841AA">
        <w:t>made</w:t>
      </w:r>
      <w:r w:rsidR="00D52FD0">
        <w:t xml:space="preserve"> </w:t>
      </w:r>
      <w:r w:rsidR="000A1AAE" w:rsidRPr="00A841AA">
        <w:t>for</w:t>
      </w:r>
      <w:r w:rsidR="00D52FD0">
        <w:t xml:space="preserve"> </w:t>
      </w:r>
      <w:r w:rsidR="000A1AAE" w:rsidRPr="00A841AA">
        <w:t>officially</w:t>
      </w:r>
      <w:r w:rsidR="00D52FD0">
        <w:t xml:space="preserve"> </w:t>
      </w:r>
      <w:r w:rsidR="000A1AAE" w:rsidRPr="00A841AA">
        <w:t>designated</w:t>
      </w:r>
      <w:r w:rsidR="00D52FD0">
        <w:t xml:space="preserve"> </w:t>
      </w:r>
      <w:r w:rsidR="000A1AAE" w:rsidRPr="00A841AA">
        <w:t>bodies</w:t>
      </w:r>
      <w:r w:rsidR="00D52FD0">
        <w:t xml:space="preserve"> </w:t>
      </w:r>
      <w:r w:rsidR="000A1AAE" w:rsidRPr="00A841AA">
        <w:t>should</w:t>
      </w:r>
      <w:r w:rsidR="00D52FD0">
        <w:t xml:space="preserve"> </w:t>
      </w:r>
      <w:r w:rsidR="000A1AAE" w:rsidRPr="00A841AA">
        <w:t>be</w:t>
      </w:r>
      <w:r w:rsidR="00D52FD0">
        <w:t xml:space="preserve"> </w:t>
      </w:r>
      <w:r w:rsidR="000A1AAE" w:rsidRPr="00A841AA">
        <w:t>women.</w:t>
      </w:r>
    </w:p>
    <w:p w14:paraId="5FCB1C9A" w14:textId="1DEFD7F1" w:rsidR="000A1AAE" w:rsidRPr="00A841AA" w:rsidRDefault="0044637E" w:rsidP="0044637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841AA">
        <w:t>134.</w:t>
      </w:r>
      <w:r w:rsidRPr="00A841AA">
        <w:tab/>
      </w:r>
      <w:r w:rsidR="000A1AAE" w:rsidRPr="00A841AA">
        <w:t>While</w:t>
      </w:r>
      <w:r w:rsidR="00D52FD0">
        <w:t xml:space="preserve"> </w:t>
      </w:r>
      <w:r w:rsidR="000A1AAE" w:rsidRPr="00A841AA">
        <w:t>none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provision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Equality</w:t>
      </w:r>
      <w:r w:rsidR="00D52FD0">
        <w:t xml:space="preserve"> </w:t>
      </w:r>
      <w:r w:rsidR="000A1AAE" w:rsidRPr="00A841AA">
        <w:t>Bill</w:t>
      </w:r>
      <w:r w:rsidR="00D52FD0">
        <w:t xml:space="preserve"> </w:t>
      </w:r>
      <w:r w:rsidR="000A1AAE" w:rsidRPr="00A841AA">
        <w:t>directly</w:t>
      </w:r>
      <w:r w:rsidR="00D52FD0">
        <w:t xml:space="preserve"> </w:t>
      </w:r>
      <w:r w:rsidR="000A1AAE" w:rsidRPr="00A841AA">
        <w:t>mentions</w:t>
      </w:r>
      <w:r w:rsidR="00D52FD0">
        <w:t xml:space="preserve"> </w:t>
      </w:r>
      <w:r w:rsidR="00F14DA3">
        <w:t>“</w:t>
      </w:r>
      <w:r w:rsidR="000A1AAE" w:rsidRPr="00A841AA">
        <w:t>stereotypes</w:t>
      </w:r>
      <w:r w:rsidR="00F14DA3">
        <w:t>”</w:t>
      </w:r>
      <w:r w:rsidR="000A1AAE" w:rsidRPr="00A841AA">
        <w:t>,</w:t>
      </w:r>
      <w:r w:rsidR="00D52FD0">
        <w:t xml:space="preserve"> </w:t>
      </w:r>
      <w:r w:rsidR="000A1AAE" w:rsidRPr="00A841AA">
        <w:t>it</w:t>
      </w:r>
      <w:r w:rsidR="00D52FD0">
        <w:t xml:space="preserve"> </w:t>
      </w:r>
      <w:r w:rsidR="000A1AAE" w:rsidRPr="00A841AA">
        <w:t>is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encompass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promotion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equality,</w:t>
      </w:r>
      <w:r w:rsidR="00D52FD0">
        <w:t xml:space="preserve"> </w:t>
      </w:r>
      <w:r w:rsidR="000A1AAE" w:rsidRPr="00A841AA">
        <w:t>thus</w:t>
      </w:r>
      <w:r w:rsidR="00D52FD0">
        <w:t xml:space="preserve"> </w:t>
      </w:r>
      <w:r w:rsidR="000A1AAE" w:rsidRPr="00A841AA">
        <w:t>entailing</w:t>
      </w:r>
      <w:r w:rsidR="00D52FD0">
        <w:t xml:space="preserve"> </w:t>
      </w:r>
      <w:r w:rsidR="000A1AAE" w:rsidRPr="00A841AA">
        <w:t>a</w:t>
      </w:r>
      <w:r w:rsidR="00D52FD0">
        <w:t xml:space="preserve"> </w:t>
      </w:r>
      <w:r w:rsidR="000A1AAE" w:rsidRPr="00A841AA">
        <w:t>pro-active</w:t>
      </w:r>
      <w:r w:rsidR="00D52FD0">
        <w:t xml:space="preserve"> </w:t>
      </w:r>
      <w:r w:rsidR="000A1AAE" w:rsidRPr="00A841AA">
        <w:t>effort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avoid</w:t>
      </w:r>
      <w:r w:rsidR="00D52FD0">
        <w:t xml:space="preserve"> </w:t>
      </w:r>
      <w:r w:rsidR="000A1AAE" w:rsidRPr="00A841AA">
        <w:t>stereotypes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overcome</w:t>
      </w:r>
      <w:r w:rsidR="00D52FD0">
        <w:t xml:space="preserve"> </w:t>
      </w:r>
      <w:r w:rsidR="000A1AAE" w:rsidRPr="00A841AA">
        <w:t>traditional</w:t>
      </w:r>
      <w:r w:rsidR="00D52FD0">
        <w:t xml:space="preserve"> </w:t>
      </w:r>
      <w:r w:rsidR="000A1AAE" w:rsidRPr="00A841AA">
        <w:t>gender</w:t>
      </w:r>
      <w:r w:rsidR="00D52FD0">
        <w:t xml:space="preserve"> </w:t>
      </w:r>
      <w:r w:rsidR="000A1AAE" w:rsidRPr="00A841AA">
        <w:t>roles.</w:t>
      </w:r>
    </w:p>
    <w:p w14:paraId="0E152C5F" w14:textId="0B1774FE" w:rsidR="000A1AAE" w:rsidRPr="00A841AA" w:rsidRDefault="0044637E" w:rsidP="0044637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841AA">
        <w:t>135.</w:t>
      </w:r>
      <w:r w:rsidRPr="00A841AA">
        <w:tab/>
      </w:r>
      <w:r w:rsidR="000A1AAE" w:rsidRPr="00A841AA">
        <w:t>In</w:t>
      </w:r>
      <w:r w:rsidR="00D52FD0">
        <w:t xml:space="preserve"> </w:t>
      </w:r>
      <w:r w:rsidR="000A1AAE" w:rsidRPr="00A841AA">
        <w:t>2019,</w:t>
      </w:r>
      <w:r w:rsidR="00D52FD0">
        <w:t xml:space="preserve"> </w:t>
      </w:r>
      <w:r w:rsidR="000A1AAE" w:rsidRPr="00A841AA">
        <w:t>a</w:t>
      </w:r>
      <w:r w:rsidR="00D52FD0">
        <w:t xml:space="preserve"> </w:t>
      </w:r>
      <w:r w:rsidR="000A1AAE" w:rsidRPr="00A841AA">
        <w:t>report</w:t>
      </w:r>
      <w:r w:rsidR="00D52FD0">
        <w:t xml:space="preserve"> </w:t>
      </w:r>
      <w:r w:rsidR="000A1AAE" w:rsidRPr="00A841AA">
        <w:t>on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Gender</w:t>
      </w:r>
      <w:r w:rsidR="00D52FD0">
        <w:t xml:space="preserve"> </w:t>
      </w:r>
      <w:r w:rsidR="000A1AAE" w:rsidRPr="00A841AA">
        <w:t>Balance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Parliament</w:t>
      </w:r>
      <w:r w:rsidR="00D52FD0">
        <w:t xml:space="preserve"> </w:t>
      </w:r>
      <w:r w:rsidR="000A1AAE" w:rsidRPr="00A841AA">
        <w:t>Reform</w:t>
      </w:r>
      <w:r w:rsidR="00D52FD0">
        <w:t xml:space="preserve"> </w:t>
      </w:r>
      <w:r w:rsidR="000A1AAE" w:rsidRPr="00A841AA">
        <w:t>was</w:t>
      </w:r>
      <w:r w:rsidR="00D52FD0">
        <w:t xml:space="preserve"> </w:t>
      </w:r>
      <w:r w:rsidR="000A1AAE" w:rsidRPr="00A841AA">
        <w:t>presented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Parliament</w:t>
      </w:r>
      <w:r w:rsidR="00D52FD0">
        <w:t xml:space="preserve"> </w:t>
      </w:r>
      <w:r w:rsidR="000A1AAE" w:rsidRPr="00A841AA">
        <w:t>that</w:t>
      </w:r>
      <w:r w:rsidR="00D52FD0">
        <w:t xml:space="preserve"> </w:t>
      </w:r>
      <w:r w:rsidR="000A1AAE" w:rsidRPr="00A841AA">
        <w:t>proposed</w:t>
      </w:r>
      <w:r w:rsidR="00D52FD0">
        <w:t xml:space="preserve"> </w:t>
      </w:r>
      <w:r w:rsidR="000A1AAE" w:rsidRPr="00A841AA">
        <w:t>recommendations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address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dearth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women</w:t>
      </w:r>
      <w:r w:rsidR="00D52FD0">
        <w:t xml:space="preserve"> </w:t>
      </w:r>
      <w:r w:rsidR="000A1AAE" w:rsidRPr="00A841AA">
        <w:t>parliamentarians.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February</w:t>
      </w:r>
      <w:r w:rsidR="00D52FD0">
        <w:t xml:space="preserve"> </w:t>
      </w:r>
      <w:r w:rsidR="000A1AAE" w:rsidRPr="00A841AA">
        <w:t>2020,</w:t>
      </w:r>
      <w:r w:rsidR="00D52FD0">
        <w:t xml:space="preserve"> </w:t>
      </w:r>
      <w:r w:rsidR="000A1AAE" w:rsidRPr="00A841AA">
        <w:t>Hon.</w:t>
      </w:r>
      <w:r w:rsidR="00D52FD0">
        <w:t xml:space="preserve"> </w:t>
      </w:r>
      <w:r w:rsidR="000A1AAE" w:rsidRPr="00A841AA">
        <w:t>Prime</w:t>
      </w:r>
      <w:r w:rsidR="00D52FD0">
        <w:t xml:space="preserve"> </w:t>
      </w:r>
      <w:r w:rsidR="000A1AAE" w:rsidRPr="00A841AA">
        <w:t>Minister</w:t>
      </w:r>
      <w:r w:rsidR="00D52FD0">
        <w:t xml:space="preserve"> </w:t>
      </w:r>
      <w:r w:rsidR="000A1AAE" w:rsidRPr="00A841AA">
        <w:t>Dr.</w:t>
      </w:r>
      <w:r w:rsidR="00D52FD0">
        <w:t xml:space="preserve"> </w:t>
      </w:r>
      <w:r w:rsidR="000A1AAE" w:rsidRPr="00A841AA">
        <w:t>Abela</w:t>
      </w:r>
      <w:r w:rsidR="00D52FD0">
        <w:t xml:space="preserve"> </w:t>
      </w:r>
      <w:r w:rsidR="000A1AAE" w:rsidRPr="00A841AA">
        <w:t>reaffirmed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government</w:t>
      </w:r>
      <w:r w:rsidR="00F14DA3">
        <w:t>’</w:t>
      </w:r>
      <w:r w:rsidR="000A1AAE" w:rsidRPr="00A841AA">
        <w:t>s</w:t>
      </w:r>
      <w:r w:rsidR="00D52FD0">
        <w:t xml:space="preserve"> </w:t>
      </w:r>
      <w:r w:rsidR="000A1AAE" w:rsidRPr="00A841AA">
        <w:t>commitment</w:t>
      </w:r>
      <w:r w:rsidR="00D52FD0">
        <w:t xml:space="preserve"> </w:t>
      </w:r>
      <w:r w:rsidR="000A1AAE" w:rsidRPr="00A841AA">
        <w:t>towards</w:t>
      </w:r>
      <w:r w:rsidR="00D52FD0">
        <w:t xml:space="preserve"> </w:t>
      </w:r>
      <w:r w:rsidR="000A1AAE" w:rsidRPr="00A841AA">
        <w:t>gender</w:t>
      </w:r>
      <w:r w:rsidR="00D52FD0">
        <w:t xml:space="preserve"> </w:t>
      </w:r>
      <w:r w:rsidR="000A1AAE" w:rsidRPr="00A841AA">
        <w:t>balanced</w:t>
      </w:r>
      <w:r w:rsidR="00D52FD0">
        <w:t xml:space="preserve"> </w:t>
      </w:r>
      <w:r w:rsidR="000A1AAE" w:rsidRPr="00A841AA">
        <w:t>representation,</w:t>
      </w:r>
      <w:r w:rsidR="00D52FD0">
        <w:t xml:space="preserve"> </w:t>
      </w:r>
      <w:r w:rsidR="000A1AAE" w:rsidRPr="00A841AA">
        <w:t>not</w:t>
      </w:r>
      <w:r w:rsidR="00D52FD0">
        <w:t xml:space="preserve"> </w:t>
      </w:r>
      <w:r w:rsidR="000A1AAE" w:rsidRPr="00A841AA">
        <w:t>only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parliament</w:t>
      </w:r>
      <w:r w:rsidR="00D52FD0">
        <w:t xml:space="preserve"> </w:t>
      </w:r>
      <w:r w:rsidR="000A1AAE" w:rsidRPr="00A841AA">
        <w:t>but</w:t>
      </w:r>
      <w:r w:rsidR="00D52FD0">
        <w:t xml:space="preserve"> </w:t>
      </w:r>
      <w:r w:rsidR="000A1AAE" w:rsidRPr="00A841AA">
        <w:t>also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directorship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governmental</w:t>
      </w:r>
      <w:r w:rsidR="00D52FD0">
        <w:t xml:space="preserve"> </w:t>
      </w:r>
      <w:r w:rsidR="000A1AAE" w:rsidRPr="00A841AA">
        <w:t>roles.</w:t>
      </w:r>
      <w:r w:rsidR="00D52FD0">
        <w:t xml:space="preserve"> </w:t>
      </w:r>
      <w:r w:rsidR="000A1AAE" w:rsidRPr="00A841AA">
        <w:t>Moreover,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gender</w:t>
      </w:r>
      <w:r w:rsidR="00D52FD0">
        <w:t xml:space="preserve"> </w:t>
      </w:r>
      <w:r w:rsidR="000A1AAE" w:rsidRPr="00A841AA">
        <w:t>parity</w:t>
      </w:r>
      <w:r w:rsidR="00D52FD0">
        <w:t xml:space="preserve"> </w:t>
      </w:r>
      <w:r w:rsidR="000A1AAE" w:rsidRPr="00A841AA">
        <w:t>mechanism,</w:t>
      </w:r>
      <w:r w:rsidR="00D52FD0">
        <w:t xml:space="preserve"> </w:t>
      </w:r>
      <w:r w:rsidR="000A1AAE" w:rsidRPr="00A841AA">
        <w:t>identified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2019</w:t>
      </w:r>
      <w:r w:rsidR="00D52FD0">
        <w:t xml:space="preserve"> </w:t>
      </w:r>
      <w:r w:rsidR="000A1AAE" w:rsidRPr="00A841AA">
        <w:t>reform</w:t>
      </w:r>
      <w:r w:rsidR="00D52FD0">
        <w:t xml:space="preserve"> </w:t>
      </w:r>
      <w:r w:rsidR="000A1AAE" w:rsidRPr="00A841AA">
        <w:t>report,</w:t>
      </w:r>
      <w:r w:rsidR="00D52FD0">
        <w:t xml:space="preserve"> </w:t>
      </w:r>
      <w:r w:rsidR="000A1AAE" w:rsidRPr="00A841AA">
        <w:t>would</w:t>
      </w:r>
      <w:r w:rsidR="00D52FD0">
        <w:t xml:space="preserve"> </w:t>
      </w:r>
      <w:r w:rsidR="000A1AAE" w:rsidRPr="00A841AA">
        <w:t>enable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increase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female</w:t>
      </w:r>
      <w:r w:rsidR="00D52FD0">
        <w:t xml:space="preserve"> </w:t>
      </w:r>
      <w:r w:rsidR="000A1AAE" w:rsidRPr="00A841AA">
        <w:t>representation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parliament.</w:t>
      </w:r>
      <w:r w:rsidR="00D52FD0">
        <w:t xml:space="preserve"> </w:t>
      </w:r>
      <w:r w:rsidR="000A1AAE" w:rsidRPr="00A841AA">
        <w:t>It</w:t>
      </w:r>
      <w:r w:rsidR="00D52FD0">
        <w:t xml:space="preserve"> </w:t>
      </w:r>
      <w:r w:rsidR="000A1AAE" w:rsidRPr="00A841AA">
        <w:t>is</w:t>
      </w:r>
      <w:r w:rsidR="00D52FD0">
        <w:t xml:space="preserve"> </w:t>
      </w:r>
      <w:r w:rsidR="000A1AAE" w:rsidRPr="00A841AA">
        <w:t>important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note</w:t>
      </w:r>
      <w:r w:rsidR="00D52FD0">
        <w:t xml:space="preserve"> </w:t>
      </w:r>
      <w:r w:rsidR="000A1AAE" w:rsidRPr="00A841AA">
        <w:t>that</w:t>
      </w:r>
      <w:r w:rsidR="00D52FD0">
        <w:t xml:space="preserve"> </w:t>
      </w:r>
      <w:r w:rsidR="000A1AAE" w:rsidRPr="00A841AA">
        <w:t>an</w:t>
      </w:r>
      <w:r w:rsidR="00D52FD0">
        <w:t xml:space="preserve"> </w:t>
      </w:r>
      <w:r w:rsidR="000A1AAE" w:rsidRPr="00A841AA">
        <w:t>agreement</w:t>
      </w:r>
      <w:r w:rsidR="00D52FD0">
        <w:t xml:space="preserve"> </w:t>
      </w:r>
      <w:r w:rsidR="000A1AAE" w:rsidRPr="00A841AA">
        <w:t>on</w:t>
      </w:r>
      <w:r w:rsidR="00D52FD0">
        <w:t xml:space="preserve"> </w:t>
      </w:r>
      <w:r w:rsidR="000A1AAE" w:rsidRPr="00A841AA">
        <w:t>said</w:t>
      </w:r>
      <w:r w:rsidR="00D52FD0">
        <w:t xml:space="preserve"> </w:t>
      </w:r>
      <w:r w:rsidR="000A1AAE" w:rsidRPr="00A841AA">
        <w:t>proposals</w:t>
      </w:r>
      <w:r w:rsidR="00D52FD0">
        <w:t xml:space="preserve"> </w:t>
      </w:r>
      <w:r w:rsidR="000A1AAE" w:rsidRPr="00A841AA">
        <w:t>was</w:t>
      </w:r>
      <w:r w:rsidR="00D52FD0">
        <w:t xml:space="preserve"> </w:t>
      </w:r>
      <w:r w:rsidR="000A1AAE" w:rsidRPr="00A841AA">
        <w:t>reached</w:t>
      </w:r>
      <w:r w:rsidR="00D52FD0">
        <w:t xml:space="preserve"> </w:t>
      </w:r>
      <w:r w:rsidR="000A1AAE" w:rsidRPr="00A841AA">
        <w:t>with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opposition.</w:t>
      </w:r>
      <w:r w:rsidR="00D52FD0">
        <w:t xml:space="preserve"> </w:t>
      </w:r>
      <w:r w:rsidR="000A1AAE" w:rsidRPr="00A841AA">
        <w:t>Indeed,</w:t>
      </w:r>
      <w:r w:rsidR="00D52FD0">
        <w:t xml:space="preserve"> </w:t>
      </w:r>
      <w:r w:rsidR="000A1AAE" w:rsidRPr="00A841AA">
        <w:t>Act</w:t>
      </w:r>
      <w:r w:rsidR="00D52FD0">
        <w:t xml:space="preserve"> </w:t>
      </w:r>
      <w:r w:rsidR="000A1AAE" w:rsidRPr="00A841AA">
        <w:t>XX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2020</w:t>
      </w:r>
      <w:r w:rsidR="00D52FD0">
        <w:t xml:space="preserve"> </w:t>
      </w:r>
      <w:r w:rsidR="000A1AAE" w:rsidRPr="00A841AA">
        <w:t>was</w:t>
      </w:r>
      <w:r w:rsidR="00D52FD0">
        <w:t xml:space="preserve"> </w:t>
      </w:r>
      <w:r w:rsidR="000A1AAE" w:rsidRPr="00A841AA">
        <w:t>successfully</w:t>
      </w:r>
      <w:r w:rsidR="00D52FD0">
        <w:t xml:space="preserve"> </w:t>
      </w:r>
      <w:r w:rsidR="000A1AAE" w:rsidRPr="00A841AA">
        <w:t>approved</w:t>
      </w:r>
      <w:r w:rsidR="00D52FD0">
        <w:t xml:space="preserve"> </w:t>
      </w:r>
      <w:r w:rsidR="000A1AAE" w:rsidRPr="00A841AA">
        <w:t>by</w:t>
      </w:r>
      <w:r w:rsidR="00D52FD0">
        <w:t xml:space="preserve"> </w:t>
      </w:r>
      <w:r w:rsidR="000A1AAE" w:rsidRPr="00A841AA">
        <w:t>Parliament,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mechanism</w:t>
      </w:r>
      <w:r w:rsidR="00D52FD0">
        <w:t xml:space="preserve"> </w:t>
      </w:r>
      <w:r w:rsidR="000A1AAE" w:rsidRPr="00A841AA">
        <w:t>which</w:t>
      </w:r>
      <w:r w:rsidR="00D52FD0">
        <w:t xml:space="preserve"> </w:t>
      </w:r>
      <w:r w:rsidR="000A1AAE" w:rsidRPr="00A841AA">
        <w:t>will</w:t>
      </w:r>
      <w:r w:rsidR="00D52FD0">
        <w:t xml:space="preserve"> </w:t>
      </w:r>
      <w:r w:rsidR="000A1AAE" w:rsidRPr="00A841AA">
        <w:t>ensure</w:t>
      </w:r>
      <w:r w:rsidR="00D52FD0">
        <w:t xml:space="preserve"> </w:t>
      </w:r>
      <w:r w:rsidR="000A1AAE" w:rsidRPr="00A841AA">
        <w:t>that</w:t>
      </w:r>
      <w:r w:rsidR="00D52FD0">
        <w:t xml:space="preserve"> </w:t>
      </w:r>
      <w:r w:rsidR="000A1AAE" w:rsidRPr="00A841AA">
        <w:t>at</w:t>
      </w:r>
      <w:r w:rsidR="00D52FD0">
        <w:t xml:space="preserve"> </w:t>
      </w:r>
      <w:r w:rsidR="000A1AAE" w:rsidRPr="00A841AA">
        <w:t>least</w:t>
      </w:r>
      <w:r w:rsidR="00D52FD0">
        <w:t xml:space="preserve"> </w:t>
      </w:r>
      <w:r w:rsidR="000A1AAE" w:rsidRPr="00A841AA">
        <w:t>40%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representatives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House</w:t>
      </w:r>
      <w:r w:rsidR="00D52FD0">
        <w:t xml:space="preserve"> </w:t>
      </w:r>
      <w:r w:rsidR="000A1AAE" w:rsidRPr="00A841AA">
        <w:t>are</w:t>
      </w:r>
      <w:r w:rsidR="00D52FD0">
        <w:t xml:space="preserve"> </w:t>
      </w:r>
      <w:r w:rsidR="000A1AAE" w:rsidRPr="00A841AA">
        <w:t>women</w:t>
      </w:r>
      <w:r w:rsidR="00D52FD0">
        <w:t xml:space="preserve"> </w:t>
      </w:r>
      <w:r w:rsidR="000A1AAE" w:rsidRPr="00A841AA">
        <w:t>will</w:t>
      </w:r>
      <w:r w:rsidR="00D52FD0">
        <w:t xml:space="preserve"> </w:t>
      </w:r>
      <w:r w:rsidR="000A1AAE" w:rsidRPr="00A841AA">
        <w:t>be</w:t>
      </w:r>
      <w:r w:rsidR="00D52FD0">
        <w:t xml:space="preserve"> </w:t>
      </w:r>
      <w:r w:rsidR="000A1AAE" w:rsidRPr="00A841AA">
        <w:t>enacted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next</w:t>
      </w:r>
      <w:r w:rsidR="00D52FD0">
        <w:t xml:space="preserve"> </w:t>
      </w:r>
      <w:r w:rsidR="000A1AAE" w:rsidRPr="00A841AA">
        <w:t>general</w:t>
      </w:r>
      <w:r w:rsidR="00D52FD0">
        <w:t xml:space="preserve"> </w:t>
      </w:r>
      <w:r w:rsidR="000A1AAE" w:rsidRPr="00A841AA">
        <w:t>election.</w:t>
      </w:r>
    </w:p>
    <w:p w14:paraId="5D53E59E" w14:textId="0DC64A27" w:rsidR="000A1AAE" w:rsidRPr="00A841AA" w:rsidRDefault="0044637E" w:rsidP="0044637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841AA">
        <w:lastRenderedPageBreak/>
        <w:t>136.</w:t>
      </w:r>
      <w:r w:rsidRPr="00A841AA">
        <w:tab/>
      </w:r>
      <w:r w:rsidR="000A1AAE" w:rsidRPr="00A841AA">
        <w:t>In</w:t>
      </w:r>
      <w:r w:rsidR="00D52FD0">
        <w:t xml:space="preserve"> </w:t>
      </w:r>
      <w:r w:rsidR="000A1AAE" w:rsidRPr="00A841AA">
        <w:t>April</w:t>
      </w:r>
      <w:r w:rsidR="00D52FD0">
        <w:t xml:space="preserve"> </w:t>
      </w:r>
      <w:r w:rsidR="000A1AAE" w:rsidRPr="00A841AA">
        <w:t>2021,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Maltese</w:t>
      </w:r>
      <w:r w:rsidR="00D52FD0">
        <w:t xml:space="preserve"> </w:t>
      </w:r>
      <w:r w:rsidR="000A1AAE" w:rsidRPr="00A841AA">
        <w:t>Parliament</w:t>
      </w:r>
      <w:r w:rsidR="00D52FD0">
        <w:t xml:space="preserve"> </w:t>
      </w:r>
      <w:r w:rsidR="000A1AAE" w:rsidRPr="00A841AA">
        <w:t>passed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Constitution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Malta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Various</w:t>
      </w:r>
      <w:r w:rsidR="00D52FD0">
        <w:t xml:space="preserve"> </w:t>
      </w:r>
      <w:r w:rsidR="000A1AAE" w:rsidRPr="00A841AA">
        <w:t>Laws</w:t>
      </w:r>
      <w:r w:rsidR="00D52FD0">
        <w:t xml:space="preserve"> </w:t>
      </w:r>
      <w:r w:rsidR="000A1AAE" w:rsidRPr="00A841AA">
        <w:t>(Amendment)</w:t>
      </w:r>
      <w:r w:rsidR="00D52FD0">
        <w:t xml:space="preserve"> </w:t>
      </w:r>
      <w:r w:rsidR="000A1AAE" w:rsidRPr="00A841AA">
        <w:t>Bill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amend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Constitution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Malta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introduce</w:t>
      </w:r>
      <w:r w:rsidR="00D52FD0">
        <w:t xml:space="preserve"> </w:t>
      </w:r>
      <w:r w:rsidR="000A1AAE" w:rsidRPr="00A841AA">
        <w:t>temporary</w:t>
      </w:r>
      <w:r w:rsidR="00D52FD0">
        <w:t xml:space="preserve"> </w:t>
      </w:r>
      <w:r w:rsidR="000A1AAE" w:rsidRPr="00A841AA">
        <w:t>positive</w:t>
      </w:r>
      <w:r w:rsidR="00D52FD0">
        <w:t xml:space="preserve"> </w:t>
      </w:r>
      <w:r w:rsidR="000A1AAE" w:rsidRPr="00A841AA">
        <w:t>measures</w:t>
      </w:r>
      <w:r w:rsidR="00D52FD0">
        <w:t xml:space="preserve"> </w:t>
      </w:r>
      <w:r w:rsidR="000A1AAE" w:rsidRPr="00A841AA">
        <w:t>necessary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reasonable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a</w:t>
      </w:r>
      <w:r w:rsidR="00D52FD0">
        <w:t xml:space="preserve"> </w:t>
      </w:r>
      <w:r w:rsidR="000A1AAE" w:rsidRPr="00A841AA">
        <w:t>democratic</w:t>
      </w:r>
      <w:r w:rsidR="00D52FD0">
        <w:t xml:space="preserve"> </w:t>
      </w:r>
      <w:r w:rsidR="000A1AAE" w:rsidRPr="00A841AA">
        <w:t>society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ensure</w:t>
      </w:r>
      <w:r w:rsidR="00D52FD0">
        <w:t xml:space="preserve"> </w:t>
      </w:r>
      <w:r w:rsidR="000A1AAE" w:rsidRPr="00A841AA">
        <w:t>de</w:t>
      </w:r>
      <w:r w:rsidR="00D52FD0">
        <w:t xml:space="preserve"> </w:t>
      </w:r>
      <w:r w:rsidR="000A1AAE" w:rsidRPr="00A841AA">
        <w:t>facto</w:t>
      </w:r>
      <w:r w:rsidR="00D52FD0">
        <w:t xml:space="preserve"> </w:t>
      </w:r>
      <w:r w:rsidR="000A1AAE" w:rsidRPr="00A841AA">
        <w:t>equality</w:t>
      </w:r>
      <w:r w:rsidR="00D52FD0">
        <w:t xml:space="preserve"> </w:t>
      </w:r>
      <w:r w:rsidR="000A1AAE" w:rsidRPr="00A841AA">
        <w:t>between</w:t>
      </w:r>
      <w:r w:rsidR="00D52FD0">
        <w:t xml:space="preserve"> </w:t>
      </w:r>
      <w:r w:rsidR="000A1AAE" w:rsidRPr="00A841AA">
        <w:t>men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women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politics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also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amendment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General</w:t>
      </w:r>
      <w:r w:rsidR="00D52FD0">
        <w:t xml:space="preserve"> </w:t>
      </w:r>
      <w:r w:rsidR="000A1AAE" w:rsidRPr="00A841AA">
        <w:t>Elections</w:t>
      </w:r>
      <w:r w:rsidR="00D52FD0">
        <w:t xml:space="preserve"> </w:t>
      </w:r>
      <w:r w:rsidR="000A1AAE" w:rsidRPr="00A841AA">
        <w:t>Act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increase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number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electoral</w:t>
      </w:r>
      <w:r w:rsidR="00D52FD0">
        <w:t xml:space="preserve"> </w:t>
      </w:r>
      <w:r w:rsidR="000A1AAE" w:rsidRPr="00A841AA">
        <w:t>commissioners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ensure</w:t>
      </w:r>
      <w:r w:rsidR="00D52FD0">
        <w:t xml:space="preserve"> </w:t>
      </w:r>
      <w:r w:rsidR="000A1AAE" w:rsidRPr="00A841AA">
        <w:t>equal</w:t>
      </w:r>
      <w:r w:rsidR="00D52FD0">
        <w:t xml:space="preserve"> </w:t>
      </w:r>
      <w:r w:rsidR="000A1AAE" w:rsidRPr="00A841AA">
        <w:t>representation</w:t>
      </w:r>
      <w:r w:rsidR="00D52FD0">
        <w:t xml:space="preserve"> </w:t>
      </w:r>
      <w:r w:rsidR="000A1AAE" w:rsidRPr="00A841AA">
        <w:t>between</w:t>
      </w:r>
      <w:r w:rsidR="00D52FD0">
        <w:t xml:space="preserve"> </w:t>
      </w:r>
      <w:r w:rsidR="000A1AAE" w:rsidRPr="00A841AA">
        <w:t>sexes.</w:t>
      </w:r>
    </w:p>
    <w:p w14:paraId="769CC592" w14:textId="22C57FD8" w:rsidR="000A1AAE" w:rsidRPr="00A841AA" w:rsidRDefault="0044637E" w:rsidP="0044637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841AA">
        <w:t>137.</w:t>
      </w:r>
      <w:r w:rsidRPr="00A841AA">
        <w:tab/>
      </w:r>
      <w:r w:rsidR="000A1AAE" w:rsidRPr="00A841AA">
        <w:t>In</w:t>
      </w:r>
      <w:r w:rsidR="00D52FD0">
        <w:t xml:space="preserve"> </w:t>
      </w:r>
      <w:r w:rsidR="000A1AAE" w:rsidRPr="00A841AA">
        <w:t>2020</w:t>
      </w:r>
      <w:r w:rsidR="00D52FD0">
        <w:t xml:space="preserve"> </w:t>
      </w:r>
      <w:r w:rsidR="000A1AAE" w:rsidRPr="00A841AA">
        <w:t>NCPE</w:t>
      </w:r>
      <w:r w:rsidR="00D52FD0">
        <w:t xml:space="preserve"> </w:t>
      </w:r>
      <w:r w:rsidR="000A1AAE" w:rsidRPr="00A841AA">
        <w:t>finalised</w:t>
      </w:r>
      <w:r w:rsidR="00D52FD0">
        <w:t xml:space="preserve"> </w:t>
      </w:r>
      <w:r w:rsidR="000A1AAE" w:rsidRPr="00A841AA">
        <w:t>its</w:t>
      </w:r>
      <w:r w:rsidR="00D52FD0">
        <w:t xml:space="preserve"> </w:t>
      </w:r>
      <w:r w:rsidR="000A1AAE" w:rsidRPr="00A841AA">
        <w:t>EU</w:t>
      </w:r>
      <w:r w:rsidR="00D52FD0">
        <w:t xml:space="preserve"> </w:t>
      </w:r>
      <w:r w:rsidR="000A1AAE" w:rsidRPr="00A841AA">
        <w:t>co-funded</w:t>
      </w:r>
      <w:r w:rsidR="00D52FD0">
        <w:t xml:space="preserve"> </w:t>
      </w:r>
      <w:r w:rsidR="000A1AAE" w:rsidRPr="00A841AA">
        <w:t>project</w:t>
      </w:r>
      <w:r w:rsidR="00D52FD0">
        <w:t xml:space="preserve"> </w:t>
      </w:r>
      <w:r w:rsidR="000A1AAE" w:rsidRPr="00A841AA">
        <w:t>Prepare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Ground</w:t>
      </w:r>
      <w:r w:rsidR="00D52FD0">
        <w:t xml:space="preserve"> </w:t>
      </w:r>
      <w:r w:rsidR="000A1AAE" w:rsidRPr="00A841AA">
        <w:t>for</w:t>
      </w:r>
      <w:r w:rsidR="00D52FD0">
        <w:t xml:space="preserve"> </w:t>
      </w:r>
      <w:r w:rsidR="000A1AAE" w:rsidRPr="00A841AA">
        <w:t>Economic</w:t>
      </w:r>
      <w:r w:rsidR="00D52FD0">
        <w:t xml:space="preserve"> </w:t>
      </w:r>
      <w:r w:rsidR="000A1AAE" w:rsidRPr="00A841AA">
        <w:t>Independence</w:t>
      </w:r>
      <w:r w:rsidR="00D52FD0">
        <w:t xml:space="preserve"> </w:t>
      </w:r>
      <w:r w:rsidR="000A1AAE" w:rsidRPr="00A841AA">
        <w:t>(PGEI)</w:t>
      </w:r>
      <w:r w:rsidR="00D52FD0">
        <w:t xml:space="preserve"> </w:t>
      </w:r>
      <w:r w:rsidR="000A1AAE" w:rsidRPr="00A841AA">
        <w:t>which</w:t>
      </w:r>
      <w:r w:rsidR="00D52FD0">
        <w:t xml:space="preserve"> </w:t>
      </w:r>
      <w:r w:rsidR="000A1AAE" w:rsidRPr="00A841AA">
        <w:t>addressed</w:t>
      </w:r>
      <w:r w:rsidR="00D52FD0">
        <w:t xml:space="preserve"> </w:t>
      </w:r>
      <w:r w:rsidR="000A1AAE" w:rsidRPr="00A841AA">
        <w:t>existing</w:t>
      </w:r>
      <w:r w:rsidR="00D52FD0">
        <w:t xml:space="preserve"> </w:t>
      </w:r>
      <w:r w:rsidR="000A1AAE" w:rsidRPr="00A841AA">
        <w:t>gender</w:t>
      </w:r>
      <w:r w:rsidR="00D52FD0">
        <w:t xml:space="preserve"> </w:t>
      </w:r>
      <w:r w:rsidR="000A1AAE" w:rsidRPr="00A841AA">
        <w:t>gaps</w:t>
      </w:r>
      <w:r w:rsidR="00D52FD0">
        <w:t xml:space="preserve"> </w:t>
      </w:r>
      <w:r w:rsidR="000A1AAE" w:rsidRPr="00A841AA">
        <w:t>over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life</w:t>
      </w:r>
      <w:r w:rsidR="00D52FD0">
        <w:t xml:space="preserve"> </w:t>
      </w:r>
      <w:r w:rsidR="000A1AAE" w:rsidRPr="00A841AA">
        <w:t>cycle.</w:t>
      </w:r>
      <w:r w:rsidR="00D52FD0">
        <w:t xml:space="preserve"> </w:t>
      </w:r>
      <w:r w:rsidR="000A1AAE" w:rsidRPr="00A841AA">
        <w:t>An</w:t>
      </w:r>
      <w:r w:rsidR="00D52FD0">
        <w:t xml:space="preserve"> </w:t>
      </w:r>
      <w:r w:rsidR="000A1AAE" w:rsidRPr="00A841AA">
        <w:t>Equal</w:t>
      </w:r>
      <w:r w:rsidR="00D52FD0">
        <w:t xml:space="preserve"> </w:t>
      </w:r>
      <w:r w:rsidR="000A1AAE" w:rsidRPr="00A841AA">
        <w:t>Pay</w:t>
      </w:r>
      <w:r w:rsidR="00D52FD0">
        <w:t xml:space="preserve"> </w:t>
      </w:r>
      <w:r w:rsidR="000A1AAE" w:rsidRPr="00A841AA">
        <w:t>Tool</w:t>
      </w:r>
      <w:r w:rsidR="00D52FD0">
        <w:t xml:space="preserve"> </w:t>
      </w:r>
      <w:r w:rsidR="000A1AAE" w:rsidRPr="00A841AA">
        <w:t>has</w:t>
      </w:r>
      <w:r w:rsidR="00D52FD0">
        <w:t xml:space="preserve"> </w:t>
      </w:r>
      <w:r w:rsidR="000A1AAE" w:rsidRPr="00A841AA">
        <w:t>been</w:t>
      </w:r>
      <w:r w:rsidR="00D52FD0">
        <w:t xml:space="preserve"> </w:t>
      </w:r>
      <w:r w:rsidR="000A1AAE" w:rsidRPr="00A841AA">
        <w:t>developed</w:t>
      </w:r>
      <w:r w:rsidR="00D52FD0">
        <w:t xml:space="preserve"> </w:t>
      </w:r>
      <w:r w:rsidR="000A1AAE" w:rsidRPr="00A841AA">
        <w:t>for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Equality</w:t>
      </w:r>
      <w:r w:rsidR="00D52FD0">
        <w:t xml:space="preserve"> </w:t>
      </w:r>
      <w:r w:rsidR="000A1AAE" w:rsidRPr="00A841AA">
        <w:t>Mark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is</w:t>
      </w:r>
      <w:r w:rsidR="00D52FD0">
        <w:t xml:space="preserve"> </w:t>
      </w:r>
      <w:r w:rsidR="000A1AAE" w:rsidRPr="00A841AA">
        <w:t>nationally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first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its</w:t>
      </w:r>
      <w:r w:rsidR="00D52FD0">
        <w:t xml:space="preserve"> </w:t>
      </w:r>
      <w:r w:rsidR="000A1AAE" w:rsidRPr="00A841AA">
        <w:t>kind;</w:t>
      </w:r>
      <w:r w:rsidR="00D52FD0">
        <w:t xml:space="preserve"> </w:t>
      </w:r>
      <w:r w:rsidR="000A1AAE" w:rsidRPr="00A841AA">
        <w:t>a</w:t>
      </w:r>
      <w:r w:rsidR="00D52FD0">
        <w:t xml:space="preserve"> </w:t>
      </w:r>
      <w:r w:rsidR="000A1AAE" w:rsidRPr="00A841AA">
        <w:t>baseline</w:t>
      </w:r>
      <w:r w:rsidR="00D52FD0">
        <w:t xml:space="preserve"> </w:t>
      </w:r>
      <w:r w:rsidR="000A1AAE" w:rsidRPr="00A841AA">
        <w:t>upon</w:t>
      </w:r>
      <w:r w:rsidR="00D52FD0">
        <w:t xml:space="preserve"> </w:t>
      </w:r>
      <w:r w:rsidR="000A1AAE" w:rsidRPr="00A841AA">
        <w:t>which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keep</w:t>
      </w:r>
      <w:r w:rsidR="00D52FD0">
        <w:t xml:space="preserve"> </w:t>
      </w:r>
      <w:r w:rsidR="000A1AAE" w:rsidRPr="00A841AA">
        <w:t>improving.</w:t>
      </w:r>
      <w:r w:rsidR="00D52FD0">
        <w:t xml:space="preserve"> </w:t>
      </w:r>
      <w:r w:rsidR="000A1AAE" w:rsidRPr="00A841AA">
        <w:t>Since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Equal</w:t>
      </w:r>
      <w:r w:rsidR="00D52FD0">
        <w:t xml:space="preserve"> </w:t>
      </w:r>
      <w:r w:rsidR="000A1AAE" w:rsidRPr="00A841AA">
        <w:t>Pay</w:t>
      </w:r>
      <w:r w:rsidR="00D52FD0">
        <w:t xml:space="preserve"> </w:t>
      </w:r>
      <w:r w:rsidR="000A1AAE" w:rsidRPr="00A841AA">
        <w:t>Tool</w:t>
      </w:r>
      <w:r w:rsidR="00D52FD0">
        <w:t xml:space="preserve"> </w:t>
      </w:r>
      <w:r w:rsidR="000A1AAE" w:rsidRPr="00A841AA">
        <w:t>has</w:t>
      </w:r>
      <w:r w:rsidR="00D52FD0">
        <w:t xml:space="preserve"> </w:t>
      </w:r>
      <w:r w:rsidR="000A1AAE" w:rsidRPr="00A841AA">
        <w:t>been</w:t>
      </w:r>
      <w:r w:rsidR="00D52FD0">
        <w:t xml:space="preserve"> </w:t>
      </w:r>
      <w:r w:rsidR="000A1AAE" w:rsidRPr="00A841AA">
        <w:t>developed</w:t>
      </w:r>
      <w:r w:rsidR="00D52FD0">
        <w:t xml:space="preserve"> </w:t>
      </w:r>
      <w:r w:rsidR="000A1AAE" w:rsidRPr="00A841AA">
        <w:t>within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framework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Equality</w:t>
      </w:r>
      <w:r w:rsidR="00D52FD0">
        <w:t xml:space="preserve"> </w:t>
      </w:r>
      <w:r w:rsidR="000A1AAE" w:rsidRPr="00A841AA">
        <w:t>Mark</w:t>
      </w:r>
      <w:r w:rsidR="00D52FD0">
        <w:t xml:space="preserve"> </w:t>
      </w:r>
      <w:r w:rsidR="000A1AAE" w:rsidRPr="00A841AA">
        <w:t>certification,</w:t>
      </w:r>
      <w:r w:rsidR="00D52FD0">
        <w:t xml:space="preserve"> </w:t>
      </w:r>
      <w:r w:rsidR="000A1AAE" w:rsidRPr="00A841AA">
        <w:t>NCPE</w:t>
      </w:r>
      <w:r w:rsidR="00D52FD0">
        <w:t xml:space="preserve"> </w:t>
      </w:r>
      <w:r w:rsidR="000A1AAE" w:rsidRPr="00A841AA">
        <w:t>is</w:t>
      </w:r>
      <w:r w:rsidR="00D52FD0">
        <w:t xml:space="preserve"> </w:t>
      </w:r>
      <w:r w:rsidR="000A1AAE" w:rsidRPr="00A841AA">
        <w:t>prepared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do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same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keep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revamped</w:t>
      </w:r>
      <w:r w:rsidR="00D52FD0">
        <w:t xml:space="preserve"> </w:t>
      </w:r>
      <w:r w:rsidR="000A1AAE" w:rsidRPr="00A841AA">
        <w:t>Equality</w:t>
      </w:r>
      <w:r w:rsidR="00D52FD0">
        <w:t xml:space="preserve"> </w:t>
      </w:r>
      <w:r w:rsidR="000A1AAE" w:rsidRPr="00A841AA">
        <w:t>Mark</w:t>
      </w:r>
      <w:r w:rsidR="00D52FD0">
        <w:t xml:space="preserve"> </w:t>
      </w:r>
      <w:r w:rsidR="000A1AAE" w:rsidRPr="00A841AA">
        <w:t>going</w:t>
      </w:r>
      <w:r w:rsidR="00D52FD0">
        <w:t xml:space="preserve"> </w:t>
      </w:r>
      <w:r w:rsidR="000A1AAE" w:rsidRPr="00A841AA">
        <w:t>beyond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project</w:t>
      </w:r>
      <w:r w:rsidR="00D52FD0">
        <w:t xml:space="preserve"> </w:t>
      </w:r>
      <w:r w:rsidR="000A1AAE" w:rsidRPr="00A841AA">
        <w:t>lifetime.</w:t>
      </w:r>
      <w:r w:rsidR="00D52FD0">
        <w:t xml:space="preserve"> </w:t>
      </w:r>
      <w:r w:rsidR="000A1AAE" w:rsidRPr="00A841AA">
        <w:t>Once</w:t>
      </w:r>
      <w:r w:rsidR="00D52FD0">
        <w:t xml:space="preserve"> </w:t>
      </w:r>
      <w:r w:rsidR="000A1AAE" w:rsidRPr="00A841AA">
        <w:t>organizations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companies</w:t>
      </w:r>
      <w:r w:rsidR="00D52FD0">
        <w:t xml:space="preserve"> </w:t>
      </w:r>
      <w:r w:rsidR="000A1AAE" w:rsidRPr="00A841AA">
        <w:t>opt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also</w:t>
      </w:r>
      <w:r w:rsidR="00D52FD0">
        <w:t xml:space="preserve"> </w:t>
      </w:r>
      <w:r w:rsidR="000A1AAE" w:rsidRPr="00A841AA">
        <w:t>be</w:t>
      </w:r>
      <w:r w:rsidR="00D52FD0">
        <w:t xml:space="preserve"> </w:t>
      </w:r>
      <w:r w:rsidR="000A1AAE" w:rsidRPr="00A841AA">
        <w:t>equal</w:t>
      </w:r>
      <w:r w:rsidR="00D52FD0">
        <w:t xml:space="preserve"> </w:t>
      </w:r>
      <w:r w:rsidR="000A1AAE" w:rsidRPr="00A841AA">
        <w:t>pay</w:t>
      </w:r>
      <w:r w:rsidR="00D52FD0">
        <w:t xml:space="preserve"> </w:t>
      </w:r>
      <w:r w:rsidR="000A1AAE" w:rsidRPr="00A841AA">
        <w:t>certified</w:t>
      </w:r>
      <w:r w:rsidR="00D52FD0">
        <w:t xml:space="preserve"> </w:t>
      </w:r>
      <w:r w:rsidR="000A1AAE" w:rsidRPr="00A841AA">
        <w:t>through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use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this</w:t>
      </w:r>
      <w:r w:rsidR="00D52FD0">
        <w:t xml:space="preserve"> </w:t>
      </w:r>
      <w:r w:rsidR="000A1AAE" w:rsidRPr="00A841AA">
        <w:t>Tool,</w:t>
      </w:r>
      <w:r w:rsidR="00D52FD0">
        <w:t xml:space="preserve"> </w:t>
      </w:r>
      <w:r w:rsidR="000A1AAE" w:rsidRPr="00A841AA">
        <w:t>this</w:t>
      </w:r>
      <w:r w:rsidR="00D52FD0">
        <w:t xml:space="preserve"> </w:t>
      </w:r>
      <w:r w:rsidR="000A1AAE" w:rsidRPr="00A841AA">
        <w:t>will</w:t>
      </w:r>
      <w:r w:rsidR="00D52FD0">
        <w:t xml:space="preserve"> </w:t>
      </w:r>
      <w:r w:rsidR="000A1AAE" w:rsidRPr="00A841AA">
        <w:t>ensure</w:t>
      </w:r>
      <w:r w:rsidR="00D52FD0">
        <w:t xml:space="preserve"> </w:t>
      </w:r>
      <w:r w:rsidR="000A1AAE" w:rsidRPr="00A841AA">
        <w:t>a</w:t>
      </w:r>
      <w:r w:rsidR="00D52FD0">
        <w:t xml:space="preserve"> </w:t>
      </w:r>
      <w:r w:rsidR="000A1AAE" w:rsidRPr="00A841AA">
        <w:t>work</w:t>
      </w:r>
      <w:r w:rsidR="00D52FD0">
        <w:t xml:space="preserve"> </w:t>
      </w:r>
      <w:r w:rsidR="000A1AAE" w:rsidRPr="00A841AA">
        <w:t>environment</w:t>
      </w:r>
      <w:r w:rsidR="00D52FD0">
        <w:t xml:space="preserve"> </w:t>
      </w:r>
      <w:r w:rsidR="000A1AAE" w:rsidRPr="00A841AA">
        <w:t>that</w:t>
      </w:r>
      <w:r w:rsidR="00D52FD0">
        <w:t xml:space="preserve"> </w:t>
      </w:r>
      <w:r w:rsidR="000A1AAE" w:rsidRPr="00A841AA">
        <w:t>is</w:t>
      </w:r>
      <w:r w:rsidR="00D52FD0">
        <w:t xml:space="preserve"> </w:t>
      </w:r>
      <w:r w:rsidR="000A1AAE" w:rsidRPr="00A841AA">
        <w:t>aware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issue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unequal</w:t>
      </w:r>
      <w:r w:rsidR="00D52FD0">
        <w:t xml:space="preserve"> </w:t>
      </w:r>
      <w:r w:rsidR="000A1AAE" w:rsidRPr="00A841AA">
        <w:t>pay</w:t>
      </w:r>
      <w:r w:rsidR="00D52FD0">
        <w:t xml:space="preserve"> </w:t>
      </w:r>
      <w:r w:rsidR="000A1AAE" w:rsidRPr="00A841AA">
        <w:t>between</w:t>
      </w:r>
      <w:r w:rsidR="00D52FD0">
        <w:t xml:space="preserve"> </w:t>
      </w:r>
      <w:r w:rsidR="000A1AAE" w:rsidRPr="00A841AA">
        <w:t>women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men,</w:t>
      </w:r>
      <w:r w:rsidR="00D52FD0">
        <w:t xml:space="preserve"> </w:t>
      </w:r>
      <w:r w:rsidR="000A1AAE" w:rsidRPr="00A841AA">
        <w:t>which</w:t>
      </w:r>
      <w:r w:rsidR="00D52FD0">
        <w:t xml:space="preserve"> </w:t>
      </w:r>
      <w:r w:rsidR="000A1AAE" w:rsidRPr="00A841AA">
        <w:t>will</w:t>
      </w:r>
      <w:r w:rsidR="00D52FD0">
        <w:t xml:space="preserve"> </w:t>
      </w:r>
      <w:r w:rsidR="000A1AAE" w:rsidRPr="00A841AA">
        <w:t>contribute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increase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equal</w:t>
      </w:r>
      <w:r w:rsidR="00D52FD0">
        <w:t xml:space="preserve"> </w:t>
      </w:r>
      <w:r w:rsidR="000A1AAE" w:rsidRPr="00A841AA">
        <w:t>economic</w:t>
      </w:r>
      <w:r w:rsidR="00D52FD0">
        <w:t xml:space="preserve"> </w:t>
      </w:r>
      <w:r w:rsidR="000A1AAE" w:rsidRPr="00A841AA">
        <w:t>independence,</w:t>
      </w:r>
      <w:r w:rsidR="00D52FD0">
        <w:t xml:space="preserve"> </w:t>
      </w:r>
      <w:r w:rsidR="000A1AAE" w:rsidRPr="00A841AA">
        <w:t>hence</w:t>
      </w:r>
      <w:r w:rsidR="00D52FD0">
        <w:t xml:space="preserve"> </w:t>
      </w:r>
      <w:r w:rsidR="000A1AAE" w:rsidRPr="00A841AA">
        <w:t>leaving</w:t>
      </w:r>
      <w:r w:rsidR="00D52FD0">
        <w:t xml:space="preserve"> </w:t>
      </w:r>
      <w:r w:rsidR="000A1AAE" w:rsidRPr="00A841AA">
        <w:t>a</w:t>
      </w:r>
      <w:r w:rsidR="00D52FD0">
        <w:t xml:space="preserve"> </w:t>
      </w:r>
      <w:r w:rsidR="000A1AAE" w:rsidRPr="00A841AA">
        <w:t>socio-economic</w:t>
      </w:r>
      <w:r w:rsidR="00D52FD0">
        <w:t xml:space="preserve"> </w:t>
      </w:r>
      <w:r w:rsidR="000A1AAE" w:rsidRPr="00A841AA">
        <w:t>impact</w:t>
      </w:r>
      <w:r w:rsidR="00D52FD0">
        <w:t xml:space="preserve"> </w:t>
      </w:r>
      <w:r w:rsidR="000A1AAE" w:rsidRPr="00A841AA">
        <w:t>on</w:t>
      </w:r>
      <w:r w:rsidR="00D52FD0">
        <w:t xml:space="preserve"> </w:t>
      </w:r>
      <w:r w:rsidR="000A1AAE" w:rsidRPr="00A841AA">
        <w:t>society.</w:t>
      </w:r>
    </w:p>
    <w:p w14:paraId="6182D4CB" w14:textId="093DCBF1" w:rsidR="000E4FD0" w:rsidRDefault="0044637E" w:rsidP="0044637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>
        <w:t>138.</w:t>
      </w:r>
      <w:r>
        <w:tab/>
      </w:r>
      <w:r w:rsidR="000A1AAE" w:rsidRPr="00A841AA">
        <w:t>In</w:t>
      </w:r>
      <w:r w:rsidR="00D52FD0">
        <w:t xml:space="preserve"> </w:t>
      </w:r>
      <w:r w:rsidR="000A1AAE" w:rsidRPr="00A841AA">
        <w:t>2015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NCPE</w:t>
      </w:r>
      <w:r w:rsidR="00D52FD0">
        <w:t xml:space="preserve"> </w:t>
      </w:r>
      <w:r w:rsidR="000A1AAE" w:rsidRPr="00A841AA">
        <w:t>finalised</w:t>
      </w:r>
      <w:r w:rsidR="00D52FD0">
        <w:t xml:space="preserve"> </w:t>
      </w:r>
      <w:r w:rsidR="000A1AAE" w:rsidRPr="00A841AA">
        <w:t>its</w:t>
      </w:r>
      <w:r w:rsidR="00D52FD0">
        <w:t xml:space="preserve"> </w:t>
      </w:r>
      <w:r w:rsidR="000A1AAE" w:rsidRPr="00A841AA">
        <w:t>Gender</w:t>
      </w:r>
      <w:r w:rsidR="00D52FD0">
        <w:t xml:space="preserve"> </w:t>
      </w:r>
      <w:r w:rsidR="000A1AAE" w:rsidRPr="00A841AA">
        <w:t>Balance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Decision-Making</w:t>
      </w:r>
      <w:r w:rsidR="00D52FD0">
        <w:t xml:space="preserve"> </w:t>
      </w:r>
      <w:r w:rsidR="000A1AAE" w:rsidRPr="00A841AA">
        <w:t>project</w:t>
      </w:r>
      <w:r w:rsidR="00D52FD0">
        <w:t xml:space="preserve"> </w:t>
      </w:r>
      <w:r w:rsidR="000A1AAE" w:rsidRPr="00A841AA">
        <w:t>which</w:t>
      </w:r>
      <w:r w:rsidR="00D52FD0">
        <w:t xml:space="preserve"> </w:t>
      </w:r>
      <w:r w:rsidR="000A1AAE" w:rsidRPr="00A841AA">
        <w:t>was</w:t>
      </w:r>
      <w:r w:rsidR="00D52FD0">
        <w:t xml:space="preserve"> </w:t>
      </w:r>
      <w:r w:rsidR="000A1AAE" w:rsidRPr="00A841AA">
        <w:t>aimed</w:t>
      </w:r>
      <w:r w:rsidR="00D52FD0">
        <w:t xml:space="preserve"> </w:t>
      </w:r>
      <w:r w:rsidR="000A1AAE" w:rsidRPr="00A841AA">
        <w:t>at</w:t>
      </w:r>
      <w:r w:rsidR="00D52FD0">
        <w:t xml:space="preserve"> </w:t>
      </w:r>
      <w:r w:rsidR="000A1AAE" w:rsidRPr="00A841AA">
        <w:t>increasing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number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women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decision-making</w:t>
      </w:r>
      <w:r w:rsidR="00D52FD0">
        <w:t xml:space="preserve"> </w:t>
      </w:r>
      <w:r w:rsidR="000A1AAE" w:rsidRPr="00A841AA">
        <w:t>positions;</w:t>
      </w:r>
      <w:r w:rsidR="00D52FD0">
        <w:t xml:space="preserve"> </w:t>
      </w:r>
      <w:r w:rsidR="000A1AAE" w:rsidRPr="00A841AA">
        <w:t>empowering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enabling</w:t>
      </w:r>
      <w:r w:rsidR="00D52FD0">
        <w:t xml:space="preserve"> </w:t>
      </w:r>
      <w:r w:rsidR="000A1AAE" w:rsidRPr="00A841AA">
        <w:t>women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take</w:t>
      </w:r>
      <w:r w:rsidR="00D52FD0">
        <w:t xml:space="preserve"> </w:t>
      </w:r>
      <w:r w:rsidR="000A1AAE" w:rsidRPr="00A841AA">
        <w:t>up</w:t>
      </w:r>
      <w:r w:rsidR="00D52FD0">
        <w:t xml:space="preserve"> </w:t>
      </w:r>
      <w:r w:rsidR="000A1AAE" w:rsidRPr="00A841AA">
        <w:t>decision-making</w:t>
      </w:r>
      <w:r w:rsidR="00D52FD0">
        <w:t xml:space="preserve"> </w:t>
      </w:r>
      <w:r w:rsidR="000A1AAE" w:rsidRPr="00A841AA">
        <w:t>positions;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tangibly</w:t>
      </w:r>
      <w:r w:rsidR="00D52FD0">
        <w:t xml:space="preserve"> </w:t>
      </w:r>
      <w:r w:rsidR="000A1AAE" w:rsidRPr="00A841AA">
        <w:t>supporting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advising</w:t>
      </w:r>
      <w:r w:rsidR="00D52FD0">
        <w:t xml:space="preserve"> </w:t>
      </w:r>
      <w:r w:rsidR="000A1AAE" w:rsidRPr="00A841AA">
        <w:t>policy</w:t>
      </w:r>
      <w:r w:rsidR="00D52FD0">
        <w:t xml:space="preserve"> </w:t>
      </w:r>
      <w:r w:rsidR="000A1AAE" w:rsidRPr="00A841AA">
        <w:t>makers</w:t>
      </w:r>
      <w:r w:rsidR="00D52FD0">
        <w:t xml:space="preserve"> </w:t>
      </w:r>
      <w:r w:rsidR="000A1AAE" w:rsidRPr="00A841AA">
        <w:t>on</w:t>
      </w:r>
      <w:r w:rsidR="00D52FD0">
        <w:t xml:space="preserve"> </w:t>
      </w:r>
      <w:r w:rsidR="000A1AAE" w:rsidRPr="00A841AA">
        <w:t>gender-balance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decision-making.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objectives</w:t>
      </w:r>
      <w:r w:rsidR="00D52FD0">
        <w:t xml:space="preserve"> </w:t>
      </w:r>
      <w:r w:rsidR="000A1AAE" w:rsidRPr="00A841AA">
        <w:t>aforementioned</w:t>
      </w:r>
      <w:r w:rsidR="00D52FD0">
        <w:t xml:space="preserve"> </w:t>
      </w:r>
      <w:r w:rsidR="000A1AAE" w:rsidRPr="00A841AA">
        <w:t>were</w:t>
      </w:r>
      <w:r w:rsidR="00D52FD0">
        <w:t xml:space="preserve"> </w:t>
      </w:r>
      <w:r w:rsidR="000A1AAE" w:rsidRPr="00A841AA">
        <w:t>reached</w:t>
      </w:r>
      <w:r w:rsidR="00D52FD0">
        <w:t xml:space="preserve"> </w:t>
      </w:r>
      <w:r w:rsidR="000A1AAE" w:rsidRPr="00A841AA">
        <w:t>by</w:t>
      </w:r>
      <w:r w:rsidR="00D52FD0">
        <w:t xml:space="preserve"> </w:t>
      </w:r>
      <w:r w:rsidR="000A1AAE" w:rsidRPr="00A841AA">
        <w:t>means</w:t>
      </w:r>
      <w:r w:rsidR="00D52FD0">
        <w:t xml:space="preserve"> </w:t>
      </w:r>
      <w:r w:rsidR="000A1AAE" w:rsidRPr="00A841AA">
        <w:t>of:</w:t>
      </w:r>
      <w:r w:rsidR="00D52FD0">
        <w:t xml:space="preserve"> </w:t>
      </w:r>
      <w:r w:rsidR="000A1AAE" w:rsidRPr="00A841AA">
        <w:t>two</w:t>
      </w:r>
      <w:r w:rsidR="00D52FD0">
        <w:t xml:space="preserve"> </w:t>
      </w:r>
      <w:r w:rsidR="000A1AAE" w:rsidRPr="00A841AA">
        <w:t>research</w:t>
      </w:r>
      <w:r w:rsidR="00D52FD0">
        <w:t xml:space="preserve"> </w:t>
      </w:r>
      <w:r w:rsidR="000A1AAE" w:rsidRPr="00A841AA">
        <w:t>studies,</w:t>
      </w:r>
      <w:r w:rsidR="00D52FD0">
        <w:t xml:space="preserve"> </w:t>
      </w:r>
      <w:r w:rsidR="000A1AAE" w:rsidRPr="00A841AA">
        <w:t>Gender-Balanced</w:t>
      </w:r>
      <w:r w:rsidR="00D52FD0">
        <w:t xml:space="preserve"> </w:t>
      </w:r>
      <w:r w:rsidR="000A1AAE" w:rsidRPr="00A841AA">
        <w:t>Representation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Decision-Making,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Gender</w:t>
      </w:r>
      <w:r w:rsidR="00D52FD0">
        <w:t xml:space="preserve"> </w:t>
      </w:r>
      <w:r w:rsidR="000A1AAE" w:rsidRPr="00A841AA">
        <w:t>Quotas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Other</w:t>
      </w:r>
      <w:r w:rsidR="00D52FD0">
        <w:t xml:space="preserve"> </w:t>
      </w:r>
      <w:r w:rsidR="000A1AAE" w:rsidRPr="00A841AA">
        <w:t>Measures</w:t>
      </w:r>
      <w:r w:rsidR="00D52FD0">
        <w:t xml:space="preserve"> </w:t>
      </w:r>
      <w:r w:rsidR="000A1AAE" w:rsidRPr="00A841AA">
        <w:t>towards</w:t>
      </w:r>
      <w:r w:rsidR="00D52FD0">
        <w:t xml:space="preserve"> </w:t>
      </w:r>
      <w:r w:rsidR="000A1AAE" w:rsidRPr="00A841AA">
        <w:t>a</w:t>
      </w:r>
      <w:r w:rsidR="00D52FD0">
        <w:t xml:space="preserve"> </w:t>
      </w:r>
      <w:r w:rsidR="000A1AAE" w:rsidRPr="00A841AA">
        <w:t>Gender-Balanced</w:t>
      </w:r>
      <w:r w:rsidR="00D52FD0">
        <w:t xml:space="preserve"> </w:t>
      </w:r>
      <w:r w:rsidR="000A1AAE" w:rsidRPr="00A841AA">
        <w:t>Representation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Decision-Making,</w:t>
      </w:r>
      <w:r w:rsidR="00D52FD0">
        <w:t xml:space="preserve"> </w:t>
      </w:r>
      <w:r w:rsidR="000A1AAE" w:rsidRPr="00A841AA">
        <w:t>which</w:t>
      </w:r>
      <w:r w:rsidR="00D52FD0">
        <w:t xml:space="preserve"> </w:t>
      </w:r>
      <w:r w:rsidR="000A1AAE" w:rsidRPr="00A841AA">
        <w:t>are</w:t>
      </w:r>
      <w:r w:rsidR="00D52FD0">
        <w:t xml:space="preserve"> </w:t>
      </w:r>
      <w:r w:rsidR="000A1AAE" w:rsidRPr="00A841AA">
        <w:t>still</w:t>
      </w:r>
      <w:r w:rsidR="00D52FD0">
        <w:t xml:space="preserve"> </w:t>
      </w:r>
      <w:r w:rsidR="000A1AAE" w:rsidRPr="00A841AA">
        <w:t>available</w:t>
      </w:r>
      <w:r w:rsidR="00D52FD0">
        <w:t xml:space="preserve"> </w:t>
      </w:r>
      <w:r w:rsidR="000A1AAE" w:rsidRPr="00A841AA">
        <w:t>on</w:t>
      </w:r>
      <w:r w:rsidR="00D52FD0">
        <w:t xml:space="preserve"> </w:t>
      </w:r>
      <w:r w:rsidR="000A1AAE" w:rsidRPr="00A841AA">
        <w:t>NCPE</w:t>
      </w:r>
      <w:r w:rsidR="00F14DA3">
        <w:t>’</w:t>
      </w:r>
      <w:r w:rsidR="000A1AAE" w:rsidRPr="00A841AA">
        <w:t>s</w:t>
      </w:r>
      <w:r w:rsidR="00D52FD0">
        <w:t xml:space="preserve"> </w:t>
      </w:r>
      <w:r w:rsidR="000A1AAE" w:rsidRPr="00A841AA">
        <w:t>website;</w:t>
      </w:r>
      <w:r w:rsidR="00D52FD0">
        <w:t xml:space="preserve"> </w:t>
      </w:r>
      <w:r w:rsidR="000A1AAE" w:rsidRPr="00A841AA">
        <w:t>a</w:t>
      </w:r>
      <w:r w:rsidR="00D52FD0">
        <w:t xml:space="preserve"> </w:t>
      </w:r>
      <w:r w:rsidR="000A1AAE" w:rsidRPr="00A841AA">
        <w:t>Mentoring</w:t>
      </w:r>
      <w:r w:rsidR="00D52FD0">
        <w:t xml:space="preserve"> </w:t>
      </w:r>
      <w:r w:rsidR="000A1AAE" w:rsidRPr="00A841AA">
        <w:t>Programme;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Directory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Professional</w:t>
      </w:r>
      <w:r w:rsidR="00D52FD0">
        <w:t xml:space="preserve"> </w:t>
      </w:r>
      <w:r w:rsidR="000A1AAE" w:rsidRPr="00A841AA">
        <w:t>Women</w:t>
      </w:r>
      <w:r w:rsidR="00D52FD0">
        <w:t xml:space="preserve"> </w:t>
      </w:r>
      <w:r w:rsidR="000A1AAE" w:rsidRPr="00A841AA">
        <w:t>which</w:t>
      </w:r>
      <w:r w:rsidR="00D52FD0">
        <w:t xml:space="preserve"> </w:t>
      </w:r>
      <w:r w:rsidR="000A1AAE" w:rsidRPr="00A841AA">
        <w:t>was</w:t>
      </w:r>
      <w:r w:rsidR="00D52FD0">
        <w:t xml:space="preserve"> </w:t>
      </w:r>
      <w:r w:rsidR="000A1AAE" w:rsidRPr="00A841AA">
        <w:t>launched</w:t>
      </w:r>
      <w:r w:rsidR="00D52FD0">
        <w:t xml:space="preserve"> </w:t>
      </w:r>
      <w:r w:rsidR="000A1AAE" w:rsidRPr="00A841AA">
        <w:t>by</w:t>
      </w:r>
      <w:r w:rsidR="00D52FD0">
        <w:t xml:space="preserve"> </w:t>
      </w:r>
      <w:r w:rsidR="000A1AAE" w:rsidRPr="00A841AA">
        <w:t>NCPE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fulfilment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this</w:t>
      </w:r>
      <w:r w:rsidR="00D52FD0">
        <w:t xml:space="preserve"> </w:t>
      </w:r>
      <w:r w:rsidR="000A1AAE" w:rsidRPr="00A841AA">
        <w:t>project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is</w:t>
      </w:r>
      <w:r w:rsidR="00D52FD0">
        <w:t xml:space="preserve"> </w:t>
      </w:r>
      <w:r w:rsidR="000A1AAE" w:rsidRPr="00A841AA">
        <w:t>aimed</w:t>
      </w:r>
      <w:r w:rsidR="00D52FD0">
        <w:t xml:space="preserve"> </w:t>
      </w:r>
      <w:r w:rsidR="000A1AAE" w:rsidRPr="00A841AA">
        <w:t>at</w:t>
      </w:r>
      <w:r w:rsidR="00D52FD0">
        <w:t xml:space="preserve"> </w:t>
      </w:r>
      <w:r w:rsidR="000A1AAE" w:rsidRPr="00A841AA">
        <w:t>giving</w:t>
      </w:r>
      <w:r w:rsidR="00D52FD0">
        <w:t xml:space="preserve"> </w:t>
      </w:r>
      <w:r w:rsidR="000A1AAE" w:rsidRPr="00A841AA">
        <w:t>more</w:t>
      </w:r>
      <w:r w:rsidR="00D52FD0">
        <w:t xml:space="preserve"> </w:t>
      </w:r>
      <w:r w:rsidR="000A1AAE" w:rsidRPr="00A841AA">
        <w:t>visibility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opportunities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professional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competent</w:t>
      </w:r>
      <w:r w:rsidR="00D52FD0">
        <w:t xml:space="preserve"> </w:t>
      </w:r>
      <w:r w:rsidR="000A1AAE" w:rsidRPr="00A841AA">
        <w:t>women</w:t>
      </w:r>
      <w:r w:rsidR="00D52FD0">
        <w:t xml:space="preserve"> </w:t>
      </w:r>
      <w:r w:rsidR="000A1AAE" w:rsidRPr="00A841AA">
        <w:t>for</w:t>
      </w:r>
      <w:r w:rsidR="00D52FD0">
        <w:t xml:space="preserve"> </w:t>
      </w:r>
      <w:r w:rsidR="000A1AAE" w:rsidRPr="00A841AA">
        <w:t>appointment</w:t>
      </w:r>
      <w:r w:rsidR="00D52FD0">
        <w:t xml:space="preserve"> </w:t>
      </w:r>
      <w:r w:rsidR="000A1AAE" w:rsidRPr="00A841AA">
        <w:t>on</w:t>
      </w:r>
      <w:r w:rsidR="00D52FD0">
        <w:t xml:space="preserve"> </w:t>
      </w:r>
      <w:r w:rsidR="000A1AAE" w:rsidRPr="00A841AA">
        <w:t>boards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committees,</w:t>
      </w:r>
      <w:r w:rsidR="00D52FD0">
        <w:t xml:space="preserve"> </w:t>
      </w:r>
      <w:r w:rsidR="000A1AAE" w:rsidRPr="00A841AA">
        <w:t>and/or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take</w:t>
      </w:r>
      <w:r w:rsidR="00D52FD0">
        <w:t xml:space="preserve"> </w:t>
      </w:r>
      <w:r w:rsidR="000A1AAE" w:rsidRPr="00A841AA">
        <w:t>on</w:t>
      </w:r>
      <w:r w:rsidR="00D52FD0">
        <w:t xml:space="preserve"> </w:t>
      </w:r>
      <w:r w:rsidR="000A1AAE" w:rsidRPr="00A841AA">
        <w:t>decision-making</w:t>
      </w:r>
      <w:r w:rsidR="00D52FD0">
        <w:t xml:space="preserve"> </w:t>
      </w:r>
      <w:r w:rsidR="000A1AAE" w:rsidRPr="00A841AA">
        <w:t>roles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labour</w:t>
      </w:r>
      <w:r w:rsidR="00D52FD0">
        <w:t xml:space="preserve"> </w:t>
      </w:r>
      <w:r w:rsidR="000A1AAE" w:rsidRPr="00A841AA">
        <w:t>market.</w:t>
      </w:r>
    </w:p>
    <w:p w14:paraId="7E5EDE4E" w14:textId="6648930A" w:rsidR="000A1AAE" w:rsidRPr="00A841AA" w:rsidRDefault="0044637E" w:rsidP="0044637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841AA">
        <w:t>139.</w:t>
      </w:r>
      <w:r w:rsidRPr="00A841AA">
        <w:tab/>
      </w:r>
      <w:r w:rsidR="000A1AAE" w:rsidRPr="00A841AA">
        <w:t>In</w:t>
      </w:r>
      <w:r w:rsidR="00D52FD0">
        <w:t xml:space="preserve"> </w:t>
      </w:r>
      <w:r w:rsidR="000A1AAE" w:rsidRPr="00A841AA">
        <w:t>order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incentivize</w:t>
      </w:r>
      <w:r w:rsidR="00D52FD0">
        <w:t xml:space="preserve"> </w:t>
      </w:r>
      <w:r w:rsidR="000A1AAE" w:rsidRPr="00A841AA">
        <w:t>men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increase</w:t>
      </w:r>
      <w:r w:rsidR="00D52FD0">
        <w:t xml:space="preserve"> </w:t>
      </w:r>
      <w:r w:rsidR="000A1AAE" w:rsidRPr="00A841AA">
        <w:t>their</w:t>
      </w:r>
      <w:r w:rsidR="00D52FD0">
        <w:t xml:space="preserve"> </w:t>
      </w:r>
      <w:r w:rsidR="000A1AAE" w:rsidRPr="00A841AA">
        <w:t>participation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caring</w:t>
      </w:r>
      <w:r w:rsidR="00D52FD0">
        <w:t xml:space="preserve"> </w:t>
      </w:r>
      <w:r w:rsidR="000A1AAE" w:rsidRPr="00A841AA">
        <w:t>responsibilities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break</w:t>
      </w:r>
      <w:r w:rsidR="00D52FD0">
        <w:t xml:space="preserve"> </w:t>
      </w:r>
      <w:r w:rsidR="000A1AAE" w:rsidRPr="00A841AA">
        <w:t>away</w:t>
      </w:r>
      <w:r w:rsidR="00D52FD0">
        <w:t xml:space="preserve"> </w:t>
      </w:r>
      <w:r w:rsidR="000A1AAE" w:rsidRPr="00A841AA">
        <w:t>from</w:t>
      </w:r>
      <w:r w:rsidR="00D52FD0">
        <w:t xml:space="preserve"> </w:t>
      </w:r>
      <w:r w:rsidR="000A1AAE" w:rsidRPr="00A841AA">
        <w:t>traditional</w:t>
      </w:r>
      <w:r w:rsidR="00D52FD0">
        <w:t xml:space="preserve"> </w:t>
      </w:r>
      <w:r w:rsidR="000A1AAE" w:rsidRPr="00A841AA">
        <w:t>roles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stereotyping,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November</w:t>
      </w:r>
      <w:r w:rsidR="00D52FD0">
        <w:t xml:space="preserve"> </w:t>
      </w:r>
      <w:r w:rsidR="000A1AAE" w:rsidRPr="00A841AA">
        <w:t>2016</w:t>
      </w:r>
      <w:r w:rsidR="00D52FD0">
        <w:t xml:space="preserve"> </w:t>
      </w:r>
      <w:r w:rsidR="000A1AAE" w:rsidRPr="00A841AA">
        <w:t>five</w:t>
      </w:r>
      <w:r w:rsidR="00D52FD0">
        <w:t xml:space="preserve"> </w:t>
      </w:r>
      <w:r w:rsidR="000A1AAE" w:rsidRPr="00A841AA">
        <w:t>(5)</w:t>
      </w:r>
      <w:r w:rsidR="00D52FD0">
        <w:t xml:space="preserve"> </w:t>
      </w:r>
      <w:r w:rsidR="000A1AAE" w:rsidRPr="00A841AA">
        <w:t>days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paid</w:t>
      </w:r>
      <w:r w:rsidR="00D52FD0">
        <w:t xml:space="preserve"> </w:t>
      </w:r>
      <w:r w:rsidR="000A1AAE" w:rsidRPr="00A841AA">
        <w:t>paternity</w:t>
      </w:r>
      <w:r w:rsidR="00D52FD0">
        <w:t xml:space="preserve"> </w:t>
      </w:r>
      <w:r w:rsidR="000A1AAE" w:rsidRPr="00A841AA">
        <w:t>leave</w:t>
      </w:r>
      <w:r w:rsidR="00D52FD0">
        <w:t xml:space="preserve"> </w:t>
      </w:r>
      <w:r w:rsidR="000A1AAE" w:rsidRPr="00A841AA">
        <w:t>were</w:t>
      </w:r>
      <w:r w:rsidR="00D52FD0">
        <w:t xml:space="preserve"> </w:t>
      </w:r>
      <w:r w:rsidR="000A1AAE" w:rsidRPr="00A841AA">
        <w:t>given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public</w:t>
      </w:r>
      <w:r w:rsidR="00D52FD0">
        <w:t xml:space="preserve"> </w:t>
      </w:r>
      <w:r w:rsidR="000A1AAE" w:rsidRPr="00A841AA">
        <w:t>sector</w:t>
      </w:r>
      <w:r w:rsidR="00D52FD0">
        <w:t xml:space="preserve"> </w:t>
      </w:r>
      <w:r w:rsidR="000A1AAE" w:rsidRPr="00A841AA">
        <w:t>employees,</w:t>
      </w:r>
      <w:r w:rsidR="00D52FD0">
        <w:t xml:space="preserve"> </w:t>
      </w:r>
      <w:r w:rsidR="000A1AAE" w:rsidRPr="00A841AA">
        <w:t>an</w:t>
      </w:r>
      <w:r w:rsidR="00D52FD0">
        <w:t xml:space="preserve"> </w:t>
      </w:r>
      <w:r w:rsidR="000A1AAE" w:rsidRPr="00A841AA">
        <w:t>increase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three</w:t>
      </w:r>
      <w:r w:rsidR="00D52FD0">
        <w:t xml:space="preserve"> </w:t>
      </w:r>
      <w:r w:rsidR="000A1AAE" w:rsidRPr="00A841AA">
        <w:t>(3)</w:t>
      </w:r>
      <w:r w:rsidR="00D52FD0">
        <w:t xml:space="preserve"> </w:t>
      </w:r>
      <w:r w:rsidR="000A1AAE" w:rsidRPr="00A841AA">
        <w:t>days.</w:t>
      </w:r>
    </w:p>
    <w:p w14:paraId="3A1EDC9A" w14:textId="5AC8D963" w:rsidR="000E4FD0" w:rsidRDefault="0044637E" w:rsidP="0044637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>
        <w:t>140.</w:t>
      </w:r>
      <w:r>
        <w:tab/>
      </w:r>
      <w:r w:rsidR="000A1AAE" w:rsidRPr="00A841AA">
        <w:t>Since</w:t>
      </w:r>
      <w:r w:rsidR="00D52FD0">
        <w:t xml:space="preserve"> </w:t>
      </w:r>
      <w:r w:rsidR="000A1AAE" w:rsidRPr="00A841AA">
        <w:t>2014,</w:t>
      </w:r>
      <w:r w:rsidR="00D52FD0">
        <w:t xml:space="preserve"> </w:t>
      </w:r>
      <w:r w:rsidR="000A1AAE" w:rsidRPr="00A841AA">
        <w:t>working</w:t>
      </w:r>
      <w:r w:rsidR="00D52FD0">
        <w:t xml:space="preserve"> </w:t>
      </w:r>
      <w:r w:rsidR="000A1AAE" w:rsidRPr="00A841AA">
        <w:t>parents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parents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education,</w:t>
      </w:r>
      <w:r w:rsidR="00D52FD0">
        <w:t xml:space="preserve"> </w:t>
      </w:r>
      <w:r w:rsidR="000A1AAE" w:rsidRPr="00A841AA">
        <w:t>have</w:t>
      </w:r>
      <w:r w:rsidR="00D52FD0">
        <w:t xml:space="preserve"> </w:t>
      </w:r>
      <w:r w:rsidR="000A1AAE" w:rsidRPr="00A841AA">
        <w:t>been</w:t>
      </w:r>
      <w:r w:rsidR="00D52FD0">
        <w:t xml:space="preserve"> </w:t>
      </w:r>
      <w:r w:rsidR="000A1AAE" w:rsidRPr="00A841AA">
        <w:t>benefitting</w:t>
      </w:r>
      <w:r w:rsidR="00D52FD0">
        <w:t xml:space="preserve"> </w:t>
      </w:r>
      <w:r w:rsidR="000A1AAE" w:rsidRPr="00A841AA">
        <w:t>from</w:t>
      </w:r>
      <w:r w:rsidR="00D52FD0">
        <w:t xml:space="preserve"> </w:t>
      </w:r>
      <w:r w:rsidR="000A1AAE" w:rsidRPr="00A841AA">
        <w:t>free</w:t>
      </w:r>
      <w:r w:rsidR="00D52FD0">
        <w:t xml:space="preserve"> </w:t>
      </w:r>
      <w:r w:rsidR="000A1AAE" w:rsidRPr="00A841AA">
        <w:t>good</w:t>
      </w:r>
      <w:r w:rsidR="00D52FD0">
        <w:t xml:space="preserve"> </w:t>
      </w:r>
      <w:r w:rsidR="000A1AAE" w:rsidRPr="00A841AA">
        <w:t>quality</w:t>
      </w:r>
      <w:r w:rsidR="00D52FD0">
        <w:t xml:space="preserve"> </w:t>
      </w:r>
      <w:r w:rsidR="000A1AAE" w:rsidRPr="00A841AA">
        <w:t>childcare</w:t>
      </w:r>
      <w:r w:rsidR="00D52FD0">
        <w:t xml:space="preserve"> </w:t>
      </w:r>
      <w:r w:rsidR="000A1AAE" w:rsidRPr="00A841AA">
        <w:t>resulting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an</w:t>
      </w:r>
      <w:r w:rsidR="00D52FD0">
        <w:t xml:space="preserve"> </w:t>
      </w:r>
      <w:r w:rsidR="000A1AAE" w:rsidRPr="00A841AA">
        <w:t>increase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female</w:t>
      </w:r>
      <w:r w:rsidR="00D52FD0">
        <w:t xml:space="preserve"> </w:t>
      </w:r>
      <w:r w:rsidR="000A1AAE" w:rsidRPr="00A841AA">
        <w:t>participation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labour</w:t>
      </w:r>
      <w:r w:rsidR="00D52FD0">
        <w:t xml:space="preserve"> </w:t>
      </w:r>
      <w:r w:rsidR="000A1AAE" w:rsidRPr="00A841AA">
        <w:t>market</w:t>
      </w:r>
      <w:r w:rsidR="00D52FD0">
        <w:t xml:space="preserve"> </w:t>
      </w:r>
      <w:r w:rsidR="000A1AAE" w:rsidRPr="00A841AA">
        <w:t>on</w:t>
      </w:r>
      <w:r w:rsidR="00D52FD0">
        <w:t xml:space="preserve"> </w:t>
      </w:r>
      <w:r w:rsidR="000A1AAE" w:rsidRPr="00A841AA">
        <w:t>a</w:t>
      </w:r>
      <w:r w:rsidR="00D52FD0">
        <w:t xml:space="preserve"> </w:t>
      </w:r>
      <w:r w:rsidR="000A1AAE" w:rsidRPr="00A841AA">
        <w:t>full-time</w:t>
      </w:r>
      <w:r w:rsidR="00D52FD0">
        <w:t xml:space="preserve"> </w:t>
      </w:r>
      <w:r w:rsidR="000A1AAE" w:rsidRPr="00A841AA">
        <w:t>basis,</w:t>
      </w:r>
      <w:r w:rsidR="00D52FD0">
        <w:t xml:space="preserve"> </w:t>
      </w:r>
      <w:r w:rsidR="000A1AAE" w:rsidRPr="00A841AA">
        <w:t>as</w:t>
      </w:r>
      <w:r w:rsidR="00D52FD0">
        <w:t xml:space="preserve"> </w:t>
      </w:r>
      <w:r w:rsidR="000A1AAE" w:rsidRPr="00A841AA">
        <w:t>well</w:t>
      </w:r>
      <w:r w:rsidR="00D52FD0">
        <w:t xml:space="preserve"> </w:t>
      </w:r>
      <w:r w:rsidR="000A1AAE" w:rsidRPr="00A841AA">
        <w:t>as</w:t>
      </w:r>
      <w:r w:rsidR="00D52FD0">
        <w:t xml:space="preserve"> </w:t>
      </w:r>
      <w:r w:rsidR="000A1AAE" w:rsidRPr="00A841AA">
        <w:t>an</w:t>
      </w:r>
      <w:r w:rsidR="00D52FD0">
        <w:t xml:space="preserve"> </w:t>
      </w:r>
      <w:r w:rsidR="000A1AAE" w:rsidRPr="00A841AA">
        <w:t>improved</w:t>
      </w:r>
      <w:r w:rsidR="00D52FD0">
        <w:t xml:space="preserve"> </w:t>
      </w:r>
      <w:r w:rsidR="000A1AAE" w:rsidRPr="00A841AA">
        <w:t>female</w:t>
      </w:r>
      <w:r w:rsidR="00D52FD0">
        <w:t xml:space="preserve"> </w:t>
      </w:r>
      <w:r w:rsidR="000A1AAE" w:rsidRPr="00A841AA">
        <w:t>representation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headship</w:t>
      </w:r>
      <w:r w:rsidR="00D52FD0">
        <w:t xml:space="preserve"> </w:t>
      </w:r>
      <w:r w:rsidR="000A1AAE" w:rsidRPr="00A841AA">
        <w:t>positions.</w:t>
      </w:r>
    </w:p>
    <w:p w14:paraId="5A888BA4" w14:textId="5A8FD41A" w:rsidR="000E4FD0" w:rsidRDefault="0044637E" w:rsidP="0044637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>
        <w:t>141.</w:t>
      </w:r>
      <w:r>
        <w:tab/>
      </w:r>
      <w:r w:rsidR="000A1AAE" w:rsidRPr="00A841AA">
        <w:t>Female</w:t>
      </w:r>
      <w:r w:rsidR="00D52FD0">
        <w:t xml:space="preserve"> </w:t>
      </w:r>
      <w:r w:rsidR="000A1AAE" w:rsidRPr="00A841AA">
        <w:t>employment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Malta,</w:t>
      </w:r>
      <w:r w:rsidR="00D52FD0">
        <w:t xml:space="preserve"> </w:t>
      </w:r>
      <w:r w:rsidR="000A1AAE" w:rsidRPr="00A841AA">
        <w:t>for</w:t>
      </w:r>
      <w:r w:rsidR="00D52FD0">
        <w:t xml:space="preserve"> </w:t>
      </w:r>
      <w:r w:rsidR="000A1AAE" w:rsidRPr="00A841AA">
        <w:t>age</w:t>
      </w:r>
      <w:r w:rsidR="00D52FD0">
        <w:t xml:space="preserve"> </w:t>
      </w:r>
      <w:r w:rsidR="000A1AAE" w:rsidRPr="00A841AA">
        <w:t>group</w:t>
      </w:r>
      <w:r w:rsidR="00D52FD0">
        <w:t xml:space="preserve"> </w:t>
      </w:r>
      <w:r w:rsidR="000A1AAE" w:rsidRPr="00A841AA">
        <w:t>20</w:t>
      </w:r>
      <w:r w:rsidR="00F14DA3">
        <w:t>–</w:t>
      </w:r>
      <w:r w:rsidR="000A1AAE" w:rsidRPr="00A841AA">
        <w:t>64,</w:t>
      </w:r>
      <w:r w:rsidR="00D52FD0">
        <w:t xml:space="preserve"> </w:t>
      </w:r>
      <w:r w:rsidR="000A1AAE" w:rsidRPr="00A841AA">
        <w:t>has</w:t>
      </w:r>
      <w:r w:rsidR="00D52FD0">
        <w:t xml:space="preserve"> </w:t>
      </w:r>
      <w:r w:rsidR="000A1AAE" w:rsidRPr="00A841AA">
        <w:t>increased</w:t>
      </w:r>
      <w:r w:rsidR="00D52FD0">
        <w:t xml:space="preserve"> </w:t>
      </w:r>
      <w:r w:rsidR="000A1AAE" w:rsidRPr="00A841AA">
        <w:t>from</w:t>
      </w:r>
      <w:r w:rsidR="00D52FD0">
        <w:t xml:space="preserve"> </w:t>
      </w:r>
      <w:r w:rsidR="000A1AAE" w:rsidRPr="00A841AA">
        <w:t>55.3%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2015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68%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2020.</w:t>
      </w:r>
      <w:r w:rsidR="00D52FD0">
        <w:t xml:space="preserve"> </w:t>
      </w:r>
      <w:r w:rsidR="000A1AAE" w:rsidRPr="00A841AA">
        <w:t>Moreover,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2020</w:t>
      </w:r>
      <w:r w:rsidR="00D52FD0">
        <w:t xml:space="preserve"> </w:t>
      </w:r>
      <w:r w:rsidR="000A1AAE" w:rsidRPr="00A841AA">
        <w:t>women</w:t>
      </w:r>
      <w:r w:rsidR="00D52FD0">
        <w:t xml:space="preserve"> </w:t>
      </w:r>
      <w:r w:rsidR="000A1AAE" w:rsidRPr="00A841AA">
        <w:t>accounted</w:t>
      </w:r>
      <w:r w:rsidR="00D52FD0">
        <w:t xml:space="preserve"> </w:t>
      </w:r>
      <w:r w:rsidR="000A1AAE" w:rsidRPr="00A841AA">
        <w:t>for</w:t>
      </w:r>
      <w:r w:rsidR="00D52FD0">
        <w:t xml:space="preserve"> </w:t>
      </w:r>
      <w:r w:rsidR="000A1AAE" w:rsidRPr="00A841AA">
        <w:t>9.9%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employees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largest</w:t>
      </w:r>
      <w:r w:rsidR="00D52FD0">
        <w:t xml:space="preserve"> </w:t>
      </w:r>
      <w:r w:rsidR="000A1AAE" w:rsidRPr="00A841AA">
        <w:t>listed</w:t>
      </w:r>
      <w:r w:rsidR="00D52FD0">
        <w:t xml:space="preserve"> </w:t>
      </w:r>
      <w:r w:rsidR="000A1AAE" w:rsidRPr="00A841AA">
        <w:t>companies,</w:t>
      </w:r>
      <w:r w:rsidR="00D52FD0">
        <w:t xml:space="preserve"> </w:t>
      </w:r>
      <w:r w:rsidR="000A1AAE" w:rsidRPr="00A841AA">
        <w:t>as</w:t>
      </w:r>
      <w:r w:rsidR="00D52FD0">
        <w:t xml:space="preserve"> </w:t>
      </w:r>
      <w:r w:rsidR="000A1AAE" w:rsidRPr="00A841AA">
        <w:t>presidents,</w:t>
      </w:r>
      <w:r w:rsidR="00D52FD0">
        <w:t xml:space="preserve"> </w:t>
      </w:r>
      <w:r w:rsidR="000A1AAE" w:rsidRPr="00A841AA">
        <w:t>board</w:t>
      </w:r>
      <w:r w:rsidR="00D52FD0">
        <w:t xml:space="preserve"> </w:t>
      </w:r>
      <w:r w:rsidR="000A1AAE" w:rsidRPr="00A841AA">
        <w:t>members</w:t>
      </w:r>
      <w:r w:rsidR="00D52FD0">
        <w:t xml:space="preserve"> </w:t>
      </w:r>
      <w:r w:rsidR="000A1AAE" w:rsidRPr="00A841AA">
        <w:t>or</w:t>
      </w:r>
      <w:r w:rsidR="00D52FD0">
        <w:t xml:space="preserve"> </w:t>
      </w:r>
      <w:r w:rsidR="000A1AAE" w:rsidRPr="00A841AA">
        <w:t>employee</w:t>
      </w:r>
      <w:r w:rsidR="00D52FD0">
        <w:t xml:space="preserve"> </w:t>
      </w:r>
      <w:r w:rsidR="000A1AAE" w:rsidRPr="00A841AA">
        <w:t>representatives,</w:t>
      </w:r>
      <w:r w:rsidR="00D52FD0">
        <w:t xml:space="preserve"> </w:t>
      </w:r>
      <w:r w:rsidR="000A1AAE" w:rsidRPr="00A841AA">
        <w:t>as</w:t>
      </w:r>
      <w:r w:rsidR="00D52FD0">
        <w:t xml:space="preserve"> </w:t>
      </w:r>
      <w:r w:rsidR="000A1AAE" w:rsidRPr="00A841AA">
        <w:t>opposed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4.5%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2015.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aforementioned</w:t>
      </w:r>
      <w:r w:rsidR="00D52FD0">
        <w:t xml:space="preserve"> </w:t>
      </w:r>
      <w:r w:rsidR="000A1AAE" w:rsidRPr="00A841AA">
        <w:t>statistics</w:t>
      </w:r>
      <w:r w:rsidR="00D52FD0">
        <w:t xml:space="preserve"> </w:t>
      </w:r>
      <w:r w:rsidR="000A1AAE" w:rsidRPr="00A841AA">
        <w:t>reaffirm</w:t>
      </w:r>
      <w:r w:rsidR="00D52FD0">
        <w:t xml:space="preserve"> </w:t>
      </w:r>
      <w:r w:rsidR="000A1AAE" w:rsidRPr="00A841AA">
        <w:t>that</w:t>
      </w:r>
      <w:r w:rsidR="00D52FD0">
        <w:t xml:space="preserve"> </w:t>
      </w:r>
      <w:r w:rsidR="000A1AAE" w:rsidRPr="00A841AA">
        <w:t>family-friendly</w:t>
      </w:r>
      <w:r w:rsidR="00D52FD0">
        <w:t xml:space="preserve"> </w:t>
      </w:r>
      <w:r w:rsidR="000A1AAE" w:rsidRPr="00A841AA">
        <w:t>measures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equality</w:t>
      </w:r>
      <w:r w:rsidR="00D52FD0">
        <w:t xml:space="preserve"> </w:t>
      </w:r>
      <w:r w:rsidR="000A1AAE" w:rsidRPr="00A841AA">
        <w:t>between</w:t>
      </w:r>
      <w:r w:rsidR="00D52FD0">
        <w:t xml:space="preserve"> </w:t>
      </w:r>
      <w:r w:rsidR="000A1AAE" w:rsidRPr="00A841AA">
        <w:t>women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men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sharing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care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household</w:t>
      </w:r>
      <w:r w:rsidR="00D52FD0">
        <w:t xml:space="preserve"> </w:t>
      </w:r>
      <w:r w:rsidR="000A1AAE" w:rsidRPr="00A841AA">
        <w:t>responsibilities,</w:t>
      </w:r>
      <w:r w:rsidR="00D52FD0">
        <w:t xml:space="preserve"> </w:t>
      </w:r>
      <w:r w:rsidR="000A1AAE" w:rsidRPr="00A841AA">
        <w:t>do</w:t>
      </w:r>
      <w:r w:rsidR="00D52FD0">
        <w:t xml:space="preserve"> </w:t>
      </w:r>
      <w:r w:rsidR="000A1AAE" w:rsidRPr="00A841AA">
        <w:t>encourage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provide</w:t>
      </w:r>
      <w:r w:rsidR="00D52FD0">
        <w:t xml:space="preserve"> </w:t>
      </w:r>
      <w:r w:rsidR="000A1AAE" w:rsidRPr="00A841AA">
        <w:t>women</w:t>
      </w:r>
      <w:r w:rsidR="00D52FD0">
        <w:t xml:space="preserve"> </w:t>
      </w:r>
      <w:r w:rsidR="000A1AAE" w:rsidRPr="00A841AA">
        <w:t>with</w:t>
      </w:r>
      <w:r w:rsidR="00D52FD0">
        <w:t xml:space="preserve"> </w:t>
      </w:r>
      <w:r w:rsidR="000A1AAE" w:rsidRPr="00A841AA">
        <w:t>equal</w:t>
      </w:r>
      <w:r w:rsidR="00D52FD0">
        <w:t xml:space="preserve"> </w:t>
      </w:r>
      <w:r w:rsidR="000A1AAE" w:rsidRPr="00A841AA">
        <w:t>opportunities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develop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progress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their</w:t>
      </w:r>
      <w:r w:rsidR="00D52FD0">
        <w:t xml:space="preserve"> </w:t>
      </w:r>
      <w:r w:rsidR="000A1AAE" w:rsidRPr="00A841AA">
        <w:t>career.</w:t>
      </w:r>
    </w:p>
    <w:p w14:paraId="3F992096" w14:textId="06789243" w:rsidR="000A1AAE" w:rsidRPr="00A841AA" w:rsidRDefault="0044637E" w:rsidP="0044637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841AA">
        <w:t>142.</w:t>
      </w:r>
      <w:r w:rsidRPr="00A841AA">
        <w:tab/>
      </w:r>
      <w:r w:rsidR="000A1AAE" w:rsidRPr="00A841AA">
        <w:t>Since</w:t>
      </w:r>
      <w:r w:rsidR="00D52FD0">
        <w:t xml:space="preserve"> </w:t>
      </w:r>
      <w:r w:rsidR="000A1AAE" w:rsidRPr="00A841AA">
        <w:t>2010,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National</w:t>
      </w:r>
      <w:r w:rsidR="00D52FD0">
        <w:t xml:space="preserve"> </w:t>
      </w:r>
      <w:r w:rsidR="000A1AAE" w:rsidRPr="00A841AA">
        <w:t>Commission</w:t>
      </w:r>
      <w:r w:rsidR="00D52FD0">
        <w:t xml:space="preserve"> </w:t>
      </w:r>
      <w:r w:rsidR="000A1AAE" w:rsidRPr="00A841AA">
        <w:t>for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Promotion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Equality</w:t>
      </w:r>
      <w:r w:rsidR="00D52FD0">
        <w:t xml:space="preserve"> </w:t>
      </w:r>
      <w:r w:rsidR="000A1AAE" w:rsidRPr="00A841AA">
        <w:t>(NCPE)</w:t>
      </w:r>
      <w:r w:rsidR="00D52FD0">
        <w:t xml:space="preserve"> </w:t>
      </w:r>
      <w:r w:rsidR="000A1AAE" w:rsidRPr="00A841AA">
        <w:t>has</w:t>
      </w:r>
      <w:r w:rsidR="00D52FD0">
        <w:t xml:space="preserve"> </w:t>
      </w:r>
      <w:r w:rsidR="000A1AAE" w:rsidRPr="00A841AA">
        <w:t>been</w:t>
      </w:r>
      <w:r w:rsidR="00D52FD0">
        <w:t xml:space="preserve"> </w:t>
      </w:r>
      <w:r w:rsidR="000A1AAE" w:rsidRPr="00A841AA">
        <w:t>awarding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Equality</w:t>
      </w:r>
      <w:r w:rsidR="00D52FD0">
        <w:t xml:space="preserve"> </w:t>
      </w:r>
      <w:r w:rsidR="000A1AAE" w:rsidRPr="00A841AA">
        <w:t>Mark</w:t>
      </w:r>
      <w:r w:rsidR="00D52FD0">
        <w:t xml:space="preserve"> </w:t>
      </w:r>
      <w:r w:rsidR="000A1AAE" w:rsidRPr="00A841AA">
        <w:t>certification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organisations</w:t>
      </w:r>
      <w:r w:rsidR="00D52FD0">
        <w:t xml:space="preserve"> </w:t>
      </w:r>
      <w:r w:rsidR="000A1AAE" w:rsidRPr="00A841AA">
        <w:t>that</w:t>
      </w:r>
      <w:r w:rsidR="00D52FD0">
        <w:t xml:space="preserve"> </w:t>
      </w:r>
      <w:r w:rsidR="000A1AAE" w:rsidRPr="00A841AA">
        <w:t>demonstrate</w:t>
      </w:r>
      <w:r w:rsidR="00D52FD0">
        <w:t xml:space="preserve"> </w:t>
      </w:r>
      <w:r w:rsidR="000A1AAE" w:rsidRPr="00A841AA">
        <w:t>a</w:t>
      </w:r>
      <w:r w:rsidR="00D52FD0">
        <w:t xml:space="preserve"> </w:t>
      </w:r>
      <w:r w:rsidR="000A1AAE" w:rsidRPr="00A841AA">
        <w:t>pro-active</w:t>
      </w:r>
      <w:r w:rsidR="00D52FD0">
        <w:t xml:space="preserve"> </w:t>
      </w:r>
      <w:r w:rsidR="000A1AAE" w:rsidRPr="00A841AA">
        <w:t>commitment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equality</w:t>
      </w:r>
      <w:r w:rsidR="00D52FD0">
        <w:t xml:space="preserve"> </w:t>
      </w:r>
      <w:r w:rsidR="000A1AAE" w:rsidRPr="00A841AA">
        <w:t>between</w:t>
      </w:r>
      <w:r w:rsidR="00D52FD0">
        <w:t xml:space="preserve"> </w:t>
      </w:r>
      <w:r w:rsidR="000A1AAE" w:rsidRPr="00A841AA">
        <w:t>women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men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persons</w:t>
      </w:r>
      <w:r w:rsidR="00D52FD0">
        <w:t xml:space="preserve"> </w:t>
      </w:r>
      <w:r w:rsidR="000A1AAE" w:rsidRPr="00A841AA">
        <w:t>with</w:t>
      </w:r>
      <w:r w:rsidR="00D52FD0">
        <w:t xml:space="preserve"> </w:t>
      </w:r>
      <w:r w:rsidR="000A1AAE" w:rsidRPr="00A841AA">
        <w:t>family</w:t>
      </w:r>
      <w:r w:rsidR="00D52FD0">
        <w:t xml:space="preserve"> </w:t>
      </w:r>
      <w:r w:rsidR="000A1AAE" w:rsidRPr="00A841AA">
        <w:t>responsibilities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workplace.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Equality</w:t>
      </w:r>
      <w:r w:rsidR="00D52FD0">
        <w:t xml:space="preserve"> </w:t>
      </w:r>
      <w:r w:rsidR="000A1AAE" w:rsidRPr="00A841AA">
        <w:t>Mark,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certification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re-certification</w:t>
      </w:r>
      <w:r w:rsidR="00D52FD0">
        <w:t xml:space="preserve"> </w:t>
      </w:r>
      <w:r w:rsidR="000A1AAE" w:rsidRPr="00A841AA">
        <w:t>are</w:t>
      </w:r>
      <w:r w:rsidR="00D52FD0">
        <w:t xml:space="preserve"> </w:t>
      </w:r>
      <w:r w:rsidR="000A1AAE" w:rsidRPr="00A841AA">
        <w:t>based</w:t>
      </w:r>
      <w:r w:rsidR="00D52FD0">
        <w:t xml:space="preserve"> </w:t>
      </w:r>
      <w:r w:rsidR="000A1AAE" w:rsidRPr="00A841AA">
        <w:t>on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following</w:t>
      </w:r>
      <w:r w:rsidR="00D52FD0">
        <w:t xml:space="preserve"> </w:t>
      </w:r>
      <w:r w:rsidR="000A1AAE" w:rsidRPr="00A841AA">
        <w:t>principles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adherence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following,</w:t>
      </w:r>
      <w:r w:rsidR="00D52FD0">
        <w:t xml:space="preserve"> </w:t>
      </w:r>
      <w:r w:rsidR="000A1AAE" w:rsidRPr="00A841AA">
        <w:t>respectively:</w:t>
      </w:r>
    </w:p>
    <w:p w14:paraId="7083EBF0" w14:textId="1310CC41" w:rsidR="000A1AAE" w:rsidRPr="00857B1D" w:rsidRDefault="0044637E" w:rsidP="0044637E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857B1D">
        <w:t>•</w:t>
      </w:r>
      <w:r w:rsidRPr="00857B1D">
        <w:tab/>
      </w:r>
      <w:r w:rsidR="000A1AAE" w:rsidRPr="00857B1D">
        <w:t>Policies</w:t>
      </w:r>
      <w:r w:rsidR="00D52FD0">
        <w:t xml:space="preserve"> </w:t>
      </w:r>
      <w:r w:rsidR="000A1AAE" w:rsidRPr="00857B1D">
        <w:t>and</w:t>
      </w:r>
      <w:r w:rsidR="00D52FD0">
        <w:t xml:space="preserve"> </w:t>
      </w:r>
      <w:r w:rsidR="000A1AAE" w:rsidRPr="00857B1D">
        <w:t>initiatives,</w:t>
      </w:r>
      <w:r w:rsidR="00D52FD0">
        <w:t xml:space="preserve"> </w:t>
      </w:r>
      <w:r w:rsidR="000A1AAE" w:rsidRPr="00857B1D">
        <w:t>particularly</w:t>
      </w:r>
      <w:r w:rsidR="00D52FD0">
        <w:t xml:space="preserve"> </w:t>
      </w:r>
      <w:r w:rsidR="000A1AAE" w:rsidRPr="00857B1D">
        <w:t>equality</w:t>
      </w:r>
      <w:r w:rsidR="00D52FD0">
        <w:t xml:space="preserve"> </w:t>
      </w:r>
      <w:r w:rsidR="000A1AAE" w:rsidRPr="00857B1D">
        <w:t>policy</w:t>
      </w:r>
      <w:r w:rsidR="00D52FD0">
        <w:t xml:space="preserve"> </w:t>
      </w:r>
      <w:r w:rsidR="000A1AAE" w:rsidRPr="00857B1D">
        <w:t>and</w:t>
      </w:r>
      <w:r w:rsidR="00D52FD0">
        <w:t xml:space="preserve"> </w:t>
      </w:r>
      <w:r w:rsidR="000A1AAE" w:rsidRPr="00857B1D">
        <w:t>sexual</w:t>
      </w:r>
      <w:r w:rsidR="00D52FD0">
        <w:t xml:space="preserve"> </w:t>
      </w:r>
      <w:r w:rsidR="000A1AAE" w:rsidRPr="00857B1D">
        <w:t>harassment</w:t>
      </w:r>
      <w:r w:rsidR="00D52FD0">
        <w:t xml:space="preserve"> </w:t>
      </w:r>
      <w:r w:rsidR="000A1AAE" w:rsidRPr="00857B1D">
        <w:t>policy</w:t>
      </w:r>
      <w:r w:rsidR="00D52FD0">
        <w:t xml:space="preserve"> </w:t>
      </w:r>
      <w:r w:rsidR="000A1AAE" w:rsidRPr="00857B1D">
        <w:t>in</w:t>
      </w:r>
      <w:r w:rsidR="00D52FD0">
        <w:t xml:space="preserve"> </w:t>
      </w:r>
      <w:r w:rsidR="000A1AAE" w:rsidRPr="00857B1D">
        <w:t>line</w:t>
      </w:r>
      <w:r w:rsidR="00D52FD0">
        <w:t xml:space="preserve"> </w:t>
      </w:r>
      <w:r w:rsidR="000A1AAE" w:rsidRPr="00857B1D">
        <w:t>with</w:t>
      </w:r>
      <w:r w:rsidR="00D52FD0">
        <w:t xml:space="preserve"> </w:t>
      </w:r>
      <w:r w:rsidR="000A1AAE" w:rsidRPr="00857B1D">
        <w:t>relevant</w:t>
      </w:r>
      <w:r w:rsidR="00D52FD0">
        <w:t xml:space="preserve"> </w:t>
      </w:r>
      <w:r w:rsidR="000A1AAE" w:rsidRPr="00857B1D">
        <w:t>legislation;</w:t>
      </w:r>
    </w:p>
    <w:p w14:paraId="0FFF410A" w14:textId="507E29A7" w:rsidR="000A1AAE" w:rsidRPr="00857B1D" w:rsidRDefault="0044637E" w:rsidP="0044637E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857B1D">
        <w:t>•</w:t>
      </w:r>
      <w:r w:rsidRPr="00857B1D">
        <w:tab/>
      </w:r>
      <w:r w:rsidR="000A1AAE" w:rsidRPr="00857B1D">
        <w:t>Recruitment</w:t>
      </w:r>
      <w:r w:rsidR="00D52FD0">
        <w:t xml:space="preserve"> </w:t>
      </w:r>
      <w:r w:rsidR="000A1AAE" w:rsidRPr="00857B1D">
        <w:t>and</w:t>
      </w:r>
      <w:r w:rsidR="00D52FD0">
        <w:t xml:space="preserve"> </w:t>
      </w:r>
      <w:r w:rsidR="000A1AAE" w:rsidRPr="00857B1D">
        <w:t>appointments</w:t>
      </w:r>
      <w:r w:rsidR="00D52FD0">
        <w:t xml:space="preserve"> </w:t>
      </w:r>
      <w:r w:rsidR="000A1AAE" w:rsidRPr="00857B1D">
        <w:t>are</w:t>
      </w:r>
      <w:r w:rsidR="00D52FD0">
        <w:t xml:space="preserve"> </w:t>
      </w:r>
      <w:r w:rsidR="000A1AAE" w:rsidRPr="00857B1D">
        <w:t>based</w:t>
      </w:r>
      <w:r w:rsidR="00D52FD0">
        <w:t xml:space="preserve"> </w:t>
      </w:r>
      <w:r w:rsidR="000A1AAE" w:rsidRPr="00857B1D">
        <w:t>on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principles</w:t>
      </w:r>
      <w:r w:rsidR="00D52FD0">
        <w:t xml:space="preserve"> </w:t>
      </w:r>
      <w:r w:rsidR="000A1AAE" w:rsidRPr="00857B1D">
        <w:t>of</w:t>
      </w:r>
      <w:r w:rsidR="00D52FD0">
        <w:t xml:space="preserve"> </w:t>
      </w:r>
      <w:r w:rsidR="000A1AAE" w:rsidRPr="00857B1D">
        <w:t>equal</w:t>
      </w:r>
      <w:r w:rsidR="00D52FD0">
        <w:t xml:space="preserve"> </w:t>
      </w:r>
      <w:r w:rsidR="000A1AAE" w:rsidRPr="00857B1D">
        <w:t>opportunities,</w:t>
      </w:r>
      <w:r w:rsidR="00D52FD0">
        <w:t xml:space="preserve"> </w:t>
      </w:r>
      <w:r w:rsidR="000A1AAE" w:rsidRPr="00857B1D">
        <w:t>ensure</w:t>
      </w:r>
      <w:r w:rsidR="00D52FD0">
        <w:t xml:space="preserve"> </w:t>
      </w:r>
      <w:r w:rsidR="000A1AAE" w:rsidRPr="00857B1D">
        <w:t>equal</w:t>
      </w:r>
      <w:r w:rsidR="00D52FD0">
        <w:t xml:space="preserve"> </w:t>
      </w:r>
      <w:r w:rsidR="000A1AAE" w:rsidRPr="00857B1D">
        <w:t>pay</w:t>
      </w:r>
      <w:r w:rsidR="00D52FD0">
        <w:t xml:space="preserve"> </w:t>
      </w:r>
      <w:r w:rsidR="000A1AAE" w:rsidRPr="00857B1D">
        <w:t>for</w:t>
      </w:r>
      <w:r w:rsidR="00D52FD0">
        <w:t xml:space="preserve"> </w:t>
      </w:r>
      <w:r w:rsidR="000A1AAE" w:rsidRPr="00857B1D">
        <w:t>work</w:t>
      </w:r>
      <w:r w:rsidR="00D52FD0">
        <w:t xml:space="preserve"> </w:t>
      </w:r>
      <w:r w:rsidR="000A1AAE" w:rsidRPr="00857B1D">
        <w:t>of</w:t>
      </w:r>
      <w:r w:rsidR="00D52FD0">
        <w:t xml:space="preserve"> </w:t>
      </w:r>
      <w:r w:rsidR="000A1AAE" w:rsidRPr="00857B1D">
        <w:t>equal</w:t>
      </w:r>
      <w:r w:rsidR="00D52FD0">
        <w:t xml:space="preserve"> </w:t>
      </w:r>
      <w:r w:rsidR="000A1AAE" w:rsidRPr="00857B1D">
        <w:t>value,</w:t>
      </w:r>
      <w:r w:rsidR="00D52FD0">
        <w:t xml:space="preserve"> </w:t>
      </w:r>
      <w:r w:rsidR="000A1AAE" w:rsidRPr="00857B1D">
        <w:t>and</w:t>
      </w:r>
      <w:r w:rsidR="00D52FD0">
        <w:t xml:space="preserve"> </w:t>
      </w:r>
      <w:r w:rsidR="000A1AAE" w:rsidRPr="00857B1D">
        <w:t>ensure</w:t>
      </w:r>
      <w:r w:rsidR="00D52FD0">
        <w:t xml:space="preserve"> </w:t>
      </w:r>
      <w:r w:rsidR="000A1AAE" w:rsidRPr="00857B1D">
        <w:t>that</w:t>
      </w:r>
      <w:r w:rsidR="00D52FD0">
        <w:t xml:space="preserve"> </w:t>
      </w:r>
      <w:r w:rsidR="000A1AAE" w:rsidRPr="00857B1D">
        <w:t>work</w:t>
      </w:r>
      <w:r w:rsidR="00D52FD0">
        <w:t xml:space="preserve"> </w:t>
      </w:r>
      <w:r w:rsidR="000A1AAE" w:rsidRPr="00857B1D">
        <w:t>force</w:t>
      </w:r>
      <w:r w:rsidR="00D52FD0">
        <w:t xml:space="preserve"> </w:t>
      </w:r>
      <w:r w:rsidR="000A1AAE" w:rsidRPr="00857B1D">
        <w:t>profiles</w:t>
      </w:r>
      <w:r w:rsidR="00D52FD0">
        <w:t xml:space="preserve"> </w:t>
      </w:r>
      <w:r w:rsidR="000A1AAE" w:rsidRPr="00857B1D">
        <w:t>and</w:t>
      </w:r>
      <w:r w:rsidR="00D52FD0">
        <w:t xml:space="preserve"> </w:t>
      </w:r>
      <w:r w:rsidR="000A1AAE" w:rsidRPr="00857B1D">
        <w:t>job</w:t>
      </w:r>
      <w:r w:rsidR="00D52FD0">
        <w:t xml:space="preserve"> </w:t>
      </w:r>
      <w:r w:rsidR="000A1AAE" w:rsidRPr="00857B1D">
        <w:t>descriptions</w:t>
      </w:r>
      <w:r w:rsidR="00D52FD0">
        <w:t xml:space="preserve"> </w:t>
      </w:r>
      <w:r w:rsidR="000A1AAE" w:rsidRPr="00857B1D">
        <w:t>are</w:t>
      </w:r>
      <w:r w:rsidR="00D52FD0">
        <w:t xml:space="preserve"> </w:t>
      </w:r>
      <w:r w:rsidR="000A1AAE" w:rsidRPr="00857B1D">
        <w:t>gender</w:t>
      </w:r>
      <w:r w:rsidR="00D52FD0">
        <w:t xml:space="preserve"> </w:t>
      </w:r>
      <w:r w:rsidR="000A1AAE" w:rsidRPr="00857B1D">
        <w:t>neutral</w:t>
      </w:r>
      <w:r w:rsidR="00D52FD0">
        <w:t xml:space="preserve"> </w:t>
      </w:r>
      <w:r w:rsidR="000A1AAE" w:rsidRPr="00857B1D">
        <w:t>and</w:t>
      </w:r>
      <w:r w:rsidR="00D52FD0">
        <w:t xml:space="preserve"> </w:t>
      </w:r>
      <w:r w:rsidR="000A1AAE" w:rsidRPr="00857B1D">
        <w:t>roles</w:t>
      </w:r>
      <w:r w:rsidR="00D52FD0">
        <w:t xml:space="preserve"> </w:t>
      </w:r>
      <w:r w:rsidR="000A1AAE" w:rsidRPr="00857B1D">
        <w:t>are</w:t>
      </w:r>
      <w:r w:rsidR="00D52FD0">
        <w:t xml:space="preserve"> </w:t>
      </w:r>
      <w:r w:rsidR="000A1AAE" w:rsidRPr="00857B1D">
        <w:t>free</w:t>
      </w:r>
      <w:r w:rsidR="00D52FD0">
        <w:t xml:space="preserve"> </w:t>
      </w:r>
      <w:r w:rsidR="000A1AAE" w:rsidRPr="00857B1D">
        <w:t>from</w:t>
      </w:r>
      <w:r w:rsidR="00D52FD0">
        <w:t xml:space="preserve"> </w:t>
      </w:r>
      <w:r w:rsidR="000A1AAE" w:rsidRPr="00857B1D">
        <w:t>gender</w:t>
      </w:r>
      <w:r w:rsidR="00D52FD0">
        <w:t xml:space="preserve"> </w:t>
      </w:r>
      <w:r w:rsidR="000A1AAE" w:rsidRPr="00857B1D">
        <w:t>stereotypes;</w:t>
      </w:r>
    </w:p>
    <w:p w14:paraId="4E6ED102" w14:textId="62C23BD4" w:rsidR="000A1AAE" w:rsidRPr="00857B1D" w:rsidRDefault="0044637E" w:rsidP="0044637E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857B1D">
        <w:t>•</w:t>
      </w:r>
      <w:r w:rsidRPr="00857B1D">
        <w:tab/>
      </w:r>
      <w:r w:rsidR="000A1AAE" w:rsidRPr="00857B1D">
        <w:t>A</w:t>
      </w:r>
      <w:r w:rsidR="00D52FD0">
        <w:t xml:space="preserve"> </w:t>
      </w:r>
      <w:r w:rsidR="000A1AAE" w:rsidRPr="00857B1D">
        <w:t>company</w:t>
      </w:r>
      <w:r w:rsidR="00D52FD0">
        <w:t xml:space="preserve"> </w:t>
      </w:r>
      <w:r w:rsidR="000A1AAE" w:rsidRPr="00857B1D">
        <w:t>is</w:t>
      </w:r>
      <w:r w:rsidR="00D52FD0">
        <w:t xml:space="preserve"> </w:t>
      </w:r>
      <w:r w:rsidR="000A1AAE" w:rsidRPr="00857B1D">
        <w:t>to</w:t>
      </w:r>
      <w:r w:rsidR="00D52FD0">
        <w:t xml:space="preserve"> </w:t>
      </w:r>
      <w:r w:rsidR="000A1AAE" w:rsidRPr="00857B1D">
        <w:t>make</w:t>
      </w:r>
      <w:r w:rsidR="00D52FD0">
        <w:t xml:space="preserve"> </w:t>
      </w:r>
      <w:r w:rsidR="000A1AAE" w:rsidRPr="00857B1D">
        <w:t>sure</w:t>
      </w:r>
      <w:r w:rsidR="00D52FD0">
        <w:t xml:space="preserve"> </w:t>
      </w:r>
      <w:r w:rsidR="000A1AAE" w:rsidRPr="00857B1D">
        <w:t>that</w:t>
      </w:r>
      <w:r w:rsidR="00D52FD0">
        <w:t xml:space="preserve"> </w:t>
      </w:r>
      <w:r w:rsidR="000A1AAE" w:rsidRPr="00857B1D">
        <w:t>an</w:t>
      </w:r>
      <w:r w:rsidR="00D52FD0">
        <w:t xml:space="preserve"> </w:t>
      </w:r>
      <w:r w:rsidR="000A1AAE" w:rsidRPr="00857B1D">
        <w:t>employee</w:t>
      </w:r>
      <w:r w:rsidR="00D52FD0">
        <w:t xml:space="preserve"> </w:t>
      </w:r>
      <w:r w:rsidR="000A1AAE" w:rsidRPr="00857B1D">
        <w:t>equality</w:t>
      </w:r>
      <w:r w:rsidR="00D52FD0">
        <w:t xml:space="preserve"> </w:t>
      </w:r>
      <w:r w:rsidR="000A1AAE" w:rsidRPr="00857B1D">
        <w:t>representative</w:t>
      </w:r>
      <w:r w:rsidR="00D52FD0">
        <w:t xml:space="preserve"> </w:t>
      </w:r>
      <w:r w:rsidR="000A1AAE" w:rsidRPr="00857B1D">
        <w:t>and/or</w:t>
      </w:r>
      <w:r w:rsidR="00D52FD0">
        <w:t xml:space="preserve"> </w:t>
      </w:r>
      <w:r w:rsidR="000A1AAE" w:rsidRPr="00857B1D">
        <w:t>equality</w:t>
      </w:r>
      <w:r w:rsidR="00D52FD0">
        <w:t xml:space="preserve"> </w:t>
      </w:r>
      <w:r w:rsidR="000A1AAE" w:rsidRPr="00857B1D">
        <w:t>committee</w:t>
      </w:r>
      <w:r w:rsidR="00D52FD0">
        <w:t xml:space="preserve"> </w:t>
      </w:r>
      <w:r w:rsidR="000A1AAE" w:rsidRPr="00857B1D">
        <w:t>is</w:t>
      </w:r>
      <w:r w:rsidR="00D52FD0">
        <w:t xml:space="preserve"> </w:t>
      </w:r>
      <w:r w:rsidR="000A1AAE" w:rsidRPr="00857B1D">
        <w:t>appointed;</w:t>
      </w:r>
    </w:p>
    <w:p w14:paraId="0C55124C" w14:textId="5CC3E8AE" w:rsidR="000A1AAE" w:rsidRPr="00857B1D" w:rsidRDefault="0044637E" w:rsidP="0044637E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857B1D">
        <w:t>•</w:t>
      </w:r>
      <w:r w:rsidRPr="00857B1D">
        <w:tab/>
      </w:r>
      <w:r w:rsidR="000A1AAE" w:rsidRPr="00857B1D">
        <w:t>Ensure</w:t>
      </w:r>
      <w:r w:rsidR="00D52FD0">
        <w:t xml:space="preserve"> </w:t>
      </w:r>
      <w:r w:rsidR="000A1AAE" w:rsidRPr="00857B1D">
        <w:t>equality</w:t>
      </w:r>
      <w:r w:rsidR="00D52FD0">
        <w:t xml:space="preserve"> </w:t>
      </w:r>
      <w:r w:rsidR="000A1AAE" w:rsidRPr="00857B1D">
        <w:t>in</w:t>
      </w:r>
      <w:r w:rsidR="00D52FD0">
        <w:t xml:space="preserve"> </w:t>
      </w:r>
      <w:r w:rsidR="000A1AAE" w:rsidRPr="00857B1D">
        <w:t>career</w:t>
      </w:r>
      <w:r w:rsidR="00D52FD0">
        <w:t xml:space="preserve"> </w:t>
      </w:r>
      <w:r w:rsidR="000A1AAE" w:rsidRPr="00857B1D">
        <w:t>and</w:t>
      </w:r>
      <w:r w:rsidR="00D52FD0">
        <w:t xml:space="preserve"> </w:t>
      </w:r>
      <w:r w:rsidR="000A1AAE" w:rsidRPr="00857B1D">
        <w:t>personal</w:t>
      </w:r>
      <w:r w:rsidR="00D52FD0">
        <w:t xml:space="preserve"> </w:t>
      </w:r>
      <w:r w:rsidR="000A1AAE" w:rsidRPr="00857B1D">
        <w:t>development</w:t>
      </w:r>
      <w:r w:rsidR="00D52FD0">
        <w:t xml:space="preserve"> </w:t>
      </w:r>
      <w:r w:rsidR="000A1AAE" w:rsidRPr="00857B1D">
        <w:t>opportunities;</w:t>
      </w:r>
    </w:p>
    <w:p w14:paraId="36AB958C" w14:textId="13271100" w:rsidR="000A1AAE" w:rsidRPr="00857B1D" w:rsidRDefault="0044637E" w:rsidP="0044637E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857B1D">
        <w:t>•</w:t>
      </w:r>
      <w:r w:rsidRPr="00857B1D">
        <w:tab/>
      </w:r>
      <w:r w:rsidR="000A1AAE" w:rsidRPr="00857B1D">
        <w:t>Provide</w:t>
      </w:r>
      <w:r w:rsidR="00D52FD0">
        <w:t xml:space="preserve"> </w:t>
      </w:r>
      <w:r w:rsidR="000A1AAE" w:rsidRPr="00857B1D">
        <w:t>family-friendly</w:t>
      </w:r>
      <w:r w:rsidR="00D52FD0">
        <w:t xml:space="preserve"> </w:t>
      </w:r>
      <w:r w:rsidR="000A1AAE" w:rsidRPr="00857B1D">
        <w:t>measures</w:t>
      </w:r>
      <w:r w:rsidR="00D52FD0">
        <w:t xml:space="preserve"> </w:t>
      </w:r>
      <w:r w:rsidR="000A1AAE" w:rsidRPr="00857B1D">
        <w:t>for</w:t>
      </w:r>
      <w:r w:rsidR="00D52FD0">
        <w:t xml:space="preserve"> </w:t>
      </w:r>
      <w:r w:rsidR="000A1AAE" w:rsidRPr="00857B1D">
        <w:t>men</w:t>
      </w:r>
      <w:r w:rsidR="00D52FD0">
        <w:t xml:space="preserve"> </w:t>
      </w:r>
      <w:r w:rsidR="000A1AAE" w:rsidRPr="00857B1D">
        <w:t>and</w:t>
      </w:r>
      <w:r w:rsidR="00D52FD0">
        <w:t xml:space="preserve"> </w:t>
      </w:r>
      <w:r w:rsidR="000A1AAE" w:rsidRPr="00857B1D">
        <w:t>women</w:t>
      </w:r>
      <w:r w:rsidR="00D52FD0">
        <w:t xml:space="preserve"> </w:t>
      </w:r>
      <w:r w:rsidR="000A1AAE" w:rsidRPr="00857B1D">
        <w:t>employees</w:t>
      </w:r>
      <w:r w:rsidR="00D52FD0">
        <w:t xml:space="preserve"> </w:t>
      </w:r>
      <w:r w:rsidR="000A1AAE" w:rsidRPr="00857B1D">
        <w:t>with</w:t>
      </w:r>
      <w:r w:rsidR="00D52FD0">
        <w:t xml:space="preserve"> </w:t>
      </w:r>
      <w:r w:rsidR="000A1AAE" w:rsidRPr="00857B1D">
        <w:t>caring</w:t>
      </w:r>
      <w:r w:rsidR="00D52FD0">
        <w:t xml:space="preserve"> </w:t>
      </w:r>
      <w:r w:rsidR="000A1AAE" w:rsidRPr="00857B1D">
        <w:t>responsibilities;</w:t>
      </w:r>
    </w:p>
    <w:p w14:paraId="6F94EE94" w14:textId="23C33723" w:rsidR="000A1AAE" w:rsidRPr="00857B1D" w:rsidRDefault="0044637E" w:rsidP="0044637E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857B1D">
        <w:lastRenderedPageBreak/>
        <w:t>•</w:t>
      </w:r>
      <w:r w:rsidRPr="00857B1D">
        <w:tab/>
      </w:r>
      <w:r w:rsidR="000A1AAE" w:rsidRPr="00857B1D">
        <w:t>Ensure</w:t>
      </w:r>
      <w:r w:rsidR="00D52FD0">
        <w:t xml:space="preserve"> </w:t>
      </w:r>
      <w:r w:rsidR="000A1AAE" w:rsidRPr="00857B1D">
        <w:t>gender</w:t>
      </w:r>
      <w:r w:rsidR="00D52FD0">
        <w:t xml:space="preserve"> </w:t>
      </w:r>
      <w:r w:rsidR="000A1AAE" w:rsidRPr="00857B1D">
        <w:t>equality</w:t>
      </w:r>
      <w:r w:rsidR="00D52FD0">
        <w:t xml:space="preserve"> </w:t>
      </w:r>
      <w:r w:rsidR="000A1AAE" w:rsidRPr="00857B1D">
        <w:t>in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access</w:t>
      </w:r>
      <w:r w:rsidR="00D52FD0">
        <w:t xml:space="preserve"> </w:t>
      </w:r>
      <w:r w:rsidR="000A1AAE" w:rsidRPr="00857B1D">
        <w:t>to</w:t>
      </w:r>
      <w:r w:rsidR="00D52FD0">
        <w:t xml:space="preserve"> </w:t>
      </w:r>
      <w:r w:rsidR="000A1AAE" w:rsidRPr="00857B1D">
        <w:t>and</w:t>
      </w:r>
      <w:r w:rsidR="00D52FD0">
        <w:t xml:space="preserve"> </w:t>
      </w:r>
      <w:r w:rsidR="000A1AAE" w:rsidRPr="00857B1D">
        <w:t>supply</w:t>
      </w:r>
      <w:r w:rsidR="00D52FD0">
        <w:t xml:space="preserve"> </w:t>
      </w:r>
      <w:r w:rsidR="000A1AAE" w:rsidRPr="00857B1D">
        <w:t>of</w:t>
      </w:r>
      <w:r w:rsidR="00D52FD0">
        <w:t xml:space="preserve"> </w:t>
      </w:r>
      <w:r w:rsidR="000A1AAE" w:rsidRPr="00857B1D">
        <w:t>goods</w:t>
      </w:r>
      <w:r w:rsidR="00D52FD0">
        <w:t xml:space="preserve"> </w:t>
      </w:r>
      <w:r w:rsidR="000A1AAE" w:rsidRPr="00857B1D">
        <w:t>and</w:t>
      </w:r>
      <w:r w:rsidR="00D52FD0">
        <w:t xml:space="preserve"> </w:t>
      </w:r>
      <w:r w:rsidR="000A1AAE" w:rsidRPr="00857B1D">
        <w:t>services.</w:t>
      </w:r>
    </w:p>
    <w:p w14:paraId="3F9191FC" w14:textId="0ADB8D2A" w:rsidR="000A1AAE" w:rsidRPr="00A841AA" w:rsidRDefault="0044637E" w:rsidP="0044637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841AA">
        <w:t>143.</w:t>
      </w:r>
      <w:r w:rsidRPr="00A841AA">
        <w:tab/>
      </w:r>
      <w:r w:rsidR="000A1AAE" w:rsidRPr="00A841AA">
        <w:t>Other</w:t>
      </w:r>
      <w:r w:rsidR="00D52FD0">
        <w:t xml:space="preserve"> </w:t>
      </w:r>
      <w:r w:rsidR="000A1AAE" w:rsidRPr="00A841AA">
        <w:t>initiatives</w:t>
      </w:r>
      <w:r w:rsidR="00D52FD0">
        <w:t xml:space="preserve"> </w:t>
      </w:r>
      <w:r w:rsidR="000A1AAE" w:rsidRPr="00A841AA">
        <w:t>which</w:t>
      </w:r>
      <w:r w:rsidR="00D52FD0">
        <w:t xml:space="preserve"> </w:t>
      </w:r>
      <w:r w:rsidR="000A1AAE" w:rsidRPr="00A841AA">
        <w:t>have</w:t>
      </w:r>
      <w:r w:rsidR="00D52FD0">
        <w:t xml:space="preserve"> </w:t>
      </w:r>
      <w:r w:rsidR="000A1AAE" w:rsidRPr="00A841AA">
        <w:t>been</w:t>
      </w:r>
      <w:r w:rsidR="00D52FD0">
        <w:t xml:space="preserve"> </w:t>
      </w:r>
      <w:r w:rsidR="000A1AAE" w:rsidRPr="00A841AA">
        <w:t>taken</w:t>
      </w:r>
      <w:r w:rsidR="00D52FD0">
        <w:t xml:space="preserve"> </w:t>
      </w:r>
      <w:r w:rsidR="000A1AAE" w:rsidRPr="00A841AA">
        <w:t>include:</w:t>
      </w:r>
    </w:p>
    <w:p w14:paraId="4E9A51E1" w14:textId="023D75C4" w:rsidR="000A1AAE" w:rsidRPr="00857B1D" w:rsidRDefault="0044637E" w:rsidP="0044637E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857B1D">
        <w:t>•</w:t>
      </w:r>
      <w:r w:rsidRPr="00857B1D">
        <w:tab/>
      </w:r>
      <w:r w:rsidR="000A1AAE" w:rsidRPr="00857B1D">
        <w:t>The</w:t>
      </w:r>
      <w:r w:rsidR="00D52FD0">
        <w:t xml:space="preserve"> </w:t>
      </w:r>
      <w:r w:rsidR="000A1AAE" w:rsidRPr="00857B1D">
        <w:t>setting</w:t>
      </w:r>
      <w:r w:rsidR="00D52FD0">
        <w:t xml:space="preserve"> </w:t>
      </w:r>
      <w:r w:rsidR="000A1AAE" w:rsidRPr="00857B1D">
        <w:t>up</w:t>
      </w:r>
      <w:r w:rsidR="00D52FD0">
        <w:t xml:space="preserve"> </w:t>
      </w:r>
      <w:r w:rsidR="000A1AAE" w:rsidRPr="00857B1D">
        <w:t>of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Gender</w:t>
      </w:r>
      <w:r w:rsidR="00D52FD0">
        <w:t xml:space="preserve"> </w:t>
      </w:r>
      <w:r w:rsidR="000A1AAE" w:rsidRPr="00857B1D">
        <w:t>Mainstreaming</w:t>
      </w:r>
      <w:r w:rsidR="00D52FD0">
        <w:t xml:space="preserve"> </w:t>
      </w:r>
      <w:r w:rsidR="000A1AAE" w:rsidRPr="00857B1D">
        <w:t>Unit</w:t>
      </w:r>
      <w:r w:rsidR="00D52FD0">
        <w:t xml:space="preserve"> </w:t>
      </w:r>
      <w:r w:rsidR="000A1AAE" w:rsidRPr="00857B1D">
        <w:t>(GMU)</w:t>
      </w:r>
      <w:r w:rsidR="00D52FD0">
        <w:t xml:space="preserve"> </w:t>
      </w:r>
      <w:r w:rsidR="000A1AAE" w:rsidRPr="00857B1D">
        <w:t>within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Human</w:t>
      </w:r>
      <w:r w:rsidR="00D52FD0">
        <w:t xml:space="preserve"> </w:t>
      </w:r>
      <w:r w:rsidR="000A1AAE" w:rsidRPr="00857B1D">
        <w:t>Rights</w:t>
      </w:r>
      <w:r w:rsidR="00D52FD0">
        <w:t xml:space="preserve"> </w:t>
      </w:r>
      <w:r w:rsidR="000A1AAE" w:rsidRPr="00857B1D">
        <w:t>Directorate</w:t>
      </w:r>
      <w:r w:rsidR="00D52FD0">
        <w:t xml:space="preserve"> </w:t>
      </w:r>
      <w:r w:rsidR="000A1AAE" w:rsidRPr="00857B1D">
        <w:t>(HRD)</w:t>
      </w:r>
      <w:r w:rsidR="00D52FD0">
        <w:t xml:space="preserve"> </w:t>
      </w:r>
      <w:r w:rsidR="000A1AAE" w:rsidRPr="00857B1D">
        <w:t>to</w:t>
      </w:r>
      <w:r w:rsidR="00D52FD0">
        <w:t xml:space="preserve"> </w:t>
      </w:r>
      <w:r w:rsidR="000A1AAE" w:rsidRPr="00857B1D">
        <w:t>serve</w:t>
      </w:r>
      <w:r w:rsidR="00D52FD0">
        <w:t xml:space="preserve"> </w:t>
      </w:r>
      <w:r w:rsidR="000A1AAE" w:rsidRPr="00857B1D">
        <w:t>as</w:t>
      </w:r>
      <w:r w:rsidR="00D52FD0">
        <w:t xml:space="preserve"> </w:t>
      </w:r>
      <w:r w:rsidR="000A1AAE" w:rsidRPr="00857B1D">
        <w:t>Government</w:t>
      </w:r>
      <w:r w:rsidR="00F14DA3">
        <w:t>’</w:t>
      </w:r>
      <w:r w:rsidR="000A1AAE" w:rsidRPr="00857B1D">
        <w:t>s</w:t>
      </w:r>
      <w:r w:rsidR="00D52FD0">
        <w:t xml:space="preserve"> </w:t>
      </w:r>
      <w:r w:rsidR="000A1AAE" w:rsidRPr="00857B1D">
        <w:t>coordinating</w:t>
      </w:r>
      <w:r w:rsidR="00D52FD0">
        <w:t xml:space="preserve"> </w:t>
      </w:r>
      <w:r w:rsidR="000A1AAE" w:rsidRPr="00857B1D">
        <w:t>body</w:t>
      </w:r>
      <w:r w:rsidR="00D52FD0">
        <w:t xml:space="preserve"> </w:t>
      </w:r>
      <w:r w:rsidR="000A1AAE" w:rsidRPr="00857B1D">
        <w:t>and</w:t>
      </w:r>
      <w:r w:rsidR="00D52FD0">
        <w:t xml:space="preserve"> </w:t>
      </w:r>
      <w:r w:rsidR="000A1AAE" w:rsidRPr="00857B1D">
        <w:t>feed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gender</w:t>
      </w:r>
      <w:r w:rsidR="00D52FD0">
        <w:t xml:space="preserve"> </w:t>
      </w:r>
      <w:r w:rsidR="000A1AAE" w:rsidRPr="00857B1D">
        <w:t>perspective</w:t>
      </w:r>
      <w:r w:rsidR="00D52FD0">
        <w:t xml:space="preserve"> </w:t>
      </w:r>
      <w:r w:rsidR="000A1AAE" w:rsidRPr="00857B1D">
        <w:t>to</w:t>
      </w:r>
      <w:r w:rsidR="00D52FD0">
        <w:t xml:space="preserve"> </w:t>
      </w:r>
      <w:r w:rsidR="000A1AAE" w:rsidRPr="00857B1D">
        <w:t>ongoing</w:t>
      </w:r>
      <w:r w:rsidR="00D52FD0">
        <w:t xml:space="preserve"> </w:t>
      </w:r>
      <w:r w:rsidR="000A1AAE" w:rsidRPr="00857B1D">
        <w:t>processes.</w:t>
      </w:r>
    </w:p>
    <w:p w14:paraId="1143FCB5" w14:textId="4C26A965" w:rsidR="000A1AAE" w:rsidRPr="00857B1D" w:rsidRDefault="0044637E" w:rsidP="0044637E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857B1D">
        <w:t>•</w:t>
      </w:r>
      <w:r w:rsidRPr="00857B1D">
        <w:tab/>
      </w:r>
      <w:r w:rsidR="000A1AAE" w:rsidRPr="00857B1D">
        <w:t>The</w:t>
      </w:r>
      <w:r w:rsidR="00D52FD0">
        <w:t xml:space="preserve"> </w:t>
      </w:r>
      <w:r w:rsidR="000A1AAE" w:rsidRPr="00857B1D">
        <w:t>setting</w:t>
      </w:r>
      <w:r w:rsidR="00D52FD0">
        <w:t xml:space="preserve"> </w:t>
      </w:r>
      <w:r w:rsidR="000A1AAE" w:rsidRPr="00857B1D">
        <w:t>up</w:t>
      </w:r>
      <w:r w:rsidR="00D52FD0">
        <w:t xml:space="preserve"> </w:t>
      </w:r>
      <w:r w:rsidR="000A1AAE" w:rsidRPr="00857B1D">
        <w:t>of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Consultative</w:t>
      </w:r>
      <w:r w:rsidR="00D52FD0">
        <w:t xml:space="preserve"> </w:t>
      </w:r>
      <w:r w:rsidR="000A1AAE" w:rsidRPr="00857B1D">
        <w:t>Council</w:t>
      </w:r>
      <w:r w:rsidR="00D52FD0">
        <w:t xml:space="preserve"> </w:t>
      </w:r>
      <w:r w:rsidR="000A1AAE" w:rsidRPr="00857B1D">
        <w:t>for</w:t>
      </w:r>
      <w:r w:rsidR="00D52FD0">
        <w:t xml:space="preserve"> </w:t>
      </w:r>
      <w:r w:rsidR="000A1AAE" w:rsidRPr="00857B1D">
        <w:t>Women</w:t>
      </w:r>
      <w:r w:rsidR="00F14DA3">
        <w:t>’</w:t>
      </w:r>
      <w:r w:rsidR="000A1AAE" w:rsidRPr="00857B1D">
        <w:t>s</w:t>
      </w:r>
      <w:r w:rsidR="00D52FD0">
        <w:t xml:space="preserve"> </w:t>
      </w:r>
      <w:r w:rsidR="000A1AAE" w:rsidRPr="00857B1D">
        <w:t>Rights</w:t>
      </w:r>
      <w:r w:rsidR="00D52FD0">
        <w:t xml:space="preserve"> </w:t>
      </w:r>
      <w:r w:rsidR="000A1AAE" w:rsidRPr="00857B1D">
        <w:t>(CCWR)</w:t>
      </w:r>
      <w:r w:rsidR="00D52FD0">
        <w:t xml:space="preserve"> </w:t>
      </w:r>
      <w:r w:rsidR="000A1AAE" w:rsidRPr="00857B1D">
        <w:t>to</w:t>
      </w:r>
      <w:r w:rsidR="00D52FD0">
        <w:t xml:space="preserve"> </w:t>
      </w:r>
      <w:r w:rsidR="000A1AAE" w:rsidRPr="00857B1D">
        <w:t>act</w:t>
      </w:r>
      <w:r w:rsidR="00D52FD0">
        <w:t xml:space="preserve"> </w:t>
      </w:r>
      <w:r w:rsidR="000A1AAE" w:rsidRPr="00857B1D">
        <w:t>as</w:t>
      </w:r>
      <w:r w:rsidR="00D52FD0">
        <w:t xml:space="preserve"> </w:t>
      </w:r>
      <w:r w:rsidR="000A1AAE" w:rsidRPr="00857B1D">
        <w:t>an</w:t>
      </w:r>
      <w:r w:rsidR="00D52FD0">
        <w:t xml:space="preserve"> </w:t>
      </w:r>
      <w:r w:rsidR="000A1AAE" w:rsidRPr="00857B1D">
        <w:t>advisory</w:t>
      </w:r>
      <w:r w:rsidR="00D52FD0">
        <w:t xml:space="preserve"> </w:t>
      </w:r>
      <w:r w:rsidR="000A1AAE" w:rsidRPr="00857B1D">
        <w:t>body</w:t>
      </w:r>
      <w:r w:rsidR="00D52FD0">
        <w:t xml:space="preserve"> </w:t>
      </w:r>
      <w:r w:rsidR="000A1AAE" w:rsidRPr="00857B1D">
        <w:t>and</w:t>
      </w:r>
      <w:r w:rsidR="00D52FD0">
        <w:t xml:space="preserve"> </w:t>
      </w:r>
      <w:r w:rsidR="000A1AAE" w:rsidRPr="00857B1D">
        <w:t>to</w:t>
      </w:r>
      <w:r w:rsidR="00D52FD0">
        <w:t xml:space="preserve"> </w:t>
      </w:r>
      <w:r w:rsidR="000A1AAE" w:rsidRPr="00857B1D">
        <w:t>enhance</w:t>
      </w:r>
      <w:r w:rsidR="00D52FD0">
        <w:t xml:space="preserve"> </w:t>
      </w:r>
      <w:r w:rsidR="000A1AAE" w:rsidRPr="00857B1D">
        <w:t>dialogue</w:t>
      </w:r>
      <w:r w:rsidR="00D52FD0">
        <w:t xml:space="preserve"> </w:t>
      </w:r>
      <w:r w:rsidR="000A1AAE" w:rsidRPr="00857B1D">
        <w:t>between</w:t>
      </w:r>
      <w:r w:rsidR="00D52FD0">
        <w:t xml:space="preserve"> </w:t>
      </w:r>
      <w:r w:rsidR="000A1AAE" w:rsidRPr="00857B1D">
        <w:t>Government</w:t>
      </w:r>
      <w:r w:rsidR="00D52FD0">
        <w:t xml:space="preserve"> </w:t>
      </w:r>
      <w:r w:rsidR="000A1AAE" w:rsidRPr="00857B1D">
        <w:t>and</w:t>
      </w:r>
      <w:r w:rsidR="00D52FD0">
        <w:t xml:space="preserve"> </w:t>
      </w:r>
      <w:r w:rsidR="000A1AAE" w:rsidRPr="00857B1D">
        <w:t>civil</w:t>
      </w:r>
      <w:r w:rsidR="00D52FD0">
        <w:t xml:space="preserve"> </w:t>
      </w:r>
      <w:r w:rsidR="000A1AAE" w:rsidRPr="00857B1D">
        <w:t>society.</w:t>
      </w:r>
    </w:p>
    <w:p w14:paraId="784268AB" w14:textId="4AC6EAB3" w:rsidR="000A1AAE" w:rsidRPr="00857B1D" w:rsidRDefault="0044637E" w:rsidP="0044637E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857B1D">
        <w:t>•</w:t>
      </w:r>
      <w:r w:rsidRPr="00857B1D">
        <w:tab/>
      </w:r>
      <w:r w:rsidR="000A1AAE" w:rsidRPr="00857B1D">
        <w:t>The</w:t>
      </w:r>
      <w:r w:rsidR="00D52FD0">
        <w:t xml:space="preserve"> </w:t>
      </w:r>
      <w:r w:rsidR="000A1AAE" w:rsidRPr="00857B1D">
        <w:t>development</w:t>
      </w:r>
      <w:r w:rsidR="00D52FD0">
        <w:t xml:space="preserve"> </w:t>
      </w:r>
      <w:r w:rsidR="000A1AAE" w:rsidRPr="00857B1D">
        <w:t>of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first</w:t>
      </w:r>
      <w:r w:rsidR="00D52FD0">
        <w:t xml:space="preserve"> </w:t>
      </w:r>
      <w:r w:rsidR="000A1AAE" w:rsidRPr="00857B1D">
        <w:t>national</w:t>
      </w:r>
      <w:r w:rsidR="00D52FD0">
        <w:t xml:space="preserve"> </w:t>
      </w:r>
      <w:r w:rsidR="000A1AAE" w:rsidRPr="00857B1D">
        <w:t>strategy</w:t>
      </w:r>
      <w:r w:rsidR="00D52FD0">
        <w:t xml:space="preserve"> </w:t>
      </w:r>
      <w:r w:rsidR="000A1AAE" w:rsidRPr="00857B1D">
        <w:t>and</w:t>
      </w:r>
      <w:r w:rsidR="00D52FD0">
        <w:t xml:space="preserve"> </w:t>
      </w:r>
      <w:r w:rsidR="000A1AAE" w:rsidRPr="00857B1D">
        <w:t>action</w:t>
      </w:r>
      <w:r w:rsidR="00D52FD0">
        <w:t xml:space="preserve"> </w:t>
      </w:r>
      <w:r w:rsidR="000A1AAE" w:rsidRPr="00857B1D">
        <w:t>plan</w:t>
      </w:r>
      <w:r w:rsidR="00D52FD0">
        <w:t xml:space="preserve"> </w:t>
      </w:r>
      <w:r w:rsidR="000A1AAE" w:rsidRPr="00857B1D">
        <w:t>on</w:t>
      </w:r>
      <w:r w:rsidR="00D52FD0">
        <w:t xml:space="preserve"> </w:t>
      </w:r>
      <w:r w:rsidR="000A1AAE" w:rsidRPr="00857B1D">
        <w:t>Gender</w:t>
      </w:r>
      <w:r w:rsidR="00D52FD0">
        <w:t xml:space="preserve"> </w:t>
      </w:r>
      <w:r w:rsidR="000A1AAE" w:rsidRPr="00857B1D">
        <w:t>Equality</w:t>
      </w:r>
      <w:r w:rsidR="00D52FD0">
        <w:t xml:space="preserve"> </w:t>
      </w:r>
      <w:r w:rsidR="000A1AAE" w:rsidRPr="00857B1D">
        <w:t>and</w:t>
      </w:r>
      <w:r w:rsidR="00D52FD0">
        <w:t xml:space="preserve"> </w:t>
      </w:r>
      <w:r w:rsidR="000A1AAE" w:rsidRPr="00857B1D">
        <w:t>Mainstreaming,</w:t>
      </w:r>
      <w:r w:rsidR="00D52FD0">
        <w:t xml:space="preserve"> </w:t>
      </w:r>
      <w:r w:rsidR="000A1AAE" w:rsidRPr="00857B1D">
        <w:t>which</w:t>
      </w:r>
      <w:r w:rsidR="00D52FD0">
        <w:t xml:space="preserve"> </w:t>
      </w:r>
      <w:r w:rsidR="000A1AAE" w:rsidRPr="00857B1D">
        <w:t>is</w:t>
      </w:r>
      <w:r w:rsidR="00D52FD0">
        <w:t xml:space="preserve"> </w:t>
      </w:r>
      <w:r w:rsidR="000A1AAE" w:rsidRPr="00857B1D">
        <w:t>expected</w:t>
      </w:r>
      <w:r w:rsidR="00D52FD0">
        <w:t xml:space="preserve"> </w:t>
      </w:r>
      <w:r w:rsidR="000A1AAE" w:rsidRPr="00857B1D">
        <w:t>to</w:t>
      </w:r>
      <w:r w:rsidR="00D52FD0">
        <w:t xml:space="preserve"> </w:t>
      </w:r>
      <w:r w:rsidR="000A1AAE" w:rsidRPr="00857B1D">
        <w:t>be</w:t>
      </w:r>
      <w:r w:rsidR="00D52FD0">
        <w:t xml:space="preserve"> </w:t>
      </w:r>
      <w:r w:rsidR="000A1AAE" w:rsidRPr="00857B1D">
        <w:t>launched</w:t>
      </w:r>
      <w:r w:rsidR="00D52FD0">
        <w:t xml:space="preserve"> </w:t>
      </w:r>
      <w:r w:rsidR="000A1AAE" w:rsidRPr="00857B1D">
        <w:t>at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end</w:t>
      </w:r>
      <w:r w:rsidR="00D52FD0">
        <w:t xml:space="preserve"> </w:t>
      </w:r>
      <w:r w:rsidR="000A1AAE" w:rsidRPr="00857B1D">
        <w:t>of</w:t>
      </w:r>
      <w:r w:rsidR="00D52FD0">
        <w:t xml:space="preserve"> </w:t>
      </w:r>
      <w:r w:rsidR="000A1AAE" w:rsidRPr="00857B1D">
        <w:t>2021.</w:t>
      </w:r>
      <w:r w:rsidR="00D52FD0">
        <w:t xml:space="preserve"> </w:t>
      </w:r>
      <w:r w:rsidR="000A1AAE" w:rsidRPr="00857B1D">
        <w:t>This</w:t>
      </w:r>
      <w:r w:rsidR="00D52FD0">
        <w:t xml:space="preserve"> </w:t>
      </w:r>
      <w:r w:rsidR="000A1AAE" w:rsidRPr="00857B1D">
        <w:t>document</w:t>
      </w:r>
      <w:r w:rsidR="00D52FD0">
        <w:t xml:space="preserve"> </w:t>
      </w:r>
      <w:r w:rsidR="000A1AAE" w:rsidRPr="00857B1D">
        <w:t>aims</w:t>
      </w:r>
      <w:r w:rsidR="00D52FD0">
        <w:t xml:space="preserve"> </w:t>
      </w:r>
      <w:r w:rsidR="000A1AAE" w:rsidRPr="00857B1D">
        <w:t>to</w:t>
      </w:r>
      <w:r w:rsidR="00D52FD0">
        <w:t xml:space="preserve"> </w:t>
      </w:r>
      <w:r w:rsidR="000A1AAE" w:rsidRPr="00857B1D">
        <w:t>strengthen</w:t>
      </w:r>
      <w:r w:rsidR="00D52FD0">
        <w:t xml:space="preserve"> </w:t>
      </w:r>
      <w:r w:rsidR="000A1AAE" w:rsidRPr="00857B1D">
        <w:t>gender</w:t>
      </w:r>
      <w:r w:rsidR="00D52FD0">
        <w:t xml:space="preserve"> </w:t>
      </w:r>
      <w:r w:rsidR="000A1AAE" w:rsidRPr="00857B1D">
        <w:t>mainstreaming</w:t>
      </w:r>
      <w:r w:rsidR="00D52FD0">
        <w:t xml:space="preserve"> </w:t>
      </w:r>
      <w:r w:rsidR="000A1AAE" w:rsidRPr="00857B1D">
        <w:t>in</w:t>
      </w:r>
      <w:r w:rsidR="00D52FD0">
        <w:t xml:space="preserve"> </w:t>
      </w:r>
      <w:r w:rsidR="000A1AAE" w:rsidRPr="00857B1D">
        <w:t>all</w:t>
      </w:r>
      <w:r w:rsidR="00D52FD0">
        <w:t xml:space="preserve"> </w:t>
      </w:r>
      <w:r w:rsidR="000A1AAE" w:rsidRPr="00857B1D">
        <w:t>stages</w:t>
      </w:r>
      <w:r w:rsidR="00D52FD0">
        <w:t xml:space="preserve"> </w:t>
      </w:r>
      <w:r w:rsidR="000A1AAE" w:rsidRPr="00857B1D">
        <w:t>and</w:t>
      </w:r>
      <w:r w:rsidR="00D52FD0">
        <w:t xml:space="preserve"> </w:t>
      </w:r>
      <w:r w:rsidR="000A1AAE" w:rsidRPr="00857B1D">
        <w:t>in</w:t>
      </w:r>
      <w:r w:rsidR="00D52FD0">
        <w:t xml:space="preserve"> </w:t>
      </w:r>
      <w:r w:rsidR="000A1AAE" w:rsidRPr="00857B1D">
        <w:t>various</w:t>
      </w:r>
      <w:r w:rsidR="00D52FD0">
        <w:t xml:space="preserve"> </w:t>
      </w:r>
      <w:r w:rsidR="000A1AAE" w:rsidRPr="00857B1D">
        <w:t>sectors</w:t>
      </w:r>
      <w:r w:rsidR="00D52FD0">
        <w:t xml:space="preserve"> </w:t>
      </w:r>
      <w:r w:rsidR="000A1AAE" w:rsidRPr="00857B1D">
        <w:t>of</w:t>
      </w:r>
      <w:r w:rsidR="00D52FD0">
        <w:t xml:space="preserve"> </w:t>
      </w:r>
      <w:r w:rsidR="000A1AAE" w:rsidRPr="00857B1D">
        <w:t>policymaking,</w:t>
      </w:r>
      <w:r w:rsidR="00D52FD0">
        <w:t xml:space="preserve"> </w:t>
      </w:r>
      <w:r w:rsidR="000A1AAE" w:rsidRPr="00857B1D">
        <w:t>and</w:t>
      </w:r>
      <w:r w:rsidR="00D52FD0">
        <w:t xml:space="preserve"> </w:t>
      </w:r>
      <w:r w:rsidR="000A1AAE" w:rsidRPr="00857B1D">
        <w:t>by</w:t>
      </w:r>
      <w:r w:rsidR="00D52FD0">
        <w:t xml:space="preserve"> </w:t>
      </w:r>
      <w:r w:rsidR="000A1AAE" w:rsidRPr="00857B1D">
        <w:t>committing</w:t>
      </w:r>
      <w:r w:rsidR="00D52FD0">
        <w:t xml:space="preserve"> </w:t>
      </w:r>
      <w:r w:rsidR="000A1AAE" w:rsidRPr="00857B1D">
        <w:t>Government</w:t>
      </w:r>
      <w:r w:rsidR="00D52FD0">
        <w:t xml:space="preserve"> </w:t>
      </w:r>
      <w:r w:rsidR="000A1AAE" w:rsidRPr="00857B1D">
        <w:t>to</w:t>
      </w:r>
      <w:r w:rsidR="00D52FD0">
        <w:t xml:space="preserve"> </w:t>
      </w:r>
      <w:r w:rsidR="000A1AAE" w:rsidRPr="00857B1D">
        <w:t>direct,</w:t>
      </w:r>
      <w:r w:rsidR="00D52FD0">
        <w:t xml:space="preserve"> </w:t>
      </w:r>
      <w:r w:rsidR="000A1AAE" w:rsidRPr="00857B1D">
        <w:t>targeted,</w:t>
      </w:r>
      <w:r w:rsidR="00D52FD0">
        <w:t xml:space="preserve"> </w:t>
      </w:r>
      <w:r w:rsidR="000A1AAE" w:rsidRPr="00857B1D">
        <w:t>measures</w:t>
      </w:r>
      <w:r w:rsidR="00D52FD0">
        <w:t xml:space="preserve"> </w:t>
      </w:r>
      <w:r w:rsidR="000A1AAE" w:rsidRPr="00857B1D">
        <w:t>to</w:t>
      </w:r>
      <w:r w:rsidR="00D52FD0">
        <w:t xml:space="preserve"> </w:t>
      </w:r>
      <w:r w:rsidR="000A1AAE" w:rsidRPr="00857B1D">
        <w:t>achieve</w:t>
      </w:r>
      <w:r w:rsidR="00D52FD0">
        <w:t xml:space="preserve"> </w:t>
      </w:r>
      <w:r w:rsidR="000A1AAE" w:rsidRPr="00857B1D">
        <w:t>full</w:t>
      </w:r>
      <w:r w:rsidR="00D52FD0">
        <w:t xml:space="preserve"> </w:t>
      </w:r>
      <w:r w:rsidR="000A1AAE" w:rsidRPr="00857B1D">
        <w:t>gender</w:t>
      </w:r>
      <w:r w:rsidR="00D52FD0">
        <w:t xml:space="preserve"> </w:t>
      </w:r>
      <w:r w:rsidR="000A1AAE" w:rsidRPr="00857B1D">
        <w:t>equality.</w:t>
      </w:r>
    </w:p>
    <w:p w14:paraId="1E501B33" w14:textId="64E1F027" w:rsidR="000E4FD0" w:rsidRDefault="0044637E" w:rsidP="0044637E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>
        <w:t>•</w:t>
      </w:r>
      <w:r>
        <w:tab/>
      </w:r>
      <w:r w:rsidR="000A1AAE" w:rsidRPr="00857B1D">
        <w:t>Legislative</w:t>
      </w:r>
      <w:r w:rsidR="00D52FD0">
        <w:t xml:space="preserve"> </w:t>
      </w:r>
      <w:r w:rsidR="000A1AAE" w:rsidRPr="00857B1D">
        <w:t>draft</w:t>
      </w:r>
      <w:r w:rsidR="00D52FD0">
        <w:t xml:space="preserve"> </w:t>
      </w:r>
      <w:r w:rsidR="000A1AAE" w:rsidRPr="00857B1D">
        <w:t>on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Gender</w:t>
      </w:r>
      <w:r w:rsidR="00D52FD0">
        <w:t xml:space="preserve"> </w:t>
      </w:r>
      <w:r w:rsidR="000A1AAE" w:rsidRPr="00857B1D">
        <w:t>Balance</w:t>
      </w:r>
      <w:r w:rsidR="00D52FD0">
        <w:t xml:space="preserve"> </w:t>
      </w:r>
      <w:r w:rsidR="000A1AAE" w:rsidRPr="00857B1D">
        <w:t>in</w:t>
      </w:r>
      <w:r w:rsidR="00D52FD0">
        <w:t xml:space="preserve"> </w:t>
      </w:r>
      <w:r w:rsidR="000A1AAE" w:rsidRPr="00857B1D">
        <w:t>Parliament,</w:t>
      </w:r>
      <w:r w:rsidR="00D52FD0">
        <w:t xml:space="preserve"> </w:t>
      </w:r>
      <w:r w:rsidR="000A1AAE" w:rsidRPr="00857B1D">
        <w:t>proposing</w:t>
      </w:r>
      <w:r w:rsidR="00D52FD0">
        <w:t xml:space="preserve"> </w:t>
      </w:r>
      <w:r w:rsidR="000A1AAE" w:rsidRPr="00857B1D">
        <w:t>a</w:t>
      </w:r>
      <w:r w:rsidR="00D52FD0">
        <w:t xml:space="preserve"> </w:t>
      </w:r>
      <w:r w:rsidR="000A1AAE" w:rsidRPr="00857B1D">
        <w:t>gender</w:t>
      </w:r>
      <w:r w:rsidR="00D52FD0">
        <w:t xml:space="preserve"> </w:t>
      </w:r>
      <w:r w:rsidR="000A1AAE" w:rsidRPr="00857B1D">
        <w:t>corrective</w:t>
      </w:r>
      <w:r w:rsidR="00D52FD0">
        <w:t xml:space="preserve"> </w:t>
      </w:r>
      <w:r w:rsidR="000A1AAE" w:rsidRPr="00857B1D">
        <w:t>mechanism.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Parliament</w:t>
      </w:r>
      <w:r w:rsidR="00D52FD0">
        <w:t xml:space="preserve"> </w:t>
      </w:r>
      <w:r w:rsidR="000A1AAE" w:rsidRPr="00857B1D">
        <w:t>bill</w:t>
      </w:r>
      <w:r w:rsidR="00D52FD0">
        <w:t xml:space="preserve"> </w:t>
      </w:r>
      <w:r w:rsidR="000A1AAE" w:rsidRPr="00857B1D">
        <w:t>will</w:t>
      </w:r>
      <w:r w:rsidR="00D52FD0">
        <w:t xml:space="preserve"> </w:t>
      </w:r>
      <w:r w:rsidR="000A1AAE" w:rsidRPr="00857B1D">
        <w:t>introduce</w:t>
      </w:r>
      <w:r w:rsidR="00D52FD0">
        <w:t xml:space="preserve"> </w:t>
      </w:r>
      <w:r w:rsidR="000A1AAE" w:rsidRPr="00857B1D">
        <w:t>temporary</w:t>
      </w:r>
      <w:r w:rsidR="00D52FD0">
        <w:t xml:space="preserve"> </w:t>
      </w:r>
      <w:r w:rsidR="000A1AAE" w:rsidRPr="00857B1D">
        <w:t>positive</w:t>
      </w:r>
      <w:r w:rsidR="00D52FD0">
        <w:t xml:space="preserve"> </w:t>
      </w:r>
      <w:r w:rsidR="000A1AAE" w:rsidRPr="00857B1D">
        <w:t>measures</w:t>
      </w:r>
      <w:r w:rsidR="00D52FD0">
        <w:t xml:space="preserve"> </w:t>
      </w:r>
      <w:r w:rsidR="000A1AAE" w:rsidRPr="00857B1D">
        <w:t>which</w:t>
      </w:r>
      <w:r w:rsidR="00D52FD0">
        <w:t xml:space="preserve"> </w:t>
      </w:r>
      <w:r w:rsidR="000A1AAE" w:rsidRPr="00857B1D">
        <w:t>are</w:t>
      </w:r>
      <w:r w:rsidR="00D52FD0">
        <w:t xml:space="preserve"> </w:t>
      </w:r>
      <w:r w:rsidR="000A1AAE" w:rsidRPr="00857B1D">
        <w:t>necessary</w:t>
      </w:r>
      <w:r w:rsidR="00D52FD0">
        <w:t xml:space="preserve"> </w:t>
      </w:r>
      <w:r w:rsidR="000A1AAE" w:rsidRPr="00857B1D">
        <w:t>in</w:t>
      </w:r>
      <w:r w:rsidR="00D52FD0">
        <w:t xml:space="preserve"> </w:t>
      </w:r>
      <w:r w:rsidR="000A1AAE" w:rsidRPr="00857B1D">
        <w:t>a</w:t>
      </w:r>
      <w:r w:rsidR="00D52FD0">
        <w:t xml:space="preserve"> </w:t>
      </w:r>
      <w:r w:rsidR="000A1AAE" w:rsidRPr="00857B1D">
        <w:t>democratic</w:t>
      </w:r>
      <w:r w:rsidR="00D52FD0">
        <w:t xml:space="preserve"> </w:t>
      </w:r>
      <w:r w:rsidR="000A1AAE" w:rsidRPr="00857B1D">
        <w:t>society</w:t>
      </w:r>
      <w:r w:rsidR="00D52FD0">
        <w:t xml:space="preserve"> </w:t>
      </w:r>
      <w:r w:rsidR="000A1AAE" w:rsidRPr="00857B1D">
        <w:t>to</w:t>
      </w:r>
      <w:r w:rsidR="00D52FD0">
        <w:t xml:space="preserve"> </w:t>
      </w:r>
      <w:r w:rsidR="000A1AAE" w:rsidRPr="00857B1D">
        <w:t>ensure</w:t>
      </w:r>
      <w:r w:rsidR="00D52FD0">
        <w:t xml:space="preserve"> </w:t>
      </w:r>
      <w:r w:rsidR="000A1AAE" w:rsidRPr="00857B1D">
        <w:t>de</w:t>
      </w:r>
      <w:r w:rsidR="00D52FD0">
        <w:t xml:space="preserve"> </w:t>
      </w:r>
      <w:r w:rsidR="000A1AAE" w:rsidRPr="00857B1D">
        <w:t>facto</w:t>
      </w:r>
      <w:r w:rsidR="00D52FD0">
        <w:t xml:space="preserve"> </w:t>
      </w:r>
      <w:r w:rsidR="000A1AAE" w:rsidRPr="00857B1D">
        <w:t>equality</w:t>
      </w:r>
      <w:r w:rsidR="00D52FD0">
        <w:t xml:space="preserve"> </w:t>
      </w:r>
      <w:r w:rsidR="000A1AAE" w:rsidRPr="00857B1D">
        <w:t>between</w:t>
      </w:r>
      <w:r w:rsidR="00D52FD0">
        <w:t xml:space="preserve"> </w:t>
      </w:r>
      <w:r w:rsidR="000A1AAE" w:rsidRPr="00857B1D">
        <w:t>men</w:t>
      </w:r>
      <w:r w:rsidR="00D52FD0">
        <w:t xml:space="preserve"> </w:t>
      </w:r>
      <w:r w:rsidR="000A1AAE" w:rsidRPr="00857B1D">
        <w:t>and</w:t>
      </w:r>
      <w:r w:rsidR="00D52FD0">
        <w:t xml:space="preserve"> </w:t>
      </w:r>
      <w:r w:rsidR="000A1AAE" w:rsidRPr="00857B1D">
        <w:t>women</w:t>
      </w:r>
      <w:r w:rsidR="00D52FD0">
        <w:t xml:space="preserve"> </w:t>
      </w:r>
      <w:r w:rsidR="000A1AAE" w:rsidRPr="00857B1D">
        <w:t>in</w:t>
      </w:r>
      <w:r w:rsidR="00D52FD0">
        <w:t xml:space="preserve"> </w:t>
      </w:r>
      <w:r w:rsidR="000A1AAE" w:rsidRPr="00857B1D">
        <w:t>politics.</w:t>
      </w:r>
      <w:r w:rsidR="00D52FD0">
        <w:t xml:space="preserve"> </w:t>
      </w:r>
      <w:r w:rsidR="000A1AAE" w:rsidRPr="00857B1D">
        <w:t>In</w:t>
      </w:r>
      <w:r w:rsidR="00D52FD0">
        <w:t xml:space="preserve"> </w:t>
      </w:r>
      <w:r w:rsidR="000A1AAE" w:rsidRPr="00857B1D">
        <w:t>addition,</w:t>
      </w:r>
      <w:r w:rsidR="00D52FD0">
        <w:t xml:space="preserve"> </w:t>
      </w:r>
      <w:r w:rsidR="000A1AAE" w:rsidRPr="00857B1D">
        <w:t>an</w:t>
      </w:r>
      <w:r w:rsidR="00D52FD0">
        <w:t xml:space="preserve"> </w:t>
      </w:r>
      <w:r w:rsidR="000A1AAE" w:rsidRPr="00857B1D">
        <w:t>amendment</w:t>
      </w:r>
      <w:r w:rsidR="00D52FD0">
        <w:t xml:space="preserve"> </w:t>
      </w:r>
      <w:r w:rsidR="000A1AAE" w:rsidRPr="00857B1D">
        <w:t>of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General</w:t>
      </w:r>
      <w:r w:rsidR="00D52FD0">
        <w:t xml:space="preserve"> </w:t>
      </w:r>
      <w:r w:rsidR="000A1AAE" w:rsidRPr="00857B1D">
        <w:t>Elections</w:t>
      </w:r>
      <w:r w:rsidR="00D52FD0">
        <w:t xml:space="preserve"> </w:t>
      </w:r>
      <w:r w:rsidR="000A1AAE" w:rsidRPr="00857B1D">
        <w:t>Act</w:t>
      </w:r>
      <w:r w:rsidR="00D52FD0">
        <w:t xml:space="preserve"> </w:t>
      </w:r>
      <w:r w:rsidR="000A1AAE" w:rsidRPr="00857B1D">
        <w:t>to</w:t>
      </w:r>
      <w:r w:rsidR="00D52FD0">
        <w:t xml:space="preserve"> </w:t>
      </w:r>
      <w:r w:rsidR="000A1AAE" w:rsidRPr="00857B1D">
        <w:t>increase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number</w:t>
      </w:r>
      <w:r w:rsidR="00D52FD0">
        <w:t xml:space="preserve"> </w:t>
      </w:r>
      <w:r w:rsidR="000A1AAE" w:rsidRPr="00857B1D">
        <w:t>of</w:t>
      </w:r>
      <w:r w:rsidR="00D52FD0">
        <w:t xml:space="preserve"> </w:t>
      </w:r>
      <w:r w:rsidR="000A1AAE" w:rsidRPr="00857B1D">
        <w:t>electoral</w:t>
      </w:r>
      <w:r w:rsidR="00D52FD0">
        <w:t xml:space="preserve"> </w:t>
      </w:r>
      <w:r w:rsidR="000A1AAE" w:rsidRPr="00857B1D">
        <w:t>commissioners</w:t>
      </w:r>
      <w:r w:rsidR="00D52FD0">
        <w:t xml:space="preserve"> </w:t>
      </w:r>
      <w:r w:rsidR="000A1AAE" w:rsidRPr="00857B1D">
        <w:t>and</w:t>
      </w:r>
      <w:r w:rsidR="00D52FD0">
        <w:t xml:space="preserve"> </w:t>
      </w:r>
      <w:r w:rsidR="000A1AAE" w:rsidRPr="00857B1D">
        <w:t>ensure</w:t>
      </w:r>
      <w:r w:rsidR="00D52FD0">
        <w:t xml:space="preserve"> </w:t>
      </w:r>
      <w:r w:rsidR="000A1AAE" w:rsidRPr="00857B1D">
        <w:t>equal</w:t>
      </w:r>
      <w:r w:rsidR="00D52FD0">
        <w:t xml:space="preserve"> </w:t>
      </w:r>
      <w:r w:rsidR="000A1AAE" w:rsidRPr="00857B1D">
        <w:t>representation</w:t>
      </w:r>
      <w:r w:rsidR="00D52FD0">
        <w:t xml:space="preserve"> </w:t>
      </w:r>
      <w:r w:rsidR="000A1AAE" w:rsidRPr="00857B1D">
        <w:t>between</w:t>
      </w:r>
      <w:r w:rsidR="00D52FD0">
        <w:t xml:space="preserve"> </w:t>
      </w:r>
      <w:r w:rsidR="000A1AAE" w:rsidRPr="00857B1D">
        <w:t>sexes</w:t>
      </w:r>
      <w:r w:rsidR="00D52FD0">
        <w:t xml:space="preserve"> </w:t>
      </w:r>
      <w:r w:rsidR="000A1AAE" w:rsidRPr="00857B1D">
        <w:t>has</w:t>
      </w:r>
      <w:r w:rsidR="00D52FD0">
        <w:t xml:space="preserve"> </w:t>
      </w:r>
      <w:r w:rsidR="000A1AAE" w:rsidRPr="00857B1D">
        <w:t>been</w:t>
      </w:r>
      <w:r w:rsidR="00D52FD0">
        <w:t xml:space="preserve"> </w:t>
      </w:r>
      <w:r w:rsidR="000A1AAE" w:rsidRPr="00857B1D">
        <w:t>approved.</w:t>
      </w:r>
    </w:p>
    <w:p w14:paraId="3CECFF6C" w14:textId="115E2C9B" w:rsidR="000A1AAE" w:rsidRPr="00857B1D" w:rsidRDefault="0044637E" w:rsidP="0044637E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857B1D">
        <w:t>•</w:t>
      </w:r>
      <w:r w:rsidRPr="00857B1D">
        <w:tab/>
      </w:r>
      <w:r w:rsidR="000A1AAE" w:rsidRPr="00857B1D">
        <w:t>Amendments</w:t>
      </w:r>
      <w:r w:rsidR="00D52FD0">
        <w:t xml:space="preserve"> </w:t>
      </w:r>
      <w:r w:rsidR="000A1AAE" w:rsidRPr="00857B1D">
        <w:t>to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surname</w:t>
      </w:r>
      <w:r w:rsidR="00D52FD0">
        <w:t xml:space="preserve"> </w:t>
      </w:r>
      <w:r w:rsidR="000A1AAE" w:rsidRPr="00857B1D">
        <w:t>regime</w:t>
      </w:r>
      <w:r w:rsidR="00D52FD0">
        <w:t xml:space="preserve"> </w:t>
      </w:r>
      <w:r w:rsidR="000A1AAE" w:rsidRPr="00857B1D">
        <w:t>in</w:t>
      </w:r>
      <w:r w:rsidR="00D52FD0">
        <w:t xml:space="preserve"> </w:t>
      </w:r>
      <w:r w:rsidR="000A1AAE" w:rsidRPr="00857B1D">
        <w:t>marriage</w:t>
      </w:r>
      <w:r w:rsidR="00D52FD0">
        <w:t xml:space="preserve"> </w:t>
      </w:r>
      <w:r w:rsidR="000A1AAE" w:rsidRPr="00857B1D">
        <w:t>by</w:t>
      </w:r>
      <w:r w:rsidR="00D52FD0">
        <w:t xml:space="preserve"> </w:t>
      </w:r>
      <w:r w:rsidR="000A1AAE" w:rsidRPr="00857B1D">
        <w:t>means</w:t>
      </w:r>
      <w:r w:rsidR="00D52FD0">
        <w:t xml:space="preserve"> </w:t>
      </w:r>
      <w:r w:rsidR="000A1AAE" w:rsidRPr="00857B1D">
        <w:t>of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Marriage</w:t>
      </w:r>
      <w:r w:rsidR="00D52FD0">
        <w:t xml:space="preserve"> </w:t>
      </w:r>
      <w:r w:rsidR="000A1AAE" w:rsidRPr="00857B1D">
        <w:t>Equality</w:t>
      </w:r>
      <w:r w:rsidR="00D52FD0">
        <w:t xml:space="preserve"> </w:t>
      </w:r>
      <w:r w:rsidR="000A1AAE" w:rsidRPr="00857B1D">
        <w:t>Act,</w:t>
      </w:r>
      <w:r w:rsidR="00D52FD0">
        <w:t xml:space="preserve"> </w:t>
      </w:r>
      <w:r w:rsidR="000A1AAE" w:rsidRPr="00857B1D">
        <w:t>introducing</w:t>
      </w:r>
      <w:r w:rsidR="00D52FD0">
        <w:t xml:space="preserve"> </w:t>
      </w:r>
      <w:r w:rsidR="000A1AAE" w:rsidRPr="00857B1D">
        <w:t>a</w:t>
      </w:r>
      <w:r w:rsidR="00D52FD0">
        <w:t xml:space="preserve"> </w:t>
      </w:r>
      <w:r w:rsidR="000A1AAE" w:rsidRPr="00857B1D">
        <w:t>new,</w:t>
      </w:r>
      <w:r w:rsidR="00D52FD0">
        <w:t xml:space="preserve"> </w:t>
      </w:r>
      <w:r w:rsidR="000A1AAE" w:rsidRPr="00857B1D">
        <w:t>gender</w:t>
      </w:r>
      <w:r w:rsidR="00D52FD0">
        <w:t xml:space="preserve"> </w:t>
      </w:r>
      <w:r w:rsidR="000A1AAE" w:rsidRPr="00857B1D">
        <w:t>equal</w:t>
      </w:r>
      <w:r w:rsidR="00D52FD0">
        <w:t xml:space="preserve"> </w:t>
      </w:r>
      <w:r w:rsidR="000A1AAE" w:rsidRPr="00857B1D">
        <w:t>regime</w:t>
      </w:r>
      <w:r w:rsidR="00D52FD0">
        <w:t xml:space="preserve"> </w:t>
      </w:r>
      <w:r w:rsidR="000A1AAE" w:rsidRPr="00857B1D">
        <w:t>aimed</w:t>
      </w:r>
      <w:r w:rsidR="00D52FD0">
        <w:t xml:space="preserve"> </w:t>
      </w:r>
      <w:r w:rsidR="000A1AAE" w:rsidRPr="00857B1D">
        <w:t>at</w:t>
      </w:r>
      <w:r w:rsidR="00D52FD0">
        <w:t xml:space="preserve"> </w:t>
      </w:r>
      <w:r w:rsidR="000A1AAE" w:rsidRPr="00857B1D">
        <w:t>eliminating</w:t>
      </w:r>
      <w:r w:rsidR="00D52FD0">
        <w:t xml:space="preserve"> </w:t>
      </w:r>
      <w:r w:rsidR="000A1AAE" w:rsidRPr="00857B1D">
        <w:t>discrepancies</w:t>
      </w:r>
      <w:r w:rsidR="00D52FD0">
        <w:t xml:space="preserve"> </w:t>
      </w:r>
      <w:r w:rsidR="000A1AAE" w:rsidRPr="00857B1D">
        <w:t>between</w:t>
      </w:r>
      <w:r w:rsidR="00D52FD0">
        <w:t xml:space="preserve"> </w:t>
      </w:r>
      <w:r w:rsidR="000A1AAE" w:rsidRPr="00857B1D">
        <w:t>husband</w:t>
      </w:r>
      <w:r w:rsidR="00D52FD0">
        <w:t xml:space="preserve"> </w:t>
      </w:r>
      <w:r w:rsidR="000A1AAE" w:rsidRPr="00857B1D">
        <w:t>and</w:t>
      </w:r>
      <w:r w:rsidR="00D52FD0">
        <w:t xml:space="preserve"> </w:t>
      </w:r>
      <w:r w:rsidR="000A1AAE" w:rsidRPr="00857B1D">
        <w:t>wife</w:t>
      </w:r>
      <w:r w:rsidR="00D52FD0">
        <w:t xml:space="preserve"> </w:t>
      </w:r>
      <w:r w:rsidR="000A1AAE" w:rsidRPr="00857B1D">
        <w:t>in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choice</w:t>
      </w:r>
      <w:r w:rsidR="00D52FD0">
        <w:t xml:space="preserve"> </w:t>
      </w:r>
      <w:r w:rsidR="000A1AAE" w:rsidRPr="00857B1D">
        <w:t>of</w:t>
      </w:r>
      <w:r w:rsidR="00D52FD0">
        <w:t xml:space="preserve"> </w:t>
      </w:r>
      <w:r w:rsidR="000A1AAE" w:rsidRPr="00857B1D">
        <w:t>surname.</w:t>
      </w:r>
    </w:p>
    <w:p w14:paraId="6B0FA94C" w14:textId="0C7220BA" w:rsidR="000A1AAE" w:rsidRPr="00857B1D" w:rsidRDefault="0044637E" w:rsidP="0044637E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857B1D">
        <w:t>•</w:t>
      </w:r>
      <w:r w:rsidRPr="00857B1D">
        <w:tab/>
      </w:r>
      <w:r w:rsidR="000A1AAE" w:rsidRPr="00857B1D">
        <w:t>A</w:t>
      </w:r>
      <w:r w:rsidR="00D52FD0">
        <w:t xml:space="preserve"> </w:t>
      </w:r>
      <w:r w:rsidR="000A1AAE" w:rsidRPr="00857B1D">
        <w:t>High-Level</w:t>
      </w:r>
      <w:r w:rsidR="00D52FD0">
        <w:t xml:space="preserve"> </w:t>
      </w:r>
      <w:r w:rsidR="000A1AAE" w:rsidRPr="00857B1D">
        <w:t>Group</w:t>
      </w:r>
      <w:r w:rsidR="00D52FD0">
        <w:t xml:space="preserve"> </w:t>
      </w:r>
      <w:r w:rsidR="000A1AAE" w:rsidRPr="00857B1D">
        <w:t>Meeting</w:t>
      </w:r>
      <w:r w:rsidR="00D52FD0">
        <w:t xml:space="preserve"> </w:t>
      </w:r>
      <w:r w:rsidR="000A1AAE" w:rsidRPr="00857B1D">
        <w:t>on</w:t>
      </w:r>
      <w:r w:rsidR="00D52FD0">
        <w:t xml:space="preserve"> </w:t>
      </w:r>
      <w:r w:rsidR="000A1AAE" w:rsidRPr="00857B1D">
        <w:t>Gender</w:t>
      </w:r>
      <w:r w:rsidR="00D52FD0">
        <w:t xml:space="preserve"> </w:t>
      </w:r>
      <w:r w:rsidR="000A1AAE" w:rsidRPr="00857B1D">
        <w:t>Mainstreaming</w:t>
      </w:r>
      <w:r w:rsidR="00D52FD0">
        <w:t xml:space="preserve"> </w:t>
      </w:r>
      <w:r w:rsidR="000A1AAE" w:rsidRPr="00857B1D">
        <w:t>was</w:t>
      </w:r>
      <w:r w:rsidR="00D52FD0">
        <w:t xml:space="preserve"> </w:t>
      </w:r>
      <w:r w:rsidR="000A1AAE" w:rsidRPr="00857B1D">
        <w:t>organised</w:t>
      </w:r>
      <w:r w:rsidR="00D52FD0">
        <w:t xml:space="preserve"> </w:t>
      </w:r>
      <w:r w:rsidR="000A1AAE" w:rsidRPr="00857B1D">
        <w:t>during</w:t>
      </w:r>
      <w:r w:rsidR="00D52FD0">
        <w:t xml:space="preserve"> </w:t>
      </w:r>
      <w:r w:rsidR="000A1AAE" w:rsidRPr="00857B1D">
        <w:t>Malta</w:t>
      </w:r>
      <w:r w:rsidR="00F14DA3">
        <w:t>’</w:t>
      </w:r>
      <w:r w:rsidR="000A1AAE" w:rsidRPr="00857B1D">
        <w:t>s</w:t>
      </w:r>
      <w:r w:rsidR="00D52FD0">
        <w:t xml:space="preserve"> </w:t>
      </w:r>
      <w:r w:rsidR="000A1AAE" w:rsidRPr="00857B1D">
        <w:t>Presidency</w:t>
      </w:r>
      <w:r w:rsidR="00D52FD0">
        <w:t xml:space="preserve"> </w:t>
      </w:r>
      <w:r w:rsidR="000A1AAE" w:rsidRPr="00857B1D">
        <w:t>of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EU</w:t>
      </w:r>
      <w:r w:rsidR="00D52FD0">
        <w:t xml:space="preserve"> </w:t>
      </w:r>
      <w:r w:rsidR="000A1AAE" w:rsidRPr="00857B1D">
        <w:t>in</w:t>
      </w:r>
      <w:r w:rsidR="00D52FD0">
        <w:t xml:space="preserve"> </w:t>
      </w:r>
      <w:r w:rsidR="000A1AAE" w:rsidRPr="00857B1D">
        <w:t>2017,</w:t>
      </w:r>
      <w:r w:rsidR="00D52FD0">
        <w:t xml:space="preserve"> </w:t>
      </w:r>
      <w:r w:rsidR="000A1AAE" w:rsidRPr="00857B1D">
        <w:t>with</w:t>
      </w:r>
      <w:r w:rsidR="00D52FD0">
        <w:t xml:space="preserve"> </w:t>
      </w:r>
      <w:r w:rsidR="000A1AAE" w:rsidRPr="00857B1D">
        <w:t>a</w:t>
      </w:r>
      <w:r w:rsidR="00D52FD0">
        <w:t xml:space="preserve"> </w:t>
      </w:r>
      <w:r w:rsidR="000A1AAE" w:rsidRPr="00857B1D">
        <w:t>particular</w:t>
      </w:r>
      <w:r w:rsidR="00D52FD0">
        <w:t xml:space="preserve"> </w:t>
      </w:r>
      <w:r w:rsidR="000A1AAE" w:rsidRPr="00857B1D">
        <w:t>focus</w:t>
      </w:r>
      <w:r w:rsidR="00D52FD0">
        <w:t xml:space="preserve"> </w:t>
      </w:r>
      <w:r w:rsidR="000A1AAE" w:rsidRPr="00857B1D">
        <w:t>on</w:t>
      </w:r>
      <w:r w:rsidR="00D52FD0">
        <w:t xml:space="preserve"> </w:t>
      </w:r>
      <w:r w:rsidR="000A1AAE" w:rsidRPr="00857B1D">
        <w:t>advancing</w:t>
      </w:r>
      <w:r w:rsidR="00D52FD0">
        <w:t xml:space="preserve"> </w:t>
      </w:r>
      <w:r w:rsidR="000A1AAE" w:rsidRPr="00857B1D">
        <w:t>equal</w:t>
      </w:r>
      <w:r w:rsidR="00D52FD0">
        <w:t xml:space="preserve"> </w:t>
      </w:r>
      <w:r w:rsidR="000A1AAE" w:rsidRPr="00857B1D">
        <w:t>economic</w:t>
      </w:r>
      <w:r w:rsidR="00D52FD0">
        <w:t xml:space="preserve"> </w:t>
      </w:r>
      <w:r w:rsidR="000A1AAE" w:rsidRPr="00857B1D">
        <w:t>independence</w:t>
      </w:r>
      <w:r w:rsidR="00D52FD0">
        <w:t xml:space="preserve"> </w:t>
      </w:r>
      <w:r w:rsidR="000A1AAE" w:rsidRPr="00857B1D">
        <w:t>of</w:t>
      </w:r>
      <w:r w:rsidR="00D52FD0">
        <w:t xml:space="preserve"> </w:t>
      </w:r>
      <w:r w:rsidR="000A1AAE" w:rsidRPr="00857B1D">
        <w:t>women</w:t>
      </w:r>
      <w:r w:rsidR="00D52FD0">
        <w:t xml:space="preserve"> </w:t>
      </w:r>
      <w:r w:rsidR="000A1AAE" w:rsidRPr="00857B1D">
        <w:t>and</w:t>
      </w:r>
      <w:r w:rsidR="00D52FD0">
        <w:t xml:space="preserve"> </w:t>
      </w:r>
      <w:r w:rsidR="000A1AAE" w:rsidRPr="00857B1D">
        <w:t>men,</w:t>
      </w:r>
      <w:r w:rsidR="00D52FD0">
        <w:t xml:space="preserve"> </w:t>
      </w:r>
      <w:r w:rsidR="000A1AAE" w:rsidRPr="00857B1D">
        <w:t>combating</w:t>
      </w:r>
      <w:r w:rsidR="00D52FD0">
        <w:t xml:space="preserve"> </w:t>
      </w:r>
      <w:r w:rsidR="000A1AAE" w:rsidRPr="00857B1D">
        <w:t>gender-based</w:t>
      </w:r>
      <w:r w:rsidR="00D52FD0">
        <w:t xml:space="preserve"> </w:t>
      </w:r>
      <w:r w:rsidR="000A1AAE" w:rsidRPr="00857B1D">
        <w:t>violence,</w:t>
      </w:r>
      <w:r w:rsidR="00D52FD0">
        <w:t xml:space="preserve"> </w:t>
      </w:r>
      <w:r w:rsidR="000A1AAE" w:rsidRPr="00857B1D">
        <w:t>and</w:t>
      </w:r>
      <w:r w:rsidR="00D52FD0">
        <w:t xml:space="preserve"> </w:t>
      </w:r>
      <w:r w:rsidR="000A1AAE" w:rsidRPr="00857B1D">
        <w:t>promoting</w:t>
      </w:r>
      <w:r w:rsidR="00D52FD0">
        <w:t xml:space="preserve"> </w:t>
      </w:r>
      <w:r w:rsidR="000A1AAE" w:rsidRPr="00857B1D">
        <w:t>gender</w:t>
      </w:r>
      <w:r w:rsidR="00D52FD0">
        <w:t xml:space="preserve"> </w:t>
      </w:r>
      <w:r w:rsidR="000A1AAE" w:rsidRPr="00857B1D">
        <w:t>equality</w:t>
      </w:r>
      <w:r w:rsidR="00D52FD0">
        <w:t xml:space="preserve"> </w:t>
      </w:r>
      <w:r w:rsidR="000A1AAE" w:rsidRPr="00857B1D">
        <w:t>and</w:t>
      </w:r>
      <w:r w:rsidR="00D52FD0">
        <w:t xml:space="preserve"> </w:t>
      </w:r>
      <w:r w:rsidR="000A1AAE" w:rsidRPr="00857B1D">
        <w:t>women</w:t>
      </w:r>
      <w:r w:rsidR="00F14DA3">
        <w:t>’</w:t>
      </w:r>
      <w:r w:rsidR="000A1AAE" w:rsidRPr="00857B1D">
        <w:t>s</w:t>
      </w:r>
      <w:r w:rsidR="00D52FD0">
        <w:t xml:space="preserve"> </w:t>
      </w:r>
      <w:r w:rsidR="000A1AAE" w:rsidRPr="00857B1D">
        <w:t>rights</w:t>
      </w:r>
      <w:r w:rsidR="00D52FD0">
        <w:t xml:space="preserve"> </w:t>
      </w:r>
      <w:r w:rsidR="000A1AAE" w:rsidRPr="00857B1D">
        <w:t>globally.</w:t>
      </w:r>
    </w:p>
    <w:p w14:paraId="52DECB5C" w14:textId="2F8495C3" w:rsidR="000A1AAE" w:rsidRPr="00857B1D" w:rsidRDefault="0044637E" w:rsidP="0044637E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857B1D">
        <w:t>•</w:t>
      </w:r>
      <w:r w:rsidRPr="00857B1D">
        <w:tab/>
      </w:r>
      <w:r w:rsidR="000A1AAE" w:rsidRPr="00857B1D">
        <w:t>Malta</w:t>
      </w:r>
      <w:r w:rsidR="00D52FD0">
        <w:t xml:space="preserve"> </w:t>
      </w:r>
      <w:r w:rsidR="000A1AAE" w:rsidRPr="00857B1D">
        <w:t>ratified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Optional</w:t>
      </w:r>
      <w:r w:rsidR="00D52FD0">
        <w:t xml:space="preserve"> </w:t>
      </w:r>
      <w:r w:rsidR="000A1AAE" w:rsidRPr="00857B1D">
        <w:t>Protocol</w:t>
      </w:r>
      <w:r w:rsidR="00D52FD0">
        <w:t xml:space="preserve"> </w:t>
      </w:r>
      <w:r w:rsidR="000A1AAE" w:rsidRPr="00857B1D">
        <w:t>to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Convention</w:t>
      </w:r>
      <w:r w:rsidR="00D52FD0">
        <w:t xml:space="preserve"> </w:t>
      </w:r>
      <w:r w:rsidR="000A1AAE" w:rsidRPr="00857B1D">
        <w:t>on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Elimination</w:t>
      </w:r>
      <w:r w:rsidR="00D52FD0">
        <w:t xml:space="preserve"> </w:t>
      </w:r>
      <w:r w:rsidR="000A1AAE" w:rsidRPr="00857B1D">
        <w:t>of</w:t>
      </w:r>
      <w:r w:rsidR="00D52FD0">
        <w:t xml:space="preserve"> </w:t>
      </w:r>
      <w:r w:rsidR="000A1AAE" w:rsidRPr="00857B1D">
        <w:t>All</w:t>
      </w:r>
      <w:r w:rsidR="00D52FD0">
        <w:t xml:space="preserve"> </w:t>
      </w:r>
      <w:r w:rsidR="000A1AAE" w:rsidRPr="00857B1D">
        <w:t>Forms</w:t>
      </w:r>
      <w:r w:rsidR="00D52FD0">
        <w:t xml:space="preserve"> </w:t>
      </w:r>
      <w:r w:rsidR="000A1AAE" w:rsidRPr="00857B1D">
        <w:t>of</w:t>
      </w:r>
      <w:r w:rsidR="00D52FD0">
        <w:t xml:space="preserve"> </w:t>
      </w:r>
      <w:r w:rsidR="000A1AAE" w:rsidRPr="00857B1D">
        <w:t>Discrimination</w:t>
      </w:r>
      <w:r w:rsidR="00D52FD0">
        <w:t xml:space="preserve"> </w:t>
      </w:r>
      <w:r w:rsidR="000A1AAE" w:rsidRPr="00857B1D">
        <w:t>against</w:t>
      </w:r>
      <w:r w:rsidR="00D52FD0">
        <w:t xml:space="preserve"> </w:t>
      </w:r>
      <w:r w:rsidR="000A1AAE" w:rsidRPr="00857B1D">
        <w:t>Women</w:t>
      </w:r>
      <w:r w:rsidR="00D52FD0">
        <w:t xml:space="preserve"> </w:t>
      </w:r>
      <w:r w:rsidR="000A1AAE" w:rsidRPr="00857B1D">
        <w:t>(CEDAW)</w:t>
      </w:r>
      <w:r w:rsidR="00D52FD0">
        <w:t xml:space="preserve"> </w:t>
      </w:r>
      <w:r w:rsidR="000A1AAE" w:rsidRPr="00857B1D">
        <w:t>during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63rd</w:t>
      </w:r>
      <w:r w:rsidR="00D52FD0">
        <w:t xml:space="preserve"> </w:t>
      </w:r>
      <w:r w:rsidR="000A1AAE" w:rsidRPr="00857B1D">
        <w:t>session</w:t>
      </w:r>
      <w:r w:rsidR="00D52FD0">
        <w:t xml:space="preserve"> </w:t>
      </w:r>
      <w:r w:rsidR="000A1AAE" w:rsidRPr="00857B1D">
        <w:t>of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Commission</w:t>
      </w:r>
      <w:r w:rsidR="00D52FD0">
        <w:t xml:space="preserve"> </w:t>
      </w:r>
      <w:r w:rsidR="000A1AAE" w:rsidRPr="00857B1D">
        <w:t>on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Status</w:t>
      </w:r>
      <w:r w:rsidR="00D52FD0">
        <w:t xml:space="preserve"> </w:t>
      </w:r>
      <w:r w:rsidR="000A1AAE" w:rsidRPr="00857B1D">
        <w:t>of</w:t>
      </w:r>
      <w:r w:rsidR="00D52FD0">
        <w:t xml:space="preserve"> </w:t>
      </w:r>
      <w:r w:rsidR="000A1AAE" w:rsidRPr="00857B1D">
        <w:t>Women.</w:t>
      </w:r>
    </w:p>
    <w:p w14:paraId="482C60E9" w14:textId="5AA60E6F" w:rsidR="000A1AAE" w:rsidRPr="00857B1D" w:rsidRDefault="0044637E" w:rsidP="0044637E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857B1D">
        <w:t>•</w:t>
      </w:r>
      <w:r w:rsidRPr="00857B1D">
        <w:tab/>
      </w:r>
      <w:r w:rsidR="000A1AAE" w:rsidRPr="00857B1D">
        <w:t>The</w:t>
      </w:r>
      <w:r w:rsidR="00D52FD0">
        <w:t xml:space="preserve"> </w:t>
      </w:r>
      <w:r w:rsidR="000A1AAE" w:rsidRPr="00857B1D">
        <w:t>licensing,</w:t>
      </w:r>
      <w:r w:rsidR="00D52FD0">
        <w:t xml:space="preserve"> </w:t>
      </w:r>
      <w:r w:rsidR="000A1AAE" w:rsidRPr="00857B1D">
        <w:t>importation,</w:t>
      </w:r>
      <w:r w:rsidR="00D52FD0">
        <w:t xml:space="preserve"> </w:t>
      </w:r>
      <w:r w:rsidR="000A1AAE" w:rsidRPr="00857B1D">
        <w:t>and</w:t>
      </w:r>
      <w:r w:rsidR="00D52FD0">
        <w:t xml:space="preserve"> </w:t>
      </w:r>
      <w:r w:rsidR="000A1AAE" w:rsidRPr="00857B1D">
        <w:t>distribution</w:t>
      </w:r>
      <w:r w:rsidR="00D52FD0">
        <w:t xml:space="preserve"> </w:t>
      </w:r>
      <w:r w:rsidR="000A1AAE" w:rsidRPr="00857B1D">
        <w:t>of</w:t>
      </w:r>
      <w:r w:rsidR="00D52FD0">
        <w:t xml:space="preserve"> </w:t>
      </w:r>
      <w:r w:rsidR="000A1AAE" w:rsidRPr="00857B1D">
        <w:t>over-the-counter</w:t>
      </w:r>
      <w:r w:rsidR="00D52FD0">
        <w:t xml:space="preserve"> </w:t>
      </w:r>
      <w:r w:rsidR="000A1AAE" w:rsidRPr="00857B1D">
        <w:t>emergency</w:t>
      </w:r>
      <w:r w:rsidR="00D52FD0">
        <w:t xml:space="preserve"> </w:t>
      </w:r>
      <w:r w:rsidR="000A1AAE" w:rsidRPr="00857B1D">
        <w:t>contraception</w:t>
      </w:r>
      <w:r w:rsidR="00D52FD0">
        <w:t xml:space="preserve"> </w:t>
      </w:r>
      <w:r w:rsidR="000A1AAE" w:rsidRPr="00857B1D">
        <w:t>was</w:t>
      </w:r>
      <w:r w:rsidR="00D52FD0">
        <w:t xml:space="preserve"> </w:t>
      </w:r>
      <w:r w:rsidR="000A1AAE" w:rsidRPr="00857B1D">
        <w:t>introduced</w:t>
      </w:r>
      <w:r w:rsidR="00D52FD0">
        <w:t xml:space="preserve"> </w:t>
      </w:r>
      <w:r w:rsidR="000A1AAE" w:rsidRPr="00857B1D">
        <w:t>in</w:t>
      </w:r>
      <w:r w:rsidR="00D52FD0">
        <w:t xml:space="preserve"> </w:t>
      </w:r>
      <w:r w:rsidR="000A1AAE" w:rsidRPr="00857B1D">
        <w:t>2016.</w:t>
      </w:r>
    </w:p>
    <w:p w14:paraId="698EB856" w14:textId="7D9866A0" w:rsidR="000A1AAE" w:rsidRPr="00857B1D" w:rsidRDefault="0044637E" w:rsidP="0044637E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857B1D">
        <w:t>•</w:t>
      </w:r>
      <w:r w:rsidRPr="00857B1D">
        <w:tab/>
      </w:r>
      <w:r w:rsidR="000A1AAE" w:rsidRPr="00857B1D">
        <w:t>In</w:t>
      </w:r>
      <w:r w:rsidR="00D52FD0">
        <w:t xml:space="preserve"> </w:t>
      </w:r>
      <w:r w:rsidR="000A1AAE" w:rsidRPr="00857B1D">
        <w:t>2018.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introduction</w:t>
      </w:r>
      <w:r w:rsidR="00D52FD0">
        <w:t xml:space="preserve"> </w:t>
      </w:r>
      <w:r w:rsidR="000A1AAE" w:rsidRPr="00857B1D">
        <w:t>of</w:t>
      </w:r>
      <w:r w:rsidR="00D52FD0">
        <w:t xml:space="preserve"> </w:t>
      </w:r>
      <w:r w:rsidR="000A1AAE" w:rsidRPr="00857B1D">
        <w:t>IVF</w:t>
      </w:r>
      <w:r w:rsidR="00D52FD0">
        <w:t xml:space="preserve"> </w:t>
      </w:r>
      <w:r w:rsidR="000A1AAE" w:rsidRPr="00857B1D">
        <w:t>treatment</w:t>
      </w:r>
      <w:r w:rsidR="00D52FD0">
        <w:t xml:space="preserve"> </w:t>
      </w:r>
      <w:r w:rsidR="000A1AAE" w:rsidRPr="00857B1D">
        <w:t>within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national</w:t>
      </w:r>
      <w:r w:rsidR="00D52FD0">
        <w:t xml:space="preserve"> </w:t>
      </w:r>
      <w:r w:rsidR="000A1AAE" w:rsidRPr="00857B1D">
        <w:t>health</w:t>
      </w:r>
      <w:r w:rsidR="00D52FD0">
        <w:t xml:space="preserve"> </w:t>
      </w:r>
      <w:r w:rsidR="000A1AAE" w:rsidRPr="00857B1D">
        <w:t>system</w:t>
      </w:r>
      <w:r w:rsidR="00D52FD0">
        <w:t xml:space="preserve"> </w:t>
      </w:r>
      <w:r w:rsidR="000A1AAE" w:rsidRPr="00857B1D">
        <w:t>for</w:t>
      </w:r>
      <w:r w:rsidR="00D52FD0">
        <w:t xml:space="preserve"> </w:t>
      </w:r>
      <w:r w:rsidR="000A1AAE" w:rsidRPr="00857B1D">
        <w:t>individuals</w:t>
      </w:r>
      <w:r w:rsidR="00D52FD0">
        <w:t xml:space="preserve"> </w:t>
      </w:r>
      <w:r w:rsidR="000A1AAE" w:rsidRPr="00857B1D">
        <w:t>and</w:t>
      </w:r>
      <w:r w:rsidR="00D52FD0">
        <w:t xml:space="preserve"> </w:t>
      </w:r>
      <w:r w:rsidR="000A1AAE" w:rsidRPr="00857B1D">
        <w:t>couples</w:t>
      </w:r>
      <w:r w:rsidR="00D52FD0">
        <w:t xml:space="preserve"> </w:t>
      </w:r>
      <w:r w:rsidR="000A1AAE" w:rsidRPr="00857B1D">
        <w:t>alike.</w:t>
      </w:r>
    </w:p>
    <w:p w14:paraId="2342B873" w14:textId="2E57E928" w:rsidR="000A1AAE" w:rsidRPr="00857B1D" w:rsidRDefault="0044637E" w:rsidP="0044637E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  <w:rPr>
          <w:bCs/>
        </w:rPr>
      </w:pPr>
      <w:r w:rsidRPr="00857B1D">
        <w:rPr>
          <w:bCs/>
        </w:rPr>
        <w:t>•</w:t>
      </w:r>
      <w:r w:rsidRPr="00857B1D">
        <w:rPr>
          <w:bCs/>
        </w:rPr>
        <w:tab/>
      </w:r>
      <w:r w:rsidR="000A1AAE" w:rsidRPr="00857B1D">
        <w:rPr>
          <w:bCs/>
        </w:rPr>
        <w:t>The</w:t>
      </w:r>
      <w:r w:rsidR="00D52FD0">
        <w:rPr>
          <w:bCs/>
        </w:rPr>
        <w:t xml:space="preserve"> </w:t>
      </w:r>
      <w:r w:rsidR="000A1AAE" w:rsidRPr="00857B1D">
        <w:rPr>
          <w:bCs/>
        </w:rPr>
        <w:t>Women</w:t>
      </w:r>
      <w:r w:rsidR="00D52FD0">
        <w:rPr>
          <w:bCs/>
        </w:rPr>
        <w:t xml:space="preserve"> </w:t>
      </w:r>
      <w:r w:rsidR="000A1AAE" w:rsidRPr="00857B1D">
        <w:rPr>
          <w:bCs/>
        </w:rPr>
        <w:t>in</w:t>
      </w:r>
      <w:r w:rsidR="00D52FD0">
        <w:rPr>
          <w:bCs/>
        </w:rPr>
        <w:t xml:space="preserve"> </w:t>
      </w:r>
      <w:r w:rsidR="000A1AAE" w:rsidRPr="00857B1D">
        <w:rPr>
          <w:bCs/>
        </w:rPr>
        <w:t>ICT</w:t>
      </w:r>
      <w:r w:rsidR="00D52FD0">
        <w:rPr>
          <w:bCs/>
        </w:rPr>
        <w:t xml:space="preserve"> </w:t>
      </w:r>
      <w:r w:rsidR="000A1AAE" w:rsidRPr="00857B1D">
        <w:rPr>
          <w:bCs/>
        </w:rPr>
        <w:t>focus</w:t>
      </w:r>
      <w:r w:rsidR="00D52FD0">
        <w:rPr>
          <w:bCs/>
        </w:rPr>
        <w:t xml:space="preserve"> </w:t>
      </w:r>
      <w:r w:rsidR="000A1AAE" w:rsidRPr="00857B1D">
        <w:rPr>
          <w:bCs/>
        </w:rPr>
        <w:t>group</w:t>
      </w:r>
      <w:r w:rsidR="00D52FD0">
        <w:rPr>
          <w:bCs/>
        </w:rPr>
        <w:t xml:space="preserve"> </w:t>
      </w:r>
      <w:r w:rsidR="000A1AAE" w:rsidRPr="00857B1D">
        <w:rPr>
          <w:bCs/>
        </w:rPr>
        <w:t>has</w:t>
      </w:r>
      <w:r w:rsidR="00D52FD0">
        <w:rPr>
          <w:bCs/>
        </w:rPr>
        <w:t xml:space="preserve"> </w:t>
      </w:r>
      <w:r w:rsidR="000A1AAE" w:rsidRPr="00857B1D">
        <w:rPr>
          <w:bCs/>
        </w:rPr>
        <w:t>been</w:t>
      </w:r>
      <w:r w:rsidR="00D52FD0">
        <w:rPr>
          <w:bCs/>
        </w:rPr>
        <w:t xml:space="preserve"> </w:t>
      </w:r>
      <w:r w:rsidR="000A1AAE" w:rsidRPr="00857B1D">
        <w:rPr>
          <w:bCs/>
        </w:rPr>
        <w:t>set</w:t>
      </w:r>
      <w:r w:rsidR="00D52FD0">
        <w:rPr>
          <w:bCs/>
        </w:rPr>
        <w:t xml:space="preserve"> </w:t>
      </w:r>
      <w:r w:rsidR="000A1AAE" w:rsidRPr="00857B1D">
        <w:rPr>
          <w:bCs/>
        </w:rPr>
        <w:t>up</w:t>
      </w:r>
      <w:r w:rsidR="00D52FD0">
        <w:rPr>
          <w:bCs/>
        </w:rPr>
        <w:t xml:space="preserve"> </w:t>
      </w:r>
      <w:r w:rsidR="000A1AAE" w:rsidRPr="00857B1D">
        <w:rPr>
          <w:bCs/>
        </w:rPr>
        <w:t>as</w:t>
      </w:r>
      <w:r w:rsidR="00D52FD0">
        <w:rPr>
          <w:bCs/>
        </w:rPr>
        <w:t xml:space="preserve"> </w:t>
      </w:r>
      <w:r w:rsidR="000A1AAE" w:rsidRPr="00857B1D">
        <w:rPr>
          <w:bCs/>
        </w:rPr>
        <w:t>part</w:t>
      </w:r>
      <w:r w:rsidR="00D52FD0">
        <w:rPr>
          <w:bCs/>
        </w:rPr>
        <w:t xml:space="preserve"> </w:t>
      </w:r>
      <w:r w:rsidR="000A1AAE" w:rsidRPr="00857B1D">
        <w:rPr>
          <w:bCs/>
        </w:rPr>
        <w:t>of</w:t>
      </w:r>
      <w:r w:rsidR="00D52FD0">
        <w:rPr>
          <w:bCs/>
        </w:rPr>
        <w:t xml:space="preserve"> </w:t>
      </w:r>
      <w:r w:rsidR="000A1AAE" w:rsidRPr="00857B1D">
        <w:rPr>
          <w:bCs/>
        </w:rPr>
        <w:t>the</w:t>
      </w:r>
      <w:r w:rsidR="00D52FD0">
        <w:rPr>
          <w:bCs/>
        </w:rPr>
        <w:t xml:space="preserve"> </w:t>
      </w:r>
      <w:r w:rsidR="000A1AAE" w:rsidRPr="00857B1D">
        <w:rPr>
          <w:bCs/>
        </w:rPr>
        <w:t>eSkills</w:t>
      </w:r>
      <w:r w:rsidR="00D52FD0">
        <w:rPr>
          <w:bCs/>
        </w:rPr>
        <w:t xml:space="preserve"> </w:t>
      </w:r>
      <w:r w:rsidR="000A1AAE" w:rsidRPr="00857B1D">
        <w:rPr>
          <w:bCs/>
        </w:rPr>
        <w:t>Malta</w:t>
      </w:r>
      <w:r w:rsidR="00D52FD0">
        <w:rPr>
          <w:bCs/>
        </w:rPr>
        <w:t xml:space="preserve"> </w:t>
      </w:r>
      <w:r w:rsidR="000A1AAE" w:rsidRPr="00857B1D">
        <w:rPr>
          <w:bCs/>
        </w:rPr>
        <w:t>Foundation,</w:t>
      </w:r>
      <w:r w:rsidR="00D52FD0">
        <w:rPr>
          <w:bCs/>
        </w:rPr>
        <w:t xml:space="preserve"> </w:t>
      </w:r>
      <w:r w:rsidR="000A1AAE" w:rsidRPr="00857B1D">
        <w:rPr>
          <w:bCs/>
        </w:rPr>
        <w:t>discussing</w:t>
      </w:r>
      <w:r w:rsidR="00D52FD0">
        <w:rPr>
          <w:bCs/>
        </w:rPr>
        <w:t xml:space="preserve"> </w:t>
      </w:r>
      <w:r w:rsidR="000A1AAE" w:rsidRPr="00857B1D">
        <w:rPr>
          <w:bCs/>
        </w:rPr>
        <w:t>gender</w:t>
      </w:r>
      <w:r w:rsidR="00D52FD0">
        <w:rPr>
          <w:bCs/>
        </w:rPr>
        <w:t xml:space="preserve"> </w:t>
      </w:r>
      <w:r w:rsidR="000A1AAE" w:rsidRPr="00857B1D">
        <w:rPr>
          <w:bCs/>
        </w:rPr>
        <w:t>issues</w:t>
      </w:r>
      <w:r w:rsidR="00D52FD0">
        <w:rPr>
          <w:bCs/>
        </w:rPr>
        <w:t xml:space="preserve"> </w:t>
      </w:r>
      <w:r w:rsidR="000A1AAE" w:rsidRPr="00857B1D">
        <w:rPr>
          <w:bCs/>
        </w:rPr>
        <w:t>in</w:t>
      </w:r>
      <w:r w:rsidR="00D52FD0">
        <w:rPr>
          <w:bCs/>
        </w:rPr>
        <w:t xml:space="preserve"> </w:t>
      </w:r>
      <w:r w:rsidR="000A1AAE" w:rsidRPr="00857B1D">
        <w:rPr>
          <w:bCs/>
        </w:rPr>
        <w:t>ICT</w:t>
      </w:r>
      <w:r w:rsidR="00D52FD0">
        <w:rPr>
          <w:bCs/>
        </w:rPr>
        <w:t xml:space="preserve"> </w:t>
      </w:r>
      <w:r w:rsidR="000A1AAE" w:rsidRPr="00857B1D">
        <w:rPr>
          <w:bCs/>
        </w:rPr>
        <w:t>and</w:t>
      </w:r>
      <w:r w:rsidR="00D52FD0">
        <w:rPr>
          <w:bCs/>
        </w:rPr>
        <w:t xml:space="preserve"> </w:t>
      </w:r>
      <w:r w:rsidR="000A1AAE" w:rsidRPr="00857B1D">
        <w:rPr>
          <w:bCs/>
        </w:rPr>
        <w:t>digital</w:t>
      </w:r>
      <w:r w:rsidR="00D52FD0">
        <w:rPr>
          <w:bCs/>
        </w:rPr>
        <w:t xml:space="preserve"> </w:t>
      </w:r>
      <w:r w:rsidR="000A1AAE" w:rsidRPr="00857B1D">
        <w:rPr>
          <w:bCs/>
        </w:rPr>
        <w:t>entrepreneurship,</w:t>
      </w:r>
      <w:r w:rsidR="00D52FD0">
        <w:rPr>
          <w:bCs/>
        </w:rPr>
        <w:t xml:space="preserve"> </w:t>
      </w:r>
      <w:r w:rsidR="000A1AAE" w:rsidRPr="00857B1D">
        <w:rPr>
          <w:bCs/>
        </w:rPr>
        <w:t>undertaking</w:t>
      </w:r>
      <w:r w:rsidR="00D52FD0">
        <w:rPr>
          <w:bCs/>
        </w:rPr>
        <w:t xml:space="preserve"> </w:t>
      </w:r>
      <w:r w:rsidR="000A1AAE" w:rsidRPr="00857B1D">
        <w:rPr>
          <w:bCs/>
        </w:rPr>
        <w:t>initiatives</w:t>
      </w:r>
      <w:r w:rsidR="00D52FD0">
        <w:rPr>
          <w:bCs/>
        </w:rPr>
        <w:t xml:space="preserve"> </w:t>
      </w:r>
      <w:r w:rsidR="000A1AAE" w:rsidRPr="00857B1D">
        <w:rPr>
          <w:bCs/>
        </w:rPr>
        <w:t>to</w:t>
      </w:r>
      <w:r w:rsidR="00D52FD0">
        <w:rPr>
          <w:bCs/>
        </w:rPr>
        <w:t xml:space="preserve"> </w:t>
      </w:r>
      <w:r w:rsidR="000A1AAE" w:rsidRPr="00857B1D">
        <w:rPr>
          <w:bCs/>
        </w:rPr>
        <w:t>increase</w:t>
      </w:r>
      <w:r w:rsidR="00D52FD0">
        <w:rPr>
          <w:bCs/>
        </w:rPr>
        <w:t xml:space="preserve"> </w:t>
      </w:r>
      <w:r w:rsidR="000A1AAE" w:rsidRPr="00857B1D">
        <w:rPr>
          <w:bCs/>
        </w:rPr>
        <w:t>digital</w:t>
      </w:r>
      <w:r w:rsidR="00D52FD0">
        <w:rPr>
          <w:bCs/>
        </w:rPr>
        <w:t xml:space="preserve"> </w:t>
      </w:r>
      <w:r w:rsidR="000A1AAE" w:rsidRPr="00857B1D">
        <w:rPr>
          <w:bCs/>
        </w:rPr>
        <w:t>skills</w:t>
      </w:r>
      <w:r w:rsidR="00D52FD0">
        <w:rPr>
          <w:bCs/>
        </w:rPr>
        <w:t xml:space="preserve"> </w:t>
      </w:r>
      <w:r w:rsidR="000A1AAE" w:rsidRPr="00857B1D">
        <w:rPr>
          <w:bCs/>
        </w:rPr>
        <w:t>and</w:t>
      </w:r>
      <w:r w:rsidR="00D52FD0">
        <w:rPr>
          <w:bCs/>
        </w:rPr>
        <w:t xml:space="preserve"> </w:t>
      </w:r>
      <w:r w:rsidR="000A1AAE" w:rsidRPr="00857B1D">
        <w:rPr>
          <w:bCs/>
        </w:rPr>
        <w:t>knowledge</w:t>
      </w:r>
      <w:r w:rsidR="00D52FD0">
        <w:rPr>
          <w:bCs/>
        </w:rPr>
        <w:t xml:space="preserve"> </w:t>
      </w:r>
      <w:r w:rsidR="000A1AAE" w:rsidRPr="00857B1D">
        <w:rPr>
          <w:bCs/>
        </w:rPr>
        <w:t>in</w:t>
      </w:r>
      <w:r w:rsidR="00D52FD0">
        <w:rPr>
          <w:bCs/>
        </w:rPr>
        <w:t xml:space="preserve"> </w:t>
      </w:r>
      <w:r w:rsidR="000A1AAE" w:rsidRPr="00857B1D">
        <w:rPr>
          <w:bCs/>
        </w:rPr>
        <w:t>girls</w:t>
      </w:r>
      <w:r w:rsidR="00D52FD0">
        <w:rPr>
          <w:bCs/>
        </w:rPr>
        <w:t xml:space="preserve"> </w:t>
      </w:r>
      <w:r w:rsidR="000A1AAE" w:rsidRPr="00857B1D">
        <w:rPr>
          <w:bCs/>
        </w:rPr>
        <w:t>and</w:t>
      </w:r>
      <w:r w:rsidR="00D52FD0">
        <w:rPr>
          <w:bCs/>
        </w:rPr>
        <w:t xml:space="preserve"> </w:t>
      </w:r>
      <w:r w:rsidR="000A1AAE" w:rsidRPr="00857B1D">
        <w:rPr>
          <w:bCs/>
        </w:rPr>
        <w:t>women,</w:t>
      </w:r>
      <w:r w:rsidR="00D52FD0">
        <w:rPr>
          <w:bCs/>
        </w:rPr>
        <w:t xml:space="preserve"> </w:t>
      </w:r>
      <w:r w:rsidR="000A1AAE" w:rsidRPr="00857B1D">
        <w:rPr>
          <w:bCs/>
        </w:rPr>
        <w:t>and</w:t>
      </w:r>
      <w:r w:rsidR="00D52FD0">
        <w:rPr>
          <w:bCs/>
        </w:rPr>
        <w:t xml:space="preserve"> </w:t>
      </w:r>
      <w:r w:rsidR="000A1AAE" w:rsidRPr="00857B1D">
        <w:rPr>
          <w:bCs/>
        </w:rPr>
        <w:t>undertaking</w:t>
      </w:r>
      <w:r w:rsidR="00D52FD0">
        <w:rPr>
          <w:bCs/>
        </w:rPr>
        <w:t xml:space="preserve"> </w:t>
      </w:r>
      <w:r w:rsidR="000A1AAE" w:rsidRPr="00857B1D">
        <w:rPr>
          <w:bCs/>
        </w:rPr>
        <w:t>studies</w:t>
      </w:r>
      <w:r w:rsidR="00D52FD0">
        <w:rPr>
          <w:bCs/>
        </w:rPr>
        <w:t xml:space="preserve"> </w:t>
      </w:r>
      <w:r w:rsidR="000A1AAE" w:rsidRPr="00857B1D">
        <w:rPr>
          <w:bCs/>
        </w:rPr>
        <w:t>on</w:t>
      </w:r>
      <w:r w:rsidR="00D52FD0">
        <w:rPr>
          <w:bCs/>
        </w:rPr>
        <w:t xml:space="preserve"> </w:t>
      </w:r>
      <w:r w:rsidR="000A1AAE" w:rsidRPr="00857B1D">
        <w:rPr>
          <w:bCs/>
        </w:rPr>
        <w:t>gender</w:t>
      </w:r>
      <w:r w:rsidR="00D52FD0">
        <w:rPr>
          <w:bCs/>
        </w:rPr>
        <w:t xml:space="preserve"> </w:t>
      </w:r>
      <w:r w:rsidR="000A1AAE" w:rsidRPr="00857B1D">
        <w:rPr>
          <w:bCs/>
        </w:rPr>
        <w:t>balance</w:t>
      </w:r>
      <w:r w:rsidR="00D52FD0">
        <w:rPr>
          <w:bCs/>
        </w:rPr>
        <w:t xml:space="preserve"> </w:t>
      </w:r>
      <w:r w:rsidR="000A1AAE" w:rsidRPr="00857B1D">
        <w:rPr>
          <w:bCs/>
        </w:rPr>
        <w:t>within</w:t>
      </w:r>
      <w:r w:rsidR="00D52FD0">
        <w:rPr>
          <w:bCs/>
        </w:rPr>
        <w:t xml:space="preserve"> </w:t>
      </w:r>
      <w:r w:rsidR="000A1AAE" w:rsidRPr="00857B1D">
        <w:rPr>
          <w:bCs/>
        </w:rPr>
        <w:t>the</w:t>
      </w:r>
      <w:r w:rsidR="00D52FD0">
        <w:rPr>
          <w:bCs/>
        </w:rPr>
        <w:t xml:space="preserve"> </w:t>
      </w:r>
      <w:r w:rsidR="000A1AAE" w:rsidRPr="00857B1D">
        <w:rPr>
          <w:bCs/>
        </w:rPr>
        <w:t>Digital</w:t>
      </w:r>
      <w:r w:rsidR="00D52FD0">
        <w:rPr>
          <w:bCs/>
        </w:rPr>
        <w:t xml:space="preserve"> </w:t>
      </w:r>
      <w:r w:rsidR="000A1AAE" w:rsidRPr="00857B1D">
        <w:rPr>
          <w:bCs/>
        </w:rPr>
        <w:t>Sector.</w:t>
      </w:r>
    </w:p>
    <w:p w14:paraId="51AADB42" w14:textId="2F3C10A9" w:rsidR="000A1AAE" w:rsidRPr="00857B1D" w:rsidRDefault="0044637E" w:rsidP="0044637E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  <w:rPr>
          <w:bCs/>
        </w:rPr>
      </w:pPr>
      <w:r w:rsidRPr="00857B1D">
        <w:rPr>
          <w:bCs/>
        </w:rPr>
        <w:t>•</w:t>
      </w:r>
      <w:r w:rsidRPr="00857B1D">
        <w:rPr>
          <w:bCs/>
        </w:rPr>
        <w:tab/>
      </w:r>
      <w:r w:rsidR="000A1AAE" w:rsidRPr="00857B1D">
        <w:rPr>
          <w:bCs/>
        </w:rPr>
        <w:t>Introduced</w:t>
      </w:r>
      <w:r w:rsidR="00D52FD0">
        <w:rPr>
          <w:bCs/>
        </w:rPr>
        <w:t xml:space="preserve"> </w:t>
      </w:r>
      <w:r w:rsidR="000A1AAE" w:rsidRPr="00857B1D">
        <w:rPr>
          <w:bCs/>
        </w:rPr>
        <w:t>in</w:t>
      </w:r>
      <w:r w:rsidR="00D52FD0">
        <w:rPr>
          <w:bCs/>
        </w:rPr>
        <w:t xml:space="preserve"> </w:t>
      </w:r>
      <w:r w:rsidR="000A1AAE" w:rsidRPr="00857B1D">
        <w:rPr>
          <w:bCs/>
        </w:rPr>
        <w:t>2014,</w:t>
      </w:r>
      <w:r w:rsidR="00D52FD0">
        <w:rPr>
          <w:bCs/>
        </w:rPr>
        <w:t xml:space="preserve"> </w:t>
      </w:r>
      <w:r w:rsidR="000A1AAE" w:rsidRPr="00857B1D">
        <w:rPr>
          <w:bCs/>
        </w:rPr>
        <w:t>the</w:t>
      </w:r>
      <w:r w:rsidR="00D52FD0">
        <w:rPr>
          <w:bCs/>
        </w:rPr>
        <w:t xml:space="preserve"> </w:t>
      </w:r>
      <w:r w:rsidR="000A1AAE" w:rsidRPr="00857B1D">
        <w:rPr>
          <w:bCs/>
        </w:rPr>
        <w:t>benefit</w:t>
      </w:r>
      <w:r w:rsidR="00D52FD0">
        <w:rPr>
          <w:bCs/>
        </w:rPr>
        <w:t xml:space="preserve"> </w:t>
      </w:r>
      <w:r w:rsidR="000A1AAE" w:rsidRPr="00857B1D">
        <w:rPr>
          <w:bCs/>
        </w:rPr>
        <w:t>tapering</w:t>
      </w:r>
      <w:r w:rsidR="00D52FD0">
        <w:rPr>
          <w:bCs/>
        </w:rPr>
        <w:t xml:space="preserve"> </w:t>
      </w:r>
      <w:r w:rsidR="000A1AAE" w:rsidRPr="00857B1D">
        <w:rPr>
          <w:bCs/>
        </w:rPr>
        <w:t>scheme</w:t>
      </w:r>
      <w:r w:rsidR="00D52FD0">
        <w:rPr>
          <w:bCs/>
        </w:rPr>
        <w:t xml:space="preserve"> </w:t>
      </w:r>
      <w:r w:rsidR="000A1AAE" w:rsidRPr="00857B1D">
        <w:rPr>
          <w:bCs/>
        </w:rPr>
        <w:t>provides</w:t>
      </w:r>
      <w:r w:rsidR="00D52FD0">
        <w:rPr>
          <w:bCs/>
        </w:rPr>
        <w:t xml:space="preserve"> </w:t>
      </w:r>
      <w:r w:rsidR="000A1AAE" w:rsidRPr="00857B1D">
        <w:rPr>
          <w:bCs/>
        </w:rPr>
        <w:t>support</w:t>
      </w:r>
      <w:r w:rsidR="00D52FD0">
        <w:rPr>
          <w:bCs/>
        </w:rPr>
        <w:t xml:space="preserve"> </w:t>
      </w:r>
      <w:r w:rsidR="000A1AAE" w:rsidRPr="00857B1D">
        <w:rPr>
          <w:bCs/>
        </w:rPr>
        <w:t>to</w:t>
      </w:r>
      <w:r w:rsidR="00D52FD0">
        <w:rPr>
          <w:bCs/>
        </w:rPr>
        <w:t xml:space="preserve"> </w:t>
      </w:r>
      <w:r w:rsidR="000A1AAE" w:rsidRPr="00857B1D">
        <w:rPr>
          <w:bCs/>
        </w:rPr>
        <w:t>people</w:t>
      </w:r>
      <w:r w:rsidR="00D52FD0">
        <w:rPr>
          <w:bCs/>
        </w:rPr>
        <w:t xml:space="preserve"> </w:t>
      </w:r>
      <w:r w:rsidR="000A1AAE" w:rsidRPr="00857B1D">
        <w:rPr>
          <w:bCs/>
        </w:rPr>
        <w:t>who</w:t>
      </w:r>
      <w:r w:rsidR="00D52FD0">
        <w:rPr>
          <w:bCs/>
        </w:rPr>
        <w:t xml:space="preserve"> </w:t>
      </w:r>
      <w:r w:rsidR="000A1AAE" w:rsidRPr="00857B1D">
        <w:rPr>
          <w:bCs/>
        </w:rPr>
        <w:t>enter</w:t>
      </w:r>
      <w:r w:rsidR="00D52FD0">
        <w:rPr>
          <w:bCs/>
        </w:rPr>
        <w:t xml:space="preserve"> </w:t>
      </w:r>
      <w:r w:rsidR="000A1AAE" w:rsidRPr="00857B1D">
        <w:rPr>
          <w:bCs/>
        </w:rPr>
        <w:t>the</w:t>
      </w:r>
      <w:r w:rsidR="00D52FD0">
        <w:rPr>
          <w:bCs/>
        </w:rPr>
        <w:t xml:space="preserve"> </w:t>
      </w:r>
      <w:r w:rsidR="000A1AAE" w:rsidRPr="00857B1D">
        <w:rPr>
          <w:bCs/>
        </w:rPr>
        <w:t>employment</w:t>
      </w:r>
      <w:r w:rsidR="00D52FD0">
        <w:rPr>
          <w:bCs/>
        </w:rPr>
        <w:t xml:space="preserve"> </w:t>
      </w:r>
      <w:r w:rsidR="000A1AAE" w:rsidRPr="00857B1D">
        <w:rPr>
          <w:bCs/>
        </w:rPr>
        <w:t>market</w:t>
      </w:r>
      <w:r w:rsidR="00D52FD0">
        <w:rPr>
          <w:bCs/>
        </w:rPr>
        <w:t xml:space="preserve"> </w:t>
      </w:r>
      <w:r w:rsidR="000A1AAE" w:rsidRPr="00857B1D">
        <w:rPr>
          <w:bCs/>
        </w:rPr>
        <w:t>after</w:t>
      </w:r>
      <w:r w:rsidR="00D52FD0">
        <w:rPr>
          <w:bCs/>
        </w:rPr>
        <w:t xml:space="preserve"> </w:t>
      </w:r>
      <w:r w:rsidR="000A1AAE" w:rsidRPr="00857B1D">
        <w:rPr>
          <w:bCs/>
        </w:rPr>
        <w:t>having</w:t>
      </w:r>
      <w:r w:rsidR="00D52FD0">
        <w:rPr>
          <w:bCs/>
        </w:rPr>
        <w:t xml:space="preserve"> </w:t>
      </w:r>
      <w:r w:rsidR="000A1AAE" w:rsidRPr="00857B1D">
        <w:rPr>
          <w:bCs/>
        </w:rPr>
        <w:t>been</w:t>
      </w:r>
      <w:r w:rsidR="00D52FD0">
        <w:rPr>
          <w:bCs/>
        </w:rPr>
        <w:t xml:space="preserve"> </w:t>
      </w:r>
      <w:r w:rsidR="000A1AAE" w:rsidRPr="00857B1D">
        <w:rPr>
          <w:bCs/>
        </w:rPr>
        <w:t>on</w:t>
      </w:r>
      <w:r w:rsidR="00D52FD0">
        <w:rPr>
          <w:bCs/>
        </w:rPr>
        <w:t xml:space="preserve"> </w:t>
      </w:r>
      <w:r w:rsidR="000A1AAE" w:rsidRPr="00857B1D">
        <w:rPr>
          <w:bCs/>
        </w:rPr>
        <w:t>unemployment</w:t>
      </w:r>
      <w:r w:rsidR="00D52FD0">
        <w:rPr>
          <w:bCs/>
        </w:rPr>
        <w:t xml:space="preserve"> </w:t>
      </w:r>
      <w:r w:rsidR="000A1AAE" w:rsidRPr="00857B1D">
        <w:rPr>
          <w:bCs/>
        </w:rPr>
        <w:t>assistance,</w:t>
      </w:r>
      <w:r w:rsidR="00D52FD0">
        <w:rPr>
          <w:bCs/>
        </w:rPr>
        <w:t xml:space="preserve"> </w:t>
      </w:r>
      <w:r w:rsidR="000A1AAE" w:rsidRPr="00857B1D">
        <w:rPr>
          <w:bCs/>
        </w:rPr>
        <w:t>social</w:t>
      </w:r>
      <w:r w:rsidR="00D52FD0">
        <w:rPr>
          <w:bCs/>
        </w:rPr>
        <w:t xml:space="preserve"> </w:t>
      </w:r>
      <w:r w:rsidR="000A1AAE" w:rsidRPr="00857B1D">
        <w:rPr>
          <w:bCs/>
        </w:rPr>
        <w:t>assistance</w:t>
      </w:r>
      <w:r w:rsidR="00D52FD0">
        <w:rPr>
          <w:bCs/>
        </w:rPr>
        <w:t xml:space="preserve"> </w:t>
      </w:r>
      <w:r w:rsidR="000A1AAE" w:rsidRPr="00857B1D">
        <w:rPr>
          <w:bCs/>
        </w:rPr>
        <w:t>or</w:t>
      </w:r>
      <w:r w:rsidR="00D52FD0">
        <w:rPr>
          <w:bCs/>
        </w:rPr>
        <w:t xml:space="preserve"> </w:t>
      </w:r>
      <w:r w:rsidR="000A1AAE" w:rsidRPr="00857B1D">
        <w:rPr>
          <w:bCs/>
        </w:rPr>
        <w:t>single</w:t>
      </w:r>
      <w:r w:rsidR="00D52FD0">
        <w:rPr>
          <w:bCs/>
        </w:rPr>
        <w:t xml:space="preserve"> </w:t>
      </w:r>
      <w:r w:rsidR="000A1AAE" w:rsidRPr="00857B1D">
        <w:rPr>
          <w:bCs/>
        </w:rPr>
        <w:t>parent</w:t>
      </w:r>
      <w:r w:rsidR="00D52FD0">
        <w:rPr>
          <w:bCs/>
        </w:rPr>
        <w:t xml:space="preserve"> </w:t>
      </w:r>
      <w:r w:rsidR="000A1AAE" w:rsidRPr="00857B1D">
        <w:rPr>
          <w:bCs/>
        </w:rPr>
        <w:t>benefits.</w:t>
      </w:r>
    </w:p>
    <w:p w14:paraId="11402A65" w14:textId="01081C8D" w:rsidR="000E4FD0" w:rsidRDefault="0044637E" w:rsidP="0044637E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  <w:rPr>
          <w:bCs/>
        </w:rPr>
      </w:pPr>
      <w:r>
        <w:rPr>
          <w:bCs/>
        </w:rPr>
        <w:t>•</w:t>
      </w:r>
      <w:r>
        <w:rPr>
          <w:bCs/>
        </w:rPr>
        <w:tab/>
      </w:r>
      <w:r w:rsidR="000A1AAE" w:rsidRPr="00857B1D">
        <w:rPr>
          <w:bCs/>
        </w:rPr>
        <w:t>The</w:t>
      </w:r>
      <w:r w:rsidR="00D52FD0">
        <w:rPr>
          <w:bCs/>
        </w:rPr>
        <w:t xml:space="preserve"> </w:t>
      </w:r>
      <w:r w:rsidR="000A1AAE" w:rsidRPr="00857B1D">
        <w:rPr>
          <w:bCs/>
        </w:rPr>
        <w:t>Maternity</w:t>
      </w:r>
      <w:r w:rsidR="00D52FD0">
        <w:rPr>
          <w:bCs/>
        </w:rPr>
        <w:t xml:space="preserve"> </w:t>
      </w:r>
      <w:r w:rsidR="000A1AAE" w:rsidRPr="00857B1D">
        <w:rPr>
          <w:bCs/>
        </w:rPr>
        <w:t>Leave</w:t>
      </w:r>
      <w:r w:rsidR="00D52FD0">
        <w:rPr>
          <w:bCs/>
        </w:rPr>
        <w:t xml:space="preserve"> </w:t>
      </w:r>
      <w:r w:rsidR="000A1AAE" w:rsidRPr="00857B1D">
        <w:rPr>
          <w:bCs/>
        </w:rPr>
        <w:t>Trust</w:t>
      </w:r>
      <w:r w:rsidR="00D52FD0">
        <w:rPr>
          <w:bCs/>
        </w:rPr>
        <w:t xml:space="preserve"> </w:t>
      </w:r>
      <w:r w:rsidR="000A1AAE" w:rsidRPr="00857B1D">
        <w:rPr>
          <w:bCs/>
        </w:rPr>
        <w:t>Fund</w:t>
      </w:r>
      <w:r w:rsidR="00D52FD0">
        <w:rPr>
          <w:bCs/>
        </w:rPr>
        <w:t xml:space="preserve"> </w:t>
      </w:r>
      <w:r w:rsidR="000A1AAE" w:rsidRPr="00857B1D">
        <w:rPr>
          <w:bCs/>
        </w:rPr>
        <w:t>was</w:t>
      </w:r>
      <w:r w:rsidR="00D52FD0">
        <w:rPr>
          <w:bCs/>
        </w:rPr>
        <w:t xml:space="preserve"> </w:t>
      </w:r>
      <w:r w:rsidR="000A1AAE" w:rsidRPr="00857B1D">
        <w:rPr>
          <w:bCs/>
        </w:rPr>
        <w:t>introduced</w:t>
      </w:r>
      <w:r w:rsidR="00D52FD0">
        <w:rPr>
          <w:bCs/>
        </w:rPr>
        <w:t xml:space="preserve"> </w:t>
      </w:r>
      <w:r w:rsidR="000A1AAE" w:rsidRPr="00857B1D">
        <w:rPr>
          <w:bCs/>
        </w:rPr>
        <w:t>in</w:t>
      </w:r>
      <w:r w:rsidR="00D52FD0">
        <w:rPr>
          <w:bCs/>
        </w:rPr>
        <w:t xml:space="preserve"> </w:t>
      </w:r>
      <w:r w:rsidR="000A1AAE" w:rsidRPr="00857B1D">
        <w:rPr>
          <w:bCs/>
        </w:rPr>
        <w:t>2015,</w:t>
      </w:r>
      <w:r w:rsidR="00D52FD0">
        <w:rPr>
          <w:bCs/>
        </w:rPr>
        <w:t xml:space="preserve"> </w:t>
      </w:r>
      <w:r w:rsidR="000A1AAE" w:rsidRPr="00857B1D">
        <w:rPr>
          <w:bCs/>
        </w:rPr>
        <w:t>where</w:t>
      </w:r>
      <w:r w:rsidR="00D52FD0">
        <w:rPr>
          <w:bCs/>
        </w:rPr>
        <w:t xml:space="preserve"> </w:t>
      </w:r>
      <w:r w:rsidR="000A1AAE" w:rsidRPr="00857B1D">
        <w:rPr>
          <w:bCs/>
        </w:rPr>
        <w:t>every</w:t>
      </w:r>
      <w:r w:rsidR="00D52FD0">
        <w:rPr>
          <w:bCs/>
        </w:rPr>
        <w:t xml:space="preserve"> </w:t>
      </w:r>
      <w:r w:rsidR="000A1AAE" w:rsidRPr="00857B1D">
        <w:rPr>
          <w:bCs/>
        </w:rPr>
        <w:t>employer</w:t>
      </w:r>
      <w:r w:rsidR="00D52FD0">
        <w:rPr>
          <w:bCs/>
        </w:rPr>
        <w:t xml:space="preserve"> </w:t>
      </w:r>
      <w:r w:rsidR="000A1AAE" w:rsidRPr="00857B1D">
        <w:rPr>
          <w:bCs/>
        </w:rPr>
        <w:t>is</w:t>
      </w:r>
      <w:r w:rsidR="00D52FD0">
        <w:rPr>
          <w:bCs/>
        </w:rPr>
        <w:t xml:space="preserve"> </w:t>
      </w:r>
      <w:r w:rsidR="000A1AAE" w:rsidRPr="00857B1D">
        <w:rPr>
          <w:bCs/>
        </w:rPr>
        <w:t>paying</w:t>
      </w:r>
      <w:r w:rsidR="00D52FD0">
        <w:rPr>
          <w:bCs/>
        </w:rPr>
        <w:t xml:space="preserve"> </w:t>
      </w:r>
      <w:r w:rsidR="000A1AAE" w:rsidRPr="00857B1D">
        <w:rPr>
          <w:bCs/>
        </w:rPr>
        <w:t>a</w:t>
      </w:r>
      <w:r w:rsidR="00D52FD0">
        <w:rPr>
          <w:bCs/>
        </w:rPr>
        <w:t xml:space="preserve"> </w:t>
      </w:r>
      <w:r w:rsidR="000A1AAE" w:rsidRPr="00857B1D">
        <w:rPr>
          <w:bCs/>
        </w:rPr>
        <w:t>minimum</w:t>
      </w:r>
      <w:r w:rsidR="00D52FD0">
        <w:rPr>
          <w:bCs/>
        </w:rPr>
        <w:t xml:space="preserve"> </w:t>
      </w:r>
      <w:r w:rsidR="000A1AAE" w:rsidRPr="00857B1D">
        <w:rPr>
          <w:bCs/>
        </w:rPr>
        <w:t>contribution</w:t>
      </w:r>
      <w:r w:rsidR="00D52FD0">
        <w:rPr>
          <w:bCs/>
        </w:rPr>
        <w:t xml:space="preserve"> </w:t>
      </w:r>
      <w:r w:rsidR="000A1AAE" w:rsidRPr="00857B1D">
        <w:rPr>
          <w:bCs/>
        </w:rPr>
        <w:t>for</w:t>
      </w:r>
      <w:r w:rsidR="00D52FD0">
        <w:rPr>
          <w:bCs/>
        </w:rPr>
        <w:t xml:space="preserve"> </w:t>
      </w:r>
      <w:r w:rsidR="000A1AAE" w:rsidRPr="00857B1D">
        <w:rPr>
          <w:bCs/>
        </w:rPr>
        <w:t>every</w:t>
      </w:r>
      <w:r w:rsidR="00D52FD0">
        <w:rPr>
          <w:bCs/>
        </w:rPr>
        <w:t xml:space="preserve"> </w:t>
      </w:r>
      <w:r w:rsidR="000A1AAE" w:rsidRPr="00857B1D">
        <w:rPr>
          <w:bCs/>
        </w:rPr>
        <w:t>employee</w:t>
      </w:r>
      <w:r w:rsidR="00D52FD0">
        <w:rPr>
          <w:bCs/>
        </w:rPr>
        <w:t xml:space="preserve"> </w:t>
      </w:r>
      <w:r w:rsidR="000A1AAE" w:rsidRPr="00857B1D">
        <w:rPr>
          <w:bCs/>
        </w:rPr>
        <w:t>irrespective</w:t>
      </w:r>
      <w:r w:rsidR="00D52FD0">
        <w:rPr>
          <w:bCs/>
        </w:rPr>
        <w:t xml:space="preserve"> </w:t>
      </w:r>
      <w:r w:rsidR="000A1AAE" w:rsidRPr="00857B1D">
        <w:rPr>
          <w:bCs/>
        </w:rPr>
        <w:t>of</w:t>
      </w:r>
      <w:r w:rsidR="00D52FD0">
        <w:rPr>
          <w:bCs/>
        </w:rPr>
        <w:t xml:space="preserve"> </w:t>
      </w:r>
      <w:r w:rsidR="000A1AAE" w:rsidRPr="00857B1D">
        <w:rPr>
          <w:bCs/>
        </w:rPr>
        <w:t>the</w:t>
      </w:r>
      <w:r w:rsidR="00D52FD0">
        <w:rPr>
          <w:bCs/>
        </w:rPr>
        <w:t xml:space="preserve"> </w:t>
      </w:r>
      <w:r w:rsidR="000A1AAE" w:rsidRPr="00857B1D">
        <w:rPr>
          <w:bCs/>
        </w:rPr>
        <w:t>sex.</w:t>
      </w:r>
    </w:p>
    <w:p w14:paraId="7BF56CB6" w14:textId="0CE324D1" w:rsidR="000A1AAE" w:rsidRPr="00857B1D" w:rsidRDefault="0044637E" w:rsidP="0044637E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  <w:rPr>
          <w:rFonts w:eastAsiaTheme="minorEastAsia"/>
          <w:bCs/>
        </w:rPr>
      </w:pPr>
      <w:r w:rsidRPr="00857B1D">
        <w:rPr>
          <w:rFonts w:eastAsiaTheme="minorEastAsia"/>
          <w:bCs/>
        </w:rPr>
        <w:t>•</w:t>
      </w:r>
      <w:r w:rsidRPr="00857B1D">
        <w:rPr>
          <w:rFonts w:eastAsiaTheme="minorEastAsia"/>
          <w:bCs/>
        </w:rPr>
        <w:tab/>
      </w:r>
      <w:r w:rsidR="000A1AAE" w:rsidRPr="00857B1D">
        <w:rPr>
          <w:bCs/>
        </w:rPr>
        <w:t>HRD</w:t>
      </w:r>
      <w:r w:rsidR="00D52FD0">
        <w:rPr>
          <w:bCs/>
        </w:rPr>
        <w:t xml:space="preserve"> </w:t>
      </w:r>
      <w:r w:rsidR="000A1AAE" w:rsidRPr="00857B1D">
        <w:rPr>
          <w:bCs/>
        </w:rPr>
        <w:t>and</w:t>
      </w:r>
      <w:r w:rsidR="00D52FD0">
        <w:rPr>
          <w:bCs/>
        </w:rPr>
        <w:t xml:space="preserve"> </w:t>
      </w:r>
      <w:r w:rsidR="000A1AAE" w:rsidRPr="00857B1D">
        <w:rPr>
          <w:bCs/>
        </w:rPr>
        <w:t>NCPE</w:t>
      </w:r>
      <w:r w:rsidR="00D52FD0">
        <w:rPr>
          <w:bCs/>
        </w:rPr>
        <w:t xml:space="preserve"> </w:t>
      </w:r>
      <w:r w:rsidR="000A1AAE" w:rsidRPr="00857B1D">
        <w:rPr>
          <w:bCs/>
        </w:rPr>
        <w:t>organise</w:t>
      </w:r>
      <w:r w:rsidR="00D52FD0">
        <w:rPr>
          <w:bCs/>
        </w:rPr>
        <w:t xml:space="preserve"> </w:t>
      </w:r>
      <w:r w:rsidR="000A1AAE" w:rsidRPr="00857B1D">
        <w:rPr>
          <w:bCs/>
        </w:rPr>
        <w:t>various</w:t>
      </w:r>
      <w:r w:rsidR="00D52FD0">
        <w:rPr>
          <w:bCs/>
        </w:rPr>
        <w:t xml:space="preserve"> </w:t>
      </w:r>
      <w:r w:rsidR="000A1AAE" w:rsidRPr="00857B1D">
        <w:rPr>
          <w:bCs/>
        </w:rPr>
        <w:t>raising</w:t>
      </w:r>
      <w:r w:rsidR="00D52FD0">
        <w:rPr>
          <w:bCs/>
        </w:rPr>
        <w:t xml:space="preserve"> </w:t>
      </w:r>
      <w:r w:rsidR="000A1AAE" w:rsidRPr="00857B1D">
        <w:rPr>
          <w:bCs/>
        </w:rPr>
        <w:t>awareness</w:t>
      </w:r>
      <w:r w:rsidR="00D52FD0">
        <w:rPr>
          <w:bCs/>
        </w:rPr>
        <w:t xml:space="preserve"> </w:t>
      </w:r>
      <w:r w:rsidR="000A1AAE" w:rsidRPr="00857B1D">
        <w:rPr>
          <w:bCs/>
        </w:rPr>
        <w:t>campaigns</w:t>
      </w:r>
      <w:r w:rsidR="00D52FD0">
        <w:rPr>
          <w:bCs/>
        </w:rPr>
        <w:t xml:space="preserve"> </w:t>
      </w:r>
      <w:r w:rsidR="000A1AAE" w:rsidRPr="00857B1D">
        <w:rPr>
          <w:bCs/>
        </w:rPr>
        <w:t>on</w:t>
      </w:r>
      <w:r w:rsidR="00D52FD0">
        <w:rPr>
          <w:bCs/>
        </w:rPr>
        <w:t xml:space="preserve"> </w:t>
      </w:r>
      <w:r w:rsidR="000A1AAE" w:rsidRPr="00857B1D">
        <w:rPr>
          <w:bCs/>
        </w:rPr>
        <w:t>stereotypes,</w:t>
      </w:r>
      <w:r w:rsidR="00D52FD0">
        <w:rPr>
          <w:bCs/>
        </w:rPr>
        <w:t xml:space="preserve"> </w:t>
      </w:r>
      <w:r w:rsidR="000A1AAE" w:rsidRPr="00857B1D">
        <w:rPr>
          <w:bCs/>
        </w:rPr>
        <w:t>sexism,</w:t>
      </w:r>
      <w:r w:rsidR="00D52FD0">
        <w:rPr>
          <w:bCs/>
        </w:rPr>
        <w:t xml:space="preserve"> </w:t>
      </w:r>
      <w:r w:rsidR="000A1AAE" w:rsidRPr="00857B1D">
        <w:rPr>
          <w:bCs/>
        </w:rPr>
        <w:t>equality,</w:t>
      </w:r>
      <w:r w:rsidR="00D52FD0">
        <w:rPr>
          <w:bCs/>
        </w:rPr>
        <w:t xml:space="preserve"> </w:t>
      </w:r>
      <w:r w:rsidR="000A1AAE" w:rsidRPr="00857B1D">
        <w:rPr>
          <w:bCs/>
        </w:rPr>
        <w:t>STEM</w:t>
      </w:r>
      <w:r w:rsidR="00D52FD0">
        <w:rPr>
          <w:bCs/>
        </w:rPr>
        <w:t xml:space="preserve"> </w:t>
      </w:r>
      <w:r w:rsidR="000A1AAE" w:rsidRPr="00857B1D">
        <w:rPr>
          <w:bCs/>
        </w:rPr>
        <w:t>etc.</w:t>
      </w:r>
    </w:p>
    <w:p w14:paraId="11588E03" w14:textId="6D408F9D" w:rsidR="000A1AAE" w:rsidRPr="00825CCA" w:rsidRDefault="000A1AAE" w:rsidP="009779FF">
      <w:pPr>
        <w:pStyle w:val="H1G"/>
      </w:pPr>
      <w:r>
        <w:lastRenderedPageBreak/>
        <w:tab/>
      </w:r>
      <w:r>
        <w:tab/>
      </w:r>
      <w:r w:rsidRPr="00825CCA">
        <w:t>Violence</w:t>
      </w:r>
      <w:r w:rsidR="00D52FD0">
        <w:t xml:space="preserve"> </w:t>
      </w:r>
      <w:r w:rsidRPr="00825CCA">
        <w:t>against</w:t>
      </w:r>
      <w:r w:rsidR="00D52FD0">
        <w:t xml:space="preserve"> </w:t>
      </w:r>
      <w:r w:rsidRPr="00825CCA">
        <w:t>women,</w:t>
      </w:r>
      <w:r w:rsidR="00D52FD0">
        <w:t xml:space="preserve"> </w:t>
      </w:r>
      <w:r w:rsidRPr="00825CCA">
        <w:t>including</w:t>
      </w:r>
      <w:r w:rsidR="00D52FD0">
        <w:t xml:space="preserve"> </w:t>
      </w:r>
      <w:r w:rsidRPr="00825CCA">
        <w:t>domestic</w:t>
      </w:r>
      <w:r w:rsidR="00D52FD0">
        <w:t xml:space="preserve"> </w:t>
      </w:r>
      <w:r w:rsidRPr="00825CCA">
        <w:t>violence</w:t>
      </w:r>
      <w:r w:rsidR="00D52FD0">
        <w:t xml:space="preserve"> </w:t>
      </w:r>
      <w:r w:rsidRPr="00825CCA">
        <w:t>(arts.</w:t>
      </w:r>
      <w:r w:rsidR="00D52FD0">
        <w:t xml:space="preserve"> </w:t>
      </w:r>
      <w:r w:rsidRPr="00825CCA">
        <w:t>2,</w:t>
      </w:r>
      <w:r w:rsidR="00D52FD0">
        <w:t xml:space="preserve"> </w:t>
      </w:r>
      <w:r w:rsidRPr="00825CCA">
        <w:t>3,</w:t>
      </w:r>
      <w:r w:rsidR="00D52FD0">
        <w:t xml:space="preserve"> </w:t>
      </w:r>
      <w:r w:rsidRPr="00825CCA">
        <w:t>6,</w:t>
      </w:r>
      <w:r w:rsidR="00D52FD0">
        <w:t xml:space="preserve"> </w:t>
      </w:r>
      <w:r w:rsidRPr="00825CCA">
        <w:t>7</w:t>
      </w:r>
      <w:r w:rsidR="00D52FD0">
        <w:t xml:space="preserve"> </w:t>
      </w:r>
      <w:r w:rsidR="00196329">
        <w:br/>
      </w:r>
      <w:r w:rsidRPr="00825CCA">
        <w:t>and</w:t>
      </w:r>
      <w:r w:rsidR="00D52FD0">
        <w:t xml:space="preserve"> </w:t>
      </w:r>
      <w:r w:rsidRPr="00825CCA">
        <w:t>26)</w:t>
      </w:r>
    </w:p>
    <w:p w14:paraId="0D4CC15D" w14:textId="5A920665" w:rsidR="000A1AAE" w:rsidRDefault="000A1AAE" w:rsidP="009779FF">
      <w:pPr>
        <w:pStyle w:val="H23G"/>
      </w:pPr>
      <w:r>
        <w:tab/>
      </w:r>
      <w:r>
        <w:tab/>
      </w:r>
      <w:r w:rsidRPr="00504902">
        <w:t>Reply</w:t>
      </w:r>
      <w:r w:rsidR="00D52FD0">
        <w:t xml:space="preserve"> </w:t>
      </w:r>
      <w:r w:rsidRPr="00504902">
        <w:t>to</w:t>
      </w:r>
      <w:r w:rsidR="00D52FD0">
        <w:t xml:space="preserve"> </w:t>
      </w:r>
      <w:r w:rsidRPr="00504902">
        <w:t>paragraph</w:t>
      </w:r>
      <w:r w:rsidR="00D52FD0">
        <w:t xml:space="preserve"> </w:t>
      </w:r>
      <w:r>
        <w:t>9</w:t>
      </w:r>
      <w:r w:rsidR="00D52FD0">
        <w:t xml:space="preserve"> </w:t>
      </w:r>
      <w:r w:rsidRPr="00504902">
        <w:t>of</w:t>
      </w:r>
      <w:r w:rsidR="00D52FD0">
        <w:t xml:space="preserve"> </w:t>
      </w:r>
      <w:r w:rsidRPr="00504902">
        <w:t>the</w:t>
      </w:r>
      <w:r w:rsidR="00D52FD0">
        <w:t xml:space="preserve"> </w:t>
      </w:r>
      <w:r w:rsidRPr="00504902">
        <w:t>list</w:t>
      </w:r>
      <w:r w:rsidR="00D52FD0">
        <w:t xml:space="preserve"> </w:t>
      </w:r>
      <w:r w:rsidRPr="00504902">
        <w:t>of</w:t>
      </w:r>
      <w:r w:rsidR="00D52FD0">
        <w:t xml:space="preserve"> </w:t>
      </w:r>
      <w:r w:rsidRPr="00504902">
        <w:t>issues</w:t>
      </w:r>
    </w:p>
    <w:p w14:paraId="54A2D012" w14:textId="4E64D243" w:rsidR="000A1AAE" w:rsidRPr="00A841AA" w:rsidRDefault="0044637E" w:rsidP="0044637E">
      <w:pPr>
        <w:pStyle w:val="ParaNoG"/>
        <w:keepNext/>
        <w:keepLines/>
        <w:numPr>
          <w:ilvl w:val="0"/>
          <w:numId w:val="0"/>
        </w:numPr>
        <w:tabs>
          <w:tab w:val="left" w:pos="0"/>
        </w:tabs>
        <w:ind w:left="1134"/>
      </w:pPr>
      <w:r w:rsidRPr="00A841AA">
        <w:t>144.</w:t>
      </w:r>
      <w:r w:rsidRPr="00A841AA">
        <w:tab/>
      </w:r>
      <w:r w:rsidR="000A1AAE" w:rsidRPr="00A841AA">
        <w:t>The</w:t>
      </w:r>
      <w:r w:rsidR="00D52FD0">
        <w:t xml:space="preserve"> </w:t>
      </w:r>
      <w:r w:rsidR="000A1AAE" w:rsidRPr="00A841AA">
        <w:t>following</w:t>
      </w:r>
      <w:r w:rsidR="00D52FD0">
        <w:t xml:space="preserve"> </w:t>
      </w:r>
      <w:r w:rsidR="000A1AAE" w:rsidRPr="00A841AA">
        <w:t>actions</w:t>
      </w:r>
      <w:r w:rsidR="00D52FD0">
        <w:t xml:space="preserve"> </w:t>
      </w:r>
      <w:r w:rsidR="000A1AAE" w:rsidRPr="00A841AA">
        <w:t>were</w:t>
      </w:r>
      <w:r w:rsidR="00D52FD0">
        <w:t xml:space="preserve"> </w:t>
      </w:r>
      <w:r w:rsidR="000A1AAE" w:rsidRPr="00A841AA">
        <w:t>taken:</w:t>
      </w:r>
    </w:p>
    <w:p w14:paraId="051520BA" w14:textId="3CF2EC6C" w:rsidR="000A1AAE" w:rsidRPr="00537A7B" w:rsidRDefault="0044637E" w:rsidP="0044637E">
      <w:pPr>
        <w:pStyle w:val="Bullet1G"/>
        <w:keepNext/>
        <w:keepLines/>
        <w:numPr>
          <w:ilvl w:val="0"/>
          <w:numId w:val="0"/>
        </w:numPr>
        <w:tabs>
          <w:tab w:val="left" w:pos="1701"/>
        </w:tabs>
        <w:ind w:left="1701" w:hanging="170"/>
      </w:pPr>
      <w:r w:rsidRPr="00537A7B">
        <w:t>•</w:t>
      </w:r>
      <w:r w:rsidRPr="00537A7B">
        <w:tab/>
      </w:r>
      <w:r w:rsidR="000A1AAE" w:rsidRPr="00537A7B">
        <w:t>The</w:t>
      </w:r>
      <w:r w:rsidR="00D52FD0">
        <w:t xml:space="preserve"> </w:t>
      </w:r>
      <w:r w:rsidR="000A1AAE" w:rsidRPr="00537A7B">
        <w:t>ratification</w:t>
      </w:r>
      <w:r w:rsidR="00D52FD0">
        <w:t xml:space="preserve"> </w:t>
      </w:r>
      <w:r w:rsidR="000A1AAE" w:rsidRPr="00537A7B">
        <w:t>and</w:t>
      </w:r>
      <w:r w:rsidR="00D52FD0">
        <w:t xml:space="preserve"> </w:t>
      </w:r>
      <w:r w:rsidR="000A1AAE" w:rsidRPr="00537A7B">
        <w:t>full</w:t>
      </w:r>
      <w:r w:rsidR="00D52FD0">
        <w:t xml:space="preserve"> </w:t>
      </w:r>
      <w:r w:rsidR="000A1AAE" w:rsidRPr="00537A7B">
        <w:t>incorporation</w:t>
      </w:r>
      <w:r w:rsidR="00D52FD0">
        <w:t xml:space="preserve"> </w:t>
      </w:r>
      <w:r w:rsidR="000A1AAE" w:rsidRPr="00537A7B">
        <w:t>of</w:t>
      </w:r>
      <w:r w:rsidR="00D52FD0">
        <w:t xml:space="preserve"> </w:t>
      </w:r>
      <w:r w:rsidR="000A1AAE" w:rsidRPr="00537A7B">
        <w:t>the</w:t>
      </w:r>
      <w:r w:rsidR="00D52FD0">
        <w:t xml:space="preserve"> </w:t>
      </w:r>
      <w:r w:rsidR="000A1AAE" w:rsidRPr="00537A7B">
        <w:t>Council</w:t>
      </w:r>
      <w:r w:rsidR="00D52FD0">
        <w:t xml:space="preserve"> </w:t>
      </w:r>
      <w:r w:rsidR="000A1AAE" w:rsidRPr="00537A7B">
        <w:t>of</w:t>
      </w:r>
      <w:r w:rsidR="00D52FD0">
        <w:t xml:space="preserve"> </w:t>
      </w:r>
      <w:r w:rsidR="000A1AAE" w:rsidRPr="00537A7B">
        <w:t>Europe</w:t>
      </w:r>
      <w:r w:rsidR="00D52FD0">
        <w:t xml:space="preserve"> </w:t>
      </w:r>
      <w:r w:rsidR="000A1AAE" w:rsidRPr="00537A7B">
        <w:t>Convention</w:t>
      </w:r>
      <w:r w:rsidR="00D52FD0">
        <w:t xml:space="preserve"> </w:t>
      </w:r>
      <w:r w:rsidR="000A1AAE" w:rsidRPr="00537A7B">
        <w:t>on</w:t>
      </w:r>
      <w:r w:rsidR="00D52FD0">
        <w:t xml:space="preserve"> </w:t>
      </w:r>
      <w:r w:rsidR="000A1AAE" w:rsidRPr="00537A7B">
        <w:t>preventing</w:t>
      </w:r>
      <w:r w:rsidR="00D52FD0">
        <w:t xml:space="preserve"> </w:t>
      </w:r>
      <w:r w:rsidR="000A1AAE" w:rsidRPr="00537A7B">
        <w:t>and</w:t>
      </w:r>
      <w:r w:rsidR="00D52FD0">
        <w:t xml:space="preserve"> </w:t>
      </w:r>
      <w:r w:rsidR="000A1AAE" w:rsidRPr="00537A7B">
        <w:t>combating</w:t>
      </w:r>
      <w:r w:rsidR="00D52FD0">
        <w:t xml:space="preserve"> </w:t>
      </w:r>
      <w:r w:rsidR="000A1AAE" w:rsidRPr="00537A7B">
        <w:t>violence</w:t>
      </w:r>
      <w:r w:rsidR="00D52FD0">
        <w:t xml:space="preserve"> </w:t>
      </w:r>
      <w:r w:rsidR="000A1AAE" w:rsidRPr="00537A7B">
        <w:t>against</w:t>
      </w:r>
      <w:r w:rsidR="00D52FD0">
        <w:t xml:space="preserve"> </w:t>
      </w:r>
      <w:r w:rsidR="000A1AAE" w:rsidRPr="00537A7B">
        <w:t>women</w:t>
      </w:r>
      <w:r w:rsidR="00D52FD0">
        <w:t xml:space="preserve"> </w:t>
      </w:r>
      <w:r w:rsidR="000A1AAE" w:rsidRPr="00537A7B">
        <w:t>and</w:t>
      </w:r>
      <w:r w:rsidR="00D52FD0">
        <w:t xml:space="preserve"> </w:t>
      </w:r>
      <w:r w:rsidR="000A1AAE" w:rsidRPr="00537A7B">
        <w:t>domestic</w:t>
      </w:r>
      <w:r w:rsidR="00D52FD0">
        <w:t xml:space="preserve"> </w:t>
      </w:r>
      <w:r w:rsidR="000A1AAE" w:rsidRPr="00537A7B">
        <w:t>violence</w:t>
      </w:r>
      <w:r w:rsidR="00D52FD0">
        <w:t xml:space="preserve"> </w:t>
      </w:r>
      <w:r w:rsidR="000A1AAE" w:rsidRPr="00537A7B">
        <w:t>(Istanbul</w:t>
      </w:r>
      <w:r w:rsidR="00D52FD0">
        <w:t xml:space="preserve"> </w:t>
      </w:r>
      <w:r w:rsidR="000A1AAE" w:rsidRPr="00537A7B">
        <w:t>Convention)</w:t>
      </w:r>
      <w:r w:rsidR="00D52FD0">
        <w:t xml:space="preserve"> </w:t>
      </w:r>
      <w:r w:rsidR="000A1AAE" w:rsidRPr="00537A7B">
        <w:t>in</w:t>
      </w:r>
      <w:r w:rsidR="00D52FD0">
        <w:t xml:space="preserve"> </w:t>
      </w:r>
      <w:r w:rsidR="000A1AAE" w:rsidRPr="00537A7B">
        <w:t>national</w:t>
      </w:r>
      <w:r w:rsidR="00D52FD0">
        <w:t xml:space="preserve"> </w:t>
      </w:r>
      <w:r w:rsidR="000A1AAE" w:rsidRPr="00537A7B">
        <w:t>legislation</w:t>
      </w:r>
      <w:r w:rsidR="00D52FD0">
        <w:t xml:space="preserve"> </w:t>
      </w:r>
      <w:r w:rsidR="000A1AAE" w:rsidRPr="00537A7B">
        <w:t>in</w:t>
      </w:r>
      <w:r w:rsidR="00D52FD0">
        <w:t xml:space="preserve"> </w:t>
      </w:r>
      <w:r w:rsidR="000A1AAE" w:rsidRPr="00537A7B">
        <w:t>2014.</w:t>
      </w:r>
    </w:p>
    <w:p w14:paraId="16953F69" w14:textId="58E0A3A6" w:rsidR="000A1AAE" w:rsidRPr="00537A7B" w:rsidRDefault="0044637E" w:rsidP="0044637E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537A7B">
        <w:t>•</w:t>
      </w:r>
      <w:r w:rsidRPr="00537A7B">
        <w:tab/>
      </w:r>
      <w:r w:rsidR="000A1AAE" w:rsidRPr="00537A7B">
        <w:t>The</w:t>
      </w:r>
      <w:r w:rsidR="00D52FD0">
        <w:t xml:space="preserve"> </w:t>
      </w:r>
      <w:r w:rsidR="000A1AAE" w:rsidRPr="00537A7B">
        <w:t>creation</w:t>
      </w:r>
      <w:r w:rsidR="00D52FD0">
        <w:t xml:space="preserve"> </w:t>
      </w:r>
      <w:r w:rsidR="000A1AAE" w:rsidRPr="00537A7B">
        <w:t>of</w:t>
      </w:r>
      <w:r w:rsidR="00D52FD0">
        <w:t xml:space="preserve"> </w:t>
      </w:r>
      <w:r w:rsidR="000A1AAE" w:rsidRPr="00537A7B">
        <w:t>the</w:t>
      </w:r>
      <w:r w:rsidR="00D52FD0">
        <w:t xml:space="preserve"> </w:t>
      </w:r>
      <w:r w:rsidR="000A1AAE" w:rsidRPr="00537A7B">
        <w:t>Gender-Based</w:t>
      </w:r>
      <w:r w:rsidR="00D52FD0">
        <w:t xml:space="preserve"> </w:t>
      </w:r>
      <w:r w:rsidR="000A1AAE" w:rsidRPr="00537A7B">
        <w:t>Violence</w:t>
      </w:r>
      <w:r w:rsidR="00D52FD0">
        <w:t xml:space="preserve"> </w:t>
      </w:r>
      <w:r w:rsidR="000A1AAE" w:rsidRPr="00537A7B">
        <w:t>and</w:t>
      </w:r>
      <w:r w:rsidR="00D52FD0">
        <w:t xml:space="preserve"> </w:t>
      </w:r>
      <w:r w:rsidR="000A1AAE" w:rsidRPr="00537A7B">
        <w:t>Domestic</w:t>
      </w:r>
      <w:r w:rsidR="00D52FD0">
        <w:t xml:space="preserve"> </w:t>
      </w:r>
      <w:r w:rsidR="000A1AAE" w:rsidRPr="00537A7B">
        <w:t>Violence</w:t>
      </w:r>
      <w:r w:rsidR="00D52FD0">
        <w:t xml:space="preserve"> </w:t>
      </w:r>
      <w:r w:rsidR="000A1AAE" w:rsidRPr="00537A7B">
        <w:t>Commission,</w:t>
      </w:r>
      <w:r w:rsidR="00D52FD0">
        <w:t xml:space="preserve"> </w:t>
      </w:r>
      <w:r w:rsidR="000A1AAE" w:rsidRPr="00537A7B">
        <w:t>coupled</w:t>
      </w:r>
      <w:r w:rsidR="00D52FD0">
        <w:t xml:space="preserve"> </w:t>
      </w:r>
      <w:r w:rsidR="000A1AAE" w:rsidRPr="00537A7B">
        <w:t>with</w:t>
      </w:r>
      <w:r w:rsidR="00D52FD0">
        <w:t xml:space="preserve"> </w:t>
      </w:r>
      <w:r w:rsidR="000A1AAE" w:rsidRPr="00537A7B">
        <w:t>considerable</w:t>
      </w:r>
      <w:r w:rsidR="00D52FD0">
        <w:t xml:space="preserve"> </w:t>
      </w:r>
      <w:r w:rsidR="000A1AAE" w:rsidRPr="00537A7B">
        <w:t>amendments</w:t>
      </w:r>
      <w:r w:rsidR="00D52FD0">
        <w:t xml:space="preserve"> </w:t>
      </w:r>
      <w:r w:rsidR="000A1AAE" w:rsidRPr="00537A7B">
        <w:t>to</w:t>
      </w:r>
      <w:r w:rsidR="00D52FD0">
        <w:t xml:space="preserve"> </w:t>
      </w:r>
      <w:r w:rsidR="000A1AAE" w:rsidRPr="00537A7B">
        <w:t>Maltese</w:t>
      </w:r>
      <w:r w:rsidR="00D52FD0">
        <w:t xml:space="preserve"> </w:t>
      </w:r>
      <w:r w:rsidR="000A1AAE" w:rsidRPr="00537A7B">
        <w:t>criminal</w:t>
      </w:r>
      <w:r w:rsidR="00D52FD0">
        <w:t xml:space="preserve"> </w:t>
      </w:r>
      <w:r w:rsidR="000A1AAE" w:rsidRPr="00537A7B">
        <w:t>law</w:t>
      </w:r>
      <w:r w:rsidR="00D52FD0">
        <w:t xml:space="preserve"> </w:t>
      </w:r>
      <w:r w:rsidR="000A1AAE" w:rsidRPr="00537A7B">
        <w:t>(the</w:t>
      </w:r>
      <w:r w:rsidR="00D52FD0">
        <w:t xml:space="preserve"> </w:t>
      </w:r>
      <w:r w:rsidR="000A1AAE" w:rsidRPr="00537A7B">
        <w:t>GBV&amp;DV</w:t>
      </w:r>
      <w:r w:rsidR="00D52FD0">
        <w:t xml:space="preserve"> </w:t>
      </w:r>
      <w:r w:rsidR="000A1AAE" w:rsidRPr="00537A7B">
        <w:t>Act),</w:t>
      </w:r>
      <w:r w:rsidR="00D52FD0">
        <w:t xml:space="preserve"> </w:t>
      </w:r>
      <w:r w:rsidR="000A1AAE" w:rsidRPr="00537A7B">
        <w:t>aimed</w:t>
      </w:r>
      <w:r w:rsidR="00D52FD0">
        <w:t xml:space="preserve"> </w:t>
      </w:r>
      <w:r w:rsidR="000A1AAE" w:rsidRPr="00537A7B">
        <w:t>at</w:t>
      </w:r>
      <w:r w:rsidR="00D52FD0">
        <w:t xml:space="preserve"> </w:t>
      </w:r>
      <w:r w:rsidR="000A1AAE" w:rsidRPr="00537A7B">
        <w:t>ensuring</w:t>
      </w:r>
      <w:r w:rsidR="00D52FD0">
        <w:t xml:space="preserve"> </w:t>
      </w:r>
      <w:r w:rsidR="000A1AAE" w:rsidRPr="00537A7B">
        <w:t>justice</w:t>
      </w:r>
      <w:r w:rsidR="00D52FD0">
        <w:t xml:space="preserve"> </w:t>
      </w:r>
      <w:r w:rsidR="000A1AAE" w:rsidRPr="00537A7B">
        <w:t>for</w:t>
      </w:r>
      <w:r w:rsidR="00D52FD0">
        <w:t xml:space="preserve"> </w:t>
      </w:r>
      <w:r w:rsidR="000A1AAE" w:rsidRPr="00537A7B">
        <w:t>victims</w:t>
      </w:r>
      <w:r w:rsidR="00D52FD0">
        <w:t xml:space="preserve"> </w:t>
      </w:r>
      <w:r w:rsidR="000A1AAE" w:rsidRPr="00537A7B">
        <w:t>of</w:t>
      </w:r>
      <w:r w:rsidR="00D52FD0">
        <w:t xml:space="preserve"> </w:t>
      </w:r>
      <w:r w:rsidR="000A1AAE" w:rsidRPr="00537A7B">
        <w:t>violence,</w:t>
      </w:r>
      <w:r w:rsidR="00D52FD0">
        <w:t xml:space="preserve"> </w:t>
      </w:r>
      <w:r w:rsidR="000A1AAE" w:rsidRPr="00537A7B">
        <w:t>heightened</w:t>
      </w:r>
      <w:r w:rsidR="00D52FD0">
        <w:t xml:space="preserve"> </w:t>
      </w:r>
      <w:r w:rsidR="000A1AAE" w:rsidRPr="00537A7B">
        <w:t>protection,</w:t>
      </w:r>
      <w:r w:rsidR="00D52FD0">
        <w:t xml:space="preserve"> </w:t>
      </w:r>
      <w:r w:rsidR="000A1AAE" w:rsidRPr="00537A7B">
        <w:t>and</w:t>
      </w:r>
      <w:r w:rsidR="00D52FD0">
        <w:t xml:space="preserve"> </w:t>
      </w:r>
      <w:r w:rsidR="000A1AAE" w:rsidRPr="00537A7B">
        <w:t>preventive</w:t>
      </w:r>
      <w:r w:rsidR="00D52FD0">
        <w:t xml:space="preserve"> </w:t>
      </w:r>
      <w:r w:rsidR="000A1AAE" w:rsidRPr="00537A7B">
        <w:t>measures</w:t>
      </w:r>
      <w:r w:rsidR="00D52FD0">
        <w:t xml:space="preserve"> </w:t>
      </w:r>
      <w:r w:rsidR="000A1AAE" w:rsidRPr="00537A7B">
        <w:t>against</w:t>
      </w:r>
      <w:r w:rsidR="00D52FD0">
        <w:t xml:space="preserve"> </w:t>
      </w:r>
      <w:r w:rsidR="000A1AAE" w:rsidRPr="00537A7B">
        <w:t>violence.</w:t>
      </w:r>
    </w:p>
    <w:p w14:paraId="55FB166F" w14:textId="4E60210C" w:rsidR="000E4FD0" w:rsidRDefault="0044637E" w:rsidP="0044637E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  <w:rPr>
          <w:lang w:eastAsia="en-GB"/>
        </w:rPr>
      </w:pPr>
      <w:r>
        <w:rPr>
          <w:lang w:eastAsia="en-GB"/>
        </w:rPr>
        <w:t>•</w:t>
      </w:r>
      <w:r>
        <w:rPr>
          <w:lang w:eastAsia="en-GB"/>
        </w:rPr>
        <w:tab/>
      </w:r>
      <w:r w:rsidR="000A1AAE" w:rsidRPr="00537A7B">
        <w:t>The</w:t>
      </w:r>
      <w:r w:rsidR="00D52FD0">
        <w:t xml:space="preserve"> </w:t>
      </w:r>
      <w:r w:rsidR="000A1AAE" w:rsidRPr="00537A7B">
        <w:t>introduction</w:t>
      </w:r>
      <w:r w:rsidR="00D52FD0">
        <w:t xml:space="preserve"> </w:t>
      </w:r>
      <w:r w:rsidR="000A1AAE" w:rsidRPr="00537A7B">
        <w:t>of</w:t>
      </w:r>
      <w:r w:rsidR="00D52FD0">
        <w:t xml:space="preserve"> </w:t>
      </w:r>
      <w:r w:rsidR="000A1AAE" w:rsidRPr="00537A7B">
        <w:t>the</w:t>
      </w:r>
      <w:r w:rsidR="00D52FD0">
        <w:t xml:space="preserve"> </w:t>
      </w:r>
      <w:r w:rsidR="000A1AAE" w:rsidRPr="00537A7B">
        <w:t>first</w:t>
      </w:r>
      <w:r w:rsidR="00D52FD0">
        <w:t xml:space="preserve"> </w:t>
      </w:r>
      <w:r w:rsidR="000A1AAE" w:rsidRPr="00537A7B">
        <w:t>Gender-Based</w:t>
      </w:r>
      <w:r w:rsidR="00D52FD0">
        <w:t xml:space="preserve"> </w:t>
      </w:r>
      <w:r w:rsidR="000A1AAE" w:rsidRPr="00537A7B">
        <w:t>Violence</w:t>
      </w:r>
      <w:r w:rsidR="00D52FD0">
        <w:t xml:space="preserve"> </w:t>
      </w:r>
      <w:r w:rsidR="000A1AAE" w:rsidRPr="00537A7B">
        <w:t>and</w:t>
      </w:r>
      <w:r w:rsidR="00D52FD0">
        <w:t xml:space="preserve"> </w:t>
      </w:r>
      <w:r w:rsidR="000A1AAE" w:rsidRPr="00537A7B">
        <w:t>Domestic</w:t>
      </w:r>
      <w:r w:rsidR="00D52FD0">
        <w:t xml:space="preserve"> </w:t>
      </w:r>
      <w:r w:rsidR="000A1AAE" w:rsidRPr="00537A7B">
        <w:t>Violence</w:t>
      </w:r>
      <w:r w:rsidR="00D52FD0">
        <w:t xml:space="preserve"> </w:t>
      </w:r>
      <w:r w:rsidR="000A1AAE" w:rsidRPr="00537A7B">
        <w:t>Strategy</w:t>
      </w:r>
      <w:r w:rsidR="00D52FD0">
        <w:t xml:space="preserve"> </w:t>
      </w:r>
      <w:r w:rsidR="000A1AAE" w:rsidRPr="00537A7B">
        <w:t>and</w:t>
      </w:r>
      <w:r w:rsidR="00D52FD0">
        <w:t xml:space="preserve"> </w:t>
      </w:r>
      <w:r w:rsidR="000A1AAE" w:rsidRPr="00537A7B">
        <w:t>Action</w:t>
      </w:r>
      <w:r w:rsidR="00D52FD0">
        <w:t xml:space="preserve"> </w:t>
      </w:r>
      <w:r w:rsidR="000A1AAE" w:rsidRPr="00537A7B">
        <w:t>plan</w:t>
      </w:r>
      <w:r w:rsidR="00D52FD0">
        <w:t xml:space="preserve"> </w:t>
      </w:r>
      <w:r w:rsidR="000A1AAE" w:rsidRPr="00537A7B">
        <w:t>(Vision</w:t>
      </w:r>
      <w:r w:rsidR="00D52FD0">
        <w:t xml:space="preserve"> </w:t>
      </w:r>
      <w:r w:rsidR="000A1AAE" w:rsidRPr="00537A7B">
        <w:t>2020),</w:t>
      </w:r>
      <w:r w:rsidR="00D52FD0">
        <w:t xml:space="preserve"> </w:t>
      </w:r>
      <w:r w:rsidR="000A1AAE" w:rsidRPr="00537A7B">
        <w:t>fully</w:t>
      </w:r>
      <w:r w:rsidR="00D52FD0">
        <w:t xml:space="preserve"> </w:t>
      </w:r>
      <w:r w:rsidR="000A1AAE" w:rsidRPr="00537A7B">
        <w:t>in</w:t>
      </w:r>
      <w:r w:rsidR="00D52FD0">
        <w:t xml:space="preserve"> </w:t>
      </w:r>
      <w:r w:rsidR="000A1AAE" w:rsidRPr="00537A7B">
        <w:t>line</w:t>
      </w:r>
      <w:r w:rsidR="00D52FD0">
        <w:t xml:space="preserve"> </w:t>
      </w:r>
      <w:r w:rsidR="000A1AAE" w:rsidRPr="00537A7B">
        <w:t>with</w:t>
      </w:r>
      <w:r w:rsidR="00D52FD0">
        <w:t xml:space="preserve"> </w:t>
      </w:r>
      <w:r w:rsidR="000A1AAE" w:rsidRPr="00537A7B">
        <w:t>the</w:t>
      </w:r>
      <w:r w:rsidR="00D52FD0">
        <w:t xml:space="preserve"> </w:t>
      </w:r>
      <w:r w:rsidR="000A1AAE" w:rsidRPr="00537A7B">
        <w:t>GBV&amp;DV</w:t>
      </w:r>
      <w:r w:rsidR="00D52FD0">
        <w:t xml:space="preserve"> </w:t>
      </w:r>
      <w:r w:rsidR="000A1AAE" w:rsidRPr="00537A7B">
        <w:t>Act</w:t>
      </w:r>
      <w:r w:rsidR="00D52FD0">
        <w:t xml:space="preserve"> </w:t>
      </w:r>
      <w:r w:rsidR="000A1AAE" w:rsidRPr="00537A7B">
        <w:t>and</w:t>
      </w:r>
      <w:r w:rsidR="00D52FD0">
        <w:t xml:space="preserve"> </w:t>
      </w:r>
      <w:r w:rsidR="000A1AAE" w:rsidRPr="00537A7B">
        <w:t>the</w:t>
      </w:r>
      <w:r w:rsidR="00D52FD0">
        <w:t xml:space="preserve"> </w:t>
      </w:r>
      <w:r w:rsidR="000A1AAE" w:rsidRPr="00537A7B">
        <w:t>Istanbul</w:t>
      </w:r>
      <w:r w:rsidR="00D52FD0">
        <w:t xml:space="preserve"> </w:t>
      </w:r>
      <w:r w:rsidR="000A1AAE" w:rsidRPr="00537A7B">
        <w:t>Convention.</w:t>
      </w:r>
      <w:r w:rsidR="00D52FD0">
        <w:t xml:space="preserve"> </w:t>
      </w:r>
      <w:r w:rsidR="000A1AAE" w:rsidRPr="00537A7B">
        <w:t>A</w:t>
      </w:r>
      <w:r w:rsidR="00D52FD0">
        <w:t xml:space="preserve"> </w:t>
      </w:r>
      <w:r w:rsidR="000A1AAE" w:rsidRPr="00537A7B">
        <w:t>follow</w:t>
      </w:r>
      <w:r w:rsidR="00D52FD0">
        <w:t xml:space="preserve"> </w:t>
      </w:r>
      <w:r w:rsidR="000A1AAE" w:rsidRPr="00537A7B">
        <w:t>up</w:t>
      </w:r>
      <w:r w:rsidR="00D52FD0">
        <w:t xml:space="preserve"> </w:t>
      </w:r>
      <w:r w:rsidR="000A1AAE" w:rsidRPr="00537A7B">
        <w:t>Strategy</w:t>
      </w:r>
      <w:r w:rsidR="00D52FD0">
        <w:t xml:space="preserve"> </w:t>
      </w:r>
      <w:r w:rsidR="000A1AAE" w:rsidRPr="00537A7B">
        <w:t>is</w:t>
      </w:r>
      <w:r w:rsidR="00D52FD0">
        <w:t xml:space="preserve"> </w:t>
      </w:r>
      <w:r w:rsidR="000A1AAE" w:rsidRPr="00537A7B">
        <w:t>expected</w:t>
      </w:r>
      <w:r w:rsidR="00D52FD0">
        <w:t xml:space="preserve"> </w:t>
      </w:r>
      <w:r w:rsidR="000A1AAE" w:rsidRPr="00537A7B">
        <w:t>to</w:t>
      </w:r>
      <w:r w:rsidR="00D52FD0">
        <w:t xml:space="preserve"> </w:t>
      </w:r>
      <w:r w:rsidR="000A1AAE" w:rsidRPr="00537A7B">
        <w:t>be</w:t>
      </w:r>
      <w:r w:rsidR="00D52FD0">
        <w:t xml:space="preserve"> </w:t>
      </w:r>
      <w:r w:rsidR="000A1AAE" w:rsidRPr="00537A7B">
        <w:t>launched</w:t>
      </w:r>
      <w:r w:rsidR="00D52FD0">
        <w:t xml:space="preserve"> </w:t>
      </w:r>
      <w:r w:rsidR="000A1AAE" w:rsidRPr="00537A7B">
        <w:t>in</w:t>
      </w:r>
      <w:r w:rsidR="00D52FD0">
        <w:t xml:space="preserve"> </w:t>
      </w:r>
      <w:r w:rsidR="000A1AAE" w:rsidRPr="00537A7B">
        <w:t>2021.</w:t>
      </w:r>
      <w:r w:rsidR="00D52FD0">
        <w:t xml:space="preserve"> </w:t>
      </w:r>
      <w:r w:rsidR="000A1AAE" w:rsidRPr="00537A7B">
        <w:rPr>
          <w:lang w:eastAsia="en-GB"/>
        </w:rPr>
        <w:t>Malta</w:t>
      </w:r>
      <w:r w:rsidR="00F14DA3">
        <w:rPr>
          <w:lang w:eastAsia="en-GB"/>
        </w:rPr>
        <w:t>’</w:t>
      </w:r>
      <w:r w:rsidR="000A1AAE" w:rsidRPr="00537A7B">
        <w:rPr>
          <w:lang w:eastAsia="en-GB"/>
        </w:rPr>
        <w:t>s</w:t>
      </w:r>
      <w:r w:rsidR="00D52FD0">
        <w:rPr>
          <w:lang w:eastAsia="en-GB"/>
        </w:rPr>
        <w:t xml:space="preserve"> </w:t>
      </w:r>
      <w:r w:rsidR="000A1AAE" w:rsidRPr="00537A7B">
        <w:rPr>
          <w:lang w:eastAsia="en-GB"/>
        </w:rPr>
        <w:t>second</w:t>
      </w:r>
      <w:r w:rsidR="00D52FD0">
        <w:rPr>
          <w:lang w:eastAsia="en-GB"/>
        </w:rPr>
        <w:t xml:space="preserve"> </w:t>
      </w:r>
      <w:r w:rsidR="000A1AAE" w:rsidRPr="00537A7B">
        <w:rPr>
          <w:lang w:eastAsia="en-GB"/>
        </w:rPr>
        <w:t>strategy</w:t>
      </w:r>
      <w:r w:rsidR="00D52FD0">
        <w:rPr>
          <w:lang w:eastAsia="en-GB"/>
        </w:rPr>
        <w:t xml:space="preserve"> </w:t>
      </w:r>
      <w:r w:rsidR="000A1AAE" w:rsidRPr="00537A7B">
        <w:rPr>
          <w:lang w:eastAsia="en-GB"/>
        </w:rPr>
        <w:t>on</w:t>
      </w:r>
      <w:r w:rsidR="00D52FD0">
        <w:rPr>
          <w:lang w:eastAsia="en-GB"/>
        </w:rPr>
        <w:t xml:space="preserve"> </w:t>
      </w:r>
      <w:r w:rsidR="000A1AAE" w:rsidRPr="00537A7B">
        <w:rPr>
          <w:lang w:eastAsia="en-GB"/>
        </w:rPr>
        <w:t>gender-based</w:t>
      </w:r>
      <w:r w:rsidR="00D52FD0">
        <w:rPr>
          <w:lang w:eastAsia="en-GB"/>
        </w:rPr>
        <w:t xml:space="preserve"> </w:t>
      </w:r>
      <w:r w:rsidR="000A1AAE" w:rsidRPr="00537A7B">
        <w:rPr>
          <w:lang w:eastAsia="en-GB"/>
        </w:rPr>
        <w:t>violence</w:t>
      </w:r>
      <w:r w:rsidR="00D52FD0">
        <w:rPr>
          <w:lang w:eastAsia="en-GB"/>
        </w:rPr>
        <w:t xml:space="preserve"> </w:t>
      </w:r>
      <w:r w:rsidR="000A1AAE" w:rsidRPr="00537A7B">
        <w:rPr>
          <w:lang w:eastAsia="en-GB"/>
        </w:rPr>
        <w:t>and</w:t>
      </w:r>
      <w:r w:rsidR="00D52FD0">
        <w:rPr>
          <w:lang w:eastAsia="en-GB"/>
        </w:rPr>
        <w:t xml:space="preserve"> </w:t>
      </w:r>
      <w:r w:rsidR="000A1AAE" w:rsidRPr="00537A7B">
        <w:rPr>
          <w:lang w:eastAsia="en-GB"/>
        </w:rPr>
        <w:t>domestic</w:t>
      </w:r>
      <w:r w:rsidR="00D52FD0">
        <w:rPr>
          <w:lang w:eastAsia="en-GB"/>
        </w:rPr>
        <w:t xml:space="preserve"> </w:t>
      </w:r>
      <w:r w:rsidR="000A1AAE" w:rsidRPr="00537A7B">
        <w:rPr>
          <w:lang w:eastAsia="en-GB"/>
        </w:rPr>
        <w:t>violence</w:t>
      </w:r>
      <w:r w:rsidR="00D52FD0">
        <w:rPr>
          <w:lang w:eastAsia="en-GB"/>
        </w:rPr>
        <w:t xml:space="preserve"> </w:t>
      </w:r>
      <w:r w:rsidR="000A1AAE" w:rsidRPr="00537A7B">
        <w:rPr>
          <w:lang w:eastAsia="en-GB"/>
        </w:rPr>
        <w:t>which</w:t>
      </w:r>
      <w:r w:rsidR="00D52FD0">
        <w:rPr>
          <w:lang w:eastAsia="en-GB"/>
        </w:rPr>
        <w:t xml:space="preserve"> </w:t>
      </w:r>
      <w:r w:rsidR="000A1AAE" w:rsidRPr="00537A7B">
        <w:rPr>
          <w:lang w:eastAsia="en-GB"/>
        </w:rPr>
        <w:t>was</w:t>
      </w:r>
      <w:r w:rsidR="00D52FD0">
        <w:rPr>
          <w:lang w:eastAsia="en-GB"/>
        </w:rPr>
        <w:t xml:space="preserve"> </w:t>
      </w:r>
      <w:r w:rsidR="000A1AAE" w:rsidRPr="00537A7B">
        <w:rPr>
          <w:lang w:eastAsia="en-GB"/>
        </w:rPr>
        <w:t>launched</w:t>
      </w:r>
      <w:r w:rsidR="00D52FD0">
        <w:rPr>
          <w:lang w:eastAsia="en-GB"/>
        </w:rPr>
        <w:t xml:space="preserve"> </w:t>
      </w:r>
      <w:r w:rsidR="000A1AAE" w:rsidRPr="00537A7B">
        <w:rPr>
          <w:lang w:eastAsia="en-GB"/>
        </w:rPr>
        <w:t>in</w:t>
      </w:r>
      <w:r w:rsidR="00D52FD0">
        <w:rPr>
          <w:lang w:eastAsia="en-GB"/>
        </w:rPr>
        <w:t xml:space="preserve"> </w:t>
      </w:r>
      <w:r w:rsidR="000A1AAE" w:rsidRPr="00537A7B">
        <w:rPr>
          <w:lang w:eastAsia="en-GB"/>
        </w:rPr>
        <w:t>June</w:t>
      </w:r>
      <w:r w:rsidR="00D52FD0">
        <w:rPr>
          <w:lang w:eastAsia="en-GB"/>
        </w:rPr>
        <w:t xml:space="preserve"> </w:t>
      </w:r>
      <w:r w:rsidR="000A1AAE" w:rsidRPr="00537A7B">
        <w:rPr>
          <w:lang w:eastAsia="en-GB"/>
        </w:rPr>
        <w:t>2021.</w:t>
      </w:r>
      <w:r w:rsidR="00D52FD0">
        <w:rPr>
          <w:lang w:eastAsia="en-GB"/>
        </w:rPr>
        <w:t xml:space="preserve"> </w:t>
      </w:r>
      <w:r w:rsidR="000A1AAE" w:rsidRPr="00537A7B">
        <w:rPr>
          <w:lang w:eastAsia="en-GB"/>
        </w:rPr>
        <w:t>The</w:t>
      </w:r>
      <w:r w:rsidR="00D52FD0">
        <w:rPr>
          <w:lang w:eastAsia="en-GB"/>
        </w:rPr>
        <w:t xml:space="preserve"> </w:t>
      </w:r>
      <w:r w:rsidR="000A1AAE" w:rsidRPr="00537A7B">
        <w:rPr>
          <w:lang w:eastAsia="en-GB"/>
        </w:rPr>
        <w:t>strategy</w:t>
      </w:r>
      <w:r w:rsidR="00D52FD0">
        <w:rPr>
          <w:lang w:eastAsia="en-GB"/>
        </w:rPr>
        <w:t xml:space="preserve"> </w:t>
      </w:r>
      <w:r w:rsidR="000A1AAE" w:rsidRPr="00537A7B">
        <w:rPr>
          <w:lang w:eastAsia="en-GB"/>
        </w:rPr>
        <w:t>is</w:t>
      </w:r>
      <w:r w:rsidR="00D52FD0">
        <w:rPr>
          <w:lang w:eastAsia="en-GB"/>
        </w:rPr>
        <w:t xml:space="preserve"> </w:t>
      </w:r>
      <w:r w:rsidR="000A1AAE" w:rsidRPr="00537A7B">
        <w:rPr>
          <w:lang w:eastAsia="en-GB"/>
        </w:rPr>
        <w:t>built</w:t>
      </w:r>
      <w:r w:rsidR="00D52FD0">
        <w:rPr>
          <w:lang w:eastAsia="en-GB"/>
        </w:rPr>
        <w:t xml:space="preserve"> </w:t>
      </w:r>
      <w:r w:rsidR="000A1AAE" w:rsidRPr="00537A7B">
        <w:rPr>
          <w:lang w:eastAsia="en-GB"/>
        </w:rPr>
        <w:t>on</w:t>
      </w:r>
      <w:r w:rsidR="00D52FD0">
        <w:rPr>
          <w:lang w:eastAsia="en-GB"/>
        </w:rPr>
        <w:t xml:space="preserve"> </w:t>
      </w:r>
      <w:r w:rsidR="000A1AAE" w:rsidRPr="00537A7B">
        <w:rPr>
          <w:lang w:eastAsia="en-GB"/>
        </w:rPr>
        <w:t>the</w:t>
      </w:r>
      <w:r w:rsidR="00D52FD0">
        <w:rPr>
          <w:lang w:eastAsia="en-GB"/>
        </w:rPr>
        <w:t xml:space="preserve"> </w:t>
      </w:r>
      <w:r w:rsidR="000A1AAE" w:rsidRPr="00537A7B">
        <w:rPr>
          <w:lang w:eastAsia="en-GB"/>
        </w:rPr>
        <w:t>4</w:t>
      </w:r>
      <w:r w:rsidR="00D52FD0">
        <w:rPr>
          <w:lang w:eastAsia="en-GB"/>
        </w:rPr>
        <w:t xml:space="preserve"> </w:t>
      </w:r>
      <w:r w:rsidR="000A1AAE" w:rsidRPr="00537A7B">
        <w:rPr>
          <w:lang w:eastAsia="en-GB"/>
        </w:rPr>
        <w:t>pillars</w:t>
      </w:r>
      <w:r w:rsidR="00D52FD0">
        <w:rPr>
          <w:lang w:eastAsia="en-GB"/>
        </w:rPr>
        <w:t xml:space="preserve"> </w:t>
      </w:r>
      <w:r w:rsidR="000A1AAE" w:rsidRPr="00537A7B">
        <w:rPr>
          <w:lang w:eastAsia="en-GB"/>
        </w:rPr>
        <w:t>of</w:t>
      </w:r>
      <w:r w:rsidR="00D52FD0">
        <w:rPr>
          <w:lang w:eastAsia="en-GB"/>
        </w:rPr>
        <w:t xml:space="preserve"> </w:t>
      </w:r>
      <w:r w:rsidR="000A1AAE" w:rsidRPr="00537A7B">
        <w:rPr>
          <w:lang w:eastAsia="en-GB"/>
        </w:rPr>
        <w:t>the</w:t>
      </w:r>
      <w:r w:rsidR="00D52FD0">
        <w:rPr>
          <w:lang w:eastAsia="en-GB"/>
        </w:rPr>
        <w:t xml:space="preserve"> </w:t>
      </w:r>
      <w:r w:rsidR="000A1AAE" w:rsidRPr="00537A7B">
        <w:rPr>
          <w:lang w:eastAsia="en-GB"/>
        </w:rPr>
        <w:t>Istanbul</w:t>
      </w:r>
      <w:r w:rsidR="00D52FD0">
        <w:rPr>
          <w:lang w:eastAsia="en-GB"/>
        </w:rPr>
        <w:t xml:space="preserve"> </w:t>
      </w:r>
      <w:r w:rsidR="000A1AAE" w:rsidRPr="00537A7B">
        <w:rPr>
          <w:lang w:eastAsia="en-GB"/>
        </w:rPr>
        <w:t>Convention</w:t>
      </w:r>
      <w:r w:rsidR="00D52FD0">
        <w:rPr>
          <w:lang w:eastAsia="en-GB"/>
        </w:rPr>
        <w:t xml:space="preserve"> </w:t>
      </w:r>
      <w:r w:rsidR="000A1AAE" w:rsidRPr="00537A7B">
        <w:rPr>
          <w:lang w:eastAsia="en-GB"/>
        </w:rPr>
        <w:t>namely:</w:t>
      </w:r>
      <w:r w:rsidR="00D52FD0">
        <w:rPr>
          <w:lang w:eastAsia="en-GB"/>
        </w:rPr>
        <w:t xml:space="preserve"> </w:t>
      </w:r>
      <w:r w:rsidR="000A1AAE" w:rsidRPr="00537A7B">
        <w:rPr>
          <w:lang w:eastAsia="en-GB"/>
        </w:rPr>
        <w:t>Prevention,</w:t>
      </w:r>
      <w:r w:rsidR="00D52FD0">
        <w:rPr>
          <w:lang w:eastAsia="en-GB"/>
        </w:rPr>
        <w:t xml:space="preserve"> </w:t>
      </w:r>
      <w:r w:rsidR="000A1AAE" w:rsidRPr="00537A7B">
        <w:rPr>
          <w:lang w:eastAsia="en-GB"/>
        </w:rPr>
        <w:t>Protection,</w:t>
      </w:r>
      <w:r w:rsidR="00D52FD0">
        <w:rPr>
          <w:lang w:eastAsia="en-GB"/>
        </w:rPr>
        <w:t xml:space="preserve"> </w:t>
      </w:r>
      <w:r w:rsidR="000A1AAE" w:rsidRPr="00537A7B">
        <w:rPr>
          <w:lang w:eastAsia="en-GB"/>
        </w:rPr>
        <w:t>Prosecution</w:t>
      </w:r>
      <w:r w:rsidR="00D52FD0">
        <w:rPr>
          <w:lang w:eastAsia="en-GB"/>
        </w:rPr>
        <w:t xml:space="preserve"> </w:t>
      </w:r>
      <w:r w:rsidR="000A1AAE" w:rsidRPr="00537A7B">
        <w:rPr>
          <w:lang w:eastAsia="en-GB"/>
        </w:rPr>
        <w:t>and</w:t>
      </w:r>
      <w:r w:rsidR="00D52FD0">
        <w:rPr>
          <w:lang w:eastAsia="en-GB"/>
        </w:rPr>
        <w:t xml:space="preserve"> </w:t>
      </w:r>
      <w:r w:rsidR="000A1AAE" w:rsidRPr="00537A7B">
        <w:rPr>
          <w:lang w:eastAsia="en-GB"/>
        </w:rPr>
        <w:t>Integrated</w:t>
      </w:r>
      <w:r w:rsidR="00D52FD0">
        <w:rPr>
          <w:lang w:eastAsia="en-GB"/>
        </w:rPr>
        <w:t xml:space="preserve"> </w:t>
      </w:r>
      <w:r w:rsidR="000A1AAE" w:rsidRPr="00537A7B">
        <w:rPr>
          <w:lang w:eastAsia="en-GB"/>
        </w:rPr>
        <w:t>Policies.</w:t>
      </w:r>
      <w:r w:rsidR="00D52FD0">
        <w:rPr>
          <w:lang w:eastAsia="en-GB"/>
        </w:rPr>
        <w:t xml:space="preserve"> </w:t>
      </w:r>
      <w:r w:rsidR="000A1AAE" w:rsidRPr="00537A7B">
        <w:rPr>
          <w:lang w:eastAsia="en-GB"/>
        </w:rPr>
        <w:t>It</w:t>
      </w:r>
      <w:r w:rsidR="00D52FD0">
        <w:rPr>
          <w:lang w:eastAsia="en-GB"/>
        </w:rPr>
        <w:t xml:space="preserve"> </w:t>
      </w:r>
      <w:r w:rsidR="000A1AAE" w:rsidRPr="00537A7B">
        <w:rPr>
          <w:lang w:eastAsia="en-GB"/>
        </w:rPr>
        <w:t>also</w:t>
      </w:r>
      <w:r w:rsidR="00D52FD0">
        <w:rPr>
          <w:lang w:eastAsia="en-GB"/>
        </w:rPr>
        <w:t xml:space="preserve"> </w:t>
      </w:r>
      <w:r w:rsidR="000A1AAE" w:rsidRPr="00537A7B">
        <w:rPr>
          <w:lang w:eastAsia="en-GB"/>
        </w:rPr>
        <w:t>aims</w:t>
      </w:r>
      <w:r w:rsidR="00D52FD0">
        <w:rPr>
          <w:lang w:eastAsia="en-GB"/>
        </w:rPr>
        <w:t xml:space="preserve"> </w:t>
      </w:r>
      <w:r w:rsidR="000A1AAE" w:rsidRPr="00537A7B">
        <w:rPr>
          <w:lang w:eastAsia="en-GB"/>
        </w:rPr>
        <w:t>at</w:t>
      </w:r>
      <w:r w:rsidR="00D52FD0">
        <w:rPr>
          <w:lang w:eastAsia="en-GB"/>
        </w:rPr>
        <w:t xml:space="preserve"> </w:t>
      </w:r>
      <w:r w:rsidR="000A1AAE" w:rsidRPr="00537A7B">
        <w:rPr>
          <w:lang w:eastAsia="en-GB"/>
        </w:rPr>
        <w:t>implementing</w:t>
      </w:r>
      <w:r w:rsidR="00D52FD0">
        <w:rPr>
          <w:lang w:eastAsia="en-GB"/>
        </w:rPr>
        <w:t xml:space="preserve"> </w:t>
      </w:r>
      <w:r w:rsidR="000A1AAE" w:rsidRPr="00537A7B">
        <w:rPr>
          <w:lang w:eastAsia="en-GB"/>
        </w:rPr>
        <w:t>recommendations</w:t>
      </w:r>
      <w:r w:rsidR="00D52FD0">
        <w:rPr>
          <w:lang w:eastAsia="en-GB"/>
        </w:rPr>
        <w:t xml:space="preserve"> </w:t>
      </w:r>
      <w:r w:rsidR="000A1AAE" w:rsidRPr="00537A7B">
        <w:rPr>
          <w:lang w:eastAsia="en-GB"/>
        </w:rPr>
        <w:t>emanating</w:t>
      </w:r>
      <w:r w:rsidR="00D52FD0">
        <w:rPr>
          <w:lang w:eastAsia="en-GB"/>
        </w:rPr>
        <w:t xml:space="preserve"> </w:t>
      </w:r>
      <w:r w:rsidR="000A1AAE" w:rsidRPr="00537A7B">
        <w:rPr>
          <w:lang w:eastAsia="en-GB"/>
        </w:rPr>
        <w:t>from</w:t>
      </w:r>
      <w:r w:rsidR="00D52FD0">
        <w:rPr>
          <w:lang w:eastAsia="en-GB"/>
        </w:rPr>
        <w:t xml:space="preserve"> </w:t>
      </w:r>
      <w:r w:rsidR="000A1AAE" w:rsidRPr="00537A7B">
        <w:rPr>
          <w:lang w:eastAsia="en-GB"/>
        </w:rPr>
        <w:t>the</w:t>
      </w:r>
      <w:r w:rsidR="00D52FD0">
        <w:rPr>
          <w:lang w:eastAsia="en-GB"/>
        </w:rPr>
        <w:t xml:space="preserve"> </w:t>
      </w:r>
      <w:r w:rsidR="000A1AAE" w:rsidRPr="00537A7B">
        <w:rPr>
          <w:lang w:eastAsia="en-GB"/>
        </w:rPr>
        <w:t>GREVIO</w:t>
      </w:r>
      <w:r w:rsidR="00D52FD0">
        <w:rPr>
          <w:lang w:eastAsia="en-GB"/>
        </w:rPr>
        <w:t xml:space="preserve"> </w:t>
      </w:r>
      <w:r w:rsidR="000A1AAE" w:rsidRPr="00537A7B">
        <w:rPr>
          <w:lang w:eastAsia="en-GB"/>
        </w:rPr>
        <w:t>report.</w:t>
      </w:r>
    </w:p>
    <w:p w14:paraId="1CFFBD42" w14:textId="65A715C5" w:rsidR="000A1AAE" w:rsidRDefault="000A1AAE" w:rsidP="00196329">
      <w:pPr>
        <w:pStyle w:val="H23G"/>
        <w:rPr>
          <w:rFonts w:eastAsia="Calibri"/>
        </w:rPr>
      </w:pPr>
      <w:r>
        <w:tab/>
      </w:r>
      <w:r>
        <w:tab/>
      </w:r>
      <w:r w:rsidRPr="00504902">
        <w:t>Reply</w:t>
      </w:r>
      <w:r w:rsidR="00D52FD0">
        <w:t xml:space="preserve"> </w:t>
      </w:r>
      <w:r w:rsidRPr="00504902">
        <w:t>to</w:t>
      </w:r>
      <w:r w:rsidR="00D52FD0">
        <w:t xml:space="preserve"> </w:t>
      </w:r>
      <w:r w:rsidRPr="00504902">
        <w:t>paragraph</w:t>
      </w:r>
      <w:r w:rsidR="00D52FD0">
        <w:t xml:space="preserve"> </w:t>
      </w:r>
      <w:r>
        <w:t>10</w:t>
      </w:r>
      <w:r w:rsidR="00D52FD0">
        <w:t xml:space="preserve"> </w:t>
      </w:r>
      <w:r w:rsidRPr="00504902">
        <w:t>of</w:t>
      </w:r>
      <w:r w:rsidR="00D52FD0">
        <w:t xml:space="preserve"> </w:t>
      </w:r>
      <w:r w:rsidRPr="00504902">
        <w:t>the</w:t>
      </w:r>
      <w:r w:rsidR="00D52FD0">
        <w:t xml:space="preserve"> </w:t>
      </w:r>
      <w:r w:rsidRPr="00504902">
        <w:t>list</w:t>
      </w:r>
      <w:r w:rsidR="00D52FD0">
        <w:t xml:space="preserve"> </w:t>
      </w:r>
      <w:r w:rsidRPr="00504902">
        <w:t>of</w:t>
      </w:r>
      <w:r w:rsidR="00D52FD0">
        <w:t xml:space="preserve"> </w:t>
      </w:r>
      <w:r w:rsidRPr="00504902">
        <w:t>issues</w:t>
      </w:r>
    </w:p>
    <w:p w14:paraId="21AA4263" w14:textId="13982214" w:rsidR="000E4FD0" w:rsidRDefault="0044637E" w:rsidP="0044637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>
        <w:t>145.</w:t>
      </w:r>
      <w:r>
        <w:tab/>
      </w:r>
      <w:r w:rsidR="000A1AAE" w:rsidRPr="00A841AA">
        <w:t>As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April</w:t>
      </w:r>
      <w:r w:rsidR="00D52FD0">
        <w:t xml:space="preserve"> </w:t>
      </w:r>
      <w:r w:rsidR="000A1AAE" w:rsidRPr="00A841AA">
        <w:t>2020,</w:t>
      </w:r>
      <w:r w:rsidR="00D52FD0">
        <w:t xml:space="preserve"> </w:t>
      </w:r>
      <w:r w:rsidR="000A1AAE" w:rsidRPr="00A841AA">
        <w:t>Legal</w:t>
      </w:r>
      <w:r w:rsidR="00D52FD0">
        <w:t xml:space="preserve"> </w:t>
      </w:r>
      <w:r w:rsidR="000A1AAE" w:rsidRPr="00A841AA">
        <w:t>Aid</w:t>
      </w:r>
      <w:r w:rsidR="00D52FD0">
        <w:t xml:space="preserve"> </w:t>
      </w:r>
      <w:r w:rsidR="000A1AAE" w:rsidRPr="00A841AA">
        <w:t>Malta</w:t>
      </w:r>
      <w:r w:rsidR="00D52FD0">
        <w:t xml:space="preserve"> </w:t>
      </w:r>
      <w:r w:rsidR="000A1AAE" w:rsidRPr="00A841AA">
        <w:t>has</w:t>
      </w:r>
      <w:r w:rsidR="00D52FD0">
        <w:t xml:space="preserve"> </w:t>
      </w:r>
      <w:r w:rsidR="000A1AAE" w:rsidRPr="00A841AA">
        <w:t>initiated</w:t>
      </w:r>
      <w:r w:rsidR="00D52FD0">
        <w:t xml:space="preserve"> </w:t>
      </w:r>
      <w:r w:rsidR="000A1AAE" w:rsidRPr="00A841AA">
        <w:t>a</w:t>
      </w:r>
      <w:r w:rsidR="00D52FD0">
        <w:t xml:space="preserve"> </w:t>
      </w:r>
      <w:r w:rsidR="000A1AAE" w:rsidRPr="00A841AA">
        <w:t>24-hour</w:t>
      </w:r>
      <w:r w:rsidR="00D52FD0">
        <w:t xml:space="preserve"> </w:t>
      </w:r>
      <w:r w:rsidR="000A1AAE" w:rsidRPr="00A841AA">
        <w:t>service</w:t>
      </w:r>
      <w:r w:rsidR="00D52FD0">
        <w:t xml:space="preserve"> </w:t>
      </w:r>
      <w:r w:rsidR="000A1AAE" w:rsidRPr="00A841AA">
        <w:t>for</w:t>
      </w:r>
      <w:r w:rsidR="00D52FD0">
        <w:t xml:space="preserve"> </w:t>
      </w:r>
      <w:r w:rsidR="000A1AAE" w:rsidRPr="00A841AA">
        <w:t>legal</w:t>
      </w:r>
      <w:r w:rsidR="00D52FD0">
        <w:t xml:space="preserve"> </w:t>
      </w:r>
      <w:r w:rsidR="000A1AAE" w:rsidRPr="00A841AA">
        <w:t>aid</w:t>
      </w:r>
      <w:r w:rsidR="00D52FD0">
        <w:t xml:space="preserve"> </w:t>
      </w:r>
      <w:r w:rsidR="000A1AAE" w:rsidRPr="00A841AA">
        <w:t>advice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victims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domestic</w:t>
      </w:r>
      <w:r w:rsidR="00D52FD0">
        <w:t xml:space="preserve"> </w:t>
      </w:r>
      <w:r w:rsidR="000A1AAE" w:rsidRPr="00A841AA">
        <w:t>violence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specially</w:t>
      </w:r>
      <w:r w:rsidR="00D52FD0">
        <w:t xml:space="preserve"> </w:t>
      </w:r>
      <w:r w:rsidR="000A1AAE" w:rsidRPr="00A841AA">
        <w:t>trained</w:t>
      </w:r>
      <w:r w:rsidR="00D52FD0">
        <w:t xml:space="preserve"> </w:t>
      </w:r>
      <w:r w:rsidR="000A1AAE" w:rsidRPr="00A841AA">
        <w:t>lawyers</w:t>
      </w:r>
      <w:r w:rsidR="00D52FD0">
        <w:t xml:space="preserve"> </w:t>
      </w:r>
      <w:r w:rsidR="000A1AAE" w:rsidRPr="00A841AA">
        <w:t>were</w:t>
      </w:r>
      <w:r w:rsidR="00D52FD0">
        <w:t xml:space="preserve"> </w:t>
      </w:r>
      <w:r w:rsidR="000A1AAE" w:rsidRPr="00A841AA">
        <w:t>recruited</w:t>
      </w:r>
      <w:r w:rsidR="00D52FD0">
        <w:t xml:space="preserve"> </w:t>
      </w:r>
      <w:r w:rsidR="000A1AAE" w:rsidRPr="00A841AA">
        <w:t>by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same</w:t>
      </w:r>
      <w:r w:rsidR="00D52FD0">
        <w:t xml:space="preserve"> </w:t>
      </w:r>
      <w:r w:rsidR="000A1AAE" w:rsidRPr="00A841AA">
        <w:t>Agency</w:t>
      </w:r>
      <w:r w:rsidR="00D52FD0">
        <w:t xml:space="preserve"> </w:t>
      </w:r>
      <w:r w:rsidR="000A1AAE" w:rsidRPr="00A841AA">
        <w:t>for</w:t>
      </w:r>
      <w:r w:rsidR="00D52FD0">
        <w:t xml:space="preserve"> </w:t>
      </w:r>
      <w:r w:rsidR="000A1AAE" w:rsidRPr="00A841AA">
        <w:t>this</w:t>
      </w:r>
      <w:r w:rsidR="00D52FD0">
        <w:t xml:space="preserve"> </w:t>
      </w:r>
      <w:r w:rsidR="000A1AAE" w:rsidRPr="00A841AA">
        <w:t>purpose.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service</w:t>
      </w:r>
      <w:r w:rsidR="00D52FD0">
        <w:t xml:space="preserve"> </w:t>
      </w:r>
      <w:r w:rsidR="000A1AAE" w:rsidRPr="00A841AA">
        <w:t>has</w:t>
      </w:r>
      <w:r w:rsidR="00D52FD0">
        <w:t xml:space="preserve"> </w:t>
      </w:r>
      <w:r w:rsidR="000A1AAE" w:rsidRPr="00A841AA">
        <w:t>also</w:t>
      </w:r>
      <w:r w:rsidR="00D52FD0">
        <w:t xml:space="preserve"> </w:t>
      </w:r>
      <w:r w:rsidR="000A1AAE" w:rsidRPr="00A841AA">
        <w:t>been</w:t>
      </w:r>
      <w:r w:rsidR="00D52FD0">
        <w:t xml:space="preserve"> </w:t>
      </w:r>
      <w:r w:rsidR="000A1AAE" w:rsidRPr="00A841AA">
        <w:t>extended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a</w:t>
      </w:r>
      <w:r w:rsidR="00D52FD0">
        <w:t xml:space="preserve"> </w:t>
      </w:r>
      <w:r w:rsidR="000A1AAE" w:rsidRPr="00A841AA">
        <w:t>24-hour</w:t>
      </w:r>
      <w:r w:rsidR="00D52FD0">
        <w:t xml:space="preserve"> </w:t>
      </w:r>
      <w:r w:rsidR="000A1AAE" w:rsidRPr="00A841AA">
        <w:t>basis.</w:t>
      </w:r>
      <w:r w:rsidR="00D52FD0">
        <w:t xml:space="preserve"> </w:t>
      </w:r>
      <w:r w:rsidR="000A1AAE" w:rsidRPr="00A841AA">
        <w:t>Legal</w:t>
      </w:r>
      <w:r w:rsidR="00D52FD0">
        <w:t xml:space="preserve"> </w:t>
      </w:r>
      <w:r w:rsidR="000A1AAE" w:rsidRPr="00A841AA">
        <w:t>Aid</w:t>
      </w:r>
      <w:r w:rsidR="00D52FD0">
        <w:t xml:space="preserve"> </w:t>
      </w:r>
      <w:r w:rsidR="000A1AAE" w:rsidRPr="00A841AA">
        <w:t>Malta,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collaboration</w:t>
      </w:r>
      <w:r w:rsidR="00D52FD0">
        <w:t xml:space="preserve"> </w:t>
      </w:r>
      <w:r w:rsidR="000A1AAE" w:rsidRPr="00A841AA">
        <w:t>with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Police</w:t>
      </w:r>
      <w:r w:rsidR="00D52FD0">
        <w:t xml:space="preserve"> </w:t>
      </w:r>
      <w:r w:rsidR="000A1AAE" w:rsidRPr="00A841AA">
        <w:t>Victim</w:t>
      </w:r>
      <w:r w:rsidR="00D52FD0">
        <w:t xml:space="preserve"> </w:t>
      </w:r>
      <w:r w:rsidR="000A1AAE" w:rsidRPr="00A841AA">
        <w:t>Support</w:t>
      </w:r>
      <w:r w:rsidR="00D52FD0">
        <w:t xml:space="preserve"> </w:t>
      </w:r>
      <w:r w:rsidR="000A1AAE" w:rsidRPr="00A841AA">
        <w:t>Unit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Aġenzija</w:t>
      </w:r>
      <w:r w:rsidR="00D52FD0">
        <w:t xml:space="preserve"> </w:t>
      </w:r>
      <w:r w:rsidR="000A1AAE" w:rsidRPr="00A841AA">
        <w:t>Appoġġ,</w:t>
      </w:r>
      <w:r w:rsidR="00D52FD0">
        <w:t xml:space="preserve"> </w:t>
      </w:r>
      <w:r w:rsidR="000A1AAE" w:rsidRPr="00A841AA">
        <w:t>has</w:t>
      </w:r>
      <w:r w:rsidR="00D52FD0">
        <w:t xml:space="preserve"> </w:t>
      </w:r>
      <w:r w:rsidR="000A1AAE" w:rsidRPr="00A841AA">
        <w:t>drawn</w:t>
      </w:r>
      <w:r w:rsidR="00D52FD0">
        <w:t xml:space="preserve"> </w:t>
      </w:r>
      <w:r w:rsidR="000A1AAE" w:rsidRPr="00A841AA">
        <w:t>standard</w:t>
      </w:r>
      <w:r w:rsidR="00D52FD0">
        <w:t xml:space="preserve"> </w:t>
      </w:r>
      <w:r w:rsidR="000A1AAE" w:rsidRPr="00A841AA">
        <w:t>operational</w:t>
      </w:r>
      <w:r w:rsidR="00D52FD0">
        <w:t xml:space="preserve"> </w:t>
      </w:r>
      <w:r w:rsidR="000A1AAE" w:rsidRPr="00A841AA">
        <w:t>procedures</w:t>
      </w:r>
      <w:r w:rsidR="00D52FD0">
        <w:t xml:space="preserve"> </w:t>
      </w:r>
      <w:r w:rsidR="000A1AAE" w:rsidRPr="00A841AA">
        <w:t>which</w:t>
      </w:r>
      <w:r w:rsidR="00D52FD0">
        <w:t xml:space="preserve"> </w:t>
      </w:r>
      <w:r w:rsidR="000A1AAE" w:rsidRPr="00A841AA">
        <w:t>have</w:t>
      </w:r>
      <w:r w:rsidR="00D52FD0">
        <w:t xml:space="preserve"> </w:t>
      </w:r>
      <w:r w:rsidR="000A1AAE" w:rsidRPr="00A841AA">
        <w:t>been</w:t>
      </w:r>
      <w:r w:rsidR="00D52FD0">
        <w:t xml:space="preserve"> </w:t>
      </w:r>
      <w:r w:rsidR="000A1AAE" w:rsidRPr="00A841AA">
        <w:t>implemented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enforce</w:t>
      </w:r>
      <w:r w:rsidR="00D52FD0">
        <w:t xml:space="preserve"> </w:t>
      </w:r>
      <w:r w:rsidR="000A1AAE" w:rsidRPr="00A841AA">
        <w:t>standard</w:t>
      </w:r>
      <w:r w:rsidR="00D52FD0">
        <w:t xml:space="preserve"> </w:t>
      </w:r>
      <w:r w:rsidR="000A1AAE" w:rsidRPr="00A841AA">
        <w:t>professional</w:t>
      </w:r>
      <w:r w:rsidR="00D52FD0">
        <w:t xml:space="preserve"> </w:t>
      </w:r>
      <w:r w:rsidR="000A1AAE" w:rsidRPr="00A841AA">
        <w:t>services</w:t>
      </w:r>
      <w:r w:rsidR="00D52FD0">
        <w:t xml:space="preserve"> </w:t>
      </w:r>
      <w:r w:rsidR="000A1AAE" w:rsidRPr="00A841AA">
        <w:t>across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entities</w:t>
      </w:r>
      <w:r w:rsidR="00D52FD0">
        <w:t xml:space="preserve"> </w:t>
      </w:r>
      <w:r w:rsidR="000A1AAE" w:rsidRPr="00A841AA">
        <w:t>involved.</w:t>
      </w:r>
    </w:p>
    <w:p w14:paraId="64DD5F1E" w14:textId="3DA59028" w:rsidR="000A1AAE" w:rsidRPr="00A841AA" w:rsidRDefault="0044637E" w:rsidP="0044637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841AA">
        <w:t>146.</w:t>
      </w:r>
      <w:r w:rsidRPr="00A841AA">
        <w:tab/>
      </w:r>
      <w:r w:rsidR="000A1AAE" w:rsidRPr="00A841AA">
        <w:t>The</w:t>
      </w:r>
      <w:r w:rsidR="00D52FD0">
        <w:t xml:space="preserve"> </w:t>
      </w:r>
      <w:r w:rsidR="000A1AAE" w:rsidRPr="00A841AA">
        <w:t>Police</w:t>
      </w:r>
      <w:r w:rsidR="00D52FD0">
        <w:t xml:space="preserve"> </w:t>
      </w:r>
      <w:r w:rsidR="000A1AAE" w:rsidRPr="00A841AA">
        <w:t>Victim</w:t>
      </w:r>
      <w:r w:rsidR="00D52FD0">
        <w:t xml:space="preserve"> </w:t>
      </w:r>
      <w:r w:rsidR="000A1AAE" w:rsidRPr="00A841AA">
        <w:t>Support</w:t>
      </w:r>
      <w:r w:rsidR="00D52FD0">
        <w:t xml:space="preserve"> </w:t>
      </w:r>
      <w:r w:rsidR="000A1AAE" w:rsidRPr="00A841AA">
        <w:t>Unit</w:t>
      </w:r>
      <w:r w:rsidR="00D52FD0">
        <w:t xml:space="preserve"> </w:t>
      </w:r>
      <w:r w:rsidR="000A1AAE" w:rsidRPr="00A841AA">
        <w:t>is</w:t>
      </w:r>
      <w:r w:rsidR="00D52FD0">
        <w:t xml:space="preserve"> </w:t>
      </w:r>
      <w:r w:rsidR="000A1AAE" w:rsidRPr="00A841AA">
        <w:t>a</w:t>
      </w:r>
      <w:r w:rsidR="00D52FD0">
        <w:t xml:space="preserve"> </w:t>
      </w:r>
      <w:r w:rsidR="000A1AAE" w:rsidRPr="00A841AA">
        <w:t>centralised</w:t>
      </w:r>
      <w:r w:rsidR="00D52FD0">
        <w:t xml:space="preserve"> </w:t>
      </w:r>
      <w:r w:rsidR="000A1AAE" w:rsidRPr="00A841AA">
        <w:t>office</w:t>
      </w:r>
      <w:r w:rsidR="00D52FD0">
        <w:t xml:space="preserve"> </w:t>
      </w:r>
      <w:r w:rsidR="000A1AAE" w:rsidRPr="00A841AA">
        <w:t>investigating</w:t>
      </w:r>
      <w:r w:rsidR="00D52FD0">
        <w:t xml:space="preserve"> </w:t>
      </w:r>
      <w:r w:rsidR="000A1AAE" w:rsidRPr="00A841AA">
        <w:t>GBDV</w:t>
      </w:r>
      <w:r w:rsidR="00D52FD0">
        <w:t xml:space="preserve"> </w:t>
      </w:r>
      <w:r w:rsidR="000A1AAE" w:rsidRPr="00A841AA">
        <w:t>cases,</w:t>
      </w:r>
      <w:r w:rsidR="00D52FD0">
        <w:t xml:space="preserve"> </w:t>
      </w:r>
      <w:r w:rsidR="000A1AAE" w:rsidRPr="00A841AA">
        <w:t>where</w:t>
      </w:r>
      <w:r w:rsidR="00D52FD0">
        <w:t xml:space="preserve"> </w:t>
      </w:r>
      <w:r w:rsidR="000A1AAE" w:rsidRPr="00A841AA">
        <w:t>all</w:t>
      </w:r>
      <w:r w:rsidR="00D52FD0">
        <w:t xml:space="preserve"> </w:t>
      </w:r>
      <w:r w:rsidR="000A1AAE" w:rsidRPr="00A841AA">
        <w:t>officers</w:t>
      </w:r>
      <w:r w:rsidR="00D52FD0">
        <w:t xml:space="preserve"> </w:t>
      </w:r>
      <w:r w:rsidR="000A1AAE" w:rsidRPr="00A841AA">
        <w:t>are</w:t>
      </w:r>
      <w:r w:rsidR="00D52FD0">
        <w:t xml:space="preserve"> </w:t>
      </w:r>
      <w:r w:rsidR="000A1AAE" w:rsidRPr="00A841AA">
        <w:t>specialised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given</w:t>
      </w:r>
      <w:r w:rsidR="00D52FD0">
        <w:t xml:space="preserve"> </w:t>
      </w:r>
      <w:r w:rsidR="000A1AAE" w:rsidRPr="00A841AA">
        <w:t>training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that</w:t>
      </w:r>
      <w:r w:rsidR="00D52FD0">
        <w:t xml:space="preserve"> </w:t>
      </w:r>
      <w:r w:rsidR="000A1AAE" w:rsidRPr="00A841AA">
        <w:t>type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crime,</w:t>
      </w:r>
      <w:r w:rsidR="00D52FD0">
        <w:t xml:space="preserve"> </w:t>
      </w:r>
      <w:r w:rsidR="000A1AAE" w:rsidRPr="00A841AA">
        <w:t>therefore</w:t>
      </w:r>
      <w:r w:rsidR="00D52FD0">
        <w:t xml:space="preserve"> </w:t>
      </w:r>
      <w:r w:rsidR="000A1AAE" w:rsidRPr="00A841AA">
        <w:t>making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victims</w:t>
      </w:r>
      <w:r w:rsidR="00D52FD0">
        <w:t xml:space="preserve"> </w:t>
      </w:r>
      <w:r w:rsidR="000A1AAE" w:rsidRPr="00A841AA">
        <w:t>feel</w:t>
      </w:r>
      <w:r w:rsidR="00D52FD0">
        <w:t xml:space="preserve"> </w:t>
      </w:r>
      <w:r w:rsidR="000A1AAE" w:rsidRPr="00A841AA">
        <w:t>more</w:t>
      </w:r>
      <w:r w:rsidR="00D52FD0">
        <w:t xml:space="preserve"> </w:t>
      </w:r>
      <w:r w:rsidR="000A1AAE" w:rsidRPr="00A841AA">
        <w:t>at</w:t>
      </w:r>
      <w:r w:rsidR="00D52FD0">
        <w:t xml:space="preserve"> </w:t>
      </w:r>
      <w:r w:rsidR="000A1AAE" w:rsidRPr="00A841AA">
        <w:t>ease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comfortable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report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crime.</w:t>
      </w:r>
      <w:r w:rsidR="00D52FD0">
        <w:t xml:space="preserve"> </w:t>
      </w:r>
      <w:r w:rsidR="000A1AAE" w:rsidRPr="00A841AA">
        <w:t>Victims</w:t>
      </w:r>
      <w:r w:rsidR="00D52FD0">
        <w:t xml:space="preserve"> </w:t>
      </w:r>
      <w:r w:rsidR="000A1AAE" w:rsidRPr="00A841AA">
        <w:t>are</w:t>
      </w:r>
      <w:r w:rsidR="00D52FD0">
        <w:t xml:space="preserve"> </w:t>
      </w:r>
      <w:r w:rsidR="000A1AAE" w:rsidRPr="00A841AA">
        <w:t>offered</w:t>
      </w:r>
      <w:r w:rsidR="00D52FD0">
        <w:t xml:space="preserve"> </w:t>
      </w:r>
      <w:r w:rsidR="000A1AAE" w:rsidRPr="00A841AA">
        <w:t>transportation</w:t>
      </w:r>
      <w:r w:rsidR="00D52FD0">
        <w:t xml:space="preserve"> </w:t>
      </w:r>
      <w:r w:rsidR="000A1AAE" w:rsidRPr="00A841AA">
        <w:t>when</w:t>
      </w:r>
      <w:r w:rsidR="00D52FD0">
        <w:t xml:space="preserve"> </w:t>
      </w:r>
      <w:r w:rsidR="000A1AAE" w:rsidRPr="00A841AA">
        <w:t>they</w:t>
      </w:r>
      <w:r w:rsidR="00D52FD0">
        <w:t xml:space="preserve"> </w:t>
      </w:r>
      <w:r w:rsidR="000A1AAE" w:rsidRPr="00A841AA">
        <w:t>do</w:t>
      </w:r>
      <w:r w:rsidR="00D52FD0">
        <w:t xml:space="preserve"> </w:t>
      </w:r>
      <w:r w:rsidR="000A1AAE" w:rsidRPr="00A841AA">
        <w:t>not</w:t>
      </w:r>
      <w:r w:rsidR="00D52FD0">
        <w:t xml:space="preserve"> </w:t>
      </w:r>
      <w:r w:rsidR="000A1AAE" w:rsidRPr="00A841AA">
        <w:t>have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means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arrive</w:t>
      </w:r>
      <w:r w:rsidR="00D52FD0">
        <w:t xml:space="preserve"> </w:t>
      </w:r>
      <w:r w:rsidR="000A1AAE" w:rsidRPr="00A841AA">
        <w:t>at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police</w:t>
      </w:r>
      <w:r w:rsidR="00D52FD0">
        <w:t xml:space="preserve"> </w:t>
      </w:r>
      <w:r w:rsidR="000A1AAE" w:rsidRPr="00A841AA">
        <w:t>headquarters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report</w:t>
      </w:r>
      <w:r w:rsidR="00D52FD0">
        <w:t xml:space="preserve"> </w:t>
      </w:r>
      <w:r w:rsidR="000A1AAE" w:rsidRPr="00A841AA">
        <w:t>a</w:t>
      </w:r>
      <w:r w:rsidR="00D52FD0">
        <w:t xml:space="preserve"> </w:t>
      </w:r>
      <w:r w:rsidR="000A1AAE" w:rsidRPr="00A841AA">
        <w:t>crime.</w:t>
      </w:r>
      <w:r w:rsidR="00D52FD0">
        <w:t xml:space="preserve"> </w:t>
      </w:r>
      <w:r w:rsidR="000A1AAE" w:rsidRPr="00A841AA">
        <w:t>Moreover,</w:t>
      </w:r>
      <w:r w:rsidR="00D52FD0">
        <w:t xml:space="preserve"> </w:t>
      </w:r>
      <w:r w:rsidR="000A1AAE" w:rsidRPr="00A841AA">
        <w:t>emotional</w:t>
      </w:r>
      <w:r w:rsidR="00D52FD0">
        <w:t xml:space="preserve"> </w:t>
      </w:r>
      <w:r w:rsidR="000A1AAE" w:rsidRPr="00A841AA">
        <w:t>support</w:t>
      </w:r>
      <w:r w:rsidR="00D52FD0">
        <w:t xml:space="preserve"> </w:t>
      </w:r>
      <w:r w:rsidR="000A1AAE" w:rsidRPr="00A841AA">
        <w:t>is</w:t>
      </w:r>
      <w:r w:rsidR="00D52FD0">
        <w:t xml:space="preserve"> </w:t>
      </w:r>
      <w:r w:rsidR="000A1AAE" w:rsidRPr="00A841AA">
        <w:t>also</w:t>
      </w:r>
      <w:r w:rsidR="00D52FD0">
        <w:t xml:space="preserve"> </w:t>
      </w:r>
      <w:r w:rsidR="000A1AAE" w:rsidRPr="00A841AA">
        <w:t>offered.</w:t>
      </w:r>
    </w:p>
    <w:p w14:paraId="1B96FA76" w14:textId="60D3EFDB" w:rsidR="000A1AAE" w:rsidRPr="00A841AA" w:rsidRDefault="0044637E" w:rsidP="0044637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841AA">
        <w:t>147.</w:t>
      </w:r>
      <w:r w:rsidRPr="00A841AA">
        <w:tab/>
      </w:r>
      <w:r w:rsidR="000A1AAE" w:rsidRPr="00A841AA">
        <w:t>Moreover,</w:t>
      </w:r>
      <w:r w:rsidR="00D52FD0">
        <w:t xml:space="preserve"> </w:t>
      </w:r>
      <w:r w:rsidR="000A1AAE" w:rsidRPr="00A841AA">
        <w:t>these</w:t>
      </w:r>
      <w:r w:rsidR="00D52FD0">
        <w:t xml:space="preserve"> </w:t>
      </w:r>
      <w:r w:rsidR="000A1AAE" w:rsidRPr="00A841AA">
        <w:t>three</w:t>
      </w:r>
      <w:r w:rsidR="00D52FD0">
        <w:t xml:space="preserve"> </w:t>
      </w:r>
      <w:r w:rsidR="000A1AAE" w:rsidRPr="00A841AA">
        <w:t>entities</w:t>
      </w:r>
      <w:r w:rsidR="00D52FD0">
        <w:t xml:space="preserve"> </w:t>
      </w:r>
      <w:r w:rsidR="000A1AAE" w:rsidRPr="00A841AA">
        <w:t>have</w:t>
      </w:r>
      <w:r w:rsidR="00D52FD0">
        <w:t xml:space="preserve"> </w:t>
      </w:r>
      <w:r w:rsidR="000A1AAE" w:rsidRPr="00A841AA">
        <w:t>embodied</w:t>
      </w:r>
      <w:r w:rsidR="00D52FD0">
        <w:t xml:space="preserve"> </w:t>
      </w:r>
      <w:r w:rsidR="000A1AAE" w:rsidRPr="00A841AA">
        <w:t>these</w:t>
      </w:r>
      <w:r w:rsidR="00D52FD0">
        <w:t xml:space="preserve"> </w:t>
      </w:r>
      <w:r w:rsidR="000A1AAE" w:rsidRPr="00A841AA">
        <w:t>SOPs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a</w:t>
      </w:r>
      <w:r w:rsidR="00D52FD0">
        <w:t xml:space="preserve"> </w:t>
      </w:r>
      <w:r w:rsidR="000A1AAE" w:rsidRPr="00A841AA">
        <w:t>Memorandum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Understanding</w:t>
      </w:r>
      <w:r w:rsidR="00D52FD0">
        <w:t xml:space="preserve"> </w:t>
      </w:r>
      <w:r w:rsidR="000A1AAE" w:rsidRPr="00A841AA">
        <w:t>which</w:t>
      </w:r>
      <w:r w:rsidR="00D52FD0">
        <w:t xml:space="preserve"> </w:t>
      </w:r>
      <w:r w:rsidR="000A1AAE" w:rsidRPr="00A841AA">
        <w:t>was</w:t>
      </w:r>
      <w:r w:rsidR="00D52FD0">
        <w:t xml:space="preserve"> </w:t>
      </w:r>
      <w:r w:rsidR="000A1AAE" w:rsidRPr="00A841AA">
        <w:t>signed</w:t>
      </w:r>
      <w:r w:rsidR="00D52FD0">
        <w:t xml:space="preserve"> </w:t>
      </w:r>
      <w:r w:rsidR="000A1AAE" w:rsidRPr="00A841AA">
        <w:t>on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14th</w:t>
      </w:r>
      <w:r w:rsidR="00D52FD0">
        <w:t xml:space="preserve"> </w:t>
      </w:r>
      <w:r w:rsidR="000A1AAE" w:rsidRPr="00A841AA">
        <w:t>September</w:t>
      </w:r>
      <w:r w:rsidR="00D52FD0">
        <w:t xml:space="preserve"> </w:t>
      </w:r>
      <w:r w:rsidR="000A1AAE" w:rsidRPr="00A841AA">
        <w:t>2020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presence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respective</w:t>
      </w:r>
      <w:r w:rsidR="00D52FD0">
        <w:t xml:space="preserve"> </w:t>
      </w:r>
      <w:r w:rsidR="000A1AAE" w:rsidRPr="00A841AA">
        <w:t>Ministers.</w:t>
      </w:r>
      <w:r w:rsidR="00D52FD0">
        <w:t xml:space="preserve"> </w:t>
      </w:r>
      <w:r w:rsidR="000A1AAE" w:rsidRPr="00A841AA">
        <w:t>Persons</w:t>
      </w:r>
      <w:r w:rsidR="00D52FD0">
        <w:t xml:space="preserve"> </w:t>
      </w:r>
      <w:r w:rsidR="000A1AAE" w:rsidRPr="00A841AA">
        <w:t>who</w:t>
      </w:r>
      <w:r w:rsidR="00D52FD0">
        <w:t xml:space="preserve"> </w:t>
      </w:r>
      <w:r w:rsidR="000A1AAE" w:rsidRPr="00A841AA">
        <w:t>refer</w:t>
      </w:r>
      <w:r w:rsidR="00D52FD0">
        <w:t xml:space="preserve"> </w:t>
      </w:r>
      <w:r w:rsidR="000A1AAE" w:rsidRPr="00A841AA">
        <w:t>or</w:t>
      </w:r>
      <w:r w:rsidR="00D52FD0">
        <w:t xml:space="preserve"> </w:t>
      </w:r>
      <w:r w:rsidR="000A1AAE" w:rsidRPr="00A841AA">
        <w:t>are</w:t>
      </w:r>
      <w:r w:rsidR="00D52FD0">
        <w:t xml:space="preserve"> </w:t>
      </w:r>
      <w:r w:rsidR="000A1AAE" w:rsidRPr="00A841AA">
        <w:t>referred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Legal</w:t>
      </w:r>
      <w:r w:rsidR="00D52FD0">
        <w:t xml:space="preserve"> </w:t>
      </w:r>
      <w:r w:rsidR="000A1AAE" w:rsidRPr="00A841AA">
        <w:t>Aid</w:t>
      </w:r>
      <w:r w:rsidR="00D52FD0">
        <w:t xml:space="preserve"> </w:t>
      </w:r>
      <w:r w:rsidR="000A1AAE" w:rsidRPr="00A841AA">
        <w:t>Malta</w:t>
      </w:r>
      <w:r w:rsidR="00D52FD0">
        <w:t xml:space="preserve"> </w:t>
      </w:r>
      <w:r w:rsidR="000A1AAE" w:rsidRPr="00A841AA">
        <w:t>Agency</w:t>
      </w:r>
      <w:r w:rsidR="00D52FD0">
        <w:t xml:space="preserve"> </w:t>
      </w:r>
      <w:r w:rsidR="000A1AAE" w:rsidRPr="00A841AA">
        <w:t>for</w:t>
      </w:r>
      <w:r w:rsidR="00D52FD0">
        <w:t xml:space="preserve"> </w:t>
      </w:r>
      <w:r w:rsidR="000A1AAE" w:rsidRPr="00A841AA">
        <w:t>domestic</w:t>
      </w:r>
      <w:r w:rsidR="00D52FD0">
        <w:t xml:space="preserve"> </w:t>
      </w:r>
      <w:r w:rsidR="000A1AAE" w:rsidRPr="00A841AA">
        <w:t>violence</w:t>
      </w:r>
      <w:r w:rsidR="00D52FD0">
        <w:t xml:space="preserve"> </w:t>
      </w:r>
      <w:r w:rsidR="000A1AAE" w:rsidRPr="00A841AA">
        <w:t>issues</w:t>
      </w:r>
      <w:r w:rsidR="00D52FD0">
        <w:t xml:space="preserve"> </w:t>
      </w:r>
      <w:r w:rsidR="000A1AAE" w:rsidRPr="00A841AA">
        <w:t>are</w:t>
      </w:r>
      <w:r w:rsidR="00D52FD0">
        <w:t xml:space="preserve"> </w:t>
      </w:r>
      <w:r w:rsidR="000A1AAE" w:rsidRPr="00A841AA">
        <w:t>immediately</w:t>
      </w:r>
      <w:r w:rsidR="00D52FD0">
        <w:t xml:space="preserve"> </w:t>
      </w:r>
      <w:r w:rsidR="000A1AAE" w:rsidRPr="00A841AA">
        <w:t>assigned</w:t>
      </w:r>
      <w:r w:rsidR="00D52FD0">
        <w:t xml:space="preserve"> </w:t>
      </w:r>
      <w:r w:rsidR="000A1AAE" w:rsidRPr="00A841AA">
        <w:t>a</w:t>
      </w:r>
      <w:r w:rsidR="00D52FD0">
        <w:t xml:space="preserve"> </w:t>
      </w:r>
      <w:r w:rsidR="000A1AAE" w:rsidRPr="00A841AA">
        <w:t>legal</w:t>
      </w:r>
      <w:r w:rsidR="00D52FD0">
        <w:t xml:space="preserve"> </w:t>
      </w:r>
      <w:r w:rsidR="000A1AAE" w:rsidRPr="00A841AA">
        <w:t>aid</w:t>
      </w:r>
      <w:r w:rsidR="00D52FD0">
        <w:t xml:space="preserve"> </w:t>
      </w:r>
      <w:r w:rsidR="000A1AAE" w:rsidRPr="00A841AA">
        <w:t>lawyer</w:t>
      </w:r>
      <w:r w:rsidR="00D52FD0">
        <w:t xml:space="preserve"> </w:t>
      </w:r>
      <w:r w:rsidR="000A1AAE" w:rsidRPr="00A841AA">
        <w:t>for</w:t>
      </w:r>
      <w:r w:rsidR="00D52FD0">
        <w:t xml:space="preserve"> </w:t>
      </w:r>
      <w:r w:rsidR="000A1AAE" w:rsidRPr="00A841AA">
        <w:t>free</w:t>
      </w:r>
      <w:r w:rsidR="00D52FD0">
        <w:t xml:space="preserve"> </w:t>
      </w:r>
      <w:r w:rsidR="000A1AAE" w:rsidRPr="00A841AA">
        <w:t>advice</w:t>
      </w:r>
      <w:r w:rsidR="00D52FD0">
        <w:t xml:space="preserve"> </w:t>
      </w:r>
      <w:r w:rsidR="000A1AAE" w:rsidRPr="00A841AA">
        <w:t>on</w:t>
      </w:r>
      <w:r w:rsidR="00D52FD0">
        <w:t xml:space="preserve"> </w:t>
      </w:r>
      <w:r w:rsidR="000A1AAE" w:rsidRPr="00A841AA">
        <w:t>their</w:t>
      </w:r>
      <w:r w:rsidR="00D52FD0">
        <w:t xml:space="preserve"> </w:t>
      </w:r>
      <w:r w:rsidR="000A1AAE" w:rsidRPr="00A841AA">
        <w:t>situation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if</w:t>
      </w:r>
      <w:r w:rsidR="00D52FD0">
        <w:t xml:space="preserve"> </w:t>
      </w:r>
      <w:r w:rsidR="000A1AAE" w:rsidRPr="00A841AA">
        <w:t>necessary</w:t>
      </w:r>
      <w:r w:rsidR="00D52FD0">
        <w:t xml:space="preserve"> </w:t>
      </w:r>
      <w:r w:rsidR="000A1AAE" w:rsidRPr="00A841AA">
        <w:t>be</w:t>
      </w:r>
      <w:r w:rsidR="00D52FD0">
        <w:t xml:space="preserve"> </w:t>
      </w:r>
      <w:r w:rsidR="000A1AAE" w:rsidRPr="00A841AA">
        <w:t>referred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other</w:t>
      </w:r>
      <w:r w:rsidR="00D52FD0">
        <w:t xml:space="preserve"> </w:t>
      </w:r>
      <w:r w:rsidR="000A1AAE" w:rsidRPr="00A841AA">
        <w:t>entities</w:t>
      </w:r>
      <w:r w:rsidR="00D52FD0">
        <w:t xml:space="preserve"> </w:t>
      </w:r>
      <w:r w:rsidR="000A1AAE" w:rsidRPr="00A841AA">
        <w:t>accordingly.</w:t>
      </w:r>
      <w:r w:rsidR="00D52FD0">
        <w:t xml:space="preserve"> </w:t>
      </w:r>
      <w:r w:rsidR="000A1AAE" w:rsidRPr="00A841AA">
        <w:t>Legal</w:t>
      </w:r>
      <w:r w:rsidR="00D52FD0">
        <w:t xml:space="preserve"> </w:t>
      </w:r>
      <w:r w:rsidR="000A1AAE" w:rsidRPr="00A841AA">
        <w:t>Aid</w:t>
      </w:r>
      <w:r w:rsidR="00D52FD0">
        <w:t xml:space="preserve"> </w:t>
      </w:r>
      <w:r w:rsidR="000A1AAE" w:rsidRPr="00A841AA">
        <w:t>Malta</w:t>
      </w:r>
      <w:r w:rsidR="00D52FD0">
        <w:t xml:space="preserve"> </w:t>
      </w:r>
      <w:r w:rsidR="000A1AAE" w:rsidRPr="00A841AA">
        <w:t>will</w:t>
      </w:r>
      <w:r w:rsidR="00D52FD0">
        <w:t xml:space="preserve"> </w:t>
      </w:r>
      <w:r w:rsidR="000A1AAE" w:rsidRPr="00A841AA">
        <w:t>strive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continue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provide</w:t>
      </w:r>
      <w:r w:rsidR="00D52FD0">
        <w:t xml:space="preserve"> </w:t>
      </w:r>
      <w:r w:rsidR="000A1AAE" w:rsidRPr="00A841AA">
        <w:t>free</w:t>
      </w:r>
      <w:r w:rsidR="00D52FD0">
        <w:t xml:space="preserve"> </w:t>
      </w:r>
      <w:r w:rsidR="000A1AAE" w:rsidRPr="00A841AA">
        <w:t>legal</w:t>
      </w:r>
      <w:r w:rsidR="00D52FD0">
        <w:t xml:space="preserve"> </w:t>
      </w:r>
      <w:r w:rsidR="000A1AAE" w:rsidRPr="00A841AA">
        <w:t>aid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victims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violence</w:t>
      </w:r>
      <w:r w:rsidR="00D52FD0">
        <w:t xml:space="preserve"> </w:t>
      </w:r>
      <w:r w:rsidR="000A1AAE" w:rsidRPr="00A841AA">
        <w:t>against</w:t>
      </w:r>
      <w:r w:rsidR="00D52FD0">
        <w:t xml:space="preserve"> </w:t>
      </w:r>
      <w:r w:rsidR="000A1AAE" w:rsidRPr="00A841AA">
        <w:t>women,</w:t>
      </w:r>
      <w:r w:rsidR="00D52FD0">
        <w:t xml:space="preserve"> </w:t>
      </w:r>
      <w:r w:rsidR="000A1AAE" w:rsidRPr="00A841AA">
        <w:t>children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vulnerable</w:t>
      </w:r>
      <w:r w:rsidR="00D52FD0">
        <w:t xml:space="preserve"> </w:t>
      </w:r>
      <w:r w:rsidR="000A1AAE" w:rsidRPr="00A841AA">
        <w:t>persons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order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accomplish</w:t>
      </w:r>
      <w:r w:rsidR="00D52FD0">
        <w:t xml:space="preserve"> </w:t>
      </w:r>
      <w:r w:rsidR="000A1AAE" w:rsidRPr="00A841AA">
        <w:t>all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provisions</w:t>
      </w:r>
      <w:r w:rsidR="00D52FD0">
        <w:t xml:space="preserve"> </w:t>
      </w:r>
      <w:r w:rsidR="000A1AAE" w:rsidRPr="00A841AA">
        <w:t>enshrined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Istanbul</w:t>
      </w:r>
      <w:r w:rsidR="00D52FD0">
        <w:t xml:space="preserve"> </w:t>
      </w:r>
      <w:r w:rsidR="000A1AAE" w:rsidRPr="00A841AA">
        <w:t>Convention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ratified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Chapter</w:t>
      </w:r>
      <w:r w:rsidR="00D52FD0">
        <w:t xml:space="preserve"> </w:t>
      </w:r>
      <w:r w:rsidR="000A1AAE" w:rsidRPr="00A841AA">
        <w:t>581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Laws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Malta.</w:t>
      </w:r>
    </w:p>
    <w:p w14:paraId="0A133E50" w14:textId="3A91B1FB" w:rsidR="000A1AAE" w:rsidRPr="00825CCA" w:rsidRDefault="000A1AAE" w:rsidP="00196329">
      <w:pPr>
        <w:pStyle w:val="H1G"/>
      </w:pPr>
      <w:r>
        <w:tab/>
      </w:r>
      <w:r>
        <w:tab/>
      </w:r>
      <w:r w:rsidRPr="00825CCA">
        <w:t>Voluntary</w:t>
      </w:r>
      <w:r w:rsidR="00D52FD0">
        <w:t xml:space="preserve"> </w:t>
      </w:r>
      <w:r w:rsidRPr="00825CCA">
        <w:t>termination</w:t>
      </w:r>
      <w:r w:rsidR="00D52FD0">
        <w:t xml:space="preserve"> </w:t>
      </w:r>
      <w:r w:rsidRPr="00825CCA">
        <w:t>of</w:t>
      </w:r>
      <w:r w:rsidR="00D52FD0">
        <w:t xml:space="preserve"> </w:t>
      </w:r>
      <w:r w:rsidRPr="00825CCA">
        <w:t>pregnancy</w:t>
      </w:r>
      <w:r w:rsidR="00D52FD0">
        <w:t xml:space="preserve"> </w:t>
      </w:r>
      <w:r w:rsidRPr="00825CCA">
        <w:t>and</w:t>
      </w:r>
      <w:r w:rsidR="00D52FD0">
        <w:t xml:space="preserve"> </w:t>
      </w:r>
      <w:r w:rsidRPr="00825CCA">
        <w:t>sexual</w:t>
      </w:r>
      <w:r w:rsidR="00D52FD0">
        <w:t xml:space="preserve"> </w:t>
      </w:r>
      <w:r w:rsidRPr="00825CCA">
        <w:t>and</w:t>
      </w:r>
      <w:r w:rsidR="00D52FD0">
        <w:t xml:space="preserve"> </w:t>
      </w:r>
      <w:r w:rsidRPr="00825CCA">
        <w:t>reproductive</w:t>
      </w:r>
      <w:r w:rsidR="00D52FD0">
        <w:t xml:space="preserve"> </w:t>
      </w:r>
      <w:r w:rsidRPr="00825CCA">
        <w:t>rights</w:t>
      </w:r>
      <w:r w:rsidR="00D52FD0">
        <w:t xml:space="preserve"> </w:t>
      </w:r>
      <w:r w:rsidRPr="00825CCA">
        <w:t>(arts.</w:t>
      </w:r>
      <w:r w:rsidR="00D52FD0">
        <w:t xml:space="preserve"> </w:t>
      </w:r>
      <w:r w:rsidRPr="00825CCA">
        <w:t>6</w:t>
      </w:r>
      <w:r w:rsidR="00F14DA3">
        <w:t>–</w:t>
      </w:r>
      <w:r w:rsidRPr="00825CCA">
        <w:t>8)</w:t>
      </w:r>
    </w:p>
    <w:p w14:paraId="1F4A3471" w14:textId="0A9BAF92" w:rsidR="000A1AAE" w:rsidRPr="004F4AD9" w:rsidRDefault="000A1AAE" w:rsidP="00196329">
      <w:pPr>
        <w:pStyle w:val="H23G"/>
        <w:rPr>
          <w:rFonts w:eastAsia="Calibri"/>
        </w:rPr>
      </w:pPr>
      <w:r>
        <w:tab/>
      </w:r>
      <w:r>
        <w:tab/>
      </w:r>
      <w:r w:rsidRPr="00504902">
        <w:t>Reply</w:t>
      </w:r>
      <w:r w:rsidR="00D52FD0">
        <w:t xml:space="preserve"> </w:t>
      </w:r>
      <w:r w:rsidRPr="00504902">
        <w:t>to</w:t>
      </w:r>
      <w:r w:rsidR="00D52FD0">
        <w:t xml:space="preserve"> </w:t>
      </w:r>
      <w:r w:rsidRPr="00504902">
        <w:t>paragraph</w:t>
      </w:r>
      <w:r w:rsidR="00D52FD0">
        <w:t xml:space="preserve"> </w:t>
      </w:r>
      <w:r>
        <w:t>11</w:t>
      </w:r>
      <w:r w:rsidR="00D52FD0">
        <w:t xml:space="preserve"> </w:t>
      </w:r>
      <w:r w:rsidRPr="00504902">
        <w:t>of</w:t>
      </w:r>
      <w:r w:rsidR="00D52FD0">
        <w:t xml:space="preserve"> </w:t>
      </w:r>
      <w:r w:rsidRPr="00504902">
        <w:t>the</w:t>
      </w:r>
      <w:r w:rsidR="00D52FD0">
        <w:t xml:space="preserve"> </w:t>
      </w:r>
      <w:r w:rsidRPr="00504902">
        <w:t>list</w:t>
      </w:r>
      <w:r w:rsidR="00D52FD0">
        <w:t xml:space="preserve"> </w:t>
      </w:r>
      <w:r w:rsidRPr="004F4AD9">
        <w:t>of</w:t>
      </w:r>
      <w:r w:rsidR="00D52FD0">
        <w:t xml:space="preserve"> </w:t>
      </w:r>
      <w:r w:rsidRPr="004F4AD9">
        <w:t>issues</w:t>
      </w:r>
    </w:p>
    <w:p w14:paraId="6D20D216" w14:textId="51BD28D2" w:rsidR="000E4FD0" w:rsidRDefault="0044637E" w:rsidP="0044637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>
        <w:t>148.</w:t>
      </w:r>
      <w:r>
        <w:tab/>
      </w:r>
      <w:r w:rsidR="000A1AAE" w:rsidRPr="004F4AD9">
        <w:t>Please</w:t>
      </w:r>
      <w:r w:rsidR="00D52FD0">
        <w:t xml:space="preserve"> </w:t>
      </w:r>
      <w:r w:rsidR="000A1AAE" w:rsidRPr="004F4AD9">
        <w:t>refer</w:t>
      </w:r>
      <w:r w:rsidR="00D52FD0">
        <w:t xml:space="preserve"> </w:t>
      </w:r>
      <w:r w:rsidR="000A1AAE" w:rsidRPr="004F4AD9">
        <w:t>to</w:t>
      </w:r>
      <w:r w:rsidR="00D52FD0">
        <w:t xml:space="preserve"> </w:t>
      </w:r>
      <w:r w:rsidR="000A1AAE" w:rsidRPr="004F4AD9">
        <w:t>the</w:t>
      </w:r>
      <w:r w:rsidR="00D52FD0">
        <w:t xml:space="preserve"> </w:t>
      </w:r>
      <w:r w:rsidR="000A1AAE" w:rsidRPr="004F4AD9">
        <w:t>input</w:t>
      </w:r>
      <w:r w:rsidR="00D52FD0">
        <w:t xml:space="preserve"> </w:t>
      </w:r>
      <w:r w:rsidR="000A1AAE" w:rsidRPr="004F4AD9">
        <w:t>provided</w:t>
      </w:r>
      <w:r w:rsidR="00D52FD0">
        <w:t xml:space="preserve"> </w:t>
      </w:r>
      <w:r w:rsidR="000A1AAE" w:rsidRPr="004F4AD9">
        <w:t>under</w:t>
      </w:r>
      <w:r w:rsidR="00D52FD0">
        <w:t xml:space="preserve"> </w:t>
      </w:r>
      <w:r w:rsidR="000A1AAE" w:rsidRPr="004F4AD9">
        <w:t>section</w:t>
      </w:r>
      <w:r w:rsidR="00D52FD0">
        <w:t xml:space="preserve"> </w:t>
      </w:r>
      <w:r w:rsidR="000A1AAE" w:rsidRPr="004F4AD9">
        <w:t>A,</w:t>
      </w:r>
      <w:r w:rsidR="00D52FD0">
        <w:t xml:space="preserve"> </w:t>
      </w:r>
      <w:r w:rsidR="000A1AAE" w:rsidRPr="00282C61">
        <w:t>page</w:t>
      </w:r>
      <w:r w:rsidR="00D52FD0">
        <w:t xml:space="preserve"> </w:t>
      </w:r>
      <w:r w:rsidR="000A1AAE" w:rsidRPr="00282C61">
        <w:t>5.</w:t>
      </w:r>
    </w:p>
    <w:p w14:paraId="71873FCF" w14:textId="24E3C9B0" w:rsidR="000E4FD0" w:rsidRDefault="0044637E" w:rsidP="0044637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>
        <w:t>149.</w:t>
      </w:r>
      <w:r>
        <w:tab/>
      </w:r>
      <w:r w:rsidR="000A1AAE" w:rsidRPr="00A841AA">
        <w:t>In</w:t>
      </w:r>
      <w:r w:rsidR="00D52FD0">
        <w:t xml:space="preserve"> </w:t>
      </w:r>
      <w:r w:rsidR="000A1AAE" w:rsidRPr="00A841AA">
        <w:t>addition,</w:t>
      </w:r>
      <w:r w:rsidR="00D52FD0">
        <w:t xml:space="preserve"> </w:t>
      </w:r>
      <w:r w:rsidR="000A1AAE" w:rsidRPr="00A841AA">
        <w:t>MFH</w:t>
      </w:r>
      <w:r w:rsidR="00D52FD0">
        <w:t xml:space="preserve"> </w:t>
      </w:r>
      <w:r w:rsidR="000A1AAE" w:rsidRPr="00A841AA">
        <w:t>provides</w:t>
      </w:r>
      <w:r w:rsidR="00D52FD0">
        <w:t xml:space="preserve"> </w:t>
      </w:r>
      <w:r w:rsidR="000A1AAE" w:rsidRPr="00A841AA">
        <w:t>several</w:t>
      </w:r>
      <w:r w:rsidR="00D52FD0">
        <w:t xml:space="preserve"> </w:t>
      </w:r>
      <w:r w:rsidR="000A1AAE" w:rsidRPr="00A841AA">
        <w:t>sexual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reproductive</w:t>
      </w:r>
      <w:r w:rsidR="00D52FD0">
        <w:t xml:space="preserve"> </w:t>
      </w:r>
      <w:r w:rsidR="000A1AAE" w:rsidRPr="00A841AA">
        <w:t>health-care</w:t>
      </w:r>
      <w:r w:rsidR="00D52FD0">
        <w:t xml:space="preserve"> </w:t>
      </w:r>
      <w:r w:rsidR="000A1AAE" w:rsidRPr="00A841AA">
        <w:t>services,</w:t>
      </w:r>
      <w:r w:rsidR="00D52FD0">
        <w:t xml:space="preserve"> </w:t>
      </w:r>
      <w:r w:rsidR="000A1AAE" w:rsidRPr="00A841AA">
        <w:t>which</w:t>
      </w:r>
      <w:r w:rsidR="00D52FD0">
        <w:t xml:space="preserve"> </w:t>
      </w:r>
      <w:r w:rsidR="000A1AAE" w:rsidRPr="00A841AA">
        <w:t>are</w:t>
      </w:r>
      <w:r w:rsidR="00D52FD0">
        <w:t xml:space="preserve"> </w:t>
      </w:r>
      <w:r w:rsidR="000A1AAE" w:rsidRPr="00A841AA">
        <w:t>freely</w:t>
      </w:r>
      <w:r w:rsidR="00D52FD0">
        <w:t xml:space="preserve"> </w:t>
      </w:r>
      <w:r w:rsidR="000A1AAE" w:rsidRPr="00A841AA">
        <w:t>available</w:t>
      </w:r>
      <w:r w:rsidR="00D52FD0">
        <w:t xml:space="preserve"> </w:t>
      </w:r>
      <w:r w:rsidR="000A1AAE" w:rsidRPr="00A841AA">
        <w:t>within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national</w:t>
      </w:r>
      <w:r w:rsidR="00D52FD0">
        <w:t xml:space="preserve"> </w:t>
      </w:r>
      <w:r w:rsidR="000A1AAE" w:rsidRPr="00A841AA">
        <w:t>public</w:t>
      </w:r>
      <w:r w:rsidR="00D52FD0">
        <w:t xml:space="preserve"> </w:t>
      </w:r>
      <w:r w:rsidR="000A1AAE" w:rsidRPr="00A841AA">
        <w:t>healthcare</w:t>
      </w:r>
      <w:r w:rsidR="00D52FD0">
        <w:t xml:space="preserve"> </w:t>
      </w:r>
      <w:r w:rsidR="000A1AAE" w:rsidRPr="00A841AA">
        <w:t>system.</w:t>
      </w:r>
      <w:r w:rsidR="00D52FD0">
        <w:t xml:space="preserve"> </w:t>
      </w:r>
      <w:r w:rsidR="000A1AAE" w:rsidRPr="00A841AA">
        <w:t>These</w:t>
      </w:r>
      <w:r w:rsidR="00D52FD0">
        <w:t xml:space="preserve"> </w:t>
      </w:r>
      <w:r w:rsidR="000A1AAE" w:rsidRPr="00A841AA">
        <w:t>include</w:t>
      </w:r>
      <w:r w:rsidR="00D52FD0">
        <w:t xml:space="preserve"> </w:t>
      </w:r>
      <w:r w:rsidR="000A1AAE" w:rsidRPr="00A841AA">
        <w:t>family</w:t>
      </w:r>
      <w:r w:rsidR="00D52FD0">
        <w:t xml:space="preserve"> </w:t>
      </w:r>
      <w:r w:rsidR="000A1AAE" w:rsidRPr="00A841AA">
        <w:t>planning,</w:t>
      </w:r>
      <w:r w:rsidR="00D52FD0">
        <w:t xml:space="preserve"> </w:t>
      </w:r>
      <w:r w:rsidR="000A1AAE" w:rsidRPr="00A841AA">
        <w:t>safe</w:t>
      </w:r>
      <w:r w:rsidR="00D52FD0">
        <w:t xml:space="preserve"> </w:t>
      </w:r>
      <w:r w:rsidR="000A1AAE" w:rsidRPr="00A841AA">
        <w:t>motherhood,</w:t>
      </w:r>
      <w:r w:rsidR="00D52FD0">
        <w:t xml:space="preserve"> </w:t>
      </w:r>
      <w:r w:rsidR="000A1AAE" w:rsidRPr="00A841AA">
        <w:t>infertility</w:t>
      </w:r>
      <w:r w:rsidR="00D52FD0">
        <w:t xml:space="preserve"> </w:t>
      </w:r>
      <w:r w:rsidR="000A1AAE" w:rsidRPr="00A841AA">
        <w:t>treatment,</w:t>
      </w:r>
      <w:r w:rsidR="00D52FD0">
        <w:t xml:space="preserve"> </w:t>
      </w:r>
      <w:r w:rsidR="000A1AAE" w:rsidRPr="00A841AA">
        <w:t>assisted</w:t>
      </w:r>
      <w:r w:rsidR="00D52FD0">
        <w:t xml:space="preserve"> </w:t>
      </w:r>
      <w:r w:rsidR="000A1AAE" w:rsidRPr="00A841AA">
        <w:t>reproduction,</w:t>
      </w:r>
      <w:r w:rsidR="00D52FD0">
        <w:t xml:space="preserve"> </w:t>
      </w:r>
      <w:r w:rsidR="000A1AAE" w:rsidRPr="00A841AA">
        <w:t>transgender</w:t>
      </w:r>
      <w:r w:rsidR="00D52FD0">
        <w:t xml:space="preserve"> </w:t>
      </w:r>
      <w:r w:rsidR="000A1AAE" w:rsidRPr="00A841AA">
        <w:t>services,</w:t>
      </w:r>
      <w:r w:rsidR="00D52FD0">
        <w:t xml:space="preserve"> </w:t>
      </w:r>
      <w:r w:rsidR="000A1AAE" w:rsidRPr="00A841AA">
        <w:t>prevention,</w:t>
      </w:r>
      <w:r w:rsidR="00D52FD0">
        <w:t xml:space="preserve"> </w:t>
      </w:r>
      <w:r w:rsidR="000A1AAE" w:rsidRPr="00A841AA">
        <w:t>confidential</w:t>
      </w:r>
      <w:r w:rsidR="00D52FD0">
        <w:t xml:space="preserve"> </w:t>
      </w:r>
      <w:r w:rsidR="000A1AAE" w:rsidRPr="00A841AA">
        <w:t>testing,</w:t>
      </w:r>
      <w:r w:rsidR="00D52FD0">
        <w:t xml:space="preserve"> </w:t>
      </w:r>
      <w:r w:rsidR="000A1AAE" w:rsidRPr="00A841AA">
        <w:t>diagnosis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treatment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reproductive</w:t>
      </w:r>
      <w:r w:rsidR="00D52FD0">
        <w:t xml:space="preserve"> </w:t>
      </w:r>
      <w:r w:rsidR="000A1AAE" w:rsidRPr="00A841AA">
        <w:t>tract</w:t>
      </w:r>
      <w:r w:rsidR="00D52FD0">
        <w:t xml:space="preserve"> </w:t>
      </w:r>
      <w:r w:rsidR="000A1AAE" w:rsidRPr="00A841AA">
        <w:t>infections,</w:t>
      </w:r>
      <w:r w:rsidR="00D52FD0">
        <w:t xml:space="preserve"> </w:t>
      </w:r>
      <w:r w:rsidR="000A1AAE" w:rsidRPr="00A841AA">
        <w:t>STIs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9779FF">
        <w:t>HIV/AIDS</w:t>
      </w:r>
      <w:r w:rsidR="000A1AAE" w:rsidRPr="00A841AA">
        <w:t>,</w:t>
      </w:r>
      <w:r w:rsidR="00D52FD0">
        <w:t xml:space="preserve"> </w:t>
      </w:r>
      <w:r w:rsidR="000A1AAE" w:rsidRPr="00A841AA">
        <w:t>prevention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treatment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reproductive</w:t>
      </w:r>
      <w:r w:rsidR="00D52FD0">
        <w:t xml:space="preserve"> </w:t>
      </w:r>
      <w:r w:rsidR="000A1AAE" w:rsidRPr="00A841AA">
        <w:t>cancers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maternal</w:t>
      </w:r>
      <w:r w:rsidR="00D52FD0">
        <w:t xml:space="preserve"> </w:t>
      </w:r>
      <w:r w:rsidR="000A1AAE" w:rsidRPr="00A841AA">
        <w:t>morbidities.</w:t>
      </w:r>
      <w:r w:rsidR="00D52FD0">
        <w:t xml:space="preserve"> </w:t>
      </w:r>
      <w:r w:rsidR="000A1AAE" w:rsidRPr="00A841AA">
        <w:t>Furthermore,</w:t>
      </w:r>
      <w:r w:rsidR="00D52FD0">
        <w:t xml:space="preserve"> </w:t>
      </w:r>
      <w:r w:rsidR="000A1AAE" w:rsidRPr="00A841AA">
        <w:t>contraceptives</w:t>
      </w:r>
      <w:r w:rsidR="00D52FD0">
        <w:t xml:space="preserve"> </w:t>
      </w:r>
      <w:r w:rsidR="000A1AAE" w:rsidRPr="00A841AA">
        <w:t>are</w:t>
      </w:r>
      <w:r w:rsidR="00D52FD0">
        <w:t xml:space="preserve"> </w:t>
      </w:r>
      <w:r w:rsidR="000A1AAE" w:rsidRPr="00A841AA">
        <w:t>easily</w:t>
      </w:r>
      <w:r w:rsidR="00D52FD0">
        <w:t xml:space="preserve"> </w:t>
      </w:r>
      <w:r w:rsidR="000A1AAE" w:rsidRPr="00A841AA">
        <w:t>accessible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community</w:t>
      </w:r>
      <w:r w:rsidR="00D52FD0">
        <w:t xml:space="preserve"> </w:t>
      </w:r>
      <w:r w:rsidR="000A1AAE" w:rsidRPr="00A841AA">
        <w:t>pharmacies.</w:t>
      </w:r>
      <w:r w:rsidR="00D52FD0">
        <w:t xml:space="preserve"> </w:t>
      </w:r>
      <w:r w:rsidR="000A1AAE" w:rsidRPr="00A841AA">
        <w:t>Rapid</w:t>
      </w:r>
      <w:r w:rsidR="00D52FD0">
        <w:t xml:space="preserve"> </w:t>
      </w:r>
      <w:r w:rsidR="000A1AAE" w:rsidRPr="00A841AA">
        <w:t>testing</w:t>
      </w:r>
      <w:r w:rsidR="00D52FD0">
        <w:t xml:space="preserve"> </w:t>
      </w:r>
      <w:r w:rsidR="000A1AAE" w:rsidRPr="00A841AA">
        <w:t>for</w:t>
      </w:r>
      <w:r w:rsidR="00D52FD0">
        <w:t xml:space="preserve"> </w:t>
      </w:r>
      <w:r w:rsidR="000A1AAE" w:rsidRPr="00A841AA">
        <w:t>HIV</w:t>
      </w:r>
      <w:r w:rsidR="00D52FD0">
        <w:t xml:space="preserve"> </w:t>
      </w:r>
      <w:r w:rsidR="000A1AAE" w:rsidRPr="00A841AA">
        <w:t>was</w:t>
      </w:r>
      <w:r w:rsidR="00D52FD0">
        <w:t xml:space="preserve"> </w:t>
      </w:r>
      <w:r w:rsidR="000A1AAE" w:rsidRPr="00A841AA">
        <w:t>introduced</w:t>
      </w:r>
      <w:r w:rsidR="00D52FD0">
        <w:t xml:space="preserve"> </w:t>
      </w:r>
      <w:r w:rsidR="000A1AAE" w:rsidRPr="00A841AA">
        <w:t>at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Genito-Urinary</w:t>
      </w:r>
      <w:r w:rsidR="00D52FD0">
        <w:t xml:space="preserve"> </w:t>
      </w:r>
      <w:r w:rsidR="000A1AAE" w:rsidRPr="00A841AA">
        <w:t>Clinic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2017.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2017</w:t>
      </w:r>
      <w:r w:rsidR="00D52FD0">
        <w:t xml:space="preserve"> </w:t>
      </w:r>
      <w:r w:rsidR="000A1AAE" w:rsidRPr="00A841AA">
        <w:t>Malta</w:t>
      </w:r>
      <w:r w:rsidR="00D52FD0">
        <w:t xml:space="preserve"> </w:t>
      </w:r>
      <w:r w:rsidR="000A1AAE" w:rsidRPr="00A841AA">
        <w:t>licensed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sale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morning</w:t>
      </w:r>
      <w:r w:rsidR="00D52FD0">
        <w:t xml:space="preserve"> </w:t>
      </w:r>
      <w:r w:rsidR="000A1AAE" w:rsidRPr="00A841AA">
        <w:t>after</w:t>
      </w:r>
      <w:r w:rsidR="00D52FD0">
        <w:t xml:space="preserve"> </w:t>
      </w:r>
      <w:r w:rsidR="000A1AAE" w:rsidRPr="00A841AA">
        <w:t>pill,</w:t>
      </w:r>
      <w:r w:rsidR="00D52FD0">
        <w:t xml:space="preserve"> </w:t>
      </w:r>
      <w:r w:rsidR="000A1AAE" w:rsidRPr="00A841AA">
        <w:t>as</w:t>
      </w:r>
      <w:r w:rsidR="00D52FD0">
        <w:t xml:space="preserve"> </w:t>
      </w:r>
      <w:r w:rsidR="000A1AAE" w:rsidRPr="00A841AA">
        <w:t>an</w:t>
      </w:r>
      <w:r w:rsidR="00D52FD0">
        <w:t xml:space="preserve"> </w:t>
      </w:r>
      <w:r w:rsidR="000A1AAE" w:rsidRPr="00A841AA">
        <w:t>over-the-counter</w:t>
      </w:r>
      <w:r w:rsidR="00D52FD0">
        <w:t xml:space="preserve"> </w:t>
      </w:r>
      <w:r w:rsidR="000A1AAE" w:rsidRPr="00A841AA">
        <w:t>preparation.</w:t>
      </w:r>
      <w:r w:rsidR="00D52FD0">
        <w:t xml:space="preserve"> </w:t>
      </w:r>
      <w:r w:rsidR="000A1AAE" w:rsidRPr="00A841AA">
        <w:t>For</w:t>
      </w:r>
      <w:r w:rsidR="00D52FD0">
        <w:t xml:space="preserve"> </w:t>
      </w:r>
      <w:r w:rsidR="000A1AAE" w:rsidRPr="00A841AA">
        <w:t>further</w:t>
      </w:r>
      <w:r w:rsidR="00D52FD0">
        <w:t xml:space="preserve"> </w:t>
      </w:r>
      <w:r w:rsidR="000A1AAE" w:rsidRPr="00A841AA">
        <w:t>information</w:t>
      </w:r>
      <w:r w:rsidR="00D52FD0">
        <w:t xml:space="preserve"> </w:t>
      </w:r>
      <w:r w:rsidR="000A1AAE" w:rsidRPr="00A841AA">
        <w:t>on</w:t>
      </w:r>
      <w:r w:rsidR="00D52FD0">
        <w:t xml:space="preserve"> </w:t>
      </w:r>
      <w:r w:rsidR="000A1AAE" w:rsidRPr="00A841AA">
        <w:lastRenderedPageBreak/>
        <w:t>Sexual</w:t>
      </w:r>
      <w:r w:rsidR="00D52FD0">
        <w:t xml:space="preserve"> </w:t>
      </w:r>
      <w:r w:rsidR="000A1AAE" w:rsidRPr="00A841AA">
        <w:t>health</w:t>
      </w:r>
      <w:r w:rsidR="00D52FD0">
        <w:t xml:space="preserve"> </w:t>
      </w:r>
      <w:r w:rsidR="000A1AAE" w:rsidRPr="00A841AA">
        <w:t>services</w:t>
      </w:r>
      <w:r w:rsidR="00D52FD0">
        <w:t xml:space="preserve"> </w:t>
      </w:r>
      <w:r w:rsidR="000A1AAE" w:rsidRPr="00A841AA">
        <w:t>provided</w:t>
      </w:r>
      <w:r w:rsidR="00D52FD0">
        <w:t xml:space="preserve"> </w:t>
      </w:r>
      <w:r w:rsidR="000A1AAE" w:rsidRPr="00A841AA">
        <w:t>by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Health</w:t>
      </w:r>
      <w:r w:rsidR="00D52FD0">
        <w:t xml:space="preserve"> </w:t>
      </w:r>
      <w:r w:rsidR="000A1AAE" w:rsidRPr="00A841AA">
        <w:t>Promotion</w:t>
      </w:r>
      <w:r w:rsidR="00D52FD0">
        <w:t xml:space="preserve"> </w:t>
      </w:r>
      <w:r w:rsidR="000A1AAE" w:rsidRPr="00A841AA">
        <w:t>&amp;</w:t>
      </w:r>
      <w:r w:rsidR="00D52FD0">
        <w:t xml:space="preserve"> </w:t>
      </w:r>
      <w:r w:rsidR="000A1AAE" w:rsidRPr="00A841AA">
        <w:t>Disease</w:t>
      </w:r>
      <w:r w:rsidR="00D52FD0">
        <w:t xml:space="preserve"> </w:t>
      </w:r>
      <w:r w:rsidR="000A1AAE" w:rsidRPr="00A841AA">
        <w:t>Prevention</w:t>
      </w:r>
      <w:r w:rsidR="00D52FD0">
        <w:t xml:space="preserve"> </w:t>
      </w:r>
      <w:r w:rsidR="000A1AAE" w:rsidRPr="00A841AA">
        <w:t>Directorate</w:t>
      </w:r>
      <w:r w:rsidR="00D52FD0">
        <w:t xml:space="preserve"> </w:t>
      </w:r>
      <w:r w:rsidR="000A1AAE" w:rsidRPr="00A841AA">
        <w:t>(HPDP)</w:t>
      </w:r>
      <w:r w:rsidR="00D52FD0">
        <w:t xml:space="preserve"> </w:t>
      </w:r>
      <w:r w:rsidR="000A1AAE" w:rsidRPr="00A841AA">
        <w:t>–</w:t>
      </w:r>
      <w:r w:rsidR="00D52FD0">
        <w:t xml:space="preserve"> </w:t>
      </w:r>
      <w:r w:rsidR="000A1AAE" w:rsidRPr="00A841AA">
        <w:t>MFH.</w:t>
      </w:r>
      <w:r w:rsidR="00D52FD0">
        <w:t xml:space="preserve"> </w:t>
      </w:r>
      <w:r w:rsidR="000A1AAE" w:rsidRPr="00A841AA">
        <w:t>You</w:t>
      </w:r>
      <w:r w:rsidR="00D52FD0">
        <w:t xml:space="preserve"> </w:t>
      </w:r>
      <w:r w:rsidR="000A1AAE" w:rsidRPr="00A841AA">
        <w:t>may</w:t>
      </w:r>
      <w:r w:rsidR="00D52FD0">
        <w:t xml:space="preserve"> </w:t>
      </w:r>
      <w:r w:rsidR="000A1AAE" w:rsidRPr="00A841AA">
        <w:t>wish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access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following</w:t>
      </w:r>
      <w:r w:rsidR="00D52FD0">
        <w:t xml:space="preserve"> </w:t>
      </w:r>
      <w:r w:rsidR="000A1AAE" w:rsidRPr="00A841AA">
        <w:t>link:</w:t>
      </w:r>
      <w:r w:rsidR="00D52FD0">
        <w:t xml:space="preserve"> </w:t>
      </w:r>
      <w:r w:rsidR="000A1AAE" w:rsidRPr="00A841AA">
        <w:t>https://sexualhealth.gov.mt/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for</w:t>
      </w:r>
      <w:r w:rsidR="00D52FD0">
        <w:t xml:space="preserve"> </w:t>
      </w:r>
      <w:r w:rsidR="000A1AAE" w:rsidRPr="00A841AA">
        <w:t>Sexual</w:t>
      </w:r>
      <w:r w:rsidR="00D52FD0">
        <w:t xml:space="preserve"> </w:t>
      </w:r>
      <w:r w:rsidR="000A1AAE" w:rsidRPr="00A841AA">
        <w:t>Health</w:t>
      </w:r>
      <w:r w:rsidR="00D52FD0">
        <w:t xml:space="preserve"> </w:t>
      </w:r>
      <w:r w:rsidR="000A1AAE" w:rsidRPr="00A841AA">
        <w:t>Malta</w:t>
      </w:r>
      <w:r w:rsidR="00D52FD0">
        <w:t xml:space="preserve"> </w:t>
      </w:r>
      <w:r w:rsidR="000A1AAE" w:rsidRPr="00A841AA">
        <w:t>social</w:t>
      </w:r>
      <w:r w:rsidR="00D52FD0">
        <w:t xml:space="preserve"> </w:t>
      </w:r>
      <w:r w:rsidR="000A1AAE" w:rsidRPr="00A841AA">
        <w:t>media</w:t>
      </w:r>
      <w:r w:rsidR="00D52FD0">
        <w:t xml:space="preserve"> </w:t>
      </w:r>
      <w:r w:rsidR="000A1AAE" w:rsidRPr="00A841AA">
        <w:t>platform</w:t>
      </w:r>
      <w:r w:rsidR="00D52FD0">
        <w:t xml:space="preserve"> </w:t>
      </w:r>
      <w:r w:rsidR="000A1AAE" w:rsidRPr="00A841AA">
        <w:t>on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following</w:t>
      </w:r>
      <w:r w:rsidR="00D52FD0">
        <w:t xml:space="preserve"> </w:t>
      </w:r>
      <w:r w:rsidR="000A1AAE" w:rsidRPr="00A841AA">
        <w:t>links</w:t>
      </w:r>
      <w:r w:rsidR="00D52FD0">
        <w:t xml:space="preserve"> </w:t>
      </w:r>
      <w:r w:rsidR="000A1AAE" w:rsidRPr="00A841AA">
        <w:t>for</w:t>
      </w:r>
      <w:r w:rsidR="00D52FD0">
        <w:t xml:space="preserve"> </w:t>
      </w:r>
      <w:r w:rsidR="000A1AAE" w:rsidRPr="00A841AA">
        <w:t>https://www.facebook.com/Sexual-Health-Malta-102604634651092;</w:t>
      </w:r>
      <w:r w:rsidR="00D52FD0">
        <w:t xml:space="preserve"> </w:t>
      </w:r>
      <w:r w:rsidR="000A1AAE" w:rsidRPr="00A841AA">
        <w:t>https://www.instagram.com/sexualhealthmalta/,</w:t>
      </w:r>
      <w:r w:rsidR="00D52FD0">
        <w:t xml:space="preserve"> </w:t>
      </w:r>
      <w:r w:rsidR="000A1AAE" w:rsidRPr="00A841AA">
        <w:t>https://twitter.com/SexualHealthMT</w:t>
      </w:r>
      <w:r w:rsidR="009779FF">
        <w:t>.</w:t>
      </w:r>
    </w:p>
    <w:p w14:paraId="7CA156B1" w14:textId="5A55B3E9" w:rsidR="000A1AAE" w:rsidRPr="00A841AA" w:rsidRDefault="0044637E" w:rsidP="0044637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841AA">
        <w:t>150.</w:t>
      </w:r>
      <w:r w:rsidRPr="00A841AA">
        <w:tab/>
      </w:r>
      <w:r w:rsidR="000A1AAE" w:rsidRPr="00A841AA">
        <w:t>IMFH</w:t>
      </w:r>
      <w:r w:rsidR="00D52FD0">
        <w:t xml:space="preserve"> </w:t>
      </w:r>
      <w:r w:rsidR="000A1AAE" w:rsidRPr="00A841AA">
        <w:t>works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collaboration</w:t>
      </w:r>
      <w:r w:rsidR="00D52FD0">
        <w:t xml:space="preserve"> </w:t>
      </w:r>
      <w:r w:rsidR="000A1AAE" w:rsidRPr="00A841AA">
        <w:t>with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Ministry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Education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organises</w:t>
      </w:r>
      <w:r w:rsidR="00D52FD0">
        <w:t xml:space="preserve"> </w:t>
      </w:r>
      <w:r w:rsidR="000A1AAE" w:rsidRPr="00A841AA">
        <w:t>Sexual</w:t>
      </w:r>
      <w:r w:rsidR="00D52FD0">
        <w:t xml:space="preserve"> </w:t>
      </w:r>
      <w:r w:rsidR="000A1AAE" w:rsidRPr="00A841AA">
        <w:t>education</w:t>
      </w:r>
      <w:r w:rsidR="00D52FD0">
        <w:t xml:space="preserve"> </w:t>
      </w:r>
      <w:r w:rsidR="000A1AAE" w:rsidRPr="00A841AA">
        <w:t>campaigns</w:t>
      </w:r>
      <w:r w:rsidR="00D52FD0">
        <w:t xml:space="preserve"> </w:t>
      </w:r>
      <w:r w:rsidR="000A1AAE" w:rsidRPr="00A841AA">
        <w:t>for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teaching</w:t>
      </w:r>
      <w:r w:rsidR="00D52FD0">
        <w:t xml:space="preserve"> </w:t>
      </w:r>
      <w:r w:rsidR="000A1AAE" w:rsidRPr="00A841AA">
        <w:t>profession,</w:t>
      </w:r>
      <w:r w:rsidR="00D52FD0">
        <w:t xml:space="preserve"> </w:t>
      </w:r>
      <w:r w:rsidR="000A1AAE" w:rsidRPr="00A841AA">
        <w:t>like</w:t>
      </w:r>
      <w:r w:rsidR="00D52FD0">
        <w:t xml:space="preserve"> </w:t>
      </w:r>
      <w:r w:rsidR="000A1AAE" w:rsidRPr="00A841AA">
        <w:t>for</w:t>
      </w:r>
      <w:r w:rsidR="00D52FD0">
        <w:t xml:space="preserve"> </w:t>
      </w:r>
      <w:r w:rsidR="000A1AAE" w:rsidRPr="00A841AA">
        <w:t>example,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Sexuality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Relationship</w:t>
      </w:r>
      <w:r w:rsidR="00D52FD0">
        <w:t xml:space="preserve"> </w:t>
      </w:r>
      <w:r w:rsidR="000A1AAE" w:rsidRPr="00A841AA">
        <w:t>Education</w:t>
      </w:r>
      <w:r w:rsidR="00D52FD0">
        <w:t xml:space="preserve"> </w:t>
      </w:r>
      <w:r w:rsidR="000A1AAE" w:rsidRPr="00A841AA">
        <w:t>campaign</w:t>
      </w:r>
      <w:r w:rsidR="00D52FD0">
        <w:t xml:space="preserve"> </w:t>
      </w:r>
      <w:r w:rsidR="000A1AAE" w:rsidRPr="00A841AA">
        <w:t>referred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following</w:t>
      </w:r>
      <w:r w:rsidR="00D52FD0">
        <w:t xml:space="preserve"> </w:t>
      </w:r>
      <w:r w:rsidR="000A1AAE" w:rsidRPr="00A841AA">
        <w:t>link:</w:t>
      </w:r>
      <w:r w:rsidR="00D52FD0">
        <w:t xml:space="preserve"> </w:t>
      </w:r>
      <w:r w:rsidR="000A1AAE" w:rsidRPr="00A841AA">
        <w:t>HPDP</w:t>
      </w:r>
      <w:r w:rsidR="00D52FD0">
        <w:t xml:space="preserve"> </w:t>
      </w:r>
      <w:r w:rsidR="000A1AAE" w:rsidRPr="00A841AA">
        <w:t>website:</w:t>
      </w:r>
      <w:r w:rsidR="00D52FD0">
        <w:t xml:space="preserve"> </w:t>
      </w:r>
      <w:r w:rsidR="000A1AAE" w:rsidRPr="00A841AA">
        <w:t>https://deputyprimeminister.gov.mt/en/healthpromotion/Pages/campaigns/2015/sexuality-and-relationship-education.aspx</w:t>
      </w:r>
      <w:r w:rsidR="000A1AAE">
        <w:t>.</w:t>
      </w:r>
    </w:p>
    <w:p w14:paraId="5487ACE6" w14:textId="4F07C844" w:rsidR="000A1AAE" w:rsidRPr="00825CCA" w:rsidRDefault="000A1AAE" w:rsidP="00196329">
      <w:pPr>
        <w:pStyle w:val="H1G"/>
      </w:pPr>
      <w:r w:rsidRPr="00A841AA">
        <w:tab/>
      </w:r>
      <w:r w:rsidRPr="00A841AA">
        <w:tab/>
        <w:t>Prohibition</w:t>
      </w:r>
      <w:r w:rsidR="00D52FD0">
        <w:t xml:space="preserve"> </w:t>
      </w:r>
      <w:r w:rsidRPr="00825CCA">
        <w:t>of</w:t>
      </w:r>
      <w:r w:rsidR="00D52FD0">
        <w:t xml:space="preserve"> </w:t>
      </w:r>
      <w:r w:rsidRPr="00825CCA">
        <w:t>torture</w:t>
      </w:r>
      <w:r w:rsidR="00D52FD0">
        <w:t xml:space="preserve"> </w:t>
      </w:r>
      <w:r w:rsidRPr="00825CCA">
        <w:t>and</w:t>
      </w:r>
      <w:r w:rsidR="00D52FD0">
        <w:t xml:space="preserve"> </w:t>
      </w:r>
      <w:r w:rsidRPr="00825CCA">
        <w:t>other</w:t>
      </w:r>
      <w:r w:rsidR="00D52FD0">
        <w:t xml:space="preserve"> </w:t>
      </w:r>
      <w:r w:rsidRPr="00825CCA">
        <w:t>cruel,</w:t>
      </w:r>
      <w:r w:rsidR="00D52FD0">
        <w:t xml:space="preserve"> </w:t>
      </w:r>
      <w:r w:rsidRPr="00825CCA">
        <w:t>inhuman</w:t>
      </w:r>
      <w:r w:rsidR="00D52FD0">
        <w:t xml:space="preserve"> </w:t>
      </w:r>
      <w:r w:rsidRPr="00825CCA">
        <w:t>or</w:t>
      </w:r>
      <w:r w:rsidR="00D52FD0">
        <w:t xml:space="preserve"> </w:t>
      </w:r>
      <w:r w:rsidRPr="00825CCA">
        <w:t>degrading</w:t>
      </w:r>
      <w:r w:rsidR="00D52FD0">
        <w:t xml:space="preserve"> </w:t>
      </w:r>
      <w:r w:rsidRPr="00825CCA">
        <w:t>treatment</w:t>
      </w:r>
      <w:r w:rsidR="00D52FD0">
        <w:t xml:space="preserve"> </w:t>
      </w:r>
      <w:r w:rsidRPr="00825CCA">
        <w:t>or</w:t>
      </w:r>
      <w:r w:rsidR="00D52FD0">
        <w:t xml:space="preserve"> </w:t>
      </w:r>
      <w:r w:rsidRPr="00825CCA">
        <w:t>punishment,</w:t>
      </w:r>
      <w:r w:rsidR="00D52FD0">
        <w:t xml:space="preserve"> </w:t>
      </w:r>
      <w:r w:rsidRPr="00825CCA">
        <w:t>and</w:t>
      </w:r>
      <w:r w:rsidR="00D52FD0">
        <w:t xml:space="preserve"> </w:t>
      </w:r>
      <w:r w:rsidRPr="00825CCA">
        <w:t>treatment</w:t>
      </w:r>
      <w:r w:rsidR="00D52FD0">
        <w:t xml:space="preserve"> </w:t>
      </w:r>
      <w:r w:rsidRPr="00825CCA">
        <w:t>of</w:t>
      </w:r>
      <w:r w:rsidR="00D52FD0">
        <w:t xml:space="preserve"> </w:t>
      </w:r>
      <w:r w:rsidRPr="00825CCA">
        <w:t>persons</w:t>
      </w:r>
      <w:r w:rsidR="00D52FD0">
        <w:t xml:space="preserve"> </w:t>
      </w:r>
      <w:r w:rsidRPr="00825CCA">
        <w:t>deprived</w:t>
      </w:r>
      <w:r w:rsidR="00D52FD0">
        <w:t xml:space="preserve"> </w:t>
      </w:r>
      <w:r w:rsidRPr="00825CCA">
        <w:t>of</w:t>
      </w:r>
      <w:r w:rsidR="00D52FD0">
        <w:t xml:space="preserve"> </w:t>
      </w:r>
      <w:r w:rsidRPr="00825CCA">
        <w:t>their</w:t>
      </w:r>
      <w:r w:rsidR="00D52FD0">
        <w:t xml:space="preserve"> </w:t>
      </w:r>
      <w:r w:rsidRPr="00825CCA">
        <w:t>liberty</w:t>
      </w:r>
      <w:r w:rsidR="00D52FD0">
        <w:t xml:space="preserve"> </w:t>
      </w:r>
      <w:r w:rsidRPr="00825CCA">
        <w:t>(arts.</w:t>
      </w:r>
      <w:r w:rsidR="00D52FD0">
        <w:t xml:space="preserve"> </w:t>
      </w:r>
      <w:r w:rsidRPr="00825CCA">
        <w:t>7</w:t>
      </w:r>
      <w:r w:rsidR="00D52FD0">
        <w:t xml:space="preserve"> </w:t>
      </w:r>
      <w:r w:rsidRPr="00825CCA">
        <w:t>and</w:t>
      </w:r>
      <w:r w:rsidR="00D52FD0">
        <w:t xml:space="preserve"> </w:t>
      </w:r>
      <w:r w:rsidRPr="00825CCA">
        <w:t>10)</w:t>
      </w:r>
    </w:p>
    <w:p w14:paraId="7400E345" w14:textId="1E706172" w:rsidR="000A1AAE" w:rsidRDefault="000A1AAE" w:rsidP="00196329">
      <w:pPr>
        <w:pStyle w:val="H23G"/>
        <w:rPr>
          <w:rFonts w:eastAsia="Calibri"/>
        </w:rPr>
      </w:pPr>
      <w:r>
        <w:tab/>
      </w:r>
      <w:r>
        <w:tab/>
      </w:r>
      <w:r w:rsidRPr="00504902">
        <w:t>Reply</w:t>
      </w:r>
      <w:r w:rsidR="00D52FD0">
        <w:t xml:space="preserve"> </w:t>
      </w:r>
      <w:r w:rsidRPr="00504902">
        <w:t>to</w:t>
      </w:r>
      <w:r w:rsidR="00D52FD0">
        <w:t xml:space="preserve"> </w:t>
      </w:r>
      <w:r w:rsidRPr="00504902">
        <w:t>paragraph</w:t>
      </w:r>
      <w:r w:rsidR="00D52FD0">
        <w:t xml:space="preserve"> </w:t>
      </w:r>
      <w:r>
        <w:t>12</w:t>
      </w:r>
      <w:r w:rsidR="00D52FD0">
        <w:t xml:space="preserve"> </w:t>
      </w:r>
      <w:r w:rsidRPr="00504902">
        <w:t>of</w:t>
      </w:r>
      <w:r w:rsidR="00D52FD0">
        <w:t xml:space="preserve"> </w:t>
      </w:r>
      <w:r w:rsidRPr="00504902">
        <w:t>the</w:t>
      </w:r>
      <w:r w:rsidR="00D52FD0">
        <w:t xml:space="preserve"> </w:t>
      </w:r>
      <w:r w:rsidRPr="00504902">
        <w:t>list</w:t>
      </w:r>
      <w:r w:rsidR="00D52FD0">
        <w:t xml:space="preserve"> </w:t>
      </w:r>
      <w:r w:rsidRPr="00504902">
        <w:t>of</w:t>
      </w:r>
      <w:r w:rsidR="00D52FD0">
        <w:t xml:space="preserve"> </w:t>
      </w:r>
      <w:r w:rsidRPr="00504902">
        <w:t>issues</w:t>
      </w:r>
    </w:p>
    <w:p w14:paraId="611BC799" w14:textId="7E8F4BA3" w:rsidR="000A1AAE" w:rsidRPr="00A841AA" w:rsidRDefault="0044637E" w:rsidP="0044637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841AA">
        <w:t>151.</w:t>
      </w:r>
      <w:r w:rsidRPr="00A841AA">
        <w:tab/>
      </w:r>
      <w:r w:rsidR="000A1AAE" w:rsidRPr="00A841AA">
        <w:t>Please</w:t>
      </w:r>
      <w:r w:rsidR="00D52FD0">
        <w:t xml:space="preserve"> </w:t>
      </w:r>
      <w:r w:rsidR="000A1AAE" w:rsidRPr="00A841AA">
        <w:t>refer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input</w:t>
      </w:r>
      <w:r w:rsidR="00D52FD0">
        <w:t xml:space="preserve"> </w:t>
      </w:r>
      <w:r w:rsidR="000A1AAE" w:rsidRPr="00A841AA">
        <w:t>provided</w:t>
      </w:r>
      <w:r w:rsidR="00D52FD0">
        <w:t xml:space="preserve"> </w:t>
      </w:r>
      <w:r w:rsidR="000A1AAE" w:rsidRPr="00A84A87">
        <w:t>under</w:t>
      </w:r>
      <w:r w:rsidR="00D52FD0">
        <w:t xml:space="preserve"> </w:t>
      </w:r>
      <w:r w:rsidR="000A1AAE" w:rsidRPr="00A84A87">
        <w:t>section</w:t>
      </w:r>
      <w:r w:rsidR="00D52FD0">
        <w:t xml:space="preserve"> </w:t>
      </w:r>
      <w:r w:rsidR="000A1AAE" w:rsidRPr="00A84A87">
        <w:t>A,</w:t>
      </w:r>
      <w:r w:rsidR="00D52FD0">
        <w:t xml:space="preserve"> </w:t>
      </w:r>
      <w:r w:rsidR="000A1AAE" w:rsidRPr="00A84A87">
        <w:t>pages</w:t>
      </w:r>
      <w:r w:rsidR="00D52FD0">
        <w:t xml:space="preserve"> </w:t>
      </w:r>
      <w:r w:rsidR="000A1AAE" w:rsidRPr="00A84A87">
        <w:t>6,</w:t>
      </w:r>
      <w:r w:rsidR="00D52FD0">
        <w:t xml:space="preserve"> </w:t>
      </w:r>
      <w:r w:rsidR="000A1AAE" w:rsidRPr="00A84A87">
        <w:t>12</w:t>
      </w:r>
      <w:r w:rsidR="00F14DA3">
        <w:t>–</w:t>
      </w:r>
      <w:r w:rsidR="000A1AAE" w:rsidRPr="00A84A87">
        <w:t>13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next</w:t>
      </w:r>
      <w:r w:rsidR="00D52FD0">
        <w:t xml:space="preserve"> </w:t>
      </w:r>
      <w:r w:rsidR="000A1AAE" w:rsidRPr="00A841AA">
        <w:t>question,</w:t>
      </w:r>
      <w:r w:rsidR="00D52FD0">
        <w:t xml:space="preserve"> </w:t>
      </w:r>
      <w:r w:rsidR="000A1AAE" w:rsidRPr="00A841AA">
        <w:t>on</w:t>
      </w:r>
      <w:r w:rsidR="00D52FD0">
        <w:t xml:space="preserve"> </w:t>
      </w:r>
      <w:r w:rsidR="000A1AAE" w:rsidRPr="00A841AA">
        <w:t>page</w:t>
      </w:r>
      <w:r w:rsidR="00D52FD0">
        <w:t xml:space="preserve"> </w:t>
      </w:r>
      <w:r w:rsidR="000A1AAE">
        <w:t>26.</w:t>
      </w:r>
    </w:p>
    <w:p w14:paraId="01C52A67" w14:textId="46C54671" w:rsidR="000A1AAE" w:rsidRDefault="000A1AAE" w:rsidP="00196329">
      <w:pPr>
        <w:pStyle w:val="H23G"/>
        <w:rPr>
          <w:rFonts w:eastAsia="Calibri"/>
        </w:rPr>
      </w:pPr>
      <w:r>
        <w:tab/>
      </w:r>
      <w:r>
        <w:tab/>
      </w:r>
      <w:r w:rsidRPr="00504902">
        <w:t>Reply</w:t>
      </w:r>
      <w:r w:rsidR="00D52FD0">
        <w:t xml:space="preserve"> </w:t>
      </w:r>
      <w:r w:rsidRPr="00504902">
        <w:t>to</w:t>
      </w:r>
      <w:r w:rsidR="00D52FD0">
        <w:t xml:space="preserve"> </w:t>
      </w:r>
      <w:r w:rsidRPr="00504902">
        <w:t>paragraph</w:t>
      </w:r>
      <w:r w:rsidR="00D52FD0">
        <w:t xml:space="preserve"> </w:t>
      </w:r>
      <w:r>
        <w:t>13</w:t>
      </w:r>
      <w:r w:rsidR="00D52FD0">
        <w:t xml:space="preserve"> </w:t>
      </w:r>
      <w:r w:rsidRPr="00504902">
        <w:t>of</w:t>
      </w:r>
      <w:r w:rsidR="00D52FD0">
        <w:t xml:space="preserve"> </w:t>
      </w:r>
      <w:r w:rsidRPr="00504902">
        <w:t>the</w:t>
      </w:r>
      <w:r w:rsidR="00D52FD0">
        <w:t xml:space="preserve"> </w:t>
      </w:r>
      <w:r w:rsidRPr="00504902">
        <w:t>list</w:t>
      </w:r>
      <w:r w:rsidR="00D52FD0">
        <w:t xml:space="preserve"> </w:t>
      </w:r>
      <w:r w:rsidRPr="00504902">
        <w:t>of</w:t>
      </w:r>
      <w:r w:rsidR="00D52FD0">
        <w:t xml:space="preserve"> </w:t>
      </w:r>
      <w:r w:rsidRPr="00504902">
        <w:t>issues</w:t>
      </w:r>
    </w:p>
    <w:p w14:paraId="03F86187" w14:textId="097F954C" w:rsidR="000A1AAE" w:rsidRPr="00A841AA" w:rsidRDefault="0044637E" w:rsidP="0044637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841AA">
        <w:t>152.</w:t>
      </w:r>
      <w:r w:rsidRPr="00A841AA">
        <w:tab/>
      </w:r>
      <w:r w:rsidR="000A1AAE" w:rsidRPr="00A841AA">
        <w:t>All</w:t>
      </w:r>
      <w:r w:rsidR="00D52FD0">
        <w:t xml:space="preserve"> </w:t>
      </w:r>
      <w:r w:rsidR="000A1AAE" w:rsidRPr="00A841AA">
        <w:t>migrants</w:t>
      </w:r>
      <w:r w:rsidR="00D52FD0">
        <w:t xml:space="preserve"> </w:t>
      </w:r>
      <w:r w:rsidR="000A1AAE" w:rsidRPr="00A841AA">
        <w:t>are</w:t>
      </w:r>
      <w:r w:rsidR="00D52FD0">
        <w:t xml:space="preserve"> </w:t>
      </w:r>
      <w:r w:rsidR="000A1AAE" w:rsidRPr="00A841AA">
        <w:t>entitled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free</w:t>
      </w:r>
      <w:r w:rsidR="00D52FD0">
        <w:t xml:space="preserve"> </w:t>
      </w:r>
      <w:r w:rsidR="000A1AAE" w:rsidRPr="00A841AA">
        <w:t>medical</w:t>
      </w:r>
      <w:r w:rsidR="00D52FD0">
        <w:t xml:space="preserve"> </w:t>
      </w:r>
      <w:r w:rsidR="000A1AAE" w:rsidRPr="00A841AA">
        <w:t>healthcare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emergency</w:t>
      </w:r>
      <w:r w:rsidR="00D52FD0">
        <w:t xml:space="preserve"> </w:t>
      </w:r>
      <w:r w:rsidR="000A1AAE" w:rsidRPr="00A841AA">
        <w:t>services</w:t>
      </w:r>
      <w:r w:rsidR="00D52FD0">
        <w:t xml:space="preserve"> </w:t>
      </w:r>
      <w:r w:rsidR="000A1AAE" w:rsidRPr="00A841AA">
        <w:t>upon</w:t>
      </w:r>
      <w:r w:rsidR="00D52FD0">
        <w:t xml:space="preserve"> </w:t>
      </w:r>
      <w:r w:rsidR="000A1AAE" w:rsidRPr="00A841AA">
        <w:t>arrival.</w:t>
      </w:r>
      <w:r w:rsidR="00D52FD0">
        <w:t xml:space="preserve"> </w:t>
      </w:r>
      <w:r w:rsidR="000A1AAE" w:rsidRPr="00A841AA">
        <w:t>However,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COVID-19</w:t>
      </w:r>
      <w:r w:rsidR="00D52FD0">
        <w:t xml:space="preserve"> </w:t>
      </w:r>
      <w:r w:rsidR="000A1AAE" w:rsidRPr="00A841AA">
        <w:t>pandemic</w:t>
      </w:r>
      <w:r w:rsidR="00D52FD0">
        <w:t xml:space="preserve"> </w:t>
      </w:r>
      <w:r w:rsidR="000A1AAE" w:rsidRPr="00A841AA">
        <w:t>has</w:t>
      </w:r>
      <w:r w:rsidR="00D52FD0">
        <w:t xml:space="preserve"> </w:t>
      </w:r>
      <w:r w:rsidR="000A1AAE" w:rsidRPr="00A841AA">
        <w:t>brought</w:t>
      </w:r>
      <w:r w:rsidR="00D52FD0">
        <w:t xml:space="preserve"> </w:t>
      </w:r>
      <w:r w:rsidR="000A1AAE" w:rsidRPr="00A841AA">
        <w:t>about</w:t>
      </w:r>
      <w:r w:rsidR="00D52FD0">
        <w:t xml:space="preserve"> </w:t>
      </w:r>
      <w:r w:rsidR="000A1AAE" w:rsidRPr="00A841AA">
        <w:t>unprecedented</w:t>
      </w:r>
      <w:r w:rsidR="00D52FD0">
        <w:t xml:space="preserve"> </w:t>
      </w:r>
      <w:r w:rsidR="000A1AAE" w:rsidRPr="00A841AA">
        <w:t>challenges</w:t>
      </w:r>
      <w:r w:rsidR="00D52FD0">
        <w:t xml:space="preserve"> </w:t>
      </w:r>
      <w:r w:rsidR="000A1AAE" w:rsidRPr="00A841AA">
        <w:t>on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national</w:t>
      </w:r>
      <w:r w:rsidR="00D52FD0">
        <w:t xml:space="preserve"> </w:t>
      </w:r>
      <w:r w:rsidR="000A1AAE" w:rsidRPr="00A841AA">
        <w:t>public</w:t>
      </w:r>
      <w:r w:rsidR="00D52FD0">
        <w:t xml:space="preserve"> </w:t>
      </w:r>
      <w:r w:rsidR="000A1AAE" w:rsidRPr="00A841AA">
        <w:t>health</w:t>
      </w:r>
      <w:r w:rsidR="00D52FD0">
        <w:t xml:space="preserve"> </w:t>
      </w:r>
      <w:r w:rsidR="000A1AAE" w:rsidRPr="00A841AA">
        <w:t>system</w:t>
      </w:r>
      <w:r w:rsidR="00D52FD0">
        <w:t xml:space="preserve"> </w:t>
      </w:r>
      <w:r w:rsidR="000A1AAE" w:rsidRPr="00A841AA">
        <w:t>not</w:t>
      </w:r>
      <w:r w:rsidR="00D52FD0">
        <w:t xml:space="preserve"> </w:t>
      </w:r>
      <w:r w:rsidR="000A1AAE" w:rsidRPr="00A841AA">
        <w:t>least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migrant</w:t>
      </w:r>
      <w:r w:rsidR="00D52FD0">
        <w:t xml:space="preserve"> </w:t>
      </w:r>
      <w:r w:rsidR="000A1AAE" w:rsidRPr="00A841AA">
        <w:t>population.</w:t>
      </w:r>
      <w:r w:rsidR="00D52FD0">
        <w:t xml:space="preserve"> </w:t>
      </w:r>
      <w:r w:rsidR="000A1AAE" w:rsidRPr="00A841AA">
        <w:t>During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pandemic</w:t>
      </w:r>
      <w:r w:rsidR="00D52FD0">
        <w:t xml:space="preserve"> </w:t>
      </w:r>
      <w:r w:rsidR="000A1AAE" w:rsidRPr="00A841AA">
        <w:t>an</w:t>
      </w:r>
      <w:r w:rsidR="00D52FD0">
        <w:t xml:space="preserve"> </w:t>
      </w:r>
      <w:r w:rsidR="000A1AAE" w:rsidRPr="00A841AA">
        <w:t>isolation</w:t>
      </w:r>
      <w:r w:rsidR="00D52FD0">
        <w:t xml:space="preserve"> </w:t>
      </w:r>
      <w:r w:rsidR="000A1AAE" w:rsidRPr="00A841AA">
        <w:t>facility</w:t>
      </w:r>
      <w:r w:rsidR="00D52FD0">
        <w:t xml:space="preserve"> </w:t>
      </w:r>
      <w:r w:rsidR="000A1AAE" w:rsidRPr="00A841AA">
        <w:t>was</w:t>
      </w:r>
      <w:r w:rsidR="00D52FD0">
        <w:t xml:space="preserve"> </w:t>
      </w:r>
      <w:r w:rsidR="000A1AAE" w:rsidRPr="00A841AA">
        <w:t>set</w:t>
      </w:r>
      <w:r w:rsidR="00D52FD0">
        <w:t xml:space="preserve"> </w:t>
      </w:r>
      <w:r w:rsidR="000A1AAE" w:rsidRPr="00A841AA">
        <w:t>up</w:t>
      </w:r>
      <w:r w:rsidR="00D52FD0">
        <w:t xml:space="preserve"> </w:t>
      </w:r>
      <w:r w:rsidR="000A1AAE" w:rsidRPr="00A841AA">
        <w:t>near</w:t>
      </w:r>
      <w:r w:rsidR="00D52FD0">
        <w:t xml:space="preserve"> </w:t>
      </w:r>
      <w:r w:rsidR="000A1AAE" w:rsidRPr="00A841AA">
        <w:t>one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open</w:t>
      </w:r>
      <w:r w:rsidR="00D52FD0">
        <w:t xml:space="preserve"> </w:t>
      </w:r>
      <w:r w:rsidR="000A1AAE" w:rsidRPr="00A841AA">
        <w:t>detention</w:t>
      </w:r>
      <w:r w:rsidR="00D52FD0">
        <w:t xml:space="preserve"> </w:t>
      </w:r>
      <w:r w:rsidR="000A1AAE" w:rsidRPr="00A841AA">
        <w:t>centres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cater</w:t>
      </w:r>
      <w:r w:rsidR="00D52FD0">
        <w:t xml:space="preserve"> </w:t>
      </w:r>
      <w:r w:rsidR="000A1AAE" w:rsidRPr="00A841AA">
        <w:t>for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medical</w:t>
      </w:r>
      <w:r w:rsidR="00D52FD0">
        <w:t xml:space="preserve"> </w:t>
      </w:r>
      <w:r w:rsidR="000A1AAE" w:rsidRPr="00A841AA">
        <w:t>treatment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migrants</w:t>
      </w:r>
      <w:r w:rsidR="00D52FD0">
        <w:t xml:space="preserve"> </w:t>
      </w:r>
      <w:r w:rsidR="000A1AAE" w:rsidRPr="00A841AA">
        <w:t>testing</w:t>
      </w:r>
      <w:r w:rsidR="00D52FD0">
        <w:t xml:space="preserve"> </w:t>
      </w:r>
      <w:r w:rsidR="000A1AAE" w:rsidRPr="00A841AA">
        <w:t>positive</w:t>
      </w:r>
      <w:r w:rsidR="00D52FD0">
        <w:t xml:space="preserve"> </w:t>
      </w:r>
      <w:r w:rsidR="000A1AAE" w:rsidRPr="00A841AA">
        <w:t>for</w:t>
      </w:r>
      <w:r w:rsidR="00D52FD0">
        <w:t xml:space="preserve"> </w:t>
      </w:r>
      <w:r w:rsidR="000A1AAE" w:rsidRPr="00A841AA">
        <w:t>COVID-19.</w:t>
      </w:r>
      <w:r w:rsidR="00D52FD0">
        <w:t xml:space="preserve"> </w:t>
      </w:r>
      <w:r w:rsidR="000A1AAE" w:rsidRPr="00A841AA">
        <w:t>Patients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this</w:t>
      </w:r>
      <w:r w:rsidR="00D52FD0">
        <w:t xml:space="preserve"> </w:t>
      </w:r>
      <w:r w:rsidR="000A1AAE" w:rsidRPr="00A841AA">
        <w:t>facility</w:t>
      </w:r>
      <w:r w:rsidR="00D52FD0">
        <w:t xml:space="preserve"> </w:t>
      </w:r>
      <w:r w:rsidR="000A1AAE" w:rsidRPr="00A841AA">
        <w:t>are</w:t>
      </w:r>
      <w:r w:rsidR="00D52FD0">
        <w:t xml:space="preserve"> </w:t>
      </w:r>
      <w:r w:rsidR="000A1AAE" w:rsidRPr="00A841AA">
        <w:t>closely</w:t>
      </w:r>
      <w:r w:rsidR="00D52FD0">
        <w:t xml:space="preserve"> </w:t>
      </w:r>
      <w:r w:rsidR="000A1AAE" w:rsidRPr="00A841AA">
        <w:t>monitored</w:t>
      </w:r>
      <w:r w:rsidR="00D52FD0">
        <w:t xml:space="preserve"> </w:t>
      </w:r>
      <w:r w:rsidR="000A1AAE" w:rsidRPr="00A841AA">
        <w:t>by</w:t>
      </w:r>
      <w:r w:rsidR="00D52FD0">
        <w:t xml:space="preserve"> </w:t>
      </w:r>
      <w:r w:rsidR="000A1AAE" w:rsidRPr="00A841AA">
        <w:t>a</w:t>
      </w:r>
      <w:r w:rsidR="00D52FD0">
        <w:t xml:space="preserve"> </w:t>
      </w:r>
      <w:r w:rsidR="000A1AAE" w:rsidRPr="00A841AA">
        <w:t>medical</w:t>
      </w:r>
      <w:r w:rsidR="00D52FD0">
        <w:t xml:space="preserve"> </w:t>
      </w:r>
      <w:r w:rsidR="000A1AAE" w:rsidRPr="00A841AA">
        <w:t>team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case</w:t>
      </w:r>
      <w:r w:rsidR="00D52FD0">
        <w:t xml:space="preserve"> </w:t>
      </w:r>
      <w:r w:rsidR="000A1AAE" w:rsidRPr="00A841AA">
        <w:t>their</w:t>
      </w:r>
      <w:r w:rsidR="00D52FD0">
        <w:t xml:space="preserve"> </w:t>
      </w:r>
      <w:r w:rsidR="000A1AAE" w:rsidRPr="00A841AA">
        <w:t>condition</w:t>
      </w:r>
      <w:r w:rsidR="00D52FD0">
        <w:t xml:space="preserve"> </w:t>
      </w:r>
      <w:r w:rsidR="000A1AAE" w:rsidRPr="00A841AA">
        <w:t>worsened,</w:t>
      </w:r>
      <w:r w:rsidR="00D52FD0">
        <w:t xml:space="preserve"> </w:t>
      </w:r>
      <w:r w:rsidR="000A1AAE" w:rsidRPr="00A841AA">
        <w:t>furthermore</w:t>
      </w:r>
      <w:r w:rsidR="00D52FD0">
        <w:t xml:space="preserve"> </w:t>
      </w:r>
      <w:r w:rsidR="000A1AAE" w:rsidRPr="00A841AA">
        <w:t>systematic</w:t>
      </w:r>
      <w:r w:rsidR="00D52FD0">
        <w:t xml:space="preserve"> </w:t>
      </w:r>
      <w:r w:rsidR="000A1AAE" w:rsidRPr="00A841AA">
        <w:t>swabbing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residents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centres</w:t>
      </w:r>
      <w:r w:rsidR="00D52FD0">
        <w:t xml:space="preserve"> </w:t>
      </w:r>
      <w:r w:rsidR="000A1AAE" w:rsidRPr="00A841AA">
        <w:t>are</w:t>
      </w:r>
      <w:r w:rsidR="00D52FD0">
        <w:t xml:space="preserve"> </w:t>
      </w:r>
      <w:r w:rsidR="000A1AAE" w:rsidRPr="00A841AA">
        <w:t>conducted</w:t>
      </w:r>
      <w:r w:rsidR="00D52FD0">
        <w:t xml:space="preserve"> </w:t>
      </w:r>
      <w:r w:rsidR="000A1AAE" w:rsidRPr="00A841AA">
        <w:t>regularly.</w:t>
      </w:r>
      <w:r w:rsidR="00D52FD0">
        <w:t xml:space="preserve"> </w:t>
      </w:r>
      <w:r w:rsidR="000A1AAE" w:rsidRPr="00A841AA">
        <w:t>Additional</w:t>
      </w:r>
      <w:r w:rsidR="00D52FD0">
        <w:t xml:space="preserve"> </w:t>
      </w:r>
      <w:r w:rsidR="000A1AAE" w:rsidRPr="00A841AA">
        <w:t>fruit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vegetables</w:t>
      </w:r>
      <w:r w:rsidR="00D52FD0">
        <w:t xml:space="preserve"> </w:t>
      </w:r>
      <w:r w:rsidR="000A1AAE" w:rsidRPr="00A841AA">
        <w:t>are</w:t>
      </w:r>
      <w:r w:rsidR="00D52FD0">
        <w:t xml:space="preserve"> </w:t>
      </w:r>
      <w:r w:rsidR="000A1AAE" w:rsidRPr="00A841AA">
        <w:t>provided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positive</w:t>
      </w:r>
      <w:r w:rsidR="00D52FD0">
        <w:t xml:space="preserve"> </w:t>
      </w:r>
      <w:r w:rsidR="000A1AAE" w:rsidRPr="00A841AA">
        <w:t>cases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help</w:t>
      </w:r>
      <w:r w:rsidR="00D52FD0">
        <w:t xml:space="preserve"> </w:t>
      </w:r>
      <w:r w:rsidR="000A1AAE" w:rsidRPr="00A841AA">
        <w:t>boost</w:t>
      </w:r>
      <w:r w:rsidR="00D52FD0">
        <w:t xml:space="preserve"> </w:t>
      </w:r>
      <w:r w:rsidR="000A1AAE" w:rsidRPr="00A841AA">
        <w:t>their</w:t>
      </w:r>
      <w:r w:rsidR="00D52FD0">
        <w:t xml:space="preserve"> </w:t>
      </w:r>
      <w:r w:rsidR="000A1AAE" w:rsidRPr="00A841AA">
        <w:t>own</w:t>
      </w:r>
      <w:r w:rsidR="00D52FD0">
        <w:t xml:space="preserve"> </w:t>
      </w:r>
      <w:r w:rsidR="000A1AAE" w:rsidRPr="00A841AA">
        <w:t>immunity.</w:t>
      </w:r>
      <w:r w:rsidR="00D52FD0">
        <w:t xml:space="preserve"> </w:t>
      </w:r>
      <w:r w:rsidR="000A1AAE" w:rsidRPr="00A841AA">
        <w:t>Information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migrants</w:t>
      </w:r>
      <w:r w:rsidR="00D52FD0">
        <w:t xml:space="preserve"> </w:t>
      </w:r>
      <w:r w:rsidR="000A1AAE" w:rsidRPr="00A841AA">
        <w:t>is</w:t>
      </w:r>
      <w:r w:rsidR="00D52FD0">
        <w:t xml:space="preserve"> </w:t>
      </w:r>
      <w:r w:rsidR="000A1AAE" w:rsidRPr="00A841AA">
        <w:t>provided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their</w:t>
      </w:r>
      <w:r w:rsidR="00D52FD0">
        <w:t xml:space="preserve"> </w:t>
      </w:r>
      <w:r w:rsidR="000A1AAE" w:rsidRPr="00A841AA">
        <w:t>own</w:t>
      </w:r>
      <w:r w:rsidR="00D52FD0">
        <w:t xml:space="preserve"> </w:t>
      </w:r>
      <w:r w:rsidR="000A1AAE" w:rsidRPr="00A841AA">
        <w:t>language</w:t>
      </w:r>
      <w:r w:rsidR="00D52FD0">
        <w:t xml:space="preserve"> </w:t>
      </w:r>
      <w:r w:rsidR="000A1AAE" w:rsidRPr="00A841AA">
        <w:t>with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help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translations</w:t>
      </w:r>
      <w:r w:rsidR="00D52FD0">
        <w:t xml:space="preserve"> </w:t>
      </w:r>
      <w:r w:rsidR="000A1AAE" w:rsidRPr="00A841AA">
        <w:t>done</w:t>
      </w:r>
      <w:r w:rsidR="00D52FD0">
        <w:t xml:space="preserve"> </w:t>
      </w:r>
      <w:r w:rsidR="000A1AAE" w:rsidRPr="00A841AA">
        <w:t>by</w:t>
      </w:r>
      <w:r w:rsidR="00D52FD0">
        <w:t xml:space="preserve"> </w:t>
      </w:r>
      <w:r w:rsidR="000A1AAE" w:rsidRPr="00A841AA">
        <w:t>NGOs.</w:t>
      </w:r>
    </w:p>
    <w:p w14:paraId="6AC21CAF" w14:textId="01109CE1" w:rsidR="000A1AAE" w:rsidRPr="00825CCA" w:rsidRDefault="00196329" w:rsidP="00196329">
      <w:pPr>
        <w:pStyle w:val="H4G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 w:rsidR="000A1AAE" w:rsidRPr="00825CCA">
        <w:rPr>
          <w:rFonts w:eastAsia="Calibri"/>
        </w:rPr>
        <w:t>Corradino</w:t>
      </w:r>
      <w:r w:rsidR="00D52FD0">
        <w:rPr>
          <w:rFonts w:eastAsia="Calibri"/>
        </w:rPr>
        <w:t xml:space="preserve"> </w:t>
      </w:r>
      <w:r w:rsidR="000A1AAE" w:rsidRPr="00825CCA">
        <w:rPr>
          <w:rFonts w:eastAsia="Calibri"/>
        </w:rPr>
        <w:t>Services</w:t>
      </w:r>
      <w:r w:rsidR="00D52FD0">
        <w:rPr>
          <w:rFonts w:eastAsia="Calibri"/>
        </w:rPr>
        <w:t xml:space="preserve"> </w:t>
      </w:r>
      <w:r w:rsidR="000A1AAE" w:rsidRPr="00825CCA">
        <w:rPr>
          <w:rFonts w:eastAsia="Calibri"/>
        </w:rPr>
        <w:t>Agency</w:t>
      </w:r>
    </w:p>
    <w:p w14:paraId="33D34F97" w14:textId="43E6D4D4" w:rsidR="000A1AAE" w:rsidRPr="00A841AA" w:rsidRDefault="0044637E" w:rsidP="0044637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841AA">
        <w:t>153.</w:t>
      </w:r>
      <w:r w:rsidRPr="00A841AA">
        <w:tab/>
      </w:r>
      <w:r w:rsidR="000A1AAE" w:rsidRPr="00A841AA">
        <w:t>The</w:t>
      </w:r>
      <w:r w:rsidR="00D52FD0">
        <w:t xml:space="preserve"> </w:t>
      </w:r>
      <w:r w:rsidR="000A1AAE" w:rsidRPr="00A841AA">
        <w:t>medical</w:t>
      </w:r>
      <w:r w:rsidR="00D52FD0">
        <w:t xml:space="preserve"> </w:t>
      </w:r>
      <w:r w:rsidR="000A1AAE" w:rsidRPr="00A841AA">
        <w:t>mitigation</w:t>
      </w:r>
      <w:r w:rsidR="00D52FD0">
        <w:t xml:space="preserve"> </w:t>
      </w:r>
      <w:r w:rsidR="000A1AAE" w:rsidRPr="00A841AA">
        <w:t>measures</w:t>
      </w:r>
      <w:r w:rsidR="00D52FD0">
        <w:t xml:space="preserve"> </w:t>
      </w:r>
      <w:r w:rsidR="000A1AAE" w:rsidRPr="00A841AA">
        <w:t>during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pandemic</w:t>
      </w:r>
      <w:r w:rsidR="00D52FD0">
        <w:t xml:space="preserve"> </w:t>
      </w:r>
      <w:r w:rsidR="000A1AAE" w:rsidRPr="00A841AA">
        <w:t>within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Correctional</w:t>
      </w:r>
      <w:r w:rsidR="00D52FD0">
        <w:t xml:space="preserve"> </w:t>
      </w:r>
      <w:r w:rsidR="000A1AAE" w:rsidRPr="00A841AA">
        <w:t>Services</w:t>
      </w:r>
      <w:r w:rsidR="00D52FD0">
        <w:t xml:space="preserve"> </w:t>
      </w:r>
      <w:r w:rsidR="000A1AAE" w:rsidRPr="00A841AA">
        <w:t>Agency</w:t>
      </w:r>
      <w:r w:rsidR="00D52FD0">
        <w:t xml:space="preserve"> </w:t>
      </w:r>
      <w:r w:rsidR="000A1AAE" w:rsidRPr="00A841AA">
        <w:t>mimicked</w:t>
      </w:r>
      <w:r w:rsidR="00D52FD0">
        <w:t xml:space="preserve"> </w:t>
      </w:r>
      <w:r w:rsidR="000A1AAE" w:rsidRPr="00A841AA">
        <w:t>that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public</w:t>
      </w:r>
      <w:r w:rsidR="00D52FD0">
        <w:t xml:space="preserve"> </w:t>
      </w:r>
      <w:r w:rsidR="000A1AAE" w:rsidRPr="00A841AA">
        <w:t>setting,</w:t>
      </w:r>
      <w:r w:rsidR="00D52FD0">
        <w:t xml:space="preserve"> </w:t>
      </w:r>
      <w:r w:rsidR="000A1AAE" w:rsidRPr="00A841AA">
        <w:t>through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following</w:t>
      </w:r>
      <w:r w:rsidR="00D52FD0">
        <w:t xml:space="preserve"> </w:t>
      </w:r>
      <w:r w:rsidR="000A1AAE" w:rsidRPr="00A841AA">
        <w:t>actions:</w:t>
      </w:r>
    </w:p>
    <w:p w14:paraId="4CA11F3C" w14:textId="7D7AF030" w:rsidR="000A1AAE" w:rsidRPr="00857B1D" w:rsidRDefault="000A1AAE" w:rsidP="00196329">
      <w:pPr>
        <w:pStyle w:val="H56G"/>
      </w:pPr>
      <w:r>
        <w:tab/>
      </w:r>
      <w:r w:rsidRPr="00857B1D">
        <w:t>1</w:t>
      </w:r>
      <w:r>
        <w:t>.</w:t>
      </w:r>
      <w:r w:rsidR="00D52FD0">
        <w:t xml:space="preserve"> </w:t>
      </w:r>
      <w:r>
        <w:tab/>
      </w:r>
      <w:r w:rsidRPr="00857B1D">
        <w:t>Prompt</w:t>
      </w:r>
      <w:r w:rsidR="00D52FD0">
        <w:t xml:space="preserve"> </w:t>
      </w:r>
      <w:r w:rsidRPr="00857B1D">
        <w:t>identification</w:t>
      </w:r>
      <w:r w:rsidR="00D52FD0">
        <w:t xml:space="preserve"> </w:t>
      </w:r>
      <w:r w:rsidRPr="00857B1D">
        <w:t>of</w:t>
      </w:r>
      <w:r w:rsidR="00D52FD0">
        <w:t xml:space="preserve"> </w:t>
      </w:r>
      <w:r w:rsidRPr="00857B1D">
        <w:t>positive</w:t>
      </w:r>
      <w:r w:rsidR="00D52FD0">
        <w:t xml:space="preserve"> </w:t>
      </w:r>
      <w:r w:rsidRPr="00857B1D">
        <w:t>cases</w:t>
      </w:r>
    </w:p>
    <w:p w14:paraId="0015AE8C" w14:textId="01DAD9EC" w:rsidR="000E4FD0" w:rsidRDefault="0044637E" w:rsidP="0044637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>
        <w:t>154.</w:t>
      </w:r>
      <w:r>
        <w:tab/>
      </w:r>
      <w:r w:rsidR="000A1AAE" w:rsidRPr="00A841AA">
        <w:t>With</w:t>
      </w:r>
      <w:r w:rsidR="00D52FD0">
        <w:t xml:space="preserve"> </w:t>
      </w:r>
      <w:r w:rsidR="000A1AAE" w:rsidRPr="00A841AA">
        <w:t>heavy</w:t>
      </w:r>
      <w:r w:rsidR="00D52FD0">
        <w:t xml:space="preserve"> </w:t>
      </w:r>
      <w:r w:rsidR="000A1AAE" w:rsidRPr="00A841AA">
        <w:t>investment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purchasing</w:t>
      </w:r>
      <w:r w:rsidR="00D52FD0">
        <w:t xml:space="preserve"> </w:t>
      </w:r>
      <w:r w:rsidR="000A1AAE" w:rsidRPr="00A841AA">
        <w:t>CDC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WHO-approved</w:t>
      </w:r>
      <w:r w:rsidR="00D52FD0">
        <w:t xml:space="preserve"> </w:t>
      </w:r>
      <w:r w:rsidR="000A1AAE" w:rsidRPr="00A841AA">
        <w:t>rapid</w:t>
      </w:r>
      <w:r w:rsidR="00D52FD0">
        <w:t xml:space="preserve"> </w:t>
      </w:r>
      <w:r w:rsidR="000A1AAE" w:rsidRPr="00A841AA">
        <w:t>antigen</w:t>
      </w:r>
      <w:r w:rsidR="00D52FD0">
        <w:t xml:space="preserve"> </w:t>
      </w:r>
      <w:r w:rsidR="000A1AAE" w:rsidRPr="00A841AA">
        <w:t>COVID-19</w:t>
      </w:r>
      <w:r w:rsidR="00D52FD0">
        <w:t xml:space="preserve"> </w:t>
      </w:r>
      <w:r w:rsidR="000A1AAE" w:rsidRPr="00A841AA">
        <w:t>swab</w:t>
      </w:r>
      <w:r w:rsidR="00D52FD0">
        <w:t xml:space="preserve"> </w:t>
      </w:r>
      <w:r w:rsidR="000A1AAE" w:rsidRPr="00A841AA">
        <w:t>tests</w:t>
      </w:r>
      <w:r w:rsidR="00D52FD0">
        <w:t xml:space="preserve"> </w:t>
      </w:r>
      <w:r w:rsidR="00F14DA3">
        <w:t>–</w:t>
      </w:r>
      <w:r w:rsidR="00D52FD0">
        <w:t xml:space="preserve"> </w:t>
      </w:r>
      <w:r w:rsidR="000A1AAE" w:rsidRPr="00A841AA">
        <w:t>for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past</w:t>
      </w:r>
      <w:r w:rsidR="00D52FD0">
        <w:t xml:space="preserve"> </w:t>
      </w:r>
      <w:r w:rsidR="000A1AAE" w:rsidRPr="00A841AA">
        <w:t>8</w:t>
      </w:r>
      <w:r w:rsidR="00D52FD0">
        <w:t xml:space="preserve"> </w:t>
      </w:r>
      <w:r w:rsidR="000A1AAE" w:rsidRPr="00A841AA">
        <w:t>months,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Correctional</w:t>
      </w:r>
      <w:r w:rsidR="00D52FD0">
        <w:t xml:space="preserve"> </w:t>
      </w:r>
      <w:r w:rsidR="000A1AAE" w:rsidRPr="00A841AA">
        <w:t>Services</w:t>
      </w:r>
      <w:r w:rsidR="00D52FD0">
        <w:t xml:space="preserve"> </w:t>
      </w:r>
      <w:r w:rsidR="000A1AAE" w:rsidRPr="00A841AA">
        <w:t>Agency</w:t>
      </w:r>
      <w:r w:rsidR="00D52FD0">
        <w:t xml:space="preserve"> </w:t>
      </w:r>
      <w:r w:rsidR="000A1AAE" w:rsidRPr="00A841AA">
        <w:t>(CSA)</w:t>
      </w:r>
      <w:r w:rsidR="00D52FD0">
        <w:t xml:space="preserve"> </w:t>
      </w:r>
      <w:r w:rsidR="000A1AAE" w:rsidRPr="00A841AA">
        <w:t>have</w:t>
      </w:r>
      <w:r w:rsidR="00D52FD0">
        <w:t xml:space="preserve"> </w:t>
      </w:r>
      <w:r w:rsidR="000A1AAE" w:rsidRPr="00A841AA">
        <w:t>been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a</w:t>
      </w:r>
      <w:r w:rsidR="00D52FD0">
        <w:t xml:space="preserve"> </w:t>
      </w:r>
      <w:r w:rsidR="000A1AAE" w:rsidRPr="00A841AA">
        <w:t>position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get</w:t>
      </w:r>
      <w:r w:rsidR="00D52FD0">
        <w:t xml:space="preserve"> </w:t>
      </w:r>
      <w:r w:rsidR="000A1AAE" w:rsidRPr="00A841AA">
        <w:t>immediate</w:t>
      </w:r>
      <w:r w:rsidR="00D52FD0">
        <w:t xml:space="preserve"> </w:t>
      </w:r>
      <w:r w:rsidR="000A1AAE" w:rsidRPr="00A841AA">
        <w:t>test</w:t>
      </w:r>
      <w:r w:rsidR="00D52FD0">
        <w:t xml:space="preserve"> </w:t>
      </w:r>
      <w:r w:rsidR="000A1AAE" w:rsidRPr="00A841AA">
        <w:t>results</w:t>
      </w:r>
      <w:r w:rsidR="00D52FD0">
        <w:t xml:space="preserve"> </w:t>
      </w:r>
      <w:r w:rsidR="000A1AAE" w:rsidRPr="00A841AA">
        <w:t>on</w:t>
      </w:r>
      <w:r w:rsidR="00D52FD0">
        <w:t xml:space="preserve"> </w:t>
      </w:r>
      <w:r w:rsidR="000A1AAE" w:rsidRPr="00A841AA">
        <w:t>arrival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a</w:t>
      </w:r>
      <w:r w:rsidR="00D52FD0">
        <w:t xml:space="preserve"> </w:t>
      </w:r>
      <w:r w:rsidR="000A1AAE" w:rsidRPr="00A841AA">
        <w:t>new</w:t>
      </w:r>
      <w:r w:rsidR="00D52FD0">
        <w:t xml:space="preserve"> </w:t>
      </w:r>
      <w:r w:rsidR="000A1AAE" w:rsidRPr="00A841AA">
        <w:t>inmate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Correctional</w:t>
      </w:r>
      <w:r w:rsidR="00D52FD0">
        <w:t xml:space="preserve"> </w:t>
      </w:r>
      <w:r w:rsidR="000A1AAE" w:rsidRPr="00A841AA">
        <w:t>Facility.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addition,</w:t>
      </w:r>
      <w:r w:rsidR="00D52FD0">
        <w:t xml:space="preserve"> </w:t>
      </w:r>
      <w:r w:rsidR="000A1AAE" w:rsidRPr="00A841AA">
        <w:t>anyone</w:t>
      </w:r>
      <w:r w:rsidR="00D52FD0">
        <w:t xml:space="preserve"> </w:t>
      </w:r>
      <w:r w:rsidR="000A1AAE" w:rsidRPr="00A841AA">
        <w:t>exhibiting</w:t>
      </w:r>
      <w:r w:rsidR="00D52FD0">
        <w:t xml:space="preserve"> </w:t>
      </w:r>
      <w:r w:rsidR="000A1AAE" w:rsidRPr="00A841AA">
        <w:t>symptoms</w:t>
      </w:r>
      <w:r w:rsidR="00D52FD0">
        <w:t xml:space="preserve"> </w:t>
      </w:r>
      <w:r w:rsidR="000A1AAE" w:rsidRPr="00A841AA">
        <w:t>can</w:t>
      </w:r>
      <w:r w:rsidR="00D52FD0">
        <w:t xml:space="preserve"> </w:t>
      </w:r>
      <w:r w:rsidR="000A1AAE" w:rsidRPr="00A841AA">
        <w:t>be</w:t>
      </w:r>
      <w:r w:rsidR="00D52FD0">
        <w:t xml:space="preserve"> </w:t>
      </w:r>
      <w:r w:rsidR="000A1AAE" w:rsidRPr="00A841AA">
        <w:t>swabbed</w:t>
      </w:r>
      <w:r w:rsidR="00D52FD0">
        <w:t xml:space="preserve"> </w:t>
      </w:r>
      <w:r w:rsidR="000A1AAE" w:rsidRPr="00A841AA">
        <w:t>immediately</w:t>
      </w:r>
      <w:r w:rsidR="00D52FD0">
        <w:t xml:space="preserve"> </w:t>
      </w:r>
      <w:r w:rsidR="000A1AAE" w:rsidRPr="00A841AA">
        <w:t>with</w:t>
      </w:r>
      <w:r w:rsidR="00D52FD0">
        <w:t xml:space="preserve"> </w:t>
      </w:r>
      <w:r w:rsidR="000A1AAE" w:rsidRPr="00A841AA">
        <w:t>a</w:t>
      </w:r>
      <w:r w:rsidR="00D52FD0">
        <w:t xml:space="preserve"> </w:t>
      </w:r>
      <w:r w:rsidR="000A1AAE" w:rsidRPr="00A841AA">
        <w:t>result.</w:t>
      </w:r>
      <w:r w:rsidR="00D52FD0">
        <w:t xml:space="preserve"> </w:t>
      </w:r>
      <w:r w:rsidR="000A1AAE" w:rsidRPr="00A841AA">
        <w:t>Over</w:t>
      </w:r>
      <w:r w:rsidR="00D52FD0">
        <w:t xml:space="preserve"> </w:t>
      </w:r>
      <w:r w:rsidR="000A1AAE" w:rsidRPr="00A841AA">
        <w:t>2,000</w:t>
      </w:r>
      <w:r w:rsidR="00D52FD0">
        <w:t xml:space="preserve"> </w:t>
      </w:r>
      <w:r w:rsidR="000A1AAE" w:rsidRPr="00A841AA">
        <w:t>rapid</w:t>
      </w:r>
      <w:r w:rsidR="00D52FD0">
        <w:t xml:space="preserve"> </w:t>
      </w:r>
      <w:r w:rsidR="000A1AAE" w:rsidRPr="00A841AA">
        <w:t>antigen</w:t>
      </w:r>
      <w:r w:rsidR="00D52FD0">
        <w:t xml:space="preserve"> </w:t>
      </w:r>
      <w:r w:rsidR="000A1AAE" w:rsidRPr="00A841AA">
        <w:t>tests</w:t>
      </w:r>
      <w:r w:rsidR="00D52FD0">
        <w:t xml:space="preserve"> </w:t>
      </w:r>
      <w:r w:rsidR="000A1AAE" w:rsidRPr="00A841AA">
        <w:t>have</w:t>
      </w:r>
      <w:r w:rsidR="00D52FD0">
        <w:t xml:space="preserve"> </w:t>
      </w:r>
      <w:r w:rsidR="000A1AAE" w:rsidRPr="00A841AA">
        <w:t>been</w:t>
      </w:r>
      <w:r w:rsidR="00D52FD0">
        <w:t xml:space="preserve"> </w:t>
      </w:r>
      <w:r w:rsidR="000A1AAE" w:rsidRPr="00A841AA">
        <w:t>done</w:t>
      </w:r>
      <w:r w:rsidR="00D52FD0">
        <w:t xml:space="preserve"> </w:t>
      </w:r>
      <w:r w:rsidR="000A1AAE" w:rsidRPr="00A841AA">
        <w:t>so</w:t>
      </w:r>
      <w:r w:rsidR="00D52FD0">
        <w:t xml:space="preserve"> </w:t>
      </w:r>
      <w:r w:rsidR="000A1AAE" w:rsidRPr="00A841AA">
        <w:t>far</w:t>
      </w:r>
      <w:r w:rsidR="00D52FD0">
        <w:t xml:space="preserve"> </w:t>
      </w:r>
      <w:r w:rsidR="000A1AAE" w:rsidRPr="00A841AA">
        <w:t>within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facility</w:t>
      </w:r>
      <w:r w:rsidR="00D52FD0">
        <w:t xml:space="preserve"> </w:t>
      </w:r>
      <w:r w:rsidR="000A1AAE" w:rsidRPr="00A841AA">
        <w:t>since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beginning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pandemic.</w:t>
      </w:r>
      <w:r w:rsidR="00D52FD0">
        <w:t xml:space="preserve"> </w:t>
      </w:r>
      <w:r w:rsidR="000A1AAE" w:rsidRPr="00A841AA">
        <w:t>CSA</w:t>
      </w:r>
      <w:r w:rsidR="00D52FD0">
        <w:t xml:space="preserve"> </w:t>
      </w:r>
      <w:r w:rsidR="000A1AAE" w:rsidRPr="00A841AA">
        <w:t>are</w:t>
      </w:r>
      <w:r w:rsidR="00D52FD0">
        <w:t xml:space="preserve"> </w:t>
      </w:r>
      <w:r w:rsidR="000A1AAE" w:rsidRPr="00A841AA">
        <w:t>now</w:t>
      </w:r>
      <w:r w:rsidR="00D52FD0">
        <w:t xml:space="preserve"> </w:t>
      </w:r>
      <w:r w:rsidR="000A1AAE" w:rsidRPr="00A841AA">
        <w:t>officially</w:t>
      </w:r>
      <w:r w:rsidR="00D52FD0">
        <w:t xml:space="preserve"> </w:t>
      </w:r>
      <w:r w:rsidR="000A1AAE" w:rsidRPr="00A841AA">
        <w:t>an</w:t>
      </w:r>
      <w:r w:rsidR="00D52FD0">
        <w:t xml:space="preserve"> </w:t>
      </w:r>
      <w:r w:rsidR="000A1AAE" w:rsidRPr="00A841AA">
        <w:t>accredited</w:t>
      </w:r>
      <w:r w:rsidR="00D52FD0">
        <w:t xml:space="preserve"> </w:t>
      </w:r>
      <w:r w:rsidR="000A1AAE" w:rsidRPr="00A841AA">
        <w:t>rapid</w:t>
      </w:r>
      <w:r w:rsidR="00D52FD0">
        <w:t xml:space="preserve"> </w:t>
      </w:r>
      <w:r w:rsidR="000A1AAE" w:rsidRPr="00A841AA">
        <w:t>antigen</w:t>
      </w:r>
      <w:r w:rsidR="00D52FD0">
        <w:t xml:space="preserve"> </w:t>
      </w:r>
      <w:r w:rsidR="000A1AAE" w:rsidRPr="00A841AA">
        <w:t>swab</w:t>
      </w:r>
      <w:r w:rsidR="00D52FD0">
        <w:t xml:space="preserve"> </w:t>
      </w:r>
      <w:r w:rsidR="000A1AAE" w:rsidRPr="00A841AA">
        <w:t>test</w:t>
      </w:r>
      <w:r w:rsidR="00D52FD0">
        <w:t xml:space="preserve"> </w:t>
      </w:r>
      <w:r w:rsidR="000A1AAE" w:rsidRPr="00A841AA">
        <w:t>centre</w:t>
      </w:r>
      <w:r w:rsidR="00D52FD0">
        <w:t xml:space="preserve"> </w:t>
      </w:r>
      <w:r w:rsidR="00F14DA3">
        <w:t>–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have</w:t>
      </w:r>
      <w:r w:rsidR="00D52FD0">
        <w:t xml:space="preserve"> </w:t>
      </w:r>
      <w:r w:rsidR="000A1AAE" w:rsidRPr="00A841AA">
        <w:t>been</w:t>
      </w:r>
      <w:r w:rsidR="00D52FD0">
        <w:t xml:space="preserve"> </w:t>
      </w:r>
      <w:r w:rsidR="000A1AAE" w:rsidRPr="00A841AA">
        <w:t>approved</w:t>
      </w:r>
      <w:r w:rsidR="00D52FD0">
        <w:t xml:space="preserve"> </w:t>
      </w:r>
      <w:r w:rsidR="000A1AAE" w:rsidRPr="00A841AA">
        <w:t>by</w:t>
      </w:r>
      <w:r w:rsidR="00D52FD0">
        <w:t xml:space="preserve"> </w:t>
      </w:r>
      <w:r w:rsidR="000A1AAE" w:rsidRPr="00A841AA">
        <w:t>Maltese</w:t>
      </w:r>
      <w:r w:rsidR="00D52FD0">
        <w:t xml:space="preserve"> </w:t>
      </w:r>
      <w:r w:rsidR="000A1AAE" w:rsidRPr="00A841AA">
        <w:t>Public</w:t>
      </w:r>
      <w:r w:rsidR="00D52FD0">
        <w:t xml:space="preserve"> </w:t>
      </w:r>
      <w:r w:rsidR="000A1AAE" w:rsidRPr="00A841AA">
        <w:t>Health</w:t>
      </w:r>
      <w:r w:rsidR="00D52FD0">
        <w:t xml:space="preserve"> </w:t>
      </w:r>
      <w:r w:rsidR="000A1AAE" w:rsidRPr="00A841AA">
        <w:t>authorities.</w:t>
      </w:r>
      <w:r w:rsidR="00D52FD0">
        <w:t xml:space="preserve"> </w:t>
      </w:r>
      <w:r w:rsidR="000A1AAE" w:rsidRPr="00A841AA">
        <w:t>Over</w:t>
      </w:r>
      <w:r w:rsidR="00D52FD0">
        <w:t xml:space="preserve"> </w:t>
      </w:r>
      <w:r w:rsidR="000A1AAE" w:rsidRPr="00A841AA">
        <w:t>4,000</w:t>
      </w:r>
      <w:r w:rsidR="00D52FD0">
        <w:t xml:space="preserve"> </w:t>
      </w:r>
      <w:r w:rsidR="000A1AAE" w:rsidRPr="00A841AA">
        <w:t>PCR</w:t>
      </w:r>
      <w:r w:rsidR="00D52FD0">
        <w:t xml:space="preserve"> </w:t>
      </w:r>
      <w:r w:rsidR="000A1AAE" w:rsidRPr="00A841AA">
        <w:t>COVID-19</w:t>
      </w:r>
      <w:r w:rsidR="00D52FD0">
        <w:t xml:space="preserve"> </w:t>
      </w:r>
      <w:r w:rsidR="000A1AAE" w:rsidRPr="00A841AA">
        <w:t>swabs</w:t>
      </w:r>
      <w:r w:rsidR="00D52FD0">
        <w:t xml:space="preserve"> </w:t>
      </w:r>
      <w:r w:rsidR="000A1AAE" w:rsidRPr="00A841AA">
        <w:t>have</w:t>
      </w:r>
      <w:r w:rsidR="00D52FD0">
        <w:t xml:space="preserve"> </w:t>
      </w:r>
      <w:r w:rsidR="000A1AAE" w:rsidRPr="00A841AA">
        <w:t>been</w:t>
      </w:r>
      <w:r w:rsidR="00D52FD0">
        <w:t xml:space="preserve"> </w:t>
      </w:r>
      <w:r w:rsidR="000A1AAE" w:rsidRPr="00A841AA">
        <w:t>carried</w:t>
      </w:r>
      <w:r w:rsidR="00D52FD0">
        <w:t xml:space="preserve"> </w:t>
      </w:r>
      <w:r w:rsidR="000A1AAE" w:rsidRPr="00A841AA">
        <w:t>out</w:t>
      </w:r>
      <w:r w:rsidR="00D52FD0">
        <w:t xml:space="preserve"> </w:t>
      </w:r>
      <w:r w:rsidR="000A1AAE" w:rsidRPr="00A841AA">
        <w:t>since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beginning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pandemic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all</w:t>
      </w:r>
      <w:r w:rsidR="00D52FD0">
        <w:t xml:space="preserve"> </w:t>
      </w:r>
      <w:r w:rsidR="000A1AAE" w:rsidRPr="00A841AA">
        <w:t>data</w:t>
      </w:r>
      <w:r w:rsidR="00D52FD0">
        <w:t xml:space="preserve"> </w:t>
      </w:r>
      <w:r w:rsidR="000A1AAE" w:rsidRPr="00A841AA">
        <w:t>is</w:t>
      </w:r>
      <w:r w:rsidR="00D52FD0">
        <w:t xml:space="preserve"> </w:t>
      </w:r>
      <w:r w:rsidR="000A1AAE" w:rsidRPr="00A841AA">
        <w:t>relayed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Maltese</w:t>
      </w:r>
      <w:r w:rsidR="00D52FD0">
        <w:t xml:space="preserve"> </w:t>
      </w:r>
      <w:r w:rsidR="000A1AAE" w:rsidRPr="00A841AA">
        <w:t>public</w:t>
      </w:r>
      <w:r w:rsidR="00D52FD0">
        <w:t xml:space="preserve"> </w:t>
      </w:r>
      <w:r w:rsidR="000A1AAE" w:rsidRPr="00A841AA">
        <w:t>health</w:t>
      </w:r>
      <w:r w:rsidR="00D52FD0">
        <w:t xml:space="preserve"> </w:t>
      </w:r>
      <w:r w:rsidR="000A1AAE" w:rsidRPr="00A841AA">
        <w:t>server.</w:t>
      </w:r>
    </w:p>
    <w:p w14:paraId="6DD602BB" w14:textId="6CA7E554" w:rsidR="000A1AAE" w:rsidRPr="00857B1D" w:rsidRDefault="000A1AAE" w:rsidP="00196329">
      <w:pPr>
        <w:pStyle w:val="H56G"/>
      </w:pPr>
      <w:r>
        <w:tab/>
      </w:r>
      <w:r w:rsidRPr="00857B1D">
        <w:t>2</w:t>
      </w:r>
      <w:r>
        <w:t>.</w:t>
      </w:r>
      <w:r w:rsidR="00D52FD0">
        <w:t xml:space="preserve"> </w:t>
      </w:r>
      <w:r>
        <w:tab/>
      </w:r>
      <w:r w:rsidRPr="00857B1D">
        <w:t>Early</w:t>
      </w:r>
      <w:r w:rsidR="00D52FD0">
        <w:t xml:space="preserve"> </w:t>
      </w:r>
      <w:r w:rsidRPr="00857B1D">
        <w:t>Isolation</w:t>
      </w:r>
      <w:r w:rsidR="00D52FD0">
        <w:t xml:space="preserve"> </w:t>
      </w:r>
      <w:r w:rsidRPr="00857B1D">
        <w:t>of</w:t>
      </w:r>
      <w:r w:rsidR="00D52FD0">
        <w:t xml:space="preserve"> </w:t>
      </w:r>
      <w:r w:rsidRPr="00857B1D">
        <w:t>Positive</w:t>
      </w:r>
      <w:r w:rsidR="00D52FD0">
        <w:t xml:space="preserve"> </w:t>
      </w:r>
      <w:r w:rsidRPr="00857B1D">
        <w:t>and</w:t>
      </w:r>
      <w:r w:rsidR="00D52FD0">
        <w:t xml:space="preserve"> </w:t>
      </w:r>
      <w:r w:rsidRPr="00857B1D">
        <w:t>high</w:t>
      </w:r>
      <w:r w:rsidR="00D52FD0">
        <w:t xml:space="preserve"> </w:t>
      </w:r>
      <w:r w:rsidRPr="00857B1D">
        <w:t>risk</w:t>
      </w:r>
      <w:r w:rsidR="00D52FD0">
        <w:t xml:space="preserve"> </w:t>
      </w:r>
      <w:r w:rsidRPr="00857B1D">
        <w:t>COVID-19</w:t>
      </w:r>
      <w:r w:rsidR="00D52FD0">
        <w:t xml:space="preserve"> </w:t>
      </w:r>
      <w:r w:rsidRPr="00857B1D">
        <w:t>cases</w:t>
      </w:r>
    </w:p>
    <w:p w14:paraId="4633B8F1" w14:textId="61A49451" w:rsidR="000A1AAE" w:rsidRPr="00A841AA" w:rsidRDefault="0044637E" w:rsidP="0044637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841AA">
        <w:t>155.</w:t>
      </w:r>
      <w:r w:rsidRPr="00A841AA">
        <w:tab/>
      </w:r>
      <w:r w:rsidR="000A1AAE" w:rsidRPr="00A841AA">
        <w:t>If</w:t>
      </w:r>
      <w:r w:rsidR="00D52FD0">
        <w:t xml:space="preserve"> </w:t>
      </w:r>
      <w:r w:rsidR="000A1AAE" w:rsidRPr="00A841AA">
        <w:t>a</w:t>
      </w:r>
      <w:r w:rsidR="00D52FD0">
        <w:t xml:space="preserve"> </w:t>
      </w:r>
      <w:r w:rsidR="000A1AAE" w:rsidRPr="00A841AA">
        <w:t>new</w:t>
      </w:r>
      <w:r w:rsidR="00D52FD0">
        <w:t xml:space="preserve"> </w:t>
      </w:r>
      <w:r w:rsidR="000A1AAE" w:rsidRPr="00A841AA">
        <w:t>inmate</w:t>
      </w:r>
      <w:r w:rsidR="00D52FD0">
        <w:t xml:space="preserve"> </w:t>
      </w:r>
      <w:r w:rsidR="000A1AAE" w:rsidRPr="00A841AA">
        <w:t>marks</w:t>
      </w:r>
      <w:r w:rsidR="00D52FD0">
        <w:t xml:space="preserve"> </w:t>
      </w:r>
      <w:r w:rsidR="000A1AAE" w:rsidRPr="00A841AA">
        <w:t>positive</w:t>
      </w:r>
      <w:r w:rsidR="00D52FD0">
        <w:t xml:space="preserve"> </w:t>
      </w:r>
      <w:r w:rsidR="000A1AAE" w:rsidRPr="00A841AA">
        <w:t>on</w:t>
      </w:r>
      <w:r w:rsidR="00D52FD0">
        <w:t xml:space="preserve"> </w:t>
      </w:r>
      <w:r w:rsidR="000A1AAE" w:rsidRPr="00A841AA">
        <w:t>arrival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prison</w:t>
      </w:r>
      <w:r w:rsidR="00D52FD0">
        <w:t xml:space="preserve"> </w:t>
      </w:r>
      <w:r w:rsidR="000A1AAE" w:rsidRPr="00A841AA">
        <w:t>facility,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person</w:t>
      </w:r>
      <w:r w:rsidR="00D52FD0">
        <w:t xml:space="preserve"> </w:t>
      </w:r>
      <w:r w:rsidR="000A1AAE" w:rsidRPr="00A841AA">
        <w:t>is</w:t>
      </w:r>
      <w:r w:rsidR="00D52FD0">
        <w:t xml:space="preserve"> </w:t>
      </w:r>
      <w:r w:rsidR="000A1AAE" w:rsidRPr="00A841AA">
        <w:t>immediately</w:t>
      </w:r>
      <w:r w:rsidR="00D52FD0">
        <w:t xml:space="preserve"> </w:t>
      </w:r>
      <w:r w:rsidR="000A1AAE" w:rsidRPr="00A841AA">
        <w:t>sent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an</w:t>
      </w:r>
      <w:r w:rsidR="00D52FD0">
        <w:t xml:space="preserve"> </w:t>
      </w:r>
      <w:r w:rsidR="000A1AAE" w:rsidRPr="00A841AA">
        <w:t>isolation</w:t>
      </w:r>
      <w:r w:rsidR="00D52FD0">
        <w:t xml:space="preserve"> </w:t>
      </w:r>
      <w:r w:rsidR="000A1AAE" w:rsidRPr="00A841AA">
        <w:t>room</w:t>
      </w:r>
      <w:r w:rsidR="00D52FD0">
        <w:t xml:space="preserve"> </w:t>
      </w:r>
      <w:r w:rsidR="000A1AAE" w:rsidRPr="00A841AA">
        <w:t>for</w:t>
      </w:r>
      <w:r w:rsidR="00D52FD0">
        <w:t xml:space="preserve"> </w:t>
      </w:r>
      <w:r w:rsidR="000A1AAE" w:rsidRPr="00A841AA">
        <w:t>quarantine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medical</w:t>
      </w:r>
      <w:r w:rsidR="00D52FD0">
        <w:t xml:space="preserve"> </w:t>
      </w:r>
      <w:r w:rsidR="000A1AAE" w:rsidRPr="00A841AA">
        <w:t>observation.</w:t>
      </w:r>
      <w:r w:rsidR="00D52FD0">
        <w:t xml:space="preserve"> </w:t>
      </w:r>
      <w:r w:rsidR="000A1AAE" w:rsidRPr="00A841AA">
        <w:t>An</w:t>
      </w:r>
      <w:r w:rsidR="00D52FD0">
        <w:t xml:space="preserve"> </w:t>
      </w:r>
      <w:r w:rsidR="000A1AAE" w:rsidRPr="00A841AA">
        <w:t>incoming</w:t>
      </w:r>
      <w:r w:rsidR="00D52FD0">
        <w:t xml:space="preserve"> </w:t>
      </w:r>
      <w:r w:rsidR="000A1AAE" w:rsidRPr="00A841AA">
        <w:t>inmate</w:t>
      </w:r>
      <w:r w:rsidR="00D52FD0">
        <w:t xml:space="preserve"> </w:t>
      </w:r>
      <w:r w:rsidR="000A1AAE" w:rsidRPr="00A841AA">
        <w:t>does</w:t>
      </w:r>
      <w:r w:rsidR="00D52FD0">
        <w:t xml:space="preserve"> </w:t>
      </w:r>
      <w:r w:rsidR="000A1AAE" w:rsidRPr="00A841AA">
        <w:t>not</w:t>
      </w:r>
      <w:r w:rsidR="00D52FD0">
        <w:t xml:space="preserve"> </w:t>
      </w:r>
      <w:r w:rsidR="000A1AAE" w:rsidRPr="00A841AA">
        <w:t>follow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routine</w:t>
      </w:r>
      <w:r w:rsidR="00D52FD0">
        <w:t xml:space="preserve"> </w:t>
      </w:r>
      <w:r w:rsidR="000A1AAE" w:rsidRPr="00A841AA">
        <w:t>admission</w:t>
      </w:r>
      <w:r w:rsidR="00D52FD0">
        <w:t xml:space="preserve"> </w:t>
      </w:r>
      <w:r w:rsidR="000A1AAE" w:rsidRPr="00A841AA">
        <w:t>protocol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eventuality</w:t>
      </w:r>
      <w:r w:rsidR="00D52FD0">
        <w:t xml:space="preserve"> </w:t>
      </w:r>
      <w:r w:rsidR="000A1AAE" w:rsidRPr="00A841AA">
        <w:t>that</w:t>
      </w:r>
      <w:r w:rsidR="00D52FD0">
        <w:t xml:space="preserve"> </w:t>
      </w:r>
      <w:r w:rsidR="000A1AAE" w:rsidRPr="00A841AA">
        <w:t>he</w:t>
      </w:r>
      <w:r w:rsidR="00D52FD0">
        <w:t xml:space="preserve"> </w:t>
      </w:r>
      <w:r w:rsidR="000A1AAE" w:rsidRPr="00A841AA">
        <w:t>has</w:t>
      </w:r>
      <w:r w:rsidR="00D52FD0">
        <w:t xml:space="preserve"> </w:t>
      </w:r>
      <w:r w:rsidR="000A1AAE" w:rsidRPr="00A841AA">
        <w:t>a</w:t>
      </w:r>
      <w:r w:rsidR="00D52FD0">
        <w:t xml:space="preserve"> </w:t>
      </w:r>
      <w:r w:rsidR="000A1AAE" w:rsidRPr="00A841AA">
        <w:t>positive</w:t>
      </w:r>
      <w:r w:rsidR="00D52FD0">
        <w:t xml:space="preserve"> </w:t>
      </w:r>
      <w:r w:rsidR="000A1AAE" w:rsidRPr="00A841AA">
        <w:t>rapid</w:t>
      </w:r>
      <w:r w:rsidR="00D52FD0">
        <w:t xml:space="preserve"> </w:t>
      </w:r>
      <w:r w:rsidR="000A1AAE" w:rsidRPr="00A841AA">
        <w:t>antigen</w:t>
      </w:r>
      <w:r w:rsidR="00D52FD0">
        <w:t xml:space="preserve"> </w:t>
      </w:r>
      <w:r w:rsidR="000A1AAE" w:rsidRPr="00A841AA">
        <w:t>COVID-19</w:t>
      </w:r>
      <w:r w:rsidR="00D52FD0">
        <w:t xml:space="preserve"> </w:t>
      </w:r>
      <w:r w:rsidR="000A1AAE" w:rsidRPr="00A841AA">
        <w:t>result.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focus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such</w:t>
      </w:r>
      <w:r w:rsidR="00D52FD0">
        <w:t xml:space="preserve"> </w:t>
      </w:r>
      <w:r w:rsidR="000A1AAE" w:rsidRPr="00A841AA">
        <w:t>cases</w:t>
      </w:r>
      <w:r w:rsidR="00D52FD0">
        <w:t xml:space="preserve"> </w:t>
      </w:r>
      <w:r w:rsidR="000A1AAE" w:rsidRPr="00A841AA">
        <w:t>is</w:t>
      </w:r>
      <w:r w:rsidR="00D52FD0">
        <w:t xml:space="preserve"> </w:t>
      </w:r>
      <w:r w:rsidR="000A1AAE" w:rsidRPr="00A841AA">
        <w:t>prompt</w:t>
      </w:r>
      <w:r w:rsidR="00D52FD0">
        <w:t xml:space="preserve"> </w:t>
      </w:r>
      <w:r w:rsidR="000A1AAE" w:rsidRPr="00A841AA">
        <w:t>isolation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avoid</w:t>
      </w:r>
      <w:r w:rsidR="00D52FD0">
        <w:t xml:space="preserve"> </w:t>
      </w:r>
      <w:r w:rsidR="000A1AAE" w:rsidRPr="00A841AA">
        <w:t>local</w:t>
      </w:r>
      <w:r w:rsidR="00D52FD0">
        <w:t xml:space="preserve"> </w:t>
      </w:r>
      <w:r w:rsidR="000A1AAE" w:rsidRPr="00A841AA">
        <w:t>transmission</w:t>
      </w:r>
      <w:r w:rsidR="00D52FD0">
        <w:t xml:space="preserve"> </w:t>
      </w:r>
      <w:r w:rsidR="000A1AAE" w:rsidRPr="00A841AA">
        <w:t>to</w:t>
      </w:r>
      <w:r w:rsidR="00D52FD0">
        <w:t xml:space="preserve"> </w:t>
      </w:r>
      <w:r w:rsidR="000A1AAE" w:rsidRPr="00A841AA">
        <w:t>other</w:t>
      </w:r>
      <w:r w:rsidR="00D52FD0">
        <w:t xml:space="preserve"> </w:t>
      </w:r>
      <w:r w:rsidR="000A1AAE" w:rsidRPr="00A841AA">
        <w:t>inmates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staff.</w:t>
      </w:r>
    </w:p>
    <w:p w14:paraId="494ADCE0" w14:textId="2A5F82BC" w:rsidR="000A1AAE" w:rsidRPr="00825CCA" w:rsidRDefault="000A1AAE" w:rsidP="00196329">
      <w:pPr>
        <w:pStyle w:val="H56G"/>
      </w:pPr>
      <w:r>
        <w:tab/>
      </w:r>
      <w:r w:rsidRPr="00825CCA">
        <w:t>3</w:t>
      </w:r>
      <w:r>
        <w:t>.</w:t>
      </w:r>
      <w:r w:rsidR="00D52FD0">
        <w:t xml:space="preserve"> </w:t>
      </w:r>
      <w:r>
        <w:tab/>
      </w:r>
      <w:r w:rsidRPr="00825CCA">
        <w:t>Continuous</w:t>
      </w:r>
      <w:r w:rsidR="00D52FD0">
        <w:t xml:space="preserve"> </w:t>
      </w:r>
      <w:r w:rsidRPr="00825CCA">
        <w:t>Clinical</w:t>
      </w:r>
      <w:r w:rsidR="00D52FD0">
        <w:t xml:space="preserve"> </w:t>
      </w:r>
      <w:r w:rsidRPr="00825CCA">
        <w:t>Assessment</w:t>
      </w:r>
      <w:r w:rsidR="00D52FD0">
        <w:t xml:space="preserve"> </w:t>
      </w:r>
      <w:r w:rsidRPr="00825CCA">
        <w:t>of</w:t>
      </w:r>
      <w:r w:rsidR="00D52FD0">
        <w:t xml:space="preserve"> </w:t>
      </w:r>
      <w:r w:rsidRPr="00825CCA">
        <w:t>Positive</w:t>
      </w:r>
      <w:r w:rsidR="00D52FD0">
        <w:t xml:space="preserve"> </w:t>
      </w:r>
      <w:r w:rsidRPr="00825CCA">
        <w:t>&amp;</w:t>
      </w:r>
      <w:r w:rsidR="00D52FD0">
        <w:t xml:space="preserve"> </w:t>
      </w:r>
      <w:r w:rsidRPr="00825CCA">
        <w:t>High-Risk</w:t>
      </w:r>
      <w:r w:rsidR="00D52FD0">
        <w:t xml:space="preserve"> </w:t>
      </w:r>
      <w:r w:rsidRPr="00825CCA">
        <w:t>Cases</w:t>
      </w:r>
    </w:p>
    <w:p w14:paraId="594118F3" w14:textId="282D01A3" w:rsidR="000E4FD0" w:rsidRDefault="0044637E" w:rsidP="0044637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>
        <w:t>156.</w:t>
      </w:r>
      <w:r>
        <w:tab/>
      </w:r>
      <w:r w:rsidR="000A1AAE" w:rsidRPr="00A841AA">
        <w:t>In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eventuality</w:t>
      </w:r>
      <w:r w:rsidR="00D52FD0">
        <w:t xml:space="preserve"> </w:t>
      </w:r>
      <w:r w:rsidR="000A1AAE" w:rsidRPr="00A841AA">
        <w:t>that</w:t>
      </w:r>
      <w:r w:rsidR="00D52FD0">
        <w:t xml:space="preserve"> </w:t>
      </w:r>
      <w:r w:rsidR="000A1AAE" w:rsidRPr="00A841AA">
        <w:t>an</w:t>
      </w:r>
      <w:r w:rsidR="00D52FD0">
        <w:t xml:space="preserve"> </w:t>
      </w:r>
      <w:r w:rsidR="000A1AAE" w:rsidRPr="00A841AA">
        <w:t>inmate</w:t>
      </w:r>
      <w:r w:rsidR="00D52FD0">
        <w:t xml:space="preserve"> </w:t>
      </w:r>
      <w:r w:rsidR="000A1AAE" w:rsidRPr="00A841AA">
        <w:t>is</w:t>
      </w:r>
      <w:r w:rsidR="00D52FD0">
        <w:t xml:space="preserve"> </w:t>
      </w:r>
      <w:r w:rsidR="000A1AAE" w:rsidRPr="00A841AA">
        <w:t>identified</w:t>
      </w:r>
      <w:r w:rsidR="00D52FD0">
        <w:t xml:space="preserve"> </w:t>
      </w:r>
      <w:r w:rsidR="000A1AAE" w:rsidRPr="00A841AA">
        <w:t>as</w:t>
      </w:r>
      <w:r w:rsidR="00D52FD0">
        <w:t xml:space="preserve"> </w:t>
      </w:r>
      <w:r w:rsidR="000A1AAE" w:rsidRPr="00A841AA">
        <w:t>a</w:t>
      </w:r>
      <w:r w:rsidR="00D52FD0">
        <w:t xml:space="preserve"> </w:t>
      </w:r>
      <w:r w:rsidR="000A1AAE" w:rsidRPr="00A841AA">
        <w:t>positive</w:t>
      </w:r>
      <w:r w:rsidR="00D52FD0">
        <w:t xml:space="preserve"> </w:t>
      </w:r>
      <w:r w:rsidR="000A1AAE" w:rsidRPr="00A841AA">
        <w:t>COVID-19</w:t>
      </w:r>
      <w:r w:rsidR="00D52FD0">
        <w:t xml:space="preserve"> </w:t>
      </w:r>
      <w:r w:rsidR="000A1AAE" w:rsidRPr="00A841AA">
        <w:t>case</w:t>
      </w:r>
      <w:r w:rsidR="00D52FD0">
        <w:t xml:space="preserve"> </w:t>
      </w:r>
      <w:r w:rsidR="000A1AAE" w:rsidRPr="00A841AA">
        <w:t>via</w:t>
      </w:r>
      <w:r w:rsidR="00D52FD0">
        <w:t xml:space="preserve"> </w:t>
      </w:r>
      <w:r w:rsidR="000A1AAE" w:rsidRPr="00A841AA">
        <w:t>a</w:t>
      </w:r>
      <w:r w:rsidR="00D52FD0">
        <w:t xml:space="preserve"> </w:t>
      </w:r>
      <w:r w:rsidR="000A1AAE" w:rsidRPr="00A841AA">
        <w:t>rapid</w:t>
      </w:r>
      <w:r w:rsidR="00D52FD0">
        <w:t xml:space="preserve"> </w:t>
      </w:r>
      <w:r w:rsidR="000A1AAE" w:rsidRPr="00A841AA">
        <w:t>antigen</w:t>
      </w:r>
      <w:r w:rsidR="00D52FD0">
        <w:t xml:space="preserve"> </w:t>
      </w:r>
      <w:r w:rsidR="000A1AAE" w:rsidRPr="00A841AA">
        <w:t>test</w:t>
      </w:r>
      <w:r w:rsidR="00D52FD0">
        <w:t xml:space="preserve"> </w:t>
      </w:r>
      <w:r w:rsidR="000A1AAE" w:rsidRPr="00A841AA">
        <w:t>or</w:t>
      </w:r>
      <w:r w:rsidR="00D52FD0">
        <w:t xml:space="preserve"> </w:t>
      </w:r>
      <w:r w:rsidR="000A1AAE" w:rsidRPr="00A841AA">
        <w:t>a</w:t>
      </w:r>
      <w:r w:rsidR="00D52FD0">
        <w:t xml:space="preserve"> </w:t>
      </w:r>
      <w:r w:rsidR="000A1AAE" w:rsidRPr="00A841AA">
        <w:t>COVID-19</w:t>
      </w:r>
      <w:r w:rsidR="00D52FD0">
        <w:t xml:space="preserve"> </w:t>
      </w:r>
      <w:r w:rsidR="000A1AAE" w:rsidRPr="00A841AA">
        <w:t>PCR</w:t>
      </w:r>
      <w:r w:rsidR="00D52FD0">
        <w:t xml:space="preserve"> </w:t>
      </w:r>
      <w:r w:rsidR="000A1AAE" w:rsidRPr="00A841AA">
        <w:t>swab</w:t>
      </w:r>
      <w:r w:rsidR="00D52FD0">
        <w:t xml:space="preserve"> </w:t>
      </w:r>
      <w:r w:rsidR="00F14DA3">
        <w:t>–</w:t>
      </w:r>
      <w:r w:rsidR="00D52FD0">
        <w:t xml:space="preserve"> </w:t>
      </w:r>
      <w:r w:rsidR="000A1AAE" w:rsidRPr="00A841AA">
        <w:t>whilst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quarantine</w:t>
      </w:r>
      <w:r w:rsidR="00D52FD0">
        <w:t xml:space="preserve"> </w:t>
      </w:r>
      <w:r w:rsidR="00F14DA3">
        <w:t>–</w:t>
      </w:r>
      <w:r w:rsidR="00D52FD0">
        <w:t xml:space="preserve"> </w:t>
      </w:r>
      <w:r w:rsidR="000A1AAE" w:rsidRPr="00A841AA">
        <w:t>his</w:t>
      </w:r>
      <w:r w:rsidR="00D52FD0">
        <w:t xml:space="preserve"> </w:t>
      </w:r>
      <w:r w:rsidR="000A1AAE" w:rsidRPr="00A841AA">
        <w:t>parameters</w:t>
      </w:r>
      <w:r w:rsidR="00D52FD0">
        <w:t xml:space="preserve"> </w:t>
      </w:r>
      <w:r w:rsidR="000A1AAE" w:rsidRPr="00A841AA">
        <w:t>are</w:t>
      </w:r>
      <w:r w:rsidR="00D52FD0">
        <w:t xml:space="preserve"> </w:t>
      </w:r>
      <w:r w:rsidR="000A1AAE" w:rsidRPr="00A841AA">
        <w:t>monitored</w:t>
      </w:r>
      <w:r w:rsidR="00D52FD0">
        <w:t xml:space="preserve"> </w:t>
      </w:r>
      <w:r w:rsidR="000A1AAE" w:rsidRPr="00A841AA">
        <w:lastRenderedPageBreak/>
        <w:t>at</w:t>
      </w:r>
      <w:r w:rsidR="00D52FD0">
        <w:t xml:space="preserve"> </w:t>
      </w:r>
      <w:r w:rsidR="000A1AAE" w:rsidRPr="00A841AA">
        <w:t>minimum</w:t>
      </w:r>
      <w:r w:rsidR="00D52FD0">
        <w:t xml:space="preserve"> </w:t>
      </w:r>
      <w:r w:rsidR="000A1AAE" w:rsidRPr="00A841AA">
        <w:t>twice</w:t>
      </w:r>
      <w:r w:rsidR="00D52FD0">
        <w:t xml:space="preserve"> </w:t>
      </w:r>
      <w:r w:rsidR="000A1AAE" w:rsidRPr="00A841AA">
        <w:t>daily.</w:t>
      </w:r>
      <w:r w:rsidR="00D52FD0">
        <w:t xml:space="preserve"> </w:t>
      </w:r>
      <w:r w:rsidR="000A1AAE" w:rsidRPr="00A841AA">
        <w:t>His/her</w:t>
      </w:r>
      <w:r w:rsidR="00D52FD0">
        <w:t xml:space="preserve"> </w:t>
      </w:r>
      <w:r w:rsidR="000A1AAE" w:rsidRPr="00A841AA">
        <w:t>oxygen</w:t>
      </w:r>
      <w:r w:rsidR="00D52FD0">
        <w:t xml:space="preserve"> </w:t>
      </w:r>
      <w:r w:rsidR="000A1AAE" w:rsidRPr="00A841AA">
        <w:t>saturations,</w:t>
      </w:r>
      <w:r w:rsidR="00D52FD0">
        <w:t xml:space="preserve"> </w:t>
      </w:r>
      <w:r w:rsidR="000A1AAE" w:rsidRPr="00A841AA">
        <w:t>blood</w:t>
      </w:r>
      <w:r w:rsidR="00D52FD0">
        <w:t xml:space="preserve"> </w:t>
      </w:r>
      <w:r w:rsidR="000A1AAE" w:rsidRPr="00A841AA">
        <w:t>pressure,</w:t>
      </w:r>
      <w:r w:rsidR="00D52FD0">
        <w:t xml:space="preserve"> </w:t>
      </w:r>
      <w:r w:rsidR="000A1AAE" w:rsidRPr="00A841AA">
        <w:t>pulse,</w:t>
      </w:r>
      <w:r w:rsidR="00D52FD0">
        <w:t xml:space="preserve"> </w:t>
      </w:r>
      <w:r w:rsidR="000A1AAE" w:rsidRPr="00A841AA">
        <w:t>temperature</w:t>
      </w:r>
      <w:r w:rsidR="00D52FD0">
        <w:t xml:space="preserve"> </w:t>
      </w:r>
      <w:r w:rsidR="000A1AAE" w:rsidRPr="00A841AA">
        <w:t>is</w:t>
      </w:r>
      <w:r w:rsidR="00D52FD0">
        <w:t xml:space="preserve"> </w:t>
      </w:r>
      <w:r w:rsidR="000A1AAE" w:rsidRPr="00A841AA">
        <w:t>monitored.</w:t>
      </w:r>
      <w:r w:rsidR="00D52FD0">
        <w:t xml:space="preserve"> </w:t>
      </w:r>
      <w:r w:rsidR="000A1AAE" w:rsidRPr="00A841AA">
        <w:t>Clinically</w:t>
      </w:r>
      <w:r w:rsidR="00D52FD0">
        <w:t xml:space="preserve"> </w:t>
      </w:r>
      <w:r w:rsidR="000A1AAE" w:rsidRPr="00A841AA">
        <w:t>his/her</w:t>
      </w:r>
      <w:r w:rsidR="00D52FD0">
        <w:t xml:space="preserve"> </w:t>
      </w:r>
      <w:r w:rsidR="000A1AAE" w:rsidRPr="00A841AA">
        <w:t>respiratory</w:t>
      </w:r>
      <w:r w:rsidR="00D52FD0">
        <w:t xml:space="preserve"> </w:t>
      </w:r>
      <w:r w:rsidR="000A1AAE" w:rsidRPr="00A841AA">
        <w:t>function</w:t>
      </w:r>
      <w:r w:rsidR="00D52FD0">
        <w:t xml:space="preserve"> </w:t>
      </w:r>
      <w:r w:rsidR="000A1AAE" w:rsidRPr="00A841AA">
        <w:t>is</w:t>
      </w:r>
      <w:r w:rsidR="00D52FD0">
        <w:t xml:space="preserve"> </w:t>
      </w:r>
      <w:r w:rsidR="000A1AAE" w:rsidRPr="00A841AA">
        <w:t>observed</w:t>
      </w:r>
      <w:r w:rsidR="00D52FD0">
        <w:t xml:space="preserve"> </w:t>
      </w:r>
      <w:r w:rsidR="000A1AAE" w:rsidRPr="00A841AA">
        <w:t>via</w:t>
      </w:r>
      <w:r w:rsidR="00D52FD0">
        <w:t xml:space="preserve"> </w:t>
      </w:r>
      <w:r w:rsidR="000A1AAE" w:rsidRPr="00A841AA">
        <w:t>peak</w:t>
      </w:r>
      <w:r w:rsidR="00D52FD0">
        <w:t xml:space="preserve"> </w:t>
      </w:r>
      <w:r w:rsidR="000A1AAE" w:rsidRPr="00A841AA">
        <w:t>flow</w:t>
      </w:r>
      <w:r w:rsidR="00D52FD0">
        <w:t xml:space="preserve"> </w:t>
      </w:r>
      <w:r w:rsidR="000A1AAE" w:rsidRPr="00A841AA">
        <w:t>testing</w:t>
      </w:r>
      <w:r w:rsidR="00D52FD0">
        <w:t xml:space="preserve"> </w:t>
      </w:r>
      <w:r w:rsidR="000A1AAE" w:rsidRPr="00A841AA">
        <w:t>and</w:t>
      </w:r>
      <w:r w:rsidR="00D52FD0">
        <w:t xml:space="preserve"> </w:t>
      </w:r>
      <w:r w:rsidR="000A1AAE" w:rsidRPr="00A841AA">
        <w:t>auscultation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chest.</w:t>
      </w:r>
      <w:r w:rsidR="00D52FD0">
        <w:t xml:space="preserve"> </w:t>
      </w:r>
      <w:r w:rsidR="000A1AAE" w:rsidRPr="00A841AA">
        <w:t>In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eventuality</w:t>
      </w:r>
      <w:r w:rsidR="00D52FD0">
        <w:t xml:space="preserve"> </w:t>
      </w:r>
      <w:r w:rsidR="000A1AAE" w:rsidRPr="00A841AA">
        <w:t>of</w:t>
      </w:r>
      <w:r w:rsidR="00D52FD0">
        <w:t xml:space="preserve"> </w:t>
      </w:r>
      <w:r w:rsidR="000A1AAE" w:rsidRPr="00A841AA">
        <w:t>any</w:t>
      </w:r>
      <w:r w:rsidR="00D52FD0">
        <w:t xml:space="preserve"> </w:t>
      </w:r>
      <w:r w:rsidR="000A1AAE" w:rsidRPr="00A841AA">
        <w:t>potential</w:t>
      </w:r>
      <w:r w:rsidR="00D52FD0">
        <w:t xml:space="preserve"> </w:t>
      </w:r>
      <w:r w:rsidR="000A1AAE" w:rsidRPr="00A841AA">
        <w:t>deterioration,</w:t>
      </w:r>
      <w:r w:rsidR="00D52FD0">
        <w:t xml:space="preserve"> </w:t>
      </w:r>
      <w:r w:rsidR="000A1AAE" w:rsidRPr="00A841AA">
        <w:t>medical</w:t>
      </w:r>
      <w:r w:rsidR="00D52FD0">
        <w:t xml:space="preserve"> </w:t>
      </w:r>
      <w:r w:rsidR="000A1AAE" w:rsidRPr="00A841AA">
        <w:t>colleagues</w:t>
      </w:r>
      <w:r w:rsidR="00D52FD0">
        <w:t xml:space="preserve"> </w:t>
      </w:r>
      <w:r w:rsidR="000A1AAE" w:rsidRPr="00A841AA">
        <w:t>at</w:t>
      </w:r>
      <w:r w:rsidR="00D52FD0">
        <w:t xml:space="preserve"> </w:t>
      </w:r>
      <w:r w:rsidR="000A1AAE" w:rsidRPr="00A841AA">
        <w:t>the</w:t>
      </w:r>
      <w:r w:rsidR="00D52FD0">
        <w:t xml:space="preserve"> </w:t>
      </w:r>
      <w:r w:rsidR="000A1AAE" w:rsidRPr="00A841AA">
        <w:t>Accident</w:t>
      </w:r>
      <w:r w:rsidR="00D52FD0">
        <w:t xml:space="preserve"> </w:t>
      </w:r>
      <w:r w:rsidR="000A1AAE" w:rsidRPr="00A841AA">
        <w:t>&amp;</w:t>
      </w:r>
      <w:r w:rsidR="00D52FD0">
        <w:t xml:space="preserve"> </w:t>
      </w:r>
      <w:r w:rsidR="000A1AAE" w:rsidRPr="00A841AA">
        <w:t>Emergency</w:t>
      </w:r>
      <w:r w:rsidR="00D52FD0">
        <w:t xml:space="preserve"> </w:t>
      </w:r>
      <w:r w:rsidR="000A1AAE" w:rsidRPr="00A841AA">
        <w:t>Department</w:t>
      </w:r>
      <w:r w:rsidR="00D52FD0">
        <w:t xml:space="preserve"> </w:t>
      </w:r>
      <w:r w:rsidR="000A1AAE" w:rsidRPr="00A841AA">
        <w:t>at</w:t>
      </w:r>
      <w:r w:rsidR="00D52FD0">
        <w:t xml:space="preserve"> </w:t>
      </w:r>
      <w:r w:rsidR="000A1AAE" w:rsidRPr="00A841AA">
        <w:t>Mater</w:t>
      </w:r>
      <w:r w:rsidR="00D52FD0">
        <w:t xml:space="preserve"> </w:t>
      </w:r>
      <w:r w:rsidR="000A1AAE" w:rsidRPr="00A841AA">
        <w:t>Dei</w:t>
      </w:r>
      <w:r w:rsidR="00D52FD0">
        <w:t xml:space="preserve"> </w:t>
      </w:r>
      <w:r w:rsidR="000A1AAE" w:rsidRPr="00A841AA">
        <w:t>hospital</w:t>
      </w:r>
      <w:r w:rsidR="00D52FD0">
        <w:t xml:space="preserve"> </w:t>
      </w:r>
      <w:r w:rsidR="000A1AAE" w:rsidRPr="00A841AA">
        <w:t>are</w:t>
      </w:r>
      <w:r w:rsidR="00D52FD0">
        <w:t xml:space="preserve"> </w:t>
      </w:r>
      <w:r w:rsidR="000A1AAE" w:rsidRPr="00A841AA">
        <w:t>informed</w:t>
      </w:r>
      <w:r w:rsidR="00D52FD0">
        <w:t xml:space="preserve"> </w:t>
      </w:r>
      <w:r w:rsidR="000A1AAE" w:rsidRPr="00A841AA">
        <w:t>for</w:t>
      </w:r>
      <w:r w:rsidR="00D52FD0">
        <w:t xml:space="preserve"> </w:t>
      </w:r>
      <w:r w:rsidR="000A1AAE" w:rsidRPr="00A841AA">
        <w:t>a</w:t>
      </w:r>
      <w:r w:rsidR="00D52FD0">
        <w:t xml:space="preserve"> </w:t>
      </w:r>
      <w:r w:rsidR="000A1AAE" w:rsidRPr="00A841AA">
        <w:t>potential</w:t>
      </w:r>
      <w:r w:rsidR="00D52FD0">
        <w:t xml:space="preserve"> </w:t>
      </w:r>
      <w:r w:rsidR="000A1AAE" w:rsidRPr="00A841AA">
        <w:t>transfer</w:t>
      </w:r>
      <w:r w:rsidR="00D52FD0">
        <w:t xml:space="preserve"> </w:t>
      </w:r>
      <w:r w:rsidR="000A1AAE" w:rsidRPr="00A841AA">
        <w:t>for</w:t>
      </w:r>
      <w:r w:rsidR="00D52FD0">
        <w:t xml:space="preserve"> </w:t>
      </w:r>
      <w:r w:rsidR="000A1AAE" w:rsidRPr="00A841AA">
        <w:t>further</w:t>
      </w:r>
      <w:r w:rsidR="00D52FD0">
        <w:t xml:space="preserve"> </w:t>
      </w:r>
      <w:r w:rsidR="000A1AAE" w:rsidRPr="00A841AA">
        <w:t>intensive</w:t>
      </w:r>
      <w:r w:rsidR="00D52FD0">
        <w:t xml:space="preserve"> </w:t>
      </w:r>
      <w:r w:rsidR="000A1AAE" w:rsidRPr="00A841AA">
        <w:t>care.</w:t>
      </w:r>
      <w:r w:rsidR="00D52FD0">
        <w:t xml:space="preserve"> </w:t>
      </w:r>
      <w:r w:rsidR="000A1AAE" w:rsidRPr="00A841AA">
        <w:t>So</w:t>
      </w:r>
      <w:r w:rsidR="00D52FD0">
        <w:t xml:space="preserve"> </w:t>
      </w:r>
      <w:r w:rsidR="000A1AAE" w:rsidRPr="00A841AA">
        <w:t>far</w:t>
      </w:r>
      <w:r w:rsidR="00D52FD0">
        <w:t xml:space="preserve"> </w:t>
      </w:r>
      <w:r w:rsidR="000A1AAE" w:rsidRPr="00A841AA">
        <w:t>this</w:t>
      </w:r>
      <w:r w:rsidR="00D52FD0">
        <w:t xml:space="preserve"> </w:t>
      </w:r>
      <w:r w:rsidR="000A1AAE" w:rsidRPr="00A841AA">
        <w:t>was</w:t>
      </w:r>
      <w:r w:rsidR="00D52FD0">
        <w:t xml:space="preserve"> </w:t>
      </w:r>
      <w:r w:rsidR="000A1AAE" w:rsidRPr="00A841AA">
        <w:t>never</w:t>
      </w:r>
      <w:r w:rsidR="00D52FD0">
        <w:t xml:space="preserve"> </w:t>
      </w:r>
      <w:r w:rsidR="000A1AAE" w:rsidRPr="00A841AA">
        <w:t>required.</w:t>
      </w:r>
    </w:p>
    <w:p w14:paraId="55CCAAB5" w14:textId="5AD5DB0B" w:rsidR="000A1AAE" w:rsidRPr="00DA3326" w:rsidRDefault="000A1AAE" w:rsidP="00196329">
      <w:pPr>
        <w:pStyle w:val="H56G"/>
      </w:pPr>
      <w:r>
        <w:rPr>
          <w:rFonts w:asciiTheme="minorHAnsi" w:hAnsiTheme="minorHAnsi" w:cstheme="minorBidi"/>
          <w:sz w:val="22"/>
          <w:szCs w:val="22"/>
          <w:lang w:eastAsia="ja-JP"/>
        </w:rPr>
        <w:tab/>
      </w:r>
      <w:r>
        <w:t>4.</w:t>
      </w:r>
      <w:r>
        <w:tab/>
      </w:r>
      <w:r w:rsidRPr="00DA3326">
        <w:t>Contact</w:t>
      </w:r>
      <w:r w:rsidR="00D52FD0">
        <w:t xml:space="preserve"> </w:t>
      </w:r>
      <w:r w:rsidRPr="00DA3326">
        <w:t>Tracing</w:t>
      </w:r>
      <w:r w:rsidR="00D52FD0">
        <w:t xml:space="preserve"> </w:t>
      </w:r>
      <w:r w:rsidRPr="00DA3326">
        <w:t>in</w:t>
      </w:r>
      <w:r w:rsidR="00D52FD0">
        <w:t xml:space="preserve"> </w:t>
      </w:r>
      <w:r w:rsidRPr="00DA3326">
        <w:t>Collaboration</w:t>
      </w:r>
      <w:r w:rsidR="00D52FD0">
        <w:t xml:space="preserve"> </w:t>
      </w:r>
      <w:r w:rsidRPr="00DA3326">
        <w:t>with</w:t>
      </w:r>
      <w:r w:rsidR="00D52FD0">
        <w:t xml:space="preserve"> </w:t>
      </w:r>
      <w:r w:rsidRPr="00DA3326">
        <w:t>Public</w:t>
      </w:r>
      <w:r w:rsidR="00D52FD0">
        <w:t xml:space="preserve"> </w:t>
      </w:r>
      <w:r w:rsidRPr="00DA3326">
        <w:t>Health</w:t>
      </w:r>
      <w:r w:rsidR="00D52FD0">
        <w:t xml:space="preserve"> </w:t>
      </w:r>
      <w:r w:rsidRPr="00DA3326">
        <w:t>Authorities</w:t>
      </w:r>
    </w:p>
    <w:p w14:paraId="27BDCD0E" w14:textId="0B40F93C" w:rsidR="000A1AAE" w:rsidRPr="00A841AA" w:rsidRDefault="0044637E" w:rsidP="0044637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841AA">
        <w:t>157.</w:t>
      </w:r>
      <w:r w:rsidRPr="00A841AA">
        <w:tab/>
      </w:r>
      <w:r w:rsidR="000A1AAE" w:rsidRPr="00A841AA">
        <w:rPr>
          <w:lang w:eastAsia="ja-JP"/>
        </w:rPr>
        <w:t>All</w:t>
      </w:r>
      <w:r w:rsidR="00D52FD0">
        <w:rPr>
          <w:lang w:eastAsia="ja-JP"/>
        </w:rPr>
        <w:t xml:space="preserve"> </w:t>
      </w:r>
      <w:r w:rsidR="000A1AAE" w:rsidRPr="00A841AA">
        <w:rPr>
          <w:lang w:eastAsia="ja-JP"/>
        </w:rPr>
        <w:t>contacting</w:t>
      </w:r>
      <w:r w:rsidR="00D52FD0">
        <w:rPr>
          <w:lang w:eastAsia="ja-JP"/>
        </w:rPr>
        <w:t xml:space="preserve"> </w:t>
      </w:r>
      <w:r w:rsidR="000A1AAE" w:rsidRPr="00A841AA">
        <w:rPr>
          <w:lang w:eastAsia="ja-JP"/>
        </w:rPr>
        <w:t>tracing</w:t>
      </w:r>
      <w:r w:rsidR="00D52FD0">
        <w:rPr>
          <w:lang w:eastAsia="ja-JP"/>
        </w:rPr>
        <w:t xml:space="preserve"> </w:t>
      </w:r>
      <w:r w:rsidR="000A1AAE" w:rsidRPr="00A841AA">
        <w:rPr>
          <w:lang w:eastAsia="ja-JP"/>
        </w:rPr>
        <w:t>for</w:t>
      </w:r>
      <w:r w:rsidR="00D52FD0">
        <w:rPr>
          <w:lang w:eastAsia="ja-JP"/>
        </w:rPr>
        <w:t xml:space="preserve"> </w:t>
      </w:r>
      <w:r w:rsidR="000A1AAE" w:rsidRPr="00A841AA">
        <w:rPr>
          <w:lang w:eastAsia="ja-JP"/>
        </w:rPr>
        <w:t>any</w:t>
      </w:r>
      <w:r w:rsidR="00D52FD0">
        <w:rPr>
          <w:lang w:eastAsia="ja-JP"/>
        </w:rPr>
        <w:t xml:space="preserve"> </w:t>
      </w:r>
      <w:r w:rsidR="000A1AAE" w:rsidRPr="00A841AA">
        <w:rPr>
          <w:lang w:eastAsia="ja-JP"/>
        </w:rPr>
        <w:t>positive</w:t>
      </w:r>
      <w:r w:rsidR="00D52FD0">
        <w:rPr>
          <w:lang w:eastAsia="ja-JP"/>
        </w:rPr>
        <w:t xml:space="preserve"> </w:t>
      </w:r>
      <w:r w:rsidR="000A1AAE" w:rsidRPr="00A841AA">
        <w:rPr>
          <w:lang w:eastAsia="ja-JP"/>
        </w:rPr>
        <w:t>inmates</w:t>
      </w:r>
      <w:r w:rsidR="00D52FD0">
        <w:rPr>
          <w:lang w:eastAsia="ja-JP"/>
        </w:rPr>
        <w:t xml:space="preserve"> </w:t>
      </w:r>
      <w:r w:rsidR="000A1AAE" w:rsidRPr="00A841AA">
        <w:rPr>
          <w:lang w:eastAsia="ja-JP"/>
        </w:rPr>
        <w:t>or</w:t>
      </w:r>
      <w:r w:rsidR="00D52FD0">
        <w:rPr>
          <w:lang w:eastAsia="ja-JP"/>
        </w:rPr>
        <w:t xml:space="preserve"> </w:t>
      </w:r>
      <w:r w:rsidR="000A1AAE" w:rsidRPr="00A841AA">
        <w:rPr>
          <w:lang w:eastAsia="ja-JP"/>
        </w:rPr>
        <w:t>officers</w:t>
      </w:r>
      <w:r w:rsidR="00D52FD0">
        <w:rPr>
          <w:lang w:eastAsia="ja-JP"/>
        </w:rPr>
        <w:t xml:space="preserve"> </w:t>
      </w:r>
      <w:r w:rsidR="000A1AAE" w:rsidRPr="00A841AA">
        <w:rPr>
          <w:lang w:eastAsia="ja-JP"/>
        </w:rPr>
        <w:t>since</w:t>
      </w:r>
      <w:r w:rsidR="00D52FD0">
        <w:rPr>
          <w:lang w:eastAsia="ja-JP"/>
        </w:rPr>
        <w:t xml:space="preserve"> </w:t>
      </w:r>
      <w:r w:rsidR="000A1AAE" w:rsidRPr="00A841AA">
        <w:rPr>
          <w:lang w:eastAsia="ja-JP"/>
        </w:rPr>
        <w:t>the</w:t>
      </w:r>
      <w:r w:rsidR="00D52FD0">
        <w:rPr>
          <w:lang w:eastAsia="ja-JP"/>
        </w:rPr>
        <w:t xml:space="preserve"> </w:t>
      </w:r>
      <w:r w:rsidR="000A1AAE" w:rsidRPr="00A841AA">
        <w:rPr>
          <w:lang w:eastAsia="ja-JP"/>
        </w:rPr>
        <w:t>beginning</w:t>
      </w:r>
      <w:r w:rsidR="00D52FD0">
        <w:rPr>
          <w:lang w:eastAsia="ja-JP"/>
        </w:rPr>
        <w:t xml:space="preserve"> </w:t>
      </w:r>
      <w:r w:rsidR="000A1AAE" w:rsidRPr="00A841AA">
        <w:rPr>
          <w:lang w:eastAsia="ja-JP"/>
        </w:rPr>
        <w:t>of</w:t>
      </w:r>
      <w:r w:rsidR="00D52FD0">
        <w:rPr>
          <w:lang w:eastAsia="ja-JP"/>
        </w:rPr>
        <w:t xml:space="preserve"> </w:t>
      </w:r>
      <w:r w:rsidR="000A1AAE" w:rsidRPr="00A841AA">
        <w:rPr>
          <w:lang w:eastAsia="ja-JP"/>
        </w:rPr>
        <w:t>the</w:t>
      </w:r>
      <w:r w:rsidR="00D52FD0">
        <w:rPr>
          <w:lang w:eastAsia="ja-JP"/>
        </w:rPr>
        <w:t xml:space="preserve"> </w:t>
      </w:r>
      <w:r w:rsidR="000A1AAE" w:rsidRPr="00A841AA">
        <w:rPr>
          <w:lang w:eastAsia="ja-JP"/>
        </w:rPr>
        <w:t>COVID-19</w:t>
      </w:r>
      <w:r w:rsidR="00D52FD0">
        <w:rPr>
          <w:lang w:eastAsia="ja-JP"/>
        </w:rPr>
        <w:t xml:space="preserve"> </w:t>
      </w:r>
      <w:r w:rsidR="000A1AAE" w:rsidRPr="00A841AA">
        <w:rPr>
          <w:lang w:eastAsia="ja-JP"/>
        </w:rPr>
        <w:t>pandemic</w:t>
      </w:r>
      <w:r w:rsidR="00D52FD0">
        <w:rPr>
          <w:lang w:eastAsia="ja-JP"/>
        </w:rPr>
        <w:t xml:space="preserve"> </w:t>
      </w:r>
      <w:r w:rsidR="000A1AAE" w:rsidRPr="00A841AA">
        <w:rPr>
          <w:lang w:eastAsia="ja-JP"/>
        </w:rPr>
        <w:t>has</w:t>
      </w:r>
      <w:r w:rsidR="00D52FD0">
        <w:rPr>
          <w:lang w:eastAsia="ja-JP"/>
        </w:rPr>
        <w:t xml:space="preserve"> </w:t>
      </w:r>
      <w:r w:rsidR="000A1AAE" w:rsidRPr="00A841AA">
        <w:rPr>
          <w:lang w:eastAsia="ja-JP"/>
        </w:rPr>
        <w:t>been</w:t>
      </w:r>
      <w:r w:rsidR="00D52FD0">
        <w:rPr>
          <w:lang w:eastAsia="ja-JP"/>
        </w:rPr>
        <w:t xml:space="preserve"> </w:t>
      </w:r>
      <w:r w:rsidR="000A1AAE" w:rsidRPr="00A841AA">
        <w:rPr>
          <w:lang w:eastAsia="ja-JP"/>
        </w:rPr>
        <w:t>done</w:t>
      </w:r>
      <w:r w:rsidR="00D52FD0">
        <w:rPr>
          <w:lang w:eastAsia="ja-JP"/>
        </w:rPr>
        <w:t xml:space="preserve"> </w:t>
      </w:r>
      <w:r w:rsidR="000A1AAE" w:rsidRPr="00A841AA">
        <w:rPr>
          <w:lang w:eastAsia="ja-JP"/>
        </w:rPr>
        <w:t>by</w:t>
      </w:r>
      <w:r w:rsidR="00D52FD0">
        <w:rPr>
          <w:lang w:eastAsia="ja-JP"/>
        </w:rPr>
        <w:t xml:space="preserve"> </w:t>
      </w:r>
      <w:r w:rsidR="000A1AAE" w:rsidRPr="00A841AA">
        <w:rPr>
          <w:lang w:eastAsia="ja-JP"/>
        </w:rPr>
        <w:t>the</w:t>
      </w:r>
      <w:r w:rsidR="00D52FD0">
        <w:rPr>
          <w:lang w:eastAsia="ja-JP"/>
        </w:rPr>
        <w:t xml:space="preserve"> </w:t>
      </w:r>
      <w:r w:rsidR="000A1AAE" w:rsidRPr="00A841AA">
        <w:rPr>
          <w:lang w:eastAsia="ja-JP"/>
        </w:rPr>
        <w:t>medical</w:t>
      </w:r>
      <w:r w:rsidR="00D52FD0">
        <w:rPr>
          <w:lang w:eastAsia="ja-JP"/>
        </w:rPr>
        <w:t xml:space="preserve"> </w:t>
      </w:r>
      <w:r w:rsidR="000A1AAE" w:rsidRPr="00A841AA">
        <w:rPr>
          <w:lang w:eastAsia="ja-JP"/>
        </w:rPr>
        <w:t>team</w:t>
      </w:r>
      <w:r w:rsidR="00D52FD0">
        <w:rPr>
          <w:lang w:eastAsia="ja-JP"/>
        </w:rPr>
        <w:t xml:space="preserve"> </w:t>
      </w:r>
      <w:r w:rsidR="000A1AAE" w:rsidRPr="00A841AA">
        <w:rPr>
          <w:lang w:eastAsia="ja-JP"/>
        </w:rPr>
        <w:t>at</w:t>
      </w:r>
      <w:r w:rsidR="00D52FD0">
        <w:rPr>
          <w:lang w:eastAsia="ja-JP"/>
        </w:rPr>
        <w:t xml:space="preserve"> </w:t>
      </w:r>
      <w:r w:rsidR="000A1AAE" w:rsidRPr="00A841AA">
        <w:rPr>
          <w:lang w:eastAsia="ja-JP"/>
        </w:rPr>
        <w:t>CSA.</w:t>
      </w:r>
      <w:r w:rsidR="00D52FD0">
        <w:rPr>
          <w:lang w:eastAsia="ja-JP"/>
        </w:rPr>
        <w:t xml:space="preserve"> </w:t>
      </w:r>
      <w:r w:rsidR="000A1AAE" w:rsidRPr="00A841AA">
        <w:rPr>
          <w:lang w:eastAsia="ja-JP"/>
        </w:rPr>
        <w:t>Every</w:t>
      </w:r>
      <w:r w:rsidR="00D52FD0">
        <w:rPr>
          <w:lang w:eastAsia="ja-JP"/>
        </w:rPr>
        <w:t xml:space="preserve"> </w:t>
      </w:r>
      <w:r w:rsidR="000A1AAE" w:rsidRPr="00A841AA">
        <w:rPr>
          <w:lang w:eastAsia="ja-JP"/>
        </w:rPr>
        <w:t>contact</w:t>
      </w:r>
      <w:r w:rsidR="00D52FD0">
        <w:rPr>
          <w:lang w:eastAsia="ja-JP"/>
        </w:rPr>
        <w:t xml:space="preserve"> </w:t>
      </w:r>
      <w:r w:rsidR="000A1AAE" w:rsidRPr="00A841AA">
        <w:rPr>
          <w:lang w:eastAsia="ja-JP"/>
        </w:rPr>
        <w:t>tracing</w:t>
      </w:r>
      <w:r w:rsidR="00D52FD0">
        <w:rPr>
          <w:lang w:eastAsia="ja-JP"/>
        </w:rPr>
        <w:t xml:space="preserve"> </w:t>
      </w:r>
      <w:r w:rsidR="000A1AAE" w:rsidRPr="00A841AA">
        <w:rPr>
          <w:lang w:eastAsia="ja-JP"/>
        </w:rPr>
        <w:t>report</w:t>
      </w:r>
      <w:r w:rsidR="00D52FD0">
        <w:rPr>
          <w:lang w:eastAsia="ja-JP"/>
        </w:rPr>
        <w:t xml:space="preserve"> </w:t>
      </w:r>
      <w:r w:rsidR="000A1AAE" w:rsidRPr="00A841AA">
        <w:rPr>
          <w:lang w:eastAsia="ja-JP"/>
        </w:rPr>
        <w:t>is</w:t>
      </w:r>
      <w:r w:rsidR="00D52FD0">
        <w:rPr>
          <w:lang w:eastAsia="ja-JP"/>
        </w:rPr>
        <w:t xml:space="preserve"> </w:t>
      </w:r>
      <w:r w:rsidR="000A1AAE" w:rsidRPr="00A841AA">
        <w:rPr>
          <w:lang w:eastAsia="ja-JP"/>
        </w:rPr>
        <w:t>discussed</w:t>
      </w:r>
      <w:r w:rsidR="00D52FD0">
        <w:rPr>
          <w:lang w:eastAsia="ja-JP"/>
        </w:rPr>
        <w:t xml:space="preserve"> </w:t>
      </w:r>
      <w:r w:rsidR="000A1AAE" w:rsidRPr="00A841AA">
        <w:rPr>
          <w:lang w:eastAsia="ja-JP"/>
        </w:rPr>
        <w:t>via</w:t>
      </w:r>
      <w:r w:rsidR="00D52FD0">
        <w:rPr>
          <w:lang w:eastAsia="ja-JP"/>
        </w:rPr>
        <w:t xml:space="preserve"> </w:t>
      </w:r>
      <w:r w:rsidR="000A1AAE" w:rsidRPr="00A841AA">
        <w:rPr>
          <w:lang w:eastAsia="ja-JP"/>
        </w:rPr>
        <w:t>phone</w:t>
      </w:r>
      <w:r w:rsidR="00D52FD0">
        <w:rPr>
          <w:lang w:eastAsia="ja-JP"/>
        </w:rPr>
        <w:t xml:space="preserve"> </w:t>
      </w:r>
      <w:r w:rsidR="000A1AAE" w:rsidRPr="00A841AA">
        <w:rPr>
          <w:lang w:eastAsia="ja-JP"/>
        </w:rPr>
        <w:t>or</w:t>
      </w:r>
      <w:r w:rsidR="00D52FD0">
        <w:rPr>
          <w:lang w:eastAsia="ja-JP"/>
        </w:rPr>
        <w:t xml:space="preserve"> </w:t>
      </w:r>
      <w:r w:rsidR="000A1AAE" w:rsidRPr="00A841AA">
        <w:rPr>
          <w:lang w:eastAsia="ja-JP"/>
        </w:rPr>
        <w:t>in</w:t>
      </w:r>
      <w:r w:rsidR="00D52FD0">
        <w:rPr>
          <w:lang w:eastAsia="ja-JP"/>
        </w:rPr>
        <w:t xml:space="preserve"> </w:t>
      </w:r>
      <w:r w:rsidR="000A1AAE" w:rsidRPr="00A841AA">
        <w:rPr>
          <w:lang w:eastAsia="ja-JP"/>
        </w:rPr>
        <w:t>writing</w:t>
      </w:r>
      <w:r w:rsidR="00D52FD0">
        <w:rPr>
          <w:lang w:eastAsia="ja-JP"/>
        </w:rPr>
        <w:t xml:space="preserve"> </w:t>
      </w:r>
      <w:r w:rsidR="000A1AAE" w:rsidRPr="00A841AA">
        <w:rPr>
          <w:lang w:eastAsia="ja-JP"/>
        </w:rPr>
        <w:t>with</w:t>
      </w:r>
      <w:r w:rsidR="00D52FD0">
        <w:rPr>
          <w:lang w:eastAsia="ja-JP"/>
        </w:rPr>
        <w:t xml:space="preserve"> </w:t>
      </w:r>
      <w:r w:rsidR="000A1AAE" w:rsidRPr="00A841AA">
        <w:rPr>
          <w:lang w:eastAsia="ja-JP"/>
        </w:rPr>
        <w:t>Public</w:t>
      </w:r>
      <w:r w:rsidR="00D52FD0">
        <w:rPr>
          <w:lang w:eastAsia="ja-JP"/>
        </w:rPr>
        <w:t xml:space="preserve"> </w:t>
      </w:r>
      <w:r w:rsidR="000A1AAE" w:rsidRPr="00A841AA">
        <w:rPr>
          <w:lang w:eastAsia="ja-JP"/>
        </w:rPr>
        <w:t>Health</w:t>
      </w:r>
      <w:r w:rsidR="00D52FD0">
        <w:rPr>
          <w:lang w:eastAsia="ja-JP"/>
        </w:rPr>
        <w:t xml:space="preserve"> </w:t>
      </w:r>
      <w:r w:rsidR="000A1AAE" w:rsidRPr="00A841AA">
        <w:rPr>
          <w:lang w:eastAsia="ja-JP"/>
        </w:rPr>
        <w:t>Authorities.</w:t>
      </w:r>
      <w:r w:rsidR="00D52FD0">
        <w:rPr>
          <w:lang w:eastAsia="ja-JP"/>
        </w:rPr>
        <w:t xml:space="preserve"> </w:t>
      </w:r>
      <w:r w:rsidR="000A1AAE" w:rsidRPr="00A841AA">
        <w:rPr>
          <w:lang w:eastAsia="ja-JP"/>
        </w:rPr>
        <w:t>Contact</w:t>
      </w:r>
      <w:r w:rsidR="00D52FD0">
        <w:rPr>
          <w:lang w:eastAsia="ja-JP"/>
        </w:rPr>
        <w:t xml:space="preserve"> </w:t>
      </w:r>
      <w:r w:rsidR="000A1AAE" w:rsidRPr="00A841AA">
        <w:rPr>
          <w:lang w:eastAsia="ja-JP"/>
        </w:rPr>
        <w:t>tracing</w:t>
      </w:r>
      <w:r w:rsidR="00D52FD0">
        <w:rPr>
          <w:lang w:eastAsia="ja-JP"/>
        </w:rPr>
        <w:t xml:space="preserve"> </w:t>
      </w:r>
      <w:r w:rsidR="000A1AAE" w:rsidRPr="00A841AA">
        <w:rPr>
          <w:lang w:eastAsia="ja-JP"/>
        </w:rPr>
        <w:t>is</w:t>
      </w:r>
      <w:r w:rsidR="00D52FD0">
        <w:rPr>
          <w:lang w:eastAsia="ja-JP"/>
        </w:rPr>
        <w:t xml:space="preserve"> </w:t>
      </w:r>
      <w:r w:rsidR="000A1AAE" w:rsidRPr="00A841AA">
        <w:rPr>
          <w:lang w:eastAsia="ja-JP"/>
        </w:rPr>
        <w:t>done</w:t>
      </w:r>
      <w:r w:rsidR="00D52FD0">
        <w:rPr>
          <w:lang w:eastAsia="ja-JP"/>
        </w:rPr>
        <w:t xml:space="preserve"> </w:t>
      </w:r>
      <w:r w:rsidR="000A1AAE" w:rsidRPr="00A841AA">
        <w:rPr>
          <w:lang w:eastAsia="ja-JP"/>
        </w:rPr>
        <w:t>on</w:t>
      </w:r>
      <w:r w:rsidR="00D52FD0">
        <w:rPr>
          <w:lang w:eastAsia="ja-JP"/>
        </w:rPr>
        <w:t xml:space="preserve"> </w:t>
      </w:r>
      <w:r w:rsidR="000A1AAE" w:rsidRPr="00A841AA">
        <w:rPr>
          <w:lang w:eastAsia="ja-JP"/>
        </w:rPr>
        <w:t>the</w:t>
      </w:r>
      <w:r w:rsidR="00D52FD0">
        <w:rPr>
          <w:lang w:eastAsia="ja-JP"/>
        </w:rPr>
        <w:t xml:space="preserve"> </w:t>
      </w:r>
      <w:r w:rsidR="000A1AAE" w:rsidRPr="00A841AA">
        <w:rPr>
          <w:lang w:eastAsia="ja-JP"/>
        </w:rPr>
        <w:t>same</w:t>
      </w:r>
      <w:r w:rsidR="00D52FD0">
        <w:rPr>
          <w:lang w:eastAsia="ja-JP"/>
        </w:rPr>
        <w:t xml:space="preserve"> </w:t>
      </w:r>
      <w:r w:rsidR="000A1AAE" w:rsidRPr="00A841AA">
        <w:rPr>
          <w:lang w:eastAsia="ja-JP"/>
        </w:rPr>
        <w:t>day</w:t>
      </w:r>
      <w:r w:rsidR="00D52FD0">
        <w:rPr>
          <w:lang w:eastAsia="ja-JP"/>
        </w:rPr>
        <w:t xml:space="preserve"> </w:t>
      </w:r>
      <w:r w:rsidR="000A1AAE" w:rsidRPr="00A841AA">
        <w:rPr>
          <w:lang w:eastAsia="ja-JP"/>
        </w:rPr>
        <w:t>of</w:t>
      </w:r>
      <w:r w:rsidR="00D52FD0">
        <w:rPr>
          <w:lang w:eastAsia="ja-JP"/>
        </w:rPr>
        <w:t xml:space="preserve"> </w:t>
      </w:r>
      <w:r w:rsidR="000A1AAE" w:rsidRPr="00A841AA">
        <w:rPr>
          <w:lang w:eastAsia="ja-JP"/>
        </w:rPr>
        <w:t>identification</w:t>
      </w:r>
      <w:r w:rsidR="00D52FD0">
        <w:rPr>
          <w:lang w:eastAsia="ja-JP"/>
        </w:rPr>
        <w:t xml:space="preserve"> </w:t>
      </w:r>
      <w:r w:rsidR="000A1AAE" w:rsidRPr="00A841AA">
        <w:rPr>
          <w:lang w:eastAsia="ja-JP"/>
        </w:rPr>
        <w:t>of</w:t>
      </w:r>
      <w:r w:rsidR="00D52FD0">
        <w:rPr>
          <w:lang w:eastAsia="ja-JP"/>
        </w:rPr>
        <w:t xml:space="preserve"> </w:t>
      </w:r>
      <w:r w:rsidR="000A1AAE" w:rsidRPr="00A841AA">
        <w:rPr>
          <w:lang w:eastAsia="ja-JP"/>
        </w:rPr>
        <w:t>a</w:t>
      </w:r>
      <w:r w:rsidR="00D52FD0">
        <w:rPr>
          <w:lang w:eastAsia="ja-JP"/>
        </w:rPr>
        <w:t xml:space="preserve"> </w:t>
      </w:r>
      <w:r w:rsidR="000A1AAE" w:rsidRPr="00A841AA">
        <w:rPr>
          <w:lang w:eastAsia="ja-JP"/>
        </w:rPr>
        <w:t>positive</w:t>
      </w:r>
      <w:r w:rsidR="00D52FD0">
        <w:rPr>
          <w:lang w:eastAsia="ja-JP"/>
        </w:rPr>
        <w:t xml:space="preserve"> </w:t>
      </w:r>
      <w:r w:rsidR="000A1AAE" w:rsidRPr="00A841AA">
        <w:rPr>
          <w:lang w:eastAsia="ja-JP"/>
        </w:rPr>
        <w:t>result</w:t>
      </w:r>
      <w:r w:rsidR="00D52FD0">
        <w:rPr>
          <w:lang w:eastAsia="ja-JP"/>
        </w:rPr>
        <w:t xml:space="preserve"> </w:t>
      </w:r>
      <w:r w:rsidR="00F14DA3">
        <w:rPr>
          <w:lang w:eastAsia="ja-JP"/>
        </w:rPr>
        <w:t>–</w:t>
      </w:r>
      <w:r w:rsidR="00D52FD0">
        <w:rPr>
          <w:lang w:eastAsia="ja-JP"/>
        </w:rPr>
        <w:t xml:space="preserve"> </w:t>
      </w:r>
      <w:r w:rsidR="000A1AAE" w:rsidRPr="00A841AA">
        <w:rPr>
          <w:lang w:eastAsia="ja-JP"/>
        </w:rPr>
        <w:t>so</w:t>
      </w:r>
      <w:r w:rsidR="00D52FD0">
        <w:rPr>
          <w:lang w:eastAsia="ja-JP"/>
        </w:rPr>
        <w:t xml:space="preserve"> </w:t>
      </w:r>
      <w:r w:rsidR="000A1AAE" w:rsidRPr="00A841AA">
        <w:rPr>
          <w:lang w:eastAsia="ja-JP"/>
        </w:rPr>
        <w:t>as</w:t>
      </w:r>
      <w:r w:rsidR="00D52FD0">
        <w:rPr>
          <w:lang w:eastAsia="ja-JP"/>
        </w:rPr>
        <w:t xml:space="preserve"> </w:t>
      </w:r>
      <w:r w:rsidR="000A1AAE" w:rsidRPr="00A841AA">
        <w:rPr>
          <w:lang w:eastAsia="ja-JP"/>
        </w:rPr>
        <w:t>to</w:t>
      </w:r>
      <w:r w:rsidR="00D52FD0">
        <w:rPr>
          <w:lang w:eastAsia="ja-JP"/>
        </w:rPr>
        <w:t xml:space="preserve"> </w:t>
      </w:r>
      <w:r w:rsidR="000A1AAE" w:rsidRPr="00A841AA">
        <w:rPr>
          <w:lang w:eastAsia="ja-JP"/>
        </w:rPr>
        <w:t>avoid</w:t>
      </w:r>
      <w:r w:rsidR="00D52FD0">
        <w:rPr>
          <w:lang w:eastAsia="ja-JP"/>
        </w:rPr>
        <w:t xml:space="preserve"> </w:t>
      </w:r>
      <w:r w:rsidR="000A1AAE" w:rsidRPr="00A841AA">
        <w:rPr>
          <w:lang w:eastAsia="ja-JP"/>
        </w:rPr>
        <w:t>delays</w:t>
      </w:r>
      <w:r w:rsidR="00D52FD0">
        <w:rPr>
          <w:lang w:eastAsia="ja-JP"/>
        </w:rPr>
        <w:t xml:space="preserve"> </w:t>
      </w:r>
      <w:r w:rsidR="000A1AAE" w:rsidRPr="00A841AA">
        <w:rPr>
          <w:lang w:eastAsia="ja-JP"/>
        </w:rPr>
        <w:t>in</w:t>
      </w:r>
      <w:r w:rsidR="00D52FD0">
        <w:rPr>
          <w:lang w:eastAsia="ja-JP"/>
        </w:rPr>
        <w:t xml:space="preserve"> </w:t>
      </w:r>
      <w:r w:rsidR="000A1AAE" w:rsidRPr="00A841AA">
        <w:rPr>
          <w:lang w:eastAsia="ja-JP"/>
        </w:rPr>
        <w:t>management.</w:t>
      </w:r>
    </w:p>
    <w:p w14:paraId="377049C2" w14:textId="70D80ED6" w:rsidR="000A1AAE" w:rsidRPr="00857B1D" w:rsidRDefault="000A1AAE" w:rsidP="00196329">
      <w:pPr>
        <w:pStyle w:val="H56G"/>
        <w:rPr>
          <w:u w:val="single"/>
        </w:rPr>
      </w:pPr>
      <w:r>
        <w:rPr>
          <w:i/>
          <w:iCs/>
          <w:lang w:eastAsia="ja-JP"/>
        </w:rPr>
        <w:tab/>
      </w:r>
      <w:r w:rsidRPr="00DA3326">
        <w:t>5</w:t>
      </w:r>
      <w:r>
        <w:t>.</w:t>
      </w:r>
      <w:r w:rsidR="00D52FD0">
        <w:t xml:space="preserve"> </w:t>
      </w:r>
      <w:r>
        <w:tab/>
      </w:r>
      <w:r w:rsidRPr="00DA3326">
        <w:t>Vaccination</w:t>
      </w:r>
      <w:r w:rsidR="00D52FD0">
        <w:t xml:space="preserve"> </w:t>
      </w:r>
      <w:r w:rsidRPr="00DA3326">
        <w:t>against</w:t>
      </w:r>
      <w:r w:rsidR="00D52FD0">
        <w:t xml:space="preserve"> </w:t>
      </w:r>
      <w:r w:rsidRPr="00DA3326">
        <w:t>COVID-19</w:t>
      </w:r>
    </w:p>
    <w:p w14:paraId="5AB43099" w14:textId="127A024E" w:rsidR="000E4FD0" w:rsidRDefault="0044637E" w:rsidP="0044637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>
        <w:t>158.</w:t>
      </w:r>
      <w:r>
        <w:tab/>
      </w:r>
      <w:r w:rsidR="000A1AAE" w:rsidRPr="00DA3326">
        <w:t>As</w:t>
      </w:r>
      <w:r w:rsidR="00D52FD0">
        <w:t xml:space="preserve"> </w:t>
      </w:r>
      <w:r w:rsidR="000A1AAE" w:rsidRPr="00DA3326">
        <w:t>on</w:t>
      </w:r>
      <w:r w:rsidR="00D52FD0">
        <w:t xml:space="preserve"> </w:t>
      </w:r>
      <w:r w:rsidR="000A1AAE" w:rsidRPr="00DA3326">
        <w:t>the</w:t>
      </w:r>
      <w:r w:rsidR="00D52FD0">
        <w:t xml:space="preserve"> </w:t>
      </w:r>
      <w:r w:rsidR="000A1AAE" w:rsidRPr="00DA3326">
        <w:t>6th</w:t>
      </w:r>
      <w:r w:rsidR="00D52FD0">
        <w:t xml:space="preserve"> </w:t>
      </w:r>
      <w:r w:rsidR="000A1AAE" w:rsidRPr="00DA3326">
        <w:t>of</w:t>
      </w:r>
      <w:r w:rsidR="00D52FD0">
        <w:t xml:space="preserve"> </w:t>
      </w:r>
      <w:r w:rsidR="000A1AAE" w:rsidRPr="00DA3326">
        <w:t>June</w:t>
      </w:r>
      <w:r w:rsidR="00D52FD0">
        <w:t xml:space="preserve"> </w:t>
      </w:r>
      <w:r w:rsidR="000A1AAE" w:rsidRPr="00DA3326">
        <w:t>2021</w:t>
      </w:r>
      <w:r w:rsidR="00D52FD0">
        <w:t xml:space="preserve"> </w:t>
      </w:r>
      <w:r w:rsidR="000A1AAE" w:rsidRPr="00DA3326">
        <w:t>–</w:t>
      </w:r>
      <w:r w:rsidR="00D52FD0">
        <w:t xml:space="preserve"> </w:t>
      </w:r>
      <w:r w:rsidR="000A1AAE" w:rsidRPr="00DA3326">
        <w:t>a</w:t>
      </w:r>
      <w:r w:rsidR="00D52FD0">
        <w:t xml:space="preserve"> </w:t>
      </w:r>
      <w:r w:rsidR="000A1AAE" w:rsidRPr="00DA3326">
        <w:t>total</w:t>
      </w:r>
      <w:r w:rsidR="00D52FD0">
        <w:t xml:space="preserve"> </w:t>
      </w:r>
      <w:r w:rsidR="000A1AAE" w:rsidRPr="00DA3326">
        <w:t>of</w:t>
      </w:r>
      <w:r w:rsidR="00D52FD0">
        <w:t xml:space="preserve"> </w:t>
      </w:r>
      <w:r w:rsidR="000A1AAE" w:rsidRPr="00DA3326">
        <w:t>2,655</w:t>
      </w:r>
      <w:r w:rsidR="00D52FD0">
        <w:t xml:space="preserve"> </w:t>
      </w:r>
      <w:r w:rsidR="000A1AAE" w:rsidRPr="00DA3326">
        <w:t>COVID-19</w:t>
      </w:r>
      <w:r w:rsidR="00D52FD0">
        <w:t xml:space="preserve"> </w:t>
      </w:r>
      <w:r w:rsidR="000A1AAE" w:rsidRPr="00DA3326">
        <w:t>vaccines</w:t>
      </w:r>
      <w:r w:rsidR="00D52FD0">
        <w:t xml:space="preserve"> </w:t>
      </w:r>
      <w:r w:rsidR="000A1AAE" w:rsidRPr="00DA3326">
        <w:t>have</w:t>
      </w:r>
      <w:r w:rsidR="00D52FD0">
        <w:t xml:space="preserve"> </w:t>
      </w:r>
      <w:r w:rsidR="000A1AAE" w:rsidRPr="00DA3326">
        <w:t>been</w:t>
      </w:r>
      <w:r w:rsidR="00D52FD0">
        <w:t xml:space="preserve"> </w:t>
      </w:r>
      <w:r w:rsidR="000A1AAE" w:rsidRPr="00DA3326">
        <w:t>administered</w:t>
      </w:r>
      <w:r w:rsidR="00D52FD0">
        <w:t xml:space="preserve"> </w:t>
      </w:r>
      <w:r w:rsidR="000A1AAE" w:rsidRPr="00DA3326">
        <w:t>in</w:t>
      </w:r>
      <w:r w:rsidR="00D52FD0">
        <w:t xml:space="preserve"> </w:t>
      </w:r>
      <w:r w:rsidR="000A1AAE" w:rsidRPr="00DA3326">
        <w:t>prison.</w:t>
      </w:r>
    </w:p>
    <w:p w14:paraId="162DA4D1" w14:textId="315484DE" w:rsidR="000A1AAE" w:rsidRPr="00DA3326" w:rsidRDefault="0044637E" w:rsidP="0044637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DA3326">
        <w:t>159.</w:t>
      </w:r>
      <w:r w:rsidRPr="00DA3326">
        <w:tab/>
      </w:r>
      <w:r w:rsidR="000A1AAE" w:rsidRPr="00DA3326">
        <w:t>These</w:t>
      </w:r>
      <w:r w:rsidR="00D52FD0">
        <w:t xml:space="preserve"> </w:t>
      </w:r>
      <w:r w:rsidR="000A1AAE" w:rsidRPr="00DA3326">
        <w:t>numbers</w:t>
      </w:r>
      <w:r w:rsidR="00D52FD0">
        <w:t xml:space="preserve"> </w:t>
      </w:r>
      <w:r w:rsidR="000A1AAE" w:rsidRPr="00DA3326">
        <w:t>are</w:t>
      </w:r>
      <w:r w:rsidR="00D52FD0">
        <w:t xml:space="preserve"> </w:t>
      </w:r>
      <w:r w:rsidR="000A1AAE" w:rsidRPr="00DA3326">
        <w:t>not</w:t>
      </w:r>
      <w:r w:rsidR="00D52FD0">
        <w:t xml:space="preserve"> </w:t>
      </w:r>
      <w:r w:rsidR="000A1AAE" w:rsidRPr="00DA3326">
        <w:t>inclusive</w:t>
      </w:r>
      <w:r w:rsidR="00D52FD0">
        <w:t xml:space="preserve"> </w:t>
      </w:r>
      <w:r w:rsidR="000A1AAE" w:rsidRPr="00DA3326">
        <w:t>of</w:t>
      </w:r>
      <w:r w:rsidR="00D52FD0">
        <w:t xml:space="preserve"> </w:t>
      </w:r>
      <w:r w:rsidR="000A1AAE" w:rsidRPr="00DA3326">
        <w:t>the</w:t>
      </w:r>
      <w:r w:rsidR="00D52FD0">
        <w:t xml:space="preserve"> </w:t>
      </w:r>
      <w:r w:rsidR="000A1AAE" w:rsidRPr="00DA3326">
        <w:t>few</w:t>
      </w:r>
      <w:r w:rsidR="00D52FD0">
        <w:t xml:space="preserve"> </w:t>
      </w:r>
      <w:r w:rsidR="000A1AAE" w:rsidRPr="00DA3326">
        <w:t>inmates</w:t>
      </w:r>
      <w:r w:rsidR="00D52FD0">
        <w:t xml:space="preserve"> </w:t>
      </w:r>
      <w:r w:rsidR="000A1AAE" w:rsidRPr="00DA3326">
        <w:t>vaccinated</w:t>
      </w:r>
      <w:r w:rsidR="00D52FD0">
        <w:t xml:space="preserve"> </w:t>
      </w:r>
      <w:r w:rsidR="000A1AAE" w:rsidRPr="00DA3326">
        <w:t>with</w:t>
      </w:r>
      <w:r w:rsidR="00D52FD0">
        <w:t xml:space="preserve"> </w:t>
      </w:r>
      <w:r w:rsidR="000A1AAE" w:rsidRPr="00DA3326">
        <w:t>Pfizer</w:t>
      </w:r>
      <w:r w:rsidR="00D52FD0">
        <w:t xml:space="preserve"> </w:t>
      </w:r>
      <w:r w:rsidR="000A1AAE" w:rsidRPr="00DA3326">
        <w:t>COVID-19</w:t>
      </w:r>
      <w:r w:rsidR="00D52FD0">
        <w:t xml:space="preserve"> </w:t>
      </w:r>
      <w:r w:rsidR="000A1AAE" w:rsidRPr="00DA3326">
        <w:t>vaccine</w:t>
      </w:r>
      <w:r w:rsidR="00D52FD0">
        <w:t xml:space="preserve"> </w:t>
      </w:r>
      <w:r w:rsidR="000A1AAE" w:rsidRPr="00DA3326">
        <w:t>at</w:t>
      </w:r>
      <w:r w:rsidR="00D52FD0">
        <w:t xml:space="preserve"> </w:t>
      </w:r>
      <w:r w:rsidR="000A1AAE" w:rsidRPr="00DA3326">
        <w:t>the</w:t>
      </w:r>
      <w:r w:rsidR="00D52FD0">
        <w:t xml:space="preserve"> </w:t>
      </w:r>
      <w:r w:rsidR="000A1AAE" w:rsidRPr="00DA3326">
        <w:t>Severe</w:t>
      </w:r>
      <w:r w:rsidR="00D52FD0">
        <w:t xml:space="preserve"> </w:t>
      </w:r>
      <w:r w:rsidR="000A1AAE" w:rsidRPr="00DA3326">
        <w:t>Allergy</w:t>
      </w:r>
      <w:r w:rsidR="00D52FD0">
        <w:t xml:space="preserve"> </w:t>
      </w:r>
      <w:r w:rsidR="000A1AAE" w:rsidRPr="00DA3326">
        <w:t>Clinic</w:t>
      </w:r>
      <w:r w:rsidR="00D52FD0">
        <w:t xml:space="preserve"> </w:t>
      </w:r>
      <w:r w:rsidR="000A1AAE" w:rsidRPr="00DA3326">
        <w:t>at</w:t>
      </w:r>
      <w:r w:rsidR="00D52FD0">
        <w:t xml:space="preserve"> </w:t>
      </w:r>
      <w:r w:rsidR="000A1AAE" w:rsidRPr="00DA3326">
        <w:t>Mater</w:t>
      </w:r>
      <w:r w:rsidR="00D52FD0">
        <w:t xml:space="preserve"> </w:t>
      </w:r>
      <w:r w:rsidR="000A1AAE" w:rsidRPr="00DA3326">
        <w:t>Dei</w:t>
      </w:r>
      <w:r w:rsidR="00D52FD0">
        <w:t xml:space="preserve"> </w:t>
      </w:r>
      <w:r w:rsidR="000A1AAE" w:rsidRPr="00DA3326">
        <w:t>hospital.</w:t>
      </w:r>
      <w:r w:rsidR="00D52FD0">
        <w:t xml:space="preserve"> </w:t>
      </w:r>
      <w:r w:rsidR="000A1AAE" w:rsidRPr="00DA3326">
        <w:t>It</w:t>
      </w:r>
      <w:r w:rsidR="00D52FD0">
        <w:t xml:space="preserve"> </w:t>
      </w:r>
      <w:r w:rsidR="000A1AAE" w:rsidRPr="00DA3326">
        <w:t>is</w:t>
      </w:r>
      <w:r w:rsidR="00D52FD0">
        <w:t xml:space="preserve"> </w:t>
      </w:r>
      <w:r w:rsidR="000A1AAE" w:rsidRPr="00DA3326">
        <w:t>also</w:t>
      </w:r>
      <w:r w:rsidR="00D52FD0">
        <w:t xml:space="preserve"> </w:t>
      </w:r>
      <w:r w:rsidR="000A1AAE" w:rsidRPr="00DA3326">
        <w:t>not</w:t>
      </w:r>
      <w:r w:rsidR="00D52FD0">
        <w:t xml:space="preserve"> </w:t>
      </w:r>
      <w:r w:rsidR="000A1AAE" w:rsidRPr="00DA3326">
        <w:t>inclusive</w:t>
      </w:r>
      <w:r w:rsidR="00D52FD0">
        <w:t xml:space="preserve"> </w:t>
      </w:r>
      <w:r w:rsidR="000A1AAE" w:rsidRPr="00DA3326">
        <w:t>of</w:t>
      </w:r>
      <w:r w:rsidR="00D52FD0">
        <w:t xml:space="preserve"> </w:t>
      </w:r>
      <w:r w:rsidR="000A1AAE" w:rsidRPr="00DA3326">
        <w:t>those</w:t>
      </w:r>
      <w:r w:rsidR="00D52FD0">
        <w:t xml:space="preserve"> </w:t>
      </w:r>
      <w:r w:rsidR="000A1AAE" w:rsidRPr="00DA3326">
        <w:t>who</w:t>
      </w:r>
      <w:r w:rsidR="00D52FD0">
        <w:t xml:space="preserve"> </w:t>
      </w:r>
      <w:r w:rsidR="000A1AAE" w:rsidRPr="00DA3326">
        <w:t>were</w:t>
      </w:r>
      <w:r w:rsidR="00D52FD0">
        <w:t xml:space="preserve"> </w:t>
      </w:r>
      <w:r w:rsidR="000A1AAE" w:rsidRPr="00DA3326">
        <w:t>vaccinated</w:t>
      </w:r>
      <w:r w:rsidR="00D52FD0">
        <w:t xml:space="preserve"> </w:t>
      </w:r>
      <w:r w:rsidR="000A1AAE" w:rsidRPr="00DA3326">
        <w:t>in</w:t>
      </w:r>
      <w:r w:rsidR="00D52FD0">
        <w:t xml:space="preserve"> </w:t>
      </w:r>
      <w:r w:rsidR="000A1AAE" w:rsidRPr="00DA3326">
        <w:t>the</w:t>
      </w:r>
      <w:r w:rsidR="00D52FD0">
        <w:t xml:space="preserve"> </w:t>
      </w:r>
      <w:r w:rsidR="000A1AAE" w:rsidRPr="00DA3326">
        <w:t>community</w:t>
      </w:r>
      <w:r w:rsidR="00D52FD0">
        <w:t xml:space="preserve"> </w:t>
      </w:r>
      <w:r w:rsidR="000A1AAE" w:rsidRPr="00DA3326">
        <w:t>prior</w:t>
      </w:r>
      <w:r w:rsidR="00D52FD0">
        <w:t xml:space="preserve"> </w:t>
      </w:r>
      <w:r w:rsidR="000A1AAE" w:rsidRPr="00DA3326">
        <w:t>to</w:t>
      </w:r>
      <w:r w:rsidR="00D52FD0">
        <w:t xml:space="preserve"> </w:t>
      </w:r>
      <w:r w:rsidR="000A1AAE" w:rsidRPr="00DA3326">
        <w:t>incarceration.</w:t>
      </w:r>
    </w:p>
    <w:p w14:paraId="7018A2C4" w14:textId="71B113E1" w:rsidR="000A1AAE" w:rsidRPr="00825CCA" w:rsidRDefault="0044637E" w:rsidP="0044637E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825CCA">
        <w:t>•</w:t>
      </w:r>
      <w:r w:rsidRPr="00825CCA">
        <w:tab/>
      </w:r>
      <w:r w:rsidR="000A1AAE" w:rsidRPr="00825CCA">
        <w:t>1,619</w:t>
      </w:r>
      <w:r w:rsidR="00D52FD0">
        <w:t xml:space="preserve"> </w:t>
      </w:r>
      <w:r w:rsidR="000A1AAE" w:rsidRPr="00825CCA">
        <w:t>vaccines</w:t>
      </w:r>
      <w:r w:rsidR="00D52FD0">
        <w:t xml:space="preserve"> </w:t>
      </w:r>
      <w:r w:rsidR="000A1AAE" w:rsidRPr="00825CCA">
        <w:t>have</w:t>
      </w:r>
      <w:r w:rsidR="00D52FD0">
        <w:t xml:space="preserve"> </w:t>
      </w:r>
      <w:r w:rsidR="000A1AAE" w:rsidRPr="00825CCA">
        <w:t>been</w:t>
      </w:r>
      <w:r w:rsidR="00D52FD0">
        <w:t xml:space="preserve"> </w:t>
      </w:r>
      <w:r w:rsidR="000A1AAE" w:rsidRPr="00825CCA">
        <w:t>given</w:t>
      </w:r>
      <w:r w:rsidR="00D52FD0">
        <w:t xml:space="preserve"> </w:t>
      </w:r>
      <w:r w:rsidR="000A1AAE" w:rsidRPr="00825CCA">
        <w:t>to</w:t>
      </w:r>
      <w:r w:rsidR="00D52FD0">
        <w:t xml:space="preserve"> </w:t>
      </w:r>
      <w:r w:rsidR="000A1AAE" w:rsidRPr="00825CCA">
        <w:t>inmates</w:t>
      </w:r>
      <w:r w:rsidR="00D52FD0">
        <w:t xml:space="preserve"> </w:t>
      </w:r>
      <w:r w:rsidR="000A1AAE" w:rsidRPr="00825CCA">
        <w:t>and</w:t>
      </w:r>
      <w:r w:rsidR="00D52FD0">
        <w:t xml:space="preserve"> </w:t>
      </w:r>
      <w:r w:rsidR="000A1AAE" w:rsidRPr="00825CCA">
        <w:t>1,036</w:t>
      </w:r>
      <w:r w:rsidR="00D52FD0">
        <w:t xml:space="preserve"> </w:t>
      </w:r>
      <w:r w:rsidR="000A1AAE" w:rsidRPr="00825CCA">
        <w:t>vaccines</w:t>
      </w:r>
      <w:r w:rsidR="00D52FD0">
        <w:t xml:space="preserve"> </w:t>
      </w:r>
      <w:r w:rsidR="000A1AAE" w:rsidRPr="00825CCA">
        <w:t>administered</w:t>
      </w:r>
      <w:r w:rsidR="00D52FD0">
        <w:t xml:space="preserve"> </w:t>
      </w:r>
      <w:r w:rsidR="000A1AAE" w:rsidRPr="00825CCA">
        <w:t>to</w:t>
      </w:r>
      <w:r w:rsidR="00D52FD0">
        <w:t xml:space="preserve"> </w:t>
      </w:r>
      <w:r w:rsidR="000A1AAE" w:rsidRPr="00825CCA">
        <w:t>staff.</w:t>
      </w:r>
    </w:p>
    <w:p w14:paraId="7C2925EC" w14:textId="71CA1C6A" w:rsidR="000A1AAE" w:rsidRPr="00825CCA" w:rsidRDefault="0044637E" w:rsidP="0044637E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825CCA">
        <w:t>•</w:t>
      </w:r>
      <w:r w:rsidRPr="00825CCA">
        <w:tab/>
      </w:r>
      <w:r w:rsidR="000A1AAE" w:rsidRPr="00825CCA">
        <w:t>96%</w:t>
      </w:r>
      <w:r w:rsidR="00D52FD0">
        <w:t xml:space="preserve"> </w:t>
      </w:r>
      <w:r w:rsidR="000A1AAE" w:rsidRPr="00825CCA">
        <w:t>of</w:t>
      </w:r>
      <w:r w:rsidR="00D52FD0">
        <w:t xml:space="preserve"> </w:t>
      </w:r>
      <w:r w:rsidR="000A1AAE" w:rsidRPr="00825CCA">
        <w:t>prison</w:t>
      </w:r>
      <w:r w:rsidR="00D52FD0">
        <w:t xml:space="preserve"> </w:t>
      </w:r>
      <w:r w:rsidR="000A1AAE" w:rsidRPr="00825CCA">
        <w:t>staff</w:t>
      </w:r>
      <w:r w:rsidR="00D52FD0">
        <w:t xml:space="preserve"> </w:t>
      </w:r>
      <w:r w:rsidR="000A1AAE" w:rsidRPr="00825CCA">
        <w:t>have</w:t>
      </w:r>
      <w:r w:rsidR="00D52FD0">
        <w:t xml:space="preserve"> </w:t>
      </w:r>
      <w:r w:rsidR="000A1AAE" w:rsidRPr="00825CCA">
        <w:t>accepted</w:t>
      </w:r>
      <w:r w:rsidR="00D52FD0">
        <w:t xml:space="preserve"> </w:t>
      </w:r>
      <w:r w:rsidR="000A1AAE" w:rsidRPr="00825CCA">
        <w:t>the</w:t>
      </w:r>
      <w:r w:rsidR="00D52FD0">
        <w:t xml:space="preserve"> </w:t>
      </w:r>
      <w:r w:rsidR="000A1AAE" w:rsidRPr="00825CCA">
        <w:t>first</w:t>
      </w:r>
      <w:r w:rsidR="00D52FD0">
        <w:t xml:space="preserve"> </w:t>
      </w:r>
      <w:r w:rsidR="000A1AAE" w:rsidRPr="00825CCA">
        <w:t>dose</w:t>
      </w:r>
      <w:r w:rsidR="00D52FD0">
        <w:t xml:space="preserve"> </w:t>
      </w:r>
      <w:r w:rsidR="000A1AAE" w:rsidRPr="00825CCA">
        <w:t>of</w:t>
      </w:r>
      <w:r w:rsidR="00D52FD0">
        <w:t xml:space="preserve"> </w:t>
      </w:r>
      <w:r w:rsidR="000A1AAE" w:rsidRPr="00825CCA">
        <w:t>the</w:t>
      </w:r>
      <w:r w:rsidR="00D52FD0">
        <w:t xml:space="preserve"> </w:t>
      </w:r>
      <w:r w:rsidR="000A1AAE" w:rsidRPr="00825CCA">
        <w:t>COVID-19</w:t>
      </w:r>
      <w:r w:rsidR="00D52FD0">
        <w:t xml:space="preserve"> </w:t>
      </w:r>
      <w:r w:rsidR="000A1AAE" w:rsidRPr="00825CCA">
        <w:t>vaccine.</w:t>
      </w:r>
    </w:p>
    <w:p w14:paraId="51A0BE27" w14:textId="58D801CE" w:rsidR="000A1AAE" w:rsidRPr="00825CCA" w:rsidRDefault="0044637E" w:rsidP="0044637E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825CCA">
        <w:t>•</w:t>
      </w:r>
      <w:r w:rsidRPr="00825CCA">
        <w:tab/>
      </w:r>
      <w:r w:rsidR="000A1AAE" w:rsidRPr="00825CCA">
        <w:t>94%</w:t>
      </w:r>
      <w:r w:rsidR="00D52FD0">
        <w:t xml:space="preserve"> </w:t>
      </w:r>
      <w:r w:rsidR="000A1AAE" w:rsidRPr="00825CCA">
        <w:t>of</w:t>
      </w:r>
      <w:r w:rsidR="00D52FD0">
        <w:t xml:space="preserve"> </w:t>
      </w:r>
      <w:r w:rsidR="000A1AAE" w:rsidRPr="00825CCA">
        <w:t>inmates</w:t>
      </w:r>
      <w:r w:rsidR="00D52FD0">
        <w:t xml:space="preserve"> </w:t>
      </w:r>
      <w:r w:rsidR="000A1AAE" w:rsidRPr="00825CCA">
        <w:t>have</w:t>
      </w:r>
      <w:r w:rsidR="00D52FD0">
        <w:t xml:space="preserve"> </w:t>
      </w:r>
      <w:r w:rsidR="000A1AAE" w:rsidRPr="00825CCA">
        <w:t>accepted</w:t>
      </w:r>
      <w:r w:rsidR="00D52FD0">
        <w:t xml:space="preserve"> </w:t>
      </w:r>
      <w:r w:rsidR="000A1AAE" w:rsidRPr="00825CCA">
        <w:t>the</w:t>
      </w:r>
      <w:r w:rsidR="00D52FD0">
        <w:t xml:space="preserve"> </w:t>
      </w:r>
      <w:r w:rsidR="000A1AAE" w:rsidRPr="00825CCA">
        <w:t>first</w:t>
      </w:r>
      <w:r w:rsidR="00D52FD0">
        <w:t xml:space="preserve"> </w:t>
      </w:r>
      <w:r w:rsidR="000A1AAE" w:rsidRPr="00825CCA">
        <w:t>dose</w:t>
      </w:r>
      <w:r w:rsidR="00D52FD0">
        <w:t xml:space="preserve"> </w:t>
      </w:r>
      <w:r w:rsidR="000A1AAE" w:rsidRPr="00825CCA">
        <w:t>of</w:t>
      </w:r>
      <w:r w:rsidR="00D52FD0">
        <w:t xml:space="preserve"> </w:t>
      </w:r>
      <w:r w:rsidR="000A1AAE" w:rsidRPr="00825CCA">
        <w:t>the</w:t>
      </w:r>
      <w:r w:rsidR="00D52FD0">
        <w:t xml:space="preserve"> </w:t>
      </w:r>
      <w:r w:rsidR="000A1AAE" w:rsidRPr="00825CCA">
        <w:t>COVID-19</w:t>
      </w:r>
      <w:r w:rsidR="00D52FD0">
        <w:t xml:space="preserve"> </w:t>
      </w:r>
      <w:r w:rsidR="000A1AAE" w:rsidRPr="00825CCA">
        <w:t>vaccine.</w:t>
      </w:r>
    </w:p>
    <w:p w14:paraId="1EABBBE8" w14:textId="0F9EC429" w:rsidR="000A1AAE" w:rsidRPr="00825CCA" w:rsidRDefault="0044637E" w:rsidP="0044637E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825CCA">
        <w:t>•</w:t>
      </w:r>
      <w:r w:rsidRPr="00825CCA">
        <w:tab/>
      </w:r>
      <w:r w:rsidR="000A1AAE" w:rsidRPr="00825CCA">
        <w:t>76%</w:t>
      </w:r>
      <w:r w:rsidR="00D52FD0">
        <w:t xml:space="preserve"> </w:t>
      </w:r>
      <w:r w:rsidR="000A1AAE" w:rsidRPr="00825CCA">
        <w:t>of</w:t>
      </w:r>
      <w:r w:rsidR="00D52FD0">
        <w:t xml:space="preserve"> </w:t>
      </w:r>
      <w:r w:rsidR="000A1AAE" w:rsidRPr="00825CCA">
        <w:t>inmates</w:t>
      </w:r>
      <w:r w:rsidR="00D52FD0">
        <w:t xml:space="preserve"> </w:t>
      </w:r>
      <w:r w:rsidR="000A1AAE" w:rsidRPr="00825CCA">
        <w:t>who</w:t>
      </w:r>
      <w:r w:rsidR="00D52FD0">
        <w:t xml:space="preserve"> </w:t>
      </w:r>
      <w:r w:rsidR="000A1AAE" w:rsidRPr="00825CCA">
        <w:t>have</w:t>
      </w:r>
      <w:r w:rsidR="00D52FD0">
        <w:t xml:space="preserve"> </w:t>
      </w:r>
      <w:r w:rsidR="000A1AAE" w:rsidRPr="00825CCA">
        <w:t>taken</w:t>
      </w:r>
      <w:r w:rsidR="00D52FD0">
        <w:t xml:space="preserve"> </w:t>
      </w:r>
      <w:r w:rsidR="000A1AAE" w:rsidRPr="00825CCA">
        <w:t>the</w:t>
      </w:r>
      <w:r w:rsidR="00D52FD0">
        <w:t xml:space="preserve"> </w:t>
      </w:r>
      <w:r w:rsidR="000A1AAE" w:rsidRPr="00825CCA">
        <w:t>first</w:t>
      </w:r>
      <w:r w:rsidR="00D52FD0">
        <w:t xml:space="preserve"> </w:t>
      </w:r>
      <w:r w:rsidR="000A1AAE" w:rsidRPr="00825CCA">
        <w:t>dose</w:t>
      </w:r>
      <w:r w:rsidR="00D52FD0">
        <w:t xml:space="preserve"> </w:t>
      </w:r>
      <w:r w:rsidR="000A1AAE" w:rsidRPr="00825CCA">
        <w:t>in</w:t>
      </w:r>
      <w:r w:rsidR="00D52FD0">
        <w:t xml:space="preserve"> </w:t>
      </w:r>
      <w:r w:rsidR="000A1AAE" w:rsidRPr="00825CCA">
        <w:t>prison</w:t>
      </w:r>
      <w:r w:rsidR="00D52FD0">
        <w:t xml:space="preserve"> </w:t>
      </w:r>
      <w:r w:rsidR="000A1AAE" w:rsidRPr="00825CCA">
        <w:t>have</w:t>
      </w:r>
      <w:r w:rsidR="00D52FD0">
        <w:t xml:space="preserve"> </w:t>
      </w:r>
      <w:r w:rsidR="000A1AAE" w:rsidRPr="00825CCA">
        <w:t>taken</w:t>
      </w:r>
      <w:r w:rsidR="00D52FD0">
        <w:t xml:space="preserve"> </w:t>
      </w:r>
      <w:r w:rsidR="000A1AAE" w:rsidRPr="00825CCA">
        <w:t>the</w:t>
      </w:r>
      <w:r w:rsidR="00D52FD0">
        <w:t xml:space="preserve"> </w:t>
      </w:r>
      <w:r w:rsidR="000A1AAE" w:rsidRPr="00825CCA">
        <w:t>second</w:t>
      </w:r>
      <w:r w:rsidR="00D52FD0">
        <w:t xml:space="preserve"> </w:t>
      </w:r>
      <w:r w:rsidR="000A1AAE" w:rsidRPr="00825CCA">
        <w:t>dose</w:t>
      </w:r>
      <w:r w:rsidR="00D52FD0">
        <w:t xml:space="preserve"> </w:t>
      </w:r>
      <w:r w:rsidR="000A1AAE" w:rsidRPr="00825CCA">
        <w:t>in</w:t>
      </w:r>
      <w:r w:rsidR="00D52FD0">
        <w:t xml:space="preserve"> </w:t>
      </w:r>
      <w:r w:rsidR="000A1AAE" w:rsidRPr="00825CCA">
        <w:t>prison</w:t>
      </w:r>
      <w:r w:rsidR="00D52FD0">
        <w:t xml:space="preserve"> </w:t>
      </w:r>
      <w:r w:rsidR="000A1AAE" w:rsidRPr="00825CCA">
        <w:t>too.</w:t>
      </w:r>
      <w:r w:rsidR="00D52FD0">
        <w:t xml:space="preserve"> </w:t>
      </w:r>
      <w:r w:rsidR="000A1AAE" w:rsidRPr="00825CCA">
        <w:t>Another</w:t>
      </w:r>
      <w:r w:rsidR="00D52FD0">
        <w:t xml:space="preserve"> </w:t>
      </w:r>
      <w:r w:rsidR="000A1AAE" w:rsidRPr="00825CCA">
        <w:t>10%</w:t>
      </w:r>
      <w:r w:rsidR="00D52FD0">
        <w:t xml:space="preserve"> </w:t>
      </w:r>
      <w:r w:rsidR="000A1AAE" w:rsidRPr="00825CCA">
        <w:t>have</w:t>
      </w:r>
      <w:r w:rsidR="00D52FD0">
        <w:t xml:space="preserve"> </w:t>
      </w:r>
      <w:r w:rsidR="000A1AAE" w:rsidRPr="00825CCA">
        <w:t>taken</w:t>
      </w:r>
      <w:r w:rsidR="00D52FD0">
        <w:t xml:space="preserve"> </w:t>
      </w:r>
      <w:r w:rsidR="000A1AAE" w:rsidRPr="00825CCA">
        <w:t>2</w:t>
      </w:r>
      <w:r w:rsidR="000A1AAE" w:rsidRPr="00825CCA">
        <w:rPr>
          <w:vertAlign w:val="superscript"/>
        </w:rPr>
        <w:t>nd</w:t>
      </w:r>
      <w:r w:rsidR="00D52FD0">
        <w:t xml:space="preserve"> </w:t>
      </w:r>
      <w:r w:rsidR="000A1AAE" w:rsidRPr="00825CCA">
        <w:t>dose</w:t>
      </w:r>
      <w:r w:rsidR="00D52FD0">
        <w:t xml:space="preserve"> </w:t>
      </w:r>
      <w:r w:rsidR="000A1AAE" w:rsidRPr="00825CCA">
        <w:t>of</w:t>
      </w:r>
      <w:r w:rsidR="00D52FD0">
        <w:t xml:space="preserve"> </w:t>
      </w:r>
      <w:r w:rsidR="000A1AAE" w:rsidRPr="00825CCA">
        <w:t>the</w:t>
      </w:r>
      <w:r w:rsidR="00D52FD0">
        <w:t xml:space="preserve"> </w:t>
      </w:r>
      <w:r w:rsidR="000A1AAE" w:rsidRPr="00825CCA">
        <w:t>vaccine</w:t>
      </w:r>
      <w:r w:rsidR="00D52FD0">
        <w:t xml:space="preserve"> </w:t>
      </w:r>
      <w:r w:rsidR="000A1AAE" w:rsidRPr="00825CCA">
        <w:t>in</w:t>
      </w:r>
      <w:r w:rsidR="00D52FD0">
        <w:t xml:space="preserve"> </w:t>
      </w:r>
      <w:r w:rsidR="000A1AAE" w:rsidRPr="00825CCA">
        <w:t>the</w:t>
      </w:r>
      <w:r w:rsidR="00D52FD0">
        <w:t xml:space="preserve"> </w:t>
      </w:r>
      <w:r w:rsidR="000A1AAE" w:rsidRPr="00825CCA">
        <w:t>community</w:t>
      </w:r>
      <w:r w:rsidR="00D52FD0">
        <w:t xml:space="preserve"> </w:t>
      </w:r>
      <w:r w:rsidR="000A1AAE" w:rsidRPr="00825CCA">
        <w:t>after</w:t>
      </w:r>
      <w:r w:rsidR="00D52FD0">
        <w:t xml:space="preserve"> </w:t>
      </w:r>
      <w:r w:rsidR="000A1AAE" w:rsidRPr="00825CCA">
        <w:t>being</w:t>
      </w:r>
      <w:r w:rsidR="00D52FD0">
        <w:t xml:space="preserve"> </w:t>
      </w:r>
      <w:r w:rsidR="000A1AAE" w:rsidRPr="00825CCA">
        <w:t>released</w:t>
      </w:r>
      <w:r w:rsidR="00D52FD0">
        <w:t xml:space="preserve"> </w:t>
      </w:r>
      <w:r w:rsidR="000A1AAE" w:rsidRPr="00825CCA">
        <w:t>from</w:t>
      </w:r>
      <w:r w:rsidR="00D52FD0">
        <w:t xml:space="preserve"> </w:t>
      </w:r>
      <w:r w:rsidR="000A1AAE" w:rsidRPr="00825CCA">
        <w:t>prison.</w:t>
      </w:r>
    </w:p>
    <w:p w14:paraId="3D546FAD" w14:textId="55E00EA5" w:rsidR="000A1AAE" w:rsidRPr="00F31847" w:rsidRDefault="0044637E" w:rsidP="0044637E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F31847">
        <w:t>•</w:t>
      </w:r>
      <w:r w:rsidRPr="00F31847">
        <w:tab/>
      </w:r>
      <w:r w:rsidR="000A1AAE" w:rsidRPr="00825CCA">
        <w:t>So</w:t>
      </w:r>
      <w:r w:rsidR="00D52FD0">
        <w:t xml:space="preserve"> </w:t>
      </w:r>
      <w:r w:rsidR="000A1AAE" w:rsidRPr="00825CCA">
        <w:t>far,</w:t>
      </w:r>
      <w:r w:rsidR="00D52FD0">
        <w:t xml:space="preserve"> </w:t>
      </w:r>
      <w:r w:rsidR="000A1AAE" w:rsidRPr="00825CCA">
        <w:t>all</w:t>
      </w:r>
      <w:r w:rsidR="00D52FD0">
        <w:t xml:space="preserve"> </w:t>
      </w:r>
      <w:r w:rsidR="000A1AAE" w:rsidRPr="00825CCA">
        <w:t>inmates</w:t>
      </w:r>
      <w:r w:rsidR="00D52FD0">
        <w:t xml:space="preserve"> </w:t>
      </w:r>
      <w:r w:rsidR="000A1AAE" w:rsidRPr="00825CCA">
        <w:t>who</w:t>
      </w:r>
      <w:r w:rsidR="00D52FD0">
        <w:t xml:space="preserve"> </w:t>
      </w:r>
      <w:r w:rsidR="000A1AAE" w:rsidRPr="00825CCA">
        <w:t>accepted</w:t>
      </w:r>
      <w:r w:rsidR="00D52FD0">
        <w:t xml:space="preserve"> </w:t>
      </w:r>
      <w:r w:rsidR="000A1AAE" w:rsidRPr="00825CCA">
        <w:t>the</w:t>
      </w:r>
      <w:r w:rsidR="00D52FD0">
        <w:t xml:space="preserve"> </w:t>
      </w:r>
      <w:r w:rsidR="000A1AAE" w:rsidRPr="00825CCA">
        <w:t>first</w:t>
      </w:r>
      <w:r w:rsidR="00D52FD0">
        <w:t xml:space="preserve"> </w:t>
      </w:r>
      <w:r w:rsidR="000A1AAE" w:rsidRPr="00825CCA">
        <w:t>dose</w:t>
      </w:r>
      <w:r w:rsidR="00D52FD0">
        <w:t xml:space="preserve"> </w:t>
      </w:r>
      <w:r w:rsidR="000A1AAE" w:rsidRPr="00825CCA">
        <w:t>of</w:t>
      </w:r>
      <w:r w:rsidR="00D52FD0">
        <w:t xml:space="preserve"> </w:t>
      </w:r>
      <w:r w:rsidR="000A1AAE" w:rsidRPr="00825CCA">
        <w:t>the</w:t>
      </w:r>
      <w:r w:rsidR="00D52FD0">
        <w:t xml:space="preserve"> </w:t>
      </w:r>
      <w:r w:rsidR="000A1AAE" w:rsidRPr="00825CCA">
        <w:t>vaccine</w:t>
      </w:r>
      <w:r w:rsidR="00D52FD0">
        <w:t xml:space="preserve"> </w:t>
      </w:r>
      <w:r w:rsidR="000A1AAE" w:rsidRPr="00825CCA">
        <w:t>have</w:t>
      </w:r>
      <w:r w:rsidR="00D52FD0">
        <w:t xml:space="preserve"> </w:t>
      </w:r>
      <w:r w:rsidR="000A1AAE" w:rsidRPr="00825CCA">
        <w:t>also</w:t>
      </w:r>
      <w:r w:rsidR="00D52FD0">
        <w:t xml:space="preserve"> </w:t>
      </w:r>
      <w:r w:rsidR="000A1AAE" w:rsidRPr="00825CCA">
        <w:t>accepted</w:t>
      </w:r>
      <w:r w:rsidR="00D52FD0">
        <w:t xml:space="preserve"> </w:t>
      </w:r>
      <w:r w:rsidR="000A1AAE" w:rsidRPr="00825CCA">
        <w:t>the</w:t>
      </w:r>
      <w:r w:rsidR="00D52FD0">
        <w:t xml:space="preserve"> </w:t>
      </w:r>
      <w:r w:rsidR="000A1AAE" w:rsidRPr="00825CCA">
        <w:t>second</w:t>
      </w:r>
      <w:r w:rsidR="00D52FD0">
        <w:t xml:space="preserve"> </w:t>
      </w:r>
      <w:r w:rsidR="000A1AAE" w:rsidRPr="00825CCA">
        <w:t>dose</w:t>
      </w:r>
      <w:r w:rsidR="00D52FD0">
        <w:t xml:space="preserve"> </w:t>
      </w:r>
      <w:r w:rsidR="000A1AAE" w:rsidRPr="00825CCA">
        <w:t>of</w:t>
      </w:r>
      <w:r w:rsidR="00D52FD0">
        <w:t xml:space="preserve"> </w:t>
      </w:r>
      <w:r w:rsidR="000A1AAE" w:rsidRPr="00825CCA">
        <w:t>the</w:t>
      </w:r>
      <w:r w:rsidR="00D52FD0">
        <w:t xml:space="preserve"> </w:t>
      </w:r>
      <w:r w:rsidR="000A1AAE" w:rsidRPr="00825CCA">
        <w:t>COVID-19</w:t>
      </w:r>
      <w:r w:rsidR="00D52FD0">
        <w:t xml:space="preserve"> </w:t>
      </w:r>
      <w:r w:rsidR="000A1AAE" w:rsidRPr="00825CCA">
        <w:t>vaccine.</w:t>
      </w:r>
    </w:p>
    <w:p w14:paraId="6B4D02C2" w14:textId="19392C7D" w:rsidR="000A1AAE" w:rsidRPr="00825CCA" w:rsidRDefault="000A1AAE" w:rsidP="00196329">
      <w:pPr>
        <w:pStyle w:val="H4G"/>
      </w:pPr>
      <w:r>
        <w:tab/>
      </w:r>
      <w:r>
        <w:tab/>
      </w:r>
      <w:r w:rsidRPr="00825CCA">
        <w:t>Detention</w:t>
      </w:r>
      <w:r w:rsidR="00D52FD0">
        <w:t xml:space="preserve"> </w:t>
      </w:r>
      <w:r w:rsidRPr="00825CCA">
        <w:t>Centres</w:t>
      </w:r>
    </w:p>
    <w:p w14:paraId="046FAE30" w14:textId="264C3D80" w:rsidR="000A1AAE" w:rsidRPr="00DA3326" w:rsidRDefault="0044637E" w:rsidP="0044637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DA3326">
        <w:t>160.</w:t>
      </w:r>
      <w:r w:rsidRPr="00DA3326">
        <w:tab/>
      </w:r>
      <w:r w:rsidR="000A1AAE" w:rsidRPr="00DA3326">
        <w:t>The</w:t>
      </w:r>
      <w:r w:rsidR="00D52FD0">
        <w:t xml:space="preserve"> </w:t>
      </w:r>
      <w:r w:rsidR="000A1AAE" w:rsidRPr="00DA3326">
        <w:t>Government</w:t>
      </w:r>
      <w:r w:rsidR="00D52FD0">
        <w:t xml:space="preserve"> </w:t>
      </w:r>
      <w:r w:rsidR="000A1AAE" w:rsidRPr="00DA3326">
        <w:t>has</w:t>
      </w:r>
      <w:r w:rsidR="00D52FD0">
        <w:t xml:space="preserve"> </w:t>
      </w:r>
      <w:r w:rsidR="000A1AAE" w:rsidRPr="00DA3326">
        <w:t>set</w:t>
      </w:r>
      <w:r w:rsidR="00D52FD0">
        <w:t xml:space="preserve"> </w:t>
      </w:r>
      <w:r w:rsidR="000A1AAE" w:rsidRPr="00DA3326">
        <w:t>up</w:t>
      </w:r>
      <w:r w:rsidR="00D52FD0">
        <w:t xml:space="preserve"> </w:t>
      </w:r>
      <w:r w:rsidR="000A1AAE" w:rsidRPr="00DA3326">
        <w:t>the</w:t>
      </w:r>
      <w:r w:rsidR="00D52FD0">
        <w:t xml:space="preserve"> </w:t>
      </w:r>
      <w:r w:rsidR="000A1AAE" w:rsidRPr="00DA3326">
        <w:t>necessary</w:t>
      </w:r>
      <w:r w:rsidR="00D52FD0">
        <w:t xml:space="preserve"> </w:t>
      </w:r>
      <w:r w:rsidR="000A1AAE" w:rsidRPr="00DA3326">
        <w:t>facilities</w:t>
      </w:r>
      <w:r w:rsidR="00D52FD0">
        <w:t xml:space="preserve"> </w:t>
      </w:r>
      <w:r w:rsidR="000A1AAE" w:rsidRPr="00DA3326">
        <w:t>to</w:t>
      </w:r>
      <w:r w:rsidR="00D52FD0">
        <w:t xml:space="preserve"> </w:t>
      </w:r>
      <w:r w:rsidR="000A1AAE" w:rsidRPr="00DA3326">
        <w:t>reduce</w:t>
      </w:r>
      <w:r w:rsidR="00D52FD0">
        <w:t xml:space="preserve"> </w:t>
      </w:r>
      <w:r w:rsidR="000A1AAE" w:rsidRPr="00DA3326">
        <w:t>the</w:t>
      </w:r>
      <w:r w:rsidR="00D52FD0">
        <w:t xml:space="preserve"> </w:t>
      </w:r>
      <w:r w:rsidR="000A1AAE" w:rsidRPr="00DA3326">
        <w:t>spread</w:t>
      </w:r>
      <w:r w:rsidR="00D52FD0">
        <w:t xml:space="preserve"> </w:t>
      </w:r>
      <w:r w:rsidR="000A1AAE" w:rsidRPr="00DA3326">
        <w:t>of</w:t>
      </w:r>
      <w:r w:rsidR="00D52FD0">
        <w:t xml:space="preserve"> </w:t>
      </w:r>
      <w:r w:rsidR="000A1AAE" w:rsidRPr="00DA3326">
        <w:t>COVID-19</w:t>
      </w:r>
      <w:r w:rsidR="00D52FD0">
        <w:t xml:space="preserve"> </w:t>
      </w:r>
      <w:r w:rsidR="000A1AAE" w:rsidRPr="00DA3326">
        <w:t>inside</w:t>
      </w:r>
      <w:r w:rsidR="00D52FD0">
        <w:t xml:space="preserve"> </w:t>
      </w:r>
      <w:r w:rsidR="000A1AAE" w:rsidRPr="00DA3326">
        <w:t>closed</w:t>
      </w:r>
      <w:r w:rsidR="00D52FD0">
        <w:t xml:space="preserve"> </w:t>
      </w:r>
      <w:r w:rsidR="000A1AAE" w:rsidRPr="00DA3326">
        <w:t>facilities.</w:t>
      </w:r>
      <w:r w:rsidR="00D52FD0">
        <w:t xml:space="preserve"> </w:t>
      </w:r>
      <w:r w:rsidR="000A1AAE" w:rsidRPr="00DA3326">
        <w:t>Nearly</w:t>
      </w:r>
      <w:r w:rsidR="00D52FD0">
        <w:t xml:space="preserve"> </w:t>
      </w:r>
      <w:r w:rsidR="000A1AAE" w:rsidRPr="00DA3326">
        <w:t>one</w:t>
      </w:r>
      <w:r w:rsidR="00D52FD0">
        <w:t xml:space="preserve"> </w:t>
      </w:r>
      <w:r w:rsidR="000A1AAE" w:rsidRPr="00DA3326">
        <w:t>year</w:t>
      </w:r>
      <w:r w:rsidR="00D52FD0">
        <w:t xml:space="preserve"> </w:t>
      </w:r>
      <w:r w:rsidR="000A1AAE" w:rsidRPr="00DA3326">
        <w:t>after</w:t>
      </w:r>
      <w:r w:rsidR="00D52FD0">
        <w:t xml:space="preserve"> </w:t>
      </w:r>
      <w:r w:rsidR="000A1AAE" w:rsidRPr="00DA3326">
        <w:t>the</w:t>
      </w:r>
      <w:r w:rsidR="00D52FD0">
        <w:t xml:space="preserve"> </w:t>
      </w:r>
      <w:r w:rsidR="000A1AAE" w:rsidRPr="00DA3326">
        <w:t>first</w:t>
      </w:r>
      <w:r w:rsidR="00D52FD0">
        <w:t xml:space="preserve"> </w:t>
      </w:r>
      <w:r w:rsidR="000A1AAE" w:rsidRPr="00DA3326">
        <w:t>case</w:t>
      </w:r>
      <w:r w:rsidR="00D52FD0">
        <w:t xml:space="preserve"> </w:t>
      </w:r>
      <w:r w:rsidR="000A1AAE" w:rsidRPr="00DA3326">
        <w:t>of</w:t>
      </w:r>
      <w:r w:rsidR="00D52FD0">
        <w:t xml:space="preserve"> </w:t>
      </w:r>
      <w:r w:rsidR="000A1AAE" w:rsidRPr="00DA3326">
        <w:t>COVID-19</w:t>
      </w:r>
      <w:r w:rsidR="00D52FD0">
        <w:t xml:space="preserve"> </w:t>
      </w:r>
      <w:r w:rsidR="000A1AAE" w:rsidRPr="00DA3326">
        <w:t>in</w:t>
      </w:r>
      <w:r w:rsidR="00D52FD0">
        <w:t xml:space="preserve"> </w:t>
      </w:r>
      <w:r w:rsidR="000A1AAE" w:rsidRPr="00DA3326">
        <w:t>Malta,</w:t>
      </w:r>
      <w:r w:rsidR="00D52FD0">
        <w:t xml:space="preserve"> </w:t>
      </w:r>
      <w:r w:rsidR="000A1AAE" w:rsidRPr="00DA3326">
        <w:t>the</w:t>
      </w:r>
      <w:r w:rsidR="00D52FD0">
        <w:t xml:space="preserve"> </w:t>
      </w:r>
      <w:r w:rsidR="000A1AAE" w:rsidRPr="00DA3326">
        <w:t>situation</w:t>
      </w:r>
      <w:r w:rsidR="00D52FD0">
        <w:t xml:space="preserve"> </w:t>
      </w:r>
      <w:r w:rsidR="000A1AAE" w:rsidRPr="00DA3326">
        <w:t>inside</w:t>
      </w:r>
      <w:r w:rsidR="00D52FD0">
        <w:t xml:space="preserve"> </w:t>
      </w:r>
      <w:r w:rsidR="000A1AAE" w:rsidRPr="00DA3326">
        <w:t>migrants</w:t>
      </w:r>
      <w:r w:rsidR="00F14DA3">
        <w:t>’</w:t>
      </w:r>
      <w:r w:rsidR="00D52FD0">
        <w:t xml:space="preserve"> </w:t>
      </w:r>
      <w:r w:rsidR="000A1AAE" w:rsidRPr="00DA3326">
        <w:t>centres</w:t>
      </w:r>
      <w:r w:rsidR="00D52FD0">
        <w:t xml:space="preserve"> </w:t>
      </w:r>
      <w:r w:rsidR="000A1AAE" w:rsidRPr="00DA3326">
        <w:t>has</w:t>
      </w:r>
      <w:r w:rsidR="00D52FD0">
        <w:t xml:space="preserve"> </w:t>
      </w:r>
      <w:r w:rsidR="000A1AAE" w:rsidRPr="00DA3326">
        <w:t>always</w:t>
      </w:r>
      <w:r w:rsidR="00D52FD0">
        <w:t xml:space="preserve"> </w:t>
      </w:r>
      <w:r w:rsidR="000A1AAE" w:rsidRPr="00DA3326">
        <w:t>remained</w:t>
      </w:r>
      <w:r w:rsidR="00D52FD0">
        <w:t xml:space="preserve"> </w:t>
      </w:r>
      <w:r w:rsidR="000A1AAE" w:rsidRPr="00DA3326">
        <w:t>under</w:t>
      </w:r>
      <w:r w:rsidR="00D52FD0">
        <w:t xml:space="preserve"> </w:t>
      </w:r>
      <w:r w:rsidR="000A1AAE" w:rsidRPr="00DA3326">
        <w:t>control.</w:t>
      </w:r>
    </w:p>
    <w:p w14:paraId="4B7A1585" w14:textId="3F3D1B47" w:rsidR="000A1AAE" w:rsidRPr="00DA3326" w:rsidRDefault="0044637E" w:rsidP="0044637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DA3326">
        <w:t>161.</w:t>
      </w:r>
      <w:r w:rsidRPr="00DA3326">
        <w:tab/>
      </w:r>
      <w:r w:rsidR="000A1AAE" w:rsidRPr="00DA3326">
        <w:t>In</w:t>
      </w:r>
      <w:r w:rsidR="00D52FD0">
        <w:t xml:space="preserve"> </w:t>
      </w:r>
      <w:r w:rsidR="000A1AAE" w:rsidRPr="00DA3326">
        <w:t>response</w:t>
      </w:r>
      <w:r w:rsidR="00D52FD0">
        <w:t xml:space="preserve"> </w:t>
      </w:r>
      <w:r w:rsidR="000A1AAE" w:rsidRPr="00DA3326">
        <w:t>to</w:t>
      </w:r>
      <w:r w:rsidR="00D52FD0">
        <w:t xml:space="preserve"> </w:t>
      </w:r>
      <w:r w:rsidR="000A1AAE" w:rsidRPr="00DA3326">
        <w:t>COVID-19,</w:t>
      </w:r>
      <w:r w:rsidR="00D52FD0">
        <w:t xml:space="preserve"> </w:t>
      </w:r>
      <w:r w:rsidR="000A1AAE" w:rsidRPr="00DA3326">
        <w:t>a</w:t>
      </w:r>
      <w:r w:rsidR="00D52FD0">
        <w:t xml:space="preserve"> </w:t>
      </w:r>
      <w:r w:rsidR="000A1AAE" w:rsidRPr="00DA3326">
        <w:t>new</w:t>
      </w:r>
      <w:r w:rsidR="00D52FD0">
        <w:t xml:space="preserve"> </w:t>
      </w:r>
      <w:r w:rsidR="000A1AAE" w:rsidRPr="00DA3326">
        <w:t>medical</w:t>
      </w:r>
      <w:r w:rsidR="00D52FD0">
        <w:t xml:space="preserve"> </w:t>
      </w:r>
      <w:r w:rsidR="000A1AAE" w:rsidRPr="00DA3326">
        <w:t>facility</w:t>
      </w:r>
      <w:r w:rsidR="00D52FD0">
        <w:t xml:space="preserve"> </w:t>
      </w:r>
      <w:r w:rsidR="000A1AAE" w:rsidRPr="00DA3326">
        <w:t>(HIRC)</w:t>
      </w:r>
      <w:r w:rsidR="00D52FD0">
        <w:t xml:space="preserve"> </w:t>
      </w:r>
      <w:r w:rsidR="000A1AAE" w:rsidRPr="00DA3326">
        <w:t>has</w:t>
      </w:r>
      <w:r w:rsidR="00D52FD0">
        <w:t xml:space="preserve"> </w:t>
      </w:r>
      <w:r w:rsidR="000A1AAE" w:rsidRPr="00DA3326">
        <w:t>been</w:t>
      </w:r>
      <w:r w:rsidR="00D52FD0">
        <w:t xml:space="preserve"> </w:t>
      </w:r>
      <w:r w:rsidR="000A1AAE" w:rsidRPr="00DA3326">
        <w:t>set</w:t>
      </w:r>
      <w:r w:rsidR="00D52FD0">
        <w:t xml:space="preserve"> </w:t>
      </w:r>
      <w:r w:rsidR="000A1AAE" w:rsidRPr="00DA3326">
        <w:t>up</w:t>
      </w:r>
      <w:r w:rsidR="00D52FD0">
        <w:t xml:space="preserve"> </w:t>
      </w:r>
      <w:r w:rsidR="000A1AAE" w:rsidRPr="00DA3326">
        <w:t>as</w:t>
      </w:r>
      <w:r w:rsidR="00D52FD0">
        <w:t xml:space="preserve"> </w:t>
      </w:r>
      <w:r w:rsidR="000A1AAE" w:rsidRPr="00DA3326">
        <w:t>part</w:t>
      </w:r>
      <w:r w:rsidR="00D52FD0">
        <w:t xml:space="preserve"> </w:t>
      </w:r>
      <w:r w:rsidR="000A1AAE" w:rsidRPr="00DA3326">
        <w:t>of</w:t>
      </w:r>
      <w:r w:rsidR="00D52FD0">
        <w:t xml:space="preserve"> </w:t>
      </w:r>
      <w:r w:rsidR="000A1AAE" w:rsidRPr="00DA3326">
        <w:t>the</w:t>
      </w:r>
      <w:r w:rsidR="00D52FD0">
        <w:t xml:space="preserve"> </w:t>
      </w:r>
      <w:r w:rsidR="000A1AAE" w:rsidRPr="00DA3326">
        <w:t>contingency</w:t>
      </w:r>
      <w:r w:rsidR="00D52FD0">
        <w:t xml:space="preserve"> </w:t>
      </w:r>
      <w:r w:rsidR="000A1AAE" w:rsidRPr="00DA3326">
        <w:t>measures</w:t>
      </w:r>
      <w:r w:rsidR="00D52FD0">
        <w:t xml:space="preserve"> </w:t>
      </w:r>
      <w:r w:rsidR="000A1AAE" w:rsidRPr="00DA3326">
        <w:t>being</w:t>
      </w:r>
      <w:r w:rsidR="00D52FD0">
        <w:t xml:space="preserve"> </w:t>
      </w:r>
      <w:r w:rsidR="000A1AAE" w:rsidRPr="00DA3326">
        <w:t>taken</w:t>
      </w:r>
      <w:r w:rsidR="00D52FD0">
        <w:t xml:space="preserve"> </w:t>
      </w:r>
      <w:r w:rsidR="000A1AAE" w:rsidRPr="00DA3326">
        <w:t>to</w:t>
      </w:r>
      <w:r w:rsidR="00D52FD0">
        <w:t xml:space="preserve"> </w:t>
      </w:r>
      <w:r w:rsidR="000A1AAE" w:rsidRPr="00DA3326">
        <w:t>contain</w:t>
      </w:r>
      <w:r w:rsidR="00D52FD0">
        <w:t xml:space="preserve"> </w:t>
      </w:r>
      <w:r w:rsidR="000A1AAE" w:rsidRPr="00DA3326">
        <w:t>the</w:t>
      </w:r>
      <w:r w:rsidR="00D52FD0">
        <w:t xml:space="preserve"> </w:t>
      </w:r>
      <w:r w:rsidR="000A1AAE" w:rsidRPr="00DA3326">
        <w:t>outbreak</w:t>
      </w:r>
      <w:r w:rsidR="00D52FD0">
        <w:t xml:space="preserve"> </w:t>
      </w:r>
      <w:r w:rsidR="000A1AAE" w:rsidRPr="00DA3326">
        <w:t>of</w:t>
      </w:r>
      <w:r w:rsidR="00D52FD0">
        <w:t xml:space="preserve"> </w:t>
      </w:r>
      <w:r w:rsidR="000A1AAE" w:rsidRPr="00DA3326">
        <w:t>COVID-19.</w:t>
      </w:r>
      <w:r w:rsidR="00D52FD0">
        <w:t xml:space="preserve"> </w:t>
      </w:r>
      <w:r w:rsidR="000A1AAE" w:rsidRPr="00DA3326">
        <w:t>The</w:t>
      </w:r>
      <w:r w:rsidR="00D52FD0">
        <w:t xml:space="preserve"> </w:t>
      </w:r>
      <w:r w:rsidR="000A1AAE" w:rsidRPr="00DA3326">
        <w:t>building</w:t>
      </w:r>
      <w:r w:rsidR="00D52FD0">
        <w:t xml:space="preserve"> </w:t>
      </w:r>
      <w:r w:rsidR="000A1AAE" w:rsidRPr="00DA3326">
        <w:t>is</w:t>
      </w:r>
      <w:r w:rsidR="00D52FD0">
        <w:t xml:space="preserve"> </w:t>
      </w:r>
      <w:r w:rsidR="000A1AAE" w:rsidRPr="00DA3326">
        <w:t>being</w:t>
      </w:r>
      <w:r w:rsidR="00D52FD0">
        <w:t xml:space="preserve"> </w:t>
      </w:r>
      <w:r w:rsidR="000A1AAE" w:rsidRPr="00DA3326">
        <w:t>used</w:t>
      </w:r>
      <w:r w:rsidR="00D52FD0">
        <w:t xml:space="preserve"> </w:t>
      </w:r>
      <w:r w:rsidR="000A1AAE" w:rsidRPr="00DA3326">
        <w:t>to</w:t>
      </w:r>
      <w:r w:rsidR="00D52FD0">
        <w:t xml:space="preserve"> </w:t>
      </w:r>
      <w:r w:rsidR="000A1AAE" w:rsidRPr="00DA3326">
        <w:t>accommodate</w:t>
      </w:r>
      <w:r w:rsidR="00D52FD0">
        <w:t xml:space="preserve"> </w:t>
      </w:r>
      <w:r w:rsidR="000A1AAE" w:rsidRPr="00DA3326">
        <w:t>residents</w:t>
      </w:r>
      <w:r w:rsidR="00D52FD0">
        <w:t xml:space="preserve"> </w:t>
      </w:r>
      <w:r w:rsidR="000A1AAE" w:rsidRPr="00DA3326">
        <w:t>who</w:t>
      </w:r>
      <w:r w:rsidR="00D52FD0">
        <w:t xml:space="preserve"> </w:t>
      </w:r>
      <w:r w:rsidR="000A1AAE" w:rsidRPr="00DA3326">
        <w:t>have</w:t>
      </w:r>
      <w:r w:rsidR="00D52FD0">
        <w:t xml:space="preserve"> </w:t>
      </w:r>
      <w:r w:rsidR="000A1AAE" w:rsidRPr="00DA3326">
        <w:t>tested</w:t>
      </w:r>
      <w:r w:rsidR="00D52FD0">
        <w:t xml:space="preserve"> </w:t>
      </w:r>
      <w:r w:rsidR="000A1AAE" w:rsidRPr="00DA3326">
        <w:t>positive</w:t>
      </w:r>
      <w:r w:rsidR="00D52FD0">
        <w:t xml:space="preserve"> </w:t>
      </w:r>
      <w:r w:rsidR="000A1AAE" w:rsidRPr="00DA3326">
        <w:t>for</w:t>
      </w:r>
      <w:r w:rsidR="00D52FD0">
        <w:t xml:space="preserve"> </w:t>
      </w:r>
      <w:r w:rsidR="000A1AAE" w:rsidRPr="00DA3326">
        <w:t>the</w:t>
      </w:r>
      <w:r w:rsidR="00D52FD0">
        <w:t xml:space="preserve"> </w:t>
      </w:r>
      <w:r w:rsidR="000A1AAE" w:rsidRPr="00DA3326">
        <w:t>virus</w:t>
      </w:r>
      <w:r w:rsidR="00D52FD0">
        <w:t xml:space="preserve"> </w:t>
      </w:r>
      <w:r w:rsidR="000A1AAE" w:rsidRPr="00DA3326">
        <w:t>and</w:t>
      </w:r>
      <w:r w:rsidR="00D52FD0">
        <w:t xml:space="preserve"> </w:t>
      </w:r>
      <w:r w:rsidR="000A1AAE" w:rsidRPr="00DA3326">
        <w:t>must</w:t>
      </w:r>
      <w:r w:rsidR="00D52FD0">
        <w:t xml:space="preserve"> </w:t>
      </w:r>
      <w:r w:rsidR="000A1AAE" w:rsidRPr="00DA3326">
        <w:t>remain</w:t>
      </w:r>
      <w:r w:rsidR="00D52FD0">
        <w:t xml:space="preserve"> </w:t>
      </w:r>
      <w:r w:rsidR="000A1AAE" w:rsidRPr="00DA3326">
        <w:t>in</w:t>
      </w:r>
      <w:r w:rsidR="00D52FD0">
        <w:t xml:space="preserve"> </w:t>
      </w:r>
      <w:r w:rsidR="000A1AAE" w:rsidRPr="00DA3326">
        <w:t>isolation</w:t>
      </w:r>
      <w:r w:rsidR="00D52FD0">
        <w:t xml:space="preserve"> </w:t>
      </w:r>
      <w:r w:rsidR="000A1AAE" w:rsidRPr="00DA3326">
        <w:t>until</w:t>
      </w:r>
      <w:r w:rsidR="00D52FD0">
        <w:t xml:space="preserve"> </w:t>
      </w:r>
      <w:r w:rsidR="000A1AAE" w:rsidRPr="00DA3326">
        <w:t>they</w:t>
      </w:r>
      <w:r w:rsidR="00D52FD0">
        <w:t xml:space="preserve"> </w:t>
      </w:r>
      <w:r w:rsidR="000A1AAE" w:rsidRPr="00DA3326">
        <w:t>recover.</w:t>
      </w:r>
      <w:r w:rsidR="00D52FD0">
        <w:t xml:space="preserve"> </w:t>
      </w:r>
      <w:r w:rsidR="000A1AAE" w:rsidRPr="00DA3326">
        <w:t>It</w:t>
      </w:r>
      <w:r w:rsidR="00D52FD0">
        <w:t xml:space="preserve"> </w:t>
      </w:r>
      <w:r w:rsidR="000A1AAE" w:rsidRPr="00DA3326">
        <w:t>is</w:t>
      </w:r>
      <w:r w:rsidR="00D52FD0">
        <w:t xml:space="preserve"> </w:t>
      </w:r>
      <w:r w:rsidR="000A1AAE" w:rsidRPr="00DA3326">
        <w:t>important</w:t>
      </w:r>
      <w:r w:rsidR="00D52FD0">
        <w:t xml:space="preserve"> </w:t>
      </w:r>
      <w:r w:rsidR="000A1AAE" w:rsidRPr="00DA3326">
        <w:t>to</w:t>
      </w:r>
      <w:r w:rsidR="00D52FD0">
        <w:t xml:space="preserve"> </w:t>
      </w:r>
      <w:r w:rsidR="000A1AAE" w:rsidRPr="00DA3326">
        <w:t>clarify</w:t>
      </w:r>
      <w:r w:rsidR="00D52FD0">
        <w:t xml:space="preserve"> </w:t>
      </w:r>
      <w:r w:rsidR="000A1AAE" w:rsidRPr="00DA3326">
        <w:t>that</w:t>
      </w:r>
      <w:r w:rsidR="00D52FD0">
        <w:t xml:space="preserve"> </w:t>
      </w:r>
      <w:r w:rsidR="000A1AAE" w:rsidRPr="00DA3326">
        <w:t>no</w:t>
      </w:r>
      <w:r w:rsidR="00D52FD0">
        <w:t xml:space="preserve"> </w:t>
      </w:r>
      <w:r w:rsidR="000A1AAE" w:rsidRPr="00DA3326">
        <w:t>women</w:t>
      </w:r>
      <w:r w:rsidR="00D52FD0">
        <w:t xml:space="preserve"> </w:t>
      </w:r>
      <w:r w:rsidR="000A1AAE" w:rsidRPr="00DA3326">
        <w:t>or</w:t>
      </w:r>
      <w:r w:rsidR="00D52FD0">
        <w:t xml:space="preserve"> </w:t>
      </w:r>
      <w:r w:rsidR="000A1AAE" w:rsidRPr="00DA3326">
        <w:t>minors</w:t>
      </w:r>
      <w:r w:rsidR="00D52FD0">
        <w:t xml:space="preserve"> </w:t>
      </w:r>
      <w:r w:rsidR="000A1AAE" w:rsidRPr="00DA3326">
        <w:t>were</w:t>
      </w:r>
      <w:r w:rsidR="00D52FD0">
        <w:t xml:space="preserve"> </w:t>
      </w:r>
      <w:r w:rsidR="000A1AAE" w:rsidRPr="00DA3326">
        <w:t>treated</w:t>
      </w:r>
      <w:r w:rsidR="00D52FD0">
        <w:t xml:space="preserve"> </w:t>
      </w:r>
      <w:r w:rsidR="000A1AAE" w:rsidRPr="00DA3326">
        <w:t>at</w:t>
      </w:r>
      <w:r w:rsidR="00D52FD0">
        <w:t xml:space="preserve"> </w:t>
      </w:r>
      <w:r w:rsidR="000A1AAE" w:rsidRPr="00DA3326">
        <w:t>HIRC.</w:t>
      </w:r>
      <w:r w:rsidR="00D52FD0">
        <w:t xml:space="preserve"> </w:t>
      </w:r>
      <w:r w:rsidR="000A1AAE" w:rsidRPr="00DA3326">
        <w:t>These</w:t>
      </w:r>
      <w:r w:rsidR="00D52FD0">
        <w:t xml:space="preserve"> </w:t>
      </w:r>
      <w:r w:rsidR="000A1AAE" w:rsidRPr="00DA3326">
        <w:t>were</w:t>
      </w:r>
      <w:r w:rsidR="00D52FD0">
        <w:t xml:space="preserve"> </w:t>
      </w:r>
      <w:r w:rsidR="000A1AAE" w:rsidRPr="00DA3326">
        <w:t>either</w:t>
      </w:r>
      <w:r w:rsidR="00D52FD0">
        <w:t xml:space="preserve"> </w:t>
      </w:r>
      <w:r w:rsidR="000A1AAE" w:rsidRPr="00DA3326">
        <w:t>isolated</w:t>
      </w:r>
      <w:r w:rsidR="00D52FD0">
        <w:t xml:space="preserve"> </w:t>
      </w:r>
      <w:r w:rsidR="000A1AAE" w:rsidRPr="00DA3326">
        <w:t>at</w:t>
      </w:r>
      <w:r w:rsidR="00D52FD0">
        <w:t xml:space="preserve"> </w:t>
      </w:r>
      <w:r w:rsidR="000A1AAE" w:rsidRPr="00DA3326">
        <w:t>their</w:t>
      </w:r>
      <w:r w:rsidR="00D52FD0">
        <w:t xml:space="preserve"> </w:t>
      </w:r>
      <w:r w:rsidR="000A1AAE" w:rsidRPr="00DA3326">
        <w:t>respective</w:t>
      </w:r>
      <w:r w:rsidR="00D52FD0">
        <w:t xml:space="preserve"> </w:t>
      </w:r>
      <w:r w:rsidR="000A1AAE" w:rsidRPr="00DA3326">
        <w:t>reception</w:t>
      </w:r>
      <w:r w:rsidR="00D52FD0">
        <w:t xml:space="preserve"> </w:t>
      </w:r>
      <w:r w:rsidR="000A1AAE" w:rsidRPr="00DA3326">
        <w:t>centres</w:t>
      </w:r>
      <w:r w:rsidR="00D52FD0">
        <w:t xml:space="preserve"> </w:t>
      </w:r>
      <w:r w:rsidR="000A1AAE" w:rsidRPr="00DA3326">
        <w:t>or</w:t>
      </w:r>
      <w:r w:rsidR="00D52FD0">
        <w:t xml:space="preserve"> </w:t>
      </w:r>
      <w:r w:rsidR="000A1AAE" w:rsidRPr="00DA3326">
        <w:t>treated</w:t>
      </w:r>
      <w:r w:rsidR="00D52FD0">
        <w:t xml:space="preserve"> </w:t>
      </w:r>
      <w:r w:rsidR="000A1AAE" w:rsidRPr="00DA3326">
        <w:t>at</w:t>
      </w:r>
      <w:r w:rsidR="00D52FD0">
        <w:t xml:space="preserve"> </w:t>
      </w:r>
      <w:r w:rsidR="000A1AAE" w:rsidRPr="00DA3326">
        <w:t>public</w:t>
      </w:r>
      <w:r w:rsidR="00D52FD0">
        <w:t xml:space="preserve"> </w:t>
      </w:r>
      <w:r w:rsidR="000A1AAE" w:rsidRPr="00DA3326">
        <w:t>or</w:t>
      </w:r>
      <w:r w:rsidR="00D52FD0">
        <w:t xml:space="preserve"> </w:t>
      </w:r>
      <w:r w:rsidR="000A1AAE" w:rsidRPr="00DA3326">
        <w:t>private</w:t>
      </w:r>
      <w:r w:rsidR="00D52FD0">
        <w:t xml:space="preserve"> </w:t>
      </w:r>
      <w:r w:rsidR="000A1AAE" w:rsidRPr="00DA3326">
        <w:t>hospitals.</w:t>
      </w:r>
      <w:r w:rsidR="00D52FD0">
        <w:t xml:space="preserve"> </w:t>
      </w:r>
      <w:r w:rsidR="000A1AAE" w:rsidRPr="00DA3326">
        <w:t>Pregnant</w:t>
      </w:r>
      <w:r w:rsidR="00D52FD0">
        <w:t xml:space="preserve"> </w:t>
      </w:r>
      <w:r w:rsidR="000A1AAE" w:rsidRPr="00DA3326">
        <w:t>migrants</w:t>
      </w:r>
      <w:r w:rsidR="00D52FD0">
        <w:t xml:space="preserve"> </w:t>
      </w:r>
      <w:r w:rsidR="000A1AAE" w:rsidRPr="00DA3326">
        <w:t>who</w:t>
      </w:r>
      <w:r w:rsidR="00D52FD0">
        <w:t xml:space="preserve"> </w:t>
      </w:r>
      <w:r w:rsidR="000A1AAE" w:rsidRPr="00DA3326">
        <w:t>had</w:t>
      </w:r>
      <w:r w:rsidR="00D52FD0">
        <w:t xml:space="preserve"> </w:t>
      </w:r>
      <w:r w:rsidR="000A1AAE" w:rsidRPr="00DA3326">
        <w:t>COVID-19</w:t>
      </w:r>
      <w:r w:rsidR="00D52FD0">
        <w:t xml:space="preserve"> </w:t>
      </w:r>
      <w:r w:rsidR="000A1AAE" w:rsidRPr="00DA3326">
        <w:t>gave</w:t>
      </w:r>
      <w:r w:rsidR="00D52FD0">
        <w:t xml:space="preserve"> </w:t>
      </w:r>
      <w:r w:rsidR="000A1AAE" w:rsidRPr="00DA3326">
        <w:t>birth</w:t>
      </w:r>
      <w:r w:rsidR="00D52FD0">
        <w:t xml:space="preserve"> </w:t>
      </w:r>
      <w:r w:rsidR="000A1AAE" w:rsidRPr="00DA3326">
        <w:t>without</w:t>
      </w:r>
      <w:r w:rsidR="00D52FD0">
        <w:t xml:space="preserve"> </w:t>
      </w:r>
      <w:r w:rsidR="000A1AAE" w:rsidRPr="00DA3326">
        <w:t>any</w:t>
      </w:r>
      <w:r w:rsidR="00D52FD0">
        <w:t xml:space="preserve"> </w:t>
      </w:r>
      <w:r w:rsidR="000A1AAE" w:rsidRPr="00DA3326">
        <w:t>complications.</w:t>
      </w:r>
    </w:p>
    <w:p w14:paraId="583C1D20" w14:textId="57DFC95F" w:rsidR="000E4FD0" w:rsidRDefault="0044637E" w:rsidP="0044637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>
        <w:t>162.</w:t>
      </w:r>
      <w:r>
        <w:tab/>
      </w:r>
      <w:r w:rsidR="000A1AAE" w:rsidRPr="00DA3326">
        <w:t>A</w:t>
      </w:r>
      <w:r w:rsidR="00D52FD0">
        <w:t xml:space="preserve"> </w:t>
      </w:r>
      <w:r w:rsidR="000A1AAE" w:rsidRPr="00DA3326">
        <w:t>new</w:t>
      </w:r>
      <w:r w:rsidR="00D52FD0">
        <w:t xml:space="preserve"> </w:t>
      </w:r>
      <w:r w:rsidR="000A1AAE" w:rsidRPr="00DA3326">
        <w:t>medical</w:t>
      </w:r>
      <w:r w:rsidR="00D52FD0">
        <w:t xml:space="preserve"> </w:t>
      </w:r>
      <w:r w:rsidR="000A1AAE" w:rsidRPr="00DA3326">
        <w:t>facility</w:t>
      </w:r>
      <w:r w:rsidR="00D52FD0">
        <w:t xml:space="preserve"> </w:t>
      </w:r>
      <w:r w:rsidR="000A1AAE" w:rsidRPr="00DA3326">
        <w:t>has</w:t>
      </w:r>
      <w:r w:rsidR="00D52FD0">
        <w:t xml:space="preserve"> </w:t>
      </w:r>
      <w:r w:rsidR="000A1AAE" w:rsidRPr="00DA3326">
        <w:t>been</w:t>
      </w:r>
      <w:r w:rsidR="00D52FD0">
        <w:t xml:space="preserve"> </w:t>
      </w:r>
      <w:r w:rsidR="000A1AAE" w:rsidRPr="00DA3326">
        <w:t>constructed</w:t>
      </w:r>
      <w:r w:rsidR="00D52FD0">
        <w:t xml:space="preserve"> </w:t>
      </w:r>
      <w:r w:rsidR="000A1AAE" w:rsidRPr="00DA3326">
        <w:t>at</w:t>
      </w:r>
      <w:r w:rsidR="00D52FD0">
        <w:t xml:space="preserve"> </w:t>
      </w:r>
      <w:r w:rsidR="000A1AAE" w:rsidRPr="00DA3326">
        <w:t>Safi</w:t>
      </w:r>
      <w:r w:rsidR="00D52FD0">
        <w:t xml:space="preserve"> </w:t>
      </w:r>
      <w:r w:rsidR="000A1AAE" w:rsidRPr="00DA3326">
        <w:t>adjacent</w:t>
      </w:r>
      <w:r w:rsidR="00D52FD0">
        <w:t xml:space="preserve"> </w:t>
      </w:r>
      <w:r w:rsidR="000A1AAE" w:rsidRPr="00DA3326">
        <w:t>to</w:t>
      </w:r>
      <w:r w:rsidR="00D52FD0">
        <w:t xml:space="preserve"> </w:t>
      </w:r>
      <w:r w:rsidR="000A1AAE" w:rsidRPr="00DA3326">
        <w:t>the</w:t>
      </w:r>
      <w:r w:rsidR="00D52FD0">
        <w:t xml:space="preserve"> </w:t>
      </w:r>
      <w:r w:rsidR="000A1AAE" w:rsidRPr="00DA3326">
        <w:t>closed</w:t>
      </w:r>
      <w:r w:rsidR="00D52FD0">
        <w:t xml:space="preserve"> </w:t>
      </w:r>
      <w:r w:rsidR="000A1AAE" w:rsidRPr="00DA3326">
        <w:t>facility.</w:t>
      </w:r>
      <w:r w:rsidR="00D52FD0">
        <w:t xml:space="preserve"> </w:t>
      </w:r>
      <w:r w:rsidR="000A1AAE" w:rsidRPr="00DA3326">
        <w:t>The</w:t>
      </w:r>
      <w:r w:rsidR="00D52FD0">
        <w:t xml:space="preserve"> </w:t>
      </w:r>
      <w:r w:rsidR="000A1AAE" w:rsidRPr="00DA3326">
        <w:t>facility</w:t>
      </w:r>
      <w:r w:rsidR="00D52FD0">
        <w:t xml:space="preserve"> </w:t>
      </w:r>
      <w:r w:rsidR="000A1AAE" w:rsidRPr="00DA3326">
        <w:t>is</w:t>
      </w:r>
      <w:r w:rsidR="00D52FD0">
        <w:t xml:space="preserve"> </w:t>
      </w:r>
      <w:r w:rsidR="000A1AAE" w:rsidRPr="00DA3326">
        <w:t>expected</w:t>
      </w:r>
      <w:r w:rsidR="00D52FD0">
        <w:t xml:space="preserve"> </w:t>
      </w:r>
      <w:r w:rsidR="000A1AAE" w:rsidRPr="00DA3326">
        <w:t>to</w:t>
      </w:r>
      <w:r w:rsidR="00D52FD0">
        <w:t xml:space="preserve"> </w:t>
      </w:r>
      <w:r w:rsidR="000A1AAE" w:rsidRPr="00DA3326">
        <w:t>start</w:t>
      </w:r>
      <w:r w:rsidR="00D52FD0">
        <w:t xml:space="preserve"> </w:t>
      </w:r>
      <w:r w:rsidR="000A1AAE" w:rsidRPr="00DA3326">
        <w:t>operating</w:t>
      </w:r>
      <w:r w:rsidR="00D52FD0">
        <w:t xml:space="preserve"> </w:t>
      </w:r>
      <w:r w:rsidR="000A1AAE" w:rsidRPr="00DA3326">
        <w:t>in</w:t>
      </w:r>
      <w:r w:rsidR="00D52FD0">
        <w:t xml:space="preserve"> </w:t>
      </w:r>
      <w:r w:rsidR="000A1AAE" w:rsidRPr="00DA3326">
        <w:t>the</w:t>
      </w:r>
      <w:r w:rsidR="00D52FD0">
        <w:t xml:space="preserve"> </w:t>
      </w:r>
      <w:r w:rsidR="000A1AAE" w:rsidRPr="00DA3326">
        <w:t>coming</w:t>
      </w:r>
      <w:r w:rsidR="00D52FD0">
        <w:t xml:space="preserve"> </w:t>
      </w:r>
      <w:r w:rsidR="000A1AAE" w:rsidRPr="00DA3326">
        <w:t>weeks.</w:t>
      </w:r>
      <w:r w:rsidR="00D52FD0">
        <w:t xml:space="preserve"> </w:t>
      </w:r>
      <w:r w:rsidR="000A1AAE" w:rsidRPr="00DA3326">
        <w:t>It</w:t>
      </w:r>
      <w:r w:rsidR="00D52FD0">
        <w:t xml:space="preserve"> </w:t>
      </w:r>
      <w:r w:rsidR="000A1AAE" w:rsidRPr="00DA3326">
        <w:t>aims</w:t>
      </w:r>
      <w:r w:rsidR="00D52FD0">
        <w:t xml:space="preserve"> </w:t>
      </w:r>
      <w:r w:rsidR="000A1AAE" w:rsidRPr="00DA3326">
        <w:t>to</w:t>
      </w:r>
      <w:r w:rsidR="00D52FD0">
        <w:t xml:space="preserve"> </w:t>
      </w:r>
      <w:r w:rsidR="000A1AAE" w:rsidRPr="00DA3326">
        <w:t>(i)</w:t>
      </w:r>
      <w:r w:rsidR="00D52FD0">
        <w:t xml:space="preserve"> </w:t>
      </w:r>
      <w:r w:rsidR="000A1AAE" w:rsidRPr="00DA3326">
        <w:t>serve</w:t>
      </w:r>
      <w:r w:rsidR="00D52FD0">
        <w:t xml:space="preserve"> </w:t>
      </w:r>
      <w:r w:rsidR="000A1AAE" w:rsidRPr="00DA3326">
        <w:t>as</w:t>
      </w:r>
      <w:r w:rsidR="00D52FD0">
        <w:t xml:space="preserve"> </w:t>
      </w:r>
      <w:r w:rsidR="000A1AAE" w:rsidRPr="00DA3326">
        <w:t>a</w:t>
      </w:r>
      <w:r w:rsidR="00D52FD0">
        <w:t xml:space="preserve"> </w:t>
      </w:r>
      <w:r w:rsidR="000A1AAE" w:rsidRPr="00DA3326">
        <w:t>hub</w:t>
      </w:r>
      <w:r w:rsidR="00D52FD0">
        <w:t xml:space="preserve"> </w:t>
      </w:r>
      <w:r w:rsidR="000A1AAE" w:rsidRPr="00DA3326">
        <w:t>for</w:t>
      </w:r>
      <w:r w:rsidR="00D52FD0">
        <w:t xml:space="preserve"> </w:t>
      </w:r>
      <w:r w:rsidR="000A1AAE" w:rsidRPr="00DA3326">
        <w:t>the</w:t>
      </w:r>
      <w:r w:rsidR="00D52FD0">
        <w:t xml:space="preserve"> </w:t>
      </w:r>
      <w:r w:rsidR="000A1AAE" w:rsidRPr="00DA3326">
        <w:t>migrant</w:t>
      </w:r>
      <w:r w:rsidR="00D52FD0">
        <w:t xml:space="preserve"> </w:t>
      </w:r>
      <w:r w:rsidR="000A1AAE" w:rsidRPr="00DA3326">
        <w:t>health</w:t>
      </w:r>
      <w:r w:rsidR="00D52FD0">
        <w:t xml:space="preserve"> </w:t>
      </w:r>
      <w:r w:rsidR="000A1AAE" w:rsidRPr="00DA3326">
        <w:t>needs,</w:t>
      </w:r>
      <w:r w:rsidR="00D52FD0">
        <w:t xml:space="preserve"> </w:t>
      </w:r>
      <w:r w:rsidR="000A1AAE" w:rsidRPr="00DA3326">
        <w:t>and</w:t>
      </w:r>
      <w:r w:rsidR="00D52FD0">
        <w:t xml:space="preserve"> </w:t>
      </w:r>
      <w:r w:rsidR="000A1AAE" w:rsidRPr="00DA3326">
        <w:t>(ii)</w:t>
      </w:r>
      <w:r w:rsidR="00D52FD0">
        <w:t xml:space="preserve"> </w:t>
      </w:r>
      <w:r w:rsidR="000A1AAE" w:rsidRPr="00DA3326">
        <w:t>provide</w:t>
      </w:r>
      <w:r w:rsidR="00D52FD0">
        <w:t xml:space="preserve"> </w:t>
      </w:r>
      <w:r w:rsidR="000A1AAE" w:rsidRPr="00DA3326">
        <w:t>immediate</w:t>
      </w:r>
      <w:r w:rsidR="00D52FD0">
        <w:t xml:space="preserve"> </w:t>
      </w:r>
      <w:r w:rsidR="000A1AAE" w:rsidRPr="00DA3326">
        <w:t>assistance</w:t>
      </w:r>
      <w:r w:rsidR="00D52FD0">
        <w:t xml:space="preserve"> </w:t>
      </w:r>
      <w:r w:rsidR="000A1AAE" w:rsidRPr="00DA3326">
        <w:t>to</w:t>
      </w:r>
      <w:r w:rsidR="00D52FD0">
        <w:t xml:space="preserve"> </w:t>
      </w:r>
      <w:r w:rsidR="000A1AAE" w:rsidRPr="00DA3326">
        <w:t>migrants</w:t>
      </w:r>
      <w:r w:rsidR="00D52FD0">
        <w:t xml:space="preserve"> </w:t>
      </w:r>
      <w:r w:rsidR="000A1AAE" w:rsidRPr="00DA3326">
        <w:t>who</w:t>
      </w:r>
      <w:r w:rsidR="00D52FD0">
        <w:t xml:space="preserve"> </w:t>
      </w:r>
      <w:r w:rsidR="000A1AAE" w:rsidRPr="00DA3326">
        <w:t>require</w:t>
      </w:r>
      <w:r w:rsidR="00D52FD0">
        <w:t xml:space="preserve"> </w:t>
      </w:r>
      <w:r w:rsidR="000A1AAE" w:rsidRPr="00DA3326">
        <w:t>medical</w:t>
      </w:r>
      <w:r w:rsidR="00D52FD0">
        <w:t xml:space="preserve"> </w:t>
      </w:r>
      <w:r w:rsidR="000A1AAE" w:rsidRPr="00DA3326">
        <w:t>assistance.</w:t>
      </w:r>
    </w:p>
    <w:p w14:paraId="5D0E40F7" w14:textId="42E149FA" w:rsidR="000E4FD0" w:rsidRDefault="0044637E" w:rsidP="0044637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>
        <w:t>163.</w:t>
      </w:r>
      <w:r>
        <w:tab/>
      </w:r>
      <w:r w:rsidR="000A1AAE" w:rsidRPr="00DA3326">
        <w:t>Mitigating</w:t>
      </w:r>
      <w:r w:rsidR="00D52FD0">
        <w:t xml:space="preserve"> </w:t>
      </w:r>
      <w:r w:rsidR="000A1AAE" w:rsidRPr="00DA3326">
        <w:t>measures</w:t>
      </w:r>
      <w:r w:rsidR="00D52FD0">
        <w:t xml:space="preserve"> </w:t>
      </w:r>
      <w:r w:rsidR="000A1AAE" w:rsidRPr="00DA3326">
        <w:t>were</w:t>
      </w:r>
      <w:r w:rsidR="00D52FD0">
        <w:t xml:space="preserve"> </w:t>
      </w:r>
      <w:r w:rsidR="000A1AAE" w:rsidRPr="00DA3326">
        <w:t>subject</w:t>
      </w:r>
      <w:r w:rsidR="00D52FD0">
        <w:t xml:space="preserve"> </w:t>
      </w:r>
      <w:r w:rsidR="000A1AAE" w:rsidRPr="00DA3326">
        <w:t>to</w:t>
      </w:r>
      <w:r w:rsidR="00D52FD0">
        <w:t xml:space="preserve"> </w:t>
      </w:r>
      <w:r w:rsidR="000A1AAE" w:rsidRPr="00DA3326">
        <w:t>updates</w:t>
      </w:r>
      <w:r w:rsidR="00D52FD0">
        <w:t xml:space="preserve"> </w:t>
      </w:r>
      <w:r w:rsidR="000A1AAE" w:rsidRPr="00DA3326">
        <w:t>and</w:t>
      </w:r>
      <w:r w:rsidR="00D52FD0">
        <w:t xml:space="preserve"> </w:t>
      </w:r>
      <w:r w:rsidR="000A1AAE" w:rsidRPr="00DA3326">
        <w:t>changes</w:t>
      </w:r>
      <w:r w:rsidR="00D52FD0">
        <w:t xml:space="preserve"> </w:t>
      </w:r>
      <w:r w:rsidR="000A1AAE" w:rsidRPr="00DA3326">
        <w:t>according</w:t>
      </w:r>
      <w:r w:rsidR="00D52FD0">
        <w:t xml:space="preserve"> </w:t>
      </w:r>
      <w:r w:rsidR="000A1AAE" w:rsidRPr="00DA3326">
        <w:t>to</w:t>
      </w:r>
      <w:r w:rsidR="00D52FD0">
        <w:t xml:space="preserve"> </w:t>
      </w:r>
      <w:r w:rsidR="000A1AAE" w:rsidRPr="00DA3326">
        <w:t>any</w:t>
      </w:r>
      <w:r w:rsidR="00D52FD0">
        <w:t xml:space="preserve"> </w:t>
      </w:r>
      <w:r w:rsidR="000A1AAE" w:rsidRPr="00DA3326">
        <w:t>new</w:t>
      </w:r>
      <w:r w:rsidR="00D52FD0">
        <w:t xml:space="preserve"> </w:t>
      </w:r>
      <w:r w:rsidR="000A1AAE" w:rsidRPr="00DA3326">
        <w:t>measures</w:t>
      </w:r>
      <w:r w:rsidR="00D52FD0">
        <w:t xml:space="preserve"> </w:t>
      </w:r>
      <w:r w:rsidR="000A1AAE" w:rsidRPr="00DA3326">
        <w:t>implemented</w:t>
      </w:r>
      <w:r w:rsidR="00D52FD0">
        <w:t xml:space="preserve"> </w:t>
      </w:r>
      <w:r w:rsidR="000A1AAE" w:rsidRPr="00DA3326">
        <w:t>by</w:t>
      </w:r>
      <w:r w:rsidR="00D52FD0">
        <w:t xml:space="preserve"> </w:t>
      </w:r>
      <w:r w:rsidR="000A1AAE" w:rsidRPr="00DA3326">
        <w:t>the</w:t>
      </w:r>
      <w:r w:rsidR="00D52FD0">
        <w:t xml:space="preserve"> </w:t>
      </w:r>
      <w:r w:rsidR="000A1AAE" w:rsidRPr="00DA3326">
        <w:t>Superintendent</w:t>
      </w:r>
      <w:r w:rsidR="00D52FD0">
        <w:t xml:space="preserve"> </w:t>
      </w:r>
      <w:r w:rsidR="000A1AAE" w:rsidRPr="00DA3326">
        <w:t>of</w:t>
      </w:r>
      <w:r w:rsidR="00D52FD0">
        <w:t xml:space="preserve"> </w:t>
      </w:r>
      <w:r w:rsidR="000A1AAE" w:rsidRPr="00DA3326">
        <w:t>Public</w:t>
      </w:r>
      <w:r w:rsidR="00D52FD0">
        <w:t xml:space="preserve"> </w:t>
      </w:r>
      <w:r w:rsidR="000A1AAE" w:rsidRPr="00DA3326">
        <w:t>Health.</w:t>
      </w:r>
      <w:r w:rsidR="00D52FD0">
        <w:t xml:space="preserve"> </w:t>
      </w:r>
      <w:r w:rsidR="000A1AAE" w:rsidRPr="00DA3326">
        <w:t>Awareness</w:t>
      </w:r>
      <w:r w:rsidR="00D52FD0">
        <w:t xml:space="preserve"> </w:t>
      </w:r>
      <w:r w:rsidR="000A1AAE" w:rsidRPr="00DA3326">
        <w:t>raising</w:t>
      </w:r>
      <w:r w:rsidR="00D52FD0">
        <w:t xml:space="preserve"> </w:t>
      </w:r>
      <w:r w:rsidR="000A1AAE" w:rsidRPr="00DA3326">
        <w:t>material</w:t>
      </w:r>
      <w:r w:rsidR="00D52FD0">
        <w:t xml:space="preserve"> </w:t>
      </w:r>
      <w:r w:rsidR="000A1AAE" w:rsidRPr="00DA3326">
        <w:t>in</w:t>
      </w:r>
      <w:r w:rsidR="00D52FD0">
        <w:t xml:space="preserve"> </w:t>
      </w:r>
      <w:r w:rsidR="000A1AAE" w:rsidRPr="00DA3326">
        <w:t>different</w:t>
      </w:r>
      <w:r w:rsidR="00D52FD0">
        <w:t xml:space="preserve"> </w:t>
      </w:r>
      <w:r w:rsidR="000A1AAE" w:rsidRPr="00DA3326">
        <w:t>languages</w:t>
      </w:r>
      <w:r w:rsidR="00D52FD0">
        <w:t xml:space="preserve"> </w:t>
      </w:r>
      <w:r w:rsidR="000A1AAE" w:rsidRPr="00DA3326">
        <w:t>have</w:t>
      </w:r>
      <w:r w:rsidR="00D52FD0">
        <w:t xml:space="preserve"> </w:t>
      </w:r>
      <w:r w:rsidR="000A1AAE" w:rsidRPr="00DA3326">
        <w:t>been</w:t>
      </w:r>
      <w:r w:rsidR="00D52FD0">
        <w:t xml:space="preserve"> </w:t>
      </w:r>
      <w:r w:rsidR="000A1AAE" w:rsidRPr="00DA3326">
        <w:t>disseminated</w:t>
      </w:r>
      <w:r w:rsidR="00D52FD0">
        <w:t xml:space="preserve"> </w:t>
      </w:r>
      <w:r w:rsidR="000A1AAE" w:rsidRPr="00DA3326">
        <w:t>in</w:t>
      </w:r>
      <w:r w:rsidR="00D52FD0">
        <w:t xml:space="preserve"> </w:t>
      </w:r>
      <w:r w:rsidR="000A1AAE" w:rsidRPr="00DA3326">
        <w:t>the</w:t>
      </w:r>
      <w:r w:rsidR="00D52FD0">
        <w:t xml:space="preserve"> </w:t>
      </w:r>
      <w:r w:rsidR="000A1AAE" w:rsidRPr="00DA3326">
        <w:t>centres.</w:t>
      </w:r>
    </w:p>
    <w:p w14:paraId="3D01C7B9" w14:textId="5CDDC527" w:rsidR="000E4FD0" w:rsidRDefault="0044637E" w:rsidP="0044637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>
        <w:t>164.</w:t>
      </w:r>
      <w:r>
        <w:tab/>
      </w:r>
      <w:r w:rsidR="000A1AAE" w:rsidRPr="00DA3326">
        <w:t>Hygiene</w:t>
      </w:r>
      <w:r w:rsidR="00D52FD0">
        <w:t xml:space="preserve"> </w:t>
      </w:r>
      <w:r w:rsidR="000A1AAE" w:rsidRPr="00DA3326">
        <w:t>packs</w:t>
      </w:r>
      <w:r w:rsidR="00D52FD0">
        <w:t xml:space="preserve"> </w:t>
      </w:r>
      <w:r w:rsidR="000A1AAE" w:rsidRPr="00DA3326">
        <w:t>are</w:t>
      </w:r>
      <w:r w:rsidR="00D52FD0">
        <w:t xml:space="preserve"> </w:t>
      </w:r>
      <w:r w:rsidR="000A1AAE" w:rsidRPr="00DA3326">
        <w:t>distributed</w:t>
      </w:r>
      <w:r w:rsidR="00D52FD0">
        <w:t xml:space="preserve"> </w:t>
      </w:r>
      <w:r w:rsidR="000A1AAE" w:rsidRPr="00DA3326">
        <w:t>monthly</w:t>
      </w:r>
      <w:r w:rsidR="00D52FD0">
        <w:t xml:space="preserve"> </w:t>
      </w:r>
      <w:r w:rsidR="000A1AAE" w:rsidRPr="00DA3326">
        <w:t>or</w:t>
      </w:r>
      <w:r w:rsidR="00D52FD0">
        <w:t xml:space="preserve"> </w:t>
      </w:r>
      <w:r w:rsidR="000A1AAE" w:rsidRPr="00DA3326">
        <w:t>according</w:t>
      </w:r>
      <w:r w:rsidR="00D52FD0">
        <w:t xml:space="preserve"> </w:t>
      </w:r>
      <w:r w:rsidR="000A1AAE" w:rsidRPr="00DA3326">
        <w:t>to</w:t>
      </w:r>
      <w:r w:rsidR="00D52FD0">
        <w:t xml:space="preserve"> </w:t>
      </w:r>
      <w:r w:rsidR="000A1AAE" w:rsidRPr="00DA3326">
        <w:t>demand.</w:t>
      </w:r>
      <w:r w:rsidR="00D52FD0">
        <w:t xml:space="preserve"> </w:t>
      </w:r>
      <w:r w:rsidR="000A1AAE" w:rsidRPr="00DA3326">
        <w:t>These</w:t>
      </w:r>
      <w:r w:rsidR="00D52FD0">
        <w:t xml:space="preserve"> </w:t>
      </w:r>
      <w:r w:rsidR="000A1AAE" w:rsidRPr="00DA3326">
        <w:t>also</w:t>
      </w:r>
      <w:r w:rsidR="00D52FD0">
        <w:t xml:space="preserve"> </w:t>
      </w:r>
      <w:r w:rsidR="000A1AAE" w:rsidRPr="00DA3326">
        <w:t>include</w:t>
      </w:r>
      <w:r w:rsidR="00D52FD0">
        <w:t xml:space="preserve"> </w:t>
      </w:r>
      <w:r w:rsidR="000A1AAE" w:rsidRPr="00DA3326">
        <w:t>masks</w:t>
      </w:r>
      <w:r w:rsidR="00D52FD0">
        <w:t xml:space="preserve"> </w:t>
      </w:r>
      <w:r w:rsidR="000A1AAE" w:rsidRPr="00DA3326">
        <w:t>and</w:t>
      </w:r>
      <w:r w:rsidR="00D52FD0">
        <w:t xml:space="preserve"> </w:t>
      </w:r>
      <w:r w:rsidR="000A1AAE" w:rsidRPr="00DA3326">
        <w:t>hand</w:t>
      </w:r>
      <w:r w:rsidR="00D52FD0">
        <w:t xml:space="preserve"> </w:t>
      </w:r>
      <w:r w:rsidR="000A1AAE" w:rsidRPr="00DA3326">
        <w:t>sanitizers</w:t>
      </w:r>
      <w:r w:rsidR="00D52FD0">
        <w:t xml:space="preserve"> </w:t>
      </w:r>
      <w:r w:rsidR="000A1AAE" w:rsidRPr="00DA3326">
        <w:t>to</w:t>
      </w:r>
      <w:r w:rsidR="00D52FD0">
        <w:t xml:space="preserve"> </w:t>
      </w:r>
      <w:r w:rsidR="000A1AAE" w:rsidRPr="00DA3326">
        <w:t>avoid</w:t>
      </w:r>
      <w:r w:rsidR="00D52FD0">
        <w:t xml:space="preserve"> </w:t>
      </w:r>
      <w:r w:rsidR="000A1AAE" w:rsidRPr="00DA3326">
        <w:t>the</w:t>
      </w:r>
      <w:r w:rsidR="00D52FD0">
        <w:t xml:space="preserve"> </w:t>
      </w:r>
      <w:r w:rsidR="000A1AAE" w:rsidRPr="00DA3326">
        <w:t>chances</w:t>
      </w:r>
      <w:r w:rsidR="00D52FD0">
        <w:t xml:space="preserve"> </w:t>
      </w:r>
      <w:r w:rsidR="000A1AAE" w:rsidRPr="00DA3326">
        <w:t>of</w:t>
      </w:r>
      <w:r w:rsidR="00D52FD0">
        <w:t xml:space="preserve"> </w:t>
      </w:r>
      <w:r w:rsidR="000A1AAE" w:rsidRPr="00DA3326">
        <w:t>COVID-19</w:t>
      </w:r>
      <w:r w:rsidR="00D52FD0">
        <w:t xml:space="preserve"> </w:t>
      </w:r>
      <w:r w:rsidR="000A1AAE" w:rsidRPr="00DA3326">
        <w:t>infections.</w:t>
      </w:r>
      <w:r w:rsidR="00D52FD0">
        <w:t xml:space="preserve"> </w:t>
      </w:r>
      <w:r w:rsidR="000A1AAE" w:rsidRPr="00DA3326">
        <w:t>All</w:t>
      </w:r>
      <w:r w:rsidR="00D52FD0">
        <w:t xml:space="preserve"> </w:t>
      </w:r>
      <w:r w:rsidR="000A1AAE" w:rsidRPr="00DA3326">
        <w:t>detergents</w:t>
      </w:r>
      <w:r w:rsidR="00D52FD0">
        <w:t xml:space="preserve"> </w:t>
      </w:r>
      <w:r w:rsidR="000A1AAE" w:rsidRPr="00DA3326">
        <w:t>bought</w:t>
      </w:r>
      <w:r w:rsidR="00D52FD0">
        <w:t xml:space="preserve"> </w:t>
      </w:r>
      <w:r w:rsidR="000A1AAE" w:rsidRPr="00DA3326">
        <w:t>by</w:t>
      </w:r>
      <w:r w:rsidR="00D52FD0">
        <w:t xml:space="preserve"> </w:t>
      </w:r>
      <w:r w:rsidR="000A1AAE" w:rsidRPr="00DA3326">
        <w:t>DS</w:t>
      </w:r>
      <w:r w:rsidR="00D52FD0">
        <w:t xml:space="preserve"> </w:t>
      </w:r>
      <w:r w:rsidR="000A1AAE" w:rsidRPr="00DA3326">
        <w:t>are</w:t>
      </w:r>
      <w:r w:rsidR="00D52FD0">
        <w:t xml:space="preserve"> </w:t>
      </w:r>
      <w:r w:rsidR="000A1AAE" w:rsidRPr="00DA3326">
        <w:t>also</w:t>
      </w:r>
      <w:r w:rsidR="00D52FD0">
        <w:t xml:space="preserve"> </w:t>
      </w:r>
      <w:r w:rsidR="000A1AAE" w:rsidRPr="00DA3326">
        <w:t>certified</w:t>
      </w:r>
      <w:r w:rsidR="00D52FD0">
        <w:t xml:space="preserve"> </w:t>
      </w:r>
      <w:r w:rsidR="000A1AAE" w:rsidRPr="00DA3326">
        <w:t>disinfectants</w:t>
      </w:r>
      <w:r w:rsidR="00D52FD0">
        <w:t xml:space="preserve"> </w:t>
      </w:r>
      <w:r w:rsidR="000A1AAE" w:rsidRPr="00DA3326">
        <w:t>against</w:t>
      </w:r>
      <w:r w:rsidR="00D52FD0">
        <w:t xml:space="preserve"> </w:t>
      </w:r>
      <w:r w:rsidR="000A1AAE" w:rsidRPr="00DA3326">
        <w:t>COVID-19.</w:t>
      </w:r>
    </w:p>
    <w:p w14:paraId="44DBDB2B" w14:textId="587D6021" w:rsidR="000A1AAE" w:rsidRPr="00DA3326" w:rsidRDefault="0044637E" w:rsidP="0044637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DA3326">
        <w:t>165.</w:t>
      </w:r>
      <w:r w:rsidRPr="00DA3326">
        <w:tab/>
      </w:r>
      <w:r w:rsidR="000A1AAE" w:rsidRPr="00DA3326">
        <w:t>Furthermore,</w:t>
      </w:r>
      <w:r w:rsidR="00D52FD0">
        <w:t xml:space="preserve"> </w:t>
      </w:r>
      <w:r w:rsidR="000A1AAE" w:rsidRPr="00DA3326">
        <w:t>a</w:t>
      </w:r>
      <w:r w:rsidR="00D52FD0">
        <w:t xml:space="preserve"> </w:t>
      </w:r>
      <w:r w:rsidR="000A1AAE" w:rsidRPr="00DA3326">
        <w:t>new</w:t>
      </w:r>
      <w:r w:rsidR="00D52FD0">
        <w:t xml:space="preserve"> </w:t>
      </w:r>
      <w:r w:rsidR="000A1AAE" w:rsidRPr="00DA3326">
        <w:t>shampoo</w:t>
      </w:r>
      <w:r w:rsidR="00D52FD0">
        <w:t xml:space="preserve"> </w:t>
      </w:r>
      <w:r w:rsidR="000A1AAE" w:rsidRPr="00DA3326">
        <w:t>has</w:t>
      </w:r>
      <w:r w:rsidR="00D52FD0">
        <w:t xml:space="preserve"> </w:t>
      </w:r>
      <w:r w:rsidR="000A1AAE" w:rsidRPr="00DA3326">
        <w:t>been</w:t>
      </w:r>
      <w:r w:rsidR="00D52FD0">
        <w:t xml:space="preserve"> </w:t>
      </w:r>
      <w:r w:rsidR="000A1AAE" w:rsidRPr="00DA3326">
        <w:t>specifically</w:t>
      </w:r>
      <w:r w:rsidR="00D52FD0">
        <w:t xml:space="preserve"> </w:t>
      </w:r>
      <w:r w:rsidR="000A1AAE" w:rsidRPr="00DA3326">
        <w:t>developed</w:t>
      </w:r>
      <w:r w:rsidR="00D52FD0">
        <w:t xml:space="preserve"> </w:t>
      </w:r>
      <w:r w:rsidR="000A1AAE" w:rsidRPr="00DA3326">
        <w:t>for</w:t>
      </w:r>
      <w:r w:rsidR="00D52FD0">
        <w:t xml:space="preserve"> </w:t>
      </w:r>
      <w:r w:rsidR="000A1AAE" w:rsidRPr="00DA3326">
        <w:t>DS</w:t>
      </w:r>
      <w:r w:rsidR="00D52FD0">
        <w:t xml:space="preserve"> </w:t>
      </w:r>
      <w:r w:rsidR="000A1AAE" w:rsidRPr="00DA3326">
        <w:t>by</w:t>
      </w:r>
      <w:r w:rsidR="00D52FD0">
        <w:t xml:space="preserve"> </w:t>
      </w:r>
      <w:r w:rsidR="000A1AAE" w:rsidRPr="00DA3326">
        <w:t>a</w:t>
      </w:r>
      <w:r w:rsidR="00D52FD0">
        <w:t xml:space="preserve"> </w:t>
      </w:r>
      <w:r w:rsidR="000A1AAE" w:rsidRPr="00DA3326">
        <w:t>local</w:t>
      </w:r>
      <w:r w:rsidR="00D52FD0">
        <w:t xml:space="preserve"> </w:t>
      </w:r>
      <w:r w:rsidR="000A1AAE" w:rsidRPr="00DA3326">
        <w:t>soap</w:t>
      </w:r>
      <w:r w:rsidR="00D52FD0">
        <w:t xml:space="preserve"> </w:t>
      </w:r>
      <w:r w:rsidR="000A1AAE" w:rsidRPr="00DA3326">
        <w:t>factory.</w:t>
      </w:r>
      <w:r w:rsidR="00D52FD0">
        <w:t xml:space="preserve"> </w:t>
      </w:r>
      <w:r w:rsidR="000A1AAE" w:rsidRPr="00DA3326">
        <w:t>Unlike</w:t>
      </w:r>
      <w:r w:rsidR="00D52FD0">
        <w:t xml:space="preserve"> </w:t>
      </w:r>
      <w:r w:rsidR="000A1AAE" w:rsidRPr="00DA3326">
        <w:t>the</w:t>
      </w:r>
      <w:r w:rsidR="00D52FD0">
        <w:t xml:space="preserve"> </w:t>
      </w:r>
      <w:r w:rsidR="000A1AAE" w:rsidRPr="00DA3326">
        <w:t>ordinary</w:t>
      </w:r>
      <w:r w:rsidR="00D52FD0">
        <w:t xml:space="preserve"> </w:t>
      </w:r>
      <w:r w:rsidR="000A1AAE" w:rsidRPr="00DA3326">
        <w:t>on</w:t>
      </w:r>
      <w:r w:rsidR="00D52FD0">
        <w:t xml:space="preserve"> </w:t>
      </w:r>
      <w:r w:rsidR="000A1AAE" w:rsidRPr="00DA3326">
        <w:t>the</w:t>
      </w:r>
      <w:r w:rsidR="00D52FD0">
        <w:t xml:space="preserve"> </w:t>
      </w:r>
      <w:r w:rsidR="000A1AAE" w:rsidRPr="00DA3326">
        <w:t>shelf</w:t>
      </w:r>
      <w:r w:rsidR="00D52FD0">
        <w:t xml:space="preserve"> </w:t>
      </w:r>
      <w:r w:rsidR="000A1AAE" w:rsidRPr="00DA3326">
        <w:t>products</w:t>
      </w:r>
      <w:r w:rsidR="00D52FD0">
        <w:t xml:space="preserve"> </w:t>
      </w:r>
      <w:r w:rsidR="000A1AAE" w:rsidRPr="00DA3326">
        <w:t>this</w:t>
      </w:r>
      <w:r w:rsidR="00D52FD0">
        <w:t xml:space="preserve"> </w:t>
      </w:r>
      <w:r w:rsidR="000A1AAE" w:rsidRPr="00DA3326">
        <w:t>soap</w:t>
      </w:r>
      <w:r w:rsidR="00D52FD0">
        <w:t xml:space="preserve"> </w:t>
      </w:r>
      <w:r w:rsidR="000A1AAE" w:rsidRPr="00DA3326">
        <w:t>is</w:t>
      </w:r>
      <w:r w:rsidR="00D52FD0">
        <w:t xml:space="preserve"> </w:t>
      </w:r>
      <w:r w:rsidR="000A1AAE" w:rsidRPr="00DA3326">
        <w:t>much</w:t>
      </w:r>
      <w:r w:rsidR="00D52FD0">
        <w:t xml:space="preserve"> </w:t>
      </w:r>
      <w:r w:rsidR="000A1AAE" w:rsidRPr="00DA3326">
        <w:t>less</w:t>
      </w:r>
      <w:r w:rsidR="00D52FD0">
        <w:t xml:space="preserve"> </w:t>
      </w:r>
      <w:r w:rsidR="000A1AAE" w:rsidRPr="00DA3326">
        <w:t>toxic</w:t>
      </w:r>
      <w:r w:rsidR="00D52FD0">
        <w:t xml:space="preserve"> </w:t>
      </w:r>
      <w:r w:rsidR="000A1AAE" w:rsidRPr="00DA3326">
        <w:t>thus</w:t>
      </w:r>
      <w:r w:rsidR="00D52FD0">
        <w:t xml:space="preserve"> </w:t>
      </w:r>
      <w:r w:rsidR="000A1AAE" w:rsidRPr="00DA3326">
        <w:t>it</w:t>
      </w:r>
      <w:r w:rsidR="00D52FD0">
        <w:t xml:space="preserve"> </w:t>
      </w:r>
      <w:r w:rsidR="000A1AAE" w:rsidRPr="00DA3326">
        <w:t>is</w:t>
      </w:r>
      <w:r w:rsidR="00D52FD0">
        <w:t xml:space="preserve"> </w:t>
      </w:r>
      <w:r w:rsidR="000A1AAE" w:rsidRPr="00DA3326">
        <w:t>safer</w:t>
      </w:r>
      <w:r w:rsidR="00D52FD0">
        <w:t xml:space="preserve"> </w:t>
      </w:r>
      <w:r w:rsidR="000A1AAE" w:rsidRPr="00DA3326">
        <w:t>than</w:t>
      </w:r>
      <w:r w:rsidR="00D52FD0">
        <w:t xml:space="preserve"> </w:t>
      </w:r>
      <w:r w:rsidR="000A1AAE" w:rsidRPr="00DA3326">
        <w:t>stock</w:t>
      </w:r>
      <w:r w:rsidR="00D52FD0">
        <w:t xml:space="preserve"> </w:t>
      </w:r>
      <w:r w:rsidR="000A1AAE" w:rsidRPr="00DA3326">
        <w:t>products</w:t>
      </w:r>
      <w:r w:rsidR="00D52FD0">
        <w:t xml:space="preserve"> </w:t>
      </w:r>
      <w:r w:rsidR="000A1AAE" w:rsidRPr="00DA3326">
        <w:t>if</w:t>
      </w:r>
      <w:r w:rsidR="00D52FD0">
        <w:t xml:space="preserve"> </w:t>
      </w:r>
      <w:r w:rsidR="000A1AAE" w:rsidRPr="00DA3326">
        <w:t>ingested</w:t>
      </w:r>
      <w:r w:rsidR="00D52FD0">
        <w:t xml:space="preserve"> </w:t>
      </w:r>
      <w:r w:rsidR="000A1AAE" w:rsidRPr="00DA3326">
        <w:t>by</w:t>
      </w:r>
      <w:r w:rsidR="00D52FD0">
        <w:t xml:space="preserve"> </w:t>
      </w:r>
      <w:r w:rsidR="000A1AAE" w:rsidRPr="00DA3326">
        <w:t>migrants.</w:t>
      </w:r>
    </w:p>
    <w:p w14:paraId="2CCED0F7" w14:textId="5BE41819" w:rsidR="000E4FD0" w:rsidRDefault="0044637E" w:rsidP="0044637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>
        <w:lastRenderedPageBreak/>
        <w:t>166.</w:t>
      </w:r>
      <w:r>
        <w:tab/>
      </w:r>
      <w:r w:rsidR="000A1AAE" w:rsidRPr="00DA3326">
        <w:t>Migrants</w:t>
      </w:r>
      <w:r w:rsidR="00D52FD0">
        <w:t xml:space="preserve"> </w:t>
      </w:r>
      <w:r w:rsidR="000A1AAE" w:rsidRPr="00DA3326">
        <w:t>have</w:t>
      </w:r>
      <w:r w:rsidR="00D52FD0">
        <w:t xml:space="preserve"> </w:t>
      </w:r>
      <w:r w:rsidR="000A1AAE" w:rsidRPr="00DA3326">
        <w:t>also</w:t>
      </w:r>
      <w:r w:rsidR="00D52FD0">
        <w:t xml:space="preserve"> </w:t>
      </w:r>
      <w:r w:rsidR="000A1AAE" w:rsidRPr="00DA3326">
        <w:t>been</w:t>
      </w:r>
      <w:r w:rsidR="00D52FD0">
        <w:t xml:space="preserve"> </w:t>
      </w:r>
      <w:r w:rsidR="000A1AAE" w:rsidRPr="00DA3326">
        <w:t>included</w:t>
      </w:r>
      <w:r w:rsidR="00D52FD0">
        <w:t xml:space="preserve"> </w:t>
      </w:r>
      <w:r w:rsidR="000A1AAE" w:rsidRPr="00DA3326">
        <w:t>in</w:t>
      </w:r>
      <w:r w:rsidR="00D52FD0">
        <w:t xml:space="preserve"> </w:t>
      </w:r>
      <w:r w:rsidR="000A1AAE" w:rsidRPr="00DA3326">
        <w:t>the</w:t>
      </w:r>
      <w:r w:rsidR="00D52FD0">
        <w:t xml:space="preserve"> </w:t>
      </w:r>
      <w:r w:rsidR="000A1AAE" w:rsidRPr="00DA3326">
        <w:t>COVID-19</w:t>
      </w:r>
      <w:r w:rsidR="00D52FD0">
        <w:t xml:space="preserve"> </w:t>
      </w:r>
      <w:r w:rsidR="000A1AAE" w:rsidRPr="00DA3326">
        <w:t>vaccine</w:t>
      </w:r>
      <w:r w:rsidR="00D52FD0">
        <w:t xml:space="preserve"> </w:t>
      </w:r>
      <w:r w:rsidR="000A1AAE" w:rsidRPr="00DA3326">
        <w:t>roll</w:t>
      </w:r>
      <w:r w:rsidR="00D52FD0">
        <w:t xml:space="preserve"> </w:t>
      </w:r>
      <w:r w:rsidR="000A1AAE" w:rsidRPr="00DA3326">
        <w:t>out</w:t>
      </w:r>
      <w:r w:rsidR="00D52FD0">
        <w:t xml:space="preserve"> </w:t>
      </w:r>
      <w:r w:rsidR="000A1AAE" w:rsidRPr="00DA3326">
        <w:t>plan</w:t>
      </w:r>
      <w:r w:rsidR="00D52FD0">
        <w:t xml:space="preserve"> </w:t>
      </w:r>
      <w:r w:rsidR="000A1AAE" w:rsidRPr="00DA3326">
        <w:t>set</w:t>
      </w:r>
      <w:r w:rsidR="00D52FD0">
        <w:t xml:space="preserve"> </w:t>
      </w:r>
      <w:r w:rsidR="000A1AAE" w:rsidRPr="00DA3326">
        <w:t>out</w:t>
      </w:r>
      <w:r w:rsidR="00D52FD0">
        <w:t xml:space="preserve"> </w:t>
      </w:r>
      <w:r w:rsidR="000A1AAE" w:rsidRPr="00DA3326">
        <w:t>by</w:t>
      </w:r>
      <w:r w:rsidR="00D52FD0">
        <w:t xml:space="preserve"> </w:t>
      </w:r>
      <w:r w:rsidR="000A1AAE" w:rsidRPr="00DA3326">
        <w:t>the</w:t>
      </w:r>
      <w:r w:rsidR="00D52FD0">
        <w:t xml:space="preserve"> </w:t>
      </w:r>
      <w:r w:rsidR="000A1AAE" w:rsidRPr="00DA3326">
        <w:t>health</w:t>
      </w:r>
      <w:r w:rsidR="00D52FD0">
        <w:t xml:space="preserve"> </w:t>
      </w:r>
      <w:r w:rsidR="000A1AAE" w:rsidRPr="00DA3326">
        <w:t>authorities.</w:t>
      </w:r>
      <w:r w:rsidR="00D52FD0">
        <w:t xml:space="preserve"> </w:t>
      </w:r>
      <w:r w:rsidR="000A1AAE" w:rsidRPr="00DA3326">
        <w:t>Migrants</w:t>
      </w:r>
      <w:r w:rsidR="00D52FD0">
        <w:t xml:space="preserve"> </w:t>
      </w:r>
      <w:r w:rsidR="000A1AAE" w:rsidRPr="00DA3326">
        <w:t>will</w:t>
      </w:r>
      <w:r w:rsidR="00D52FD0">
        <w:t xml:space="preserve"> </w:t>
      </w:r>
      <w:r w:rsidR="000A1AAE" w:rsidRPr="00DA3326">
        <w:t>be</w:t>
      </w:r>
      <w:r w:rsidR="00D52FD0">
        <w:t xml:space="preserve"> </w:t>
      </w:r>
      <w:r w:rsidR="000A1AAE" w:rsidRPr="00DA3326">
        <w:t>inoculated</w:t>
      </w:r>
      <w:r w:rsidR="00D52FD0">
        <w:t xml:space="preserve"> </w:t>
      </w:r>
      <w:r w:rsidR="000A1AAE" w:rsidRPr="00DA3326">
        <w:t>in</w:t>
      </w:r>
      <w:r w:rsidR="00D52FD0">
        <w:t xml:space="preserve"> </w:t>
      </w:r>
      <w:r w:rsidR="000A1AAE" w:rsidRPr="00DA3326">
        <w:t>the</w:t>
      </w:r>
      <w:r w:rsidR="00D52FD0">
        <w:t xml:space="preserve"> </w:t>
      </w:r>
      <w:r w:rsidR="000A1AAE" w:rsidRPr="00DA3326">
        <w:t>same</w:t>
      </w:r>
      <w:r w:rsidR="00D52FD0">
        <w:t xml:space="preserve"> </w:t>
      </w:r>
      <w:r w:rsidR="000A1AAE" w:rsidRPr="00DA3326">
        <w:t>process</w:t>
      </w:r>
      <w:r w:rsidR="00D52FD0">
        <w:t xml:space="preserve"> </w:t>
      </w:r>
      <w:r w:rsidR="000A1AAE" w:rsidRPr="00DA3326">
        <w:t>applicable</w:t>
      </w:r>
      <w:r w:rsidR="00D52FD0">
        <w:t xml:space="preserve"> </w:t>
      </w:r>
      <w:r w:rsidR="000A1AAE" w:rsidRPr="00DA3326">
        <w:t>to</w:t>
      </w:r>
      <w:r w:rsidR="00D52FD0">
        <w:t xml:space="preserve"> </w:t>
      </w:r>
      <w:r w:rsidR="000A1AAE" w:rsidRPr="00DA3326">
        <w:t>the</w:t>
      </w:r>
      <w:r w:rsidR="00D52FD0">
        <w:t xml:space="preserve"> </w:t>
      </w:r>
      <w:r w:rsidR="000A1AAE" w:rsidRPr="00DA3326">
        <w:t>rest</w:t>
      </w:r>
      <w:r w:rsidR="00D52FD0">
        <w:t xml:space="preserve"> </w:t>
      </w:r>
      <w:r w:rsidR="000A1AAE" w:rsidRPr="00DA3326">
        <w:t>of</w:t>
      </w:r>
      <w:r w:rsidR="00D52FD0">
        <w:t xml:space="preserve"> </w:t>
      </w:r>
      <w:r w:rsidR="000A1AAE" w:rsidRPr="00DA3326">
        <w:t>the</w:t>
      </w:r>
      <w:r w:rsidR="00D52FD0">
        <w:t xml:space="preserve"> </w:t>
      </w:r>
      <w:r w:rsidR="000A1AAE" w:rsidRPr="00DA3326">
        <w:t>population,</w:t>
      </w:r>
      <w:r w:rsidR="00D52FD0">
        <w:t xml:space="preserve"> </w:t>
      </w:r>
      <w:r w:rsidR="000A1AAE" w:rsidRPr="00DA3326">
        <w:t>according</w:t>
      </w:r>
      <w:r w:rsidR="00D52FD0">
        <w:t xml:space="preserve"> </w:t>
      </w:r>
      <w:r w:rsidR="000A1AAE" w:rsidRPr="00DA3326">
        <w:t>to</w:t>
      </w:r>
      <w:r w:rsidR="00D52FD0">
        <w:t xml:space="preserve"> </w:t>
      </w:r>
      <w:r w:rsidR="000A1AAE" w:rsidRPr="00DA3326">
        <w:t>their</w:t>
      </w:r>
      <w:r w:rsidR="00D52FD0">
        <w:t xml:space="preserve"> </w:t>
      </w:r>
      <w:r w:rsidR="000A1AAE" w:rsidRPr="00DA3326">
        <w:t>age</w:t>
      </w:r>
      <w:r w:rsidR="00D52FD0">
        <w:t xml:space="preserve"> </w:t>
      </w:r>
      <w:r w:rsidR="000A1AAE" w:rsidRPr="00DA3326">
        <w:t>or</w:t>
      </w:r>
      <w:r w:rsidR="00D52FD0">
        <w:t xml:space="preserve"> </w:t>
      </w:r>
      <w:r w:rsidR="000A1AAE" w:rsidRPr="00DA3326">
        <w:t>health</w:t>
      </w:r>
      <w:r w:rsidR="00D52FD0">
        <w:t xml:space="preserve"> </w:t>
      </w:r>
      <w:r w:rsidR="000A1AAE" w:rsidRPr="00DA3326">
        <w:t>conditions.</w:t>
      </w:r>
      <w:r w:rsidR="00D52FD0">
        <w:t xml:space="preserve"> </w:t>
      </w:r>
      <w:r w:rsidR="000A1AAE" w:rsidRPr="00DA3326">
        <w:t>All</w:t>
      </w:r>
      <w:r w:rsidR="00D52FD0">
        <w:t xml:space="preserve"> </w:t>
      </w:r>
      <w:r w:rsidR="000A1AAE" w:rsidRPr="00DA3326">
        <w:t>personnel</w:t>
      </w:r>
      <w:r w:rsidR="00D52FD0">
        <w:t xml:space="preserve"> </w:t>
      </w:r>
      <w:r w:rsidR="000A1AAE" w:rsidRPr="00DA3326">
        <w:t>working</w:t>
      </w:r>
      <w:r w:rsidR="00D52FD0">
        <w:t xml:space="preserve"> </w:t>
      </w:r>
      <w:r w:rsidR="000A1AAE" w:rsidRPr="00DA3326">
        <w:t>within</w:t>
      </w:r>
      <w:r w:rsidR="00D52FD0">
        <w:t xml:space="preserve"> </w:t>
      </w:r>
      <w:r w:rsidR="000A1AAE" w:rsidRPr="00DA3326">
        <w:t>the</w:t>
      </w:r>
      <w:r w:rsidR="00D52FD0">
        <w:t xml:space="preserve"> </w:t>
      </w:r>
      <w:r w:rsidR="000A1AAE" w:rsidRPr="00DA3326">
        <w:t>immigration</w:t>
      </w:r>
      <w:r w:rsidR="00D52FD0">
        <w:t xml:space="preserve"> </w:t>
      </w:r>
      <w:r w:rsidR="000A1AAE" w:rsidRPr="00DA3326">
        <w:t>sector</w:t>
      </w:r>
      <w:r w:rsidR="00D52FD0">
        <w:t xml:space="preserve"> </w:t>
      </w:r>
      <w:r w:rsidR="000A1AAE" w:rsidRPr="00DA3326">
        <w:t>are</w:t>
      </w:r>
      <w:r w:rsidR="00D52FD0">
        <w:t xml:space="preserve"> </w:t>
      </w:r>
      <w:r w:rsidR="000A1AAE" w:rsidRPr="00DA3326">
        <w:t>considered</w:t>
      </w:r>
      <w:r w:rsidR="00D52FD0">
        <w:t xml:space="preserve"> </w:t>
      </w:r>
      <w:r w:rsidR="000A1AAE" w:rsidRPr="00DA3326">
        <w:t>as</w:t>
      </w:r>
      <w:r w:rsidR="00D52FD0">
        <w:t xml:space="preserve"> </w:t>
      </w:r>
      <w:r w:rsidR="000A1AAE" w:rsidRPr="00DA3326">
        <w:t>front-liners</w:t>
      </w:r>
      <w:r w:rsidR="00D52FD0">
        <w:t xml:space="preserve"> </w:t>
      </w:r>
      <w:r w:rsidR="000A1AAE" w:rsidRPr="00DA3326">
        <w:t>and</w:t>
      </w:r>
      <w:r w:rsidR="00D52FD0">
        <w:t xml:space="preserve"> </w:t>
      </w:r>
      <w:r w:rsidR="000A1AAE" w:rsidRPr="00DA3326">
        <w:t>are</w:t>
      </w:r>
      <w:r w:rsidR="00D52FD0">
        <w:t xml:space="preserve"> </w:t>
      </w:r>
      <w:r w:rsidR="000A1AAE" w:rsidRPr="00DA3326">
        <w:t>being</w:t>
      </w:r>
      <w:r w:rsidR="00D52FD0">
        <w:t xml:space="preserve"> </w:t>
      </w:r>
      <w:r w:rsidR="000A1AAE" w:rsidRPr="00DA3326">
        <w:t>inoculated</w:t>
      </w:r>
      <w:r w:rsidR="00D52FD0">
        <w:t xml:space="preserve"> </w:t>
      </w:r>
      <w:r w:rsidR="000A1AAE" w:rsidRPr="00DA3326">
        <w:t>according</w:t>
      </w:r>
      <w:r w:rsidR="00D52FD0">
        <w:t xml:space="preserve"> </w:t>
      </w:r>
      <w:r w:rsidR="000A1AAE" w:rsidRPr="00DA3326">
        <w:t>to</w:t>
      </w:r>
      <w:r w:rsidR="00D52FD0">
        <w:t xml:space="preserve"> </w:t>
      </w:r>
      <w:r w:rsidR="000A1AAE" w:rsidRPr="00DA3326">
        <w:t>their</w:t>
      </w:r>
      <w:r w:rsidR="00D52FD0">
        <w:t xml:space="preserve"> </w:t>
      </w:r>
      <w:r w:rsidR="000A1AAE" w:rsidRPr="00DA3326">
        <w:t>age</w:t>
      </w:r>
      <w:r w:rsidR="00D52FD0">
        <w:t xml:space="preserve"> </w:t>
      </w:r>
      <w:r w:rsidR="000A1AAE" w:rsidRPr="00DA3326">
        <w:t>or</w:t>
      </w:r>
      <w:r w:rsidR="00D52FD0">
        <w:t xml:space="preserve"> </w:t>
      </w:r>
      <w:r w:rsidR="000A1AAE" w:rsidRPr="00DA3326">
        <w:t>vulnerability.</w:t>
      </w:r>
      <w:r w:rsidR="00D52FD0">
        <w:t xml:space="preserve"> </w:t>
      </w:r>
      <w:r w:rsidR="000A1AAE" w:rsidRPr="00DA3326">
        <w:t>The</w:t>
      </w:r>
      <w:r w:rsidR="00D52FD0">
        <w:t xml:space="preserve"> </w:t>
      </w:r>
      <w:r w:rsidR="000A1AAE" w:rsidRPr="00DA3326">
        <w:t>vaccination</w:t>
      </w:r>
      <w:r w:rsidR="00D52FD0">
        <w:t xml:space="preserve"> </w:t>
      </w:r>
      <w:r w:rsidR="000A1AAE" w:rsidRPr="00DA3326">
        <w:t>of</w:t>
      </w:r>
      <w:r w:rsidR="00D52FD0">
        <w:t xml:space="preserve"> </w:t>
      </w:r>
      <w:r w:rsidR="000A1AAE" w:rsidRPr="00DA3326">
        <w:t>these</w:t>
      </w:r>
      <w:r w:rsidR="00D52FD0">
        <w:t xml:space="preserve"> </w:t>
      </w:r>
      <w:r w:rsidR="000A1AAE" w:rsidRPr="00DA3326">
        <w:t>front-liners</w:t>
      </w:r>
      <w:r w:rsidR="00D52FD0">
        <w:t xml:space="preserve"> </w:t>
      </w:r>
      <w:r w:rsidR="000A1AAE" w:rsidRPr="00DA3326">
        <w:t>is</w:t>
      </w:r>
      <w:r w:rsidR="00D52FD0">
        <w:t xml:space="preserve"> </w:t>
      </w:r>
      <w:r w:rsidR="000A1AAE" w:rsidRPr="00DA3326">
        <w:t>planned</w:t>
      </w:r>
      <w:r w:rsidR="00D52FD0">
        <w:t xml:space="preserve"> </w:t>
      </w:r>
      <w:r w:rsidR="000A1AAE" w:rsidRPr="00DA3326">
        <w:t>to</w:t>
      </w:r>
      <w:r w:rsidR="00D52FD0">
        <w:t xml:space="preserve"> </w:t>
      </w:r>
      <w:r w:rsidR="000A1AAE" w:rsidRPr="00DA3326">
        <w:t>be</w:t>
      </w:r>
      <w:r w:rsidR="00D52FD0">
        <w:t xml:space="preserve"> </w:t>
      </w:r>
      <w:r w:rsidR="000A1AAE" w:rsidRPr="00DA3326">
        <w:t>concluded</w:t>
      </w:r>
      <w:r w:rsidR="00D52FD0">
        <w:t xml:space="preserve"> </w:t>
      </w:r>
      <w:r w:rsidR="000A1AAE" w:rsidRPr="00DA3326">
        <w:t>by</w:t>
      </w:r>
      <w:r w:rsidR="00D52FD0">
        <w:t xml:space="preserve"> </w:t>
      </w:r>
      <w:r w:rsidR="000A1AAE" w:rsidRPr="00DA3326">
        <w:t>the</w:t>
      </w:r>
      <w:r w:rsidR="00D52FD0">
        <w:t xml:space="preserve"> </w:t>
      </w:r>
      <w:r w:rsidR="000A1AAE" w:rsidRPr="00DA3326">
        <w:t>end</w:t>
      </w:r>
      <w:r w:rsidR="00D52FD0">
        <w:t xml:space="preserve"> </w:t>
      </w:r>
      <w:r w:rsidR="000A1AAE" w:rsidRPr="00DA3326">
        <w:t>of</w:t>
      </w:r>
      <w:r w:rsidR="00D52FD0">
        <w:t xml:space="preserve"> </w:t>
      </w:r>
      <w:r w:rsidR="000A1AAE" w:rsidRPr="00DA3326">
        <w:t>April</w:t>
      </w:r>
      <w:r w:rsidR="00D52FD0">
        <w:t xml:space="preserve"> </w:t>
      </w:r>
      <w:r w:rsidR="000A1AAE" w:rsidRPr="00DA3326">
        <w:t>2021.</w:t>
      </w:r>
      <w:r w:rsidR="00D52FD0">
        <w:t xml:space="preserve"> </w:t>
      </w:r>
      <w:r w:rsidR="000A1AAE" w:rsidRPr="00DA3326">
        <w:t>It</w:t>
      </w:r>
      <w:r w:rsidR="00D52FD0">
        <w:t xml:space="preserve"> </w:t>
      </w:r>
      <w:r w:rsidR="000A1AAE" w:rsidRPr="00DA3326">
        <w:t>is</w:t>
      </w:r>
      <w:r w:rsidR="00D52FD0">
        <w:t xml:space="preserve"> </w:t>
      </w:r>
      <w:r w:rsidR="000A1AAE" w:rsidRPr="00DA3326">
        <w:t>also</w:t>
      </w:r>
      <w:r w:rsidR="00D52FD0">
        <w:t xml:space="preserve"> </w:t>
      </w:r>
      <w:r w:rsidR="000A1AAE" w:rsidRPr="00DA3326">
        <w:t>important</w:t>
      </w:r>
      <w:r w:rsidR="00D52FD0">
        <w:t xml:space="preserve"> </w:t>
      </w:r>
      <w:r w:rsidR="000A1AAE" w:rsidRPr="00DA3326">
        <w:t>to</w:t>
      </w:r>
      <w:r w:rsidR="00D52FD0">
        <w:t xml:space="preserve"> </w:t>
      </w:r>
      <w:r w:rsidR="000A1AAE" w:rsidRPr="00DA3326">
        <w:t>point</w:t>
      </w:r>
      <w:r w:rsidR="00D52FD0">
        <w:t xml:space="preserve"> </w:t>
      </w:r>
      <w:r w:rsidR="000A1AAE" w:rsidRPr="00DA3326">
        <w:t>out</w:t>
      </w:r>
      <w:r w:rsidR="00D52FD0">
        <w:t xml:space="preserve"> </w:t>
      </w:r>
      <w:r w:rsidR="000A1AAE" w:rsidRPr="00DA3326">
        <w:t>that</w:t>
      </w:r>
      <w:r w:rsidR="00D52FD0">
        <w:t xml:space="preserve"> </w:t>
      </w:r>
      <w:r w:rsidR="000A1AAE" w:rsidRPr="00DA3326">
        <w:t>the</w:t>
      </w:r>
      <w:r w:rsidR="00D52FD0">
        <w:t xml:space="preserve"> </w:t>
      </w:r>
      <w:r w:rsidR="000A1AAE" w:rsidRPr="00DA3326">
        <w:t>residents</w:t>
      </w:r>
      <w:r w:rsidR="00D52FD0">
        <w:t xml:space="preserve"> </w:t>
      </w:r>
      <w:r w:rsidR="000A1AAE" w:rsidRPr="00DA3326">
        <w:t>of</w:t>
      </w:r>
      <w:r w:rsidR="00D52FD0">
        <w:t xml:space="preserve"> </w:t>
      </w:r>
      <w:r w:rsidR="000A1AAE" w:rsidRPr="00DA3326">
        <w:t>closed</w:t>
      </w:r>
      <w:r w:rsidR="00D52FD0">
        <w:t xml:space="preserve"> </w:t>
      </w:r>
      <w:r w:rsidR="000A1AAE" w:rsidRPr="00DA3326">
        <w:t>centres</w:t>
      </w:r>
      <w:r w:rsidR="00D52FD0">
        <w:t xml:space="preserve"> </w:t>
      </w:r>
      <w:r w:rsidR="000A1AAE" w:rsidRPr="00DA3326">
        <w:t>have</w:t>
      </w:r>
      <w:r w:rsidR="00D52FD0">
        <w:t xml:space="preserve"> </w:t>
      </w:r>
      <w:r w:rsidR="000A1AAE" w:rsidRPr="00DA3326">
        <w:t>all</w:t>
      </w:r>
      <w:r w:rsidR="00D52FD0">
        <w:t xml:space="preserve"> </w:t>
      </w:r>
      <w:r w:rsidR="000A1AAE" w:rsidRPr="00DA3326">
        <w:t>been</w:t>
      </w:r>
      <w:r w:rsidR="00D52FD0">
        <w:t xml:space="preserve"> </w:t>
      </w:r>
      <w:r w:rsidR="000A1AAE" w:rsidRPr="00DA3326">
        <w:t>vaccinated</w:t>
      </w:r>
      <w:r w:rsidR="00D52FD0">
        <w:t xml:space="preserve"> </w:t>
      </w:r>
      <w:r w:rsidR="000A1AAE" w:rsidRPr="00DA3326">
        <w:t>against</w:t>
      </w:r>
      <w:r w:rsidR="00D52FD0">
        <w:t xml:space="preserve"> </w:t>
      </w:r>
      <w:r w:rsidR="000A1AAE" w:rsidRPr="00DA3326">
        <w:t>the</w:t>
      </w:r>
      <w:r w:rsidR="00D52FD0">
        <w:t xml:space="preserve"> </w:t>
      </w:r>
      <w:r w:rsidR="000A1AAE" w:rsidRPr="00DA3326">
        <w:t>influenza</w:t>
      </w:r>
      <w:r w:rsidR="00D52FD0">
        <w:t xml:space="preserve"> </w:t>
      </w:r>
      <w:r w:rsidR="000A1AAE" w:rsidRPr="00DA3326">
        <w:t>virus</w:t>
      </w:r>
      <w:r w:rsidR="00D52FD0">
        <w:t xml:space="preserve"> </w:t>
      </w:r>
      <w:r w:rsidR="000A1AAE" w:rsidRPr="00DA3326">
        <w:t>in</w:t>
      </w:r>
      <w:r w:rsidR="00D52FD0">
        <w:t xml:space="preserve"> </w:t>
      </w:r>
      <w:r w:rsidR="000A1AAE" w:rsidRPr="00DA3326">
        <w:t>January.</w:t>
      </w:r>
    </w:p>
    <w:p w14:paraId="165C9DDA" w14:textId="0857D68F" w:rsidR="000A1AAE" w:rsidRPr="00825CCA" w:rsidRDefault="000A1AAE" w:rsidP="00196329">
      <w:pPr>
        <w:pStyle w:val="H1G"/>
      </w:pPr>
      <w:r>
        <w:tab/>
      </w:r>
      <w:r>
        <w:tab/>
      </w:r>
      <w:r w:rsidRPr="00825CCA">
        <w:t>Trafficking</w:t>
      </w:r>
      <w:r w:rsidR="00D52FD0">
        <w:t xml:space="preserve"> </w:t>
      </w:r>
      <w:r w:rsidRPr="00825CCA">
        <w:t>in</w:t>
      </w:r>
      <w:r w:rsidR="00D52FD0">
        <w:t xml:space="preserve"> </w:t>
      </w:r>
      <w:r w:rsidRPr="00825CCA">
        <w:t>persons</w:t>
      </w:r>
      <w:r w:rsidR="00D52FD0">
        <w:t xml:space="preserve"> </w:t>
      </w:r>
      <w:r w:rsidRPr="00825CCA">
        <w:t>(art.</w:t>
      </w:r>
      <w:r w:rsidR="00D52FD0">
        <w:t xml:space="preserve"> </w:t>
      </w:r>
      <w:r w:rsidRPr="00825CCA">
        <w:t>8)</w:t>
      </w:r>
    </w:p>
    <w:p w14:paraId="7A206006" w14:textId="040BFB06" w:rsidR="000A1AAE" w:rsidRDefault="000A1AAE" w:rsidP="00196329">
      <w:pPr>
        <w:pStyle w:val="H23G"/>
        <w:rPr>
          <w:rFonts w:eastAsia="Calibri"/>
        </w:rPr>
      </w:pPr>
      <w:r>
        <w:tab/>
      </w:r>
      <w:r>
        <w:tab/>
      </w:r>
      <w:r w:rsidRPr="00504902">
        <w:t>Reply</w:t>
      </w:r>
      <w:r w:rsidR="00D52FD0">
        <w:t xml:space="preserve"> </w:t>
      </w:r>
      <w:r w:rsidRPr="00504902">
        <w:t>to</w:t>
      </w:r>
      <w:r w:rsidR="00D52FD0">
        <w:t xml:space="preserve"> </w:t>
      </w:r>
      <w:r w:rsidRPr="00504902">
        <w:t>paragraph</w:t>
      </w:r>
      <w:r w:rsidR="00D52FD0">
        <w:t xml:space="preserve"> </w:t>
      </w:r>
      <w:r>
        <w:t>14</w:t>
      </w:r>
      <w:r w:rsidR="00D52FD0">
        <w:t xml:space="preserve"> </w:t>
      </w:r>
      <w:r w:rsidRPr="00504902">
        <w:t>of</w:t>
      </w:r>
      <w:r w:rsidR="00D52FD0">
        <w:t xml:space="preserve"> </w:t>
      </w:r>
      <w:r w:rsidRPr="00504902">
        <w:t>the</w:t>
      </w:r>
      <w:r w:rsidR="00D52FD0">
        <w:t xml:space="preserve"> </w:t>
      </w:r>
      <w:r w:rsidRPr="00504902">
        <w:t>list</w:t>
      </w:r>
      <w:r w:rsidR="00D52FD0">
        <w:t xml:space="preserve"> </w:t>
      </w:r>
      <w:r w:rsidRPr="00504902">
        <w:t>of</w:t>
      </w:r>
      <w:r w:rsidR="00D52FD0">
        <w:t xml:space="preserve"> </w:t>
      </w:r>
      <w:r w:rsidRPr="00504902">
        <w:t>issues</w:t>
      </w:r>
    </w:p>
    <w:p w14:paraId="4710D059" w14:textId="57DD326B" w:rsidR="000A1AAE" w:rsidRPr="00DA3326" w:rsidRDefault="0044637E" w:rsidP="0044637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DA3326">
        <w:t>167.</w:t>
      </w:r>
      <w:r w:rsidRPr="00DA3326">
        <w:tab/>
      </w:r>
      <w:r w:rsidR="000A1AAE" w:rsidRPr="00DA3326">
        <w:t>Please</w:t>
      </w:r>
      <w:r w:rsidR="00D52FD0">
        <w:t xml:space="preserve"> </w:t>
      </w:r>
      <w:r w:rsidR="000A1AAE" w:rsidRPr="00DA3326">
        <w:t>refer</w:t>
      </w:r>
      <w:r w:rsidR="00D52FD0">
        <w:t xml:space="preserve"> </w:t>
      </w:r>
      <w:r w:rsidR="000A1AAE" w:rsidRPr="00DA3326">
        <w:t>to</w:t>
      </w:r>
      <w:r w:rsidR="00D52FD0">
        <w:t xml:space="preserve"> </w:t>
      </w:r>
      <w:r w:rsidR="000A1AAE" w:rsidRPr="00DA3326">
        <w:t>the</w:t>
      </w:r>
      <w:r w:rsidR="00D52FD0">
        <w:t xml:space="preserve"> </w:t>
      </w:r>
      <w:r w:rsidR="000A1AAE" w:rsidRPr="00DA3326">
        <w:t>input</w:t>
      </w:r>
      <w:r w:rsidR="00D52FD0">
        <w:t xml:space="preserve"> </w:t>
      </w:r>
      <w:r w:rsidR="000A1AAE" w:rsidRPr="00DA3326">
        <w:t>provided</w:t>
      </w:r>
      <w:r w:rsidR="00D52FD0">
        <w:t xml:space="preserve"> </w:t>
      </w:r>
      <w:r w:rsidR="000A1AAE" w:rsidRPr="00DA3326">
        <w:t>under</w:t>
      </w:r>
      <w:r w:rsidR="00D52FD0">
        <w:t xml:space="preserve"> </w:t>
      </w:r>
      <w:r w:rsidR="000A1AAE" w:rsidRPr="00A84A87">
        <w:t>section</w:t>
      </w:r>
      <w:r w:rsidR="00D52FD0">
        <w:t xml:space="preserve"> </w:t>
      </w:r>
      <w:r w:rsidR="000A1AAE" w:rsidRPr="00A84A87">
        <w:t>A</w:t>
      </w:r>
      <w:r w:rsidR="00D52FD0">
        <w:t xml:space="preserve"> </w:t>
      </w:r>
      <w:r w:rsidR="000A1AAE" w:rsidRPr="00A84A87">
        <w:t>on</w:t>
      </w:r>
      <w:r w:rsidR="00D52FD0">
        <w:t xml:space="preserve"> </w:t>
      </w:r>
      <w:r w:rsidR="000A1AAE" w:rsidRPr="00A84A87">
        <w:t>pages</w:t>
      </w:r>
      <w:r w:rsidR="00D52FD0">
        <w:t xml:space="preserve"> </w:t>
      </w:r>
      <w:r w:rsidR="000A1AAE" w:rsidRPr="00A84A87">
        <w:t>6</w:t>
      </w:r>
      <w:r w:rsidR="00F14DA3">
        <w:t>–</w:t>
      </w:r>
      <w:r w:rsidR="000A1AAE" w:rsidRPr="00A84A87">
        <w:t>10.</w:t>
      </w:r>
    </w:p>
    <w:p w14:paraId="6B15BE12" w14:textId="314219A0" w:rsidR="000A1AAE" w:rsidRPr="00825CCA" w:rsidRDefault="000A1AAE" w:rsidP="00196329">
      <w:pPr>
        <w:pStyle w:val="H1G"/>
      </w:pPr>
      <w:r>
        <w:tab/>
      </w:r>
      <w:r>
        <w:tab/>
      </w:r>
      <w:r w:rsidRPr="00825CCA">
        <w:t>Migrants,</w:t>
      </w:r>
      <w:r w:rsidR="00D52FD0">
        <w:t xml:space="preserve"> </w:t>
      </w:r>
      <w:r w:rsidRPr="00825CCA">
        <w:t>asylum</w:t>
      </w:r>
      <w:r w:rsidR="00D52FD0">
        <w:t xml:space="preserve"> </w:t>
      </w:r>
      <w:r w:rsidRPr="00825CCA">
        <w:t>seekers</w:t>
      </w:r>
      <w:r w:rsidR="00D52FD0">
        <w:t xml:space="preserve"> </w:t>
      </w:r>
      <w:r w:rsidRPr="00825CCA">
        <w:t>and</w:t>
      </w:r>
      <w:r w:rsidR="00D52FD0">
        <w:t xml:space="preserve"> </w:t>
      </w:r>
      <w:r w:rsidRPr="00825CCA">
        <w:t>refugees</w:t>
      </w:r>
      <w:r w:rsidR="00D52FD0">
        <w:t xml:space="preserve"> </w:t>
      </w:r>
      <w:r w:rsidRPr="00825CCA">
        <w:t>(arts.</w:t>
      </w:r>
      <w:r w:rsidR="00D52FD0">
        <w:t xml:space="preserve"> </w:t>
      </w:r>
      <w:r w:rsidRPr="00825CCA">
        <w:t>6,</w:t>
      </w:r>
      <w:r w:rsidR="00D52FD0">
        <w:t xml:space="preserve"> </w:t>
      </w:r>
      <w:r w:rsidRPr="00825CCA">
        <w:t>7,</w:t>
      </w:r>
      <w:r w:rsidR="00D52FD0">
        <w:t xml:space="preserve"> </w:t>
      </w:r>
      <w:r w:rsidRPr="00825CCA">
        <w:t>9</w:t>
      </w:r>
      <w:r w:rsidR="00D52FD0">
        <w:t xml:space="preserve"> </w:t>
      </w:r>
      <w:r w:rsidRPr="00825CCA">
        <w:t>and</w:t>
      </w:r>
      <w:r w:rsidR="00D52FD0">
        <w:t xml:space="preserve"> </w:t>
      </w:r>
      <w:r w:rsidRPr="00825CCA">
        <w:t>10)</w:t>
      </w:r>
    </w:p>
    <w:p w14:paraId="3C29AD47" w14:textId="2F7204C7" w:rsidR="000A1AAE" w:rsidRDefault="000A1AAE" w:rsidP="00196329">
      <w:pPr>
        <w:pStyle w:val="H23G"/>
        <w:rPr>
          <w:rFonts w:eastAsia="Calibri"/>
        </w:rPr>
      </w:pPr>
      <w:r>
        <w:tab/>
      </w:r>
      <w:r>
        <w:tab/>
      </w:r>
      <w:r w:rsidRPr="00504902">
        <w:t>Reply</w:t>
      </w:r>
      <w:r w:rsidR="00D52FD0">
        <w:t xml:space="preserve"> </w:t>
      </w:r>
      <w:r w:rsidRPr="00504902">
        <w:t>to</w:t>
      </w:r>
      <w:r w:rsidR="00D52FD0">
        <w:t xml:space="preserve"> </w:t>
      </w:r>
      <w:r w:rsidRPr="00504902">
        <w:t>paragraph</w:t>
      </w:r>
      <w:r w:rsidR="00D52FD0">
        <w:t xml:space="preserve"> </w:t>
      </w:r>
      <w:r>
        <w:t>15</w:t>
      </w:r>
      <w:r w:rsidR="00D52FD0">
        <w:t xml:space="preserve"> </w:t>
      </w:r>
      <w:r w:rsidRPr="00504902">
        <w:t>of</w:t>
      </w:r>
      <w:r w:rsidR="00D52FD0">
        <w:t xml:space="preserve"> </w:t>
      </w:r>
      <w:r w:rsidRPr="00504902">
        <w:t>the</w:t>
      </w:r>
      <w:r w:rsidR="00D52FD0">
        <w:t xml:space="preserve"> </w:t>
      </w:r>
      <w:r w:rsidRPr="00504902">
        <w:t>list</w:t>
      </w:r>
      <w:r w:rsidR="00D52FD0">
        <w:t xml:space="preserve"> </w:t>
      </w:r>
      <w:r w:rsidRPr="00504902">
        <w:t>of</w:t>
      </w:r>
      <w:r w:rsidR="00D52FD0">
        <w:t xml:space="preserve"> </w:t>
      </w:r>
      <w:r w:rsidRPr="00504902">
        <w:t>issues</w:t>
      </w:r>
    </w:p>
    <w:p w14:paraId="25E956A2" w14:textId="3FB32D49" w:rsidR="000A1AAE" w:rsidRPr="00DA3326" w:rsidRDefault="0044637E" w:rsidP="0044637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DA3326">
        <w:t>168.</w:t>
      </w:r>
      <w:r w:rsidRPr="00DA3326">
        <w:tab/>
      </w:r>
      <w:r w:rsidR="000A1AAE" w:rsidRPr="00DA3326">
        <w:t>In</w:t>
      </w:r>
      <w:r w:rsidR="00D52FD0">
        <w:t xml:space="preserve"> </w:t>
      </w:r>
      <w:r w:rsidR="000A1AAE" w:rsidRPr="00DA3326">
        <w:t>accordance</w:t>
      </w:r>
      <w:r w:rsidR="00D52FD0">
        <w:t xml:space="preserve"> </w:t>
      </w:r>
      <w:r w:rsidR="000A1AAE" w:rsidRPr="00DA3326">
        <w:t>with</w:t>
      </w:r>
      <w:r w:rsidR="00D52FD0">
        <w:t xml:space="preserve"> </w:t>
      </w:r>
      <w:r w:rsidR="000A1AAE" w:rsidRPr="00DA3326">
        <w:t>the</w:t>
      </w:r>
      <w:r w:rsidR="00D52FD0">
        <w:t xml:space="preserve"> </w:t>
      </w:r>
      <w:r w:rsidR="000A1AAE" w:rsidRPr="00DA3326">
        <w:t>United</w:t>
      </w:r>
      <w:r w:rsidR="00D52FD0">
        <w:t xml:space="preserve"> </w:t>
      </w:r>
      <w:r w:rsidR="000A1AAE" w:rsidRPr="00DA3326">
        <w:t>Nations</w:t>
      </w:r>
      <w:r w:rsidR="00D52FD0">
        <w:t xml:space="preserve"> </w:t>
      </w:r>
      <w:r w:rsidR="000A1AAE" w:rsidRPr="00DA3326">
        <w:t>Convention</w:t>
      </w:r>
      <w:r w:rsidR="00D52FD0">
        <w:t xml:space="preserve"> </w:t>
      </w:r>
      <w:r w:rsidR="000A1AAE" w:rsidRPr="00DA3326">
        <w:t>on</w:t>
      </w:r>
      <w:r w:rsidR="00D52FD0">
        <w:t xml:space="preserve"> </w:t>
      </w:r>
      <w:r w:rsidR="000A1AAE" w:rsidRPr="00DA3326">
        <w:t>the</w:t>
      </w:r>
      <w:r w:rsidR="00D52FD0">
        <w:t xml:space="preserve"> </w:t>
      </w:r>
      <w:r w:rsidR="000A1AAE" w:rsidRPr="00DA3326">
        <w:t>Law</w:t>
      </w:r>
      <w:r w:rsidR="00D52FD0">
        <w:t xml:space="preserve"> </w:t>
      </w:r>
      <w:r w:rsidR="000A1AAE" w:rsidRPr="00DA3326">
        <w:t>of</w:t>
      </w:r>
      <w:r w:rsidR="00D52FD0">
        <w:t xml:space="preserve"> </w:t>
      </w:r>
      <w:r w:rsidR="000A1AAE" w:rsidRPr="00DA3326">
        <w:t>the</w:t>
      </w:r>
      <w:r w:rsidR="00D52FD0">
        <w:t xml:space="preserve"> </w:t>
      </w:r>
      <w:r w:rsidR="000A1AAE" w:rsidRPr="00DA3326">
        <w:t>Sea</w:t>
      </w:r>
      <w:r w:rsidR="00D52FD0">
        <w:t xml:space="preserve"> </w:t>
      </w:r>
      <w:r w:rsidR="000A1AAE" w:rsidRPr="00DA3326">
        <w:t>(UNCLOS),</w:t>
      </w:r>
      <w:r w:rsidR="00D52FD0">
        <w:t xml:space="preserve"> </w:t>
      </w:r>
      <w:r w:rsidR="000A1AAE" w:rsidRPr="00DA3326">
        <w:t>Search</w:t>
      </w:r>
      <w:r w:rsidR="00D52FD0">
        <w:t xml:space="preserve"> </w:t>
      </w:r>
      <w:r w:rsidR="000A1AAE" w:rsidRPr="00DA3326">
        <w:t>and</w:t>
      </w:r>
      <w:r w:rsidR="00D52FD0">
        <w:t xml:space="preserve"> </w:t>
      </w:r>
      <w:r w:rsidR="000A1AAE" w:rsidRPr="00DA3326">
        <w:t>Rescue</w:t>
      </w:r>
      <w:r w:rsidR="00D52FD0">
        <w:t xml:space="preserve"> </w:t>
      </w:r>
      <w:r w:rsidR="000A1AAE" w:rsidRPr="00DA3326">
        <w:t>Regions</w:t>
      </w:r>
      <w:r w:rsidR="00D52FD0">
        <w:t xml:space="preserve"> </w:t>
      </w:r>
      <w:r w:rsidR="000A1AAE" w:rsidRPr="00DA3326">
        <w:t>(SRR)</w:t>
      </w:r>
      <w:r w:rsidR="00D52FD0">
        <w:t xml:space="preserve"> </w:t>
      </w:r>
      <w:r w:rsidR="000A1AAE" w:rsidRPr="00DA3326">
        <w:t>are</w:t>
      </w:r>
      <w:r w:rsidR="00D52FD0">
        <w:t xml:space="preserve"> </w:t>
      </w:r>
      <w:r w:rsidR="000A1AAE" w:rsidRPr="00DA3326">
        <w:t>not</w:t>
      </w:r>
      <w:r w:rsidR="00D52FD0">
        <w:t xml:space="preserve"> </w:t>
      </w:r>
      <w:r w:rsidR="000A1AAE" w:rsidRPr="00DA3326">
        <w:t>subject</w:t>
      </w:r>
      <w:r w:rsidR="00D52FD0">
        <w:t xml:space="preserve"> </w:t>
      </w:r>
      <w:r w:rsidR="000A1AAE" w:rsidRPr="00DA3326">
        <w:t>to</w:t>
      </w:r>
      <w:r w:rsidR="00D52FD0">
        <w:t xml:space="preserve"> </w:t>
      </w:r>
      <w:r w:rsidR="000A1AAE" w:rsidRPr="00DA3326">
        <w:t>States</w:t>
      </w:r>
      <w:r w:rsidR="00F14DA3">
        <w:t>’</w:t>
      </w:r>
      <w:r w:rsidR="00D52FD0">
        <w:t xml:space="preserve"> </w:t>
      </w:r>
      <w:r w:rsidR="000A1AAE" w:rsidRPr="00DA3326">
        <w:t>jurisdiction</w:t>
      </w:r>
      <w:r w:rsidR="00D52FD0">
        <w:t xml:space="preserve"> </w:t>
      </w:r>
      <w:r w:rsidR="000A1AAE" w:rsidRPr="00DA3326">
        <w:t>since</w:t>
      </w:r>
      <w:r w:rsidR="00D52FD0">
        <w:t xml:space="preserve"> </w:t>
      </w:r>
      <w:r w:rsidR="000A1AAE" w:rsidRPr="00DA3326">
        <w:t>they</w:t>
      </w:r>
      <w:r w:rsidR="00D52FD0">
        <w:t xml:space="preserve"> </w:t>
      </w:r>
      <w:r w:rsidR="000A1AAE" w:rsidRPr="00DA3326">
        <w:t>fall</w:t>
      </w:r>
      <w:r w:rsidR="00D52FD0">
        <w:t xml:space="preserve"> </w:t>
      </w:r>
      <w:r w:rsidR="000A1AAE" w:rsidRPr="00DA3326">
        <w:t>within</w:t>
      </w:r>
      <w:r w:rsidR="00D52FD0">
        <w:t xml:space="preserve"> </w:t>
      </w:r>
      <w:r w:rsidR="000A1AAE" w:rsidRPr="00DA3326">
        <w:t>the</w:t>
      </w:r>
      <w:r w:rsidR="00D52FD0">
        <w:t xml:space="preserve"> </w:t>
      </w:r>
      <w:r w:rsidR="000A1AAE" w:rsidRPr="00DA3326">
        <w:t>high</w:t>
      </w:r>
      <w:r w:rsidR="00D52FD0">
        <w:t xml:space="preserve"> </w:t>
      </w:r>
      <w:r w:rsidR="000A1AAE" w:rsidRPr="00DA3326">
        <w:t>seas</w:t>
      </w:r>
      <w:r w:rsidR="00D52FD0">
        <w:t xml:space="preserve"> </w:t>
      </w:r>
      <w:r w:rsidR="000A1AAE" w:rsidRPr="00DA3326">
        <w:t>considered</w:t>
      </w:r>
      <w:r w:rsidR="00D52FD0">
        <w:t xml:space="preserve"> </w:t>
      </w:r>
      <w:r w:rsidR="000A1AAE" w:rsidRPr="00DA3326">
        <w:t>to</w:t>
      </w:r>
      <w:r w:rsidR="00D52FD0">
        <w:t xml:space="preserve"> </w:t>
      </w:r>
      <w:r w:rsidR="000A1AAE" w:rsidRPr="00DA3326">
        <w:t>be</w:t>
      </w:r>
      <w:r w:rsidR="00D52FD0">
        <w:t xml:space="preserve"> </w:t>
      </w:r>
      <w:r w:rsidR="000A1AAE" w:rsidRPr="00DA3326">
        <w:t>the</w:t>
      </w:r>
      <w:r w:rsidR="00D52FD0">
        <w:t xml:space="preserve"> </w:t>
      </w:r>
      <w:r w:rsidR="000A1AAE" w:rsidRPr="00DA3326">
        <w:t>common</w:t>
      </w:r>
      <w:r w:rsidR="00D52FD0">
        <w:t xml:space="preserve"> </w:t>
      </w:r>
      <w:r w:rsidR="000A1AAE" w:rsidRPr="00DA3326">
        <w:t>heritage</w:t>
      </w:r>
      <w:r w:rsidR="00D52FD0">
        <w:t xml:space="preserve"> </w:t>
      </w:r>
      <w:r w:rsidR="000A1AAE" w:rsidRPr="00DA3326">
        <w:t>of</w:t>
      </w:r>
      <w:r w:rsidR="00D52FD0">
        <w:t xml:space="preserve"> </w:t>
      </w:r>
      <w:r w:rsidR="000A1AAE" w:rsidRPr="00DA3326">
        <w:t>mankind.</w:t>
      </w:r>
      <w:r w:rsidR="00D52FD0">
        <w:t xml:space="preserve"> </w:t>
      </w:r>
      <w:r w:rsidR="000A1AAE" w:rsidRPr="00DA3326">
        <w:t>This</w:t>
      </w:r>
      <w:r w:rsidR="00D52FD0">
        <w:t xml:space="preserve"> </w:t>
      </w:r>
      <w:r w:rsidR="000A1AAE" w:rsidRPr="00DA3326">
        <w:t>is</w:t>
      </w:r>
      <w:r w:rsidR="00D52FD0">
        <w:t xml:space="preserve"> </w:t>
      </w:r>
      <w:r w:rsidR="000A1AAE" w:rsidRPr="00DA3326">
        <w:t>further</w:t>
      </w:r>
      <w:r w:rsidR="00D52FD0">
        <w:t xml:space="preserve"> </w:t>
      </w:r>
      <w:r w:rsidR="000A1AAE" w:rsidRPr="00DA3326">
        <w:t>corroborated</w:t>
      </w:r>
      <w:r w:rsidR="00D52FD0">
        <w:t xml:space="preserve"> </w:t>
      </w:r>
      <w:r w:rsidR="000A1AAE" w:rsidRPr="00DA3326">
        <w:t>by</w:t>
      </w:r>
      <w:r w:rsidR="00D52FD0">
        <w:t xml:space="preserve"> </w:t>
      </w:r>
      <w:r w:rsidR="000A1AAE" w:rsidRPr="00DA3326">
        <w:t>the</w:t>
      </w:r>
      <w:r w:rsidR="00D52FD0">
        <w:t xml:space="preserve"> </w:t>
      </w:r>
      <w:r w:rsidR="000A1AAE" w:rsidRPr="00DA3326">
        <w:t>1979</w:t>
      </w:r>
      <w:r w:rsidR="00D52FD0">
        <w:t xml:space="preserve"> </w:t>
      </w:r>
      <w:r w:rsidR="000A1AAE" w:rsidRPr="00DA3326">
        <w:t>Search</w:t>
      </w:r>
      <w:r w:rsidR="00D52FD0">
        <w:t xml:space="preserve"> </w:t>
      </w:r>
      <w:r w:rsidR="000A1AAE" w:rsidRPr="00DA3326">
        <w:t>and</w:t>
      </w:r>
      <w:r w:rsidR="00D52FD0">
        <w:t xml:space="preserve"> </w:t>
      </w:r>
      <w:r w:rsidR="000A1AAE" w:rsidRPr="00DA3326">
        <w:t>Rescue</w:t>
      </w:r>
      <w:r w:rsidR="00D52FD0">
        <w:t xml:space="preserve"> </w:t>
      </w:r>
      <w:r w:rsidR="000A1AAE" w:rsidRPr="00DA3326">
        <w:t>Convention</w:t>
      </w:r>
      <w:r w:rsidR="00D52FD0">
        <w:t xml:space="preserve"> </w:t>
      </w:r>
      <w:r w:rsidR="000A1AAE" w:rsidRPr="00DA3326">
        <w:t>(SAR)</w:t>
      </w:r>
      <w:r w:rsidR="00D52FD0">
        <w:t xml:space="preserve"> </w:t>
      </w:r>
      <w:r w:rsidR="000A1AAE" w:rsidRPr="00DA3326">
        <w:t>Article</w:t>
      </w:r>
      <w:r w:rsidR="00D52FD0">
        <w:t xml:space="preserve"> </w:t>
      </w:r>
      <w:r w:rsidR="000A1AAE" w:rsidRPr="00DA3326">
        <w:t>2.1.7</w:t>
      </w:r>
      <w:r w:rsidR="00D52FD0">
        <w:t xml:space="preserve"> </w:t>
      </w:r>
      <w:r w:rsidR="00F14DA3">
        <w:t>‘</w:t>
      </w:r>
      <w:r w:rsidR="000A1AAE" w:rsidRPr="00DA3326">
        <w:t>The</w:t>
      </w:r>
      <w:r w:rsidR="00D52FD0">
        <w:t xml:space="preserve"> </w:t>
      </w:r>
      <w:r w:rsidR="000A1AAE" w:rsidRPr="00DA3326">
        <w:t>delimitation</w:t>
      </w:r>
      <w:r w:rsidR="00D52FD0">
        <w:t xml:space="preserve"> </w:t>
      </w:r>
      <w:r w:rsidR="000A1AAE" w:rsidRPr="00DA3326">
        <w:t>of</w:t>
      </w:r>
      <w:r w:rsidR="00D52FD0">
        <w:t xml:space="preserve"> </w:t>
      </w:r>
      <w:r w:rsidR="000A1AAE" w:rsidRPr="00DA3326">
        <w:t>search</w:t>
      </w:r>
      <w:r w:rsidR="00D52FD0">
        <w:t xml:space="preserve"> </w:t>
      </w:r>
      <w:r w:rsidR="000A1AAE" w:rsidRPr="00DA3326">
        <w:t>and</w:t>
      </w:r>
      <w:r w:rsidR="00D52FD0">
        <w:t xml:space="preserve"> </w:t>
      </w:r>
      <w:r w:rsidR="000A1AAE" w:rsidRPr="00DA3326">
        <w:t>rescue</w:t>
      </w:r>
      <w:r w:rsidR="00D52FD0">
        <w:t xml:space="preserve"> </w:t>
      </w:r>
      <w:r w:rsidR="000A1AAE" w:rsidRPr="00DA3326">
        <w:t>regions</w:t>
      </w:r>
      <w:r w:rsidR="00D52FD0">
        <w:t xml:space="preserve"> </w:t>
      </w:r>
      <w:r w:rsidR="000A1AAE" w:rsidRPr="00DA3326">
        <w:t>is</w:t>
      </w:r>
      <w:r w:rsidR="00D52FD0">
        <w:t xml:space="preserve"> </w:t>
      </w:r>
      <w:r w:rsidR="000A1AAE" w:rsidRPr="00DA3326">
        <w:t>not</w:t>
      </w:r>
      <w:r w:rsidR="00D52FD0">
        <w:t xml:space="preserve"> </w:t>
      </w:r>
      <w:r w:rsidR="000A1AAE" w:rsidRPr="00DA3326">
        <w:t>related</w:t>
      </w:r>
      <w:r w:rsidR="00D52FD0">
        <w:t xml:space="preserve"> </w:t>
      </w:r>
      <w:r w:rsidR="000A1AAE" w:rsidRPr="00DA3326">
        <w:t>to</w:t>
      </w:r>
      <w:r w:rsidR="00D52FD0">
        <w:t xml:space="preserve"> </w:t>
      </w:r>
      <w:r w:rsidR="000A1AAE" w:rsidRPr="00DA3326">
        <w:t>and</w:t>
      </w:r>
      <w:r w:rsidR="00D52FD0">
        <w:t xml:space="preserve"> </w:t>
      </w:r>
      <w:r w:rsidR="000A1AAE" w:rsidRPr="00DA3326">
        <w:t>shall</w:t>
      </w:r>
      <w:r w:rsidR="00D52FD0">
        <w:t xml:space="preserve"> </w:t>
      </w:r>
      <w:r w:rsidR="000A1AAE" w:rsidRPr="00DA3326">
        <w:t>not</w:t>
      </w:r>
      <w:r w:rsidR="00D52FD0">
        <w:t xml:space="preserve"> </w:t>
      </w:r>
      <w:r w:rsidR="000A1AAE" w:rsidRPr="00DA3326">
        <w:t>prejudice</w:t>
      </w:r>
      <w:r w:rsidR="00D52FD0">
        <w:t xml:space="preserve"> </w:t>
      </w:r>
      <w:r w:rsidR="000A1AAE" w:rsidRPr="00DA3326">
        <w:t>the</w:t>
      </w:r>
      <w:r w:rsidR="00D52FD0">
        <w:t xml:space="preserve"> </w:t>
      </w:r>
      <w:r w:rsidR="000A1AAE" w:rsidRPr="00DA3326">
        <w:t>delimitation</w:t>
      </w:r>
      <w:r w:rsidR="00D52FD0">
        <w:t xml:space="preserve"> </w:t>
      </w:r>
      <w:r w:rsidR="000A1AAE" w:rsidRPr="00DA3326">
        <w:t>of</w:t>
      </w:r>
      <w:r w:rsidR="00D52FD0">
        <w:t xml:space="preserve"> </w:t>
      </w:r>
      <w:r w:rsidR="000A1AAE" w:rsidRPr="00DA3326">
        <w:t>any</w:t>
      </w:r>
      <w:r w:rsidR="00D52FD0">
        <w:t xml:space="preserve"> </w:t>
      </w:r>
      <w:r w:rsidR="000A1AAE" w:rsidRPr="00DA3326">
        <w:t>boundary</w:t>
      </w:r>
      <w:r w:rsidR="00D52FD0">
        <w:t xml:space="preserve"> </w:t>
      </w:r>
      <w:r w:rsidR="000A1AAE" w:rsidRPr="00DA3326">
        <w:t>between</w:t>
      </w:r>
      <w:r w:rsidR="00D52FD0">
        <w:t xml:space="preserve"> </w:t>
      </w:r>
      <w:r w:rsidR="000A1AAE" w:rsidRPr="00DA3326">
        <w:t>States.</w:t>
      </w:r>
      <w:r w:rsidR="00F14DA3">
        <w:t>’</w:t>
      </w:r>
      <w:r w:rsidR="00D52FD0">
        <w:t xml:space="preserve"> </w:t>
      </w:r>
      <w:r w:rsidR="000A1AAE" w:rsidRPr="00DA3326">
        <w:t>The</w:t>
      </w:r>
      <w:r w:rsidR="00D52FD0">
        <w:t xml:space="preserve"> </w:t>
      </w:r>
      <w:r w:rsidR="000A1AAE" w:rsidRPr="00DA3326">
        <w:t>obligation</w:t>
      </w:r>
      <w:r w:rsidR="00D52FD0">
        <w:t xml:space="preserve"> </w:t>
      </w:r>
      <w:r w:rsidR="000A1AAE" w:rsidRPr="00DA3326">
        <w:t>of</w:t>
      </w:r>
      <w:r w:rsidR="00D52FD0">
        <w:t xml:space="preserve"> </w:t>
      </w:r>
      <w:r w:rsidR="000A1AAE" w:rsidRPr="00DA3326">
        <w:t>States</w:t>
      </w:r>
      <w:r w:rsidR="00D52FD0">
        <w:t xml:space="preserve"> </w:t>
      </w:r>
      <w:r w:rsidR="000A1AAE" w:rsidRPr="00DA3326">
        <w:t>arising</w:t>
      </w:r>
      <w:r w:rsidR="00D52FD0">
        <w:t xml:space="preserve"> </w:t>
      </w:r>
      <w:r w:rsidR="000A1AAE" w:rsidRPr="00DA3326">
        <w:t>in</w:t>
      </w:r>
      <w:r w:rsidR="00D52FD0">
        <w:t xml:space="preserve"> </w:t>
      </w:r>
      <w:r w:rsidR="000A1AAE" w:rsidRPr="00DA3326">
        <w:t>SRRs</w:t>
      </w:r>
      <w:r w:rsidR="00D52FD0">
        <w:t xml:space="preserve"> </w:t>
      </w:r>
      <w:r w:rsidR="000A1AAE" w:rsidRPr="00DA3326">
        <w:t>is</w:t>
      </w:r>
      <w:r w:rsidR="00D52FD0">
        <w:t xml:space="preserve"> </w:t>
      </w:r>
      <w:r w:rsidR="000A1AAE" w:rsidRPr="00DA3326">
        <w:t>one</w:t>
      </w:r>
      <w:r w:rsidR="00D52FD0">
        <w:t xml:space="preserve"> </w:t>
      </w:r>
      <w:r w:rsidR="000A1AAE" w:rsidRPr="00DA3326">
        <w:t>of</w:t>
      </w:r>
      <w:r w:rsidR="00D52FD0">
        <w:t xml:space="preserve"> </w:t>
      </w:r>
      <w:r w:rsidR="000A1AAE" w:rsidRPr="00DA3326">
        <w:t>coordination</w:t>
      </w:r>
      <w:r w:rsidR="00D52FD0">
        <w:t xml:space="preserve"> </w:t>
      </w:r>
      <w:r w:rsidR="000A1AAE" w:rsidRPr="00DA3326">
        <w:t>of</w:t>
      </w:r>
      <w:r w:rsidR="00D52FD0">
        <w:t xml:space="preserve"> </w:t>
      </w:r>
      <w:r w:rsidR="000A1AAE" w:rsidRPr="00DA3326">
        <w:t>rescue</w:t>
      </w:r>
      <w:r w:rsidR="00D52FD0">
        <w:t xml:space="preserve"> </w:t>
      </w:r>
      <w:r w:rsidR="000A1AAE" w:rsidRPr="00DA3326">
        <w:t>operations</w:t>
      </w:r>
      <w:r w:rsidR="00D52FD0">
        <w:t xml:space="preserve"> </w:t>
      </w:r>
      <w:r w:rsidR="000A1AAE" w:rsidRPr="00DA3326">
        <w:t>rather</w:t>
      </w:r>
      <w:r w:rsidR="00D52FD0">
        <w:t xml:space="preserve"> </w:t>
      </w:r>
      <w:r w:rsidR="000A1AAE" w:rsidRPr="00DA3326">
        <w:t>than</w:t>
      </w:r>
      <w:r w:rsidR="00D52FD0">
        <w:t xml:space="preserve"> </w:t>
      </w:r>
      <w:r w:rsidR="000A1AAE" w:rsidRPr="00DA3326">
        <w:t>exercising</w:t>
      </w:r>
      <w:r w:rsidR="00D52FD0">
        <w:t xml:space="preserve"> </w:t>
      </w:r>
      <w:r w:rsidR="000A1AAE" w:rsidRPr="00DA3326">
        <w:t>territorial</w:t>
      </w:r>
      <w:r w:rsidR="00D52FD0">
        <w:t xml:space="preserve"> </w:t>
      </w:r>
      <w:r w:rsidR="000A1AAE" w:rsidRPr="00DA3326">
        <w:t>jurisdiction.</w:t>
      </w:r>
    </w:p>
    <w:p w14:paraId="6F729D8E" w14:textId="0B33077E" w:rsidR="000E4FD0" w:rsidRDefault="0044637E" w:rsidP="0044637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>
        <w:t>169.</w:t>
      </w:r>
      <w:r>
        <w:tab/>
      </w:r>
      <w:r w:rsidR="000A1AAE" w:rsidRPr="00DA3326">
        <w:t>Malta</w:t>
      </w:r>
      <w:r w:rsidR="00D52FD0">
        <w:t xml:space="preserve"> </w:t>
      </w:r>
      <w:r w:rsidR="000A1AAE" w:rsidRPr="00DA3326">
        <w:t>strongly</w:t>
      </w:r>
      <w:r w:rsidR="00D52FD0">
        <w:t xml:space="preserve"> </w:t>
      </w:r>
      <w:r w:rsidR="000A1AAE" w:rsidRPr="00DA3326">
        <w:t>rebuts</w:t>
      </w:r>
      <w:r w:rsidR="00D52FD0">
        <w:t xml:space="preserve"> </w:t>
      </w:r>
      <w:r w:rsidR="000A1AAE" w:rsidRPr="00DA3326">
        <w:t>any</w:t>
      </w:r>
      <w:r w:rsidR="00D52FD0">
        <w:t xml:space="preserve"> </w:t>
      </w:r>
      <w:r w:rsidR="000A1AAE" w:rsidRPr="00DA3326">
        <w:t>allegations</w:t>
      </w:r>
      <w:r w:rsidR="00D52FD0">
        <w:t xml:space="preserve"> </w:t>
      </w:r>
      <w:r w:rsidR="000A1AAE" w:rsidRPr="00DA3326">
        <w:t>on</w:t>
      </w:r>
      <w:r w:rsidR="00D52FD0">
        <w:t xml:space="preserve"> </w:t>
      </w:r>
      <w:r w:rsidR="000A1AAE" w:rsidRPr="00DA3326">
        <w:t>arbitrary</w:t>
      </w:r>
      <w:r w:rsidR="00D52FD0">
        <w:t xml:space="preserve"> </w:t>
      </w:r>
      <w:r w:rsidR="000A1AAE" w:rsidRPr="00DA3326">
        <w:t>delays</w:t>
      </w:r>
      <w:r w:rsidR="00D52FD0">
        <w:t xml:space="preserve"> </w:t>
      </w:r>
      <w:r w:rsidR="000A1AAE" w:rsidRPr="00DA3326">
        <w:t>in</w:t>
      </w:r>
      <w:r w:rsidR="00D52FD0">
        <w:t xml:space="preserve"> </w:t>
      </w:r>
      <w:r w:rsidR="000A1AAE" w:rsidRPr="00DA3326">
        <w:t>responding</w:t>
      </w:r>
      <w:r w:rsidR="00D52FD0">
        <w:t xml:space="preserve"> </w:t>
      </w:r>
      <w:r w:rsidR="000A1AAE" w:rsidRPr="00DA3326">
        <w:t>to</w:t>
      </w:r>
      <w:r w:rsidR="00D52FD0">
        <w:t xml:space="preserve"> </w:t>
      </w:r>
      <w:r w:rsidR="000A1AAE" w:rsidRPr="00DA3326">
        <w:t>distress</w:t>
      </w:r>
      <w:r w:rsidR="00D52FD0">
        <w:t xml:space="preserve"> </w:t>
      </w:r>
      <w:r w:rsidR="000A1AAE" w:rsidRPr="00DA3326">
        <w:t>calls.</w:t>
      </w:r>
      <w:r w:rsidR="00D52FD0">
        <w:t xml:space="preserve"> </w:t>
      </w:r>
      <w:r w:rsidR="000A1AAE" w:rsidRPr="00DA3326">
        <w:t>Malta</w:t>
      </w:r>
      <w:r w:rsidR="00D52FD0">
        <w:t xml:space="preserve"> </w:t>
      </w:r>
      <w:r w:rsidR="000A1AAE" w:rsidRPr="00DA3326">
        <w:t>abides</w:t>
      </w:r>
      <w:r w:rsidR="00D52FD0">
        <w:t xml:space="preserve"> </w:t>
      </w:r>
      <w:r w:rsidR="000A1AAE" w:rsidRPr="00DA3326">
        <w:t>by</w:t>
      </w:r>
      <w:r w:rsidR="00D52FD0">
        <w:t xml:space="preserve"> </w:t>
      </w:r>
      <w:r w:rsidR="000A1AAE" w:rsidRPr="00DA3326">
        <w:t>international</w:t>
      </w:r>
      <w:r w:rsidR="00D52FD0">
        <w:t xml:space="preserve"> </w:t>
      </w:r>
      <w:r w:rsidR="000A1AAE" w:rsidRPr="00DA3326">
        <w:t>obligations</w:t>
      </w:r>
      <w:r w:rsidR="00D52FD0">
        <w:t xml:space="preserve"> </w:t>
      </w:r>
      <w:r w:rsidR="000A1AAE" w:rsidRPr="00DA3326">
        <w:t>and</w:t>
      </w:r>
      <w:r w:rsidR="00D52FD0">
        <w:t xml:space="preserve"> </w:t>
      </w:r>
      <w:r w:rsidR="000A1AAE" w:rsidRPr="00DA3326">
        <w:t>has</w:t>
      </w:r>
      <w:r w:rsidR="00D52FD0">
        <w:t xml:space="preserve"> </w:t>
      </w:r>
      <w:r w:rsidR="000A1AAE" w:rsidRPr="00DA3326">
        <w:t>always</w:t>
      </w:r>
      <w:r w:rsidR="00D52FD0">
        <w:t xml:space="preserve"> </w:t>
      </w:r>
      <w:r w:rsidR="000A1AAE" w:rsidRPr="00DA3326">
        <w:t>responded</w:t>
      </w:r>
      <w:r w:rsidR="00D52FD0">
        <w:t xml:space="preserve"> </w:t>
      </w:r>
      <w:r w:rsidR="000A1AAE" w:rsidRPr="00DA3326">
        <w:t>to</w:t>
      </w:r>
      <w:r w:rsidR="00D52FD0">
        <w:t xml:space="preserve"> </w:t>
      </w:r>
      <w:r w:rsidR="000A1AAE" w:rsidRPr="00DA3326">
        <w:t>distress</w:t>
      </w:r>
      <w:r w:rsidR="00D52FD0">
        <w:t xml:space="preserve"> </w:t>
      </w:r>
      <w:r w:rsidR="000A1AAE" w:rsidRPr="00DA3326">
        <w:t>calls</w:t>
      </w:r>
      <w:r w:rsidR="00D52FD0">
        <w:t xml:space="preserve"> </w:t>
      </w:r>
      <w:r w:rsidR="000A1AAE" w:rsidRPr="00DA3326">
        <w:t>in</w:t>
      </w:r>
      <w:r w:rsidR="00D52FD0">
        <w:t xml:space="preserve"> </w:t>
      </w:r>
      <w:r w:rsidR="000A1AAE" w:rsidRPr="00DA3326">
        <w:t>its</w:t>
      </w:r>
      <w:r w:rsidR="00D52FD0">
        <w:t xml:space="preserve"> </w:t>
      </w:r>
      <w:r w:rsidR="000A1AAE" w:rsidRPr="00DA3326">
        <w:t>Search</w:t>
      </w:r>
      <w:r w:rsidR="00D52FD0">
        <w:t xml:space="preserve"> </w:t>
      </w:r>
      <w:r w:rsidR="000A1AAE" w:rsidRPr="00DA3326">
        <w:t>and</w:t>
      </w:r>
      <w:r w:rsidR="00D52FD0">
        <w:t xml:space="preserve"> </w:t>
      </w:r>
      <w:r w:rsidR="000A1AAE" w:rsidRPr="00DA3326">
        <w:t>Rescue</w:t>
      </w:r>
      <w:r w:rsidR="00D52FD0">
        <w:t xml:space="preserve"> </w:t>
      </w:r>
      <w:r w:rsidR="000A1AAE" w:rsidRPr="00DA3326">
        <w:t>Region.</w:t>
      </w:r>
      <w:r w:rsidR="00D52FD0">
        <w:t xml:space="preserve"> </w:t>
      </w:r>
      <w:r w:rsidR="000A1AAE" w:rsidRPr="00DA3326">
        <w:t>All</w:t>
      </w:r>
      <w:r w:rsidR="00D52FD0">
        <w:t xml:space="preserve"> </w:t>
      </w:r>
      <w:r w:rsidR="000A1AAE" w:rsidRPr="00DA3326">
        <w:t>notifications</w:t>
      </w:r>
      <w:r w:rsidR="00D52FD0">
        <w:t xml:space="preserve"> </w:t>
      </w:r>
      <w:r w:rsidR="000A1AAE" w:rsidRPr="00DA3326">
        <w:t>received</w:t>
      </w:r>
      <w:r w:rsidR="00D52FD0">
        <w:t xml:space="preserve"> </w:t>
      </w:r>
      <w:r w:rsidR="000A1AAE" w:rsidRPr="00DA3326">
        <w:t>are</w:t>
      </w:r>
      <w:r w:rsidR="00D52FD0">
        <w:t xml:space="preserve"> </w:t>
      </w:r>
      <w:r w:rsidR="000A1AAE" w:rsidRPr="00DA3326">
        <w:t>investigated,</w:t>
      </w:r>
      <w:r w:rsidR="00D52FD0">
        <w:t xml:space="preserve"> </w:t>
      </w:r>
      <w:r w:rsidR="000A1AAE" w:rsidRPr="00DA3326">
        <w:t>assessed,</w:t>
      </w:r>
      <w:r w:rsidR="00D52FD0">
        <w:t xml:space="preserve"> </w:t>
      </w:r>
      <w:r w:rsidR="000A1AAE" w:rsidRPr="00DA3326">
        <w:t>prioritised</w:t>
      </w:r>
      <w:r w:rsidR="00D52FD0">
        <w:t xml:space="preserve"> </w:t>
      </w:r>
      <w:r w:rsidR="000A1AAE" w:rsidRPr="00DA3326">
        <w:t>and</w:t>
      </w:r>
      <w:r w:rsidR="00D52FD0">
        <w:t xml:space="preserve"> </w:t>
      </w:r>
      <w:r w:rsidR="000A1AAE" w:rsidRPr="00DA3326">
        <w:t>actions</w:t>
      </w:r>
      <w:r w:rsidR="00D52FD0">
        <w:t xml:space="preserve"> </w:t>
      </w:r>
      <w:r w:rsidR="000A1AAE" w:rsidRPr="00DA3326">
        <w:t>are</w:t>
      </w:r>
      <w:r w:rsidR="00D52FD0">
        <w:t xml:space="preserve"> </w:t>
      </w:r>
      <w:r w:rsidR="000A1AAE" w:rsidRPr="00DA3326">
        <w:t>taken</w:t>
      </w:r>
      <w:r w:rsidR="00D52FD0">
        <w:t xml:space="preserve"> </w:t>
      </w:r>
      <w:r w:rsidR="000A1AAE" w:rsidRPr="00DA3326">
        <w:t>accordingly.</w:t>
      </w:r>
      <w:r w:rsidR="00D52FD0">
        <w:t xml:space="preserve"> </w:t>
      </w:r>
      <w:r w:rsidR="000A1AAE" w:rsidRPr="00DA3326">
        <w:t>Malta</w:t>
      </w:r>
      <w:r w:rsidR="00D52FD0">
        <w:t xml:space="preserve"> </w:t>
      </w:r>
      <w:r w:rsidR="000A1AAE" w:rsidRPr="00DA3326">
        <w:t>seeks</w:t>
      </w:r>
      <w:r w:rsidR="00D52FD0">
        <w:t xml:space="preserve"> </w:t>
      </w:r>
      <w:r w:rsidR="000A1AAE" w:rsidRPr="00DA3326">
        <w:t>to</w:t>
      </w:r>
      <w:r w:rsidR="00D52FD0">
        <w:t xml:space="preserve"> </w:t>
      </w:r>
      <w:r w:rsidR="000A1AAE" w:rsidRPr="00DA3326">
        <w:t>continue</w:t>
      </w:r>
      <w:r w:rsidR="00D52FD0">
        <w:t xml:space="preserve"> </w:t>
      </w:r>
      <w:r w:rsidR="000A1AAE" w:rsidRPr="00DA3326">
        <w:t>to</w:t>
      </w:r>
      <w:r w:rsidR="00D52FD0">
        <w:t xml:space="preserve"> </w:t>
      </w:r>
      <w:r w:rsidR="000A1AAE" w:rsidRPr="00DA3326">
        <w:t>respect</w:t>
      </w:r>
      <w:r w:rsidR="00D52FD0">
        <w:t xml:space="preserve"> </w:t>
      </w:r>
      <w:r w:rsidR="000A1AAE" w:rsidRPr="00DA3326">
        <w:t>all</w:t>
      </w:r>
      <w:r w:rsidR="00D52FD0">
        <w:t xml:space="preserve"> </w:t>
      </w:r>
      <w:r w:rsidR="000A1AAE" w:rsidRPr="00DA3326">
        <w:t>its</w:t>
      </w:r>
      <w:r w:rsidR="00D52FD0">
        <w:t xml:space="preserve"> </w:t>
      </w:r>
      <w:r w:rsidR="000A1AAE" w:rsidRPr="00DA3326">
        <w:t>international</w:t>
      </w:r>
      <w:r w:rsidR="00D52FD0">
        <w:t xml:space="preserve"> </w:t>
      </w:r>
      <w:r w:rsidR="000A1AAE" w:rsidRPr="00DA3326">
        <w:t>obligations</w:t>
      </w:r>
      <w:r w:rsidR="00D52FD0">
        <w:t xml:space="preserve"> </w:t>
      </w:r>
      <w:r w:rsidR="000A1AAE" w:rsidRPr="00DA3326">
        <w:t>regarding</w:t>
      </w:r>
      <w:r w:rsidR="00D52FD0">
        <w:t xml:space="preserve"> </w:t>
      </w:r>
      <w:r w:rsidR="000A1AAE" w:rsidRPr="00DA3326">
        <w:t>the</w:t>
      </w:r>
      <w:r w:rsidR="00D52FD0">
        <w:t xml:space="preserve"> </w:t>
      </w:r>
      <w:r w:rsidR="000A1AAE" w:rsidRPr="00DA3326">
        <w:t>rescue</w:t>
      </w:r>
      <w:r w:rsidR="00D52FD0">
        <w:t xml:space="preserve"> </w:t>
      </w:r>
      <w:r w:rsidR="000A1AAE" w:rsidRPr="00DA3326">
        <w:t>of</w:t>
      </w:r>
      <w:r w:rsidR="00D52FD0">
        <w:t xml:space="preserve"> </w:t>
      </w:r>
      <w:r w:rsidR="000A1AAE" w:rsidRPr="00DA3326">
        <w:t>persons</w:t>
      </w:r>
      <w:r w:rsidR="00D52FD0">
        <w:t xml:space="preserve"> </w:t>
      </w:r>
      <w:r w:rsidR="000A1AAE" w:rsidRPr="00DA3326">
        <w:t>in</w:t>
      </w:r>
      <w:r w:rsidR="00D52FD0">
        <w:t xml:space="preserve"> </w:t>
      </w:r>
      <w:r w:rsidR="000A1AAE" w:rsidRPr="00DA3326">
        <w:t>distress</w:t>
      </w:r>
      <w:r w:rsidR="00D52FD0">
        <w:t xml:space="preserve"> </w:t>
      </w:r>
      <w:r w:rsidR="000A1AAE" w:rsidRPr="00DA3326">
        <w:t>at</w:t>
      </w:r>
      <w:r w:rsidR="00D52FD0">
        <w:t xml:space="preserve"> </w:t>
      </w:r>
      <w:r w:rsidR="000A1AAE" w:rsidRPr="00DA3326">
        <w:t>sea</w:t>
      </w:r>
      <w:r w:rsidR="00D52FD0">
        <w:t xml:space="preserve"> </w:t>
      </w:r>
      <w:r w:rsidR="000A1AAE" w:rsidRPr="00DA3326">
        <w:t>inside</w:t>
      </w:r>
      <w:r w:rsidR="00D52FD0">
        <w:t xml:space="preserve"> </w:t>
      </w:r>
      <w:r w:rsidR="000A1AAE" w:rsidRPr="00DA3326">
        <w:t>its</w:t>
      </w:r>
      <w:r w:rsidR="00D52FD0">
        <w:t xml:space="preserve"> </w:t>
      </w:r>
      <w:r w:rsidR="000A1AAE" w:rsidRPr="00DA3326">
        <w:t>area</w:t>
      </w:r>
      <w:r w:rsidR="00D52FD0">
        <w:t xml:space="preserve"> </w:t>
      </w:r>
      <w:r w:rsidR="000A1AAE" w:rsidRPr="00DA3326">
        <w:t>of</w:t>
      </w:r>
      <w:r w:rsidR="00D52FD0">
        <w:t xml:space="preserve"> </w:t>
      </w:r>
      <w:r w:rsidR="000A1AAE" w:rsidRPr="00DA3326">
        <w:t>responsibility.</w:t>
      </w:r>
      <w:r w:rsidR="00D52FD0">
        <w:t xml:space="preserve"> </w:t>
      </w:r>
      <w:r w:rsidR="000A1AAE" w:rsidRPr="00DA3326">
        <w:t>All</w:t>
      </w:r>
      <w:r w:rsidR="00D52FD0">
        <w:t xml:space="preserve"> </w:t>
      </w:r>
      <w:r w:rsidR="000A1AAE" w:rsidRPr="00DA3326">
        <w:t>such</w:t>
      </w:r>
      <w:r w:rsidR="00D52FD0">
        <w:t xml:space="preserve"> </w:t>
      </w:r>
      <w:r w:rsidR="000A1AAE" w:rsidRPr="00DA3326">
        <w:t>efforts</w:t>
      </w:r>
      <w:r w:rsidR="00D52FD0">
        <w:t xml:space="preserve"> </w:t>
      </w:r>
      <w:r w:rsidR="000A1AAE" w:rsidRPr="00DA3326">
        <w:t>are</w:t>
      </w:r>
      <w:r w:rsidR="00D52FD0">
        <w:t xml:space="preserve"> </w:t>
      </w:r>
      <w:r w:rsidR="000A1AAE" w:rsidRPr="00DA3326">
        <w:t>conducted</w:t>
      </w:r>
      <w:r w:rsidR="00D52FD0">
        <w:t xml:space="preserve"> </w:t>
      </w:r>
      <w:r w:rsidR="000A1AAE" w:rsidRPr="00DA3326">
        <w:t>in</w:t>
      </w:r>
      <w:r w:rsidR="00D52FD0">
        <w:t xml:space="preserve"> </w:t>
      </w:r>
      <w:r w:rsidR="000A1AAE" w:rsidRPr="00DA3326">
        <w:t>full</w:t>
      </w:r>
      <w:r w:rsidR="00D52FD0">
        <w:t xml:space="preserve"> </w:t>
      </w:r>
      <w:r w:rsidR="000A1AAE" w:rsidRPr="00DA3326">
        <w:t>respect</w:t>
      </w:r>
      <w:r w:rsidR="00D52FD0">
        <w:t xml:space="preserve"> </w:t>
      </w:r>
      <w:r w:rsidR="000A1AAE" w:rsidRPr="00DA3326">
        <w:t>of</w:t>
      </w:r>
      <w:r w:rsidR="00D52FD0">
        <w:t xml:space="preserve"> </w:t>
      </w:r>
      <w:r w:rsidR="000A1AAE" w:rsidRPr="00DA3326">
        <w:t>relevant</w:t>
      </w:r>
      <w:r w:rsidR="00D52FD0">
        <w:t xml:space="preserve"> </w:t>
      </w:r>
      <w:r w:rsidR="000A1AAE" w:rsidRPr="00DA3326">
        <w:t>instruments</w:t>
      </w:r>
      <w:r w:rsidR="00D52FD0">
        <w:t xml:space="preserve"> </w:t>
      </w:r>
      <w:r w:rsidR="000A1AAE" w:rsidRPr="00DA3326">
        <w:t>of</w:t>
      </w:r>
      <w:r w:rsidR="00D52FD0">
        <w:t xml:space="preserve"> </w:t>
      </w:r>
      <w:r w:rsidR="000A1AAE" w:rsidRPr="00DA3326">
        <w:t>international</w:t>
      </w:r>
      <w:r w:rsidR="00D52FD0">
        <w:t xml:space="preserve"> </w:t>
      </w:r>
      <w:r w:rsidR="000A1AAE" w:rsidRPr="00DA3326">
        <w:t>law;</w:t>
      </w:r>
      <w:r w:rsidR="00D52FD0">
        <w:t xml:space="preserve"> </w:t>
      </w:r>
      <w:r w:rsidR="000A1AAE" w:rsidRPr="00DA3326">
        <w:t>fulfilling</w:t>
      </w:r>
      <w:r w:rsidR="00D52FD0">
        <w:t xml:space="preserve"> </w:t>
      </w:r>
      <w:r w:rsidR="000A1AAE" w:rsidRPr="00DA3326">
        <w:t>all</w:t>
      </w:r>
      <w:r w:rsidR="00D52FD0">
        <w:t xml:space="preserve"> </w:t>
      </w:r>
      <w:r w:rsidR="000A1AAE" w:rsidRPr="00DA3326">
        <w:t>SAR</w:t>
      </w:r>
      <w:r w:rsidR="00D52FD0">
        <w:t xml:space="preserve"> </w:t>
      </w:r>
      <w:r w:rsidR="000A1AAE" w:rsidRPr="00DA3326">
        <w:t>obligations</w:t>
      </w:r>
      <w:r w:rsidR="00D52FD0">
        <w:t xml:space="preserve"> </w:t>
      </w:r>
      <w:r w:rsidR="000A1AAE" w:rsidRPr="00DA3326">
        <w:t>as</w:t>
      </w:r>
      <w:r w:rsidR="00D52FD0">
        <w:t xml:space="preserve"> </w:t>
      </w:r>
      <w:r w:rsidR="000A1AAE" w:rsidRPr="00DA3326">
        <w:t>set</w:t>
      </w:r>
      <w:r w:rsidR="00D52FD0">
        <w:t xml:space="preserve"> </w:t>
      </w:r>
      <w:r w:rsidR="000A1AAE" w:rsidRPr="00DA3326">
        <w:t>out</w:t>
      </w:r>
      <w:r w:rsidR="00D52FD0">
        <w:t xml:space="preserve"> </w:t>
      </w:r>
      <w:r w:rsidR="000A1AAE" w:rsidRPr="00DA3326">
        <w:t>in</w:t>
      </w:r>
      <w:r w:rsidR="00D52FD0">
        <w:t xml:space="preserve"> </w:t>
      </w:r>
      <w:r w:rsidR="000A1AAE" w:rsidRPr="00DA3326">
        <w:t>the</w:t>
      </w:r>
      <w:r w:rsidR="00D52FD0">
        <w:t xml:space="preserve"> </w:t>
      </w:r>
      <w:r w:rsidR="000A1AAE" w:rsidRPr="00DA3326">
        <w:t>UN</w:t>
      </w:r>
      <w:r w:rsidR="00D52FD0">
        <w:t xml:space="preserve"> </w:t>
      </w:r>
      <w:r w:rsidR="000A1AAE" w:rsidRPr="00DA3326">
        <w:t>Convention</w:t>
      </w:r>
      <w:r w:rsidR="00D52FD0">
        <w:t xml:space="preserve"> </w:t>
      </w:r>
      <w:r w:rsidR="000A1AAE" w:rsidRPr="00DA3326">
        <w:t>on</w:t>
      </w:r>
      <w:r w:rsidR="00D52FD0">
        <w:t xml:space="preserve"> </w:t>
      </w:r>
      <w:r w:rsidR="000A1AAE" w:rsidRPr="00DA3326">
        <w:t>the</w:t>
      </w:r>
      <w:r w:rsidR="00D52FD0">
        <w:t xml:space="preserve"> </w:t>
      </w:r>
      <w:r w:rsidR="000A1AAE" w:rsidRPr="00DA3326">
        <w:t>Law</w:t>
      </w:r>
      <w:r w:rsidR="00D52FD0">
        <w:t xml:space="preserve"> </w:t>
      </w:r>
      <w:r w:rsidR="000A1AAE" w:rsidRPr="00DA3326">
        <w:t>of</w:t>
      </w:r>
      <w:r w:rsidR="00D52FD0">
        <w:t xml:space="preserve"> </w:t>
      </w:r>
      <w:r w:rsidR="000A1AAE" w:rsidRPr="00DA3326">
        <w:t>the</w:t>
      </w:r>
      <w:r w:rsidR="00D52FD0">
        <w:t xml:space="preserve"> </w:t>
      </w:r>
      <w:r w:rsidR="000A1AAE" w:rsidRPr="00DA3326">
        <w:t>Sea,</w:t>
      </w:r>
      <w:r w:rsidR="00D52FD0">
        <w:t xml:space="preserve"> </w:t>
      </w:r>
      <w:r w:rsidR="000A1AAE" w:rsidRPr="00DA3326">
        <w:t>and</w:t>
      </w:r>
      <w:r w:rsidR="00D52FD0">
        <w:t xml:space="preserve"> </w:t>
      </w:r>
      <w:r w:rsidR="000A1AAE" w:rsidRPr="00DA3326">
        <w:t>applicable</w:t>
      </w:r>
      <w:r w:rsidR="00D52FD0">
        <w:t xml:space="preserve"> </w:t>
      </w:r>
      <w:r w:rsidR="000A1AAE" w:rsidRPr="00DA3326">
        <w:t>provisions</w:t>
      </w:r>
      <w:r w:rsidR="00D52FD0">
        <w:t xml:space="preserve"> </w:t>
      </w:r>
      <w:r w:rsidR="000A1AAE" w:rsidRPr="00DA3326">
        <w:t>contained</w:t>
      </w:r>
      <w:r w:rsidR="00D52FD0">
        <w:t xml:space="preserve"> </w:t>
      </w:r>
      <w:r w:rsidR="000A1AAE" w:rsidRPr="00DA3326">
        <w:t>within</w:t>
      </w:r>
      <w:r w:rsidR="00D52FD0">
        <w:t xml:space="preserve"> </w:t>
      </w:r>
      <w:r w:rsidR="000A1AAE" w:rsidRPr="00DA3326">
        <w:t>the</w:t>
      </w:r>
      <w:r w:rsidR="00D52FD0">
        <w:t xml:space="preserve"> </w:t>
      </w:r>
      <w:r w:rsidR="000A1AAE" w:rsidRPr="00DA3326">
        <w:t>1979</w:t>
      </w:r>
      <w:r w:rsidR="00D52FD0">
        <w:t xml:space="preserve"> </w:t>
      </w:r>
      <w:r w:rsidR="000A1AAE" w:rsidRPr="00DA3326">
        <w:t>Maritime</w:t>
      </w:r>
      <w:r w:rsidR="00D52FD0">
        <w:t xml:space="preserve"> </w:t>
      </w:r>
      <w:r w:rsidR="000A1AAE" w:rsidRPr="00DA3326">
        <w:t>SAR</w:t>
      </w:r>
      <w:r w:rsidR="00D52FD0">
        <w:t xml:space="preserve"> </w:t>
      </w:r>
      <w:r w:rsidR="000A1AAE" w:rsidRPr="00DA3326">
        <w:t>Convention.</w:t>
      </w:r>
    </w:p>
    <w:p w14:paraId="2BDD2C12" w14:textId="770B651D" w:rsidR="000A1AAE" w:rsidRPr="00DA3326" w:rsidRDefault="0044637E" w:rsidP="0044637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DA3326">
        <w:t>170.</w:t>
      </w:r>
      <w:r w:rsidRPr="00DA3326">
        <w:tab/>
      </w:r>
      <w:r w:rsidR="000A1AAE" w:rsidRPr="00DA3326">
        <w:t>Should</w:t>
      </w:r>
      <w:r w:rsidR="00D52FD0">
        <w:t xml:space="preserve"> </w:t>
      </w:r>
      <w:r w:rsidR="000A1AAE" w:rsidRPr="00DA3326">
        <w:t>an</w:t>
      </w:r>
      <w:r w:rsidR="00D52FD0">
        <w:t xml:space="preserve"> </w:t>
      </w:r>
      <w:r w:rsidR="000A1AAE" w:rsidRPr="00DA3326">
        <w:t>allegation</w:t>
      </w:r>
      <w:r w:rsidR="00D52FD0">
        <w:t xml:space="preserve"> </w:t>
      </w:r>
      <w:r w:rsidR="000A1AAE" w:rsidRPr="00DA3326">
        <w:t>arise</w:t>
      </w:r>
      <w:r w:rsidR="00D52FD0">
        <w:t xml:space="preserve"> </w:t>
      </w:r>
      <w:r w:rsidR="000A1AAE" w:rsidRPr="00DA3326">
        <w:t>as</w:t>
      </w:r>
      <w:r w:rsidR="00D52FD0">
        <w:t xml:space="preserve"> </w:t>
      </w:r>
      <w:r w:rsidR="000A1AAE" w:rsidRPr="00DA3326">
        <w:t>to</w:t>
      </w:r>
      <w:r w:rsidR="00D52FD0">
        <w:t xml:space="preserve"> </w:t>
      </w:r>
      <w:r w:rsidR="000A1AAE" w:rsidRPr="00DA3326">
        <w:t>whether</w:t>
      </w:r>
      <w:r w:rsidR="00D52FD0">
        <w:t xml:space="preserve"> </w:t>
      </w:r>
      <w:r w:rsidR="000A1AAE" w:rsidRPr="00DA3326">
        <w:t>a</w:t>
      </w:r>
      <w:r w:rsidR="00D52FD0">
        <w:t xml:space="preserve"> </w:t>
      </w:r>
      <w:r w:rsidR="000A1AAE" w:rsidRPr="00DA3326">
        <w:t>person</w:t>
      </w:r>
      <w:r w:rsidR="00D52FD0">
        <w:t xml:space="preserve"> </w:t>
      </w:r>
      <w:r w:rsidR="000A1AAE" w:rsidRPr="00DA3326">
        <w:t>commits</w:t>
      </w:r>
      <w:r w:rsidR="00D52FD0">
        <w:t xml:space="preserve"> </w:t>
      </w:r>
      <w:r w:rsidR="000A1AAE" w:rsidRPr="00DA3326">
        <w:t>a</w:t>
      </w:r>
      <w:r w:rsidR="00D52FD0">
        <w:t xml:space="preserve"> </w:t>
      </w:r>
      <w:r w:rsidR="000A1AAE" w:rsidRPr="00DA3326">
        <w:t>criminal</w:t>
      </w:r>
      <w:r w:rsidR="00D52FD0">
        <w:t xml:space="preserve"> </w:t>
      </w:r>
      <w:r w:rsidR="000A1AAE" w:rsidRPr="00DA3326">
        <w:t>offence</w:t>
      </w:r>
      <w:r w:rsidR="00D52FD0">
        <w:t xml:space="preserve"> </w:t>
      </w:r>
      <w:r w:rsidR="000A1AAE" w:rsidRPr="00DA3326">
        <w:t>involving</w:t>
      </w:r>
      <w:r w:rsidR="00D52FD0">
        <w:t xml:space="preserve"> </w:t>
      </w:r>
      <w:r w:rsidR="000A1AAE" w:rsidRPr="00DA3326">
        <w:t>migrants,</w:t>
      </w:r>
      <w:r w:rsidR="00D52FD0">
        <w:t xml:space="preserve"> </w:t>
      </w:r>
      <w:r w:rsidR="000A1AAE" w:rsidRPr="00DA3326">
        <w:t>local</w:t>
      </w:r>
      <w:r w:rsidR="00D52FD0">
        <w:t xml:space="preserve"> </w:t>
      </w:r>
      <w:r w:rsidR="000A1AAE" w:rsidRPr="00DA3326">
        <w:t>mechanisms</w:t>
      </w:r>
      <w:r w:rsidR="00D52FD0">
        <w:t xml:space="preserve"> </w:t>
      </w:r>
      <w:r w:rsidR="000A1AAE" w:rsidRPr="00DA3326">
        <w:t>are</w:t>
      </w:r>
      <w:r w:rsidR="00D52FD0">
        <w:t xml:space="preserve"> </w:t>
      </w:r>
      <w:r w:rsidR="000A1AAE" w:rsidRPr="00DA3326">
        <w:t>in</w:t>
      </w:r>
      <w:r w:rsidR="00D52FD0">
        <w:t xml:space="preserve"> </w:t>
      </w:r>
      <w:r w:rsidR="000A1AAE" w:rsidRPr="00DA3326">
        <w:t>place</w:t>
      </w:r>
      <w:r w:rsidR="00D52FD0">
        <w:t xml:space="preserve"> </w:t>
      </w:r>
      <w:r w:rsidR="000A1AAE" w:rsidRPr="00DA3326">
        <w:t>wherein</w:t>
      </w:r>
      <w:r w:rsidR="00D52FD0">
        <w:t xml:space="preserve"> </w:t>
      </w:r>
      <w:r w:rsidR="000A1AAE" w:rsidRPr="00DA3326">
        <w:t>a</w:t>
      </w:r>
      <w:r w:rsidR="00D52FD0">
        <w:t xml:space="preserve"> </w:t>
      </w:r>
      <w:r w:rsidR="000A1AAE" w:rsidRPr="00DA3326">
        <w:t>Magisterial</w:t>
      </w:r>
      <w:r w:rsidR="00D52FD0">
        <w:t xml:space="preserve"> </w:t>
      </w:r>
      <w:r w:rsidR="000A1AAE" w:rsidRPr="00DA3326">
        <w:t>Inquiry</w:t>
      </w:r>
      <w:r w:rsidR="00D52FD0">
        <w:t xml:space="preserve"> </w:t>
      </w:r>
      <w:r w:rsidR="000A1AAE" w:rsidRPr="00DA3326">
        <w:t>has</w:t>
      </w:r>
      <w:r w:rsidR="00D52FD0">
        <w:t xml:space="preserve"> </w:t>
      </w:r>
      <w:r w:rsidR="000A1AAE" w:rsidRPr="00DA3326">
        <w:t>legal</w:t>
      </w:r>
      <w:r w:rsidR="00D52FD0">
        <w:t xml:space="preserve"> </w:t>
      </w:r>
      <w:r w:rsidR="000A1AAE" w:rsidRPr="00DA3326">
        <w:t>powers</w:t>
      </w:r>
      <w:r w:rsidR="00D52FD0">
        <w:t xml:space="preserve"> </w:t>
      </w:r>
      <w:r w:rsidR="000A1AAE" w:rsidRPr="00DA3326">
        <w:t>to</w:t>
      </w:r>
      <w:r w:rsidR="00D52FD0">
        <w:t xml:space="preserve"> </w:t>
      </w:r>
      <w:r w:rsidR="000A1AAE" w:rsidRPr="00DA3326">
        <w:t>investigate.</w:t>
      </w:r>
      <w:r w:rsidR="00D52FD0">
        <w:t xml:space="preserve"> </w:t>
      </w:r>
      <w:r w:rsidR="000A1AAE" w:rsidRPr="00DA3326">
        <w:t>Such</w:t>
      </w:r>
      <w:r w:rsidR="00D52FD0">
        <w:t xml:space="preserve"> </w:t>
      </w:r>
      <w:r w:rsidR="000A1AAE" w:rsidRPr="00DA3326">
        <w:t>Magisterial</w:t>
      </w:r>
      <w:r w:rsidR="00D52FD0">
        <w:t xml:space="preserve"> </w:t>
      </w:r>
      <w:r w:rsidR="000A1AAE" w:rsidRPr="00DA3326">
        <w:t>Inquiry</w:t>
      </w:r>
      <w:r w:rsidR="00D52FD0">
        <w:t xml:space="preserve"> </w:t>
      </w:r>
      <w:r w:rsidR="000A1AAE" w:rsidRPr="00DA3326">
        <w:t>took</w:t>
      </w:r>
      <w:r w:rsidR="00D52FD0">
        <w:t xml:space="preserve"> </w:t>
      </w:r>
      <w:r w:rsidR="000A1AAE" w:rsidRPr="00DA3326">
        <w:t>place</w:t>
      </w:r>
      <w:r w:rsidR="00D52FD0">
        <w:t xml:space="preserve"> </w:t>
      </w:r>
      <w:r w:rsidR="000A1AAE" w:rsidRPr="00DA3326">
        <w:t>for</w:t>
      </w:r>
      <w:r w:rsidR="00D52FD0">
        <w:t xml:space="preserve"> </w:t>
      </w:r>
      <w:r w:rsidR="000A1AAE" w:rsidRPr="00DA3326">
        <w:t>instance,</w:t>
      </w:r>
      <w:r w:rsidR="00D52FD0">
        <w:t xml:space="preserve"> </w:t>
      </w:r>
      <w:r w:rsidR="000A1AAE" w:rsidRPr="00DA3326">
        <w:t>in</w:t>
      </w:r>
      <w:r w:rsidR="00D52FD0">
        <w:t xml:space="preserve"> </w:t>
      </w:r>
      <w:r w:rsidR="000A1AAE" w:rsidRPr="00DA3326">
        <w:t>mid-2020</w:t>
      </w:r>
      <w:r w:rsidR="00D52FD0">
        <w:t xml:space="preserve"> </w:t>
      </w:r>
      <w:r w:rsidR="000A1AAE" w:rsidRPr="00DA3326">
        <w:t>where</w:t>
      </w:r>
      <w:r w:rsidR="00D52FD0">
        <w:t xml:space="preserve"> </w:t>
      </w:r>
      <w:r w:rsidR="000A1AAE" w:rsidRPr="00DA3326">
        <w:t>it</w:t>
      </w:r>
      <w:r w:rsidR="00D52FD0">
        <w:t xml:space="preserve"> </w:t>
      </w:r>
      <w:r w:rsidR="000A1AAE" w:rsidRPr="00DA3326">
        <w:t>looked</w:t>
      </w:r>
      <w:r w:rsidR="00D52FD0">
        <w:t xml:space="preserve"> </w:t>
      </w:r>
      <w:r w:rsidR="000A1AAE" w:rsidRPr="00DA3326">
        <w:t>into</w:t>
      </w:r>
      <w:r w:rsidR="00D52FD0">
        <w:t xml:space="preserve"> </w:t>
      </w:r>
      <w:r w:rsidR="000A1AAE" w:rsidRPr="00DA3326">
        <w:t>whether</w:t>
      </w:r>
      <w:r w:rsidR="00D52FD0">
        <w:t xml:space="preserve"> </w:t>
      </w:r>
      <w:r w:rsidR="000A1AAE" w:rsidRPr="00DA3326">
        <w:t>officials</w:t>
      </w:r>
      <w:r w:rsidR="00D52FD0">
        <w:t xml:space="preserve"> </w:t>
      </w:r>
      <w:r w:rsidR="000A1AAE" w:rsidRPr="00DA3326">
        <w:t>involved</w:t>
      </w:r>
      <w:r w:rsidR="00D52FD0">
        <w:t xml:space="preserve"> </w:t>
      </w:r>
      <w:r w:rsidR="000A1AAE" w:rsidRPr="00DA3326">
        <w:t>in</w:t>
      </w:r>
      <w:r w:rsidR="00D52FD0">
        <w:t xml:space="preserve"> </w:t>
      </w:r>
      <w:r w:rsidR="000A1AAE" w:rsidRPr="00DA3326">
        <w:t>a</w:t>
      </w:r>
      <w:r w:rsidR="00D52FD0">
        <w:t xml:space="preserve"> </w:t>
      </w:r>
      <w:r w:rsidR="000A1AAE" w:rsidRPr="00DA3326">
        <w:t>Search</w:t>
      </w:r>
      <w:r w:rsidR="00D52FD0">
        <w:t xml:space="preserve"> </w:t>
      </w:r>
      <w:r w:rsidR="000A1AAE" w:rsidRPr="00DA3326">
        <w:t>and</w:t>
      </w:r>
      <w:r w:rsidR="00D52FD0">
        <w:t xml:space="preserve"> </w:t>
      </w:r>
      <w:r w:rsidR="000A1AAE" w:rsidRPr="00DA3326">
        <w:t>Rescue</w:t>
      </w:r>
      <w:r w:rsidR="00D52FD0">
        <w:t xml:space="preserve"> </w:t>
      </w:r>
      <w:r w:rsidR="000A1AAE" w:rsidRPr="00DA3326">
        <w:t>operation</w:t>
      </w:r>
      <w:r w:rsidR="00D52FD0">
        <w:t xml:space="preserve"> </w:t>
      </w:r>
      <w:r w:rsidR="000A1AAE" w:rsidRPr="00DA3326">
        <w:t>were</w:t>
      </w:r>
      <w:r w:rsidR="00D52FD0">
        <w:t xml:space="preserve"> </w:t>
      </w:r>
      <w:r w:rsidR="000A1AAE" w:rsidRPr="00DA3326">
        <w:t>guilty</w:t>
      </w:r>
      <w:r w:rsidR="00D52FD0">
        <w:t xml:space="preserve"> </w:t>
      </w:r>
      <w:r w:rsidR="000A1AAE" w:rsidRPr="00DA3326">
        <w:t>of</w:t>
      </w:r>
      <w:r w:rsidR="00D52FD0">
        <w:t xml:space="preserve"> </w:t>
      </w:r>
      <w:r w:rsidR="000A1AAE" w:rsidRPr="00DA3326">
        <w:t>voluntary</w:t>
      </w:r>
      <w:r w:rsidR="00D52FD0">
        <w:t xml:space="preserve"> </w:t>
      </w:r>
      <w:r w:rsidR="000A1AAE" w:rsidRPr="00DA3326">
        <w:t>and/or</w:t>
      </w:r>
      <w:r w:rsidR="00D52FD0">
        <w:t xml:space="preserve"> </w:t>
      </w:r>
      <w:r w:rsidR="000A1AAE" w:rsidRPr="00DA3326">
        <w:t>involuntary</w:t>
      </w:r>
      <w:r w:rsidR="00D52FD0">
        <w:t xml:space="preserve"> </w:t>
      </w:r>
      <w:r w:rsidR="000A1AAE" w:rsidRPr="00DA3326">
        <w:t>homicide</w:t>
      </w:r>
      <w:r w:rsidR="00D52FD0">
        <w:t xml:space="preserve"> </w:t>
      </w:r>
      <w:r w:rsidR="000A1AAE" w:rsidRPr="00DA3326">
        <w:t>or</w:t>
      </w:r>
      <w:r w:rsidR="00D52FD0">
        <w:t xml:space="preserve"> </w:t>
      </w:r>
      <w:r w:rsidR="000A1AAE" w:rsidRPr="00DA3326">
        <w:t>other</w:t>
      </w:r>
      <w:r w:rsidR="00D52FD0">
        <w:t xml:space="preserve"> </w:t>
      </w:r>
      <w:r w:rsidR="000A1AAE" w:rsidRPr="00DA3326">
        <w:t>offences.</w:t>
      </w:r>
      <w:r w:rsidR="00D52FD0">
        <w:t xml:space="preserve"> </w:t>
      </w:r>
      <w:r w:rsidR="000A1AAE" w:rsidRPr="00DA3326">
        <w:t>The</w:t>
      </w:r>
      <w:r w:rsidR="00D52FD0">
        <w:t xml:space="preserve"> </w:t>
      </w:r>
      <w:r w:rsidR="000A1AAE" w:rsidRPr="00DA3326">
        <w:t>Inquiry</w:t>
      </w:r>
      <w:r w:rsidR="00D52FD0">
        <w:t xml:space="preserve"> </w:t>
      </w:r>
      <w:r w:rsidR="000A1AAE" w:rsidRPr="00DA3326">
        <w:t>concluded</w:t>
      </w:r>
      <w:r w:rsidR="00D52FD0">
        <w:t xml:space="preserve"> </w:t>
      </w:r>
      <w:r w:rsidR="000A1AAE" w:rsidRPr="00DA3326">
        <w:t>that</w:t>
      </w:r>
      <w:r w:rsidR="00D52FD0">
        <w:t xml:space="preserve"> </w:t>
      </w:r>
      <w:r w:rsidR="000A1AAE" w:rsidRPr="00DA3326">
        <w:t>there</w:t>
      </w:r>
      <w:r w:rsidR="00D52FD0">
        <w:t xml:space="preserve"> </w:t>
      </w:r>
      <w:r w:rsidR="000A1AAE" w:rsidRPr="00DA3326">
        <w:t>was</w:t>
      </w:r>
      <w:r w:rsidR="00D52FD0">
        <w:t xml:space="preserve"> </w:t>
      </w:r>
      <w:r w:rsidR="000A1AAE" w:rsidRPr="00DA3326">
        <w:t>no</w:t>
      </w:r>
      <w:r w:rsidR="00D52FD0">
        <w:t xml:space="preserve"> </w:t>
      </w:r>
      <w:r w:rsidR="000A1AAE" w:rsidRPr="00DA3326">
        <w:t>basis</w:t>
      </w:r>
      <w:r w:rsidR="00D52FD0">
        <w:t xml:space="preserve"> </w:t>
      </w:r>
      <w:r w:rsidR="000A1AAE" w:rsidRPr="00DA3326">
        <w:t>or</w:t>
      </w:r>
      <w:r w:rsidR="00D52FD0">
        <w:t xml:space="preserve"> </w:t>
      </w:r>
      <w:r w:rsidR="000A1AAE" w:rsidRPr="00DA3326">
        <w:t>reason</w:t>
      </w:r>
      <w:r w:rsidR="00D52FD0">
        <w:t xml:space="preserve"> </w:t>
      </w:r>
      <w:r w:rsidR="000A1AAE" w:rsidRPr="00DA3326">
        <w:t>for</w:t>
      </w:r>
      <w:r w:rsidR="00D52FD0">
        <w:t xml:space="preserve"> </w:t>
      </w:r>
      <w:r w:rsidR="000A1AAE" w:rsidRPr="00DA3326">
        <w:t>prosecution</w:t>
      </w:r>
      <w:r w:rsidR="00D52FD0">
        <w:t xml:space="preserve"> </w:t>
      </w:r>
      <w:r w:rsidR="000A1AAE" w:rsidRPr="00DA3326">
        <w:t>and</w:t>
      </w:r>
      <w:r w:rsidR="00D52FD0">
        <w:t xml:space="preserve"> </w:t>
      </w:r>
      <w:r w:rsidR="000A1AAE" w:rsidRPr="00DA3326">
        <w:t>no</w:t>
      </w:r>
      <w:r w:rsidR="00D52FD0">
        <w:t xml:space="preserve"> </w:t>
      </w:r>
      <w:r w:rsidR="000A1AAE" w:rsidRPr="00DA3326">
        <w:t>criminal</w:t>
      </w:r>
      <w:r w:rsidR="00D52FD0">
        <w:t xml:space="preserve"> </w:t>
      </w:r>
      <w:r w:rsidR="000A1AAE" w:rsidRPr="00DA3326">
        <w:t>offence</w:t>
      </w:r>
      <w:r w:rsidR="00D52FD0">
        <w:t xml:space="preserve"> </w:t>
      </w:r>
      <w:r w:rsidR="000A1AAE" w:rsidRPr="00DA3326">
        <w:t>resulted.</w:t>
      </w:r>
      <w:r w:rsidR="00D52FD0">
        <w:t xml:space="preserve"> </w:t>
      </w:r>
      <w:r w:rsidR="000A1AAE" w:rsidRPr="00DA3326">
        <w:t>Migrants</w:t>
      </w:r>
      <w:r w:rsidR="00D52FD0">
        <w:t xml:space="preserve"> </w:t>
      </w:r>
      <w:r w:rsidR="000A1AAE" w:rsidRPr="00DA3326">
        <w:t>and/or</w:t>
      </w:r>
      <w:r w:rsidR="00D52FD0">
        <w:t xml:space="preserve"> </w:t>
      </w:r>
      <w:r w:rsidR="000A1AAE" w:rsidRPr="00DA3326">
        <w:t>their</w:t>
      </w:r>
      <w:r w:rsidR="00D52FD0">
        <w:t xml:space="preserve"> </w:t>
      </w:r>
      <w:r w:rsidR="000A1AAE" w:rsidRPr="00DA3326">
        <w:t>heirs</w:t>
      </w:r>
      <w:r w:rsidR="00D52FD0">
        <w:t xml:space="preserve"> </w:t>
      </w:r>
      <w:r w:rsidR="000A1AAE" w:rsidRPr="00DA3326">
        <w:t>at</w:t>
      </w:r>
      <w:r w:rsidR="00D52FD0">
        <w:t xml:space="preserve"> </w:t>
      </w:r>
      <w:r w:rsidR="000A1AAE" w:rsidRPr="00DA3326">
        <w:t>law</w:t>
      </w:r>
      <w:r w:rsidR="00D52FD0">
        <w:t xml:space="preserve"> </w:t>
      </w:r>
      <w:r w:rsidR="000A1AAE" w:rsidRPr="00DA3326">
        <w:t>also</w:t>
      </w:r>
      <w:r w:rsidR="00D52FD0">
        <w:t xml:space="preserve"> </w:t>
      </w:r>
      <w:r w:rsidR="000A1AAE" w:rsidRPr="00DA3326">
        <w:t>have</w:t>
      </w:r>
      <w:r w:rsidR="00D52FD0">
        <w:t xml:space="preserve"> </w:t>
      </w:r>
      <w:r w:rsidR="000A1AAE" w:rsidRPr="00DA3326">
        <w:t>the</w:t>
      </w:r>
      <w:r w:rsidR="00D52FD0">
        <w:t xml:space="preserve"> </w:t>
      </w:r>
      <w:r w:rsidR="000A1AAE" w:rsidRPr="00DA3326">
        <w:t>possibility</w:t>
      </w:r>
      <w:r w:rsidR="00D52FD0">
        <w:t xml:space="preserve"> </w:t>
      </w:r>
      <w:r w:rsidR="000A1AAE" w:rsidRPr="00DA3326">
        <w:t>to</w:t>
      </w:r>
      <w:r w:rsidR="00D52FD0">
        <w:t xml:space="preserve"> </w:t>
      </w:r>
      <w:r w:rsidR="000A1AAE" w:rsidRPr="00DA3326">
        <w:t>institute</w:t>
      </w:r>
      <w:r w:rsidR="00D52FD0">
        <w:t xml:space="preserve"> </w:t>
      </w:r>
      <w:r w:rsidR="000A1AAE" w:rsidRPr="00DA3326">
        <w:t>civil</w:t>
      </w:r>
      <w:r w:rsidR="00D52FD0">
        <w:t xml:space="preserve"> </w:t>
      </w:r>
      <w:r w:rsidR="000A1AAE" w:rsidRPr="00DA3326">
        <w:t>proceedings</w:t>
      </w:r>
      <w:r w:rsidR="00D52FD0">
        <w:t xml:space="preserve"> </w:t>
      </w:r>
      <w:r w:rsidR="000A1AAE" w:rsidRPr="00DA3326">
        <w:t>for</w:t>
      </w:r>
      <w:r w:rsidR="00D52FD0">
        <w:t xml:space="preserve"> </w:t>
      </w:r>
      <w:r w:rsidR="000A1AAE" w:rsidRPr="00DA3326">
        <w:t>claims</w:t>
      </w:r>
      <w:r w:rsidR="00D52FD0">
        <w:t xml:space="preserve"> </w:t>
      </w:r>
      <w:r w:rsidR="000A1AAE" w:rsidRPr="00DA3326">
        <w:t>of</w:t>
      </w:r>
      <w:r w:rsidR="00D52FD0">
        <w:t xml:space="preserve"> </w:t>
      </w:r>
      <w:r w:rsidR="000A1AAE" w:rsidRPr="00DA3326">
        <w:t>a</w:t>
      </w:r>
      <w:r w:rsidR="00D52FD0">
        <w:t xml:space="preserve"> </w:t>
      </w:r>
      <w:r w:rsidR="000A1AAE" w:rsidRPr="00DA3326">
        <w:t>civil</w:t>
      </w:r>
      <w:r w:rsidR="00D52FD0">
        <w:t xml:space="preserve"> </w:t>
      </w:r>
      <w:r w:rsidR="000A1AAE" w:rsidRPr="00DA3326">
        <w:t>nature</w:t>
      </w:r>
      <w:r w:rsidR="00D52FD0">
        <w:t xml:space="preserve"> </w:t>
      </w:r>
      <w:r w:rsidR="000A1AAE" w:rsidRPr="00DA3326">
        <w:t>at</w:t>
      </w:r>
      <w:r w:rsidR="00D52FD0">
        <w:t xml:space="preserve"> </w:t>
      </w:r>
      <w:r w:rsidR="000A1AAE" w:rsidRPr="00DA3326">
        <w:t>the</w:t>
      </w:r>
      <w:r w:rsidR="00D52FD0">
        <w:t xml:space="preserve"> </w:t>
      </w:r>
      <w:r w:rsidR="000A1AAE" w:rsidRPr="00DA3326">
        <w:t>local</w:t>
      </w:r>
      <w:r w:rsidR="00D52FD0">
        <w:t xml:space="preserve"> </w:t>
      </w:r>
      <w:r w:rsidR="000A1AAE" w:rsidRPr="00DA3326">
        <w:t>Courts</w:t>
      </w:r>
      <w:r w:rsidR="00D52FD0">
        <w:t xml:space="preserve"> </w:t>
      </w:r>
      <w:r w:rsidR="000A1AAE" w:rsidRPr="00DA3326">
        <w:t>of</w:t>
      </w:r>
      <w:r w:rsidR="00D52FD0">
        <w:t xml:space="preserve"> </w:t>
      </w:r>
      <w:r w:rsidR="000A1AAE" w:rsidRPr="00DA3326">
        <w:t>Law</w:t>
      </w:r>
      <w:r w:rsidR="00D52FD0">
        <w:t xml:space="preserve"> </w:t>
      </w:r>
      <w:r w:rsidR="000A1AAE" w:rsidRPr="00DA3326">
        <w:t>in</w:t>
      </w:r>
      <w:r w:rsidR="00D52FD0">
        <w:t xml:space="preserve"> </w:t>
      </w:r>
      <w:r w:rsidR="000A1AAE" w:rsidRPr="00DA3326">
        <w:t>accordance</w:t>
      </w:r>
      <w:r w:rsidR="00D52FD0">
        <w:t xml:space="preserve"> </w:t>
      </w:r>
      <w:r w:rsidR="000A1AAE" w:rsidRPr="00DA3326">
        <w:t>with</w:t>
      </w:r>
      <w:r w:rsidR="00D52FD0">
        <w:t xml:space="preserve"> </w:t>
      </w:r>
      <w:r w:rsidR="000A1AAE" w:rsidRPr="00DA3326">
        <w:t>extant</w:t>
      </w:r>
      <w:r w:rsidR="00D52FD0">
        <w:t xml:space="preserve"> </w:t>
      </w:r>
      <w:r w:rsidR="000A1AAE" w:rsidRPr="00DA3326">
        <w:t>legislation.</w:t>
      </w:r>
    </w:p>
    <w:p w14:paraId="5EF07CC3" w14:textId="112FEFB3" w:rsidR="000A1AAE" w:rsidRPr="00DA3326" w:rsidRDefault="0044637E" w:rsidP="0044637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DA3326">
        <w:t>171.</w:t>
      </w:r>
      <w:r w:rsidRPr="00DA3326">
        <w:tab/>
      </w:r>
      <w:r w:rsidR="000A1AAE" w:rsidRPr="00DA3326">
        <w:t>It</w:t>
      </w:r>
      <w:r w:rsidR="00D52FD0">
        <w:t xml:space="preserve"> </w:t>
      </w:r>
      <w:r w:rsidR="000A1AAE" w:rsidRPr="00DA3326">
        <w:t>is</w:t>
      </w:r>
      <w:r w:rsidR="00D52FD0">
        <w:t xml:space="preserve"> </w:t>
      </w:r>
      <w:r w:rsidR="000A1AAE" w:rsidRPr="00DA3326">
        <w:t>also</w:t>
      </w:r>
      <w:r w:rsidR="00D52FD0">
        <w:t xml:space="preserve"> </w:t>
      </w:r>
      <w:r w:rsidR="000A1AAE" w:rsidRPr="00DA3326">
        <w:t>additionally</w:t>
      </w:r>
      <w:r w:rsidR="00D52FD0">
        <w:t xml:space="preserve"> </w:t>
      </w:r>
      <w:r w:rsidR="000A1AAE" w:rsidRPr="00DA3326">
        <w:t>noted</w:t>
      </w:r>
      <w:r w:rsidR="00D52FD0">
        <w:t xml:space="preserve"> </w:t>
      </w:r>
      <w:r w:rsidR="000A1AAE" w:rsidRPr="00DA3326">
        <w:t>that</w:t>
      </w:r>
      <w:r w:rsidR="00D52FD0">
        <w:t xml:space="preserve"> </w:t>
      </w:r>
      <w:r w:rsidR="000A1AAE" w:rsidRPr="00DA3326">
        <w:t>international</w:t>
      </w:r>
      <w:r w:rsidR="00D52FD0">
        <w:t xml:space="preserve"> </w:t>
      </w:r>
      <w:r w:rsidR="000A1AAE" w:rsidRPr="00DA3326">
        <w:t>instruments</w:t>
      </w:r>
      <w:r w:rsidR="00D52FD0">
        <w:t xml:space="preserve"> </w:t>
      </w:r>
      <w:r w:rsidR="000A1AAE" w:rsidRPr="00DA3326">
        <w:t>speak</w:t>
      </w:r>
      <w:r w:rsidR="00D52FD0">
        <w:t xml:space="preserve"> </w:t>
      </w:r>
      <w:r w:rsidR="000A1AAE" w:rsidRPr="00DA3326">
        <w:t>of</w:t>
      </w:r>
      <w:r w:rsidR="00D52FD0">
        <w:t xml:space="preserve"> </w:t>
      </w:r>
      <w:r w:rsidR="000A1AAE" w:rsidRPr="00DA3326">
        <w:t>a</w:t>
      </w:r>
      <w:r w:rsidR="00D52FD0">
        <w:t xml:space="preserve"> </w:t>
      </w:r>
      <w:r w:rsidR="00F14DA3">
        <w:t>‘</w:t>
      </w:r>
      <w:r w:rsidR="000A1AAE" w:rsidRPr="00DA3326">
        <w:t>place</w:t>
      </w:r>
      <w:r w:rsidR="00D52FD0">
        <w:t xml:space="preserve"> </w:t>
      </w:r>
      <w:r w:rsidR="000A1AAE" w:rsidRPr="00DA3326">
        <w:t>of</w:t>
      </w:r>
      <w:r w:rsidR="00D52FD0">
        <w:t xml:space="preserve"> </w:t>
      </w:r>
      <w:r w:rsidR="000A1AAE" w:rsidRPr="00DA3326">
        <w:t>safety</w:t>
      </w:r>
      <w:r w:rsidR="00F14DA3">
        <w:t>’</w:t>
      </w:r>
      <w:r w:rsidR="00D52FD0">
        <w:t xml:space="preserve"> </w:t>
      </w:r>
      <w:r w:rsidR="000A1AAE" w:rsidRPr="00DA3326">
        <w:t>rather</w:t>
      </w:r>
      <w:r w:rsidR="00D52FD0">
        <w:t xml:space="preserve"> </w:t>
      </w:r>
      <w:r w:rsidR="000A1AAE" w:rsidRPr="00DA3326">
        <w:t>than</w:t>
      </w:r>
      <w:r w:rsidR="00D52FD0">
        <w:t xml:space="preserve"> </w:t>
      </w:r>
      <w:r w:rsidR="000A1AAE" w:rsidRPr="00DA3326">
        <w:t>a</w:t>
      </w:r>
      <w:r w:rsidR="00D52FD0">
        <w:t xml:space="preserve"> </w:t>
      </w:r>
      <w:r w:rsidR="00F14DA3">
        <w:t>‘</w:t>
      </w:r>
      <w:r w:rsidR="000A1AAE" w:rsidRPr="00DA3326">
        <w:t>port</w:t>
      </w:r>
      <w:r w:rsidR="00D52FD0">
        <w:t xml:space="preserve"> </w:t>
      </w:r>
      <w:r w:rsidR="000A1AAE" w:rsidRPr="00DA3326">
        <w:t>of</w:t>
      </w:r>
      <w:r w:rsidR="00D52FD0">
        <w:t xml:space="preserve"> </w:t>
      </w:r>
      <w:r w:rsidR="000A1AAE" w:rsidRPr="00DA3326">
        <w:t>safety</w:t>
      </w:r>
      <w:r w:rsidR="00F14DA3">
        <w:t>’</w:t>
      </w:r>
      <w:r w:rsidR="000A1AAE" w:rsidRPr="00DA3326">
        <w:t>,</w:t>
      </w:r>
      <w:r w:rsidR="00D52FD0">
        <w:t xml:space="preserve"> </w:t>
      </w:r>
      <w:r w:rsidR="000A1AAE" w:rsidRPr="00DA3326">
        <w:t>which</w:t>
      </w:r>
      <w:r w:rsidR="00D52FD0">
        <w:t xml:space="preserve"> </w:t>
      </w:r>
      <w:r w:rsidR="000A1AAE" w:rsidRPr="00DA3326">
        <w:t>latter</w:t>
      </w:r>
      <w:r w:rsidR="00D52FD0">
        <w:t xml:space="preserve"> </w:t>
      </w:r>
      <w:r w:rsidR="000A1AAE" w:rsidRPr="00DA3326">
        <w:t>term</w:t>
      </w:r>
      <w:r w:rsidR="00D52FD0">
        <w:t xml:space="preserve"> </w:t>
      </w:r>
      <w:r w:rsidR="000A1AAE" w:rsidRPr="00DA3326">
        <w:t>is</w:t>
      </w:r>
      <w:r w:rsidR="00D52FD0">
        <w:t xml:space="preserve"> </w:t>
      </w:r>
      <w:r w:rsidR="000A1AAE" w:rsidRPr="00DA3326">
        <w:t>narrower</w:t>
      </w:r>
      <w:r w:rsidR="00D52FD0">
        <w:t xml:space="preserve"> </w:t>
      </w:r>
      <w:r w:rsidR="000A1AAE" w:rsidRPr="00DA3326">
        <w:t>in</w:t>
      </w:r>
      <w:r w:rsidR="00D52FD0">
        <w:t xml:space="preserve"> </w:t>
      </w:r>
      <w:r w:rsidR="000A1AAE" w:rsidRPr="00DA3326">
        <w:t>scope</w:t>
      </w:r>
      <w:r w:rsidR="00D52FD0">
        <w:t xml:space="preserve"> </w:t>
      </w:r>
      <w:r w:rsidR="000A1AAE" w:rsidRPr="00DA3326">
        <w:t>and</w:t>
      </w:r>
      <w:r w:rsidR="00D52FD0">
        <w:t xml:space="preserve"> </w:t>
      </w:r>
      <w:r w:rsidR="000A1AAE" w:rsidRPr="00DA3326">
        <w:t>interpretation.</w:t>
      </w:r>
    </w:p>
    <w:p w14:paraId="4AEF36F5" w14:textId="7F95935A" w:rsidR="000A1AAE" w:rsidRDefault="000A1AAE" w:rsidP="001072AA">
      <w:pPr>
        <w:pStyle w:val="H23G"/>
        <w:rPr>
          <w:rFonts w:eastAsia="Calibri"/>
        </w:rPr>
      </w:pPr>
      <w:r>
        <w:tab/>
      </w:r>
      <w:r>
        <w:tab/>
      </w:r>
      <w:r w:rsidRPr="00504902">
        <w:t>Reply</w:t>
      </w:r>
      <w:r w:rsidR="00D52FD0">
        <w:t xml:space="preserve"> </w:t>
      </w:r>
      <w:r w:rsidRPr="00504902">
        <w:t>to</w:t>
      </w:r>
      <w:r w:rsidR="00D52FD0">
        <w:t xml:space="preserve"> </w:t>
      </w:r>
      <w:r w:rsidRPr="00504902">
        <w:t>paragraph</w:t>
      </w:r>
      <w:r w:rsidR="00D52FD0">
        <w:t xml:space="preserve"> </w:t>
      </w:r>
      <w:r>
        <w:t>16</w:t>
      </w:r>
      <w:r w:rsidR="00D52FD0">
        <w:t xml:space="preserve"> </w:t>
      </w:r>
      <w:r w:rsidRPr="00504902">
        <w:t>of</w:t>
      </w:r>
      <w:r w:rsidR="00D52FD0">
        <w:t xml:space="preserve"> </w:t>
      </w:r>
      <w:r w:rsidRPr="00504902">
        <w:t>the</w:t>
      </w:r>
      <w:r w:rsidR="00D52FD0">
        <w:t xml:space="preserve"> </w:t>
      </w:r>
      <w:r w:rsidRPr="00504902">
        <w:t>list</w:t>
      </w:r>
      <w:r w:rsidR="00D52FD0">
        <w:t xml:space="preserve"> </w:t>
      </w:r>
      <w:r w:rsidRPr="00504902">
        <w:t>of</w:t>
      </w:r>
      <w:r w:rsidR="00D52FD0">
        <w:t xml:space="preserve"> </w:t>
      </w:r>
      <w:r w:rsidRPr="00504902">
        <w:t>issues</w:t>
      </w:r>
    </w:p>
    <w:p w14:paraId="561C20FB" w14:textId="532D7009" w:rsidR="000A1AAE" w:rsidRPr="00DA3326" w:rsidRDefault="0044637E" w:rsidP="0044637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DA3326">
        <w:t>172.</w:t>
      </w:r>
      <w:r w:rsidRPr="00DA3326">
        <w:tab/>
      </w:r>
      <w:r w:rsidR="000A1AAE" w:rsidRPr="00DA3326">
        <w:t>Irrespective</w:t>
      </w:r>
      <w:r w:rsidR="00D52FD0">
        <w:t xml:space="preserve"> </w:t>
      </w:r>
      <w:r w:rsidR="000A1AAE" w:rsidRPr="00DA3326">
        <w:t>of</w:t>
      </w:r>
      <w:r w:rsidR="00D52FD0">
        <w:t xml:space="preserve"> </w:t>
      </w:r>
      <w:r w:rsidR="000A1AAE" w:rsidRPr="00DA3326">
        <w:t>the</w:t>
      </w:r>
      <w:r w:rsidR="00D52FD0">
        <w:t xml:space="preserve"> </w:t>
      </w:r>
      <w:r w:rsidR="000A1AAE" w:rsidRPr="00DA3326">
        <w:t>class</w:t>
      </w:r>
      <w:r w:rsidR="00D52FD0">
        <w:t xml:space="preserve"> </w:t>
      </w:r>
      <w:r w:rsidR="000A1AAE" w:rsidRPr="00DA3326">
        <w:t>or</w:t>
      </w:r>
      <w:r w:rsidR="00D52FD0">
        <w:t xml:space="preserve"> </w:t>
      </w:r>
      <w:r w:rsidR="000A1AAE" w:rsidRPr="00DA3326">
        <w:t>type</w:t>
      </w:r>
      <w:r w:rsidR="00D52FD0">
        <w:t xml:space="preserve"> </w:t>
      </w:r>
      <w:r w:rsidR="000A1AAE" w:rsidRPr="00DA3326">
        <w:t>of</w:t>
      </w:r>
      <w:r w:rsidR="00D52FD0">
        <w:t xml:space="preserve"> </w:t>
      </w:r>
      <w:r w:rsidR="000A1AAE" w:rsidRPr="00DA3326">
        <w:t>vessel</w:t>
      </w:r>
      <w:r w:rsidR="00D52FD0">
        <w:t xml:space="preserve"> </w:t>
      </w:r>
      <w:r w:rsidR="000A1AAE" w:rsidRPr="00DA3326">
        <w:t>used</w:t>
      </w:r>
      <w:r w:rsidR="00D52FD0">
        <w:t xml:space="preserve"> </w:t>
      </w:r>
      <w:r w:rsidR="000A1AAE" w:rsidRPr="00DA3326">
        <w:t>in</w:t>
      </w:r>
      <w:r w:rsidR="00D52FD0">
        <w:t xml:space="preserve"> </w:t>
      </w:r>
      <w:r w:rsidR="000A1AAE" w:rsidRPr="00DA3326">
        <w:t>conducting</w:t>
      </w:r>
      <w:r w:rsidR="00D52FD0">
        <w:t xml:space="preserve"> </w:t>
      </w:r>
      <w:r w:rsidR="000A1AAE" w:rsidRPr="00DA3326">
        <w:t>search</w:t>
      </w:r>
      <w:r w:rsidR="00D52FD0">
        <w:t xml:space="preserve"> </w:t>
      </w:r>
      <w:r w:rsidR="000A1AAE" w:rsidRPr="00DA3326">
        <w:t>and</w:t>
      </w:r>
      <w:r w:rsidR="00D52FD0">
        <w:t xml:space="preserve"> </w:t>
      </w:r>
      <w:r w:rsidR="000A1AAE" w:rsidRPr="00DA3326">
        <w:t>rescue</w:t>
      </w:r>
      <w:r w:rsidR="00D52FD0">
        <w:t xml:space="preserve"> </w:t>
      </w:r>
      <w:r w:rsidR="000A1AAE" w:rsidRPr="00DA3326">
        <w:t>operations,</w:t>
      </w:r>
      <w:r w:rsidR="00D52FD0">
        <w:t xml:space="preserve"> </w:t>
      </w:r>
      <w:r w:rsidR="000A1AAE" w:rsidRPr="00DA3326">
        <w:t>the</w:t>
      </w:r>
      <w:r w:rsidR="00D52FD0">
        <w:t xml:space="preserve"> </w:t>
      </w:r>
      <w:r w:rsidR="000A1AAE" w:rsidRPr="00DA3326">
        <w:t>vessel</w:t>
      </w:r>
      <w:r w:rsidR="00D52FD0">
        <w:t xml:space="preserve"> </w:t>
      </w:r>
      <w:r w:rsidR="000A1AAE" w:rsidRPr="00DA3326">
        <w:t>shall</w:t>
      </w:r>
      <w:r w:rsidR="00D52FD0">
        <w:t xml:space="preserve"> </w:t>
      </w:r>
      <w:r w:rsidR="000A1AAE" w:rsidRPr="00DA3326">
        <w:t>abide</w:t>
      </w:r>
      <w:r w:rsidR="00D52FD0">
        <w:t xml:space="preserve"> </w:t>
      </w:r>
      <w:r w:rsidR="000A1AAE" w:rsidRPr="00DA3326">
        <w:t>and</w:t>
      </w:r>
      <w:r w:rsidR="00D52FD0">
        <w:t xml:space="preserve"> </w:t>
      </w:r>
      <w:r w:rsidR="000A1AAE" w:rsidRPr="00DA3326">
        <w:t>comply</w:t>
      </w:r>
      <w:r w:rsidR="00D52FD0">
        <w:t xml:space="preserve"> </w:t>
      </w:r>
      <w:r w:rsidR="000A1AAE" w:rsidRPr="00DA3326">
        <w:t>with</w:t>
      </w:r>
      <w:r w:rsidR="00D52FD0">
        <w:t xml:space="preserve"> </w:t>
      </w:r>
      <w:r w:rsidR="000A1AAE" w:rsidRPr="00DA3326">
        <w:t>the</w:t>
      </w:r>
      <w:r w:rsidR="00D52FD0">
        <w:t xml:space="preserve"> </w:t>
      </w:r>
      <w:r w:rsidR="000A1AAE" w:rsidRPr="00DA3326">
        <w:t>relevant</w:t>
      </w:r>
      <w:r w:rsidR="00D52FD0">
        <w:t xml:space="preserve"> </w:t>
      </w:r>
      <w:r w:rsidR="000A1AAE" w:rsidRPr="00DA3326">
        <w:t>legal</w:t>
      </w:r>
      <w:r w:rsidR="00D52FD0">
        <w:t xml:space="preserve"> </w:t>
      </w:r>
      <w:r w:rsidR="000A1AAE" w:rsidRPr="00DA3326">
        <w:t>framework.</w:t>
      </w:r>
      <w:r w:rsidR="00D52FD0">
        <w:t xml:space="preserve"> </w:t>
      </w:r>
      <w:r w:rsidR="000A1AAE" w:rsidRPr="00DA3326">
        <w:t>The</w:t>
      </w:r>
      <w:r w:rsidR="00D52FD0">
        <w:t xml:space="preserve"> </w:t>
      </w:r>
      <w:r w:rsidR="000A1AAE" w:rsidRPr="00DA3326">
        <w:t>Search</w:t>
      </w:r>
      <w:r w:rsidR="00D52FD0">
        <w:t xml:space="preserve"> </w:t>
      </w:r>
      <w:r w:rsidR="000A1AAE" w:rsidRPr="00DA3326">
        <w:t>and</w:t>
      </w:r>
      <w:r w:rsidR="00D52FD0">
        <w:t xml:space="preserve"> </w:t>
      </w:r>
      <w:r w:rsidR="000A1AAE" w:rsidRPr="00DA3326">
        <w:t>Rescue</w:t>
      </w:r>
      <w:r w:rsidR="00D52FD0">
        <w:t xml:space="preserve"> </w:t>
      </w:r>
      <w:r w:rsidR="000A1AAE" w:rsidRPr="00DA3326">
        <w:t>measure</w:t>
      </w:r>
      <w:r w:rsidR="00D52FD0">
        <w:t xml:space="preserve"> </w:t>
      </w:r>
      <w:r w:rsidR="000A1AAE" w:rsidRPr="00DA3326">
        <w:t>is</w:t>
      </w:r>
      <w:r w:rsidR="00D52FD0">
        <w:t xml:space="preserve"> </w:t>
      </w:r>
      <w:r w:rsidR="000A1AAE" w:rsidRPr="00DA3326">
        <w:t>reactive,</w:t>
      </w:r>
      <w:r w:rsidR="00D52FD0">
        <w:t xml:space="preserve"> </w:t>
      </w:r>
      <w:r w:rsidR="000A1AAE" w:rsidRPr="00DA3326">
        <w:t>in</w:t>
      </w:r>
      <w:r w:rsidR="00D52FD0">
        <w:t xml:space="preserve"> </w:t>
      </w:r>
      <w:r w:rsidR="000A1AAE" w:rsidRPr="00DA3326">
        <w:t>that</w:t>
      </w:r>
      <w:r w:rsidR="00D52FD0">
        <w:t xml:space="preserve"> </w:t>
      </w:r>
      <w:r w:rsidR="000A1AAE" w:rsidRPr="00DA3326">
        <w:t>a</w:t>
      </w:r>
      <w:r w:rsidR="00D52FD0">
        <w:t xml:space="preserve"> </w:t>
      </w:r>
      <w:r w:rsidR="000A1AAE" w:rsidRPr="00DA3326">
        <w:t>contracting</w:t>
      </w:r>
      <w:r w:rsidR="00D52FD0">
        <w:t xml:space="preserve"> </w:t>
      </w:r>
      <w:r w:rsidR="000A1AAE" w:rsidRPr="00DA3326">
        <w:t>State</w:t>
      </w:r>
      <w:r w:rsidR="00D52FD0">
        <w:t xml:space="preserve"> </w:t>
      </w:r>
      <w:r w:rsidR="000A1AAE" w:rsidRPr="00DA3326">
        <w:t>coordinates,</w:t>
      </w:r>
      <w:r w:rsidR="00D52FD0">
        <w:t xml:space="preserve"> </w:t>
      </w:r>
      <w:r w:rsidR="000A1AAE" w:rsidRPr="00DA3326">
        <w:t>sometimes</w:t>
      </w:r>
      <w:r w:rsidR="00D52FD0">
        <w:t xml:space="preserve"> </w:t>
      </w:r>
      <w:r w:rsidR="000A1AAE" w:rsidRPr="00DA3326">
        <w:t>through</w:t>
      </w:r>
      <w:r w:rsidR="00D52FD0">
        <w:t xml:space="preserve"> </w:t>
      </w:r>
      <w:r w:rsidR="000A1AAE" w:rsidRPr="00DA3326">
        <w:t>the</w:t>
      </w:r>
      <w:r w:rsidR="00D52FD0">
        <w:t xml:space="preserve"> </w:t>
      </w:r>
      <w:r w:rsidR="000A1AAE" w:rsidRPr="00DA3326">
        <w:t>deployment</w:t>
      </w:r>
      <w:r w:rsidR="00D52FD0">
        <w:t xml:space="preserve"> </w:t>
      </w:r>
      <w:r w:rsidR="000A1AAE" w:rsidRPr="00DA3326">
        <w:t>of</w:t>
      </w:r>
      <w:r w:rsidR="00D52FD0">
        <w:t xml:space="preserve"> </w:t>
      </w:r>
      <w:r w:rsidR="000A1AAE" w:rsidRPr="00DA3326">
        <w:t>public</w:t>
      </w:r>
      <w:r w:rsidR="00D52FD0">
        <w:t xml:space="preserve"> </w:t>
      </w:r>
      <w:r w:rsidR="000A1AAE" w:rsidRPr="00DA3326">
        <w:t>or</w:t>
      </w:r>
      <w:r w:rsidR="00D52FD0">
        <w:t xml:space="preserve"> </w:t>
      </w:r>
      <w:r w:rsidR="000A1AAE" w:rsidRPr="00DA3326">
        <w:t>private</w:t>
      </w:r>
      <w:r w:rsidR="00D52FD0">
        <w:t xml:space="preserve"> </w:t>
      </w:r>
      <w:r w:rsidR="000A1AAE" w:rsidRPr="00DA3326">
        <w:t>vessels,</w:t>
      </w:r>
      <w:r w:rsidR="00D52FD0">
        <w:t xml:space="preserve"> </w:t>
      </w:r>
      <w:r w:rsidR="000A1AAE" w:rsidRPr="00DA3326">
        <w:t>search</w:t>
      </w:r>
      <w:r w:rsidR="00D52FD0">
        <w:t xml:space="preserve"> </w:t>
      </w:r>
      <w:r w:rsidR="000A1AAE" w:rsidRPr="00DA3326">
        <w:t>and</w:t>
      </w:r>
      <w:r w:rsidR="00D52FD0">
        <w:t xml:space="preserve"> </w:t>
      </w:r>
      <w:r w:rsidR="000A1AAE" w:rsidRPr="00DA3326">
        <w:t>rescue</w:t>
      </w:r>
      <w:r w:rsidR="00D52FD0">
        <w:t xml:space="preserve"> </w:t>
      </w:r>
      <w:r w:rsidR="000A1AAE" w:rsidRPr="00DA3326">
        <w:t>operations.</w:t>
      </w:r>
      <w:r w:rsidR="00D52FD0">
        <w:t xml:space="preserve"> </w:t>
      </w:r>
      <w:r w:rsidR="000A1AAE" w:rsidRPr="00DA3326">
        <w:t>The</w:t>
      </w:r>
      <w:r w:rsidR="00D52FD0">
        <w:t xml:space="preserve"> </w:t>
      </w:r>
      <w:r w:rsidR="000A1AAE" w:rsidRPr="00DA3326">
        <w:t>activities</w:t>
      </w:r>
      <w:r w:rsidR="00D52FD0">
        <w:t xml:space="preserve"> </w:t>
      </w:r>
      <w:r w:rsidR="000A1AAE" w:rsidRPr="00DA3326">
        <w:t>of</w:t>
      </w:r>
      <w:r w:rsidR="00D52FD0">
        <w:t xml:space="preserve"> </w:t>
      </w:r>
      <w:r w:rsidR="000A1AAE" w:rsidRPr="00DA3326">
        <w:t>these</w:t>
      </w:r>
      <w:r w:rsidR="00D52FD0">
        <w:t xml:space="preserve"> </w:t>
      </w:r>
      <w:r w:rsidR="000A1AAE" w:rsidRPr="00DA3326">
        <w:t>vessels</w:t>
      </w:r>
      <w:r w:rsidR="00D52FD0">
        <w:t xml:space="preserve"> </w:t>
      </w:r>
      <w:r w:rsidR="000A1AAE" w:rsidRPr="00DA3326">
        <w:t>are</w:t>
      </w:r>
      <w:r w:rsidR="00D52FD0">
        <w:t xml:space="preserve"> </w:t>
      </w:r>
      <w:r w:rsidR="000A1AAE" w:rsidRPr="00DA3326">
        <w:t>specifically</w:t>
      </w:r>
      <w:r w:rsidR="00D52FD0">
        <w:t xml:space="preserve"> </w:t>
      </w:r>
      <w:r w:rsidR="000A1AAE" w:rsidRPr="00DA3326">
        <w:t>to</w:t>
      </w:r>
      <w:r w:rsidR="00D52FD0">
        <w:t xml:space="preserve"> </w:t>
      </w:r>
      <w:r w:rsidR="000A1AAE" w:rsidRPr="00DA3326">
        <w:t>intercept</w:t>
      </w:r>
      <w:r w:rsidR="00D52FD0">
        <w:t xml:space="preserve"> </w:t>
      </w:r>
      <w:r w:rsidR="000A1AAE" w:rsidRPr="00DA3326">
        <w:t>migrant</w:t>
      </w:r>
      <w:r w:rsidR="00D52FD0">
        <w:t xml:space="preserve"> </w:t>
      </w:r>
      <w:r w:rsidR="000A1AAE" w:rsidRPr="00DA3326">
        <w:t>vessels</w:t>
      </w:r>
      <w:r w:rsidR="00D52FD0">
        <w:t xml:space="preserve"> </w:t>
      </w:r>
      <w:r w:rsidR="000A1AAE" w:rsidRPr="00DA3326">
        <w:t>and</w:t>
      </w:r>
      <w:r w:rsidR="00D52FD0">
        <w:t xml:space="preserve"> </w:t>
      </w:r>
      <w:r w:rsidR="000A1AAE" w:rsidRPr="00DA3326">
        <w:t>should</w:t>
      </w:r>
      <w:r w:rsidR="00D52FD0">
        <w:t xml:space="preserve"> </w:t>
      </w:r>
      <w:r w:rsidR="000A1AAE" w:rsidRPr="00DA3326">
        <w:t>always</w:t>
      </w:r>
      <w:r w:rsidR="00D52FD0">
        <w:t xml:space="preserve"> </w:t>
      </w:r>
      <w:r w:rsidR="000A1AAE" w:rsidRPr="00DA3326">
        <w:t>comply</w:t>
      </w:r>
      <w:r w:rsidR="00D52FD0">
        <w:t xml:space="preserve"> </w:t>
      </w:r>
      <w:r w:rsidR="000A1AAE" w:rsidRPr="00DA3326">
        <w:t>with</w:t>
      </w:r>
      <w:r w:rsidR="00D52FD0">
        <w:t xml:space="preserve"> </w:t>
      </w:r>
      <w:r w:rsidR="000A1AAE" w:rsidRPr="00DA3326">
        <w:t>the</w:t>
      </w:r>
      <w:r w:rsidR="00D52FD0">
        <w:t xml:space="preserve"> </w:t>
      </w:r>
      <w:r w:rsidR="000A1AAE" w:rsidRPr="00DA3326">
        <w:t>instructions</w:t>
      </w:r>
      <w:r w:rsidR="00D52FD0">
        <w:t xml:space="preserve"> </w:t>
      </w:r>
      <w:r w:rsidR="000A1AAE" w:rsidRPr="00DA3326">
        <w:t>of</w:t>
      </w:r>
      <w:r w:rsidR="00D52FD0">
        <w:t xml:space="preserve"> </w:t>
      </w:r>
      <w:r w:rsidR="000A1AAE" w:rsidRPr="00DA3326">
        <w:t>the</w:t>
      </w:r>
      <w:r w:rsidR="00D52FD0">
        <w:t xml:space="preserve"> </w:t>
      </w:r>
      <w:r w:rsidR="000A1AAE" w:rsidRPr="00DA3326">
        <w:t>responsible</w:t>
      </w:r>
      <w:r w:rsidR="00D52FD0">
        <w:t xml:space="preserve"> </w:t>
      </w:r>
      <w:r w:rsidR="000A1AAE" w:rsidRPr="00DA3326">
        <w:t>SAR</w:t>
      </w:r>
      <w:r w:rsidR="00D52FD0">
        <w:t xml:space="preserve"> </w:t>
      </w:r>
      <w:r w:rsidR="000A1AAE" w:rsidRPr="00DA3326">
        <w:t>authority.</w:t>
      </w:r>
      <w:r w:rsidR="00D52FD0">
        <w:t xml:space="preserve"> </w:t>
      </w:r>
      <w:r w:rsidR="000A1AAE" w:rsidRPr="00DA3326">
        <w:t>This</w:t>
      </w:r>
      <w:r w:rsidR="00D52FD0">
        <w:t xml:space="preserve"> </w:t>
      </w:r>
      <w:r w:rsidR="000A1AAE" w:rsidRPr="00DA3326">
        <w:t>is</w:t>
      </w:r>
      <w:r w:rsidR="00D52FD0">
        <w:t xml:space="preserve"> </w:t>
      </w:r>
      <w:r w:rsidR="000A1AAE" w:rsidRPr="00DA3326">
        <w:t>ensured</w:t>
      </w:r>
      <w:r w:rsidR="00D52FD0">
        <w:t xml:space="preserve"> </w:t>
      </w:r>
      <w:r w:rsidR="000A1AAE" w:rsidRPr="00DA3326">
        <w:t>through</w:t>
      </w:r>
      <w:r w:rsidR="00D52FD0">
        <w:t xml:space="preserve"> </w:t>
      </w:r>
      <w:r w:rsidR="000A1AAE" w:rsidRPr="00DA3326">
        <w:t>the</w:t>
      </w:r>
      <w:r w:rsidR="00D52FD0">
        <w:t xml:space="preserve"> </w:t>
      </w:r>
      <w:r w:rsidR="000A1AAE" w:rsidRPr="00DA3326">
        <w:t>exemption</w:t>
      </w:r>
      <w:r w:rsidR="00D52FD0">
        <w:t xml:space="preserve"> </w:t>
      </w:r>
      <w:r w:rsidR="000A1AAE" w:rsidRPr="00DA3326">
        <w:t>provided</w:t>
      </w:r>
      <w:r w:rsidR="00D52FD0">
        <w:t xml:space="preserve"> </w:t>
      </w:r>
      <w:r w:rsidR="000A1AAE" w:rsidRPr="00DA3326">
        <w:t>in</w:t>
      </w:r>
      <w:r w:rsidR="00D52FD0">
        <w:t xml:space="preserve"> </w:t>
      </w:r>
      <w:r w:rsidR="000A1AAE" w:rsidRPr="00DA3326">
        <w:t>Art</w:t>
      </w:r>
      <w:r w:rsidR="00D52FD0">
        <w:t xml:space="preserve"> </w:t>
      </w:r>
      <w:r w:rsidR="000A1AAE" w:rsidRPr="00DA3326">
        <w:t>32.1(a).</w:t>
      </w:r>
    </w:p>
    <w:p w14:paraId="102A1E12" w14:textId="56D5B539" w:rsidR="000A1AAE" w:rsidRDefault="000A1AAE" w:rsidP="001072AA">
      <w:pPr>
        <w:pStyle w:val="H23G"/>
        <w:rPr>
          <w:rFonts w:eastAsia="Calibri"/>
        </w:rPr>
      </w:pPr>
      <w:r>
        <w:lastRenderedPageBreak/>
        <w:tab/>
      </w:r>
      <w:r>
        <w:tab/>
      </w:r>
      <w:r w:rsidRPr="00504902">
        <w:t>Reply</w:t>
      </w:r>
      <w:r w:rsidR="00D52FD0">
        <w:t xml:space="preserve"> </w:t>
      </w:r>
      <w:r w:rsidRPr="00504902">
        <w:t>to</w:t>
      </w:r>
      <w:r w:rsidR="00D52FD0">
        <w:t xml:space="preserve"> </w:t>
      </w:r>
      <w:r w:rsidRPr="00504902">
        <w:t>paragraph</w:t>
      </w:r>
      <w:r w:rsidR="00D52FD0">
        <w:t xml:space="preserve"> </w:t>
      </w:r>
      <w:r>
        <w:t>17</w:t>
      </w:r>
      <w:r w:rsidR="00D52FD0">
        <w:t xml:space="preserve"> </w:t>
      </w:r>
      <w:r w:rsidRPr="00504902">
        <w:t>of</w:t>
      </w:r>
      <w:r w:rsidR="00D52FD0">
        <w:t xml:space="preserve"> </w:t>
      </w:r>
      <w:r w:rsidRPr="00504902">
        <w:t>the</w:t>
      </w:r>
      <w:r w:rsidR="00D52FD0">
        <w:t xml:space="preserve"> </w:t>
      </w:r>
      <w:r w:rsidRPr="00504902">
        <w:t>list</w:t>
      </w:r>
      <w:r w:rsidR="00D52FD0">
        <w:t xml:space="preserve"> </w:t>
      </w:r>
      <w:r w:rsidRPr="00504902">
        <w:t>of</w:t>
      </w:r>
      <w:r w:rsidR="00D52FD0">
        <w:t xml:space="preserve"> </w:t>
      </w:r>
      <w:r w:rsidRPr="00504902">
        <w:t>issues</w:t>
      </w:r>
    </w:p>
    <w:p w14:paraId="3AD046B2" w14:textId="7A02A97F" w:rsidR="000A1AAE" w:rsidRPr="00DA3326" w:rsidRDefault="0044637E" w:rsidP="0044637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DA3326">
        <w:t>173.</w:t>
      </w:r>
      <w:r w:rsidRPr="00DA3326">
        <w:tab/>
      </w:r>
      <w:r w:rsidR="000A1AAE" w:rsidRPr="00DA3326">
        <w:t>In</w:t>
      </w:r>
      <w:r w:rsidR="00D52FD0">
        <w:t xml:space="preserve"> </w:t>
      </w:r>
      <w:r w:rsidR="000A1AAE" w:rsidRPr="00DA3326">
        <w:t>order</w:t>
      </w:r>
      <w:r w:rsidR="00D52FD0">
        <w:t xml:space="preserve"> </w:t>
      </w:r>
      <w:r w:rsidR="000A1AAE" w:rsidRPr="00DA3326">
        <w:t>to</w:t>
      </w:r>
      <w:r w:rsidR="00D52FD0">
        <w:t xml:space="preserve"> </w:t>
      </w:r>
      <w:r w:rsidR="000A1AAE" w:rsidRPr="00DA3326">
        <w:t>ensure</w:t>
      </w:r>
      <w:r w:rsidR="00D52FD0">
        <w:t xml:space="preserve"> </w:t>
      </w:r>
      <w:r w:rsidR="000A1AAE" w:rsidRPr="00DA3326">
        <w:t>that</w:t>
      </w:r>
      <w:r w:rsidR="00D52FD0">
        <w:t xml:space="preserve"> </w:t>
      </w:r>
      <w:r w:rsidR="000A1AAE" w:rsidRPr="00DA3326">
        <w:t>the</w:t>
      </w:r>
      <w:r w:rsidR="00D52FD0">
        <w:t xml:space="preserve"> </w:t>
      </w:r>
      <w:r w:rsidR="000A1AAE" w:rsidRPr="00DA3326">
        <w:t>detention</w:t>
      </w:r>
      <w:r w:rsidR="00D52FD0">
        <w:t xml:space="preserve"> </w:t>
      </w:r>
      <w:r w:rsidR="000A1AAE" w:rsidRPr="00DA3326">
        <w:t>is</w:t>
      </w:r>
      <w:r w:rsidR="00D52FD0">
        <w:t xml:space="preserve"> </w:t>
      </w:r>
      <w:r w:rsidR="000A1AAE" w:rsidRPr="00DA3326">
        <w:t>necessary</w:t>
      </w:r>
      <w:r w:rsidR="00D52FD0">
        <w:t xml:space="preserve"> </w:t>
      </w:r>
      <w:r w:rsidR="000A1AAE" w:rsidRPr="00DA3326">
        <w:t>and</w:t>
      </w:r>
      <w:r w:rsidR="00D52FD0">
        <w:t xml:space="preserve"> </w:t>
      </w:r>
      <w:r w:rsidR="000A1AAE" w:rsidRPr="00DA3326">
        <w:t>proportionate,</w:t>
      </w:r>
      <w:r w:rsidR="00D52FD0">
        <w:t xml:space="preserve"> </w:t>
      </w:r>
      <w:r w:rsidR="000A1AAE" w:rsidRPr="00DA3326">
        <w:t>Malta</w:t>
      </w:r>
      <w:r w:rsidR="00F14DA3">
        <w:t>’</w:t>
      </w:r>
      <w:r w:rsidR="000A1AAE" w:rsidRPr="00DA3326">
        <w:t>s</w:t>
      </w:r>
      <w:r w:rsidR="00D52FD0">
        <w:t xml:space="preserve"> </w:t>
      </w:r>
      <w:r w:rsidR="000A1AAE" w:rsidRPr="00DA3326">
        <w:t>reception</w:t>
      </w:r>
      <w:r w:rsidR="00D52FD0">
        <w:t xml:space="preserve"> </w:t>
      </w:r>
      <w:r w:rsidR="000A1AAE" w:rsidRPr="00DA3326">
        <w:t>system</w:t>
      </w:r>
      <w:r w:rsidR="00D52FD0">
        <w:t xml:space="preserve"> </w:t>
      </w:r>
      <w:r w:rsidR="000A1AAE" w:rsidRPr="00DA3326">
        <w:t>is</w:t>
      </w:r>
      <w:r w:rsidR="00D52FD0">
        <w:t xml:space="preserve"> </w:t>
      </w:r>
      <w:r w:rsidR="000A1AAE" w:rsidRPr="00DA3326">
        <w:t>based</w:t>
      </w:r>
      <w:r w:rsidR="00D52FD0">
        <w:t xml:space="preserve"> </w:t>
      </w:r>
      <w:r w:rsidR="000A1AAE" w:rsidRPr="00DA3326">
        <w:t>on</w:t>
      </w:r>
      <w:r w:rsidR="00D52FD0">
        <w:t xml:space="preserve"> </w:t>
      </w:r>
      <w:r w:rsidR="000A1AAE" w:rsidRPr="00DA3326">
        <w:t>three</w:t>
      </w:r>
      <w:r w:rsidR="00D52FD0">
        <w:t xml:space="preserve"> </w:t>
      </w:r>
      <w:r w:rsidR="000A1AAE" w:rsidRPr="00DA3326">
        <w:t>different</w:t>
      </w:r>
      <w:r w:rsidR="00D52FD0">
        <w:t xml:space="preserve"> </w:t>
      </w:r>
      <w:r w:rsidR="000A1AAE" w:rsidRPr="00DA3326">
        <w:t>stages</w:t>
      </w:r>
      <w:r w:rsidR="00D52FD0">
        <w:t xml:space="preserve"> </w:t>
      </w:r>
      <w:r w:rsidR="000A1AAE" w:rsidRPr="00DA3326">
        <w:t>of</w:t>
      </w:r>
      <w:r w:rsidR="00D52FD0">
        <w:t xml:space="preserve"> </w:t>
      </w:r>
      <w:r w:rsidR="000A1AAE" w:rsidRPr="00DA3326">
        <w:t>accommodation</w:t>
      </w:r>
      <w:r w:rsidR="00D52FD0">
        <w:t xml:space="preserve"> </w:t>
      </w:r>
      <w:r w:rsidR="000A1AAE" w:rsidRPr="00DA3326">
        <w:t>for</w:t>
      </w:r>
      <w:r w:rsidR="00D52FD0">
        <w:t xml:space="preserve"> </w:t>
      </w:r>
      <w:r w:rsidR="000A1AAE" w:rsidRPr="00DA3326">
        <w:t>asylum</w:t>
      </w:r>
      <w:r w:rsidR="00D52FD0">
        <w:t xml:space="preserve"> </w:t>
      </w:r>
      <w:r w:rsidR="000A1AAE" w:rsidRPr="00DA3326">
        <w:t>seekers</w:t>
      </w:r>
      <w:r w:rsidR="00D52FD0">
        <w:t xml:space="preserve"> </w:t>
      </w:r>
      <w:r w:rsidR="000A1AAE" w:rsidRPr="00DA3326">
        <w:t>and</w:t>
      </w:r>
      <w:r w:rsidR="00D52FD0">
        <w:t xml:space="preserve"> </w:t>
      </w:r>
      <w:r w:rsidR="000A1AAE" w:rsidRPr="00DA3326">
        <w:t>irregular</w:t>
      </w:r>
      <w:r w:rsidR="00D52FD0">
        <w:t xml:space="preserve"> </w:t>
      </w:r>
      <w:r w:rsidR="000A1AAE" w:rsidRPr="00DA3326">
        <w:t>migrants,</w:t>
      </w:r>
      <w:r w:rsidR="00D52FD0">
        <w:t xml:space="preserve"> </w:t>
      </w:r>
      <w:r w:rsidR="000A1AAE" w:rsidRPr="00DA3326">
        <w:t>namely:</w:t>
      </w:r>
    </w:p>
    <w:p w14:paraId="6334F04E" w14:textId="4ECF1919" w:rsidR="000A1AAE" w:rsidRPr="00825CCA" w:rsidRDefault="0044637E" w:rsidP="0044637E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825CCA">
        <w:t>•</w:t>
      </w:r>
      <w:r w:rsidRPr="00825CCA">
        <w:tab/>
      </w:r>
      <w:r w:rsidR="000A1AAE" w:rsidRPr="00825CCA">
        <w:t>Initial</w:t>
      </w:r>
      <w:r w:rsidR="00D52FD0">
        <w:t xml:space="preserve"> </w:t>
      </w:r>
      <w:r w:rsidR="000A1AAE" w:rsidRPr="00825CCA">
        <w:t>Reception</w:t>
      </w:r>
      <w:r w:rsidR="00D52FD0">
        <w:t xml:space="preserve"> </w:t>
      </w:r>
      <w:r w:rsidR="000A1AAE" w:rsidRPr="00825CCA">
        <w:t>Centres</w:t>
      </w:r>
      <w:r w:rsidR="00D52FD0">
        <w:t xml:space="preserve"> </w:t>
      </w:r>
      <w:r w:rsidR="000A1AAE" w:rsidRPr="00825CCA">
        <w:t>(IRCs);</w:t>
      </w:r>
    </w:p>
    <w:p w14:paraId="4DFB338B" w14:textId="16B592D8" w:rsidR="000E4FD0" w:rsidRDefault="0044637E" w:rsidP="0044637E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>
        <w:t>•</w:t>
      </w:r>
      <w:r>
        <w:tab/>
      </w:r>
      <w:r w:rsidR="000A1AAE" w:rsidRPr="00825CCA">
        <w:t>Closed</w:t>
      </w:r>
      <w:r w:rsidR="00D52FD0">
        <w:t xml:space="preserve"> </w:t>
      </w:r>
      <w:r w:rsidR="000A1AAE" w:rsidRPr="00825CCA">
        <w:t>(Detention)</w:t>
      </w:r>
      <w:r w:rsidR="00D52FD0">
        <w:t xml:space="preserve"> </w:t>
      </w:r>
      <w:r w:rsidR="000A1AAE" w:rsidRPr="00825CCA">
        <w:t>Centres;</w:t>
      </w:r>
      <w:r w:rsidR="00D52FD0">
        <w:t xml:space="preserve"> </w:t>
      </w:r>
      <w:r w:rsidR="000A1AAE" w:rsidRPr="00825CCA">
        <w:t>and,</w:t>
      </w:r>
    </w:p>
    <w:p w14:paraId="24C39949" w14:textId="59CFDF47" w:rsidR="000A1AAE" w:rsidRPr="00825CCA" w:rsidRDefault="0044637E" w:rsidP="0044637E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825CCA">
        <w:t>•</w:t>
      </w:r>
      <w:r w:rsidRPr="00825CCA">
        <w:tab/>
      </w:r>
      <w:r w:rsidR="000A1AAE" w:rsidRPr="00825CCA">
        <w:t>Open</w:t>
      </w:r>
      <w:r w:rsidR="00D52FD0">
        <w:t xml:space="preserve"> </w:t>
      </w:r>
      <w:r w:rsidR="000A1AAE" w:rsidRPr="00825CCA">
        <w:t>Centres.</w:t>
      </w:r>
    </w:p>
    <w:p w14:paraId="34D1F5F9" w14:textId="5D712CC8" w:rsidR="000E4FD0" w:rsidRDefault="0044637E" w:rsidP="0044637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>
        <w:t>174.</w:t>
      </w:r>
      <w:r>
        <w:tab/>
      </w:r>
      <w:r w:rsidR="000A1AAE" w:rsidRPr="00DA3326">
        <w:t>The</w:t>
      </w:r>
      <w:r w:rsidR="00D52FD0">
        <w:t xml:space="preserve"> </w:t>
      </w:r>
      <w:r w:rsidR="000A1AAE" w:rsidRPr="00DA3326">
        <w:t>conditions</w:t>
      </w:r>
      <w:r w:rsidR="00D52FD0">
        <w:t xml:space="preserve"> </w:t>
      </w:r>
      <w:r w:rsidR="000A1AAE" w:rsidRPr="00DA3326">
        <w:t>for</w:t>
      </w:r>
      <w:r w:rsidR="00D52FD0">
        <w:t xml:space="preserve"> </w:t>
      </w:r>
      <w:r w:rsidR="000A1AAE" w:rsidRPr="00DA3326">
        <w:t>detention</w:t>
      </w:r>
      <w:r w:rsidR="00D52FD0">
        <w:t xml:space="preserve"> </w:t>
      </w:r>
      <w:r w:rsidR="000A1AAE" w:rsidRPr="00DA3326">
        <w:t>are</w:t>
      </w:r>
      <w:r w:rsidR="00D52FD0">
        <w:t xml:space="preserve"> </w:t>
      </w:r>
      <w:r w:rsidR="000A1AAE" w:rsidRPr="00DA3326">
        <w:t>set</w:t>
      </w:r>
      <w:r w:rsidR="00D52FD0">
        <w:t xml:space="preserve"> </w:t>
      </w:r>
      <w:r w:rsidR="000A1AAE" w:rsidRPr="00DA3326">
        <w:t>out</w:t>
      </w:r>
      <w:r w:rsidR="00D52FD0">
        <w:t xml:space="preserve"> </w:t>
      </w:r>
      <w:r w:rsidR="000A1AAE" w:rsidRPr="00DA3326">
        <w:t>in</w:t>
      </w:r>
      <w:r w:rsidR="00D52FD0">
        <w:t xml:space="preserve"> </w:t>
      </w:r>
      <w:r w:rsidR="000A1AAE" w:rsidRPr="00DA3326">
        <w:t>the</w:t>
      </w:r>
      <w:r w:rsidR="00D52FD0">
        <w:t xml:space="preserve"> </w:t>
      </w:r>
      <w:r w:rsidR="000A1AAE" w:rsidRPr="00DA3326">
        <w:t>SL</w:t>
      </w:r>
      <w:r w:rsidR="00D52FD0">
        <w:t xml:space="preserve"> </w:t>
      </w:r>
      <w:r w:rsidR="000A1AAE" w:rsidRPr="00DA3326">
        <w:t>420.06</w:t>
      </w:r>
      <w:r w:rsidR="00D52FD0">
        <w:t xml:space="preserve"> </w:t>
      </w:r>
      <w:r w:rsidR="000A1AAE" w:rsidRPr="00DA3326">
        <w:t>Reception</w:t>
      </w:r>
      <w:r w:rsidR="00D52FD0">
        <w:t xml:space="preserve"> </w:t>
      </w:r>
      <w:r w:rsidR="000A1AAE" w:rsidRPr="00DA3326">
        <w:t>of</w:t>
      </w:r>
      <w:r w:rsidR="00D52FD0">
        <w:t xml:space="preserve"> </w:t>
      </w:r>
      <w:r w:rsidR="000A1AAE" w:rsidRPr="00DA3326">
        <w:t>Asylum</w:t>
      </w:r>
      <w:r w:rsidR="00D52FD0">
        <w:t xml:space="preserve"> </w:t>
      </w:r>
      <w:r w:rsidR="000A1AAE" w:rsidRPr="00DA3326">
        <w:t>Seekers</w:t>
      </w:r>
      <w:r w:rsidR="00D52FD0">
        <w:t xml:space="preserve"> </w:t>
      </w:r>
      <w:r w:rsidR="000A1AAE" w:rsidRPr="00DA3326">
        <w:t>Regulations.</w:t>
      </w:r>
      <w:r w:rsidR="00D52FD0">
        <w:t xml:space="preserve"> </w:t>
      </w:r>
      <w:r w:rsidR="000A1AAE" w:rsidRPr="00DA3326">
        <w:t>The</w:t>
      </w:r>
      <w:r w:rsidR="00D52FD0">
        <w:t xml:space="preserve"> </w:t>
      </w:r>
      <w:r w:rsidR="000A1AAE" w:rsidRPr="00DA3326">
        <w:t>regulations</w:t>
      </w:r>
      <w:r w:rsidR="00D52FD0">
        <w:t xml:space="preserve"> </w:t>
      </w:r>
      <w:r w:rsidR="000A1AAE" w:rsidRPr="00DA3326">
        <w:t>provide</w:t>
      </w:r>
      <w:r w:rsidR="00D52FD0">
        <w:t xml:space="preserve"> </w:t>
      </w:r>
      <w:r w:rsidR="000A1AAE" w:rsidRPr="00DA3326">
        <w:t>for</w:t>
      </w:r>
      <w:r w:rsidR="00D52FD0">
        <w:t xml:space="preserve"> </w:t>
      </w:r>
      <w:r w:rsidR="000A1AAE" w:rsidRPr="00DA3326">
        <w:t>recourse</w:t>
      </w:r>
      <w:r w:rsidR="00D52FD0">
        <w:t xml:space="preserve"> </w:t>
      </w:r>
      <w:r w:rsidR="000A1AAE" w:rsidRPr="00DA3326">
        <w:t>to</w:t>
      </w:r>
      <w:r w:rsidR="00D52FD0">
        <w:t xml:space="preserve"> </w:t>
      </w:r>
      <w:r w:rsidR="000A1AAE" w:rsidRPr="00DA3326">
        <w:t>alternatives</w:t>
      </w:r>
      <w:r w:rsidR="00D52FD0">
        <w:t xml:space="preserve"> </w:t>
      </w:r>
      <w:r w:rsidR="000A1AAE" w:rsidRPr="00DA3326">
        <w:t>to</w:t>
      </w:r>
      <w:r w:rsidR="00D52FD0">
        <w:t xml:space="preserve"> </w:t>
      </w:r>
      <w:r w:rsidR="000A1AAE" w:rsidRPr="00DA3326">
        <w:t>detention</w:t>
      </w:r>
      <w:r w:rsidR="00D52FD0">
        <w:t xml:space="preserve"> </w:t>
      </w:r>
      <w:r w:rsidR="000A1AAE" w:rsidRPr="00DA3326">
        <w:t>by</w:t>
      </w:r>
      <w:r w:rsidR="00D52FD0">
        <w:t xml:space="preserve"> </w:t>
      </w:r>
      <w:r w:rsidR="000A1AAE" w:rsidRPr="00DA3326">
        <w:t>Immigration</w:t>
      </w:r>
      <w:r w:rsidR="00D52FD0">
        <w:t xml:space="preserve"> </w:t>
      </w:r>
      <w:r w:rsidR="000A1AAE" w:rsidRPr="00DA3326">
        <w:t>Police.</w:t>
      </w:r>
      <w:r w:rsidR="00D52FD0">
        <w:t xml:space="preserve"> </w:t>
      </w:r>
      <w:r w:rsidR="000A1AAE" w:rsidRPr="00DA3326">
        <w:t>Such</w:t>
      </w:r>
      <w:r w:rsidR="00D52FD0">
        <w:t xml:space="preserve"> </w:t>
      </w:r>
      <w:r w:rsidR="000A1AAE" w:rsidRPr="00DA3326">
        <w:t>measures</w:t>
      </w:r>
      <w:r w:rsidR="00D52FD0">
        <w:t xml:space="preserve"> </w:t>
      </w:r>
      <w:r w:rsidR="000A1AAE" w:rsidRPr="00DA3326">
        <w:t>may</w:t>
      </w:r>
      <w:r w:rsidR="00D52FD0">
        <w:t xml:space="preserve"> </w:t>
      </w:r>
      <w:r w:rsidR="000A1AAE" w:rsidRPr="00DA3326">
        <w:t>have</w:t>
      </w:r>
      <w:r w:rsidR="00D52FD0">
        <w:t xml:space="preserve"> </w:t>
      </w:r>
      <w:r w:rsidR="000A1AAE" w:rsidRPr="00DA3326">
        <w:t>a</w:t>
      </w:r>
      <w:r w:rsidR="00D52FD0">
        <w:t xml:space="preserve"> </w:t>
      </w:r>
      <w:r w:rsidR="000A1AAE" w:rsidRPr="00DA3326">
        <w:t>duration</w:t>
      </w:r>
      <w:r w:rsidR="00D52FD0">
        <w:t xml:space="preserve"> </w:t>
      </w:r>
      <w:r w:rsidR="000A1AAE" w:rsidRPr="00DA3326">
        <w:t>of</w:t>
      </w:r>
      <w:r w:rsidR="00D52FD0">
        <w:t xml:space="preserve"> </w:t>
      </w:r>
      <w:r w:rsidR="000A1AAE" w:rsidRPr="00DA3326">
        <w:t>not</w:t>
      </w:r>
      <w:r w:rsidR="00D52FD0">
        <w:t xml:space="preserve"> </w:t>
      </w:r>
      <w:r w:rsidR="000A1AAE" w:rsidRPr="00DA3326">
        <w:t>more</w:t>
      </w:r>
      <w:r w:rsidR="00D52FD0">
        <w:t xml:space="preserve"> </w:t>
      </w:r>
      <w:r w:rsidR="000A1AAE" w:rsidRPr="00DA3326">
        <w:t>than</w:t>
      </w:r>
      <w:r w:rsidR="00D52FD0">
        <w:t xml:space="preserve"> </w:t>
      </w:r>
      <w:r w:rsidR="000A1AAE" w:rsidRPr="00DA3326">
        <w:t>9</w:t>
      </w:r>
      <w:r w:rsidR="00D52FD0">
        <w:t xml:space="preserve"> </w:t>
      </w:r>
      <w:r w:rsidR="000A1AAE" w:rsidRPr="00DA3326">
        <w:t>months</w:t>
      </w:r>
      <w:r w:rsidR="00D52FD0">
        <w:t xml:space="preserve"> </w:t>
      </w:r>
      <w:r w:rsidR="000A1AAE" w:rsidRPr="00DA3326">
        <w:t>and</w:t>
      </w:r>
      <w:r w:rsidR="00D52FD0">
        <w:t xml:space="preserve"> </w:t>
      </w:r>
      <w:r w:rsidR="000A1AAE" w:rsidRPr="00DA3326">
        <w:t>may</w:t>
      </w:r>
      <w:r w:rsidR="00D52FD0">
        <w:t xml:space="preserve"> </w:t>
      </w:r>
      <w:r w:rsidR="000A1AAE" w:rsidRPr="00DA3326">
        <w:t>take</w:t>
      </w:r>
      <w:r w:rsidR="00D52FD0">
        <w:t xml:space="preserve"> </w:t>
      </w:r>
      <w:r w:rsidR="000A1AAE" w:rsidRPr="00DA3326">
        <w:t>the</w:t>
      </w:r>
      <w:r w:rsidR="00D52FD0">
        <w:t xml:space="preserve"> </w:t>
      </w:r>
      <w:r w:rsidR="000A1AAE" w:rsidRPr="00DA3326">
        <w:t>form</w:t>
      </w:r>
      <w:r w:rsidR="00D52FD0">
        <w:t xml:space="preserve"> </w:t>
      </w:r>
      <w:r w:rsidR="000A1AAE" w:rsidRPr="00DA3326">
        <w:t>of:</w:t>
      </w:r>
    </w:p>
    <w:p w14:paraId="3125D85D" w14:textId="6BFCD480" w:rsidR="000E4FD0" w:rsidRDefault="0044637E" w:rsidP="0044637E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>
        <w:t>•</w:t>
      </w:r>
      <w:r>
        <w:tab/>
      </w:r>
      <w:r w:rsidR="000A1AAE" w:rsidRPr="00857B1D">
        <w:t>reporting</w:t>
      </w:r>
      <w:r w:rsidR="00D52FD0">
        <w:t xml:space="preserve"> </w:t>
      </w:r>
      <w:r w:rsidR="000A1AAE" w:rsidRPr="00857B1D">
        <w:t>at</w:t>
      </w:r>
      <w:r w:rsidR="00D52FD0">
        <w:t xml:space="preserve"> </w:t>
      </w:r>
      <w:r w:rsidR="000A1AAE" w:rsidRPr="00857B1D">
        <w:t>an</w:t>
      </w:r>
      <w:r w:rsidR="00D52FD0">
        <w:t xml:space="preserve"> </w:t>
      </w:r>
      <w:r w:rsidR="000A1AAE" w:rsidRPr="00857B1D">
        <w:t>assigned</w:t>
      </w:r>
      <w:r w:rsidR="00D52FD0">
        <w:t xml:space="preserve"> </w:t>
      </w:r>
      <w:r w:rsidR="000A1AAE" w:rsidRPr="00857B1D">
        <w:t>place</w:t>
      </w:r>
      <w:r w:rsidR="00D52FD0">
        <w:t xml:space="preserve"> </w:t>
      </w:r>
      <w:r w:rsidR="000A1AAE" w:rsidRPr="00857B1D">
        <w:t>within</w:t>
      </w:r>
      <w:r w:rsidR="00D52FD0">
        <w:t xml:space="preserve"> </w:t>
      </w:r>
      <w:r w:rsidR="000A1AAE" w:rsidRPr="00857B1D">
        <w:t>specified</w:t>
      </w:r>
      <w:r w:rsidR="00D52FD0">
        <w:t xml:space="preserve"> </w:t>
      </w:r>
      <w:r w:rsidR="000A1AAE" w:rsidRPr="00857B1D">
        <w:t>timeframes;</w:t>
      </w:r>
    </w:p>
    <w:p w14:paraId="1CAAEB63" w14:textId="2D63E2B4" w:rsidR="000E4FD0" w:rsidRDefault="0044637E" w:rsidP="0044637E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>
        <w:t>•</w:t>
      </w:r>
      <w:r>
        <w:tab/>
      </w:r>
      <w:r w:rsidR="000A1AAE" w:rsidRPr="00857B1D">
        <w:t>residence</w:t>
      </w:r>
      <w:r w:rsidR="00D52FD0">
        <w:t xml:space="preserve"> </w:t>
      </w:r>
      <w:r w:rsidR="000A1AAE" w:rsidRPr="00857B1D">
        <w:t>at</w:t>
      </w:r>
      <w:r w:rsidR="00D52FD0">
        <w:t xml:space="preserve"> </w:t>
      </w:r>
      <w:r w:rsidR="000A1AAE" w:rsidRPr="00857B1D">
        <w:t>an</w:t>
      </w:r>
      <w:r w:rsidR="00D52FD0">
        <w:t xml:space="preserve"> </w:t>
      </w:r>
      <w:r w:rsidR="000A1AAE" w:rsidRPr="00857B1D">
        <w:t>assigned</w:t>
      </w:r>
      <w:r w:rsidR="00D52FD0">
        <w:t xml:space="preserve"> </w:t>
      </w:r>
      <w:r w:rsidR="000A1AAE" w:rsidRPr="00857B1D">
        <w:t>place;</w:t>
      </w:r>
    </w:p>
    <w:p w14:paraId="11EF3FAC" w14:textId="45FA4633" w:rsidR="000E4FD0" w:rsidRDefault="0044637E" w:rsidP="0044637E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>
        <w:t>•</w:t>
      </w:r>
      <w:r>
        <w:tab/>
      </w:r>
      <w:r w:rsidR="000A1AAE" w:rsidRPr="00857B1D">
        <w:t>deposit</w:t>
      </w:r>
      <w:r w:rsidR="00D52FD0">
        <w:t xml:space="preserve"> </w:t>
      </w:r>
      <w:r w:rsidR="000A1AAE" w:rsidRPr="00857B1D">
        <w:t>or</w:t>
      </w:r>
      <w:r w:rsidR="00D52FD0">
        <w:t xml:space="preserve"> </w:t>
      </w:r>
      <w:r w:rsidR="000A1AAE" w:rsidRPr="00857B1D">
        <w:t>surrender</w:t>
      </w:r>
      <w:r w:rsidR="00D52FD0">
        <w:t xml:space="preserve"> </w:t>
      </w:r>
      <w:r w:rsidR="000A1AAE" w:rsidRPr="00857B1D">
        <w:t>of</w:t>
      </w:r>
      <w:r w:rsidR="00D52FD0">
        <w:t xml:space="preserve"> </w:t>
      </w:r>
      <w:r w:rsidR="000A1AAE" w:rsidRPr="00857B1D">
        <w:t>documents;</w:t>
      </w:r>
      <w:r w:rsidR="00D52FD0">
        <w:t xml:space="preserve"> </w:t>
      </w:r>
      <w:r w:rsidR="000A1AAE" w:rsidRPr="00857B1D">
        <w:t>or</w:t>
      </w:r>
    </w:p>
    <w:p w14:paraId="3279ED42" w14:textId="5D594D60" w:rsidR="000A1AAE" w:rsidRPr="00857B1D" w:rsidRDefault="0044637E" w:rsidP="0044637E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857B1D">
        <w:t>•</w:t>
      </w:r>
      <w:r w:rsidRPr="00857B1D">
        <w:tab/>
      </w:r>
      <w:r w:rsidR="000A1AAE" w:rsidRPr="00857B1D">
        <w:t>placing</w:t>
      </w:r>
      <w:r w:rsidR="00D52FD0">
        <w:t xml:space="preserve"> </w:t>
      </w:r>
      <w:r w:rsidR="000A1AAE" w:rsidRPr="00857B1D">
        <w:t>of</w:t>
      </w:r>
      <w:r w:rsidR="00D52FD0">
        <w:t xml:space="preserve"> </w:t>
      </w:r>
      <w:r w:rsidR="000A1AAE" w:rsidRPr="00857B1D">
        <w:t>a</w:t>
      </w:r>
      <w:r w:rsidR="00D52FD0">
        <w:t xml:space="preserve"> </w:t>
      </w:r>
      <w:r w:rsidR="000A1AAE" w:rsidRPr="00857B1D">
        <w:t>one-time</w:t>
      </w:r>
      <w:r w:rsidR="00D52FD0">
        <w:t xml:space="preserve"> </w:t>
      </w:r>
      <w:r w:rsidR="000A1AAE" w:rsidRPr="00857B1D">
        <w:t>guarantee</w:t>
      </w:r>
      <w:r w:rsidR="00D52FD0">
        <w:t xml:space="preserve"> </w:t>
      </w:r>
      <w:r w:rsidR="000A1AAE" w:rsidRPr="00857B1D">
        <w:t>or</w:t>
      </w:r>
      <w:r w:rsidR="00D52FD0">
        <w:t xml:space="preserve"> </w:t>
      </w:r>
      <w:r w:rsidR="000A1AAE" w:rsidRPr="00857B1D">
        <w:t>surety.</w:t>
      </w:r>
    </w:p>
    <w:p w14:paraId="0A8FB853" w14:textId="770D894D" w:rsidR="000A1AAE" w:rsidRPr="00DA3326" w:rsidRDefault="0044637E" w:rsidP="0044637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DA3326">
        <w:t>175.</w:t>
      </w:r>
      <w:r w:rsidRPr="00DA3326">
        <w:tab/>
      </w:r>
      <w:r w:rsidR="000A1AAE" w:rsidRPr="00DA3326">
        <w:t>In</w:t>
      </w:r>
      <w:r w:rsidR="00D52FD0">
        <w:t xml:space="preserve"> </w:t>
      </w:r>
      <w:r w:rsidR="000A1AAE" w:rsidRPr="00DA3326">
        <w:t>order</w:t>
      </w:r>
      <w:r w:rsidR="00D52FD0">
        <w:t xml:space="preserve"> </w:t>
      </w:r>
      <w:r w:rsidR="000A1AAE" w:rsidRPr="00DA3326">
        <w:t>for</w:t>
      </w:r>
      <w:r w:rsidR="00D52FD0">
        <w:t xml:space="preserve"> </w:t>
      </w:r>
      <w:r w:rsidR="000A1AAE" w:rsidRPr="00DA3326">
        <w:t>an</w:t>
      </w:r>
      <w:r w:rsidR="00D52FD0">
        <w:t xml:space="preserve"> </w:t>
      </w:r>
      <w:r w:rsidR="000A1AAE" w:rsidRPr="00DA3326">
        <w:t>asylum</w:t>
      </w:r>
      <w:r w:rsidR="00D52FD0">
        <w:t xml:space="preserve"> </w:t>
      </w:r>
      <w:r w:rsidR="000A1AAE" w:rsidRPr="00DA3326">
        <w:t>seeker</w:t>
      </w:r>
      <w:r w:rsidR="00D52FD0">
        <w:t xml:space="preserve"> </w:t>
      </w:r>
      <w:r w:rsidR="000A1AAE" w:rsidRPr="00DA3326">
        <w:t>to</w:t>
      </w:r>
      <w:r w:rsidR="00D52FD0">
        <w:t xml:space="preserve"> </w:t>
      </w:r>
      <w:r w:rsidR="000A1AAE" w:rsidRPr="00DA3326">
        <w:t>be</w:t>
      </w:r>
      <w:r w:rsidR="00D52FD0">
        <w:t xml:space="preserve"> </w:t>
      </w:r>
      <w:r w:rsidR="000A1AAE" w:rsidRPr="00DA3326">
        <w:t>detained</w:t>
      </w:r>
      <w:r w:rsidR="00D52FD0">
        <w:t xml:space="preserve"> </w:t>
      </w:r>
      <w:r w:rsidR="000A1AAE" w:rsidRPr="00DA3326">
        <w:t>he</w:t>
      </w:r>
      <w:r w:rsidR="00D52FD0">
        <w:t xml:space="preserve"> </w:t>
      </w:r>
      <w:r w:rsidR="000A1AAE" w:rsidRPr="00DA3326">
        <w:t>or</w:t>
      </w:r>
      <w:r w:rsidR="00D52FD0">
        <w:t xml:space="preserve"> </w:t>
      </w:r>
      <w:r w:rsidR="000A1AAE" w:rsidRPr="00DA3326">
        <w:t>she</w:t>
      </w:r>
      <w:r w:rsidR="00D52FD0">
        <w:t xml:space="preserve"> </w:t>
      </w:r>
      <w:r w:rsidR="000A1AAE" w:rsidRPr="00DA3326">
        <w:t>would</w:t>
      </w:r>
      <w:r w:rsidR="00D52FD0">
        <w:t xml:space="preserve"> </w:t>
      </w:r>
      <w:r w:rsidR="000A1AAE" w:rsidRPr="00DA3326">
        <w:t>have</w:t>
      </w:r>
      <w:r w:rsidR="00D52FD0">
        <w:t xml:space="preserve"> </w:t>
      </w:r>
      <w:r w:rsidR="000A1AAE" w:rsidRPr="00DA3326">
        <w:t>to</w:t>
      </w:r>
      <w:r w:rsidR="00D52FD0">
        <w:t xml:space="preserve"> </w:t>
      </w:r>
      <w:r w:rsidR="000A1AAE" w:rsidRPr="00DA3326">
        <w:t>be</w:t>
      </w:r>
      <w:r w:rsidR="00D52FD0">
        <w:t xml:space="preserve"> </w:t>
      </w:r>
      <w:r w:rsidR="000A1AAE" w:rsidRPr="00DA3326">
        <w:t>issued</w:t>
      </w:r>
      <w:r w:rsidR="00D52FD0">
        <w:t xml:space="preserve"> </w:t>
      </w:r>
      <w:r w:rsidR="000A1AAE" w:rsidRPr="00DA3326">
        <w:t>with</w:t>
      </w:r>
      <w:r w:rsidR="00D52FD0">
        <w:t xml:space="preserve"> </w:t>
      </w:r>
      <w:r w:rsidR="000A1AAE" w:rsidRPr="00DA3326">
        <w:t>a</w:t>
      </w:r>
      <w:r w:rsidR="00D52FD0">
        <w:t xml:space="preserve"> </w:t>
      </w:r>
      <w:r w:rsidR="000A1AAE" w:rsidRPr="00DA3326">
        <w:t>Detention</w:t>
      </w:r>
      <w:r w:rsidR="00D52FD0">
        <w:t xml:space="preserve"> </w:t>
      </w:r>
      <w:r w:rsidR="000A1AAE" w:rsidRPr="00DA3326">
        <w:t>Order</w:t>
      </w:r>
      <w:r w:rsidR="00D52FD0">
        <w:t xml:space="preserve"> </w:t>
      </w:r>
      <w:r w:rsidR="000A1AAE" w:rsidRPr="00DA3326">
        <w:t>by</w:t>
      </w:r>
      <w:r w:rsidR="00D52FD0">
        <w:t xml:space="preserve"> </w:t>
      </w:r>
      <w:r w:rsidR="000A1AAE" w:rsidRPr="00DA3326">
        <w:t>Immigration</w:t>
      </w:r>
      <w:r w:rsidR="00D52FD0">
        <w:t xml:space="preserve"> </w:t>
      </w:r>
      <w:r w:rsidR="000A1AAE" w:rsidRPr="00DA3326">
        <w:t>Police,</w:t>
      </w:r>
      <w:r w:rsidR="00D52FD0">
        <w:t xml:space="preserve"> </w:t>
      </w:r>
      <w:r w:rsidR="000A1AAE" w:rsidRPr="00DA3326">
        <w:t>which</w:t>
      </w:r>
      <w:r w:rsidR="00D52FD0">
        <w:t xml:space="preserve"> </w:t>
      </w:r>
      <w:r w:rsidR="000A1AAE" w:rsidRPr="00DA3326">
        <w:t>Order</w:t>
      </w:r>
      <w:r w:rsidR="00D52FD0">
        <w:t xml:space="preserve"> </w:t>
      </w:r>
      <w:r w:rsidR="000A1AAE" w:rsidRPr="00DA3326">
        <w:t>informs</w:t>
      </w:r>
      <w:r w:rsidR="00D52FD0">
        <w:t xml:space="preserve"> </w:t>
      </w:r>
      <w:r w:rsidR="000A1AAE" w:rsidRPr="00DA3326">
        <w:t>the</w:t>
      </w:r>
      <w:r w:rsidR="00D52FD0">
        <w:t xml:space="preserve"> </w:t>
      </w:r>
      <w:r w:rsidR="000A1AAE" w:rsidRPr="00DA3326">
        <w:t>person</w:t>
      </w:r>
      <w:r w:rsidR="00D52FD0">
        <w:t xml:space="preserve"> </w:t>
      </w:r>
      <w:r w:rsidR="000A1AAE" w:rsidRPr="00DA3326">
        <w:t>concerned</w:t>
      </w:r>
      <w:r w:rsidR="00D52FD0">
        <w:t xml:space="preserve"> </w:t>
      </w:r>
      <w:r w:rsidR="000A1AAE" w:rsidRPr="00DA3326">
        <w:t>of</w:t>
      </w:r>
      <w:r w:rsidR="00D52FD0">
        <w:t xml:space="preserve"> </w:t>
      </w:r>
      <w:r w:rsidR="000A1AAE" w:rsidRPr="00DA3326">
        <w:t>the</w:t>
      </w:r>
      <w:r w:rsidR="00D52FD0">
        <w:t xml:space="preserve"> </w:t>
      </w:r>
      <w:r w:rsidR="000A1AAE" w:rsidRPr="00DA3326">
        <w:t>reason</w:t>
      </w:r>
      <w:r w:rsidR="00D52FD0">
        <w:t xml:space="preserve"> </w:t>
      </w:r>
      <w:r w:rsidR="000A1AAE" w:rsidRPr="00DA3326">
        <w:t>for</w:t>
      </w:r>
      <w:r w:rsidR="00D52FD0">
        <w:t xml:space="preserve"> </w:t>
      </w:r>
      <w:r w:rsidR="000A1AAE" w:rsidRPr="00DA3326">
        <w:t>detention</w:t>
      </w:r>
      <w:r w:rsidR="00D52FD0">
        <w:t xml:space="preserve"> </w:t>
      </w:r>
      <w:r w:rsidR="000A1AAE" w:rsidRPr="00DA3326">
        <w:t>in</w:t>
      </w:r>
      <w:r w:rsidR="00D52FD0">
        <w:t xml:space="preserve"> </w:t>
      </w:r>
      <w:r w:rsidR="000A1AAE" w:rsidRPr="00DA3326">
        <w:t>accordance</w:t>
      </w:r>
      <w:r w:rsidR="00D52FD0">
        <w:t xml:space="preserve"> </w:t>
      </w:r>
      <w:r w:rsidR="000A1AAE" w:rsidRPr="00DA3326">
        <w:t>with</w:t>
      </w:r>
      <w:r w:rsidR="00D52FD0">
        <w:t xml:space="preserve"> </w:t>
      </w:r>
      <w:r w:rsidR="000A1AAE" w:rsidRPr="00DA3326">
        <w:t>the</w:t>
      </w:r>
      <w:r w:rsidR="00D52FD0">
        <w:t xml:space="preserve"> </w:t>
      </w:r>
      <w:r w:rsidR="000A1AAE" w:rsidRPr="00DA3326">
        <w:t>Reception</w:t>
      </w:r>
      <w:r w:rsidR="00D52FD0">
        <w:t xml:space="preserve"> </w:t>
      </w:r>
      <w:r w:rsidR="000A1AAE" w:rsidRPr="00DA3326">
        <w:t>of</w:t>
      </w:r>
      <w:r w:rsidR="00D52FD0">
        <w:t xml:space="preserve"> </w:t>
      </w:r>
      <w:r w:rsidR="000A1AAE" w:rsidRPr="00DA3326">
        <w:t>Asylum</w:t>
      </w:r>
      <w:r w:rsidR="00D52FD0">
        <w:t xml:space="preserve"> </w:t>
      </w:r>
      <w:r w:rsidR="000A1AAE" w:rsidRPr="00DA3326">
        <w:t>Seekers</w:t>
      </w:r>
      <w:r w:rsidR="00D52FD0">
        <w:t xml:space="preserve"> </w:t>
      </w:r>
      <w:r w:rsidR="000A1AAE" w:rsidRPr="00DA3326">
        <w:t>Regulations</w:t>
      </w:r>
      <w:r w:rsidR="00D52FD0">
        <w:t xml:space="preserve"> </w:t>
      </w:r>
      <w:r w:rsidR="000A1AAE" w:rsidRPr="00DA3326">
        <w:t>(e.g.</w:t>
      </w:r>
      <w:r w:rsidR="00D52FD0">
        <w:t xml:space="preserve"> </w:t>
      </w:r>
      <w:r w:rsidR="000A1AAE" w:rsidRPr="00DA3326">
        <w:t>in</w:t>
      </w:r>
      <w:r w:rsidR="00D52FD0">
        <w:t xml:space="preserve"> </w:t>
      </w:r>
      <w:r w:rsidR="000A1AAE" w:rsidRPr="00DA3326">
        <w:t>order</w:t>
      </w:r>
      <w:r w:rsidR="00D52FD0">
        <w:t xml:space="preserve"> </w:t>
      </w:r>
      <w:r w:rsidR="000A1AAE" w:rsidRPr="00DA3326">
        <w:t>to</w:t>
      </w:r>
      <w:r w:rsidR="00D52FD0">
        <w:t xml:space="preserve"> </w:t>
      </w:r>
      <w:r w:rsidR="000A1AAE" w:rsidRPr="00DA3326">
        <w:t>verify</w:t>
      </w:r>
      <w:r w:rsidR="00D52FD0">
        <w:t xml:space="preserve"> </w:t>
      </w:r>
      <w:r w:rsidR="000A1AAE" w:rsidRPr="00DA3326">
        <w:t>identity</w:t>
      </w:r>
      <w:r w:rsidR="00D52FD0">
        <w:t xml:space="preserve"> </w:t>
      </w:r>
      <w:r w:rsidR="000A1AAE" w:rsidRPr="00DA3326">
        <w:t>or</w:t>
      </w:r>
      <w:r w:rsidR="00D52FD0">
        <w:t xml:space="preserve"> </w:t>
      </w:r>
      <w:r w:rsidR="000A1AAE" w:rsidRPr="00DA3326">
        <w:t>nationality;</w:t>
      </w:r>
      <w:r w:rsidR="00D52FD0">
        <w:t xml:space="preserve"> </w:t>
      </w:r>
      <w:r w:rsidR="000A1AAE" w:rsidRPr="00DA3326">
        <w:t>when</w:t>
      </w:r>
      <w:r w:rsidR="00D52FD0">
        <w:t xml:space="preserve"> </w:t>
      </w:r>
      <w:r w:rsidR="000A1AAE" w:rsidRPr="00DA3326">
        <w:t>protection</w:t>
      </w:r>
      <w:r w:rsidR="00D52FD0">
        <w:t xml:space="preserve"> </w:t>
      </w:r>
      <w:r w:rsidR="000A1AAE" w:rsidRPr="00DA3326">
        <w:t>of</w:t>
      </w:r>
      <w:r w:rsidR="00D52FD0">
        <w:t xml:space="preserve"> </w:t>
      </w:r>
      <w:r w:rsidR="000A1AAE" w:rsidRPr="00DA3326">
        <w:t>national</w:t>
      </w:r>
      <w:r w:rsidR="00D52FD0">
        <w:t xml:space="preserve"> </w:t>
      </w:r>
      <w:r w:rsidR="000A1AAE" w:rsidRPr="00DA3326">
        <w:t>security</w:t>
      </w:r>
      <w:r w:rsidR="00D52FD0">
        <w:t xml:space="preserve"> </w:t>
      </w:r>
      <w:r w:rsidR="000A1AAE" w:rsidRPr="00DA3326">
        <w:t>and</w:t>
      </w:r>
      <w:r w:rsidR="00D52FD0">
        <w:t xml:space="preserve"> </w:t>
      </w:r>
      <w:r w:rsidR="000A1AAE" w:rsidRPr="00DA3326">
        <w:t>public</w:t>
      </w:r>
      <w:r w:rsidR="00D52FD0">
        <w:t xml:space="preserve"> </w:t>
      </w:r>
      <w:r w:rsidR="000A1AAE" w:rsidRPr="00DA3326">
        <w:t>order</w:t>
      </w:r>
      <w:r w:rsidR="00D52FD0">
        <w:t xml:space="preserve"> </w:t>
      </w:r>
      <w:r w:rsidR="000A1AAE" w:rsidRPr="00DA3326">
        <w:t>so</w:t>
      </w:r>
      <w:r w:rsidR="00D52FD0">
        <w:t xml:space="preserve"> </w:t>
      </w:r>
      <w:r w:rsidR="000A1AAE" w:rsidRPr="00DA3326">
        <w:t>require)</w:t>
      </w:r>
      <w:r w:rsidR="00D52FD0">
        <w:t xml:space="preserve"> </w:t>
      </w:r>
      <w:r w:rsidR="000A1AAE" w:rsidRPr="00DA3326">
        <w:t>as</w:t>
      </w:r>
      <w:r w:rsidR="00D52FD0">
        <w:t xml:space="preserve"> </w:t>
      </w:r>
      <w:r w:rsidR="000A1AAE" w:rsidRPr="00DA3326">
        <w:t>well</w:t>
      </w:r>
      <w:r w:rsidR="00D52FD0">
        <w:t xml:space="preserve"> </w:t>
      </w:r>
      <w:r w:rsidR="000A1AAE" w:rsidRPr="00DA3326">
        <w:t>as</w:t>
      </w:r>
      <w:r w:rsidR="00D52FD0">
        <w:t xml:space="preserve"> </w:t>
      </w:r>
      <w:r w:rsidR="000A1AAE" w:rsidRPr="00DA3326">
        <w:t>of</w:t>
      </w:r>
      <w:r w:rsidR="00D52FD0">
        <w:t xml:space="preserve"> </w:t>
      </w:r>
      <w:r w:rsidR="000A1AAE" w:rsidRPr="00DA3326">
        <w:t>avenues</w:t>
      </w:r>
      <w:r w:rsidR="00D52FD0">
        <w:t xml:space="preserve"> </w:t>
      </w:r>
      <w:r w:rsidR="000A1AAE" w:rsidRPr="00DA3326">
        <w:t>of</w:t>
      </w:r>
      <w:r w:rsidR="00D52FD0">
        <w:t xml:space="preserve"> </w:t>
      </w:r>
      <w:r w:rsidR="000A1AAE" w:rsidRPr="00DA3326">
        <w:t>redress.</w:t>
      </w:r>
      <w:r w:rsidR="00D52FD0">
        <w:t xml:space="preserve"> </w:t>
      </w:r>
      <w:r w:rsidR="000A1AAE" w:rsidRPr="00DA3326">
        <w:t>The</w:t>
      </w:r>
      <w:r w:rsidR="00D52FD0">
        <w:t xml:space="preserve"> </w:t>
      </w:r>
      <w:r w:rsidR="000A1AAE" w:rsidRPr="00DA3326">
        <w:t>Detention</w:t>
      </w:r>
      <w:r w:rsidR="00D52FD0">
        <w:t xml:space="preserve"> </w:t>
      </w:r>
      <w:r w:rsidR="000A1AAE" w:rsidRPr="00DA3326">
        <w:t>Order</w:t>
      </w:r>
      <w:r w:rsidR="00D52FD0">
        <w:t xml:space="preserve"> </w:t>
      </w:r>
      <w:r w:rsidR="000A1AAE" w:rsidRPr="00DA3326">
        <w:t>is</w:t>
      </w:r>
      <w:r w:rsidR="00D52FD0">
        <w:t xml:space="preserve"> </w:t>
      </w:r>
      <w:r w:rsidR="000A1AAE" w:rsidRPr="00DA3326">
        <w:t>issued</w:t>
      </w:r>
      <w:r w:rsidR="00D52FD0">
        <w:t xml:space="preserve"> </w:t>
      </w:r>
      <w:r w:rsidR="000A1AAE" w:rsidRPr="00DA3326">
        <w:t>in</w:t>
      </w:r>
      <w:r w:rsidR="00D52FD0">
        <w:t xml:space="preserve"> </w:t>
      </w:r>
      <w:r w:rsidR="000A1AAE" w:rsidRPr="00DA3326">
        <w:t>a</w:t>
      </w:r>
      <w:r w:rsidR="00D52FD0">
        <w:t xml:space="preserve"> </w:t>
      </w:r>
      <w:r w:rsidR="000A1AAE" w:rsidRPr="00DA3326">
        <w:t>language</w:t>
      </w:r>
      <w:r w:rsidR="00D52FD0">
        <w:t xml:space="preserve"> </w:t>
      </w:r>
      <w:r w:rsidR="000A1AAE" w:rsidRPr="00DA3326">
        <w:t>the</w:t>
      </w:r>
      <w:r w:rsidR="00D52FD0">
        <w:t xml:space="preserve"> </w:t>
      </w:r>
      <w:r w:rsidR="000A1AAE" w:rsidRPr="00DA3326">
        <w:t>migrant</w:t>
      </w:r>
      <w:r w:rsidR="00D52FD0">
        <w:t xml:space="preserve"> </w:t>
      </w:r>
      <w:r w:rsidR="000A1AAE" w:rsidRPr="00DA3326">
        <w:t>is</w:t>
      </w:r>
      <w:r w:rsidR="00D52FD0">
        <w:t xml:space="preserve"> </w:t>
      </w:r>
      <w:r w:rsidR="000A1AAE" w:rsidRPr="00DA3326">
        <w:t>expected</w:t>
      </w:r>
      <w:r w:rsidR="00D52FD0">
        <w:t xml:space="preserve"> </w:t>
      </w:r>
      <w:r w:rsidR="000A1AAE" w:rsidRPr="00DA3326">
        <w:t>to</w:t>
      </w:r>
      <w:r w:rsidR="00D52FD0">
        <w:t xml:space="preserve"> </w:t>
      </w:r>
      <w:r w:rsidR="000A1AAE" w:rsidRPr="00DA3326">
        <w:t>understand.</w:t>
      </w:r>
      <w:r w:rsidR="00D52FD0">
        <w:t xml:space="preserve"> </w:t>
      </w:r>
      <w:r w:rsidR="000A1AAE" w:rsidRPr="00DA3326">
        <w:t>In</w:t>
      </w:r>
      <w:r w:rsidR="00D52FD0">
        <w:t xml:space="preserve"> </w:t>
      </w:r>
      <w:r w:rsidR="000A1AAE" w:rsidRPr="00DA3326">
        <w:t>cases</w:t>
      </w:r>
      <w:r w:rsidR="00D52FD0">
        <w:t xml:space="preserve"> </w:t>
      </w:r>
      <w:r w:rsidR="000A1AAE" w:rsidRPr="00DA3326">
        <w:t>of</w:t>
      </w:r>
      <w:r w:rsidR="00D52FD0">
        <w:t xml:space="preserve"> </w:t>
      </w:r>
      <w:r w:rsidR="000A1AAE" w:rsidRPr="00DA3326">
        <w:t>difficulty,</w:t>
      </w:r>
      <w:r w:rsidR="00D52FD0">
        <w:t xml:space="preserve"> </w:t>
      </w:r>
      <w:r w:rsidR="000A1AAE" w:rsidRPr="00DA3326">
        <w:t>an</w:t>
      </w:r>
      <w:r w:rsidR="00D52FD0">
        <w:t xml:space="preserve"> </w:t>
      </w:r>
      <w:r w:rsidR="000A1AAE" w:rsidRPr="00DA3326">
        <w:t>interpreter</w:t>
      </w:r>
      <w:r w:rsidR="00D52FD0">
        <w:t xml:space="preserve"> </w:t>
      </w:r>
      <w:r w:rsidR="000A1AAE" w:rsidRPr="00DA3326">
        <w:t>is</w:t>
      </w:r>
      <w:r w:rsidR="00D52FD0">
        <w:t xml:space="preserve"> </w:t>
      </w:r>
      <w:r w:rsidR="000A1AAE" w:rsidRPr="00DA3326">
        <w:t>provided</w:t>
      </w:r>
      <w:r w:rsidR="00D52FD0">
        <w:t xml:space="preserve"> </w:t>
      </w:r>
      <w:r w:rsidR="000A1AAE" w:rsidRPr="00DA3326">
        <w:t>to</w:t>
      </w:r>
      <w:r w:rsidR="00D52FD0">
        <w:t xml:space="preserve"> </w:t>
      </w:r>
      <w:r w:rsidR="000A1AAE" w:rsidRPr="00DA3326">
        <w:t>explain</w:t>
      </w:r>
      <w:r w:rsidR="00D52FD0">
        <w:t xml:space="preserve"> </w:t>
      </w:r>
      <w:r w:rsidR="000A1AAE" w:rsidRPr="00DA3326">
        <w:t>the</w:t>
      </w:r>
      <w:r w:rsidR="00D52FD0">
        <w:t xml:space="preserve"> </w:t>
      </w:r>
      <w:r w:rsidR="000A1AAE" w:rsidRPr="00DA3326">
        <w:t>contents</w:t>
      </w:r>
      <w:r w:rsidR="00D52FD0">
        <w:t xml:space="preserve"> </w:t>
      </w:r>
      <w:r w:rsidR="000A1AAE" w:rsidRPr="00DA3326">
        <w:t>and</w:t>
      </w:r>
      <w:r w:rsidR="00D52FD0">
        <w:t xml:space="preserve"> </w:t>
      </w:r>
      <w:r w:rsidR="000A1AAE" w:rsidRPr="00DA3326">
        <w:t>effects</w:t>
      </w:r>
      <w:r w:rsidR="00D52FD0">
        <w:t xml:space="preserve"> </w:t>
      </w:r>
      <w:r w:rsidR="000A1AAE" w:rsidRPr="00DA3326">
        <w:t>of</w:t>
      </w:r>
      <w:r w:rsidR="00D52FD0">
        <w:t xml:space="preserve"> </w:t>
      </w:r>
      <w:r w:rsidR="000A1AAE" w:rsidRPr="00DA3326">
        <w:t>this</w:t>
      </w:r>
      <w:r w:rsidR="00D52FD0">
        <w:t xml:space="preserve"> </w:t>
      </w:r>
      <w:r w:rsidR="000A1AAE" w:rsidRPr="00DA3326">
        <w:t>order</w:t>
      </w:r>
      <w:r w:rsidR="00D52FD0">
        <w:t xml:space="preserve"> </w:t>
      </w:r>
      <w:r w:rsidR="000A1AAE" w:rsidRPr="00DA3326">
        <w:t>to</w:t>
      </w:r>
      <w:r w:rsidR="00D52FD0">
        <w:t xml:space="preserve"> </w:t>
      </w:r>
      <w:r w:rsidR="000A1AAE" w:rsidRPr="00DA3326">
        <w:t>the</w:t>
      </w:r>
      <w:r w:rsidR="00D52FD0">
        <w:t xml:space="preserve"> </w:t>
      </w:r>
      <w:r w:rsidR="000A1AAE" w:rsidRPr="00DA3326">
        <w:t>person</w:t>
      </w:r>
      <w:r w:rsidR="00D52FD0">
        <w:t xml:space="preserve"> </w:t>
      </w:r>
      <w:r w:rsidR="000A1AAE" w:rsidRPr="00DA3326">
        <w:t>concerned.</w:t>
      </w:r>
    </w:p>
    <w:p w14:paraId="682EFC00" w14:textId="7A7BB64C" w:rsidR="000E4FD0" w:rsidRDefault="0044637E" w:rsidP="0044637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>
        <w:t>176.</w:t>
      </w:r>
      <w:r>
        <w:tab/>
      </w:r>
      <w:r w:rsidR="000A1AAE" w:rsidRPr="00DA3326">
        <w:t>Each</w:t>
      </w:r>
      <w:r w:rsidR="00D52FD0">
        <w:t xml:space="preserve"> </w:t>
      </w:r>
      <w:r w:rsidR="000A1AAE" w:rsidRPr="00DA3326">
        <w:t>Detention</w:t>
      </w:r>
      <w:r w:rsidR="00D52FD0">
        <w:t xml:space="preserve"> </w:t>
      </w:r>
      <w:r w:rsidR="000A1AAE" w:rsidRPr="00DA3326">
        <w:t>Order</w:t>
      </w:r>
      <w:r w:rsidR="00D52FD0">
        <w:t xml:space="preserve"> </w:t>
      </w:r>
      <w:r w:rsidR="000A1AAE" w:rsidRPr="00DA3326">
        <w:t>issued</w:t>
      </w:r>
      <w:r w:rsidR="00D52FD0">
        <w:t xml:space="preserve"> </w:t>
      </w:r>
      <w:r w:rsidR="000A1AAE" w:rsidRPr="00DA3326">
        <w:t>to</w:t>
      </w:r>
      <w:r w:rsidR="00D52FD0">
        <w:t xml:space="preserve"> </w:t>
      </w:r>
      <w:r w:rsidR="000A1AAE" w:rsidRPr="00DA3326">
        <w:t>an</w:t>
      </w:r>
      <w:r w:rsidR="00D52FD0">
        <w:t xml:space="preserve"> </w:t>
      </w:r>
      <w:r w:rsidR="000A1AAE" w:rsidRPr="00DA3326">
        <w:t>asylum</w:t>
      </w:r>
      <w:r w:rsidR="00D52FD0">
        <w:t xml:space="preserve"> </w:t>
      </w:r>
      <w:r w:rsidR="000A1AAE" w:rsidRPr="00DA3326">
        <w:t>seeker</w:t>
      </w:r>
      <w:r w:rsidR="00D52FD0">
        <w:t xml:space="preserve"> </w:t>
      </w:r>
      <w:r w:rsidR="000A1AAE" w:rsidRPr="00DA3326">
        <w:t>is</w:t>
      </w:r>
      <w:r w:rsidR="00D52FD0">
        <w:t xml:space="preserve"> </w:t>
      </w:r>
      <w:r w:rsidR="000A1AAE" w:rsidRPr="00DA3326">
        <w:t>reviewed</w:t>
      </w:r>
      <w:r w:rsidR="00D52FD0">
        <w:t xml:space="preserve"> </w:t>
      </w:r>
      <w:r w:rsidR="000A1AAE" w:rsidRPr="00DA3326">
        <w:t>within</w:t>
      </w:r>
      <w:r w:rsidR="00D52FD0">
        <w:t xml:space="preserve"> </w:t>
      </w:r>
      <w:r w:rsidR="000A1AAE" w:rsidRPr="00DA3326">
        <w:t>seven</w:t>
      </w:r>
      <w:r w:rsidR="00D52FD0">
        <w:t xml:space="preserve"> </w:t>
      </w:r>
      <w:r w:rsidR="000A1AAE" w:rsidRPr="00DA3326">
        <w:t>days</w:t>
      </w:r>
      <w:r w:rsidR="00D52FD0">
        <w:t xml:space="preserve"> </w:t>
      </w:r>
      <w:r w:rsidR="000A1AAE" w:rsidRPr="00DA3326">
        <w:t>by</w:t>
      </w:r>
      <w:r w:rsidR="00D52FD0">
        <w:t xml:space="preserve"> </w:t>
      </w:r>
      <w:r w:rsidR="000A1AAE" w:rsidRPr="00DA3326">
        <w:t>the</w:t>
      </w:r>
      <w:r w:rsidR="00D52FD0">
        <w:t xml:space="preserve"> </w:t>
      </w:r>
      <w:r w:rsidR="000A1AAE" w:rsidRPr="00DA3326">
        <w:t>independent</w:t>
      </w:r>
      <w:r w:rsidR="00D52FD0">
        <w:t xml:space="preserve"> </w:t>
      </w:r>
      <w:r w:rsidR="000A1AAE" w:rsidRPr="00DA3326">
        <w:t>Immigration</w:t>
      </w:r>
      <w:r w:rsidR="00D52FD0">
        <w:t xml:space="preserve"> </w:t>
      </w:r>
      <w:r w:rsidR="000A1AAE" w:rsidRPr="00DA3326">
        <w:t>Appeals</w:t>
      </w:r>
      <w:r w:rsidR="00D52FD0">
        <w:t xml:space="preserve"> </w:t>
      </w:r>
      <w:r w:rsidR="000A1AAE" w:rsidRPr="00DA3326">
        <w:t>Board</w:t>
      </w:r>
      <w:r w:rsidR="00D52FD0">
        <w:t xml:space="preserve"> </w:t>
      </w:r>
      <w:r w:rsidR="000A1AAE" w:rsidRPr="00DA3326">
        <w:t>and,</w:t>
      </w:r>
      <w:r w:rsidR="00D52FD0">
        <w:t xml:space="preserve"> </w:t>
      </w:r>
      <w:r w:rsidR="000A1AAE" w:rsidRPr="00DA3326">
        <w:t>if</w:t>
      </w:r>
      <w:r w:rsidR="00D52FD0">
        <w:t xml:space="preserve"> </w:t>
      </w:r>
      <w:r w:rsidR="000A1AAE" w:rsidRPr="00DA3326">
        <w:t>the</w:t>
      </w:r>
      <w:r w:rsidR="00D52FD0">
        <w:t xml:space="preserve"> </w:t>
      </w:r>
      <w:r w:rsidR="000A1AAE" w:rsidRPr="00DA3326">
        <w:t>person</w:t>
      </w:r>
      <w:r w:rsidR="00D52FD0">
        <w:t xml:space="preserve"> </w:t>
      </w:r>
      <w:r w:rsidR="000A1AAE" w:rsidRPr="00DA3326">
        <w:t>in</w:t>
      </w:r>
      <w:r w:rsidR="00D52FD0">
        <w:t xml:space="preserve"> </w:t>
      </w:r>
      <w:r w:rsidR="000A1AAE" w:rsidRPr="00DA3326">
        <w:t>question</w:t>
      </w:r>
      <w:r w:rsidR="00D52FD0">
        <w:t xml:space="preserve"> </w:t>
      </w:r>
      <w:r w:rsidR="000A1AAE" w:rsidRPr="00DA3326">
        <w:t>is</w:t>
      </w:r>
      <w:r w:rsidR="00D52FD0">
        <w:t xml:space="preserve"> </w:t>
      </w:r>
      <w:r w:rsidR="000A1AAE" w:rsidRPr="00DA3326">
        <w:t>still</w:t>
      </w:r>
      <w:r w:rsidR="00D52FD0">
        <w:t xml:space="preserve"> </w:t>
      </w:r>
      <w:r w:rsidR="000A1AAE" w:rsidRPr="00DA3326">
        <w:t>in</w:t>
      </w:r>
      <w:r w:rsidR="00D52FD0">
        <w:t xml:space="preserve"> </w:t>
      </w:r>
      <w:r w:rsidR="000A1AAE" w:rsidRPr="00DA3326">
        <w:t>detention,</w:t>
      </w:r>
      <w:r w:rsidR="00D52FD0">
        <w:t xml:space="preserve"> </w:t>
      </w:r>
      <w:r w:rsidR="000A1AAE" w:rsidRPr="00DA3326">
        <w:t>his</w:t>
      </w:r>
      <w:r w:rsidR="00D52FD0">
        <w:t xml:space="preserve"> </w:t>
      </w:r>
      <w:r w:rsidR="000A1AAE" w:rsidRPr="00DA3326">
        <w:t>or</w:t>
      </w:r>
      <w:r w:rsidR="00D52FD0">
        <w:t xml:space="preserve"> </w:t>
      </w:r>
      <w:r w:rsidR="000A1AAE" w:rsidRPr="00DA3326">
        <w:t>her</w:t>
      </w:r>
      <w:r w:rsidR="00D52FD0">
        <w:t xml:space="preserve"> </w:t>
      </w:r>
      <w:r w:rsidR="000A1AAE" w:rsidRPr="00DA3326">
        <w:t>detention</w:t>
      </w:r>
      <w:r w:rsidR="00D52FD0">
        <w:t xml:space="preserve"> </w:t>
      </w:r>
      <w:r w:rsidR="000A1AAE" w:rsidRPr="00DA3326">
        <w:t>is</w:t>
      </w:r>
      <w:r w:rsidR="00D52FD0">
        <w:t xml:space="preserve"> </w:t>
      </w:r>
      <w:r w:rsidR="000A1AAE" w:rsidRPr="00DA3326">
        <w:t>reviewed</w:t>
      </w:r>
      <w:r w:rsidR="00D52FD0">
        <w:t xml:space="preserve"> </w:t>
      </w:r>
      <w:r w:rsidR="000A1AAE" w:rsidRPr="00DA3326">
        <w:t>after</w:t>
      </w:r>
      <w:r w:rsidR="00D52FD0">
        <w:t xml:space="preserve"> </w:t>
      </w:r>
      <w:r w:rsidR="000A1AAE" w:rsidRPr="00DA3326">
        <w:t>2</w:t>
      </w:r>
      <w:r w:rsidR="00D52FD0">
        <w:t xml:space="preserve"> </w:t>
      </w:r>
      <w:r w:rsidR="000A1AAE" w:rsidRPr="00DA3326">
        <w:t>months</w:t>
      </w:r>
      <w:r w:rsidR="00D52FD0">
        <w:t xml:space="preserve"> </w:t>
      </w:r>
      <w:r w:rsidR="000A1AAE" w:rsidRPr="00DA3326">
        <w:t>and</w:t>
      </w:r>
      <w:r w:rsidR="00D52FD0">
        <w:t xml:space="preserve"> </w:t>
      </w:r>
      <w:r w:rsidR="000A1AAE" w:rsidRPr="00DA3326">
        <w:t>every</w:t>
      </w:r>
      <w:r w:rsidR="00D52FD0">
        <w:t xml:space="preserve"> </w:t>
      </w:r>
      <w:r w:rsidR="000A1AAE" w:rsidRPr="00DA3326">
        <w:t>2</w:t>
      </w:r>
      <w:r w:rsidR="00D52FD0">
        <w:t xml:space="preserve"> </w:t>
      </w:r>
      <w:r w:rsidR="000A1AAE" w:rsidRPr="00DA3326">
        <w:t>months</w:t>
      </w:r>
      <w:r w:rsidR="00D52FD0">
        <w:t xml:space="preserve"> </w:t>
      </w:r>
      <w:r w:rsidR="000A1AAE" w:rsidRPr="00DA3326">
        <w:t>thereafter.</w:t>
      </w:r>
      <w:r w:rsidR="00D52FD0">
        <w:t xml:space="preserve"> </w:t>
      </w:r>
      <w:r w:rsidR="000A1AAE" w:rsidRPr="00DA3326">
        <w:t>In</w:t>
      </w:r>
      <w:r w:rsidR="00D52FD0">
        <w:t xml:space="preserve"> </w:t>
      </w:r>
      <w:r w:rsidR="000A1AAE" w:rsidRPr="00DA3326">
        <w:t>accordance</w:t>
      </w:r>
      <w:r w:rsidR="00D52FD0">
        <w:t xml:space="preserve"> </w:t>
      </w:r>
      <w:r w:rsidR="000A1AAE" w:rsidRPr="00DA3326">
        <w:t>with</w:t>
      </w:r>
      <w:r w:rsidR="00D52FD0">
        <w:t xml:space="preserve"> </w:t>
      </w:r>
      <w:r w:rsidR="000A1AAE" w:rsidRPr="00DA3326">
        <w:t>the</w:t>
      </w:r>
      <w:r w:rsidR="00D52FD0">
        <w:t xml:space="preserve"> </w:t>
      </w:r>
      <w:r w:rsidR="000A1AAE" w:rsidRPr="00DA3326">
        <w:t>mentioned</w:t>
      </w:r>
      <w:r w:rsidR="00D52FD0">
        <w:t xml:space="preserve"> </w:t>
      </w:r>
      <w:r w:rsidR="000A1AAE" w:rsidRPr="00DA3326">
        <w:t>Regulations</w:t>
      </w:r>
      <w:r w:rsidR="00D52FD0">
        <w:t xml:space="preserve"> </w:t>
      </w:r>
      <w:r w:rsidR="000A1AAE" w:rsidRPr="00DA3326">
        <w:t>no</w:t>
      </w:r>
      <w:r w:rsidR="00D52FD0">
        <w:t xml:space="preserve"> </w:t>
      </w:r>
      <w:r w:rsidR="000A1AAE" w:rsidRPr="00DA3326">
        <w:t>asylum</w:t>
      </w:r>
      <w:r w:rsidR="00D52FD0">
        <w:t xml:space="preserve"> </w:t>
      </w:r>
      <w:r w:rsidR="000A1AAE" w:rsidRPr="00DA3326">
        <w:t>seeker</w:t>
      </w:r>
      <w:r w:rsidR="00D52FD0">
        <w:t xml:space="preserve"> </w:t>
      </w:r>
      <w:r w:rsidR="000A1AAE" w:rsidRPr="00DA3326">
        <w:t>may</w:t>
      </w:r>
      <w:r w:rsidR="00D52FD0">
        <w:t xml:space="preserve"> </w:t>
      </w:r>
      <w:r w:rsidR="000A1AAE" w:rsidRPr="00DA3326">
        <w:t>be</w:t>
      </w:r>
      <w:r w:rsidR="00D52FD0">
        <w:t xml:space="preserve"> </w:t>
      </w:r>
      <w:r w:rsidR="000A1AAE" w:rsidRPr="00DA3326">
        <w:t>detained</w:t>
      </w:r>
      <w:r w:rsidR="00D52FD0">
        <w:t xml:space="preserve"> </w:t>
      </w:r>
      <w:r w:rsidR="000A1AAE" w:rsidRPr="00DA3326">
        <w:t>for</w:t>
      </w:r>
      <w:r w:rsidR="00D52FD0">
        <w:t xml:space="preserve"> </w:t>
      </w:r>
      <w:r w:rsidR="000A1AAE" w:rsidRPr="00DA3326">
        <w:t>more</w:t>
      </w:r>
      <w:r w:rsidR="00D52FD0">
        <w:t xml:space="preserve"> </w:t>
      </w:r>
      <w:r w:rsidR="000A1AAE" w:rsidRPr="00DA3326">
        <w:t>than</w:t>
      </w:r>
      <w:r w:rsidR="00D52FD0">
        <w:t xml:space="preserve"> </w:t>
      </w:r>
      <w:r w:rsidR="000A1AAE" w:rsidRPr="00DA3326">
        <w:t>9</w:t>
      </w:r>
      <w:r w:rsidR="00D52FD0">
        <w:t xml:space="preserve"> </w:t>
      </w:r>
      <w:r w:rsidR="000A1AAE" w:rsidRPr="00DA3326">
        <w:t>months.</w:t>
      </w:r>
    </w:p>
    <w:p w14:paraId="5B592A78" w14:textId="445E8E09" w:rsidR="000A1AAE" w:rsidRPr="00DA3326" w:rsidRDefault="0044637E" w:rsidP="0044637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DA3326">
        <w:t>177.</w:t>
      </w:r>
      <w:r w:rsidRPr="00DA3326">
        <w:tab/>
      </w:r>
      <w:r w:rsidR="000A1AAE" w:rsidRPr="00DA3326">
        <w:t>Vulnerable</w:t>
      </w:r>
      <w:r w:rsidR="00D52FD0">
        <w:t xml:space="preserve"> </w:t>
      </w:r>
      <w:r w:rsidR="000A1AAE" w:rsidRPr="00DA3326">
        <w:t>groups,</w:t>
      </w:r>
      <w:r w:rsidR="00D52FD0">
        <w:t xml:space="preserve"> </w:t>
      </w:r>
      <w:r w:rsidR="000A1AAE" w:rsidRPr="00DA3326">
        <w:t>children</w:t>
      </w:r>
      <w:r w:rsidR="00D52FD0">
        <w:t xml:space="preserve"> </w:t>
      </w:r>
      <w:r w:rsidR="000A1AAE" w:rsidRPr="00DA3326">
        <w:t>and</w:t>
      </w:r>
      <w:r w:rsidR="00D52FD0">
        <w:t xml:space="preserve"> </w:t>
      </w:r>
      <w:r w:rsidR="000A1AAE" w:rsidRPr="00DA3326">
        <w:t>unaccompanied</w:t>
      </w:r>
      <w:r w:rsidR="00D52FD0">
        <w:t xml:space="preserve"> </w:t>
      </w:r>
      <w:r w:rsidR="000A1AAE" w:rsidRPr="00DA3326">
        <w:t>minors</w:t>
      </w:r>
      <w:r w:rsidR="00D52FD0">
        <w:t xml:space="preserve"> </w:t>
      </w:r>
      <w:r w:rsidR="000A1AAE" w:rsidRPr="00DA3326">
        <w:t>are</w:t>
      </w:r>
      <w:r w:rsidR="00D52FD0">
        <w:t xml:space="preserve"> </w:t>
      </w:r>
      <w:r w:rsidR="000A1AAE" w:rsidRPr="00DA3326">
        <w:t>not</w:t>
      </w:r>
      <w:r w:rsidR="00D52FD0">
        <w:t xml:space="preserve"> </w:t>
      </w:r>
      <w:r w:rsidR="000A1AAE" w:rsidRPr="00DA3326">
        <w:t>issued</w:t>
      </w:r>
      <w:r w:rsidR="00D52FD0">
        <w:t xml:space="preserve"> </w:t>
      </w:r>
      <w:r w:rsidR="000A1AAE" w:rsidRPr="00DA3326">
        <w:t>with</w:t>
      </w:r>
      <w:r w:rsidR="00D52FD0">
        <w:t xml:space="preserve"> </w:t>
      </w:r>
      <w:r w:rsidR="000A1AAE" w:rsidRPr="00DA3326">
        <w:t>detention</w:t>
      </w:r>
      <w:r w:rsidR="00D52FD0">
        <w:t xml:space="preserve"> </w:t>
      </w:r>
      <w:r w:rsidR="000A1AAE" w:rsidRPr="00DA3326">
        <w:t>order</w:t>
      </w:r>
      <w:r w:rsidR="00D52FD0">
        <w:t xml:space="preserve"> </w:t>
      </w:r>
      <w:r w:rsidR="000A1AAE" w:rsidRPr="00DA3326">
        <w:t>in</w:t>
      </w:r>
      <w:r w:rsidR="00D52FD0">
        <w:t xml:space="preserve"> </w:t>
      </w:r>
      <w:r w:rsidR="000A1AAE" w:rsidRPr="00DA3326">
        <w:t>terms</w:t>
      </w:r>
      <w:r w:rsidR="00D52FD0">
        <w:t xml:space="preserve"> </w:t>
      </w:r>
      <w:r w:rsidR="000A1AAE" w:rsidRPr="00DA3326">
        <w:t>of</w:t>
      </w:r>
      <w:r w:rsidR="00D52FD0">
        <w:t xml:space="preserve"> </w:t>
      </w:r>
      <w:r w:rsidR="000A1AAE" w:rsidRPr="00DA3326">
        <w:t>subsidiary</w:t>
      </w:r>
      <w:r w:rsidR="00D52FD0">
        <w:t xml:space="preserve"> </w:t>
      </w:r>
      <w:r w:rsidR="000A1AAE" w:rsidRPr="00DA3326">
        <w:t>legislation</w:t>
      </w:r>
      <w:r w:rsidR="00D52FD0">
        <w:t xml:space="preserve"> </w:t>
      </w:r>
      <w:r w:rsidR="000A1AAE" w:rsidRPr="00DA3326">
        <w:t>under</w:t>
      </w:r>
      <w:r w:rsidR="00D52FD0">
        <w:t xml:space="preserve"> </w:t>
      </w:r>
      <w:r w:rsidR="000A1AAE" w:rsidRPr="00DA3326">
        <w:t>the</w:t>
      </w:r>
      <w:r w:rsidR="00D52FD0">
        <w:t xml:space="preserve"> </w:t>
      </w:r>
      <w:r w:rsidR="000A1AAE" w:rsidRPr="00DA3326">
        <w:t>International</w:t>
      </w:r>
      <w:r w:rsidR="00D52FD0">
        <w:t xml:space="preserve"> </w:t>
      </w:r>
      <w:r w:rsidR="000A1AAE" w:rsidRPr="00DA3326">
        <w:t>Protection</w:t>
      </w:r>
      <w:r w:rsidR="00D52FD0">
        <w:t xml:space="preserve"> </w:t>
      </w:r>
      <w:r w:rsidR="000A1AAE" w:rsidRPr="00DA3326">
        <w:t>Act.</w:t>
      </w:r>
      <w:r w:rsidR="00D52FD0">
        <w:t xml:space="preserve"> </w:t>
      </w:r>
      <w:r w:rsidR="000A1AAE" w:rsidRPr="00DA3326">
        <w:t>Therefore,</w:t>
      </w:r>
      <w:r w:rsidR="00D52FD0">
        <w:t xml:space="preserve"> </w:t>
      </w:r>
      <w:r w:rsidR="000A1AAE" w:rsidRPr="00DA3326">
        <w:t>children</w:t>
      </w:r>
      <w:r w:rsidR="00D52FD0">
        <w:t xml:space="preserve"> </w:t>
      </w:r>
      <w:r w:rsidR="000A1AAE" w:rsidRPr="00DA3326">
        <w:t>are</w:t>
      </w:r>
      <w:r w:rsidR="00D52FD0">
        <w:t xml:space="preserve"> </w:t>
      </w:r>
      <w:r w:rsidR="000A1AAE" w:rsidRPr="00DA3326">
        <w:t>confined</w:t>
      </w:r>
      <w:r w:rsidR="00D52FD0">
        <w:t xml:space="preserve"> </w:t>
      </w:r>
      <w:r w:rsidR="000A1AAE" w:rsidRPr="00DA3326">
        <w:t>only</w:t>
      </w:r>
      <w:r w:rsidR="00D52FD0">
        <w:t xml:space="preserve"> </w:t>
      </w:r>
      <w:r w:rsidR="000A1AAE" w:rsidRPr="00DA3326">
        <w:t>in</w:t>
      </w:r>
      <w:r w:rsidR="00D52FD0">
        <w:t xml:space="preserve"> </w:t>
      </w:r>
      <w:r w:rsidR="000A1AAE" w:rsidRPr="00DA3326">
        <w:t>view</w:t>
      </w:r>
      <w:r w:rsidR="00D52FD0">
        <w:t xml:space="preserve"> </w:t>
      </w:r>
      <w:r w:rsidR="000A1AAE" w:rsidRPr="00DA3326">
        <w:t>of</w:t>
      </w:r>
      <w:r w:rsidR="00D52FD0">
        <w:t xml:space="preserve"> </w:t>
      </w:r>
      <w:r w:rsidR="000A1AAE" w:rsidRPr="00DA3326">
        <w:t>health</w:t>
      </w:r>
      <w:r w:rsidR="00D52FD0">
        <w:t xml:space="preserve"> </w:t>
      </w:r>
      <w:r w:rsidR="000A1AAE" w:rsidRPr="00DA3326">
        <w:t>and</w:t>
      </w:r>
      <w:r w:rsidR="00D52FD0">
        <w:t xml:space="preserve"> </w:t>
      </w:r>
      <w:r w:rsidR="000A1AAE" w:rsidRPr="00DA3326">
        <w:t>related</w:t>
      </w:r>
      <w:r w:rsidR="00D52FD0">
        <w:t xml:space="preserve"> </w:t>
      </w:r>
      <w:r w:rsidR="000A1AAE" w:rsidRPr="00DA3326">
        <w:t>considerations,</w:t>
      </w:r>
      <w:r w:rsidR="00D52FD0">
        <w:t xml:space="preserve"> </w:t>
      </w:r>
      <w:r w:rsidR="000A1AAE" w:rsidRPr="00DA3326">
        <w:t>when</w:t>
      </w:r>
      <w:r w:rsidR="00D52FD0">
        <w:t xml:space="preserve"> </w:t>
      </w:r>
      <w:r w:rsidR="000A1AAE" w:rsidRPr="00DA3326">
        <w:t>necessary.</w:t>
      </w:r>
    </w:p>
    <w:p w14:paraId="592E6D11" w14:textId="286EF94C" w:rsidR="000E4FD0" w:rsidRDefault="0044637E" w:rsidP="0044637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>
        <w:t>178.</w:t>
      </w:r>
      <w:r>
        <w:tab/>
      </w:r>
      <w:r w:rsidR="000A1AAE" w:rsidRPr="00DA3326">
        <w:t>Families</w:t>
      </w:r>
      <w:r w:rsidR="00D52FD0">
        <w:t xml:space="preserve"> </w:t>
      </w:r>
      <w:r w:rsidR="000A1AAE" w:rsidRPr="00DA3326">
        <w:t>with</w:t>
      </w:r>
      <w:r w:rsidR="00D52FD0">
        <w:t xml:space="preserve"> </w:t>
      </w:r>
      <w:r w:rsidR="000A1AAE" w:rsidRPr="00DA3326">
        <w:t>children,</w:t>
      </w:r>
      <w:r w:rsidR="00D52FD0">
        <w:t xml:space="preserve"> </w:t>
      </w:r>
      <w:r w:rsidR="000A1AAE" w:rsidRPr="00DA3326">
        <w:t>and</w:t>
      </w:r>
      <w:r w:rsidR="00D52FD0">
        <w:t xml:space="preserve"> </w:t>
      </w:r>
      <w:r w:rsidR="000A1AAE" w:rsidRPr="00DA3326">
        <w:t>unaccompanied</w:t>
      </w:r>
      <w:r w:rsidR="00D52FD0">
        <w:t xml:space="preserve"> </w:t>
      </w:r>
      <w:r w:rsidR="000A1AAE" w:rsidRPr="00DA3326">
        <w:t>minors,</w:t>
      </w:r>
      <w:r w:rsidR="00D52FD0">
        <w:t xml:space="preserve"> </w:t>
      </w:r>
      <w:r w:rsidR="000A1AAE" w:rsidRPr="00DA3326">
        <w:t>are</w:t>
      </w:r>
      <w:r w:rsidR="00D52FD0">
        <w:t xml:space="preserve"> </w:t>
      </w:r>
      <w:r w:rsidR="000A1AAE" w:rsidRPr="00DA3326">
        <w:t>processed</w:t>
      </w:r>
      <w:r w:rsidR="00D52FD0">
        <w:t xml:space="preserve"> </w:t>
      </w:r>
      <w:r w:rsidR="000A1AAE" w:rsidRPr="00DA3326">
        <w:t>expeditiously</w:t>
      </w:r>
      <w:r w:rsidR="00D52FD0">
        <w:t xml:space="preserve"> </w:t>
      </w:r>
      <w:r w:rsidR="000A1AAE" w:rsidRPr="00DA3326">
        <w:t>to</w:t>
      </w:r>
      <w:r w:rsidR="00D52FD0">
        <w:t xml:space="preserve"> </w:t>
      </w:r>
      <w:r w:rsidR="000A1AAE" w:rsidRPr="00DA3326">
        <w:t>ensure</w:t>
      </w:r>
      <w:r w:rsidR="00D52FD0">
        <w:t xml:space="preserve"> </w:t>
      </w:r>
      <w:r w:rsidR="000A1AAE" w:rsidRPr="00DA3326">
        <w:t>that</w:t>
      </w:r>
      <w:r w:rsidR="00D52FD0">
        <w:t xml:space="preserve"> </w:t>
      </w:r>
      <w:r w:rsidR="000A1AAE" w:rsidRPr="00DA3326">
        <w:t>they</w:t>
      </w:r>
      <w:r w:rsidR="00D52FD0">
        <w:t xml:space="preserve"> </w:t>
      </w:r>
      <w:r w:rsidR="000A1AAE" w:rsidRPr="00DA3326">
        <w:t>can</w:t>
      </w:r>
      <w:r w:rsidR="00D52FD0">
        <w:t xml:space="preserve"> </w:t>
      </w:r>
      <w:r w:rsidR="000A1AAE" w:rsidRPr="00DA3326">
        <w:t>be</w:t>
      </w:r>
      <w:r w:rsidR="00D52FD0">
        <w:t xml:space="preserve"> </w:t>
      </w:r>
      <w:r w:rsidR="000A1AAE" w:rsidRPr="00DA3326">
        <w:t>moved</w:t>
      </w:r>
      <w:r w:rsidR="00D52FD0">
        <w:t xml:space="preserve"> </w:t>
      </w:r>
      <w:r w:rsidR="000A1AAE" w:rsidRPr="00DA3326">
        <w:t>to</w:t>
      </w:r>
      <w:r w:rsidR="00D52FD0">
        <w:t xml:space="preserve"> </w:t>
      </w:r>
      <w:r w:rsidR="000A1AAE" w:rsidRPr="00DA3326">
        <w:t>an</w:t>
      </w:r>
      <w:r w:rsidR="00D52FD0">
        <w:t xml:space="preserve"> </w:t>
      </w:r>
      <w:r w:rsidR="000A1AAE" w:rsidRPr="00DA3326">
        <w:t>open</w:t>
      </w:r>
      <w:r w:rsidR="00D52FD0">
        <w:t xml:space="preserve"> </w:t>
      </w:r>
      <w:r w:rsidR="000A1AAE" w:rsidRPr="00DA3326">
        <w:t>centre</w:t>
      </w:r>
      <w:r w:rsidR="00D52FD0">
        <w:t xml:space="preserve"> </w:t>
      </w:r>
      <w:r w:rsidR="000A1AAE" w:rsidRPr="00DA3326">
        <w:t>from</w:t>
      </w:r>
      <w:r w:rsidR="00D52FD0">
        <w:t xml:space="preserve"> </w:t>
      </w:r>
      <w:r w:rsidR="000A1AAE" w:rsidRPr="00DA3326">
        <w:t>the</w:t>
      </w:r>
      <w:r w:rsidR="00D52FD0">
        <w:t xml:space="preserve"> </w:t>
      </w:r>
      <w:r w:rsidR="000A1AAE" w:rsidRPr="00DA3326">
        <w:t>Initial</w:t>
      </w:r>
      <w:r w:rsidR="00D52FD0">
        <w:t xml:space="preserve"> </w:t>
      </w:r>
      <w:r w:rsidR="000A1AAE" w:rsidRPr="00DA3326">
        <w:t>Reception</w:t>
      </w:r>
      <w:r w:rsidR="00D52FD0">
        <w:t xml:space="preserve"> </w:t>
      </w:r>
      <w:r w:rsidR="000A1AAE" w:rsidRPr="00DA3326">
        <w:t>Centre</w:t>
      </w:r>
      <w:r w:rsidR="00D52FD0">
        <w:t xml:space="preserve"> </w:t>
      </w:r>
      <w:r w:rsidR="000A1AAE" w:rsidRPr="00DA3326">
        <w:t>(IRC)</w:t>
      </w:r>
      <w:r w:rsidR="00D52FD0">
        <w:t xml:space="preserve"> </w:t>
      </w:r>
      <w:r w:rsidR="000A1AAE" w:rsidRPr="00DA3326">
        <w:t>at</w:t>
      </w:r>
      <w:r w:rsidR="00D52FD0">
        <w:t xml:space="preserve"> </w:t>
      </w:r>
      <w:r w:rsidR="000A1AAE" w:rsidRPr="00DA3326">
        <w:t>the</w:t>
      </w:r>
      <w:r w:rsidR="00D52FD0">
        <w:t xml:space="preserve"> </w:t>
      </w:r>
      <w:r w:rsidR="000A1AAE" w:rsidRPr="00DA3326">
        <w:t>earliest</w:t>
      </w:r>
      <w:r w:rsidR="00D52FD0">
        <w:t xml:space="preserve"> </w:t>
      </w:r>
      <w:r w:rsidR="000A1AAE" w:rsidRPr="00DA3326">
        <w:t>possible.</w:t>
      </w:r>
      <w:r w:rsidR="00D52FD0">
        <w:t xml:space="preserve"> </w:t>
      </w:r>
      <w:r w:rsidR="000A1AAE" w:rsidRPr="00DA3326">
        <w:t>Persons</w:t>
      </w:r>
      <w:r w:rsidR="00D52FD0">
        <w:t xml:space="preserve"> </w:t>
      </w:r>
      <w:r w:rsidR="000A1AAE" w:rsidRPr="00DA3326">
        <w:t>who</w:t>
      </w:r>
      <w:r w:rsidR="00D52FD0">
        <w:t xml:space="preserve"> </w:t>
      </w:r>
      <w:r w:rsidR="000A1AAE" w:rsidRPr="00DA3326">
        <w:t>are</w:t>
      </w:r>
      <w:r w:rsidR="00D52FD0">
        <w:t xml:space="preserve"> </w:t>
      </w:r>
      <w:r w:rsidR="000A1AAE" w:rsidRPr="00DA3326">
        <w:t>confirmed</w:t>
      </w:r>
      <w:r w:rsidR="00D52FD0">
        <w:t xml:space="preserve"> </w:t>
      </w:r>
      <w:r w:rsidR="000A1AAE" w:rsidRPr="00DA3326">
        <w:t>minors</w:t>
      </w:r>
      <w:r w:rsidR="00D52FD0">
        <w:t xml:space="preserve"> </w:t>
      </w:r>
      <w:r w:rsidR="000A1AAE" w:rsidRPr="00DA3326">
        <w:t>following</w:t>
      </w:r>
      <w:r w:rsidR="00D52FD0">
        <w:t xml:space="preserve"> </w:t>
      </w:r>
      <w:r w:rsidR="000A1AAE" w:rsidRPr="00DA3326">
        <w:t>the</w:t>
      </w:r>
      <w:r w:rsidR="00D52FD0">
        <w:t xml:space="preserve"> </w:t>
      </w:r>
      <w:r w:rsidR="000A1AAE" w:rsidRPr="00DA3326">
        <w:t>age-assessment</w:t>
      </w:r>
      <w:r w:rsidR="00D52FD0">
        <w:t xml:space="preserve"> </w:t>
      </w:r>
      <w:r w:rsidR="000A1AAE" w:rsidRPr="00DA3326">
        <w:t>test</w:t>
      </w:r>
      <w:r w:rsidR="00D52FD0">
        <w:t xml:space="preserve"> </w:t>
      </w:r>
      <w:r w:rsidR="000A1AAE" w:rsidRPr="00DA3326">
        <w:t>are</w:t>
      </w:r>
      <w:r w:rsidR="00D52FD0">
        <w:t xml:space="preserve"> </w:t>
      </w:r>
      <w:r w:rsidR="000A1AAE" w:rsidRPr="00DA3326">
        <w:t>transferred</w:t>
      </w:r>
      <w:r w:rsidR="00D52FD0">
        <w:t xml:space="preserve"> </w:t>
      </w:r>
      <w:r w:rsidR="000A1AAE" w:rsidRPr="00DA3326">
        <w:t>to</w:t>
      </w:r>
      <w:r w:rsidR="00D52FD0">
        <w:t xml:space="preserve"> </w:t>
      </w:r>
      <w:r w:rsidR="000A1AAE" w:rsidRPr="00DA3326">
        <w:t>open</w:t>
      </w:r>
      <w:r w:rsidR="00D52FD0">
        <w:t xml:space="preserve"> </w:t>
      </w:r>
      <w:r w:rsidR="000A1AAE" w:rsidRPr="00DA3326">
        <w:t>facilities</w:t>
      </w:r>
      <w:r w:rsidR="00D52FD0">
        <w:t xml:space="preserve"> </w:t>
      </w:r>
      <w:r w:rsidR="000A1AAE" w:rsidRPr="00DA3326">
        <w:t>immediately.</w:t>
      </w:r>
    </w:p>
    <w:p w14:paraId="5B2B664B" w14:textId="50214C0A" w:rsidR="000E4FD0" w:rsidRDefault="0044637E" w:rsidP="0044637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>
        <w:t>179.</w:t>
      </w:r>
      <w:r>
        <w:tab/>
      </w:r>
      <w:r w:rsidR="000A1AAE" w:rsidRPr="00DA3326">
        <w:t>Families</w:t>
      </w:r>
      <w:r w:rsidR="00D52FD0">
        <w:t xml:space="preserve"> </w:t>
      </w:r>
      <w:r w:rsidR="000A1AAE" w:rsidRPr="00DA3326">
        <w:t>with</w:t>
      </w:r>
      <w:r w:rsidR="00D52FD0">
        <w:t xml:space="preserve"> </w:t>
      </w:r>
      <w:r w:rsidR="000A1AAE" w:rsidRPr="00DA3326">
        <w:t>young</w:t>
      </w:r>
      <w:r w:rsidR="00D52FD0">
        <w:t xml:space="preserve"> </w:t>
      </w:r>
      <w:r w:rsidR="000A1AAE" w:rsidRPr="00DA3326">
        <w:t>children</w:t>
      </w:r>
      <w:r w:rsidR="00D52FD0">
        <w:t xml:space="preserve"> </w:t>
      </w:r>
      <w:r w:rsidR="000A1AAE" w:rsidRPr="00DA3326">
        <w:t>and</w:t>
      </w:r>
      <w:r w:rsidR="00D52FD0">
        <w:t xml:space="preserve"> </w:t>
      </w:r>
      <w:r w:rsidR="000A1AAE" w:rsidRPr="00DA3326">
        <w:t>unaccompanied</w:t>
      </w:r>
      <w:r w:rsidR="00D52FD0">
        <w:t xml:space="preserve"> </w:t>
      </w:r>
      <w:r w:rsidR="000A1AAE" w:rsidRPr="00DA3326">
        <w:t>and</w:t>
      </w:r>
      <w:r w:rsidR="00D52FD0">
        <w:t xml:space="preserve"> </w:t>
      </w:r>
      <w:r w:rsidR="000A1AAE" w:rsidRPr="00DA3326">
        <w:t>separated</w:t>
      </w:r>
      <w:r w:rsidR="00D52FD0">
        <w:t xml:space="preserve"> </w:t>
      </w:r>
      <w:r w:rsidR="000A1AAE" w:rsidRPr="00DA3326">
        <w:t>children</w:t>
      </w:r>
      <w:r w:rsidR="00D52FD0">
        <w:t xml:space="preserve"> </w:t>
      </w:r>
      <w:r w:rsidR="000A1AAE" w:rsidRPr="00DA3326">
        <w:t>are</w:t>
      </w:r>
      <w:r w:rsidR="00D52FD0">
        <w:t xml:space="preserve"> </w:t>
      </w:r>
      <w:r w:rsidR="000A1AAE" w:rsidRPr="00DA3326">
        <w:t>hosted</w:t>
      </w:r>
      <w:r w:rsidR="00D52FD0">
        <w:t xml:space="preserve"> </w:t>
      </w:r>
      <w:r w:rsidR="000A1AAE" w:rsidRPr="00DA3326">
        <w:t>at</w:t>
      </w:r>
      <w:r w:rsidR="00D52FD0">
        <w:t xml:space="preserve"> </w:t>
      </w:r>
      <w:r w:rsidR="000A1AAE" w:rsidRPr="00DA3326">
        <w:t>IRC</w:t>
      </w:r>
      <w:r w:rsidR="00D52FD0">
        <w:t xml:space="preserve"> </w:t>
      </w:r>
      <w:r w:rsidR="000A1AAE" w:rsidRPr="00DA3326">
        <w:t>in</w:t>
      </w:r>
      <w:r w:rsidR="00D52FD0">
        <w:t xml:space="preserve"> </w:t>
      </w:r>
      <w:r w:rsidR="000A1AAE" w:rsidRPr="00DA3326">
        <w:t>different</w:t>
      </w:r>
      <w:r w:rsidR="00D52FD0">
        <w:t xml:space="preserve"> </w:t>
      </w:r>
      <w:r w:rsidR="000A1AAE" w:rsidRPr="00DA3326">
        <w:t>areas</w:t>
      </w:r>
      <w:r w:rsidR="00D52FD0">
        <w:t xml:space="preserve"> </w:t>
      </w:r>
      <w:r w:rsidR="000A1AAE" w:rsidRPr="00DA3326">
        <w:t>and</w:t>
      </w:r>
      <w:r w:rsidR="00D52FD0">
        <w:t xml:space="preserve"> </w:t>
      </w:r>
      <w:r w:rsidR="000A1AAE" w:rsidRPr="00DA3326">
        <w:t>separated</w:t>
      </w:r>
      <w:r w:rsidR="00D52FD0">
        <w:t xml:space="preserve"> </w:t>
      </w:r>
      <w:r w:rsidR="000A1AAE" w:rsidRPr="00DA3326">
        <w:t>from</w:t>
      </w:r>
      <w:r w:rsidR="00D52FD0">
        <w:t xml:space="preserve"> </w:t>
      </w:r>
      <w:r w:rsidR="000A1AAE" w:rsidRPr="00DA3326">
        <w:t>male</w:t>
      </w:r>
      <w:r w:rsidR="00D52FD0">
        <w:t xml:space="preserve"> </w:t>
      </w:r>
      <w:r w:rsidR="000A1AAE" w:rsidRPr="00DA3326">
        <w:t>adults.</w:t>
      </w:r>
      <w:r w:rsidR="00D52FD0">
        <w:t xml:space="preserve"> </w:t>
      </w:r>
      <w:r w:rsidR="000A1AAE" w:rsidRPr="00DA3326">
        <w:t>Families</w:t>
      </w:r>
      <w:r w:rsidR="00D52FD0">
        <w:t xml:space="preserve"> </w:t>
      </w:r>
      <w:r w:rsidR="000A1AAE" w:rsidRPr="00DA3326">
        <w:t>with</w:t>
      </w:r>
      <w:r w:rsidR="00D52FD0">
        <w:t xml:space="preserve"> </w:t>
      </w:r>
      <w:r w:rsidR="000A1AAE" w:rsidRPr="00DA3326">
        <w:t>young</w:t>
      </w:r>
      <w:r w:rsidR="00D52FD0">
        <w:t xml:space="preserve"> </w:t>
      </w:r>
      <w:r w:rsidR="000A1AAE" w:rsidRPr="00DA3326">
        <w:t>children</w:t>
      </w:r>
      <w:r w:rsidR="00D52FD0">
        <w:t xml:space="preserve"> </w:t>
      </w:r>
      <w:r w:rsidR="000A1AAE" w:rsidRPr="00DA3326">
        <w:t>and</w:t>
      </w:r>
      <w:r w:rsidR="00D52FD0">
        <w:t xml:space="preserve"> </w:t>
      </w:r>
      <w:r w:rsidR="000A1AAE" w:rsidRPr="00DA3326">
        <w:t>Unaccompanied</w:t>
      </w:r>
      <w:r w:rsidR="00D52FD0">
        <w:t xml:space="preserve"> </w:t>
      </w:r>
      <w:r w:rsidR="000A1AAE" w:rsidRPr="00DA3326">
        <w:t>Minor</w:t>
      </w:r>
      <w:r w:rsidR="00D52FD0">
        <w:t xml:space="preserve"> </w:t>
      </w:r>
      <w:r w:rsidR="000A1AAE" w:rsidRPr="00DA3326">
        <w:t>Asylum</w:t>
      </w:r>
      <w:r w:rsidR="00D52FD0">
        <w:t xml:space="preserve"> </w:t>
      </w:r>
      <w:r w:rsidR="000A1AAE" w:rsidRPr="00DA3326">
        <w:t>Seekers</w:t>
      </w:r>
      <w:r w:rsidR="00D52FD0">
        <w:t xml:space="preserve"> </w:t>
      </w:r>
      <w:r w:rsidR="000A1AAE" w:rsidRPr="00DA3326">
        <w:t>(UMAS)</w:t>
      </w:r>
      <w:r w:rsidR="00D52FD0">
        <w:t xml:space="preserve"> </w:t>
      </w:r>
      <w:r w:rsidR="000A1AAE" w:rsidRPr="00DA3326">
        <w:t>who</w:t>
      </w:r>
      <w:r w:rsidR="00D52FD0">
        <w:t xml:space="preserve"> </w:t>
      </w:r>
      <w:r w:rsidR="000A1AAE" w:rsidRPr="00DA3326">
        <w:t>are</w:t>
      </w:r>
      <w:r w:rsidR="00D52FD0">
        <w:t xml:space="preserve"> </w:t>
      </w:r>
      <w:r w:rsidR="000A1AAE" w:rsidRPr="00DA3326">
        <w:t>awaiting</w:t>
      </w:r>
      <w:r w:rsidR="00D52FD0">
        <w:t xml:space="preserve"> </w:t>
      </w:r>
      <w:r w:rsidR="000A1AAE" w:rsidRPr="00DA3326">
        <w:t>accommodation</w:t>
      </w:r>
      <w:r w:rsidR="00D52FD0">
        <w:t xml:space="preserve"> </w:t>
      </w:r>
      <w:r w:rsidR="000A1AAE" w:rsidRPr="00DA3326">
        <w:t>have</w:t>
      </w:r>
      <w:r w:rsidR="00D52FD0">
        <w:t xml:space="preserve"> </w:t>
      </w:r>
      <w:r w:rsidR="000A1AAE" w:rsidRPr="00DA3326">
        <w:t>also</w:t>
      </w:r>
      <w:r w:rsidR="00D52FD0">
        <w:t xml:space="preserve"> </w:t>
      </w:r>
      <w:r w:rsidR="000A1AAE" w:rsidRPr="00DA3326">
        <w:t>been</w:t>
      </w:r>
      <w:r w:rsidR="00D52FD0">
        <w:t xml:space="preserve"> </w:t>
      </w:r>
      <w:r w:rsidR="000A1AAE" w:rsidRPr="00DA3326">
        <w:t>granted</w:t>
      </w:r>
      <w:r w:rsidR="00D52FD0">
        <w:t xml:space="preserve"> </w:t>
      </w:r>
      <w:r w:rsidR="000A1AAE" w:rsidRPr="00DA3326">
        <w:t>permission</w:t>
      </w:r>
      <w:r w:rsidR="00D52FD0">
        <w:t xml:space="preserve"> </w:t>
      </w:r>
      <w:r w:rsidR="000A1AAE" w:rsidRPr="00DA3326">
        <w:t>to</w:t>
      </w:r>
      <w:r w:rsidR="00D52FD0">
        <w:t xml:space="preserve"> </w:t>
      </w:r>
      <w:r w:rsidR="000A1AAE" w:rsidRPr="00DA3326">
        <w:t>go</w:t>
      </w:r>
      <w:r w:rsidR="00D52FD0">
        <w:t xml:space="preserve"> </w:t>
      </w:r>
      <w:r w:rsidR="000A1AAE" w:rsidRPr="00DA3326">
        <w:t>in</w:t>
      </w:r>
      <w:r w:rsidR="00D52FD0">
        <w:t xml:space="preserve"> </w:t>
      </w:r>
      <w:r w:rsidR="000A1AAE" w:rsidRPr="00DA3326">
        <w:t>and</w:t>
      </w:r>
      <w:r w:rsidR="00D52FD0">
        <w:t xml:space="preserve"> </w:t>
      </w:r>
      <w:r w:rsidR="000A1AAE" w:rsidRPr="00DA3326">
        <w:t>out</w:t>
      </w:r>
      <w:r w:rsidR="00D52FD0">
        <w:t xml:space="preserve"> </w:t>
      </w:r>
      <w:r w:rsidR="000A1AAE" w:rsidRPr="00DA3326">
        <w:t>of</w:t>
      </w:r>
      <w:r w:rsidR="00D52FD0">
        <w:t xml:space="preserve"> </w:t>
      </w:r>
      <w:r w:rsidR="000A1AAE" w:rsidRPr="00DA3326">
        <w:t>the</w:t>
      </w:r>
      <w:r w:rsidR="00D52FD0">
        <w:t xml:space="preserve"> </w:t>
      </w:r>
      <w:r w:rsidR="000A1AAE" w:rsidRPr="00DA3326">
        <w:t>centre.</w:t>
      </w:r>
    </w:p>
    <w:p w14:paraId="3F0BD521" w14:textId="5530E72B" w:rsidR="000E4FD0" w:rsidRDefault="0044637E" w:rsidP="0044637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>
        <w:t>180.</w:t>
      </w:r>
      <w:r>
        <w:tab/>
      </w:r>
      <w:r w:rsidR="000A1AAE" w:rsidRPr="00DA3326">
        <w:t>Free</w:t>
      </w:r>
      <w:r w:rsidR="00D52FD0">
        <w:t xml:space="preserve"> </w:t>
      </w:r>
      <w:r w:rsidR="000A1AAE" w:rsidRPr="00DA3326">
        <w:t>legal</w:t>
      </w:r>
      <w:r w:rsidR="00D52FD0">
        <w:t xml:space="preserve"> </w:t>
      </w:r>
      <w:r w:rsidR="000A1AAE" w:rsidRPr="00DA3326">
        <w:t>representation</w:t>
      </w:r>
      <w:r w:rsidR="00D52FD0">
        <w:t xml:space="preserve"> </w:t>
      </w:r>
      <w:r w:rsidR="000A1AAE" w:rsidRPr="00DA3326">
        <w:t>is</w:t>
      </w:r>
      <w:r w:rsidR="00D52FD0">
        <w:t xml:space="preserve"> </w:t>
      </w:r>
      <w:r w:rsidR="000A1AAE" w:rsidRPr="00DA3326">
        <w:t>provided</w:t>
      </w:r>
      <w:r w:rsidR="00D52FD0">
        <w:t xml:space="preserve"> </w:t>
      </w:r>
      <w:r w:rsidR="000A1AAE" w:rsidRPr="00DA3326">
        <w:t>as</w:t>
      </w:r>
      <w:r w:rsidR="00D52FD0">
        <w:t xml:space="preserve"> </w:t>
      </w:r>
      <w:r w:rsidR="000A1AAE" w:rsidRPr="00DA3326">
        <w:t>required</w:t>
      </w:r>
      <w:r w:rsidR="00D52FD0">
        <w:t xml:space="preserve"> </w:t>
      </w:r>
      <w:r w:rsidR="000A1AAE" w:rsidRPr="00DA3326">
        <w:t>in</w:t>
      </w:r>
      <w:r w:rsidR="00D52FD0">
        <w:t xml:space="preserve"> </w:t>
      </w:r>
      <w:r w:rsidR="000A1AAE" w:rsidRPr="00DA3326">
        <w:t>terms</w:t>
      </w:r>
      <w:r w:rsidR="00D52FD0">
        <w:t xml:space="preserve"> </w:t>
      </w:r>
      <w:r w:rsidR="000A1AAE" w:rsidRPr="00DA3326">
        <w:t>of</w:t>
      </w:r>
      <w:r w:rsidR="00D52FD0">
        <w:t xml:space="preserve"> </w:t>
      </w:r>
      <w:r w:rsidR="000A1AAE" w:rsidRPr="00DA3326">
        <w:t>relevant</w:t>
      </w:r>
      <w:r w:rsidR="00D52FD0">
        <w:t xml:space="preserve"> </w:t>
      </w:r>
      <w:r w:rsidR="000A1AAE" w:rsidRPr="00DA3326">
        <w:t>legislation,</w:t>
      </w:r>
      <w:r w:rsidR="00D52FD0">
        <w:t xml:space="preserve"> </w:t>
      </w:r>
      <w:r w:rsidR="000A1AAE" w:rsidRPr="00DA3326">
        <w:t>including</w:t>
      </w:r>
      <w:r w:rsidR="00D52FD0">
        <w:t xml:space="preserve"> </w:t>
      </w:r>
      <w:r w:rsidR="000A1AAE" w:rsidRPr="00DA3326">
        <w:t>in</w:t>
      </w:r>
      <w:r w:rsidR="00D52FD0">
        <w:t xml:space="preserve"> </w:t>
      </w:r>
      <w:r w:rsidR="000A1AAE" w:rsidRPr="00DA3326">
        <w:t>particular</w:t>
      </w:r>
      <w:r w:rsidR="00D52FD0">
        <w:t xml:space="preserve"> </w:t>
      </w:r>
      <w:r w:rsidR="000A1AAE" w:rsidRPr="00DA3326">
        <w:t>the</w:t>
      </w:r>
      <w:r w:rsidR="00D52FD0">
        <w:t xml:space="preserve"> </w:t>
      </w:r>
      <w:r w:rsidR="000A1AAE" w:rsidRPr="00DA3326">
        <w:t>International</w:t>
      </w:r>
      <w:r w:rsidR="00D52FD0">
        <w:t xml:space="preserve"> </w:t>
      </w:r>
      <w:r w:rsidR="000A1AAE" w:rsidRPr="00DA3326">
        <w:t>Protection</w:t>
      </w:r>
      <w:r w:rsidR="00D52FD0">
        <w:t xml:space="preserve"> </w:t>
      </w:r>
      <w:r w:rsidR="000A1AAE" w:rsidRPr="00DA3326">
        <w:t>Act.</w:t>
      </w:r>
      <w:r w:rsidR="00D52FD0">
        <w:t xml:space="preserve"> </w:t>
      </w:r>
      <w:r w:rsidR="000A1AAE" w:rsidRPr="00DA3326">
        <w:t>In</w:t>
      </w:r>
      <w:r w:rsidR="00D52FD0">
        <w:t xml:space="preserve"> </w:t>
      </w:r>
      <w:r w:rsidR="000A1AAE" w:rsidRPr="00DA3326">
        <w:t>the</w:t>
      </w:r>
      <w:r w:rsidR="00D52FD0">
        <w:t xml:space="preserve"> </w:t>
      </w:r>
      <w:r w:rsidR="000A1AAE" w:rsidRPr="00DA3326">
        <w:t>case</w:t>
      </w:r>
      <w:r w:rsidR="00D52FD0">
        <w:t xml:space="preserve"> </w:t>
      </w:r>
      <w:r w:rsidR="000A1AAE" w:rsidRPr="00DA3326">
        <w:t>of</w:t>
      </w:r>
      <w:r w:rsidR="00D52FD0">
        <w:t xml:space="preserve"> </w:t>
      </w:r>
      <w:r w:rsidR="000A1AAE" w:rsidRPr="00DA3326">
        <w:t>unaccompanied</w:t>
      </w:r>
      <w:r w:rsidR="00D52FD0">
        <w:t xml:space="preserve"> </w:t>
      </w:r>
      <w:r w:rsidR="000A1AAE" w:rsidRPr="00DA3326">
        <w:t>minors,</w:t>
      </w:r>
      <w:r w:rsidR="00D52FD0">
        <w:t xml:space="preserve"> </w:t>
      </w:r>
      <w:r w:rsidR="000A1AAE" w:rsidRPr="00DA3326">
        <w:t>following</w:t>
      </w:r>
      <w:r w:rsidR="00D52FD0">
        <w:t xml:space="preserve"> </w:t>
      </w:r>
      <w:r w:rsidR="000A1AAE" w:rsidRPr="00DA3326">
        <w:t>their</w:t>
      </w:r>
      <w:r w:rsidR="00D52FD0">
        <w:t xml:space="preserve"> </w:t>
      </w:r>
      <w:r w:rsidR="000A1AAE" w:rsidRPr="00DA3326">
        <w:t>submission</w:t>
      </w:r>
      <w:r w:rsidR="00D52FD0">
        <w:t xml:space="preserve"> </w:t>
      </w:r>
      <w:r w:rsidR="000A1AAE" w:rsidRPr="00DA3326">
        <w:t>of</w:t>
      </w:r>
      <w:r w:rsidR="00D52FD0">
        <w:t xml:space="preserve"> </w:t>
      </w:r>
      <w:r w:rsidR="000A1AAE" w:rsidRPr="00DA3326">
        <w:t>an</w:t>
      </w:r>
      <w:r w:rsidR="00D52FD0">
        <w:t xml:space="preserve"> </w:t>
      </w:r>
      <w:r w:rsidR="000A1AAE" w:rsidRPr="00DA3326">
        <w:t>application,</w:t>
      </w:r>
      <w:r w:rsidR="00D52FD0">
        <w:t xml:space="preserve"> </w:t>
      </w:r>
      <w:r w:rsidR="000A1AAE" w:rsidRPr="00DA3326">
        <w:t>he</w:t>
      </w:r>
      <w:r w:rsidR="00D52FD0">
        <w:t xml:space="preserve"> </w:t>
      </w:r>
      <w:r w:rsidR="000A1AAE" w:rsidRPr="00DA3326">
        <w:t>or</w:t>
      </w:r>
      <w:r w:rsidR="00D52FD0">
        <w:t xml:space="preserve"> </w:t>
      </w:r>
      <w:r w:rsidR="000A1AAE" w:rsidRPr="00DA3326">
        <w:t>she</w:t>
      </w:r>
      <w:r w:rsidR="00D52FD0">
        <w:t xml:space="preserve"> </w:t>
      </w:r>
      <w:r w:rsidR="000A1AAE" w:rsidRPr="00DA3326">
        <w:t>is</w:t>
      </w:r>
      <w:r w:rsidR="00D52FD0">
        <w:t xml:space="preserve"> </w:t>
      </w:r>
      <w:r w:rsidR="000A1AAE" w:rsidRPr="00DA3326">
        <w:t>provided</w:t>
      </w:r>
      <w:r w:rsidR="00D52FD0">
        <w:t xml:space="preserve"> </w:t>
      </w:r>
      <w:r w:rsidR="000A1AAE" w:rsidRPr="00DA3326">
        <w:t>with</w:t>
      </w:r>
      <w:r w:rsidR="00D52FD0">
        <w:t xml:space="preserve"> </w:t>
      </w:r>
      <w:r w:rsidR="000A1AAE" w:rsidRPr="00DA3326">
        <w:t>a</w:t>
      </w:r>
      <w:r w:rsidR="00D52FD0">
        <w:t xml:space="preserve"> </w:t>
      </w:r>
      <w:r w:rsidR="000A1AAE" w:rsidRPr="00DA3326">
        <w:t>representative,</w:t>
      </w:r>
      <w:r w:rsidR="00D52FD0">
        <w:t xml:space="preserve"> </w:t>
      </w:r>
      <w:r w:rsidR="000A1AAE" w:rsidRPr="00DA3326">
        <w:t>appointed</w:t>
      </w:r>
      <w:r w:rsidR="00D52FD0">
        <w:t xml:space="preserve"> </w:t>
      </w:r>
      <w:r w:rsidR="000A1AAE" w:rsidRPr="00DA3326">
        <w:t>by</w:t>
      </w:r>
      <w:r w:rsidR="00D52FD0">
        <w:t xml:space="preserve"> </w:t>
      </w:r>
      <w:r w:rsidR="000A1AAE" w:rsidRPr="00DA3326">
        <w:t>the</w:t>
      </w:r>
      <w:r w:rsidR="00D52FD0">
        <w:t xml:space="preserve"> </w:t>
      </w:r>
      <w:r w:rsidR="000A1AAE" w:rsidRPr="00DA3326">
        <w:t>competent</w:t>
      </w:r>
      <w:r w:rsidR="00D52FD0">
        <w:t xml:space="preserve"> </w:t>
      </w:r>
      <w:r w:rsidR="000A1AAE" w:rsidRPr="00DA3326">
        <w:t>authorities.</w:t>
      </w:r>
      <w:r w:rsidR="00D52FD0">
        <w:t xml:space="preserve"> </w:t>
      </w:r>
      <w:r w:rsidR="000A1AAE" w:rsidRPr="00DA3326">
        <w:t>In</w:t>
      </w:r>
      <w:r w:rsidR="00D52FD0">
        <w:t xml:space="preserve"> </w:t>
      </w:r>
      <w:r w:rsidR="000A1AAE" w:rsidRPr="00DA3326">
        <w:t>this</w:t>
      </w:r>
      <w:r w:rsidR="00D52FD0">
        <w:t xml:space="preserve"> </w:t>
      </w:r>
      <w:r w:rsidR="000A1AAE" w:rsidRPr="00DA3326">
        <w:t>regard,</w:t>
      </w:r>
      <w:r w:rsidR="00D52FD0">
        <w:t xml:space="preserve"> </w:t>
      </w:r>
      <w:r w:rsidR="000A1AAE" w:rsidRPr="00DA3326">
        <w:t>it</w:t>
      </w:r>
      <w:r w:rsidR="00D52FD0">
        <w:t xml:space="preserve"> </w:t>
      </w:r>
      <w:r w:rsidR="000A1AAE" w:rsidRPr="00DA3326">
        <w:t>is</w:t>
      </w:r>
      <w:r w:rsidR="00D52FD0">
        <w:t xml:space="preserve"> </w:t>
      </w:r>
      <w:r w:rsidR="000A1AAE" w:rsidRPr="00DA3326">
        <w:t>important</w:t>
      </w:r>
      <w:r w:rsidR="00D52FD0">
        <w:t xml:space="preserve"> </w:t>
      </w:r>
      <w:r w:rsidR="000A1AAE" w:rsidRPr="00DA3326">
        <w:t>to</w:t>
      </w:r>
      <w:r w:rsidR="00D52FD0">
        <w:t xml:space="preserve"> </w:t>
      </w:r>
      <w:r w:rsidR="000A1AAE" w:rsidRPr="00DA3326">
        <w:t>keep</w:t>
      </w:r>
      <w:r w:rsidR="00D52FD0">
        <w:t xml:space="preserve"> </w:t>
      </w:r>
      <w:r w:rsidR="000A1AAE" w:rsidRPr="00DA3326">
        <w:t>in</w:t>
      </w:r>
      <w:r w:rsidR="00D52FD0">
        <w:t xml:space="preserve"> </w:t>
      </w:r>
      <w:r w:rsidR="000A1AAE" w:rsidRPr="00DA3326">
        <w:t>mind</w:t>
      </w:r>
      <w:r w:rsidR="00D52FD0">
        <w:t xml:space="preserve"> </w:t>
      </w:r>
      <w:r w:rsidR="000A1AAE" w:rsidRPr="00DA3326">
        <w:t>that</w:t>
      </w:r>
      <w:r w:rsidR="00D52FD0">
        <w:t xml:space="preserve"> </w:t>
      </w:r>
      <w:r w:rsidR="000A1AAE" w:rsidRPr="00DA3326">
        <w:t>before</w:t>
      </w:r>
      <w:r w:rsidR="00D52FD0">
        <w:t xml:space="preserve"> </w:t>
      </w:r>
      <w:r w:rsidR="000A1AAE" w:rsidRPr="00DA3326">
        <w:t>the</w:t>
      </w:r>
      <w:r w:rsidR="00D52FD0">
        <w:t xml:space="preserve"> </w:t>
      </w:r>
      <w:r w:rsidR="000A1AAE" w:rsidRPr="00DA3326">
        <w:t>CEO</w:t>
      </w:r>
      <w:r w:rsidR="00D52FD0">
        <w:t xml:space="preserve"> </w:t>
      </w:r>
      <w:r w:rsidR="000A1AAE" w:rsidRPr="00DA3326">
        <w:t>of</w:t>
      </w:r>
      <w:r w:rsidR="00D52FD0">
        <w:t xml:space="preserve"> </w:t>
      </w:r>
      <w:r w:rsidR="000A1AAE" w:rsidRPr="00DA3326">
        <w:t>the</w:t>
      </w:r>
      <w:r w:rsidR="00D52FD0">
        <w:t xml:space="preserve"> </w:t>
      </w:r>
      <w:r w:rsidR="000A1AAE" w:rsidRPr="00DA3326">
        <w:t>International</w:t>
      </w:r>
      <w:r w:rsidR="00D52FD0">
        <w:t xml:space="preserve"> </w:t>
      </w:r>
      <w:r w:rsidR="000A1AAE" w:rsidRPr="00DA3326">
        <w:t>Protection</w:t>
      </w:r>
      <w:r w:rsidR="00D52FD0">
        <w:t xml:space="preserve"> </w:t>
      </w:r>
      <w:r w:rsidR="000A1AAE" w:rsidRPr="00DA3326">
        <w:t>Agency</w:t>
      </w:r>
      <w:r w:rsidR="00D52FD0">
        <w:t xml:space="preserve"> </w:t>
      </w:r>
      <w:r w:rsidR="000A1AAE" w:rsidRPr="00DA3326">
        <w:t>can</w:t>
      </w:r>
      <w:r w:rsidR="00D52FD0">
        <w:t xml:space="preserve"> </w:t>
      </w:r>
      <w:r w:rsidR="000A1AAE" w:rsidRPr="00DA3326">
        <w:t>proceed</w:t>
      </w:r>
      <w:r w:rsidR="00D52FD0">
        <w:t xml:space="preserve"> </w:t>
      </w:r>
      <w:r w:rsidR="000A1AAE" w:rsidRPr="00DA3326">
        <w:t>with</w:t>
      </w:r>
      <w:r w:rsidR="00D52FD0">
        <w:t xml:space="preserve"> </w:t>
      </w:r>
      <w:r w:rsidR="000A1AAE" w:rsidRPr="00DA3326">
        <w:t>the</w:t>
      </w:r>
      <w:r w:rsidR="00D52FD0">
        <w:t xml:space="preserve"> </w:t>
      </w:r>
      <w:r w:rsidR="000A1AAE" w:rsidRPr="00DA3326">
        <w:t>asylum</w:t>
      </w:r>
      <w:r w:rsidR="00D52FD0">
        <w:t xml:space="preserve"> </w:t>
      </w:r>
      <w:r w:rsidR="000A1AAE" w:rsidRPr="00DA3326">
        <w:t>procedure,</w:t>
      </w:r>
      <w:r w:rsidR="00D52FD0">
        <w:t xml:space="preserve"> </w:t>
      </w:r>
      <w:r w:rsidR="000A1AAE" w:rsidRPr="00DA3326">
        <w:t>a</w:t>
      </w:r>
      <w:r w:rsidR="00D52FD0">
        <w:t xml:space="preserve"> </w:t>
      </w:r>
      <w:r w:rsidR="000A1AAE" w:rsidRPr="00DA3326">
        <w:t>representative</w:t>
      </w:r>
      <w:r w:rsidR="00D52FD0">
        <w:t xml:space="preserve"> </w:t>
      </w:r>
      <w:r w:rsidR="000A1AAE" w:rsidRPr="00DA3326">
        <w:t>needs</w:t>
      </w:r>
      <w:r w:rsidR="00D52FD0">
        <w:t xml:space="preserve"> </w:t>
      </w:r>
      <w:r w:rsidR="000A1AAE" w:rsidRPr="00DA3326">
        <w:t>to</w:t>
      </w:r>
      <w:r w:rsidR="00D52FD0">
        <w:t xml:space="preserve"> </w:t>
      </w:r>
      <w:r w:rsidR="000A1AAE" w:rsidRPr="00DA3326">
        <w:t>be</w:t>
      </w:r>
      <w:r w:rsidR="00D52FD0">
        <w:t xml:space="preserve"> </w:t>
      </w:r>
      <w:r w:rsidR="000A1AAE" w:rsidRPr="00DA3326">
        <w:t>appointed</w:t>
      </w:r>
      <w:r w:rsidR="00D52FD0">
        <w:t xml:space="preserve"> </w:t>
      </w:r>
      <w:r w:rsidR="000A1AAE" w:rsidRPr="00DA3326">
        <w:t>to</w:t>
      </w:r>
      <w:r w:rsidR="00D52FD0">
        <w:t xml:space="preserve"> </w:t>
      </w:r>
      <w:r w:rsidR="000A1AAE" w:rsidRPr="00DA3326">
        <w:t>ensure</w:t>
      </w:r>
      <w:r w:rsidR="00D52FD0">
        <w:t xml:space="preserve"> </w:t>
      </w:r>
      <w:r w:rsidR="000A1AAE" w:rsidRPr="00DA3326">
        <w:t>that</w:t>
      </w:r>
      <w:r w:rsidR="00D52FD0">
        <w:t xml:space="preserve"> </w:t>
      </w:r>
      <w:r w:rsidR="000A1AAE" w:rsidRPr="00DA3326">
        <w:t>the</w:t>
      </w:r>
      <w:r w:rsidR="00D52FD0">
        <w:t xml:space="preserve"> </w:t>
      </w:r>
      <w:r w:rsidR="000A1AAE" w:rsidRPr="00DA3326">
        <w:t>unaccompanied</w:t>
      </w:r>
      <w:r w:rsidR="00D52FD0">
        <w:t xml:space="preserve"> </w:t>
      </w:r>
      <w:r w:rsidR="000A1AAE" w:rsidRPr="00DA3326">
        <w:t>minor</w:t>
      </w:r>
      <w:r w:rsidR="00D52FD0">
        <w:t xml:space="preserve"> </w:t>
      </w:r>
      <w:r w:rsidR="000A1AAE" w:rsidRPr="00DA3326">
        <w:t>is</w:t>
      </w:r>
      <w:r w:rsidR="00D52FD0">
        <w:t xml:space="preserve"> </w:t>
      </w:r>
      <w:r w:rsidR="000A1AAE" w:rsidRPr="00DA3326">
        <w:t>provided</w:t>
      </w:r>
      <w:r w:rsidR="00D52FD0">
        <w:t xml:space="preserve"> </w:t>
      </w:r>
      <w:r w:rsidR="000A1AAE" w:rsidRPr="00DA3326">
        <w:t>with</w:t>
      </w:r>
      <w:r w:rsidR="00D52FD0">
        <w:t xml:space="preserve"> </w:t>
      </w:r>
      <w:r w:rsidR="000A1AAE" w:rsidRPr="00DA3326">
        <w:t>the</w:t>
      </w:r>
      <w:r w:rsidR="00D52FD0">
        <w:t xml:space="preserve"> </w:t>
      </w:r>
      <w:r w:rsidR="000A1AAE" w:rsidRPr="00DA3326">
        <w:t>necessary</w:t>
      </w:r>
      <w:r w:rsidR="00D52FD0">
        <w:t xml:space="preserve"> </w:t>
      </w:r>
      <w:r w:rsidR="000A1AAE" w:rsidRPr="00DA3326">
        <w:t>assistance.</w:t>
      </w:r>
      <w:r w:rsidR="00D52FD0">
        <w:t xml:space="preserve"> </w:t>
      </w:r>
      <w:r w:rsidR="000A1AAE" w:rsidRPr="00DA3326">
        <w:t>Moreover,</w:t>
      </w:r>
      <w:r w:rsidR="00D52FD0">
        <w:t xml:space="preserve"> </w:t>
      </w:r>
      <w:r w:rsidR="000A1AAE" w:rsidRPr="00DA3326">
        <w:t>a</w:t>
      </w:r>
      <w:r w:rsidR="00D52FD0">
        <w:t xml:space="preserve"> </w:t>
      </w:r>
      <w:r w:rsidR="000A1AAE" w:rsidRPr="00DA3326">
        <w:t>personal</w:t>
      </w:r>
      <w:r w:rsidR="00D52FD0">
        <w:t xml:space="preserve"> </w:t>
      </w:r>
      <w:r w:rsidR="000A1AAE" w:rsidRPr="00DA3326">
        <w:t>interview</w:t>
      </w:r>
      <w:r w:rsidR="00D52FD0">
        <w:t xml:space="preserve"> </w:t>
      </w:r>
      <w:r w:rsidR="000A1AAE" w:rsidRPr="00DA3326">
        <w:t>will</w:t>
      </w:r>
      <w:r w:rsidR="00D52FD0">
        <w:t xml:space="preserve"> </w:t>
      </w:r>
      <w:r w:rsidR="000A1AAE" w:rsidRPr="00DA3326">
        <w:t>only</w:t>
      </w:r>
      <w:r w:rsidR="00D52FD0">
        <w:t xml:space="preserve"> </w:t>
      </w:r>
      <w:r w:rsidR="000A1AAE" w:rsidRPr="00DA3326">
        <w:t>take</w:t>
      </w:r>
      <w:r w:rsidR="00D52FD0">
        <w:t xml:space="preserve"> </w:t>
      </w:r>
      <w:r w:rsidR="000A1AAE" w:rsidRPr="00DA3326">
        <w:t>place</w:t>
      </w:r>
      <w:r w:rsidR="00D52FD0">
        <w:t xml:space="preserve"> </w:t>
      </w:r>
      <w:r w:rsidR="000A1AAE" w:rsidRPr="00DA3326">
        <w:t>with</w:t>
      </w:r>
      <w:r w:rsidR="00D52FD0">
        <w:t xml:space="preserve"> </w:t>
      </w:r>
      <w:r w:rsidR="000A1AAE" w:rsidRPr="00DA3326">
        <w:t>the</w:t>
      </w:r>
      <w:r w:rsidR="00D52FD0">
        <w:t xml:space="preserve"> </w:t>
      </w:r>
      <w:r w:rsidR="000A1AAE" w:rsidRPr="00DA3326">
        <w:t>presence</w:t>
      </w:r>
      <w:r w:rsidR="00D52FD0">
        <w:t xml:space="preserve"> </w:t>
      </w:r>
      <w:r w:rsidR="000A1AAE" w:rsidRPr="00DA3326">
        <w:t>of</w:t>
      </w:r>
      <w:r w:rsidR="00D52FD0">
        <w:t xml:space="preserve"> </w:t>
      </w:r>
      <w:r w:rsidR="000A1AAE" w:rsidRPr="00DA3326">
        <w:t>the</w:t>
      </w:r>
      <w:r w:rsidR="00D52FD0">
        <w:t xml:space="preserve"> </w:t>
      </w:r>
      <w:r w:rsidR="000A1AAE" w:rsidRPr="00DA3326">
        <w:t>applicant</w:t>
      </w:r>
      <w:r w:rsidR="00F14DA3">
        <w:t>’</w:t>
      </w:r>
      <w:r w:rsidR="000A1AAE" w:rsidRPr="00DA3326">
        <w:t>s</w:t>
      </w:r>
      <w:r w:rsidR="00D52FD0">
        <w:t xml:space="preserve"> </w:t>
      </w:r>
      <w:r w:rsidR="000A1AAE" w:rsidRPr="00DA3326">
        <w:t>representative.</w:t>
      </w:r>
    </w:p>
    <w:p w14:paraId="0B0053DF" w14:textId="2B002157" w:rsidR="000A1AAE" w:rsidRDefault="000A1AAE" w:rsidP="00A41674">
      <w:pPr>
        <w:pStyle w:val="H23G"/>
        <w:rPr>
          <w:rFonts w:eastAsia="Calibri"/>
        </w:rPr>
      </w:pPr>
      <w:r>
        <w:tab/>
      </w:r>
      <w:r>
        <w:tab/>
      </w:r>
      <w:r w:rsidRPr="00504902">
        <w:t>Reply</w:t>
      </w:r>
      <w:r w:rsidR="00D52FD0">
        <w:t xml:space="preserve"> </w:t>
      </w:r>
      <w:r w:rsidRPr="00504902">
        <w:t>to</w:t>
      </w:r>
      <w:r w:rsidR="00D52FD0">
        <w:t xml:space="preserve"> </w:t>
      </w:r>
      <w:r w:rsidRPr="00504902">
        <w:t>paragraph</w:t>
      </w:r>
      <w:r w:rsidR="00D52FD0">
        <w:t xml:space="preserve"> </w:t>
      </w:r>
      <w:r>
        <w:t>18</w:t>
      </w:r>
      <w:r w:rsidR="00D52FD0">
        <w:t xml:space="preserve"> </w:t>
      </w:r>
      <w:r w:rsidRPr="00504902">
        <w:t>of</w:t>
      </w:r>
      <w:r w:rsidR="00D52FD0">
        <w:t xml:space="preserve"> </w:t>
      </w:r>
      <w:r w:rsidRPr="00504902">
        <w:t>the</w:t>
      </w:r>
      <w:r w:rsidR="00D52FD0">
        <w:t xml:space="preserve"> </w:t>
      </w:r>
      <w:r w:rsidRPr="00504902">
        <w:t>list</w:t>
      </w:r>
      <w:r w:rsidR="00D52FD0">
        <w:t xml:space="preserve"> </w:t>
      </w:r>
      <w:r w:rsidRPr="00504902">
        <w:t>of</w:t>
      </w:r>
      <w:r w:rsidR="00D52FD0">
        <w:t xml:space="preserve"> </w:t>
      </w:r>
      <w:r w:rsidRPr="00504902">
        <w:t>issues</w:t>
      </w:r>
    </w:p>
    <w:p w14:paraId="269E3FB8" w14:textId="788D0620" w:rsidR="000A1AAE" w:rsidRPr="00DA3326" w:rsidRDefault="0044637E" w:rsidP="0044637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DA3326">
        <w:t>181.</w:t>
      </w:r>
      <w:r w:rsidRPr="00DA3326">
        <w:tab/>
      </w:r>
      <w:r w:rsidR="000A1AAE" w:rsidRPr="00DA3326">
        <w:t>Please</w:t>
      </w:r>
      <w:r w:rsidR="00D52FD0">
        <w:t xml:space="preserve"> </w:t>
      </w:r>
      <w:r w:rsidR="000A1AAE" w:rsidRPr="00DA3326">
        <w:t>refer</w:t>
      </w:r>
      <w:r w:rsidR="00D52FD0">
        <w:t xml:space="preserve"> </w:t>
      </w:r>
      <w:r w:rsidR="000A1AAE" w:rsidRPr="00DA3326">
        <w:t>to</w:t>
      </w:r>
      <w:r w:rsidR="00D52FD0">
        <w:t xml:space="preserve"> </w:t>
      </w:r>
      <w:r w:rsidR="000A1AAE" w:rsidRPr="00DA3326">
        <w:t>the</w:t>
      </w:r>
      <w:r w:rsidR="00D52FD0">
        <w:t xml:space="preserve"> </w:t>
      </w:r>
      <w:r w:rsidR="000A1AAE" w:rsidRPr="00DA3326">
        <w:t>input</w:t>
      </w:r>
      <w:r w:rsidR="00D52FD0">
        <w:t xml:space="preserve"> </w:t>
      </w:r>
      <w:r w:rsidR="000A1AAE" w:rsidRPr="00DA3326">
        <w:t>provided</w:t>
      </w:r>
      <w:r w:rsidR="00D52FD0">
        <w:t xml:space="preserve"> </w:t>
      </w:r>
      <w:r w:rsidR="000A1AAE" w:rsidRPr="00DA3326">
        <w:t>under</w:t>
      </w:r>
      <w:r w:rsidR="00D52FD0">
        <w:t xml:space="preserve"> </w:t>
      </w:r>
      <w:r w:rsidR="000A1AAE" w:rsidRPr="00DA3326">
        <w:t>section</w:t>
      </w:r>
      <w:r w:rsidR="00D52FD0">
        <w:t xml:space="preserve"> </w:t>
      </w:r>
      <w:r w:rsidR="000A1AAE" w:rsidRPr="00F75E0D">
        <w:t>A,</w:t>
      </w:r>
      <w:r w:rsidR="00D52FD0">
        <w:t xml:space="preserve"> </w:t>
      </w:r>
      <w:r w:rsidR="000A1AAE" w:rsidRPr="00F75E0D">
        <w:t>pages</w:t>
      </w:r>
      <w:r w:rsidR="00D52FD0">
        <w:t xml:space="preserve"> </w:t>
      </w:r>
      <w:r w:rsidR="000A1AAE" w:rsidRPr="00F75E0D">
        <w:t>10</w:t>
      </w:r>
      <w:r w:rsidR="00F14DA3">
        <w:t>–</w:t>
      </w:r>
      <w:r w:rsidR="000A1AAE" w:rsidRPr="00F75E0D">
        <w:t>12.</w:t>
      </w:r>
    </w:p>
    <w:p w14:paraId="1FFF480B" w14:textId="58B91516" w:rsidR="000A1AAE" w:rsidRDefault="000A1AAE" w:rsidP="00A41674">
      <w:pPr>
        <w:pStyle w:val="H1G"/>
      </w:pPr>
      <w:r>
        <w:lastRenderedPageBreak/>
        <w:tab/>
      </w:r>
      <w:r>
        <w:tab/>
      </w:r>
      <w:r w:rsidRPr="00825CCA">
        <w:t>Free</w:t>
      </w:r>
      <w:r w:rsidR="00D52FD0">
        <w:t xml:space="preserve"> </w:t>
      </w:r>
      <w:r w:rsidRPr="00825CCA">
        <w:t>legal</w:t>
      </w:r>
      <w:r w:rsidR="00D52FD0">
        <w:t xml:space="preserve"> </w:t>
      </w:r>
      <w:r w:rsidRPr="00825CCA">
        <w:t>aid</w:t>
      </w:r>
      <w:r w:rsidR="00D52FD0">
        <w:t xml:space="preserve"> </w:t>
      </w:r>
      <w:r w:rsidRPr="00825CCA">
        <w:t>(art.</w:t>
      </w:r>
      <w:r w:rsidR="00D52FD0">
        <w:t xml:space="preserve"> </w:t>
      </w:r>
      <w:r w:rsidRPr="00825CCA">
        <w:t>14)</w:t>
      </w:r>
    </w:p>
    <w:p w14:paraId="3E617AE4" w14:textId="77777777" w:rsidR="000E4FD0" w:rsidRDefault="00A41674" w:rsidP="00A41674">
      <w:pPr>
        <w:pStyle w:val="H23G"/>
        <w:rPr>
          <w:rFonts w:eastAsia="Calibri"/>
          <w:lang w:val="mt-MT"/>
        </w:rPr>
      </w:pPr>
      <w:r>
        <w:tab/>
      </w:r>
      <w:r>
        <w:tab/>
      </w:r>
      <w:r w:rsidR="000A1AAE" w:rsidRPr="00504902">
        <w:t>Reply</w:t>
      </w:r>
      <w:r w:rsidR="00D52FD0">
        <w:t xml:space="preserve"> </w:t>
      </w:r>
      <w:r w:rsidR="000A1AAE" w:rsidRPr="00504902">
        <w:t>to</w:t>
      </w:r>
      <w:r w:rsidR="00D52FD0">
        <w:t xml:space="preserve"> </w:t>
      </w:r>
      <w:r w:rsidR="000A1AAE" w:rsidRPr="00504902">
        <w:t>paragraph</w:t>
      </w:r>
      <w:r w:rsidR="00D52FD0">
        <w:t xml:space="preserve"> </w:t>
      </w:r>
      <w:r w:rsidR="000A1AAE">
        <w:t>19</w:t>
      </w:r>
      <w:r w:rsidR="00D52FD0">
        <w:t xml:space="preserve"> </w:t>
      </w:r>
      <w:r w:rsidR="000A1AAE" w:rsidRPr="00504902">
        <w:t>of</w:t>
      </w:r>
      <w:r w:rsidR="00D52FD0">
        <w:t xml:space="preserve"> </w:t>
      </w:r>
      <w:r w:rsidR="000A1AAE" w:rsidRPr="00504902">
        <w:t>the</w:t>
      </w:r>
      <w:r w:rsidR="00D52FD0">
        <w:t xml:space="preserve"> </w:t>
      </w:r>
      <w:r w:rsidR="000A1AAE" w:rsidRPr="00504902">
        <w:t>list</w:t>
      </w:r>
      <w:r w:rsidR="00D52FD0">
        <w:t xml:space="preserve"> </w:t>
      </w:r>
      <w:r w:rsidR="000A1AAE" w:rsidRPr="00504902">
        <w:t>of</w:t>
      </w:r>
      <w:r w:rsidR="00D52FD0">
        <w:t xml:space="preserve"> </w:t>
      </w:r>
      <w:r w:rsidR="000A1AAE" w:rsidRPr="00504902">
        <w:t>issues</w:t>
      </w:r>
    </w:p>
    <w:p w14:paraId="6EB5610C" w14:textId="52008221" w:rsidR="000E4FD0" w:rsidRDefault="0044637E" w:rsidP="0044637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>
        <w:t>182.</w:t>
      </w:r>
      <w:r>
        <w:tab/>
      </w:r>
      <w:r w:rsidR="000A1AAE" w:rsidRPr="00DA3326">
        <w:t>As</w:t>
      </w:r>
      <w:r w:rsidR="00D52FD0">
        <w:t xml:space="preserve"> </w:t>
      </w:r>
      <w:r w:rsidR="000A1AAE" w:rsidRPr="00DA3326">
        <w:t>of</w:t>
      </w:r>
      <w:r w:rsidR="00D52FD0">
        <w:t xml:space="preserve"> </w:t>
      </w:r>
      <w:r w:rsidR="000A1AAE" w:rsidRPr="00DA3326">
        <w:t>April</w:t>
      </w:r>
      <w:r w:rsidR="00D52FD0">
        <w:t xml:space="preserve"> </w:t>
      </w:r>
      <w:r w:rsidR="000A1AAE" w:rsidRPr="00DA3326">
        <w:t>2020,</w:t>
      </w:r>
      <w:r w:rsidR="00D52FD0">
        <w:t xml:space="preserve"> </w:t>
      </w:r>
      <w:r w:rsidR="000A1AAE" w:rsidRPr="00DA3326">
        <w:t>Legal</w:t>
      </w:r>
      <w:r w:rsidR="00D52FD0">
        <w:t xml:space="preserve"> </w:t>
      </w:r>
      <w:r w:rsidR="000A1AAE" w:rsidRPr="00DA3326">
        <w:t>Aid</w:t>
      </w:r>
      <w:r w:rsidR="00D52FD0">
        <w:t xml:space="preserve"> </w:t>
      </w:r>
      <w:r w:rsidR="000A1AAE" w:rsidRPr="00DA3326">
        <w:t>Malta</w:t>
      </w:r>
      <w:r w:rsidR="00D52FD0">
        <w:t xml:space="preserve"> </w:t>
      </w:r>
      <w:r w:rsidR="000A1AAE" w:rsidRPr="00DA3326">
        <w:t>has</w:t>
      </w:r>
      <w:r w:rsidR="00D52FD0">
        <w:t xml:space="preserve"> </w:t>
      </w:r>
      <w:r w:rsidR="000A1AAE" w:rsidRPr="00DA3326">
        <w:t>initiated</w:t>
      </w:r>
      <w:r w:rsidR="00D52FD0">
        <w:t xml:space="preserve"> </w:t>
      </w:r>
      <w:r w:rsidR="000A1AAE" w:rsidRPr="00DA3326">
        <w:t>a</w:t>
      </w:r>
      <w:r w:rsidR="00D52FD0">
        <w:t xml:space="preserve"> </w:t>
      </w:r>
      <w:r w:rsidR="000A1AAE" w:rsidRPr="00DA3326">
        <w:t>service</w:t>
      </w:r>
      <w:r w:rsidR="00D52FD0">
        <w:t xml:space="preserve"> </w:t>
      </w:r>
      <w:r w:rsidR="000A1AAE" w:rsidRPr="00DA3326">
        <w:t>for</w:t>
      </w:r>
      <w:r w:rsidR="00D52FD0">
        <w:t xml:space="preserve"> </w:t>
      </w:r>
      <w:r w:rsidR="000A1AAE" w:rsidRPr="00DA3326">
        <w:t>legal</w:t>
      </w:r>
      <w:r w:rsidR="00D52FD0">
        <w:t xml:space="preserve"> </w:t>
      </w:r>
      <w:r w:rsidR="000A1AAE" w:rsidRPr="00DA3326">
        <w:t>aid</w:t>
      </w:r>
      <w:r w:rsidR="00D52FD0">
        <w:t xml:space="preserve"> </w:t>
      </w:r>
      <w:r w:rsidR="000A1AAE" w:rsidRPr="00DA3326">
        <w:t>advice</w:t>
      </w:r>
      <w:r w:rsidR="00D52FD0">
        <w:t xml:space="preserve"> </w:t>
      </w:r>
      <w:r w:rsidR="000A1AAE" w:rsidRPr="00DA3326">
        <w:t>to</w:t>
      </w:r>
      <w:r w:rsidR="00D52FD0">
        <w:t xml:space="preserve"> </w:t>
      </w:r>
      <w:r w:rsidR="000A1AAE" w:rsidRPr="00DA3326">
        <w:t>victims</w:t>
      </w:r>
      <w:r w:rsidR="00D52FD0">
        <w:t xml:space="preserve"> </w:t>
      </w:r>
      <w:r w:rsidR="000A1AAE" w:rsidRPr="00DA3326">
        <w:t>of</w:t>
      </w:r>
      <w:r w:rsidR="00D52FD0">
        <w:t xml:space="preserve"> </w:t>
      </w:r>
      <w:r w:rsidR="000A1AAE" w:rsidRPr="00DA3326">
        <w:t>domestic</w:t>
      </w:r>
      <w:r w:rsidR="00D52FD0">
        <w:t xml:space="preserve"> </w:t>
      </w:r>
      <w:r w:rsidR="000A1AAE" w:rsidRPr="00DA3326">
        <w:t>violence.</w:t>
      </w:r>
      <w:r w:rsidR="00D52FD0">
        <w:t xml:space="preserve"> </w:t>
      </w:r>
      <w:r w:rsidR="000A1AAE" w:rsidRPr="00DA3326">
        <w:t>Specially-trained</w:t>
      </w:r>
      <w:r w:rsidR="00D52FD0">
        <w:t xml:space="preserve"> </w:t>
      </w:r>
      <w:r w:rsidR="000A1AAE" w:rsidRPr="00DA3326">
        <w:t>lawyers</w:t>
      </w:r>
      <w:r w:rsidR="00D52FD0">
        <w:t xml:space="preserve"> </w:t>
      </w:r>
      <w:r w:rsidR="000A1AAE" w:rsidRPr="00DA3326">
        <w:t>were</w:t>
      </w:r>
      <w:r w:rsidR="00D52FD0">
        <w:t xml:space="preserve"> </w:t>
      </w:r>
      <w:r w:rsidR="000A1AAE" w:rsidRPr="00DA3326">
        <w:t>recruited</w:t>
      </w:r>
      <w:r w:rsidR="00D52FD0">
        <w:t xml:space="preserve"> </w:t>
      </w:r>
      <w:r w:rsidR="000A1AAE" w:rsidRPr="00DA3326">
        <w:t>by</w:t>
      </w:r>
      <w:r w:rsidR="00D52FD0">
        <w:t xml:space="preserve"> </w:t>
      </w:r>
      <w:r w:rsidR="000A1AAE" w:rsidRPr="00DA3326">
        <w:t>the</w:t>
      </w:r>
      <w:r w:rsidR="00D52FD0">
        <w:t xml:space="preserve"> </w:t>
      </w:r>
      <w:r w:rsidR="000A1AAE" w:rsidRPr="00DA3326">
        <w:t>same</w:t>
      </w:r>
      <w:r w:rsidR="00D52FD0">
        <w:t xml:space="preserve"> </w:t>
      </w:r>
      <w:r w:rsidR="000A1AAE" w:rsidRPr="00DA3326">
        <w:t>Agency</w:t>
      </w:r>
      <w:r w:rsidR="00D52FD0">
        <w:t xml:space="preserve"> </w:t>
      </w:r>
      <w:r w:rsidR="000A1AAE" w:rsidRPr="00DA3326">
        <w:t>for</w:t>
      </w:r>
      <w:r w:rsidR="00D52FD0">
        <w:t xml:space="preserve"> </w:t>
      </w:r>
      <w:r w:rsidR="000A1AAE" w:rsidRPr="00DA3326">
        <w:t>this</w:t>
      </w:r>
      <w:r w:rsidR="00D52FD0">
        <w:t xml:space="preserve"> </w:t>
      </w:r>
      <w:r w:rsidR="000A1AAE" w:rsidRPr="00DA3326">
        <w:t>purpose.</w:t>
      </w:r>
      <w:r w:rsidR="00D52FD0">
        <w:t xml:space="preserve"> </w:t>
      </w:r>
      <w:r w:rsidR="000A1AAE" w:rsidRPr="00DA3326">
        <w:t>The</w:t>
      </w:r>
      <w:r w:rsidR="00D52FD0">
        <w:t xml:space="preserve"> </w:t>
      </w:r>
      <w:r w:rsidR="000A1AAE" w:rsidRPr="00DA3326">
        <w:t>service</w:t>
      </w:r>
      <w:r w:rsidR="00D52FD0">
        <w:t xml:space="preserve"> </w:t>
      </w:r>
      <w:r w:rsidR="000A1AAE" w:rsidRPr="00DA3326">
        <w:t>has</w:t>
      </w:r>
      <w:r w:rsidR="00D52FD0">
        <w:t xml:space="preserve"> </w:t>
      </w:r>
      <w:r w:rsidR="000A1AAE" w:rsidRPr="00DA3326">
        <w:t>also</w:t>
      </w:r>
      <w:r w:rsidR="00D52FD0">
        <w:t xml:space="preserve"> </w:t>
      </w:r>
      <w:r w:rsidR="000A1AAE" w:rsidRPr="00DA3326">
        <w:t>been</w:t>
      </w:r>
      <w:r w:rsidR="00D52FD0">
        <w:t xml:space="preserve"> </w:t>
      </w:r>
      <w:r w:rsidR="000A1AAE" w:rsidRPr="00DA3326">
        <w:t>extended</w:t>
      </w:r>
      <w:r w:rsidR="00D52FD0">
        <w:t xml:space="preserve"> </w:t>
      </w:r>
      <w:r w:rsidR="000A1AAE" w:rsidRPr="00DA3326">
        <w:t>to</w:t>
      </w:r>
      <w:r w:rsidR="00D52FD0">
        <w:t xml:space="preserve"> </w:t>
      </w:r>
      <w:r w:rsidR="000A1AAE" w:rsidRPr="00DA3326">
        <w:t>work</w:t>
      </w:r>
      <w:r w:rsidR="00D52FD0">
        <w:t xml:space="preserve"> </w:t>
      </w:r>
      <w:r w:rsidR="000A1AAE" w:rsidRPr="00DA3326">
        <w:t>on</w:t>
      </w:r>
      <w:r w:rsidR="00D52FD0">
        <w:t xml:space="preserve"> </w:t>
      </w:r>
      <w:r w:rsidR="000A1AAE" w:rsidRPr="00DA3326">
        <w:t>a</w:t>
      </w:r>
      <w:r w:rsidR="00D52FD0">
        <w:t xml:space="preserve"> </w:t>
      </w:r>
      <w:r w:rsidR="000A1AAE" w:rsidRPr="00DA3326">
        <w:t>24-hour</w:t>
      </w:r>
      <w:r w:rsidR="00D52FD0">
        <w:t xml:space="preserve"> </w:t>
      </w:r>
      <w:r w:rsidR="000A1AAE" w:rsidRPr="00DA3326">
        <w:t>basis.</w:t>
      </w:r>
      <w:r w:rsidR="00D52FD0">
        <w:t xml:space="preserve"> </w:t>
      </w:r>
      <w:r w:rsidR="000A1AAE" w:rsidRPr="00DA3326">
        <w:t>Legal</w:t>
      </w:r>
      <w:r w:rsidR="00D52FD0">
        <w:t xml:space="preserve"> </w:t>
      </w:r>
      <w:r w:rsidR="000A1AAE" w:rsidRPr="00DA3326">
        <w:t>Aid</w:t>
      </w:r>
      <w:r w:rsidR="00D52FD0">
        <w:t xml:space="preserve"> </w:t>
      </w:r>
      <w:r w:rsidR="000A1AAE" w:rsidRPr="00DA3326">
        <w:t>Malta,</w:t>
      </w:r>
      <w:r w:rsidR="00D52FD0">
        <w:t xml:space="preserve"> </w:t>
      </w:r>
      <w:r w:rsidR="000A1AAE" w:rsidRPr="00DA3326">
        <w:t>in</w:t>
      </w:r>
      <w:r w:rsidR="00D52FD0">
        <w:t xml:space="preserve"> </w:t>
      </w:r>
      <w:r w:rsidR="000A1AAE" w:rsidRPr="00DA3326">
        <w:t>collaboration</w:t>
      </w:r>
      <w:r w:rsidR="00D52FD0">
        <w:t xml:space="preserve"> </w:t>
      </w:r>
      <w:r w:rsidR="000A1AAE" w:rsidRPr="00DA3326">
        <w:t>with</w:t>
      </w:r>
      <w:r w:rsidR="00D52FD0">
        <w:t xml:space="preserve"> </w:t>
      </w:r>
      <w:r w:rsidR="000A1AAE" w:rsidRPr="00DA3326">
        <w:t>the</w:t>
      </w:r>
      <w:r w:rsidR="00D52FD0">
        <w:t xml:space="preserve"> </w:t>
      </w:r>
      <w:r w:rsidR="000A1AAE" w:rsidRPr="00DA3326">
        <w:t>Police</w:t>
      </w:r>
      <w:r w:rsidR="00D52FD0">
        <w:t xml:space="preserve"> </w:t>
      </w:r>
      <w:r w:rsidR="000A1AAE" w:rsidRPr="00DA3326">
        <w:t>Victim</w:t>
      </w:r>
      <w:r w:rsidR="00D52FD0">
        <w:t xml:space="preserve"> </w:t>
      </w:r>
      <w:r w:rsidR="000A1AAE" w:rsidRPr="00DA3326">
        <w:t>Support</w:t>
      </w:r>
      <w:r w:rsidR="00D52FD0">
        <w:t xml:space="preserve"> </w:t>
      </w:r>
      <w:r w:rsidR="000A1AAE" w:rsidRPr="00DA3326">
        <w:t>Unit</w:t>
      </w:r>
      <w:r w:rsidR="00D52FD0">
        <w:t xml:space="preserve"> </w:t>
      </w:r>
      <w:r w:rsidR="000A1AAE" w:rsidRPr="00DA3326">
        <w:t>and</w:t>
      </w:r>
      <w:r w:rsidR="00D52FD0">
        <w:t xml:space="preserve"> </w:t>
      </w:r>
      <w:r w:rsidR="000A1AAE" w:rsidRPr="00DA3326">
        <w:t>Aġenzija</w:t>
      </w:r>
      <w:r w:rsidR="00D52FD0">
        <w:t xml:space="preserve"> </w:t>
      </w:r>
      <w:r w:rsidR="000A1AAE" w:rsidRPr="00DA3326">
        <w:t>Appoġġ,</w:t>
      </w:r>
      <w:r w:rsidR="00D52FD0">
        <w:t xml:space="preserve"> </w:t>
      </w:r>
      <w:r w:rsidR="000A1AAE" w:rsidRPr="00DA3326">
        <w:t>has</w:t>
      </w:r>
      <w:r w:rsidR="00D52FD0">
        <w:t xml:space="preserve"> </w:t>
      </w:r>
      <w:r w:rsidR="000A1AAE" w:rsidRPr="00DA3326">
        <w:t>drawn</w:t>
      </w:r>
      <w:r w:rsidR="00D52FD0">
        <w:t xml:space="preserve"> </w:t>
      </w:r>
      <w:r w:rsidR="000A1AAE" w:rsidRPr="00DA3326">
        <w:t>up</w:t>
      </w:r>
      <w:r w:rsidR="00D52FD0">
        <w:t xml:space="preserve"> </w:t>
      </w:r>
      <w:r w:rsidR="000A1AAE" w:rsidRPr="00DA3326">
        <w:t>Standard</w:t>
      </w:r>
      <w:r w:rsidR="00D52FD0">
        <w:t xml:space="preserve"> </w:t>
      </w:r>
      <w:r w:rsidR="000A1AAE" w:rsidRPr="00DA3326">
        <w:t>Operational</w:t>
      </w:r>
      <w:r w:rsidR="00D52FD0">
        <w:t xml:space="preserve"> </w:t>
      </w:r>
      <w:r w:rsidR="000A1AAE" w:rsidRPr="00DA3326">
        <w:t>Procedures</w:t>
      </w:r>
      <w:r w:rsidR="00D52FD0">
        <w:t xml:space="preserve"> </w:t>
      </w:r>
      <w:r w:rsidR="000A1AAE" w:rsidRPr="00DA3326">
        <w:t>(SOPs)</w:t>
      </w:r>
      <w:r w:rsidR="00D52FD0">
        <w:t xml:space="preserve"> </w:t>
      </w:r>
      <w:r w:rsidR="000A1AAE" w:rsidRPr="00DA3326">
        <w:t>which</w:t>
      </w:r>
      <w:r w:rsidR="00D52FD0">
        <w:t xml:space="preserve"> </w:t>
      </w:r>
      <w:r w:rsidR="000A1AAE" w:rsidRPr="00DA3326">
        <w:t>have</w:t>
      </w:r>
      <w:r w:rsidR="00D52FD0">
        <w:t xml:space="preserve"> </w:t>
      </w:r>
      <w:r w:rsidR="000A1AAE" w:rsidRPr="00DA3326">
        <w:t>been</w:t>
      </w:r>
      <w:r w:rsidR="00D52FD0">
        <w:t xml:space="preserve"> </w:t>
      </w:r>
      <w:r w:rsidR="000A1AAE" w:rsidRPr="00DA3326">
        <w:t>implemented</w:t>
      </w:r>
      <w:r w:rsidR="00D52FD0">
        <w:t xml:space="preserve"> </w:t>
      </w:r>
      <w:r w:rsidR="000A1AAE" w:rsidRPr="00DA3326">
        <w:t>to</w:t>
      </w:r>
      <w:r w:rsidR="00D52FD0">
        <w:t xml:space="preserve"> </w:t>
      </w:r>
      <w:r w:rsidR="000A1AAE" w:rsidRPr="00DA3326">
        <w:t>enforce</w:t>
      </w:r>
      <w:r w:rsidR="00D52FD0">
        <w:t xml:space="preserve"> </w:t>
      </w:r>
      <w:r w:rsidR="000A1AAE" w:rsidRPr="00DA3326">
        <w:t>standard</w:t>
      </w:r>
      <w:r w:rsidR="00D52FD0">
        <w:t xml:space="preserve"> </w:t>
      </w:r>
      <w:r w:rsidR="000A1AAE" w:rsidRPr="00DA3326">
        <w:t>professional</w:t>
      </w:r>
      <w:r w:rsidR="00D52FD0">
        <w:t xml:space="preserve"> </w:t>
      </w:r>
      <w:r w:rsidR="000A1AAE" w:rsidRPr="00DA3326">
        <w:t>services</w:t>
      </w:r>
      <w:r w:rsidR="00D52FD0">
        <w:t xml:space="preserve"> </w:t>
      </w:r>
      <w:r w:rsidR="000A1AAE" w:rsidRPr="00DA3326">
        <w:t>across</w:t>
      </w:r>
      <w:r w:rsidR="00D52FD0">
        <w:t xml:space="preserve"> </w:t>
      </w:r>
      <w:r w:rsidR="000A1AAE" w:rsidRPr="00DA3326">
        <w:t>the</w:t>
      </w:r>
      <w:r w:rsidR="00D52FD0">
        <w:t xml:space="preserve"> </w:t>
      </w:r>
      <w:r w:rsidR="000A1AAE" w:rsidRPr="00DA3326">
        <w:t>entities</w:t>
      </w:r>
      <w:r w:rsidR="00D52FD0">
        <w:t xml:space="preserve"> </w:t>
      </w:r>
      <w:r w:rsidR="000A1AAE" w:rsidRPr="00DA3326">
        <w:t>involved.</w:t>
      </w:r>
    </w:p>
    <w:p w14:paraId="7D3F8D55" w14:textId="5C054A4E" w:rsidR="000A1AAE" w:rsidRPr="00DA3326" w:rsidRDefault="0044637E" w:rsidP="0044637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DA3326">
        <w:t>183.</w:t>
      </w:r>
      <w:r w:rsidRPr="00DA3326">
        <w:tab/>
      </w:r>
      <w:r w:rsidR="000A1AAE" w:rsidRPr="00DA3326">
        <w:t>These</w:t>
      </w:r>
      <w:r w:rsidR="00D52FD0">
        <w:t xml:space="preserve"> </w:t>
      </w:r>
      <w:r w:rsidR="000A1AAE" w:rsidRPr="00DA3326">
        <w:t>three</w:t>
      </w:r>
      <w:r w:rsidR="00D52FD0">
        <w:t xml:space="preserve"> </w:t>
      </w:r>
      <w:r w:rsidR="000A1AAE" w:rsidRPr="00DA3326">
        <w:t>entities</w:t>
      </w:r>
      <w:r w:rsidR="00D52FD0">
        <w:t xml:space="preserve"> </w:t>
      </w:r>
      <w:r w:rsidR="000A1AAE" w:rsidRPr="00DA3326">
        <w:t>have</w:t>
      </w:r>
      <w:r w:rsidR="00D52FD0">
        <w:t xml:space="preserve"> </w:t>
      </w:r>
      <w:r w:rsidR="000A1AAE" w:rsidRPr="00DA3326">
        <w:t>embodied</w:t>
      </w:r>
      <w:r w:rsidR="00D52FD0">
        <w:t xml:space="preserve"> </w:t>
      </w:r>
      <w:r w:rsidR="000A1AAE" w:rsidRPr="00DA3326">
        <w:t>these</w:t>
      </w:r>
      <w:r w:rsidR="00D52FD0">
        <w:t xml:space="preserve"> </w:t>
      </w:r>
      <w:r w:rsidR="000A1AAE" w:rsidRPr="00DA3326">
        <w:t>SOPs</w:t>
      </w:r>
      <w:r w:rsidR="00D52FD0">
        <w:t xml:space="preserve"> </w:t>
      </w:r>
      <w:r w:rsidR="000A1AAE" w:rsidRPr="00DA3326">
        <w:t>in</w:t>
      </w:r>
      <w:r w:rsidR="00D52FD0">
        <w:t xml:space="preserve"> </w:t>
      </w:r>
      <w:r w:rsidR="000A1AAE" w:rsidRPr="00DA3326">
        <w:t>a</w:t>
      </w:r>
      <w:r w:rsidR="00D52FD0">
        <w:t xml:space="preserve"> </w:t>
      </w:r>
      <w:r w:rsidR="000A1AAE" w:rsidRPr="00DA3326">
        <w:t>Memorandum</w:t>
      </w:r>
      <w:r w:rsidR="00D52FD0">
        <w:t xml:space="preserve"> </w:t>
      </w:r>
      <w:r w:rsidR="000A1AAE" w:rsidRPr="00DA3326">
        <w:t>of</w:t>
      </w:r>
      <w:r w:rsidR="00D52FD0">
        <w:t xml:space="preserve"> </w:t>
      </w:r>
      <w:r w:rsidR="000A1AAE" w:rsidRPr="00DA3326">
        <w:t>Understanding</w:t>
      </w:r>
      <w:r w:rsidR="00D52FD0">
        <w:t xml:space="preserve"> </w:t>
      </w:r>
      <w:r w:rsidR="000A1AAE" w:rsidRPr="00DA3326">
        <w:t>which</w:t>
      </w:r>
      <w:r w:rsidR="00D52FD0">
        <w:t xml:space="preserve"> </w:t>
      </w:r>
      <w:r w:rsidR="000A1AAE" w:rsidRPr="00DA3326">
        <w:t>was</w:t>
      </w:r>
      <w:r w:rsidR="00D52FD0">
        <w:t xml:space="preserve"> </w:t>
      </w:r>
      <w:r w:rsidR="000A1AAE" w:rsidRPr="00DA3326">
        <w:t>signed</w:t>
      </w:r>
      <w:r w:rsidR="00D52FD0">
        <w:t xml:space="preserve"> </w:t>
      </w:r>
      <w:r w:rsidR="000A1AAE" w:rsidRPr="00DA3326">
        <w:t>on</w:t>
      </w:r>
      <w:r w:rsidR="00D52FD0">
        <w:t xml:space="preserve"> </w:t>
      </w:r>
      <w:r w:rsidR="000A1AAE" w:rsidRPr="00DA3326">
        <w:t>the</w:t>
      </w:r>
      <w:r w:rsidR="00D52FD0">
        <w:t xml:space="preserve"> </w:t>
      </w:r>
      <w:r w:rsidR="000A1AAE" w:rsidRPr="00DA3326">
        <w:t>14th</w:t>
      </w:r>
      <w:r w:rsidR="00D52FD0">
        <w:t xml:space="preserve"> </w:t>
      </w:r>
      <w:r w:rsidR="000A1AAE" w:rsidRPr="00DA3326">
        <w:t>September</w:t>
      </w:r>
      <w:r w:rsidR="00D52FD0">
        <w:t xml:space="preserve"> </w:t>
      </w:r>
      <w:r w:rsidR="000A1AAE" w:rsidRPr="00DA3326">
        <w:t>2020</w:t>
      </w:r>
      <w:r w:rsidR="00D52FD0">
        <w:t xml:space="preserve"> </w:t>
      </w:r>
      <w:r w:rsidR="000A1AAE" w:rsidRPr="00DA3326">
        <w:t>in</w:t>
      </w:r>
      <w:r w:rsidR="00D52FD0">
        <w:t xml:space="preserve"> </w:t>
      </w:r>
      <w:r w:rsidR="000A1AAE" w:rsidRPr="00DA3326">
        <w:t>the</w:t>
      </w:r>
      <w:r w:rsidR="00D52FD0">
        <w:t xml:space="preserve"> </w:t>
      </w:r>
      <w:r w:rsidR="000A1AAE" w:rsidRPr="00DA3326">
        <w:t>presence</w:t>
      </w:r>
      <w:r w:rsidR="00D52FD0">
        <w:t xml:space="preserve"> </w:t>
      </w:r>
      <w:r w:rsidR="000A1AAE" w:rsidRPr="00DA3326">
        <w:t>of</w:t>
      </w:r>
      <w:r w:rsidR="00D52FD0">
        <w:t xml:space="preserve"> </w:t>
      </w:r>
      <w:r w:rsidR="000A1AAE" w:rsidRPr="00DA3326">
        <w:t>the</w:t>
      </w:r>
      <w:r w:rsidR="00D52FD0">
        <w:t xml:space="preserve"> </w:t>
      </w:r>
      <w:r w:rsidR="000A1AAE" w:rsidRPr="00DA3326">
        <w:t>respective</w:t>
      </w:r>
      <w:r w:rsidR="00D52FD0">
        <w:t xml:space="preserve"> </w:t>
      </w:r>
      <w:r w:rsidR="000A1AAE" w:rsidRPr="00DA3326">
        <w:t>Ministers.</w:t>
      </w:r>
      <w:r w:rsidR="00D52FD0">
        <w:t xml:space="preserve"> </w:t>
      </w:r>
      <w:r w:rsidR="000A1AAE" w:rsidRPr="00DA3326">
        <w:t>Persons</w:t>
      </w:r>
      <w:r w:rsidR="00D52FD0">
        <w:t xml:space="preserve"> </w:t>
      </w:r>
      <w:r w:rsidR="000A1AAE" w:rsidRPr="00DA3326">
        <w:t>who</w:t>
      </w:r>
      <w:r w:rsidR="00D52FD0">
        <w:t xml:space="preserve"> </w:t>
      </w:r>
      <w:r w:rsidR="000A1AAE" w:rsidRPr="00DA3326">
        <w:t>refer</w:t>
      </w:r>
      <w:r w:rsidR="00D52FD0">
        <w:t xml:space="preserve"> </w:t>
      </w:r>
      <w:r w:rsidR="000A1AAE" w:rsidRPr="00DA3326">
        <w:t>or</w:t>
      </w:r>
      <w:r w:rsidR="00D52FD0">
        <w:t xml:space="preserve"> </w:t>
      </w:r>
      <w:r w:rsidR="000A1AAE" w:rsidRPr="00DA3326">
        <w:t>are</w:t>
      </w:r>
      <w:r w:rsidR="00D52FD0">
        <w:t xml:space="preserve"> </w:t>
      </w:r>
      <w:r w:rsidR="000A1AAE" w:rsidRPr="00DA3326">
        <w:t>referred</w:t>
      </w:r>
      <w:r w:rsidR="00D52FD0">
        <w:t xml:space="preserve"> </w:t>
      </w:r>
      <w:r w:rsidR="000A1AAE" w:rsidRPr="00DA3326">
        <w:t>to</w:t>
      </w:r>
      <w:r w:rsidR="00D52FD0">
        <w:t xml:space="preserve"> </w:t>
      </w:r>
      <w:r w:rsidR="000A1AAE" w:rsidRPr="00DA3326">
        <w:t>Legal</w:t>
      </w:r>
      <w:r w:rsidR="00D52FD0">
        <w:t xml:space="preserve"> </w:t>
      </w:r>
      <w:r w:rsidR="000A1AAE" w:rsidRPr="00DA3326">
        <w:t>Aid</w:t>
      </w:r>
      <w:r w:rsidR="00D52FD0">
        <w:t xml:space="preserve"> </w:t>
      </w:r>
      <w:r w:rsidR="000A1AAE" w:rsidRPr="00DA3326">
        <w:t>Malta</w:t>
      </w:r>
      <w:r w:rsidR="00D52FD0">
        <w:t xml:space="preserve"> </w:t>
      </w:r>
      <w:r w:rsidR="000A1AAE" w:rsidRPr="00DA3326">
        <w:t>Agency</w:t>
      </w:r>
      <w:r w:rsidR="00D52FD0">
        <w:t xml:space="preserve"> </w:t>
      </w:r>
      <w:r w:rsidR="000A1AAE" w:rsidRPr="00DA3326">
        <w:t>for</w:t>
      </w:r>
      <w:r w:rsidR="00D52FD0">
        <w:t xml:space="preserve"> </w:t>
      </w:r>
      <w:r w:rsidR="000A1AAE" w:rsidRPr="00DA3326">
        <w:t>domestic</w:t>
      </w:r>
      <w:r w:rsidR="00D52FD0">
        <w:t xml:space="preserve"> </w:t>
      </w:r>
      <w:r w:rsidR="000A1AAE" w:rsidRPr="00DA3326">
        <w:t>violence</w:t>
      </w:r>
      <w:r w:rsidR="00D52FD0">
        <w:t xml:space="preserve"> </w:t>
      </w:r>
      <w:r w:rsidR="000A1AAE" w:rsidRPr="00DA3326">
        <w:t>issues</w:t>
      </w:r>
      <w:r w:rsidR="00D52FD0">
        <w:t xml:space="preserve"> </w:t>
      </w:r>
      <w:r w:rsidR="000A1AAE" w:rsidRPr="00DA3326">
        <w:t>are</w:t>
      </w:r>
      <w:r w:rsidR="00D52FD0">
        <w:t xml:space="preserve"> </w:t>
      </w:r>
      <w:r w:rsidR="000A1AAE" w:rsidRPr="00DA3326">
        <w:t>immediately</w:t>
      </w:r>
      <w:r w:rsidR="00D52FD0">
        <w:t xml:space="preserve"> </w:t>
      </w:r>
      <w:r w:rsidR="000A1AAE" w:rsidRPr="00DA3326">
        <w:t>assigned</w:t>
      </w:r>
      <w:r w:rsidR="00D52FD0">
        <w:t xml:space="preserve"> </w:t>
      </w:r>
      <w:r w:rsidR="000A1AAE" w:rsidRPr="00DA3326">
        <w:t>a</w:t>
      </w:r>
      <w:r w:rsidR="00D52FD0">
        <w:t xml:space="preserve"> </w:t>
      </w:r>
      <w:r w:rsidR="000A1AAE" w:rsidRPr="00DA3326">
        <w:t>legal</w:t>
      </w:r>
      <w:r w:rsidR="00D52FD0">
        <w:t xml:space="preserve"> </w:t>
      </w:r>
      <w:r w:rsidR="000A1AAE" w:rsidRPr="00DA3326">
        <w:t>aid</w:t>
      </w:r>
      <w:r w:rsidR="00D52FD0">
        <w:t xml:space="preserve"> </w:t>
      </w:r>
      <w:r w:rsidR="000A1AAE" w:rsidRPr="00DA3326">
        <w:t>lawyer</w:t>
      </w:r>
      <w:r w:rsidR="00D52FD0">
        <w:t xml:space="preserve"> </w:t>
      </w:r>
      <w:r w:rsidR="000A1AAE" w:rsidRPr="00DA3326">
        <w:t>for</w:t>
      </w:r>
      <w:r w:rsidR="00D52FD0">
        <w:t xml:space="preserve"> </w:t>
      </w:r>
      <w:r w:rsidR="000A1AAE" w:rsidRPr="00DA3326">
        <w:t>free</w:t>
      </w:r>
      <w:r w:rsidR="00D52FD0">
        <w:t xml:space="preserve"> </w:t>
      </w:r>
      <w:r w:rsidR="000A1AAE" w:rsidRPr="00DA3326">
        <w:t>advice</w:t>
      </w:r>
      <w:r w:rsidR="00D52FD0">
        <w:t xml:space="preserve"> </w:t>
      </w:r>
      <w:r w:rsidR="000A1AAE" w:rsidRPr="00DA3326">
        <w:t>on</w:t>
      </w:r>
      <w:r w:rsidR="00D52FD0">
        <w:t xml:space="preserve"> </w:t>
      </w:r>
      <w:r w:rsidR="000A1AAE" w:rsidRPr="00DA3326">
        <w:t>their</w:t>
      </w:r>
      <w:r w:rsidR="00D52FD0">
        <w:t xml:space="preserve"> </w:t>
      </w:r>
      <w:r w:rsidR="000A1AAE" w:rsidRPr="00DA3326">
        <w:t>situation</w:t>
      </w:r>
      <w:r w:rsidR="00D52FD0">
        <w:t xml:space="preserve"> </w:t>
      </w:r>
      <w:r w:rsidR="000A1AAE" w:rsidRPr="00DA3326">
        <w:t>and</w:t>
      </w:r>
      <w:r w:rsidR="00D52FD0">
        <w:t xml:space="preserve"> </w:t>
      </w:r>
      <w:r w:rsidR="000A1AAE" w:rsidRPr="00DA3326">
        <w:t>would</w:t>
      </w:r>
      <w:r w:rsidR="00D52FD0">
        <w:t xml:space="preserve"> </w:t>
      </w:r>
      <w:r w:rsidR="000A1AAE" w:rsidRPr="00DA3326">
        <w:t>if</w:t>
      </w:r>
      <w:r w:rsidR="00D52FD0">
        <w:t xml:space="preserve"> </w:t>
      </w:r>
      <w:r w:rsidR="000A1AAE" w:rsidRPr="00DA3326">
        <w:t>necessary</w:t>
      </w:r>
      <w:r w:rsidR="00D52FD0">
        <w:t xml:space="preserve"> </w:t>
      </w:r>
      <w:r w:rsidR="000A1AAE" w:rsidRPr="00DA3326">
        <w:t>be</w:t>
      </w:r>
      <w:r w:rsidR="00D52FD0">
        <w:t xml:space="preserve"> </w:t>
      </w:r>
      <w:r w:rsidR="000A1AAE" w:rsidRPr="00DA3326">
        <w:t>referred</w:t>
      </w:r>
      <w:r w:rsidR="00D52FD0">
        <w:t xml:space="preserve"> </w:t>
      </w:r>
      <w:r w:rsidR="000A1AAE" w:rsidRPr="00DA3326">
        <w:t>to</w:t>
      </w:r>
      <w:r w:rsidR="00D52FD0">
        <w:t xml:space="preserve"> </w:t>
      </w:r>
      <w:r w:rsidR="000A1AAE" w:rsidRPr="00DA3326">
        <w:t>other</w:t>
      </w:r>
      <w:r w:rsidR="00D52FD0">
        <w:t xml:space="preserve"> </w:t>
      </w:r>
      <w:r w:rsidR="000A1AAE" w:rsidRPr="00DA3326">
        <w:t>entities</w:t>
      </w:r>
      <w:r w:rsidR="00D52FD0">
        <w:t xml:space="preserve"> </w:t>
      </w:r>
      <w:r w:rsidR="000A1AAE" w:rsidRPr="00DA3326">
        <w:t>accordingly.</w:t>
      </w:r>
      <w:r w:rsidR="00D52FD0">
        <w:t xml:space="preserve"> </w:t>
      </w:r>
      <w:r w:rsidR="000A1AAE" w:rsidRPr="00DA3326">
        <w:t>Legal</w:t>
      </w:r>
      <w:r w:rsidR="00D52FD0">
        <w:t xml:space="preserve"> </w:t>
      </w:r>
      <w:r w:rsidR="000A1AAE" w:rsidRPr="00DA3326">
        <w:t>Aid</w:t>
      </w:r>
      <w:r w:rsidR="00D52FD0">
        <w:t xml:space="preserve"> </w:t>
      </w:r>
      <w:r w:rsidR="000A1AAE" w:rsidRPr="00DA3326">
        <w:t>Malta</w:t>
      </w:r>
      <w:r w:rsidR="00D52FD0">
        <w:t xml:space="preserve"> </w:t>
      </w:r>
      <w:r w:rsidR="000A1AAE" w:rsidRPr="00DA3326">
        <w:t>will</w:t>
      </w:r>
      <w:r w:rsidR="00D52FD0">
        <w:t xml:space="preserve"> </w:t>
      </w:r>
      <w:r w:rsidR="000A1AAE" w:rsidRPr="00DA3326">
        <w:t>strive</w:t>
      </w:r>
      <w:r w:rsidR="00D52FD0">
        <w:t xml:space="preserve"> </w:t>
      </w:r>
      <w:r w:rsidR="000A1AAE" w:rsidRPr="00DA3326">
        <w:t>to</w:t>
      </w:r>
      <w:r w:rsidR="00D52FD0">
        <w:t xml:space="preserve"> </w:t>
      </w:r>
      <w:r w:rsidR="000A1AAE" w:rsidRPr="00DA3326">
        <w:t>continue</w:t>
      </w:r>
      <w:r w:rsidR="00D52FD0">
        <w:t xml:space="preserve"> </w:t>
      </w:r>
      <w:r w:rsidR="000A1AAE" w:rsidRPr="00DA3326">
        <w:t>to</w:t>
      </w:r>
      <w:r w:rsidR="00D52FD0">
        <w:t xml:space="preserve"> </w:t>
      </w:r>
      <w:r w:rsidR="000A1AAE" w:rsidRPr="00DA3326">
        <w:t>provide</w:t>
      </w:r>
      <w:r w:rsidR="00D52FD0">
        <w:t xml:space="preserve"> </w:t>
      </w:r>
      <w:r w:rsidR="000A1AAE" w:rsidRPr="00DA3326">
        <w:t>free</w:t>
      </w:r>
      <w:r w:rsidR="00D52FD0">
        <w:t xml:space="preserve"> </w:t>
      </w:r>
      <w:r w:rsidR="000A1AAE" w:rsidRPr="00DA3326">
        <w:t>legal</w:t>
      </w:r>
      <w:r w:rsidR="00D52FD0">
        <w:t xml:space="preserve"> </w:t>
      </w:r>
      <w:r w:rsidR="000A1AAE" w:rsidRPr="00DA3326">
        <w:t>aid</w:t>
      </w:r>
      <w:r w:rsidR="00D52FD0">
        <w:t xml:space="preserve"> </w:t>
      </w:r>
      <w:r w:rsidR="000A1AAE" w:rsidRPr="00DA3326">
        <w:t>to</w:t>
      </w:r>
      <w:r w:rsidR="00D52FD0">
        <w:t xml:space="preserve"> </w:t>
      </w:r>
      <w:r w:rsidR="000A1AAE" w:rsidRPr="00DA3326">
        <w:t>victims</w:t>
      </w:r>
      <w:r w:rsidR="00D52FD0">
        <w:t xml:space="preserve"> </w:t>
      </w:r>
      <w:r w:rsidR="000A1AAE" w:rsidRPr="00DA3326">
        <w:t>of</w:t>
      </w:r>
      <w:r w:rsidR="00D52FD0">
        <w:t xml:space="preserve"> </w:t>
      </w:r>
      <w:r w:rsidR="000A1AAE" w:rsidRPr="00DA3326">
        <w:t>violence</w:t>
      </w:r>
      <w:r w:rsidR="00D52FD0">
        <w:t xml:space="preserve"> </w:t>
      </w:r>
      <w:r w:rsidR="000A1AAE" w:rsidRPr="00DA3326">
        <w:t>against</w:t>
      </w:r>
      <w:r w:rsidR="00D52FD0">
        <w:t xml:space="preserve"> </w:t>
      </w:r>
      <w:r w:rsidR="000A1AAE" w:rsidRPr="00DA3326">
        <w:t>women,</w:t>
      </w:r>
      <w:r w:rsidR="00D52FD0">
        <w:t xml:space="preserve"> </w:t>
      </w:r>
      <w:r w:rsidR="000A1AAE" w:rsidRPr="00DA3326">
        <w:t>children</w:t>
      </w:r>
      <w:r w:rsidR="00D52FD0">
        <w:t xml:space="preserve"> </w:t>
      </w:r>
      <w:r w:rsidR="000A1AAE" w:rsidRPr="00DA3326">
        <w:t>and</w:t>
      </w:r>
      <w:r w:rsidR="00D52FD0">
        <w:t xml:space="preserve"> </w:t>
      </w:r>
      <w:r w:rsidR="000A1AAE" w:rsidRPr="00DA3326">
        <w:t>vulnerable</w:t>
      </w:r>
      <w:r w:rsidR="00D52FD0">
        <w:t xml:space="preserve"> </w:t>
      </w:r>
      <w:r w:rsidR="000A1AAE" w:rsidRPr="00DA3326">
        <w:t>persons</w:t>
      </w:r>
      <w:r w:rsidR="00D52FD0">
        <w:t xml:space="preserve"> </w:t>
      </w:r>
      <w:r w:rsidR="000A1AAE" w:rsidRPr="00DA3326">
        <w:t>in</w:t>
      </w:r>
      <w:r w:rsidR="00D52FD0">
        <w:t xml:space="preserve"> </w:t>
      </w:r>
      <w:r w:rsidR="000A1AAE" w:rsidRPr="00DA3326">
        <w:t>order</w:t>
      </w:r>
      <w:r w:rsidR="00D52FD0">
        <w:t xml:space="preserve"> </w:t>
      </w:r>
      <w:r w:rsidR="000A1AAE" w:rsidRPr="00DA3326">
        <w:t>to</w:t>
      </w:r>
      <w:r w:rsidR="00D52FD0">
        <w:t xml:space="preserve"> </w:t>
      </w:r>
      <w:r w:rsidR="000A1AAE" w:rsidRPr="00DA3326">
        <w:t>accomplish</w:t>
      </w:r>
      <w:r w:rsidR="00D52FD0">
        <w:t xml:space="preserve"> </w:t>
      </w:r>
      <w:r w:rsidR="000A1AAE" w:rsidRPr="00DA3326">
        <w:t>all</w:t>
      </w:r>
      <w:r w:rsidR="00D52FD0">
        <w:t xml:space="preserve"> </w:t>
      </w:r>
      <w:r w:rsidR="000A1AAE" w:rsidRPr="00DA3326">
        <w:t>the</w:t>
      </w:r>
      <w:r w:rsidR="00D52FD0">
        <w:t xml:space="preserve"> </w:t>
      </w:r>
      <w:r w:rsidR="000A1AAE" w:rsidRPr="00DA3326">
        <w:t>provisions</w:t>
      </w:r>
      <w:r w:rsidR="00D52FD0">
        <w:t xml:space="preserve"> </w:t>
      </w:r>
      <w:r w:rsidR="000A1AAE" w:rsidRPr="00DA3326">
        <w:t>engraved</w:t>
      </w:r>
      <w:r w:rsidR="00D52FD0">
        <w:t xml:space="preserve"> </w:t>
      </w:r>
      <w:r w:rsidR="000A1AAE" w:rsidRPr="00DA3326">
        <w:t>in</w:t>
      </w:r>
      <w:r w:rsidR="00D52FD0">
        <w:t xml:space="preserve"> </w:t>
      </w:r>
      <w:r w:rsidR="000A1AAE" w:rsidRPr="00DA3326">
        <w:t>the</w:t>
      </w:r>
      <w:r w:rsidR="00D52FD0">
        <w:t xml:space="preserve"> </w:t>
      </w:r>
      <w:r w:rsidR="000A1AAE" w:rsidRPr="00DA3326">
        <w:t>Istanbul</w:t>
      </w:r>
      <w:r w:rsidR="00D52FD0">
        <w:t xml:space="preserve"> </w:t>
      </w:r>
      <w:r w:rsidR="000A1AAE" w:rsidRPr="00DA3326">
        <w:t>Convention</w:t>
      </w:r>
      <w:r w:rsidR="00D52FD0">
        <w:t xml:space="preserve"> </w:t>
      </w:r>
      <w:r w:rsidR="000A1AAE" w:rsidRPr="00DA3326">
        <w:t>and</w:t>
      </w:r>
      <w:r w:rsidR="00D52FD0">
        <w:t xml:space="preserve"> </w:t>
      </w:r>
      <w:r w:rsidR="000A1AAE" w:rsidRPr="00DA3326">
        <w:t>ratified</w:t>
      </w:r>
      <w:r w:rsidR="00D52FD0">
        <w:t xml:space="preserve"> </w:t>
      </w:r>
      <w:r w:rsidR="000A1AAE" w:rsidRPr="00DA3326">
        <w:t>in</w:t>
      </w:r>
      <w:r w:rsidR="00D52FD0">
        <w:t xml:space="preserve"> </w:t>
      </w:r>
      <w:r w:rsidR="000A1AAE" w:rsidRPr="00DA3326">
        <w:t>Chapter</w:t>
      </w:r>
      <w:r w:rsidR="00D52FD0">
        <w:t xml:space="preserve"> </w:t>
      </w:r>
      <w:r w:rsidR="000A1AAE" w:rsidRPr="00DA3326">
        <w:t>581</w:t>
      </w:r>
      <w:r w:rsidR="00D52FD0">
        <w:t xml:space="preserve"> </w:t>
      </w:r>
      <w:r w:rsidR="000A1AAE" w:rsidRPr="00DA3326">
        <w:t>of</w:t>
      </w:r>
      <w:r w:rsidR="00D52FD0">
        <w:t xml:space="preserve"> </w:t>
      </w:r>
      <w:r w:rsidR="000A1AAE" w:rsidRPr="00DA3326">
        <w:t>the</w:t>
      </w:r>
      <w:r w:rsidR="00D52FD0">
        <w:t xml:space="preserve"> </w:t>
      </w:r>
      <w:r w:rsidR="000A1AAE" w:rsidRPr="00DA3326">
        <w:t>Laws</w:t>
      </w:r>
      <w:r w:rsidR="00D52FD0">
        <w:t xml:space="preserve"> </w:t>
      </w:r>
      <w:r w:rsidR="000A1AAE" w:rsidRPr="00DA3326">
        <w:t>of</w:t>
      </w:r>
      <w:r w:rsidR="00D52FD0">
        <w:t xml:space="preserve"> </w:t>
      </w:r>
      <w:r w:rsidR="000A1AAE" w:rsidRPr="00DA3326">
        <w:t>Malta.</w:t>
      </w:r>
    </w:p>
    <w:p w14:paraId="0A1DF5EF" w14:textId="4C4DB428" w:rsidR="000A1AAE" w:rsidRPr="00857B1D" w:rsidRDefault="0044637E" w:rsidP="0044637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857B1D">
        <w:t>184.</w:t>
      </w:r>
      <w:r w:rsidRPr="00857B1D">
        <w:tab/>
      </w:r>
      <w:r w:rsidR="000A1AAE" w:rsidRPr="00857B1D">
        <w:t>Also,</w:t>
      </w:r>
      <w:r w:rsidR="00D52FD0">
        <w:t xml:space="preserve"> </w:t>
      </w:r>
      <w:r w:rsidR="000A1AAE" w:rsidRPr="00857B1D">
        <w:t>through</w:t>
      </w:r>
      <w:r w:rsidR="00D52FD0">
        <w:t xml:space="preserve"> </w:t>
      </w:r>
      <w:r w:rsidR="000A1AAE" w:rsidRPr="00857B1D">
        <w:rPr>
          <w:i/>
          <w:iCs/>
        </w:rPr>
        <w:t>Criminal</w:t>
      </w:r>
      <w:r w:rsidR="00D52FD0">
        <w:rPr>
          <w:i/>
          <w:iCs/>
        </w:rPr>
        <w:t xml:space="preserve"> </w:t>
      </w:r>
      <w:r w:rsidR="000A1AAE" w:rsidRPr="00857B1D">
        <w:rPr>
          <w:i/>
          <w:iCs/>
        </w:rPr>
        <w:t>Code</w:t>
      </w:r>
      <w:r w:rsidR="00D52FD0">
        <w:rPr>
          <w:i/>
          <w:iCs/>
        </w:rPr>
        <w:t xml:space="preserve"> </w:t>
      </w:r>
      <w:r w:rsidR="000A1AAE" w:rsidRPr="00857B1D">
        <w:rPr>
          <w:i/>
          <w:iCs/>
        </w:rPr>
        <w:t>(Amendment</w:t>
      </w:r>
      <w:r w:rsidR="00D52FD0">
        <w:rPr>
          <w:i/>
          <w:iCs/>
        </w:rPr>
        <w:t xml:space="preserve"> </w:t>
      </w:r>
      <w:r w:rsidR="000A1AAE" w:rsidRPr="00857B1D">
        <w:rPr>
          <w:i/>
          <w:iCs/>
        </w:rPr>
        <w:t>no.2)</w:t>
      </w:r>
      <w:r w:rsidR="00D52FD0">
        <w:rPr>
          <w:i/>
          <w:iCs/>
        </w:rPr>
        <w:t xml:space="preserve"> </w:t>
      </w:r>
      <w:r w:rsidR="000A1AAE" w:rsidRPr="00857B1D">
        <w:rPr>
          <w:i/>
          <w:iCs/>
        </w:rPr>
        <w:t>Act</w:t>
      </w:r>
      <w:r w:rsidR="00D52FD0">
        <w:t xml:space="preserve"> </w:t>
      </w:r>
      <w:r w:rsidR="000A1AAE" w:rsidRPr="00857B1D">
        <w:t>of</w:t>
      </w:r>
      <w:r w:rsidR="00D52FD0">
        <w:t xml:space="preserve"> </w:t>
      </w:r>
      <w:r w:rsidR="000A1AAE" w:rsidRPr="00857B1D">
        <w:t>2020,</w:t>
      </w:r>
      <w:r w:rsidR="00D52FD0">
        <w:t xml:space="preserve"> </w:t>
      </w:r>
      <w:r w:rsidR="000A1AAE" w:rsidRPr="00857B1D">
        <w:t>Malta</w:t>
      </w:r>
      <w:r w:rsidR="00D52FD0">
        <w:t xml:space="preserve"> </w:t>
      </w:r>
      <w:r w:rsidR="000A1AAE" w:rsidRPr="00857B1D">
        <w:t>transposed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Legal</w:t>
      </w:r>
      <w:r w:rsidR="00D52FD0">
        <w:t xml:space="preserve"> </w:t>
      </w:r>
      <w:r w:rsidR="000A1AAE" w:rsidRPr="00857B1D">
        <w:t>Aid</w:t>
      </w:r>
      <w:r w:rsidR="00D52FD0">
        <w:t xml:space="preserve"> </w:t>
      </w:r>
      <w:r w:rsidR="000A1AAE" w:rsidRPr="00857B1D">
        <w:t>Directive</w:t>
      </w:r>
      <w:r w:rsidR="00D52FD0">
        <w:t xml:space="preserve"> </w:t>
      </w:r>
      <w:r w:rsidR="000A1AAE" w:rsidRPr="00857B1D">
        <w:t>(Directive</w:t>
      </w:r>
      <w:r w:rsidR="00D52FD0">
        <w:t xml:space="preserve"> </w:t>
      </w:r>
      <w:r w:rsidR="000A1AAE" w:rsidRPr="00857B1D">
        <w:t>2016/1919)</w:t>
      </w:r>
      <w:r w:rsidR="00D52FD0">
        <w:t xml:space="preserve"> </w:t>
      </w:r>
      <w:r w:rsidR="000A1AAE" w:rsidRPr="00857B1D">
        <w:t>in</w:t>
      </w:r>
      <w:r w:rsidR="00D52FD0">
        <w:t xml:space="preserve"> </w:t>
      </w:r>
      <w:r w:rsidR="000A1AAE" w:rsidRPr="00857B1D">
        <w:t>its</w:t>
      </w:r>
      <w:r w:rsidR="00D52FD0">
        <w:t xml:space="preserve"> </w:t>
      </w:r>
      <w:r w:rsidR="000A1AAE" w:rsidRPr="00857B1D">
        <w:t>Criminal</w:t>
      </w:r>
      <w:r w:rsidR="00D52FD0">
        <w:t xml:space="preserve"> </w:t>
      </w:r>
      <w:r w:rsidR="000A1AAE" w:rsidRPr="00857B1D">
        <w:t>Code</w:t>
      </w:r>
      <w:r w:rsidR="00D52FD0">
        <w:t xml:space="preserve"> </w:t>
      </w:r>
      <w:r w:rsidR="000A1AAE" w:rsidRPr="00857B1D">
        <w:t>bringing</w:t>
      </w:r>
      <w:r w:rsidR="00D52FD0">
        <w:t xml:space="preserve"> </w:t>
      </w:r>
      <w:r w:rsidR="000A1AAE" w:rsidRPr="00857B1D">
        <w:t>our</w:t>
      </w:r>
      <w:r w:rsidR="00D52FD0">
        <w:t xml:space="preserve"> </w:t>
      </w:r>
      <w:r w:rsidR="000A1AAE" w:rsidRPr="00857B1D">
        <w:t>legal</w:t>
      </w:r>
      <w:r w:rsidR="00D52FD0">
        <w:t xml:space="preserve"> </w:t>
      </w:r>
      <w:r w:rsidR="000A1AAE" w:rsidRPr="00857B1D">
        <w:t>aid</w:t>
      </w:r>
      <w:r w:rsidR="00D52FD0">
        <w:t xml:space="preserve"> </w:t>
      </w:r>
      <w:r w:rsidR="000A1AAE" w:rsidRPr="00857B1D">
        <w:t>legislation</w:t>
      </w:r>
      <w:r w:rsidR="00D52FD0">
        <w:t xml:space="preserve"> </w:t>
      </w:r>
      <w:r w:rsidR="000A1AAE" w:rsidRPr="00857B1D">
        <w:t>in</w:t>
      </w:r>
      <w:r w:rsidR="00D52FD0">
        <w:t xml:space="preserve"> </w:t>
      </w:r>
      <w:r w:rsidR="000A1AAE" w:rsidRPr="00857B1D">
        <w:t>line</w:t>
      </w:r>
      <w:r w:rsidR="00D52FD0">
        <w:t xml:space="preserve"> </w:t>
      </w:r>
      <w:r w:rsidR="000A1AAE" w:rsidRPr="00857B1D">
        <w:t>with</w:t>
      </w:r>
      <w:r w:rsidR="00D52FD0">
        <w:t xml:space="preserve"> </w:t>
      </w:r>
      <w:r w:rsidR="000A1AAE" w:rsidRPr="00857B1D">
        <w:t>EU</w:t>
      </w:r>
      <w:r w:rsidR="00D52FD0">
        <w:t xml:space="preserve"> </w:t>
      </w:r>
      <w:r w:rsidR="000A1AAE" w:rsidRPr="00857B1D">
        <w:t>standards.</w:t>
      </w:r>
    </w:p>
    <w:p w14:paraId="3A7095A3" w14:textId="56A62406" w:rsidR="000A1AAE" w:rsidRPr="00825CCA" w:rsidRDefault="000A1AAE" w:rsidP="00935045">
      <w:pPr>
        <w:pStyle w:val="H1G"/>
      </w:pPr>
      <w:r>
        <w:tab/>
      </w:r>
      <w:r>
        <w:tab/>
      </w:r>
      <w:r w:rsidRPr="00825CCA">
        <w:t>Independence</w:t>
      </w:r>
      <w:r w:rsidR="00D52FD0">
        <w:t xml:space="preserve"> </w:t>
      </w:r>
      <w:r w:rsidRPr="00825CCA">
        <w:t>of</w:t>
      </w:r>
      <w:r w:rsidR="00D52FD0">
        <w:t xml:space="preserve"> </w:t>
      </w:r>
      <w:r w:rsidRPr="00825CCA">
        <w:t>the</w:t>
      </w:r>
      <w:r w:rsidR="00D52FD0">
        <w:t xml:space="preserve"> </w:t>
      </w:r>
      <w:r w:rsidRPr="00825CCA">
        <w:t>judiciary,</w:t>
      </w:r>
      <w:r w:rsidR="00D52FD0">
        <w:t xml:space="preserve"> </w:t>
      </w:r>
      <w:r w:rsidRPr="00825CCA">
        <w:t>administration</w:t>
      </w:r>
      <w:r w:rsidR="00D52FD0">
        <w:t xml:space="preserve"> </w:t>
      </w:r>
      <w:r w:rsidRPr="00825CCA">
        <w:t>of</w:t>
      </w:r>
      <w:r w:rsidR="00D52FD0">
        <w:t xml:space="preserve"> </w:t>
      </w:r>
      <w:r w:rsidRPr="00825CCA">
        <w:t>justice</w:t>
      </w:r>
      <w:r w:rsidR="00D52FD0">
        <w:t xml:space="preserve"> </w:t>
      </w:r>
      <w:r w:rsidRPr="00825CCA">
        <w:t>and</w:t>
      </w:r>
      <w:r w:rsidR="00D52FD0">
        <w:t xml:space="preserve"> </w:t>
      </w:r>
      <w:r w:rsidRPr="00825CCA">
        <w:t>right</w:t>
      </w:r>
      <w:r w:rsidR="00D52FD0">
        <w:t xml:space="preserve"> </w:t>
      </w:r>
      <w:r w:rsidRPr="00825CCA">
        <w:t>to</w:t>
      </w:r>
      <w:r w:rsidR="00D52FD0">
        <w:t xml:space="preserve"> </w:t>
      </w:r>
      <w:r w:rsidRPr="00825CCA">
        <w:t>a</w:t>
      </w:r>
      <w:r w:rsidR="00D52FD0">
        <w:t xml:space="preserve"> </w:t>
      </w:r>
      <w:r w:rsidRPr="00825CCA">
        <w:t>fair</w:t>
      </w:r>
      <w:r w:rsidR="00D52FD0">
        <w:t xml:space="preserve"> </w:t>
      </w:r>
      <w:r w:rsidRPr="00825CCA">
        <w:t>trial</w:t>
      </w:r>
      <w:r w:rsidR="00D52FD0">
        <w:t xml:space="preserve"> </w:t>
      </w:r>
      <w:r w:rsidRPr="00825CCA">
        <w:t>(art.</w:t>
      </w:r>
      <w:r w:rsidR="007A0D2F">
        <w:t xml:space="preserve"> </w:t>
      </w:r>
      <w:r w:rsidRPr="00825CCA">
        <w:t>14)</w:t>
      </w:r>
    </w:p>
    <w:p w14:paraId="0C295074" w14:textId="583287A6" w:rsidR="000A1AAE" w:rsidRDefault="000A1AAE" w:rsidP="00935045">
      <w:pPr>
        <w:pStyle w:val="H23G"/>
      </w:pPr>
      <w:r>
        <w:tab/>
      </w:r>
      <w:r>
        <w:tab/>
      </w:r>
      <w:r w:rsidRPr="00504902">
        <w:t>Reply</w:t>
      </w:r>
      <w:r w:rsidR="00D52FD0">
        <w:t xml:space="preserve"> </w:t>
      </w:r>
      <w:r w:rsidRPr="00504902">
        <w:t>to</w:t>
      </w:r>
      <w:r w:rsidR="00D52FD0">
        <w:t xml:space="preserve"> </w:t>
      </w:r>
      <w:r w:rsidRPr="00504902">
        <w:t>paragraph</w:t>
      </w:r>
      <w:r w:rsidR="00D52FD0">
        <w:t xml:space="preserve"> </w:t>
      </w:r>
      <w:r>
        <w:t>20</w:t>
      </w:r>
      <w:r w:rsidR="00D52FD0">
        <w:t xml:space="preserve"> </w:t>
      </w:r>
      <w:r w:rsidRPr="00504902">
        <w:t>of</w:t>
      </w:r>
      <w:r w:rsidR="00D52FD0">
        <w:t xml:space="preserve"> </w:t>
      </w:r>
      <w:r w:rsidRPr="00504902">
        <w:t>the</w:t>
      </w:r>
      <w:r w:rsidR="00D52FD0">
        <w:t xml:space="preserve"> </w:t>
      </w:r>
      <w:r w:rsidRPr="00504902">
        <w:t>list</w:t>
      </w:r>
      <w:r w:rsidR="00D52FD0">
        <w:t xml:space="preserve"> </w:t>
      </w:r>
      <w:r w:rsidRPr="00504902">
        <w:t>of</w:t>
      </w:r>
      <w:r w:rsidR="00D52FD0">
        <w:t xml:space="preserve"> </w:t>
      </w:r>
      <w:r w:rsidRPr="00504902">
        <w:t>issues</w:t>
      </w:r>
    </w:p>
    <w:p w14:paraId="28003B7F" w14:textId="490E7FE8" w:rsidR="000A1AAE" w:rsidRPr="00857B1D" w:rsidRDefault="0044637E" w:rsidP="0044637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857B1D">
        <w:t>185.</w:t>
      </w:r>
      <w:r w:rsidRPr="00857B1D">
        <w:tab/>
      </w:r>
      <w:r w:rsidR="000A1AAE" w:rsidRPr="00857B1D">
        <w:t>Major</w:t>
      </w:r>
      <w:r w:rsidR="00D52FD0">
        <w:t xml:space="preserve"> </w:t>
      </w:r>
      <w:r w:rsidR="000A1AAE" w:rsidRPr="00857B1D">
        <w:t>Constitutional</w:t>
      </w:r>
      <w:r w:rsidR="00D52FD0">
        <w:t xml:space="preserve"> </w:t>
      </w:r>
      <w:r w:rsidR="000A1AAE" w:rsidRPr="00857B1D">
        <w:t>reforms</w:t>
      </w:r>
      <w:r w:rsidR="00D52FD0">
        <w:t xml:space="preserve"> </w:t>
      </w:r>
      <w:r w:rsidR="000A1AAE" w:rsidRPr="00857B1D">
        <w:t>were</w:t>
      </w:r>
      <w:r w:rsidR="00D52FD0">
        <w:t xml:space="preserve"> </w:t>
      </w:r>
      <w:r w:rsidR="000A1AAE" w:rsidRPr="00857B1D">
        <w:t>made</w:t>
      </w:r>
      <w:r w:rsidR="00D52FD0">
        <w:t xml:space="preserve"> </w:t>
      </w:r>
      <w:r w:rsidR="000A1AAE" w:rsidRPr="00857B1D">
        <w:t>in</w:t>
      </w:r>
      <w:r w:rsidR="00D52FD0">
        <w:t xml:space="preserve"> </w:t>
      </w:r>
      <w:r w:rsidR="000A1AAE" w:rsidRPr="00857B1D">
        <w:t>so</w:t>
      </w:r>
      <w:r w:rsidR="00D52FD0">
        <w:t xml:space="preserve"> </w:t>
      </w:r>
      <w:r w:rsidR="000A1AAE" w:rsidRPr="00857B1D">
        <w:t>far</w:t>
      </w:r>
      <w:r w:rsidR="00D52FD0">
        <w:t xml:space="preserve"> </w:t>
      </w:r>
      <w:r w:rsidR="000A1AAE" w:rsidRPr="00857B1D">
        <w:t>as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appointment</w:t>
      </w:r>
      <w:r w:rsidR="00D52FD0">
        <w:t xml:space="preserve"> </w:t>
      </w:r>
      <w:r w:rsidR="000A1AAE" w:rsidRPr="00857B1D">
        <w:t>and</w:t>
      </w:r>
      <w:r w:rsidR="00D52FD0">
        <w:t xml:space="preserve"> </w:t>
      </w:r>
      <w:r w:rsidR="000A1AAE" w:rsidRPr="00857B1D">
        <w:t>removal</w:t>
      </w:r>
      <w:r w:rsidR="00D52FD0">
        <w:t xml:space="preserve"> </w:t>
      </w:r>
      <w:r w:rsidR="000A1AAE" w:rsidRPr="00857B1D">
        <w:t>of</w:t>
      </w:r>
      <w:r w:rsidR="00D52FD0">
        <w:t xml:space="preserve"> </w:t>
      </w:r>
      <w:r w:rsidR="000A1AAE" w:rsidRPr="00857B1D">
        <w:t>members</w:t>
      </w:r>
      <w:r w:rsidR="00D52FD0">
        <w:t xml:space="preserve"> </w:t>
      </w:r>
      <w:r w:rsidR="000A1AAE" w:rsidRPr="00857B1D">
        <w:t>of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judiciary.</w:t>
      </w:r>
      <w:r w:rsidR="00D52FD0">
        <w:t xml:space="preserve"> </w:t>
      </w:r>
      <w:r w:rsidR="000A1AAE" w:rsidRPr="00857B1D">
        <w:t>These</w:t>
      </w:r>
      <w:r w:rsidR="00D52FD0">
        <w:t xml:space="preserve"> </w:t>
      </w:r>
      <w:r w:rsidR="000A1AAE" w:rsidRPr="00857B1D">
        <w:t>reforms</w:t>
      </w:r>
      <w:r w:rsidR="00D52FD0">
        <w:t xml:space="preserve"> </w:t>
      </w:r>
      <w:r w:rsidR="000A1AAE" w:rsidRPr="00857B1D">
        <w:t>have</w:t>
      </w:r>
      <w:r w:rsidR="00D52FD0">
        <w:t xml:space="preserve"> </w:t>
      </w:r>
      <w:r w:rsidR="000A1AAE" w:rsidRPr="00857B1D">
        <w:t>seen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total</w:t>
      </w:r>
      <w:r w:rsidR="00D52FD0">
        <w:t xml:space="preserve"> </w:t>
      </w:r>
      <w:r w:rsidR="000A1AAE" w:rsidRPr="00857B1D">
        <w:t>exclusion</w:t>
      </w:r>
      <w:r w:rsidR="00D52FD0">
        <w:t xml:space="preserve"> </w:t>
      </w:r>
      <w:r w:rsidR="000A1AAE" w:rsidRPr="00857B1D">
        <w:t>of</w:t>
      </w:r>
      <w:r w:rsidR="00D52FD0">
        <w:t xml:space="preserve"> </w:t>
      </w:r>
      <w:r w:rsidR="000A1AAE" w:rsidRPr="00857B1D">
        <w:t>political</w:t>
      </w:r>
      <w:r w:rsidR="00D52FD0">
        <w:t xml:space="preserve"> </w:t>
      </w:r>
      <w:r w:rsidR="000A1AAE" w:rsidRPr="00857B1D">
        <w:t>involvement.</w:t>
      </w:r>
    </w:p>
    <w:p w14:paraId="2BF74A4F" w14:textId="21655F87" w:rsidR="000A1AAE" w:rsidRPr="00857B1D" w:rsidRDefault="0044637E" w:rsidP="0044637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857B1D">
        <w:t>186.</w:t>
      </w:r>
      <w:r w:rsidRPr="00857B1D">
        <w:tab/>
      </w:r>
      <w:r w:rsidR="000A1AAE" w:rsidRPr="00857B1D">
        <w:t>The</w:t>
      </w:r>
      <w:r w:rsidR="00D52FD0">
        <w:t xml:space="preserve"> </w:t>
      </w:r>
      <w:r w:rsidR="000A1AAE" w:rsidRPr="00857B1D">
        <w:t>following</w:t>
      </w:r>
      <w:r w:rsidR="00D52FD0">
        <w:t xml:space="preserve"> </w:t>
      </w:r>
      <w:r w:rsidR="000A1AAE" w:rsidRPr="00857B1D">
        <w:t>is</w:t>
      </w:r>
      <w:r w:rsidR="00D52FD0">
        <w:t xml:space="preserve"> </w:t>
      </w:r>
      <w:r w:rsidR="000A1AAE" w:rsidRPr="00857B1D">
        <w:t>a</w:t>
      </w:r>
      <w:r w:rsidR="00D52FD0">
        <w:t xml:space="preserve"> </w:t>
      </w:r>
      <w:r w:rsidR="000A1AAE" w:rsidRPr="00857B1D">
        <w:t>brief</w:t>
      </w:r>
      <w:r w:rsidR="00D52FD0">
        <w:t xml:space="preserve"> </w:t>
      </w:r>
      <w:r w:rsidR="000A1AAE" w:rsidRPr="00857B1D">
        <w:t>overview</w:t>
      </w:r>
      <w:r w:rsidR="00D52FD0">
        <w:t xml:space="preserve"> </w:t>
      </w:r>
      <w:r w:rsidR="000A1AAE" w:rsidRPr="00857B1D">
        <w:t>with</w:t>
      </w:r>
      <w:r w:rsidR="00D52FD0">
        <w:t xml:space="preserve"> </w:t>
      </w:r>
      <w:r w:rsidR="000A1AAE" w:rsidRPr="00857B1D">
        <w:t>short</w:t>
      </w:r>
      <w:r w:rsidR="00D52FD0">
        <w:t xml:space="preserve"> </w:t>
      </w:r>
      <w:r w:rsidR="000A1AAE" w:rsidRPr="00857B1D">
        <w:t>comments</w:t>
      </w:r>
      <w:r w:rsidR="00D52FD0">
        <w:t xml:space="preserve"> </w:t>
      </w:r>
      <w:r w:rsidR="000A1AAE" w:rsidRPr="00857B1D">
        <w:t>on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legislative</w:t>
      </w:r>
      <w:r w:rsidR="00D52FD0">
        <w:t xml:space="preserve"> </w:t>
      </w:r>
      <w:r w:rsidR="000A1AAE" w:rsidRPr="00857B1D">
        <w:t>measures</w:t>
      </w:r>
      <w:r w:rsidR="00D52FD0">
        <w:t xml:space="preserve"> </w:t>
      </w:r>
      <w:r w:rsidR="000A1AAE" w:rsidRPr="00857B1D">
        <w:t>taken</w:t>
      </w:r>
      <w:r w:rsidR="00D52FD0">
        <w:t xml:space="preserve"> </w:t>
      </w:r>
      <w:r w:rsidR="000A1AAE" w:rsidRPr="00857B1D">
        <w:t>in</w:t>
      </w:r>
      <w:r w:rsidR="00D52FD0">
        <w:t xml:space="preserve"> </w:t>
      </w:r>
      <w:r w:rsidR="000A1AAE" w:rsidRPr="00857B1D">
        <w:t>this</w:t>
      </w:r>
      <w:r w:rsidR="00D52FD0">
        <w:t xml:space="preserve"> </w:t>
      </w:r>
      <w:r w:rsidR="000A1AAE" w:rsidRPr="00857B1D">
        <w:t>regard:</w:t>
      </w:r>
    </w:p>
    <w:p w14:paraId="48EA8400" w14:textId="080EF477" w:rsidR="000A1AAE" w:rsidRPr="00825CCA" w:rsidRDefault="000A1AAE" w:rsidP="00935045">
      <w:pPr>
        <w:pStyle w:val="H4G"/>
      </w:pPr>
      <w:r>
        <w:tab/>
      </w:r>
      <w:r>
        <w:tab/>
      </w:r>
      <w:r w:rsidRPr="00825CCA">
        <w:t>Constitution</w:t>
      </w:r>
      <w:r w:rsidR="00D52FD0">
        <w:t xml:space="preserve"> </w:t>
      </w:r>
      <w:r w:rsidRPr="00825CCA">
        <w:t>of</w:t>
      </w:r>
      <w:r w:rsidR="00D52FD0">
        <w:t xml:space="preserve"> </w:t>
      </w:r>
      <w:r w:rsidRPr="00825CCA">
        <w:t>Malta</w:t>
      </w:r>
      <w:r w:rsidR="00D52FD0">
        <w:t xml:space="preserve"> </w:t>
      </w:r>
      <w:r w:rsidRPr="00825CCA">
        <w:t>(Amendment)</w:t>
      </w:r>
      <w:r w:rsidR="00D52FD0">
        <w:t xml:space="preserve"> </w:t>
      </w:r>
      <w:r w:rsidRPr="00825CCA">
        <w:t>Act</w:t>
      </w:r>
      <w:r w:rsidR="00D52FD0">
        <w:t xml:space="preserve"> </w:t>
      </w:r>
      <w:r w:rsidRPr="00825CCA">
        <w:t>(Act</w:t>
      </w:r>
      <w:r w:rsidR="00D52FD0">
        <w:t xml:space="preserve"> </w:t>
      </w:r>
      <w:r w:rsidRPr="00825CCA">
        <w:t>XLIII</w:t>
      </w:r>
      <w:r w:rsidR="00D52FD0">
        <w:t xml:space="preserve"> </w:t>
      </w:r>
      <w:r w:rsidRPr="00825CCA">
        <w:t>of</w:t>
      </w:r>
      <w:r w:rsidR="00D52FD0">
        <w:t xml:space="preserve"> </w:t>
      </w:r>
      <w:r w:rsidRPr="00825CCA">
        <w:t>2020)</w:t>
      </w:r>
    </w:p>
    <w:p w14:paraId="67D6E2E4" w14:textId="123F4C78" w:rsidR="000A1AAE" w:rsidRPr="00857B1D" w:rsidRDefault="0044637E" w:rsidP="0044637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857B1D">
        <w:t>187.</w:t>
      </w:r>
      <w:r w:rsidRPr="00857B1D">
        <w:tab/>
      </w:r>
      <w:r w:rsidR="000A1AAE" w:rsidRPr="00857B1D">
        <w:t>This</w:t>
      </w:r>
      <w:r w:rsidR="00D52FD0">
        <w:t xml:space="preserve"> </w:t>
      </w:r>
      <w:r w:rsidR="000A1AAE" w:rsidRPr="00857B1D">
        <w:t>Act</w:t>
      </w:r>
      <w:r w:rsidR="00D52FD0">
        <w:t xml:space="preserve"> </w:t>
      </w:r>
      <w:r w:rsidR="000A1AAE" w:rsidRPr="00857B1D">
        <w:t>concerns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procedure</w:t>
      </w:r>
      <w:r w:rsidR="00D52FD0">
        <w:t xml:space="preserve"> </w:t>
      </w:r>
      <w:r w:rsidR="000A1AAE" w:rsidRPr="00857B1D">
        <w:t>for</w:t>
      </w:r>
      <w:r w:rsidR="00D52FD0">
        <w:t xml:space="preserve"> </w:t>
      </w:r>
      <w:r w:rsidR="000A1AAE" w:rsidRPr="00857B1D">
        <w:t>appointment</w:t>
      </w:r>
      <w:r w:rsidR="00D52FD0">
        <w:t xml:space="preserve"> </w:t>
      </w:r>
      <w:r w:rsidR="000A1AAE" w:rsidRPr="00857B1D">
        <w:t>of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Chief</w:t>
      </w:r>
      <w:r w:rsidR="00D52FD0">
        <w:t xml:space="preserve"> </w:t>
      </w:r>
      <w:r w:rsidR="000A1AAE" w:rsidRPr="00857B1D">
        <w:t>Justice,</w:t>
      </w:r>
      <w:r w:rsidR="00D52FD0">
        <w:t xml:space="preserve"> </w:t>
      </w:r>
      <w:r w:rsidR="000A1AAE" w:rsidRPr="00857B1D">
        <w:t>Judges</w:t>
      </w:r>
      <w:r w:rsidR="00D52FD0">
        <w:t xml:space="preserve"> </w:t>
      </w:r>
      <w:r w:rsidR="000A1AAE" w:rsidRPr="00857B1D">
        <w:t>and</w:t>
      </w:r>
      <w:r w:rsidR="00D52FD0">
        <w:t xml:space="preserve"> </w:t>
      </w:r>
      <w:r w:rsidR="000A1AAE" w:rsidRPr="00857B1D">
        <w:t>Magistrates.</w:t>
      </w:r>
    </w:p>
    <w:p w14:paraId="39CB3E70" w14:textId="377157BA" w:rsidR="000A1AAE" w:rsidRPr="00857B1D" w:rsidRDefault="0044637E" w:rsidP="0044637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857B1D">
        <w:t>188.</w:t>
      </w:r>
      <w:r w:rsidRPr="00857B1D">
        <w:tab/>
      </w:r>
      <w:r w:rsidR="000A1AAE" w:rsidRPr="00857B1D">
        <w:t>The</w:t>
      </w:r>
      <w:r w:rsidR="00D52FD0">
        <w:t xml:space="preserve"> </w:t>
      </w:r>
      <w:r w:rsidR="000A1AAE" w:rsidRPr="00857B1D">
        <w:t>Chief</w:t>
      </w:r>
      <w:r w:rsidR="00D52FD0">
        <w:t xml:space="preserve"> </w:t>
      </w:r>
      <w:r w:rsidR="000A1AAE" w:rsidRPr="00857B1D">
        <w:t>Justice</w:t>
      </w:r>
      <w:r w:rsidR="00D52FD0">
        <w:t xml:space="preserve"> </w:t>
      </w:r>
      <w:r w:rsidR="000A1AAE" w:rsidRPr="00857B1D">
        <w:t>will</w:t>
      </w:r>
      <w:r w:rsidR="00D52FD0">
        <w:t xml:space="preserve"> </w:t>
      </w:r>
      <w:r w:rsidR="000A1AAE" w:rsidRPr="00857B1D">
        <w:t>be</w:t>
      </w:r>
      <w:r w:rsidR="00D52FD0">
        <w:t xml:space="preserve"> </w:t>
      </w:r>
      <w:r w:rsidR="000A1AAE" w:rsidRPr="00857B1D">
        <w:t>appointed</w:t>
      </w:r>
      <w:r w:rsidR="00D52FD0">
        <w:t xml:space="preserve"> </w:t>
      </w:r>
      <w:r w:rsidR="000A1AAE" w:rsidRPr="00857B1D">
        <w:t>by</w:t>
      </w:r>
      <w:r w:rsidR="00D52FD0">
        <w:t xml:space="preserve"> </w:t>
      </w:r>
      <w:r w:rsidR="000A1AAE" w:rsidRPr="00857B1D">
        <w:t>a</w:t>
      </w:r>
      <w:r w:rsidR="00D52FD0">
        <w:t xml:space="preserve"> </w:t>
      </w:r>
      <w:r w:rsidR="000A1AAE" w:rsidRPr="00857B1D">
        <w:t>Parliamentary</w:t>
      </w:r>
      <w:r w:rsidR="00D52FD0">
        <w:t xml:space="preserve"> </w:t>
      </w:r>
      <w:r w:rsidR="000A1AAE" w:rsidRPr="00857B1D">
        <w:t>process</w:t>
      </w:r>
      <w:r w:rsidR="00D52FD0">
        <w:t xml:space="preserve"> </w:t>
      </w:r>
      <w:r w:rsidR="000A1AAE" w:rsidRPr="00857B1D">
        <w:t>with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appointment</w:t>
      </w:r>
      <w:r w:rsidR="00D52FD0">
        <w:t xml:space="preserve"> </w:t>
      </w:r>
      <w:r w:rsidR="000A1AAE" w:rsidRPr="00857B1D">
        <w:t>requiring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approval</w:t>
      </w:r>
      <w:r w:rsidR="00D52FD0">
        <w:t xml:space="preserve"> </w:t>
      </w:r>
      <w:r w:rsidR="000A1AAE" w:rsidRPr="00857B1D">
        <w:t>of</w:t>
      </w:r>
      <w:r w:rsidR="00D52FD0">
        <w:t xml:space="preserve"> </w:t>
      </w:r>
      <w:r w:rsidR="000A1AAE" w:rsidRPr="00857B1D">
        <w:t>two-thirds</w:t>
      </w:r>
      <w:r w:rsidR="00D52FD0">
        <w:t xml:space="preserve"> </w:t>
      </w:r>
      <w:r w:rsidR="000A1AAE" w:rsidRPr="00857B1D">
        <w:t>of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Members</w:t>
      </w:r>
      <w:r w:rsidR="00D52FD0">
        <w:t xml:space="preserve"> </w:t>
      </w:r>
      <w:r w:rsidR="000A1AAE" w:rsidRPr="00857B1D">
        <w:t>of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House</w:t>
      </w:r>
      <w:r w:rsidR="00D52FD0">
        <w:t xml:space="preserve"> </w:t>
      </w:r>
      <w:r w:rsidR="000A1AAE" w:rsidRPr="00857B1D">
        <w:t>of</w:t>
      </w:r>
      <w:r w:rsidR="00D52FD0">
        <w:t xml:space="preserve"> </w:t>
      </w:r>
      <w:r w:rsidR="000A1AAE" w:rsidRPr="00857B1D">
        <w:t>Representatives.</w:t>
      </w:r>
      <w:r w:rsidR="00D52FD0">
        <w:t xml:space="preserve"> </w:t>
      </w:r>
      <w:r w:rsidR="000A1AAE" w:rsidRPr="00857B1D">
        <w:t>Should</w:t>
      </w:r>
      <w:r w:rsidR="00D52FD0">
        <w:t xml:space="preserve"> </w:t>
      </w:r>
      <w:r w:rsidR="000A1AAE" w:rsidRPr="00857B1D">
        <w:t>such</w:t>
      </w:r>
      <w:r w:rsidR="00D52FD0">
        <w:t xml:space="preserve"> </w:t>
      </w:r>
      <w:r w:rsidR="000A1AAE" w:rsidRPr="00857B1D">
        <w:t>a</w:t>
      </w:r>
      <w:r w:rsidR="00D52FD0">
        <w:t xml:space="preserve"> </w:t>
      </w:r>
      <w:r w:rsidR="000A1AAE" w:rsidRPr="00857B1D">
        <w:t>majority</w:t>
      </w:r>
      <w:r w:rsidR="00D52FD0">
        <w:t xml:space="preserve"> </w:t>
      </w:r>
      <w:r w:rsidR="000A1AAE" w:rsidRPr="00857B1D">
        <w:t>not</w:t>
      </w:r>
      <w:r w:rsidR="00D52FD0">
        <w:t xml:space="preserve"> </w:t>
      </w:r>
      <w:r w:rsidR="000A1AAE" w:rsidRPr="00857B1D">
        <w:t>be</w:t>
      </w:r>
      <w:r w:rsidR="00D52FD0">
        <w:t xml:space="preserve"> </w:t>
      </w:r>
      <w:r w:rsidR="000A1AAE" w:rsidRPr="00857B1D">
        <w:t>achieved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sitting</w:t>
      </w:r>
      <w:r w:rsidR="00D52FD0">
        <w:t xml:space="preserve"> </w:t>
      </w:r>
      <w:r w:rsidR="000A1AAE" w:rsidRPr="00857B1D">
        <w:t>Chief</w:t>
      </w:r>
      <w:r w:rsidR="00D52FD0">
        <w:t xml:space="preserve"> </w:t>
      </w:r>
      <w:r w:rsidR="000A1AAE" w:rsidRPr="00857B1D">
        <w:t>Justice</w:t>
      </w:r>
      <w:r w:rsidR="00D52FD0">
        <w:t xml:space="preserve"> </w:t>
      </w:r>
      <w:r w:rsidR="000A1AAE" w:rsidRPr="00857B1D">
        <w:t>will</w:t>
      </w:r>
      <w:r w:rsidR="00D52FD0">
        <w:t xml:space="preserve"> </w:t>
      </w:r>
      <w:r w:rsidR="000A1AAE" w:rsidRPr="00857B1D">
        <w:t>remain</w:t>
      </w:r>
      <w:r w:rsidR="00D52FD0">
        <w:t xml:space="preserve"> </w:t>
      </w:r>
      <w:r w:rsidR="000A1AAE" w:rsidRPr="00857B1D">
        <w:t>in</w:t>
      </w:r>
      <w:r w:rsidR="00D52FD0">
        <w:t xml:space="preserve"> </w:t>
      </w:r>
      <w:r w:rsidR="000A1AAE" w:rsidRPr="00857B1D">
        <w:t>office</w:t>
      </w:r>
      <w:r w:rsidR="00D52FD0">
        <w:t xml:space="preserve"> </w:t>
      </w:r>
      <w:r w:rsidR="000A1AAE" w:rsidRPr="00857B1D">
        <w:t>until</w:t>
      </w:r>
      <w:r w:rsidR="00D52FD0">
        <w:t xml:space="preserve"> </w:t>
      </w:r>
      <w:r w:rsidR="000A1AAE" w:rsidRPr="00857B1D">
        <w:t>such</w:t>
      </w:r>
      <w:r w:rsidR="00D52FD0">
        <w:t xml:space="preserve"> </w:t>
      </w:r>
      <w:r w:rsidR="000A1AAE" w:rsidRPr="00857B1D">
        <w:t>a</w:t>
      </w:r>
      <w:r w:rsidR="00D52FD0">
        <w:t xml:space="preserve"> </w:t>
      </w:r>
      <w:r w:rsidR="000A1AAE" w:rsidRPr="00857B1D">
        <w:t>majority</w:t>
      </w:r>
      <w:r w:rsidR="00D52FD0">
        <w:t xml:space="preserve"> </w:t>
      </w:r>
      <w:r w:rsidR="000A1AAE" w:rsidRPr="00857B1D">
        <w:t>can</w:t>
      </w:r>
      <w:r w:rsidR="00D52FD0">
        <w:t xml:space="preserve"> </w:t>
      </w:r>
      <w:r w:rsidR="000A1AAE" w:rsidRPr="00857B1D">
        <w:t>be</w:t>
      </w:r>
      <w:r w:rsidR="00D52FD0">
        <w:t xml:space="preserve"> </w:t>
      </w:r>
      <w:r w:rsidR="000A1AAE" w:rsidRPr="00857B1D">
        <w:t>reached.</w:t>
      </w:r>
    </w:p>
    <w:p w14:paraId="452720F5" w14:textId="70B0531C" w:rsidR="000A1AAE" w:rsidRPr="00857B1D" w:rsidRDefault="0044637E" w:rsidP="0044637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857B1D">
        <w:t>189.</w:t>
      </w:r>
      <w:r w:rsidRPr="00857B1D">
        <w:tab/>
      </w:r>
      <w:r w:rsidR="000A1AAE" w:rsidRPr="00857B1D">
        <w:t>This</w:t>
      </w:r>
      <w:r w:rsidR="00D52FD0">
        <w:t xml:space="preserve"> </w:t>
      </w:r>
      <w:r w:rsidR="000A1AAE" w:rsidRPr="00857B1D">
        <w:t>Act</w:t>
      </w:r>
      <w:r w:rsidR="00D52FD0">
        <w:t xml:space="preserve"> </w:t>
      </w:r>
      <w:r w:rsidR="000A1AAE" w:rsidRPr="00857B1D">
        <w:t>also</w:t>
      </w:r>
      <w:r w:rsidR="00D52FD0">
        <w:t xml:space="preserve"> </w:t>
      </w:r>
      <w:r w:rsidR="000A1AAE" w:rsidRPr="00857B1D">
        <w:t>changed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composition</w:t>
      </w:r>
      <w:r w:rsidR="00D52FD0">
        <w:t xml:space="preserve"> </w:t>
      </w:r>
      <w:r w:rsidR="000A1AAE" w:rsidRPr="00857B1D">
        <w:t>of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Judicial</w:t>
      </w:r>
      <w:r w:rsidR="00D52FD0">
        <w:t xml:space="preserve"> </w:t>
      </w:r>
      <w:r w:rsidR="000A1AAE" w:rsidRPr="00857B1D">
        <w:t>Appointments</w:t>
      </w:r>
      <w:r w:rsidR="00D52FD0">
        <w:t xml:space="preserve"> </w:t>
      </w:r>
      <w:r w:rsidR="000A1AAE" w:rsidRPr="00857B1D">
        <w:t>Committee</w:t>
      </w:r>
      <w:r w:rsidR="00D52FD0">
        <w:t xml:space="preserve"> </w:t>
      </w:r>
      <w:r w:rsidR="000A1AAE" w:rsidRPr="00857B1D">
        <w:t>(</w:t>
      </w:r>
      <w:r w:rsidR="00F14DA3">
        <w:t>‘</w:t>
      </w:r>
      <w:r w:rsidR="000A1AAE" w:rsidRPr="00857B1D">
        <w:t>the</w:t>
      </w:r>
      <w:r w:rsidR="00D52FD0">
        <w:t xml:space="preserve"> </w:t>
      </w:r>
      <w:r w:rsidR="000A1AAE" w:rsidRPr="00857B1D">
        <w:t>Committee</w:t>
      </w:r>
      <w:r w:rsidR="00F14DA3">
        <w:t>’</w:t>
      </w:r>
      <w:r w:rsidR="000A1AAE" w:rsidRPr="00857B1D">
        <w:t>)</w:t>
      </w:r>
      <w:r w:rsidR="00D52FD0">
        <w:t xml:space="preserve"> </w:t>
      </w:r>
      <w:r w:rsidR="000A1AAE" w:rsidRPr="00857B1D">
        <w:t>so</w:t>
      </w:r>
      <w:r w:rsidR="00D52FD0">
        <w:t xml:space="preserve"> </w:t>
      </w:r>
      <w:r w:rsidR="000A1AAE" w:rsidRPr="00857B1D">
        <w:t>that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Attorney</w:t>
      </w:r>
      <w:r w:rsidR="00D52FD0">
        <w:t xml:space="preserve"> </w:t>
      </w:r>
      <w:r w:rsidR="000A1AAE" w:rsidRPr="00857B1D">
        <w:t>General</w:t>
      </w:r>
      <w:r w:rsidR="00D52FD0">
        <w:t xml:space="preserve"> </w:t>
      </w:r>
      <w:r w:rsidR="000A1AAE" w:rsidRPr="00857B1D">
        <w:t>no</w:t>
      </w:r>
      <w:r w:rsidR="00D52FD0">
        <w:t xml:space="preserve"> </w:t>
      </w:r>
      <w:r w:rsidR="000A1AAE" w:rsidRPr="00857B1D">
        <w:t>longer</w:t>
      </w:r>
      <w:r w:rsidR="00D52FD0">
        <w:t xml:space="preserve"> </w:t>
      </w:r>
      <w:r w:rsidR="000A1AAE" w:rsidRPr="00857B1D">
        <w:t>forms</w:t>
      </w:r>
      <w:r w:rsidR="00D52FD0">
        <w:t xml:space="preserve"> </w:t>
      </w:r>
      <w:r w:rsidR="000A1AAE" w:rsidRPr="00857B1D">
        <w:t>part</w:t>
      </w:r>
      <w:r w:rsidR="00D52FD0">
        <w:t xml:space="preserve"> </w:t>
      </w:r>
      <w:r w:rsidR="000A1AAE" w:rsidRPr="00857B1D">
        <w:t>of</w:t>
      </w:r>
      <w:r w:rsidR="00D52FD0">
        <w:t xml:space="preserve"> </w:t>
      </w:r>
      <w:r w:rsidR="000A1AAE" w:rsidRPr="00857B1D">
        <w:t>that</w:t>
      </w:r>
      <w:r w:rsidR="00D52FD0">
        <w:t xml:space="preserve"> </w:t>
      </w:r>
      <w:r w:rsidR="000A1AAE" w:rsidRPr="00857B1D">
        <w:t>Committee</w:t>
      </w:r>
      <w:r w:rsidR="00D52FD0">
        <w:t xml:space="preserve"> </w:t>
      </w:r>
      <w:r w:rsidR="000A1AAE" w:rsidRPr="00857B1D">
        <w:t>and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majority</w:t>
      </w:r>
      <w:r w:rsidR="00D52FD0">
        <w:t xml:space="preserve"> </w:t>
      </w:r>
      <w:r w:rsidR="000A1AAE" w:rsidRPr="00857B1D">
        <w:t>of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Committee</w:t>
      </w:r>
      <w:r w:rsidR="00D52FD0">
        <w:t xml:space="preserve"> </w:t>
      </w:r>
      <w:r w:rsidR="000A1AAE" w:rsidRPr="00857B1D">
        <w:t>is</w:t>
      </w:r>
      <w:r w:rsidR="00D52FD0">
        <w:t xml:space="preserve"> </w:t>
      </w:r>
      <w:r w:rsidR="000A1AAE" w:rsidRPr="00857B1D">
        <w:t>composed</w:t>
      </w:r>
      <w:r w:rsidR="00D52FD0">
        <w:t xml:space="preserve"> </w:t>
      </w:r>
      <w:r w:rsidR="000A1AAE" w:rsidRPr="00857B1D">
        <w:t>of</w:t>
      </w:r>
      <w:r w:rsidR="00D52FD0">
        <w:t xml:space="preserve"> </w:t>
      </w:r>
      <w:r w:rsidR="000A1AAE" w:rsidRPr="00857B1D">
        <w:t>sitting</w:t>
      </w:r>
      <w:r w:rsidR="00D52FD0">
        <w:t xml:space="preserve"> </w:t>
      </w:r>
      <w:r w:rsidR="000A1AAE" w:rsidRPr="00857B1D">
        <w:t>members</w:t>
      </w:r>
      <w:r w:rsidR="00D52FD0">
        <w:t xml:space="preserve"> </w:t>
      </w:r>
      <w:r w:rsidR="000A1AAE" w:rsidRPr="00857B1D">
        <w:t>of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judiciary.</w:t>
      </w:r>
    </w:p>
    <w:p w14:paraId="092841C8" w14:textId="50EB5F35" w:rsidR="000A1AAE" w:rsidRPr="00857B1D" w:rsidRDefault="0044637E" w:rsidP="0044637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857B1D">
        <w:t>190.</w:t>
      </w:r>
      <w:r w:rsidRPr="00857B1D">
        <w:tab/>
      </w:r>
      <w:r w:rsidR="000A1AAE" w:rsidRPr="00857B1D">
        <w:t>The</w:t>
      </w:r>
      <w:r w:rsidR="00D52FD0">
        <w:t xml:space="preserve"> </w:t>
      </w:r>
      <w:r w:rsidR="000A1AAE" w:rsidRPr="00857B1D">
        <w:t>Act</w:t>
      </w:r>
      <w:r w:rsidR="00D52FD0">
        <w:t xml:space="preserve"> </w:t>
      </w:r>
      <w:r w:rsidR="000A1AAE" w:rsidRPr="00857B1D">
        <w:t>also</w:t>
      </w:r>
      <w:r w:rsidR="00D52FD0">
        <w:t xml:space="preserve"> </w:t>
      </w:r>
      <w:r w:rsidR="000A1AAE" w:rsidRPr="00857B1D">
        <w:t>provides</w:t>
      </w:r>
      <w:r w:rsidR="00D52FD0">
        <w:t xml:space="preserve"> </w:t>
      </w:r>
      <w:r w:rsidR="000A1AAE" w:rsidRPr="00857B1D">
        <w:t>for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issuing</w:t>
      </w:r>
      <w:r w:rsidR="00D52FD0">
        <w:t xml:space="preserve"> </w:t>
      </w:r>
      <w:r w:rsidR="000A1AAE" w:rsidRPr="00857B1D">
        <w:t>of</w:t>
      </w:r>
      <w:r w:rsidR="00D52FD0">
        <w:t xml:space="preserve"> </w:t>
      </w:r>
      <w:r w:rsidR="000A1AAE" w:rsidRPr="00857B1D">
        <w:t>a</w:t>
      </w:r>
      <w:r w:rsidR="00D52FD0">
        <w:t xml:space="preserve"> </w:t>
      </w:r>
      <w:r w:rsidR="000A1AAE" w:rsidRPr="00857B1D">
        <w:t>public</w:t>
      </w:r>
      <w:r w:rsidR="00D52FD0">
        <w:t xml:space="preserve"> </w:t>
      </w:r>
      <w:r w:rsidR="000A1AAE" w:rsidRPr="00857B1D">
        <w:t>call</w:t>
      </w:r>
      <w:r w:rsidR="00D52FD0">
        <w:t xml:space="preserve"> </w:t>
      </w:r>
      <w:r w:rsidR="000A1AAE" w:rsidRPr="00857B1D">
        <w:t>when</w:t>
      </w:r>
      <w:r w:rsidR="00D52FD0">
        <w:t xml:space="preserve"> </w:t>
      </w:r>
      <w:r w:rsidR="000A1AAE" w:rsidRPr="00857B1D">
        <w:t>there</w:t>
      </w:r>
      <w:r w:rsidR="00D52FD0">
        <w:t xml:space="preserve"> </w:t>
      </w:r>
      <w:r w:rsidR="000A1AAE" w:rsidRPr="00857B1D">
        <w:t>is</w:t>
      </w:r>
      <w:r w:rsidR="00D52FD0">
        <w:t xml:space="preserve"> </w:t>
      </w:r>
      <w:r w:rsidR="000A1AAE" w:rsidRPr="00857B1D">
        <w:t>a</w:t>
      </w:r>
      <w:r w:rsidR="00D52FD0">
        <w:t xml:space="preserve"> </w:t>
      </w:r>
      <w:r w:rsidR="000A1AAE" w:rsidRPr="00857B1D">
        <w:t>vacancy</w:t>
      </w:r>
      <w:r w:rsidR="00D52FD0">
        <w:t xml:space="preserve"> </w:t>
      </w:r>
      <w:r w:rsidR="000A1AAE" w:rsidRPr="00857B1D">
        <w:t>in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office</w:t>
      </w:r>
      <w:r w:rsidR="00D52FD0">
        <w:t xml:space="preserve"> </w:t>
      </w:r>
      <w:r w:rsidR="000A1AAE" w:rsidRPr="00857B1D">
        <w:t>of</w:t>
      </w:r>
      <w:r w:rsidR="00D52FD0">
        <w:t xml:space="preserve"> </w:t>
      </w:r>
      <w:r w:rsidR="000A1AAE" w:rsidRPr="00857B1D">
        <w:t>Judge</w:t>
      </w:r>
      <w:r w:rsidR="00D52FD0">
        <w:t xml:space="preserve"> </w:t>
      </w:r>
      <w:r w:rsidR="000A1AAE" w:rsidRPr="00857B1D">
        <w:t>or</w:t>
      </w:r>
      <w:r w:rsidR="00D52FD0">
        <w:t xml:space="preserve"> </w:t>
      </w:r>
      <w:r w:rsidR="000A1AAE" w:rsidRPr="00857B1D">
        <w:t>Magistrate</w:t>
      </w:r>
      <w:r w:rsidR="00D52FD0">
        <w:t xml:space="preserve"> </w:t>
      </w:r>
      <w:r w:rsidR="000A1AAE" w:rsidRPr="00857B1D">
        <w:t>and</w:t>
      </w:r>
      <w:r w:rsidR="00D52FD0">
        <w:t xml:space="preserve"> </w:t>
      </w:r>
      <w:r w:rsidR="000A1AAE" w:rsidRPr="00857B1D">
        <w:t>also</w:t>
      </w:r>
      <w:r w:rsidR="00D52FD0">
        <w:t xml:space="preserve"> </w:t>
      </w:r>
      <w:r w:rsidR="000A1AAE" w:rsidRPr="00857B1D">
        <w:t>stipulates</w:t>
      </w:r>
      <w:r w:rsidR="00D52FD0">
        <w:t xml:space="preserve"> </w:t>
      </w:r>
      <w:r w:rsidR="000A1AAE" w:rsidRPr="00857B1D">
        <w:t>a</w:t>
      </w:r>
      <w:r w:rsidR="00D52FD0">
        <w:t xml:space="preserve"> </w:t>
      </w:r>
      <w:r w:rsidR="000A1AAE" w:rsidRPr="00857B1D">
        <w:t>list</w:t>
      </w:r>
      <w:r w:rsidR="00D52FD0">
        <w:t xml:space="preserve"> </w:t>
      </w:r>
      <w:r w:rsidR="000A1AAE" w:rsidRPr="00857B1D">
        <w:t>of</w:t>
      </w:r>
      <w:r w:rsidR="00D52FD0">
        <w:t xml:space="preserve"> </w:t>
      </w:r>
      <w:r w:rsidR="000A1AAE" w:rsidRPr="00857B1D">
        <w:t>objective</w:t>
      </w:r>
      <w:r w:rsidR="00D52FD0">
        <w:t xml:space="preserve"> </w:t>
      </w:r>
      <w:r w:rsidR="000A1AAE" w:rsidRPr="00857B1D">
        <w:t>eligibility</w:t>
      </w:r>
      <w:r w:rsidR="00D52FD0">
        <w:t xml:space="preserve"> </w:t>
      </w:r>
      <w:r w:rsidR="000A1AAE" w:rsidRPr="00857B1D">
        <w:t>criteria.</w:t>
      </w:r>
    </w:p>
    <w:p w14:paraId="687042E9" w14:textId="058B6D43" w:rsidR="000A1AAE" w:rsidRPr="00857B1D" w:rsidRDefault="0044637E" w:rsidP="0044637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857B1D">
        <w:t>191.</w:t>
      </w:r>
      <w:r w:rsidRPr="00857B1D">
        <w:tab/>
      </w:r>
      <w:r w:rsidR="000A1AAE" w:rsidRPr="00857B1D">
        <w:t>Under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Act,</w:t>
      </w:r>
      <w:r w:rsidR="00D52FD0">
        <w:t xml:space="preserve"> </w:t>
      </w:r>
      <w:r w:rsidR="000A1AAE" w:rsidRPr="00857B1D">
        <w:t>members</w:t>
      </w:r>
      <w:r w:rsidR="00D52FD0">
        <w:t xml:space="preserve"> </w:t>
      </w:r>
      <w:r w:rsidR="000A1AAE" w:rsidRPr="00857B1D">
        <w:t>of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judiciary</w:t>
      </w:r>
      <w:r w:rsidR="00D52FD0">
        <w:t xml:space="preserve"> </w:t>
      </w:r>
      <w:r w:rsidR="000A1AAE" w:rsidRPr="00857B1D">
        <w:t>shall</w:t>
      </w:r>
      <w:r w:rsidR="00D52FD0">
        <w:t xml:space="preserve"> </w:t>
      </w:r>
      <w:r w:rsidR="000A1AAE" w:rsidRPr="00857B1D">
        <w:t>be</w:t>
      </w:r>
      <w:r w:rsidR="00D52FD0">
        <w:t xml:space="preserve"> </w:t>
      </w:r>
      <w:r w:rsidR="000A1AAE" w:rsidRPr="00857B1D">
        <w:t>appointed</w:t>
      </w:r>
      <w:r w:rsidR="00D52FD0">
        <w:t xml:space="preserve"> </w:t>
      </w:r>
      <w:r w:rsidR="000A1AAE" w:rsidRPr="00857B1D">
        <w:t>by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President</w:t>
      </w:r>
      <w:r w:rsidR="00D52FD0">
        <w:t xml:space="preserve"> </w:t>
      </w:r>
      <w:r w:rsidR="000A1AAE" w:rsidRPr="00857B1D">
        <w:t>exclusively</w:t>
      </w:r>
      <w:r w:rsidR="00D52FD0">
        <w:t xml:space="preserve"> </w:t>
      </w:r>
      <w:r w:rsidR="000A1AAE" w:rsidRPr="00857B1D">
        <w:t>from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names</w:t>
      </w:r>
      <w:r w:rsidR="00D52FD0">
        <w:t xml:space="preserve"> </w:t>
      </w:r>
      <w:r w:rsidR="000A1AAE" w:rsidRPr="00857B1D">
        <w:t>of</w:t>
      </w:r>
      <w:r w:rsidR="00D52FD0">
        <w:t xml:space="preserve"> </w:t>
      </w:r>
      <w:r w:rsidR="000A1AAE" w:rsidRPr="00857B1D">
        <w:t>three</w:t>
      </w:r>
      <w:r w:rsidR="00D52FD0">
        <w:t xml:space="preserve"> </w:t>
      </w:r>
      <w:r w:rsidR="000A1AAE" w:rsidRPr="00857B1D">
        <w:t>candidates</w:t>
      </w:r>
      <w:r w:rsidR="00D52FD0">
        <w:t xml:space="preserve"> </w:t>
      </w:r>
      <w:r w:rsidR="000A1AAE" w:rsidRPr="00857B1D">
        <w:t>submitted</w:t>
      </w:r>
      <w:r w:rsidR="00D52FD0">
        <w:t xml:space="preserve"> </w:t>
      </w:r>
      <w:r w:rsidR="000A1AAE" w:rsidRPr="00857B1D">
        <w:t>to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President</w:t>
      </w:r>
      <w:r w:rsidR="00D52FD0">
        <w:t xml:space="preserve"> </w:t>
      </w:r>
      <w:r w:rsidR="000A1AAE" w:rsidRPr="00857B1D">
        <w:t>by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Judicial</w:t>
      </w:r>
      <w:r w:rsidR="00D52FD0">
        <w:t xml:space="preserve"> </w:t>
      </w:r>
      <w:r w:rsidR="000A1AAE" w:rsidRPr="00857B1D">
        <w:t>Appointments</w:t>
      </w:r>
      <w:r w:rsidR="00D52FD0">
        <w:t xml:space="preserve"> </w:t>
      </w:r>
      <w:r w:rsidR="000A1AAE" w:rsidRPr="00857B1D">
        <w:t>Committee.</w:t>
      </w:r>
    </w:p>
    <w:p w14:paraId="35C3D9C2" w14:textId="4DA672B5" w:rsidR="000A1AAE" w:rsidRPr="00857B1D" w:rsidRDefault="0044637E" w:rsidP="0044637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857B1D">
        <w:t>192.</w:t>
      </w:r>
      <w:r w:rsidRPr="00857B1D">
        <w:tab/>
      </w:r>
      <w:r w:rsidR="000A1AAE" w:rsidRPr="00857B1D">
        <w:t>The</w:t>
      </w:r>
      <w:r w:rsidR="00D52FD0">
        <w:t xml:space="preserve"> </w:t>
      </w:r>
      <w:r w:rsidR="000A1AAE" w:rsidRPr="00857B1D">
        <w:t>procedure</w:t>
      </w:r>
      <w:r w:rsidR="00D52FD0">
        <w:t xml:space="preserve"> </w:t>
      </w:r>
      <w:r w:rsidR="000A1AAE" w:rsidRPr="00857B1D">
        <w:t>for</w:t>
      </w:r>
      <w:r w:rsidR="00D52FD0">
        <w:t xml:space="preserve"> </w:t>
      </w:r>
      <w:r w:rsidR="000A1AAE" w:rsidRPr="00857B1D">
        <w:t>judicial</w:t>
      </w:r>
      <w:r w:rsidR="00D52FD0">
        <w:t xml:space="preserve"> </w:t>
      </w:r>
      <w:r w:rsidR="000A1AAE" w:rsidRPr="00857B1D">
        <w:t>appointments</w:t>
      </w:r>
      <w:r w:rsidR="00D52FD0">
        <w:t xml:space="preserve"> </w:t>
      </w:r>
      <w:r w:rsidR="000A1AAE" w:rsidRPr="00857B1D">
        <w:t>introduced</w:t>
      </w:r>
      <w:r w:rsidR="00D52FD0">
        <w:t xml:space="preserve"> </w:t>
      </w:r>
      <w:r w:rsidR="000A1AAE" w:rsidRPr="00857B1D">
        <w:t>by</w:t>
      </w:r>
      <w:r w:rsidR="00D52FD0">
        <w:t xml:space="preserve"> </w:t>
      </w:r>
      <w:r w:rsidR="000A1AAE" w:rsidRPr="00857B1D">
        <w:t>this</w:t>
      </w:r>
      <w:r w:rsidR="00D52FD0">
        <w:t xml:space="preserve"> </w:t>
      </w:r>
      <w:r w:rsidR="000A1AAE" w:rsidRPr="00857B1D">
        <w:t>Act</w:t>
      </w:r>
      <w:r w:rsidR="00D52FD0">
        <w:t xml:space="preserve"> </w:t>
      </w:r>
      <w:r w:rsidR="000A1AAE" w:rsidRPr="00857B1D">
        <w:t>represents</w:t>
      </w:r>
      <w:r w:rsidR="00D52FD0">
        <w:t xml:space="preserve"> </w:t>
      </w:r>
      <w:r w:rsidR="000A1AAE" w:rsidRPr="00857B1D">
        <w:t>an</w:t>
      </w:r>
      <w:r w:rsidR="00D52FD0">
        <w:t xml:space="preserve"> </w:t>
      </w:r>
      <w:r w:rsidR="000A1AAE" w:rsidRPr="00857B1D">
        <w:t>improvement</w:t>
      </w:r>
      <w:r w:rsidR="00D52FD0">
        <w:t xml:space="preserve"> </w:t>
      </w:r>
      <w:r w:rsidR="000A1AAE" w:rsidRPr="00857B1D">
        <w:t>on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previous</w:t>
      </w:r>
      <w:r w:rsidR="00D52FD0">
        <w:t xml:space="preserve"> </w:t>
      </w:r>
      <w:r w:rsidR="000A1AAE" w:rsidRPr="00857B1D">
        <w:t>system</w:t>
      </w:r>
      <w:r w:rsidR="00D52FD0">
        <w:t xml:space="preserve"> </w:t>
      </w:r>
      <w:r w:rsidR="000A1AAE" w:rsidRPr="00857B1D">
        <w:t>in</w:t>
      </w:r>
      <w:r w:rsidR="00D52FD0">
        <w:t xml:space="preserve"> </w:t>
      </w:r>
      <w:r w:rsidR="000A1AAE" w:rsidRPr="00857B1D">
        <w:t>that</w:t>
      </w:r>
      <w:r w:rsidR="00D52FD0">
        <w:t xml:space="preserve"> </w:t>
      </w:r>
      <w:r w:rsidR="000A1AAE" w:rsidRPr="00857B1D">
        <w:t>it</w:t>
      </w:r>
      <w:r w:rsidR="00D52FD0">
        <w:t xml:space="preserve"> </w:t>
      </w:r>
      <w:r w:rsidR="000A1AAE" w:rsidRPr="00857B1D">
        <w:t>should</w:t>
      </w:r>
      <w:r w:rsidR="00D52FD0">
        <w:t xml:space="preserve"> </w:t>
      </w:r>
      <w:r w:rsidR="000A1AAE" w:rsidRPr="00857B1D">
        <w:t>better</w:t>
      </w:r>
      <w:r w:rsidR="00D52FD0">
        <w:t xml:space="preserve"> </w:t>
      </w:r>
      <w:r w:rsidR="000A1AAE" w:rsidRPr="00857B1D">
        <w:t>avoid</w:t>
      </w:r>
      <w:r w:rsidR="00D52FD0">
        <w:t xml:space="preserve"> </w:t>
      </w:r>
      <w:r w:rsidR="000A1AAE" w:rsidRPr="00857B1D">
        <w:t>situations</w:t>
      </w:r>
      <w:r w:rsidR="00D52FD0">
        <w:t xml:space="preserve"> </w:t>
      </w:r>
      <w:r w:rsidR="000A1AAE" w:rsidRPr="00857B1D">
        <w:t>which</w:t>
      </w:r>
      <w:r w:rsidR="00D52FD0">
        <w:t xml:space="preserve"> </w:t>
      </w:r>
      <w:r w:rsidR="000A1AAE" w:rsidRPr="00857B1D">
        <w:t>give</w:t>
      </w:r>
      <w:r w:rsidR="00D52FD0">
        <w:t xml:space="preserve"> </w:t>
      </w:r>
      <w:r w:rsidR="000A1AAE" w:rsidRPr="00857B1D">
        <w:t>rise</w:t>
      </w:r>
      <w:r w:rsidR="00D52FD0">
        <w:t xml:space="preserve"> </w:t>
      </w:r>
      <w:r w:rsidR="000A1AAE" w:rsidRPr="00857B1D">
        <w:t>to</w:t>
      </w:r>
      <w:r w:rsidR="00D52FD0">
        <w:t xml:space="preserve"> </w:t>
      </w:r>
      <w:r w:rsidR="000A1AAE" w:rsidRPr="00857B1D">
        <w:t>allegations</w:t>
      </w:r>
      <w:r w:rsidR="00D52FD0">
        <w:t xml:space="preserve"> </w:t>
      </w:r>
      <w:r w:rsidR="000A1AAE" w:rsidRPr="00857B1D">
        <w:t>of</w:t>
      </w:r>
      <w:r w:rsidR="00D52FD0">
        <w:t xml:space="preserve"> </w:t>
      </w:r>
      <w:r w:rsidR="000A1AAE" w:rsidRPr="00857B1D">
        <w:t>politicization</w:t>
      </w:r>
      <w:r w:rsidR="00D52FD0">
        <w:t xml:space="preserve"> </w:t>
      </w:r>
      <w:r w:rsidR="000A1AAE" w:rsidRPr="00857B1D">
        <w:t>of</w:t>
      </w:r>
      <w:r w:rsidR="00D52FD0">
        <w:t xml:space="preserve"> </w:t>
      </w:r>
      <w:r w:rsidR="000A1AAE" w:rsidRPr="00857B1D">
        <w:t>judicial</w:t>
      </w:r>
      <w:r w:rsidR="00D52FD0">
        <w:t xml:space="preserve"> </w:t>
      </w:r>
      <w:r w:rsidR="000A1AAE" w:rsidRPr="00857B1D">
        <w:t>appointments.</w:t>
      </w:r>
    </w:p>
    <w:p w14:paraId="3585BDA5" w14:textId="0C12F0A4" w:rsidR="000A1AAE" w:rsidRPr="00857B1D" w:rsidRDefault="0044637E" w:rsidP="0044637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857B1D">
        <w:t>193.</w:t>
      </w:r>
      <w:r w:rsidRPr="00857B1D">
        <w:tab/>
      </w:r>
      <w:r w:rsidR="000A1AAE" w:rsidRPr="00857B1D">
        <w:t>Regarding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right</w:t>
      </w:r>
      <w:r w:rsidR="00D52FD0">
        <w:t xml:space="preserve"> </w:t>
      </w:r>
      <w:r w:rsidR="000A1AAE" w:rsidRPr="00857B1D">
        <w:t>to</w:t>
      </w:r>
      <w:r w:rsidR="00D52FD0">
        <w:t xml:space="preserve"> </w:t>
      </w:r>
      <w:r w:rsidR="000A1AAE" w:rsidRPr="00857B1D">
        <w:t>a</w:t>
      </w:r>
      <w:r w:rsidR="00D52FD0">
        <w:t xml:space="preserve"> </w:t>
      </w:r>
      <w:r w:rsidR="000A1AAE" w:rsidRPr="00857B1D">
        <w:t>fair</w:t>
      </w:r>
      <w:r w:rsidR="00D52FD0">
        <w:t xml:space="preserve"> </w:t>
      </w:r>
      <w:r w:rsidR="000A1AAE" w:rsidRPr="00857B1D">
        <w:t>trial,</w:t>
      </w:r>
      <w:r w:rsidR="00D52FD0">
        <w:t xml:space="preserve"> </w:t>
      </w:r>
      <w:r w:rsidR="000A1AAE" w:rsidRPr="00857B1D">
        <w:t>please</w:t>
      </w:r>
      <w:r w:rsidR="00D52FD0">
        <w:t xml:space="preserve"> </w:t>
      </w:r>
      <w:r w:rsidR="000A1AAE" w:rsidRPr="00857B1D">
        <w:t>refer</w:t>
      </w:r>
      <w:r w:rsidR="00D52FD0">
        <w:t xml:space="preserve"> </w:t>
      </w:r>
      <w:r w:rsidR="000A1AAE" w:rsidRPr="00857B1D">
        <w:t>to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input</w:t>
      </w:r>
      <w:r w:rsidR="00D52FD0">
        <w:t xml:space="preserve"> </w:t>
      </w:r>
      <w:r w:rsidR="000A1AAE" w:rsidRPr="00857B1D">
        <w:t>provided</w:t>
      </w:r>
      <w:r w:rsidR="00D52FD0">
        <w:t xml:space="preserve"> </w:t>
      </w:r>
      <w:r w:rsidR="000A1AAE" w:rsidRPr="00857B1D">
        <w:t>on</w:t>
      </w:r>
      <w:r w:rsidR="00D52FD0">
        <w:t xml:space="preserve"> </w:t>
      </w:r>
      <w:r w:rsidR="000A1AAE" w:rsidRPr="00F75E0D">
        <w:t>section</w:t>
      </w:r>
      <w:r w:rsidR="00D52FD0">
        <w:t xml:space="preserve"> </w:t>
      </w:r>
      <w:r w:rsidR="000A1AAE" w:rsidRPr="00F75E0D">
        <w:t>A,</w:t>
      </w:r>
      <w:r w:rsidR="00D52FD0">
        <w:t xml:space="preserve"> </w:t>
      </w:r>
      <w:r w:rsidR="000A1AAE" w:rsidRPr="00F75E0D">
        <w:t>page</w:t>
      </w:r>
      <w:r w:rsidR="00D52FD0">
        <w:t xml:space="preserve"> </w:t>
      </w:r>
      <w:r w:rsidR="000A1AAE" w:rsidRPr="00F75E0D">
        <w:t>13.</w:t>
      </w:r>
    </w:p>
    <w:p w14:paraId="66C9386F" w14:textId="35174A0C" w:rsidR="000A1AAE" w:rsidRPr="00825CCA" w:rsidRDefault="000A1AAE" w:rsidP="00935045">
      <w:pPr>
        <w:pStyle w:val="H4G"/>
      </w:pPr>
      <w:r>
        <w:lastRenderedPageBreak/>
        <w:tab/>
      </w:r>
      <w:r>
        <w:tab/>
      </w:r>
      <w:r w:rsidRPr="00825CCA">
        <w:t>Various</w:t>
      </w:r>
      <w:r w:rsidR="00D52FD0">
        <w:t xml:space="preserve"> </w:t>
      </w:r>
      <w:r w:rsidRPr="00825CCA">
        <w:t>Laws</w:t>
      </w:r>
      <w:r w:rsidR="00D52FD0">
        <w:t xml:space="preserve"> </w:t>
      </w:r>
      <w:r w:rsidRPr="00825CCA">
        <w:t>(Removal</w:t>
      </w:r>
      <w:r w:rsidR="00D52FD0">
        <w:t xml:space="preserve"> </w:t>
      </w:r>
      <w:r w:rsidRPr="00825CCA">
        <w:t>from</w:t>
      </w:r>
      <w:r w:rsidR="00D52FD0">
        <w:t xml:space="preserve"> </w:t>
      </w:r>
      <w:r w:rsidRPr="00825CCA">
        <w:t>Office)</w:t>
      </w:r>
      <w:r w:rsidR="00D52FD0">
        <w:t xml:space="preserve"> </w:t>
      </w:r>
      <w:r w:rsidRPr="00825CCA">
        <w:t>(Amendment)</w:t>
      </w:r>
      <w:r w:rsidR="00D52FD0">
        <w:t xml:space="preserve"> </w:t>
      </w:r>
      <w:r w:rsidRPr="00825CCA">
        <w:t>Act</w:t>
      </w:r>
      <w:r w:rsidR="00D52FD0">
        <w:t xml:space="preserve"> </w:t>
      </w:r>
      <w:r w:rsidRPr="00825CCA">
        <w:t>2020</w:t>
      </w:r>
      <w:r w:rsidR="00D52FD0">
        <w:t xml:space="preserve"> </w:t>
      </w:r>
      <w:r w:rsidRPr="00825CCA">
        <w:t>(Act</w:t>
      </w:r>
      <w:r w:rsidR="00D52FD0">
        <w:t xml:space="preserve"> </w:t>
      </w:r>
      <w:r w:rsidRPr="00825CCA">
        <w:t>XLV</w:t>
      </w:r>
      <w:r w:rsidR="00D52FD0">
        <w:t xml:space="preserve"> </w:t>
      </w:r>
      <w:r w:rsidRPr="00825CCA">
        <w:t>of</w:t>
      </w:r>
      <w:r w:rsidR="00D52FD0">
        <w:t xml:space="preserve"> </w:t>
      </w:r>
      <w:r w:rsidRPr="00825CCA">
        <w:t>2020)</w:t>
      </w:r>
    </w:p>
    <w:p w14:paraId="5086DDD4" w14:textId="77FEFBE8" w:rsidR="000A1AAE" w:rsidRPr="00857B1D" w:rsidRDefault="0044637E" w:rsidP="0044637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857B1D">
        <w:t>194.</w:t>
      </w:r>
      <w:r w:rsidRPr="00857B1D">
        <w:tab/>
      </w:r>
      <w:r w:rsidR="000A1AAE" w:rsidRPr="00857B1D">
        <w:t>This</w:t>
      </w:r>
      <w:r w:rsidR="00D52FD0">
        <w:t xml:space="preserve"> </w:t>
      </w:r>
      <w:r w:rsidR="000A1AAE" w:rsidRPr="00857B1D">
        <w:t>Act</w:t>
      </w:r>
      <w:r w:rsidR="00D52FD0">
        <w:t xml:space="preserve"> </w:t>
      </w:r>
      <w:r w:rsidR="000A1AAE" w:rsidRPr="00857B1D">
        <w:t>provides</w:t>
      </w:r>
      <w:r w:rsidR="00D52FD0">
        <w:t xml:space="preserve"> </w:t>
      </w:r>
      <w:r w:rsidR="000A1AAE" w:rsidRPr="00857B1D">
        <w:t>for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procedure</w:t>
      </w:r>
      <w:r w:rsidR="00D52FD0">
        <w:t xml:space="preserve"> </w:t>
      </w:r>
      <w:r w:rsidR="000A1AAE" w:rsidRPr="00857B1D">
        <w:t>for</w:t>
      </w:r>
      <w:r w:rsidR="00D52FD0">
        <w:t xml:space="preserve"> </w:t>
      </w:r>
      <w:r w:rsidR="000A1AAE" w:rsidRPr="00857B1D">
        <w:t>removal</w:t>
      </w:r>
      <w:r w:rsidR="00D52FD0">
        <w:t xml:space="preserve"> </w:t>
      </w:r>
      <w:r w:rsidR="000A1AAE" w:rsidRPr="00857B1D">
        <w:t>from</w:t>
      </w:r>
      <w:r w:rsidR="00D52FD0">
        <w:t xml:space="preserve"> </w:t>
      </w:r>
      <w:r w:rsidR="000A1AAE" w:rsidRPr="00857B1D">
        <w:t>Office</w:t>
      </w:r>
      <w:r w:rsidR="00D52FD0">
        <w:t xml:space="preserve"> </w:t>
      </w:r>
      <w:r w:rsidR="000A1AAE" w:rsidRPr="00857B1D">
        <w:t>by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Commission</w:t>
      </w:r>
      <w:r w:rsidR="00D52FD0">
        <w:t xml:space="preserve"> </w:t>
      </w:r>
      <w:r w:rsidR="000A1AAE" w:rsidRPr="00857B1D">
        <w:t>for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Administration</w:t>
      </w:r>
      <w:r w:rsidR="00D52FD0">
        <w:t xml:space="preserve"> </w:t>
      </w:r>
      <w:r w:rsidR="000A1AAE" w:rsidRPr="00857B1D">
        <w:t>of</w:t>
      </w:r>
      <w:r w:rsidR="00D52FD0">
        <w:t xml:space="preserve"> </w:t>
      </w:r>
      <w:r w:rsidR="000A1AAE" w:rsidRPr="00857B1D">
        <w:t>Justice</w:t>
      </w:r>
      <w:r w:rsidR="00D52FD0">
        <w:t xml:space="preserve"> </w:t>
      </w:r>
      <w:r w:rsidR="000A1AAE" w:rsidRPr="00857B1D">
        <w:t>of</w:t>
      </w:r>
      <w:r w:rsidR="00D52FD0">
        <w:t xml:space="preserve"> </w:t>
      </w:r>
      <w:r w:rsidR="000A1AAE" w:rsidRPr="00857B1D">
        <w:t>Judges</w:t>
      </w:r>
      <w:r w:rsidR="00D52FD0">
        <w:t xml:space="preserve"> </w:t>
      </w:r>
      <w:r w:rsidR="000A1AAE" w:rsidRPr="00857B1D">
        <w:t>and</w:t>
      </w:r>
      <w:r w:rsidR="00D52FD0">
        <w:t xml:space="preserve"> </w:t>
      </w:r>
      <w:r w:rsidR="000A1AAE" w:rsidRPr="00857B1D">
        <w:t>Magistrates</w:t>
      </w:r>
      <w:r w:rsidR="00D52FD0">
        <w:t xml:space="preserve"> </w:t>
      </w:r>
      <w:r w:rsidR="000A1AAE" w:rsidRPr="00857B1D">
        <w:t>and</w:t>
      </w:r>
      <w:r w:rsidR="00D52FD0">
        <w:t xml:space="preserve"> </w:t>
      </w:r>
      <w:r w:rsidR="000A1AAE" w:rsidRPr="00857B1D">
        <w:t>by</w:t>
      </w:r>
      <w:r w:rsidR="00D52FD0">
        <w:t xml:space="preserve"> </w:t>
      </w:r>
      <w:r w:rsidR="000A1AAE" w:rsidRPr="00857B1D">
        <w:t>Parliament</w:t>
      </w:r>
      <w:r w:rsidR="00D52FD0">
        <w:t xml:space="preserve"> </w:t>
      </w:r>
      <w:r w:rsidR="000A1AAE" w:rsidRPr="00857B1D">
        <w:t>in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case</w:t>
      </w:r>
      <w:r w:rsidR="00D52FD0">
        <w:t xml:space="preserve"> </w:t>
      </w:r>
      <w:r w:rsidR="000A1AAE" w:rsidRPr="00857B1D">
        <w:t>of</w:t>
      </w:r>
      <w:r w:rsidR="00D52FD0">
        <w:t xml:space="preserve"> </w:t>
      </w:r>
      <w:r w:rsidR="000A1AAE" w:rsidRPr="00857B1D">
        <w:t>proved</w:t>
      </w:r>
      <w:r w:rsidR="00D52FD0">
        <w:t xml:space="preserve"> </w:t>
      </w:r>
      <w:r w:rsidR="000A1AAE" w:rsidRPr="00857B1D">
        <w:t>misbehavior</w:t>
      </w:r>
      <w:r w:rsidR="00D52FD0">
        <w:t xml:space="preserve"> </w:t>
      </w:r>
      <w:r w:rsidR="000A1AAE" w:rsidRPr="00857B1D">
        <w:t>or</w:t>
      </w:r>
      <w:r w:rsidR="00D52FD0">
        <w:t xml:space="preserve"> </w:t>
      </w:r>
      <w:r w:rsidR="000A1AAE" w:rsidRPr="00857B1D">
        <w:t>inability</w:t>
      </w:r>
      <w:r w:rsidR="00D52FD0">
        <w:t xml:space="preserve"> </w:t>
      </w:r>
      <w:r w:rsidR="000A1AAE" w:rsidRPr="00857B1D">
        <w:t>to</w:t>
      </w:r>
      <w:r w:rsidR="00D52FD0">
        <w:t xml:space="preserve"> </w:t>
      </w:r>
      <w:r w:rsidR="000A1AAE" w:rsidRPr="00857B1D">
        <w:t>perform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functions</w:t>
      </w:r>
      <w:r w:rsidR="00D52FD0">
        <w:t xml:space="preserve"> </w:t>
      </w:r>
      <w:r w:rsidR="000A1AAE" w:rsidRPr="00857B1D">
        <w:t>of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office</w:t>
      </w:r>
      <w:r w:rsidR="00D52FD0">
        <w:t xml:space="preserve"> </w:t>
      </w:r>
      <w:r w:rsidR="000A1AAE" w:rsidRPr="00857B1D">
        <w:t>on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part</w:t>
      </w:r>
      <w:r w:rsidR="00D52FD0">
        <w:t xml:space="preserve"> </w:t>
      </w:r>
      <w:r w:rsidR="000A1AAE" w:rsidRPr="00857B1D">
        <w:t>of</w:t>
      </w:r>
      <w:r w:rsidR="00D52FD0">
        <w:t xml:space="preserve"> </w:t>
      </w:r>
      <w:r w:rsidR="000A1AAE" w:rsidRPr="00857B1D">
        <w:t>Attorney</w:t>
      </w:r>
      <w:r w:rsidR="00D52FD0">
        <w:t xml:space="preserve"> </w:t>
      </w:r>
      <w:r w:rsidR="000A1AAE" w:rsidRPr="00857B1D">
        <w:t>General</w:t>
      </w:r>
      <w:r w:rsidR="00D52FD0">
        <w:t xml:space="preserve"> </w:t>
      </w:r>
      <w:r w:rsidR="000A1AAE" w:rsidRPr="00857B1D">
        <w:t>and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State</w:t>
      </w:r>
      <w:r w:rsidR="00D52FD0">
        <w:t xml:space="preserve"> </w:t>
      </w:r>
      <w:r w:rsidR="000A1AAE" w:rsidRPr="00857B1D">
        <w:t>Advocate.</w:t>
      </w:r>
    </w:p>
    <w:p w14:paraId="60F8F03F" w14:textId="0397F783" w:rsidR="000A1AAE" w:rsidRPr="00857B1D" w:rsidRDefault="0044637E" w:rsidP="0044637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857B1D">
        <w:t>195.</w:t>
      </w:r>
      <w:r w:rsidRPr="00857B1D">
        <w:tab/>
      </w:r>
      <w:r w:rsidR="000A1AAE" w:rsidRPr="00857B1D">
        <w:t>The</w:t>
      </w:r>
      <w:r w:rsidR="00D52FD0">
        <w:t xml:space="preserve"> </w:t>
      </w:r>
      <w:r w:rsidR="000A1AAE" w:rsidRPr="00857B1D">
        <w:t>procedure</w:t>
      </w:r>
      <w:r w:rsidR="00D52FD0">
        <w:t xml:space="preserve"> </w:t>
      </w:r>
      <w:r w:rsidR="000A1AAE" w:rsidRPr="00857B1D">
        <w:t>regarding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Attorney</w:t>
      </w:r>
      <w:r w:rsidR="00D52FD0">
        <w:t xml:space="preserve"> </w:t>
      </w:r>
      <w:r w:rsidR="000A1AAE" w:rsidRPr="00857B1D">
        <w:t>General</w:t>
      </w:r>
      <w:r w:rsidR="00D52FD0">
        <w:t xml:space="preserve"> </w:t>
      </w:r>
      <w:r w:rsidR="000A1AAE" w:rsidRPr="00857B1D">
        <w:t>and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State</w:t>
      </w:r>
      <w:r w:rsidR="00D52FD0">
        <w:t xml:space="preserve"> </w:t>
      </w:r>
      <w:r w:rsidR="000A1AAE" w:rsidRPr="00857B1D">
        <w:t>Advocate</w:t>
      </w:r>
      <w:r w:rsidR="00D52FD0">
        <w:t xml:space="preserve"> </w:t>
      </w:r>
      <w:r w:rsidR="000A1AAE" w:rsidRPr="00857B1D">
        <w:t>is</w:t>
      </w:r>
      <w:r w:rsidR="00D52FD0">
        <w:t xml:space="preserve"> </w:t>
      </w:r>
      <w:r w:rsidR="000A1AAE" w:rsidRPr="00857B1D">
        <w:t>similar</w:t>
      </w:r>
      <w:r w:rsidR="00D52FD0">
        <w:t xml:space="preserve"> </w:t>
      </w:r>
      <w:r w:rsidR="000A1AAE" w:rsidRPr="00857B1D">
        <w:t>to</w:t>
      </w:r>
      <w:r w:rsidR="00D52FD0">
        <w:t xml:space="preserve"> </w:t>
      </w:r>
      <w:r w:rsidR="000A1AAE" w:rsidRPr="00857B1D">
        <w:t>that</w:t>
      </w:r>
      <w:r w:rsidR="00D52FD0">
        <w:t xml:space="preserve"> </w:t>
      </w:r>
      <w:r w:rsidR="000A1AAE" w:rsidRPr="00857B1D">
        <w:t>previously</w:t>
      </w:r>
      <w:r w:rsidR="00D52FD0">
        <w:t xml:space="preserve"> </w:t>
      </w:r>
      <w:r w:rsidR="000A1AAE" w:rsidRPr="00857B1D">
        <w:t>applicable</w:t>
      </w:r>
      <w:r w:rsidR="00D52FD0">
        <w:t xml:space="preserve"> </w:t>
      </w:r>
      <w:r w:rsidR="000A1AAE" w:rsidRPr="00857B1D">
        <w:t>for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impeachment</w:t>
      </w:r>
      <w:r w:rsidR="00D52FD0">
        <w:t xml:space="preserve"> </w:t>
      </w:r>
      <w:r w:rsidR="000A1AAE" w:rsidRPr="00857B1D">
        <w:t>of</w:t>
      </w:r>
      <w:r w:rsidR="00D52FD0">
        <w:t xml:space="preserve"> </w:t>
      </w:r>
      <w:r w:rsidR="000A1AAE" w:rsidRPr="00857B1D">
        <w:t>members</w:t>
      </w:r>
      <w:r w:rsidR="00D52FD0">
        <w:t xml:space="preserve"> </w:t>
      </w:r>
      <w:r w:rsidR="000A1AAE" w:rsidRPr="00857B1D">
        <w:t>of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judiciary.</w:t>
      </w:r>
      <w:r w:rsidR="00D52FD0">
        <w:t xml:space="preserve"> </w:t>
      </w:r>
      <w:r w:rsidR="000A1AAE" w:rsidRPr="00857B1D">
        <w:t>It</w:t>
      </w:r>
      <w:r w:rsidR="00D52FD0">
        <w:t xml:space="preserve"> </w:t>
      </w:r>
      <w:r w:rsidR="000A1AAE" w:rsidRPr="00857B1D">
        <w:t>involves</w:t>
      </w:r>
      <w:r w:rsidR="00D52FD0">
        <w:t xml:space="preserve"> </w:t>
      </w:r>
      <w:r w:rsidR="000A1AAE" w:rsidRPr="00857B1D">
        <w:t>a</w:t>
      </w:r>
      <w:r w:rsidR="00D52FD0">
        <w:t xml:space="preserve"> </w:t>
      </w:r>
      <w:r w:rsidR="000A1AAE" w:rsidRPr="00857B1D">
        <w:t>hearing</w:t>
      </w:r>
      <w:r w:rsidR="00D52FD0">
        <w:t xml:space="preserve"> </w:t>
      </w:r>
      <w:r w:rsidR="000A1AAE" w:rsidRPr="00857B1D">
        <w:t>before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Commission</w:t>
      </w:r>
      <w:r w:rsidR="00D52FD0">
        <w:t xml:space="preserve"> </w:t>
      </w:r>
      <w:r w:rsidR="000A1AAE" w:rsidRPr="00857B1D">
        <w:t>for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Administration</w:t>
      </w:r>
      <w:r w:rsidR="00D52FD0">
        <w:t xml:space="preserve"> </w:t>
      </w:r>
      <w:r w:rsidR="000A1AAE" w:rsidRPr="00857B1D">
        <w:t>of</w:t>
      </w:r>
      <w:r w:rsidR="00D52FD0">
        <w:t xml:space="preserve"> </w:t>
      </w:r>
      <w:r w:rsidR="000A1AAE" w:rsidRPr="00857B1D">
        <w:t>Justice</w:t>
      </w:r>
      <w:r w:rsidR="00D52FD0">
        <w:t xml:space="preserve"> </w:t>
      </w:r>
      <w:r w:rsidR="000A1AAE" w:rsidRPr="00857B1D">
        <w:t>and</w:t>
      </w:r>
      <w:r w:rsidR="00D52FD0">
        <w:t xml:space="preserve"> </w:t>
      </w:r>
      <w:r w:rsidR="000A1AAE" w:rsidRPr="00857B1D">
        <w:t>a</w:t>
      </w:r>
      <w:r w:rsidR="00D52FD0">
        <w:t xml:space="preserve"> </w:t>
      </w:r>
      <w:r w:rsidR="000A1AAE" w:rsidRPr="00857B1D">
        <w:t>prima</w:t>
      </w:r>
      <w:r w:rsidR="00D52FD0">
        <w:t xml:space="preserve"> </w:t>
      </w:r>
      <w:r w:rsidR="000A1AAE" w:rsidRPr="00857B1D">
        <w:t>facie</w:t>
      </w:r>
      <w:r w:rsidR="00D52FD0">
        <w:t xml:space="preserve"> </w:t>
      </w:r>
      <w:r w:rsidR="000A1AAE" w:rsidRPr="00857B1D">
        <w:t>finding</w:t>
      </w:r>
      <w:r w:rsidR="00D52FD0">
        <w:t xml:space="preserve"> </w:t>
      </w:r>
      <w:r w:rsidR="000A1AAE" w:rsidRPr="00857B1D">
        <w:t>of</w:t>
      </w:r>
      <w:r w:rsidR="00D52FD0">
        <w:t xml:space="preserve"> </w:t>
      </w:r>
      <w:r w:rsidR="000A1AAE" w:rsidRPr="00857B1D">
        <w:t>misbehavior</w:t>
      </w:r>
      <w:r w:rsidR="00D52FD0">
        <w:t xml:space="preserve"> </w:t>
      </w:r>
      <w:r w:rsidR="000A1AAE" w:rsidRPr="00857B1D">
        <w:t>or</w:t>
      </w:r>
      <w:r w:rsidR="00D52FD0">
        <w:t xml:space="preserve"> </w:t>
      </w:r>
      <w:r w:rsidR="000A1AAE" w:rsidRPr="00857B1D">
        <w:t>incapacity</w:t>
      </w:r>
      <w:r w:rsidR="00D52FD0">
        <w:t xml:space="preserve"> </w:t>
      </w:r>
      <w:r w:rsidR="000A1AAE" w:rsidRPr="00857B1D">
        <w:t>to</w:t>
      </w:r>
      <w:r w:rsidR="00D52FD0">
        <w:t xml:space="preserve"> </w:t>
      </w:r>
      <w:r w:rsidR="000A1AAE" w:rsidRPr="00857B1D">
        <w:t>perform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functions</w:t>
      </w:r>
      <w:r w:rsidR="00D52FD0">
        <w:t xml:space="preserve"> </w:t>
      </w:r>
      <w:r w:rsidR="000A1AAE" w:rsidRPr="00857B1D">
        <w:t>of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office</w:t>
      </w:r>
      <w:r w:rsidR="00D52FD0">
        <w:t xml:space="preserve"> </w:t>
      </w:r>
      <w:r w:rsidR="000A1AAE" w:rsidRPr="00857B1D">
        <w:t>before</w:t>
      </w:r>
      <w:r w:rsidR="00D52FD0">
        <w:t xml:space="preserve"> </w:t>
      </w:r>
      <w:r w:rsidR="000A1AAE" w:rsidRPr="00857B1D">
        <w:t>Parliament,</w:t>
      </w:r>
      <w:r w:rsidR="00D52FD0">
        <w:t xml:space="preserve"> </w:t>
      </w:r>
      <w:r w:rsidR="000A1AAE" w:rsidRPr="00857B1D">
        <w:t>after</w:t>
      </w:r>
      <w:r w:rsidR="00D52FD0">
        <w:t xml:space="preserve"> </w:t>
      </w:r>
      <w:r w:rsidR="000A1AAE" w:rsidRPr="00857B1D">
        <w:t>which,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latter</w:t>
      </w:r>
      <w:r w:rsidR="00D52FD0">
        <w:t xml:space="preserve"> </w:t>
      </w:r>
      <w:r w:rsidR="000A1AAE" w:rsidRPr="00857B1D">
        <w:t>can</w:t>
      </w:r>
      <w:r w:rsidR="00D52FD0">
        <w:t xml:space="preserve"> </w:t>
      </w:r>
      <w:r w:rsidR="000A1AAE" w:rsidRPr="00857B1D">
        <w:t>proceed</w:t>
      </w:r>
      <w:r w:rsidR="00D52FD0">
        <w:t xml:space="preserve"> </w:t>
      </w:r>
      <w:r w:rsidR="000A1AAE" w:rsidRPr="00857B1D">
        <w:t>to</w:t>
      </w:r>
      <w:r w:rsidR="00D52FD0">
        <w:t xml:space="preserve"> </w:t>
      </w:r>
      <w:r w:rsidR="000A1AAE" w:rsidRPr="00857B1D">
        <w:t>consider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impeachment</w:t>
      </w:r>
      <w:r w:rsidR="00D52FD0">
        <w:t xml:space="preserve"> </w:t>
      </w:r>
      <w:r w:rsidR="000A1AAE" w:rsidRPr="00857B1D">
        <w:t>motion.</w:t>
      </w:r>
    </w:p>
    <w:p w14:paraId="49257FBF" w14:textId="2FD46E4B" w:rsidR="000A1AAE" w:rsidRPr="00857B1D" w:rsidRDefault="0044637E" w:rsidP="0044637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857B1D">
        <w:t>196.</w:t>
      </w:r>
      <w:r w:rsidRPr="00857B1D">
        <w:tab/>
      </w:r>
      <w:r w:rsidR="000A1AAE" w:rsidRPr="00857B1D">
        <w:t>This</w:t>
      </w:r>
      <w:r w:rsidR="00D52FD0">
        <w:t xml:space="preserve"> </w:t>
      </w:r>
      <w:r w:rsidR="000A1AAE" w:rsidRPr="00857B1D">
        <w:t>amendment</w:t>
      </w:r>
      <w:r w:rsidR="00D52FD0">
        <w:t xml:space="preserve"> </w:t>
      </w:r>
      <w:r w:rsidR="000A1AAE" w:rsidRPr="00857B1D">
        <w:t>strives</w:t>
      </w:r>
      <w:r w:rsidR="00D52FD0">
        <w:t xml:space="preserve"> </w:t>
      </w:r>
      <w:r w:rsidR="000A1AAE" w:rsidRPr="00857B1D">
        <w:t>to</w:t>
      </w:r>
      <w:r w:rsidR="00D52FD0">
        <w:t xml:space="preserve"> </w:t>
      </w:r>
      <w:r w:rsidR="000A1AAE" w:rsidRPr="00857B1D">
        <w:t>strike</w:t>
      </w:r>
      <w:r w:rsidR="00D52FD0">
        <w:t xml:space="preserve"> </w:t>
      </w:r>
      <w:r w:rsidR="000A1AAE" w:rsidRPr="00857B1D">
        <w:t>a</w:t>
      </w:r>
      <w:r w:rsidR="00D52FD0">
        <w:t xml:space="preserve"> </w:t>
      </w:r>
      <w:r w:rsidR="000A1AAE" w:rsidRPr="00857B1D">
        <w:t>balance</w:t>
      </w:r>
      <w:r w:rsidR="00D52FD0">
        <w:t xml:space="preserve"> </w:t>
      </w:r>
      <w:r w:rsidR="000A1AAE" w:rsidRPr="00857B1D">
        <w:t>between</w:t>
      </w:r>
      <w:r w:rsidR="00D52FD0">
        <w:t xml:space="preserve"> </w:t>
      </w:r>
      <w:r w:rsidR="000A1AAE" w:rsidRPr="00857B1D">
        <w:t>an</w:t>
      </w:r>
      <w:r w:rsidR="00D52FD0">
        <w:t xml:space="preserve"> </w:t>
      </w:r>
      <w:r w:rsidR="000A1AAE" w:rsidRPr="00857B1D">
        <w:t>exclusively</w:t>
      </w:r>
      <w:r w:rsidR="00D52FD0">
        <w:t xml:space="preserve"> </w:t>
      </w:r>
      <w:r w:rsidR="000A1AAE" w:rsidRPr="00857B1D">
        <w:t>parliamentary</w:t>
      </w:r>
      <w:r w:rsidR="00D52FD0">
        <w:t xml:space="preserve"> </w:t>
      </w:r>
      <w:r w:rsidR="000A1AAE" w:rsidRPr="00857B1D">
        <w:t>impeachment</w:t>
      </w:r>
      <w:r w:rsidR="00D52FD0">
        <w:t xml:space="preserve"> </w:t>
      </w:r>
      <w:r w:rsidR="000A1AAE" w:rsidRPr="00857B1D">
        <w:t>process</w:t>
      </w:r>
      <w:r w:rsidR="00D52FD0">
        <w:t xml:space="preserve"> </w:t>
      </w:r>
      <w:r w:rsidR="000A1AAE" w:rsidRPr="00857B1D">
        <w:t>and</w:t>
      </w:r>
      <w:r w:rsidR="00D52FD0">
        <w:t xml:space="preserve"> </w:t>
      </w:r>
      <w:r w:rsidR="000A1AAE" w:rsidRPr="00857B1D">
        <w:t>a</w:t>
      </w:r>
      <w:r w:rsidR="00D52FD0">
        <w:t xml:space="preserve"> </w:t>
      </w:r>
      <w:r w:rsidR="000A1AAE" w:rsidRPr="00857B1D">
        <w:t>judicial</w:t>
      </w:r>
      <w:r w:rsidR="00D52FD0">
        <w:t xml:space="preserve"> </w:t>
      </w:r>
      <w:r w:rsidR="000A1AAE" w:rsidRPr="00857B1D">
        <w:t>process</w:t>
      </w:r>
      <w:r w:rsidR="00D52FD0">
        <w:t xml:space="preserve"> </w:t>
      </w:r>
      <w:r w:rsidR="000A1AAE" w:rsidRPr="00857B1D">
        <w:t>for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removal</w:t>
      </w:r>
      <w:r w:rsidR="00D52FD0">
        <w:t xml:space="preserve"> </w:t>
      </w:r>
      <w:r w:rsidR="000A1AAE" w:rsidRPr="00857B1D">
        <w:t>of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Attorney</w:t>
      </w:r>
      <w:r w:rsidR="00D52FD0">
        <w:t xml:space="preserve"> </w:t>
      </w:r>
      <w:r w:rsidR="000A1AAE" w:rsidRPr="00857B1D">
        <w:t>General</w:t>
      </w:r>
      <w:r w:rsidR="00D52FD0">
        <w:t xml:space="preserve"> </w:t>
      </w:r>
      <w:r w:rsidR="000A1AAE" w:rsidRPr="00857B1D">
        <w:t>and</w:t>
      </w:r>
      <w:r w:rsidR="00D52FD0">
        <w:t xml:space="preserve"> </w:t>
      </w:r>
      <w:r w:rsidR="000A1AAE" w:rsidRPr="00857B1D">
        <w:t>State</w:t>
      </w:r>
      <w:r w:rsidR="00D52FD0">
        <w:t xml:space="preserve"> </w:t>
      </w:r>
      <w:r w:rsidR="000A1AAE" w:rsidRPr="00857B1D">
        <w:t>Advocate</w:t>
      </w:r>
      <w:r w:rsidR="00D52FD0">
        <w:t xml:space="preserve"> </w:t>
      </w:r>
      <w:r w:rsidR="000A1AAE" w:rsidRPr="00857B1D">
        <w:t>and</w:t>
      </w:r>
      <w:r w:rsidR="00D52FD0">
        <w:t xml:space="preserve"> </w:t>
      </w:r>
      <w:r w:rsidR="000A1AAE" w:rsidRPr="00857B1D">
        <w:t>represents</w:t>
      </w:r>
      <w:r w:rsidR="00D52FD0">
        <w:t xml:space="preserve"> </w:t>
      </w:r>
      <w:r w:rsidR="000A1AAE" w:rsidRPr="00857B1D">
        <w:t>a</w:t>
      </w:r>
      <w:r w:rsidR="00D52FD0">
        <w:t xml:space="preserve"> </w:t>
      </w:r>
      <w:r w:rsidR="000A1AAE" w:rsidRPr="00857B1D">
        <w:t>mixed</w:t>
      </w:r>
      <w:r w:rsidR="00D52FD0">
        <w:t xml:space="preserve"> </w:t>
      </w:r>
      <w:r w:rsidR="000A1AAE" w:rsidRPr="00857B1D">
        <w:t>system</w:t>
      </w:r>
      <w:r w:rsidR="00D52FD0">
        <w:t xml:space="preserve"> </w:t>
      </w:r>
      <w:r w:rsidR="000A1AAE" w:rsidRPr="00857B1D">
        <w:t>involving</w:t>
      </w:r>
      <w:r w:rsidR="00D52FD0">
        <w:t xml:space="preserve"> </w:t>
      </w:r>
      <w:r w:rsidR="000A1AAE" w:rsidRPr="00857B1D">
        <w:t>both</w:t>
      </w:r>
      <w:r w:rsidR="00D52FD0">
        <w:t xml:space="preserve"> </w:t>
      </w:r>
      <w:r w:rsidR="000A1AAE" w:rsidRPr="00857B1D">
        <w:t>a</w:t>
      </w:r>
      <w:r w:rsidR="00D52FD0">
        <w:t xml:space="preserve"> </w:t>
      </w:r>
      <w:r w:rsidR="000A1AAE" w:rsidRPr="00857B1D">
        <w:t>quasi-judicial</w:t>
      </w:r>
      <w:r w:rsidR="00D52FD0">
        <w:t xml:space="preserve"> </w:t>
      </w:r>
      <w:r w:rsidR="000A1AAE" w:rsidRPr="00857B1D">
        <w:t>and</w:t>
      </w:r>
      <w:r w:rsidR="00D52FD0">
        <w:t xml:space="preserve"> </w:t>
      </w:r>
      <w:r w:rsidR="000A1AAE" w:rsidRPr="00857B1D">
        <w:t>a</w:t>
      </w:r>
      <w:r w:rsidR="00D52FD0">
        <w:t xml:space="preserve"> </w:t>
      </w:r>
      <w:r w:rsidR="000A1AAE" w:rsidRPr="00857B1D">
        <w:t>parliamentary</w:t>
      </w:r>
      <w:r w:rsidR="00D52FD0">
        <w:t xml:space="preserve"> </w:t>
      </w:r>
      <w:r w:rsidR="000A1AAE" w:rsidRPr="00857B1D">
        <w:t>procedure.</w:t>
      </w:r>
    </w:p>
    <w:p w14:paraId="3EA29A94" w14:textId="2DC9BFEB" w:rsidR="000A1AAE" w:rsidRPr="00857B1D" w:rsidRDefault="0044637E" w:rsidP="0044637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857B1D">
        <w:t>197.</w:t>
      </w:r>
      <w:r w:rsidRPr="00857B1D">
        <w:tab/>
      </w:r>
      <w:r w:rsidR="000A1AAE" w:rsidRPr="00857B1D">
        <w:t>More</w:t>
      </w:r>
      <w:r w:rsidR="00D52FD0">
        <w:t xml:space="preserve"> </w:t>
      </w:r>
      <w:r w:rsidR="000A1AAE" w:rsidRPr="00857B1D">
        <w:t>important</w:t>
      </w:r>
      <w:r w:rsidR="00D52FD0">
        <w:t xml:space="preserve"> </w:t>
      </w:r>
      <w:r w:rsidR="000A1AAE" w:rsidRPr="00857B1D">
        <w:t>amendments</w:t>
      </w:r>
      <w:r w:rsidR="00D52FD0">
        <w:t xml:space="preserve"> </w:t>
      </w:r>
      <w:r w:rsidR="000A1AAE" w:rsidRPr="00857B1D">
        <w:t>introduced</w:t>
      </w:r>
      <w:r w:rsidR="00D52FD0">
        <w:t xml:space="preserve"> </w:t>
      </w:r>
      <w:r w:rsidR="000A1AAE" w:rsidRPr="00857B1D">
        <w:t>by</w:t>
      </w:r>
      <w:r w:rsidR="00D52FD0">
        <w:t xml:space="preserve"> </w:t>
      </w:r>
      <w:r w:rsidR="000A1AAE" w:rsidRPr="00857B1D">
        <w:t>this</w:t>
      </w:r>
      <w:r w:rsidR="00D52FD0">
        <w:t xml:space="preserve"> </w:t>
      </w:r>
      <w:r w:rsidR="000A1AAE" w:rsidRPr="00857B1D">
        <w:t>Act</w:t>
      </w:r>
      <w:r w:rsidR="00D52FD0">
        <w:t xml:space="preserve"> </w:t>
      </w:r>
      <w:r w:rsidR="000A1AAE" w:rsidRPr="00857B1D">
        <w:t>concern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process</w:t>
      </w:r>
      <w:r w:rsidR="00D52FD0">
        <w:t xml:space="preserve"> </w:t>
      </w:r>
      <w:r w:rsidR="000A1AAE" w:rsidRPr="00857B1D">
        <w:t>for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removal</w:t>
      </w:r>
      <w:r w:rsidR="00D52FD0">
        <w:t xml:space="preserve"> </w:t>
      </w:r>
      <w:r w:rsidR="000A1AAE" w:rsidRPr="00857B1D">
        <w:t>of</w:t>
      </w:r>
      <w:r w:rsidR="00D52FD0">
        <w:t xml:space="preserve"> </w:t>
      </w:r>
      <w:r w:rsidR="000A1AAE" w:rsidRPr="00857B1D">
        <w:t>judges</w:t>
      </w:r>
      <w:r w:rsidR="00D52FD0">
        <w:t xml:space="preserve"> </w:t>
      </w:r>
      <w:r w:rsidR="000A1AAE" w:rsidRPr="00857B1D">
        <w:t>and</w:t>
      </w:r>
      <w:r w:rsidR="00D52FD0">
        <w:t xml:space="preserve"> </w:t>
      </w:r>
      <w:r w:rsidR="000A1AAE" w:rsidRPr="00857B1D">
        <w:t>magistrates</w:t>
      </w:r>
      <w:r w:rsidR="00D52FD0">
        <w:t xml:space="preserve"> </w:t>
      </w:r>
      <w:r w:rsidR="000A1AAE" w:rsidRPr="00857B1D">
        <w:t>which</w:t>
      </w:r>
      <w:r w:rsidR="00D52FD0">
        <w:t xml:space="preserve"> </w:t>
      </w:r>
      <w:r w:rsidR="000A1AAE" w:rsidRPr="00857B1D">
        <w:t>will</w:t>
      </w:r>
      <w:r w:rsidR="00D52FD0">
        <w:t xml:space="preserve"> </w:t>
      </w:r>
      <w:r w:rsidR="000A1AAE" w:rsidRPr="00857B1D">
        <w:t>now</w:t>
      </w:r>
      <w:r w:rsidR="00D52FD0">
        <w:t xml:space="preserve"> </w:t>
      </w:r>
      <w:r w:rsidR="000A1AAE" w:rsidRPr="00857B1D">
        <w:t>become</w:t>
      </w:r>
      <w:r w:rsidR="00D52FD0">
        <w:t xml:space="preserve"> </w:t>
      </w:r>
      <w:r w:rsidR="000A1AAE" w:rsidRPr="00857B1D">
        <w:t>an</w:t>
      </w:r>
      <w:r w:rsidR="00D52FD0">
        <w:t xml:space="preserve"> </w:t>
      </w:r>
      <w:r w:rsidR="000A1AAE" w:rsidRPr="00857B1D">
        <w:t>essentially</w:t>
      </w:r>
      <w:r w:rsidR="00D52FD0">
        <w:t xml:space="preserve"> </w:t>
      </w:r>
      <w:r w:rsidR="000A1AAE" w:rsidRPr="00857B1D">
        <w:t>judicial</w:t>
      </w:r>
      <w:r w:rsidR="00D52FD0">
        <w:t xml:space="preserve"> </w:t>
      </w:r>
      <w:r w:rsidR="000A1AAE" w:rsidRPr="00857B1D">
        <w:t>process</w:t>
      </w:r>
      <w:r w:rsidR="00D52FD0">
        <w:t xml:space="preserve"> </w:t>
      </w:r>
      <w:r w:rsidR="000A1AAE" w:rsidRPr="00857B1D">
        <w:t>subject</w:t>
      </w:r>
      <w:r w:rsidR="00D52FD0">
        <w:t xml:space="preserve"> </w:t>
      </w:r>
      <w:r w:rsidR="000A1AAE" w:rsidRPr="00857B1D">
        <w:t>to</w:t>
      </w:r>
      <w:r w:rsidR="00D52FD0">
        <w:t xml:space="preserve"> </w:t>
      </w:r>
      <w:r w:rsidR="000A1AAE" w:rsidRPr="00857B1D">
        <w:t>appeal</w:t>
      </w:r>
      <w:r w:rsidR="00D52FD0">
        <w:t xml:space="preserve"> </w:t>
      </w:r>
      <w:r w:rsidR="000A1AAE" w:rsidRPr="00857B1D">
        <w:t>to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Constitutional</w:t>
      </w:r>
      <w:r w:rsidR="00D52FD0">
        <w:t xml:space="preserve"> </w:t>
      </w:r>
      <w:r w:rsidR="000A1AAE" w:rsidRPr="00857B1D">
        <w:t>Court.</w:t>
      </w:r>
    </w:p>
    <w:p w14:paraId="7F10F195" w14:textId="53E5B125" w:rsidR="000A1AAE" w:rsidRPr="00857B1D" w:rsidRDefault="0044637E" w:rsidP="0044637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857B1D">
        <w:t>198.</w:t>
      </w:r>
      <w:r w:rsidRPr="00857B1D">
        <w:tab/>
      </w:r>
      <w:r w:rsidR="000A1AAE" w:rsidRPr="00857B1D">
        <w:t>The</w:t>
      </w:r>
      <w:r w:rsidR="00D52FD0">
        <w:t xml:space="preserve"> </w:t>
      </w:r>
      <w:r w:rsidR="000A1AAE" w:rsidRPr="00857B1D">
        <w:t>Act</w:t>
      </w:r>
      <w:r w:rsidR="00D52FD0">
        <w:t xml:space="preserve"> </w:t>
      </w:r>
      <w:r w:rsidR="000A1AAE" w:rsidRPr="00857B1D">
        <w:t>also</w:t>
      </w:r>
      <w:r w:rsidR="00D52FD0">
        <w:t xml:space="preserve"> </w:t>
      </w:r>
      <w:r w:rsidR="000A1AAE" w:rsidRPr="00857B1D">
        <w:t>changes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composition</w:t>
      </w:r>
      <w:r w:rsidR="00D52FD0">
        <w:t xml:space="preserve"> </w:t>
      </w:r>
      <w:r w:rsidR="000A1AAE" w:rsidRPr="00857B1D">
        <w:t>of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Commission</w:t>
      </w:r>
      <w:r w:rsidR="00D52FD0">
        <w:t xml:space="preserve"> </w:t>
      </w:r>
      <w:r w:rsidR="000A1AAE" w:rsidRPr="00857B1D">
        <w:t>for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Administration</w:t>
      </w:r>
      <w:r w:rsidR="00D52FD0">
        <w:t xml:space="preserve"> </w:t>
      </w:r>
      <w:r w:rsidR="000A1AAE" w:rsidRPr="00857B1D">
        <w:t>of</w:t>
      </w:r>
      <w:r w:rsidR="00D52FD0">
        <w:t xml:space="preserve"> </w:t>
      </w:r>
      <w:r w:rsidR="000A1AAE" w:rsidRPr="00857B1D">
        <w:t>Justice</w:t>
      </w:r>
      <w:r w:rsidR="00D52FD0">
        <w:t xml:space="preserve"> </w:t>
      </w:r>
      <w:r w:rsidR="000A1AAE" w:rsidRPr="00857B1D">
        <w:t>(</w:t>
      </w:r>
      <w:r w:rsidR="00F14DA3">
        <w:t>‘</w:t>
      </w:r>
      <w:r w:rsidR="000A1AAE" w:rsidRPr="00857B1D">
        <w:t>the</w:t>
      </w:r>
      <w:r w:rsidR="00D52FD0">
        <w:t xml:space="preserve"> </w:t>
      </w:r>
      <w:r w:rsidR="000A1AAE" w:rsidRPr="00857B1D">
        <w:t>Commission</w:t>
      </w:r>
      <w:r w:rsidR="00F14DA3">
        <w:t>’</w:t>
      </w:r>
      <w:r w:rsidR="000A1AAE" w:rsidRPr="00857B1D">
        <w:t>)</w:t>
      </w:r>
      <w:r w:rsidR="00D52FD0">
        <w:t xml:space="preserve"> </w:t>
      </w:r>
      <w:r w:rsidR="000A1AAE" w:rsidRPr="00857B1D">
        <w:t>by</w:t>
      </w:r>
      <w:r w:rsidR="00D52FD0">
        <w:t xml:space="preserve"> </w:t>
      </w:r>
      <w:r w:rsidR="000A1AAE" w:rsidRPr="00857B1D">
        <w:t>removing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Attorney</w:t>
      </w:r>
      <w:r w:rsidR="00D52FD0">
        <w:t xml:space="preserve"> </w:t>
      </w:r>
      <w:r w:rsidR="000A1AAE" w:rsidRPr="00857B1D">
        <w:t>General</w:t>
      </w:r>
      <w:r w:rsidR="00D52FD0">
        <w:t xml:space="preserve"> </w:t>
      </w:r>
      <w:r w:rsidR="000A1AAE" w:rsidRPr="00857B1D">
        <w:t>from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Commission</w:t>
      </w:r>
      <w:r w:rsidR="00D52FD0">
        <w:t xml:space="preserve"> </w:t>
      </w:r>
      <w:r w:rsidR="000A1AAE" w:rsidRPr="00857B1D">
        <w:t>and</w:t>
      </w:r>
      <w:r w:rsidR="00D52FD0">
        <w:t xml:space="preserve"> </w:t>
      </w:r>
      <w:r w:rsidR="000A1AAE" w:rsidRPr="00857B1D">
        <w:t>thereby</w:t>
      </w:r>
      <w:r w:rsidR="00D52FD0">
        <w:t xml:space="preserve"> </w:t>
      </w:r>
      <w:r w:rsidR="000A1AAE" w:rsidRPr="00857B1D">
        <w:t>granting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judiciary</w:t>
      </w:r>
      <w:r w:rsidR="00D52FD0">
        <w:t xml:space="preserve"> </w:t>
      </w:r>
      <w:r w:rsidR="000A1AAE" w:rsidRPr="00857B1D">
        <w:t>a</w:t>
      </w:r>
      <w:r w:rsidR="00D52FD0">
        <w:t xml:space="preserve"> </w:t>
      </w:r>
      <w:r w:rsidR="000A1AAE" w:rsidRPr="00857B1D">
        <w:t>majority</w:t>
      </w:r>
      <w:r w:rsidR="00D52FD0">
        <w:t xml:space="preserve"> </w:t>
      </w:r>
      <w:r w:rsidR="000A1AAE" w:rsidRPr="00857B1D">
        <w:t>on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Commission.</w:t>
      </w:r>
      <w:r w:rsidR="00D52FD0">
        <w:t xml:space="preserve"> </w:t>
      </w:r>
      <w:r w:rsidR="000A1AAE" w:rsidRPr="00857B1D">
        <w:t>This</w:t>
      </w:r>
      <w:r w:rsidR="00D52FD0">
        <w:t xml:space="preserve"> </w:t>
      </w:r>
      <w:r w:rsidR="000A1AAE" w:rsidRPr="00857B1D">
        <w:t>is</w:t>
      </w:r>
      <w:r w:rsidR="00D52FD0">
        <w:t xml:space="preserve"> </w:t>
      </w:r>
      <w:r w:rsidR="000A1AAE" w:rsidRPr="00857B1D">
        <w:t>seen</w:t>
      </w:r>
      <w:r w:rsidR="00D52FD0">
        <w:t xml:space="preserve"> </w:t>
      </w:r>
      <w:r w:rsidR="000A1AAE" w:rsidRPr="00857B1D">
        <w:t>as</w:t>
      </w:r>
      <w:r w:rsidR="00D52FD0">
        <w:t xml:space="preserve"> </w:t>
      </w:r>
      <w:r w:rsidR="000A1AAE" w:rsidRPr="00857B1D">
        <w:t>being</w:t>
      </w:r>
      <w:r w:rsidR="00D52FD0">
        <w:t xml:space="preserve"> </w:t>
      </w:r>
      <w:r w:rsidR="000A1AAE" w:rsidRPr="00857B1D">
        <w:t>in</w:t>
      </w:r>
      <w:r w:rsidR="00D52FD0">
        <w:t xml:space="preserve"> </w:t>
      </w:r>
      <w:r w:rsidR="000A1AAE" w:rsidRPr="00857B1D">
        <w:t>line</w:t>
      </w:r>
      <w:r w:rsidR="00D52FD0">
        <w:t xml:space="preserve"> </w:t>
      </w:r>
      <w:r w:rsidR="000A1AAE" w:rsidRPr="00857B1D">
        <w:t>with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new</w:t>
      </w:r>
      <w:r w:rsidR="00D52FD0">
        <w:t xml:space="preserve"> </w:t>
      </w:r>
      <w:r w:rsidR="000A1AAE" w:rsidRPr="00857B1D">
        <w:t>powers</w:t>
      </w:r>
      <w:r w:rsidR="00D52FD0">
        <w:t xml:space="preserve"> </w:t>
      </w:r>
      <w:r w:rsidR="000A1AAE" w:rsidRPr="00857B1D">
        <w:t>of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Commission</w:t>
      </w:r>
      <w:r w:rsidR="00D52FD0">
        <w:t xml:space="preserve"> </w:t>
      </w:r>
      <w:r w:rsidR="000A1AAE" w:rsidRPr="00857B1D">
        <w:t>in</w:t>
      </w:r>
      <w:r w:rsidR="00D52FD0">
        <w:t xml:space="preserve"> </w:t>
      </w:r>
      <w:r w:rsidR="000A1AAE" w:rsidRPr="00857B1D">
        <w:t>relation</w:t>
      </w:r>
      <w:r w:rsidR="00D52FD0">
        <w:t xml:space="preserve"> </w:t>
      </w:r>
      <w:r w:rsidR="000A1AAE" w:rsidRPr="00857B1D">
        <w:t>to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removal</w:t>
      </w:r>
      <w:r w:rsidR="00D52FD0">
        <w:t xml:space="preserve"> </w:t>
      </w:r>
      <w:r w:rsidR="000A1AAE" w:rsidRPr="00857B1D">
        <w:t>from</w:t>
      </w:r>
      <w:r w:rsidR="00D52FD0">
        <w:t xml:space="preserve"> </w:t>
      </w:r>
      <w:r w:rsidR="000A1AAE" w:rsidRPr="00857B1D">
        <w:t>Office</w:t>
      </w:r>
      <w:r w:rsidR="00D52FD0">
        <w:t xml:space="preserve"> </w:t>
      </w:r>
      <w:r w:rsidR="000A1AAE" w:rsidRPr="00857B1D">
        <w:t>of</w:t>
      </w:r>
      <w:r w:rsidR="00D52FD0">
        <w:t xml:space="preserve"> </w:t>
      </w:r>
      <w:r w:rsidR="000A1AAE" w:rsidRPr="00857B1D">
        <w:t>members</w:t>
      </w:r>
      <w:r w:rsidR="00D52FD0">
        <w:t xml:space="preserve"> </w:t>
      </w:r>
      <w:r w:rsidR="000A1AAE" w:rsidRPr="00857B1D">
        <w:t>of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Judiciary</w:t>
      </w:r>
      <w:r w:rsidR="00D52FD0">
        <w:t xml:space="preserve"> </w:t>
      </w:r>
      <w:r w:rsidR="000A1AAE" w:rsidRPr="00857B1D">
        <w:t>as</w:t>
      </w:r>
      <w:r w:rsidR="00D52FD0">
        <w:t xml:space="preserve"> </w:t>
      </w:r>
      <w:r w:rsidR="000A1AAE" w:rsidRPr="00857B1D">
        <w:t>members</w:t>
      </w:r>
      <w:r w:rsidR="00D52FD0">
        <w:t xml:space="preserve"> </w:t>
      </w:r>
      <w:r w:rsidR="000A1AAE" w:rsidRPr="00857B1D">
        <w:t>of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judiciary</w:t>
      </w:r>
      <w:r w:rsidR="00D52FD0">
        <w:t xml:space="preserve"> </w:t>
      </w:r>
      <w:r w:rsidR="000A1AAE" w:rsidRPr="00857B1D">
        <w:t>will</w:t>
      </w:r>
      <w:r w:rsidR="00D52FD0">
        <w:t xml:space="preserve"> </w:t>
      </w:r>
      <w:r w:rsidR="000A1AAE" w:rsidRPr="00857B1D">
        <w:t>be</w:t>
      </w:r>
      <w:r w:rsidR="00D52FD0">
        <w:t xml:space="preserve"> </w:t>
      </w:r>
      <w:r w:rsidR="000A1AAE" w:rsidRPr="00857B1D">
        <w:t>judged</w:t>
      </w:r>
      <w:r w:rsidR="00D52FD0">
        <w:t xml:space="preserve"> </w:t>
      </w:r>
      <w:r w:rsidR="000A1AAE" w:rsidRPr="00857B1D">
        <w:t>by</w:t>
      </w:r>
      <w:r w:rsidR="00D52FD0">
        <w:t xml:space="preserve"> </w:t>
      </w:r>
      <w:r w:rsidR="000A1AAE" w:rsidRPr="00857B1D">
        <w:t>their</w:t>
      </w:r>
      <w:r w:rsidR="00D52FD0">
        <w:t xml:space="preserve"> </w:t>
      </w:r>
      <w:r w:rsidR="000A1AAE" w:rsidRPr="00857B1D">
        <w:t>own</w:t>
      </w:r>
      <w:r w:rsidR="00D52FD0">
        <w:t xml:space="preserve"> </w:t>
      </w:r>
      <w:r w:rsidR="000A1AAE" w:rsidRPr="00857B1D">
        <w:t>peers.</w:t>
      </w:r>
    </w:p>
    <w:p w14:paraId="4810EED1" w14:textId="1D9E80E6" w:rsidR="000A1AAE" w:rsidRPr="00825CCA" w:rsidRDefault="000A1AAE" w:rsidP="00935045">
      <w:pPr>
        <w:pStyle w:val="H4G"/>
      </w:pPr>
      <w:r>
        <w:tab/>
      </w:r>
      <w:r>
        <w:tab/>
      </w:r>
      <w:r w:rsidRPr="00825CCA">
        <w:t>Other</w:t>
      </w:r>
      <w:r w:rsidR="00D52FD0">
        <w:t xml:space="preserve"> </w:t>
      </w:r>
      <w:r w:rsidRPr="00825CCA">
        <w:t>measures</w:t>
      </w:r>
      <w:r w:rsidR="00D52FD0">
        <w:t xml:space="preserve"> </w:t>
      </w:r>
      <w:r w:rsidRPr="00825CCA">
        <w:t>taken</w:t>
      </w:r>
      <w:r w:rsidR="00D52FD0">
        <w:t xml:space="preserve"> </w:t>
      </w:r>
      <w:r w:rsidRPr="00825CCA">
        <w:t>relative</w:t>
      </w:r>
      <w:r w:rsidR="00D52FD0">
        <w:t xml:space="preserve"> </w:t>
      </w:r>
      <w:r w:rsidRPr="00825CCA">
        <w:t>to</w:t>
      </w:r>
      <w:r w:rsidR="00D52FD0">
        <w:t xml:space="preserve"> </w:t>
      </w:r>
      <w:r w:rsidRPr="00825CCA">
        <w:t>members</w:t>
      </w:r>
      <w:r w:rsidR="00D52FD0">
        <w:t xml:space="preserve"> </w:t>
      </w:r>
      <w:r w:rsidRPr="00825CCA">
        <w:t>of</w:t>
      </w:r>
      <w:r w:rsidR="00D52FD0">
        <w:t xml:space="preserve"> </w:t>
      </w:r>
      <w:r w:rsidRPr="00825CCA">
        <w:t>the</w:t>
      </w:r>
      <w:r w:rsidR="00D52FD0">
        <w:t xml:space="preserve"> </w:t>
      </w:r>
      <w:r w:rsidRPr="00825CCA">
        <w:t>judiciary:</w:t>
      </w:r>
    </w:p>
    <w:p w14:paraId="4CA6B459" w14:textId="179F434D" w:rsidR="000A1AAE" w:rsidRPr="00857B1D" w:rsidRDefault="0044637E" w:rsidP="0044637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857B1D">
        <w:t>199.</w:t>
      </w:r>
      <w:r w:rsidRPr="00857B1D">
        <w:tab/>
      </w:r>
      <w:r w:rsidR="000A1AAE" w:rsidRPr="00857B1D">
        <w:t>The</w:t>
      </w:r>
      <w:r w:rsidR="00D52FD0">
        <w:t xml:space="preserve"> </w:t>
      </w:r>
      <w:r w:rsidR="000A1AAE" w:rsidRPr="00857B1D">
        <w:t>financial</w:t>
      </w:r>
      <w:r w:rsidR="00D52FD0">
        <w:t xml:space="preserve"> </w:t>
      </w:r>
      <w:r w:rsidR="000A1AAE" w:rsidRPr="00857B1D">
        <w:t>package</w:t>
      </w:r>
      <w:r w:rsidR="00D52FD0">
        <w:t xml:space="preserve"> </w:t>
      </w:r>
      <w:r w:rsidR="000A1AAE" w:rsidRPr="00857B1D">
        <w:t>of</w:t>
      </w:r>
      <w:r w:rsidR="00D52FD0">
        <w:t xml:space="preserve"> </w:t>
      </w:r>
      <w:r w:rsidR="000A1AAE" w:rsidRPr="00857B1D">
        <w:t>members</w:t>
      </w:r>
      <w:r w:rsidR="00D52FD0">
        <w:t xml:space="preserve"> </w:t>
      </w:r>
      <w:r w:rsidR="000A1AAE" w:rsidRPr="00857B1D">
        <w:t>of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judiciary</w:t>
      </w:r>
      <w:r w:rsidR="00D52FD0">
        <w:t xml:space="preserve"> </w:t>
      </w:r>
      <w:r w:rsidR="000A1AAE" w:rsidRPr="00857B1D">
        <w:t>was</w:t>
      </w:r>
      <w:r w:rsidR="00D52FD0">
        <w:t xml:space="preserve"> </w:t>
      </w:r>
      <w:r w:rsidR="000A1AAE" w:rsidRPr="00857B1D">
        <w:t>revised</w:t>
      </w:r>
      <w:r w:rsidR="00D52FD0">
        <w:t xml:space="preserve"> </w:t>
      </w:r>
      <w:r w:rsidR="000A1AAE" w:rsidRPr="00857B1D">
        <w:t>with</w:t>
      </w:r>
      <w:r w:rsidR="00D52FD0">
        <w:t xml:space="preserve"> </w:t>
      </w:r>
      <w:r w:rsidR="000A1AAE" w:rsidRPr="00857B1D">
        <w:t>drastic</w:t>
      </w:r>
      <w:r w:rsidR="00D52FD0">
        <w:t xml:space="preserve"> </w:t>
      </w:r>
      <w:r w:rsidR="000A1AAE" w:rsidRPr="00857B1D">
        <w:t>increases</w:t>
      </w:r>
      <w:r w:rsidR="00D52FD0">
        <w:t xml:space="preserve"> </w:t>
      </w:r>
      <w:r w:rsidR="000A1AAE" w:rsidRPr="00857B1D">
        <w:t>in</w:t>
      </w:r>
      <w:r w:rsidR="00D52FD0">
        <w:t xml:space="preserve"> </w:t>
      </w:r>
      <w:r w:rsidR="000A1AAE" w:rsidRPr="00857B1D">
        <w:t>salary</w:t>
      </w:r>
      <w:r w:rsidR="00D52FD0">
        <w:t xml:space="preserve"> </w:t>
      </w:r>
      <w:r w:rsidR="000A1AAE" w:rsidRPr="00857B1D">
        <w:t>and</w:t>
      </w:r>
      <w:r w:rsidR="00D52FD0">
        <w:t xml:space="preserve"> </w:t>
      </w:r>
      <w:r w:rsidR="000A1AAE" w:rsidRPr="00857B1D">
        <w:t>allowances</w:t>
      </w:r>
      <w:r w:rsidR="00D52FD0">
        <w:t xml:space="preserve"> </w:t>
      </w:r>
      <w:r w:rsidR="000A1AAE" w:rsidRPr="00857B1D">
        <w:t>to</w:t>
      </w:r>
      <w:r w:rsidR="00D52FD0">
        <w:t xml:space="preserve"> </w:t>
      </w:r>
      <w:r w:rsidR="000A1AAE" w:rsidRPr="00857B1D">
        <w:t>maximize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independence</w:t>
      </w:r>
      <w:r w:rsidR="00D52FD0">
        <w:t xml:space="preserve"> </w:t>
      </w:r>
      <w:r w:rsidR="000A1AAE" w:rsidRPr="00857B1D">
        <w:t>and</w:t>
      </w:r>
      <w:r w:rsidR="00D52FD0">
        <w:t xml:space="preserve"> </w:t>
      </w:r>
      <w:r w:rsidR="000A1AAE" w:rsidRPr="00857B1D">
        <w:t>curb</w:t>
      </w:r>
      <w:r w:rsidR="00D52FD0">
        <w:t xml:space="preserve"> </w:t>
      </w:r>
      <w:r w:rsidR="000A1AAE" w:rsidRPr="00857B1D">
        <w:t>risks</w:t>
      </w:r>
      <w:r w:rsidR="00D52FD0">
        <w:t xml:space="preserve"> </w:t>
      </w:r>
      <w:r w:rsidR="000A1AAE" w:rsidRPr="00857B1D">
        <w:t>of</w:t>
      </w:r>
      <w:r w:rsidR="00D52FD0">
        <w:t xml:space="preserve"> </w:t>
      </w:r>
      <w:r w:rsidR="000A1AAE" w:rsidRPr="00857B1D">
        <w:t>corruption</w:t>
      </w:r>
      <w:r w:rsidR="00D52FD0">
        <w:t xml:space="preserve"> </w:t>
      </w:r>
      <w:r w:rsidR="000A1AAE" w:rsidRPr="00857B1D">
        <w:t>of</w:t>
      </w:r>
      <w:r w:rsidR="00D52FD0">
        <w:t xml:space="preserve"> </w:t>
      </w:r>
      <w:r w:rsidR="000A1AAE" w:rsidRPr="00857B1D">
        <w:t>members</w:t>
      </w:r>
      <w:r w:rsidR="00D52FD0">
        <w:t xml:space="preserve"> </w:t>
      </w:r>
      <w:r w:rsidR="000A1AAE" w:rsidRPr="00857B1D">
        <w:t>of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judiciary.</w:t>
      </w:r>
    </w:p>
    <w:p w14:paraId="32618DCE" w14:textId="1017D4D5" w:rsidR="000A1AAE" w:rsidRPr="00825CCA" w:rsidRDefault="000A1AAE" w:rsidP="00935045">
      <w:pPr>
        <w:pStyle w:val="H4G"/>
      </w:pPr>
      <w:r>
        <w:tab/>
      </w:r>
      <w:r>
        <w:tab/>
      </w:r>
      <w:r w:rsidRPr="00825CCA">
        <w:t>Reform</w:t>
      </w:r>
      <w:r w:rsidR="00D52FD0">
        <w:t xml:space="preserve"> </w:t>
      </w:r>
      <w:r w:rsidRPr="00825CCA">
        <w:t>to</w:t>
      </w:r>
      <w:r w:rsidR="00D52FD0">
        <w:t xml:space="preserve"> </w:t>
      </w:r>
      <w:r w:rsidRPr="00825CCA">
        <w:t>the</w:t>
      </w:r>
      <w:r w:rsidR="00D52FD0">
        <w:t xml:space="preserve"> </w:t>
      </w:r>
      <w:r w:rsidRPr="00825CCA">
        <w:t>functions</w:t>
      </w:r>
      <w:r w:rsidR="00D52FD0">
        <w:t xml:space="preserve"> </w:t>
      </w:r>
      <w:r w:rsidRPr="00825CCA">
        <w:t>of</w:t>
      </w:r>
      <w:r w:rsidR="00D52FD0">
        <w:t xml:space="preserve"> </w:t>
      </w:r>
      <w:r w:rsidRPr="00825CCA">
        <w:t>the</w:t>
      </w:r>
      <w:r w:rsidR="00D52FD0">
        <w:t xml:space="preserve"> </w:t>
      </w:r>
      <w:r w:rsidRPr="00825CCA">
        <w:t>Attorney</w:t>
      </w:r>
      <w:r w:rsidR="00D52FD0">
        <w:t xml:space="preserve"> </w:t>
      </w:r>
      <w:r w:rsidRPr="00825CCA">
        <w:t>General</w:t>
      </w:r>
    </w:p>
    <w:p w14:paraId="6389D8A6" w14:textId="5098F942" w:rsidR="000A1AAE" w:rsidRPr="00857B1D" w:rsidRDefault="0044637E" w:rsidP="0044637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857B1D">
        <w:t>200.</w:t>
      </w:r>
      <w:r w:rsidRPr="00857B1D">
        <w:tab/>
      </w:r>
      <w:r w:rsidR="000A1AAE" w:rsidRPr="00857B1D">
        <w:t>In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first</w:t>
      </w:r>
      <w:r w:rsidR="00D52FD0">
        <w:t xml:space="preserve"> </w:t>
      </w:r>
      <w:r w:rsidR="000A1AAE" w:rsidRPr="00857B1D">
        <w:t>place</w:t>
      </w:r>
      <w:r w:rsidR="00D52FD0">
        <w:t xml:space="preserve"> </w:t>
      </w:r>
      <w:r w:rsidR="000A1AAE" w:rsidRPr="00857B1D">
        <w:t>it</w:t>
      </w:r>
      <w:r w:rsidR="00D52FD0">
        <w:t xml:space="preserve"> </w:t>
      </w:r>
      <w:r w:rsidR="000A1AAE" w:rsidRPr="00857B1D">
        <w:t>must</w:t>
      </w:r>
      <w:r w:rsidR="00D52FD0">
        <w:t xml:space="preserve"> </w:t>
      </w:r>
      <w:r w:rsidR="000A1AAE" w:rsidRPr="00857B1D">
        <w:t>be</w:t>
      </w:r>
      <w:r w:rsidR="00D52FD0">
        <w:t xml:space="preserve"> </w:t>
      </w:r>
      <w:r w:rsidR="000A1AAE" w:rsidRPr="00857B1D">
        <w:t>recalled</w:t>
      </w:r>
      <w:r w:rsidR="00D52FD0">
        <w:t xml:space="preserve"> </w:t>
      </w:r>
      <w:r w:rsidR="000A1AAE" w:rsidRPr="00857B1D">
        <w:t>that</w:t>
      </w:r>
      <w:r w:rsidR="00D52FD0">
        <w:t xml:space="preserve"> </w:t>
      </w:r>
      <w:r w:rsidR="000A1AAE" w:rsidRPr="00857B1D">
        <w:t>since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18th</w:t>
      </w:r>
      <w:r w:rsidR="00D52FD0">
        <w:t xml:space="preserve"> </w:t>
      </w:r>
      <w:r w:rsidR="000A1AAE" w:rsidRPr="00857B1D">
        <w:t>December</w:t>
      </w:r>
      <w:r w:rsidR="00D52FD0">
        <w:t xml:space="preserve"> </w:t>
      </w:r>
      <w:r w:rsidR="000A1AAE" w:rsidRPr="00857B1D">
        <w:t>2019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Attorney</w:t>
      </w:r>
      <w:r w:rsidR="00D52FD0">
        <w:t xml:space="preserve"> </w:t>
      </w:r>
      <w:r w:rsidR="000A1AAE" w:rsidRPr="00857B1D">
        <w:t>General</w:t>
      </w:r>
      <w:r w:rsidR="00D52FD0">
        <w:t xml:space="preserve"> </w:t>
      </w:r>
      <w:r w:rsidR="000A1AAE" w:rsidRPr="00857B1D">
        <w:t>no</w:t>
      </w:r>
      <w:r w:rsidR="00D52FD0">
        <w:t xml:space="preserve"> </w:t>
      </w:r>
      <w:r w:rsidR="000A1AAE" w:rsidRPr="00857B1D">
        <w:t>longer</w:t>
      </w:r>
      <w:r w:rsidR="00D52FD0">
        <w:t xml:space="preserve"> </w:t>
      </w:r>
      <w:r w:rsidR="000A1AAE" w:rsidRPr="00857B1D">
        <w:t>has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dual</w:t>
      </w:r>
      <w:r w:rsidR="00D52FD0">
        <w:t xml:space="preserve"> </w:t>
      </w:r>
      <w:r w:rsidR="000A1AAE" w:rsidRPr="00857B1D">
        <w:t>role</w:t>
      </w:r>
      <w:r w:rsidR="00D52FD0">
        <w:t xml:space="preserve"> </w:t>
      </w:r>
      <w:r w:rsidR="000A1AAE" w:rsidRPr="00857B1D">
        <w:t>of</w:t>
      </w:r>
      <w:r w:rsidR="00D52FD0">
        <w:t xml:space="preserve"> </w:t>
      </w:r>
      <w:r w:rsidR="000A1AAE" w:rsidRPr="00857B1D">
        <w:t>acting</w:t>
      </w:r>
      <w:r w:rsidR="00D52FD0">
        <w:t xml:space="preserve"> </w:t>
      </w:r>
      <w:r w:rsidR="000A1AAE" w:rsidRPr="00857B1D">
        <w:t>as</w:t>
      </w:r>
      <w:r w:rsidR="00D52FD0">
        <w:t xml:space="preserve"> </w:t>
      </w:r>
      <w:r w:rsidR="000A1AAE" w:rsidRPr="00857B1D">
        <w:t>advisor</w:t>
      </w:r>
      <w:r w:rsidR="00D52FD0">
        <w:t xml:space="preserve"> </w:t>
      </w:r>
      <w:r w:rsidR="000A1AAE" w:rsidRPr="00857B1D">
        <w:t>to</w:t>
      </w:r>
      <w:r w:rsidR="00D52FD0">
        <w:t xml:space="preserve"> </w:t>
      </w:r>
      <w:r w:rsidR="000A1AAE" w:rsidRPr="00857B1D">
        <w:t>Government</w:t>
      </w:r>
      <w:r w:rsidR="00D52FD0">
        <w:t xml:space="preserve"> </w:t>
      </w:r>
      <w:r w:rsidR="000A1AAE" w:rsidRPr="00857B1D">
        <w:t>and</w:t>
      </w:r>
      <w:r w:rsidR="00D52FD0">
        <w:t xml:space="preserve"> </w:t>
      </w:r>
      <w:r w:rsidR="000A1AAE" w:rsidRPr="00857B1D">
        <w:t>as</w:t>
      </w:r>
      <w:r w:rsidR="00D52FD0">
        <w:t xml:space="preserve"> </w:t>
      </w:r>
      <w:r w:rsidR="000A1AAE" w:rsidRPr="00857B1D">
        <w:t>Malta</w:t>
      </w:r>
      <w:r w:rsidR="00F14DA3">
        <w:t>’</w:t>
      </w:r>
      <w:r w:rsidR="000A1AAE" w:rsidRPr="00857B1D">
        <w:t>s</w:t>
      </w:r>
      <w:r w:rsidR="00D52FD0">
        <w:t xml:space="preserve"> </w:t>
      </w:r>
      <w:r w:rsidR="000A1AAE" w:rsidRPr="00857B1D">
        <w:t>public</w:t>
      </w:r>
      <w:r w:rsidR="00D52FD0">
        <w:t xml:space="preserve"> </w:t>
      </w:r>
      <w:r w:rsidR="000A1AAE" w:rsidRPr="00857B1D">
        <w:t>Prosecutor.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function</w:t>
      </w:r>
      <w:r w:rsidR="00D52FD0">
        <w:t xml:space="preserve"> </w:t>
      </w:r>
      <w:r w:rsidR="000A1AAE" w:rsidRPr="00857B1D">
        <w:t>of</w:t>
      </w:r>
      <w:r w:rsidR="00D52FD0">
        <w:t xml:space="preserve"> </w:t>
      </w:r>
      <w:r w:rsidR="000A1AAE" w:rsidRPr="00857B1D">
        <w:t>advisor</w:t>
      </w:r>
      <w:r w:rsidR="00D52FD0">
        <w:t xml:space="preserve"> </w:t>
      </w:r>
      <w:r w:rsidR="000A1AAE" w:rsidRPr="00857B1D">
        <w:t>to</w:t>
      </w:r>
      <w:r w:rsidR="00D52FD0">
        <w:t xml:space="preserve"> </w:t>
      </w:r>
      <w:r w:rsidR="000A1AAE" w:rsidRPr="00857B1D">
        <w:t>Government</w:t>
      </w:r>
      <w:r w:rsidR="00D52FD0">
        <w:t xml:space="preserve"> </w:t>
      </w:r>
      <w:r w:rsidR="000A1AAE" w:rsidRPr="00857B1D">
        <w:t>has,</w:t>
      </w:r>
      <w:r w:rsidR="00D52FD0">
        <w:t xml:space="preserve"> </w:t>
      </w:r>
      <w:r w:rsidR="000A1AAE" w:rsidRPr="00857B1D">
        <w:t>with</w:t>
      </w:r>
      <w:r w:rsidR="00D52FD0">
        <w:t xml:space="preserve"> </w:t>
      </w:r>
      <w:r w:rsidR="000A1AAE" w:rsidRPr="00857B1D">
        <w:t>effect</w:t>
      </w:r>
      <w:r w:rsidR="00D52FD0">
        <w:t xml:space="preserve"> </w:t>
      </w:r>
      <w:r w:rsidR="000A1AAE" w:rsidRPr="00857B1D">
        <w:t>from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18th</w:t>
      </w:r>
      <w:r w:rsidR="00D52FD0">
        <w:t xml:space="preserve"> </w:t>
      </w:r>
      <w:r w:rsidR="000A1AAE" w:rsidRPr="00857B1D">
        <w:t>December</w:t>
      </w:r>
      <w:r w:rsidR="00D52FD0">
        <w:t xml:space="preserve"> </w:t>
      </w:r>
      <w:r w:rsidR="000A1AAE" w:rsidRPr="00857B1D">
        <w:t>2019,</w:t>
      </w:r>
      <w:r w:rsidR="00D52FD0">
        <w:t xml:space="preserve"> </w:t>
      </w:r>
      <w:r w:rsidR="000A1AAE" w:rsidRPr="00857B1D">
        <w:t>been</w:t>
      </w:r>
      <w:r w:rsidR="00D52FD0">
        <w:t xml:space="preserve"> </w:t>
      </w:r>
      <w:r w:rsidR="000A1AAE" w:rsidRPr="00857B1D">
        <w:t>passed</w:t>
      </w:r>
      <w:r w:rsidR="00D52FD0">
        <w:t xml:space="preserve"> </w:t>
      </w:r>
      <w:r w:rsidR="000A1AAE" w:rsidRPr="00857B1D">
        <w:t>on</w:t>
      </w:r>
      <w:r w:rsidR="00D52FD0">
        <w:t xml:space="preserve"> </w:t>
      </w:r>
      <w:r w:rsidR="000A1AAE" w:rsidRPr="00857B1D">
        <w:t>to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newly</w:t>
      </w:r>
      <w:r w:rsidR="00D52FD0">
        <w:t xml:space="preserve"> </w:t>
      </w:r>
      <w:r w:rsidR="000A1AAE" w:rsidRPr="00857B1D">
        <w:t>established</w:t>
      </w:r>
      <w:r w:rsidR="00D52FD0">
        <w:t xml:space="preserve"> </w:t>
      </w:r>
      <w:r w:rsidR="000A1AAE" w:rsidRPr="00857B1D">
        <w:t>Office</w:t>
      </w:r>
      <w:r w:rsidR="00D52FD0">
        <w:t xml:space="preserve"> </w:t>
      </w:r>
      <w:r w:rsidR="000A1AAE" w:rsidRPr="00857B1D">
        <w:t>of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State</w:t>
      </w:r>
      <w:r w:rsidR="00D52FD0">
        <w:t xml:space="preserve"> </w:t>
      </w:r>
      <w:r w:rsidR="000A1AAE" w:rsidRPr="00857B1D">
        <w:t>Advocate.</w:t>
      </w:r>
      <w:r w:rsidR="00D52FD0">
        <w:t xml:space="preserve"> </w:t>
      </w:r>
      <w:r w:rsidR="000A1AAE" w:rsidRPr="00857B1D">
        <w:t>Thus,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Office</w:t>
      </w:r>
      <w:r w:rsidR="00D52FD0">
        <w:t xml:space="preserve"> </w:t>
      </w:r>
      <w:r w:rsidR="000A1AAE" w:rsidRPr="00857B1D">
        <w:t>of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Attorney</w:t>
      </w:r>
      <w:r w:rsidR="00D52FD0">
        <w:t xml:space="preserve"> </w:t>
      </w:r>
      <w:r w:rsidR="000A1AAE" w:rsidRPr="00857B1D">
        <w:t>General</w:t>
      </w:r>
      <w:r w:rsidR="00D52FD0">
        <w:t xml:space="preserve"> </w:t>
      </w:r>
      <w:r w:rsidR="000A1AAE" w:rsidRPr="00857B1D">
        <w:t>is</w:t>
      </w:r>
      <w:r w:rsidR="00D52FD0">
        <w:t xml:space="preserve"> </w:t>
      </w:r>
      <w:r w:rsidR="000A1AAE" w:rsidRPr="00857B1D">
        <w:t>now</w:t>
      </w:r>
      <w:r w:rsidR="00D52FD0">
        <w:t xml:space="preserve"> </w:t>
      </w:r>
      <w:r w:rsidR="000A1AAE" w:rsidRPr="00857B1D">
        <w:t>a</w:t>
      </w:r>
      <w:r w:rsidR="00D52FD0">
        <w:t xml:space="preserve"> </w:t>
      </w:r>
      <w:r w:rsidR="000A1AAE" w:rsidRPr="00857B1D">
        <w:t>specialized</w:t>
      </w:r>
      <w:r w:rsidR="00D52FD0">
        <w:t xml:space="preserve"> </w:t>
      </w:r>
      <w:r w:rsidR="000A1AAE" w:rsidRPr="00857B1D">
        <w:t>and</w:t>
      </w:r>
      <w:r w:rsidR="00D52FD0">
        <w:t xml:space="preserve"> </w:t>
      </w:r>
      <w:r w:rsidR="000A1AAE" w:rsidRPr="00857B1D">
        <w:t>exclusive</w:t>
      </w:r>
      <w:r w:rsidR="00D52FD0">
        <w:t xml:space="preserve"> </w:t>
      </w:r>
      <w:r w:rsidR="000A1AAE" w:rsidRPr="00857B1D">
        <w:t>prosecutorial</w:t>
      </w:r>
      <w:r w:rsidR="00D52FD0">
        <w:t xml:space="preserve"> </w:t>
      </w:r>
      <w:r w:rsidR="000A1AAE" w:rsidRPr="00857B1D">
        <w:t>service.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Attorney</w:t>
      </w:r>
      <w:r w:rsidR="00D52FD0">
        <w:t xml:space="preserve"> </w:t>
      </w:r>
      <w:r w:rsidR="000A1AAE" w:rsidRPr="00857B1D">
        <w:t>General</w:t>
      </w:r>
      <w:r w:rsidR="00D52FD0">
        <w:t xml:space="preserve"> </w:t>
      </w:r>
      <w:r w:rsidR="000A1AAE" w:rsidRPr="00857B1D">
        <w:t>enjoys</w:t>
      </w:r>
      <w:r w:rsidR="00D52FD0">
        <w:t xml:space="preserve"> </w:t>
      </w:r>
      <w:r w:rsidR="000A1AAE" w:rsidRPr="00857B1D">
        <w:t>security</w:t>
      </w:r>
      <w:r w:rsidR="00D52FD0">
        <w:t xml:space="preserve"> </w:t>
      </w:r>
      <w:r w:rsidR="000A1AAE" w:rsidRPr="00857B1D">
        <w:t>of</w:t>
      </w:r>
      <w:r w:rsidR="00D52FD0">
        <w:t xml:space="preserve"> </w:t>
      </w:r>
      <w:r w:rsidR="000A1AAE" w:rsidRPr="00857B1D">
        <w:t>tenure</w:t>
      </w:r>
      <w:r w:rsidR="00D52FD0">
        <w:t xml:space="preserve"> </w:t>
      </w:r>
      <w:r w:rsidR="000A1AAE" w:rsidRPr="00857B1D">
        <w:t>akin</w:t>
      </w:r>
      <w:r w:rsidR="00D52FD0">
        <w:t xml:space="preserve"> </w:t>
      </w:r>
      <w:r w:rsidR="000A1AAE" w:rsidRPr="00857B1D">
        <w:t>to</w:t>
      </w:r>
      <w:r w:rsidR="00D52FD0">
        <w:t xml:space="preserve"> </w:t>
      </w:r>
      <w:r w:rsidR="000A1AAE" w:rsidRPr="00857B1D">
        <w:t>members</w:t>
      </w:r>
      <w:r w:rsidR="00D52FD0">
        <w:t xml:space="preserve"> </w:t>
      </w:r>
      <w:r w:rsidR="000A1AAE" w:rsidRPr="00857B1D">
        <w:t>of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judiciary.</w:t>
      </w:r>
    </w:p>
    <w:p w14:paraId="3A4936B7" w14:textId="352B1387" w:rsidR="000A1AAE" w:rsidRPr="00857B1D" w:rsidRDefault="0044637E" w:rsidP="0044637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857B1D">
        <w:t>201.</w:t>
      </w:r>
      <w:r w:rsidRPr="00857B1D">
        <w:tab/>
      </w:r>
      <w:r w:rsidR="000A1AAE" w:rsidRPr="00857B1D">
        <w:t>Since</w:t>
      </w:r>
      <w:r w:rsidR="00D52FD0">
        <w:t xml:space="preserve"> </w:t>
      </w:r>
      <w:r w:rsidR="000A1AAE" w:rsidRPr="00857B1D">
        <w:t>March</w:t>
      </w:r>
      <w:r w:rsidR="00D52FD0">
        <w:t xml:space="preserve"> </w:t>
      </w:r>
      <w:r w:rsidR="000A1AAE" w:rsidRPr="00857B1D">
        <w:t>2020,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Office</w:t>
      </w:r>
      <w:r w:rsidR="00D52FD0">
        <w:t xml:space="preserve"> </w:t>
      </w:r>
      <w:r w:rsidR="000A1AAE" w:rsidRPr="00857B1D">
        <w:t>of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Attorney</w:t>
      </w:r>
      <w:r w:rsidR="00D52FD0">
        <w:t xml:space="preserve"> </w:t>
      </w:r>
      <w:r w:rsidR="000A1AAE" w:rsidRPr="00857B1D">
        <w:t>General</w:t>
      </w:r>
      <w:r w:rsidR="00D52FD0">
        <w:t xml:space="preserve"> </w:t>
      </w:r>
      <w:r w:rsidR="000A1AAE" w:rsidRPr="00857B1D">
        <w:t>plays</w:t>
      </w:r>
      <w:r w:rsidR="00D52FD0">
        <w:t xml:space="preserve"> </w:t>
      </w:r>
      <w:r w:rsidR="000A1AAE" w:rsidRPr="00857B1D">
        <w:t>no</w:t>
      </w:r>
      <w:r w:rsidR="00D52FD0">
        <w:t xml:space="preserve"> </w:t>
      </w:r>
      <w:r w:rsidR="000A1AAE" w:rsidRPr="00857B1D">
        <w:t>role</w:t>
      </w:r>
      <w:r w:rsidR="00D52FD0">
        <w:t xml:space="preserve"> </w:t>
      </w:r>
      <w:r w:rsidR="000A1AAE" w:rsidRPr="00857B1D">
        <w:t>in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Board</w:t>
      </w:r>
      <w:r w:rsidR="00D52FD0">
        <w:t xml:space="preserve"> </w:t>
      </w:r>
      <w:r w:rsidR="000A1AAE" w:rsidRPr="00857B1D">
        <w:t>of</w:t>
      </w:r>
      <w:r w:rsidR="00D52FD0">
        <w:t xml:space="preserve"> </w:t>
      </w:r>
      <w:r w:rsidR="000A1AAE" w:rsidRPr="00857B1D">
        <w:t>Governors</w:t>
      </w:r>
      <w:r w:rsidR="00D52FD0">
        <w:t xml:space="preserve"> </w:t>
      </w:r>
      <w:r w:rsidR="000A1AAE" w:rsidRPr="00857B1D">
        <w:t>of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Financial</w:t>
      </w:r>
      <w:r w:rsidR="00D52FD0">
        <w:t xml:space="preserve"> </w:t>
      </w:r>
      <w:r w:rsidR="000A1AAE" w:rsidRPr="00857B1D">
        <w:t>Intelligence</w:t>
      </w:r>
      <w:r w:rsidR="00D52FD0">
        <w:t xml:space="preserve"> </w:t>
      </w:r>
      <w:r w:rsidR="000A1AAE" w:rsidRPr="00857B1D">
        <w:t>Analysis</w:t>
      </w:r>
      <w:r w:rsidR="00D52FD0">
        <w:t xml:space="preserve"> </w:t>
      </w:r>
      <w:r w:rsidR="000A1AAE" w:rsidRPr="00857B1D">
        <w:t>Unit.</w:t>
      </w:r>
    </w:p>
    <w:p w14:paraId="25C4DF3A" w14:textId="0489CA85" w:rsidR="000A1AAE" w:rsidRPr="00857B1D" w:rsidRDefault="0044637E" w:rsidP="0044637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857B1D">
        <w:t>202.</w:t>
      </w:r>
      <w:r w:rsidRPr="00857B1D">
        <w:tab/>
      </w:r>
      <w:r w:rsidR="000A1AAE" w:rsidRPr="00857B1D">
        <w:t>By</w:t>
      </w:r>
      <w:r w:rsidR="00D52FD0">
        <w:t xml:space="preserve"> </w:t>
      </w:r>
      <w:r w:rsidR="000A1AAE" w:rsidRPr="00857B1D">
        <w:t>virtue</w:t>
      </w:r>
      <w:r w:rsidR="00D52FD0">
        <w:t xml:space="preserve"> </w:t>
      </w:r>
      <w:r w:rsidR="000A1AAE" w:rsidRPr="00857B1D">
        <w:t>of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amendments</w:t>
      </w:r>
      <w:r w:rsidR="00D52FD0">
        <w:t xml:space="preserve"> </w:t>
      </w:r>
      <w:r w:rsidR="000A1AAE" w:rsidRPr="00857B1D">
        <w:t>introduced</w:t>
      </w:r>
      <w:r w:rsidR="00D52FD0">
        <w:t xml:space="preserve"> </w:t>
      </w:r>
      <w:r w:rsidR="000A1AAE" w:rsidRPr="00857B1D">
        <w:t>in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Constitution</w:t>
      </w:r>
      <w:r w:rsidR="00D52FD0">
        <w:t xml:space="preserve"> </w:t>
      </w:r>
      <w:r w:rsidR="000A1AAE" w:rsidRPr="00857B1D">
        <w:t>on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7th</w:t>
      </w:r>
      <w:r w:rsidR="00D52FD0">
        <w:t xml:space="preserve"> </w:t>
      </w:r>
      <w:r w:rsidR="000A1AAE" w:rsidRPr="00857B1D">
        <w:t>August</w:t>
      </w:r>
      <w:r w:rsidR="00D52FD0">
        <w:t xml:space="preserve"> </w:t>
      </w:r>
      <w:r w:rsidR="000A1AAE" w:rsidRPr="00857B1D">
        <w:t>2020</w:t>
      </w:r>
      <w:r w:rsidR="00D52FD0">
        <w:t xml:space="preserve"> </w:t>
      </w:r>
      <w:r w:rsidR="000A1AAE" w:rsidRPr="00857B1D">
        <w:t>(Act</w:t>
      </w:r>
      <w:r w:rsidR="00D52FD0">
        <w:t xml:space="preserve"> </w:t>
      </w:r>
      <w:r w:rsidR="000A1AAE" w:rsidRPr="00857B1D">
        <w:t>XLIII</w:t>
      </w:r>
      <w:r w:rsidR="00D52FD0">
        <w:t xml:space="preserve"> </w:t>
      </w:r>
      <w:r w:rsidR="000A1AAE" w:rsidRPr="00857B1D">
        <w:t>of</w:t>
      </w:r>
      <w:r w:rsidR="00D52FD0">
        <w:t xml:space="preserve"> </w:t>
      </w:r>
      <w:r w:rsidR="000A1AAE" w:rsidRPr="00857B1D">
        <w:t>2020</w:t>
      </w:r>
      <w:r w:rsidR="00D52FD0">
        <w:t xml:space="preserve"> </w:t>
      </w:r>
      <w:r w:rsidR="000A1AAE" w:rsidRPr="00857B1D">
        <w:t>and</w:t>
      </w:r>
      <w:r w:rsidR="00D52FD0">
        <w:t xml:space="preserve"> </w:t>
      </w:r>
      <w:r w:rsidR="000A1AAE" w:rsidRPr="00857B1D">
        <w:t>Act</w:t>
      </w:r>
      <w:r w:rsidR="00D52FD0">
        <w:t xml:space="preserve"> </w:t>
      </w:r>
      <w:r w:rsidR="000A1AAE" w:rsidRPr="00857B1D">
        <w:t>XLV</w:t>
      </w:r>
      <w:r w:rsidR="00D52FD0">
        <w:t xml:space="preserve"> </w:t>
      </w:r>
      <w:r w:rsidR="000A1AAE" w:rsidRPr="00857B1D">
        <w:t>of</w:t>
      </w:r>
      <w:r w:rsidR="00D52FD0">
        <w:t xml:space="preserve"> </w:t>
      </w:r>
      <w:r w:rsidR="000A1AAE" w:rsidRPr="00857B1D">
        <w:t>2020),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Attorney</w:t>
      </w:r>
      <w:r w:rsidR="00D52FD0">
        <w:t xml:space="preserve"> </w:t>
      </w:r>
      <w:r w:rsidR="000A1AAE" w:rsidRPr="00857B1D">
        <w:t>General</w:t>
      </w:r>
      <w:r w:rsidR="00D52FD0">
        <w:t xml:space="preserve"> </w:t>
      </w:r>
      <w:r w:rsidR="000A1AAE" w:rsidRPr="00857B1D">
        <w:t>is</w:t>
      </w:r>
      <w:r w:rsidR="00D52FD0">
        <w:t xml:space="preserve"> </w:t>
      </w:r>
      <w:r w:rsidR="000A1AAE" w:rsidRPr="00857B1D">
        <w:t>no</w:t>
      </w:r>
      <w:r w:rsidR="00D52FD0">
        <w:t xml:space="preserve"> </w:t>
      </w:r>
      <w:r w:rsidR="000A1AAE" w:rsidRPr="00857B1D">
        <w:t>longer</w:t>
      </w:r>
      <w:r w:rsidR="00D52FD0">
        <w:t xml:space="preserve"> </w:t>
      </w:r>
      <w:r w:rsidR="000A1AAE" w:rsidRPr="00857B1D">
        <w:t>a</w:t>
      </w:r>
      <w:r w:rsidR="00D52FD0">
        <w:t xml:space="preserve"> </w:t>
      </w:r>
      <w:r w:rsidR="000A1AAE" w:rsidRPr="00857B1D">
        <w:t>member</w:t>
      </w:r>
      <w:r w:rsidR="00D52FD0">
        <w:t xml:space="preserve"> </w:t>
      </w:r>
      <w:r w:rsidR="000A1AAE" w:rsidRPr="00857B1D">
        <w:t>of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Commission</w:t>
      </w:r>
      <w:r w:rsidR="00D52FD0">
        <w:t xml:space="preserve"> </w:t>
      </w:r>
      <w:r w:rsidR="000A1AAE" w:rsidRPr="00857B1D">
        <w:t>for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Administration</w:t>
      </w:r>
      <w:r w:rsidR="00D52FD0">
        <w:t xml:space="preserve"> </w:t>
      </w:r>
      <w:r w:rsidR="000A1AAE" w:rsidRPr="00857B1D">
        <w:t>of</w:t>
      </w:r>
      <w:r w:rsidR="00D52FD0">
        <w:t xml:space="preserve"> </w:t>
      </w:r>
      <w:r w:rsidR="000A1AAE" w:rsidRPr="00857B1D">
        <w:t>Justice</w:t>
      </w:r>
      <w:r w:rsidR="00D52FD0">
        <w:t xml:space="preserve"> </w:t>
      </w:r>
      <w:r w:rsidR="000A1AAE" w:rsidRPr="00857B1D">
        <w:t>and</w:t>
      </w:r>
      <w:r w:rsidR="00D52FD0">
        <w:t xml:space="preserve"> </w:t>
      </w:r>
      <w:r w:rsidR="000A1AAE" w:rsidRPr="00857B1D">
        <w:t>of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Judicial</w:t>
      </w:r>
      <w:r w:rsidR="00D52FD0">
        <w:t xml:space="preserve"> </w:t>
      </w:r>
      <w:r w:rsidR="000A1AAE" w:rsidRPr="00857B1D">
        <w:t>Appointments</w:t>
      </w:r>
      <w:r w:rsidR="00D52FD0">
        <w:t xml:space="preserve"> </w:t>
      </w:r>
      <w:r w:rsidR="000A1AAE" w:rsidRPr="00857B1D">
        <w:t>Committee.</w:t>
      </w:r>
    </w:p>
    <w:p w14:paraId="0CB47842" w14:textId="40A7E85B" w:rsidR="000A1AAE" w:rsidRPr="00857B1D" w:rsidRDefault="0044637E" w:rsidP="0044637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857B1D">
        <w:t>203.</w:t>
      </w:r>
      <w:r w:rsidRPr="00857B1D">
        <w:tab/>
      </w:r>
      <w:r w:rsidR="000A1AAE" w:rsidRPr="00857B1D">
        <w:t>The</w:t>
      </w:r>
      <w:r w:rsidR="00D52FD0">
        <w:t xml:space="preserve"> </w:t>
      </w:r>
      <w:r w:rsidR="000A1AAE" w:rsidRPr="00857B1D">
        <w:t>role</w:t>
      </w:r>
      <w:r w:rsidR="00D52FD0">
        <w:t xml:space="preserve"> </w:t>
      </w:r>
      <w:r w:rsidR="000A1AAE" w:rsidRPr="00857B1D">
        <w:t>of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Office</w:t>
      </w:r>
      <w:r w:rsidR="00D52FD0">
        <w:t xml:space="preserve"> </w:t>
      </w:r>
      <w:r w:rsidR="000A1AAE" w:rsidRPr="00857B1D">
        <w:t>of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Attorney</w:t>
      </w:r>
      <w:r w:rsidR="00D52FD0">
        <w:t xml:space="preserve"> </w:t>
      </w:r>
      <w:r w:rsidR="000A1AAE" w:rsidRPr="00857B1D">
        <w:t>General</w:t>
      </w:r>
      <w:r w:rsidR="00D52FD0">
        <w:t xml:space="preserve"> </w:t>
      </w:r>
      <w:r w:rsidR="000A1AAE" w:rsidRPr="00857B1D">
        <w:t>has,</w:t>
      </w:r>
      <w:r w:rsidR="00D52FD0">
        <w:t xml:space="preserve"> </w:t>
      </w:r>
      <w:r w:rsidR="000A1AAE" w:rsidRPr="00857B1D">
        <w:t>therefore,</w:t>
      </w:r>
      <w:r w:rsidR="00D52FD0">
        <w:t xml:space="preserve"> </w:t>
      </w:r>
      <w:r w:rsidR="000A1AAE" w:rsidRPr="00857B1D">
        <w:t>over</w:t>
      </w:r>
      <w:r w:rsidR="00D52FD0">
        <w:t xml:space="preserve"> </w:t>
      </w:r>
      <w:r w:rsidR="000A1AAE" w:rsidRPr="00857B1D">
        <w:t>a</w:t>
      </w:r>
      <w:r w:rsidR="00D52FD0">
        <w:t xml:space="preserve"> </w:t>
      </w:r>
      <w:r w:rsidR="000A1AAE" w:rsidRPr="00857B1D">
        <w:t>span</w:t>
      </w:r>
      <w:r w:rsidR="00D52FD0">
        <w:t xml:space="preserve"> </w:t>
      </w:r>
      <w:r w:rsidR="000A1AAE" w:rsidRPr="00857B1D">
        <w:t>of</w:t>
      </w:r>
      <w:r w:rsidR="00D52FD0">
        <w:t xml:space="preserve"> </w:t>
      </w:r>
      <w:r w:rsidR="000A1AAE" w:rsidRPr="00857B1D">
        <w:t>ten</w:t>
      </w:r>
      <w:r w:rsidR="00D52FD0">
        <w:t xml:space="preserve"> </w:t>
      </w:r>
      <w:r w:rsidR="000A1AAE" w:rsidRPr="00857B1D">
        <w:t>months</w:t>
      </w:r>
      <w:r w:rsidR="00D52FD0">
        <w:t xml:space="preserve"> </w:t>
      </w:r>
      <w:r w:rsidR="000A1AAE" w:rsidRPr="00857B1D">
        <w:t>changed</w:t>
      </w:r>
      <w:r w:rsidR="00D52FD0">
        <w:t xml:space="preserve"> </w:t>
      </w:r>
      <w:r w:rsidR="000A1AAE" w:rsidRPr="00857B1D">
        <w:t>substantially</w:t>
      </w:r>
      <w:r w:rsidR="00D52FD0">
        <w:t xml:space="preserve"> </w:t>
      </w:r>
      <w:r w:rsidR="000A1AAE" w:rsidRPr="00857B1D">
        <w:t>and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Office</w:t>
      </w:r>
      <w:r w:rsidR="00D52FD0">
        <w:t xml:space="preserve"> </w:t>
      </w:r>
      <w:r w:rsidR="000A1AAE" w:rsidRPr="00857B1D">
        <w:t>is</w:t>
      </w:r>
      <w:r w:rsidR="00D52FD0">
        <w:t xml:space="preserve"> </w:t>
      </w:r>
      <w:r w:rsidR="000A1AAE" w:rsidRPr="00857B1D">
        <w:t>now</w:t>
      </w:r>
      <w:r w:rsidR="00D52FD0">
        <w:t xml:space="preserve"> </w:t>
      </w:r>
      <w:r w:rsidR="000A1AAE" w:rsidRPr="00857B1D">
        <w:t>strictly</w:t>
      </w:r>
      <w:r w:rsidR="00D52FD0">
        <w:t xml:space="preserve"> </w:t>
      </w:r>
      <w:r w:rsidR="000A1AAE" w:rsidRPr="00857B1D">
        <w:t>a</w:t>
      </w:r>
      <w:r w:rsidR="00D52FD0">
        <w:t xml:space="preserve"> </w:t>
      </w:r>
      <w:r w:rsidR="000A1AAE" w:rsidRPr="00857B1D">
        <w:t>prosecution</w:t>
      </w:r>
      <w:r w:rsidR="00D52FD0">
        <w:t xml:space="preserve"> </w:t>
      </w:r>
      <w:r w:rsidR="000A1AAE" w:rsidRPr="00857B1D">
        <w:t>service.</w:t>
      </w:r>
    </w:p>
    <w:p w14:paraId="02763AB2" w14:textId="2D160418" w:rsidR="000A1AAE" w:rsidRPr="00857B1D" w:rsidRDefault="0044637E" w:rsidP="0044637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857B1D">
        <w:t>204.</w:t>
      </w:r>
      <w:r w:rsidRPr="00857B1D">
        <w:tab/>
      </w:r>
      <w:r w:rsidR="000A1AAE" w:rsidRPr="00857B1D">
        <w:t>As</w:t>
      </w:r>
      <w:r w:rsidR="00D52FD0">
        <w:t xml:space="preserve"> </w:t>
      </w:r>
      <w:r w:rsidR="000A1AAE" w:rsidRPr="00857B1D">
        <w:t>a</w:t>
      </w:r>
      <w:r w:rsidR="00D52FD0">
        <w:t xml:space="preserve"> </w:t>
      </w:r>
      <w:r w:rsidR="000A1AAE" w:rsidRPr="00857B1D">
        <w:t>dedicated</w:t>
      </w:r>
      <w:r w:rsidR="00D52FD0">
        <w:t xml:space="preserve"> </w:t>
      </w:r>
      <w:r w:rsidR="000A1AAE" w:rsidRPr="00857B1D">
        <w:t>prosecution</w:t>
      </w:r>
      <w:r w:rsidR="00D52FD0">
        <w:t xml:space="preserve"> </w:t>
      </w:r>
      <w:r w:rsidR="000A1AAE" w:rsidRPr="00857B1D">
        <w:t>service,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Office</w:t>
      </w:r>
      <w:r w:rsidR="00D52FD0">
        <w:t xml:space="preserve"> </w:t>
      </w:r>
      <w:r w:rsidR="000A1AAE" w:rsidRPr="00857B1D">
        <w:t>started</w:t>
      </w:r>
      <w:r w:rsidR="00D52FD0">
        <w:t xml:space="preserve"> </w:t>
      </w:r>
      <w:r w:rsidR="000A1AAE" w:rsidRPr="00857B1D">
        <w:t>to</w:t>
      </w:r>
      <w:r w:rsidR="00D52FD0">
        <w:t xml:space="preserve"> </w:t>
      </w:r>
      <w:r w:rsidR="000A1AAE" w:rsidRPr="00857B1D">
        <w:t>take</w:t>
      </w:r>
      <w:r w:rsidR="00D52FD0">
        <w:t xml:space="preserve"> </w:t>
      </w:r>
      <w:r w:rsidR="000A1AAE" w:rsidRPr="00857B1D">
        <w:t>over</w:t>
      </w:r>
      <w:r w:rsidR="00D52FD0">
        <w:t xml:space="preserve"> </w:t>
      </w:r>
      <w:r w:rsidR="000A1AAE" w:rsidRPr="00857B1D">
        <w:t>a</w:t>
      </w:r>
      <w:r w:rsidR="00D52FD0">
        <w:t xml:space="preserve"> </w:t>
      </w:r>
      <w:r w:rsidR="000A1AAE" w:rsidRPr="00857B1D">
        <w:t>wider</w:t>
      </w:r>
      <w:r w:rsidR="00D52FD0">
        <w:t xml:space="preserve"> </w:t>
      </w:r>
      <w:r w:rsidR="000A1AAE" w:rsidRPr="00857B1D">
        <w:t>range</w:t>
      </w:r>
      <w:r w:rsidR="00D52FD0">
        <w:t xml:space="preserve"> </w:t>
      </w:r>
      <w:r w:rsidR="000A1AAE" w:rsidRPr="00857B1D">
        <w:t>of</w:t>
      </w:r>
      <w:r w:rsidR="00D52FD0">
        <w:t xml:space="preserve"> </w:t>
      </w:r>
      <w:r w:rsidR="000A1AAE" w:rsidRPr="00857B1D">
        <w:t>activities</w:t>
      </w:r>
      <w:r w:rsidR="00D52FD0">
        <w:t xml:space="preserve"> </w:t>
      </w:r>
      <w:r w:rsidR="000A1AAE" w:rsidRPr="00857B1D">
        <w:t>in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field</w:t>
      </w:r>
      <w:r w:rsidR="00D52FD0">
        <w:t xml:space="preserve"> </w:t>
      </w:r>
      <w:r w:rsidR="000A1AAE" w:rsidRPr="00857B1D">
        <w:t>of</w:t>
      </w:r>
      <w:r w:rsidR="00D52FD0">
        <w:t xml:space="preserve"> </w:t>
      </w:r>
      <w:r w:rsidR="000A1AAE" w:rsidRPr="00857B1D">
        <w:t>prosecution</w:t>
      </w:r>
      <w:r w:rsidR="00D52FD0">
        <w:t xml:space="preserve"> </w:t>
      </w:r>
      <w:r w:rsidR="000A1AAE" w:rsidRPr="00857B1D">
        <w:t>and,</w:t>
      </w:r>
      <w:r w:rsidR="00D52FD0">
        <w:t xml:space="preserve"> </w:t>
      </w:r>
      <w:r w:rsidR="000A1AAE" w:rsidRPr="00857B1D">
        <w:t>in</w:t>
      </w:r>
      <w:r w:rsidR="00D52FD0">
        <w:t xml:space="preserve"> </w:t>
      </w:r>
      <w:r w:rsidR="000A1AAE" w:rsidRPr="00857B1D">
        <w:t>particular,</w:t>
      </w:r>
      <w:r w:rsidR="00D52FD0">
        <w:t xml:space="preserve"> </w:t>
      </w:r>
      <w:r w:rsidR="000A1AAE" w:rsidRPr="00857B1D">
        <w:t>it</w:t>
      </w:r>
      <w:r w:rsidR="00D52FD0">
        <w:t xml:space="preserve"> </w:t>
      </w:r>
      <w:r w:rsidR="000A1AAE" w:rsidRPr="00857B1D">
        <w:t>started</w:t>
      </w:r>
      <w:r w:rsidR="00D52FD0">
        <w:t xml:space="preserve"> </w:t>
      </w:r>
      <w:r w:rsidR="000A1AAE" w:rsidRPr="00857B1D">
        <w:t>to</w:t>
      </w:r>
      <w:r w:rsidR="00D52FD0">
        <w:t xml:space="preserve"> </w:t>
      </w:r>
      <w:r w:rsidR="000A1AAE" w:rsidRPr="00857B1D">
        <w:t>gradually</w:t>
      </w:r>
      <w:r w:rsidR="00D52FD0">
        <w:t xml:space="preserve"> </w:t>
      </w:r>
      <w:r w:rsidR="000A1AAE" w:rsidRPr="00857B1D">
        <w:t>take</w:t>
      </w:r>
      <w:r w:rsidR="00D52FD0">
        <w:t xml:space="preserve"> </w:t>
      </w:r>
      <w:r w:rsidR="000A1AAE" w:rsidRPr="00857B1D">
        <w:t>over</w:t>
      </w:r>
      <w:r w:rsidR="00D52FD0">
        <w:t xml:space="preserve"> </w:t>
      </w:r>
      <w:r w:rsidR="000A1AAE" w:rsidRPr="00857B1D">
        <w:t>prosecutions</w:t>
      </w:r>
      <w:r w:rsidR="00D52FD0">
        <w:t xml:space="preserve"> </w:t>
      </w:r>
      <w:r w:rsidR="000A1AAE" w:rsidRPr="00857B1D">
        <w:t>before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Inferior</w:t>
      </w:r>
      <w:r w:rsidR="00D52FD0">
        <w:t xml:space="preserve"> </w:t>
      </w:r>
      <w:r w:rsidR="000A1AAE" w:rsidRPr="00857B1D">
        <w:t>Courts</w:t>
      </w:r>
      <w:r w:rsidR="00D52FD0">
        <w:t xml:space="preserve"> </w:t>
      </w:r>
      <w:r w:rsidR="000A1AAE" w:rsidRPr="00857B1D">
        <w:t>which</w:t>
      </w:r>
      <w:r w:rsidR="00D52FD0">
        <w:t xml:space="preserve"> </w:t>
      </w:r>
      <w:r w:rsidR="000A1AAE" w:rsidRPr="00857B1D">
        <w:t>are</w:t>
      </w:r>
      <w:r w:rsidR="00D52FD0">
        <w:t xml:space="preserve"> </w:t>
      </w:r>
      <w:r w:rsidR="000A1AAE" w:rsidRPr="00857B1D">
        <w:t>currently</w:t>
      </w:r>
      <w:r w:rsidR="00D52FD0">
        <w:t xml:space="preserve"> </w:t>
      </w:r>
      <w:r w:rsidR="000A1AAE" w:rsidRPr="00857B1D">
        <w:t>prosecuted</w:t>
      </w:r>
      <w:r w:rsidR="00D52FD0">
        <w:t xml:space="preserve"> </w:t>
      </w:r>
      <w:r w:rsidR="000A1AAE" w:rsidRPr="00857B1D">
        <w:t>by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Police.</w:t>
      </w:r>
      <w:r w:rsidR="00D52FD0">
        <w:t xml:space="preserve"> </w:t>
      </w:r>
      <w:r w:rsidR="000A1AAE" w:rsidRPr="00857B1D">
        <w:t>In</w:t>
      </w:r>
      <w:r w:rsidR="00D52FD0">
        <w:t xml:space="preserve"> </w:t>
      </w:r>
      <w:r w:rsidR="000A1AAE" w:rsidRPr="00857B1D">
        <w:t>order</w:t>
      </w:r>
      <w:r w:rsidR="00D52FD0">
        <w:t xml:space="preserve"> </w:t>
      </w:r>
      <w:r w:rsidR="000A1AAE" w:rsidRPr="00857B1D">
        <w:t>to</w:t>
      </w:r>
      <w:r w:rsidR="00D52FD0">
        <w:t xml:space="preserve"> </w:t>
      </w:r>
      <w:r w:rsidR="000A1AAE" w:rsidRPr="00857B1D">
        <w:t>be</w:t>
      </w:r>
      <w:r w:rsidR="00D52FD0">
        <w:t xml:space="preserve"> </w:t>
      </w:r>
      <w:r w:rsidR="000A1AAE" w:rsidRPr="00857B1D">
        <w:t>able</w:t>
      </w:r>
      <w:r w:rsidR="00D52FD0">
        <w:t xml:space="preserve"> </w:t>
      </w:r>
      <w:r w:rsidR="000A1AAE" w:rsidRPr="00857B1D">
        <w:t>to</w:t>
      </w:r>
      <w:r w:rsidR="00D52FD0">
        <w:t xml:space="preserve"> </w:t>
      </w:r>
      <w:r w:rsidR="000A1AAE" w:rsidRPr="00857B1D">
        <w:t>address</w:t>
      </w:r>
      <w:r w:rsidR="00D52FD0">
        <w:t xml:space="preserve"> </w:t>
      </w:r>
      <w:r w:rsidR="000A1AAE" w:rsidRPr="00857B1D">
        <w:t>this</w:t>
      </w:r>
      <w:r w:rsidR="00D52FD0">
        <w:t xml:space="preserve"> </w:t>
      </w:r>
      <w:r w:rsidR="000A1AAE" w:rsidRPr="00857B1D">
        <w:t>demand,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office</w:t>
      </w:r>
      <w:r w:rsidR="00D52FD0">
        <w:t xml:space="preserve"> </w:t>
      </w:r>
      <w:r w:rsidR="000A1AAE" w:rsidRPr="00857B1D">
        <w:t>was</w:t>
      </w:r>
      <w:r w:rsidR="00D52FD0">
        <w:t xml:space="preserve"> </w:t>
      </w:r>
      <w:r w:rsidR="000A1AAE" w:rsidRPr="00857B1D">
        <w:t>in</w:t>
      </w:r>
      <w:r w:rsidR="00D52FD0">
        <w:t xml:space="preserve"> </w:t>
      </w:r>
      <w:r w:rsidR="000A1AAE" w:rsidRPr="00857B1D">
        <w:t>April</w:t>
      </w:r>
      <w:r w:rsidR="00D52FD0">
        <w:t xml:space="preserve"> </w:t>
      </w:r>
      <w:r w:rsidR="000A1AAE" w:rsidRPr="00857B1D">
        <w:t>2020</w:t>
      </w:r>
      <w:r w:rsidR="00D52FD0">
        <w:t xml:space="preserve"> </w:t>
      </w:r>
      <w:r w:rsidR="000A1AAE" w:rsidRPr="00857B1D">
        <w:t>moved</w:t>
      </w:r>
      <w:r w:rsidR="00D52FD0">
        <w:t xml:space="preserve"> </w:t>
      </w:r>
      <w:r w:rsidR="000A1AAE" w:rsidRPr="00857B1D">
        <w:t>to</w:t>
      </w:r>
      <w:r w:rsidR="00D52FD0">
        <w:t xml:space="preserve"> </w:t>
      </w:r>
      <w:r w:rsidR="000A1AAE" w:rsidRPr="00857B1D">
        <w:t>larger</w:t>
      </w:r>
      <w:r w:rsidR="00D52FD0">
        <w:t xml:space="preserve"> </w:t>
      </w:r>
      <w:r w:rsidR="000A1AAE" w:rsidRPr="00857B1D">
        <w:t>premises,</w:t>
      </w:r>
      <w:r w:rsidR="00D52FD0">
        <w:t xml:space="preserve"> </w:t>
      </w:r>
      <w:r w:rsidR="000A1AAE" w:rsidRPr="00857B1D">
        <w:t>extensive</w:t>
      </w:r>
      <w:r w:rsidR="00D52FD0">
        <w:t xml:space="preserve"> </w:t>
      </w:r>
      <w:r w:rsidR="000A1AAE" w:rsidRPr="00857B1D">
        <w:t>recruitment</w:t>
      </w:r>
      <w:r w:rsidR="00D52FD0">
        <w:t xml:space="preserve"> </w:t>
      </w:r>
      <w:r w:rsidR="000A1AAE" w:rsidRPr="00857B1D">
        <w:t>was</w:t>
      </w:r>
      <w:r w:rsidR="00D52FD0">
        <w:t xml:space="preserve"> </w:t>
      </w:r>
      <w:r w:rsidR="000A1AAE" w:rsidRPr="00857B1D">
        <w:t>conducted</w:t>
      </w:r>
      <w:r w:rsidR="00D52FD0">
        <w:t xml:space="preserve"> </w:t>
      </w:r>
      <w:r w:rsidR="000A1AAE" w:rsidRPr="00857B1D">
        <w:t>so</w:t>
      </w:r>
      <w:r w:rsidR="00D52FD0">
        <w:t xml:space="preserve"> </w:t>
      </w:r>
      <w:r w:rsidR="000A1AAE" w:rsidRPr="00857B1D">
        <w:t>that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prosecutors</w:t>
      </w:r>
      <w:r w:rsidR="00D52FD0">
        <w:t xml:space="preserve"> </w:t>
      </w:r>
      <w:r w:rsidR="000A1AAE" w:rsidRPr="00857B1D">
        <w:t>at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office</w:t>
      </w:r>
      <w:r w:rsidR="00D52FD0">
        <w:t xml:space="preserve"> </w:t>
      </w:r>
      <w:r w:rsidR="000A1AAE" w:rsidRPr="00857B1D">
        <w:t>have</w:t>
      </w:r>
      <w:r w:rsidR="00D52FD0">
        <w:t xml:space="preserve"> </w:t>
      </w:r>
      <w:r w:rsidR="000A1AAE" w:rsidRPr="00857B1D">
        <w:t>doubled</w:t>
      </w:r>
      <w:r w:rsidR="00D52FD0">
        <w:t xml:space="preserve"> </w:t>
      </w:r>
      <w:r w:rsidR="000A1AAE" w:rsidRPr="00857B1D">
        <w:t>in</w:t>
      </w:r>
      <w:r w:rsidR="00D52FD0">
        <w:t xml:space="preserve"> </w:t>
      </w:r>
      <w:r w:rsidR="000A1AAE" w:rsidRPr="00857B1D">
        <w:t>number,</w:t>
      </w:r>
      <w:r w:rsidR="00D52FD0">
        <w:t xml:space="preserve"> </w:t>
      </w:r>
      <w:r w:rsidR="000A1AAE" w:rsidRPr="00857B1D">
        <w:t>a</w:t>
      </w:r>
      <w:r w:rsidR="00D52FD0">
        <w:t xml:space="preserve"> </w:t>
      </w:r>
      <w:r w:rsidR="000A1AAE" w:rsidRPr="00857B1D">
        <w:t>Code</w:t>
      </w:r>
      <w:r w:rsidR="00D52FD0">
        <w:t xml:space="preserve"> </w:t>
      </w:r>
      <w:r w:rsidR="000A1AAE" w:rsidRPr="00857B1D">
        <w:t>of</w:t>
      </w:r>
      <w:r w:rsidR="00D52FD0">
        <w:t xml:space="preserve"> </w:t>
      </w:r>
      <w:r w:rsidR="000A1AAE" w:rsidRPr="00857B1D">
        <w:t>Ethics</w:t>
      </w:r>
      <w:r w:rsidR="00D52FD0">
        <w:t xml:space="preserve"> </w:t>
      </w:r>
      <w:r w:rsidR="000A1AAE" w:rsidRPr="00857B1D">
        <w:t>for</w:t>
      </w:r>
      <w:r w:rsidR="00D52FD0">
        <w:t xml:space="preserve"> </w:t>
      </w:r>
      <w:r w:rsidR="000A1AAE" w:rsidRPr="00857B1D">
        <w:t>Prosecutor</w:t>
      </w:r>
      <w:r w:rsidR="00D52FD0">
        <w:t xml:space="preserve"> </w:t>
      </w:r>
      <w:r w:rsidR="000A1AAE" w:rsidRPr="00857B1D">
        <w:t>was</w:t>
      </w:r>
      <w:r w:rsidR="00D52FD0">
        <w:t xml:space="preserve"> </w:t>
      </w:r>
      <w:r w:rsidR="000A1AAE" w:rsidRPr="00857B1D">
        <w:t>published</w:t>
      </w:r>
      <w:r w:rsidR="00D52FD0">
        <w:t xml:space="preserve"> </w:t>
      </w:r>
      <w:r w:rsidR="000A1AAE" w:rsidRPr="00857B1D">
        <w:t>in</w:t>
      </w:r>
      <w:r w:rsidR="00D52FD0">
        <w:t xml:space="preserve"> </w:t>
      </w:r>
      <w:r w:rsidR="000A1AAE" w:rsidRPr="00857B1D">
        <w:t>2019</w:t>
      </w:r>
      <w:r w:rsidR="00D52FD0">
        <w:t xml:space="preserve"> </w:t>
      </w:r>
      <w:r w:rsidR="000A1AAE" w:rsidRPr="00857B1D">
        <w:t>and</w:t>
      </w:r>
      <w:r w:rsidR="00D52FD0">
        <w:t xml:space="preserve"> </w:t>
      </w:r>
      <w:r w:rsidR="000A1AAE" w:rsidRPr="00857B1D">
        <w:t>a</w:t>
      </w:r>
      <w:r w:rsidR="00D52FD0">
        <w:t xml:space="preserve"> </w:t>
      </w:r>
      <w:r w:rsidR="000A1AAE" w:rsidRPr="00857B1D">
        <w:t>collective</w:t>
      </w:r>
      <w:r w:rsidR="00D52FD0">
        <w:t xml:space="preserve"> </w:t>
      </w:r>
      <w:r w:rsidR="000A1AAE" w:rsidRPr="00857B1D">
        <w:t>agreement</w:t>
      </w:r>
      <w:r w:rsidR="00D52FD0">
        <w:t xml:space="preserve"> </w:t>
      </w:r>
      <w:r w:rsidR="000A1AAE" w:rsidRPr="00857B1D">
        <w:t>to</w:t>
      </w:r>
      <w:r w:rsidR="00D52FD0">
        <w:t xml:space="preserve"> </w:t>
      </w:r>
      <w:r w:rsidR="000A1AAE" w:rsidRPr="00857B1D">
        <w:t>increase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financial</w:t>
      </w:r>
      <w:r w:rsidR="00D52FD0">
        <w:t xml:space="preserve"> </w:t>
      </w:r>
      <w:r w:rsidR="000A1AAE" w:rsidRPr="00857B1D">
        <w:t>package</w:t>
      </w:r>
      <w:r w:rsidR="00D52FD0">
        <w:t xml:space="preserve"> </w:t>
      </w:r>
      <w:r w:rsidR="000A1AAE" w:rsidRPr="00857B1D">
        <w:t>of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prosecutors</w:t>
      </w:r>
      <w:r w:rsidR="00D52FD0">
        <w:t xml:space="preserve"> </w:t>
      </w:r>
      <w:r w:rsidR="000A1AAE" w:rsidRPr="00857B1D">
        <w:t>has</w:t>
      </w:r>
      <w:r w:rsidR="00D52FD0">
        <w:t xml:space="preserve"> </w:t>
      </w:r>
      <w:r w:rsidR="000A1AAE" w:rsidRPr="00857B1D">
        <w:t>been</w:t>
      </w:r>
      <w:r w:rsidR="00D52FD0">
        <w:t xml:space="preserve"> </w:t>
      </w:r>
      <w:r w:rsidR="000A1AAE" w:rsidRPr="00857B1D">
        <w:t>finalized.</w:t>
      </w:r>
    </w:p>
    <w:p w14:paraId="54553C21" w14:textId="272AB95E" w:rsidR="000E4FD0" w:rsidRDefault="0044637E" w:rsidP="0044637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>
        <w:t>205.</w:t>
      </w:r>
      <w:r>
        <w:tab/>
      </w:r>
      <w:r w:rsidR="000A1AAE" w:rsidRPr="00857B1D">
        <w:t>The</w:t>
      </w:r>
      <w:r w:rsidR="00D52FD0">
        <w:t xml:space="preserve"> </w:t>
      </w:r>
      <w:r w:rsidR="000A1AAE" w:rsidRPr="00857B1D">
        <w:t>first</w:t>
      </w:r>
      <w:r w:rsidR="00D52FD0">
        <w:t xml:space="preserve"> </w:t>
      </w:r>
      <w:r w:rsidR="000A1AAE" w:rsidRPr="00857B1D">
        <w:t>group</w:t>
      </w:r>
      <w:r w:rsidR="00D52FD0">
        <w:t xml:space="preserve"> </w:t>
      </w:r>
      <w:r w:rsidR="000A1AAE" w:rsidRPr="00857B1D">
        <w:t>of</w:t>
      </w:r>
      <w:r w:rsidR="00D52FD0">
        <w:t xml:space="preserve"> </w:t>
      </w:r>
      <w:r w:rsidR="000A1AAE" w:rsidRPr="00857B1D">
        <w:t>cases</w:t>
      </w:r>
      <w:r w:rsidR="00D52FD0">
        <w:t xml:space="preserve"> </w:t>
      </w:r>
      <w:r w:rsidR="000A1AAE" w:rsidRPr="00857B1D">
        <w:t>where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decision</w:t>
      </w:r>
      <w:r w:rsidR="00D52FD0">
        <w:t xml:space="preserve"> </w:t>
      </w:r>
      <w:r w:rsidR="000A1AAE" w:rsidRPr="00857B1D">
        <w:t>to</w:t>
      </w:r>
      <w:r w:rsidR="00D52FD0">
        <w:t xml:space="preserve"> </w:t>
      </w:r>
      <w:r w:rsidR="000A1AAE" w:rsidRPr="00857B1D">
        <w:t>prosecute</w:t>
      </w:r>
      <w:r w:rsidR="00D52FD0">
        <w:t xml:space="preserve"> </w:t>
      </w:r>
      <w:r w:rsidR="000A1AAE" w:rsidRPr="00857B1D">
        <w:t>and</w:t>
      </w:r>
      <w:r w:rsidR="00D52FD0">
        <w:t xml:space="preserve"> </w:t>
      </w:r>
      <w:r w:rsidR="000A1AAE" w:rsidRPr="00857B1D">
        <w:t>prosecution</w:t>
      </w:r>
      <w:r w:rsidR="00D52FD0">
        <w:t xml:space="preserve"> </w:t>
      </w:r>
      <w:r w:rsidR="000A1AAE" w:rsidRPr="00857B1D">
        <w:t>before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Inferior</w:t>
      </w:r>
      <w:r w:rsidR="00D52FD0">
        <w:t xml:space="preserve"> </w:t>
      </w:r>
      <w:r w:rsidR="000A1AAE" w:rsidRPr="00857B1D">
        <w:t>Courts</w:t>
      </w:r>
      <w:r w:rsidR="00D52FD0">
        <w:t xml:space="preserve"> </w:t>
      </w:r>
      <w:r w:rsidR="000A1AAE" w:rsidRPr="00857B1D">
        <w:t>was</w:t>
      </w:r>
      <w:r w:rsidR="00D52FD0">
        <w:t xml:space="preserve"> </w:t>
      </w:r>
      <w:r w:rsidR="000A1AAE" w:rsidRPr="00857B1D">
        <w:t>taken</w:t>
      </w:r>
      <w:r w:rsidR="00D52FD0">
        <w:t xml:space="preserve"> </w:t>
      </w:r>
      <w:r w:rsidR="000A1AAE" w:rsidRPr="00857B1D">
        <w:t>over</w:t>
      </w:r>
      <w:r w:rsidR="00D52FD0">
        <w:t xml:space="preserve"> </w:t>
      </w:r>
      <w:r w:rsidR="000A1AAE" w:rsidRPr="00857B1D">
        <w:t>by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Office</w:t>
      </w:r>
      <w:r w:rsidR="00D52FD0">
        <w:t xml:space="preserve"> </w:t>
      </w:r>
      <w:r w:rsidR="000A1AAE" w:rsidRPr="00857B1D">
        <w:t>of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Attorney</w:t>
      </w:r>
      <w:r w:rsidR="00D52FD0">
        <w:t xml:space="preserve"> </w:t>
      </w:r>
      <w:r w:rsidR="000A1AAE" w:rsidRPr="00857B1D">
        <w:t>General,</w:t>
      </w:r>
      <w:r w:rsidR="00D52FD0">
        <w:t xml:space="preserve"> </w:t>
      </w:r>
      <w:r w:rsidR="000A1AAE" w:rsidRPr="00857B1D">
        <w:t>which</w:t>
      </w:r>
      <w:r w:rsidR="00D52FD0">
        <w:t xml:space="preserve"> </w:t>
      </w:r>
      <w:r w:rsidR="000A1AAE" w:rsidRPr="00857B1D">
        <w:t>includes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lastRenderedPageBreak/>
        <w:t>most</w:t>
      </w:r>
      <w:r w:rsidR="00D52FD0">
        <w:t xml:space="preserve"> </w:t>
      </w:r>
      <w:r w:rsidR="000A1AAE" w:rsidRPr="00857B1D">
        <w:t>serious</w:t>
      </w:r>
      <w:r w:rsidR="00D52FD0">
        <w:t xml:space="preserve"> </w:t>
      </w:r>
      <w:r w:rsidR="000A1AAE" w:rsidRPr="00857B1D">
        <w:t>crimes</w:t>
      </w:r>
      <w:r w:rsidR="00D52FD0">
        <w:t xml:space="preserve"> </w:t>
      </w:r>
      <w:r w:rsidR="000A1AAE" w:rsidRPr="00857B1D">
        <w:t>like</w:t>
      </w:r>
      <w:r w:rsidR="00D52FD0">
        <w:t xml:space="preserve"> </w:t>
      </w:r>
      <w:r w:rsidR="000A1AAE" w:rsidRPr="00857B1D">
        <w:t>willful</w:t>
      </w:r>
      <w:r w:rsidR="00D52FD0">
        <w:t xml:space="preserve"> </w:t>
      </w:r>
      <w:r w:rsidR="000A1AAE" w:rsidRPr="00857B1D">
        <w:t>homicide</w:t>
      </w:r>
      <w:r w:rsidR="00D52FD0">
        <w:t xml:space="preserve"> </w:t>
      </w:r>
      <w:r w:rsidR="000A1AAE" w:rsidRPr="00857B1D">
        <w:t>and</w:t>
      </w:r>
      <w:r w:rsidR="00D52FD0">
        <w:t xml:space="preserve"> </w:t>
      </w:r>
      <w:r w:rsidR="000A1AAE" w:rsidRPr="00857B1D">
        <w:t>terrorism,</w:t>
      </w:r>
      <w:r w:rsidR="00D52FD0">
        <w:t xml:space="preserve"> </w:t>
      </w:r>
      <w:r w:rsidR="000A1AAE" w:rsidRPr="00857B1D">
        <w:t>corruption</w:t>
      </w:r>
      <w:r w:rsidR="00D52FD0">
        <w:t xml:space="preserve"> </w:t>
      </w:r>
      <w:r w:rsidR="000A1AAE" w:rsidRPr="00857B1D">
        <w:t>and</w:t>
      </w:r>
      <w:r w:rsidR="00D52FD0">
        <w:t xml:space="preserve"> </w:t>
      </w:r>
      <w:r w:rsidR="000A1AAE" w:rsidRPr="00857B1D">
        <w:t>money</w:t>
      </w:r>
      <w:r w:rsidR="00D52FD0">
        <w:t xml:space="preserve"> </w:t>
      </w:r>
      <w:r w:rsidR="000A1AAE" w:rsidRPr="00857B1D">
        <w:t>laundering,</w:t>
      </w:r>
      <w:r w:rsidR="00D52FD0">
        <w:t xml:space="preserve"> </w:t>
      </w:r>
      <w:r w:rsidR="000A1AAE" w:rsidRPr="00857B1D">
        <w:t>was</w:t>
      </w:r>
      <w:r w:rsidR="00D52FD0">
        <w:t xml:space="preserve"> </w:t>
      </w:r>
      <w:r w:rsidR="000A1AAE" w:rsidRPr="00857B1D">
        <w:t>taken</w:t>
      </w:r>
      <w:r w:rsidR="00D52FD0">
        <w:t xml:space="preserve"> </w:t>
      </w:r>
      <w:r w:rsidR="000A1AAE" w:rsidRPr="00857B1D">
        <w:t>over</w:t>
      </w:r>
      <w:r w:rsidR="00D52FD0">
        <w:t xml:space="preserve"> </w:t>
      </w:r>
      <w:r w:rsidR="000A1AAE" w:rsidRPr="00857B1D">
        <w:t>by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Office</w:t>
      </w:r>
      <w:r w:rsidR="00D52FD0">
        <w:t xml:space="preserve"> </w:t>
      </w:r>
      <w:r w:rsidR="000A1AAE" w:rsidRPr="00857B1D">
        <w:t>on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1st</w:t>
      </w:r>
      <w:r w:rsidR="00D52FD0">
        <w:t xml:space="preserve"> </w:t>
      </w:r>
      <w:r w:rsidR="000A1AAE" w:rsidRPr="00857B1D">
        <w:t>October</w:t>
      </w:r>
      <w:r w:rsidR="00D52FD0">
        <w:t xml:space="preserve"> </w:t>
      </w:r>
      <w:r w:rsidR="000A1AAE" w:rsidRPr="00857B1D">
        <w:t>2020</w:t>
      </w:r>
      <w:r w:rsidR="00D52FD0">
        <w:t xml:space="preserve"> </w:t>
      </w:r>
      <w:r w:rsidR="000A1AAE" w:rsidRPr="00857B1D">
        <w:t>by</w:t>
      </w:r>
      <w:r w:rsidR="00D52FD0">
        <w:t xml:space="preserve"> </w:t>
      </w:r>
      <w:r w:rsidR="000A1AAE" w:rsidRPr="00857B1D">
        <w:t>virtue</w:t>
      </w:r>
      <w:r w:rsidR="00D52FD0">
        <w:t xml:space="preserve"> </w:t>
      </w:r>
      <w:r w:rsidR="000A1AAE" w:rsidRPr="00857B1D">
        <w:t>of</w:t>
      </w:r>
      <w:r w:rsidR="00D52FD0">
        <w:t xml:space="preserve"> </w:t>
      </w:r>
      <w:r w:rsidR="000A1AAE" w:rsidRPr="00857B1D">
        <w:t>Legal</w:t>
      </w:r>
      <w:r w:rsidR="00D52FD0">
        <w:t xml:space="preserve"> </w:t>
      </w:r>
      <w:r w:rsidR="000A1AAE" w:rsidRPr="00857B1D">
        <w:t>Notice</w:t>
      </w:r>
      <w:r w:rsidR="00D52FD0">
        <w:t xml:space="preserve"> </w:t>
      </w:r>
      <w:r w:rsidR="000A1AAE" w:rsidRPr="00857B1D">
        <w:t>378</w:t>
      </w:r>
      <w:r w:rsidR="00D52FD0">
        <w:t xml:space="preserve"> </w:t>
      </w:r>
      <w:r w:rsidR="000A1AAE" w:rsidRPr="00857B1D">
        <w:t>of</w:t>
      </w:r>
      <w:r w:rsidR="00D52FD0">
        <w:t xml:space="preserve"> </w:t>
      </w:r>
      <w:r w:rsidR="000A1AAE" w:rsidRPr="00857B1D">
        <w:t>2020.</w:t>
      </w:r>
    </w:p>
    <w:p w14:paraId="4E767E8E" w14:textId="4924E324" w:rsidR="000A1AAE" w:rsidRPr="00857B1D" w:rsidRDefault="0044637E" w:rsidP="0044637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857B1D">
        <w:t>206.</w:t>
      </w:r>
      <w:r w:rsidRPr="00857B1D">
        <w:tab/>
      </w:r>
      <w:r w:rsidR="000A1AAE" w:rsidRPr="00857B1D">
        <w:t>On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1st</w:t>
      </w:r>
      <w:r w:rsidR="00D52FD0">
        <w:t xml:space="preserve"> </w:t>
      </w:r>
      <w:r w:rsidR="000A1AAE" w:rsidRPr="00857B1D">
        <w:t>October</w:t>
      </w:r>
      <w:r w:rsidR="00D52FD0">
        <w:t xml:space="preserve"> </w:t>
      </w:r>
      <w:r w:rsidR="000A1AAE" w:rsidRPr="00857B1D">
        <w:t>2020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Judicial</w:t>
      </w:r>
      <w:r w:rsidR="00D52FD0">
        <w:t xml:space="preserve"> </w:t>
      </w:r>
      <w:r w:rsidR="000A1AAE" w:rsidRPr="00857B1D">
        <w:t>Review</w:t>
      </w:r>
      <w:r w:rsidR="00D52FD0">
        <w:t xml:space="preserve"> </w:t>
      </w:r>
      <w:r w:rsidR="000A1AAE" w:rsidRPr="00857B1D">
        <w:t>(Decisions</w:t>
      </w:r>
      <w:r w:rsidR="00D52FD0">
        <w:t xml:space="preserve"> </w:t>
      </w:r>
      <w:r w:rsidR="000A1AAE" w:rsidRPr="00857B1D">
        <w:t>not</w:t>
      </w:r>
      <w:r w:rsidR="00D52FD0">
        <w:t xml:space="preserve"> </w:t>
      </w:r>
      <w:r w:rsidR="000A1AAE" w:rsidRPr="00857B1D">
        <w:t>to</w:t>
      </w:r>
      <w:r w:rsidR="00D52FD0">
        <w:t xml:space="preserve"> </w:t>
      </w:r>
      <w:r w:rsidR="000A1AAE" w:rsidRPr="00857B1D">
        <w:t>Prosecute</w:t>
      </w:r>
      <w:r w:rsidR="00D52FD0">
        <w:t xml:space="preserve"> </w:t>
      </w:r>
      <w:r w:rsidR="000A1AAE" w:rsidRPr="00857B1D">
        <w:t>and</w:t>
      </w:r>
      <w:r w:rsidR="00D52FD0">
        <w:t xml:space="preserve"> </w:t>
      </w:r>
      <w:r w:rsidR="000A1AAE" w:rsidRPr="00857B1D">
        <w:t>Other</w:t>
      </w:r>
      <w:r w:rsidR="00D52FD0">
        <w:t xml:space="preserve"> </w:t>
      </w:r>
      <w:r w:rsidR="000A1AAE" w:rsidRPr="00857B1D">
        <w:t>Decisions</w:t>
      </w:r>
      <w:r w:rsidR="00D52FD0">
        <w:t xml:space="preserve"> </w:t>
      </w:r>
      <w:r w:rsidR="000A1AAE" w:rsidRPr="00857B1D">
        <w:t>of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Prosecution)</w:t>
      </w:r>
      <w:r w:rsidR="00D52FD0">
        <w:t xml:space="preserve"> </w:t>
      </w:r>
      <w:r w:rsidR="000A1AAE" w:rsidRPr="00857B1D">
        <w:t>Act</w:t>
      </w:r>
      <w:r w:rsidR="00D52FD0">
        <w:t xml:space="preserve"> </w:t>
      </w:r>
      <w:r w:rsidR="000A1AAE" w:rsidRPr="00857B1D">
        <w:t>(Act</w:t>
      </w:r>
      <w:r w:rsidR="00D52FD0">
        <w:t xml:space="preserve"> </w:t>
      </w:r>
      <w:r w:rsidR="000A1AAE" w:rsidRPr="00857B1D">
        <w:t>XLI</w:t>
      </w:r>
      <w:r w:rsidR="00D52FD0">
        <w:t xml:space="preserve"> </w:t>
      </w:r>
      <w:r w:rsidR="000A1AAE" w:rsidRPr="00857B1D">
        <w:t>of</w:t>
      </w:r>
      <w:r w:rsidR="00D52FD0">
        <w:t xml:space="preserve"> </w:t>
      </w:r>
      <w:r w:rsidR="000A1AAE" w:rsidRPr="00857B1D">
        <w:t>2020)</w:t>
      </w:r>
      <w:r w:rsidR="00D52FD0">
        <w:t xml:space="preserve"> </w:t>
      </w:r>
      <w:r w:rsidR="000A1AAE" w:rsidRPr="00857B1D">
        <w:t>came</w:t>
      </w:r>
      <w:r w:rsidR="00D52FD0">
        <w:t xml:space="preserve"> </w:t>
      </w:r>
      <w:r w:rsidR="000A1AAE" w:rsidRPr="00857B1D">
        <w:t>into</w:t>
      </w:r>
      <w:r w:rsidR="00D52FD0">
        <w:t xml:space="preserve"> </w:t>
      </w:r>
      <w:r w:rsidR="000A1AAE" w:rsidRPr="00857B1D">
        <w:t>force.</w:t>
      </w:r>
      <w:r w:rsidR="00D52FD0">
        <w:t xml:space="preserve"> </w:t>
      </w:r>
      <w:r w:rsidR="000A1AAE" w:rsidRPr="00857B1D">
        <w:t>This</w:t>
      </w:r>
      <w:r w:rsidR="00D52FD0">
        <w:t xml:space="preserve"> </w:t>
      </w:r>
      <w:r w:rsidR="000A1AAE" w:rsidRPr="00857B1D">
        <w:t>Act</w:t>
      </w:r>
      <w:r w:rsidR="00D52FD0">
        <w:t xml:space="preserve"> </w:t>
      </w:r>
      <w:r w:rsidR="000A1AAE" w:rsidRPr="00857B1D">
        <w:t>increases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accountability</w:t>
      </w:r>
      <w:r w:rsidR="00D52FD0">
        <w:t xml:space="preserve"> </w:t>
      </w:r>
      <w:r w:rsidR="000A1AAE" w:rsidRPr="00857B1D">
        <w:t>of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Attorney</w:t>
      </w:r>
      <w:r w:rsidR="00D52FD0">
        <w:t xml:space="preserve"> </w:t>
      </w:r>
      <w:r w:rsidR="000A1AAE" w:rsidRPr="00857B1D">
        <w:t>General</w:t>
      </w:r>
      <w:r w:rsidR="00D52FD0">
        <w:t xml:space="preserve"> </w:t>
      </w:r>
      <w:r w:rsidR="000A1AAE" w:rsidRPr="00857B1D">
        <w:t>in</w:t>
      </w:r>
      <w:r w:rsidR="00D52FD0">
        <w:t xml:space="preserve"> </w:t>
      </w:r>
      <w:r w:rsidR="000A1AAE" w:rsidRPr="00857B1D">
        <w:t>taking</w:t>
      </w:r>
      <w:r w:rsidR="00D52FD0">
        <w:t xml:space="preserve"> </w:t>
      </w:r>
      <w:r w:rsidR="000A1AAE" w:rsidRPr="00857B1D">
        <w:t>decisions</w:t>
      </w:r>
      <w:r w:rsidR="00D52FD0">
        <w:t xml:space="preserve"> </w:t>
      </w:r>
      <w:r w:rsidR="000A1AAE" w:rsidRPr="00857B1D">
        <w:t>not</w:t>
      </w:r>
      <w:r w:rsidR="00D52FD0">
        <w:t xml:space="preserve"> </w:t>
      </w:r>
      <w:r w:rsidR="000A1AAE" w:rsidRPr="00857B1D">
        <w:t>to</w:t>
      </w:r>
      <w:r w:rsidR="00D52FD0">
        <w:t xml:space="preserve"> </w:t>
      </w:r>
      <w:r w:rsidR="000A1AAE" w:rsidRPr="00857B1D">
        <w:t>prosecute</w:t>
      </w:r>
      <w:r w:rsidR="00D52FD0">
        <w:t xml:space="preserve"> </w:t>
      </w:r>
      <w:r w:rsidR="000A1AAE" w:rsidRPr="00857B1D">
        <w:t>by</w:t>
      </w:r>
      <w:r w:rsidR="00D52FD0">
        <w:t xml:space="preserve"> </w:t>
      </w:r>
      <w:r w:rsidR="000A1AAE" w:rsidRPr="00857B1D">
        <w:t>introducing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possibility</w:t>
      </w:r>
      <w:r w:rsidR="00D52FD0">
        <w:t xml:space="preserve"> </w:t>
      </w:r>
      <w:r w:rsidR="000A1AAE" w:rsidRPr="00857B1D">
        <w:t>of</w:t>
      </w:r>
      <w:r w:rsidR="00D52FD0">
        <w:t xml:space="preserve"> </w:t>
      </w:r>
      <w:r w:rsidR="000A1AAE" w:rsidRPr="00857B1D">
        <w:t>judicial</w:t>
      </w:r>
      <w:r w:rsidR="00D52FD0">
        <w:t xml:space="preserve"> </w:t>
      </w:r>
      <w:r w:rsidR="000A1AAE" w:rsidRPr="00857B1D">
        <w:t>review</w:t>
      </w:r>
      <w:r w:rsidR="00D52FD0">
        <w:t xml:space="preserve"> </w:t>
      </w:r>
      <w:r w:rsidR="000A1AAE" w:rsidRPr="00857B1D">
        <w:t>of</w:t>
      </w:r>
      <w:r w:rsidR="00D52FD0">
        <w:t xml:space="preserve"> </w:t>
      </w:r>
      <w:r w:rsidR="000A1AAE" w:rsidRPr="00857B1D">
        <w:t>those</w:t>
      </w:r>
      <w:r w:rsidR="00D52FD0">
        <w:t xml:space="preserve"> </w:t>
      </w:r>
      <w:r w:rsidR="000A1AAE" w:rsidRPr="00857B1D">
        <w:t>decisions</w:t>
      </w:r>
      <w:r w:rsidR="00D52FD0">
        <w:t xml:space="preserve"> </w:t>
      </w:r>
      <w:r w:rsidR="000A1AAE" w:rsidRPr="00857B1D">
        <w:t>(after</w:t>
      </w:r>
      <w:r w:rsidR="00D52FD0">
        <w:t xml:space="preserve"> </w:t>
      </w:r>
      <w:r w:rsidR="000A1AAE" w:rsidRPr="00857B1D">
        <w:t>a</w:t>
      </w:r>
      <w:r w:rsidR="00D52FD0">
        <w:t xml:space="preserve"> </w:t>
      </w:r>
      <w:r w:rsidR="000A1AAE" w:rsidRPr="00857B1D">
        <w:t>demand</w:t>
      </w:r>
      <w:r w:rsidR="00D52FD0">
        <w:t xml:space="preserve"> </w:t>
      </w:r>
      <w:r w:rsidR="000A1AAE" w:rsidRPr="00857B1D">
        <w:t>for</w:t>
      </w:r>
      <w:r w:rsidR="00D52FD0">
        <w:t xml:space="preserve"> </w:t>
      </w:r>
      <w:r w:rsidR="000A1AAE" w:rsidRPr="00857B1D">
        <w:t>reconsideration)</w:t>
      </w:r>
      <w:r w:rsidR="00D52FD0">
        <w:t xml:space="preserve"> </w:t>
      </w:r>
      <w:r w:rsidR="000A1AAE" w:rsidRPr="00857B1D">
        <w:t>on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grounds</w:t>
      </w:r>
      <w:r w:rsidR="00D52FD0">
        <w:t xml:space="preserve"> </w:t>
      </w:r>
      <w:r w:rsidR="000A1AAE" w:rsidRPr="00857B1D">
        <w:t>of</w:t>
      </w:r>
      <w:r w:rsidR="00D52FD0">
        <w:t xml:space="preserve"> </w:t>
      </w:r>
      <w:r w:rsidR="000A1AAE" w:rsidRPr="00857B1D">
        <w:t>illegality</w:t>
      </w:r>
      <w:r w:rsidR="00D52FD0">
        <w:t xml:space="preserve"> </w:t>
      </w:r>
      <w:r w:rsidR="000A1AAE" w:rsidRPr="00857B1D">
        <w:t>or</w:t>
      </w:r>
      <w:r w:rsidR="00D52FD0">
        <w:t xml:space="preserve"> </w:t>
      </w:r>
      <w:r w:rsidR="000A1AAE" w:rsidRPr="00857B1D">
        <w:t>unreasonableness.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Act</w:t>
      </w:r>
      <w:r w:rsidR="00D52FD0">
        <w:t xml:space="preserve"> </w:t>
      </w:r>
      <w:r w:rsidR="000A1AAE" w:rsidRPr="00857B1D">
        <w:t>also</w:t>
      </w:r>
      <w:r w:rsidR="00D52FD0">
        <w:t xml:space="preserve"> </w:t>
      </w:r>
      <w:r w:rsidR="000A1AAE" w:rsidRPr="00857B1D">
        <w:t>covers</w:t>
      </w:r>
      <w:r w:rsidR="00D52FD0">
        <w:t xml:space="preserve"> </w:t>
      </w:r>
      <w:r w:rsidR="000A1AAE" w:rsidRPr="00857B1D">
        <w:t>other</w:t>
      </w:r>
      <w:r w:rsidR="00D52FD0">
        <w:t xml:space="preserve"> </w:t>
      </w:r>
      <w:r w:rsidR="000A1AAE" w:rsidRPr="00857B1D">
        <w:t>decisions</w:t>
      </w:r>
      <w:r w:rsidR="00D52FD0">
        <w:t xml:space="preserve"> </w:t>
      </w:r>
      <w:r w:rsidR="000A1AAE" w:rsidRPr="00857B1D">
        <w:t>of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Attorney</w:t>
      </w:r>
      <w:r w:rsidR="00D52FD0">
        <w:t xml:space="preserve"> </w:t>
      </w:r>
      <w:r w:rsidR="000A1AAE" w:rsidRPr="00857B1D">
        <w:t>General</w:t>
      </w:r>
      <w:r w:rsidR="00D52FD0">
        <w:t xml:space="preserve"> </w:t>
      </w:r>
      <w:r w:rsidR="000A1AAE" w:rsidRPr="00857B1D">
        <w:t>such</w:t>
      </w:r>
      <w:r w:rsidR="00D52FD0">
        <w:t xml:space="preserve"> </w:t>
      </w:r>
      <w:r w:rsidR="000A1AAE" w:rsidRPr="00857B1D">
        <w:t>as</w:t>
      </w:r>
      <w:r w:rsidR="00D52FD0">
        <w:t xml:space="preserve"> </w:t>
      </w:r>
      <w:r w:rsidR="000A1AAE" w:rsidRPr="00857B1D">
        <w:t>in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case</w:t>
      </w:r>
      <w:r w:rsidR="00D52FD0">
        <w:t xml:space="preserve"> </w:t>
      </w:r>
      <w:r w:rsidR="000A1AAE" w:rsidRPr="00857B1D">
        <w:t>of</w:t>
      </w:r>
      <w:r w:rsidR="00D52FD0">
        <w:t xml:space="preserve"> </w:t>
      </w:r>
      <w:r w:rsidR="00F14DA3">
        <w:t>“</w:t>
      </w:r>
      <w:r w:rsidR="000A1AAE" w:rsidRPr="00857B1D">
        <w:t>either-way</w:t>
      </w:r>
      <w:r w:rsidR="00F14DA3">
        <w:t>”</w:t>
      </w:r>
      <w:r w:rsidR="00D52FD0">
        <w:t xml:space="preserve"> </w:t>
      </w:r>
      <w:r w:rsidR="000A1AAE" w:rsidRPr="00857B1D">
        <w:t>prosecutions</w:t>
      </w:r>
      <w:r w:rsidR="00D52FD0">
        <w:t xml:space="preserve"> </w:t>
      </w:r>
      <w:r w:rsidR="000A1AAE" w:rsidRPr="00857B1D">
        <w:t>where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Attorney</w:t>
      </w:r>
      <w:r w:rsidR="00D52FD0">
        <w:t xml:space="preserve"> </w:t>
      </w:r>
      <w:r w:rsidR="000A1AAE" w:rsidRPr="00857B1D">
        <w:t>General</w:t>
      </w:r>
      <w:r w:rsidR="00D52FD0">
        <w:t xml:space="preserve"> </w:t>
      </w:r>
      <w:r w:rsidR="000A1AAE" w:rsidRPr="00857B1D">
        <w:t>can</w:t>
      </w:r>
      <w:r w:rsidR="00D52FD0">
        <w:t xml:space="preserve"> </w:t>
      </w:r>
      <w:r w:rsidR="000A1AAE" w:rsidRPr="00857B1D">
        <w:t>decide</w:t>
      </w:r>
      <w:r w:rsidR="00D52FD0">
        <w:t xml:space="preserve"> </w:t>
      </w:r>
      <w:r w:rsidR="000A1AAE" w:rsidRPr="00857B1D">
        <w:t>in</w:t>
      </w:r>
      <w:r w:rsidR="00D52FD0">
        <w:t xml:space="preserve"> </w:t>
      </w:r>
      <w:r w:rsidR="000A1AAE" w:rsidRPr="00857B1D">
        <w:t>which</w:t>
      </w:r>
      <w:r w:rsidR="00D52FD0">
        <w:t xml:space="preserve"> </w:t>
      </w:r>
      <w:r w:rsidR="000A1AAE" w:rsidRPr="00857B1D">
        <w:t>court</w:t>
      </w:r>
      <w:r w:rsidR="00D52FD0">
        <w:t xml:space="preserve"> </w:t>
      </w:r>
      <w:r w:rsidR="000A1AAE" w:rsidRPr="00857B1D">
        <w:t>to</w:t>
      </w:r>
      <w:r w:rsidR="00D52FD0">
        <w:t xml:space="preserve"> </w:t>
      </w:r>
      <w:r w:rsidR="000A1AAE" w:rsidRPr="00857B1D">
        <w:t>prosecute</w:t>
      </w:r>
      <w:r w:rsidR="00D52FD0">
        <w:t xml:space="preserve"> </w:t>
      </w:r>
      <w:r w:rsidR="000A1AAE" w:rsidRPr="00857B1D">
        <w:t>an</w:t>
      </w:r>
      <w:r w:rsidR="00D52FD0">
        <w:t xml:space="preserve"> </w:t>
      </w:r>
      <w:r w:rsidR="000A1AAE" w:rsidRPr="00857B1D">
        <w:t>offence</w:t>
      </w:r>
      <w:r w:rsidR="00D52FD0">
        <w:t xml:space="preserve"> </w:t>
      </w:r>
      <w:r w:rsidR="000A1AAE" w:rsidRPr="00857B1D">
        <w:t>and</w:t>
      </w:r>
      <w:r w:rsidR="00D52FD0">
        <w:t xml:space="preserve"> </w:t>
      </w:r>
      <w:r w:rsidR="000A1AAE" w:rsidRPr="00857B1D">
        <w:t>decisions</w:t>
      </w:r>
      <w:r w:rsidR="00D52FD0">
        <w:t xml:space="preserve"> </w:t>
      </w:r>
      <w:r w:rsidR="000A1AAE" w:rsidRPr="00857B1D">
        <w:t>of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Attorney</w:t>
      </w:r>
      <w:r w:rsidR="00D52FD0">
        <w:t xml:space="preserve"> </w:t>
      </w:r>
      <w:r w:rsidR="000A1AAE" w:rsidRPr="00857B1D">
        <w:t>not</w:t>
      </w:r>
      <w:r w:rsidR="00D52FD0">
        <w:t xml:space="preserve"> </w:t>
      </w:r>
      <w:r w:rsidR="000A1AAE" w:rsidRPr="00857B1D">
        <w:t>to</w:t>
      </w:r>
      <w:r w:rsidR="00D52FD0">
        <w:t xml:space="preserve"> </w:t>
      </w:r>
      <w:r w:rsidR="000A1AAE" w:rsidRPr="00857B1D">
        <w:t>grant</w:t>
      </w:r>
      <w:r w:rsidR="00D52FD0">
        <w:t xml:space="preserve"> </w:t>
      </w:r>
      <w:r w:rsidR="000A1AAE" w:rsidRPr="00857B1D">
        <w:t>access</w:t>
      </w:r>
      <w:r w:rsidR="00D52FD0">
        <w:t xml:space="preserve"> </w:t>
      </w:r>
      <w:r w:rsidR="000A1AAE" w:rsidRPr="00857B1D">
        <w:t>to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acts</w:t>
      </w:r>
      <w:r w:rsidR="00D52FD0">
        <w:t xml:space="preserve"> </w:t>
      </w:r>
      <w:r w:rsidR="000A1AAE" w:rsidRPr="00857B1D">
        <w:t>of</w:t>
      </w:r>
      <w:r w:rsidR="00D52FD0">
        <w:t xml:space="preserve"> </w:t>
      </w:r>
      <w:r w:rsidR="000A1AAE" w:rsidRPr="00857B1D">
        <w:t>a</w:t>
      </w:r>
      <w:r w:rsidR="00D52FD0">
        <w:t xml:space="preserve"> </w:t>
      </w:r>
      <w:r w:rsidR="000A1AAE" w:rsidRPr="00857B1D">
        <w:t>Magisterial</w:t>
      </w:r>
      <w:r w:rsidR="00D52FD0">
        <w:t xml:space="preserve"> </w:t>
      </w:r>
      <w:r w:rsidR="000A1AAE" w:rsidRPr="00857B1D">
        <w:t>Inquiry.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Act</w:t>
      </w:r>
      <w:r w:rsidR="00D52FD0">
        <w:t xml:space="preserve"> </w:t>
      </w:r>
      <w:r w:rsidR="000A1AAE" w:rsidRPr="00857B1D">
        <w:t>also</w:t>
      </w:r>
      <w:r w:rsidR="00D52FD0">
        <w:t xml:space="preserve"> </w:t>
      </w:r>
      <w:r w:rsidR="000A1AAE" w:rsidRPr="00857B1D">
        <w:t>grants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Auditor</w:t>
      </w:r>
      <w:r w:rsidR="00D52FD0">
        <w:t xml:space="preserve"> </w:t>
      </w:r>
      <w:r w:rsidR="000A1AAE" w:rsidRPr="00857B1D">
        <w:t>General,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Commissioner</w:t>
      </w:r>
      <w:r w:rsidR="00D52FD0">
        <w:t xml:space="preserve"> </w:t>
      </w:r>
      <w:r w:rsidR="000A1AAE" w:rsidRPr="00857B1D">
        <w:t>for</w:t>
      </w:r>
      <w:r w:rsidR="00D52FD0">
        <w:t xml:space="preserve"> </w:t>
      </w:r>
      <w:r w:rsidR="000A1AAE" w:rsidRPr="00857B1D">
        <w:t>Standards</w:t>
      </w:r>
      <w:r w:rsidR="00D52FD0">
        <w:t xml:space="preserve"> </w:t>
      </w:r>
      <w:r w:rsidR="000A1AAE" w:rsidRPr="00857B1D">
        <w:t>in</w:t>
      </w:r>
      <w:r w:rsidR="00D52FD0">
        <w:t xml:space="preserve"> </w:t>
      </w:r>
      <w:r w:rsidR="000A1AAE" w:rsidRPr="00857B1D">
        <w:t>Public</w:t>
      </w:r>
      <w:r w:rsidR="00D52FD0">
        <w:t xml:space="preserve"> </w:t>
      </w:r>
      <w:r w:rsidR="000A1AAE" w:rsidRPr="00857B1D">
        <w:t>Life,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Permanent</w:t>
      </w:r>
      <w:r w:rsidR="00D52FD0">
        <w:t xml:space="preserve"> </w:t>
      </w:r>
      <w:r w:rsidR="000A1AAE" w:rsidRPr="00857B1D">
        <w:t>Commission</w:t>
      </w:r>
      <w:r w:rsidR="00D52FD0">
        <w:t xml:space="preserve"> </w:t>
      </w:r>
      <w:r w:rsidR="000A1AAE" w:rsidRPr="00857B1D">
        <w:t>Against</w:t>
      </w:r>
      <w:r w:rsidR="00D52FD0">
        <w:t xml:space="preserve"> </w:t>
      </w:r>
      <w:r w:rsidR="000A1AAE" w:rsidRPr="00857B1D">
        <w:t>Corruption</w:t>
      </w:r>
      <w:r w:rsidR="00D52FD0">
        <w:t xml:space="preserve"> </w:t>
      </w:r>
      <w:r w:rsidR="000A1AAE" w:rsidRPr="00857B1D">
        <w:t>and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Ombudsman,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right</w:t>
      </w:r>
      <w:r w:rsidR="00D52FD0">
        <w:t xml:space="preserve"> </w:t>
      </w:r>
      <w:r w:rsidR="000A1AAE" w:rsidRPr="00857B1D">
        <w:t>to</w:t>
      </w:r>
      <w:r w:rsidR="00D52FD0">
        <w:t xml:space="preserve"> </w:t>
      </w:r>
      <w:r w:rsidR="000A1AAE" w:rsidRPr="00857B1D">
        <w:t>seek</w:t>
      </w:r>
      <w:r w:rsidR="00D52FD0">
        <w:t xml:space="preserve"> </w:t>
      </w:r>
      <w:r w:rsidR="000A1AAE" w:rsidRPr="00857B1D">
        <w:t>judicial</w:t>
      </w:r>
      <w:r w:rsidR="00D52FD0">
        <w:t xml:space="preserve"> </w:t>
      </w:r>
      <w:r w:rsidR="000A1AAE" w:rsidRPr="00857B1D">
        <w:t>review</w:t>
      </w:r>
      <w:r w:rsidR="00D52FD0">
        <w:t xml:space="preserve"> </w:t>
      </w:r>
      <w:r w:rsidR="000A1AAE" w:rsidRPr="00857B1D">
        <w:t>of</w:t>
      </w:r>
      <w:r w:rsidR="00D52FD0">
        <w:t xml:space="preserve"> </w:t>
      </w:r>
      <w:r w:rsidR="000A1AAE" w:rsidRPr="00857B1D">
        <w:t>decisions</w:t>
      </w:r>
      <w:r w:rsidR="00D52FD0">
        <w:t xml:space="preserve"> </w:t>
      </w:r>
      <w:r w:rsidR="000A1AAE" w:rsidRPr="00857B1D">
        <w:t>not</w:t>
      </w:r>
      <w:r w:rsidR="00D52FD0">
        <w:t xml:space="preserve"> </w:t>
      </w:r>
      <w:r w:rsidR="000A1AAE" w:rsidRPr="00857B1D">
        <w:t>to</w:t>
      </w:r>
      <w:r w:rsidR="00D52FD0">
        <w:t xml:space="preserve"> </w:t>
      </w:r>
      <w:r w:rsidR="000A1AAE" w:rsidRPr="00857B1D">
        <w:t>prosecute</w:t>
      </w:r>
      <w:r w:rsidR="00D52FD0">
        <w:t xml:space="preserve"> </w:t>
      </w:r>
      <w:r w:rsidR="000A1AAE" w:rsidRPr="00857B1D">
        <w:t>taken</w:t>
      </w:r>
      <w:r w:rsidR="00D52FD0">
        <w:t xml:space="preserve"> </w:t>
      </w:r>
      <w:r w:rsidR="000A1AAE" w:rsidRPr="00857B1D">
        <w:t>further</w:t>
      </w:r>
      <w:r w:rsidR="00D52FD0">
        <w:t xml:space="preserve"> </w:t>
      </w:r>
      <w:r w:rsidR="000A1AAE" w:rsidRPr="00857B1D">
        <w:t>to</w:t>
      </w:r>
      <w:r w:rsidR="00D52FD0">
        <w:t xml:space="preserve"> </w:t>
      </w:r>
      <w:r w:rsidR="000A1AAE" w:rsidRPr="00857B1D">
        <w:t>reports</w:t>
      </w:r>
      <w:r w:rsidR="00D52FD0">
        <w:t xml:space="preserve"> </w:t>
      </w:r>
      <w:r w:rsidR="000A1AAE" w:rsidRPr="00857B1D">
        <w:t>of</w:t>
      </w:r>
      <w:r w:rsidR="00D52FD0">
        <w:t xml:space="preserve"> </w:t>
      </w:r>
      <w:r w:rsidR="000A1AAE" w:rsidRPr="00857B1D">
        <w:t>corrupt</w:t>
      </w:r>
      <w:r w:rsidR="00D52FD0">
        <w:t xml:space="preserve"> </w:t>
      </w:r>
      <w:r w:rsidR="000A1AAE" w:rsidRPr="00857B1D">
        <w:t>practices</w:t>
      </w:r>
      <w:r w:rsidR="00D52FD0">
        <w:t xml:space="preserve"> </w:t>
      </w:r>
      <w:r w:rsidR="000A1AAE" w:rsidRPr="00857B1D">
        <w:t>made</w:t>
      </w:r>
      <w:r w:rsidR="00D52FD0">
        <w:t xml:space="preserve"> </w:t>
      </w:r>
      <w:r w:rsidR="000A1AAE" w:rsidRPr="00857B1D">
        <w:t>by</w:t>
      </w:r>
      <w:r w:rsidR="00D52FD0">
        <w:t xml:space="preserve"> </w:t>
      </w:r>
      <w:r w:rsidR="000A1AAE" w:rsidRPr="00857B1D">
        <w:t>them,</w:t>
      </w:r>
      <w:r w:rsidR="00D52FD0">
        <w:t xml:space="preserve"> </w:t>
      </w:r>
      <w:r w:rsidR="000A1AAE" w:rsidRPr="00857B1D">
        <w:t>to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Attorney</w:t>
      </w:r>
      <w:r w:rsidR="00D52FD0">
        <w:t xml:space="preserve"> </w:t>
      </w:r>
      <w:r w:rsidR="000A1AAE" w:rsidRPr="00857B1D">
        <w:t>General.</w:t>
      </w:r>
      <w:r w:rsidR="00D52FD0">
        <w:t xml:space="preserve"> </w:t>
      </w:r>
      <w:r w:rsidR="000A1AAE" w:rsidRPr="00857B1D">
        <w:t>This</w:t>
      </w:r>
      <w:r w:rsidR="00D52FD0">
        <w:t xml:space="preserve"> </w:t>
      </w:r>
      <w:r w:rsidR="000A1AAE" w:rsidRPr="00857B1D">
        <w:t>is</w:t>
      </w:r>
      <w:r w:rsidR="00D52FD0">
        <w:t xml:space="preserve"> </w:t>
      </w:r>
      <w:r w:rsidR="000A1AAE" w:rsidRPr="00857B1D">
        <w:t>an</w:t>
      </w:r>
      <w:r w:rsidR="00D52FD0">
        <w:t xml:space="preserve"> </w:t>
      </w:r>
      <w:r w:rsidR="000A1AAE" w:rsidRPr="00857B1D">
        <w:t>important</w:t>
      </w:r>
      <w:r w:rsidR="00D52FD0">
        <w:t xml:space="preserve"> </w:t>
      </w:r>
      <w:r w:rsidR="000A1AAE" w:rsidRPr="00857B1D">
        <w:t>exception</w:t>
      </w:r>
      <w:r w:rsidR="00D52FD0">
        <w:t xml:space="preserve"> </w:t>
      </w:r>
      <w:r w:rsidR="000A1AAE" w:rsidRPr="00857B1D">
        <w:t>to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rule</w:t>
      </w:r>
      <w:r w:rsidR="00D52FD0">
        <w:t xml:space="preserve"> </w:t>
      </w:r>
      <w:r w:rsidR="000A1AAE" w:rsidRPr="00857B1D">
        <w:t>that</w:t>
      </w:r>
      <w:r w:rsidR="00D52FD0">
        <w:t xml:space="preserve"> </w:t>
      </w:r>
      <w:r w:rsidR="000A1AAE" w:rsidRPr="00857B1D">
        <w:t>judicial</w:t>
      </w:r>
      <w:r w:rsidR="00D52FD0">
        <w:t xml:space="preserve"> </w:t>
      </w:r>
      <w:r w:rsidR="000A1AAE" w:rsidRPr="00857B1D">
        <w:t>review</w:t>
      </w:r>
      <w:r w:rsidR="00D52FD0">
        <w:t xml:space="preserve"> </w:t>
      </w:r>
      <w:r w:rsidR="000A1AAE" w:rsidRPr="00857B1D">
        <w:t>of</w:t>
      </w:r>
      <w:r w:rsidR="00D52FD0">
        <w:t xml:space="preserve"> </w:t>
      </w:r>
      <w:r w:rsidR="000A1AAE" w:rsidRPr="00857B1D">
        <w:t>a</w:t>
      </w:r>
      <w:r w:rsidR="00D52FD0">
        <w:t xml:space="preserve"> </w:t>
      </w:r>
      <w:r w:rsidR="000A1AAE" w:rsidRPr="00857B1D">
        <w:t>decision</w:t>
      </w:r>
      <w:r w:rsidR="00D52FD0">
        <w:t xml:space="preserve"> </w:t>
      </w:r>
      <w:r w:rsidR="000A1AAE" w:rsidRPr="00857B1D">
        <w:t>not</w:t>
      </w:r>
      <w:r w:rsidR="00D52FD0">
        <w:t xml:space="preserve"> </w:t>
      </w:r>
      <w:r w:rsidR="000A1AAE" w:rsidRPr="00857B1D">
        <w:t>to</w:t>
      </w:r>
      <w:r w:rsidR="00D52FD0">
        <w:t xml:space="preserve"> </w:t>
      </w:r>
      <w:r w:rsidR="000A1AAE" w:rsidRPr="00857B1D">
        <w:t>prosecute</w:t>
      </w:r>
      <w:r w:rsidR="00D52FD0">
        <w:t xml:space="preserve"> </w:t>
      </w:r>
      <w:r w:rsidR="000A1AAE" w:rsidRPr="00857B1D">
        <w:t>may</w:t>
      </w:r>
      <w:r w:rsidR="00D52FD0">
        <w:t xml:space="preserve"> </w:t>
      </w:r>
      <w:r w:rsidR="000A1AAE" w:rsidRPr="00857B1D">
        <w:t>be</w:t>
      </w:r>
      <w:r w:rsidR="00D52FD0">
        <w:t xml:space="preserve"> </w:t>
      </w:r>
      <w:r w:rsidR="000A1AAE" w:rsidRPr="00857B1D">
        <w:t>made</w:t>
      </w:r>
      <w:r w:rsidR="00D52FD0">
        <w:t xml:space="preserve"> </w:t>
      </w:r>
      <w:r w:rsidR="000A1AAE" w:rsidRPr="00857B1D">
        <w:t>only</w:t>
      </w:r>
      <w:r w:rsidR="00D52FD0">
        <w:t xml:space="preserve"> </w:t>
      </w:r>
      <w:r w:rsidR="000A1AAE" w:rsidRPr="00857B1D">
        <w:t>by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injured</w:t>
      </w:r>
      <w:r w:rsidR="00D52FD0">
        <w:t xml:space="preserve"> </w:t>
      </w:r>
      <w:r w:rsidR="000A1AAE" w:rsidRPr="00857B1D">
        <w:t>party.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Act</w:t>
      </w:r>
      <w:r w:rsidR="00D52FD0">
        <w:t xml:space="preserve"> </w:t>
      </w:r>
      <w:r w:rsidR="000A1AAE" w:rsidRPr="00857B1D">
        <w:t>is</w:t>
      </w:r>
      <w:r w:rsidR="00D52FD0">
        <w:t xml:space="preserve"> </w:t>
      </w:r>
      <w:r w:rsidR="000A1AAE" w:rsidRPr="00857B1D">
        <w:t>an</w:t>
      </w:r>
      <w:r w:rsidR="00D52FD0">
        <w:t xml:space="preserve"> </w:t>
      </w:r>
      <w:r w:rsidR="000A1AAE" w:rsidRPr="00857B1D">
        <w:t>important</w:t>
      </w:r>
      <w:r w:rsidR="00D52FD0">
        <w:t xml:space="preserve"> </w:t>
      </w:r>
      <w:r w:rsidR="000A1AAE" w:rsidRPr="00857B1D">
        <w:t>step</w:t>
      </w:r>
      <w:r w:rsidR="00D52FD0">
        <w:t xml:space="preserve"> </w:t>
      </w:r>
      <w:r w:rsidR="000A1AAE" w:rsidRPr="00857B1D">
        <w:t>forward</w:t>
      </w:r>
      <w:r w:rsidR="00D52FD0">
        <w:t xml:space="preserve"> </w:t>
      </w:r>
      <w:r w:rsidR="000A1AAE" w:rsidRPr="00857B1D">
        <w:t>in</w:t>
      </w:r>
      <w:r w:rsidR="00D52FD0">
        <w:t xml:space="preserve"> </w:t>
      </w:r>
      <w:r w:rsidR="000A1AAE" w:rsidRPr="00857B1D">
        <w:t>ensuring</w:t>
      </w:r>
      <w:r w:rsidR="00D52FD0">
        <w:t xml:space="preserve"> </w:t>
      </w:r>
      <w:r w:rsidR="000A1AAE" w:rsidRPr="00857B1D">
        <w:t>openness</w:t>
      </w:r>
      <w:r w:rsidR="00D52FD0">
        <w:t xml:space="preserve"> </w:t>
      </w:r>
      <w:r w:rsidR="000A1AAE" w:rsidRPr="00857B1D">
        <w:t>and</w:t>
      </w:r>
      <w:r w:rsidR="00D52FD0">
        <w:t xml:space="preserve"> </w:t>
      </w:r>
      <w:r w:rsidR="000A1AAE" w:rsidRPr="00857B1D">
        <w:t>accountability</w:t>
      </w:r>
      <w:r w:rsidR="00D52FD0">
        <w:t xml:space="preserve"> </w:t>
      </w:r>
      <w:r w:rsidR="000A1AAE" w:rsidRPr="00857B1D">
        <w:t>of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prosecution</w:t>
      </w:r>
      <w:r w:rsidR="00D52FD0">
        <w:t xml:space="preserve"> </w:t>
      </w:r>
      <w:r w:rsidR="000A1AAE" w:rsidRPr="00857B1D">
        <w:t>service</w:t>
      </w:r>
      <w:r w:rsidR="00D52FD0">
        <w:t xml:space="preserve"> </w:t>
      </w:r>
      <w:r w:rsidR="000A1AAE" w:rsidRPr="00857B1D">
        <w:t>and</w:t>
      </w:r>
      <w:r w:rsidR="00D52FD0">
        <w:t xml:space="preserve"> </w:t>
      </w:r>
      <w:r w:rsidR="000A1AAE" w:rsidRPr="00857B1D">
        <w:t>in</w:t>
      </w:r>
      <w:r w:rsidR="00D52FD0">
        <w:t xml:space="preserve"> </w:t>
      </w:r>
      <w:r w:rsidR="000A1AAE" w:rsidRPr="00857B1D">
        <w:t>finding</w:t>
      </w:r>
      <w:r w:rsidR="00D52FD0">
        <w:t xml:space="preserve"> </w:t>
      </w:r>
      <w:r w:rsidR="000A1AAE" w:rsidRPr="00857B1D">
        <w:t>a</w:t>
      </w:r>
      <w:r w:rsidR="00D52FD0">
        <w:t xml:space="preserve"> </w:t>
      </w:r>
      <w:r w:rsidR="000A1AAE" w:rsidRPr="00857B1D">
        <w:t>proper</w:t>
      </w:r>
      <w:r w:rsidR="00D52FD0">
        <w:t xml:space="preserve"> </w:t>
      </w:r>
      <w:r w:rsidR="000A1AAE" w:rsidRPr="00857B1D">
        <w:t>balance</w:t>
      </w:r>
      <w:r w:rsidR="00D52FD0">
        <w:t xml:space="preserve"> </w:t>
      </w:r>
      <w:r w:rsidR="000A1AAE" w:rsidRPr="00857B1D">
        <w:t>with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rights</w:t>
      </w:r>
      <w:r w:rsidR="00D52FD0">
        <w:t xml:space="preserve"> </w:t>
      </w:r>
      <w:r w:rsidR="000A1AAE" w:rsidRPr="00857B1D">
        <w:t>and</w:t>
      </w:r>
      <w:r w:rsidR="00D52FD0">
        <w:t xml:space="preserve"> </w:t>
      </w:r>
      <w:r w:rsidR="000A1AAE" w:rsidRPr="00857B1D">
        <w:t>interests</w:t>
      </w:r>
      <w:r w:rsidR="00D52FD0">
        <w:t xml:space="preserve"> </w:t>
      </w:r>
      <w:r w:rsidR="000A1AAE" w:rsidRPr="00857B1D">
        <w:t>of</w:t>
      </w:r>
      <w:r w:rsidR="00D52FD0">
        <w:t xml:space="preserve"> </w:t>
      </w:r>
      <w:r w:rsidR="000A1AAE" w:rsidRPr="00857B1D">
        <w:t>society</w:t>
      </w:r>
      <w:r w:rsidR="00D52FD0">
        <w:t xml:space="preserve"> </w:t>
      </w:r>
      <w:r w:rsidR="000A1AAE" w:rsidRPr="00857B1D">
        <w:t>as</w:t>
      </w:r>
      <w:r w:rsidR="00D52FD0">
        <w:t xml:space="preserve"> </w:t>
      </w:r>
      <w:r w:rsidR="000A1AAE" w:rsidRPr="00857B1D">
        <w:t>a</w:t>
      </w:r>
      <w:r w:rsidR="00D52FD0">
        <w:t xml:space="preserve"> </w:t>
      </w:r>
      <w:r w:rsidR="000A1AAE" w:rsidRPr="00857B1D">
        <w:t>whole</w:t>
      </w:r>
      <w:r w:rsidR="00D52FD0">
        <w:t xml:space="preserve"> </w:t>
      </w:r>
      <w:r w:rsidR="000A1AAE" w:rsidRPr="00857B1D">
        <w:t>and</w:t>
      </w:r>
      <w:r w:rsidR="00D52FD0">
        <w:t xml:space="preserve"> </w:t>
      </w:r>
      <w:r w:rsidR="000A1AAE" w:rsidRPr="00857B1D">
        <w:t>those</w:t>
      </w:r>
      <w:r w:rsidR="00D52FD0">
        <w:t xml:space="preserve"> </w:t>
      </w:r>
      <w:r w:rsidR="000A1AAE" w:rsidRPr="00857B1D">
        <w:t>of</w:t>
      </w:r>
      <w:r w:rsidR="00D52FD0">
        <w:t xml:space="preserve"> </w:t>
      </w:r>
      <w:r w:rsidR="000A1AAE" w:rsidRPr="00857B1D">
        <w:t>injured</w:t>
      </w:r>
      <w:r w:rsidR="00D52FD0">
        <w:t xml:space="preserve"> </w:t>
      </w:r>
      <w:r w:rsidR="000A1AAE" w:rsidRPr="00857B1D">
        <w:t>parties.</w:t>
      </w:r>
    </w:p>
    <w:p w14:paraId="32E1DE47" w14:textId="4B1A4063" w:rsidR="000A1AAE" w:rsidRPr="00857B1D" w:rsidRDefault="0044637E" w:rsidP="0044637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857B1D">
        <w:t>207.</w:t>
      </w:r>
      <w:r w:rsidRPr="00857B1D">
        <w:tab/>
      </w:r>
      <w:r w:rsidR="000A1AAE" w:rsidRPr="00857B1D">
        <w:t>The</w:t>
      </w:r>
      <w:r w:rsidR="00D52FD0">
        <w:t xml:space="preserve"> </w:t>
      </w:r>
      <w:r w:rsidR="000A1AAE" w:rsidRPr="00857B1D">
        <w:t>Office</w:t>
      </w:r>
      <w:r w:rsidR="00D52FD0">
        <w:t xml:space="preserve"> </w:t>
      </w:r>
      <w:r w:rsidR="000A1AAE" w:rsidRPr="00857B1D">
        <w:t>of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Attorney</w:t>
      </w:r>
      <w:r w:rsidR="00D52FD0">
        <w:t xml:space="preserve"> </w:t>
      </w:r>
      <w:r w:rsidR="000A1AAE" w:rsidRPr="00857B1D">
        <w:t>General</w:t>
      </w:r>
      <w:r w:rsidR="00D52FD0">
        <w:t xml:space="preserve"> </w:t>
      </w:r>
      <w:r w:rsidR="000A1AAE" w:rsidRPr="00857B1D">
        <w:t>does</w:t>
      </w:r>
      <w:r w:rsidR="00D52FD0">
        <w:t xml:space="preserve"> </w:t>
      </w:r>
      <w:r w:rsidR="000A1AAE" w:rsidRPr="00857B1D">
        <w:t>not</w:t>
      </w:r>
      <w:r w:rsidR="00D52FD0">
        <w:t xml:space="preserve"> </w:t>
      </w:r>
      <w:r w:rsidR="000A1AAE" w:rsidRPr="00857B1D">
        <w:t>have</w:t>
      </w:r>
      <w:r w:rsidR="00D52FD0">
        <w:t xml:space="preserve"> </w:t>
      </w:r>
      <w:r w:rsidR="000A1AAE" w:rsidRPr="00857B1D">
        <w:t>a</w:t>
      </w:r>
      <w:r w:rsidR="00D52FD0">
        <w:t xml:space="preserve"> </w:t>
      </w:r>
      <w:r w:rsidR="000A1AAE" w:rsidRPr="00857B1D">
        <w:t>legislative</w:t>
      </w:r>
      <w:r w:rsidR="00D52FD0">
        <w:t xml:space="preserve"> </w:t>
      </w:r>
      <w:r w:rsidR="000A1AAE" w:rsidRPr="00857B1D">
        <w:t>function</w:t>
      </w:r>
      <w:r w:rsidR="00D52FD0">
        <w:t xml:space="preserve"> </w:t>
      </w:r>
      <w:r w:rsidR="000A1AAE" w:rsidRPr="00857B1D">
        <w:t>or</w:t>
      </w:r>
      <w:r w:rsidR="00D52FD0">
        <w:t xml:space="preserve"> </w:t>
      </w:r>
      <w:r w:rsidR="000A1AAE" w:rsidRPr="00857B1D">
        <w:t>an</w:t>
      </w:r>
      <w:r w:rsidR="00D52FD0">
        <w:t xml:space="preserve"> </w:t>
      </w:r>
      <w:r w:rsidR="000A1AAE" w:rsidRPr="00857B1D">
        <w:t>advisory</w:t>
      </w:r>
      <w:r w:rsidR="00D52FD0">
        <w:t xml:space="preserve"> </w:t>
      </w:r>
      <w:r w:rsidR="000A1AAE" w:rsidRPr="00857B1D">
        <w:t>function</w:t>
      </w:r>
      <w:r w:rsidR="00D52FD0">
        <w:t xml:space="preserve"> </w:t>
      </w:r>
      <w:r w:rsidR="000A1AAE" w:rsidRPr="00857B1D">
        <w:t>in</w:t>
      </w:r>
      <w:r w:rsidR="00D52FD0">
        <w:t xml:space="preserve"> </w:t>
      </w:r>
      <w:r w:rsidR="000A1AAE" w:rsidRPr="00857B1D">
        <w:t>respect</w:t>
      </w:r>
      <w:r w:rsidR="00D52FD0">
        <w:t xml:space="preserve"> </w:t>
      </w:r>
      <w:r w:rsidR="000A1AAE" w:rsidRPr="00857B1D">
        <w:t>of</w:t>
      </w:r>
      <w:r w:rsidR="00D52FD0">
        <w:t xml:space="preserve"> </w:t>
      </w:r>
      <w:r w:rsidR="000A1AAE" w:rsidRPr="00857B1D">
        <w:t>legislation</w:t>
      </w:r>
      <w:r w:rsidR="00D52FD0">
        <w:t xml:space="preserve"> </w:t>
      </w:r>
      <w:r w:rsidR="000A1AAE" w:rsidRPr="00857B1D">
        <w:t>outside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fields</w:t>
      </w:r>
      <w:r w:rsidR="00D52FD0">
        <w:t xml:space="preserve"> </w:t>
      </w:r>
      <w:r w:rsidR="000A1AAE" w:rsidRPr="00857B1D">
        <w:t>touching</w:t>
      </w:r>
      <w:r w:rsidR="00D52FD0">
        <w:t xml:space="preserve"> </w:t>
      </w:r>
      <w:r w:rsidR="000A1AAE" w:rsidRPr="00857B1D">
        <w:t>upon</w:t>
      </w:r>
      <w:r w:rsidR="00D52FD0">
        <w:t xml:space="preserve"> </w:t>
      </w:r>
      <w:r w:rsidR="000A1AAE" w:rsidRPr="00857B1D">
        <w:t>criminal</w:t>
      </w:r>
      <w:r w:rsidR="00D52FD0">
        <w:t xml:space="preserve"> </w:t>
      </w:r>
      <w:r w:rsidR="000A1AAE" w:rsidRPr="00857B1D">
        <w:t>law.</w:t>
      </w:r>
      <w:r w:rsidR="00D52FD0">
        <w:t xml:space="preserve"> </w:t>
      </w:r>
      <w:r w:rsidR="000A1AAE" w:rsidRPr="00857B1D">
        <w:t>Its</w:t>
      </w:r>
      <w:r w:rsidR="00D52FD0">
        <w:t xml:space="preserve"> </w:t>
      </w:r>
      <w:r w:rsidR="000A1AAE" w:rsidRPr="00857B1D">
        <w:t>locus</w:t>
      </w:r>
      <w:r w:rsidR="00D52FD0">
        <w:t xml:space="preserve"> </w:t>
      </w:r>
      <w:r w:rsidR="000A1AAE" w:rsidRPr="00857B1D">
        <w:t>standi</w:t>
      </w:r>
      <w:r w:rsidR="00D52FD0">
        <w:t xml:space="preserve"> </w:t>
      </w:r>
      <w:r w:rsidR="000A1AAE" w:rsidRPr="00857B1D">
        <w:t>to</w:t>
      </w:r>
      <w:r w:rsidR="00D52FD0">
        <w:t xml:space="preserve"> </w:t>
      </w:r>
      <w:r w:rsidR="000A1AAE" w:rsidRPr="00857B1D">
        <w:t>comment</w:t>
      </w:r>
      <w:r w:rsidR="00D52FD0">
        <w:t xml:space="preserve"> </w:t>
      </w:r>
      <w:r w:rsidR="000A1AAE" w:rsidRPr="00857B1D">
        <w:t>on</w:t>
      </w:r>
      <w:r w:rsidR="00D52FD0">
        <w:t xml:space="preserve"> </w:t>
      </w:r>
      <w:r w:rsidR="000A1AAE" w:rsidRPr="00857B1D">
        <w:t>legislation</w:t>
      </w:r>
      <w:r w:rsidR="00D52FD0">
        <w:t xml:space="preserve"> </w:t>
      </w:r>
      <w:r w:rsidR="000A1AAE" w:rsidRPr="00857B1D">
        <w:t>of</w:t>
      </w:r>
      <w:r w:rsidR="00D52FD0">
        <w:t xml:space="preserve"> </w:t>
      </w:r>
      <w:r w:rsidR="000A1AAE" w:rsidRPr="00857B1D">
        <w:t>a</w:t>
      </w:r>
      <w:r w:rsidR="00D52FD0">
        <w:t xml:space="preserve"> </w:t>
      </w:r>
      <w:r w:rsidR="000A1AAE" w:rsidRPr="00857B1D">
        <w:t>constitutional</w:t>
      </w:r>
      <w:r w:rsidR="00D52FD0">
        <w:t xml:space="preserve"> </w:t>
      </w:r>
      <w:r w:rsidR="000A1AAE" w:rsidRPr="00857B1D">
        <w:t>nature</w:t>
      </w:r>
      <w:r w:rsidR="00D52FD0">
        <w:t xml:space="preserve"> </w:t>
      </w:r>
      <w:r w:rsidR="000A1AAE" w:rsidRPr="00857B1D">
        <w:t>passed</w:t>
      </w:r>
      <w:r w:rsidR="00D52FD0">
        <w:t xml:space="preserve"> </w:t>
      </w:r>
      <w:r w:rsidR="000A1AAE" w:rsidRPr="00857B1D">
        <w:t>by</w:t>
      </w:r>
      <w:r w:rsidR="00D52FD0">
        <w:t xml:space="preserve"> </w:t>
      </w:r>
      <w:r w:rsidR="000A1AAE" w:rsidRPr="00857B1D">
        <w:t>Parliament</w:t>
      </w:r>
      <w:r w:rsidR="00D52FD0">
        <w:t xml:space="preserve"> </w:t>
      </w:r>
      <w:r w:rsidR="000A1AAE" w:rsidRPr="00857B1D">
        <w:t>as</w:t>
      </w:r>
      <w:r w:rsidR="00D52FD0">
        <w:t xml:space="preserve"> </w:t>
      </w:r>
      <w:r w:rsidR="000A1AAE" w:rsidRPr="00857B1D">
        <w:t>a</w:t>
      </w:r>
      <w:r w:rsidR="00D52FD0">
        <w:t xml:space="preserve"> </w:t>
      </w:r>
      <w:r w:rsidR="000A1AAE" w:rsidRPr="00857B1D">
        <w:t>result</w:t>
      </w:r>
      <w:r w:rsidR="00D52FD0">
        <w:t xml:space="preserve"> </w:t>
      </w:r>
      <w:r w:rsidR="000A1AAE" w:rsidRPr="00857B1D">
        <w:t>of</w:t>
      </w:r>
      <w:r w:rsidR="00D52FD0">
        <w:t xml:space="preserve"> </w:t>
      </w:r>
      <w:r w:rsidR="000A1AAE" w:rsidRPr="00857B1D">
        <w:t>negotiation</w:t>
      </w:r>
      <w:r w:rsidR="00D52FD0">
        <w:t xml:space="preserve"> </w:t>
      </w:r>
      <w:r w:rsidR="000A1AAE" w:rsidRPr="00857B1D">
        <w:t>and</w:t>
      </w:r>
      <w:r w:rsidR="00D52FD0">
        <w:t xml:space="preserve"> </w:t>
      </w:r>
      <w:r w:rsidR="000A1AAE" w:rsidRPr="00857B1D">
        <w:t>compromise</w:t>
      </w:r>
      <w:r w:rsidR="00D52FD0">
        <w:t xml:space="preserve"> </w:t>
      </w:r>
      <w:r w:rsidR="000A1AAE" w:rsidRPr="00857B1D">
        <w:t>in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political</w:t>
      </w:r>
      <w:r w:rsidR="00D52FD0">
        <w:t xml:space="preserve"> </w:t>
      </w:r>
      <w:r w:rsidR="000A1AAE" w:rsidRPr="00857B1D">
        <w:t>sphere</w:t>
      </w:r>
      <w:r w:rsidR="00D52FD0">
        <w:t xml:space="preserve"> </w:t>
      </w:r>
      <w:r w:rsidR="000A1AAE" w:rsidRPr="00857B1D">
        <w:t>is</w:t>
      </w:r>
      <w:r w:rsidR="00D52FD0">
        <w:t xml:space="preserve"> </w:t>
      </w:r>
      <w:r w:rsidR="000A1AAE" w:rsidRPr="00857B1D">
        <w:t>therefore</w:t>
      </w:r>
      <w:r w:rsidR="00D52FD0">
        <w:t xml:space="preserve"> </w:t>
      </w:r>
      <w:r w:rsidR="000A1AAE" w:rsidRPr="00857B1D">
        <w:t>limited.</w:t>
      </w:r>
    </w:p>
    <w:p w14:paraId="1E19060A" w14:textId="6562AF0D" w:rsidR="000A1AAE" w:rsidRPr="00825CCA" w:rsidRDefault="000A1AAE" w:rsidP="00935045">
      <w:pPr>
        <w:pStyle w:val="H1G"/>
      </w:pPr>
      <w:r>
        <w:tab/>
      </w:r>
      <w:r>
        <w:tab/>
      </w:r>
      <w:r w:rsidRPr="00825CCA">
        <w:t>Right</w:t>
      </w:r>
      <w:r w:rsidR="00D52FD0">
        <w:t xml:space="preserve"> </w:t>
      </w:r>
      <w:r w:rsidRPr="00825CCA">
        <w:t>to</w:t>
      </w:r>
      <w:r w:rsidR="00D52FD0">
        <w:t xml:space="preserve"> </w:t>
      </w:r>
      <w:r w:rsidRPr="00825CCA">
        <w:t>privacy</w:t>
      </w:r>
      <w:r w:rsidR="00D52FD0">
        <w:t xml:space="preserve"> </w:t>
      </w:r>
      <w:r w:rsidRPr="00825CCA">
        <w:t>(art.</w:t>
      </w:r>
      <w:r w:rsidR="00D52FD0">
        <w:t xml:space="preserve"> </w:t>
      </w:r>
      <w:r w:rsidRPr="00825CCA">
        <w:t>17)</w:t>
      </w:r>
    </w:p>
    <w:p w14:paraId="7EFFFA89" w14:textId="77777777" w:rsidR="000E4FD0" w:rsidRDefault="000A1AAE" w:rsidP="00935045">
      <w:pPr>
        <w:pStyle w:val="H23G"/>
        <w:rPr>
          <w:rFonts w:eastAsia="Calibri"/>
        </w:rPr>
      </w:pPr>
      <w:r>
        <w:tab/>
      </w:r>
      <w:r>
        <w:tab/>
      </w:r>
      <w:r w:rsidRPr="00504902">
        <w:t>Reply</w:t>
      </w:r>
      <w:r w:rsidR="00D52FD0">
        <w:t xml:space="preserve"> </w:t>
      </w:r>
      <w:r w:rsidRPr="00504902">
        <w:t>to</w:t>
      </w:r>
      <w:r w:rsidR="00D52FD0">
        <w:t xml:space="preserve"> </w:t>
      </w:r>
      <w:r w:rsidRPr="00504902">
        <w:t>paragraph</w:t>
      </w:r>
      <w:r w:rsidR="00D52FD0">
        <w:t xml:space="preserve"> </w:t>
      </w:r>
      <w:r>
        <w:t>21</w:t>
      </w:r>
      <w:r w:rsidR="00D52FD0">
        <w:t xml:space="preserve"> </w:t>
      </w:r>
      <w:r w:rsidRPr="00504902">
        <w:t>of</w:t>
      </w:r>
      <w:r w:rsidR="00D52FD0">
        <w:t xml:space="preserve"> </w:t>
      </w:r>
      <w:r w:rsidRPr="00504902">
        <w:t>the</w:t>
      </w:r>
      <w:r w:rsidR="00D52FD0">
        <w:t xml:space="preserve"> </w:t>
      </w:r>
      <w:r w:rsidRPr="00504902">
        <w:t>list</w:t>
      </w:r>
      <w:r w:rsidR="00D52FD0">
        <w:t xml:space="preserve"> </w:t>
      </w:r>
      <w:r w:rsidRPr="00504902">
        <w:t>of</w:t>
      </w:r>
      <w:r w:rsidR="00D52FD0">
        <w:t xml:space="preserve"> </w:t>
      </w:r>
      <w:r w:rsidRPr="00504902">
        <w:t>issues</w:t>
      </w:r>
    </w:p>
    <w:p w14:paraId="2018BE42" w14:textId="559187F9" w:rsidR="000A1AAE" w:rsidRPr="00857B1D" w:rsidRDefault="0044637E" w:rsidP="0044637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857B1D">
        <w:t>208.</w:t>
      </w:r>
      <w:r w:rsidRPr="00857B1D">
        <w:tab/>
      </w:r>
      <w:r w:rsidR="000A1AAE" w:rsidRPr="00857B1D">
        <w:t>The</w:t>
      </w:r>
      <w:r w:rsidR="00D52FD0">
        <w:t xml:space="preserve"> </w:t>
      </w:r>
      <w:r w:rsidR="000A1AAE" w:rsidRPr="00857B1D">
        <w:t>Malta</w:t>
      </w:r>
      <w:r w:rsidR="00D52FD0">
        <w:t xml:space="preserve"> </w:t>
      </w:r>
      <w:r w:rsidR="000A1AAE" w:rsidRPr="00857B1D">
        <w:t>Security</w:t>
      </w:r>
      <w:r w:rsidR="00D52FD0">
        <w:t xml:space="preserve"> </w:t>
      </w:r>
      <w:r w:rsidR="000A1AAE" w:rsidRPr="00857B1D">
        <w:t>Service</w:t>
      </w:r>
      <w:r w:rsidR="00D52FD0">
        <w:t xml:space="preserve"> </w:t>
      </w:r>
      <w:r w:rsidR="000A1AAE" w:rsidRPr="00857B1D">
        <w:t>is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entity</w:t>
      </w:r>
      <w:r w:rsidR="00D52FD0">
        <w:t xml:space="preserve"> </w:t>
      </w:r>
      <w:r w:rsidR="000A1AAE" w:rsidRPr="00857B1D">
        <w:t>with</w:t>
      </w:r>
      <w:r w:rsidR="00D52FD0">
        <w:t xml:space="preserve"> </w:t>
      </w:r>
      <w:r w:rsidR="000A1AAE" w:rsidRPr="00857B1D">
        <w:t>vested</w:t>
      </w:r>
      <w:r w:rsidR="00D52FD0">
        <w:t xml:space="preserve"> </w:t>
      </w:r>
      <w:r w:rsidR="000A1AAE" w:rsidRPr="00857B1D">
        <w:t>authority</w:t>
      </w:r>
      <w:r w:rsidR="00D52FD0">
        <w:t xml:space="preserve"> </w:t>
      </w:r>
      <w:r w:rsidR="000A1AAE" w:rsidRPr="00857B1D">
        <w:t>pursuant</w:t>
      </w:r>
      <w:r w:rsidR="00D52FD0">
        <w:t xml:space="preserve"> </w:t>
      </w:r>
      <w:r w:rsidR="000A1AAE" w:rsidRPr="00857B1D">
        <w:t>to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Malta</w:t>
      </w:r>
      <w:r w:rsidR="00D52FD0">
        <w:t xml:space="preserve"> </w:t>
      </w:r>
      <w:r w:rsidR="000A1AAE" w:rsidRPr="00857B1D">
        <w:t>Security</w:t>
      </w:r>
      <w:r w:rsidR="00D52FD0">
        <w:t xml:space="preserve"> </w:t>
      </w:r>
      <w:r w:rsidR="000A1AAE" w:rsidRPr="00857B1D">
        <w:t>Services</w:t>
      </w:r>
      <w:r w:rsidR="00D52FD0">
        <w:t xml:space="preserve"> </w:t>
      </w:r>
      <w:r w:rsidR="000A1AAE" w:rsidRPr="00857B1D">
        <w:t>Act</w:t>
      </w:r>
      <w:r w:rsidR="00D52FD0">
        <w:t xml:space="preserve"> </w:t>
      </w:r>
      <w:r w:rsidR="000A1AAE" w:rsidRPr="00857B1D">
        <w:t>Chapter</w:t>
      </w:r>
      <w:r w:rsidR="00D52FD0">
        <w:t xml:space="preserve"> </w:t>
      </w:r>
      <w:r w:rsidR="000A1AAE" w:rsidRPr="00857B1D">
        <w:t>391</w:t>
      </w:r>
      <w:r w:rsidR="00D52FD0">
        <w:t xml:space="preserve"> </w:t>
      </w:r>
      <w:r w:rsidR="000A1AAE" w:rsidRPr="00857B1D">
        <w:t>Laws</w:t>
      </w:r>
      <w:r w:rsidR="00D52FD0">
        <w:t xml:space="preserve"> </w:t>
      </w:r>
      <w:r w:rsidR="000A1AAE" w:rsidRPr="00857B1D">
        <w:t>of</w:t>
      </w:r>
      <w:r w:rsidR="00D52FD0">
        <w:t xml:space="preserve"> </w:t>
      </w:r>
      <w:r w:rsidR="000A1AAE" w:rsidRPr="00857B1D">
        <w:t>Malta.</w:t>
      </w:r>
    </w:p>
    <w:p w14:paraId="7047BDAB" w14:textId="6A4AE073" w:rsidR="000A1AAE" w:rsidRPr="00857B1D" w:rsidRDefault="0044637E" w:rsidP="0044637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857B1D">
        <w:t>209.</w:t>
      </w:r>
      <w:r w:rsidRPr="00857B1D">
        <w:tab/>
      </w:r>
      <w:r w:rsidR="000A1AAE" w:rsidRPr="00857B1D">
        <w:t>The</w:t>
      </w:r>
      <w:r w:rsidR="00D52FD0">
        <w:t xml:space="preserve"> </w:t>
      </w:r>
      <w:r w:rsidR="000A1AAE" w:rsidRPr="00857B1D">
        <w:t>principles</w:t>
      </w:r>
      <w:r w:rsidR="00D52FD0">
        <w:t xml:space="preserve"> </w:t>
      </w:r>
      <w:r w:rsidR="000A1AAE" w:rsidRPr="00857B1D">
        <w:t>of</w:t>
      </w:r>
      <w:r w:rsidR="00D52FD0">
        <w:t xml:space="preserve"> </w:t>
      </w:r>
      <w:r w:rsidR="000A1AAE" w:rsidRPr="00857B1D">
        <w:t>legality,</w:t>
      </w:r>
      <w:r w:rsidR="00D52FD0">
        <w:t xml:space="preserve"> </w:t>
      </w:r>
      <w:r w:rsidR="000A1AAE" w:rsidRPr="00857B1D">
        <w:t>proportionality</w:t>
      </w:r>
      <w:r w:rsidR="00D52FD0">
        <w:t xml:space="preserve"> </w:t>
      </w:r>
      <w:r w:rsidR="000A1AAE" w:rsidRPr="00857B1D">
        <w:t>and</w:t>
      </w:r>
      <w:r w:rsidR="00D52FD0">
        <w:t xml:space="preserve"> </w:t>
      </w:r>
      <w:r w:rsidR="000A1AAE" w:rsidRPr="00857B1D">
        <w:t>necessity</w:t>
      </w:r>
      <w:r w:rsidR="00D52FD0">
        <w:t xml:space="preserve"> </w:t>
      </w:r>
      <w:r w:rsidR="000A1AAE" w:rsidRPr="00857B1D">
        <w:t>are</w:t>
      </w:r>
      <w:r w:rsidR="00D52FD0">
        <w:t xml:space="preserve"> </w:t>
      </w:r>
      <w:r w:rsidR="000A1AAE" w:rsidRPr="00857B1D">
        <w:t>addressed</w:t>
      </w:r>
      <w:r w:rsidR="00D52FD0">
        <w:t xml:space="preserve"> </w:t>
      </w:r>
      <w:r w:rsidR="000A1AAE" w:rsidRPr="00857B1D">
        <w:t>in</w:t>
      </w:r>
      <w:r w:rsidR="00D52FD0">
        <w:t xml:space="preserve"> </w:t>
      </w:r>
      <w:r w:rsidR="000A1AAE" w:rsidRPr="00857B1D">
        <w:t>article</w:t>
      </w:r>
      <w:r w:rsidR="00D52FD0">
        <w:t xml:space="preserve"> </w:t>
      </w:r>
      <w:r w:rsidR="000A1AAE" w:rsidRPr="00857B1D">
        <w:t>6</w:t>
      </w:r>
      <w:r w:rsidR="00D52FD0">
        <w:t xml:space="preserve"> </w:t>
      </w:r>
      <w:r w:rsidR="000A1AAE" w:rsidRPr="00857B1D">
        <w:t>of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Security</w:t>
      </w:r>
      <w:r w:rsidR="00D52FD0">
        <w:t xml:space="preserve"> </w:t>
      </w:r>
      <w:r w:rsidR="000A1AAE" w:rsidRPr="00857B1D">
        <w:t>Services</w:t>
      </w:r>
      <w:r w:rsidR="00D52FD0">
        <w:t xml:space="preserve"> </w:t>
      </w:r>
      <w:r w:rsidR="000A1AAE" w:rsidRPr="00857B1D">
        <w:t>Act,</w:t>
      </w:r>
      <w:r w:rsidR="00D52FD0">
        <w:t xml:space="preserve"> </w:t>
      </w:r>
      <w:r w:rsidR="000A1AAE" w:rsidRPr="00857B1D">
        <w:t>particularly:</w:t>
      </w:r>
    </w:p>
    <w:p w14:paraId="2795E70A" w14:textId="652C29C2" w:rsidR="000E4FD0" w:rsidRDefault="0044637E" w:rsidP="0044637E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>
        <w:t>•</w:t>
      </w:r>
      <w:r>
        <w:tab/>
      </w:r>
      <w:r w:rsidR="000A1AAE" w:rsidRPr="00825CCA">
        <w:t>Article</w:t>
      </w:r>
      <w:r w:rsidR="00D52FD0">
        <w:t xml:space="preserve"> </w:t>
      </w:r>
      <w:r w:rsidR="000A1AAE" w:rsidRPr="00825CCA">
        <w:t>6</w:t>
      </w:r>
      <w:r w:rsidR="00D52FD0">
        <w:t xml:space="preserve"> </w:t>
      </w:r>
      <w:r w:rsidR="000A1AAE" w:rsidRPr="00825CCA">
        <w:t>(3)</w:t>
      </w:r>
      <w:r w:rsidR="00D52FD0">
        <w:t xml:space="preserve"> </w:t>
      </w:r>
      <w:r w:rsidR="000A1AAE" w:rsidRPr="00825CCA">
        <w:t>(a)</w:t>
      </w:r>
      <w:r w:rsidR="00D52FD0">
        <w:t xml:space="preserve"> </w:t>
      </w:r>
      <w:r w:rsidR="000A1AAE" w:rsidRPr="00825CCA">
        <w:t>addresses</w:t>
      </w:r>
      <w:r w:rsidR="00D52FD0">
        <w:t xml:space="preserve"> </w:t>
      </w:r>
      <w:r w:rsidR="000A1AAE" w:rsidRPr="00825CCA">
        <w:t>the</w:t>
      </w:r>
      <w:r w:rsidR="00D52FD0">
        <w:t xml:space="preserve"> </w:t>
      </w:r>
      <w:r w:rsidR="000A1AAE" w:rsidRPr="00825CCA">
        <w:t>legality</w:t>
      </w:r>
      <w:r w:rsidR="00D52FD0">
        <w:t xml:space="preserve"> </w:t>
      </w:r>
      <w:r w:rsidR="000A1AAE" w:rsidRPr="00825CCA">
        <w:t>and</w:t>
      </w:r>
      <w:r w:rsidR="00D52FD0">
        <w:t xml:space="preserve"> </w:t>
      </w:r>
      <w:r w:rsidR="000A1AAE" w:rsidRPr="00825CCA">
        <w:t>necessity</w:t>
      </w:r>
      <w:r w:rsidR="00D52FD0">
        <w:t xml:space="preserve"> </w:t>
      </w:r>
      <w:r w:rsidR="000A1AAE" w:rsidRPr="00825CCA">
        <w:t>principles</w:t>
      </w:r>
      <w:r w:rsidR="00D52FD0">
        <w:t xml:space="preserve"> </w:t>
      </w:r>
      <w:r w:rsidR="000A1AAE" w:rsidRPr="00825CCA">
        <w:t>where</w:t>
      </w:r>
      <w:r w:rsidR="00D52FD0">
        <w:t xml:space="preserve"> </w:t>
      </w:r>
      <w:r w:rsidR="000A1AAE" w:rsidRPr="00825CCA">
        <w:t>it</w:t>
      </w:r>
      <w:r w:rsidR="00D52FD0">
        <w:t xml:space="preserve"> </w:t>
      </w:r>
      <w:r w:rsidR="000A1AAE" w:rsidRPr="00825CCA">
        <w:t>states</w:t>
      </w:r>
      <w:r w:rsidR="00D52FD0">
        <w:t xml:space="preserve"> </w:t>
      </w:r>
      <w:r w:rsidR="000A1AAE" w:rsidRPr="00825CCA">
        <w:t>that</w:t>
      </w:r>
      <w:r w:rsidR="00D52FD0">
        <w:t xml:space="preserve"> </w:t>
      </w:r>
      <w:r w:rsidR="00F14DA3">
        <w:t>‘</w:t>
      </w:r>
      <w:r w:rsidR="000A1AAE" w:rsidRPr="00825CCA">
        <w:t>if</w:t>
      </w:r>
      <w:r w:rsidR="00D52FD0">
        <w:t xml:space="preserve"> </w:t>
      </w:r>
      <w:r w:rsidR="000A1AAE" w:rsidRPr="00825CCA">
        <w:t>the</w:t>
      </w:r>
      <w:r w:rsidR="00D52FD0">
        <w:t xml:space="preserve"> </w:t>
      </w:r>
      <w:r w:rsidR="000A1AAE" w:rsidRPr="00825CCA">
        <w:t>Minister</w:t>
      </w:r>
      <w:r w:rsidR="00D52FD0">
        <w:t xml:space="preserve"> </w:t>
      </w:r>
      <w:r w:rsidR="00F14DA3">
        <w:t>–</w:t>
      </w:r>
      <w:r w:rsidR="00D52FD0">
        <w:t xml:space="preserve"> </w:t>
      </w:r>
      <w:r w:rsidR="000A1AAE" w:rsidRPr="00825CCA">
        <w:t>(a)</w:t>
      </w:r>
      <w:r w:rsidR="00D52FD0">
        <w:t xml:space="preserve"> </w:t>
      </w:r>
      <w:r w:rsidR="000A1AAE" w:rsidRPr="00825CCA">
        <w:t>thinks</w:t>
      </w:r>
      <w:r w:rsidR="00D52FD0">
        <w:t xml:space="preserve"> </w:t>
      </w:r>
      <w:r w:rsidR="000A1AAE" w:rsidRPr="00825CCA">
        <w:t>it</w:t>
      </w:r>
      <w:r w:rsidR="00D52FD0">
        <w:t xml:space="preserve"> </w:t>
      </w:r>
      <w:r w:rsidR="000A1AAE" w:rsidRPr="00825CCA">
        <w:rPr>
          <w:bCs/>
        </w:rPr>
        <w:t>necessary</w:t>
      </w:r>
      <w:r w:rsidR="00D52FD0">
        <w:t xml:space="preserve"> </w:t>
      </w:r>
      <w:r w:rsidR="000A1AAE" w:rsidRPr="00825CCA">
        <w:t>for</w:t>
      </w:r>
      <w:r w:rsidR="00D52FD0">
        <w:t xml:space="preserve"> </w:t>
      </w:r>
      <w:r w:rsidR="000A1AAE" w:rsidRPr="00825CCA">
        <w:t>the</w:t>
      </w:r>
      <w:r w:rsidR="00D52FD0">
        <w:t xml:space="preserve"> </w:t>
      </w:r>
      <w:r w:rsidR="000A1AAE" w:rsidRPr="00825CCA">
        <w:t>action</w:t>
      </w:r>
      <w:r w:rsidR="00D52FD0">
        <w:t xml:space="preserve"> </w:t>
      </w:r>
      <w:r w:rsidR="000A1AAE" w:rsidRPr="00825CCA">
        <w:t>to</w:t>
      </w:r>
      <w:r w:rsidR="00D52FD0">
        <w:t xml:space="preserve"> </w:t>
      </w:r>
      <w:r w:rsidR="000A1AAE" w:rsidRPr="00825CCA">
        <w:t>be</w:t>
      </w:r>
      <w:r w:rsidR="00D52FD0">
        <w:t xml:space="preserve"> </w:t>
      </w:r>
      <w:r w:rsidR="000A1AAE" w:rsidRPr="00825CCA">
        <w:t>taken</w:t>
      </w:r>
      <w:r w:rsidR="00D52FD0">
        <w:t xml:space="preserve"> </w:t>
      </w:r>
      <w:r w:rsidR="000A1AAE" w:rsidRPr="00825CCA">
        <w:t>on</w:t>
      </w:r>
      <w:r w:rsidR="00D52FD0">
        <w:t xml:space="preserve"> </w:t>
      </w:r>
      <w:r w:rsidR="000A1AAE" w:rsidRPr="00825CCA">
        <w:t>the</w:t>
      </w:r>
      <w:r w:rsidR="00D52FD0">
        <w:t xml:space="preserve"> </w:t>
      </w:r>
      <w:r w:rsidR="000A1AAE" w:rsidRPr="00825CCA">
        <w:t>ground</w:t>
      </w:r>
      <w:r w:rsidR="00D52FD0">
        <w:t xml:space="preserve"> </w:t>
      </w:r>
      <w:r w:rsidR="000A1AAE" w:rsidRPr="00825CCA">
        <w:t>that</w:t>
      </w:r>
      <w:r w:rsidR="00D52FD0">
        <w:t xml:space="preserve"> </w:t>
      </w:r>
      <w:r w:rsidR="000A1AAE" w:rsidRPr="00825CCA">
        <w:t>it</w:t>
      </w:r>
      <w:r w:rsidR="00D52FD0">
        <w:t xml:space="preserve"> </w:t>
      </w:r>
      <w:r w:rsidR="000A1AAE" w:rsidRPr="00825CCA">
        <w:t>is</w:t>
      </w:r>
      <w:r w:rsidR="00D52FD0">
        <w:t xml:space="preserve"> </w:t>
      </w:r>
      <w:r w:rsidR="000A1AAE" w:rsidRPr="00825CCA">
        <w:t>likely</w:t>
      </w:r>
      <w:r w:rsidR="00D52FD0">
        <w:t xml:space="preserve"> </w:t>
      </w:r>
      <w:r w:rsidR="000A1AAE" w:rsidRPr="00825CCA">
        <w:t>to</w:t>
      </w:r>
      <w:r w:rsidR="00D52FD0">
        <w:t xml:space="preserve"> </w:t>
      </w:r>
      <w:r w:rsidR="000A1AAE" w:rsidRPr="00825CCA">
        <w:t>be</w:t>
      </w:r>
      <w:r w:rsidR="00D52FD0">
        <w:t xml:space="preserve"> </w:t>
      </w:r>
      <w:r w:rsidR="000A1AAE" w:rsidRPr="00825CCA">
        <w:t>of</w:t>
      </w:r>
      <w:r w:rsidR="00D52FD0">
        <w:t xml:space="preserve"> </w:t>
      </w:r>
      <w:r w:rsidR="000A1AAE" w:rsidRPr="00825CCA">
        <w:t>substantial</w:t>
      </w:r>
      <w:r w:rsidR="00D52FD0">
        <w:t xml:space="preserve"> </w:t>
      </w:r>
      <w:r w:rsidR="000A1AAE" w:rsidRPr="00825CCA">
        <w:t>value</w:t>
      </w:r>
      <w:r w:rsidR="00D52FD0">
        <w:t xml:space="preserve"> </w:t>
      </w:r>
      <w:r w:rsidR="000A1AAE" w:rsidRPr="00825CCA">
        <w:t>in</w:t>
      </w:r>
      <w:r w:rsidR="00D52FD0">
        <w:t xml:space="preserve"> </w:t>
      </w:r>
      <w:r w:rsidR="000A1AAE" w:rsidRPr="00825CCA">
        <w:t>assisting</w:t>
      </w:r>
      <w:r w:rsidR="00D52FD0">
        <w:t xml:space="preserve"> </w:t>
      </w:r>
      <w:r w:rsidR="000A1AAE" w:rsidRPr="00825CCA">
        <w:t>the</w:t>
      </w:r>
      <w:r w:rsidR="00D52FD0">
        <w:t xml:space="preserve"> </w:t>
      </w:r>
      <w:r w:rsidR="000A1AAE" w:rsidRPr="00825CCA">
        <w:t>Service</w:t>
      </w:r>
      <w:r w:rsidR="00D52FD0">
        <w:t xml:space="preserve"> </w:t>
      </w:r>
      <w:r w:rsidR="000A1AAE" w:rsidRPr="00825CCA">
        <w:t>in</w:t>
      </w:r>
      <w:r w:rsidR="00D52FD0">
        <w:t xml:space="preserve"> </w:t>
      </w:r>
      <w:r w:rsidR="000A1AAE" w:rsidRPr="00825CCA">
        <w:t>carrying</w:t>
      </w:r>
      <w:r w:rsidR="00D52FD0">
        <w:rPr>
          <w:bCs/>
        </w:rPr>
        <w:t xml:space="preserve"> </w:t>
      </w:r>
      <w:r w:rsidR="000A1AAE" w:rsidRPr="00825CCA">
        <w:rPr>
          <w:bCs/>
        </w:rPr>
        <w:t>out</w:t>
      </w:r>
      <w:r w:rsidR="00D52FD0">
        <w:rPr>
          <w:bCs/>
        </w:rPr>
        <w:t xml:space="preserve"> </w:t>
      </w:r>
      <w:r w:rsidR="000A1AAE" w:rsidRPr="00825CCA">
        <w:rPr>
          <w:bCs/>
        </w:rPr>
        <w:t>any</w:t>
      </w:r>
      <w:r w:rsidR="00D52FD0">
        <w:rPr>
          <w:bCs/>
        </w:rPr>
        <w:t xml:space="preserve"> </w:t>
      </w:r>
      <w:r w:rsidR="000A1AAE" w:rsidRPr="00825CCA">
        <w:rPr>
          <w:bCs/>
        </w:rPr>
        <w:t>of</w:t>
      </w:r>
      <w:r w:rsidR="00D52FD0">
        <w:rPr>
          <w:bCs/>
        </w:rPr>
        <w:t xml:space="preserve"> </w:t>
      </w:r>
      <w:r w:rsidR="000A1AAE" w:rsidRPr="00825CCA">
        <w:rPr>
          <w:bCs/>
        </w:rPr>
        <w:t>its</w:t>
      </w:r>
      <w:r w:rsidR="00D52FD0">
        <w:rPr>
          <w:bCs/>
        </w:rPr>
        <w:t xml:space="preserve"> </w:t>
      </w:r>
      <w:r w:rsidR="000A1AAE" w:rsidRPr="00825CCA">
        <w:rPr>
          <w:bCs/>
        </w:rPr>
        <w:t>functions</w:t>
      </w:r>
      <w:r w:rsidR="00D52FD0">
        <w:t xml:space="preserve"> </w:t>
      </w:r>
      <w:r w:rsidR="000A1AAE" w:rsidRPr="00825CCA">
        <w:t>under</w:t>
      </w:r>
      <w:r w:rsidR="00D52FD0">
        <w:t xml:space="preserve"> </w:t>
      </w:r>
      <w:r w:rsidR="000A1AAE" w:rsidRPr="00825CCA">
        <w:t>this</w:t>
      </w:r>
      <w:r w:rsidR="00D52FD0">
        <w:t xml:space="preserve"> </w:t>
      </w:r>
      <w:r w:rsidR="000A1AAE" w:rsidRPr="00825CCA">
        <w:t>Act</w:t>
      </w:r>
      <w:r w:rsidR="00F14DA3">
        <w:t>’</w:t>
      </w:r>
    </w:p>
    <w:p w14:paraId="551FADF0" w14:textId="7B4A1C49" w:rsidR="000A1AAE" w:rsidRPr="00825CCA" w:rsidRDefault="0044637E" w:rsidP="0044637E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825CCA">
        <w:t>•</w:t>
      </w:r>
      <w:r w:rsidRPr="00825CCA">
        <w:tab/>
      </w:r>
      <w:r w:rsidR="000A1AAE" w:rsidRPr="00825CCA">
        <w:t>Article</w:t>
      </w:r>
      <w:r w:rsidR="00D52FD0">
        <w:t xml:space="preserve"> </w:t>
      </w:r>
      <w:r w:rsidR="000A1AAE" w:rsidRPr="00825CCA">
        <w:t>6</w:t>
      </w:r>
      <w:r w:rsidR="00D52FD0">
        <w:t xml:space="preserve"> </w:t>
      </w:r>
      <w:r w:rsidR="000A1AAE" w:rsidRPr="00825CCA">
        <w:t>(3)</w:t>
      </w:r>
      <w:r w:rsidR="00D52FD0">
        <w:t xml:space="preserve"> </w:t>
      </w:r>
      <w:r w:rsidR="000A1AAE" w:rsidRPr="00825CCA">
        <w:t>(b)</w:t>
      </w:r>
      <w:r w:rsidR="00D52FD0">
        <w:t xml:space="preserve"> </w:t>
      </w:r>
      <w:r w:rsidR="000A1AAE" w:rsidRPr="00825CCA">
        <w:t>addresses</w:t>
      </w:r>
      <w:r w:rsidR="00D52FD0">
        <w:t xml:space="preserve"> </w:t>
      </w:r>
      <w:r w:rsidR="000A1AAE" w:rsidRPr="00825CCA">
        <w:t>the</w:t>
      </w:r>
      <w:r w:rsidR="00D52FD0">
        <w:t xml:space="preserve"> </w:t>
      </w:r>
      <w:r w:rsidR="000A1AAE" w:rsidRPr="00825CCA">
        <w:t>principle</w:t>
      </w:r>
      <w:r w:rsidR="00D52FD0">
        <w:t xml:space="preserve"> </w:t>
      </w:r>
      <w:r w:rsidR="000A1AAE" w:rsidRPr="00825CCA">
        <w:t>of</w:t>
      </w:r>
      <w:r w:rsidR="00D52FD0">
        <w:t xml:space="preserve"> </w:t>
      </w:r>
      <w:r w:rsidR="000A1AAE" w:rsidRPr="00825CCA">
        <w:t>proportionality</w:t>
      </w:r>
      <w:r w:rsidR="00D52FD0">
        <w:t xml:space="preserve"> </w:t>
      </w:r>
      <w:r w:rsidR="000A1AAE" w:rsidRPr="00825CCA">
        <w:t>where</w:t>
      </w:r>
      <w:r w:rsidR="00D52FD0">
        <w:t xml:space="preserve"> </w:t>
      </w:r>
      <w:r w:rsidR="000A1AAE" w:rsidRPr="00825CCA">
        <w:t>it</w:t>
      </w:r>
      <w:r w:rsidR="00D52FD0">
        <w:t xml:space="preserve"> </w:t>
      </w:r>
      <w:r w:rsidR="000A1AAE" w:rsidRPr="00825CCA">
        <w:t>states</w:t>
      </w:r>
      <w:r w:rsidR="00D52FD0">
        <w:t xml:space="preserve"> </w:t>
      </w:r>
      <w:r w:rsidR="000A1AAE" w:rsidRPr="00825CCA">
        <w:t>that</w:t>
      </w:r>
      <w:r w:rsidR="00D52FD0">
        <w:t xml:space="preserve"> </w:t>
      </w:r>
      <w:r w:rsidR="00F14DA3">
        <w:t>‘</w:t>
      </w:r>
      <w:r w:rsidR="000A1AAE" w:rsidRPr="00825CCA">
        <w:t>if</w:t>
      </w:r>
      <w:r w:rsidR="00D52FD0">
        <w:t xml:space="preserve"> </w:t>
      </w:r>
      <w:r w:rsidR="000A1AAE" w:rsidRPr="00825CCA">
        <w:t>the</w:t>
      </w:r>
      <w:r w:rsidR="00D52FD0">
        <w:t xml:space="preserve"> </w:t>
      </w:r>
      <w:r w:rsidR="000A1AAE" w:rsidRPr="00825CCA">
        <w:t>Minister</w:t>
      </w:r>
      <w:r w:rsidR="00D52FD0">
        <w:t xml:space="preserve"> </w:t>
      </w:r>
      <w:r w:rsidR="00F14DA3">
        <w:t>–</w:t>
      </w:r>
      <w:r w:rsidR="00D52FD0">
        <w:t xml:space="preserve"> </w:t>
      </w:r>
      <w:r w:rsidR="000A1AAE" w:rsidRPr="00825CCA">
        <w:t>(b)</w:t>
      </w:r>
      <w:r w:rsidR="00D52FD0">
        <w:t xml:space="preserve"> </w:t>
      </w:r>
      <w:r w:rsidR="000A1AAE" w:rsidRPr="00825CCA">
        <w:t>is</w:t>
      </w:r>
      <w:r w:rsidR="00D52FD0">
        <w:t xml:space="preserve"> </w:t>
      </w:r>
      <w:r w:rsidR="000A1AAE" w:rsidRPr="00825CCA">
        <w:t>satisfied</w:t>
      </w:r>
      <w:r w:rsidR="00D52FD0">
        <w:t xml:space="preserve"> </w:t>
      </w:r>
      <w:r w:rsidR="000A1AAE" w:rsidRPr="00825CCA">
        <w:t>that</w:t>
      </w:r>
      <w:r w:rsidR="00D52FD0">
        <w:t xml:space="preserve"> </w:t>
      </w:r>
      <w:r w:rsidR="000A1AAE" w:rsidRPr="00825CCA">
        <w:t>what</w:t>
      </w:r>
      <w:r w:rsidR="00D52FD0">
        <w:t xml:space="preserve"> </w:t>
      </w:r>
      <w:r w:rsidR="000A1AAE" w:rsidRPr="00825CCA">
        <w:t>the</w:t>
      </w:r>
      <w:r w:rsidR="00D52FD0">
        <w:t xml:space="preserve"> </w:t>
      </w:r>
      <w:r w:rsidR="000A1AAE" w:rsidRPr="00825CCA">
        <w:t>action</w:t>
      </w:r>
      <w:r w:rsidR="00D52FD0">
        <w:t xml:space="preserve"> </w:t>
      </w:r>
      <w:r w:rsidR="000A1AAE" w:rsidRPr="00825CCA">
        <w:t>seeks</w:t>
      </w:r>
      <w:r w:rsidR="00D52FD0">
        <w:t xml:space="preserve"> </w:t>
      </w:r>
      <w:r w:rsidR="000A1AAE" w:rsidRPr="00825CCA">
        <w:t>to</w:t>
      </w:r>
      <w:r w:rsidR="00D52FD0">
        <w:t xml:space="preserve"> </w:t>
      </w:r>
      <w:r w:rsidR="000A1AAE" w:rsidRPr="00825CCA">
        <w:t>achieve</w:t>
      </w:r>
      <w:r w:rsidR="00D52FD0">
        <w:t xml:space="preserve"> </w:t>
      </w:r>
      <w:r w:rsidR="000A1AAE" w:rsidRPr="00825CCA">
        <w:rPr>
          <w:bCs/>
        </w:rPr>
        <w:t>cannot</w:t>
      </w:r>
      <w:r w:rsidR="00D52FD0">
        <w:rPr>
          <w:bCs/>
        </w:rPr>
        <w:t xml:space="preserve"> </w:t>
      </w:r>
      <w:r w:rsidR="000A1AAE" w:rsidRPr="00825CCA">
        <w:rPr>
          <w:bCs/>
        </w:rPr>
        <w:t>reasonably</w:t>
      </w:r>
      <w:r w:rsidR="00D52FD0">
        <w:rPr>
          <w:bCs/>
        </w:rPr>
        <w:t xml:space="preserve"> </w:t>
      </w:r>
      <w:r w:rsidR="000A1AAE" w:rsidRPr="00825CCA">
        <w:rPr>
          <w:bCs/>
        </w:rPr>
        <w:t>be</w:t>
      </w:r>
      <w:r w:rsidR="00D52FD0">
        <w:rPr>
          <w:bCs/>
        </w:rPr>
        <w:t xml:space="preserve"> </w:t>
      </w:r>
      <w:r w:rsidR="000A1AAE" w:rsidRPr="00825CCA">
        <w:rPr>
          <w:bCs/>
        </w:rPr>
        <w:t>achieved</w:t>
      </w:r>
      <w:r w:rsidR="00D52FD0">
        <w:t xml:space="preserve"> </w:t>
      </w:r>
      <w:r w:rsidR="000A1AAE" w:rsidRPr="00825CCA">
        <w:t>by</w:t>
      </w:r>
      <w:r w:rsidR="00D52FD0">
        <w:t xml:space="preserve"> </w:t>
      </w:r>
      <w:r w:rsidR="000A1AAE" w:rsidRPr="00825CCA">
        <w:t>other</w:t>
      </w:r>
      <w:r w:rsidR="00D52FD0">
        <w:t xml:space="preserve"> </w:t>
      </w:r>
      <w:r w:rsidR="000A1AAE" w:rsidRPr="00825CCA">
        <w:t>means.</w:t>
      </w:r>
    </w:p>
    <w:p w14:paraId="3B60A60E" w14:textId="7AD93EC6" w:rsidR="000A1AAE" w:rsidRPr="00857B1D" w:rsidRDefault="0044637E" w:rsidP="0044637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857B1D">
        <w:t>210.</w:t>
      </w:r>
      <w:r w:rsidRPr="00857B1D">
        <w:tab/>
      </w:r>
      <w:r w:rsidR="000A1AAE" w:rsidRPr="00857B1D">
        <w:t>As</w:t>
      </w:r>
      <w:r w:rsidR="00D52FD0">
        <w:t xml:space="preserve"> </w:t>
      </w:r>
      <w:r w:rsidR="000A1AAE" w:rsidRPr="00857B1D">
        <w:t>regards</w:t>
      </w:r>
      <w:r w:rsidR="00D52FD0">
        <w:t xml:space="preserve"> </w:t>
      </w:r>
      <w:r w:rsidR="000A1AAE" w:rsidRPr="00857B1D">
        <w:t>judicial</w:t>
      </w:r>
      <w:r w:rsidR="00D52FD0">
        <w:t xml:space="preserve"> </w:t>
      </w:r>
      <w:r w:rsidR="000A1AAE" w:rsidRPr="00857B1D">
        <w:t>authorisation,</w:t>
      </w:r>
      <w:r w:rsidR="00D52FD0">
        <w:t xml:space="preserve"> </w:t>
      </w:r>
      <w:r w:rsidR="000A1AAE" w:rsidRPr="00857B1D">
        <w:t>Article</w:t>
      </w:r>
      <w:r w:rsidR="00D52FD0">
        <w:t xml:space="preserve"> </w:t>
      </w:r>
      <w:r w:rsidR="000A1AAE" w:rsidRPr="00857B1D">
        <w:t>8</w:t>
      </w:r>
      <w:r w:rsidR="00D52FD0">
        <w:t xml:space="preserve"> </w:t>
      </w:r>
      <w:r w:rsidR="000A1AAE" w:rsidRPr="00857B1D">
        <w:t>(1)</w:t>
      </w:r>
      <w:r w:rsidR="00D52FD0">
        <w:t xml:space="preserve"> </w:t>
      </w:r>
      <w:r w:rsidR="000A1AAE" w:rsidRPr="00857B1D">
        <w:t>specifically</w:t>
      </w:r>
      <w:r w:rsidR="00D52FD0">
        <w:t xml:space="preserve"> </w:t>
      </w:r>
      <w:r w:rsidR="000A1AAE" w:rsidRPr="00857B1D">
        <w:t>states</w:t>
      </w:r>
      <w:r w:rsidR="00D52FD0">
        <w:t xml:space="preserve"> </w:t>
      </w:r>
      <w:r w:rsidR="000A1AAE" w:rsidRPr="00857B1D">
        <w:t>that</w:t>
      </w:r>
      <w:r w:rsidR="00D52FD0">
        <w:t xml:space="preserve"> </w:t>
      </w:r>
      <w:r w:rsidR="00F14DA3">
        <w:t>‘</w:t>
      </w:r>
      <w:r w:rsidR="000A1AAE" w:rsidRPr="00857B1D">
        <w:t>A</w:t>
      </w:r>
      <w:r w:rsidR="00D52FD0">
        <w:t xml:space="preserve"> </w:t>
      </w:r>
      <w:r w:rsidR="000A1AAE" w:rsidRPr="00857B1D">
        <w:t>warrant</w:t>
      </w:r>
      <w:r w:rsidR="00D52FD0">
        <w:t xml:space="preserve"> </w:t>
      </w:r>
      <w:r w:rsidR="000A1AAE" w:rsidRPr="00857B1D">
        <w:t>shall</w:t>
      </w:r>
      <w:r w:rsidR="00D52FD0">
        <w:t xml:space="preserve"> </w:t>
      </w:r>
      <w:r w:rsidR="000A1AAE" w:rsidRPr="00857B1D">
        <w:t>not</w:t>
      </w:r>
      <w:r w:rsidR="00D52FD0">
        <w:t xml:space="preserve"> </w:t>
      </w:r>
      <w:r w:rsidR="000A1AAE" w:rsidRPr="00857B1D">
        <w:t>be</w:t>
      </w:r>
      <w:r w:rsidR="00D52FD0">
        <w:t xml:space="preserve"> </w:t>
      </w:r>
      <w:r w:rsidR="000A1AAE" w:rsidRPr="00857B1D">
        <w:t>issued</w:t>
      </w:r>
      <w:r w:rsidR="00D52FD0">
        <w:t xml:space="preserve"> </w:t>
      </w:r>
      <w:r w:rsidR="000A1AAE" w:rsidRPr="00857B1D">
        <w:t>or</w:t>
      </w:r>
      <w:r w:rsidR="00D52FD0">
        <w:t xml:space="preserve"> </w:t>
      </w:r>
      <w:r w:rsidR="000A1AAE" w:rsidRPr="00857B1D">
        <w:t>modified</w:t>
      </w:r>
      <w:r w:rsidR="00D52FD0">
        <w:t xml:space="preserve"> </w:t>
      </w:r>
      <w:r w:rsidR="000A1AAE" w:rsidRPr="00857B1D">
        <w:t>except</w:t>
      </w:r>
      <w:r w:rsidR="00D52FD0">
        <w:t xml:space="preserve"> </w:t>
      </w:r>
      <w:r w:rsidR="00F14DA3">
        <w:t>–</w:t>
      </w:r>
      <w:r w:rsidR="00D52FD0">
        <w:t xml:space="preserve"> </w:t>
      </w:r>
      <w:r w:rsidR="000A1AAE" w:rsidRPr="00857B1D">
        <w:t>(a)</w:t>
      </w:r>
      <w:r w:rsidR="00D52FD0">
        <w:t xml:space="preserve"> </w:t>
      </w:r>
      <w:r w:rsidR="000A1AAE" w:rsidRPr="00857B1D">
        <w:t>under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hand</w:t>
      </w:r>
      <w:r w:rsidR="00D52FD0">
        <w:t xml:space="preserve"> </w:t>
      </w:r>
      <w:r w:rsidR="000A1AAE" w:rsidRPr="00857B1D">
        <w:t>of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Minister;</w:t>
      </w:r>
      <w:r w:rsidR="00D52FD0">
        <w:t xml:space="preserve"> </w:t>
      </w:r>
      <w:r w:rsidR="000A1AAE" w:rsidRPr="00857B1D">
        <w:t>or</w:t>
      </w:r>
      <w:r w:rsidR="00D52FD0">
        <w:t xml:space="preserve"> </w:t>
      </w:r>
      <w:r w:rsidR="000A1AAE" w:rsidRPr="00857B1D">
        <w:t>(b)</w:t>
      </w:r>
      <w:r w:rsidR="00D52FD0">
        <w:t xml:space="preserve"> </w:t>
      </w:r>
      <w:r w:rsidR="000A1AAE" w:rsidRPr="00857B1D">
        <w:t>in</w:t>
      </w:r>
      <w:r w:rsidR="00D52FD0">
        <w:t xml:space="preserve"> </w:t>
      </w:r>
      <w:r w:rsidR="000A1AAE" w:rsidRPr="00857B1D">
        <w:t>an</w:t>
      </w:r>
      <w:r w:rsidR="00D52FD0">
        <w:t xml:space="preserve"> </w:t>
      </w:r>
      <w:r w:rsidR="000A1AAE" w:rsidRPr="00857B1D">
        <w:t>urgent</w:t>
      </w:r>
      <w:r w:rsidR="00D52FD0">
        <w:t xml:space="preserve"> </w:t>
      </w:r>
      <w:r w:rsidR="000A1AAE" w:rsidRPr="00857B1D">
        <w:t>case</w:t>
      </w:r>
      <w:r w:rsidR="00D52FD0">
        <w:t xml:space="preserve"> </w:t>
      </w:r>
      <w:r w:rsidR="000A1AAE" w:rsidRPr="00857B1D">
        <w:t>where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Minister</w:t>
      </w:r>
      <w:r w:rsidR="00D52FD0">
        <w:t xml:space="preserve"> </w:t>
      </w:r>
      <w:r w:rsidR="000A1AAE" w:rsidRPr="00857B1D">
        <w:t>has</w:t>
      </w:r>
      <w:r w:rsidR="00D52FD0">
        <w:t xml:space="preserve"> </w:t>
      </w:r>
      <w:r w:rsidR="000A1AAE" w:rsidRPr="00857B1D">
        <w:t>expressly</w:t>
      </w:r>
      <w:r w:rsidR="00D52FD0">
        <w:t xml:space="preserve"> </w:t>
      </w:r>
      <w:r w:rsidR="000A1AAE" w:rsidRPr="00857B1D">
        <w:t>authorised</w:t>
      </w:r>
      <w:r w:rsidR="00D52FD0">
        <w:t xml:space="preserve"> </w:t>
      </w:r>
      <w:r w:rsidR="000A1AAE" w:rsidRPr="00857B1D">
        <w:t>its</w:t>
      </w:r>
      <w:r w:rsidR="00D52FD0">
        <w:t xml:space="preserve"> </w:t>
      </w:r>
      <w:r w:rsidR="000A1AAE" w:rsidRPr="00857B1D">
        <w:t>issue</w:t>
      </w:r>
      <w:r w:rsidR="00D52FD0">
        <w:t xml:space="preserve"> </w:t>
      </w:r>
      <w:r w:rsidR="000A1AAE" w:rsidRPr="00857B1D">
        <w:t>or</w:t>
      </w:r>
      <w:r w:rsidR="00D52FD0">
        <w:t xml:space="preserve"> </w:t>
      </w:r>
      <w:r w:rsidR="000A1AAE" w:rsidRPr="00857B1D">
        <w:t>modification</w:t>
      </w:r>
      <w:r w:rsidR="00D52FD0">
        <w:t xml:space="preserve"> </w:t>
      </w:r>
      <w:r w:rsidR="000A1AAE" w:rsidRPr="00857B1D">
        <w:t>and</w:t>
      </w:r>
      <w:r w:rsidR="00D52FD0">
        <w:t xml:space="preserve"> </w:t>
      </w:r>
      <w:r w:rsidR="000A1AAE" w:rsidRPr="00857B1D">
        <w:t>a</w:t>
      </w:r>
      <w:r w:rsidR="00D52FD0">
        <w:t xml:space="preserve"> </w:t>
      </w:r>
      <w:r w:rsidR="000A1AAE" w:rsidRPr="00857B1D">
        <w:t>statement</w:t>
      </w:r>
      <w:r w:rsidR="00D52FD0">
        <w:t xml:space="preserve"> </w:t>
      </w:r>
      <w:r w:rsidR="000A1AAE" w:rsidRPr="00857B1D">
        <w:t>of</w:t>
      </w:r>
      <w:r w:rsidR="00D52FD0">
        <w:t xml:space="preserve"> </w:t>
      </w:r>
      <w:r w:rsidR="000A1AAE" w:rsidRPr="00857B1D">
        <w:t>that</w:t>
      </w:r>
      <w:r w:rsidR="00D52FD0">
        <w:t xml:space="preserve"> </w:t>
      </w:r>
      <w:r w:rsidR="000A1AAE" w:rsidRPr="00857B1D">
        <w:t>fact</w:t>
      </w:r>
      <w:r w:rsidR="00D52FD0">
        <w:t xml:space="preserve"> </w:t>
      </w:r>
      <w:r w:rsidR="000A1AAE" w:rsidRPr="00857B1D">
        <w:t>is</w:t>
      </w:r>
      <w:r w:rsidR="00D52FD0">
        <w:t xml:space="preserve"> </w:t>
      </w:r>
      <w:r w:rsidR="000A1AAE" w:rsidRPr="00857B1D">
        <w:t>endorsed</w:t>
      </w:r>
      <w:r w:rsidR="00D52FD0">
        <w:t xml:space="preserve"> </w:t>
      </w:r>
      <w:r w:rsidR="000A1AAE" w:rsidRPr="00857B1D">
        <w:t>on</w:t>
      </w:r>
      <w:r w:rsidR="00D52FD0">
        <w:t xml:space="preserve"> </w:t>
      </w:r>
      <w:r w:rsidR="000A1AAE" w:rsidRPr="00857B1D">
        <w:t>it,</w:t>
      </w:r>
      <w:r w:rsidR="00D52FD0">
        <w:t xml:space="preserve"> </w:t>
      </w:r>
      <w:r w:rsidR="000A1AAE" w:rsidRPr="00857B1D">
        <w:t>under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hand</w:t>
      </w:r>
      <w:r w:rsidR="00D52FD0">
        <w:t xml:space="preserve"> </w:t>
      </w:r>
      <w:r w:rsidR="000A1AAE" w:rsidRPr="00857B1D">
        <w:t>of</w:t>
      </w:r>
      <w:r w:rsidR="00D52FD0">
        <w:t xml:space="preserve"> </w:t>
      </w:r>
      <w:r w:rsidR="000A1AAE" w:rsidRPr="00857B1D">
        <w:t>a</w:t>
      </w:r>
      <w:r w:rsidR="00D52FD0">
        <w:t xml:space="preserve"> </w:t>
      </w:r>
      <w:r w:rsidR="000A1AAE" w:rsidRPr="00857B1D">
        <w:t>senior</w:t>
      </w:r>
      <w:r w:rsidR="00D52FD0">
        <w:t xml:space="preserve"> </w:t>
      </w:r>
      <w:r w:rsidR="000A1AAE" w:rsidRPr="00857B1D">
        <w:t>government</w:t>
      </w:r>
      <w:r w:rsidR="00D52FD0">
        <w:t xml:space="preserve"> </w:t>
      </w:r>
      <w:r w:rsidR="000A1AAE" w:rsidRPr="00857B1D">
        <w:t>official.</w:t>
      </w:r>
      <w:r w:rsidR="00F14DA3">
        <w:t>’</w:t>
      </w:r>
      <w:r w:rsidR="00D52FD0">
        <w:t xml:space="preserve"> </w:t>
      </w:r>
      <w:r w:rsidR="000A1AAE" w:rsidRPr="00857B1D">
        <w:t>Moreover,</w:t>
      </w:r>
      <w:r w:rsidR="00D52FD0">
        <w:t xml:space="preserve"> </w:t>
      </w:r>
      <w:r w:rsidR="000A1AAE" w:rsidRPr="00857B1D">
        <w:t>Article</w:t>
      </w:r>
      <w:r w:rsidR="00D52FD0">
        <w:t xml:space="preserve"> </w:t>
      </w:r>
      <w:r w:rsidR="000A1AAE" w:rsidRPr="00857B1D">
        <w:t>11</w:t>
      </w:r>
      <w:r w:rsidR="00D52FD0">
        <w:t xml:space="preserve"> </w:t>
      </w:r>
      <w:r w:rsidR="000A1AAE" w:rsidRPr="00857B1D">
        <w:t>empowers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Prime</w:t>
      </w:r>
      <w:r w:rsidR="00D52FD0">
        <w:t xml:space="preserve"> </w:t>
      </w:r>
      <w:r w:rsidR="000A1AAE" w:rsidRPr="00857B1D">
        <w:t>Minister,</w:t>
      </w:r>
      <w:r w:rsidR="00D52FD0">
        <w:t xml:space="preserve"> </w:t>
      </w:r>
      <w:r w:rsidR="000A1AAE" w:rsidRPr="00857B1D">
        <w:t>where</w:t>
      </w:r>
      <w:r w:rsidR="00D52FD0">
        <w:t xml:space="preserve"> </w:t>
      </w:r>
      <w:r w:rsidR="000A1AAE" w:rsidRPr="00857B1D">
        <w:t>it</w:t>
      </w:r>
      <w:r w:rsidR="00D52FD0">
        <w:t xml:space="preserve"> </w:t>
      </w:r>
      <w:r w:rsidR="000A1AAE" w:rsidRPr="00857B1D">
        <w:t>appears</w:t>
      </w:r>
      <w:r w:rsidR="00D52FD0">
        <w:t xml:space="preserve"> </w:t>
      </w:r>
      <w:r w:rsidR="000A1AAE" w:rsidRPr="00857B1D">
        <w:t>to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Prime</w:t>
      </w:r>
      <w:r w:rsidR="00D52FD0">
        <w:t xml:space="preserve"> </w:t>
      </w:r>
      <w:r w:rsidR="000A1AAE" w:rsidRPr="00857B1D">
        <w:t>Minister</w:t>
      </w:r>
      <w:r w:rsidR="00D52FD0">
        <w:t xml:space="preserve"> </w:t>
      </w:r>
      <w:r w:rsidR="000A1AAE" w:rsidRPr="00857B1D">
        <w:t>necessary</w:t>
      </w:r>
      <w:r w:rsidR="00D52FD0">
        <w:t xml:space="preserve"> </w:t>
      </w:r>
      <w:r w:rsidR="000A1AAE" w:rsidRPr="00857B1D">
        <w:t>to</w:t>
      </w:r>
      <w:r w:rsidR="00D52FD0">
        <w:t xml:space="preserve"> </w:t>
      </w:r>
      <w:r w:rsidR="000A1AAE" w:rsidRPr="00857B1D">
        <w:t>do</w:t>
      </w:r>
      <w:r w:rsidR="00D52FD0">
        <w:t xml:space="preserve"> </w:t>
      </w:r>
      <w:r w:rsidR="000A1AAE" w:rsidRPr="00857B1D">
        <w:t>so,</w:t>
      </w:r>
      <w:r w:rsidR="00D52FD0">
        <w:t xml:space="preserve"> </w:t>
      </w:r>
      <w:r w:rsidR="000A1AAE" w:rsidRPr="00857B1D">
        <w:t>to</w:t>
      </w:r>
      <w:r w:rsidR="00D52FD0">
        <w:t xml:space="preserve"> </w:t>
      </w:r>
      <w:r w:rsidR="000A1AAE" w:rsidRPr="00857B1D">
        <w:t>exercise</w:t>
      </w:r>
      <w:r w:rsidR="00D52FD0">
        <w:t xml:space="preserve"> </w:t>
      </w:r>
      <w:r w:rsidR="000A1AAE" w:rsidRPr="00857B1D">
        <w:t>any</w:t>
      </w:r>
      <w:r w:rsidR="00D52FD0">
        <w:t xml:space="preserve"> </w:t>
      </w:r>
      <w:r w:rsidR="000A1AAE" w:rsidRPr="00857B1D">
        <w:t>of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powers</w:t>
      </w:r>
      <w:r w:rsidR="00D52FD0">
        <w:t xml:space="preserve"> </w:t>
      </w:r>
      <w:r w:rsidR="000A1AAE" w:rsidRPr="00857B1D">
        <w:t>of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Minister</w:t>
      </w:r>
      <w:r w:rsidR="00D52FD0">
        <w:t xml:space="preserve"> </w:t>
      </w:r>
      <w:r w:rsidR="000A1AAE" w:rsidRPr="00857B1D">
        <w:t>under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Act.</w:t>
      </w:r>
      <w:r w:rsidR="00D52FD0">
        <w:t xml:space="preserve"> </w:t>
      </w:r>
      <w:r w:rsidR="000A1AAE" w:rsidRPr="00857B1D">
        <w:t>However,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act</w:t>
      </w:r>
      <w:r w:rsidR="00D52FD0">
        <w:t xml:space="preserve"> </w:t>
      </w:r>
      <w:r w:rsidR="000A1AAE" w:rsidRPr="00857B1D">
        <w:t>does</w:t>
      </w:r>
      <w:r w:rsidR="00D52FD0">
        <w:t xml:space="preserve"> </w:t>
      </w:r>
      <w:r w:rsidR="000A1AAE" w:rsidRPr="00857B1D">
        <w:t>not</w:t>
      </w:r>
      <w:r w:rsidR="00D52FD0">
        <w:t xml:space="preserve"> </w:t>
      </w:r>
      <w:r w:rsidR="000A1AAE" w:rsidRPr="00857B1D">
        <w:t>foresee</w:t>
      </w:r>
      <w:r w:rsidR="00D52FD0">
        <w:t xml:space="preserve"> </w:t>
      </w:r>
      <w:r w:rsidR="000A1AAE" w:rsidRPr="00857B1D">
        <w:t>any</w:t>
      </w:r>
      <w:r w:rsidR="00D52FD0">
        <w:t xml:space="preserve"> </w:t>
      </w:r>
      <w:r w:rsidR="000A1AAE" w:rsidRPr="00857B1D">
        <w:t>judicial</w:t>
      </w:r>
      <w:r w:rsidR="00D52FD0">
        <w:t xml:space="preserve"> </w:t>
      </w:r>
      <w:r w:rsidR="000A1AAE" w:rsidRPr="00857B1D">
        <w:t>authorisation.</w:t>
      </w:r>
    </w:p>
    <w:p w14:paraId="05CF4713" w14:textId="17498753" w:rsidR="000A1AAE" w:rsidRPr="00857B1D" w:rsidRDefault="0044637E" w:rsidP="0044637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857B1D">
        <w:t>211.</w:t>
      </w:r>
      <w:r w:rsidRPr="00857B1D">
        <w:tab/>
      </w:r>
      <w:r w:rsidR="000A1AAE" w:rsidRPr="00857B1D">
        <w:t>With</w:t>
      </w:r>
      <w:r w:rsidR="00D52FD0">
        <w:t xml:space="preserve"> </w:t>
      </w:r>
      <w:r w:rsidR="000A1AAE" w:rsidRPr="00857B1D">
        <w:t>regard</w:t>
      </w:r>
      <w:r w:rsidR="00D52FD0">
        <w:t xml:space="preserve"> </w:t>
      </w:r>
      <w:r w:rsidR="000A1AAE" w:rsidRPr="00857B1D">
        <w:t>to</w:t>
      </w:r>
      <w:r w:rsidR="00D52FD0">
        <w:t xml:space="preserve"> </w:t>
      </w:r>
      <w:r w:rsidR="000A1AAE" w:rsidRPr="00857B1D">
        <w:t>effective</w:t>
      </w:r>
      <w:r w:rsidR="00D52FD0">
        <w:t xml:space="preserve"> </w:t>
      </w:r>
      <w:r w:rsidR="000A1AAE" w:rsidRPr="00857B1D">
        <w:t>and</w:t>
      </w:r>
      <w:r w:rsidR="00D52FD0">
        <w:t xml:space="preserve"> </w:t>
      </w:r>
      <w:r w:rsidR="000A1AAE" w:rsidRPr="00857B1D">
        <w:t>independent</w:t>
      </w:r>
      <w:r w:rsidR="00D52FD0">
        <w:t xml:space="preserve"> </w:t>
      </w:r>
      <w:r w:rsidR="000A1AAE" w:rsidRPr="00857B1D">
        <w:t>oversight</w:t>
      </w:r>
      <w:r w:rsidR="00D52FD0">
        <w:t xml:space="preserve"> </w:t>
      </w:r>
      <w:r w:rsidR="000A1AAE" w:rsidRPr="00857B1D">
        <w:t>mechanisms,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Security</w:t>
      </w:r>
      <w:r w:rsidR="00D52FD0">
        <w:t xml:space="preserve"> </w:t>
      </w:r>
      <w:r w:rsidR="000A1AAE" w:rsidRPr="00857B1D">
        <w:t>Service</w:t>
      </w:r>
      <w:r w:rsidR="00D52FD0">
        <w:t xml:space="preserve"> </w:t>
      </w:r>
      <w:r w:rsidR="000A1AAE" w:rsidRPr="00857B1D">
        <w:t>Act</w:t>
      </w:r>
      <w:r w:rsidR="00D52FD0">
        <w:t xml:space="preserve"> </w:t>
      </w:r>
      <w:r w:rsidR="000A1AAE" w:rsidRPr="00857B1D">
        <w:t>provides</w:t>
      </w:r>
      <w:r w:rsidR="00D52FD0">
        <w:t xml:space="preserve"> </w:t>
      </w:r>
      <w:r w:rsidR="000A1AAE" w:rsidRPr="00857B1D">
        <w:t>two</w:t>
      </w:r>
      <w:r w:rsidR="00D52FD0">
        <w:t xml:space="preserve"> </w:t>
      </w:r>
      <w:r w:rsidR="000A1AAE" w:rsidRPr="00857B1D">
        <w:t>important</w:t>
      </w:r>
      <w:r w:rsidR="00D52FD0">
        <w:t xml:space="preserve"> </w:t>
      </w:r>
      <w:r w:rsidR="000A1AAE" w:rsidRPr="00857B1D">
        <w:t>mechanisms:</w:t>
      </w:r>
    </w:p>
    <w:p w14:paraId="7BE64B29" w14:textId="1EF42559" w:rsidR="000A1AAE" w:rsidRPr="00825CCA" w:rsidRDefault="0044637E" w:rsidP="0044637E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825CCA">
        <w:t>•</w:t>
      </w:r>
      <w:r w:rsidRPr="00825CCA">
        <w:tab/>
      </w:r>
      <w:r w:rsidR="000A1AAE" w:rsidRPr="00825CCA">
        <w:t>Article</w:t>
      </w:r>
      <w:r w:rsidR="00D52FD0">
        <w:t xml:space="preserve"> </w:t>
      </w:r>
      <w:r w:rsidR="000A1AAE" w:rsidRPr="00825CCA">
        <w:t>12</w:t>
      </w:r>
      <w:r w:rsidR="00D52FD0">
        <w:t xml:space="preserve"> </w:t>
      </w:r>
      <w:r w:rsidR="000A1AAE" w:rsidRPr="00825CCA">
        <w:t>foresees</w:t>
      </w:r>
      <w:r w:rsidR="00D52FD0">
        <w:t xml:space="preserve"> </w:t>
      </w:r>
      <w:r w:rsidR="000A1AAE" w:rsidRPr="00825CCA">
        <w:t>the</w:t>
      </w:r>
      <w:r w:rsidR="00D52FD0">
        <w:t xml:space="preserve"> </w:t>
      </w:r>
      <w:r w:rsidR="000A1AAE" w:rsidRPr="00825CCA">
        <w:t>appointment</w:t>
      </w:r>
      <w:r w:rsidR="00D52FD0">
        <w:t xml:space="preserve"> </w:t>
      </w:r>
      <w:r w:rsidR="000A1AAE" w:rsidRPr="00825CCA">
        <w:t>of</w:t>
      </w:r>
      <w:r w:rsidR="00D52FD0">
        <w:t xml:space="preserve"> </w:t>
      </w:r>
      <w:r w:rsidR="000A1AAE" w:rsidRPr="00825CCA">
        <w:t>an</w:t>
      </w:r>
      <w:r w:rsidR="00D52FD0">
        <w:t xml:space="preserve"> </w:t>
      </w:r>
      <w:r w:rsidR="000A1AAE" w:rsidRPr="00825CCA">
        <w:t>independent</w:t>
      </w:r>
      <w:r w:rsidR="00D52FD0">
        <w:t xml:space="preserve"> </w:t>
      </w:r>
      <w:r w:rsidR="000A1AAE" w:rsidRPr="00825CCA">
        <w:rPr>
          <w:bCs/>
        </w:rPr>
        <w:t>Commissioner</w:t>
      </w:r>
      <w:r w:rsidR="000A1AAE" w:rsidRPr="00825CCA">
        <w:t>,</w:t>
      </w:r>
      <w:r w:rsidR="00D52FD0">
        <w:t xml:space="preserve"> </w:t>
      </w:r>
      <w:r w:rsidR="000A1AAE" w:rsidRPr="00825CCA">
        <w:t>a</w:t>
      </w:r>
      <w:r w:rsidR="00D52FD0">
        <w:t xml:space="preserve"> </w:t>
      </w:r>
      <w:r w:rsidR="000A1AAE" w:rsidRPr="00825CCA">
        <w:t>person</w:t>
      </w:r>
      <w:r w:rsidR="00D52FD0">
        <w:t xml:space="preserve"> </w:t>
      </w:r>
      <w:r w:rsidR="000A1AAE" w:rsidRPr="00825CCA">
        <w:t>who</w:t>
      </w:r>
      <w:r w:rsidR="00D52FD0">
        <w:t xml:space="preserve"> </w:t>
      </w:r>
      <w:r w:rsidR="000A1AAE" w:rsidRPr="00825CCA">
        <w:t>had</w:t>
      </w:r>
      <w:r w:rsidR="00D52FD0">
        <w:t xml:space="preserve"> </w:t>
      </w:r>
      <w:r w:rsidR="000A1AAE" w:rsidRPr="00825CCA">
        <w:t>previously</w:t>
      </w:r>
      <w:r w:rsidR="00D52FD0">
        <w:t xml:space="preserve"> </w:t>
      </w:r>
      <w:r w:rsidR="000A1AAE" w:rsidRPr="00825CCA">
        <w:t>held</w:t>
      </w:r>
      <w:r w:rsidR="00D52FD0">
        <w:t xml:space="preserve"> </w:t>
      </w:r>
      <w:r w:rsidR="000A1AAE" w:rsidRPr="00825CCA">
        <w:t>the</w:t>
      </w:r>
      <w:r w:rsidR="00D52FD0">
        <w:t xml:space="preserve"> </w:t>
      </w:r>
      <w:r w:rsidR="000A1AAE" w:rsidRPr="00825CCA">
        <w:t>office</w:t>
      </w:r>
      <w:r w:rsidR="00D52FD0">
        <w:t xml:space="preserve"> </w:t>
      </w:r>
      <w:r w:rsidR="000A1AAE" w:rsidRPr="00825CCA">
        <w:t>of</w:t>
      </w:r>
      <w:r w:rsidR="00D52FD0">
        <w:t xml:space="preserve"> </w:t>
      </w:r>
      <w:r w:rsidR="000A1AAE" w:rsidRPr="00825CCA">
        <w:t>a</w:t>
      </w:r>
      <w:r w:rsidR="00D52FD0">
        <w:t xml:space="preserve"> </w:t>
      </w:r>
      <w:r w:rsidR="000A1AAE" w:rsidRPr="00825CCA">
        <w:t>judge</w:t>
      </w:r>
      <w:r w:rsidR="00D52FD0">
        <w:t xml:space="preserve"> </w:t>
      </w:r>
      <w:r w:rsidR="000A1AAE" w:rsidRPr="00825CCA">
        <w:t>of</w:t>
      </w:r>
      <w:r w:rsidR="00D52FD0">
        <w:t xml:space="preserve"> </w:t>
      </w:r>
      <w:r w:rsidR="000A1AAE" w:rsidRPr="00825CCA">
        <w:t>the</w:t>
      </w:r>
      <w:r w:rsidR="00D52FD0">
        <w:t xml:space="preserve"> </w:t>
      </w:r>
      <w:r w:rsidR="000A1AAE" w:rsidRPr="00825CCA">
        <w:t>superior</w:t>
      </w:r>
      <w:r w:rsidR="00D52FD0">
        <w:t xml:space="preserve"> </w:t>
      </w:r>
      <w:r w:rsidR="000A1AAE" w:rsidRPr="00825CCA">
        <w:t>courts</w:t>
      </w:r>
      <w:r w:rsidR="00D52FD0">
        <w:t xml:space="preserve"> </w:t>
      </w:r>
      <w:r w:rsidR="000A1AAE" w:rsidRPr="00825CCA">
        <w:t>or</w:t>
      </w:r>
      <w:r w:rsidR="00D52FD0">
        <w:t xml:space="preserve"> </w:t>
      </w:r>
      <w:r w:rsidR="000A1AAE" w:rsidRPr="00825CCA">
        <w:t>the</w:t>
      </w:r>
      <w:r w:rsidR="00D52FD0">
        <w:t xml:space="preserve"> </w:t>
      </w:r>
      <w:r w:rsidR="000A1AAE" w:rsidRPr="00825CCA">
        <w:t>office</w:t>
      </w:r>
      <w:r w:rsidR="00D52FD0">
        <w:t xml:space="preserve"> </w:t>
      </w:r>
      <w:r w:rsidR="000A1AAE" w:rsidRPr="00825CCA">
        <w:t>of</w:t>
      </w:r>
      <w:r w:rsidR="00D52FD0">
        <w:t xml:space="preserve"> </w:t>
      </w:r>
      <w:r w:rsidR="000A1AAE" w:rsidRPr="00825CCA">
        <w:t>AG.</w:t>
      </w:r>
      <w:r w:rsidR="00D52FD0">
        <w:t xml:space="preserve"> </w:t>
      </w:r>
      <w:r w:rsidR="000A1AAE" w:rsidRPr="00825CCA">
        <w:t>The</w:t>
      </w:r>
      <w:r w:rsidR="00D52FD0">
        <w:t xml:space="preserve"> </w:t>
      </w:r>
      <w:r w:rsidR="000A1AAE" w:rsidRPr="00825CCA">
        <w:t>Commissioner</w:t>
      </w:r>
      <w:r w:rsidR="00D52FD0">
        <w:t xml:space="preserve"> </w:t>
      </w:r>
      <w:r w:rsidR="000A1AAE" w:rsidRPr="00825CCA">
        <w:t>is</w:t>
      </w:r>
      <w:r w:rsidR="00D52FD0">
        <w:t xml:space="preserve"> </w:t>
      </w:r>
      <w:r w:rsidR="000A1AAE" w:rsidRPr="00825CCA">
        <w:t>empowered</w:t>
      </w:r>
      <w:r w:rsidR="00D52FD0">
        <w:t xml:space="preserve"> </w:t>
      </w:r>
      <w:r w:rsidR="000A1AAE" w:rsidRPr="00825CCA">
        <w:t>to</w:t>
      </w:r>
      <w:r w:rsidR="00D52FD0">
        <w:t xml:space="preserve"> </w:t>
      </w:r>
      <w:r w:rsidR="000A1AAE" w:rsidRPr="00825CCA">
        <w:t>keep</w:t>
      </w:r>
      <w:r w:rsidR="00D52FD0">
        <w:t xml:space="preserve"> </w:t>
      </w:r>
      <w:r w:rsidR="000A1AAE" w:rsidRPr="00825CCA">
        <w:t>the</w:t>
      </w:r>
      <w:r w:rsidR="00D52FD0">
        <w:t xml:space="preserve"> </w:t>
      </w:r>
      <w:r w:rsidR="000A1AAE" w:rsidRPr="00825CCA">
        <w:t>exercise</w:t>
      </w:r>
      <w:r w:rsidR="00D52FD0">
        <w:t xml:space="preserve"> </w:t>
      </w:r>
      <w:r w:rsidR="000A1AAE" w:rsidRPr="00825CCA">
        <w:t>of</w:t>
      </w:r>
      <w:r w:rsidR="00D52FD0">
        <w:t xml:space="preserve"> </w:t>
      </w:r>
      <w:r w:rsidR="000A1AAE" w:rsidRPr="00825CCA">
        <w:t>the</w:t>
      </w:r>
      <w:r w:rsidR="00D52FD0">
        <w:t xml:space="preserve"> </w:t>
      </w:r>
      <w:r w:rsidR="000A1AAE" w:rsidRPr="00825CCA">
        <w:t>Minister</w:t>
      </w:r>
      <w:r w:rsidR="00D52FD0">
        <w:t xml:space="preserve"> </w:t>
      </w:r>
      <w:r w:rsidR="000A1AAE" w:rsidRPr="00825CCA">
        <w:t>with</w:t>
      </w:r>
      <w:r w:rsidR="00D52FD0">
        <w:t xml:space="preserve"> </w:t>
      </w:r>
      <w:r w:rsidR="000A1AAE" w:rsidRPr="00825CCA">
        <w:t>regard</w:t>
      </w:r>
      <w:r w:rsidR="00D52FD0">
        <w:t xml:space="preserve"> </w:t>
      </w:r>
      <w:r w:rsidR="000A1AAE" w:rsidRPr="00825CCA">
        <w:t>to</w:t>
      </w:r>
      <w:r w:rsidR="00D52FD0">
        <w:t xml:space="preserve"> </w:t>
      </w:r>
      <w:r w:rsidR="000A1AAE" w:rsidRPr="00825CCA">
        <w:t>warrants</w:t>
      </w:r>
      <w:r w:rsidR="00D52FD0">
        <w:t xml:space="preserve"> </w:t>
      </w:r>
      <w:r w:rsidR="000A1AAE" w:rsidRPr="00825CCA">
        <w:t>under</w:t>
      </w:r>
      <w:r w:rsidR="00D52FD0">
        <w:t xml:space="preserve"> </w:t>
      </w:r>
      <w:r w:rsidR="000A1AAE" w:rsidRPr="00825CCA">
        <w:t>review</w:t>
      </w:r>
      <w:r w:rsidR="00D52FD0">
        <w:t xml:space="preserve"> </w:t>
      </w:r>
      <w:r w:rsidR="000A1AAE" w:rsidRPr="00825CCA">
        <w:t>and</w:t>
      </w:r>
      <w:r w:rsidR="00D52FD0">
        <w:t xml:space="preserve"> </w:t>
      </w:r>
      <w:r w:rsidR="000A1AAE" w:rsidRPr="00825CCA">
        <w:t>is</w:t>
      </w:r>
      <w:r w:rsidR="00D52FD0">
        <w:t xml:space="preserve"> </w:t>
      </w:r>
      <w:r w:rsidR="000A1AAE" w:rsidRPr="00825CCA">
        <w:t>empowered</w:t>
      </w:r>
      <w:r w:rsidR="00D52FD0">
        <w:t xml:space="preserve"> </w:t>
      </w:r>
      <w:r w:rsidR="000A1AAE" w:rsidRPr="00825CCA">
        <w:t>to</w:t>
      </w:r>
      <w:r w:rsidR="00D52FD0">
        <w:t xml:space="preserve"> </w:t>
      </w:r>
      <w:r w:rsidR="000A1AAE" w:rsidRPr="00825CCA">
        <w:t>be</w:t>
      </w:r>
      <w:r w:rsidR="00D52FD0">
        <w:t xml:space="preserve"> </w:t>
      </w:r>
      <w:r w:rsidR="000A1AAE" w:rsidRPr="00825CCA">
        <w:t>provided</w:t>
      </w:r>
      <w:r w:rsidR="00D52FD0">
        <w:t xml:space="preserve"> </w:t>
      </w:r>
      <w:r w:rsidR="000A1AAE" w:rsidRPr="00825CCA">
        <w:t>with</w:t>
      </w:r>
      <w:r w:rsidR="00D52FD0">
        <w:t xml:space="preserve"> </w:t>
      </w:r>
      <w:r w:rsidR="000A1AAE" w:rsidRPr="00825CCA">
        <w:t>the</w:t>
      </w:r>
      <w:r w:rsidR="00D52FD0">
        <w:t xml:space="preserve"> </w:t>
      </w:r>
      <w:r w:rsidR="000A1AAE" w:rsidRPr="00825CCA">
        <w:t>pertinent</w:t>
      </w:r>
      <w:r w:rsidR="00D52FD0">
        <w:t xml:space="preserve"> </w:t>
      </w:r>
      <w:r w:rsidR="000A1AAE" w:rsidRPr="00825CCA">
        <w:t>information</w:t>
      </w:r>
      <w:r w:rsidR="00D52FD0">
        <w:t xml:space="preserve"> </w:t>
      </w:r>
      <w:r w:rsidR="000A1AAE" w:rsidRPr="00825CCA">
        <w:t>or</w:t>
      </w:r>
      <w:r w:rsidR="00D52FD0">
        <w:t xml:space="preserve"> </w:t>
      </w:r>
      <w:r w:rsidR="000A1AAE" w:rsidRPr="00825CCA">
        <w:t>documents</w:t>
      </w:r>
      <w:r w:rsidR="00D52FD0">
        <w:t xml:space="preserve"> </w:t>
      </w:r>
      <w:r w:rsidR="000A1AAE" w:rsidRPr="00825CCA">
        <w:t>as</w:t>
      </w:r>
      <w:r w:rsidR="00D52FD0">
        <w:t xml:space="preserve"> </w:t>
      </w:r>
      <w:r w:rsidR="000A1AAE" w:rsidRPr="00825CCA">
        <w:t>necessary.</w:t>
      </w:r>
      <w:r w:rsidR="00D52FD0">
        <w:t xml:space="preserve"> </w:t>
      </w:r>
      <w:r w:rsidR="000A1AAE" w:rsidRPr="00825CCA">
        <w:t>The</w:t>
      </w:r>
      <w:r w:rsidR="00D52FD0">
        <w:t xml:space="preserve"> </w:t>
      </w:r>
      <w:r w:rsidR="000A1AAE" w:rsidRPr="00825CCA">
        <w:t>Commissioner</w:t>
      </w:r>
      <w:r w:rsidR="00D52FD0">
        <w:t xml:space="preserve"> </w:t>
      </w:r>
      <w:r w:rsidR="000A1AAE" w:rsidRPr="00825CCA">
        <w:t>also</w:t>
      </w:r>
      <w:r w:rsidR="00D52FD0">
        <w:t xml:space="preserve"> </w:t>
      </w:r>
      <w:r w:rsidR="000A1AAE" w:rsidRPr="00825CCA">
        <w:t>reports</w:t>
      </w:r>
      <w:r w:rsidR="00D52FD0">
        <w:t xml:space="preserve"> </w:t>
      </w:r>
      <w:r w:rsidR="000A1AAE" w:rsidRPr="00825CCA">
        <w:t>annually</w:t>
      </w:r>
      <w:r w:rsidR="00D52FD0">
        <w:t xml:space="preserve"> </w:t>
      </w:r>
      <w:r w:rsidR="000A1AAE" w:rsidRPr="00825CCA">
        <w:t>to</w:t>
      </w:r>
      <w:r w:rsidR="00D52FD0">
        <w:t xml:space="preserve"> </w:t>
      </w:r>
      <w:r w:rsidR="000A1AAE" w:rsidRPr="00825CCA">
        <w:t>the</w:t>
      </w:r>
      <w:r w:rsidR="00D52FD0">
        <w:t xml:space="preserve"> </w:t>
      </w:r>
      <w:r w:rsidR="000A1AAE" w:rsidRPr="00825CCA">
        <w:t>Security</w:t>
      </w:r>
      <w:r w:rsidR="00D52FD0">
        <w:t xml:space="preserve"> </w:t>
      </w:r>
      <w:r w:rsidR="000A1AAE" w:rsidRPr="00825CCA">
        <w:t>Committee,</w:t>
      </w:r>
      <w:r w:rsidR="00D52FD0">
        <w:t xml:space="preserve"> </w:t>
      </w:r>
      <w:r w:rsidR="000A1AAE" w:rsidRPr="00825CCA">
        <w:t>and</w:t>
      </w:r>
      <w:r w:rsidR="00D52FD0">
        <w:t xml:space="preserve"> </w:t>
      </w:r>
      <w:r w:rsidR="000A1AAE" w:rsidRPr="00825CCA">
        <w:t>to</w:t>
      </w:r>
      <w:r w:rsidR="00D52FD0">
        <w:t xml:space="preserve"> </w:t>
      </w:r>
      <w:r w:rsidR="000A1AAE" w:rsidRPr="00825CCA">
        <w:t>the</w:t>
      </w:r>
      <w:r w:rsidR="00D52FD0">
        <w:t xml:space="preserve"> </w:t>
      </w:r>
      <w:r w:rsidR="000A1AAE" w:rsidRPr="00825CCA">
        <w:t>Prime</w:t>
      </w:r>
      <w:r w:rsidR="00D52FD0">
        <w:t xml:space="preserve"> </w:t>
      </w:r>
      <w:r w:rsidR="000A1AAE" w:rsidRPr="00825CCA">
        <w:t>Minister</w:t>
      </w:r>
      <w:r w:rsidR="00D52FD0">
        <w:t xml:space="preserve"> </w:t>
      </w:r>
      <w:r w:rsidR="000A1AAE" w:rsidRPr="00825CCA">
        <w:t>on</w:t>
      </w:r>
      <w:r w:rsidR="00D52FD0">
        <w:t xml:space="preserve"> </w:t>
      </w:r>
      <w:r w:rsidR="000A1AAE" w:rsidRPr="00825CCA">
        <w:t>any</w:t>
      </w:r>
      <w:r w:rsidR="00D52FD0">
        <w:t xml:space="preserve"> </w:t>
      </w:r>
      <w:r w:rsidR="000A1AAE" w:rsidRPr="00825CCA">
        <w:t>matter</w:t>
      </w:r>
      <w:r w:rsidR="00D52FD0">
        <w:t xml:space="preserve"> </w:t>
      </w:r>
      <w:r w:rsidR="000A1AAE" w:rsidRPr="00825CCA">
        <w:t>under</w:t>
      </w:r>
      <w:r w:rsidR="00D52FD0">
        <w:t xml:space="preserve"> </w:t>
      </w:r>
      <w:r w:rsidR="000A1AAE" w:rsidRPr="00825CCA">
        <w:t>the</w:t>
      </w:r>
      <w:r w:rsidR="00D52FD0">
        <w:t xml:space="preserve"> </w:t>
      </w:r>
      <w:r w:rsidR="000A1AAE" w:rsidRPr="00825CCA">
        <w:t>functions</w:t>
      </w:r>
      <w:r w:rsidR="00D52FD0">
        <w:t xml:space="preserve"> </w:t>
      </w:r>
      <w:r w:rsidR="000A1AAE" w:rsidRPr="00825CCA">
        <w:t>laid</w:t>
      </w:r>
      <w:r w:rsidR="00D52FD0">
        <w:t xml:space="preserve"> </w:t>
      </w:r>
      <w:r w:rsidR="000A1AAE" w:rsidRPr="00825CCA">
        <w:t>down</w:t>
      </w:r>
      <w:r w:rsidR="00D52FD0">
        <w:t xml:space="preserve"> </w:t>
      </w:r>
      <w:r w:rsidR="000A1AAE" w:rsidRPr="00825CCA">
        <w:t>under</w:t>
      </w:r>
      <w:r w:rsidR="00D52FD0">
        <w:t xml:space="preserve"> </w:t>
      </w:r>
      <w:r w:rsidR="000A1AAE" w:rsidRPr="00825CCA">
        <w:t>the</w:t>
      </w:r>
      <w:r w:rsidR="00D52FD0">
        <w:t xml:space="preserve"> </w:t>
      </w:r>
      <w:r w:rsidR="000A1AAE" w:rsidRPr="00825CCA">
        <w:t>Act</w:t>
      </w:r>
    </w:p>
    <w:p w14:paraId="4CDE6AFD" w14:textId="0122611C" w:rsidR="000A1AAE" w:rsidRPr="00825CCA" w:rsidRDefault="0044637E" w:rsidP="0044637E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825CCA">
        <w:lastRenderedPageBreak/>
        <w:t>•</w:t>
      </w:r>
      <w:r w:rsidRPr="00825CCA">
        <w:tab/>
      </w:r>
      <w:r w:rsidR="000A1AAE" w:rsidRPr="00825CCA">
        <w:t>Article</w:t>
      </w:r>
      <w:r w:rsidR="00D52FD0">
        <w:t xml:space="preserve"> </w:t>
      </w:r>
      <w:r w:rsidR="000A1AAE" w:rsidRPr="00825CCA">
        <w:t>13</w:t>
      </w:r>
      <w:r w:rsidR="00D52FD0">
        <w:t xml:space="preserve"> </w:t>
      </w:r>
      <w:r w:rsidR="000A1AAE" w:rsidRPr="00825CCA">
        <w:t>empowers</w:t>
      </w:r>
      <w:r w:rsidR="00D52FD0">
        <w:t xml:space="preserve"> </w:t>
      </w:r>
      <w:r w:rsidR="000A1AAE" w:rsidRPr="00825CCA">
        <w:t>the</w:t>
      </w:r>
      <w:r w:rsidR="00D52FD0">
        <w:t xml:space="preserve"> </w:t>
      </w:r>
      <w:r w:rsidR="000A1AAE" w:rsidRPr="00825CCA">
        <w:t>Commissioner</w:t>
      </w:r>
      <w:r w:rsidR="00D52FD0">
        <w:t xml:space="preserve"> </w:t>
      </w:r>
      <w:r w:rsidR="000A1AAE" w:rsidRPr="00825CCA">
        <w:t>to</w:t>
      </w:r>
      <w:r w:rsidR="00D52FD0">
        <w:t xml:space="preserve"> </w:t>
      </w:r>
      <w:r w:rsidR="000A1AAE" w:rsidRPr="00825CCA">
        <w:t>undertake</w:t>
      </w:r>
      <w:r w:rsidR="00D52FD0">
        <w:t xml:space="preserve"> </w:t>
      </w:r>
      <w:r w:rsidR="000A1AAE" w:rsidRPr="00825CCA">
        <w:t>investigations</w:t>
      </w:r>
      <w:r w:rsidR="00D52FD0">
        <w:t xml:space="preserve"> </w:t>
      </w:r>
      <w:r w:rsidR="000A1AAE" w:rsidRPr="00825CCA">
        <w:t>on</w:t>
      </w:r>
      <w:r w:rsidR="00D52FD0">
        <w:t xml:space="preserve"> </w:t>
      </w:r>
      <w:r w:rsidR="000A1AAE" w:rsidRPr="00825CCA">
        <w:t>complaints</w:t>
      </w:r>
      <w:r w:rsidR="00D52FD0">
        <w:t xml:space="preserve"> </w:t>
      </w:r>
      <w:r w:rsidR="000A1AAE" w:rsidRPr="00825CCA">
        <w:t>about</w:t>
      </w:r>
      <w:r w:rsidR="00D52FD0">
        <w:t xml:space="preserve"> </w:t>
      </w:r>
      <w:r w:rsidR="000A1AAE" w:rsidRPr="00825CCA">
        <w:t>the</w:t>
      </w:r>
      <w:r w:rsidR="00D52FD0">
        <w:t xml:space="preserve"> </w:t>
      </w:r>
      <w:r w:rsidR="000A1AAE" w:rsidRPr="00825CCA">
        <w:t>Security</w:t>
      </w:r>
      <w:r w:rsidR="00D52FD0">
        <w:t xml:space="preserve"> </w:t>
      </w:r>
      <w:r w:rsidR="000A1AAE" w:rsidRPr="00825CCA">
        <w:t>Service,</w:t>
      </w:r>
      <w:r w:rsidR="00D52FD0">
        <w:t xml:space="preserve"> </w:t>
      </w:r>
      <w:r w:rsidR="000A1AAE" w:rsidRPr="00825CCA">
        <w:t>with</w:t>
      </w:r>
      <w:r w:rsidR="00D52FD0">
        <w:t xml:space="preserve"> </w:t>
      </w:r>
      <w:r w:rsidR="000A1AAE" w:rsidRPr="00825CCA">
        <w:t>Schedule</w:t>
      </w:r>
      <w:r w:rsidR="00D52FD0">
        <w:t xml:space="preserve"> </w:t>
      </w:r>
      <w:r w:rsidR="000A1AAE" w:rsidRPr="00825CCA">
        <w:t>1</w:t>
      </w:r>
      <w:r w:rsidR="00D52FD0">
        <w:t xml:space="preserve"> </w:t>
      </w:r>
      <w:r w:rsidR="000A1AAE" w:rsidRPr="00825CCA">
        <w:t>to</w:t>
      </w:r>
      <w:r w:rsidR="00D52FD0">
        <w:t xml:space="preserve"> </w:t>
      </w:r>
      <w:r w:rsidR="000A1AAE" w:rsidRPr="00825CCA">
        <w:t>the</w:t>
      </w:r>
      <w:r w:rsidR="00D52FD0">
        <w:t xml:space="preserve"> </w:t>
      </w:r>
      <w:r w:rsidR="000A1AAE" w:rsidRPr="00825CCA">
        <w:t>Act</w:t>
      </w:r>
      <w:r w:rsidR="00D52FD0">
        <w:t xml:space="preserve"> </w:t>
      </w:r>
      <w:r w:rsidR="000A1AAE" w:rsidRPr="00825CCA">
        <w:t>delineating</w:t>
      </w:r>
      <w:r w:rsidR="00D52FD0">
        <w:t xml:space="preserve"> </w:t>
      </w:r>
      <w:r w:rsidR="000A1AAE" w:rsidRPr="00825CCA">
        <w:t>the</w:t>
      </w:r>
      <w:r w:rsidR="00D52FD0">
        <w:t xml:space="preserve"> </w:t>
      </w:r>
      <w:r w:rsidR="000A1AAE" w:rsidRPr="00825CCA">
        <w:t>procedure</w:t>
      </w:r>
      <w:r w:rsidR="00D52FD0">
        <w:t xml:space="preserve"> </w:t>
      </w:r>
      <w:r w:rsidR="000A1AAE" w:rsidRPr="00825CCA">
        <w:t>to</w:t>
      </w:r>
      <w:r w:rsidR="00D52FD0">
        <w:t xml:space="preserve"> </w:t>
      </w:r>
      <w:r w:rsidR="000A1AAE" w:rsidRPr="00825CCA">
        <w:t>be</w:t>
      </w:r>
      <w:r w:rsidR="00D52FD0">
        <w:t xml:space="preserve"> </w:t>
      </w:r>
      <w:r w:rsidR="000A1AAE" w:rsidRPr="00825CCA">
        <w:t>followed</w:t>
      </w:r>
      <w:r w:rsidR="00D52FD0">
        <w:t xml:space="preserve"> </w:t>
      </w:r>
      <w:r w:rsidR="000A1AAE" w:rsidRPr="00825CCA">
        <w:t>in</w:t>
      </w:r>
      <w:r w:rsidR="00D52FD0">
        <w:t xml:space="preserve"> </w:t>
      </w:r>
      <w:r w:rsidR="000A1AAE" w:rsidRPr="00825CCA">
        <w:t>such</w:t>
      </w:r>
      <w:r w:rsidR="00D52FD0">
        <w:t xml:space="preserve"> </w:t>
      </w:r>
      <w:r w:rsidR="000A1AAE" w:rsidRPr="00825CCA">
        <w:t>circumstances</w:t>
      </w:r>
    </w:p>
    <w:p w14:paraId="0BBB58EF" w14:textId="21E59F70" w:rsidR="000A1AAE" w:rsidRPr="00825CCA" w:rsidRDefault="0044637E" w:rsidP="0044637E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825CCA">
        <w:t>•</w:t>
      </w:r>
      <w:r w:rsidRPr="00825CCA">
        <w:tab/>
      </w:r>
      <w:r w:rsidR="000A1AAE" w:rsidRPr="00825CCA">
        <w:t>Article</w:t>
      </w:r>
      <w:r w:rsidR="00D52FD0">
        <w:t xml:space="preserve"> </w:t>
      </w:r>
      <w:r w:rsidR="000A1AAE" w:rsidRPr="00825CCA">
        <w:t>14</w:t>
      </w:r>
      <w:r w:rsidR="00D52FD0">
        <w:t xml:space="preserve"> </w:t>
      </w:r>
      <w:r w:rsidR="000A1AAE" w:rsidRPr="00825CCA">
        <w:t>establishes</w:t>
      </w:r>
      <w:r w:rsidR="00D52FD0">
        <w:t xml:space="preserve"> </w:t>
      </w:r>
      <w:r w:rsidR="000A1AAE" w:rsidRPr="00825CCA">
        <w:t>the</w:t>
      </w:r>
      <w:r w:rsidR="00D52FD0">
        <w:t xml:space="preserve"> </w:t>
      </w:r>
      <w:r w:rsidR="000A1AAE" w:rsidRPr="00825CCA">
        <w:rPr>
          <w:bCs/>
        </w:rPr>
        <w:t>Security</w:t>
      </w:r>
      <w:r w:rsidR="00D52FD0">
        <w:rPr>
          <w:bCs/>
        </w:rPr>
        <w:t xml:space="preserve"> </w:t>
      </w:r>
      <w:r w:rsidR="000A1AAE" w:rsidRPr="00825CCA">
        <w:rPr>
          <w:bCs/>
        </w:rPr>
        <w:t>Committee,</w:t>
      </w:r>
      <w:r w:rsidR="00D52FD0">
        <w:t xml:space="preserve"> </w:t>
      </w:r>
      <w:r w:rsidR="000A1AAE" w:rsidRPr="00825CCA">
        <w:t>which</w:t>
      </w:r>
      <w:r w:rsidR="00D52FD0">
        <w:t xml:space="preserve"> </w:t>
      </w:r>
      <w:r w:rsidR="000A1AAE" w:rsidRPr="00825CCA">
        <w:t>is</w:t>
      </w:r>
      <w:r w:rsidR="00D52FD0">
        <w:t xml:space="preserve"> </w:t>
      </w:r>
      <w:r w:rsidR="000A1AAE" w:rsidRPr="00825CCA">
        <w:t>composed</w:t>
      </w:r>
      <w:r w:rsidR="00D52FD0">
        <w:t xml:space="preserve"> </w:t>
      </w:r>
      <w:r w:rsidR="000A1AAE" w:rsidRPr="00825CCA">
        <w:t>of</w:t>
      </w:r>
      <w:r w:rsidR="00D52FD0">
        <w:t xml:space="preserve"> </w:t>
      </w:r>
      <w:r w:rsidR="000A1AAE" w:rsidRPr="00825CCA">
        <w:t>the</w:t>
      </w:r>
      <w:r w:rsidR="00D52FD0">
        <w:t xml:space="preserve"> </w:t>
      </w:r>
      <w:r w:rsidR="000A1AAE" w:rsidRPr="00825CCA">
        <w:t>Prime</w:t>
      </w:r>
      <w:r w:rsidR="00D52FD0">
        <w:t xml:space="preserve"> </w:t>
      </w:r>
      <w:r w:rsidR="000A1AAE" w:rsidRPr="00825CCA">
        <w:t>Minister,</w:t>
      </w:r>
      <w:r w:rsidR="00D52FD0">
        <w:t xml:space="preserve"> </w:t>
      </w:r>
      <w:r w:rsidR="000A1AAE" w:rsidRPr="00825CCA">
        <w:t>the</w:t>
      </w:r>
      <w:r w:rsidR="00D52FD0">
        <w:t xml:space="preserve"> </w:t>
      </w:r>
      <w:r w:rsidR="000A1AAE" w:rsidRPr="00825CCA">
        <w:t>Minister</w:t>
      </w:r>
      <w:r w:rsidR="00D52FD0">
        <w:t xml:space="preserve"> </w:t>
      </w:r>
      <w:r w:rsidR="000A1AAE" w:rsidRPr="00825CCA">
        <w:t>responsible</w:t>
      </w:r>
      <w:r w:rsidR="00D52FD0">
        <w:t xml:space="preserve"> </w:t>
      </w:r>
      <w:r w:rsidR="000A1AAE" w:rsidRPr="00825CCA">
        <w:t>for</w:t>
      </w:r>
      <w:r w:rsidR="00D52FD0">
        <w:t xml:space="preserve"> </w:t>
      </w:r>
      <w:r w:rsidR="000A1AAE" w:rsidRPr="00825CCA">
        <w:t>the</w:t>
      </w:r>
      <w:r w:rsidR="00D52FD0">
        <w:t xml:space="preserve"> </w:t>
      </w:r>
      <w:r w:rsidR="000A1AAE" w:rsidRPr="00825CCA">
        <w:t>Security</w:t>
      </w:r>
      <w:r w:rsidR="00D52FD0">
        <w:t xml:space="preserve"> </w:t>
      </w:r>
      <w:r w:rsidR="000A1AAE" w:rsidRPr="00825CCA">
        <w:t>Service,</w:t>
      </w:r>
      <w:r w:rsidR="00D52FD0">
        <w:t xml:space="preserve"> </w:t>
      </w:r>
      <w:r w:rsidR="000A1AAE" w:rsidRPr="00825CCA">
        <w:t>the</w:t>
      </w:r>
      <w:r w:rsidR="00D52FD0">
        <w:t xml:space="preserve"> </w:t>
      </w:r>
      <w:r w:rsidR="000A1AAE" w:rsidRPr="00825CCA">
        <w:t>Minister</w:t>
      </w:r>
      <w:r w:rsidR="00D52FD0">
        <w:t xml:space="preserve"> </w:t>
      </w:r>
      <w:r w:rsidR="000A1AAE" w:rsidRPr="00825CCA">
        <w:t>responsible</w:t>
      </w:r>
      <w:r w:rsidR="00D52FD0">
        <w:t xml:space="preserve"> </w:t>
      </w:r>
      <w:r w:rsidR="000A1AAE" w:rsidRPr="00825CCA">
        <w:t>for</w:t>
      </w:r>
      <w:r w:rsidR="00D52FD0">
        <w:t xml:space="preserve"> </w:t>
      </w:r>
      <w:r w:rsidR="000A1AAE" w:rsidRPr="00825CCA">
        <w:t>Foreign</w:t>
      </w:r>
      <w:r w:rsidR="00D52FD0">
        <w:t xml:space="preserve"> </w:t>
      </w:r>
      <w:r w:rsidR="000A1AAE" w:rsidRPr="00825CCA">
        <w:t>Affairs,</w:t>
      </w:r>
      <w:r w:rsidR="00D52FD0">
        <w:t xml:space="preserve"> </w:t>
      </w:r>
      <w:r w:rsidR="000A1AAE" w:rsidRPr="00825CCA">
        <w:t>and</w:t>
      </w:r>
      <w:r w:rsidR="00D52FD0">
        <w:t xml:space="preserve"> </w:t>
      </w:r>
      <w:r w:rsidR="000A1AAE" w:rsidRPr="00825CCA">
        <w:t>the</w:t>
      </w:r>
      <w:r w:rsidR="00D52FD0">
        <w:t xml:space="preserve"> </w:t>
      </w:r>
      <w:r w:rsidR="000A1AAE" w:rsidRPr="00825CCA">
        <w:t>Leader</w:t>
      </w:r>
      <w:r w:rsidR="00D52FD0">
        <w:t xml:space="preserve"> </w:t>
      </w:r>
      <w:r w:rsidR="000A1AAE" w:rsidRPr="00825CCA">
        <w:t>of</w:t>
      </w:r>
      <w:r w:rsidR="00D52FD0">
        <w:t xml:space="preserve"> </w:t>
      </w:r>
      <w:r w:rsidR="000A1AAE" w:rsidRPr="00825CCA">
        <w:t>the</w:t>
      </w:r>
      <w:r w:rsidR="00D52FD0">
        <w:t xml:space="preserve"> </w:t>
      </w:r>
      <w:r w:rsidR="000A1AAE" w:rsidRPr="00825CCA">
        <w:t>Opposition.</w:t>
      </w:r>
      <w:r w:rsidR="00D52FD0">
        <w:t xml:space="preserve"> </w:t>
      </w:r>
      <w:r w:rsidR="000A1AAE" w:rsidRPr="00825CCA">
        <w:t>Its</w:t>
      </w:r>
      <w:r w:rsidR="00F14DA3">
        <w:t>’</w:t>
      </w:r>
      <w:r w:rsidR="00D52FD0">
        <w:t xml:space="preserve"> </w:t>
      </w:r>
      <w:r w:rsidR="000A1AAE" w:rsidRPr="00825CCA">
        <w:t>remit</w:t>
      </w:r>
      <w:r w:rsidR="00D52FD0">
        <w:t xml:space="preserve"> </w:t>
      </w:r>
      <w:r w:rsidR="000A1AAE" w:rsidRPr="00825CCA">
        <w:t>is</w:t>
      </w:r>
      <w:r w:rsidR="00D52FD0">
        <w:t xml:space="preserve"> </w:t>
      </w:r>
      <w:r w:rsidR="000A1AAE" w:rsidRPr="00825CCA">
        <w:t>to</w:t>
      </w:r>
      <w:r w:rsidR="00D52FD0">
        <w:t xml:space="preserve"> </w:t>
      </w:r>
      <w:r w:rsidR="000A1AAE" w:rsidRPr="00825CCA">
        <w:t>examine</w:t>
      </w:r>
      <w:r w:rsidR="00D52FD0">
        <w:t xml:space="preserve"> </w:t>
      </w:r>
      <w:r w:rsidR="000A1AAE" w:rsidRPr="00825CCA">
        <w:t>the</w:t>
      </w:r>
      <w:r w:rsidR="00D52FD0">
        <w:t xml:space="preserve"> </w:t>
      </w:r>
      <w:r w:rsidR="000A1AAE" w:rsidRPr="00825CCA">
        <w:t>expenditure,</w:t>
      </w:r>
      <w:r w:rsidR="00D52FD0">
        <w:t xml:space="preserve"> </w:t>
      </w:r>
      <w:r w:rsidR="000A1AAE" w:rsidRPr="00825CCA">
        <w:t>administration</w:t>
      </w:r>
      <w:r w:rsidR="00D52FD0">
        <w:t xml:space="preserve"> </w:t>
      </w:r>
      <w:r w:rsidR="000A1AAE" w:rsidRPr="00825CCA">
        <w:t>and</w:t>
      </w:r>
      <w:r w:rsidR="00D52FD0">
        <w:t xml:space="preserve"> </w:t>
      </w:r>
      <w:r w:rsidR="000A1AAE" w:rsidRPr="00825CCA">
        <w:t>policy</w:t>
      </w:r>
      <w:r w:rsidR="00D52FD0">
        <w:t xml:space="preserve"> </w:t>
      </w:r>
      <w:r w:rsidR="000A1AAE" w:rsidRPr="00825CCA">
        <w:t>of</w:t>
      </w:r>
      <w:r w:rsidR="00D52FD0">
        <w:t xml:space="preserve"> </w:t>
      </w:r>
      <w:r w:rsidR="000A1AAE" w:rsidRPr="00825CCA">
        <w:t>the</w:t>
      </w:r>
      <w:r w:rsidR="00D52FD0">
        <w:t xml:space="preserve"> </w:t>
      </w:r>
      <w:r w:rsidR="000A1AAE" w:rsidRPr="00825CCA">
        <w:t>Security</w:t>
      </w:r>
      <w:r w:rsidR="00D52FD0">
        <w:t xml:space="preserve"> </w:t>
      </w:r>
      <w:r w:rsidR="000A1AAE" w:rsidRPr="00825CCA">
        <w:t>Service,</w:t>
      </w:r>
      <w:r w:rsidR="00D52FD0">
        <w:t xml:space="preserve"> </w:t>
      </w:r>
      <w:r w:rsidR="000A1AAE" w:rsidRPr="00825CCA">
        <w:t>and</w:t>
      </w:r>
      <w:r w:rsidR="00D52FD0">
        <w:t xml:space="preserve"> </w:t>
      </w:r>
      <w:r w:rsidR="000A1AAE" w:rsidRPr="00825CCA">
        <w:t>reports</w:t>
      </w:r>
      <w:r w:rsidR="00D52FD0">
        <w:t xml:space="preserve"> </w:t>
      </w:r>
      <w:r w:rsidR="000A1AAE" w:rsidRPr="00825CCA">
        <w:t>to</w:t>
      </w:r>
      <w:r w:rsidR="00D52FD0">
        <w:t xml:space="preserve"> </w:t>
      </w:r>
      <w:r w:rsidR="000A1AAE" w:rsidRPr="00825CCA">
        <w:t>the</w:t>
      </w:r>
      <w:r w:rsidR="00D52FD0">
        <w:t xml:space="preserve"> </w:t>
      </w:r>
      <w:r w:rsidR="000A1AAE" w:rsidRPr="00825CCA">
        <w:t>House</w:t>
      </w:r>
      <w:r w:rsidR="00D52FD0">
        <w:t xml:space="preserve"> </w:t>
      </w:r>
      <w:r w:rsidR="000A1AAE" w:rsidRPr="00825CCA">
        <w:t>of</w:t>
      </w:r>
      <w:r w:rsidR="00D52FD0">
        <w:t xml:space="preserve"> </w:t>
      </w:r>
      <w:r w:rsidR="000A1AAE" w:rsidRPr="00825CCA">
        <w:t>Representatives</w:t>
      </w:r>
      <w:r w:rsidR="00D52FD0">
        <w:t xml:space="preserve"> </w:t>
      </w:r>
      <w:r w:rsidR="000A1AAE" w:rsidRPr="00825CCA">
        <w:t>through</w:t>
      </w:r>
      <w:r w:rsidR="00D52FD0">
        <w:t xml:space="preserve"> </w:t>
      </w:r>
      <w:r w:rsidR="000A1AAE" w:rsidRPr="00825CCA">
        <w:t>an</w:t>
      </w:r>
      <w:r w:rsidR="00D52FD0">
        <w:t xml:space="preserve"> </w:t>
      </w:r>
      <w:r w:rsidR="000A1AAE" w:rsidRPr="00825CCA">
        <w:t>annual</w:t>
      </w:r>
      <w:r w:rsidR="00D52FD0">
        <w:t xml:space="preserve"> </w:t>
      </w:r>
      <w:r w:rsidR="000A1AAE" w:rsidRPr="00825CCA">
        <w:t>report.</w:t>
      </w:r>
      <w:r w:rsidR="00D52FD0">
        <w:t xml:space="preserve"> </w:t>
      </w:r>
      <w:r w:rsidR="000A1AAE" w:rsidRPr="00825CCA">
        <w:t>Schedule</w:t>
      </w:r>
      <w:r w:rsidR="00D52FD0">
        <w:t xml:space="preserve"> </w:t>
      </w:r>
      <w:r w:rsidR="000A1AAE" w:rsidRPr="00825CCA">
        <w:t>2</w:t>
      </w:r>
      <w:r w:rsidR="00D52FD0">
        <w:t xml:space="preserve"> </w:t>
      </w:r>
      <w:r w:rsidR="000A1AAE" w:rsidRPr="00825CCA">
        <w:t>of</w:t>
      </w:r>
      <w:r w:rsidR="00D52FD0">
        <w:t xml:space="preserve"> </w:t>
      </w:r>
      <w:r w:rsidR="000A1AAE" w:rsidRPr="00825CCA">
        <w:t>the</w:t>
      </w:r>
      <w:r w:rsidR="00D52FD0">
        <w:t xml:space="preserve"> </w:t>
      </w:r>
      <w:r w:rsidR="000A1AAE" w:rsidRPr="00825CCA">
        <w:t>Act</w:t>
      </w:r>
      <w:r w:rsidR="00D52FD0">
        <w:t xml:space="preserve"> </w:t>
      </w:r>
      <w:r w:rsidR="000A1AAE" w:rsidRPr="00825CCA">
        <w:t>lays</w:t>
      </w:r>
      <w:r w:rsidR="00D52FD0">
        <w:t xml:space="preserve"> </w:t>
      </w:r>
      <w:r w:rsidR="000A1AAE" w:rsidRPr="00825CCA">
        <w:t>down</w:t>
      </w:r>
      <w:r w:rsidR="00D52FD0">
        <w:t xml:space="preserve"> </w:t>
      </w:r>
      <w:r w:rsidR="000A1AAE" w:rsidRPr="00825CCA">
        <w:t>the</w:t>
      </w:r>
      <w:r w:rsidR="00D52FD0">
        <w:t xml:space="preserve"> </w:t>
      </w:r>
      <w:r w:rsidR="000A1AAE" w:rsidRPr="00825CCA">
        <w:t>terms</w:t>
      </w:r>
      <w:r w:rsidR="00D52FD0">
        <w:t xml:space="preserve"> </w:t>
      </w:r>
      <w:r w:rsidR="000A1AAE" w:rsidRPr="00825CCA">
        <w:t>of</w:t>
      </w:r>
      <w:r w:rsidR="00D52FD0">
        <w:t xml:space="preserve"> </w:t>
      </w:r>
      <w:r w:rsidR="000A1AAE" w:rsidRPr="00825CCA">
        <w:t>reference</w:t>
      </w:r>
      <w:r w:rsidR="00D52FD0">
        <w:t xml:space="preserve"> </w:t>
      </w:r>
      <w:r w:rsidR="000A1AAE" w:rsidRPr="00825CCA">
        <w:t>for</w:t>
      </w:r>
      <w:r w:rsidR="00D52FD0">
        <w:t xml:space="preserve"> </w:t>
      </w:r>
      <w:r w:rsidR="000A1AAE" w:rsidRPr="00825CCA">
        <w:t>the</w:t>
      </w:r>
      <w:r w:rsidR="00D52FD0">
        <w:t xml:space="preserve"> </w:t>
      </w:r>
      <w:r w:rsidR="000A1AAE" w:rsidRPr="00825CCA">
        <w:t>Security</w:t>
      </w:r>
      <w:r w:rsidR="00D52FD0">
        <w:t xml:space="preserve"> </w:t>
      </w:r>
      <w:r w:rsidR="000A1AAE" w:rsidRPr="00825CCA">
        <w:t>Committee.</w:t>
      </w:r>
    </w:p>
    <w:p w14:paraId="2530FC86" w14:textId="54B43F1A" w:rsidR="000E4FD0" w:rsidRDefault="0044637E" w:rsidP="0044637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>
        <w:t>212.</w:t>
      </w:r>
      <w:r>
        <w:tab/>
      </w:r>
      <w:r w:rsidR="000A1AAE" w:rsidRPr="00857B1D">
        <w:t>The</w:t>
      </w:r>
      <w:r w:rsidR="00D52FD0">
        <w:t xml:space="preserve"> </w:t>
      </w:r>
      <w:r w:rsidR="000A1AAE" w:rsidRPr="00857B1D">
        <w:t>Malta</w:t>
      </w:r>
      <w:r w:rsidR="00D52FD0">
        <w:t xml:space="preserve"> </w:t>
      </w:r>
      <w:r w:rsidR="000A1AAE" w:rsidRPr="00857B1D">
        <w:t>Security</w:t>
      </w:r>
      <w:r w:rsidR="00D52FD0">
        <w:t xml:space="preserve"> </w:t>
      </w:r>
      <w:r w:rsidR="000A1AAE" w:rsidRPr="00857B1D">
        <w:t>Service</w:t>
      </w:r>
      <w:r w:rsidR="00D52FD0">
        <w:t xml:space="preserve"> </w:t>
      </w:r>
      <w:r w:rsidR="000A1AAE" w:rsidRPr="00857B1D">
        <w:t>in</w:t>
      </w:r>
      <w:r w:rsidR="00D52FD0">
        <w:t xml:space="preserve"> </w:t>
      </w:r>
      <w:r w:rsidR="000A1AAE" w:rsidRPr="00857B1D">
        <w:t>2020</w:t>
      </w:r>
      <w:r w:rsidR="00D52FD0">
        <w:t xml:space="preserve"> </w:t>
      </w:r>
      <w:r w:rsidR="000A1AAE" w:rsidRPr="00857B1D">
        <w:t>embarked</w:t>
      </w:r>
      <w:r w:rsidR="00D52FD0">
        <w:t xml:space="preserve"> </w:t>
      </w:r>
      <w:r w:rsidR="000A1AAE" w:rsidRPr="00857B1D">
        <w:t>on</w:t>
      </w:r>
      <w:r w:rsidR="00D52FD0">
        <w:t xml:space="preserve"> </w:t>
      </w:r>
      <w:r w:rsidR="000A1AAE" w:rsidRPr="00857B1D">
        <w:t>an</w:t>
      </w:r>
      <w:r w:rsidR="00D52FD0">
        <w:t xml:space="preserve"> </w:t>
      </w:r>
      <w:r w:rsidR="000A1AAE" w:rsidRPr="00857B1D">
        <w:t>exercise</w:t>
      </w:r>
      <w:r w:rsidR="00D52FD0">
        <w:t xml:space="preserve"> </w:t>
      </w:r>
      <w:r w:rsidR="000A1AAE" w:rsidRPr="00857B1D">
        <w:t>to</w:t>
      </w:r>
      <w:r w:rsidR="00D52FD0">
        <w:t xml:space="preserve"> </w:t>
      </w:r>
      <w:r w:rsidR="000A1AAE" w:rsidRPr="00857B1D">
        <w:t>review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legal</w:t>
      </w:r>
      <w:r w:rsidR="00D52FD0">
        <w:t xml:space="preserve"> </w:t>
      </w:r>
      <w:r w:rsidR="000A1AAE" w:rsidRPr="00857B1D">
        <w:t>framework</w:t>
      </w:r>
      <w:r w:rsidR="00D52FD0">
        <w:t xml:space="preserve"> </w:t>
      </w:r>
      <w:r w:rsidR="000A1AAE" w:rsidRPr="00857B1D">
        <w:t>within</w:t>
      </w:r>
      <w:r w:rsidR="00D52FD0">
        <w:t xml:space="preserve"> </w:t>
      </w:r>
      <w:r w:rsidR="000A1AAE" w:rsidRPr="00857B1D">
        <w:t>which</w:t>
      </w:r>
      <w:r w:rsidR="00D52FD0">
        <w:t xml:space="preserve"> </w:t>
      </w:r>
      <w:r w:rsidR="000A1AAE" w:rsidRPr="00857B1D">
        <w:t>it</w:t>
      </w:r>
      <w:r w:rsidR="00D52FD0">
        <w:t xml:space="preserve"> </w:t>
      </w:r>
      <w:r w:rsidR="000A1AAE" w:rsidRPr="00857B1D">
        <w:t>operates</w:t>
      </w:r>
      <w:r w:rsidR="00D52FD0">
        <w:t xml:space="preserve"> </w:t>
      </w:r>
      <w:r w:rsidR="000A1AAE" w:rsidRPr="00857B1D">
        <w:t>and</w:t>
      </w:r>
      <w:r w:rsidR="00D52FD0">
        <w:t xml:space="preserve"> </w:t>
      </w:r>
      <w:r w:rsidR="000A1AAE" w:rsidRPr="00857B1D">
        <w:t>prioritised</w:t>
      </w:r>
      <w:r w:rsidR="00D52FD0">
        <w:t xml:space="preserve"> </w:t>
      </w:r>
      <w:r w:rsidR="000A1AAE" w:rsidRPr="00857B1D">
        <w:t>three</w:t>
      </w:r>
      <w:r w:rsidR="00D52FD0">
        <w:t xml:space="preserve"> </w:t>
      </w:r>
      <w:r w:rsidR="000A1AAE" w:rsidRPr="00857B1D">
        <w:t>important</w:t>
      </w:r>
      <w:r w:rsidR="00D52FD0">
        <w:t xml:space="preserve"> </w:t>
      </w:r>
      <w:r w:rsidR="000A1AAE" w:rsidRPr="00857B1D">
        <w:t>areas</w:t>
      </w:r>
      <w:r w:rsidR="00D52FD0">
        <w:t xml:space="preserve"> </w:t>
      </w:r>
      <w:r w:rsidR="000A1AAE" w:rsidRPr="00857B1D">
        <w:t>where</w:t>
      </w:r>
      <w:r w:rsidR="00D52FD0">
        <w:t xml:space="preserve"> </w:t>
      </w:r>
      <w:r w:rsidR="000A1AAE" w:rsidRPr="00857B1D">
        <w:t>to</w:t>
      </w:r>
      <w:r w:rsidR="00D52FD0">
        <w:t xml:space="preserve"> </w:t>
      </w:r>
      <w:r w:rsidR="000A1AAE" w:rsidRPr="00857B1D">
        <w:t>make</w:t>
      </w:r>
      <w:r w:rsidR="00D52FD0">
        <w:t xml:space="preserve"> </w:t>
      </w:r>
      <w:r w:rsidR="000A1AAE" w:rsidRPr="00857B1D">
        <w:t>its</w:t>
      </w:r>
      <w:r w:rsidR="00D52FD0">
        <w:t xml:space="preserve"> </w:t>
      </w:r>
      <w:r w:rsidR="000A1AAE" w:rsidRPr="00857B1D">
        <w:t>proposals</w:t>
      </w:r>
      <w:r w:rsidR="00D52FD0">
        <w:t xml:space="preserve"> </w:t>
      </w:r>
      <w:r w:rsidR="000A1AAE" w:rsidRPr="00857B1D">
        <w:t>for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future,</w:t>
      </w:r>
      <w:r w:rsidR="00D52FD0">
        <w:t xml:space="preserve"> </w:t>
      </w:r>
      <w:r w:rsidR="000A1AAE" w:rsidRPr="00857B1D">
        <w:t>including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provisions</w:t>
      </w:r>
      <w:r w:rsidR="00D52FD0">
        <w:t xml:space="preserve"> </w:t>
      </w:r>
      <w:r w:rsidR="000A1AAE" w:rsidRPr="00857B1D">
        <w:t>regulating</w:t>
      </w:r>
      <w:r w:rsidR="00D52FD0">
        <w:t xml:space="preserve"> </w:t>
      </w:r>
      <w:r w:rsidR="000A1AAE" w:rsidRPr="00857B1D">
        <w:t>warrants,</w:t>
      </w:r>
      <w:r w:rsidR="00D52FD0">
        <w:t xml:space="preserve"> </w:t>
      </w:r>
      <w:r w:rsidR="000A1AAE" w:rsidRPr="00857B1D">
        <w:t>interference</w:t>
      </w:r>
      <w:r w:rsidR="00D52FD0">
        <w:t xml:space="preserve"> </w:t>
      </w:r>
      <w:r w:rsidR="000A1AAE" w:rsidRPr="00857B1D">
        <w:t>with</w:t>
      </w:r>
      <w:r w:rsidR="00D52FD0">
        <w:t xml:space="preserve"> </w:t>
      </w:r>
      <w:r w:rsidR="000A1AAE" w:rsidRPr="00857B1D">
        <w:t>privacy</w:t>
      </w:r>
      <w:r w:rsidR="00D52FD0">
        <w:t xml:space="preserve"> </w:t>
      </w:r>
      <w:r w:rsidR="000A1AAE" w:rsidRPr="00857B1D">
        <w:t>and</w:t>
      </w:r>
      <w:r w:rsidR="00D52FD0">
        <w:t xml:space="preserve"> </w:t>
      </w:r>
      <w:r w:rsidR="000A1AAE" w:rsidRPr="00857B1D">
        <w:t>surveillance.</w:t>
      </w:r>
    </w:p>
    <w:p w14:paraId="5F06F4A2" w14:textId="3CCD25D4" w:rsidR="000A1AAE" w:rsidRPr="00825CCA" w:rsidRDefault="000A1AAE" w:rsidP="00935045">
      <w:pPr>
        <w:pStyle w:val="H1G"/>
      </w:pPr>
      <w:r>
        <w:tab/>
      </w:r>
      <w:r>
        <w:tab/>
      </w:r>
      <w:r w:rsidRPr="00825CCA">
        <w:t>Freedom</w:t>
      </w:r>
      <w:r w:rsidR="00D52FD0">
        <w:t xml:space="preserve"> </w:t>
      </w:r>
      <w:r w:rsidRPr="00825CCA">
        <w:t>of</w:t>
      </w:r>
      <w:r w:rsidR="00D52FD0">
        <w:t xml:space="preserve"> </w:t>
      </w:r>
      <w:r w:rsidRPr="00825CCA">
        <w:t>expression</w:t>
      </w:r>
      <w:r w:rsidR="00D52FD0">
        <w:t xml:space="preserve"> </w:t>
      </w:r>
      <w:r w:rsidRPr="00825CCA">
        <w:t>(art.</w:t>
      </w:r>
      <w:r w:rsidR="00D52FD0">
        <w:t xml:space="preserve"> </w:t>
      </w:r>
      <w:r w:rsidRPr="00825CCA">
        <w:t>19)</w:t>
      </w:r>
    </w:p>
    <w:p w14:paraId="3A7CF708" w14:textId="77777777" w:rsidR="000E4FD0" w:rsidRDefault="000A1AAE" w:rsidP="00935045">
      <w:pPr>
        <w:pStyle w:val="H23G"/>
        <w:rPr>
          <w:rFonts w:eastAsia="Calibri"/>
          <w:lang w:val="mt-MT"/>
        </w:rPr>
      </w:pPr>
      <w:r>
        <w:tab/>
      </w:r>
      <w:r>
        <w:tab/>
      </w:r>
      <w:r w:rsidRPr="00504902">
        <w:t>Reply</w:t>
      </w:r>
      <w:r w:rsidR="00D52FD0">
        <w:t xml:space="preserve"> </w:t>
      </w:r>
      <w:r w:rsidRPr="00504902">
        <w:t>to</w:t>
      </w:r>
      <w:r w:rsidR="00D52FD0">
        <w:t xml:space="preserve"> </w:t>
      </w:r>
      <w:r w:rsidRPr="00504902">
        <w:t>paragraph</w:t>
      </w:r>
      <w:r w:rsidR="00D52FD0">
        <w:t xml:space="preserve"> </w:t>
      </w:r>
      <w:r>
        <w:t>22</w:t>
      </w:r>
      <w:r w:rsidR="00D52FD0">
        <w:t xml:space="preserve"> </w:t>
      </w:r>
      <w:r w:rsidRPr="00504902">
        <w:t>of</w:t>
      </w:r>
      <w:r w:rsidR="00D52FD0">
        <w:t xml:space="preserve"> </w:t>
      </w:r>
      <w:r w:rsidRPr="00504902">
        <w:t>the</w:t>
      </w:r>
      <w:r w:rsidR="00D52FD0">
        <w:t xml:space="preserve"> </w:t>
      </w:r>
      <w:r w:rsidRPr="00504902">
        <w:t>list</w:t>
      </w:r>
      <w:r w:rsidR="00D52FD0">
        <w:t xml:space="preserve"> </w:t>
      </w:r>
      <w:r w:rsidRPr="00504902">
        <w:t>of</w:t>
      </w:r>
      <w:r w:rsidR="00D52FD0">
        <w:t xml:space="preserve"> </w:t>
      </w:r>
      <w:r w:rsidRPr="00504902">
        <w:t>issues</w:t>
      </w:r>
    </w:p>
    <w:p w14:paraId="461FDEE9" w14:textId="29239267" w:rsidR="000A1AAE" w:rsidRPr="00857B1D" w:rsidRDefault="0044637E" w:rsidP="0044637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857B1D">
        <w:t>213.</w:t>
      </w:r>
      <w:r w:rsidRPr="00857B1D">
        <w:tab/>
      </w:r>
      <w:r w:rsidR="000A1AAE" w:rsidRPr="00857B1D">
        <w:t>The</w:t>
      </w:r>
      <w:r w:rsidR="00D52FD0">
        <w:t xml:space="preserve"> </w:t>
      </w:r>
      <w:r w:rsidR="000A1AAE" w:rsidRPr="00857B1D">
        <w:t>Media</w:t>
      </w:r>
      <w:r w:rsidR="00D52FD0">
        <w:t xml:space="preserve"> </w:t>
      </w:r>
      <w:r w:rsidR="000A1AAE" w:rsidRPr="00857B1D">
        <w:t>and</w:t>
      </w:r>
      <w:r w:rsidR="00D52FD0">
        <w:t xml:space="preserve"> </w:t>
      </w:r>
      <w:r w:rsidR="000A1AAE" w:rsidRPr="00857B1D">
        <w:t>Defamation</w:t>
      </w:r>
      <w:r w:rsidR="00D52FD0">
        <w:t xml:space="preserve"> </w:t>
      </w:r>
      <w:r w:rsidR="000A1AAE" w:rsidRPr="00857B1D">
        <w:t>Act</w:t>
      </w:r>
      <w:r w:rsidR="00D52FD0">
        <w:t xml:space="preserve"> </w:t>
      </w:r>
      <w:r w:rsidR="000A1AAE" w:rsidRPr="00857B1D">
        <w:t>introduced</w:t>
      </w:r>
      <w:r w:rsidR="00D52FD0">
        <w:t xml:space="preserve"> </w:t>
      </w:r>
      <w:r w:rsidR="000A1AAE" w:rsidRPr="00857B1D">
        <w:t>various</w:t>
      </w:r>
      <w:r w:rsidR="00D52FD0">
        <w:t xml:space="preserve"> </w:t>
      </w:r>
      <w:r w:rsidR="000A1AAE" w:rsidRPr="00857B1D">
        <w:t>provisions</w:t>
      </w:r>
      <w:r w:rsidR="00D52FD0">
        <w:t xml:space="preserve"> </w:t>
      </w:r>
      <w:r w:rsidR="000A1AAE" w:rsidRPr="00857B1D">
        <w:t>which</w:t>
      </w:r>
      <w:r w:rsidR="00D52FD0">
        <w:t xml:space="preserve"> </w:t>
      </w:r>
      <w:r w:rsidR="000A1AAE" w:rsidRPr="00857B1D">
        <w:t>strengthen</w:t>
      </w:r>
      <w:r w:rsidR="00D52FD0">
        <w:t xml:space="preserve"> </w:t>
      </w:r>
      <w:r w:rsidR="000A1AAE" w:rsidRPr="00857B1D">
        <w:t>freedom</w:t>
      </w:r>
      <w:r w:rsidR="00D52FD0">
        <w:t xml:space="preserve"> </w:t>
      </w:r>
      <w:r w:rsidR="000A1AAE" w:rsidRPr="00857B1D">
        <w:t>of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media</w:t>
      </w:r>
      <w:r w:rsidR="00D52FD0">
        <w:t xml:space="preserve"> </w:t>
      </w:r>
      <w:r w:rsidR="000A1AAE" w:rsidRPr="00857B1D">
        <w:t>and</w:t>
      </w:r>
      <w:r w:rsidR="00D52FD0">
        <w:t xml:space="preserve"> </w:t>
      </w:r>
      <w:r w:rsidR="000A1AAE" w:rsidRPr="00857B1D">
        <w:t>prohibited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multiplicity</w:t>
      </w:r>
      <w:r w:rsidR="00D52FD0">
        <w:t xml:space="preserve"> </w:t>
      </w:r>
      <w:r w:rsidR="000A1AAE" w:rsidRPr="00857B1D">
        <w:t>of</w:t>
      </w:r>
      <w:r w:rsidR="00D52FD0">
        <w:t xml:space="preserve"> </w:t>
      </w:r>
      <w:r w:rsidR="000A1AAE" w:rsidRPr="00857B1D">
        <w:t>libel</w:t>
      </w:r>
      <w:r w:rsidR="00D52FD0">
        <w:t xml:space="preserve"> </w:t>
      </w:r>
      <w:r w:rsidR="000A1AAE" w:rsidRPr="00857B1D">
        <w:t>lawsuits</w:t>
      </w:r>
      <w:r w:rsidR="00D52FD0">
        <w:t xml:space="preserve"> </w:t>
      </w:r>
      <w:r w:rsidR="000A1AAE" w:rsidRPr="00857B1D">
        <w:t>in</w:t>
      </w:r>
      <w:r w:rsidR="00D52FD0">
        <w:t xml:space="preserve"> </w:t>
      </w:r>
      <w:r w:rsidR="000A1AAE" w:rsidRPr="00857B1D">
        <w:t>Malta</w:t>
      </w:r>
      <w:r w:rsidR="00D52FD0">
        <w:t xml:space="preserve"> </w:t>
      </w:r>
      <w:r w:rsidR="000A1AAE" w:rsidRPr="00857B1D">
        <w:t>on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same</w:t>
      </w:r>
      <w:r w:rsidR="00D52FD0">
        <w:t xml:space="preserve"> </w:t>
      </w:r>
      <w:r w:rsidR="000A1AAE" w:rsidRPr="00857B1D">
        <w:t>journalistic</w:t>
      </w:r>
      <w:r w:rsidR="00D52FD0">
        <w:t xml:space="preserve"> </w:t>
      </w:r>
      <w:r w:rsidR="000A1AAE" w:rsidRPr="00857B1D">
        <w:t>report.</w:t>
      </w:r>
      <w:r w:rsidR="00D52FD0">
        <w:t xml:space="preserve"> </w:t>
      </w:r>
      <w:r w:rsidR="000A1AAE" w:rsidRPr="00857B1D">
        <w:t>At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same</w:t>
      </w:r>
      <w:r w:rsidR="00D52FD0">
        <w:t xml:space="preserve"> </w:t>
      </w:r>
      <w:r w:rsidR="000A1AAE" w:rsidRPr="00857B1D">
        <w:t>time,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new</w:t>
      </w:r>
      <w:r w:rsidR="00D52FD0">
        <w:t xml:space="preserve"> </w:t>
      </w:r>
      <w:r w:rsidR="000A1AAE" w:rsidRPr="00857B1D">
        <w:t>law</w:t>
      </w:r>
      <w:r w:rsidR="00D52FD0">
        <w:t xml:space="preserve"> </w:t>
      </w:r>
      <w:r w:rsidR="000A1AAE" w:rsidRPr="00857B1D">
        <w:t>added</w:t>
      </w:r>
      <w:r w:rsidR="00D52FD0">
        <w:t xml:space="preserve"> </w:t>
      </w:r>
      <w:r w:rsidR="000A1AAE" w:rsidRPr="00857B1D">
        <w:t>no</w:t>
      </w:r>
      <w:r w:rsidR="00D52FD0">
        <w:t xml:space="preserve"> </w:t>
      </w:r>
      <w:r w:rsidR="000A1AAE" w:rsidRPr="00857B1D">
        <w:t>new</w:t>
      </w:r>
      <w:r w:rsidR="00D52FD0">
        <w:t xml:space="preserve"> </w:t>
      </w:r>
      <w:r w:rsidR="000A1AAE" w:rsidRPr="00857B1D">
        <w:t>burdens</w:t>
      </w:r>
      <w:r w:rsidR="00D52FD0">
        <w:t xml:space="preserve"> </w:t>
      </w:r>
      <w:r w:rsidR="000A1AAE" w:rsidRPr="00857B1D">
        <w:t>on</w:t>
      </w:r>
      <w:r w:rsidR="00D52FD0">
        <w:t xml:space="preserve"> </w:t>
      </w:r>
      <w:r w:rsidR="000A1AAE" w:rsidRPr="00857B1D">
        <w:t>journalists</w:t>
      </w:r>
      <w:r w:rsidR="00D52FD0">
        <w:t xml:space="preserve"> </w:t>
      </w:r>
      <w:r w:rsidR="000A1AAE" w:rsidRPr="00857B1D">
        <w:t>and</w:t>
      </w:r>
      <w:r w:rsidR="00D52FD0">
        <w:t xml:space="preserve"> </w:t>
      </w:r>
      <w:r w:rsidR="000A1AAE" w:rsidRPr="00857B1D">
        <w:t>owners</w:t>
      </w:r>
      <w:r w:rsidR="00D52FD0">
        <w:t xml:space="preserve"> </w:t>
      </w:r>
      <w:r w:rsidR="000A1AAE" w:rsidRPr="00857B1D">
        <w:t>of</w:t>
      </w:r>
      <w:r w:rsidR="00D52FD0">
        <w:t xml:space="preserve"> </w:t>
      </w:r>
      <w:r w:rsidR="000A1AAE" w:rsidRPr="00857B1D">
        <w:t>media</w:t>
      </w:r>
      <w:r w:rsidR="00D52FD0">
        <w:t xml:space="preserve"> </w:t>
      </w:r>
      <w:r w:rsidR="000A1AAE" w:rsidRPr="00857B1D">
        <w:t>houses</w:t>
      </w:r>
      <w:r w:rsidR="00D52FD0">
        <w:t xml:space="preserve"> </w:t>
      </w:r>
      <w:r w:rsidR="000A1AAE" w:rsidRPr="00857B1D">
        <w:t>in</w:t>
      </w:r>
      <w:r w:rsidR="00D52FD0">
        <w:t xml:space="preserve"> </w:t>
      </w:r>
      <w:r w:rsidR="000A1AAE" w:rsidRPr="00857B1D">
        <w:t>terms</w:t>
      </w:r>
      <w:r w:rsidR="00D52FD0">
        <w:t xml:space="preserve"> </w:t>
      </w:r>
      <w:r w:rsidR="000A1AAE" w:rsidRPr="00857B1D">
        <w:t>of</w:t>
      </w:r>
      <w:r w:rsidR="00D52FD0">
        <w:t xml:space="preserve"> </w:t>
      </w:r>
      <w:r w:rsidR="000A1AAE" w:rsidRPr="00857B1D">
        <w:t>civil</w:t>
      </w:r>
      <w:r w:rsidR="00D52FD0">
        <w:t xml:space="preserve"> </w:t>
      </w:r>
      <w:r w:rsidR="000A1AAE" w:rsidRPr="00857B1D">
        <w:t>libel</w:t>
      </w:r>
      <w:r w:rsidR="00D52FD0">
        <w:t xml:space="preserve"> </w:t>
      </w:r>
      <w:r w:rsidR="000A1AAE" w:rsidRPr="00857B1D">
        <w:t>damages.</w:t>
      </w:r>
      <w:r w:rsidR="00D52FD0">
        <w:t xml:space="preserve"> </w:t>
      </w:r>
      <w:r w:rsidR="000A1AAE" w:rsidRPr="00857B1D">
        <w:t>Apart</w:t>
      </w:r>
      <w:r w:rsidR="00D52FD0">
        <w:t xml:space="preserve"> </w:t>
      </w:r>
      <w:r w:rsidR="000A1AAE" w:rsidRPr="00857B1D">
        <w:t>from</w:t>
      </w:r>
      <w:r w:rsidR="00D52FD0">
        <w:t xml:space="preserve"> </w:t>
      </w:r>
      <w:r w:rsidR="000A1AAE" w:rsidRPr="00857B1D">
        <w:t>this,</w:t>
      </w:r>
      <w:r w:rsidR="00D52FD0">
        <w:t xml:space="preserve"> </w:t>
      </w:r>
      <w:r w:rsidR="000A1AAE" w:rsidRPr="00857B1D">
        <w:t>this</w:t>
      </w:r>
      <w:r w:rsidR="00D52FD0">
        <w:t xml:space="preserve"> </w:t>
      </w:r>
      <w:r w:rsidR="000A1AAE" w:rsidRPr="00857B1D">
        <w:t>Act</w:t>
      </w:r>
      <w:r w:rsidR="00D52FD0">
        <w:t xml:space="preserve"> </w:t>
      </w:r>
      <w:r w:rsidR="000A1AAE" w:rsidRPr="00857B1D">
        <w:t>does</w:t>
      </w:r>
      <w:r w:rsidR="00D52FD0">
        <w:t xml:space="preserve"> </w:t>
      </w:r>
      <w:r w:rsidR="000A1AAE" w:rsidRPr="00857B1D">
        <w:t>away</w:t>
      </w:r>
      <w:r w:rsidR="00D52FD0">
        <w:t xml:space="preserve"> </w:t>
      </w:r>
      <w:r w:rsidR="000A1AAE" w:rsidRPr="00857B1D">
        <w:t>with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filing</w:t>
      </w:r>
      <w:r w:rsidR="00D52FD0">
        <w:t xml:space="preserve"> </w:t>
      </w:r>
      <w:r w:rsidR="000A1AAE" w:rsidRPr="00857B1D">
        <w:t>of</w:t>
      </w:r>
      <w:r w:rsidR="00D52FD0">
        <w:t xml:space="preserve"> </w:t>
      </w:r>
      <w:r w:rsidR="000A1AAE" w:rsidRPr="00857B1D">
        <w:t>precautionary</w:t>
      </w:r>
      <w:r w:rsidR="00D52FD0">
        <w:t xml:space="preserve"> </w:t>
      </w:r>
      <w:r w:rsidR="000A1AAE" w:rsidRPr="00857B1D">
        <w:t>warrants</w:t>
      </w:r>
      <w:r w:rsidR="00D52FD0">
        <w:t xml:space="preserve"> </w:t>
      </w:r>
      <w:r w:rsidR="000A1AAE" w:rsidRPr="00857B1D">
        <w:t>against</w:t>
      </w:r>
      <w:r w:rsidR="00D52FD0">
        <w:t xml:space="preserve"> </w:t>
      </w:r>
      <w:r w:rsidR="000A1AAE" w:rsidRPr="00857B1D">
        <w:t>journalists</w:t>
      </w:r>
      <w:r w:rsidR="00D52FD0">
        <w:t xml:space="preserve"> </w:t>
      </w:r>
      <w:r w:rsidR="000A1AAE" w:rsidRPr="00857B1D">
        <w:t>and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filing</w:t>
      </w:r>
      <w:r w:rsidR="00D52FD0">
        <w:t xml:space="preserve"> </w:t>
      </w:r>
      <w:r w:rsidR="000A1AAE" w:rsidRPr="00857B1D">
        <w:t>of</w:t>
      </w:r>
      <w:r w:rsidR="00D52FD0">
        <w:t xml:space="preserve"> </w:t>
      </w:r>
      <w:r w:rsidR="000A1AAE" w:rsidRPr="00857B1D">
        <w:t>multiple</w:t>
      </w:r>
      <w:r w:rsidR="00D52FD0">
        <w:t xml:space="preserve"> </w:t>
      </w:r>
      <w:r w:rsidR="000A1AAE" w:rsidRPr="00857B1D">
        <w:t>lawsuits</w:t>
      </w:r>
      <w:r w:rsidR="00D52FD0">
        <w:t xml:space="preserve"> </w:t>
      </w:r>
      <w:r w:rsidR="000A1AAE" w:rsidRPr="00857B1D">
        <w:t>against</w:t>
      </w:r>
      <w:r w:rsidR="00D52FD0">
        <w:t xml:space="preserve"> </w:t>
      </w:r>
      <w:r w:rsidR="000A1AAE" w:rsidRPr="00857B1D">
        <w:t>a</w:t>
      </w:r>
      <w:r w:rsidR="00D52FD0">
        <w:t xml:space="preserve"> </w:t>
      </w:r>
      <w:r w:rsidR="000A1AAE" w:rsidRPr="00857B1D">
        <w:t>journalist</w:t>
      </w:r>
      <w:r w:rsidR="00D52FD0">
        <w:t xml:space="preserve"> </w:t>
      </w:r>
      <w:r w:rsidR="000A1AAE" w:rsidRPr="00857B1D">
        <w:t>on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same</w:t>
      </w:r>
      <w:r w:rsidR="00D52FD0">
        <w:t xml:space="preserve"> </w:t>
      </w:r>
      <w:r w:rsidR="000A1AAE" w:rsidRPr="00857B1D">
        <w:t>facts.</w:t>
      </w:r>
      <w:r w:rsidR="00D52FD0">
        <w:t xml:space="preserve"> </w:t>
      </w:r>
      <w:r w:rsidR="000A1AAE" w:rsidRPr="00857B1D">
        <w:t>Although</w:t>
      </w:r>
      <w:r w:rsidR="00D52FD0">
        <w:t xml:space="preserve"> </w:t>
      </w:r>
      <w:r w:rsidR="000A1AAE" w:rsidRPr="00857B1D">
        <w:t>our</w:t>
      </w:r>
      <w:r w:rsidR="00D52FD0">
        <w:t xml:space="preserve"> </w:t>
      </w:r>
      <w:r w:rsidR="000A1AAE" w:rsidRPr="00857B1D">
        <w:t>laws</w:t>
      </w:r>
      <w:r w:rsidR="00D52FD0">
        <w:t xml:space="preserve"> </w:t>
      </w:r>
      <w:r w:rsidR="000A1AAE" w:rsidRPr="00857B1D">
        <w:t>already</w:t>
      </w:r>
      <w:r w:rsidR="00D52FD0">
        <w:t xml:space="preserve"> </w:t>
      </w:r>
      <w:r w:rsidR="000A1AAE" w:rsidRPr="00857B1D">
        <w:t>have</w:t>
      </w:r>
      <w:r w:rsidR="00D52FD0">
        <w:t xml:space="preserve"> </w:t>
      </w:r>
      <w:r w:rsidR="000A1AAE" w:rsidRPr="00857B1D">
        <w:t>a</w:t>
      </w:r>
      <w:r w:rsidR="00D52FD0">
        <w:t xml:space="preserve"> </w:t>
      </w:r>
      <w:r w:rsidR="000A1AAE" w:rsidRPr="00857B1D">
        <w:t>number</w:t>
      </w:r>
      <w:r w:rsidR="00D52FD0">
        <w:t xml:space="preserve"> </w:t>
      </w:r>
      <w:r w:rsidR="000A1AAE" w:rsidRPr="00857B1D">
        <w:t>of</w:t>
      </w:r>
      <w:r w:rsidR="00D52FD0">
        <w:t xml:space="preserve"> </w:t>
      </w:r>
      <w:r w:rsidR="000A1AAE" w:rsidRPr="00857B1D">
        <w:t>appropriate</w:t>
      </w:r>
      <w:r w:rsidR="00D52FD0">
        <w:t xml:space="preserve"> </w:t>
      </w:r>
      <w:r w:rsidR="000A1AAE" w:rsidRPr="00857B1D">
        <w:t>safeguards,</w:t>
      </w:r>
      <w:r w:rsidR="00D52FD0">
        <w:t xml:space="preserve"> </w:t>
      </w:r>
      <w:r w:rsidR="000A1AAE" w:rsidRPr="00857B1D">
        <w:t>Malta</w:t>
      </w:r>
      <w:r w:rsidR="00D52FD0">
        <w:t xml:space="preserve"> </w:t>
      </w:r>
      <w:r w:rsidR="000A1AAE" w:rsidRPr="00857B1D">
        <w:t>is</w:t>
      </w:r>
      <w:r w:rsidR="00D52FD0">
        <w:t xml:space="preserve"> </w:t>
      </w:r>
      <w:r w:rsidR="000A1AAE" w:rsidRPr="00857B1D">
        <w:t>committed</w:t>
      </w:r>
      <w:r w:rsidR="00D52FD0">
        <w:t xml:space="preserve"> </w:t>
      </w:r>
      <w:r w:rsidR="000A1AAE" w:rsidRPr="00857B1D">
        <w:t>to</w:t>
      </w:r>
      <w:r w:rsidR="00D52FD0">
        <w:t xml:space="preserve"> </w:t>
      </w:r>
      <w:r w:rsidR="000A1AAE" w:rsidRPr="00857B1D">
        <w:t>be</w:t>
      </w:r>
      <w:r w:rsidR="00D52FD0">
        <w:t xml:space="preserve"> </w:t>
      </w:r>
      <w:r w:rsidR="000A1AAE" w:rsidRPr="00857B1D">
        <w:t>at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forefront</w:t>
      </w:r>
      <w:r w:rsidR="00D52FD0">
        <w:t xml:space="preserve"> </w:t>
      </w:r>
      <w:r w:rsidR="000A1AAE" w:rsidRPr="00857B1D">
        <w:t>of</w:t>
      </w:r>
      <w:r w:rsidR="00D52FD0">
        <w:t xml:space="preserve"> </w:t>
      </w:r>
      <w:r w:rsidR="000A1AAE" w:rsidRPr="00857B1D">
        <w:t>introducing</w:t>
      </w:r>
      <w:r w:rsidR="00D52FD0">
        <w:t xml:space="preserve"> </w:t>
      </w:r>
      <w:r w:rsidR="000A1AAE" w:rsidRPr="00857B1D">
        <w:t>specific</w:t>
      </w:r>
      <w:r w:rsidR="00D52FD0">
        <w:t xml:space="preserve"> </w:t>
      </w:r>
      <w:r w:rsidR="000A1AAE" w:rsidRPr="00857B1D">
        <w:t>anti-SLAPP</w:t>
      </w:r>
      <w:r w:rsidR="00D52FD0">
        <w:t xml:space="preserve"> </w:t>
      </w:r>
      <w:r w:rsidR="000A1AAE" w:rsidRPr="00857B1D">
        <w:t>legislation</w:t>
      </w:r>
      <w:r w:rsidR="00D52FD0">
        <w:t xml:space="preserve"> </w:t>
      </w:r>
      <w:r w:rsidR="000A1AAE" w:rsidRPr="00857B1D">
        <w:t>at</w:t>
      </w:r>
      <w:r w:rsidR="00D52FD0">
        <w:t xml:space="preserve"> </w:t>
      </w:r>
      <w:r w:rsidR="000A1AAE" w:rsidRPr="00857B1D">
        <w:t>national</w:t>
      </w:r>
      <w:r w:rsidR="00D52FD0">
        <w:t xml:space="preserve"> </w:t>
      </w:r>
      <w:r w:rsidR="000A1AAE" w:rsidRPr="00857B1D">
        <w:t>level</w:t>
      </w:r>
      <w:r w:rsidR="00D52FD0">
        <w:t xml:space="preserve"> </w:t>
      </w:r>
      <w:r w:rsidR="000A1AAE" w:rsidRPr="00857B1D">
        <w:t>to</w:t>
      </w:r>
      <w:r w:rsidR="00D52FD0">
        <w:t xml:space="preserve"> </w:t>
      </w:r>
      <w:r w:rsidR="000A1AAE" w:rsidRPr="00857B1D">
        <w:t>boost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adequacy</w:t>
      </w:r>
      <w:r w:rsidR="00D52FD0">
        <w:t xml:space="preserve"> </w:t>
      </w:r>
      <w:r w:rsidR="000A1AAE" w:rsidRPr="00857B1D">
        <w:t>of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existing</w:t>
      </w:r>
      <w:r w:rsidR="00D52FD0">
        <w:t xml:space="preserve"> </w:t>
      </w:r>
      <w:r w:rsidR="000A1AAE" w:rsidRPr="00857B1D">
        <w:t>legal</w:t>
      </w:r>
      <w:r w:rsidR="00D52FD0">
        <w:t xml:space="preserve"> </w:t>
      </w:r>
      <w:r w:rsidR="000A1AAE" w:rsidRPr="00857B1D">
        <w:t>framework.</w:t>
      </w:r>
      <w:r w:rsidR="00D52FD0">
        <w:t xml:space="preserve"> </w:t>
      </w:r>
      <w:r w:rsidR="000A1AAE" w:rsidRPr="00857B1D">
        <w:t>Malta</w:t>
      </w:r>
      <w:r w:rsidR="00D52FD0">
        <w:t xml:space="preserve"> </w:t>
      </w:r>
      <w:r w:rsidR="000A1AAE" w:rsidRPr="00857B1D">
        <w:t>is</w:t>
      </w:r>
      <w:r w:rsidR="00D52FD0">
        <w:t xml:space="preserve"> </w:t>
      </w:r>
      <w:r w:rsidR="000A1AAE" w:rsidRPr="00857B1D">
        <w:t>looking</w:t>
      </w:r>
      <w:r w:rsidR="00D52FD0">
        <w:t xml:space="preserve"> </w:t>
      </w:r>
      <w:r w:rsidR="000A1AAE" w:rsidRPr="00857B1D">
        <w:t>ahead</w:t>
      </w:r>
      <w:r w:rsidR="00D52FD0">
        <w:t xml:space="preserve"> </w:t>
      </w:r>
      <w:r w:rsidR="000A1AAE" w:rsidRPr="00857B1D">
        <w:t>to</w:t>
      </w:r>
      <w:r w:rsidR="00D52FD0">
        <w:t xml:space="preserve"> </w:t>
      </w:r>
      <w:r w:rsidR="000A1AAE" w:rsidRPr="00857B1D">
        <w:t>formalise</w:t>
      </w:r>
      <w:r w:rsidR="00D52FD0">
        <w:t xml:space="preserve"> </w:t>
      </w:r>
      <w:r w:rsidR="000A1AAE" w:rsidRPr="00857B1D">
        <w:t>legislative</w:t>
      </w:r>
      <w:r w:rsidR="00D52FD0">
        <w:t xml:space="preserve"> </w:t>
      </w:r>
      <w:r w:rsidR="000A1AAE" w:rsidRPr="00857B1D">
        <w:t>amendments</w:t>
      </w:r>
      <w:r w:rsidR="00D52FD0">
        <w:t xml:space="preserve"> </w:t>
      </w:r>
      <w:r w:rsidR="000A1AAE" w:rsidRPr="00857B1D">
        <w:t>to</w:t>
      </w:r>
      <w:r w:rsidR="00D52FD0">
        <w:t xml:space="preserve"> </w:t>
      </w:r>
      <w:r w:rsidR="000A1AAE" w:rsidRPr="00857B1D">
        <w:t>ensure</w:t>
      </w:r>
      <w:r w:rsidR="00D52FD0">
        <w:t xml:space="preserve"> </w:t>
      </w:r>
      <w:r w:rsidR="000A1AAE" w:rsidRPr="00857B1D">
        <w:t>that</w:t>
      </w:r>
      <w:r w:rsidR="00D52FD0">
        <w:t xml:space="preserve"> </w:t>
      </w:r>
      <w:r w:rsidR="000A1AAE" w:rsidRPr="00857B1D">
        <w:t>our</w:t>
      </w:r>
      <w:r w:rsidR="00D52FD0">
        <w:t xml:space="preserve"> </w:t>
      </w:r>
      <w:r w:rsidR="000A1AAE" w:rsidRPr="00857B1D">
        <w:t>journalists</w:t>
      </w:r>
      <w:r w:rsidR="00D52FD0">
        <w:t xml:space="preserve"> </w:t>
      </w:r>
      <w:r w:rsidR="000A1AAE" w:rsidRPr="00857B1D">
        <w:t>are</w:t>
      </w:r>
      <w:r w:rsidR="00D52FD0">
        <w:t xml:space="preserve"> </w:t>
      </w:r>
      <w:r w:rsidR="000A1AAE" w:rsidRPr="00857B1D">
        <w:t>protected</w:t>
      </w:r>
      <w:r w:rsidR="00D52FD0">
        <w:t xml:space="preserve"> </w:t>
      </w:r>
      <w:r w:rsidR="000A1AAE" w:rsidRPr="00857B1D">
        <w:t>and</w:t>
      </w:r>
      <w:r w:rsidR="00D52FD0">
        <w:t xml:space="preserve"> </w:t>
      </w:r>
      <w:r w:rsidR="000A1AAE" w:rsidRPr="00857B1D">
        <w:t>can</w:t>
      </w:r>
      <w:r w:rsidR="00D52FD0">
        <w:t xml:space="preserve"> </w:t>
      </w:r>
      <w:r w:rsidR="000A1AAE" w:rsidRPr="00857B1D">
        <w:t>work</w:t>
      </w:r>
      <w:r w:rsidR="00D52FD0">
        <w:t xml:space="preserve"> </w:t>
      </w:r>
      <w:r w:rsidR="000A1AAE" w:rsidRPr="00857B1D">
        <w:t>under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right</w:t>
      </w:r>
      <w:r w:rsidR="00D52FD0">
        <w:t xml:space="preserve"> </w:t>
      </w:r>
      <w:r w:rsidR="000A1AAE" w:rsidRPr="00857B1D">
        <w:t>conditions.</w:t>
      </w:r>
    </w:p>
    <w:p w14:paraId="4FB76FCE" w14:textId="056C5C74" w:rsidR="000A1AAE" w:rsidRPr="00857B1D" w:rsidRDefault="0044637E" w:rsidP="0044637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857B1D">
        <w:t>214.</w:t>
      </w:r>
      <w:r w:rsidRPr="00857B1D">
        <w:tab/>
      </w:r>
      <w:r w:rsidR="000A1AAE" w:rsidRPr="00857B1D">
        <w:t>Investigations</w:t>
      </w:r>
      <w:r w:rsidR="00D52FD0">
        <w:t xml:space="preserve"> </w:t>
      </w:r>
      <w:r w:rsidR="000A1AAE" w:rsidRPr="00857B1D">
        <w:t>of</w:t>
      </w:r>
      <w:r w:rsidR="00D52FD0">
        <w:t xml:space="preserve"> </w:t>
      </w:r>
      <w:r w:rsidR="000A1AAE" w:rsidRPr="00857B1D">
        <w:t>hate</w:t>
      </w:r>
      <w:r w:rsidR="00D52FD0">
        <w:t xml:space="preserve"> </w:t>
      </w:r>
      <w:r w:rsidR="000A1AAE" w:rsidRPr="00857B1D">
        <w:t>speech</w:t>
      </w:r>
      <w:r w:rsidR="00D52FD0">
        <w:t xml:space="preserve"> </w:t>
      </w:r>
      <w:r w:rsidR="000A1AAE" w:rsidRPr="00857B1D">
        <w:t>and</w:t>
      </w:r>
      <w:r w:rsidR="00D52FD0">
        <w:t xml:space="preserve"> </w:t>
      </w:r>
      <w:r w:rsidR="000A1AAE" w:rsidRPr="00857B1D">
        <w:t>hate</w:t>
      </w:r>
      <w:r w:rsidR="00D52FD0">
        <w:t xml:space="preserve"> </w:t>
      </w:r>
      <w:r w:rsidR="000A1AAE" w:rsidRPr="00857B1D">
        <w:t>crime</w:t>
      </w:r>
      <w:r w:rsidR="00D52FD0">
        <w:t xml:space="preserve"> </w:t>
      </w:r>
      <w:r w:rsidR="000A1AAE" w:rsidRPr="00857B1D">
        <w:t>against</w:t>
      </w:r>
      <w:r w:rsidR="00D52FD0">
        <w:t xml:space="preserve"> </w:t>
      </w:r>
      <w:r w:rsidR="000A1AAE" w:rsidRPr="00857B1D">
        <w:t>journalists</w:t>
      </w:r>
      <w:r w:rsidR="00D52FD0">
        <w:t xml:space="preserve"> </w:t>
      </w:r>
      <w:r w:rsidR="000A1AAE" w:rsidRPr="00857B1D">
        <w:t>have</w:t>
      </w:r>
      <w:r w:rsidR="00D52FD0">
        <w:t xml:space="preserve"> </w:t>
      </w:r>
      <w:r w:rsidR="000A1AAE" w:rsidRPr="00857B1D">
        <w:t>been</w:t>
      </w:r>
      <w:r w:rsidR="00D52FD0">
        <w:t xml:space="preserve"> </w:t>
      </w:r>
      <w:r w:rsidR="000A1AAE" w:rsidRPr="00857B1D">
        <w:t>assigned</w:t>
      </w:r>
      <w:r w:rsidR="00D52FD0">
        <w:t xml:space="preserve"> </w:t>
      </w:r>
      <w:r w:rsidR="000A1AAE" w:rsidRPr="00857B1D">
        <w:t>to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Vice</w:t>
      </w:r>
      <w:r w:rsidR="00D52FD0">
        <w:t xml:space="preserve"> </w:t>
      </w:r>
      <w:r w:rsidR="000A1AAE" w:rsidRPr="00857B1D">
        <w:t>Squad.</w:t>
      </w:r>
      <w:r w:rsidR="00D52FD0">
        <w:t xml:space="preserve"> </w:t>
      </w:r>
      <w:r w:rsidR="000A1AAE" w:rsidRPr="00857B1D">
        <w:t>Two</w:t>
      </w:r>
      <w:r w:rsidR="00D52FD0">
        <w:t xml:space="preserve"> </w:t>
      </w:r>
      <w:r w:rsidR="000A1AAE" w:rsidRPr="00857B1D">
        <w:t>additional</w:t>
      </w:r>
      <w:r w:rsidR="00D52FD0">
        <w:t xml:space="preserve"> </w:t>
      </w:r>
      <w:r w:rsidR="000A1AAE" w:rsidRPr="00857B1D">
        <w:t>investigative</w:t>
      </w:r>
      <w:r w:rsidR="00D52FD0">
        <w:t xml:space="preserve"> </w:t>
      </w:r>
      <w:r w:rsidR="000A1AAE" w:rsidRPr="00857B1D">
        <w:t>teams</w:t>
      </w:r>
      <w:r w:rsidR="00D52FD0">
        <w:t xml:space="preserve"> </w:t>
      </w:r>
      <w:r w:rsidR="000A1AAE" w:rsidRPr="00857B1D">
        <w:t>have</w:t>
      </w:r>
      <w:r w:rsidR="00D52FD0">
        <w:t xml:space="preserve"> </w:t>
      </w:r>
      <w:r w:rsidR="000A1AAE" w:rsidRPr="00857B1D">
        <w:t>been</w:t>
      </w:r>
      <w:r w:rsidR="00D52FD0">
        <w:t xml:space="preserve"> </w:t>
      </w:r>
      <w:r w:rsidR="000A1AAE" w:rsidRPr="00857B1D">
        <w:t>added</w:t>
      </w:r>
      <w:r w:rsidR="00D52FD0">
        <w:t xml:space="preserve"> </w:t>
      </w:r>
      <w:r w:rsidR="000A1AAE" w:rsidRPr="00857B1D">
        <w:t>to</w:t>
      </w:r>
      <w:r w:rsidR="00D52FD0">
        <w:t xml:space="preserve"> </w:t>
      </w:r>
      <w:r w:rsidR="000A1AAE" w:rsidRPr="00857B1D">
        <w:t>this</w:t>
      </w:r>
      <w:r w:rsidR="00D52FD0">
        <w:t xml:space="preserve"> </w:t>
      </w:r>
      <w:r w:rsidR="000A1AAE" w:rsidRPr="00857B1D">
        <w:t>Squad.</w:t>
      </w:r>
      <w:r w:rsidR="00D52FD0">
        <w:t xml:space="preserve"> </w:t>
      </w:r>
      <w:r w:rsidR="000A1AAE" w:rsidRPr="00857B1D">
        <w:t>Specialised</w:t>
      </w:r>
      <w:r w:rsidR="00D52FD0">
        <w:t xml:space="preserve"> </w:t>
      </w:r>
      <w:r w:rsidR="000A1AAE" w:rsidRPr="00857B1D">
        <w:t>training</w:t>
      </w:r>
      <w:r w:rsidR="00D52FD0">
        <w:t xml:space="preserve"> </w:t>
      </w:r>
      <w:r w:rsidR="000A1AAE" w:rsidRPr="00857B1D">
        <w:t>was</w:t>
      </w:r>
      <w:r w:rsidR="00D52FD0">
        <w:t xml:space="preserve"> </w:t>
      </w:r>
      <w:r w:rsidR="000A1AAE" w:rsidRPr="00857B1D">
        <w:t>delivered</w:t>
      </w:r>
      <w:r w:rsidR="00D52FD0">
        <w:t xml:space="preserve"> </w:t>
      </w:r>
      <w:r w:rsidR="000A1AAE" w:rsidRPr="00857B1D">
        <w:t>throughout</w:t>
      </w:r>
      <w:r w:rsidR="00D52FD0">
        <w:t xml:space="preserve"> </w:t>
      </w:r>
      <w:r w:rsidR="000A1AAE" w:rsidRPr="00857B1D">
        <w:t>to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officers</w:t>
      </w:r>
      <w:r w:rsidR="00D52FD0">
        <w:t xml:space="preserve"> </w:t>
      </w:r>
      <w:r w:rsidR="000A1AAE" w:rsidRPr="00857B1D">
        <w:t>regarding</w:t>
      </w:r>
      <w:r w:rsidR="00D52FD0">
        <w:t xml:space="preserve"> </w:t>
      </w:r>
      <w:r w:rsidR="000A1AAE" w:rsidRPr="00857B1D">
        <w:t>effective</w:t>
      </w:r>
      <w:r w:rsidR="00D52FD0">
        <w:t xml:space="preserve"> </w:t>
      </w:r>
      <w:r w:rsidR="000A1AAE" w:rsidRPr="00857B1D">
        <w:t>interaction</w:t>
      </w:r>
      <w:r w:rsidR="00D52FD0">
        <w:t xml:space="preserve"> </w:t>
      </w:r>
      <w:r w:rsidR="000A1AAE" w:rsidRPr="00857B1D">
        <w:t>with</w:t>
      </w:r>
      <w:r w:rsidR="00D52FD0">
        <w:t xml:space="preserve"> </w:t>
      </w:r>
      <w:r w:rsidR="000A1AAE" w:rsidRPr="00857B1D">
        <w:t>victims</w:t>
      </w:r>
      <w:r w:rsidR="00D52FD0">
        <w:t xml:space="preserve"> </w:t>
      </w:r>
      <w:r w:rsidR="000A1AAE" w:rsidRPr="00857B1D">
        <w:t>of</w:t>
      </w:r>
      <w:r w:rsidR="00D52FD0">
        <w:t xml:space="preserve"> </w:t>
      </w:r>
      <w:r w:rsidR="000A1AAE" w:rsidRPr="00857B1D">
        <w:t>hate</w:t>
      </w:r>
      <w:r w:rsidR="00D52FD0">
        <w:t xml:space="preserve"> </w:t>
      </w:r>
      <w:r w:rsidR="000A1AAE" w:rsidRPr="00857B1D">
        <w:t>crime</w:t>
      </w:r>
      <w:r w:rsidR="00D52FD0">
        <w:t xml:space="preserve"> </w:t>
      </w:r>
      <w:r w:rsidR="000A1AAE" w:rsidRPr="00857B1D">
        <w:t>upon</w:t>
      </w:r>
      <w:r w:rsidR="00D52FD0">
        <w:t xml:space="preserve"> </w:t>
      </w:r>
      <w:r w:rsidR="000A1AAE" w:rsidRPr="00857B1D">
        <w:t>first</w:t>
      </w:r>
      <w:r w:rsidR="00D52FD0">
        <w:t xml:space="preserve"> </w:t>
      </w:r>
      <w:r w:rsidR="000A1AAE" w:rsidRPr="00857B1D">
        <w:t>contact.</w:t>
      </w:r>
      <w:r w:rsidR="00D52FD0">
        <w:t xml:space="preserve"> </w:t>
      </w:r>
      <w:r w:rsidR="000A1AAE" w:rsidRPr="00857B1D">
        <w:t>A</w:t>
      </w:r>
      <w:r w:rsidR="00D52FD0">
        <w:t xml:space="preserve"> </w:t>
      </w:r>
      <w:r w:rsidR="000A1AAE" w:rsidRPr="00857B1D">
        <w:t>Victim</w:t>
      </w:r>
      <w:r w:rsidR="00D52FD0">
        <w:t xml:space="preserve"> </w:t>
      </w:r>
      <w:r w:rsidR="000A1AAE" w:rsidRPr="00857B1D">
        <w:t>Support</w:t>
      </w:r>
      <w:r w:rsidR="00D52FD0">
        <w:t xml:space="preserve"> </w:t>
      </w:r>
      <w:r w:rsidR="000A1AAE" w:rsidRPr="00857B1D">
        <w:t>Agency</w:t>
      </w:r>
      <w:r w:rsidR="00D52FD0">
        <w:t xml:space="preserve"> </w:t>
      </w:r>
      <w:r w:rsidR="000A1AAE" w:rsidRPr="00857B1D">
        <w:t>was</w:t>
      </w:r>
      <w:r w:rsidR="00D52FD0">
        <w:t xml:space="preserve"> </w:t>
      </w:r>
      <w:r w:rsidR="000A1AAE" w:rsidRPr="00857B1D">
        <w:t>launched</w:t>
      </w:r>
      <w:r w:rsidR="00D52FD0">
        <w:t xml:space="preserve"> </w:t>
      </w:r>
      <w:r w:rsidR="000A1AAE" w:rsidRPr="00857B1D">
        <w:t>in</w:t>
      </w:r>
      <w:r w:rsidR="00D52FD0">
        <w:t xml:space="preserve"> </w:t>
      </w:r>
      <w:r w:rsidR="000A1AAE" w:rsidRPr="00857B1D">
        <w:t>April</w:t>
      </w:r>
      <w:r w:rsidR="00D52FD0">
        <w:t xml:space="preserve"> </w:t>
      </w:r>
      <w:r w:rsidR="000A1AAE" w:rsidRPr="00857B1D">
        <w:t>2021</w:t>
      </w:r>
      <w:r w:rsidR="00D52FD0">
        <w:t xml:space="preserve"> </w:t>
      </w:r>
      <w:r w:rsidR="000A1AAE" w:rsidRPr="00857B1D">
        <w:t>and</w:t>
      </w:r>
      <w:r w:rsidR="00D52FD0">
        <w:t xml:space="preserve"> </w:t>
      </w:r>
      <w:r w:rsidR="000A1AAE" w:rsidRPr="00857B1D">
        <w:t>incorporates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services</w:t>
      </w:r>
      <w:r w:rsidR="00D52FD0">
        <w:t xml:space="preserve"> </w:t>
      </w:r>
      <w:r w:rsidR="000A1AAE" w:rsidRPr="00857B1D">
        <w:t>offered</w:t>
      </w:r>
      <w:r w:rsidR="00D52FD0">
        <w:t xml:space="preserve"> </w:t>
      </w:r>
      <w:r w:rsidR="000A1AAE" w:rsidRPr="00857B1D">
        <w:t>to</w:t>
      </w:r>
      <w:r w:rsidR="00D52FD0">
        <w:t xml:space="preserve"> </w:t>
      </w:r>
      <w:r w:rsidR="000A1AAE" w:rsidRPr="00857B1D">
        <w:t>victims</w:t>
      </w:r>
      <w:r w:rsidR="00D52FD0">
        <w:t xml:space="preserve"> </w:t>
      </w:r>
      <w:r w:rsidR="000A1AAE" w:rsidRPr="00857B1D">
        <w:t>of</w:t>
      </w:r>
      <w:r w:rsidR="00D52FD0">
        <w:t xml:space="preserve"> </w:t>
      </w:r>
      <w:r w:rsidR="000A1AAE" w:rsidRPr="00857B1D">
        <w:t>crime,</w:t>
      </w:r>
      <w:r w:rsidR="00D52FD0">
        <w:t xml:space="preserve"> </w:t>
      </w:r>
      <w:r w:rsidR="000A1AAE" w:rsidRPr="00857B1D">
        <w:t>while</w:t>
      </w:r>
      <w:r w:rsidR="00D52FD0">
        <w:t xml:space="preserve"> </w:t>
      </w:r>
      <w:r w:rsidR="000A1AAE" w:rsidRPr="00857B1D">
        <w:t>closely</w:t>
      </w:r>
      <w:r w:rsidR="00D52FD0">
        <w:t xml:space="preserve"> </w:t>
      </w:r>
      <w:r w:rsidR="000A1AAE" w:rsidRPr="00857B1D">
        <w:t>working</w:t>
      </w:r>
      <w:r w:rsidR="00D52FD0">
        <w:t xml:space="preserve"> </w:t>
      </w:r>
      <w:r w:rsidR="000A1AAE" w:rsidRPr="00857B1D">
        <w:t>with</w:t>
      </w:r>
      <w:r w:rsidR="00D52FD0">
        <w:t xml:space="preserve"> </w:t>
      </w:r>
      <w:r w:rsidR="000A1AAE" w:rsidRPr="00857B1D">
        <w:t>non-government</w:t>
      </w:r>
      <w:r w:rsidR="00D52FD0">
        <w:t xml:space="preserve"> </w:t>
      </w:r>
      <w:r w:rsidR="000A1AAE" w:rsidRPr="00857B1D">
        <w:t>organisations.</w:t>
      </w:r>
    </w:p>
    <w:p w14:paraId="7D8A5049" w14:textId="5DD31227" w:rsidR="000E4FD0" w:rsidRDefault="0044637E" w:rsidP="0044637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>
        <w:t>215.</w:t>
      </w:r>
      <w:r>
        <w:tab/>
      </w:r>
      <w:r w:rsidR="000A1AAE" w:rsidRPr="00857B1D">
        <w:t>Moreover,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Cyber</w:t>
      </w:r>
      <w:r w:rsidR="00D52FD0">
        <w:t xml:space="preserve"> </w:t>
      </w:r>
      <w:r w:rsidR="000A1AAE" w:rsidRPr="00857B1D">
        <w:t>Crime</w:t>
      </w:r>
      <w:r w:rsidR="00D52FD0">
        <w:t xml:space="preserve"> </w:t>
      </w:r>
      <w:r w:rsidR="000A1AAE" w:rsidRPr="00857B1D">
        <w:t>Unit</w:t>
      </w:r>
      <w:r w:rsidR="00D52FD0">
        <w:t xml:space="preserve"> </w:t>
      </w:r>
      <w:r w:rsidR="000A1AAE" w:rsidRPr="00857B1D">
        <w:t>within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Technical</w:t>
      </w:r>
      <w:r w:rsidR="00D52FD0">
        <w:t xml:space="preserve"> </w:t>
      </w:r>
      <w:r w:rsidR="000A1AAE" w:rsidRPr="00857B1D">
        <w:t>Support</w:t>
      </w:r>
      <w:r w:rsidR="00D52FD0">
        <w:t xml:space="preserve"> </w:t>
      </w:r>
      <w:r w:rsidR="000A1AAE" w:rsidRPr="00857B1D">
        <w:t>Department</w:t>
      </w:r>
      <w:r w:rsidR="00D52FD0">
        <w:t xml:space="preserve"> </w:t>
      </w:r>
      <w:r w:rsidR="000A1AAE" w:rsidRPr="00857B1D">
        <w:t>of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Malta</w:t>
      </w:r>
      <w:r w:rsidR="00D52FD0">
        <w:t xml:space="preserve"> </w:t>
      </w:r>
      <w:r w:rsidR="000A1AAE" w:rsidRPr="00857B1D">
        <w:t>Police</w:t>
      </w:r>
      <w:r w:rsidR="00D52FD0">
        <w:t xml:space="preserve"> </w:t>
      </w:r>
      <w:r w:rsidR="000A1AAE" w:rsidRPr="00857B1D">
        <w:t>Force</w:t>
      </w:r>
      <w:r w:rsidR="00D52FD0">
        <w:t xml:space="preserve"> </w:t>
      </w:r>
      <w:r w:rsidR="000A1AAE" w:rsidRPr="00857B1D">
        <w:t>provides</w:t>
      </w:r>
      <w:r w:rsidR="00D52FD0">
        <w:t xml:space="preserve"> </w:t>
      </w:r>
      <w:r w:rsidR="000A1AAE" w:rsidRPr="00857B1D">
        <w:t>technical</w:t>
      </w:r>
      <w:r w:rsidR="00D52FD0">
        <w:t xml:space="preserve"> </w:t>
      </w:r>
      <w:r w:rsidR="000A1AAE" w:rsidRPr="00857B1D">
        <w:t>assistance</w:t>
      </w:r>
      <w:r w:rsidR="00D52FD0">
        <w:t xml:space="preserve"> </w:t>
      </w:r>
      <w:r w:rsidR="000A1AAE" w:rsidRPr="00857B1D">
        <w:t>in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detection</w:t>
      </w:r>
      <w:r w:rsidR="00D52FD0">
        <w:t xml:space="preserve"> </w:t>
      </w:r>
      <w:r w:rsidR="000A1AAE" w:rsidRPr="00857B1D">
        <w:t>and</w:t>
      </w:r>
      <w:r w:rsidR="00D52FD0">
        <w:t xml:space="preserve"> </w:t>
      </w:r>
      <w:r w:rsidR="000A1AAE" w:rsidRPr="00857B1D">
        <w:t>investigation</w:t>
      </w:r>
      <w:r w:rsidR="00D52FD0">
        <w:t xml:space="preserve"> </w:t>
      </w:r>
      <w:r w:rsidR="000A1AAE" w:rsidRPr="00857B1D">
        <w:t>of</w:t>
      </w:r>
      <w:r w:rsidR="00D52FD0">
        <w:t xml:space="preserve"> </w:t>
      </w:r>
      <w:r w:rsidR="000A1AAE" w:rsidRPr="00857B1D">
        <w:t>crime</w:t>
      </w:r>
      <w:r w:rsidR="00D52FD0">
        <w:t xml:space="preserve"> </w:t>
      </w:r>
      <w:r w:rsidR="000A1AAE" w:rsidRPr="00857B1D">
        <w:t>involving</w:t>
      </w:r>
      <w:r w:rsidR="00D52FD0">
        <w:t xml:space="preserve"> </w:t>
      </w:r>
      <w:r w:rsidR="000A1AAE" w:rsidRPr="00857B1D">
        <w:t>digital</w:t>
      </w:r>
      <w:r w:rsidR="00D52FD0">
        <w:t xml:space="preserve"> </w:t>
      </w:r>
      <w:r w:rsidR="000A1AAE" w:rsidRPr="00857B1D">
        <w:t>technology.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Unit</w:t>
      </w:r>
      <w:r w:rsidR="00F14DA3">
        <w:t>’</w:t>
      </w:r>
      <w:r w:rsidR="000A1AAE" w:rsidRPr="00857B1D">
        <w:t>s</w:t>
      </w:r>
      <w:r w:rsidR="00D52FD0">
        <w:t xml:space="preserve"> </w:t>
      </w:r>
      <w:r w:rsidR="000A1AAE" w:rsidRPr="00857B1D">
        <w:t>involvement</w:t>
      </w:r>
      <w:r w:rsidR="00D52FD0">
        <w:t xml:space="preserve"> </w:t>
      </w:r>
      <w:r w:rsidR="000A1AAE" w:rsidRPr="00857B1D">
        <w:t>also</w:t>
      </w:r>
      <w:r w:rsidR="00D52FD0">
        <w:t xml:space="preserve"> </w:t>
      </w:r>
      <w:r w:rsidR="000A1AAE" w:rsidRPr="00857B1D">
        <w:t>extends</w:t>
      </w:r>
      <w:r w:rsidR="00D52FD0">
        <w:t xml:space="preserve"> </w:t>
      </w:r>
      <w:r w:rsidR="000A1AAE" w:rsidRPr="00857B1D">
        <w:t>to</w:t>
      </w:r>
      <w:r w:rsidR="00D52FD0">
        <w:t xml:space="preserve"> </w:t>
      </w:r>
      <w:r w:rsidR="000A1AAE" w:rsidRPr="00857B1D">
        <w:t>investigations</w:t>
      </w:r>
      <w:r w:rsidR="00D52FD0">
        <w:t xml:space="preserve"> </w:t>
      </w:r>
      <w:r w:rsidR="000A1AAE" w:rsidRPr="00857B1D">
        <w:t>such</w:t>
      </w:r>
      <w:r w:rsidR="00D52FD0">
        <w:t xml:space="preserve"> </w:t>
      </w:r>
      <w:r w:rsidR="000A1AAE" w:rsidRPr="00857B1D">
        <w:t>as</w:t>
      </w:r>
      <w:r w:rsidR="00D52FD0">
        <w:t xml:space="preserve"> </w:t>
      </w:r>
      <w:r w:rsidR="000A1AAE" w:rsidRPr="00857B1D">
        <w:t>fraud</w:t>
      </w:r>
      <w:r w:rsidR="00D52FD0">
        <w:t xml:space="preserve"> </w:t>
      </w:r>
      <w:r w:rsidR="000A1AAE" w:rsidRPr="00857B1D">
        <w:t>and</w:t>
      </w:r>
      <w:r w:rsidR="00D52FD0">
        <w:t xml:space="preserve"> </w:t>
      </w:r>
      <w:r w:rsidR="000A1AAE" w:rsidRPr="00857B1D">
        <w:t>threats.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Unit</w:t>
      </w:r>
      <w:r w:rsidR="00D52FD0">
        <w:t xml:space="preserve"> </w:t>
      </w:r>
      <w:r w:rsidR="000A1AAE" w:rsidRPr="00857B1D">
        <w:t>also</w:t>
      </w:r>
      <w:r w:rsidR="00D52FD0">
        <w:t xml:space="preserve"> </w:t>
      </w:r>
      <w:r w:rsidR="000A1AAE" w:rsidRPr="00857B1D">
        <w:t>analyses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digital</w:t>
      </w:r>
      <w:r w:rsidR="00D52FD0">
        <w:t xml:space="preserve"> </w:t>
      </w:r>
      <w:r w:rsidR="000A1AAE" w:rsidRPr="00857B1D">
        <w:t>evidence</w:t>
      </w:r>
      <w:r w:rsidR="00D52FD0">
        <w:t xml:space="preserve"> </w:t>
      </w:r>
      <w:r w:rsidR="000A1AAE" w:rsidRPr="00857B1D">
        <w:t>seized</w:t>
      </w:r>
      <w:r w:rsidR="00D52FD0">
        <w:t xml:space="preserve"> </w:t>
      </w:r>
      <w:r w:rsidR="000A1AAE" w:rsidRPr="00857B1D">
        <w:t>in</w:t>
      </w:r>
      <w:r w:rsidR="00D52FD0">
        <w:t xml:space="preserve"> </w:t>
      </w:r>
      <w:r w:rsidR="000A1AAE" w:rsidRPr="00857B1D">
        <w:t>connection</w:t>
      </w:r>
      <w:r w:rsidR="00D52FD0">
        <w:t xml:space="preserve"> </w:t>
      </w:r>
      <w:r w:rsidR="000A1AAE" w:rsidRPr="00857B1D">
        <w:t>with</w:t>
      </w:r>
      <w:r w:rsidR="00D52FD0">
        <w:t xml:space="preserve"> </w:t>
      </w:r>
      <w:r w:rsidR="000A1AAE" w:rsidRPr="00857B1D">
        <w:t>investigations</w:t>
      </w:r>
      <w:r w:rsidR="00D52FD0">
        <w:t xml:space="preserve"> </w:t>
      </w:r>
      <w:r w:rsidR="000A1AAE" w:rsidRPr="00857B1D">
        <w:t>as</w:t>
      </w:r>
      <w:r w:rsidR="00D52FD0">
        <w:t xml:space="preserve"> </w:t>
      </w:r>
      <w:r w:rsidR="000A1AAE" w:rsidRPr="00857B1D">
        <w:t>well</w:t>
      </w:r>
      <w:r w:rsidR="00D52FD0">
        <w:t xml:space="preserve"> </w:t>
      </w:r>
      <w:r w:rsidR="000A1AAE" w:rsidRPr="00857B1D">
        <w:t>as</w:t>
      </w:r>
      <w:r w:rsidR="00D52FD0">
        <w:t xml:space="preserve"> </w:t>
      </w:r>
      <w:r w:rsidR="000A1AAE" w:rsidRPr="00857B1D">
        <w:t>in</w:t>
      </w:r>
      <w:r w:rsidR="00D52FD0">
        <w:t xml:space="preserve"> </w:t>
      </w:r>
      <w:r w:rsidR="000A1AAE" w:rsidRPr="00857B1D">
        <w:t>identifying</w:t>
      </w:r>
      <w:r w:rsidR="00D52FD0">
        <w:t xml:space="preserve"> </w:t>
      </w:r>
      <w:r w:rsidR="000A1AAE" w:rsidRPr="00857B1D">
        <w:t>persons</w:t>
      </w:r>
      <w:r w:rsidR="00D52FD0">
        <w:t xml:space="preserve"> </w:t>
      </w:r>
      <w:r w:rsidR="000A1AAE" w:rsidRPr="00857B1D">
        <w:t>who</w:t>
      </w:r>
      <w:r w:rsidR="00D52FD0">
        <w:t xml:space="preserve"> </w:t>
      </w:r>
      <w:r w:rsidR="000A1AAE" w:rsidRPr="00857B1D">
        <w:t>are</w:t>
      </w:r>
      <w:r w:rsidR="00D52FD0">
        <w:t xml:space="preserve"> </w:t>
      </w:r>
      <w:r w:rsidR="000A1AAE" w:rsidRPr="00857B1D">
        <w:t>committing</w:t>
      </w:r>
      <w:r w:rsidR="00D52FD0">
        <w:t xml:space="preserve"> </w:t>
      </w:r>
      <w:r w:rsidR="000A1AAE" w:rsidRPr="00857B1D">
        <w:t>crimes</w:t>
      </w:r>
      <w:r w:rsidR="00D52FD0">
        <w:t xml:space="preserve"> </w:t>
      </w:r>
      <w:r w:rsidR="000A1AAE" w:rsidRPr="00857B1D">
        <w:t>over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internet.</w:t>
      </w:r>
      <w:r w:rsidR="00D52FD0">
        <w:t xml:space="preserve"> </w:t>
      </w:r>
      <w:r w:rsidR="000A1AAE" w:rsidRPr="00857B1D">
        <w:t>Any</w:t>
      </w:r>
      <w:r w:rsidR="00D52FD0">
        <w:t xml:space="preserve"> </w:t>
      </w:r>
      <w:r w:rsidR="000A1AAE" w:rsidRPr="00857B1D">
        <w:t>other</w:t>
      </w:r>
      <w:r w:rsidR="00D52FD0">
        <w:t xml:space="preserve"> </w:t>
      </w:r>
      <w:r w:rsidR="000A1AAE" w:rsidRPr="00857B1D">
        <w:t>threats</w:t>
      </w:r>
      <w:r w:rsidR="00D52FD0">
        <w:t xml:space="preserve"> </w:t>
      </w:r>
      <w:r w:rsidR="000A1AAE" w:rsidRPr="00857B1D">
        <w:t>reported</w:t>
      </w:r>
      <w:r w:rsidR="00D52FD0">
        <w:t xml:space="preserve"> </w:t>
      </w:r>
      <w:r w:rsidR="000A1AAE" w:rsidRPr="00857B1D">
        <w:t>to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Police</w:t>
      </w:r>
      <w:r w:rsidR="00D52FD0">
        <w:t xml:space="preserve"> </w:t>
      </w:r>
      <w:r w:rsidR="000A1AAE" w:rsidRPr="00857B1D">
        <w:t>are</w:t>
      </w:r>
      <w:r w:rsidR="00D52FD0">
        <w:t xml:space="preserve"> </w:t>
      </w:r>
      <w:r w:rsidR="000A1AAE" w:rsidRPr="00857B1D">
        <w:t>actioned</w:t>
      </w:r>
      <w:r w:rsidR="00D52FD0">
        <w:t xml:space="preserve"> </w:t>
      </w:r>
      <w:r w:rsidR="000A1AAE" w:rsidRPr="00857B1D">
        <w:t>immediately.</w:t>
      </w:r>
    </w:p>
    <w:p w14:paraId="4A801278" w14:textId="671DCE90" w:rsidR="000A1AAE" w:rsidRPr="00825CCA" w:rsidRDefault="000A1AAE" w:rsidP="00935045">
      <w:pPr>
        <w:pStyle w:val="H4G"/>
      </w:pPr>
      <w:r>
        <w:tab/>
      </w:r>
      <w:r>
        <w:tab/>
      </w:r>
      <w:r w:rsidRPr="00825CCA">
        <w:t>Daphne</w:t>
      </w:r>
      <w:r w:rsidR="00D52FD0">
        <w:t xml:space="preserve"> </w:t>
      </w:r>
      <w:r w:rsidRPr="00825CCA">
        <w:t>Caruana</w:t>
      </w:r>
      <w:r w:rsidR="00D52FD0">
        <w:t xml:space="preserve"> </w:t>
      </w:r>
      <w:r w:rsidRPr="00825CCA">
        <w:t>Galizia</w:t>
      </w:r>
    </w:p>
    <w:p w14:paraId="2E516E6B" w14:textId="676D0E86" w:rsidR="000A1AAE" w:rsidRPr="00857B1D" w:rsidRDefault="0044637E" w:rsidP="0044637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857B1D">
        <w:t>216.</w:t>
      </w:r>
      <w:r w:rsidRPr="00857B1D">
        <w:tab/>
      </w:r>
      <w:r w:rsidR="000A1AAE" w:rsidRPr="00857B1D">
        <w:t>A</w:t>
      </w:r>
      <w:r w:rsidR="00D52FD0">
        <w:t xml:space="preserve"> </w:t>
      </w:r>
      <w:r w:rsidR="000A1AAE" w:rsidRPr="00857B1D">
        <w:t>magisterial</w:t>
      </w:r>
      <w:r w:rsidR="00D52FD0">
        <w:t xml:space="preserve"> </w:t>
      </w:r>
      <w:r w:rsidR="000A1AAE" w:rsidRPr="00857B1D">
        <w:t>inquiry</w:t>
      </w:r>
      <w:r w:rsidR="00D52FD0">
        <w:t xml:space="preserve"> </w:t>
      </w:r>
      <w:r w:rsidR="000A1AAE" w:rsidRPr="00857B1D">
        <w:t>was</w:t>
      </w:r>
      <w:r w:rsidR="00D52FD0">
        <w:t xml:space="preserve"> </w:t>
      </w:r>
      <w:r w:rsidR="000A1AAE" w:rsidRPr="00857B1D">
        <w:t>initiated</w:t>
      </w:r>
      <w:r w:rsidR="00D52FD0">
        <w:t xml:space="preserve"> </w:t>
      </w:r>
      <w:r w:rsidR="000A1AAE" w:rsidRPr="00857B1D">
        <w:t>on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16th</w:t>
      </w:r>
      <w:r w:rsidR="00D52FD0">
        <w:t xml:space="preserve"> </w:t>
      </w:r>
      <w:r w:rsidR="000A1AAE" w:rsidRPr="00857B1D">
        <w:t>October</w:t>
      </w:r>
      <w:r w:rsidR="00D52FD0">
        <w:t xml:space="preserve"> </w:t>
      </w:r>
      <w:r w:rsidR="000A1AAE" w:rsidRPr="00857B1D">
        <w:t>2017,</w:t>
      </w:r>
      <w:r w:rsidR="00D52FD0">
        <w:t xml:space="preserve"> </w:t>
      </w:r>
      <w:r w:rsidR="000A1AAE" w:rsidRPr="00857B1D">
        <w:t>after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reporting</w:t>
      </w:r>
      <w:r w:rsidR="00D52FD0">
        <w:t xml:space="preserve"> </w:t>
      </w:r>
      <w:r w:rsidR="000A1AAE" w:rsidRPr="00857B1D">
        <w:t>of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murder</w:t>
      </w:r>
      <w:r w:rsidR="00D52FD0">
        <w:t xml:space="preserve"> </w:t>
      </w:r>
      <w:r w:rsidR="000A1AAE" w:rsidRPr="00857B1D">
        <w:t>of</w:t>
      </w:r>
      <w:r w:rsidR="00D52FD0">
        <w:t xml:space="preserve"> </w:t>
      </w:r>
      <w:r w:rsidR="000A1AAE" w:rsidRPr="00857B1D">
        <w:t>Daphne</w:t>
      </w:r>
      <w:r w:rsidR="00D52FD0">
        <w:t xml:space="preserve"> </w:t>
      </w:r>
      <w:r w:rsidR="000A1AAE" w:rsidRPr="00857B1D">
        <w:t>Caruana</w:t>
      </w:r>
      <w:r w:rsidR="00D52FD0">
        <w:t xml:space="preserve"> </w:t>
      </w:r>
      <w:r w:rsidR="000A1AAE" w:rsidRPr="00857B1D">
        <w:t>Galizia.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Magisterial</w:t>
      </w:r>
      <w:r w:rsidR="00D52FD0">
        <w:t xml:space="preserve"> </w:t>
      </w:r>
      <w:r w:rsidR="000A1AAE" w:rsidRPr="00857B1D">
        <w:t>Inquiry</w:t>
      </w:r>
      <w:r w:rsidR="00D52FD0">
        <w:t xml:space="preserve"> </w:t>
      </w:r>
      <w:r w:rsidR="000A1AAE" w:rsidRPr="00857B1D">
        <w:t>is</w:t>
      </w:r>
      <w:r w:rsidR="00D52FD0">
        <w:t xml:space="preserve"> </w:t>
      </w:r>
      <w:r w:rsidR="000A1AAE" w:rsidRPr="00857B1D">
        <w:t>still</w:t>
      </w:r>
      <w:r w:rsidR="00D52FD0">
        <w:t xml:space="preserve"> </w:t>
      </w:r>
      <w:r w:rsidR="000A1AAE" w:rsidRPr="00857B1D">
        <w:t>ongoing.</w:t>
      </w:r>
    </w:p>
    <w:p w14:paraId="605CDCC8" w14:textId="29095E22" w:rsidR="000E4FD0" w:rsidRDefault="0044637E" w:rsidP="0044637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>
        <w:t>217.</w:t>
      </w:r>
      <w:r>
        <w:tab/>
      </w:r>
      <w:r w:rsidR="000A1AAE" w:rsidRPr="00857B1D">
        <w:t>In</w:t>
      </w:r>
      <w:r w:rsidR="00D52FD0">
        <w:t xml:space="preserve"> </w:t>
      </w:r>
      <w:r w:rsidR="000A1AAE" w:rsidRPr="00857B1D">
        <w:t>December</w:t>
      </w:r>
      <w:r w:rsidR="00D52FD0">
        <w:t xml:space="preserve"> </w:t>
      </w:r>
      <w:r w:rsidR="000A1AAE" w:rsidRPr="00857B1D">
        <w:t>2017,</w:t>
      </w:r>
      <w:r w:rsidR="00D52FD0">
        <w:t xml:space="preserve"> </w:t>
      </w:r>
      <w:r w:rsidR="000A1AAE" w:rsidRPr="00857B1D">
        <w:t>three</w:t>
      </w:r>
      <w:r w:rsidR="00D52FD0">
        <w:t xml:space="preserve"> </w:t>
      </w:r>
      <w:r w:rsidR="000A1AAE" w:rsidRPr="00857B1D">
        <w:t>persons</w:t>
      </w:r>
      <w:r w:rsidR="00D52FD0">
        <w:t xml:space="preserve"> </w:t>
      </w:r>
      <w:r w:rsidR="000A1AAE" w:rsidRPr="00857B1D">
        <w:t>(George</w:t>
      </w:r>
      <w:r w:rsidR="00D52FD0">
        <w:t xml:space="preserve"> </w:t>
      </w:r>
      <w:r w:rsidR="000A1AAE" w:rsidRPr="00857B1D">
        <w:t>Degiorgio,</w:t>
      </w:r>
      <w:r w:rsidR="00D52FD0">
        <w:t xml:space="preserve"> </w:t>
      </w:r>
      <w:r w:rsidR="000A1AAE" w:rsidRPr="00857B1D">
        <w:t>Alfred</w:t>
      </w:r>
      <w:r w:rsidR="00D52FD0">
        <w:t xml:space="preserve"> </w:t>
      </w:r>
      <w:r w:rsidR="000A1AAE" w:rsidRPr="00857B1D">
        <w:t>Degiorgio</w:t>
      </w:r>
      <w:r w:rsidR="00D52FD0">
        <w:t xml:space="preserve"> </w:t>
      </w:r>
      <w:r w:rsidR="000A1AAE" w:rsidRPr="00857B1D">
        <w:t>and</w:t>
      </w:r>
      <w:r w:rsidR="00D52FD0">
        <w:t xml:space="preserve"> </w:t>
      </w:r>
      <w:r w:rsidR="000A1AAE" w:rsidRPr="00857B1D">
        <w:t>Vincent</w:t>
      </w:r>
      <w:r w:rsidR="00D52FD0">
        <w:t xml:space="preserve"> </w:t>
      </w:r>
      <w:r w:rsidR="000A1AAE" w:rsidRPr="00857B1D">
        <w:t>Muscat)</w:t>
      </w:r>
      <w:r w:rsidR="00D52FD0">
        <w:t xml:space="preserve"> </w:t>
      </w:r>
      <w:r w:rsidR="000A1AAE" w:rsidRPr="00857B1D">
        <w:t>were</w:t>
      </w:r>
      <w:r w:rsidR="00D52FD0">
        <w:t xml:space="preserve"> </w:t>
      </w:r>
      <w:r w:rsidR="000A1AAE" w:rsidRPr="00857B1D">
        <w:t>arraigned</w:t>
      </w:r>
      <w:r w:rsidR="00D52FD0">
        <w:t xml:space="preserve"> </w:t>
      </w:r>
      <w:r w:rsidR="000A1AAE" w:rsidRPr="00857B1D">
        <w:t>in</w:t>
      </w:r>
      <w:r w:rsidR="00D52FD0">
        <w:t xml:space="preserve"> </w:t>
      </w:r>
      <w:r w:rsidR="000A1AAE" w:rsidRPr="00857B1D">
        <w:t>court</w:t>
      </w:r>
      <w:r w:rsidR="00D52FD0">
        <w:t xml:space="preserve"> </w:t>
      </w:r>
      <w:r w:rsidR="000A1AAE" w:rsidRPr="00857B1D">
        <w:t>charged</w:t>
      </w:r>
      <w:r w:rsidR="00D52FD0">
        <w:t xml:space="preserve"> </w:t>
      </w:r>
      <w:r w:rsidR="000A1AAE" w:rsidRPr="00857B1D">
        <w:t>with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murder</w:t>
      </w:r>
      <w:r w:rsidR="00D52FD0">
        <w:t xml:space="preserve"> </w:t>
      </w:r>
      <w:r w:rsidR="000A1AAE" w:rsidRPr="00857B1D">
        <w:t>of</w:t>
      </w:r>
      <w:r w:rsidR="00D52FD0">
        <w:t xml:space="preserve"> </w:t>
      </w:r>
      <w:r w:rsidR="000A1AAE" w:rsidRPr="00857B1D">
        <w:t>Daphne</w:t>
      </w:r>
      <w:r w:rsidR="00D52FD0">
        <w:t xml:space="preserve"> </w:t>
      </w:r>
      <w:r w:rsidR="000A1AAE" w:rsidRPr="00857B1D">
        <w:t>Caruana</w:t>
      </w:r>
      <w:r w:rsidR="00D52FD0">
        <w:t xml:space="preserve"> </w:t>
      </w:r>
      <w:r w:rsidR="000A1AAE" w:rsidRPr="00857B1D">
        <w:t>Galizia.</w:t>
      </w:r>
      <w:r w:rsidR="00D52FD0">
        <w:t xml:space="preserve"> </w:t>
      </w:r>
      <w:r w:rsidR="000A1AAE" w:rsidRPr="00857B1D">
        <w:t>In</w:t>
      </w:r>
      <w:r w:rsidR="00D52FD0">
        <w:t xml:space="preserve"> </w:t>
      </w:r>
      <w:r w:rsidR="000A1AAE" w:rsidRPr="00857B1D">
        <w:t>2019,</w:t>
      </w:r>
      <w:r w:rsidR="00D52FD0">
        <w:t xml:space="preserve"> </w:t>
      </w:r>
      <w:r w:rsidR="000A1AAE" w:rsidRPr="00857B1D">
        <w:t>another</w:t>
      </w:r>
      <w:r w:rsidR="00D52FD0">
        <w:t xml:space="preserve"> </w:t>
      </w:r>
      <w:r w:rsidR="000A1AAE" w:rsidRPr="00857B1D">
        <w:t>person</w:t>
      </w:r>
      <w:r w:rsidR="00D52FD0">
        <w:t xml:space="preserve"> </w:t>
      </w:r>
      <w:r w:rsidR="000A1AAE" w:rsidRPr="00857B1D">
        <w:t>(Yorgen</w:t>
      </w:r>
      <w:r w:rsidR="00D52FD0">
        <w:t xml:space="preserve"> </w:t>
      </w:r>
      <w:r w:rsidR="000A1AAE" w:rsidRPr="00857B1D">
        <w:t>Fenech)</w:t>
      </w:r>
      <w:r w:rsidR="00D52FD0">
        <w:t xml:space="preserve"> </w:t>
      </w:r>
      <w:r w:rsidR="000A1AAE" w:rsidRPr="00857B1D">
        <w:t>was</w:t>
      </w:r>
      <w:r w:rsidR="00D52FD0">
        <w:t xml:space="preserve"> </w:t>
      </w:r>
      <w:r w:rsidR="000A1AAE" w:rsidRPr="00857B1D">
        <w:t>arraigned</w:t>
      </w:r>
      <w:r w:rsidR="00D52FD0">
        <w:t xml:space="preserve"> </w:t>
      </w:r>
      <w:r w:rsidR="000A1AAE" w:rsidRPr="00857B1D">
        <w:t>in</w:t>
      </w:r>
      <w:r w:rsidR="00D52FD0">
        <w:t xml:space="preserve"> </w:t>
      </w:r>
      <w:r w:rsidR="000A1AAE" w:rsidRPr="00857B1D">
        <w:t>court</w:t>
      </w:r>
      <w:r w:rsidR="00D52FD0">
        <w:t xml:space="preserve"> </w:t>
      </w:r>
      <w:r w:rsidR="000A1AAE" w:rsidRPr="00857B1D">
        <w:t>charged</w:t>
      </w:r>
      <w:r w:rsidR="00D52FD0">
        <w:t xml:space="preserve"> </w:t>
      </w:r>
      <w:r w:rsidR="000A1AAE" w:rsidRPr="00857B1D">
        <w:t>with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murder</w:t>
      </w:r>
      <w:r w:rsidR="00D52FD0">
        <w:t xml:space="preserve"> </w:t>
      </w:r>
      <w:r w:rsidR="000A1AAE" w:rsidRPr="00857B1D">
        <w:t>of</w:t>
      </w:r>
      <w:r w:rsidR="00D52FD0">
        <w:t xml:space="preserve"> </w:t>
      </w:r>
      <w:r w:rsidR="000A1AAE" w:rsidRPr="00857B1D">
        <w:t>Daphne</w:t>
      </w:r>
      <w:r w:rsidR="00D52FD0">
        <w:t xml:space="preserve"> </w:t>
      </w:r>
      <w:r w:rsidR="000A1AAE" w:rsidRPr="00857B1D">
        <w:t>Caruana</w:t>
      </w:r>
      <w:r w:rsidR="00D52FD0">
        <w:t xml:space="preserve"> </w:t>
      </w:r>
      <w:r w:rsidR="000A1AAE" w:rsidRPr="00857B1D">
        <w:t>Galizia.</w:t>
      </w:r>
    </w:p>
    <w:p w14:paraId="31C9ED51" w14:textId="3883881C" w:rsidR="000E4FD0" w:rsidRDefault="0044637E" w:rsidP="0044637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>
        <w:t>218.</w:t>
      </w:r>
      <w:r>
        <w:tab/>
      </w:r>
      <w:r w:rsidR="000A1AAE" w:rsidRPr="00857B1D">
        <w:t>Major</w:t>
      </w:r>
      <w:r w:rsidR="00D52FD0">
        <w:t xml:space="preserve"> </w:t>
      </w:r>
      <w:r w:rsidR="000A1AAE" w:rsidRPr="00857B1D">
        <w:t>developments</w:t>
      </w:r>
      <w:r w:rsidR="00D52FD0">
        <w:t xml:space="preserve"> </w:t>
      </w:r>
      <w:r w:rsidR="000A1AAE" w:rsidRPr="00857B1D">
        <w:t>took</w:t>
      </w:r>
      <w:r w:rsidR="00D52FD0">
        <w:t xml:space="preserve"> </w:t>
      </w:r>
      <w:r w:rsidR="000A1AAE" w:rsidRPr="00857B1D">
        <w:t>place</w:t>
      </w:r>
      <w:r w:rsidR="00D52FD0">
        <w:t xml:space="preserve"> </w:t>
      </w:r>
      <w:r w:rsidR="000A1AAE" w:rsidRPr="00857B1D">
        <w:t>recently</w:t>
      </w:r>
      <w:r w:rsidR="00D52FD0">
        <w:t xml:space="preserve"> </w:t>
      </w:r>
      <w:r w:rsidR="000A1AAE" w:rsidRPr="00857B1D">
        <w:t>in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investigations</w:t>
      </w:r>
      <w:r w:rsidR="00D52FD0">
        <w:t xml:space="preserve"> </w:t>
      </w:r>
      <w:r w:rsidR="000A1AAE" w:rsidRPr="00857B1D">
        <w:t>of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murder</w:t>
      </w:r>
      <w:r w:rsidR="00D52FD0">
        <w:t xml:space="preserve"> </w:t>
      </w:r>
      <w:r w:rsidR="000A1AAE" w:rsidRPr="00857B1D">
        <w:t>of</w:t>
      </w:r>
      <w:r w:rsidR="00D52FD0">
        <w:t xml:space="preserve"> </w:t>
      </w:r>
      <w:r w:rsidR="000A1AAE" w:rsidRPr="00857B1D">
        <w:t>Daphne</w:t>
      </w:r>
      <w:r w:rsidR="00D52FD0">
        <w:t xml:space="preserve"> </w:t>
      </w:r>
      <w:r w:rsidR="000A1AAE" w:rsidRPr="00857B1D">
        <w:t>Caruana</w:t>
      </w:r>
      <w:r w:rsidR="00D52FD0">
        <w:t xml:space="preserve"> </w:t>
      </w:r>
      <w:r w:rsidR="000A1AAE" w:rsidRPr="00857B1D">
        <w:t>Galizia.</w:t>
      </w:r>
      <w:r w:rsidR="00D52FD0">
        <w:t xml:space="preserve"> </w:t>
      </w:r>
      <w:r w:rsidR="000A1AAE" w:rsidRPr="00857B1D">
        <w:t>On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23</w:t>
      </w:r>
      <w:r w:rsidR="00D52FD0">
        <w:t xml:space="preserve"> </w:t>
      </w:r>
      <w:r w:rsidR="000A1AAE" w:rsidRPr="00857B1D">
        <w:t>February</w:t>
      </w:r>
      <w:r w:rsidR="00D52FD0">
        <w:t xml:space="preserve"> </w:t>
      </w:r>
      <w:r w:rsidR="000A1AAE" w:rsidRPr="00857B1D">
        <w:t>2021,</w:t>
      </w:r>
      <w:r w:rsidR="00D52FD0">
        <w:t xml:space="preserve"> </w:t>
      </w:r>
      <w:r w:rsidR="000A1AAE" w:rsidRPr="00857B1D">
        <w:t>Malta</w:t>
      </w:r>
      <w:r w:rsidR="00D52FD0">
        <w:t xml:space="preserve"> </w:t>
      </w:r>
      <w:r w:rsidR="000A1AAE" w:rsidRPr="00857B1D">
        <w:t>saw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first</w:t>
      </w:r>
      <w:r w:rsidR="00D52FD0">
        <w:t xml:space="preserve"> </w:t>
      </w:r>
      <w:r w:rsidR="000A1AAE" w:rsidRPr="00857B1D">
        <w:t>conviction</w:t>
      </w:r>
      <w:r w:rsidR="00D52FD0">
        <w:t xml:space="preserve"> </w:t>
      </w:r>
      <w:r w:rsidR="000A1AAE" w:rsidRPr="00857B1D">
        <w:t>relative</w:t>
      </w:r>
      <w:r w:rsidR="00D52FD0">
        <w:t xml:space="preserve"> </w:t>
      </w:r>
      <w:r w:rsidR="000A1AAE" w:rsidRPr="00857B1D">
        <w:t>to</w:t>
      </w:r>
      <w:r w:rsidR="00D52FD0">
        <w:t xml:space="preserve"> </w:t>
      </w:r>
      <w:r w:rsidR="000A1AAE" w:rsidRPr="00857B1D">
        <w:t>this</w:t>
      </w:r>
      <w:r w:rsidR="00D52FD0">
        <w:t xml:space="preserve"> </w:t>
      </w:r>
      <w:r w:rsidR="000A1AAE" w:rsidRPr="00857B1D">
        <w:t>murder,</w:t>
      </w:r>
      <w:r w:rsidR="00D52FD0">
        <w:t xml:space="preserve"> </w:t>
      </w:r>
      <w:r w:rsidR="000A1AAE" w:rsidRPr="00857B1D">
        <w:t>as</w:t>
      </w:r>
      <w:r w:rsidR="00D52FD0">
        <w:t xml:space="preserve"> </w:t>
      </w:r>
      <w:r w:rsidR="000A1AAE" w:rsidRPr="00857B1D">
        <w:t>Mr</w:t>
      </w:r>
      <w:r w:rsidR="00D52FD0">
        <w:t xml:space="preserve"> </w:t>
      </w:r>
      <w:r w:rsidR="000A1AAE" w:rsidRPr="00857B1D">
        <w:t>Vincent</w:t>
      </w:r>
      <w:r w:rsidR="00D52FD0">
        <w:t xml:space="preserve"> </w:t>
      </w:r>
      <w:r w:rsidR="000A1AAE" w:rsidRPr="00857B1D">
        <w:t>Muscat</w:t>
      </w:r>
      <w:r w:rsidR="00D52FD0">
        <w:t xml:space="preserve"> </w:t>
      </w:r>
      <w:r w:rsidR="000A1AAE" w:rsidRPr="00857B1D">
        <w:t>was</w:t>
      </w:r>
      <w:r w:rsidR="00D52FD0">
        <w:t xml:space="preserve"> </w:t>
      </w:r>
      <w:r w:rsidR="000A1AAE" w:rsidRPr="00857B1D">
        <w:t>found</w:t>
      </w:r>
      <w:r w:rsidR="00D52FD0">
        <w:t xml:space="preserve"> </w:t>
      </w:r>
      <w:r w:rsidR="000A1AAE" w:rsidRPr="00857B1D">
        <w:t>guilty</w:t>
      </w:r>
      <w:r w:rsidR="00D52FD0">
        <w:t xml:space="preserve"> </w:t>
      </w:r>
      <w:r w:rsidR="000A1AAE" w:rsidRPr="00857B1D">
        <w:t>and</w:t>
      </w:r>
      <w:r w:rsidR="00D52FD0">
        <w:t xml:space="preserve"> </w:t>
      </w:r>
      <w:r w:rsidR="000A1AAE" w:rsidRPr="00857B1D">
        <w:t>sentenced</w:t>
      </w:r>
      <w:r w:rsidR="00D52FD0">
        <w:t xml:space="preserve"> </w:t>
      </w:r>
      <w:r w:rsidR="000A1AAE" w:rsidRPr="00857B1D">
        <w:t>to</w:t>
      </w:r>
      <w:r w:rsidR="00D52FD0">
        <w:t xml:space="preserve"> </w:t>
      </w:r>
      <w:r w:rsidR="000A1AAE" w:rsidRPr="00857B1D">
        <w:t>fifteen</w:t>
      </w:r>
      <w:r w:rsidR="00D52FD0">
        <w:t xml:space="preserve"> </w:t>
      </w:r>
      <w:r w:rsidR="000A1AAE" w:rsidRPr="00857B1D">
        <w:t>years</w:t>
      </w:r>
      <w:r w:rsidR="00D52FD0">
        <w:t xml:space="preserve"> </w:t>
      </w:r>
      <w:r w:rsidR="000A1AAE" w:rsidRPr="00857B1D">
        <w:t>effective</w:t>
      </w:r>
      <w:r w:rsidR="00D52FD0">
        <w:t xml:space="preserve"> </w:t>
      </w:r>
      <w:r w:rsidR="000A1AAE" w:rsidRPr="00857B1D">
        <w:t>imprisonment</w:t>
      </w:r>
      <w:r w:rsidR="00D52FD0">
        <w:t xml:space="preserve"> </w:t>
      </w:r>
      <w:r w:rsidR="000A1AAE" w:rsidRPr="00857B1D">
        <w:t>and</w:t>
      </w:r>
      <w:r w:rsidR="00D52FD0">
        <w:t xml:space="preserve"> </w:t>
      </w:r>
      <w:r w:rsidR="000A1AAE" w:rsidRPr="00857B1D">
        <w:t>to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payment</w:t>
      </w:r>
      <w:r w:rsidR="00D52FD0">
        <w:t xml:space="preserve"> </w:t>
      </w:r>
      <w:r w:rsidR="000A1AAE" w:rsidRPr="00857B1D">
        <w:t>of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proceeds</w:t>
      </w:r>
      <w:r w:rsidR="00D52FD0">
        <w:t xml:space="preserve"> </w:t>
      </w:r>
      <w:r w:rsidR="000A1AAE" w:rsidRPr="00857B1D">
        <w:t>of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crime</w:t>
      </w:r>
      <w:r w:rsidR="00D52FD0">
        <w:t xml:space="preserve"> </w:t>
      </w:r>
      <w:r w:rsidR="000A1AAE" w:rsidRPr="00857B1D">
        <w:t>as</w:t>
      </w:r>
      <w:r w:rsidR="00D52FD0">
        <w:t xml:space="preserve"> </w:t>
      </w:r>
      <w:r w:rsidR="000A1AAE" w:rsidRPr="00857B1D">
        <w:t>well</w:t>
      </w:r>
      <w:r w:rsidR="00D52FD0">
        <w:t xml:space="preserve"> </w:t>
      </w:r>
      <w:r w:rsidR="000A1AAE" w:rsidRPr="00857B1D">
        <w:t>as</w:t>
      </w:r>
      <w:r w:rsidR="00D52FD0">
        <w:t xml:space="preserve"> </w:t>
      </w:r>
      <w:r w:rsidR="000A1AAE" w:rsidRPr="00857B1D">
        <w:t>his</w:t>
      </w:r>
      <w:r w:rsidR="00D52FD0">
        <w:t xml:space="preserve"> </w:t>
      </w:r>
      <w:r w:rsidR="000A1AAE" w:rsidRPr="00857B1D">
        <w:t>share</w:t>
      </w:r>
      <w:r w:rsidR="00D52FD0">
        <w:t xml:space="preserve"> </w:t>
      </w:r>
      <w:r w:rsidR="000A1AAE" w:rsidRPr="00857B1D">
        <w:t>of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court</w:t>
      </w:r>
      <w:r w:rsidR="00D52FD0">
        <w:t xml:space="preserve"> </w:t>
      </w:r>
      <w:r w:rsidR="000A1AAE" w:rsidRPr="00857B1D">
        <w:t>expenses.</w:t>
      </w:r>
    </w:p>
    <w:p w14:paraId="406E7952" w14:textId="0DB01E35" w:rsidR="000A1AAE" w:rsidRPr="00857B1D" w:rsidRDefault="0044637E" w:rsidP="0044637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857B1D">
        <w:lastRenderedPageBreak/>
        <w:t>219.</w:t>
      </w:r>
      <w:r w:rsidRPr="00857B1D">
        <w:tab/>
      </w:r>
      <w:r w:rsidR="000A1AAE" w:rsidRPr="00857B1D">
        <w:t>On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following</w:t>
      </w:r>
      <w:r w:rsidR="00D52FD0">
        <w:t xml:space="preserve"> </w:t>
      </w:r>
      <w:r w:rsidR="000A1AAE" w:rsidRPr="00857B1D">
        <w:t>day,</w:t>
      </w:r>
      <w:r w:rsidR="00D52FD0">
        <w:t xml:space="preserve"> </w:t>
      </w:r>
      <w:r w:rsidR="000A1AAE" w:rsidRPr="00857B1D">
        <w:t>24</w:t>
      </w:r>
      <w:r w:rsidR="00D52FD0">
        <w:t xml:space="preserve"> </w:t>
      </w:r>
      <w:r w:rsidR="000A1AAE" w:rsidRPr="00857B1D">
        <w:t>February</w:t>
      </w:r>
      <w:r w:rsidR="00D52FD0">
        <w:t xml:space="preserve"> </w:t>
      </w:r>
      <w:r w:rsidR="000A1AAE" w:rsidRPr="00857B1D">
        <w:t>2021</w:t>
      </w:r>
      <w:r w:rsidR="00D52FD0">
        <w:t xml:space="preserve"> </w:t>
      </w:r>
      <w:r w:rsidR="000A1AAE" w:rsidRPr="00857B1D">
        <w:t>two</w:t>
      </w:r>
      <w:r w:rsidR="00D52FD0">
        <w:t xml:space="preserve"> </w:t>
      </w:r>
      <w:r w:rsidR="000A1AAE" w:rsidRPr="00857B1D">
        <w:t>other</w:t>
      </w:r>
      <w:r w:rsidR="00D52FD0">
        <w:t xml:space="preserve"> </w:t>
      </w:r>
      <w:r w:rsidR="000A1AAE" w:rsidRPr="00857B1D">
        <w:t>persons</w:t>
      </w:r>
      <w:r w:rsidR="00D52FD0">
        <w:t xml:space="preserve"> </w:t>
      </w:r>
      <w:r w:rsidR="000A1AAE" w:rsidRPr="00857B1D">
        <w:t>(Robert</w:t>
      </w:r>
      <w:r w:rsidR="00D52FD0">
        <w:t xml:space="preserve"> </w:t>
      </w:r>
      <w:r w:rsidR="000A1AAE" w:rsidRPr="00857B1D">
        <w:t>Agius</w:t>
      </w:r>
      <w:r w:rsidR="00D52FD0">
        <w:t xml:space="preserve"> </w:t>
      </w:r>
      <w:r w:rsidR="000A1AAE" w:rsidRPr="00857B1D">
        <w:t>and</w:t>
      </w:r>
      <w:r w:rsidR="00D52FD0">
        <w:t xml:space="preserve"> </w:t>
      </w:r>
      <w:r w:rsidR="000A1AAE" w:rsidRPr="00857B1D">
        <w:t>Jamie</w:t>
      </w:r>
      <w:r w:rsidR="00D52FD0">
        <w:t xml:space="preserve"> </w:t>
      </w:r>
      <w:r w:rsidR="000A1AAE" w:rsidRPr="00857B1D">
        <w:t>Vella)</w:t>
      </w:r>
      <w:r w:rsidR="00D52FD0">
        <w:t xml:space="preserve"> </w:t>
      </w:r>
      <w:r w:rsidR="000A1AAE" w:rsidRPr="00857B1D">
        <w:t>were</w:t>
      </w:r>
      <w:r w:rsidR="00D52FD0">
        <w:t xml:space="preserve"> </w:t>
      </w:r>
      <w:r w:rsidR="000A1AAE" w:rsidRPr="00857B1D">
        <w:t>arraigned</w:t>
      </w:r>
      <w:r w:rsidR="00D52FD0">
        <w:t xml:space="preserve"> </w:t>
      </w:r>
      <w:r w:rsidR="000A1AAE" w:rsidRPr="00857B1D">
        <w:t>in</w:t>
      </w:r>
      <w:r w:rsidR="00D52FD0">
        <w:t xml:space="preserve"> </w:t>
      </w:r>
      <w:r w:rsidR="000A1AAE" w:rsidRPr="00857B1D">
        <w:t>court</w:t>
      </w:r>
      <w:r w:rsidR="00D52FD0">
        <w:t xml:space="preserve"> </w:t>
      </w:r>
      <w:r w:rsidR="000A1AAE" w:rsidRPr="00857B1D">
        <w:t>charged</w:t>
      </w:r>
      <w:r w:rsidR="00D52FD0">
        <w:t xml:space="preserve"> </w:t>
      </w:r>
      <w:r w:rsidR="000A1AAE" w:rsidRPr="00857B1D">
        <w:t>with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participation</w:t>
      </w:r>
      <w:r w:rsidR="00D52FD0">
        <w:t xml:space="preserve"> </w:t>
      </w:r>
      <w:r w:rsidR="000A1AAE" w:rsidRPr="00857B1D">
        <w:t>in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murder</w:t>
      </w:r>
      <w:r w:rsidR="00D52FD0">
        <w:t xml:space="preserve"> </w:t>
      </w:r>
      <w:r w:rsidR="000A1AAE" w:rsidRPr="00857B1D">
        <w:t>Daphne</w:t>
      </w:r>
      <w:r w:rsidR="00D52FD0">
        <w:t xml:space="preserve"> </w:t>
      </w:r>
      <w:r w:rsidR="000A1AAE" w:rsidRPr="00857B1D">
        <w:t>Caruana</w:t>
      </w:r>
      <w:r w:rsidR="00D52FD0">
        <w:t xml:space="preserve"> </w:t>
      </w:r>
      <w:r w:rsidR="000A1AAE" w:rsidRPr="00857B1D">
        <w:t>Galizia.</w:t>
      </w:r>
      <w:r w:rsidR="00D52FD0">
        <w:t xml:space="preserve"> </w:t>
      </w:r>
      <w:r w:rsidR="000A1AAE" w:rsidRPr="00857B1D">
        <w:t>Sittings</w:t>
      </w:r>
      <w:r w:rsidR="00D52FD0">
        <w:t xml:space="preserve"> </w:t>
      </w:r>
      <w:r w:rsidR="000A1AAE" w:rsidRPr="00857B1D">
        <w:t>are</w:t>
      </w:r>
      <w:r w:rsidR="00D52FD0">
        <w:t xml:space="preserve"> </w:t>
      </w:r>
      <w:r w:rsidR="000A1AAE" w:rsidRPr="00857B1D">
        <w:t>being</w:t>
      </w:r>
      <w:r w:rsidR="00D52FD0">
        <w:t xml:space="preserve"> </w:t>
      </w:r>
      <w:r w:rsidR="000A1AAE" w:rsidRPr="00857B1D">
        <w:t>held</w:t>
      </w:r>
      <w:r w:rsidR="00D52FD0">
        <w:t xml:space="preserve"> </w:t>
      </w:r>
      <w:r w:rsidR="000A1AAE" w:rsidRPr="00857B1D">
        <w:t>on</w:t>
      </w:r>
      <w:r w:rsidR="00D52FD0">
        <w:t xml:space="preserve"> </w:t>
      </w:r>
      <w:r w:rsidR="000A1AAE" w:rsidRPr="00857B1D">
        <w:t>a</w:t>
      </w:r>
      <w:r w:rsidR="00D52FD0">
        <w:t xml:space="preserve"> </w:t>
      </w:r>
      <w:r w:rsidR="000A1AAE" w:rsidRPr="00857B1D">
        <w:t>regular</w:t>
      </w:r>
      <w:r w:rsidR="00D52FD0">
        <w:t xml:space="preserve"> </w:t>
      </w:r>
      <w:r w:rsidR="000A1AAE" w:rsidRPr="00857B1D">
        <w:t>basis</w:t>
      </w:r>
      <w:r w:rsidR="00D52FD0">
        <w:t xml:space="preserve"> </w:t>
      </w:r>
      <w:r w:rsidR="000A1AAE" w:rsidRPr="00857B1D">
        <w:t>and</w:t>
      </w:r>
      <w:r w:rsidR="00D52FD0">
        <w:t xml:space="preserve"> </w:t>
      </w:r>
      <w:r w:rsidR="000A1AAE" w:rsidRPr="00857B1D">
        <w:t>evidence</w:t>
      </w:r>
      <w:r w:rsidR="00D52FD0">
        <w:t xml:space="preserve"> </w:t>
      </w:r>
      <w:r w:rsidR="000A1AAE" w:rsidRPr="00857B1D">
        <w:t>is</w:t>
      </w:r>
      <w:r w:rsidR="00D52FD0">
        <w:t xml:space="preserve"> </w:t>
      </w:r>
      <w:r w:rsidR="000A1AAE" w:rsidRPr="00857B1D">
        <w:t>being</w:t>
      </w:r>
      <w:r w:rsidR="00D52FD0">
        <w:t xml:space="preserve"> </w:t>
      </w:r>
      <w:r w:rsidR="000A1AAE" w:rsidRPr="00857B1D">
        <w:t>duly</w:t>
      </w:r>
      <w:r w:rsidR="00D52FD0">
        <w:t xml:space="preserve"> </w:t>
      </w:r>
      <w:r w:rsidR="000A1AAE" w:rsidRPr="00857B1D">
        <w:t>compiled.</w:t>
      </w:r>
    </w:p>
    <w:p w14:paraId="2517F914" w14:textId="0F215B16" w:rsidR="000E4FD0" w:rsidRDefault="0044637E" w:rsidP="0044637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>
        <w:t>220.</w:t>
      </w:r>
      <w:r>
        <w:tab/>
      </w:r>
      <w:r w:rsidR="000A1AAE" w:rsidRPr="00857B1D">
        <w:t>Moreover,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compilation</w:t>
      </w:r>
      <w:r w:rsidR="00D52FD0">
        <w:t xml:space="preserve"> </w:t>
      </w:r>
      <w:r w:rsidR="000A1AAE" w:rsidRPr="00857B1D">
        <w:t>of</w:t>
      </w:r>
      <w:r w:rsidR="00D52FD0">
        <w:t xml:space="preserve"> </w:t>
      </w:r>
      <w:r w:rsidR="000A1AAE" w:rsidRPr="00857B1D">
        <w:t>evidence</w:t>
      </w:r>
      <w:r w:rsidR="00D52FD0">
        <w:t xml:space="preserve"> </w:t>
      </w:r>
      <w:r w:rsidR="000A1AAE" w:rsidRPr="00857B1D">
        <w:t>against</w:t>
      </w:r>
      <w:r w:rsidR="00D52FD0">
        <w:t xml:space="preserve"> </w:t>
      </w:r>
      <w:r w:rsidR="000A1AAE" w:rsidRPr="00857B1D">
        <w:t>two</w:t>
      </w:r>
      <w:r w:rsidR="00D52FD0">
        <w:t xml:space="preserve"> </w:t>
      </w:r>
      <w:r w:rsidR="000A1AAE" w:rsidRPr="00857B1D">
        <w:t>other</w:t>
      </w:r>
      <w:r w:rsidR="00D52FD0">
        <w:t xml:space="preserve"> </w:t>
      </w:r>
      <w:r w:rsidR="000A1AAE" w:rsidRPr="00857B1D">
        <w:t>persons</w:t>
      </w:r>
      <w:r w:rsidR="00D52FD0">
        <w:t xml:space="preserve"> </w:t>
      </w:r>
      <w:r w:rsidR="000A1AAE" w:rsidRPr="00857B1D">
        <w:t>(George</w:t>
      </w:r>
      <w:r w:rsidR="00D52FD0">
        <w:t xml:space="preserve"> </w:t>
      </w:r>
      <w:r w:rsidR="000A1AAE" w:rsidRPr="00857B1D">
        <w:t>Degiorgio</w:t>
      </w:r>
      <w:r w:rsidR="00D52FD0">
        <w:t xml:space="preserve"> </w:t>
      </w:r>
      <w:r w:rsidR="000A1AAE" w:rsidRPr="00857B1D">
        <w:t>and</w:t>
      </w:r>
      <w:r w:rsidR="00D52FD0">
        <w:t xml:space="preserve"> </w:t>
      </w:r>
      <w:r w:rsidR="000A1AAE" w:rsidRPr="00857B1D">
        <w:t>Alfred</w:t>
      </w:r>
      <w:r w:rsidR="00D52FD0">
        <w:t xml:space="preserve"> </w:t>
      </w:r>
      <w:r w:rsidR="000A1AAE" w:rsidRPr="00857B1D">
        <w:t>Degiorgio)</w:t>
      </w:r>
      <w:r w:rsidR="00D52FD0">
        <w:t xml:space="preserve"> </w:t>
      </w:r>
      <w:r w:rsidR="000A1AAE" w:rsidRPr="00857B1D">
        <w:t>arraigned</w:t>
      </w:r>
      <w:r w:rsidR="00D52FD0">
        <w:t xml:space="preserve"> </w:t>
      </w:r>
      <w:r w:rsidR="000A1AAE" w:rsidRPr="00857B1D">
        <w:t>in</w:t>
      </w:r>
      <w:r w:rsidR="00D52FD0">
        <w:t xml:space="preserve"> </w:t>
      </w:r>
      <w:r w:rsidR="000A1AAE" w:rsidRPr="00857B1D">
        <w:t>2017</w:t>
      </w:r>
      <w:r w:rsidR="00D52FD0">
        <w:t xml:space="preserve"> </w:t>
      </w:r>
      <w:r w:rsidR="000A1AAE" w:rsidRPr="00857B1D">
        <w:t>relative</w:t>
      </w:r>
      <w:r w:rsidR="00D52FD0">
        <w:t xml:space="preserve"> </w:t>
      </w:r>
      <w:r w:rsidR="000A1AAE" w:rsidRPr="00857B1D">
        <w:t>to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murder</w:t>
      </w:r>
      <w:r w:rsidR="00D52FD0">
        <w:t xml:space="preserve"> </w:t>
      </w:r>
      <w:r w:rsidR="000A1AAE" w:rsidRPr="00857B1D">
        <w:t>of</w:t>
      </w:r>
      <w:r w:rsidR="00D52FD0">
        <w:t xml:space="preserve"> </w:t>
      </w:r>
      <w:r w:rsidR="000A1AAE" w:rsidRPr="00857B1D">
        <w:t>Daphne</w:t>
      </w:r>
      <w:r w:rsidR="00D52FD0">
        <w:t xml:space="preserve"> </w:t>
      </w:r>
      <w:r w:rsidR="000A1AAE" w:rsidRPr="00857B1D">
        <w:t>Caruana</w:t>
      </w:r>
      <w:r w:rsidR="00D52FD0">
        <w:t xml:space="preserve"> </w:t>
      </w:r>
      <w:r w:rsidR="000A1AAE" w:rsidRPr="00857B1D">
        <w:t>Galizia</w:t>
      </w:r>
      <w:r w:rsidR="00D52FD0">
        <w:t xml:space="preserve"> </w:t>
      </w:r>
      <w:r w:rsidR="000A1AAE" w:rsidRPr="00857B1D">
        <w:t>was</w:t>
      </w:r>
      <w:r w:rsidR="00D52FD0">
        <w:t xml:space="preserve"> </w:t>
      </w:r>
      <w:r w:rsidR="000A1AAE" w:rsidRPr="00857B1D">
        <w:t>concluded</w:t>
      </w:r>
      <w:r w:rsidR="00D52FD0">
        <w:t xml:space="preserve"> </w:t>
      </w:r>
      <w:r w:rsidR="000A1AAE" w:rsidRPr="00857B1D">
        <w:t>with</w:t>
      </w:r>
      <w:r w:rsidR="00D52FD0">
        <w:t xml:space="preserve"> </w:t>
      </w:r>
      <w:r w:rsidR="000A1AAE" w:rsidRPr="00857B1D">
        <w:t>a</w:t>
      </w:r>
      <w:r w:rsidR="00D52FD0">
        <w:t xml:space="preserve"> </w:t>
      </w:r>
      <w:r w:rsidR="000A1AAE" w:rsidRPr="00857B1D">
        <w:t>formal</w:t>
      </w:r>
      <w:r w:rsidR="00D52FD0">
        <w:t xml:space="preserve"> </w:t>
      </w:r>
      <w:r w:rsidR="000A1AAE" w:rsidRPr="00857B1D">
        <w:t>Bill</w:t>
      </w:r>
      <w:r w:rsidR="00D52FD0">
        <w:t xml:space="preserve"> </w:t>
      </w:r>
      <w:r w:rsidR="000A1AAE" w:rsidRPr="00857B1D">
        <w:t>of</w:t>
      </w:r>
      <w:r w:rsidR="00D52FD0">
        <w:t xml:space="preserve"> </w:t>
      </w:r>
      <w:r w:rsidR="000A1AAE" w:rsidRPr="00857B1D">
        <w:t>Indictment</w:t>
      </w:r>
      <w:r w:rsidR="00D52FD0">
        <w:t xml:space="preserve"> </w:t>
      </w:r>
      <w:r w:rsidR="000A1AAE" w:rsidRPr="00857B1D">
        <w:t>filed</w:t>
      </w:r>
      <w:r w:rsidR="00D52FD0">
        <w:t xml:space="preserve"> </w:t>
      </w:r>
      <w:r w:rsidR="000A1AAE" w:rsidRPr="00857B1D">
        <w:t>on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16th</w:t>
      </w:r>
      <w:r w:rsidR="00D52FD0">
        <w:t xml:space="preserve"> </w:t>
      </w:r>
      <w:r w:rsidR="000A1AAE" w:rsidRPr="00857B1D">
        <w:t>July</w:t>
      </w:r>
      <w:r w:rsidR="00D52FD0">
        <w:t xml:space="preserve"> </w:t>
      </w:r>
      <w:r w:rsidR="000A1AAE" w:rsidRPr="00857B1D">
        <w:t>2019.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Criminal</w:t>
      </w:r>
      <w:r w:rsidR="00D52FD0">
        <w:t xml:space="preserve"> </w:t>
      </w:r>
      <w:r w:rsidR="000A1AAE" w:rsidRPr="00857B1D">
        <w:t>Court</w:t>
      </w:r>
      <w:r w:rsidR="00D52FD0">
        <w:t xml:space="preserve"> </w:t>
      </w:r>
      <w:r w:rsidR="000A1AAE" w:rsidRPr="00857B1D">
        <w:t>by</w:t>
      </w:r>
      <w:r w:rsidR="00D52FD0">
        <w:t xml:space="preserve"> </w:t>
      </w:r>
      <w:r w:rsidR="000A1AAE" w:rsidRPr="00857B1D">
        <w:t>means</w:t>
      </w:r>
      <w:r w:rsidR="00D52FD0">
        <w:t xml:space="preserve"> </w:t>
      </w:r>
      <w:r w:rsidR="000A1AAE" w:rsidRPr="00857B1D">
        <w:t>of</w:t>
      </w:r>
      <w:r w:rsidR="00D52FD0">
        <w:t xml:space="preserve"> </w:t>
      </w:r>
      <w:r w:rsidR="000A1AAE" w:rsidRPr="00857B1D">
        <w:t>its</w:t>
      </w:r>
      <w:r w:rsidR="00D52FD0">
        <w:t xml:space="preserve"> </w:t>
      </w:r>
      <w:r w:rsidR="000A1AAE" w:rsidRPr="00857B1D">
        <w:t>judgment</w:t>
      </w:r>
      <w:r w:rsidR="00D52FD0">
        <w:t xml:space="preserve"> </w:t>
      </w:r>
      <w:r w:rsidR="000A1AAE" w:rsidRPr="00857B1D">
        <w:t>of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30th</w:t>
      </w:r>
      <w:r w:rsidR="00D52FD0">
        <w:t xml:space="preserve"> </w:t>
      </w:r>
      <w:r w:rsidR="000A1AAE" w:rsidRPr="00857B1D">
        <w:t>October</w:t>
      </w:r>
      <w:r w:rsidR="00D52FD0">
        <w:t xml:space="preserve"> </w:t>
      </w:r>
      <w:r w:rsidR="000A1AAE" w:rsidRPr="00857B1D">
        <w:t>2020</w:t>
      </w:r>
      <w:r w:rsidR="00D52FD0">
        <w:t xml:space="preserve"> </w:t>
      </w:r>
      <w:r w:rsidR="000A1AAE" w:rsidRPr="00857B1D">
        <w:t>rejected</w:t>
      </w:r>
      <w:r w:rsidR="00D52FD0">
        <w:t xml:space="preserve"> </w:t>
      </w:r>
      <w:r w:rsidR="000A1AAE" w:rsidRPr="00857B1D">
        <w:t>all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preliminary</w:t>
      </w:r>
      <w:r w:rsidR="00D52FD0">
        <w:t xml:space="preserve"> </w:t>
      </w:r>
      <w:r w:rsidR="000A1AAE" w:rsidRPr="00857B1D">
        <w:t>pleas</w:t>
      </w:r>
      <w:r w:rsidR="00D52FD0">
        <w:t xml:space="preserve"> </w:t>
      </w:r>
      <w:r w:rsidR="000A1AAE" w:rsidRPr="00857B1D">
        <w:t>filed</w:t>
      </w:r>
      <w:r w:rsidR="00D52FD0">
        <w:t xml:space="preserve"> </w:t>
      </w:r>
      <w:r w:rsidR="000A1AAE" w:rsidRPr="00857B1D">
        <w:t>by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accused</w:t>
      </w:r>
      <w:r w:rsidR="00D52FD0">
        <w:t xml:space="preserve"> </w:t>
      </w:r>
      <w:r w:rsidR="000A1AAE" w:rsidRPr="00857B1D">
        <w:t>persons.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accused</w:t>
      </w:r>
      <w:r w:rsidR="00D52FD0">
        <w:t xml:space="preserve"> </w:t>
      </w:r>
      <w:r w:rsidR="000A1AAE" w:rsidRPr="00857B1D">
        <w:t>filed</w:t>
      </w:r>
      <w:r w:rsidR="00D52FD0">
        <w:t xml:space="preserve"> </w:t>
      </w:r>
      <w:r w:rsidR="000A1AAE" w:rsidRPr="00857B1D">
        <w:t>an</w:t>
      </w:r>
      <w:r w:rsidR="00D52FD0">
        <w:t xml:space="preserve"> </w:t>
      </w:r>
      <w:r w:rsidR="000A1AAE" w:rsidRPr="00857B1D">
        <w:t>appeal</w:t>
      </w:r>
      <w:r w:rsidR="00D52FD0">
        <w:t xml:space="preserve"> </w:t>
      </w:r>
      <w:r w:rsidR="000A1AAE" w:rsidRPr="00857B1D">
        <w:t>from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said</w:t>
      </w:r>
      <w:r w:rsidR="00D52FD0">
        <w:t xml:space="preserve"> </w:t>
      </w:r>
      <w:r w:rsidR="000A1AAE" w:rsidRPr="00857B1D">
        <w:t>judgment</w:t>
      </w:r>
      <w:r w:rsidR="00D52FD0">
        <w:t xml:space="preserve"> </w:t>
      </w:r>
      <w:r w:rsidR="000A1AAE" w:rsidRPr="00857B1D">
        <w:t>before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Court</w:t>
      </w:r>
      <w:r w:rsidR="00D52FD0">
        <w:t xml:space="preserve"> </w:t>
      </w:r>
      <w:r w:rsidR="000A1AAE" w:rsidRPr="00857B1D">
        <w:t>of</w:t>
      </w:r>
      <w:r w:rsidR="00D52FD0">
        <w:t xml:space="preserve"> </w:t>
      </w:r>
      <w:r w:rsidR="000A1AAE" w:rsidRPr="00857B1D">
        <w:t>Criminal</w:t>
      </w:r>
      <w:r w:rsidR="00D52FD0">
        <w:t xml:space="preserve"> </w:t>
      </w:r>
      <w:r w:rsidR="000A1AAE" w:rsidRPr="00857B1D">
        <w:t>Appeal</w:t>
      </w:r>
      <w:r w:rsidR="00D52FD0">
        <w:t xml:space="preserve"> </w:t>
      </w:r>
      <w:r w:rsidR="000A1AAE" w:rsidRPr="00857B1D">
        <w:t>which</w:t>
      </w:r>
      <w:r w:rsidR="00D52FD0">
        <w:t xml:space="preserve"> </w:t>
      </w:r>
      <w:r w:rsidR="000A1AAE" w:rsidRPr="00857B1D">
        <w:t>appeal</w:t>
      </w:r>
      <w:r w:rsidR="00D52FD0">
        <w:t xml:space="preserve"> </w:t>
      </w:r>
      <w:r w:rsidR="000A1AAE" w:rsidRPr="00857B1D">
        <w:t>was</w:t>
      </w:r>
      <w:r w:rsidR="00D52FD0">
        <w:t xml:space="preserve"> </w:t>
      </w:r>
      <w:r w:rsidR="000A1AAE" w:rsidRPr="00857B1D">
        <w:t>decided</w:t>
      </w:r>
      <w:r w:rsidR="00D52FD0">
        <w:t xml:space="preserve"> </w:t>
      </w:r>
      <w:r w:rsidR="000A1AAE" w:rsidRPr="00857B1D">
        <w:t>on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22nd</w:t>
      </w:r>
      <w:r w:rsidR="00D52FD0">
        <w:t xml:space="preserve"> </w:t>
      </w:r>
      <w:r w:rsidR="000A1AAE" w:rsidRPr="00857B1D">
        <w:t>September</w:t>
      </w:r>
      <w:r w:rsidR="00D52FD0">
        <w:t xml:space="preserve"> </w:t>
      </w:r>
      <w:r w:rsidR="000A1AAE" w:rsidRPr="00857B1D">
        <w:t>2021.</w:t>
      </w:r>
      <w:r w:rsidR="00D52FD0">
        <w:t xml:space="preserve"> </w:t>
      </w:r>
      <w:r w:rsidR="000A1AAE" w:rsidRPr="00857B1D">
        <w:t>Since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Court</w:t>
      </w:r>
      <w:r w:rsidR="00D52FD0">
        <w:t xml:space="preserve"> </w:t>
      </w:r>
      <w:r w:rsidR="000A1AAE" w:rsidRPr="00857B1D">
        <w:t>of</w:t>
      </w:r>
      <w:r w:rsidR="00D52FD0">
        <w:t xml:space="preserve"> </w:t>
      </w:r>
      <w:r w:rsidR="000A1AAE" w:rsidRPr="00857B1D">
        <w:t>Criminal</w:t>
      </w:r>
      <w:r w:rsidR="00D52FD0">
        <w:t xml:space="preserve"> </w:t>
      </w:r>
      <w:r w:rsidR="000A1AAE" w:rsidRPr="00857B1D">
        <w:t>Appeal</w:t>
      </w:r>
      <w:r w:rsidR="00D52FD0">
        <w:t xml:space="preserve"> </w:t>
      </w:r>
      <w:r w:rsidR="000A1AAE" w:rsidRPr="00857B1D">
        <w:t>delivered</w:t>
      </w:r>
      <w:r w:rsidR="00D52FD0">
        <w:t xml:space="preserve"> </w:t>
      </w:r>
      <w:r w:rsidR="000A1AAE" w:rsidRPr="00857B1D">
        <w:t>its</w:t>
      </w:r>
      <w:r w:rsidR="00D52FD0">
        <w:t xml:space="preserve"> </w:t>
      </w:r>
      <w:r w:rsidR="000A1AAE" w:rsidRPr="00857B1D">
        <w:t>judgment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trial</w:t>
      </w:r>
      <w:r w:rsidR="00D52FD0">
        <w:t xml:space="preserve"> </w:t>
      </w:r>
      <w:r w:rsidR="000A1AAE" w:rsidRPr="00857B1D">
        <w:t>by</w:t>
      </w:r>
      <w:r w:rsidR="00D52FD0">
        <w:t xml:space="preserve"> </w:t>
      </w:r>
      <w:r w:rsidR="000A1AAE" w:rsidRPr="00857B1D">
        <w:t>jury</w:t>
      </w:r>
      <w:r w:rsidR="00D52FD0">
        <w:t xml:space="preserve"> </w:t>
      </w:r>
      <w:r w:rsidR="000A1AAE" w:rsidRPr="00857B1D">
        <w:t>can</w:t>
      </w:r>
      <w:r w:rsidR="00D52FD0">
        <w:t xml:space="preserve"> </w:t>
      </w:r>
      <w:r w:rsidR="000A1AAE" w:rsidRPr="00857B1D">
        <w:t>now</w:t>
      </w:r>
      <w:r w:rsidR="00D52FD0">
        <w:t xml:space="preserve"> </w:t>
      </w:r>
      <w:r w:rsidR="000A1AAE" w:rsidRPr="00857B1D">
        <w:t>be</w:t>
      </w:r>
      <w:r w:rsidR="00D52FD0">
        <w:t xml:space="preserve"> </w:t>
      </w:r>
      <w:r w:rsidR="000A1AAE" w:rsidRPr="00857B1D">
        <w:t>appointed</w:t>
      </w:r>
      <w:r w:rsidR="00D52FD0">
        <w:t xml:space="preserve"> </w:t>
      </w:r>
      <w:r w:rsidR="000A1AAE" w:rsidRPr="00857B1D">
        <w:t>for</w:t>
      </w:r>
      <w:r w:rsidR="00D52FD0">
        <w:t xml:space="preserve"> </w:t>
      </w:r>
      <w:r w:rsidR="000A1AAE" w:rsidRPr="00857B1D">
        <w:t>hearing.</w:t>
      </w:r>
    </w:p>
    <w:p w14:paraId="1D1D180F" w14:textId="4DF37020" w:rsidR="000A1AAE" w:rsidRPr="00857B1D" w:rsidRDefault="0044637E" w:rsidP="0044637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857B1D">
        <w:t>221.</w:t>
      </w:r>
      <w:r w:rsidRPr="00857B1D">
        <w:tab/>
      </w:r>
      <w:r w:rsidR="000A1AAE" w:rsidRPr="00857B1D">
        <w:t>On</w:t>
      </w:r>
      <w:r w:rsidR="00D52FD0">
        <w:t xml:space="preserve"> </w:t>
      </w:r>
      <w:r w:rsidR="000A1AAE" w:rsidRPr="00857B1D">
        <w:t>18th</w:t>
      </w:r>
      <w:r w:rsidR="00D52FD0">
        <w:t xml:space="preserve"> </w:t>
      </w:r>
      <w:r w:rsidR="000A1AAE" w:rsidRPr="00857B1D">
        <w:t>August</w:t>
      </w:r>
      <w:r w:rsidR="00D52FD0">
        <w:t xml:space="preserve"> </w:t>
      </w:r>
      <w:r w:rsidR="000A1AAE" w:rsidRPr="00857B1D">
        <w:t>2021,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compilation</w:t>
      </w:r>
      <w:r w:rsidR="00D52FD0">
        <w:t xml:space="preserve"> </w:t>
      </w:r>
      <w:r w:rsidR="000A1AAE" w:rsidRPr="00857B1D">
        <w:t>of</w:t>
      </w:r>
      <w:r w:rsidR="00D52FD0">
        <w:t xml:space="preserve"> </w:t>
      </w:r>
      <w:r w:rsidR="000A1AAE" w:rsidRPr="00857B1D">
        <w:t>evidence</w:t>
      </w:r>
      <w:r w:rsidR="00D52FD0">
        <w:t xml:space="preserve"> </w:t>
      </w:r>
      <w:r w:rsidR="000A1AAE" w:rsidRPr="00857B1D">
        <w:t>against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alleged</w:t>
      </w:r>
      <w:r w:rsidR="00D52FD0">
        <w:t xml:space="preserve"> </w:t>
      </w:r>
      <w:r w:rsidR="000A1AAE" w:rsidRPr="00857B1D">
        <w:t>mastermind</w:t>
      </w:r>
      <w:r w:rsidR="00D52FD0">
        <w:t xml:space="preserve"> </w:t>
      </w:r>
      <w:r w:rsidR="000A1AAE" w:rsidRPr="00857B1D">
        <w:t>(Yorgen</w:t>
      </w:r>
      <w:r w:rsidR="00D52FD0">
        <w:t xml:space="preserve"> </w:t>
      </w:r>
      <w:r w:rsidR="000A1AAE" w:rsidRPr="00857B1D">
        <w:t>Fenech)</w:t>
      </w:r>
      <w:r w:rsidR="00D52FD0">
        <w:t xml:space="preserve"> </w:t>
      </w:r>
      <w:r w:rsidR="000A1AAE" w:rsidRPr="00857B1D">
        <w:t>was</w:t>
      </w:r>
      <w:r w:rsidR="00D52FD0">
        <w:t xml:space="preserve"> </w:t>
      </w:r>
      <w:r w:rsidR="000A1AAE" w:rsidRPr="00857B1D">
        <w:t>concluded,</w:t>
      </w:r>
      <w:r w:rsidR="00D52FD0">
        <w:t xml:space="preserve"> </w:t>
      </w:r>
      <w:r w:rsidR="000A1AAE" w:rsidRPr="00857B1D">
        <w:t>resulting</w:t>
      </w:r>
      <w:r w:rsidR="00D52FD0">
        <w:t xml:space="preserve"> </w:t>
      </w:r>
      <w:r w:rsidR="000A1AAE" w:rsidRPr="00857B1D">
        <w:t>in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indictment</w:t>
      </w:r>
      <w:r w:rsidR="00D52FD0">
        <w:t xml:space="preserve"> </w:t>
      </w:r>
      <w:r w:rsidR="000A1AAE" w:rsidRPr="00857B1D">
        <w:t>of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individual,</w:t>
      </w:r>
      <w:r w:rsidR="00D52FD0">
        <w:t xml:space="preserve"> </w:t>
      </w:r>
      <w:r w:rsidR="000A1AAE" w:rsidRPr="00857B1D">
        <w:t>who</w:t>
      </w:r>
      <w:r w:rsidR="00D52FD0">
        <w:t xml:space="preserve"> </w:t>
      </w:r>
      <w:r w:rsidR="000A1AAE" w:rsidRPr="00857B1D">
        <w:t>will</w:t>
      </w:r>
      <w:r w:rsidR="00D52FD0">
        <w:t xml:space="preserve"> </w:t>
      </w:r>
      <w:r w:rsidR="000A1AAE" w:rsidRPr="00857B1D">
        <w:t>face</w:t>
      </w:r>
      <w:r w:rsidR="00D52FD0">
        <w:t xml:space="preserve"> </w:t>
      </w:r>
      <w:r w:rsidR="000A1AAE" w:rsidRPr="00857B1D">
        <w:t>trial</w:t>
      </w:r>
      <w:r w:rsidR="00D52FD0">
        <w:t xml:space="preserve"> </w:t>
      </w:r>
      <w:r w:rsidR="000A1AAE" w:rsidRPr="00857B1D">
        <w:t>by</w:t>
      </w:r>
      <w:r w:rsidR="00D52FD0">
        <w:t xml:space="preserve"> </w:t>
      </w:r>
      <w:r w:rsidR="000A1AAE" w:rsidRPr="00857B1D">
        <w:t>jury.</w:t>
      </w:r>
      <w:r w:rsidR="00D52FD0">
        <w:t xml:space="preserve"> </w:t>
      </w:r>
      <w:r w:rsidR="000A1AAE" w:rsidRPr="00857B1D">
        <w:t>This</w:t>
      </w:r>
      <w:r w:rsidR="00D52FD0">
        <w:t xml:space="preserve"> </w:t>
      </w:r>
      <w:r w:rsidR="000A1AAE" w:rsidRPr="00857B1D">
        <w:t>follows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previous</w:t>
      </w:r>
      <w:r w:rsidR="00D52FD0">
        <w:t xml:space="preserve"> </w:t>
      </w:r>
      <w:r w:rsidR="000A1AAE" w:rsidRPr="00857B1D">
        <w:t>developments</w:t>
      </w:r>
      <w:r w:rsidR="00D52FD0">
        <w:t xml:space="preserve"> </w:t>
      </w:r>
      <w:r w:rsidR="000A1AAE" w:rsidRPr="00857B1D">
        <w:t>in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case</w:t>
      </w:r>
      <w:r w:rsidR="00D52FD0">
        <w:t xml:space="preserve"> </w:t>
      </w:r>
      <w:r w:rsidR="000A1AAE" w:rsidRPr="00857B1D">
        <w:t>earlier</w:t>
      </w:r>
      <w:r w:rsidR="00D52FD0">
        <w:t xml:space="preserve"> </w:t>
      </w:r>
      <w:r w:rsidR="000A1AAE" w:rsidRPr="00857B1D">
        <w:t>this</w:t>
      </w:r>
      <w:r w:rsidR="00D52FD0">
        <w:t xml:space="preserve"> </w:t>
      </w:r>
      <w:r w:rsidR="000A1AAE" w:rsidRPr="00857B1D">
        <w:t>year.</w:t>
      </w:r>
    </w:p>
    <w:p w14:paraId="60D8F433" w14:textId="4DB904A1" w:rsidR="000E4FD0" w:rsidRDefault="0044637E" w:rsidP="0044637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>
        <w:t>222.</w:t>
      </w:r>
      <w:r>
        <w:tab/>
      </w:r>
      <w:r w:rsidR="000A1AAE" w:rsidRPr="00857B1D">
        <w:t>The</w:t>
      </w:r>
      <w:r w:rsidR="00D52FD0">
        <w:t xml:space="preserve"> </w:t>
      </w:r>
      <w:r w:rsidR="000A1AAE" w:rsidRPr="00857B1D">
        <w:t>recent</w:t>
      </w:r>
      <w:r w:rsidR="00D52FD0">
        <w:t xml:space="preserve"> </w:t>
      </w:r>
      <w:r w:rsidR="000A1AAE" w:rsidRPr="00857B1D">
        <w:t>developments</w:t>
      </w:r>
      <w:r w:rsidR="00D52FD0">
        <w:t xml:space="preserve"> </w:t>
      </w:r>
      <w:r w:rsidR="000A1AAE" w:rsidRPr="00857B1D">
        <w:t>in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Daphne</w:t>
      </w:r>
      <w:r w:rsidR="00D52FD0">
        <w:t xml:space="preserve"> </w:t>
      </w:r>
      <w:r w:rsidR="000A1AAE" w:rsidRPr="00857B1D">
        <w:t>Carauana</w:t>
      </w:r>
      <w:r w:rsidR="00D52FD0">
        <w:t xml:space="preserve"> </w:t>
      </w:r>
      <w:r w:rsidR="000A1AAE" w:rsidRPr="00857B1D">
        <w:t>Galizia</w:t>
      </w:r>
      <w:r w:rsidR="00D52FD0">
        <w:t xml:space="preserve"> </w:t>
      </w:r>
      <w:r w:rsidR="000A1AAE" w:rsidRPr="00857B1D">
        <w:t>murder</w:t>
      </w:r>
      <w:r w:rsidR="00D52FD0">
        <w:t xml:space="preserve"> </w:t>
      </w:r>
      <w:r w:rsidR="000A1AAE" w:rsidRPr="00857B1D">
        <w:t>case</w:t>
      </w:r>
      <w:r w:rsidR="00D52FD0">
        <w:t xml:space="preserve"> </w:t>
      </w:r>
      <w:r w:rsidR="000A1AAE" w:rsidRPr="00857B1D">
        <w:t>are</w:t>
      </w:r>
      <w:r w:rsidR="00D52FD0">
        <w:t xml:space="preserve"> </w:t>
      </w:r>
      <w:r w:rsidR="000A1AAE" w:rsidRPr="00857B1D">
        <w:t>important</w:t>
      </w:r>
      <w:r w:rsidR="00D52FD0">
        <w:t xml:space="preserve"> </w:t>
      </w:r>
      <w:r w:rsidR="000A1AAE" w:rsidRPr="00857B1D">
        <w:t>milestones,</w:t>
      </w:r>
      <w:r w:rsidR="00D52FD0">
        <w:t xml:space="preserve"> </w:t>
      </w:r>
      <w:r w:rsidR="000A1AAE" w:rsidRPr="00857B1D">
        <w:t>bringing</w:t>
      </w:r>
      <w:r w:rsidR="00D52FD0">
        <w:t xml:space="preserve"> </w:t>
      </w:r>
      <w:r w:rsidR="000A1AAE" w:rsidRPr="00857B1D">
        <w:t>us</w:t>
      </w:r>
      <w:r w:rsidR="00D52FD0">
        <w:t xml:space="preserve"> </w:t>
      </w:r>
      <w:r w:rsidR="000A1AAE" w:rsidRPr="00857B1D">
        <w:t>closer</w:t>
      </w:r>
      <w:r w:rsidR="00D52FD0">
        <w:t xml:space="preserve"> </w:t>
      </w:r>
      <w:r w:rsidR="000A1AAE" w:rsidRPr="00857B1D">
        <w:t>towards</w:t>
      </w:r>
      <w:r w:rsidR="00D52FD0">
        <w:t xml:space="preserve"> </w:t>
      </w:r>
      <w:r w:rsidR="000A1AAE" w:rsidRPr="00857B1D">
        <w:t>achieving</w:t>
      </w:r>
      <w:r w:rsidR="00D52FD0">
        <w:t xml:space="preserve"> </w:t>
      </w:r>
      <w:r w:rsidR="000A1AAE" w:rsidRPr="00857B1D">
        <w:t>justice.</w:t>
      </w:r>
      <w:r w:rsidR="00D52FD0">
        <w:t xml:space="preserve"> </w:t>
      </w:r>
      <w:r w:rsidR="000A1AAE" w:rsidRPr="00857B1D">
        <w:t>Malta</w:t>
      </w:r>
      <w:r w:rsidR="00D52FD0">
        <w:t xml:space="preserve"> </w:t>
      </w:r>
      <w:r w:rsidR="000A1AAE" w:rsidRPr="00857B1D">
        <w:t>remains</w:t>
      </w:r>
      <w:r w:rsidR="00D52FD0">
        <w:t xml:space="preserve"> </w:t>
      </w:r>
      <w:r w:rsidR="000A1AAE" w:rsidRPr="00857B1D">
        <w:t>determined</w:t>
      </w:r>
      <w:r w:rsidR="00D52FD0">
        <w:t xml:space="preserve"> </w:t>
      </w:r>
      <w:r w:rsidR="000A1AAE" w:rsidRPr="00857B1D">
        <w:t>in</w:t>
      </w:r>
      <w:r w:rsidR="00D52FD0">
        <w:t xml:space="preserve"> </w:t>
      </w:r>
      <w:r w:rsidR="000A1AAE" w:rsidRPr="00857B1D">
        <w:t>taking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necessary</w:t>
      </w:r>
      <w:r w:rsidR="00D52FD0">
        <w:t xml:space="preserve"> </w:t>
      </w:r>
      <w:r w:rsidR="000A1AAE" w:rsidRPr="00857B1D">
        <w:t>steps,</w:t>
      </w:r>
      <w:r w:rsidR="00D52FD0">
        <w:t xml:space="preserve"> </w:t>
      </w:r>
      <w:r w:rsidR="000A1AAE" w:rsidRPr="00857B1D">
        <w:t>to</w:t>
      </w:r>
      <w:r w:rsidR="00D52FD0">
        <w:t xml:space="preserve"> </w:t>
      </w:r>
      <w:r w:rsidR="000A1AAE" w:rsidRPr="00857B1D">
        <w:t>ensure</w:t>
      </w:r>
      <w:r w:rsidR="00D52FD0">
        <w:t xml:space="preserve"> </w:t>
      </w:r>
      <w:r w:rsidR="000A1AAE" w:rsidRPr="00857B1D">
        <w:t>that</w:t>
      </w:r>
      <w:r w:rsidR="00D52FD0">
        <w:t xml:space="preserve"> </w:t>
      </w:r>
      <w:r w:rsidR="000A1AAE" w:rsidRPr="00857B1D">
        <w:t>justice</w:t>
      </w:r>
      <w:r w:rsidR="00D52FD0">
        <w:t xml:space="preserve"> </w:t>
      </w:r>
      <w:r w:rsidR="000A1AAE" w:rsidRPr="00857B1D">
        <w:t>is</w:t>
      </w:r>
      <w:r w:rsidR="00D52FD0">
        <w:t xml:space="preserve"> </w:t>
      </w:r>
      <w:r w:rsidR="000A1AAE" w:rsidRPr="00857B1D">
        <w:t>served,</w:t>
      </w:r>
      <w:r w:rsidR="00D52FD0">
        <w:t xml:space="preserve"> </w:t>
      </w:r>
      <w:r w:rsidR="000A1AAE" w:rsidRPr="00857B1D">
        <w:t>and</w:t>
      </w:r>
      <w:r w:rsidR="00D52FD0">
        <w:t xml:space="preserve"> </w:t>
      </w:r>
      <w:r w:rsidR="000A1AAE" w:rsidRPr="00857B1D">
        <w:t>to</w:t>
      </w:r>
      <w:r w:rsidR="00D52FD0">
        <w:t xml:space="preserve"> </w:t>
      </w:r>
      <w:r w:rsidR="000A1AAE" w:rsidRPr="00857B1D">
        <w:t>deter</w:t>
      </w:r>
      <w:r w:rsidR="00D52FD0">
        <w:t xml:space="preserve"> </w:t>
      </w:r>
      <w:r w:rsidR="000A1AAE" w:rsidRPr="00857B1D">
        <w:t>any</w:t>
      </w:r>
      <w:r w:rsidR="00D52FD0">
        <w:t xml:space="preserve"> </w:t>
      </w:r>
      <w:r w:rsidR="000A1AAE" w:rsidRPr="00857B1D">
        <w:t>possible</w:t>
      </w:r>
      <w:r w:rsidR="00D52FD0">
        <w:t xml:space="preserve"> </w:t>
      </w:r>
      <w:r w:rsidR="000A1AAE" w:rsidRPr="00857B1D">
        <w:t>future</w:t>
      </w:r>
      <w:r w:rsidR="00D52FD0">
        <w:t xml:space="preserve"> </w:t>
      </w:r>
      <w:r w:rsidR="000A1AAE" w:rsidRPr="00857B1D">
        <w:t>attacks</w:t>
      </w:r>
      <w:r w:rsidR="00D52FD0">
        <w:t xml:space="preserve"> </w:t>
      </w:r>
      <w:r w:rsidR="000A1AAE" w:rsidRPr="00857B1D">
        <w:t>against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safety</w:t>
      </w:r>
      <w:r w:rsidR="00D52FD0">
        <w:t xml:space="preserve"> </w:t>
      </w:r>
      <w:r w:rsidR="000A1AAE" w:rsidRPr="00857B1D">
        <w:t>and</w:t>
      </w:r>
      <w:r w:rsidR="00D52FD0">
        <w:t xml:space="preserve"> </w:t>
      </w:r>
      <w:r w:rsidR="000A1AAE" w:rsidRPr="00857B1D">
        <w:t>dignity</w:t>
      </w:r>
      <w:r w:rsidR="00D52FD0">
        <w:t xml:space="preserve"> </w:t>
      </w:r>
      <w:r w:rsidR="000A1AAE" w:rsidRPr="00857B1D">
        <w:t>of</w:t>
      </w:r>
      <w:r w:rsidR="00D52FD0">
        <w:t xml:space="preserve"> </w:t>
      </w:r>
      <w:r w:rsidR="000A1AAE" w:rsidRPr="00857B1D">
        <w:t>journalists.</w:t>
      </w:r>
    </w:p>
    <w:p w14:paraId="3FB096D4" w14:textId="77777777" w:rsidR="000E4FD0" w:rsidRDefault="000A1AAE" w:rsidP="00935045">
      <w:pPr>
        <w:pStyle w:val="H23G"/>
        <w:rPr>
          <w:rFonts w:eastAsia="Calibri"/>
        </w:rPr>
      </w:pPr>
      <w:r>
        <w:tab/>
      </w:r>
      <w:r>
        <w:tab/>
      </w:r>
      <w:r w:rsidRPr="00504902">
        <w:t>Reply</w:t>
      </w:r>
      <w:r w:rsidR="00D52FD0">
        <w:t xml:space="preserve"> </w:t>
      </w:r>
      <w:r w:rsidRPr="00504902">
        <w:t>to</w:t>
      </w:r>
      <w:r w:rsidR="00D52FD0">
        <w:t xml:space="preserve"> </w:t>
      </w:r>
      <w:r w:rsidRPr="00504902">
        <w:t>paragraph</w:t>
      </w:r>
      <w:r w:rsidR="00D52FD0">
        <w:t xml:space="preserve"> </w:t>
      </w:r>
      <w:r>
        <w:t>23</w:t>
      </w:r>
      <w:r w:rsidR="00D52FD0">
        <w:t xml:space="preserve"> </w:t>
      </w:r>
      <w:r w:rsidRPr="00504902">
        <w:t>of</w:t>
      </w:r>
      <w:r w:rsidR="00D52FD0">
        <w:t xml:space="preserve"> </w:t>
      </w:r>
      <w:r w:rsidRPr="00504902">
        <w:t>the</w:t>
      </w:r>
      <w:r w:rsidR="00D52FD0">
        <w:t xml:space="preserve"> </w:t>
      </w:r>
      <w:r w:rsidRPr="00504902">
        <w:t>list</w:t>
      </w:r>
      <w:r w:rsidR="00D52FD0">
        <w:t xml:space="preserve"> </w:t>
      </w:r>
      <w:r w:rsidRPr="00504902">
        <w:t>of</w:t>
      </w:r>
      <w:r w:rsidR="00D52FD0">
        <w:t xml:space="preserve"> </w:t>
      </w:r>
      <w:r w:rsidRPr="00504902">
        <w:t>issues</w:t>
      </w:r>
    </w:p>
    <w:p w14:paraId="5EE7F8CC" w14:textId="7E098179" w:rsidR="000A1AAE" w:rsidRPr="00857B1D" w:rsidRDefault="0044637E" w:rsidP="0044637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857B1D">
        <w:t>223.</w:t>
      </w:r>
      <w:r w:rsidRPr="00857B1D">
        <w:tab/>
      </w:r>
      <w:r w:rsidR="000A1AAE" w:rsidRPr="00857B1D">
        <w:t>The</w:t>
      </w:r>
      <w:r w:rsidR="00D52FD0">
        <w:t xml:space="preserve"> </w:t>
      </w:r>
      <w:r w:rsidR="000A1AAE" w:rsidRPr="00857B1D">
        <w:t>Government</w:t>
      </w:r>
      <w:r w:rsidR="00D52FD0">
        <w:t xml:space="preserve"> </w:t>
      </w:r>
      <w:r w:rsidR="000A1AAE" w:rsidRPr="00857B1D">
        <w:t>of</w:t>
      </w:r>
      <w:r w:rsidR="00D52FD0">
        <w:t xml:space="preserve"> </w:t>
      </w:r>
      <w:r w:rsidR="000A1AAE" w:rsidRPr="00857B1D">
        <w:t>Malta</w:t>
      </w:r>
      <w:r w:rsidR="00D52FD0">
        <w:t xml:space="preserve"> </w:t>
      </w:r>
      <w:r w:rsidR="000A1AAE" w:rsidRPr="00857B1D">
        <w:t>is</w:t>
      </w:r>
      <w:r w:rsidR="00D52FD0">
        <w:t xml:space="preserve"> </w:t>
      </w:r>
      <w:r w:rsidR="000A1AAE" w:rsidRPr="00857B1D">
        <w:t>committed</w:t>
      </w:r>
      <w:r w:rsidR="00D52FD0">
        <w:t xml:space="preserve"> </w:t>
      </w:r>
      <w:r w:rsidR="000A1AAE" w:rsidRPr="00857B1D">
        <w:t>to</w:t>
      </w:r>
      <w:r w:rsidR="00D52FD0">
        <w:t xml:space="preserve"> </w:t>
      </w:r>
      <w:r w:rsidR="000A1AAE" w:rsidRPr="00857B1D">
        <w:t>safeguard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right</w:t>
      </w:r>
      <w:r w:rsidR="00D52FD0">
        <w:t xml:space="preserve"> </w:t>
      </w:r>
      <w:r w:rsidR="000A1AAE" w:rsidRPr="00857B1D">
        <w:t>to</w:t>
      </w:r>
      <w:r w:rsidR="00D52FD0">
        <w:t xml:space="preserve"> </w:t>
      </w:r>
      <w:r w:rsidR="000A1AAE" w:rsidRPr="00857B1D">
        <w:t>freedom</w:t>
      </w:r>
      <w:r w:rsidR="00D52FD0">
        <w:t xml:space="preserve"> </w:t>
      </w:r>
      <w:r w:rsidR="000A1AAE" w:rsidRPr="00857B1D">
        <w:t>of</w:t>
      </w:r>
      <w:r w:rsidR="00D52FD0">
        <w:t xml:space="preserve"> </w:t>
      </w:r>
      <w:r w:rsidR="000A1AAE" w:rsidRPr="00857B1D">
        <w:t>expression</w:t>
      </w:r>
      <w:r w:rsidR="00D52FD0">
        <w:t xml:space="preserve"> </w:t>
      </w:r>
      <w:r w:rsidR="000A1AAE" w:rsidRPr="00857B1D">
        <w:t>and</w:t>
      </w:r>
      <w:r w:rsidR="00D52FD0">
        <w:t xml:space="preserve"> </w:t>
      </w:r>
      <w:r w:rsidR="000A1AAE" w:rsidRPr="00857B1D">
        <w:t>has</w:t>
      </w:r>
      <w:r w:rsidR="00D52FD0">
        <w:t xml:space="preserve"> </w:t>
      </w:r>
      <w:r w:rsidR="000A1AAE" w:rsidRPr="00857B1D">
        <w:t>enacted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Media</w:t>
      </w:r>
      <w:r w:rsidR="00D52FD0">
        <w:t xml:space="preserve"> </w:t>
      </w:r>
      <w:r w:rsidR="000A1AAE" w:rsidRPr="00857B1D">
        <w:t>and</w:t>
      </w:r>
      <w:r w:rsidR="00D52FD0">
        <w:t xml:space="preserve"> </w:t>
      </w:r>
      <w:r w:rsidR="000A1AAE" w:rsidRPr="00857B1D">
        <w:t>Defamation</w:t>
      </w:r>
      <w:r w:rsidR="00D52FD0">
        <w:t xml:space="preserve"> </w:t>
      </w:r>
      <w:r w:rsidR="000A1AAE" w:rsidRPr="00857B1D">
        <w:t>Act</w:t>
      </w:r>
      <w:r w:rsidR="00D52FD0">
        <w:t xml:space="preserve"> </w:t>
      </w:r>
      <w:r w:rsidR="000A1AAE" w:rsidRPr="00857B1D">
        <w:t>(Chapter</w:t>
      </w:r>
      <w:r w:rsidR="00D52FD0">
        <w:t xml:space="preserve"> </w:t>
      </w:r>
      <w:r w:rsidR="000A1AAE" w:rsidRPr="00857B1D">
        <w:t>579</w:t>
      </w:r>
      <w:r w:rsidR="00D52FD0">
        <w:t xml:space="preserve"> </w:t>
      </w:r>
      <w:r w:rsidR="000A1AAE" w:rsidRPr="00857B1D">
        <w:t>of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laws</w:t>
      </w:r>
      <w:r w:rsidR="00D52FD0">
        <w:t xml:space="preserve"> </w:t>
      </w:r>
      <w:r w:rsidR="000A1AAE" w:rsidRPr="00857B1D">
        <w:t>of</w:t>
      </w:r>
      <w:r w:rsidR="00D52FD0">
        <w:t xml:space="preserve"> </w:t>
      </w:r>
      <w:r w:rsidR="000A1AAE" w:rsidRPr="00857B1D">
        <w:t>Malta),</w:t>
      </w:r>
      <w:r w:rsidR="00D52FD0">
        <w:t xml:space="preserve"> </w:t>
      </w:r>
      <w:r w:rsidR="000A1AAE" w:rsidRPr="00857B1D">
        <w:t>which</w:t>
      </w:r>
      <w:r w:rsidR="00D52FD0">
        <w:t xml:space="preserve"> </w:t>
      </w:r>
      <w:r w:rsidR="000A1AAE" w:rsidRPr="00857B1D">
        <w:t>came</w:t>
      </w:r>
      <w:r w:rsidR="00D52FD0">
        <w:t xml:space="preserve"> </w:t>
      </w:r>
      <w:r w:rsidR="000A1AAE" w:rsidRPr="00857B1D">
        <w:t>into</w:t>
      </w:r>
      <w:r w:rsidR="00D52FD0">
        <w:t xml:space="preserve"> </w:t>
      </w:r>
      <w:r w:rsidR="000A1AAE" w:rsidRPr="00857B1D">
        <w:t>force</w:t>
      </w:r>
      <w:r w:rsidR="00D52FD0">
        <w:t xml:space="preserve"> </w:t>
      </w:r>
      <w:r w:rsidR="000A1AAE" w:rsidRPr="00857B1D">
        <w:t>on</w:t>
      </w:r>
      <w:r w:rsidR="00D52FD0">
        <w:t xml:space="preserve"> </w:t>
      </w:r>
      <w:r w:rsidR="000A1AAE" w:rsidRPr="00857B1D">
        <w:t>14th</w:t>
      </w:r>
      <w:r w:rsidR="00D52FD0">
        <w:t xml:space="preserve"> </w:t>
      </w:r>
      <w:r w:rsidR="000A1AAE" w:rsidRPr="00857B1D">
        <w:t>May</w:t>
      </w:r>
      <w:r w:rsidR="00D52FD0">
        <w:t xml:space="preserve"> </w:t>
      </w:r>
      <w:r w:rsidR="000A1AAE" w:rsidRPr="00857B1D">
        <w:t>2018.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Act</w:t>
      </w:r>
      <w:r w:rsidR="00D52FD0">
        <w:t xml:space="preserve"> </w:t>
      </w:r>
      <w:r w:rsidR="000A1AAE" w:rsidRPr="00857B1D">
        <w:t>aims</w:t>
      </w:r>
      <w:r w:rsidR="00D52FD0">
        <w:t xml:space="preserve"> </w:t>
      </w:r>
      <w:r w:rsidR="000A1AAE" w:rsidRPr="00857B1D">
        <w:t>at</w:t>
      </w:r>
      <w:r w:rsidR="00D52FD0">
        <w:t xml:space="preserve"> </w:t>
      </w:r>
      <w:r w:rsidR="000A1AAE" w:rsidRPr="00857B1D">
        <w:t>updating</w:t>
      </w:r>
      <w:r w:rsidR="00D52FD0">
        <w:t xml:space="preserve"> </w:t>
      </w:r>
      <w:r w:rsidR="000A1AAE" w:rsidRPr="00857B1D">
        <w:t>and</w:t>
      </w:r>
      <w:r w:rsidR="00D52FD0">
        <w:t xml:space="preserve"> </w:t>
      </w:r>
      <w:r w:rsidR="000A1AAE" w:rsidRPr="00857B1D">
        <w:t>re-writing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Maltese</w:t>
      </w:r>
      <w:r w:rsidR="00D52FD0">
        <w:t xml:space="preserve"> </w:t>
      </w:r>
      <w:r w:rsidR="000A1AAE" w:rsidRPr="00857B1D">
        <w:t>law</w:t>
      </w:r>
      <w:r w:rsidR="00D52FD0">
        <w:t xml:space="preserve"> </w:t>
      </w:r>
      <w:r w:rsidR="000A1AAE" w:rsidRPr="00857B1D">
        <w:t>on</w:t>
      </w:r>
      <w:r w:rsidR="00D52FD0">
        <w:t xml:space="preserve"> </w:t>
      </w:r>
      <w:r w:rsidR="000A1AAE" w:rsidRPr="00857B1D">
        <w:t>libel</w:t>
      </w:r>
      <w:r w:rsidR="00D52FD0">
        <w:t xml:space="preserve"> </w:t>
      </w:r>
      <w:r w:rsidR="000A1AAE" w:rsidRPr="00857B1D">
        <w:t>and</w:t>
      </w:r>
      <w:r w:rsidR="00D52FD0">
        <w:t xml:space="preserve"> </w:t>
      </w:r>
      <w:r w:rsidR="000A1AAE" w:rsidRPr="00857B1D">
        <w:t>slander</w:t>
      </w:r>
      <w:r w:rsidR="00D52FD0">
        <w:t xml:space="preserve"> </w:t>
      </w:r>
      <w:r w:rsidR="000A1AAE" w:rsidRPr="00857B1D">
        <w:t>in</w:t>
      </w:r>
      <w:r w:rsidR="00D52FD0">
        <w:t xml:space="preserve"> </w:t>
      </w:r>
      <w:r w:rsidR="000A1AAE" w:rsidRPr="00857B1D">
        <w:t>a</w:t>
      </w:r>
      <w:r w:rsidR="00D52FD0">
        <w:t xml:space="preserve"> </w:t>
      </w:r>
      <w:r w:rsidR="000A1AAE" w:rsidRPr="00857B1D">
        <w:t>substantial</w:t>
      </w:r>
      <w:r w:rsidR="00D52FD0">
        <w:t xml:space="preserve"> </w:t>
      </w:r>
      <w:r w:rsidR="000A1AAE" w:rsidRPr="00857B1D">
        <w:t>manner</w:t>
      </w:r>
      <w:r w:rsidR="00D52FD0">
        <w:t xml:space="preserve"> </w:t>
      </w:r>
      <w:r w:rsidR="000A1AAE" w:rsidRPr="00857B1D">
        <w:t>that</w:t>
      </w:r>
      <w:r w:rsidR="00D52FD0">
        <w:t xml:space="preserve"> </w:t>
      </w:r>
      <w:r w:rsidR="000A1AAE" w:rsidRPr="00857B1D">
        <w:t>strengthens</w:t>
      </w:r>
      <w:r w:rsidR="00D52FD0">
        <w:t xml:space="preserve"> </w:t>
      </w:r>
      <w:r w:rsidR="000A1AAE" w:rsidRPr="00857B1D">
        <w:t>respect</w:t>
      </w:r>
      <w:r w:rsidR="00D52FD0">
        <w:t xml:space="preserve"> </w:t>
      </w:r>
      <w:r w:rsidR="000A1AAE" w:rsidRPr="00857B1D">
        <w:t>for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right</w:t>
      </w:r>
      <w:r w:rsidR="00D52FD0">
        <w:t xml:space="preserve"> </w:t>
      </w:r>
      <w:r w:rsidR="000A1AAE" w:rsidRPr="00857B1D">
        <w:t>to</w:t>
      </w:r>
      <w:r w:rsidR="00D52FD0">
        <w:t xml:space="preserve"> </w:t>
      </w:r>
      <w:r w:rsidR="000A1AAE" w:rsidRPr="00857B1D">
        <w:t>freedom</w:t>
      </w:r>
      <w:r w:rsidR="00D52FD0">
        <w:t xml:space="preserve"> </w:t>
      </w:r>
      <w:r w:rsidR="000A1AAE" w:rsidRPr="00857B1D">
        <w:t>of</w:t>
      </w:r>
      <w:r w:rsidR="00D52FD0">
        <w:t xml:space="preserve"> </w:t>
      </w:r>
      <w:r w:rsidR="000A1AAE" w:rsidRPr="00857B1D">
        <w:t>expression.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new</w:t>
      </w:r>
      <w:r w:rsidR="00D52FD0">
        <w:t xml:space="preserve"> </w:t>
      </w:r>
      <w:r w:rsidR="000A1AAE" w:rsidRPr="00857B1D">
        <w:t>law</w:t>
      </w:r>
      <w:r w:rsidR="00D52FD0">
        <w:t xml:space="preserve"> </w:t>
      </w:r>
      <w:r w:rsidR="000A1AAE" w:rsidRPr="00857B1D">
        <w:t>also</w:t>
      </w:r>
      <w:r w:rsidR="00D52FD0">
        <w:t xml:space="preserve"> </w:t>
      </w:r>
      <w:r w:rsidR="000A1AAE" w:rsidRPr="00857B1D">
        <w:t>promotes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use</w:t>
      </w:r>
      <w:r w:rsidR="00D52FD0">
        <w:t xml:space="preserve"> </w:t>
      </w:r>
      <w:r w:rsidR="000A1AAE" w:rsidRPr="00857B1D">
        <w:t>of</w:t>
      </w:r>
      <w:r w:rsidR="00D52FD0">
        <w:t xml:space="preserve"> </w:t>
      </w:r>
      <w:r w:rsidR="000A1AAE" w:rsidRPr="00857B1D">
        <w:t>alternative</w:t>
      </w:r>
      <w:r w:rsidR="00D52FD0">
        <w:t xml:space="preserve"> </w:t>
      </w:r>
      <w:r w:rsidR="000A1AAE" w:rsidRPr="00857B1D">
        <w:t>means</w:t>
      </w:r>
      <w:r w:rsidR="00D52FD0">
        <w:t xml:space="preserve"> </w:t>
      </w:r>
      <w:r w:rsidR="000A1AAE" w:rsidRPr="00857B1D">
        <w:t>of</w:t>
      </w:r>
      <w:r w:rsidR="00D52FD0">
        <w:t xml:space="preserve"> </w:t>
      </w:r>
      <w:r w:rsidR="000A1AAE" w:rsidRPr="00857B1D">
        <w:t>dispute</w:t>
      </w:r>
      <w:r w:rsidR="00D52FD0">
        <w:t xml:space="preserve"> </w:t>
      </w:r>
      <w:r w:rsidR="000A1AAE" w:rsidRPr="00857B1D">
        <w:t>resolution,</w:t>
      </w:r>
      <w:r w:rsidR="00D52FD0">
        <w:t xml:space="preserve"> </w:t>
      </w:r>
      <w:r w:rsidR="000A1AAE" w:rsidRPr="00857B1D">
        <w:t>such</w:t>
      </w:r>
      <w:r w:rsidR="00D52FD0">
        <w:t xml:space="preserve"> </w:t>
      </w:r>
      <w:r w:rsidR="000A1AAE" w:rsidRPr="00857B1D">
        <w:t>as</w:t>
      </w:r>
      <w:r w:rsidR="00D52FD0">
        <w:t xml:space="preserve"> </w:t>
      </w:r>
      <w:r w:rsidR="000A1AAE" w:rsidRPr="00857B1D">
        <w:t>through</w:t>
      </w:r>
      <w:r w:rsidR="00D52FD0">
        <w:t xml:space="preserve"> </w:t>
      </w:r>
      <w:r w:rsidR="000A1AAE" w:rsidRPr="00857B1D">
        <w:t>mediation,</w:t>
      </w:r>
      <w:r w:rsidR="00D52FD0">
        <w:t xml:space="preserve"> </w:t>
      </w:r>
      <w:r w:rsidR="000A1AAE" w:rsidRPr="00857B1D">
        <w:t>and</w:t>
      </w:r>
      <w:r w:rsidR="00D52FD0">
        <w:t xml:space="preserve"> </w:t>
      </w:r>
      <w:r w:rsidR="000A1AAE" w:rsidRPr="00857B1D">
        <w:t>introduces</w:t>
      </w:r>
      <w:r w:rsidR="00D52FD0">
        <w:t xml:space="preserve"> </w:t>
      </w:r>
      <w:r w:rsidR="000A1AAE" w:rsidRPr="00857B1D">
        <w:t>a</w:t>
      </w:r>
      <w:r w:rsidR="00D52FD0">
        <w:t xml:space="preserve"> </w:t>
      </w:r>
      <w:r w:rsidR="000A1AAE" w:rsidRPr="00857B1D">
        <w:t>system</w:t>
      </w:r>
      <w:r w:rsidR="00D52FD0">
        <w:t xml:space="preserve"> </w:t>
      </w:r>
      <w:r w:rsidR="000A1AAE" w:rsidRPr="00857B1D">
        <w:t>of</w:t>
      </w:r>
      <w:r w:rsidR="00D52FD0">
        <w:t xml:space="preserve"> </w:t>
      </w:r>
      <w:r w:rsidR="000A1AAE" w:rsidRPr="00857B1D">
        <w:t>a</w:t>
      </w:r>
      <w:r w:rsidR="00D52FD0">
        <w:t xml:space="preserve"> </w:t>
      </w:r>
      <w:r w:rsidR="000A1AAE" w:rsidRPr="00857B1D">
        <w:t>preliminary</w:t>
      </w:r>
      <w:r w:rsidR="00D52FD0">
        <w:t xml:space="preserve"> </w:t>
      </w:r>
      <w:r w:rsidR="000A1AAE" w:rsidRPr="00857B1D">
        <w:t>hearing</w:t>
      </w:r>
      <w:r w:rsidR="00D52FD0">
        <w:t xml:space="preserve"> </w:t>
      </w:r>
      <w:r w:rsidR="000A1AAE" w:rsidRPr="00857B1D">
        <w:t>in</w:t>
      </w:r>
      <w:r w:rsidR="00D52FD0">
        <w:t xml:space="preserve"> </w:t>
      </w:r>
      <w:r w:rsidR="000A1AAE" w:rsidRPr="00857B1D">
        <w:t>defamation</w:t>
      </w:r>
      <w:r w:rsidR="00D52FD0">
        <w:t xml:space="preserve"> </w:t>
      </w:r>
      <w:r w:rsidR="000A1AAE" w:rsidRPr="00857B1D">
        <w:t>actions</w:t>
      </w:r>
      <w:r w:rsidR="00D52FD0">
        <w:t xml:space="preserve"> </w:t>
      </w:r>
      <w:r w:rsidR="000A1AAE" w:rsidRPr="00857B1D">
        <w:t>to</w:t>
      </w:r>
      <w:r w:rsidR="00D52FD0">
        <w:t xml:space="preserve"> </w:t>
      </w:r>
      <w:r w:rsidR="000A1AAE" w:rsidRPr="00857B1D">
        <w:t>determine</w:t>
      </w:r>
      <w:r w:rsidR="00D52FD0">
        <w:t xml:space="preserve"> </w:t>
      </w:r>
      <w:r w:rsidR="000A1AAE" w:rsidRPr="00857B1D">
        <w:t>whether</w:t>
      </w:r>
      <w:r w:rsidR="00D52FD0">
        <w:t xml:space="preserve"> </w:t>
      </w:r>
      <w:r w:rsidR="000A1AAE" w:rsidRPr="00857B1D">
        <w:t>a</w:t>
      </w:r>
      <w:r w:rsidR="00D52FD0">
        <w:t xml:space="preserve"> </w:t>
      </w:r>
      <w:r w:rsidR="000A1AAE" w:rsidRPr="00857B1D">
        <w:t>case</w:t>
      </w:r>
      <w:r w:rsidR="00D52FD0">
        <w:t xml:space="preserve"> </w:t>
      </w:r>
      <w:r w:rsidR="000A1AAE" w:rsidRPr="00857B1D">
        <w:t>can</w:t>
      </w:r>
      <w:r w:rsidR="00D52FD0">
        <w:t xml:space="preserve"> </w:t>
      </w:r>
      <w:r w:rsidR="000A1AAE" w:rsidRPr="00857B1D">
        <w:t>be</w:t>
      </w:r>
      <w:r w:rsidR="00D52FD0">
        <w:t xml:space="preserve"> </w:t>
      </w:r>
      <w:r w:rsidR="000A1AAE" w:rsidRPr="00857B1D">
        <w:t>decided</w:t>
      </w:r>
      <w:r w:rsidR="00D52FD0">
        <w:t xml:space="preserve"> </w:t>
      </w:r>
      <w:r w:rsidR="000A1AAE" w:rsidRPr="00857B1D">
        <w:t>either</w:t>
      </w:r>
      <w:r w:rsidR="00D52FD0">
        <w:t xml:space="preserve"> </w:t>
      </w:r>
      <w:r w:rsidR="000A1AAE" w:rsidRPr="00857B1D">
        <w:t>by</w:t>
      </w:r>
      <w:r w:rsidR="00D52FD0">
        <w:t xml:space="preserve"> </w:t>
      </w:r>
      <w:r w:rsidR="000A1AAE" w:rsidRPr="00857B1D">
        <w:t>agreement</w:t>
      </w:r>
      <w:r w:rsidR="00D52FD0">
        <w:t xml:space="preserve"> </w:t>
      </w:r>
      <w:r w:rsidR="000A1AAE" w:rsidRPr="00857B1D">
        <w:t>or</w:t>
      </w:r>
      <w:r w:rsidR="00D52FD0">
        <w:t xml:space="preserve"> </w:t>
      </w:r>
      <w:r w:rsidR="000A1AAE" w:rsidRPr="00857B1D">
        <w:t>by</w:t>
      </w:r>
      <w:r w:rsidR="00D52FD0">
        <w:t xml:space="preserve"> </w:t>
      </w:r>
      <w:r w:rsidR="000A1AAE" w:rsidRPr="00857B1D">
        <w:t>mediation.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major</w:t>
      </w:r>
      <w:r w:rsidR="00D52FD0">
        <w:t xml:space="preserve"> </w:t>
      </w:r>
      <w:r w:rsidR="000A1AAE" w:rsidRPr="00857B1D">
        <w:t>departure</w:t>
      </w:r>
      <w:r w:rsidR="00D52FD0">
        <w:t xml:space="preserve"> </w:t>
      </w:r>
      <w:r w:rsidR="000A1AAE" w:rsidRPr="00857B1D">
        <w:t>made</w:t>
      </w:r>
      <w:r w:rsidR="00D52FD0">
        <w:t xml:space="preserve"> </w:t>
      </w:r>
      <w:r w:rsidR="000A1AAE" w:rsidRPr="00857B1D">
        <w:t>by</w:t>
      </w:r>
      <w:r w:rsidR="00D52FD0">
        <w:t xml:space="preserve"> </w:t>
      </w:r>
      <w:r w:rsidR="000A1AAE" w:rsidRPr="00857B1D">
        <w:t>means</w:t>
      </w:r>
      <w:r w:rsidR="00D52FD0">
        <w:t xml:space="preserve"> </w:t>
      </w:r>
      <w:r w:rsidR="000A1AAE" w:rsidRPr="00857B1D">
        <w:t>of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Media</w:t>
      </w:r>
      <w:r w:rsidR="00D52FD0">
        <w:t xml:space="preserve"> </w:t>
      </w:r>
      <w:r w:rsidR="000A1AAE" w:rsidRPr="00857B1D">
        <w:t>and</w:t>
      </w:r>
      <w:r w:rsidR="00D52FD0">
        <w:t xml:space="preserve"> </w:t>
      </w:r>
      <w:r w:rsidR="000A1AAE" w:rsidRPr="00857B1D">
        <w:t>Defamation</w:t>
      </w:r>
      <w:r w:rsidR="00D52FD0">
        <w:t xml:space="preserve"> </w:t>
      </w:r>
      <w:r w:rsidR="000A1AAE" w:rsidRPr="00857B1D">
        <w:t>Act</w:t>
      </w:r>
      <w:r w:rsidR="00D52FD0">
        <w:t xml:space="preserve"> </w:t>
      </w:r>
      <w:r w:rsidR="000A1AAE" w:rsidRPr="00857B1D">
        <w:t>is</w:t>
      </w:r>
      <w:r w:rsidR="00D52FD0">
        <w:t xml:space="preserve"> </w:t>
      </w:r>
      <w:r w:rsidR="000A1AAE" w:rsidRPr="00857B1D">
        <w:t>that</w:t>
      </w:r>
      <w:r w:rsidR="00D52FD0">
        <w:t xml:space="preserve"> </w:t>
      </w:r>
      <w:r w:rsidR="000A1AAE" w:rsidRPr="00857B1D">
        <w:t>criminal</w:t>
      </w:r>
      <w:r w:rsidR="00D52FD0">
        <w:t xml:space="preserve"> </w:t>
      </w:r>
      <w:r w:rsidR="000A1AAE" w:rsidRPr="00857B1D">
        <w:t>proceedings</w:t>
      </w:r>
      <w:r w:rsidR="00D52FD0">
        <w:t xml:space="preserve"> </w:t>
      </w:r>
      <w:r w:rsidR="000A1AAE" w:rsidRPr="00857B1D">
        <w:t>can</w:t>
      </w:r>
      <w:r w:rsidR="00D52FD0">
        <w:t xml:space="preserve"> </w:t>
      </w:r>
      <w:r w:rsidR="000A1AAE" w:rsidRPr="00857B1D">
        <w:t>no</w:t>
      </w:r>
      <w:r w:rsidR="00D52FD0">
        <w:t xml:space="preserve"> </w:t>
      </w:r>
      <w:r w:rsidR="000A1AAE" w:rsidRPr="00857B1D">
        <w:t>longer</w:t>
      </w:r>
      <w:r w:rsidR="00D52FD0">
        <w:t xml:space="preserve"> </w:t>
      </w:r>
      <w:r w:rsidR="000A1AAE" w:rsidRPr="00857B1D">
        <w:t>be</w:t>
      </w:r>
      <w:r w:rsidR="00D52FD0">
        <w:t xml:space="preserve"> </w:t>
      </w:r>
      <w:r w:rsidR="000A1AAE" w:rsidRPr="00857B1D">
        <w:t>filed</w:t>
      </w:r>
      <w:r w:rsidR="00D52FD0">
        <w:t xml:space="preserve"> </w:t>
      </w:r>
      <w:r w:rsidR="000A1AAE" w:rsidRPr="00857B1D">
        <w:t>against</w:t>
      </w:r>
      <w:r w:rsidR="00D52FD0">
        <w:t xml:space="preserve"> </w:t>
      </w:r>
      <w:r w:rsidR="000A1AAE" w:rsidRPr="00857B1D">
        <w:t>journalists</w:t>
      </w:r>
      <w:r w:rsidR="00D52FD0">
        <w:t xml:space="preserve"> </w:t>
      </w:r>
      <w:r w:rsidR="000A1AAE" w:rsidRPr="00857B1D">
        <w:t>for</w:t>
      </w:r>
      <w:r w:rsidR="00D52FD0">
        <w:t xml:space="preserve"> </w:t>
      </w:r>
      <w:r w:rsidR="000A1AAE" w:rsidRPr="00857B1D">
        <w:t>libel,</w:t>
      </w:r>
      <w:r w:rsidR="00D52FD0">
        <w:t xml:space="preserve"> </w:t>
      </w:r>
      <w:r w:rsidR="000A1AAE" w:rsidRPr="00857B1D">
        <w:t>slander,</w:t>
      </w:r>
      <w:r w:rsidR="00D52FD0">
        <w:t xml:space="preserve"> </w:t>
      </w:r>
      <w:r w:rsidR="000A1AAE" w:rsidRPr="00857B1D">
        <w:t>and</w:t>
      </w:r>
      <w:r w:rsidR="00D52FD0">
        <w:t xml:space="preserve"> </w:t>
      </w:r>
      <w:r w:rsidR="000A1AAE" w:rsidRPr="00857B1D">
        <w:t>defamation.</w:t>
      </w:r>
      <w:r w:rsidR="00D52FD0">
        <w:t xml:space="preserve"> </w:t>
      </w:r>
      <w:r w:rsidR="000A1AAE" w:rsidRPr="00857B1D">
        <w:t>This</w:t>
      </w:r>
      <w:r w:rsidR="00D52FD0">
        <w:t xml:space="preserve"> </w:t>
      </w:r>
      <w:r w:rsidR="000A1AAE" w:rsidRPr="00857B1D">
        <w:t>protects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fourth</w:t>
      </w:r>
      <w:r w:rsidR="00D52FD0">
        <w:t xml:space="preserve"> </w:t>
      </w:r>
      <w:r w:rsidR="000A1AAE" w:rsidRPr="00857B1D">
        <w:t>pillar</w:t>
      </w:r>
      <w:r w:rsidR="00D52FD0">
        <w:t xml:space="preserve"> </w:t>
      </w:r>
      <w:r w:rsidR="000A1AAE" w:rsidRPr="00857B1D">
        <w:t>of</w:t>
      </w:r>
      <w:r w:rsidR="00D52FD0">
        <w:t xml:space="preserve"> </w:t>
      </w:r>
      <w:r w:rsidR="000A1AAE" w:rsidRPr="00857B1D">
        <w:t>democracy</w:t>
      </w:r>
      <w:r w:rsidR="00D52FD0">
        <w:t xml:space="preserve"> </w:t>
      </w:r>
      <w:r w:rsidR="000A1AAE" w:rsidRPr="00857B1D">
        <w:t>in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sense</w:t>
      </w:r>
      <w:r w:rsidR="00D52FD0">
        <w:t xml:space="preserve"> </w:t>
      </w:r>
      <w:r w:rsidR="000A1AAE" w:rsidRPr="00857B1D">
        <w:t>that</w:t>
      </w:r>
      <w:r w:rsidR="00D52FD0">
        <w:t xml:space="preserve"> </w:t>
      </w:r>
      <w:r w:rsidR="000A1AAE" w:rsidRPr="00857B1D">
        <w:t>media</w:t>
      </w:r>
      <w:r w:rsidR="00D52FD0">
        <w:t xml:space="preserve"> </w:t>
      </w:r>
      <w:r w:rsidR="000A1AAE" w:rsidRPr="00857B1D">
        <w:t>freedom</w:t>
      </w:r>
      <w:r w:rsidR="00D52FD0">
        <w:t xml:space="preserve"> </w:t>
      </w:r>
      <w:r w:rsidR="000A1AAE" w:rsidRPr="00857B1D">
        <w:t>is</w:t>
      </w:r>
      <w:r w:rsidR="00D52FD0">
        <w:t xml:space="preserve"> </w:t>
      </w:r>
      <w:r w:rsidR="000A1AAE" w:rsidRPr="00857B1D">
        <w:t>in</w:t>
      </w:r>
      <w:r w:rsidR="00D52FD0">
        <w:t xml:space="preserve"> </w:t>
      </w:r>
      <w:r w:rsidR="000A1AAE" w:rsidRPr="00857B1D">
        <w:t>no</w:t>
      </w:r>
      <w:r w:rsidR="00D52FD0">
        <w:t xml:space="preserve"> </w:t>
      </w:r>
      <w:r w:rsidR="000A1AAE" w:rsidRPr="00857B1D">
        <w:t>manner</w:t>
      </w:r>
      <w:r w:rsidR="00D52FD0">
        <w:t xml:space="preserve"> </w:t>
      </w:r>
      <w:r w:rsidR="000A1AAE" w:rsidRPr="00857B1D">
        <w:t>hampered</w:t>
      </w:r>
      <w:r w:rsidR="00D52FD0">
        <w:t xml:space="preserve"> </w:t>
      </w:r>
      <w:r w:rsidR="000A1AAE" w:rsidRPr="00857B1D">
        <w:t>by</w:t>
      </w:r>
      <w:r w:rsidR="00D52FD0">
        <w:t xml:space="preserve"> </w:t>
      </w:r>
      <w:r w:rsidR="000A1AAE" w:rsidRPr="00857B1D">
        <w:t>a</w:t>
      </w:r>
      <w:r w:rsidR="00D52FD0">
        <w:t xml:space="preserve"> </w:t>
      </w:r>
      <w:r w:rsidR="000A1AAE" w:rsidRPr="00857B1D">
        <w:t>threat</w:t>
      </w:r>
      <w:r w:rsidR="00D52FD0">
        <w:t xml:space="preserve"> </w:t>
      </w:r>
      <w:r w:rsidR="000A1AAE" w:rsidRPr="00857B1D">
        <w:t>that</w:t>
      </w:r>
      <w:r w:rsidR="00D52FD0">
        <w:t xml:space="preserve"> </w:t>
      </w:r>
      <w:r w:rsidR="000A1AAE" w:rsidRPr="00857B1D">
        <w:t>criminal</w:t>
      </w:r>
      <w:r w:rsidR="00D52FD0">
        <w:t xml:space="preserve"> </w:t>
      </w:r>
      <w:r w:rsidR="000A1AAE" w:rsidRPr="00857B1D">
        <w:t>proceedings</w:t>
      </w:r>
      <w:r w:rsidR="00D52FD0">
        <w:t xml:space="preserve"> </w:t>
      </w:r>
      <w:r w:rsidR="000A1AAE" w:rsidRPr="00857B1D">
        <w:t>may</w:t>
      </w:r>
      <w:r w:rsidR="00D52FD0">
        <w:t xml:space="preserve"> </w:t>
      </w:r>
      <w:r w:rsidR="000A1AAE" w:rsidRPr="00857B1D">
        <w:t>be</w:t>
      </w:r>
      <w:r w:rsidR="00D52FD0">
        <w:t xml:space="preserve"> </w:t>
      </w:r>
      <w:r w:rsidR="000A1AAE" w:rsidRPr="00857B1D">
        <w:t>instituted</w:t>
      </w:r>
      <w:r w:rsidR="00D52FD0">
        <w:t xml:space="preserve"> </w:t>
      </w:r>
      <w:r w:rsidR="000A1AAE" w:rsidRPr="00857B1D">
        <w:t>against</w:t>
      </w:r>
      <w:r w:rsidR="00D52FD0">
        <w:t xml:space="preserve"> </w:t>
      </w:r>
      <w:r w:rsidR="000A1AAE" w:rsidRPr="00857B1D">
        <w:t>journalists</w:t>
      </w:r>
      <w:r w:rsidR="00D52FD0">
        <w:t xml:space="preserve"> </w:t>
      </w:r>
      <w:r w:rsidR="000A1AAE" w:rsidRPr="00857B1D">
        <w:t>which</w:t>
      </w:r>
      <w:r w:rsidR="00D52FD0">
        <w:t xml:space="preserve"> </w:t>
      </w:r>
      <w:r w:rsidR="000A1AAE" w:rsidRPr="00857B1D">
        <w:t>had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effect</w:t>
      </w:r>
      <w:r w:rsidR="00D52FD0">
        <w:t xml:space="preserve"> </w:t>
      </w:r>
      <w:r w:rsidR="000A1AAE" w:rsidRPr="00857B1D">
        <w:t>of</w:t>
      </w:r>
      <w:r w:rsidR="00D52FD0">
        <w:t xml:space="preserve"> </w:t>
      </w:r>
      <w:r w:rsidR="000A1AAE" w:rsidRPr="00857B1D">
        <w:t>silencing</w:t>
      </w:r>
      <w:r w:rsidR="00D52FD0">
        <w:t xml:space="preserve"> </w:t>
      </w:r>
      <w:r w:rsidR="000A1AAE" w:rsidRPr="00857B1D">
        <w:t>journalists.</w:t>
      </w:r>
    </w:p>
    <w:p w14:paraId="0440A359" w14:textId="07986FE6" w:rsidR="000A1AAE" w:rsidRPr="00857B1D" w:rsidRDefault="0044637E" w:rsidP="0044637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857B1D">
        <w:t>224.</w:t>
      </w:r>
      <w:r w:rsidRPr="00857B1D">
        <w:tab/>
      </w:r>
      <w:r w:rsidR="000A1AAE" w:rsidRPr="00857B1D">
        <w:t>The</w:t>
      </w:r>
      <w:r w:rsidR="00D52FD0">
        <w:t xml:space="preserve"> </w:t>
      </w:r>
      <w:r w:rsidR="000A1AAE" w:rsidRPr="00857B1D">
        <w:t>Act</w:t>
      </w:r>
      <w:r w:rsidR="00D52FD0">
        <w:t xml:space="preserve"> </w:t>
      </w:r>
      <w:r w:rsidR="000A1AAE" w:rsidRPr="00857B1D">
        <w:t>was</w:t>
      </w:r>
      <w:r w:rsidR="00D52FD0">
        <w:t xml:space="preserve"> </w:t>
      </w:r>
      <w:r w:rsidR="000A1AAE" w:rsidRPr="00857B1D">
        <w:t>also</w:t>
      </w:r>
      <w:r w:rsidR="00D52FD0">
        <w:t xml:space="preserve"> </w:t>
      </w:r>
      <w:r w:rsidR="000A1AAE" w:rsidRPr="00857B1D">
        <w:t>drafted</w:t>
      </w:r>
      <w:r w:rsidR="00D52FD0">
        <w:t xml:space="preserve"> </w:t>
      </w:r>
      <w:r w:rsidR="000A1AAE" w:rsidRPr="00857B1D">
        <w:t>and</w:t>
      </w:r>
      <w:r w:rsidR="00D52FD0">
        <w:t xml:space="preserve"> </w:t>
      </w:r>
      <w:r w:rsidR="000A1AAE" w:rsidRPr="00857B1D">
        <w:t>enacted</w:t>
      </w:r>
      <w:r w:rsidR="00D52FD0">
        <w:t xml:space="preserve"> </w:t>
      </w:r>
      <w:r w:rsidR="000A1AAE" w:rsidRPr="00857B1D">
        <w:t>following</w:t>
      </w:r>
      <w:r w:rsidR="00D52FD0">
        <w:t xml:space="preserve"> </w:t>
      </w:r>
      <w:r w:rsidR="000A1AAE" w:rsidRPr="00857B1D">
        <w:t>wide</w:t>
      </w:r>
      <w:r w:rsidR="00D52FD0">
        <w:t xml:space="preserve"> </w:t>
      </w:r>
      <w:r w:rsidR="000A1AAE" w:rsidRPr="00857B1D">
        <w:t>consultation</w:t>
      </w:r>
      <w:r w:rsidR="00D52FD0">
        <w:t xml:space="preserve"> </w:t>
      </w:r>
      <w:r w:rsidR="000A1AAE" w:rsidRPr="00857B1D">
        <w:t>with,</w:t>
      </w:r>
      <w:r w:rsidR="00D52FD0">
        <w:t xml:space="preserve"> </w:t>
      </w:r>
      <w:r w:rsidR="000A1AAE" w:rsidRPr="00857B1D">
        <w:t>inter</w:t>
      </w:r>
      <w:r w:rsidR="00D52FD0">
        <w:t xml:space="preserve"> </w:t>
      </w:r>
      <w:r w:rsidR="000A1AAE" w:rsidRPr="00857B1D">
        <w:t>alia,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Institute</w:t>
      </w:r>
      <w:r w:rsidR="00D52FD0">
        <w:t xml:space="preserve"> </w:t>
      </w:r>
      <w:r w:rsidR="000A1AAE" w:rsidRPr="00857B1D">
        <w:t>for</w:t>
      </w:r>
      <w:r w:rsidR="00D52FD0">
        <w:t xml:space="preserve"> </w:t>
      </w:r>
      <w:r w:rsidR="000A1AAE" w:rsidRPr="00857B1D">
        <w:t>Maltese</w:t>
      </w:r>
      <w:r w:rsidR="00D52FD0">
        <w:t xml:space="preserve"> </w:t>
      </w:r>
      <w:r w:rsidR="000A1AAE" w:rsidRPr="00857B1D">
        <w:t>Journalists</w:t>
      </w:r>
      <w:r w:rsidR="00D52FD0">
        <w:t xml:space="preserve"> </w:t>
      </w:r>
      <w:r w:rsidR="000A1AAE" w:rsidRPr="00857B1D">
        <w:t>and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OSCE</w:t>
      </w:r>
      <w:r w:rsidR="00D52FD0">
        <w:t xml:space="preserve"> </w:t>
      </w:r>
      <w:r w:rsidR="000A1AAE" w:rsidRPr="00857B1D">
        <w:t>through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Special</w:t>
      </w:r>
      <w:r w:rsidR="00D52FD0">
        <w:t xml:space="preserve"> </w:t>
      </w:r>
      <w:r w:rsidR="000A1AAE" w:rsidRPr="00857B1D">
        <w:t>Representative</w:t>
      </w:r>
      <w:r w:rsidR="00D52FD0">
        <w:t xml:space="preserve"> </w:t>
      </w:r>
      <w:r w:rsidR="000A1AAE" w:rsidRPr="00857B1D">
        <w:t>on</w:t>
      </w:r>
      <w:r w:rsidR="00D52FD0">
        <w:t xml:space="preserve"> </w:t>
      </w:r>
      <w:r w:rsidR="000A1AAE" w:rsidRPr="00857B1D">
        <w:t>Freedom</w:t>
      </w:r>
      <w:r w:rsidR="00D52FD0">
        <w:t xml:space="preserve"> </w:t>
      </w:r>
      <w:r w:rsidR="000A1AAE" w:rsidRPr="00857B1D">
        <w:t>of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Media.</w:t>
      </w:r>
      <w:r w:rsidR="00D52FD0">
        <w:t xml:space="preserve"> </w:t>
      </w:r>
      <w:r w:rsidR="000A1AAE" w:rsidRPr="00857B1D">
        <w:t>Through</w:t>
      </w:r>
      <w:r w:rsidR="00D52FD0">
        <w:t xml:space="preserve"> </w:t>
      </w:r>
      <w:r w:rsidR="000A1AAE" w:rsidRPr="00857B1D">
        <w:t>this</w:t>
      </w:r>
      <w:r w:rsidR="00D52FD0">
        <w:t xml:space="preserve"> </w:t>
      </w:r>
      <w:r w:rsidR="000A1AAE" w:rsidRPr="00857B1D">
        <w:t>law,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protection</w:t>
      </w:r>
      <w:r w:rsidR="00D52FD0">
        <w:t xml:space="preserve"> </w:t>
      </w:r>
      <w:r w:rsidR="000A1AAE" w:rsidRPr="00857B1D">
        <w:t>of</w:t>
      </w:r>
      <w:r w:rsidR="00D52FD0">
        <w:t xml:space="preserve"> </w:t>
      </w:r>
      <w:r w:rsidR="000A1AAE" w:rsidRPr="00857B1D">
        <w:t>sources</w:t>
      </w:r>
      <w:r w:rsidR="00D52FD0">
        <w:t xml:space="preserve"> </w:t>
      </w:r>
      <w:r w:rsidR="000A1AAE" w:rsidRPr="00857B1D">
        <w:t>applies</w:t>
      </w:r>
      <w:r w:rsidR="00D52FD0">
        <w:t xml:space="preserve"> </w:t>
      </w:r>
      <w:r w:rsidR="000A1AAE" w:rsidRPr="00857B1D">
        <w:t>to</w:t>
      </w:r>
      <w:r w:rsidR="00D52FD0">
        <w:t xml:space="preserve"> </w:t>
      </w:r>
      <w:r w:rsidR="000A1AAE" w:rsidRPr="00857B1D">
        <w:t>every</w:t>
      </w:r>
      <w:r w:rsidR="00D52FD0">
        <w:t xml:space="preserve"> </w:t>
      </w:r>
      <w:r w:rsidR="000A1AAE" w:rsidRPr="00857B1D">
        <w:t>editor,</w:t>
      </w:r>
      <w:r w:rsidR="00D52FD0">
        <w:t xml:space="preserve"> </w:t>
      </w:r>
      <w:r w:rsidR="000A1AAE" w:rsidRPr="00857B1D">
        <w:t>publisher,</w:t>
      </w:r>
      <w:r w:rsidR="00D52FD0">
        <w:t xml:space="preserve"> </w:t>
      </w:r>
      <w:r w:rsidR="000A1AAE" w:rsidRPr="00857B1D">
        <w:t>author,</w:t>
      </w:r>
      <w:r w:rsidR="00D52FD0">
        <w:t xml:space="preserve"> </w:t>
      </w:r>
      <w:r w:rsidR="000A1AAE" w:rsidRPr="00857B1D">
        <w:t>operator</w:t>
      </w:r>
      <w:r w:rsidR="00D52FD0">
        <w:t xml:space="preserve"> </w:t>
      </w:r>
      <w:r w:rsidR="000A1AAE" w:rsidRPr="00857B1D">
        <w:t>of</w:t>
      </w:r>
      <w:r w:rsidR="00D52FD0">
        <w:t xml:space="preserve"> </w:t>
      </w:r>
      <w:r w:rsidR="000A1AAE" w:rsidRPr="00857B1D">
        <w:t>a</w:t>
      </w:r>
      <w:r w:rsidR="00D52FD0">
        <w:t xml:space="preserve"> </w:t>
      </w:r>
      <w:r w:rsidR="000A1AAE" w:rsidRPr="00857B1D">
        <w:t>website</w:t>
      </w:r>
      <w:r w:rsidR="00D52FD0">
        <w:t xml:space="preserve"> </w:t>
      </w:r>
      <w:r w:rsidR="000A1AAE" w:rsidRPr="00857B1D">
        <w:t>or</w:t>
      </w:r>
      <w:r w:rsidR="00D52FD0">
        <w:t xml:space="preserve"> </w:t>
      </w:r>
      <w:r w:rsidR="000A1AAE" w:rsidRPr="00857B1D">
        <w:t>broadcaster.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Act</w:t>
      </w:r>
      <w:r w:rsidR="00D52FD0">
        <w:t xml:space="preserve"> </w:t>
      </w:r>
      <w:r w:rsidR="000A1AAE" w:rsidRPr="00857B1D">
        <w:t>prohibits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issue</w:t>
      </w:r>
      <w:r w:rsidR="00D52FD0">
        <w:t xml:space="preserve"> </w:t>
      </w:r>
      <w:r w:rsidR="000A1AAE" w:rsidRPr="00857B1D">
        <w:t>of</w:t>
      </w:r>
      <w:r w:rsidR="00D52FD0">
        <w:t xml:space="preserve"> </w:t>
      </w:r>
      <w:r w:rsidR="000A1AAE" w:rsidRPr="00857B1D">
        <w:t>precautionary</w:t>
      </w:r>
      <w:r w:rsidR="00D52FD0">
        <w:t xml:space="preserve"> </w:t>
      </w:r>
      <w:r w:rsidR="000A1AAE" w:rsidRPr="00857B1D">
        <w:t>garnishee</w:t>
      </w:r>
      <w:r w:rsidR="00D52FD0">
        <w:t xml:space="preserve"> </w:t>
      </w:r>
      <w:r w:rsidR="000A1AAE" w:rsidRPr="00857B1D">
        <w:t>orders</w:t>
      </w:r>
      <w:r w:rsidR="00D52FD0">
        <w:t xml:space="preserve"> </w:t>
      </w:r>
      <w:r w:rsidR="000A1AAE" w:rsidRPr="00857B1D">
        <w:t>and</w:t>
      </w:r>
      <w:r w:rsidR="00D52FD0">
        <w:t xml:space="preserve"> </w:t>
      </w:r>
      <w:r w:rsidR="000A1AAE" w:rsidRPr="00857B1D">
        <w:t>other</w:t>
      </w:r>
      <w:r w:rsidR="00D52FD0">
        <w:t xml:space="preserve"> </w:t>
      </w:r>
      <w:r w:rsidR="000A1AAE" w:rsidRPr="00857B1D">
        <w:t>precautionary</w:t>
      </w:r>
      <w:r w:rsidR="00D52FD0">
        <w:t xml:space="preserve"> </w:t>
      </w:r>
      <w:r w:rsidR="000A1AAE" w:rsidRPr="00857B1D">
        <w:t>acts</w:t>
      </w:r>
      <w:r w:rsidR="00D52FD0">
        <w:t xml:space="preserve"> </w:t>
      </w:r>
      <w:r w:rsidR="000A1AAE" w:rsidRPr="00857B1D">
        <w:t>by</w:t>
      </w:r>
      <w:r w:rsidR="00D52FD0">
        <w:t xml:space="preserve"> </w:t>
      </w:r>
      <w:r w:rsidR="000A1AAE" w:rsidRPr="00857B1D">
        <w:t>plaintiffs</w:t>
      </w:r>
      <w:r w:rsidR="00D52FD0">
        <w:t xml:space="preserve"> </w:t>
      </w:r>
      <w:r w:rsidR="000A1AAE" w:rsidRPr="00857B1D">
        <w:t>involved</w:t>
      </w:r>
      <w:r w:rsidR="00D52FD0">
        <w:t xml:space="preserve"> </w:t>
      </w:r>
      <w:r w:rsidR="000A1AAE" w:rsidRPr="00857B1D">
        <w:t>in</w:t>
      </w:r>
      <w:r w:rsidR="00D52FD0">
        <w:t xml:space="preserve"> </w:t>
      </w:r>
      <w:r w:rsidR="000A1AAE" w:rsidRPr="00857B1D">
        <w:t>civil</w:t>
      </w:r>
      <w:r w:rsidR="00D52FD0">
        <w:t xml:space="preserve"> </w:t>
      </w:r>
      <w:r w:rsidR="000A1AAE" w:rsidRPr="00857B1D">
        <w:t>libel</w:t>
      </w:r>
      <w:r w:rsidR="00D52FD0">
        <w:t xml:space="preserve"> </w:t>
      </w:r>
      <w:r w:rsidR="000A1AAE" w:rsidRPr="00857B1D">
        <w:t>suits</w:t>
      </w:r>
      <w:r w:rsidR="00D52FD0">
        <w:t xml:space="preserve"> </w:t>
      </w:r>
      <w:r w:rsidR="000A1AAE" w:rsidRPr="00857B1D">
        <w:t>against</w:t>
      </w:r>
      <w:r w:rsidR="00D52FD0">
        <w:t xml:space="preserve"> </w:t>
      </w:r>
      <w:r w:rsidR="000A1AAE" w:rsidRPr="00857B1D">
        <w:t>journalists.</w:t>
      </w:r>
      <w:r w:rsidR="00D52FD0">
        <w:t xml:space="preserve"> </w:t>
      </w:r>
      <w:r w:rsidR="000A1AAE" w:rsidRPr="00857B1D">
        <w:t>Another</w:t>
      </w:r>
      <w:r w:rsidR="00D52FD0">
        <w:t xml:space="preserve"> </w:t>
      </w:r>
      <w:r w:rsidR="000A1AAE" w:rsidRPr="00857B1D">
        <w:t>important</w:t>
      </w:r>
      <w:r w:rsidR="00D52FD0">
        <w:t xml:space="preserve"> </w:t>
      </w:r>
      <w:r w:rsidR="000A1AAE" w:rsidRPr="00857B1D">
        <w:t>provision</w:t>
      </w:r>
      <w:r w:rsidR="00D52FD0">
        <w:t xml:space="preserve"> </w:t>
      </w:r>
      <w:r w:rsidR="000A1AAE" w:rsidRPr="00857B1D">
        <w:t>that</w:t>
      </w:r>
      <w:r w:rsidR="00D52FD0">
        <w:t xml:space="preserve"> </w:t>
      </w:r>
      <w:r w:rsidR="000A1AAE" w:rsidRPr="00857B1D">
        <w:t>was</w:t>
      </w:r>
      <w:r w:rsidR="00D52FD0">
        <w:t xml:space="preserve"> </w:t>
      </w:r>
      <w:r w:rsidR="000A1AAE" w:rsidRPr="00857B1D">
        <w:t>introduced</w:t>
      </w:r>
      <w:r w:rsidR="00D52FD0">
        <w:t xml:space="preserve"> </w:t>
      </w:r>
      <w:r w:rsidR="000A1AAE" w:rsidRPr="00857B1D">
        <w:t>is</w:t>
      </w:r>
      <w:r w:rsidR="00D52FD0">
        <w:t xml:space="preserve"> </w:t>
      </w:r>
      <w:r w:rsidR="000A1AAE" w:rsidRPr="00857B1D">
        <w:t>a</w:t>
      </w:r>
      <w:r w:rsidR="00D52FD0">
        <w:t xml:space="preserve"> </w:t>
      </w:r>
      <w:r w:rsidR="000A1AAE" w:rsidRPr="00857B1D">
        <w:t>provision</w:t>
      </w:r>
      <w:r w:rsidR="00D52FD0">
        <w:t xml:space="preserve"> </w:t>
      </w:r>
      <w:r w:rsidR="000A1AAE" w:rsidRPr="00857B1D">
        <w:t>to</w:t>
      </w:r>
      <w:r w:rsidR="00D52FD0">
        <w:t xml:space="preserve"> </w:t>
      </w:r>
      <w:r w:rsidR="000A1AAE" w:rsidRPr="00857B1D">
        <w:t>discourage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filing</w:t>
      </w:r>
      <w:r w:rsidR="00D52FD0">
        <w:t xml:space="preserve"> </w:t>
      </w:r>
      <w:r w:rsidR="000A1AAE" w:rsidRPr="00857B1D">
        <w:t>of</w:t>
      </w:r>
      <w:r w:rsidR="00D52FD0">
        <w:t xml:space="preserve"> </w:t>
      </w:r>
      <w:r w:rsidR="000A1AAE" w:rsidRPr="00857B1D">
        <w:t>strategic</w:t>
      </w:r>
      <w:r w:rsidR="00D52FD0">
        <w:t xml:space="preserve"> </w:t>
      </w:r>
      <w:r w:rsidR="000A1AAE" w:rsidRPr="00857B1D">
        <w:t>lawsuits</w:t>
      </w:r>
      <w:r w:rsidR="00D52FD0">
        <w:t xml:space="preserve"> </w:t>
      </w:r>
      <w:r w:rsidR="000A1AAE" w:rsidRPr="00857B1D">
        <w:t>against</w:t>
      </w:r>
      <w:r w:rsidR="00D52FD0">
        <w:t xml:space="preserve"> </w:t>
      </w:r>
      <w:r w:rsidR="000A1AAE" w:rsidRPr="00857B1D">
        <w:t>public</w:t>
      </w:r>
      <w:r w:rsidR="00D52FD0">
        <w:t xml:space="preserve"> </w:t>
      </w:r>
      <w:r w:rsidR="000A1AAE" w:rsidRPr="00857B1D">
        <w:t>participation</w:t>
      </w:r>
      <w:r w:rsidR="00D52FD0">
        <w:t xml:space="preserve"> </w:t>
      </w:r>
      <w:r w:rsidR="000A1AAE" w:rsidRPr="00857B1D">
        <w:t>by</w:t>
      </w:r>
      <w:r w:rsidR="00D52FD0">
        <w:t xml:space="preserve"> </w:t>
      </w:r>
      <w:r w:rsidR="000A1AAE" w:rsidRPr="00857B1D">
        <w:t>providing</w:t>
      </w:r>
      <w:r w:rsidR="00D52FD0">
        <w:t xml:space="preserve"> </w:t>
      </w:r>
      <w:r w:rsidR="000A1AAE" w:rsidRPr="00857B1D">
        <w:t>that</w:t>
      </w:r>
      <w:r w:rsidR="00D52FD0">
        <w:t xml:space="preserve"> </w:t>
      </w:r>
      <w:r w:rsidR="000A1AAE" w:rsidRPr="00857B1D">
        <w:t>when</w:t>
      </w:r>
      <w:r w:rsidR="00D52FD0">
        <w:t xml:space="preserve"> </w:t>
      </w:r>
      <w:r w:rsidR="000A1AAE" w:rsidRPr="00857B1D">
        <w:t>multiple</w:t>
      </w:r>
      <w:r w:rsidR="00D52FD0">
        <w:t xml:space="preserve"> </w:t>
      </w:r>
      <w:r w:rsidR="000A1AAE" w:rsidRPr="00857B1D">
        <w:t>libel</w:t>
      </w:r>
      <w:r w:rsidR="00D52FD0">
        <w:t xml:space="preserve"> </w:t>
      </w:r>
      <w:r w:rsidR="000A1AAE" w:rsidRPr="00857B1D">
        <w:t>actions</w:t>
      </w:r>
      <w:r w:rsidR="00D52FD0">
        <w:t xml:space="preserve"> </w:t>
      </w:r>
      <w:r w:rsidR="000A1AAE" w:rsidRPr="00857B1D">
        <w:t>are</w:t>
      </w:r>
      <w:r w:rsidR="00D52FD0">
        <w:t xml:space="preserve"> </w:t>
      </w:r>
      <w:r w:rsidR="000A1AAE" w:rsidRPr="00857B1D">
        <w:t>filed</w:t>
      </w:r>
      <w:r w:rsidR="00D52FD0">
        <w:t xml:space="preserve"> </w:t>
      </w:r>
      <w:r w:rsidR="000A1AAE" w:rsidRPr="00857B1D">
        <w:t>by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same</w:t>
      </w:r>
      <w:r w:rsidR="00D52FD0">
        <w:t xml:space="preserve"> </w:t>
      </w:r>
      <w:r w:rsidR="000A1AAE" w:rsidRPr="00857B1D">
        <w:t>person</w:t>
      </w:r>
      <w:r w:rsidR="00D52FD0">
        <w:t xml:space="preserve"> </w:t>
      </w:r>
      <w:r w:rsidR="000A1AAE" w:rsidRPr="00857B1D">
        <w:t>about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same</w:t>
      </w:r>
      <w:r w:rsidR="00D52FD0">
        <w:t xml:space="preserve"> </w:t>
      </w:r>
      <w:r w:rsidR="000A1AAE" w:rsidRPr="00857B1D">
        <w:t>article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single</w:t>
      </w:r>
      <w:r w:rsidR="00D52FD0">
        <w:t xml:space="preserve"> </w:t>
      </w:r>
      <w:r w:rsidR="000A1AAE" w:rsidRPr="00857B1D">
        <w:t>capping</w:t>
      </w:r>
      <w:r w:rsidR="00D52FD0">
        <w:t xml:space="preserve"> </w:t>
      </w:r>
      <w:r w:rsidR="000A1AAE" w:rsidRPr="00857B1D">
        <w:t>on</w:t>
      </w:r>
      <w:r w:rsidR="00D52FD0">
        <w:t xml:space="preserve"> </w:t>
      </w:r>
      <w:r w:rsidR="000A1AAE" w:rsidRPr="00857B1D">
        <w:t>libel</w:t>
      </w:r>
      <w:r w:rsidR="00D52FD0">
        <w:t xml:space="preserve"> </w:t>
      </w:r>
      <w:r w:rsidR="000A1AAE" w:rsidRPr="00857B1D">
        <w:t>damages</w:t>
      </w:r>
      <w:r w:rsidR="00D52FD0">
        <w:t xml:space="preserve"> </w:t>
      </w:r>
      <w:r w:rsidR="000A1AAE" w:rsidRPr="00857B1D">
        <w:t>of</w:t>
      </w:r>
      <w:r w:rsidR="00D52FD0">
        <w:t xml:space="preserve"> </w:t>
      </w:r>
      <w:r w:rsidR="000A1AAE" w:rsidRPr="00857B1D">
        <w:t>11,640</w:t>
      </w:r>
      <w:r w:rsidR="00D52FD0">
        <w:t xml:space="preserve"> </w:t>
      </w:r>
      <w:r w:rsidR="000A1AAE" w:rsidRPr="00857B1D">
        <w:t>euro</w:t>
      </w:r>
      <w:r w:rsidR="00D52FD0">
        <w:t xml:space="preserve"> </w:t>
      </w:r>
      <w:r w:rsidR="000A1AAE" w:rsidRPr="00857B1D">
        <w:t>will</w:t>
      </w:r>
      <w:r w:rsidR="00D52FD0">
        <w:t xml:space="preserve"> </w:t>
      </w:r>
      <w:r w:rsidR="000A1AAE" w:rsidRPr="00857B1D">
        <w:t>apply</w:t>
      </w:r>
      <w:r w:rsidR="00D52FD0">
        <w:t xml:space="preserve"> </w:t>
      </w:r>
      <w:r w:rsidR="000A1AAE" w:rsidRPr="00857B1D">
        <w:t>to</w:t>
      </w:r>
      <w:r w:rsidR="00D52FD0">
        <w:t xml:space="preserve"> </w:t>
      </w:r>
      <w:r w:rsidR="000A1AAE" w:rsidRPr="00857B1D">
        <w:t>all</w:t>
      </w:r>
      <w:r w:rsidR="00D52FD0">
        <w:t xml:space="preserve"> </w:t>
      </w:r>
      <w:r w:rsidR="000A1AAE" w:rsidRPr="00857B1D">
        <w:t>such</w:t>
      </w:r>
      <w:r w:rsidR="00D52FD0">
        <w:t xml:space="preserve"> </w:t>
      </w:r>
      <w:r w:rsidR="000A1AAE" w:rsidRPr="00857B1D">
        <w:t>cases</w:t>
      </w:r>
      <w:r w:rsidR="00D52FD0">
        <w:t xml:space="preserve"> </w:t>
      </w:r>
      <w:r w:rsidR="000A1AAE" w:rsidRPr="00857B1D">
        <w:t>taken</w:t>
      </w:r>
      <w:r w:rsidR="00D52FD0">
        <w:t xml:space="preserve"> </w:t>
      </w:r>
      <w:r w:rsidR="000A1AAE" w:rsidRPr="00857B1D">
        <w:t>together</w:t>
      </w:r>
      <w:r w:rsidR="00D52FD0">
        <w:t xml:space="preserve"> </w:t>
      </w:r>
      <w:r w:rsidR="000A1AAE" w:rsidRPr="00857B1D">
        <w:t>as</w:t>
      </w:r>
      <w:r w:rsidR="00D52FD0">
        <w:t xml:space="preserve"> </w:t>
      </w:r>
      <w:r w:rsidR="000A1AAE" w:rsidRPr="00857B1D">
        <w:t>though</w:t>
      </w:r>
      <w:r w:rsidR="00D52FD0">
        <w:t xml:space="preserve"> </w:t>
      </w:r>
      <w:r w:rsidR="000A1AAE" w:rsidRPr="00857B1D">
        <w:t>they</w:t>
      </w:r>
      <w:r w:rsidR="00D52FD0">
        <w:t xml:space="preserve"> </w:t>
      </w:r>
      <w:r w:rsidR="000A1AAE" w:rsidRPr="00857B1D">
        <w:t>were</w:t>
      </w:r>
      <w:r w:rsidR="00D52FD0">
        <w:t xml:space="preserve"> </w:t>
      </w:r>
      <w:r w:rsidR="000A1AAE" w:rsidRPr="00857B1D">
        <w:t>one</w:t>
      </w:r>
      <w:r w:rsidR="00D52FD0">
        <w:t xml:space="preserve"> </w:t>
      </w:r>
      <w:r w:rsidR="000A1AAE" w:rsidRPr="00857B1D">
        <w:t>case.</w:t>
      </w:r>
    </w:p>
    <w:p w14:paraId="3EC73CC3" w14:textId="75A9A128" w:rsidR="000A1AAE" w:rsidRPr="00857B1D" w:rsidRDefault="0044637E" w:rsidP="0044637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857B1D">
        <w:t>225.</w:t>
      </w:r>
      <w:r w:rsidRPr="00857B1D">
        <w:tab/>
      </w:r>
      <w:r w:rsidR="000A1AAE" w:rsidRPr="00857B1D">
        <w:t>Other</w:t>
      </w:r>
      <w:r w:rsidR="00D52FD0">
        <w:t xml:space="preserve"> </w:t>
      </w:r>
      <w:r w:rsidR="000A1AAE" w:rsidRPr="00857B1D">
        <w:t>positive</w:t>
      </w:r>
      <w:r w:rsidR="00D52FD0">
        <w:t xml:space="preserve"> </w:t>
      </w:r>
      <w:r w:rsidR="000A1AAE" w:rsidRPr="00857B1D">
        <w:t>amendments</w:t>
      </w:r>
      <w:r w:rsidR="00D52FD0">
        <w:t xml:space="preserve"> </w:t>
      </w:r>
      <w:r w:rsidR="000A1AAE" w:rsidRPr="00857B1D">
        <w:t>were</w:t>
      </w:r>
      <w:r w:rsidR="00D52FD0">
        <w:t xml:space="preserve"> </w:t>
      </w:r>
      <w:r w:rsidR="000A1AAE" w:rsidRPr="00857B1D">
        <w:t>introduced,</w:t>
      </w:r>
      <w:r w:rsidR="00D52FD0">
        <w:t xml:space="preserve"> </w:t>
      </w:r>
      <w:r w:rsidR="000A1AAE" w:rsidRPr="00857B1D">
        <w:t>including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definitions</w:t>
      </w:r>
      <w:r w:rsidR="00D52FD0">
        <w:t xml:space="preserve"> </w:t>
      </w:r>
      <w:r w:rsidR="000A1AAE" w:rsidRPr="00857B1D">
        <w:t>of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notions</w:t>
      </w:r>
      <w:r w:rsidR="00D52FD0">
        <w:t xml:space="preserve"> </w:t>
      </w:r>
      <w:r w:rsidR="000A1AAE" w:rsidRPr="00857B1D">
        <w:t>of</w:t>
      </w:r>
      <w:r w:rsidR="00D52FD0">
        <w:t xml:space="preserve"> </w:t>
      </w:r>
      <w:r w:rsidR="00F14DA3">
        <w:t>‘</w:t>
      </w:r>
      <w:r w:rsidR="000A1AAE" w:rsidRPr="00857B1D">
        <w:t>defamation</w:t>
      </w:r>
      <w:r w:rsidR="00F14DA3">
        <w:t>’</w:t>
      </w:r>
      <w:r w:rsidR="000A1AAE" w:rsidRPr="00857B1D">
        <w:t>,</w:t>
      </w:r>
      <w:r w:rsidR="00D52FD0">
        <w:t xml:space="preserve"> </w:t>
      </w:r>
      <w:r w:rsidR="00F14DA3">
        <w:t>‘</w:t>
      </w:r>
      <w:r w:rsidR="000A1AAE" w:rsidRPr="00857B1D">
        <w:t>libel</w:t>
      </w:r>
      <w:r w:rsidR="00F14DA3">
        <w:t>’</w:t>
      </w:r>
      <w:r w:rsidR="00D52FD0">
        <w:t xml:space="preserve"> </w:t>
      </w:r>
      <w:r w:rsidR="000A1AAE" w:rsidRPr="00857B1D">
        <w:t>and</w:t>
      </w:r>
      <w:r w:rsidR="00D52FD0">
        <w:t xml:space="preserve"> </w:t>
      </w:r>
      <w:r w:rsidR="00F14DA3">
        <w:t>‘</w:t>
      </w:r>
      <w:r w:rsidR="000A1AAE" w:rsidRPr="00857B1D">
        <w:t>slander</w:t>
      </w:r>
      <w:r w:rsidR="00F14DA3">
        <w:t>’</w:t>
      </w:r>
      <w:r w:rsidR="000A1AAE" w:rsidRPr="00857B1D">
        <w:t>;</w:t>
      </w:r>
      <w:r w:rsidR="00D52FD0">
        <w:t xml:space="preserve"> </w:t>
      </w:r>
      <w:r w:rsidR="000A1AAE" w:rsidRPr="00857B1D">
        <w:t>Concept</w:t>
      </w:r>
      <w:r w:rsidR="00D52FD0">
        <w:t xml:space="preserve"> </w:t>
      </w:r>
      <w:r w:rsidR="000A1AAE" w:rsidRPr="00857B1D">
        <w:t>of</w:t>
      </w:r>
      <w:r w:rsidR="00D52FD0">
        <w:t xml:space="preserve"> </w:t>
      </w:r>
      <w:r w:rsidR="000A1AAE" w:rsidRPr="00857B1D">
        <w:t>Serious</w:t>
      </w:r>
      <w:r w:rsidR="00D52FD0">
        <w:t xml:space="preserve"> </w:t>
      </w:r>
      <w:r w:rsidR="000A1AAE" w:rsidRPr="00857B1D">
        <w:t>Harm;</w:t>
      </w:r>
      <w:r w:rsidR="00D52FD0">
        <w:t xml:space="preserve"> </w:t>
      </w:r>
      <w:r w:rsidR="000A1AAE" w:rsidRPr="00857B1D">
        <w:t>Decriminalisation</w:t>
      </w:r>
      <w:r w:rsidR="00D52FD0">
        <w:t xml:space="preserve"> </w:t>
      </w:r>
      <w:r w:rsidR="000A1AAE" w:rsidRPr="00857B1D">
        <w:t>of</w:t>
      </w:r>
      <w:r w:rsidR="00D52FD0">
        <w:t xml:space="preserve"> </w:t>
      </w:r>
      <w:r w:rsidR="000A1AAE" w:rsidRPr="00857B1D">
        <w:t>Offences;</w:t>
      </w:r>
      <w:r w:rsidR="00D52FD0">
        <w:t xml:space="preserve"> </w:t>
      </w:r>
      <w:r w:rsidR="000A1AAE" w:rsidRPr="00857B1D">
        <w:t>Abolition</w:t>
      </w:r>
      <w:r w:rsidR="00D52FD0">
        <w:t xml:space="preserve"> </w:t>
      </w:r>
      <w:r w:rsidR="000A1AAE" w:rsidRPr="00857B1D">
        <w:t>of</w:t>
      </w:r>
      <w:r w:rsidR="00D52FD0">
        <w:t xml:space="preserve"> </w:t>
      </w:r>
      <w:r w:rsidR="000A1AAE" w:rsidRPr="00857B1D">
        <w:t>warrants</w:t>
      </w:r>
      <w:r w:rsidR="00D52FD0">
        <w:t xml:space="preserve"> </w:t>
      </w:r>
      <w:r w:rsidR="000A1AAE" w:rsidRPr="00857B1D">
        <w:t>of</w:t>
      </w:r>
      <w:r w:rsidR="00D52FD0">
        <w:t xml:space="preserve"> </w:t>
      </w:r>
      <w:r w:rsidR="000A1AAE" w:rsidRPr="00857B1D">
        <w:t>seizure</w:t>
      </w:r>
      <w:r w:rsidR="00D52FD0">
        <w:t xml:space="preserve"> </w:t>
      </w:r>
      <w:r w:rsidR="000A1AAE" w:rsidRPr="00857B1D">
        <w:t>and</w:t>
      </w:r>
      <w:r w:rsidR="00D52FD0">
        <w:t xml:space="preserve"> </w:t>
      </w:r>
      <w:r w:rsidR="000A1AAE" w:rsidRPr="00857B1D">
        <w:t>garnishee</w:t>
      </w:r>
      <w:r w:rsidR="00D52FD0">
        <w:t xml:space="preserve"> </w:t>
      </w:r>
      <w:r w:rsidR="000A1AAE" w:rsidRPr="00857B1D">
        <w:t>orders;</w:t>
      </w:r>
      <w:r w:rsidR="00D52FD0">
        <w:t xml:space="preserve"> </w:t>
      </w:r>
      <w:r w:rsidR="000A1AAE" w:rsidRPr="00857B1D">
        <w:t>Strengthening</w:t>
      </w:r>
      <w:r w:rsidR="00D52FD0">
        <w:t xml:space="preserve"> </w:t>
      </w:r>
      <w:r w:rsidR="000A1AAE" w:rsidRPr="00857B1D">
        <w:t>of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defence</w:t>
      </w:r>
      <w:r w:rsidR="00D52FD0">
        <w:t xml:space="preserve"> </w:t>
      </w:r>
      <w:r w:rsidR="000A1AAE" w:rsidRPr="00857B1D">
        <w:t>of</w:t>
      </w:r>
      <w:r w:rsidR="00D52FD0">
        <w:t xml:space="preserve"> </w:t>
      </w:r>
      <w:r w:rsidR="000A1AAE" w:rsidRPr="00857B1D">
        <w:t>truth</w:t>
      </w:r>
      <w:r w:rsidR="00D52FD0">
        <w:t xml:space="preserve"> </w:t>
      </w:r>
      <w:r w:rsidR="000A1AAE" w:rsidRPr="00857B1D">
        <w:t>and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introduction</w:t>
      </w:r>
      <w:r w:rsidR="00D52FD0">
        <w:t xml:space="preserve"> </w:t>
      </w:r>
      <w:r w:rsidR="000A1AAE" w:rsidRPr="00857B1D">
        <w:t>of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defence</w:t>
      </w:r>
      <w:r w:rsidR="00D52FD0">
        <w:t xml:space="preserve"> </w:t>
      </w:r>
      <w:r w:rsidR="000A1AAE" w:rsidRPr="00857B1D">
        <w:t>of</w:t>
      </w:r>
      <w:r w:rsidR="00D52FD0">
        <w:t xml:space="preserve"> </w:t>
      </w:r>
      <w:r w:rsidR="000A1AAE" w:rsidRPr="00857B1D">
        <w:t>honest</w:t>
      </w:r>
      <w:r w:rsidR="00D52FD0">
        <w:t xml:space="preserve"> </w:t>
      </w:r>
      <w:r w:rsidR="000A1AAE" w:rsidRPr="00857B1D">
        <w:t>opinion;</w:t>
      </w:r>
      <w:r w:rsidR="00D52FD0">
        <w:t xml:space="preserve"> </w:t>
      </w:r>
      <w:r w:rsidR="000A1AAE" w:rsidRPr="00857B1D">
        <w:t>and</w:t>
      </w:r>
      <w:r w:rsidR="00D52FD0">
        <w:t xml:space="preserve"> </w:t>
      </w:r>
      <w:r w:rsidR="000A1AAE" w:rsidRPr="00857B1D">
        <w:t>Introduction</w:t>
      </w:r>
      <w:r w:rsidR="00D52FD0">
        <w:t xml:space="preserve"> </w:t>
      </w:r>
      <w:r w:rsidR="000A1AAE" w:rsidRPr="00857B1D">
        <w:t>of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single</w:t>
      </w:r>
      <w:r w:rsidR="00D52FD0">
        <w:t xml:space="preserve"> </w:t>
      </w:r>
      <w:r w:rsidR="000A1AAE" w:rsidRPr="00857B1D">
        <w:t>publication</w:t>
      </w:r>
      <w:r w:rsidR="00D52FD0">
        <w:t xml:space="preserve"> </w:t>
      </w:r>
      <w:r w:rsidR="000A1AAE" w:rsidRPr="00857B1D">
        <w:t>rule.</w:t>
      </w:r>
    </w:p>
    <w:p w14:paraId="7C72DDDA" w14:textId="76FD7CCC" w:rsidR="000A1AAE" w:rsidRPr="00857B1D" w:rsidRDefault="0044637E" w:rsidP="0044637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857B1D">
        <w:t>226.</w:t>
      </w:r>
      <w:r w:rsidRPr="00857B1D">
        <w:tab/>
      </w:r>
      <w:r w:rsidR="000A1AAE" w:rsidRPr="00857B1D">
        <w:t>This</w:t>
      </w:r>
      <w:r w:rsidR="00D52FD0">
        <w:t xml:space="preserve"> </w:t>
      </w:r>
      <w:r w:rsidR="000A1AAE" w:rsidRPr="00857B1D">
        <w:t>Act</w:t>
      </w:r>
      <w:r w:rsidR="00D52FD0">
        <w:t xml:space="preserve"> </w:t>
      </w:r>
      <w:r w:rsidR="000A1AAE" w:rsidRPr="00857B1D">
        <w:t>forms</w:t>
      </w:r>
      <w:r w:rsidR="00D52FD0">
        <w:t xml:space="preserve"> </w:t>
      </w:r>
      <w:r w:rsidR="000A1AAE" w:rsidRPr="00857B1D">
        <w:t>part</w:t>
      </w:r>
      <w:r w:rsidR="00D52FD0">
        <w:t xml:space="preserve"> </w:t>
      </w:r>
      <w:r w:rsidR="000A1AAE" w:rsidRPr="00857B1D">
        <w:t>of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ongoing</w:t>
      </w:r>
      <w:r w:rsidR="00D52FD0">
        <w:t xml:space="preserve"> </w:t>
      </w:r>
      <w:r w:rsidR="000A1AAE" w:rsidRPr="00857B1D">
        <w:t>justice</w:t>
      </w:r>
      <w:r w:rsidR="00D52FD0">
        <w:t xml:space="preserve"> </w:t>
      </w:r>
      <w:r w:rsidR="000A1AAE" w:rsidRPr="00857B1D">
        <w:t>reform,</w:t>
      </w:r>
      <w:r w:rsidR="00D52FD0">
        <w:t xml:space="preserve"> </w:t>
      </w:r>
      <w:r w:rsidR="000A1AAE" w:rsidRPr="00857B1D">
        <w:t>which</w:t>
      </w:r>
      <w:r w:rsidR="00D52FD0">
        <w:t xml:space="preserve"> </w:t>
      </w:r>
      <w:r w:rsidR="000A1AAE" w:rsidRPr="00857B1D">
        <w:t>is</w:t>
      </w:r>
      <w:r w:rsidR="00D52FD0">
        <w:t xml:space="preserve"> </w:t>
      </w:r>
      <w:r w:rsidR="000A1AAE" w:rsidRPr="00857B1D">
        <w:t>also</w:t>
      </w:r>
      <w:r w:rsidR="00D52FD0">
        <w:t xml:space="preserve"> </w:t>
      </w:r>
      <w:r w:rsidR="000A1AAE" w:rsidRPr="00857B1D">
        <w:t>evidenced</w:t>
      </w:r>
      <w:r w:rsidR="00D52FD0">
        <w:t xml:space="preserve"> </w:t>
      </w:r>
      <w:r w:rsidR="000A1AAE" w:rsidRPr="00857B1D">
        <w:t>by</w:t>
      </w:r>
      <w:r w:rsidR="00D52FD0">
        <w:t xml:space="preserve"> </w:t>
      </w:r>
      <w:r w:rsidR="000A1AAE" w:rsidRPr="00857B1D">
        <w:t>other</w:t>
      </w:r>
      <w:r w:rsidR="00D52FD0">
        <w:t xml:space="preserve"> </w:t>
      </w:r>
      <w:r w:rsidR="000A1AAE" w:rsidRPr="00857B1D">
        <w:t>new</w:t>
      </w:r>
      <w:r w:rsidR="00D52FD0">
        <w:t xml:space="preserve"> </w:t>
      </w:r>
      <w:r w:rsidR="000A1AAE" w:rsidRPr="00857B1D">
        <w:t>bills</w:t>
      </w:r>
      <w:r w:rsidR="00D52FD0">
        <w:t xml:space="preserve"> </w:t>
      </w:r>
      <w:r w:rsidR="000A1AAE" w:rsidRPr="00857B1D">
        <w:t>or</w:t>
      </w:r>
      <w:r w:rsidR="00D52FD0">
        <w:t xml:space="preserve"> </w:t>
      </w:r>
      <w:r w:rsidR="000A1AAE" w:rsidRPr="00857B1D">
        <w:t>amendments</w:t>
      </w:r>
      <w:r w:rsidR="00D52FD0">
        <w:t xml:space="preserve"> </w:t>
      </w:r>
      <w:r w:rsidR="000A1AAE" w:rsidRPr="00857B1D">
        <w:t>being</w:t>
      </w:r>
      <w:r w:rsidR="00D52FD0">
        <w:t xml:space="preserve"> </w:t>
      </w:r>
      <w:r w:rsidR="000A1AAE" w:rsidRPr="00857B1D">
        <w:t>presented</w:t>
      </w:r>
      <w:r w:rsidR="00D52FD0">
        <w:t xml:space="preserve"> </w:t>
      </w:r>
      <w:r w:rsidR="000A1AAE" w:rsidRPr="00857B1D">
        <w:t>to</w:t>
      </w:r>
      <w:r w:rsidR="00D52FD0">
        <w:t xml:space="preserve"> </w:t>
      </w:r>
      <w:r w:rsidR="000A1AAE" w:rsidRPr="00857B1D">
        <w:t>Parliament,</w:t>
      </w:r>
      <w:r w:rsidR="00D52FD0">
        <w:t xml:space="preserve"> </w:t>
      </w:r>
      <w:r w:rsidR="000A1AAE" w:rsidRPr="00857B1D">
        <w:t>including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amendments</w:t>
      </w:r>
      <w:r w:rsidR="00D52FD0">
        <w:t xml:space="preserve"> </w:t>
      </w:r>
      <w:r w:rsidR="000A1AAE" w:rsidRPr="00857B1D">
        <w:t>introduced</w:t>
      </w:r>
      <w:r w:rsidR="00D52FD0">
        <w:t xml:space="preserve"> </w:t>
      </w:r>
      <w:r w:rsidR="000A1AAE" w:rsidRPr="00857B1D">
        <w:t>in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Constitution</w:t>
      </w:r>
      <w:r w:rsidR="00D52FD0">
        <w:t xml:space="preserve"> </w:t>
      </w:r>
      <w:r w:rsidR="000A1AAE" w:rsidRPr="00857B1D">
        <w:t>which</w:t>
      </w:r>
      <w:r w:rsidR="00D52FD0">
        <w:t xml:space="preserve"> </w:t>
      </w:r>
      <w:r w:rsidR="000A1AAE" w:rsidRPr="00857B1D">
        <w:t>address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Venice</w:t>
      </w:r>
      <w:r w:rsidR="00D52FD0">
        <w:t xml:space="preserve"> </w:t>
      </w:r>
      <w:r w:rsidR="000A1AAE" w:rsidRPr="00857B1D">
        <w:t>Commission</w:t>
      </w:r>
      <w:r w:rsidR="00D52FD0">
        <w:t xml:space="preserve"> </w:t>
      </w:r>
      <w:r w:rsidR="000A1AAE" w:rsidRPr="00857B1D">
        <w:t>Opinion,</w:t>
      </w:r>
      <w:r w:rsidR="00D52FD0">
        <w:t xml:space="preserve"> </w:t>
      </w:r>
      <w:r w:rsidR="000A1AAE" w:rsidRPr="00857B1D">
        <w:t>amendments</w:t>
      </w:r>
      <w:r w:rsidR="00D52FD0">
        <w:t xml:space="preserve"> </w:t>
      </w:r>
      <w:r w:rsidR="000A1AAE" w:rsidRPr="00857B1D">
        <w:t>aimed</w:t>
      </w:r>
      <w:r w:rsidR="00D52FD0">
        <w:t xml:space="preserve"> </w:t>
      </w:r>
      <w:r w:rsidR="000A1AAE" w:rsidRPr="00857B1D">
        <w:t>at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strengthening</w:t>
      </w:r>
      <w:r w:rsidR="00D52FD0">
        <w:t xml:space="preserve"> </w:t>
      </w:r>
      <w:r w:rsidR="000A1AAE" w:rsidRPr="00857B1D">
        <w:t>of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rule</w:t>
      </w:r>
      <w:r w:rsidR="00D52FD0">
        <w:t xml:space="preserve"> </w:t>
      </w:r>
      <w:r w:rsidR="000A1AAE" w:rsidRPr="00857B1D">
        <w:t>of</w:t>
      </w:r>
      <w:r w:rsidR="00D52FD0">
        <w:t xml:space="preserve"> </w:t>
      </w:r>
      <w:r w:rsidR="000A1AAE" w:rsidRPr="00857B1D">
        <w:t>law</w:t>
      </w:r>
      <w:r w:rsidR="00D52FD0">
        <w:t xml:space="preserve"> </w:t>
      </w:r>
      <w:r w:rsidR="000A1AAE" w:rsidRPr="00857B1D">
        <w:t>and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most</w:t>
      </w:r>
      <w:r w:rsidR="00D52FD0">
        <w:t xml:space="preserve"> </w:t>
      </w:r>
      <w:r w:rsidR="000A1AAE" w:rsidRPr="00857B1D">
        <w:t>recent</w:t>
      </w:r>
      <w:r w:rsidR="00D52FD0">
        <w:t xml:space="preserve"> </w:t>
      </w:r>
      <w:r w:rsidR="000A1AAE" w:rsidRPr="00857B1D">
        <w:t>introduction</w:t>
      </w:r>
      <w:r w:rsidR="00D52FD0">
        <w:t xml:space="preserve"> </w:t>
      </w:r>
      <w:r w:rsidR="000A1AAE" w:rsidRPr="00857B1D">
        <w:t>of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possibility</w:t>
      </w:r>
      <w:r w:rsidR="00D52FD0">
        <w:t xml:space="preserve"> </w:t>
      </w:r>
      <w:r w:rsidR="000A1AAE" w:rsidRPr="00857B1D">
        <w:t>for</w:t>
      </w:r>
      <w:r w:rsidR="00D52FD0">
        <w:t xml:space="preserve"> </w:t>
      </w:r>
      <w:r w:rsidR="000A1AAE" w:rsidRPr="00857B1D">
        <w:t>sittings</w:t>
      </w:r>
      <w:r w:rsidR="00D52FD0">
        <w:t xml:space="preserve"> </w:t>
      </w:r>
      <w:r w:rsidR="000A1AAE" w:rsidRPr="00857B1D">
        <w:t>of</w:t>
      </w:r>
      <w:r w:rsidR="00D52FD0">
        <w:t xml:space="preserve"> </w:t>
      </w:r>
      <w:r w:rsidR="000A1AAE" w:rsidRPr="00857B1D">
        <w:t>civil</w:t>
      </w:r>
      <w:r w:rsidR="00D52FD0">
        <w:t xml:space="preserve"> </w:t>
      </w:r>
      <w:r w:rsidR="000A1AAE" w:rsidRPr="00857B1D">
        <w:t>proceedings</w:t>
      </w:r>
      <w:r w:rsidR="00D52FD0">
        <w:t xml:space="preserve"> </w:t>
      </w:r>
      <w:r w:rsidR="000A1AAE" w:rsidRPr="00857B1D">
        <w:t>be</w:t>
      </w:r>
      <w:r w:rsidR="00D52FD0">
        <w:t xml:space="preserve"> </w:t>
      </w:r>
      <w:r w:rsidR="000A1AAE" w:rsidRPr="00857B1D">
        <w:t>held</w:t>
      </w:r>
      <w:r w:rsidR="00D52FD0">
        <w:t xml:space="preserve"> </w:t>
      </w:r>
      <w:r w:rsidR="000A1AAE" w:rsidRPr="00857B1D">
        <w:t>through</w:t>
      </w:r>
      <w:r w:rsidR="00D52FD0">
        <w:t xml:space="preserve"> </w:t>
      </w:r>
      <w:r w:rsidR="000A1AAE" w:rsidRPr="00857B1D">
        <w:t>a</w:t>
      </w:r>
      <w:r w:rsidR="00D52FD0">
        <w:t xml:space="preserve"> </w:t>
      </w:r>
      <w:r w:rsidR="000A1AAE" w:rsidRPr="00857B1D">
        <w:t>live</w:t>
      </w:r>
      <w:r w:rsidR="00D52FD0">
        <w:t xml:space="preserve"> </w:t>
      </w:r>
      <w:r w:rsidR="000A1AAE" w:rsidRPr="00857B1D">
        <w:t>video</w:t>
      </w:r>
      <w:r w:rsidR="00D52FD0">
        <w:t xml:space="preserve"> </w:t>
      </w:r>
      <w:r w:rsidR="000A1AAE" w:rsidRPr="00857B1D">
        <w:t>conferencing</w:t>
      </w:r>
      <w:r w:rsidR="00D52FD0">
        <w:t xml:space="preserve"> </w:t>
      </w:r>
      <w:r w:rsidR="000A1AAE" w:rsidRPr="00857B1D">
        <w:t>link.</w:t>
      </w:r>
      <w:r w:rsidR="00D52FD0">
        <w:t xml:space="preserve"> </w:t>
      </w:r>
      <w:r w:rsidR="000A1AAE" w:rsidRPr="00857B1D">
        <w:t>These</w:t>
      </w:r>
      <w:r w:rsidR="00D52FD0">
        <w:t xml:space="preserve"> </w:t>
      </w:r>
      <w:r w:rsidR="000A1AAE" w:rsidRPr="00857B1D">
        <w:t>legislative</w:t>
      </w:r>
      <w:r w:rsidR="00D52FD0">
        <w:t xml:space="preserve"> </w:t>
      </w:r>
      <w:r w:rsidR="000A1AAE" w:rsidRPr="00857B1D">
        <w:t>proposals</w:t>
      </w:r>
      <w:r w:rsidR="00D52FD0">
        <w:t xml:space="preserve"> </w:t>
      </w:r>
      <w:r w:rsidR="000A1AAE" w:rsidRPr="00857B1D">
        <w:t>help</w:t>
      </w:r>
      <w:r w:rsidR="00D52FD0">
        <w:t xml:space="preserve"> </w:t>
      </w:r>
      <w:r w:rsidR="000A1AAE" w:rsidRPr="00857B1D">
        <w:t>enhance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system</w:t>
      </w:r>
      <w:r w:rsidR="00D52FD0">
        <w:t xml:space="preserve"> </w:t>
      </w:r>
      <w:r w:rsidR="000A1AAE" w:rsidRPr="00857B1D">
        <w:t>of</w:t>
      </w:r>
      <w:r w:rsidR="00D52FD0">
        <w:t xml:space="preserve"> </w:t>
      </w:r>
      <w:r w:rsidR="000A1AAE" w:rsidRPr="00857B1D">
        <w:t>checks</w:t>
      </w:r>
      <w:r w:rsidR="00D52FD0">
        <w:t xml:space="preserve"> </w:t>
      </w:r>
      <w:r w:rsidR="000A1AAE" w:rsidRPr="00857B1D">
        <w:t>and</w:t>
      </w:r>
      <w:r w:rsidR="00D52FD0">
        <w:t xml:space="preserve"> </w:t>
      </w:r>
      <w:r w:rsidR="000A1AAE" w:rsidRPr="00857B1D">
        <w:t>balances</w:t>
      </w:r>
      <w:r w:rsidR="00D52FD0">
        <w:t xml:space="preserve"> </w:t>
      </w:r>
      <w:r w:rsidR="000A1AAE" w:rsidRPr="00857B1D">
        <w:t>in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evolution</w:t>
      </w:r>
      <w:r w:rsidR="00D52FD0">
        <w:t xml:space="preserve"> </w:t>
      </w:r>
      <w:r w:rsidR="000A1AAE" w:rsidRPr="00857B1D">
        <w:t>of</w:t>
      </w:r>
      <w:r w:rsidR="00D52FD0">
        <w:t xml:space="preserve"> </w:t>
      </w:r>
      <w:r w:rsidR="000A1AAE" w:rsidRPr="00857B1D">
        <w:t>Maltese</w:t>
      </w:r>
      <w:r w:rsidR="00D52FD0">
        <w:t xml:space="preserve"> </w:t>
      </w:r>
      <w:r w:rsidR="000A1AAE" w:rsidRPr="00857B1D">
        <w:t>democracy.</w:t>
      </w:r>
    </w:p>
    <w:p w14:paraId="636BD88A" w14:textId="6745ACA7" w:rsidR="000E4FD0" w:rsidRDefault="0044637E" w:rsidP="0044637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>
        <w:lastRenderedPageBreak/>
        <w:t>227.</w:t>
      </w:r>
      <w:r>
        <w:tab/>
      </w:r>
      <w:r w:rsidR="000A1AAE" w:rsidRPr="00857B1D">
        <w:t>With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coming</w:t>
      </w:r>
      <w:r w:rsidR="00D52FD0">
        <w:t xml:space="preserve"> </w:t>
      </w:r>
      <w:r w:rsidR="000A1AAE" w:rsidRPr="00857B1D">
        <w:t>into</w:t>
      </w:r>
      <w:r w:rsidR="00D52FD0">
        <w:t xml:space="preserve"> </w:t>
      </w:r>
      <w:r w:rsidR="000A1AAE" w:rsidRPr="00857B1D">
        <w:t>force</w:t>
      </w:r>
      <w:r w:rsidR="00D52FD0">
        <w:t xml:space="preserve"> </w:t>
      </w:r>
      <w:r w:rsidR="000A1AAE" w:rsidRPr="00857B1D">
        <w:t>of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Media</w:t>
      </w:r>
      <w:r w:rsidR="00D52FD0">
        <w:t xml:space="preserve"> </w:t>
      </w:r>
      <w:r w:rsidR="000A1AAE" w:rsidRPr="00857B1D">
        <w:t>Defamation</w:t>
      </w:r>
      <w:r w:rsidR="00D52FD0">
        <w:t xml:space="preserve"> </w:t>
      </w:r>
      <w:r w:rsidR="000A1AAE" w:rsidRPr="00857B1D">
        <w:t>Act,</w:t>
      </w:r>
      <w:r w:rsidR="00D52FD0">
        <w:t xml:space="preserve"> </w:t>
      </w:r>
      <w:r w:rsidR="000A1AAE" w:rsidRPr="00857B1D">
        <w:t>2018</w:t>
      </w:r>
      <w:r w:rsidR="00D52FD0">
        <w:t xml:space="preserve"> </w:t>
      </w:r>
      <w:r w:rsidR="000A1AAE" w:rsidRPr="00857B1D">
        <w:t>in</w:t>
      </w:r>
      <w:r w:rsidR="00D52FD0">
        <w:t xml:space="preserve"> </w:t>
      </w:r>
      <w:r w:rsidR="000A1AAE" w:rsidRPr="00857B1D">
        <w:t>April</w:t>
      </w:r>
      <w:r w:rsidR="00D52FD0">
        <w:t xml:space="preserve"> </w:t>
      </w:r>
      <w:r w:rsidR="000A1AAE" w:rsidRPr="00857B1D">
        <w:t>2018,</w:t>
      </w:r>
      <w:r w:rsidR="00D52FD0">
        <w:t xml:space="preserve"> </w:t>
      </w:r>
      <w:r w:rsidR="000A1AAE" w:rsidRPr="00857B1D">
        <w:t>Chapter</w:t>
      </w:r>
      <w:r w:rsidR="00D52FD0">
        <w:t xml:space="preserve"> </w:t>
      </w:r>
      <w:r w:rsidR="000A1AAE" w:rsidRPr="00857B1D">
        <w:t>248</w:t>
      </w:r>
      <w:r w:rsidR="00D52FD0">
        <w:t xml:space="preserve"> </w:t>
      </w:r>
      <w:r w:rsidR="000A1AAE" w:rsidRPr="00857B1D">
        <w:t>of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Laws</w:t>
      </w:r>
      <w:r w:rsidR="00D52FD0">
        <w:t xml:space="preserve"> </w:t>
      </w:r>
      <w:r w:rsidR="000A1AAE" w:rsidRPr="00857B1D">
        <w:t>of</w:t>
      </w:r>
      <w:r w:rsidR="00D52FD0">
        <w:t xml:space="preserve"> </w:t>
      </w:r>
      <w:r w:rsidR="000A1AAE" w:rsidRPr="00857B1D">
        <w:t>Malta</w:t>
      </w:r>
      <w:r w:rsidR="00D52FD0">
        <w:t xml:space="preserve"> </w:t>
      </w:r>
      <w:r w:rsidR="000A1AAE" w:rsidRPr="00857B1D">
        <w:t>was</w:t>
      </w:r>
      <w:r w:rsidR="00D52FD0">
        <w:t xml:space="preserve"> </w:t>
      </w:r>
      <w:r w:rsidR="000A1AAE" w:rsidRPr="00857B1D">
        <w:t>repealed,</w:t>
      </w:r>
      <w:r w:rsidR="00D52FD0">
        <w:t xml:space="preserve"> </w:t>
      </w:r>
      <w:r w:rsidR="000A1AAE" w:rsidRPr="00857B1D">
        <w:t>and</w:t>
      </w:r>
      <w:r w:rsidR="00D52FD0">
        <w:t xml:space="preserve"> </w:t>
      </w:r>
      <w:r w:rsidR="000A1AAE" w:rsidRPr="00857B1D">
        <w:t>hence</w:t>
      </w:r>
      <w:r w:rsidR="00D52FD0">
        <w:t xml:space="preserve"> </w:t>
      </w:r>
      <w:r w:rsidR="000A1AAE" w:rsidRPr="00857B1D">
        <w:t>criminal</w:t>
      </w:r>
      <w:r w:rsidR="00D52FD0">
        <w:t xml:space="preserve"> </w:t>
      </w:r>
      <w:r w:rsidR="000A1AAE" w:rsidRPr="00857B1D">
        <w:t>libel</w:t>
      </w:r>
      <w:r w:rsidR="00D52FD0">
        <w:t xml:space="preserve"> </w:t>
      </w:r>
      <w:r w:rsidR="000A1AAE" w:rsidRPr="00857B1D">
        <w:t>was</w:t>
      </w:r>
      <w:r w:rsidR="00D52FD0">
        <w:t xml:space="preserve"> </w:t>
      </w:r>
      <w:r w:rsidR="000A1AAE" w:rsidRPr="00857B1D">
        <w:t>abolished.</w:t>
      </w:r>
      <w:r w:rsidR="00D52FD0">
        <w:t xml:space="preserve"> </w:t>
      </w:r>
      <w:r w:rsidR="000A1AAE" w:rsidRPr="00857B1D">
        <w:t>In</w:t>
      </w:r>
      <w:r w:rsidR="00D52FD0">
        <w:t xml:space="preserve"> </w:t>
      </w:r>
      <w:r w:rsidR="000A1AAE" w:rsidRPr="00857B1D">
        <w:t>this</w:t>
      </w:r>
      <w:r w:rsidR="00D52FD0">
        <w:t xml:space="preserve"> </w:t>
      </w:r>
      <w:r w:rsidR="000A1AAE" w:rsidRPr="00857B1D">
        <w:t>regard.</w:t>
      </w:r>
      <w:r w:rsidR="00D52FD0">
        <w:t xml:space="preserve"> </w:t>
      </w:r>
      <w:r w:rsidR="000A1AAE" w:rsidRPr="00857B1D">
        <w:t>With</w:t>
      </w:r>
      <w:r w:rsidR="00D52FD0">
        <w:t xml:space="preserve"> </w:t>
      </w:r>
      <w:r w:rsidR="000A1AAE" w:rsidRPr="00857B1D">
        <w:t>regards</w:t>
      </w:r>
      <w:r w:rsidR="00D52FD0">
        <w:t xml:space="preserve"> </w:t>
      </w:r>
      <w:r w:rsidR="000A1AAE" w:rsidRPr="00857B1D">
        <w:t>to</w:t>
      </w:r>
      <w:r w:rsidR="00D52FD0">
        <w:t xml:space="preserve"> </w:t>
      </w:r>
      <w:r w:rsidR="000A1AAE" w:rsidRPr="00857B1D">
        <w:t>ongoing</w:t>
      </w:r>
      <w:r w:rsidR="00D52FD0">
        <w:t xml:space="preserve"> </w:t>
      </w:r>
      <w:r w:rsidR="000A1AAE" w:rsidRPr="00857B1D">
        <w:t>civil</w:t>
      </w:r>
      <w:r w:rsidR="00D52FD0">
        <w:t xml:space="preserve"> </w:t>
      </w:r>
      <w:r w:rsidR="000A1AAE" w:rsidRPr="00857B1D">
        <w:t>libel</w:t>
      </w:r>
      <w:r w:rsidR="00D52FD0">
        <w:t xml:space="preserve"> </w:t>
      </w:r>
      <w:r w:rsidR="000A1AAE" w:rsidRPr="00857B1D">
        <w:t>cases,</w:t>
      </w:r>
      <w:r w:rsidR="00D52FD0">
        <w:t xml:space="preserve"> </w:t>
      </w:r>
      <w:r w:rsidR="000A1AAE" w:rsidRPr="00857B1D">
        <w:t>there</w:t>
      </w:r>
      <w:r w:rsidR="00D52FD0">
        <w:t xml:space="preserve"> </w:t>
      </w:r>
      <w:r w:rsidR="000A1AAE" w:rsidRPr="00857B1D">
        <w:t>are</w:t>
      </w:r>
      <w:r w:rsidR="00D52FD0">
        <w:t xml:space="preserve"> </w:t>
      </w:r>
      <w:r w:rsidR="000A1AAE" w:rsidRPr="00857B1D">
        <w:t>45</w:t>
      </w:r>
      <w:r w:rsidR="00D52FD0">
        <w:t xml:space="preserve"> </w:t>
      </w:r>
      <w:r w:rsidR="000A1AAE" w:rsidRPr="00857B1D">
        <w:t>ongoing</w:t>
      </w:r>
      <w:r w:rsidR="00D52FD0">
        <w:t xml:space="preserve"> </w:t>
      </w:r>
      <w:r w:rsidR="000A1AAE" w:rsidRPr="00857B1D">
        <w:t>cases,</w:t>
      </w:r>
      <w:r w:rsidR="00D52FD0">
        <w:t xml:space="preserve"> </w:t>
      </w:r>
      <w:r w:rsidR="000A1AAE" w:rsidRPr="00857B1D">
        <w:t>9</w:t>
      </w:r>
      <w:r w:rsidR="00D52FD0">
        <w:t xml:space="preserve"> </w:t>
      </w:r>
      <w:r w:rsidR="000A1AAE" w:rsidRPr="00857B1D">
        <w:t>terminated</w:t>
      </w:r>
      <w:r w:rsidR="00D52FD0">
        <w:t xml:space="preserve"> </w:t>
      </w:r>
      <w:r w:rsidR="000A1AAE" w:rsidRPr="00857B1D">
        <w:t>cases</w:t>
      </w:r>
      <w:r w:rsidR="00D52FD0">
        <w:t xml:space="preserve"> </w:t>
      </w:r>
      <w:r w:rsidR="000A1AAE" w:rsidRPr="00857B1D">
        <w:t>(judgement</w:t>
      </w:r>
      <w:r w:rsidR="00D52FD0">
        <w:t xml:space="preserve"> </w:t>
      </w:r>
      <w:r w:rsidR="000A1AAE" w:rsidRPr="00857B1D">
        <w:t>was</w:t>
      </w:r>
      <w:r w:rsidR="00D52FD0">
        <w:t xml:space="preserve"> </w:t>
      </w:r>
      <w:r w:rsidR="000A1AAE" w:rsidRPr="00857B1D">
        <w:t>delivered)</w:t>
      </w:r>
      <w:r w:rsidR="00D52FD0">
        <w:t xml:space="preserve"> </w:t>
      </w:r>
      <w:r w:rsidR="000A1AAE" w:rsidRPr="00857B1D">
        <w:t>and</w:t>
      </w:r>
      <w:r w:rsidR="00D52FD0">
        <w:t xml:space="preserve"> </w:t>
      </w:r>
      <w:r w:rsidR="000A1AAE" w:rsidRPr="00857B1D">
        <w:t>12</w:t>
      </w:r>
      <w:r w:rsidR="00D52FD0">
        <w:t xml:space="preserve"> </w:t>
      </w:r>
      <w:r w:rsidR="000A1AAE" w:rsidRPr="00857B1D">
        <w:t>cases</w:t>
      </w:r>
      <w:r w:rsidR="00D52FD0">
        <w:t xml:space="preserve"> </w:t>
      </w:r>
      <w:r w:rsidR="000A1AAE" w:rsidRPr="00857B1D">
        <w:t>which</w:t>
      </w:r>
      <w:r w:rsidR="00D52FD0">
        <w:t xml:space="preserve"> </w:t>
      </w:r>
      <w:r w:rsidR="000A1AAE" w:rsidRPr="00857B1D">
        <w:t>have</w:t>
      </w:r>
      <w:r w:rsidR="00D52FD0">
        <w:t xml:space="preserve"> </w:t>
      </w:r>
      <w:r w:rsidR="000A1AAE" w:rsidRPr="00857B1D">
        <w:t>been</w:t>
      </w:r>
      <w:r w:rsidR="00D52FD0">
        <w:t xml:space="preserve"> </w:t>
      </w:r>
      <w:r w:rsidR="000A1AAE" w:rsidRPr="00857B1D">
        <w:t>ceded.</w:t>
      </w:r>
    </w:p>
    <w:p w14:paraId="27374CC5" w14:textId="74971775" w:rsidR="000A1AAE" w:rsidRPr="00825CCA" w:rsidRDefault="000A1AAE" w:rsidP="0088156A">
      <w:pPr>
        <w:pStyle w:val="H1G"/>
      </w:pPr>
      <w:r>
        <w:tab/>
      </w:r>
      <w:r>
        <w:tab/>
      </w:r>
      <w:r w:rsidRPr="00825CCA">
        <w:t>Right</w:t>
      </w:r>
      <w:r w:rsidR="00D52FD0">
        <w:t xml:space="preserve"> </w:t>
      </w:r>
      <w:r w:rsidRPr="00825CCA">
        <w:t>to</w:t>
      </w:r>
      <w:r w:rsidR="00D52FD0">
        <w:t xml:space="preserve"> </w:t>
      </w:r>
      <w:r w:rsidRPr="00825CCA">
        <w:t>peaceful</w:t>
      </w:r>
      <w:r w:rsidR="00D52FD0">
        <w:t xml:space="preserve"> </w:t>
      </w:r>
      <w:r w:rsidRPr="00825CCA">
        <w:t>assembly</w:t>
      </w:r>
      <w:r w:rsidR="00D52FD0">
        <w:t xml:space="preserve"> </w:t>
      </w:r>
      <w:r w:rsidRPr="00825CCA">
        <w:t>(art.</w:t>
      </w:r>
      <w:r w:rsidR="00D52FD0">
        <w:t xml:space="preserve"> </w:t>
      </w:r>
      <w:r w:rsidRPr="00825CCA">
        <w:t>21)</w:t>
      </w:r>
    </w:p>
    <w:p w14:paraId="4ABC1505" w14:textId="77777777" w:rsidR="000E4FD0" w:rsidRDefault="000A1AAE" w:rsidP="0088156A">
      <w:pPr>
        <w:pStyle w:val="H23G"/>
        <w:rPr>
          <w:rFonts w:eastAsia="Calibri"/>
        </w:rPr>
      </w:pPr>
      <w:r>
        <w:tab/>
      </w:r>
      <w:r>
        <w:tab/>
      </w:r>
      <w:r w:rsidRPr="00504902">
        <w:t>Reply</w:t>
      </w:r>
      <w:r w:rsidR="00D52FD0">
        <w:t xml:space="preserve"> </w:t>
      </w:r>
      <w:r w:rsidRPr="00504902">
        <w:t>to</w:t>
      </w:r>
      <w:r w:rsidR="00D52FD0">
        <w:t xml:space="preserve"> </w:t>
      </w:r>
      <w:r w:rsidRPr="00504902">
        <w:t>paragraph</w:t>
      </w:r>
      <w:r w:rsidR="00D52FD0">
        <w:t xml:space="preserve"> </w:t>
      </w:r>
      <w:r>
        <w:t>24</w:t>
      </w:r>
      <w:r w:rsidR="00D52FD0">
        <w:t xml:space="preserve"> </w:t>
      </w:r>
      <w:r w:rsidRPr="00504902">
        <w:t>of</w:t>
      </w:r>
      <w:r w:rsidR="00D52FD0">
        <w:t xml:space="preserve"> </w:t>
      </w:r>
      <w:r w:rsidRPr="00504902">
        <w:t>the</w:t>
      </w:r>
      <w:r w:rsidR="00D52FD0">
        <w:t xml:space="preserve"> </w:t>
      </w:r>
      <w:r w:rsidRPr="00504902">
        <w:t>list</w:t>
      </w:r>
      <w:r w:rsidR="00D52FD0">
        <w:t xml:space="preserve"> </w:t>
      </w:r>
      <w:r w:rsidRPr="00504902">
        <w:t>of</w:t>
      </w:r>
      <w:r w:rsidR="00D52FD0">
        <w:t xml:space="preserve"> </w:t>
      </w:r>
      <w:r w:rsidRPr="00504902">
        <w:t>issues</w:t>
      </w:r>
    </w:p>
    <w:p w14:paraId="13D14596" w14:textId="65A78928" w:rsidR="000A1AAE" w:rsidRPr="00857B1D" w:rsidRDefault="0044637E" w:rsidP="0044637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857B1D">
        <w:t>228.</w:t>
      </w:r>
      <w:r w:rsidRPr="00857B1D">
        <w:tab/>
      </w:r>
      <w:r w:rsidR="000A1AAE" w:rsidRPr="00857B1D">
        <w:t>The</w:t>
      </w:r>
      <w:r w:rsidR="00D52FD0">
        <w:t xml:space="preserve"> </w:t>
      </w:r>
      <w:r w:rsidR="000A1AAE" w:rsidRPr="00857B1D">
        <w:t>Malta</w:t>
      </w:r>
      <w:r w:rsidR="00D52FD0">
        <w:t xml:space="preserve"> </w:t>
      </w:r>
      <w:r w:rsidR="000A1AAE" w:rsidRPr="00857B1D">
        <w:t>Police</w:t>
      </w:r>
      <w:r w:rsidR="00D52FD0">
        <w:t xml:space="preserve"> </w:t>
      </w:r>
      <w:r w:rsidR="000A1AAE" w:rsidRPr="00857B1D">
        <w:t>Force</w:t>
      </w:r>
      <w:r w:rsidR="00D52FD0">
        <w:t xml:space="preserve"> </w:t>
      </w:r>
      <w:r w:rsidR="000A1AAE" w:rsidRPr="00857B1D">
        <w:t>has</w:t>
      </w:r>
      <w:r w:rsidR="00D52FD0">
        <w:t xml:space="preserve"> </w:t>
      </w:r>
      <w:r w:rsidR="000A1AAE" w:rsidRPr="00857B1D">
        <w:t>always</w:t>
      </w:r>
      <w:r w:rsidR="00D52FD0">
        <w:t xml:space="preserve"> </w:t>
      </w:r>
      <w:r w:rsidR="000A1AAE" w:rsidRPr="00857B1D">
        <w:t>favourably</w:t>
      </w:r>
      <w:r w:rsidR="00D52FD0">
        <w:t xml:space="preserve"> </w:t>
      </w:r>
      <w:r w:rsidR="000A1AAE" w:rsidRPr="00857B1D">
        <w:t>processed</w:t>
      </w:r>
      <w:r w:rsidR="00D52FD0">
        <w:t xml:space="preserve"> </w:t>
      </w:r>
      <w:r w:rsidR="000A1AAE" w:rsidRPr="00857B1D">
        <w:t>any</w:t>
      </w:r>
      <w:r w:rsidR="00D52FD0">
        <w:t xml:space="preserve"> </w:t>
      </w:r>
      <w:r w:rsidR="000A1AAE" w:rsidRPr="00857B1D">
        <w:t>requests</w:t>
      </w:r>
      <w:r w:rsidR="00D52FD0">
        <w:t xml:space="preserve"> </w:t>
      </w:r>
      <w:r w:rsidR="000A1AAE" w:rsidRPr="00857B1D">
        <w:t>for</w:t>
      </w:r>
      <w:r w:rsidR="00D52FD0">
        <w:t xml:space="preserve"> </w:t>
      </w:r>
      <w:r w:rsidR="000A1AAE" w:rsidRPr="00857B1D">
        <w:t>public</w:t>
      </w:r>
      <w:r w:rsidR="00D52FD0">
        <w:t xml:space="preserve"> </w:t>
      </w:r>
      <w:r w:rsidR="000A1AAE" w:rsidRPr="00857B1D">
        <w:t>protests/demonstrations.</w:t>
      </w:r>
      <w:r w:rsidR="00D52FD0">
        <w:t xml:space="preserve"> </w:t>
      </w:r>
      <w:r w:rsidR="000A1AAE" w:rsidRPr="00857B1D">
        <w:t>In</w:t>
      </w:r>
      <w:r w:rsidR="00D52FD0">
        <w:t xml:space="preserve"> </w:t>
      </w:r>
      <w:r w:rsidR="000A1AAE" w:rsidRPr="00857B1D">
        <w:t>cases</w:t>
      </w:r>
      <w:r w:rsidR="00D52FD0">
        <w:t xml:space="preserve"> </w:t>
      </w:r>
      <w:r w:rsidR="000A1AAE" w:rsidRPr="00857B1D">
        <w:t>where</w:t>
      </w:r>
      <w:r w:rsidR="00D52FD0">
        <w:t xml:space="preserve"> </w:t>
      </w:r>
      <w:r w:rsidR="000A1AAE" w:rsidRPr="00857B1D">
        <w:t>such</w:t>
      </w:r>
      <w:r w:rsidR="00D52FD0">
        <w:t xml:space="preserve"> </w:t>
      </w:r>
      <w:r w:rsidR="000A1AAE" w:rsidRPr="00857B1D">
        <w:t>events</w:t>
      </w:r>
      <w:r w:rsidR="00D52FD0">
        <w:t xml:space="preserve"> </w:t>
      </w:r>
      <w:r w:rsidR="000A1AAE" w:rsidRPr="00857B1D">
        <w:t>were</w:t>
      </w:r>
      <w:r w:rsidR="00D52FD0">
        <w:t xml:space="preserve"> </w:t>
      </w:r>
      <w:r w:rsidR="000A1AAE" w:rsidRPr="00857B1D">
        <w:t>held</w:t>
      </w:r>
      <w:r w:rsidR="00D52FD0">
        <w:t xml:space="preserve"> </w:t>
      </w:r>
      <w:r w:rsidR="000A1AAE" w:rsidRPr="00857B1D">
        <w:t>without</w:t>
      </w:r>
      <w:r w:rsidR="00D52FD0">
        <w:t xml:space="preserve"> </w:t>
      </w:r>
      <w:r w:rsidR="000A1AAE" w:rsidRPr="00857B1D">
        <w:t>prior</w:t>
      </w:r>
      <w:r w:rsidR="00D52FD0">
        <w:t xml:space="preserve"> </w:t>
      </w:r>
      <w:r w:rsidR="000A1AAE" w:rsidRPr="00857B1D">
        <w:t>notice</w:t>
      </w:r>
      <w:r w:rsidR="00D52FD0">
        <w:t xml:space="preserve"> </w:t>
      </w:r>
      <w:r w:rsidR="000A1AAE" w:rsidRPr="00857B1D">
        <w:t>to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police,</w:t>
      </w:r>
      <w:r w:rsidR="00D52FD0">
        <w:t xml:space="preserve"> </w:t>
      </w:r>
      <w:r w:rsidR="000A1AAE" w:rsidRPr="00857B1D">
        <w:t>these</w:t>
      </w:r>
      <w:r w:rsidR="00D52FD0">
        <w:t xml:space="preserve"> </w:t>
      </w:r>
      <w:r w:rsidR="000A1AAE" w:rsidRPr="00857B1D">
        <w:t>were</w:t>
      </w:r>
      <w:r w:rsidR="00D52FD0">
        <w:t xml:space="preserve"> </w:t>
      </w:r>
      <w:r w:rsidR="000A1AAE" w:rsidRPr="00857B1D">
        <w:t>still</w:t>
      </w:r>
      <w:r w:rsidR="00D52FD0">
        <w:t xml:space="preserve"> </w:t>
      </w:r>
      <w:r w:rsidR="000A1AAE" w:rsidRPr="00857B1D">
        <w:t>allowed</w:t>
      </w:r>
      <w:r w:rsidR="00D52FD0">
        <w:t xml:space="preserve"> </w:t>
      </w:r>
      <w:r w:rsidR="000A1AAE" w:rsidRPr="00857B1D">
        <w:t>to</w:t>
      </w:r>
      <w:r w:rsidR="00D52FD0">
        <w:t xml:space="preserve"> </w:t>
      </w:r>
      <w:r w:rsidR="000A1AAE" w:rsidRPr="00857B1D">
        <w:t>take</w:t>
      </w:r>
      <w:r w:rsidR="00D52FD0">
        <w:t xml:space="preserve"> </w:t>
      </w:r>
      <w:r w:rsidR="000A1AAE" w:rsidRPr="00857B1D">
        <w:t>place</w:t>
      </w:r>
      <w:r w:rsidR="00D52FD0">
        <w:t xml:space="preserve"> </w:t>
      </w:r>
      <w:r w:rsidR="000A1AAE" w:rsidRPr="00857B1D">
        <w:t>since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Police</w:t>
      </w:r>
      <w:r w:rsidR="00D52FD0">
        <w:t xml:space="preserve"> </w:t>
      </w:r>
      <w:r w:rsidR="000A1AAE" w:rsidRPr="00857B1D">
        <w:t>force</w:t>
      </w:r>
      <w:r w:rsidR="00D52FD0">
        <w:t xml:space="preserve"> </w:t>
      </w:r>
      <w:r w:rsidR="000A1AAE" w:rsidRPr="00857B1D">
        <w:t>recognises</w:t>
      </w:r>
      <w:r w:rsidR="00D52FD0">
        <w:t xml:space="preserve"> </w:t>
      </w:r>
      <w:r w:rsidR="000A1AAE" w:rsidRPr="00857B1D">
        <w:t>and</w:t>
      </w:r>
      <w:r w:rsidR="00D52FD0">
        <w:t xml:space="preserve"> </w:t>
      </w:r>
      <w:r w:rsidR="000A1AAE" w:rsidRPr="00857B1D">
        <w:t>safeguards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public</w:t>
      </w:r>
      <w:r w:rsidR="00F14DA3">
        <w:t>’</w:t>
      </w:r>
      <w:r w:rsidR="000A1AAE" w:rsidRPr="00857B1D">
        <w:t>s</w:t>
      </w:r>
      <w:r w:rsidR="00D52FD0">
        <w:t xml:space="preserve"> </w:t>
      </w:r>
      <w:r w:rsidR="000A1AAE" w:rsidRPr="00857B1D">
        <w:t>right</w:t>
      </w:r>
      <w:r w:rsidR="00D52FD0">
        <w:t xml:space="preserve"> </w:t>
      </w:r>
      <w:r w:rsidR="000A1AAE" w:rsidRPr="00857B1D">
        <w:t>to</w:t>
      </w:r>
      <w:r w:rsidR="00D52FD0">
        <w:t xml:space="preserve"> </w:t>
      </w:r>
      <w:r w:rsidR="000A1AAE" w:rsidRPr="00857B1D">
        <w:t>a</w:t>
      </w:r>
      <w:r w:rsidR="00D52FD0">
        <w:t xml:space="preserve"> </w:t>
      </w:r>
      <w:r w:rsidR="000A1AAE" w:rsidRPr="00857B1D">
        <w:t>peaceful</w:t>
      </w:r>
      <w:r w:rsidR="00D52FD0">
        <w:t xml:space="preserve"> </w:t>
      </w:r>
      <w:r w:rsidR="000A1AAE" w:rsidRPr="00857B1D">
        <w:t>assembly.</w:t>
      </w:r>
    </w:p>
    <w:p w14:paraId="28224EE5" w14:textId="46DB49B5" w:rsidR="000E4FD0" w:rsidRDefault="0044637E" w:rsidP="0044637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>
        <w:t>229.</w:t>
      </w:r>
      <w:r>
        <w:tab/>
      </w:r>
      <w:r w:rsidR="000A1AAE" w:rsidRPr="00857B1D">
        <w:t>Moreover,</w:t>
      </w:r>
      <w:r w:rsidR="00D52FD0">
        <w:t xml:space="preserve"> </w:t>
      </w:r>
      <w:r w:rsidR="000A1AAE" w:rsidRPr="00857B1D">
        <w:t>during</w:t>
      </w:r>
      <w:r w:rsidR="00D52FD0">
        <w:t xml:space="preserve"> </w:t>
      </w:r>
      <w:r w:rsidR="000A1AAE" w:rsidRPr="00857B1D">
        <w:t>all</w:t>
      </w:r>
      <w:r w:rsidR="00D52FD0">
        <w:t xml:space="preserve"> </w:t>
      </w:r>
      <w:r w:rsidR="000A1AAE" w:rsidRPr="00857B1D">
        <w:t>such</w:t>
      </w:r>
      <w:r w:rsidR="00D52FD0">
        <w:t xml:space="preserve"> </w:t>
      </w:r>
      <w:r w:rsidR="000A1AAE" w:rsidRPr="00857B1D">
        <w:t>events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police</w:t>
      </w:r>
      <w:r w:rsidR="00D52FD0">
        <w:t xml:space="preserve"> </w:t>
      </w:r>
      <w:r w:rsidR="000A1AAE" w:rsidRPr="00857B1D">
        <w:t>were</w:t>
      </w:r>
      <w:r w:rsidR="00D52FD0">
        <w:t xml:space="preserve"> </w:t>
      </w:r>
      <w:r w:rsidR="000A1AAE" w:rsidRPr="00857B1D">
        <w:t>present</w:t>
      </w:r>
      <w:r w:rsidR="00D52FD0">
        <w:t xml:space="preserve"> </w:t>
      </w:r>
      <w:r w:rsidR="000A1AAE" w:rsidRPr="00857B1D">
        <w:t>and</w:t>
      </w:r>
      <w:r w:rsidR="00D52FD0">
        <w:t xml:space="preserve"> </w:t>
      </w:r>
      <w:r w:rsidR="000A1AAE" w:rsidRPr="00857B1D">
        <w:t>ensured</w:t>
      </w:r>
      <w:r w:rsidR="00D52FD0">
        <w:t xml:space="preserve"> </w:t>
      </w:r>
      <w:r w:rsidR="000A1AAE" w:rsidRPr="00857B1D">
        <w:t>that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events</w:t>
      </w:r>
      <w:r w:rsidR="00D52FD0">
        <w:t xml:space="preserve"> </w:t>
      </w:r>
      <w:r w:rsidR="000A1AAE" w:rsidRPr="00857B1D">
        <w:t>proceeded</w:t>
      </w:r>
      <w:r w:rsidR="00D52FD0">
        <w:t xml:space="preserve"> </w:t>
      </w:r>
      <w:r w:rsidR="000A1AAE" w:rsidRPr="00857B1D">
        <w:t>smoothly</w:t>
      </w:r>
      <w:r w:rsidR="00D52FD0">
        <w:t xml:space="preserve"> </w:t>
      </w:r>
      <w:r w:rsidR="000A1AAE" w:rsidRPr="00857B1D">
        <w:t>whilst</w:t>
      </w:r>
      <w:r w:rsidR="00D52FD0">
        <w:t xml:space="preserve"> </w:t>
      </w:r>
      <w:r w:rsidR="000A1AAE" w:rsidRPr="00857B1D">
        <w:t>guaranteeing</w:t>
      </w:r>
      <w:r w:rsidR="00D52FD0">
        <w:t xml:space="preserve"> </w:t>
      </w:r>
      <w:r w:rsidR="000A1AAE" w:rsidRPr="00857B1D">
        <w:t>protection</w:t>
      </w:r>
      <w:r w:rsidR="00D52FD0">
        <w:t xml:space="preserve"> </w:t>
      </w:r>
      <w:r w:rsidR="000A1AAE" w:rsidRPr="00857B1D">
        <w:t>to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participants.</w:t>
      </w:r>
      <w:r w:rsidR="00D52FD0">
        <w:t xml:space="preserve"> </w:t>
      </w:r>
      <w:r w:rsidR="000A1AAE" w:rsidRPr="00857B1D">
        <w:t>When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events,</w:t>
      </w:r>
      <w:r w:rsidR="00D52FD0">
        <w:t xml:space="preserve"> </w:t>
      </w:r>
      <w:r w:rsidR="000A1AAE" w:rsidRPr="00857B1D">
        <w:t>both</w:t>
      </w:r>
      <w:r w:rsidR="00D52FD0">
        <w:t xml:space="preserve"> </w:t>
      </w:r>
      <w:r w:rsidR="000A1AAE" w:rsidRPr="00857B1D">
        <w:t>organised</w:t>
      </w:r>
      <w:r w:rsidR="00D52FD0">
        <w:t xml:space="preserve"> </w:t>
      </w:r>
      <w:r w:rsidR="000A1AAE" w:rsidRPr="00857B1D">
        <w:t>and</w:t>
      </w:r>
      <w:r w:rsidR="00D52FD0">
        <w:t xml:space="preserve"> </w:t>
      </w:r>
      <w:r w:rsidR="000A1AAE" w:rsidRPr="00857B1D">
        <w:t>spontaneous,</w:t>
      </w:r>
      <w:r w:rsidR="00D52FD0">
        <w:t xml:space="preserve"> </w:t>
      </w:r>
      <w:r w:rsidR="000A1AAE" w:rsidRPr="00857B1D">
        <w:t>required</w:t>
      </w:r>
      <w:r w:rsidR="00D52FD0">
        <w:t xml:space="preserve"> </w:t>
      </w:r>
      <w:r w:rsidR="000A1AAE" w:rsidRPr="00857B1D">
        <w:t>traffic</w:t>
      </w:r>
      <w:r w:rsidR="00D52FD0">
        <w:t xml:space="preserve"> </w:t>
      </w:r>
      <w:r w:rsidR="000A1AAE" w:rsidRPr="00857B1D">
        <w:t>diversions</w:t>
      </w:r>
      <w:r w:rsidR="00D52FD0">
        <w:t xml:space="preserve"> </w:t>
      </w:r>
      <w:r w:rsidR="000A1AAE" w:rsidRPr="00857B1D">
        <w:t>and</w:t>
      </w:r>
      <w:r w:rsidR="00D52FD0">
        <w:t xml:space="preserve"> </w:t>
      </w:r>
      <w:r w:rsidR="000A1AAE" w:rsidRPr="00857B1D">
        <w:t>management,</w:t>
      </w:r>
      <w:r w:rsidR="00D52FD0">
        <w:t xml:space="preserve"> </w:t>
      </w:r>
      <w:r w:rsidR="000A1AAE" w:rsidRPr="00857B1D">
        <w:t>the</w:t>
      </w:r>
      <w:r w:rsidR="00D52FD0">
        <w:t xml:space="preserve"> </w:t>
      </w:r>
      <w:r w:rsidR="000A1AAE" w:rsidRPr="00857B1D">
        <w:t>police</w:t>
      </w:r>
      <w:r w:rsidR="00D52FD0">
        <w:t xml:space="preserve"> </w:t>
      </w:r>
      <w:r w:rsidR="000A1AAE" w:rsidRPr="00857B1D">
        <w:t>did</w:t>
      </w:r>
      <w:r w:rsidR="00D52FD0">
        <w:t xml:space="preserve"> </w:t>
      </w:r>
      <w:r w:rsidR="000A1AAE" w:rsidRPr="00857B1D">
        <w:t>their</w:t>
      </w:r>
      <w:r w:rsidR="00D52FD0">
        <w:t xml:space="preserve"> </w:t>
      </w:r>
      <w:r w:rsidR="000A1AAE" w:rsidRPr="00857B1D">
        <w:t>utmost</w:t>
      </w:r>
      <w:r w:rsidR="00D52FD0">
        <w:t xml:space="preserve"> </w:t>
      </w:r>
      <w:r w:rsidR="000A1AAE" w:rsidRPr="00857B1D">
        <w:t>remedied</w:t>
      </w:r>
      <w:r w:rsidR="00D52FD0">
        <w:t xml:space="preserve"> </w:t>
      </w:r>
      <w:r w:rsidR="000A1AAE" w:rsidRPr="00857B1D">
        <w:t>as</w:t>
      </w:r>
      <w:r w:rsidR="00D52FD0">
        <w:t xml:space="preserve"> </w:t>
      </w:r>
      <w:r w:rsidR="000A1AAE" w:rsidRPr="00857B1D">
        <w:t>best</w:t>
      </w:r>
      <w:r w:rsidR="00D52FD0">
        <w:t xml:space="preserve"> </w:t>
      </w:r>
      <w:r w:rsidR="000A1AAE" w:rsidRPr="00857B1D">
        <w:t>as</w:t>
      </w:r>
      <w:r w:rsidR="00D52FD0">
        <w:t xml:space="preserve"> </w:t>
      </w:r>
      <w:r w:rsidR="000A1AAE" w:rsidRPr="00857B1D">
        <w:t>possible</w:t>
      </w:r>
      <w:r w:rsidR="00D52FD0">
        <w:t xml:space="preserve"> </w:t>
      </w:r>
      <w:r w:rsidR="000A1AAE" w:rsidRPr="00857B1D">
        <w:t>to</w:t>
      </w:r>
      <w:r w:rsidR="00D52FD0">
        <w:t xml:space="preserve"> </w:t>
      </w:r>
      <w:r w:rsidR="000A1AAE" w:rsidRPr="00857B1D">
        <w:t>ensure</w:t>
      </w:r>
      <w:r w:rsidR="00D52FD0">
        <w:t xml:space="preserve"> </w:t>
      </w:r>
      <w:r w:rsidR="000A1AAE" w:rsidRPr="00857B1D">
        <w:t>everyone</w:t>
      </w:r>
      <w:r w:rsidR="00F14DA3">
        <w:t>’</w:t>
      </w:r>
      <w:r w:rsidR="000A1AAE" w:rsidRPr="00857B1D">
        <w:t>s</w:t>
      </w:r>
      <w:r w:rsidR="00D52FD0">
        <w:t xml:space="preserve"> </w:t>
      </w:r>
      <w:r w:rsidR="000A1AAE" w:rsidRPr="00857B1D">
        <w:t>public</w:t>
      </w:r>
      <w:r w:rsidR="00D52FD0">
        <w:t xml:space="preserve"> </w:t>
      </w:r>
      <w:r w:rsidR="000A1AAE" w:rsidRPr="00857B1D">
        <w:t>safety.</w:t>
      </w:r>
    </w:p>
    <w:p w14:paraId="307706F2" w14:textId="2C7F3BB5" w:rsidR="0088156A" w:rsidRPr="00A93165" w:rsidRDefault="0088156A" w:rsidP="0088156A">
      <w:pPr>
        <w:spacing w:before="240"/>
        <w:jc w:val="center"/>
        <w:rPr>
          <w:u w:val="single"/>
        </w:rPr>
      </w:pPr>
      <w:r w:rsidRPr="00A93165">
        <w:rPr>
          <w:u w:val="single"/>
        </w:rPr>
        <w:tab/>
      </w:r>
      <w:r w:rsidRPr="00A93165">
        <w:rPr>
          <w:u w:val="single"/>
        </w:rPr>
        <w:tab/>
      </w:r>
      <w:r w:rsidRPr="00A93165">
        <w:rPr>
          <w:u w:val="single"/>
        </w:rPr>
        <w:tab/>
      </w:r>
    </w:p>
    <w:sectPr w:rsidR="0088156A" w:rsidRPr="00A93165" w:rsidSect="00472FED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7A8DC" w14:textId="77777777" w:rsidR="00CA363F" w:rsidRPr="00B903E5" w:rsidRDefault="00CA363F" w:rsidP="00B903E5">
      <w:pPr>
        <w:pStyle w:val="Footer"/>
      </w:pPr>
    </w:p>
  </w:endnote>
  <w:endnote w:type="continuationSeparator" w:id="0">
    <w:p w14:paraId="16A56F7F" w14:textId="77777777" w:rsidR="00CA363F" w:rsidRPr="00B903E5" w:rsidRDefault="00CA363F" w:rsidP="00B903E5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69CEF" w14:textId="19E23321" w:rsidR="000A1AAE" w:rsidRDefault="000A1AAE" w:rsidP="000A1AAE">
    <w:pPr>
      <w:pStyle w:val="Footer"/>
      <w:tabs>
        <w:tab w:val="right" w:pos="9638"/>
      </w:tabs>
    </w:pPr>
    <w:r w:rsidRPr="000A1AAE">
      <w:rPr>
        <w:b/>
        <w:bCs/>
        <w:sz w:val="18"/>
      </w:rPr>
      <w:fldChar w:fldCharType="begin"/>
    </w:r>
    <w:r w:rsidRPr="000A1AAE">
      <w:rPr>
        <w:b/>
        <w:bCs/>
        <w:sz w:val="18"/>
      </w:rPr>
      <w:instrText xml:space="preserve"> PAGE  \* MERGEFORMAT </w:instrText>
    </w:r>
    <w:r w:rsidRPr="000A1AAE">
      <w:rPr>
        <w:b/>
        <w:bCs/>
        <w:sz w:val="18"/>
      </w:rPr>
      <w:fldChar w:fldCharType="separate"/>
    </w:r>
    <w:r w:rsidR="00B05830">
      <w:rPr>
        <w:b/>
        <w:bCs/>
        <w:noProof/>
        <w:sz w:val="18"/>
      </w:rPr>
      <w:t>14</w:t>
    </w:r>
    <w:r w:rsidRPr="000A1AAE">
      <w:rPr>
        <w:b/>
        <w:bCs/>
        <w:sz w:val="18"/>
      </w:rPr>
      <w:fldChar w:fldCharType="end"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D1C83" w14:textId="6E57F07E" w:rsidR="000A1AAE" w:rsidRDefault="000A1AAE" w:rsidP="000A1AAE">
    <w:pPr>
      <w:pStyle w:val="Footer"/>
      <w:tabs>
        <w:tab w:val="right" w:pos="9638"/>
      </w:tabs>
    </w:pPr>
    <w:r>
      <w:tab/>
    </w:r>
    <w:r w:rsidRPr="000A1AAE">
      <w:rPr>
        <w:b/>
        <w:bCs/>
        <w:sz w:val="18"/>
      </w:rPr>
      <w:fldChar w:fldCharType="begin"/>
    </w:r>
    <w:r w:rsidRPr="000A1AAE">
      <w:rPr>
        <w:b/>
        <w:bCs/>
        <w:sz w:val="18"/>
      </w:rPr>
      <w:instrText xml:space="preserve"> PAGE  \* MERGEFORMAT </w:instrText>
    </w:r>
    <w:r w:rsidRPr="000A1AAE">
      <w:rPr>
        <w:b/>
        <w:bCs/>
        <w:sz w:val="18"/>
      </w:rPr>
      <w:fldChar w:fldCharType="separate"/>
    </w:r>
    <w:r w:rsidR="00B05830">
      <w:rPr>
        <w:b/>
        <w:bCs/>
        <w:noProof/>
        <w:sz w:val="18"/>
      </w:rPr>
      <w:t>15</w:t>
    </w:r>
    <w:r w:rsidRPr="000A1AAE">
      <w:rPr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59E2F" w14:textId="17C4FEAD" w:rsidR="00EA087E" w:rsidRDefault="00EA087E" w:rsidP="00EA087E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79709504" wp14:editId="6F11C525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6AEB6A" w14:textId="43F11B64" w:rsidR="00EA087E" w:rsidRPr="00EA087E" w:rsidRDefault="00EA087E" w:rsidP="00EA087E">
    <w:pPr>
      <w:pStyle w:val="Footer"/>
      <w:ind w:right="1134"/>
      <w:rPr>
        <w:sz w:val="20"/>
      </w:rPr>
    </w:pPr>
    <w:r>
      <w:rPr>
        <w:sz w:val="20"/>
      </w:rPr>
      <w:t>GE.22-08183(E)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271DF9A4" wp14:editId="4DEAE9D4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561975" cy="5619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8065A" w14:textId="77777777" w:rsidR="00CA363F" w:rsidRPr="00B903E5" w:rsidRDefault="00CA363F" w:rsidP="00B903E5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127D2E5A" w14:textId="77777777" w:rsidR="00CA363F" w:rsidRPr="00B903E5" w:rsidRDefault="00CA363F" w:rsidP="00B903E5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id="1">
    <w:p w14:paraId="35EE4527" w14:textId="56A03345" w:rsidR="000A1AAE" w:rsidRPr="00A93165" w:rsidRDefault="000A1AAE">
      <w:pPr>
        <w:pStyle w:val="FootnoteText"/>
      </w:pPr>
      <w:r>
        <w:rPr>
          <w:rStyle w:val="FootnoteReference"/>
        </w:rPr>
        <w:tab/>
      </w:r>
      <w:r w:rsidRPr="000A1AAE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6A5682">
        <w:rPr>
          <w:szCs w:val="18"/>
        </w:rPr>
        <w:t>The present document is being issued without formal editing.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B992E" w14:textId="77777777" w:rsidR="000A1AAE" w:rsidRDefault="000A1AAE" w:rsidP="000A1AAE">
    <w:pPr>
      <w:pStyle w:val="Header"/>
    </w:pPr>
    <w:r>
      <w:t>CCPR/C/MLT/3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8CC3F" w14:textId="77777777" w:rsidR="000A1AAE" w:rsidRDefault="000A1AAE" w:rsidP="000A1AAE">
    <w:pPr>
      <w:pStyle w:val="Header"/>
      <w:jc w:val="right"/>
    </w:pPr>
    <w:r>
      <w:t>CCPR/C/MLT/3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A2867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0BA39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3D663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2E47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7400C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EFE9C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04A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96E4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B2F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0746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2B362816"/>
    <w:lvl w:ilvl="0" w:tplc="4DDEB466">
      <w:start w:val="1"/>
      <w:numFmt w:val="decimal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222EC7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A8FE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064F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164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B6FF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1041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BA55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CCF4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1C346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CF4EB2"/>
    <w:multiLevelType w:val="hybridMultilevel"/>
    <w:tmpl w:val="CB6C816A"/>
    <w:lvl w:ilvl="0" w:tplc="7DA49C2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F29E4410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6930E020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CC2C6A26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BA28036A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783ACAC8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10249D62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588EB7B6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73447F30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7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68AD07B2"/>
    <w:multiLevelType w:val="hybridMultilevel"/>
    <w:tmpl w:val="7FEE3222"/>
    <w:lvl w:ilvl="0" w:tplc="2520BD34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1E481C9C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F8764C08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68501C4C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FE8E1166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C114A248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2E9ECA22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2154F9C6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BE88E094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0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C59268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5"/>
  </w:num>
  <w:num w:numId="2">
    <w:abstractNumId w:val="13"/>
  </w:num>
  <w:num w:numId="3">
    <w:abstractNumId w:val="10"/>
  </w:num>
  <w:num w:numId="4">
    <w:abstractNumId w:val="17"/>
  </w:num>
  <w:num w:numId="5">
    <w:abstractNumId w:val="18"/>
  </w:num>
  <w:num w:numId="6">
    <w:abstractNumId w:val="20"/>
  </w:num>
  <w:num w:numId="7">
    <w:abstractNumId w:val="12"/>
  </w:num>
  <w:num w:numId="8">
    <w:abstractNumId w:val="19"/>
  </w:num>
  <w:num w:numId="9">
    <w:abstractNumId w:val="16"/>
  </w:num>
  <w:num w:numId="10">
    <w:abstractNumId w:val="11"/>
  </w:num>
  <w:num w:numId="11">
    <w:abstractNumId w:val="14"/>
  </w:num>
  <w:num w:numId="12">
    <w:abstractNumId w:val="21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hyphenationZone w:val="425"/>
  <w:evenAndOddHeaders/>
  <w:characterSpacingControl w:val="doNotCompress"/>
  <w:hdrShapeDefaults>
    <o:shapedefaults v:ext="edit" spidmax="6146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63F"/>
    <w:rsid w:val="00014D84"/>
    <w:rsid w:val="00046E92"/>
    <w:rsid w:val="000649C4"/>
    <w:rsid w:val="0006523D"/>
    <w:rsid w:val="000820E8"/>
    <w:rsid w:val="000A1AAE"/>
    <w:rsid w:val="000C75E5"/>
    <w:rsid w:val="000E4FD0"/>
    <w:rsid w:val="001072AA"/>
    <w:rsid w:val="00107B8D"/>
    <w:rsid w:val="00112445"/>
    <w:rsid w:val="00131D7A"/>
    <w:rsid w:val="00165C15"/>
    <w:rsid w:val="00196329"/>
    <w:rsid w:val="00247E2C"/>
    <w:rsid w:val="002B525D"/>
    <w:rsid w:val="002D6C53"/>
    <w:rsid w:val="002F5595"/>
    <w:rsid w:val="00334F6A"/>
    <w:rsid w:val="00342AC8"/>
    <w:rsid w:val="003B4550"/>
    <w:rsid w:val="0044637E"/>
    <w:rsid w:val="00461253"/>
    <w:rsid w:val="00472FED"/>
    <w:rsid w:val="005042C2"/>
    <w:rsid w:val="00513875"/>
    <w:rsid w:val="00546F2E"/>
    <w:rsid w:val="005977C6"/>
    <w:rsid w:val="005D65FD"/>
    <w:rsid w:val="005E3E76"/>
    <w:rsid w:val="00671529"/>
    <w:rsid w:val="006724F8"/>
    <w:rsid w:val="007268F9"/>
    <w:rsid w:val="007327A0"/>
    <w:rsid w:val="007A0D2F"/>
    <w:rsid w:val="007C52B0"/>
    <w:rsid w:val="00817E57"/>
    <w:rsid w:val="0088156A"/>
    <w:rsid w:val="00892361"/>
    <w:rsid w:val="008D3450"/>
    <w:rsid w:val="00935045"/>
    <w:rsid w:val="009411B4"/>
    <w:rsid w:val="009779FF"/>
    <w:rsid w:val="009B1B78"/>
    <w:rsid w:val="009D0139"/>
    <w:rsid w:val="009D4C09"/>
    <w:rsid w:val="009F5CDC"/>
    <w:rsid w:val="00A23459"/>
    <w:rsid w:val="00A41674"/>
    <w:rsid w:val="00A775CF"/>
    <w:rsid w:val="00A93165"/>
    <w:rsid w:val="00B05830"/>
    <w:rsid w:val="00B06045"/>
    <w:rsid w:val="00B53AA5"/>
    <w:rsid w:val="00B771F7"/>
    <w:rsid w:val="00B903E5"/>
    <w:rsid w:val="00C35A27"/>
    <w:rsid w:val="00CA1AEA"/>
    <w:rsid w:val="00CA363F"/>
    <w:rsid w:val="00CB73E6"/>
    <w:rsid w:val="00D31EEB"/>
    <w:rsid w:val="00D327D6"/>
    <w:rsid w:val="00D52FD0"/>
    <w:rsid w:val="00D82847"/>
    <w:rsid w:val="00DB065A"/>
    <w:rsid w:val="00E02C2B"/>
    <w:rsid w:val="00E05879"/>
    <w:rsid w:val="00EA087E"/>
    <w:rsid w:val="00EB1966"/>
    <w:rsid w:val="00ED6C48"/>
    <w:rsid w:val="00F14DA3"/>
    <w:rsid w:val="00F41F0F"/>
    <w:rsid w:val="00F65F5D"/>
    <w:rsid w:val="00F73985"/>
    <w:rsid w:val="00F8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7C409197"/>
  <w15:docId w15:val="{CD9ED1C2-6959-4997-A436-48D668018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9FF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892361"/>
    <w:pPr>
      <w:tabs>
        <w:tab w:val="left" w:pos="1701"/>
        <w:tab w:val="left" w:pos="2268"/>
      </w:tabs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165C15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5C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C15"/>
    <w:rPr>
      <w:rFonts w:ascii="Tahoma" w:eastAsia="Times New Roman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0A1AAE"/>
    <w:pPr>
      <w:spacing w:after="0" w:line="240" w:lineRule="auto"/>
    </w:pPr>
    <w:rPr>
      <w:rFonts w:eastAsiaTheme="minorEastAsia"/>
      <w:lang w:eastAsia="ja-JP"/>
    </w:rPr>
  </w:style>
  <w:style w:type="character" w:styleId="Hyperlink">
    <w:name w:val="Hyperlink"/>
    <w:basedOn w:val="DefaultParagraphFont"/>
    <w:uiPriority w:val="99"/>
    <w:unhideWhenUsed/>
    <w:rsid w:val="009779FF"/>
    <w:rPr>
      <w:color w:val="0000FF" w:themeColor="hyperlink"/>
      <w:u w:val="non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779F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779FF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undocs.org/en/CCPR/C/MLT/QPR/3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%20without%20Compatibility\COVERPAGES\CCP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D36A3-BCCD-4C72-8D3D-241192695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1</TotalTime>
  <Pages>34</Pages>
  <Words>19139</Words>
  <Characters>104038</Characters>
  <Application>Microsoft Office Word</Application>
  <DocSecurity>0</DocSecurity>
  <Lines>1786</Lines>
  <Paragraphs>538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CCPR/C/MLT/3</vt:lpstr>
    </vt:vector>
  </TitlesOfParts>
  <Company>DCM</Company>
  <LinksUpToDate>false</LinksUpToDate>
  <CharactersWithSpaces>122904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CCPR/C/MLT/3</dc:title>
  <dc:subject>2208183</dc:subject>
  <dc:creator>Brigoli</dc:creator>
  <cp:keywords/>
  <dc:description/>
  <cp:lastModifiedBy>Edna Kay</cp:lastModifiedBy>
  <cp:revision>2</cp:revision>
  <dcterms:created xsi:type="dcterms:W3CDTF">2022-05-31T10:37:00Z</dcterms:created>
  <dcterms:modified xsi:type="dcterms:W3CDTF">2022-05-31T10:37:00Z</dcterms:modified>
</cp:coreProperties>
</file>